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9.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83C28" w14:textId="359CFA38" w:rsidR="00F06E14" w:rsidRPr="00E162C4" w:rsidRDefault="008F56B6" w:rsidP="001A4AD2">
      <w:pPr>
        <w:pStyle w:val="Reporttitle"/>
        <w:tabs>
          <w:tab w:val="left" w:pos="7088"/>
        </w:tabs>
      </w:pPr>
      <w:bookmarkStart w:id="0" w:name="_GoBack"/>
      <w:bookmarkEnd w:id="0"/>
      <w:r>
        <w:t xml:space="preserve">Draft </w:t>
      </w:r>
      <w:r w:rsidR="006255FD">
        <w:t xml:space="preserve">allocation </w:t>
      </w:r>
      <w:r w:rsidR="000F4677" w:rsidRPr="00546795">
        <w:t>and techn</w:t>
      </w:r>
      <w:r w:rsidR="00CE2724" w:rsidRPr="00546795">
        <w:t>ical</w:t>
      </w:r>
      <w:r w:rsidR="00CE2724">
        <w:t xml:space="preserve"> </w:t>
      </w:r>
      <w:r>
        <w:t xml:space="preserve">instruments </w:t>
      </w:r>
      <w:r w:rsidR="005113EF">
        <w:t>for the 3.4</w:t>
      </w:r>
      <w:r w:rsidR="000E3BC8">
        <w:t>/3.7</w:t>
      </w:r>
      <w:r w:rsidR="006255FD">
        <w:t> </w:t>
      </w:r>
      <w:r w:rsidR="00112C68">
        <w:t xml:space="preserve">GHz </w:t>
      </w:r>
      <w:r w:rsidR="005113EF">
        <w:t>band</w:t>
      </w:r>
      <w:r w:rsidR="00112C68">
        <w:t>s</w:t>
      </w:r>
      <w:r w:rsidR="000F76A1">
        <w:t xml:space="preserve"> auction</w:t>
      </w:r>
    </w:p>
    <w:p w14:paraId="5698AA70" w14:textId="433C6CDD" w:rsidR="00F06E14" w:rsidRPr="00E162C4" w:rsidRDefault="00770B3F" w:rsidP="00F06E14">
      <w:pPr>
        <w:pStyle w:val="Reportsubtitle"/>
      </w:pPr>
      <w:r w:rsidRPr="00E162C4">
        <w:t xml:space="preserve">Consultation </w:t>
      </w:r>
      <w:r w:rsidR="005113EF">
        <w:t>paper</w:t>
      </w:r>
    </w:p>
    <w:p w14:paraId="39CF77B5" w14:textId="3B069F65" w:rsidR="00C97736" w:rsidRPr="00E162C4" w:rsidRDefault="002E1C21" w:rsidP="00EC2B68">
      <w:pPr>
        <w:pStyle w:val="Reportdate"/>
        <w:spacing w:after="720"/>
        <w:rPr>
          <w:rFonts w:cs="Arial"/>
        </w:rPr>
        <w:sectPr w:rsidR="00C97736" w:rsidRPr="00E162C4" w:rsidSect="0021426C">
          <w:headerReference w:type="even" r:id="rId8"/>
          <w:headerReference w:type="default" r:id="rId9"/>
          <w:footerReference w:type="even" r:id="rId10"/>
          <w:footerReference w:type="default" r:id="rId11"/>
          <w:headerReference w:type="first" r:id="rId12"/>
          <w:footerReference w:type="first" r:id="rId13"/>
          <w:pgSz w:w="11906" w:h="16838" w:code="9"/>
          <w:pgMar w:top="3924" w:right="992" w:bottom="1440" w:left="1134" w:header="709" w:footer="454" w:gutter="0"/>
          <w:cols w:space="708"/>
          <w:docGrid w:linePitch="360"/>
        </w:sectPr>
      </w:pPr>
      <w:r>
        <w:t>FEBRUARY 2023</w:t>
      </w:r>
    </w:p>
    <w:p w14:paraId="67303F9B" w14:textId="77777777" w:rsidR="0005011A" w:rsidRPr="00E162C4" w:rsidRDefault="0005011A" w:rsidP="00FC07B9">
      <w:pPr>
        <w:pStyle w:val="ACMACorporateAddressHeader"/>
      </w:pPr>
      <w:r w:rsidRPr="00E162C4">
        <w:lastRenderedPageBreak/>
        <w:t>Canberra</w:t>
      </w:r>
    </w:p>
    <w:p w14:paraId="410509E1" w14:textId="77777777" w:rsidR="0005011A" w:rsidRPr="00E162C4" w:rsidRDefault="0005011A" w:rsidP="00FC07B9">
      <w:pPr>
        <w:pStyle w:val="ACMACorporateAddresses"/>
      </w:pPr>
      <w:r w:rsidRPr="00E162C4">
        <w:t xml:space="preserve">Red Building </w:t>
      </w:r>
      <w:r w:rsidRPr="00E162C4">
        <w:br/>
        <w:t>Benjamin Offices</w:t>
      </w:r>
      <w:r w:rsidRPr="00E162C4">
        <w:br/>
        <w:t xml:space="preserve">Chan Street </w:t>
      </w:r>
      <w:r w:rsidRPr="00E162C4">
        <w:br/>
        <w:t>Belconnen ACT</w:t>
      </w:r>
    </w:p>
    <w:p w14:paraId="7958DE24" w14:textId="77777777" w:rsidR="0005011A" w:rsidRPr="00E162C4" w:rsidRDefault="0005011A" w:rsidP="00FC07B9">
      <w:pPr>
        <w:pStyle w:val="ACMACorporateAddresses"/>
      </w:pPr>
      <w:r w:rsidRPr="00E162C4">
        <w:t>PO Box 78</w:t>
      </w:r>
      <w:r w:rsidRPr="00E162C4">
        <w:br/>
        <w:t>Belconnen ACT 2616</w:t>
      </w:r>
    </w:p>
    <w:p w14:paraId="614F1060" w14:textId="77777777" w:rsidR="00FE1823" w:rsidRPr="00E162C4" w:rsidRDefault="0005011A" w:rsidP="00FC07B9">
      <w:pPr>
        <w:pStyle w:val="ACMACorporateAddresses"/>
      </w:pPr>
      <w:r w:rsidRPr="00E162C4">
        <w:t>T</w:t>
      </w:r>
      <w:r w:rsidR="00537604" w:rsidRPr="00E162C4">
        <w:tab/>
      </w:r>
      <w:r w:rsidRPr="00E162C4">
        <w:t>+61 2 6219 5555</w:t>
      </w:r>
      <w:r w:rsidRPr="00E162C4">
        <w:br/>
        <w:t>F</w:t>
      </w:r>
      <w:r w:rsidR="00537604" w:rsidRPr="00E162C4">
        <w:tab/>
      </w:r>
      <w:r w:rsidRPr="00E162C4">
        <w:t>+61 2 6219 5353</w:t>
      </w:r>
    </w:p>
    <w:p w14:paraId="3134121C" w14:textId="77777777" w:rsidR="0005011A" w:rsidRPr="00E162C4" w:rsidRDefault="0005011A" w:rsidP="00FC07B9">
      <w:pPr>
        <w:pStyle w:val="ACMACorporateAddressHeader"/>
      </w:pPr>
      <w:r w:rsidRPr="00E162C4">
        <w:t>Melbourne</w:t>
      </w:r>
    </w:p>
    <w:p w14:paraId="35A790D8" w14:textId="77777777" w:rsidR="0005011A" w:rsidRPr="00E162C4" w:rsidRDefault="0005011A" w:rsidP="00FC07B9">
      <w:pPr>
        <w:pStyle w:val="ACMACorporateAddresses"/>
      </w:pPr>
      <w:r w:rsidRPr="00E162C4">
        <w:t xml:space="preserve">Level 32 </w:t>
      </w:r>
      <w:r w:rsidRPr="00E162C4">
        <w:br/>
        <w:t>Melbourne Central Tower</w:t>
      </w:r>
      <w:r w:rsidRPr="00E162C4">
        <w:br/>
        <w:t xml:space="preserve">360 Elizabeth Street </w:t>
      </w:r>
      <w:r w:rsidR="008C10F4" w:rsidRPr="00E162C4">
        <w:br/>
      </w:r>
      <w:r w:rsidRPr="00E162C4">
        <w:t>Melbourne VIC</w:t>
      </w:r>
    </w:p>
    <w:p w14:paraId="786C6BAF" w14:textId="77777777" w:rsidR="0005011A" w:rsidRPr="00E162C4" w:rsidRDefault="0005011A" w:rsidP="00FC07B9">
      <w:pPr>
        <w:pStyle w:val="ACMACorporateAddresses"/>
      </w:pPr>
      <w:r w:rsidRPr="00E162C4">
        <w:t>PO Box 13112</w:t>
      </w:r>
      <w:r w:rsidRPr="00E162C4">
        <w:br/>
        <w:t xml:space="preserve">Law Courts </w:t>
      </w:r>
      <w:r w:rsidRPr="00E162C4">
        <w:br/>
        <w:t>Melbourne VIC 8010</w:t>
      </w:r>
    </w:p>
    <w:p w14:paraId="726C01C5" w14:textId="77777777" w:rsidR="0005011A" w:rsidRPr="00E162C4" w:rsidRDefault="0005011A" w:rsidP="00FC07B9">
      <w:pPr>
        <w:pStyle w:val="ACMACorporateAddresses"/>
      </w:pPr>
      <w:r w:rsidRPr="00E162C4">
        <w:t>T</w:t>
      </w:r>
      <w:r w:rsidR="00140318" w:rsidRPr="00E162C4">
        <w:tab/>
      </w:r>
      <w:r w:rsidRPr="00E162C4">
        <w:t>+61 3 9963 6800</w:t>
      </w:r>
      <w:r w:rsidRPr="00E162C4">
        <w:br/>
        <w:t>F</w:t>
      </w:r>
      <w:r w:rsidR="00140318" w:rsidRPr="00E162C4">
        <w:tab/>
      </w:r>
      <w:r w:rsidRPr="00E162C4">
        <w:t>+61 3 9963 6899</w:t>
      </w:r>
    </w:p>
    <w:p w14:paraId="348CE3AB" w14:textId="77777777" w:rsidR="0005011A" w:rsidRPr="00E162C4" w:rsidRDefault="0005011A" w:rsidP="00FC07B9">
      <w:pPr>
        <w:pStyle w:val="ACMACorporateAddressHeader"/>
      </w:pPr>
      <w:r w:rsidRPr="00E162C4">
        <w:t>Sydney</w:t>
      </w:r>
    </w:p>
    <w:p w14:paraId="1C06EFC4" w14:textId="77777777" w:rsidR="0005011A" w:rsidRPr="00E162C4" w:rsidRDefault="0005011A" w:rsidP="00FC07B9">
      <w:pPr>
        <w:pStyle w:val="ACMACorporateAddresses"/>
      </w:pPr>
      <w:r w:rsidRPr="00E162C4">
        <w:t xml:space="preserve">Level 5 </w:t>
      </w:r>
      <w:r w:rsidRPr="00E162C4">
        <w:br/>
        <w:t>The Bay Centre</w:t>
      </w:r>
      <w:r w:rsidRPr="00E162C4">
        <w:br/>
        <w:t xml:space="preserve">65 Pirrama Road </w:t>
      </w:r>
      <w:r w:rsidRPr="00E162C4">
        <w:br/>
        <w:t>Pyrmont NSW</w:t>
      </w:r>
    </w:p>
    <w:p w14:paraId="5128E11C" w14:textId="77777777" w:rsidR="0005011A" w:rsidRPr="00E162C4" w:rsidRDefault="0005011A" w:rsidP="00FC07B9">
      <w:pPr>
        <w:pStyle w:val="ACMACorporateAddresses"/>
      </w:pPr>
      <w:r w:rsidRPr="00E162C4">
        <w:t>PO Box Q500</w:t>
      </w:r>
      <w:r w:rsidRPr="00E162C4">
        <w:br/>
        <w:t xml:space="preserve">Queen Victoria Building </w:t>
      </w:r>
      <w:r w:rsidRPr="00E162C4">
        <w:br/>
        <w:t>NSW 1230</w:t>
      </w:r>
    </w:p>
    <w:p w14:paraId="2850BDC6" w14:textId="77777777" w:rsidR="0005011A" w:rsidRPr="00E162C4" w:rsidRDefault="0005011A" w:rsidP="00FC07B9">
      <w:pPr>
        <w:pStyle w:val="ACMACorporateAddresses"/>
      </w:pPr>
      <w:r w:rsidRPr="00E162C4">
        <w:t>T</w:t>
      </w:r>
      <w:r w:rsidR="00140318" w:rsidRPr="00E162C4">
        <w:tab/>
      </w:r>
      <w:r w:rsidRPr="00E162C4">
        <w:t>+61 2 9334 7700</w:t>
      </w:r>
      <w:r w:rsidR="00140318" w:rsidRPr="00E162C4">
        <w:t xml:space="preserve"> or</w:t>
      </w:r>
      <w:r w:rsidRPr="00E162C4">
        <w:t xml:space="preserve"> 1800 226 667</w:t>
      </w:r>
      <w:r w:rsidRPr="00E162C4">
        <w:br/>
        <w:t>F</w:t>
      </w:r>
      <w:r w:rsidR="00140318" w:rsidRPr="00E162C4">
        <w:tab/>
      </w:r>
      <w:r w:rsidRPr="00E162C4">
        <w:t>+61 2 9334 7799</w:t>
      </w:r>
    </w:p>
    <w:p w14:paraId="3C8D1D29" w14:textId="77777777" w:rsidR="00140318" w:rsidRPr="00E162C4" w:rsidRDefault="00140318" w:rsidP="00FC07B9">
      <w:pPr>
        <w:pStyle w:val="ACMACopyrightHeader"/>
      </w:pPr>
      <w:r w:rsidRPr="00E162C4">
        <w:t>Copyright notice</w:t>
      </w:r>
    </w:p>
    <w:p w14:paraId="0CA48BA2" w14:textId="77777777" w:rsidR="00140318" w:rsidRPr="00E162C4" w:rsidRDefault="00623FF9" w:rsidP="00623FF9">
      <w:pPr>
        <w:pStyle w:val="ACMACClogo"/>
      </w:pPr>
      <w:r w:rsidRPr="00E162C4">
        <w:rPr>
          <w:noProof/>
        </w:rPr>
        <w:drawing>
          <wp:inline distT="0" distB="0" distL="0" distR="0" wp14:anchorId="36B5F0E7" wp14:editId="7CE7AC53">
            <wp:extent cx="838200" cy="295275"/>
            <wp:effectExtent l="0" t="0" r="0" b="0"/>
            <wp:docPr id="1" name="Picture 1" titl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4"/>
                    </pic:cNvPr>
                    <pic:cNvPicPr>
                      <a:picLocks noChangeAspect="1" noChangeArrowheads="1"/>
                    </pic:cNvPicPr>
                  </pic:nvPicPr>
                  <pic:blipFill>
                    <a:blip r:embed="rId15" cstate="print"/>
                    <a:srcRect/>
                    <a:stretch>
                      <a:fillRect/>
                    </a:stretch>
                  </pic:blipFill>
                  <pic:spPr bwMode="auto">
                    <a:xfrm>
                      <a:off x="0" y="0"/>
                      <a:ext cx="838200" cy="295275"/>
                    </a:xfrm>
                    <a:prstGeom prst="rect">
                      <a:avLst/>
                    </a:prstGeom>
                    <a:noFill/>
                  </pic:spPr>
                </pic:pic>
              </a:graphicData>
            </a:graphic>
          </wp:inline>
        </w:drawing>
      </w:r>
    </w:p>
    <w:p w14:paraId="1F8D823F" w14:textId="4CA18A98" w:rsidR="00AA2DE5" w:rsidRPr="00E162C4" w:rsidRDefault="00FC4B89" w:rsidP="00AA2DE5">
      <w:pPr>
        <w:pStyle w:val="ACMACorporateAddresses"/>
        <w:rPr>
          <w:rStyle w:val="Hyperlink"/>
        </w:rPr>
      </w:pPr>
      <w:hyperlink r:id="rId16" w:history="1">
        <w:r w:rsidR="00AA2DE5" w:rsidRPr="00E162C4">
          <w:rPr>
            <w:rStyle w:val="Hyperlink"/>
          </w:rPr>
          <w:t>https://creativecommons.org/licenses/by/4.0/</w:t>
        </w:r>
      </w:hyperlink>
    </w:p>
    <w:p w14:paraId="12CA6DCD" w14:textId="77777777" w:rsidR="00AA2DE5" w:rsidRPr="00E162C4" w:rsidRDefault="00AA2DE5" w:rsidP="00AA2DE5">
      <w:pPr>
        <w:pStyle w:val="ACMACorporateAddresses"/>
      </w:pPr>
      <w:r w:rsidRPr="00E162C4">
        <w:t xml:space="preserve">With the exception of coats of arms, logos, emblems, images, other third-party material or devices protected by a trademark, this content is made available under the terms of the Creative Commons Attribution 4.0 International (CC BY 4.0) licence. </w:t>
      </w:r>
    </w:p>
    <w:p w14:paraId="7AE30CD0" w14:textId="49EAA98D" w:rsidR="00AA2DE5" w:rsidRPr="00E162C4" w:rsidRDefault="00AA2DE5" w:rsidP="00AA2DE5">
      <w:pPr>
        <w:pStyle w:val="ACMACorporateAddresses"/>
      </w:pPr>
      <w:r w:rsidRPr="00E162C4">
        <w:t>We request attribution as © Commonwealth of Australia (Australian Communications and Media Authority) 20</w:t>
      </w:r>
      <w:r w:rsidR="00C41F21" w:rsidRPr="00E162C4">
        <w:t>2</w:t>
      </w:r>
      <w:r w:rsidR="00A14A36">
        <w:t>3</w:t>
      </w:r>
      <w:r w:rsidRPr="00E162C4">
        <w:t>.</w:t>
      </w:r>
    </w:p>
    <w:p w14:paraId="736F825E" w14:textId="77777777" w:rsidR="00AA2DE5" w:rsidRPr="00E162C4" w:rsidRDefault="00AA2DE5" w:rsidP="00AA2DE5">
      <w:pPr>
        <w:pStyle w:val="ACMACorporateAddresses"/>
      </w:pPr>
      <w:r w:rsidRPr="00E162C4">
        <w:t>All other rights are reserved.</w:t>
      </w:r>
    </w:p>
    <w:p w14:paraId="17E94544" w14:textId="77777777" w:rsidR="00AA2DE5" w:rsidRPr="00E162C4" w:rsidRDefault="00AA2DE5" w:rsidP="00AA2DE5">
      <w:pPr>
        <w:pStyle w:val="ACMACorporateAddresses"/>
      </w:pPr>
      <w:r w:rsidRPr="00E162C4">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6B12F194" w14:textId="77777777" w:rsidR="00AA2DE5" w:rsidRPr="00E162C4" w:rsidRDefault="00AA2DE5" w:rsidP="00AA2DE5">
      <w:pPr>
        <w:pStyle w:val="ACMACorporateAddresses"/>
      </w:pPr>
      <w:r w:rsidRPr="00E162C4">
        <w:t>Written enquiries may be sent to:</w:t>
      </w:r>
    </w:p>
    <w:p w14:paraId="50CABD97" w14:textId="6C4EC4EE" w:rsidR="00AA2DE5" w:rsidRPr="00E162C4" w:rsidRDefault="00AA2DE5" w:rsidP="00AA2DE5">
      <w:pPr>
        <w:pStyle w:val="ACMACorporateAddresses"/>
        <w:rPr>
          <w:rStyle w:val="Hyperlink"/>
        </w:rPr>
      </w:pPr>
      <w:r w:rsidRPr="00E162C4">
        <w:t xml:space="preserve">Manager, Editorial </w:t>
      </w:r>
      <w:r w:rsidR="000245E5" w:rsidRPr="00E162C4">
        <w:t>Services</w:t>
      </w:r>
      <w:r w:rsidRPr="00E162C4">
        <w:br/>
        <w:t>PO Box 13112</w:t>
      </w:r>
      <w:r w:rsidRPr="00E162C4">
        <w:br/>
        <w:t>Law Courts</w:t>
      </w:r>
      <w:r w:rsidRPr="00E162C4">
        <w:br/>
        <w:t>Melbourne VIC 8010</w:t>
      </w:r>
      <w:r w:rsidRPr="00E162C4">
        <w:br/>
        <w:t xml:space="preserve">Email: </w:t>
      </w:r>
      <w:hyperlink r:id="rId17" w:history="1">
        <w:r w:rsidRPr="00E162C4">
          <w:rPr>
            <w:rStyle w:val="Hyperlink"/>
          </w:rPr>
          <w:t>info@acma.gov.au</w:t>
        </w:r>
      </w:hyperlink>
    </w:p>
    <w:p w14:paraId="0CD82964" w14:textId="77777777" w:rsidR="00D16FE3" w:rsidRPr="00E162C4" w:rsidRDefault="00D16FE3" w:rsidP="00D16FE3">
      <w:pPr>
        <w:pStyle w:val="ACMACorporateAddresses"/>
        <w:rPr>
          <w:rStyle w:val="Hyperlink"/>
        </w:rPr>
      </w:pPr>
    </w:p>
    <w:p w14:paraId="5BB8AB81" w14:textId="77777777" w:rsidR="00D16FE3" w:rsidRPr="00E162C4" w:rsidRDefault="00D16FE3" w:rsidP="00D16FE3">
      <w:pPr>
        <w:pStyle w:val="ACMACorporateAddresses"/>
        <w:sectPr w:rsidR="00D16FE3" w:rsidRPr="00E162C4">
          <w:headerReference w:type="even" r:id="rId18"/>
          <w:headerReference w:type="default" r:id="rId19"/>
          <w:footerReference w:type="even" r:id="rId20"/>
          <w:footerReference w:type="default" r:id="rId21"/>
          <w:pgSz w:w="11906" w:h="16838" w:code="9"/>
          <w:pgMar w:top="3924" w:right="1797" w:bottom="697" w:left="1134" w:header="709" w:footer="119" w:gutter="0"/>
          <w:cols w:space="708"/>
          <w:docGrid w:linePitch="360"/>
        </w:sectPr>
      </w:pPr>
    </w:p>
    <w:p w14:paraId="607CE43C" w14:textId="604AB785" w:rsidR="00907074" w:rsidRDefault="006A3ECF">
      <w:pPr>
        <w:pStyle w:val="TOC1"/>
        <w:rPr>
          <w:rFonts w:asciiTheme="minorHAnsi" w:eastAsiaTheme="minorEastAsia" w:hAnsiTheme="minorHAnsi" w:cstheme="minorBidi"/>
          <w:b w:val="0"/>
          <w:spacing w:val="0"/>
          <w:sz w:val="22"/>
          <w:szCs w:val="22"/>
        </w:rPr>
      </w:pPr>
      <w:r w:rsidRPr="00E162C4">
        <w:rPr>
          <w:rFonts w:cs="Arial"/>
        </w:rPr>
        <w:lastRenderedPageBreak/>
        <w:fldChar w:fldCharType="begin"/>
      </w:r>
      <w:r w:rsidRPr="00E162C4">
        <w:rPr>
          <w:rFonts w:cs="Arial"/>
        </w:rPr>
        <w:instrText xml:space="preserve"> TOC \o "1-2" \h \z \t "Exec summary heading,1" </w:instrText>
      </w:r>
      <w:r w:rsidRPr="00E162C4">
        <w:rPr>
          <w:rFonts w:cs="Arial"/>
        </w:rPr>
        <w:fldChar w:fldCharType="separate"/>
      </w:r>
      <w:hyperlink w:anchor="_Toc126917751" w:history="1">
        <w:r w:rsidR="00907074" w:rsidRPr="00DC01D2">
          <w:rPr>
            <w:rStyle w:val="Hyperlink"/>
          </w:rPr>
          <w:t>Executive summary</w:t>
        </w:r>
        <w:r w:rsidR="00907074">
          <w:rPr>
            <w:webHidden/>
          </w:rPr>
          <w:tab/>
        </w:r>
        <w:r w:rsidR="00907074">
          <w:rPr>
            <w:webHidden/>
          </w:rPr>
          <w:fldChar w:fldCharType="begin"/>
        </w:r>
        <w:r w:rsidR="00907074">
          <w:rPr>
            <w:webHidden/>
          </w:rPr>
          <w:instrText xml:space="preserve"> PAGEREF _Toc126917751 \h </w:instrText>
        </w:r>
        <w:r w:rsidR="00907074">
          <w:rPr>
            <w:webHidden/>
          </w:rPr>
        </w:r>
        <w:r w:rsidR="00907074">
          <w:rPr>
            <w:webHidden/>
          </w:rPr>
          <w:fldChar w:fldCharType="separate"/>
        </w:r>
        <w:r w:rsidR="00907074">
          <w:rPr>
            <w:webHidden/>
          </w:rPr>
          <w:t>1</w:t>
        </w:r>
        <w:r w:rsidR="00907074">
          <w:rPr>
            <w:webHidden/>
          </w:rPr>
          <w:fldChar w:fldCharType="end"/>
        </w:r>
      </w:hyperlink>
    </w:p>
    <w:p w14:paraId="324CB6E0" w14:textId="01EBAD03" w:rsidR="00907074" w:rsidRDefault="00FC4B89">
      <w:pPr>
        <w:pStyle w:val="TOC2"/>
        <w:rPr>
          <w:rFonts w:asciiTheme="minorHAnsi" w:eastAsiaTheme="minorEastAsia" w:hAnsiTheme="minorHAnsi" w:cstheme="minorBidi"/>
          <w:spacing w:val="0"/>
          <w:sz w:val="22"/>
          <w:szCs w:val="22"/>
        </w:rPr>
      </w:pPr>
      <w:hyperlink w:anchor="_Toc126917752" w:history="1">
        <w:r w:rsidR="00907074" w:rsidRPr="00DC01D2">
          <w:rPr>
            <w:rStyle w:val="Hyperlink"/>
          </w:rPr>
          <w:t>3.4/3.7 GHz bands auction draft instruments</w:t>
        </w:r>
        <w:r w:rsidR="00907074">
          <w:rPr>
            <w:webHidden/>
          </w:rPr>
          <w:tab/>
        </w:r>
        <w:r w:rsidR="00907074">
          <w:rPr>
            <w:webHidden/>
          </w:rPr>
          <w:fldChar w:fldCharType="begin"/>
        </w:r>
        <w:r w:rsidR="00907074">
          <w:rPr>
            <w:webHidden/>
          </w:rPr>
          <w:instrText xml:space="preserve"> PAGEREF _Toc126917752 \h </w:instrText>
        </w:r>
        <w:r w:rsidR="00907074">
          <w:rPr>
            <w:webHidden/>
          </w:rPr>
        </w:r>
        <w:r w:rsidR="00907074">
          <w:rPr>
            <w:webHidden/>
          </w:rPr>
          <w:fldChar w:fldCharType="separate"/>
        </w:r>
        <w:r w:rsidR="00907074">
          <w:rPr>
            <w:webHidden/>
          </w:rPr>
          <w:t>2</w:t>
        </w:r>
        <w:r w:rsidR="00907074">
          <w:rPr>
            <w:webHidden/>
          </w:rPr>
          <w:fldChar w:fldCharType="end"/>
        </w:r>
      </w:hyperlink>
    </w:p>
    <w:p w14:paraId="44108A7D" w14:textId="34D0A601" w:rsidR="00907074" w:rsidRDefault="00FC4B89">
      <w:pPr>
        <w:pStyle w:val="TOC2"/>
        <w:rPr>
          <w:rFonts w:asciiTheme="minorHAnsi" w:eastAsiaTheme="minorEastAsia" w:hAnsiTheme="minorHAnsi" w:cstheme="minorBidi"/>
          <w:spacing w:val="0"/>
          <w:sz w:val="22"/>
          <w:szCs w:val="22"/>
        </w:rPr>
      </w:pPr>
      <w:hyperlink w:anchor="_Toc126917753" w:history="1">
        <w:r w:rsidR="00907074" w:rsidRPr="00DC01D2">
          <w:rPr>
            <w:rStyle w:val="Hyperlink"/>
          </w:rPr>
          <w:t>Managing coexistence with radio altimeters</w:t>
        </w:r>
        <w:r w:rsidR="00907074">
          <w:rPr>
            <w:webHidden/>
          </w:rPr>
          <w:tab/>
        </w:r>
        <w:r w:rsidR="00907074">
          <w:rPr>
            <w:webHidden/>
          </w:rPr>
          <w:fldChar w:fldCharType="begin"/>
        </w:r>
        <w:r w:rsidR="00907074">
          <w:rPr>
            <w:webHidden/>
          </w:rPr>
          <w:instrText xml:space="preserve"> PAGEREF _Toc126917753 \h </w:instrText>
        </w:r>
        <w:r w:rsidR="00907074">
          <w:rPr>
            <w:webHidden/>
          </w:rPr>
        </w:r>
        <w:r w:rsidR="00907074">
          <w:rPr>
            <w:webHidden/>
          </w:rPr>
          <w:fldChar w:fldCharType="separate"/>
        </w:r>
        <w:r w:rsidR="00907074">
          <w:rPr>
            <w:webHidden/>
          </w:rPr>
          <w:t>2</w:t>
        </w:r>
        <w:r w:rsidR="00907074">
          <w:rPr>
            <w:webHidden/>
          </w:rPr>
          <w:fldChar w:fldCharType="end"/>
        </w:r>
      </w:hyperlink>
    </w:p>
    <w:p w14:paraId="499DB274" w14:textId="2A8FB96B" w:rsidR="00907074" w:rsidRDefault="00FC4B89">
      <w:pPr>
        <w:pStyle w:val="TOC1"/>
        <w:tabs>
          <w:tab w:val="left" w:pos="885"/>
        </w:tabs>
        <w:rPr>
          <w:rFonts w:asciiTheme="minorHAnsi" w:eastAsiaTheme="minorEastAsia" w:hAnsiTheme="minorHAnsi" w:cstheme="minorBidi"/>
          <w:b w:val="0"/>
          <w:spacing w:val="0"/>
          <w:sz w:val="22"/>
          <w:szCs w:val="22"/>
        </w:rPr>
      </w:pPr>
      <w:hyperlink w:anchor="_Toc126917754" w:history="1">
        <w:r w:rsidR="00907074" w:rsidRPr="00DC01D2">
          <w:rPr>
            <w:rStyle w:val="Hyperlink"/>
          </w:rPr>
          <w:t>1.</w:t>
        </w:r>
        <w:r w:rsidR="00907074">
          <w:rPr>
            <w:rFonts w:asciiTheme="minorHAnsi" w:eastAsiaTheme="minorEastAsia" w:hAnsiTheme="minorHAnsi" w:cstheme="minorBidi"/>
            <w:b w:val="0"/>
            <w:spacing w:val="0"/>
            <w:sz w:val="22"/>
            <w:szCs w:val="22"/>
          </w:rPr>
          <w:tab/>
        </w:r>
        <w:r w:rsidR="00907074" w:rsidRPr="00DC01D2">
          <w:rPr>
            <w:rStyle w:val="Hyperlink"/>
          </w:rPr>
          <w:t>Issues for comment</w:t>
        </w:r>
        <w:r w:rsidR="00907074">
          <w:rPr>
            <w:webHidden/>
          </w:rPr>
          <w:tab/>
        </w:r>
        <w:r w:rsidR="00907074">
          <w:rPr>
            <w:webHidden/>
          </w:rPr>
          <w:fldChar w:fldCharType="begin"/>
        </w:r>
        <w:r w:rsidR="00907074">
          <w:rPr>
            <w:webHidden/>
          </w:rPr>
          <w:instrText xml:space="preserve"> PAGEREF _Toc126917754 \h </w:instrText>
        </w:r>
        <w:r w:rsidR="00907074">
          <w:rPr>
            <w:webHidden/>
          </w:rPr>
        </w:r>
        <w:r w:rsidR="00907074">
          <w:rPr>
            <w:webHidden/>
          </w:rPr>
          <w:fldChar w:fldCharType="separate"/>
        </w:r>
        <w:r w:rsidR="00907074">
          <w:rPr>
            <w:webHidden/>
          </w:rPr>
          <w:t>5</w:t>
        </w:r>
        <w:r w:rsidR="00907074">
          <w:rPr>
            <w:webHidden/>
          </w:rPr>
          <w:fldChar w:fldCharType="end"/>
        </w:r>
      </w:hyperlink>
    </w:p>
    <w:p w14:paraId="41D3EC33" w14:textId="1421B32F" w:rsidR="00907074" w:rsidRDefault="00FC4B89">
      <w:pPr>
        <w:pStyle w:val="TOC2"/>
        <w:rPr>
          <w:rFonts w:asciiTheme="minorHAnsi" w:eastAsiaTheme="minorEastAsia" w:hAnsiTheme="minorHAnsi" w:cstheme="minorBidi"/>
          <w:spacing w:val="0"/>
          <w:sz w:val="22"/>
          <w:szCs w:val="22"/>
        </w:rPr>
      </w:pPr>
      <w:hyperlink w:anchor="_Toc126917755" w:history="1">
        <w:r w:rsidR="00907074" w:rsidRPr="00DC01D2">
          <w:rPr>
            <w:rStyle w:val="Hyperlink"/>
          </w:rPr>
          <w:t>Draft marketing plan</w:t>
        </w:r>
        <w:r w:rsidR="00907074">
          <w:rPr>
            <w:webHidden/>
          </w:rPr>
          <w:tab/>
        </w:r>
        <w:r w:rsidR="00907074">
          <w:rPr>
            <w:webHidden/>
          </w:rPr>
          <w:fldChar w:fldCharType="begin"/>
        </w:r>
        <w:r w:rsidR="00907074">
          <w:rPr>
            <w:webHidden/>
          </w:rPr>
          <w:instrText xml:space="preserve"> PAGEREF _Toc126917755 \h </w:instrText>
        </w:r>
        <w:r w:rsidR="00907074">
          <w:rPr>
            <w:webHidden/>
          </w:rPr>
        </w:r>
        <w:r w:rsidR="00907074">
          <w:rPr>
            <w:webHidden/>
          </w:rPr>
          <w:fldChar w:fldCharType="separate"/>
        </w:r>
        <w:r w:rsidR="00907074">
          <w:rPr>
            <w:webHidden/>
          </w:rPr>
          <w:t>5</w:t>
        </w:r>
        <w:r w:rsidR="00907074">
          <w:rPr>
            <w:webHidden/>
          </w:rPr>
          <w:fldChar w:fldCharType="end"/>
        </w:r>
      </w:hyperlink>
    </w:p>
    <w:p w14:paraId="7A19351E" w14:textId="448F4EF7" w:rsidR="00907074" w:rsidRDefault="00FC4B89">
      <w:pPr>
        <w:pStyle w:val="TOC2"/>
        <w:rPr>
          <w:rFonts w:asciiTheme="minorHAnsi" w:eastAsiaTheme="minorEastAsia" w:hAnsiTheme="minorHAnsi" w:cstheme="minorBidi"/>
          <w:spacing w:val="0"/>
          <w:sz w:val="22"/>
          <w:szCs w:val="22"/>
        </w:rPr>
      </w:pPr>
      <w:hyperlink w:anchor="_Toc126917756" w:history="1">
        <w:r w:rsidR="00907074" w:rsidRPr="00DC01D2">
          <w:rPr>
            <w:rStyle w:val="Hyperlink"/>
          </w:rPr>
          <w:t>Draft allocation determination</w:t>
        </w:r>
        <w:r w:rsidR="00907074">
          <w:rPr>
            <w:webHidden/>
          </w:rPr>
          <w:tab/>
        </w:r>
        <w:r w:rsidR="00907074">
          <w:rPr>
            <w:webHidden/>
          </w:rPr>
          <w:fldChar w:fldCharType="begin"/>
        </w:r>
        <w:r w:rsidR="00907074">
          <w:rPr>
            <w:webHidden/>
          </w:rPr>
          <w:instrText xml:space="preserve"> PAGEREF _Toc126917756 \h </w:instrText>
        </w:r>
        <w:r w:rsidR="00907074">
          <w:rPr>
            <w:webHidden/>
          </w:rPr>
        </w:r>
        <w:r w:rsidR="00907074">
          <w:rPr>
            <w:webHidden/>
          </w:rPr>
          <w:fldChar w:fldCharType="separate"/>
        </w:r>
        <w:r w:rsidR="00907074">
          <w:rPr>
            <w:webHidden/>
          </w:rPr>
          <w:t>6</w:t>
        </w:r>
        <w:r w:rsidR="00907074">
          <w:rPr>
            <w:webHidden/>
          </w:rPr>
          <w:fldChar w:fldCharType="end"/>
        </w:r>
      </w:hyperlink>
    </w:p>
    <w:p w14:paraId="3417C2E0" w14:textId="10FA05C0" w:rsidR="00907074" w:rsidRDefault="00FC4B89">
      <w:pPr>
        <w:pStyle w:val="TOC2"/>
        <w:rPr>
          <w:rFonts w:asciiTheme="minorHAnsi" w:eastAsiaTheme="minorEastAsia" w:hAnsiTheme="minorHAnsi" w:cstheme="minorBidi"/>
          <w:spacing w:val="0"/>
          <w:sz w:val="22"/>
          <w:szCs w:val="22"/>
        </w:rPr>
      </w:pPr>
      <w:hyperlink w:anchor="_Toc126917757" w:history="1">
        <w:r w:rsidR="00907074" w:rsidRPr="00DC01D2">
          <w:rPr>
            <w:rStyle w:val="Hyperlink"/>
          </w:rPr>
          <w:t>Draft technical instruments</w:t>
        </w:r>
        <w:r w:rsidR="00907074">
          <w:rPr>
            <w:webHidden/>
          </w:rPr>
          <w:tab/>
        </w:r>
        <w:r w:rsidR="00907074">
          <w:rPr>
            <w:webHidden/>
          </w:rPr>
          <w:fldChar w:fldCharType="begin"/>
        </w:r>
        <w:r w:rsidR="00907074">
          <w:rPr>
            <w:webHidden/>
          </w:rPr>
          <w:instrText xml:space="preserve"> PAGEREF _Toc126917757 \h </w:instrText>
        </w:r>
        <w:r w:rsidR="00907074">
          <w:rPr>
            <w:webHidden/>
          </w:rPr>
        </w:r>
        <w:r w:rsidR="00907074">
          <w:rPr>
            <w:webHidden/>
          </w:rPr>
          <w:fldChar w:fldCharType="separate"/>
        </w:r>
        <w:r w:rsidR="00907074">
          <w:rPr>
            <w:webHidden/>
          </w:rPr>
          <w:t>9</w:t>
        </w:r>
        <w:r w:rsidR="00907074">
          <w:rPr>
            <w:webHidden/>
          </w:rPr>
          <w:fldChar w:fldCharType="end"/>
        </w:r>
      </w:hyperlink>
    </w:p>
    <w:p w14:paraId="0E9BD256" w14:textId="66AA0179" w:rsidR="00907074" w:rsidRDefault="00FC4B89">
      <w:pPr>
        <w:pStyle w:val="TOC1"/>
        <w:tabs>
          <w:tab w:val="left" w:pos="885"/>
        </w:tabs>
        <w:rPr>
          <w:rFonts w:asciiTheme="minorHAnsi" w:eastAsiaTheme="minorEastAsia" w:hAnsiTheme="minorHAnsi" w:cstheme="minorBidi"/>
          <w:b w:val="0"/>
          <w:spacing w:val="0"/>
          <w:sz w:val="22"/>
          <w:szCs w:val="22"/>
        </w:rPr>
      </w:pPr>
      <w:hyperlink w:anchor="_Toc126917758" w:history="1">
        <w:r w:rsidR="00907074" w:rsidRPr="00DC01D2">
          <w:rPr>
            <w:rStyle w:val="Hyperlink"/>
          </w:rPr>
          <w:t>2.</w:t>
        </w:r>
        <w:r w:rsidR="00907074">
          <w:rPr>
            <w:rFonts w:asciiTheme="minorHAnsi" w:eastAsiaTheme="minorEastAsia" w:hAnsiTheme="minorHAnsi" w:cstheme="minorBidi"/>
            <w:b w:val="0"/>
            <w:spacing w:val="0"/>
            <w:sz w:val="22"/>
            <w:szCs w:val="22"/>
          </w:rPr>
          <w:tab/>
        </w:r>
        <w:r w:rsidR="00907074" w:rsidRPr="00DC01D2">
          <w:rPr>
            <w:rStyle w:val="Hyperlink"/>
          </w:rPr>
          <w:t>Introduction</w:t>
        </w:r>
        <w:r w:rsidR="00907074">
          <w:rPr>
            <w:webHidden/>
          </w:rPr>
          <w:tab/>
        </w:r>
        <w:r w:rsidR="00907074">
          <w:rPr>
            <w:webHidden/>
          </w:rPr>
          <w:fldChar w:fldCharType="begin"/>
        </w:r>
        <w:r w:rsidR="00907074">
          <w:rPr>
            <w:webHidden/>
          </w:rPr>
          <w:instrText xml:space="preserve"> PAGEREF _Toc126917758 \h </w:instrText>
        </w:r>
        <w:r w:rsidR="00907074">
          <w:rPr>
            <w:webHidden/>
          </w:rPr>
        </w:r>
        <w:r w:rsidR="00907074">
          <w:rPr>
            <w:webHidden/>
          </w:rPr>
          <w:fldChar w:fldCharType="separate"/>
        </w:r>
        <w:r w:rsidR="00907074">
          <w:rPr>
            <w:webHidden/>
          </w:rPr>
          <w:t>10</w:t>
        </w:r>
        <w:r w:rsidR="00907074">
          <w:rPr>
            <w:webHidden/>
          </w:rPr>
          <w:fldChar w:fldCharType="end"/>
        </w:r>
      </w:hyperlink>
    </w:p>
    <w:p w14:paraId="0AE0E13F" w14:textId="500EB0A3" w:rsidR="00907074" w:rsidRDefault="00FC4B89">
      <w:pPr>
        <w:pStyle w:val="TOC2"/>
        <w:rPr>
          <w:rFonts w:asciiTheme="minorHAnsi" w:eastAsiaTheme="minorEastAsia" w:hAnsiTheme="minorHAnsi" w:cstheme="minorBidi"/>
          <w:spacing w:val="0"/>
          <w:sz w:val="22"/>
          <w:szCs w:val="22"/>
        </w:rPr>
      </w:pPr>
      <w:hyperlink w:anchor="_Toc126917759" w:history="1">
        <w:r w:rsidR="00907074" w:rsidRPr="00DC01D2">
          <w:rPr>
            <w:rStyle w:val="Hyperlink"/>
          </w:rPr>
          <w:t>Draft allocation instruments</w:t>
        </w:r>
        <w:r w:rsidR="00907074">
          <w:rPr>
            <w:webHidden/>
          </w:rPr>
          <w:tab/>
        </w:r>
        <w:r w:rsidR="00907074">
          <w:rPr>
            <w:webHidden/>
          </w:rPr>
          <w:fldChar w:fldCharType="begin"/>
        </w:r>
        <w:r w:rsidR="00907074">
          <w:rPr>
            <w:webHidden/>
          </w:rPr>
          <w:instrText xml:space="preserve"> PAGEREF _Toc126917759 \h </w:instrText>
        </w:r>
        <w:r w:rsidR="00907074">
          <w:rPr>
            <w:webHidden/>
          </w:rPr>
        </w:r>
        <w:r w:rsidR="00907074">
          <w:rPr>
            <w:webHidden/>
          </w:rPr>
          <w:fldChar w:fldCharType="separate"/>
        </w:r>
        <w:r w:rsidR="00907074">
          <w:rPr>
            <w:webHidden/>
          </w:rPr>
          <w:t>11</w:t>
        </w:r>
        <w:r w:rsidR="00907074">
          <w:rPr>
            <w:webHidden/>
          </w:rPr>
          <w:fldChar w:fldCharType="end"/>
        </w:r>
      </w:hyperlink>
    </w:p>
    <w:p w14:paraId="702DE39C" w14:textId="71AE0DE7" w:rsidR="00907074" w:rsidRDefault="00FC4B89">
      <w:pPr>
        <w:pStyle w:val="TOC2"/>
        <w:rPr>
          <w:rFonts w:asciiTheme="minorHAnsi" w:eastAsiaTheme="minorEastAsia" w:hAnsiTheme="minorHAnsi" w:cstheme="minorBidi"/>
          <w:spacing w:val="0"/>
          <w:sz w:val="22"/>
          <w:szCs w:val="22"/>
        </w:rPr>
      </w:pPr>
      <w:hyperlink w:anchor="_Toc126917760" w:history="1">
        <w:r w:rsidR="00907074" w:rsidRPr="00DC01D2">
          <w:rPr>
            <w:rStyle w:val="Hyperlink"/>
          </w:rPr>
          <w:t>Draft technical instruments</w:t>
        </w:r>
        <w:r w:rsidR="00907074">
          <w:rPr>
            <w:webHidden/>
          </w:rPr>
          <w:tab/>
        </w:r>
        <w:r w:rsidR="00907074">
          <w:rPr>
            <w:webHidden/>
          </w:rPr>
          <w:fldChar w:fldCharType="begin"/>
        </w:r>
        <w:r w:rsidR="00907074">
          <w:rPr>
            <w:webHidden/>
          </w:rPr>
          <w:instrText xml:space="preserve"> PAGEREF _Toc126917760 \h </w:instrText>
        </w:r>
        <w:r w:rsidR="00907074">
          <w:rPr>
            <w:webHidden/>
          </w:rPr>
        </w:r>
        <w:r w:rsidR="00907074">
          <w:rPr>
            <w:webHidden/>
          </w:rPr>
          <w:fldChar w:fldCharType="separate"/>
        </w:r>
        <w:r w:rsidR="00907074">
          <w:rPr>
            <w:webHidden/>
          </w:rPr>
          <w:t>12</w:t>
        </w:r>
        <w:r w:rsidR="00907074">
          <w:rPr>
            <w:webHidden/>
          </w:rPr>
          <w:fldChar w:fldCharType="end"/>
        </w:r>
      </w:hyperlink>
    </w:p>
    <w:p w14:paraId="2B81BA94" w14:textId="51FFFA27" w:rsidR="00907074" w:rsidRDefault="00FC4B89">
      <w:pPr>
        <w:pStyle w:val="TOC2"/>
        <w:rPr>
          <w:rFonts w:asciiTheme="minorHAnsi" w:eastAsiaTheme="minorEastAsia" w:hAnsiTheme="minorHAnsi" w:cstheme="minorBidi"/>
          <w:spacing w:val="0"/>
          <w:sz w:val="22"/>
          <w:szCs w:val="22"/>
        </w:rPr>
      </w:pPr>
      <w:hyperlink w:anchor="_Toc126917761" w:history="1">
        <w:r w:rsidR="00907074" w:rsidRPr="00DC01D2">
          <w:rPr>
            <w:rStyle w:val="Hyperlink"/>
          </w:rPr>
          <w:t>Background</w:t>
        </w:r>
        <w:r w:rsidR="00907074">
          <w:rPr>
            <w:webHidden/>
          </w:rPr>
          <w:tab/>
        </w:r>
        <w:r w:rsidR="00907074">
          <w:rPr>
            <w:webHidden/>
          </w:rPr>
          <w:fldChar w:fldCharType="begin"/>
        </w:r>
        <w:r w:rsidR="00907074">
          <w:rPr>
            <w:webHidden/>
          </w:rPr>
          <w:instrText xml:space="preserve"> PAGEREF _Toc126917761 \h </w:instrText>
        </w:r>
        <w:r w:rsidR="00907074">
          <w:rPr>
            <w:webHidden/>
          </w:rPr>
        </w:r>
        <w:r w:rsidR="00907074">
          <w:rPr>
            <w:webHidden/>
          </w:rPr>
          <w:fldChar w:fldCharType="separate"/>
        </w:r>
        <w:r w:rsidR="00907074">
          <w:rPr>
            <w:webHidden/>
          </w:rPr>
          <w:t>12</w:t>
        </w:r>
        <w:r w:rsidR="00907074">
          <w:rPr>
            <w:webHidden/>
          </w:rPr>
          <w:fldChar w:fldCharType="end"/>
        </w:r>
      </w:hyperlink>
    </w:p>
    <w:p w14:paraId="2ADF909D" w14:textId="2ACDEEB2" w:rsidR="00907074" w:rsidRDefault="00FC4B89">
      <w:pPr>
        <w:pStyle w:val="TOC2"/>
        <w:rPr>
          <w:rFonts w:asciiTheme="minorHAnsi" w:eastAsiaTheme="minorEastAsia" w:hAnsiTheme="minorHAnsi" w:cstheme="minorBidi"/>
          <w:spacing w:val="0"/>
          <w:sz w:val="22"/>
          <w:szCs w:val="22"/>
        </w:rPr>
      </w:pPr>
      <w:hyperlink w:anchor="_Toc126917762" w:history="1">
        <w:r w:rsidR="00907074" w:rsidRPr="00DC01D2">
          <w:rPr>
            <w:rStyle w:val="Hyperlink"/>
          </w:rPr>
          <w:t>Legislative context and policy environment</w:t>
        </w:r>
        <w:r w:rsidR="00907074">
          <w:rPr>
            <w:webHidden/>
          </w:rPr>
          <w:tab/>
        </w:r>
        <w:r w:rsidR="00907074">
          <w:rPr>
            <w:webHidden/>
          </w:rPr>
          <w:fldChar w:fldCharType="begin"/>
        </w:r>
        <w:r w:rsidR="00907074">
          <w:rPr>
            <w:webHidden/>
          </w:rPr>
          <w:instrText xml:space="preserve"> PAGEREF _Toc126917762 \h </w:instrText>
        </w:r>
        <w:r w:rsidR="00907074">
          <w:rPr>
            <w:webHidden/>
          </w:rPr>
        </w:r>
        <w:r w:rsidR="00907074">
          <w:rPr>
            <w:webHidden/>
          </w:rPr>
          <w:fldChar w:fldCharType="separate"/>
        </w:r>
        <w:r w:rsidR="00907074">
          <w:rPr>
            <w:webHidden/>
          </w:rPr>
          <w:t>15</w:t>
        </w:r>
        <w:r w:rsidR="00907074">
          <w:rPr>
            <w:webHidden/>
          </w:rPr>
          <w:fldChar w:fldCharType="end"/>
        </w:r>
      </w:hyperlink>
    </w:p>
    <w:p w14:paraId="5DBBB080" w14:textId="0DC54A52" w:rsidR="00907074" w:rsidRDefault="00FC4B89">
      <w:pPr>
        <w:pStyle w:val="TOC2"/>
        <w:rPr>
          <w:rFonts w:asciiTheme="minorHAnsi" w:eastAsiaTheme="minorEastAsia" w:hAnsiTheme="minorHAnsi" w:cstheme="minorBidi"/>
          <w:spacing w:val="0"/>
          <w:sz w:val="22"/>
          <w:szCs w:val="22"/>
        </w:rPr>
      </w:pPr>
      <w:hyperlink w:anchor="_Toc126917763" w:history="1">
        <w:r w:rsidR="00907074" w:rsidRPr="00DC01D2">
          <w:rPr>
            <w:rStyle w:val="Hyperlink"/>
          </w:rPr>
          <w:t>Indicative timeline and next steps</w:t>
        </w:r>
        <w:r w:rsidR="00907074">
          <w:rPr>
            <w:webHidden/>
          </w:rPr>
          <w:tab/>
        </w:r>
        <w:r w:rsidR="00907074">
          <w:rPr>
            <w:webHidden/>
          </w:rPr>
          <w:fldChar w:fldCharType="begin"/>
        </w:r>
        <w:r w:rsidR="00907074">
          <w:rPr>
            <w:webHidden/>
          </w:rPr>
          <w:instrText xml:space="preserve"> PAGEREF _Toc126917763 \h </w:instrText>
        </w:r>
        <w:r w:rsidR="00907074">
          <w:rPr>
            <w:webHidden/>
          </w:rPr>
        </w:r>
        <w:r w:rsidR="00907074">
          <w:rPr>
            <w:webHidden/>
          </w:rPr>
          <w:fldChar w:fldCharType="separate"/>
        </w:r>
        <w:r w:rsidR="00907074">
          <w:rPr>
            <w:webHidden/>
          </w:rPr>
          <w:t>16</w:t>
        </w:r>
        <w:r w:rsidR="00907074">
          <w:rPr>
            <w:webHidden/>
          </w:rPr>
          <w:fldChar w:fldCharType="end"/>
        </w:r>
      </w:hyperlink>
    </w:p>
    <w:p w14:paraId="046EF3B3" w14:textId="4CEDF618" w:rsidR="00907074" w:rsidRDefault="00FC4B89">
      <w:pPr>
        <w:pStyle w:val="TOC1"/>
        <w:tabs>
          <w:tab w:val="left" w:pos="885"/>
        </w:tabs>
        <w:rPr>
          <w:rFonts w:asciiTheme="minorHAnsi" w:eastAsiaTheme="minorEastAsia" w:hAnsiTheme="minorHAnsi" w:cstheme="minorBidi"/>
          <w:b w:val="0"/>
          <w:spacing w:val="0"/>
          <w:sz w:val="22"/>
          <w:szCs w:val="22"/>
        </w:rPr>
      </w:pPr>
      <w:hyperlink w:anchor="_Toc126917764" w:history="1">
        <w:r w:rsidR="00907074" w:rsidRPr="00DC01D2">
          <w:rPr>
            <w:rStyle w:val="Hyperlink"/>
          </w:rPr>
          <w:t>3.</w:t>
        </w:r>
        <w:r w:rsidR="00907074">
          <w:rPr>
            <w:rFonts w:asciiTheme="minorHAnsi" w:eastAsiaTheme="minorEastAsia" w:hAnsiTheme="minorHAnsi" w:cstheme="minorBidi"/>
            <w:b w:val="0"/>
            <w:spacing w:val="0"/>
            <w:sz w:val="22"/>
            <w:szCs w:val="22"/>
          </w:rPr>
          <w:tab/>
        </w:r>
        <w:r w:rsidR="00907074" w:rsidRPr="00DC01D2">
          <w:rPr>
            <w:rStyle w:val="Hyperlink"/>
          </w:rPr>
          <w:t>Draft marketing plan</w:t>
        </w:r>
        <w:r w:rsidR="00907074">
          <w:rPr>
            <w:webHidden/>
          </w:rPr>
          <w:tab/>
        </w:r>
        <w:r w:rsidR="00907074">
          <w:rPr>
            <w:webHidden/>
          </w:rPr>
          <w:fldChar w:fldCharType="begin"/>
        </w:r>
        <w:r w:rsidR="00907074">
          <w:rPr>
            <w:webHidden/>
          </w:rPr>
          <w:instrText xml:space="preserve"> PAGEREF _Toc126917764 \h </w:instrText>
        </w:r>
        <w:r w:rsidR="00907074">
          <w:rPr>
            <w:webHidden/>
          </w:rPr>
        </w:r>
        <w:r w:rsidR="00907074">
          <w:rPr>
            <w:webHidden/>
          </w:rPr>
          <w:fldChar w:fldCharType="separate"/>
        </w:r>
        <w:r w:rsidR="00907074">
          <w:rPr>
            <w:webHidden/>
          </w:rPr>
          <w:t>18</w:t>
        </w:r>
        <w:r w:rsidR="00907074">
          <w:rPr>
            <w:webHidden/>
          </w:rPr>
          <w:fldChar w:fldCharType="end"/>
        </w:r>
      </w:hyperlink>
    </w:p>
    <w:p w14:paraId="2F87BB4C" w14:textId="748A0782" w:rsidR="00907074" w:rsidRDefault="00FC4B89">
      <w:pPr>
        <w:pStyle w:val="TOC2"/>
        <w:rPr>
          <w:rFonts w:asciiTheme="minorHAnsi" w:eastAsiaTheme="minorEastAsia" w:hAnsiTheme="minorHAnsi" w:cstheme="minorBidi"/>
          <w:spacing w:val="0"/>
          <w:sz w:val="22"/>
          <w:szCs w:val="22"/>
        </w:rPr>
      </w:pPr>
      <w:hyperlink w:anchor="_Toc126917765" w:history="1">
        <w:r w:rsidR="00907074" w:rsidRPr="00DC01D2">
          <w:rPr>
            <w:rStyle w:val="Hyperlink"/>
          </w:rPr>
          <w:t>Spectrum licences</w:t>
        </w:r>
        <w:r w:rsidR="00907074">
          <w:rPr>
            <w:webHidden/>
          </w:rPr>
          <w:tab/>
        </w:r>
        <w:r w:rsidR="00907074">
          <w:rPr>
            <w:webHidden/>
          </w:rPr>
          <w:fldChar w:fldCharType="begin"/>
        </w:r>
        <w:r w:rsidR="00907074">
          <w:rPr>
            <w:webHidden/>
          </w:rPr>
          <w:instrText xml:space="preserve"> PAGEREF _Toc126917765 \h </w:instrText>
        </w:r>
        <w:r w:rsidR="00907074">
          <w:rPr>
            <w:webHidden/>
          </w:rPr>
        </w:r>
        <w:r w:rsidR="00907074">
          <w:rPr>
            <w:webHidden/>
          </w:rPr>
          <w:fldChar w:fldCharType="separate"/>
        </w:r>
        <w:r w:rsidR="00907074">
          <w:rPr>
            <w:webHidden/>
          </w:rPr>
          <w:t>18</w:t>
        </w:r>
        <w:r w:rsidR="00907074">
          <w:rPr>
            <w:webHidden/>
          </w:rPr>
          <w:fldChar w:fldCharType="end"/>
        </w:r>
      </w:hyperlink>
    </w:p>
    <w:p w14:paraId="05291EF7" w14:textId="497265F4" w:rsidR="00907074" w:rsidRDefault="00FC4B89">
      <w:pPr>
        <w:pStyle w:val="TOC2"/>
        <w:rPr>
          <w:rFonts w:asciiTheme="minorHAnsi" w:eastAsiaTheme="minorEastAsia" w:hAnsiTheme="minorHAnsi" w:cstheme="minorBidi"/>
          <w:spacing w:val="0"/>
          <w:sz w:val="22"/>
          <w:szCs w:val="22"/>
        </w:rPr>
      </w:pPr>
      <w:hyperlink w:anchor="_Toc126917766" w:history="1">
        <w:r w:rsidR="00907074" w:rsidRPr="00DC01D2">
          <w:rPr>
            <w:rStyle w:val="Hyperlink"/>
          </w:rPr>
          <w:t>Lot configuration</w:t>
        </w:r>
        <w:r w:rsidR="00907074">
          <w:rPr>
            <w:webHidden/>
          </w:rPr>
          <w:tab/>
        </w:r>
        <w:r w:rsidR="00907074">
          <w:rPr>
            <w:webHidden/>
          </w:rPr>
          <w:fldChar w:fldCharType="begin"/>
        </w:r>
        <w:r w:rsidR="00907074">
          <w:rPr>
            <w:webHidden/>
          </w:rPr>
          <w:instrText xml:space="preserve"> PAGEREF _Toc126917766 \h </w:instrText>
        </w:r>
        <w:r w:rsidR="00907074">
          <w:rPr>
            <w:webHidden/>
          </w:rPr>
        </w:r>
        <w:r w:rsidR="00907074">
          <w:rPr>
            <w:webHidden/>
          </w:rPr>
          <w:fldChar w:fldCharType="separate"/>
        </w:r>
        <w:r w:rsidR="00907074">
          <w:rPr>
            <w:webHidden/>
          </w:rPr>
          <w:t>23</w:t>
        </w:r>
        <w:r w:rsidR="00907074">
          <w:rPr>
            <w:webHidden/>
          </w:rPr>
          <w:fldChar w:fldCharType="end"/>
        </w:r>
      </w:hyperlink>
    </w:p>
    <w:p w14:paraId="1595A0BB" w14:textId="6BB7FA8C" w:rsidR="00907074" w:rsidRDefault="00FC4B89">
      <w:pPr>
        <w:pStyle w:val="TOC2"/>
        <w:rPr>
          <w:rFonts w:asciiTheme="minorHAnsi" w:eastAsiaTheme="minorEastAsia" w:hAnsiTheme="minorHAnsi" w:cstheme="minorBidi"/>
          <w:spacing w:val="0"/>
          <w:sz w:val="22"/>
          <w:szCs w:val="22"/>
        </w:rPr>
      </w:pPr>
      <w:hyperlink w:anchor="_Toc126917767" w:history="1">
        <w:r w:rsidR="00907074" w:rsidRPr="00DC01D2">
          <w:rPr>
            <w:rStyle w:val="Hyperlink"/>
          </w:rPr>
          <w:t>Products</w:t>
        </w:r>
        <w:r w:rsidR="00907074">
          <w:rPr>
            <w:webHidden/>
          </w:rPr>
          <w:tab/>
        </w:r>
        <w:r w:rsidR="00907074">
          <w:rPr>
            <w:webHidden/>
          </w:rPr>
          <w:fldChar w:fldCharType="begin"/>
        </w:r>
        <w:r w:rsidR="00907074">
          <w:rPr>
            <w:webHidden/>
          </w:rPr>
          <w:instrText xml:space="preserve"> PAGEREF _Toc126917767 \h </w:instrText>
        </w:r>
        <w:r w:rsidR="00907074">
          <w:rPr>
            <w:webHidden/>
          </w:rPr>
        </w:r>
        <w:r w:rsidR="00907074">
          <w:rPr>
            <w:webHidden/>
          </w:rPr>
          <w:fldChar w:fldCharType="separate"/>
        </w:r>
        <w:r w:rsidR="00907074">
          <w:rPr>
            <w:webHidden/>
          </w:rPr>
          <w:t>37</w:t>
        </w:r>
        <w:r w:rsidR="00907074">
          <w:rPr>
            <w:webHidden/>
          </w:rPr>
          <w:fldChar w:fldCharType="end"/>
        </w:r>
      </w:hyperlink>
    </w:p>
    <w:p w14:paraId="2843E5D9" w14:textId="6BD4F29B" w:rsidR="00907074" w:rsidRDefault="00FC4B89">
      <w:pPr>
        <w:pStyle w:val="TOC1"/>
        <w:tabs>
          <w:tab w:val="left" w:pos="885"/>
        </w:tabs>
        <w:rPr>
          <w:rFonts w:asciiTheme="minorHAnsi" w:eastAsiaTheme="minorEastAsia" w:hAnsiTheme="minorHAnsi" w:cstheme="minorBidi"/>
          <w:b w:val="0"/>
          <w:spacing w:val="0"/>
          <w:sz w:val="22"/>
          <w:szCs w:val="22"/>
        </w:rPr>
      </w:pPr>
      <w:hyperlink w:anchor="_Toc126917768" w:history="1">
        <w:r w:rsidR="00907074" w:rsidRPr="00DC01D2">
          <w:rPr>
            <w:rStyle w:val="Hyperlink"/>
          </w:rPr>
          <w:t>4.</w:t>
        </w:r>
        <w:r w:rsidR="00907074">
          <w:rPr>
            <w:rFonts w:asciiTheme="minorHAnsi" w:eastAsiaTheme="minorEastAsia" w:hAnsiTheme="minorHAnsi" w:cstheme="minorBidi"/>
            <w:b w:val="0"/>
            <w:spacing w:val="0"/>
            <w:sz w:val="22"/>
            <w:szCs w:val="22"/>
          </w:rPr>
          <w:tab/>
        </w:r>
        <w:r w:rsidR="00907074" w:rsidRPr="00DC01D2">
          <w:rPr>
            <w:rStyle w:val="Hyperlink"/>
          </w:rPr>
          <w:t>Draft allocation determination</w:t>
        </w:r>
        <w:r w:rsidR="00907074">
          <w:rPr>
            <w:webHidden/>
          </w:rPr>
          <w:tab/>
        </w:r>
        <w:r w:rsidR="00907074">
          <w:rPr>
            <w:webHidden/>
          </w:rPr>
          <w:fldChar w:fldCharType="begin"/>
        </w:r>
        <w:r w:rsidR="00907074">
          <w:rPr>
            <w:webHidden/>
          </w:rPr>
          <w:instrText xml:space="preserve"> PAGEREF _Toc126917768 \h </w:instrText>
        </w:r>
        <w:r w:rsidR="00907074">
          <w:rPr>
            <w:webHidden/>
          </w:rPr>
        </w:r>
        <w:r w:rsidR="00907074">
          <w:rPr>
            <w:webHidden/>
          </w:rPr>
          <w:fldChar w:fldCharType="separate"/>
        </w:r>
        <w:r w:rsidR="00907074">
          <w:rPr>
            <w:webHidden/>
          </w:rPr>
          <w:t>38</w:t>
        </w:r>
        <w:r w:rsidR="00907074">
          <w:rPr>
            <w:webHidden/>
          </w:rPr>
          <w:fldChar w:fldCharType="end"/>
        </w:r>
      </w:hyperlink>
    </w:p>
    <w:p w14:paraId="4FD58D59" w14:textId="5E39741C" w:rsidR="00907074" w:rsidRDefault="00FC4B89">
      <w:pPr>
        <w:pStyle w:val="TOC2"/>
        <w:rPr>
          <w:rFonts w:asciiTheme="minorHAnsi" w:eastAsiaTheme="minorEastAsia" w:hAnsiTheme="minorHAnsi" w:cstheme="minorBidi"/>
          <w:spacing w:val="0"/>
          <w:sz w:val="22"/>
          <w:szCs w:val="22"/>
        </w:rPr>
      </w:pPr>
      <w:hyperlink w:anchor="_Toc126917769" w:history="1">
        <w:r w:rsidR="00907074" w:rsidRPr="00DC01D2">
          <w:rPr>
            <w:rStyle w:val="Hyperlink"/>
          </w:rPr>
          <w:t>Allocation methodology</w:t>
        </w:r>
        <w:r w:rsidR="00907074">
          <w:rPr>
            <w:webHidden/>
          </w:rPr>
          <w:tab/>
        </w:r>
        <w:r w:rsidR="00907074">
          <w:rPr>
            <w:webHidden/>
          </w:rPr>
          <w:fldChar w:fldCharType="begin"/>
        </w:r>
        <w:r w:rsidR="00907074">
          <w:rPr>
            <w:webHidden/>
          </w:rPr>
          <w:instrText xml:space="preserve"> PAGEREF _Toc126917769 \h </w:instrText>
        </w:r>
        <w:r w:rsidR="00907074">
          <w:rPr>
            <w:webHidden/>
          </w:rPr>
        </w:r>
        <w:r w:rsidR="00907074">
          <w:rPr>
            <w:webHidden/>
          </w:rPr>
          <w:fldChar w:fldCharType="separate"/>
        </w:r>
        <w:r w:rsidR="00907074">
          <w:rPr>
            <w:webHidden/>
          </w:rPr>
          <w:t>38</w:t>
        </w:r>
        <w:r w:rsidR="00907074">
          <w:rPr>
            <w:webHidden/>
          </w:rPr>
          <w:fldChar w:fldCharType="end"/>
        </w:r>
      </w:hyperlink>
    </w:p>
    <w:p w14:paraId="4E9C6F2A" w14:textId="5F231D5C" w:rsidR="00907074" w:rsidRDefault="00FC4B89">
      <w:pPr>
        <w:pStyle w:val="TOC2"/>
        <w:rPr>
          <w:rFonts w:asciiTheme="minorHAnsi" w:eastAsiaTheme="minorEastAsia" w:hAnsiTheme="minorHAnsi" w:cstheme="minorBidi"/>
          <w:spacing w:val="0"/>
          <w:sz w:val="22"/>
          <w:szCs w:val="22"/>
        </w:rPr>
      </w:pPr>
      <w:hyperlink w:anchor="_Toc126917770" w:history="1">
        <w:r w:rsidR="00907074" w:rsidRPr="00DC01D2">
          <w:rPr>
            <w:rStyle w:val="Hyperlink"/>
          </w:rPr>
          <w:t>Auction rules</w:t>
        </w:r>
        <w:r w:rsidR="00907074">
          <w:rPr>
            <w:webHidden/>
          </w:rPr>
          <w:tab/>
        </w:r>
        <w:r w:rsidR="00907074">
          <w:rPr>
            <w:webHidden/>
          </w:rPr>
          <w:fldChar w:fldCharType="begin"/>
        </w:r>
        <w:r w:rsidR="00907074">
          <w:rPr>
            <w:webHidden/>
          </w:rPr>
          <w:instrText xml:space="preserve"> PAGEREF _Toc126917770 \h </w:instrText>
        </w:r>
        <w:r w:rsidR="00907074">
          <w:rPr>
            <w:webHidden/>
          </w:rPr>
        </w:r>
        <w:r w:rsidR="00907074">
          <w:rPr>
            <w:webHidden/>
          </w:rPr>
          <w:fldChar w:fldCharType="separate"/>
        </w:r>
        <w:r w:rsidR="00907074">
          <w:rPr>
            <w:webHidden/>
          </w:rPr>
          <w:t>46</w:t>
        </w:r>
        <w:r w:rsidR="00907074">
          <w:rPr>
            <w:webHidden/>
          </w:rPr>
          <w:fldChar w:fldCharType="end"/>
        </w:r>
      </w:hyperlink>
    </w:p>
    <w:p w14:paraId="6261844F" w14:textId="3D9F93C2" w:rsidR="00907074" w:rsidRDefault="00FC4B89">
      <w:pPr>
        <w:pStyle w:val="TOC2"/>
        <w:rPr>
          <w:rFonts w:asciiTheme="minorHAnsi" w:eastAsiaTheme="minorEastAsia" w:hAnsiTheme="minorHAnsi" w:cstheme="minorBidi"/>
          <w:spacing w:val="0"/>
          <w:sz w:val="22"/>
          <w:szCs w:val="22"/>
        </w:rPr>
      </w:pPr>
      <w:hyperlink w:anchor="_Toc126917771" w:history="1">
        <w:r w:rsidR="00907074" w:rsidRPr="00DC01D2">
          <w:rPr>
            <w:rStyle w:val="Hyperlink"/>
          </w:rPr>
          <w:t>Allocation limits</w:t>
        </w:r>
        <w:r w:rsidR="00907074">
          <w:rPr>
            <w:webHidden/>
          </w:rPr>
          <w:tab/>
        </w:r>
        <w:r w:rsidR="00907074">
          <w:rPr>
            <w:webHidden/>
          </w:rPr>
          <w:fldChar w:fldCharType="begin"/>
        </w:r>
        <w:r w:rsidR="00907074">
          <w:rPr>
            <w:webHidden/>
          </w:rPr>
          <w:instrText xml:space="preserve"> PAGEREF _Toc126917771 \h </w:instrText>
        </w:r>
        <w:r w:rsidR="00907074">
          <w:rPr>
            <w:webHidden/>
          </w:rPr>
        </w:r>
        <w:r w:rsidR="00907074">
          <w:rPr>
            <w:webHidden/>
          </w:rPr>
          <w:fldChar w:fldCharType="separate"/>
        </w:r>
        <w:r w:rsidR="00907074">
          <w:rPr>
            <w:webHidden/>
          </w:rPr>
          <w:t>49</w:t>
        </w:r>
        <w:r w:rsidR="00907074">
          <w:rPr>
            <w:webHidden/>
          </w:rPr>
          <w:fldChar w:fldCharType="end"/>
        </w:r>
      </w:hyperlink>
    </w:p>
    <w:p w14:paraId="521DB3AC" w14:textId="5A38B5BC" w:rsidR="00907074" w:rsidRDefault="00FC4B89">
      <w:pPr>
        <w:pStyle w:val="TOC2"/>
        <w:rPr>
          <w:rFonts w:asciiTheme="minorHAnsi" w:eastAsiaTheme="minorEastAsia" w:hAnsiTheme="minorHAnsi" w:cstheme="minorBidi"/>
          <w:spacing w:val="0"/>
          <w:sz w:val="22"/>
          <w:szCs w:val="22"/>
        </w:rPr>
      </w:pPr>
      <w:hyperlink w:anchor="_Toc126917772" w:history="1">
        <w:r w:rsidR="00907074" w:rsidRPr="00DC01D2">
          <w:rPr>
            <w:rStyle w:val="Hyperlink"/>
          </w:rPr>
          <w:t>Application and registration process</w:t>
        </w:r>
        <w:r w:rsidR="00907074">
          <w:rPr>
            <w:webHidden/>
          </w:rPr>
          <w:tab/>
        </w:r>
        <w:r w:rsidR="00907074">
          <w:rPr>
            <w:webHidden/>
          </w:rPr>
          <w:fldChar w:fldCharType="begin"/>
        </w:r>
        <w:r w:rsidR="00907074">
          <w:rPr>
            <w:webHidden/>
          </w:rPr>
          <w:instrText xml:space="preserve"> PAGEREF _Toc126917772 \h </w:instrText>
        </w:r>
        <w:r w:rsidR="00907074">
          <w:rPr>
            <w:webHidden/>
          </w:rPr>
        </w:r>
        <w:r w:rsidR="00907074">
          <w:rPr>
            <w:webHidden/>
          </w:rPr>
          <w:fldChar w:fldCharType="separate"/>
        </w:r>
        <w:r w:rsidR="00907074">
          <w:rPr>
            <w:webHidden/>
          </w:rPr>
          <w:t>64</w:t>
        </w:r>
        <w:r w:rsidR="00907074">
          <w:rPr>
            <w:webHidden/>
          </w:rPr>
          <w:fldChar w:fldCharType="end"/>
        </w:r>
      </w:hyperlink>
    </w:p>
    <w:p w14:paraId="5882B9AE" w14:textId="43BBCAE6" w:rsidR="00907074" w:rsidRDefault="00FC4B89">
      <w:pPr>
        <w:pStyle w:val="TOC2"/>
        <w:rPr>
          <w:rFonts w:asciiTheme="minorHAnsi" w:eastAsiaTheme="minorEastAsia" w:hAnsiTheme="minorHAnsi" w:cstheme="minorBidi"/>
          <w:spacing w:val="0"/>
          <w:sz w:val="22"/>
          <w:szCs w:val="22"/>
        </w:rPr>
      </w:pPr>
      <w:hyperlink w:anchor="_Toc126917773" w:history="1">
        <w:r w:rsidR="00907074" w:rsidRPr="00DC01D2">
          <w:rPr>
            <w:rStyle w:val="Hyperlink"/>
          </w:rPr>
          <w:t>Lot ratings and starting prices</w:t>
        </w:r>
        <w:r w:rsidR="00907074">
          <w:rPr>
            <w:webHidden/>
          </w:rPr>
          <w:tab/>
        </w:r>
        <w:r w:rsidR="00907074">
          <w:rPr>
            <w:webHidden/>
          </w:rPr>
          <w:fldChar w:fldCharType="begin"/>
        </w:r>
        <w:r w:rsidR="00907074">
          <w:rPr>
            <w:webHidden/>
          </w:rPr>
          <w:instrText xml:space="preserve"> PAGEREF _Toc126917773 \h </w:instrText>
        </w:r>
        <w:r w:rsidR="00907074">
          <w:rPr>
            <w:webHidden/>
          </w:rPr>
        </w:r>
        <w:r w:rsidR="00907074">
          <w:rPr>
            <w:webHidden/>
          </w:rPr>
          <w:fldChar w:fldCharType="separate"/>
        </w:r>
        <w:r w:rsidR="00907074">
          <w:rPr>
            <w:webHidden/>
          </w:rPr>
          <w:t>68</w:t>
        </w:r>
        <w:r w:rsidR="00907074">
          <w:rPr>
            <w:webHidden/>
          </w:rPr>
          <w:fldChar w:fldCharType="end"/>
        </w:r>
      </w:hyperlink>
    </w:p>
    <w:p w14:paraId="2A1A2D24" w14:textId="62E0A439" w:rsidR="00907074" w:rsidRDefault="00FC4B89">
      <w:pPr>
        <w:pStyle w:val="TOC2"/>
        <w:rPr>
          <w:rFonts w:asciiTheme="minorHAnsi" w:eastAsiaTheme="minorEastAsia" w:hAnsiTheme="minorHAnsi" w:cstheme="minorBidi"/>
          <w:spacing w:val="0"/>
          <w:sz w:val="22"/>
          <w:szCs w:val="22"/>
        </w:rPr>
      </w:pPr>
      <w:hyperlink w:anchor="_Toc126917774" w:history="1">
        <w:r w:rsidR="00907074" w:rsidRPr="00DC01D2">
          <w:rPr>
            <w:rStyle w:val="Hyperlink"/>
          </w:rPr>
          <w:t>Payment terms</w:t>
        </w:r>
        <w:r w:rsidR="00907074">
          <w:rPr>
            <w:webHidden/>
          </w:rPr>
          <w:tab/>
        </w:r>
        <w:r w:rsidR="00907074">
          <w:rPr>
            <w:webHidden/>
          </w:rPr>
          <w:fldChar w:fldCharType="begin"/>
        </w:r>
        <w:r w:rsidR="00907074">
          <w:rPr>
            <w:webHidden/>
          </w:rPr>
          <w:instrText xml:space="preserve"> PAGEREF _Toc126917774 \h </w:instrText>
        </w:r>
        <w:r w:rsidR="00907074">
          <w:rPr>
            <w:webHidden/>
          </w:rPr>
        </w:r>
        <w:r w:rsidR="00907074">
          <w:rPr>
            <w:webHidden/>
          </w:rPr>
          <w:fldChar w:fldCharType="separate"/>
        </w:r>
        <w:r w:rsidR="00907074">
          <w:rPr>
            <w:webHidden/>
          </w:rPr>
          <w:t>69</w:t>
        </w:r>
        <w:r w:rsidR="00907074">
          <w:rPr>
            <w:webHidden/>
          </w:rPr>
          <w:fldChar w:fldCharType="end"/>
        </w:r>
      </w:hyperlink>
    </w:p>
    <w:p w14:paraId="49428B41" w14:textId="412F9AFF" w:rsidR="00907074" w:rsidRDefault="00FC4B89">
      <w:pPr>
        <w:pStyle w:val="TOC2"/>
        <w:rPr>
          <w:rFonts w:asciiTheme="minorHAnsi" w:eastAsiaTheme="minorEastAsia" w:hAnsiTheme="minorHAnsi" w:cstheme="minorBidi"/>
          <w:spacing w:val="0"/>
          <w:sz w:val="22"/>
          <w:szCs w:val="22"/>
        </w:rPr>
      </w:pPr>
      <w:hyperlink w:anchor="_Toc126917775" w:history="1">
        <w:r w:rsidR="00907074" w:rsidRPr="00DC01D2">
          <w:rPr>
            <w:rStyle w:val="Hyperlink"/>
          </w:rPr>
          <w:t>Unsold lots</w:t>
        </w:r>
        <w:r w:rsidR="00907074">
          <w:rPr>
            <w:webHidden/>
          </w:rPr>
          <w:tab/>
        </w:r>
        <w:r w:rsidR="00907074">
          <w:rPr>
            <w:webHidden/>
          </w:rPr>
          <w:fldChar w:fldCharType="begin"/>
        </w:r>
        <w:r w:rsidR="00907074">
          <w:rPr>
            <w:webHidden/>
          </w:rPr>
          <w:instrText xml:space="preserve"> PAGEREF _Toc126917775 \h </w:instrText>
        </w:r>
        <w:r w:rsidR="00907074">
          <w:rPr>
            <w:webHidden/>
          </w:rPr>
        </w:r>
        <w:r w:rsidR="00907074">
          <w:rPr>
            <w:webHidden/>
          </w:rPr>
          <w:fldChar w:fldCharType="separate"/>
        </w:r>
        <w:r w:rsidR="00907074">
          <w:rPr>
            <w:webHidden/>
          </w:rPr>
          <w:t>70</w:t>
        </w:r>
        <w:r w:rsidR="00907074">
          <w:rPr>
            <w:webHidden/>
          </w:rPr>
          <w:fldChar w:fldCharType="end"/>
        </w:r>
      </w:hyperlink>
    </w:p>
    <w:p w14:paraId="18E519E7" w14:textId="50362D3B" w:rsidR="00907074" w:rsidRDefault="00FC4B89">
      <w:pPr>
        <w:pStyle w:val="TOC1"/>
        <w:tabs>
          <w:tab w:val="left" w:pos="885"/>
        </w:tabs>
        <w:rPr>
          <w:rFonts w:asciiTheme="minorHAnsi" w:eastAsiaTheme="minorEastAsia" w:hAnsiTheme="minorHAnsi" w:cstheme="minorBidi"/>
          <w:b w:val="0"/>
          <w:spacing w:val="0"/>
          <w:sz w:val="22"/>
          <w:szCs w:val="22"/>
        </w:rPr>
      </w:pPr>
      <w:hyperlink w:anchor="_Toc126917776" w:history="1">
        <w:r w:rsidR="00907074" w:rsidRPr="00DC01D2">
          <w:rPr>
            <w:rStyle w:val="Hyperlink"/>
          </w:rPr>
          <w:t>5.</w:t>
        </w:r>
        <w:r w:rsidR="00907074">
          <w:rPr>
            <w:rFonts w:asciiTheme="minorHAnsi" w:eastAsiaTheme="minorEastAsia" w:hAnsiTheme="minorHAnsi" w:cstheme="minorBidi"/>
            <w:b w:val="0"/>
            <w:spacing w:val="0"/>
            <w:sz w:val="22"/>
            <w:szCs w:val="22"/>
          </w:rPr>
          <w:tab/>
        </w:r>
        <w:r w:rsidR="00907074" w:rsidRPr="00DC01D2">
          <w:rPr>
            <w:rStyle w:val="Hyperlink"/>
          </w:rPr>
          <w:t>Draft technical framework</w:t>
        </w:r>
        <w:r w:rsidR="00907074">
          <w:rPr>
            <w:webHidden/>
          </w:rPr>
          <w:tab/>
        </w:r>
        <w:r w:rsidR="00907074">
          <w:rPr>
            <w:webHidden/>
          </w:rPr>
          <w:fldChar w:fldCharType="begin"/>
        </w:r>
        <w:r w:rsidR="00907074">
          <w:rPr>
            <w:webHidden/>
          </w:rPr>
          <w:instrText xml:space="preserve"> PAGEREF _Toc126917776 \h </w:instrText>
        </w:r>
        <w:r w:rsidR="00907074">
          <w:rPr>
            <w:webHidden/>
          </w:rPr>
        </w:r>
        <w:r w:rsidR="00907074">
          <w:rPr>
            <w:webHidden/>
          </w:rPr>
          <w:fldChar w:fldCharType="separate"/>
        </w:r>
        <w:r w:rsidR="00907074">
          <w:rPr>
            <w:webHidden/>
          </w:rPr>
          <w:t>71</w:t>
        </w:r>
        <w:r w:rsidR="00907074">
          <w:rPr>
            <w:webHidden/>
          </w:rPr>
          <w:fldChar w:fldCharType="end"/>
        </w:r>
      </w:hyperlink>
    </w:p>
    <w:p w14:paraId="281F6BDE" w14:textId="2A8603FC" w:rsidR="00907074" w:rsidRDefault="00FC4B89">
      <w:pPr>
        <w:pStyle w:val="TOC2"/>
        <w:rPr>
          <w:rFonts w:asciiTheme="minorHAnsi" w:eastAsiaTheme="minorEastAsia" w:hAnsiTheme="minorHAnsi" w:cstheme="minorBidi"/>
          <w:spacing w:val="0"/>
          <w:sz w:val="22"/>
          <w:szCs w:val="22"/>
        </w:rPr>
      </w:pPr>
      <w:hyperlink w:anchor="_Toc126917777" w:history="1">
        <w:r w:rsidR="00907074" w:rsidRPr="00DC01D2">
          <w:rPr>
            <w:rStyle w:val="Hyperlink"/>
          </w:rPr>
          <w:t>Elements of a spectrum licensing technical framework</w:t>
        </w:r>
        <w:r w:rsidR="00907074">
          <w:rPr>
            <w:webHidden/>
          </w:rPr>
          <w:tab/>
        </w:r>
        <w:r w:rsidR="00907074">
          <w:rPr>
            <w:webHidden/>
          </w:rPr>
          <w:fldChar w:fldCharType="begin"/>
        </w:r>
        <w:r w:rsidR="00907074">
          <w:rPr>
            <w:webHidden/>
          </w:rPr>
          <w:instrText xml:space="preserve"> PAGEREF _Toc126917777 \h </w:instrText>
        </w:r>
        <w:r w:rsidR="00907074">
          <w:rPr>
            <w:webHidden/>
          </w:rPr>
        </w:r>
        <w:r w:rsidR="00907074">
          <w:rPr>
            <w:webHidden/>
          </w:rPr>
          <w:fldChar w:fldCharType="separate"/>
        </w:r>
        <w:r w:rsidR="00907074">
          <w:rPr>
            <w:webHidden/>
          </w:rPr>
          <w:t>71</w:t>
        </w:r>
        <w:r w:rsidR="00907074">
          <w:rPr>
            <w:webHidden/>
          </w:rPr>
          <w:fldChar w:fldCharType="end"/>
        </w:r>
      </w:hyperlink>
    </w:p>
    <w:p w14:paraId="5879D8EC" w14:textId="0EEB4C43" w:rsidR="00907074" w:rsidRDefault="00FC4B89">
      <w:pPr>
        <w:pStyle w:val="TOC2"/>
        <w:rPr>
          <w:rFonts w:asciiTheme="minorHAnsi" w:eastAsiaTheme="minorEastAsia" w:hAnsiTheme="minorHAnsi" w:cstheme="minorBidi"/>
          <w:spacing w:val="0"/>
          <w:sz w:val="22"/>
          <w:szCs w:val="22"/>
        </w:rPr>
      </w:pPr>
      <w:hyperlink w:anchor="_Toc126917778" w:history="1">
        <w:r w:rsidR="00907074" w:rsidRPr="00DC01D2">
          <w:rPr>
            <w:rStyle w:val="Hyperlink"/>
          </w:rPr>
          <w:t>3.4 GHz Technical Liaison Group</w:t>
        </w:r>
        <w:r w:rsidR="00907074">
          <w:rPr>
            <w:webHidden/>
          </w:rPr>
          <w:tab/>
        </w:r>
        <w:r w:rsidR="00907074">
          <w:rPr>
            <w:webHidden/>
          </w:rPr>
          <w:fldChar w:fldCharType="begin"/>
        </w:r>
        <w:r w:rsidR="00907074">
          <w:rPr>
            <w:webHidden/>
          </w:rPr>
          <w:instrText xml:space="preserve"> PAGEREF _Toc126917778 \h </w:instrText>
        </w:r>
        <w:r w:rsidR="00907074">
          <w:rPr>
            <w:webHidden/>
          </w:rPr>
        </w:r>
        <w:r w:rsidR="00907074">
          <w:rPr>
            <w:webHidden/>
          </w:rPr>
          <w:fldChar w:fldCharType="separate"/>
        </w:r>
        <w:r w:rsidR="00907074">
          <w:rPr>
            <w:webHidden/>
          </w:rPr>
          <w:t>71</w:t>
        </w:r>
        <w:r w:rsidR="00907074">
          <w:rPr>
            <w:webHidden/>
          </w:rPr>
          <w:fldChar w:fldCharType="end"/>
        </w:r>
      </w:hyperlink>
    </w:p>
    <w:p w14:paraId="5583B531" w14:textId="28C1207E" w:rsidR="00907074" w:rsidRDefault="00FC4B89">
      <w:pPr>
        <w:pStyle w:val="TOC2"/>
        <w:rPr>
          <w:rFonts w:asciiTheme="minorHAnsi" w:eastAsiaTheme="minorEastAsia" w:hAnsiTheme="minorHAnsi" w:cstheme="minorBidi"/>
          <w:spacing w:val="0"/>
          <w:sz w:val="22"/>
          <w:szCs w:val="22"/>
        </w:rPr>
      </w:pPr>
      <w:hyperlink w:anchor="_Toc126917779" w:history="1">
        <w:r w:rsidR="00907074" w:rsidRPr="00DC01D2">
          <w:rPr>
            <w:rStyle w:val="Hyperlink"/>
          </w:rPr>
          <w:t>Draft technical framework elements</w:t>
        </w:r>
        <w:r w:rsidR="00907074">
          <w:rPr>
            <w:webHidden/>
          </w:rPr>
          <w:tab/>
        </w:r>
        <w:r w:rsidR="00907074">
          <w:rPr>
            <w:webHidden/>
          </w:rPr>
          <w:fldChar w:fldCharType="begin"/>
        </w:r>
        <w:r w:rsidR="00907074">
          <w:rPr>
            <w:webHidden/>
          </w:rPr>
          <w:instrText xml:space="preserve"> PAGEREF _Toc126917779 \h </w:instrText>
        </w:r>
        <w:r w:rsidR="00907074">
          <w:rPr>
            <w:webHidden/>
          </w:rPr>
        </w:r>
        <w:r w:rsidR="00907074">
          <w:rPr>
            <w:webHidden/>
          </w:rPr>
          <w:fldChar w:fldCharType="separate"/>
        </w:r>
        <w:r w:rsidR="00907074">
          <w:rPr>
            <w:webHidden/>
          </w:rPr>
          <w:t>71</w:t>
        </w:r>
        <w:r w:rsidR="00907074">
          <w:rPr>
            <w:webHidden/>
          </w:rPr>
          <w:fldChar w:fldCharType="end"/>
        </w:r>
      </w:hyperlink>
    </w:p>
    <w:p w14:paraId="38CB0260" w14:textId="25CD656E" w:rsidR="00907074" w:rsidRDefault="00FC4B89">
      <w:pPr>
        <w:pStyle w:val="TOC2"/>
        <w:rPr>
          <w:rFonts w:asciiTheme="minorHAnsi" w:eastAsiaTheme="minorEastAsia" w:hAnsiTheme="minorHAnsi" w:cstheme="minorBidi"/>
          <w:spacing w:val="0"/>
          <w:sz w:val="22"/>
          <w:szCs w:val="22"/>
        </w:rPr>
      </w:pPr>
      <w:hyperlink w:anchor="_Toc126917780" w:history="1">
        <w:r w:rsidR="00907074" w:rsidRPr="00DC01D2">
          <w:rPr>
            <w:rStyle w:val="Hyperlink"/>
          </w:rPr>
          <w:t>Summary of general or common amendments</w:t>
        </w:r>
        <w:r w:rsidR="00907074">
          <w:rPr>
            <w:webHidden/>
          </w:rPr>
          <w:tab/>
        </w:r>
        <w:r w:rsidR="00907074">
          <w:rPr>
            <w:webHidden/>
          </w:rPr>
          <w:fldChar w:fldCharType="begin"/>
        </w:r>
        <w:r w:rsidR="00907074">
          <w:rPr>
            <w:webHidden/>
          </w:rPr>
          <w:instrText xml:space="preserve"> PAGEREF _Toc126917780 \h </w:instrText>
        </w:r>
        <w:r w:rsidR="00907074">
          <w:rPr>
            <w:webHidden/>
          </w:rPr>
        </w:r>
        <w:r w:rsidR="00907074">
          <w:rPr>
            <w:webHidden/>
          </w:rPr>
          <w:fldChar w:fldCharType="separate"/>
        </w:r>
        <w:r w:rsidR="00907074">
          <w:rPr>
            <w:webHidden/>
          </w:rPr>
          <w:t>73</w:t>
        </w:r>
        <w:r w:rsidR="00907074">
          <w:rPr>
            <w:webHidden/>
          </w:rPr>
          <w:fldChar w:fldCharType="end"/>
        </w:r>
      </w:hyperlink>
    </w:p>
    <w:p w14:paraId="5F26F417" w14:textId="739109DC" w:rsidR="00907074" w:rsidRDefault="00FC4B89">
      <w:pPr>
        <w:pStyle w:val="TOC2"/>
        <w:rPr>
          <w:rFonts w:asciiTheme="minorHAnsi" w:eastAsiaTheme="minorEastAsia" w:hAnsiTheme="minorHAnsi" w:cstheme="minorBidi"/>
          <w:spacing w:val="0"/>
          <w:sz w:val="22"/>
          <w:szCs w:val="22"/>
        </w:rPr>
      </w:pPr>
      <w:hyperlink w:anchor="_Toc126917781" w:history="1">
        <w:r w:rsidR="00907074" w:rsidRPr="00DC01D2">
          <w:rPr>
            <w:rStyle w:val="Hyperlink"/>
          </w:rPr>
          <w:t>Summary of other amendments to each framework element</w:t>
        </w:r>
        <w:r w:rsidR="00907074">
          <w:rPr>
            <w:webHidden/>
          </w:rPr>
          <w:tab/>
        </w:r>
        <w:r w:rsidR="00907074">
          <w:rPr>
            <w:webHidden/>
          </w:rPr>
          <w:fldChar w:fldCharType="begin"/>
        </w:r>
        <w:r w:rsidR="00907074">
          <w:rPr>
            <w:webHidden/>
          </w:rPr>
          <w:instrText xml:space="preserve"> PAGEREF _Toc126917781 \h </w:instrText>
        </w:r>
        <w:r w:rsidR="00907074">
          <w:rPr>
            <w:webHidden/>
          </w:rPr>
        </w:r>
        <w:r w:rsidR="00907074">
          <w:rPr>
            <w:webHidden/>
          </w:rPr>
          <w:fldChar w:fldCharType="separate"/>
        </w:r>
        <w:r w:rsidR="00907074">
          <w:rPr>
            <w:webHidden/>
          </w:rPr>
          <w:t>73</w:t>
        </w:r>
        <w:r w:rsidR="00907074">
          <w:rPr>
            <w:webHidden/>
          </w:rPr>
          <w:fldChar w:fldCharType="end"/>
        </w:r>
      </w:hyperlink>
    </w:p>
    <w:p w14:paraId="746F00AD" w14:textId="6275AE00" w:rsidR="00907074" w:rsidRDefault="00FC4B89">
      <w:pPr>
        <w:pStyle w:val="TOC2"/>
        <w:rPr>
          <w:rFonts w:asciiTheme="minorHAnsi" w:eastAsiaTheme="minorEastAsia" w:hAnsiTheme="minorHAnsi" w:cstheme="minorBidi"/>
          <w:spacing w:val="0"/>
          <w:sz w:val="22"/>
          <w:szCs w:val="22"/>
        </w:rPr>
      </w:pPr>
      <w:hyperlink w:anchor="_Toc126917782" w:history="1">
        <w:r w:rsidR="00907074" w:rsidRPr="00DC01D2">
          <w:rPr>
            <w:rStyle w:val="Hyperlink"/>
          </w:rPr>
          <w:t>Coexistence with radio altimeters</w:t>
        </w:r>
        <w:r w:rsidR="00907074">
          <w:rPr>
            <w:webHidden/>
          </w:rPr>
          <w:tab/>
        </w:r>
        <w:r w:rsidR="00907074">
          <w:rPr>
            <w:webHidden/>
          </w:rPr>
          <w:fldChar w:fldCharType="begin"/>
        </w:r>
        <w:r w:rsidR="00907074">
          <w:rPr>
            <w:webHidden/>
          </w:rPr>
          <w:instrText xml:space="preserve"> PAGEREF _Toc126917782 \h </w:instrText>
        </w:r>
        <w:r w:rsidR="00907074">
          <w:rPr>
            <w:webHidden/>
          </w:rPr>
        </w:r>
        <w:r w:rsidR="00907074">
          <w:rPr>
            <w:webHidden/>
          </w:rPr>
          <w:fldChar w:fldCharType="separate"/>
        </w:r>
        <w:r w:rsidR="00907074">
          <w:rPr>
            <w:webHidden/>
          </w:rPr>
          <w:t>77</w:t>
        </w:r>
        <w:r w:rsidR="00907074">
          <w:rPr>
            <w:webHidden/>
          </w:rPr>
          <w:fldChar w:fldCharType="end"/>
        </w:r>
      </w:hyperlink>
    </w:p>
    <w:p w14:paraId="6179E362" w14:textId="3A8E0103" w:rsidR="00907074" w:rsidRDefault="00FC4B89">
      <w:pPr>
        <w:pStyle w:val="TOC1"/>
        <w:tabs>
          <w:tab w:val="left" w:pos="885"/>
        </w:tabs>
        <w:rPr>
          <w:rFonts w:asciiTheme="minorHAnsi" w:eastAsiaTheme="minorEastAsia" w:hAnsiTheme="minorHAnsi" w:cstheme="minorBidi"/>
          <w:b w:val="0"/>
          <w:spacing w:val="0"/>
          <w:sz w:val="22"/>
          <w:szCs w:val="22"/>
        </w:rPr>
      </w:pPr>
      <w:hyperlink w:anchor="_Toc126917783" w:history="1">
        <w:r w:rsidR="00907074" w:rsidRPr="00DC01D2">
          <w:rPr>
            <w:rStyle w:val="Hyperlink"/>
          </w:rPr>
          <w:t>6.</w:t>
        </w:r>
        <w:r w:rsidR="00907074">
          <w:rPr>
            <w:rFonts w:asciiTheme="minorHAnsi" w:eastAsiaTheme="minorEastAsia" w:hAnsiTheme="minorHAnsi" w:cstheme="minorBidi"/>
            <w:b w:val="0"/>
            <w:spacing w:val="0"/>
            <w:sz w:val="22"/>
            <w:szCs w:val="22"/>
          </w:rPr>
          <w:tab/>
        </w:r>
        <w:r w:rsidR="00907074" w:rsidRPr="00DC01D2">
          <w:rPr>
            <w:rStyle w:val="Hyperlink"/>
          </w:rPr>
          <w:t>Invitation to comment</w:t>
        </w:r>
        <w:r w:rsidR="00907074">
          <w:rPr>
            <w:webHidden/>
          </w:rPr>
          <w:tab/>
        </w:r>
        <w:r w:rsidR="00907074">
          <w:rPr>
            <w:webHidden/>
          </w:rPr>
          <w:fldChar w:fldCharType="begin"/>
        </w:r>
        <w:r w:rsidR="00907074">
          <w:rPr>
            <w:webHidden/>
          </w:rPr>
          <w:instrText xml:space="preserve"> PAGEREF _Toc126917783 \h </w:instrText>
        </w:r>
        <w:r w:rsidR="00907074">
          <w:rPr>
            <w:webHidden/>
          </w:rPr>
        </w:r>
        <w:r w:rsidR="00907074">
          <w:rPr>
            <w:webHidden/>
          </w:rPr>
          <w:fldChar w:fldCharType="separate"/>
        </w:r>
        <w:r w:rsidR="00907074">
          <w:rPr>
            <w:webHidden/>
          </w:rPr>
          <w:t>83</w:t>
        </w:r>
        <w:r w:rsidR="00907074">
          <w:rPr>
            <w:webHidden/>
          </w:rPr>
          <w:fldChar w:fldCharType="end"/>
        </w:r>
      </w:hyperlink>
    </w:p>
    <w:p w14:paraId="1C150E3B" w14:textId="4606094E" w:rsidR="00907074" w:rsidRDefault="00FC4B89">
      <w:pPr>
        <w:pStyle w:val="TOC2"/>
        <w:rPr>
          <w:rFonts w:asciiTheme="minorHAnsi" w:eastAsiaTheme="minorEastAsia" w:hAnsiTheme="minorHAnsi" w:cstheme="minorBidi"/>
          <w:spacing w:val="0"/>
          <w:sz w:val="22"/>
          <w:szCs w:val="22"/>
        </w:rPr>
      </w:pPr>
      <w:hyperlink w:anchor="_Toc126917784" w:history="1">
        <w:r w:rsidR="00907074" w:rsidRPr="00DC01D2">
          <w:rPr>
            <w:rStyle w:val="Hyperlink"/>
          </w:rPr>
          <w:t>Making a submission</w:t>
        </w:r>
        <w:r w:rsidR="00907074">
          <w:rPr>
            <w:webHidden/>
          </w:rPr>
          <w:tab/>
        </w:r>
        <w:r w:rsidR="00907074">
          <w:rPr>
            <w:webHidden/>
          </w:rPr>
          <w:fldChar w:fldCharType="begin"/>
        </w:r>
        <w:r w:rsidR="00907074">
          <w:rPr>
            <w:webHidden/>
          </w:rPr>
          <w:instrText xml:space="preserve"> PAGEREF _Toc126917784 \h </w:instrText>
        </w:r>
        <w:r w:rsidR="00907074">
          <w:rPr>
            <w:webHidden/>
          </w:rPr>
        </w:r>
        <w:r w:rsidR="00907074">
          <w:rPr>
            <w:webHidden/>
          </w:rPr>
          <w:fldChar w:fldCharType="separate"/>
        </w:r>
        <w:r w:rsidR="00907074">
          <w:rPr>
            <w:webHidden/>
          </w:rPr>
          <w:t>83</w:t>
        </w:r>
        <w:r w:rsidR="00907074">
          <w:rPr>
            <w:webHidden/>
          </w:rPr>
          <w:fldChar w:fldCharType="end"/>
        </w:r>
      </w:hyperlink>
    </w:p>
    <w:p w14:paraId="6ECFA8ED" w14:textId="27A8C1F2" w:rsidR="00907074" w:rsidRDefault="00FC4B89">
      <w:pPr>
        <w:pStyle w:val="TOC1"/>
        <w:rPr>
          <w:rFonts w:asciiTheme="minorHAnsi" w:eastAsiaTheme="minorEastAsia" w:hAnsiTheme="minorHAnsi" w:cstheme="minorBidi"/>
          <w:b w:val="0"/>
          <w:spacing w:val="0"/>
          <w:sz w:val="22"/>
          <w:szCs w:val="22"/>
        </w:rPr>
      </w:pPr>
      <w:hyperlink w:anchor="_Toc126917785" w:history="1">
        <w:r w:rsidR="00907074" w:rsidRPr="00DC01D2">
          <w:rPr>
            <w:rStyle w:val="Hyperlink"/>
          </w:rPr>
          <w:t>Appendix A: Questions for comment on wireless broadband and radio altimeter coexistence</w:t>
        </w:r>
        <w:r w:rsidR="00907074">
          <w:rPr>
            <w:webHidden/>
          </w:rPr>
          <w:tab/>
        </w:r>
        <w:r w:rsidR="00907074">
          <w:rPr>
            <w:webHidden/>
          </w:rPr>
          <w:fldChar w:fldCharType="begin"/>
        </w:r>
        <w:r w:rsidR="00907074">
          <w:rPr>
            <w:webHidden/>
          </w:rPr>
          <w:instrText xml:space="preserve"> PAGEREF _Toc126917785 \h </w:instrText>
        </w:r>
        <w:r w:rsidR="00907074">
          <w:rPr>
            <w:webHidden/>
          </w:rPr>
        </w:r>
        <w:r w:rsidR="00907074">
          <w:rPr>
            <w:webHidden/>
          </w:rPr>
          <w:fldChar w:fldCharType="separate"/>
        </w:r>
        <w:r w:rsidR="00907074">
          <w:rPr>
            <w:webHidden/>
          </w:rPr>
          <w:t>84</w:t>
        </w:r>
        <w:r w:rsidR="00907074">
          <w:rPr>
            <w:webHidden/>
          </w:rPr>
          <w:fldChar w:fldCharType="end"/>
        </w:r>
      </w:hyperlink>
    </w:p>
    <w:p w14:paraId="2F906E7B" w14:textId="5FD65E53" w:rsidR="00907074" w:rsidRDefault="00FC4B89">
      <w:pPr>
        <w:pStyle w:val="TOC2"/>
        <w:rPr>
          <w:rFonts w:asciiTheme="minorHAnsi" w:eastAsiaTheme="minorEastAsia" w:hAnsiTheme="minorHAnsi" w:cstheme="minorBidi"/>
          <w:spacing w:val="0"/>
          <w:sz w:val="22"/>
          <w:szCs w:val="22"/>
        </w:rPr>
      </w:pPr>
      <w:hyperlink w:anchor="_Toc126917786" w:history="1">
        <w:r w:rsidR="00907074" w:rsidRPr="00DC01D2">
          <w:rPr>
            <w:rStyle w:val="Hyperlink"/>
          </w:rPr>
          <w:t>General questions</w:t>
        </w:r>
        <w:r w:rsidR="00907074">
          <w:rPr>
            <w:webHidden/>
          </w:rPr>
          <w:tab/>
        </w:r>
        <w:r w:rsidR="00907074">
          <w:rPr>
            <w:webHidden/>
          </w:rPr>
          <w:fldChar w:fldCharType="begin"/>
        </w:r>
        <w:r w:rsidR="00907074">
          <w:rPr>
            <w:webHidden/>
          </w:rPr>
          <w:instrText xml:space="preserve"> PAGEREF _Toc126917786 \h </w:instrText>
        </w:r>
        <w:r w:rsidR="00907074">
          <w:rPr>
            <w:webHidden/>
          </w:rPr>
        </w:r>
        <w:r w:rsidR="00907074">
          <w:rPr>
            <w:webHidden/>
          </w:rPr>
          <w:fldChar w:fldCharType="separate"/>
        </w:r>
        <w:r w:rsidR="00907074">
          <w:rPr>
            <w:webHidden/>
          </w:rPr>
          <w:t>84</w:t>
        </w:r>
        <w:r w:rsidR="00907074">
          <w:rPr>
            <w:webHidden/>
          </w:rPr>
          <w:fldChar w:fldCharType="end"/>
        </w:r>
      </w:hyperlink>
    </w:p>
    <w:p w14:paraId="52EB2B31" w14:textId="25A4E058" w:rsidR="00907074" w:rsidRDefault="00FC4B89">
      <w:pPr>
        <w:pStyle w:val="TOC2"/>
        <w:rPr>
          <w:rFonts w:asciiTheme="minorHAnsi" w:eastAsiaTheme="minorEastAsia" w:hAnsiTheme="minorHAnsi" w:cstheme="minorBidi"/>
          <w:spacing w:val="0"/>
          <w:sz w:val="22"/>
          <w:szCs w:val="22"/>
        </w:rPr>
      </w:pPr>
      <w:hyperlink w:anchor="_Toc126917787" w:history="1">
        <w:r w:rsidR="00907074" w:rsidRPr="00DC01D2">
          <w:rPr>
            <w:rStyle w:val="Hyperlink"/>
          </w:rPr>
          <w:t>WBB deployment questions</w:t>
        </w:r>
        <w:r w:rsidR="00907074">
          <w:rPr>
            <w:webHidden/>
          </w:rPr>
          <w:tab/>
        </w:r>
        <w:r w:rsidR="00907074">
          <w:rPr>
            <w:webHidden/>
          </w:rPr>
          <w:fldChar w:fldCharType="begin"/>
        </w:r>
        <w:r w:rsidR="00907074">
          <w:rPr>
            <w:webHidden/>
          </w:rPr>
          <w:instrText xml:space="preserve"> PAGEREF _Toc126917787 \h </w:instrText>
        </w:r>
        <w:r w:rsidR="00907074">
          <w:rPr>
            <w:webHidden/>
          </w:rPr>
        </w:r>
        <w:r w:rsidR="00907074">
          <w:rPr>
            <w:webHidden/>
          </w:rPr>
          <w:fldChar w:fldCharType="separate"/>
        </w:r>
        <w:r w:rsidR="00907074">
          <w:rPr>
            <w:webHidden/>
          </w:rPr>
          <w:t>85</w:t>
        </w:r>
        <w:r w:rsidR="00907074">
          <w:rPr>
            <w:webHidden/>
          </w:rPr>
          <w:fldChar w:fldCharType="end"/>
        </w:r>
      </w:hyperlink>
    </w:p>
    <w:p w14:paraId="22E4CDB8" w14:textId="06AC2197" w:rsidR="00907074" w:rsidRDefault="00FC4B89">
      <w:pPr>
        <w:pStyle w:val="TOC2"/>
        <w:rPr>
          <w:rFonts w:asciiTheme="minorHAnsi" w:eastAsiaTheme="minorEastAsia" w:hAnsiTheme="minorHAnsi" w:cstheme="minorBidi"/>
          <w:spacing w:val="0"/>
          <w:sz w:val="22"/>
          <w:szCs w:val="22"/>
        </w:rPr>
      </w:pPr>
      <w:hyperlink w:anchor="_Toc126917788" w:history="1">
        <w:r w:rsidR="00907074" w:rsidRPr="00DC01D2">
          <w:rPr>
            <w:rStyle w:val="Hyperlink"/>
          </w:rPr>
          <w:t>Aviation spectrum use questions</w:t>
        </w:r>
        <w:r w:rsidR="00907074">
          <w:rPr>
            <w:webHidden/>
          </w:rPr>
          <w:tab/>
        </w:r>
        <w:r w:rsidR="00907074">
          <w:rPr>
            <w:webHidden/>
          </w:rPr>
          <w:fldChar w:fldCharType="begin"/>
        </w:r>
        <w:r w:rsidR="00907074">
          <w:rPr>
            <w:webHidden/>
          </w:rPr>
          <w:instrText xml:space="preserve"> PAGEREF _Toc126917788 \h </w:instrText>
        </w:r>
        <w:r w:rsidR="00907074">
          <w:rPr>
            <w:webHidden/>
          </w:rPr>
        </w:r>
        <w:r w:rsidR="00907074">
          <w:rPr>
            <w:webHidden/>
          </w:rPr>
          <w:fldChar w:fldCharType="separate"/>
        </w:r>
        <w:r w:rsidR="00907074">
          <w:rPr>
            <w:webHidden/>
          </w:rPr>
          <w:t>86</w:t>
        </w:r>
        <w:r w:rsidR="00907074">
          <w:rPr>
            <w:webHidden/>
          </w:rPr>
          <w:fldChar w:fldCharType="end"/>
        </w:r>
      </w:hyperlink>
    </w:p>
    <w:p w14:paraId="3EB4DA4B" w14:textId="11EB246D" w:rsidR="00907074" w:rsidRDefault="00FC4B89">
      <w:pPr>
        <w:pStyle w:val="TOC2"/>
        <w:rPr>
          <w:rFonts w:asciiTheme="minorHAnsi" w:eastAsiaTheme="minorEastAsia" w:hAnsiTheme="minorHAnsi" w:cstheme="minorBidi"/>
          <w:spacing w:val="0"/>
          <w:sz w:val="22"/>
          <w:szCs w:val="22"/>
        </w:rPr>
      </w:pPr>
      <w:hyperlink w:anchor="_Toc126917789" w:history="1">
        <w:r w:rsidR="00907074" w:rsidRPr="00DC01D2">
          <w:rPr>
            <w:rStyle w:val="Hyperlink"/>
          </w:rPr>
          <w:t>Interim radio altimeter retrofit questions, including cost implications</w:t>
        </w:r>
        <w:r w:rsidR="00907074">
          <w:rPr>
            <w:webHidden/>
          </w:rPr>
          <w:tab/>
        </w:r>
        <w:r w:rsidR="00907074">
          <w:rPr>
            <w:webHidden/>
          </w:rPr>
          <w:fldChar w:fldCharType="begin"/>
        </w:r>
        <w:r w:rsidR="00907074">
          <w:rPr>
            <w:webHidden/>
          </w:rPr>
          <w:instrText xml:space="preserve"> PAGEREF _Toc126917789 \h </w:instrText>
        </w:r>
        <w:r w:rsidR="00907074">
          <w:rPr>
            <w:webHidden/>
          </w:rPr>
        </w:r>
        <w:r w:rsidR="00907074">
          <w:rPr>
            <w:webHidden/>
          </w:rPr>
          <w:fldChar w:fldCharType="separate"/>
        </w:r>
        <w:r w:rsidR="00907074">
          <w:rPr>
            <w:webHidden/>
          </w:rPr>
          <w:t>87</w:t>
        </w:r>
        <w:r w:rsidR="00907074">
          <w:rPr>
            <w:webHidden/>
          </w:rPr>
          <w:fldChar w:fldCharType="end"/>
        </w:r>
      </w:hyperlink>
    </w:p>
    <w:p w14:paraId="48216954" w14:textId="3B274FE7" w:rsidR="004D56FF" w:rsidRPr="00E162C4" w:rsidRDefault="006A3ECF">
      <w:pPr>
        <w:rPr>
          <w:rFonts w:cs="Arial"/>
        </w:rPr>
        <w:sectPr w:rsidR="004D56FF" w:rsidRPr="00E162C4" w:rsidSect="00C77380">
          <w:headerReference w:type="even" r:id="rId22"/>
          <w:headerReference w:type="default" r:id="rId23"/>
          <w:footerReference w:type="even" r:id="rId24"/>
          <w:footerReference w:type="default" r:id="rId25"/>
          <w:footerReference w:type="first" r:id="rId26"/>
          <w:pgSz w:w="11906" w:h="16838" w:code="9"/>
          <w:pgMar w:top="3646" w:right="3101" w:bottom="1134" w:left="1134" w:header="709" w:footer="119" w:gutter="0"/>
          <w:cols w:space="708"/>
          <w:titlePg/>
          <w:docGrid w:linePitch="360"/>
        </w:sectPr>
      </w:pPr>
      <w:r w:rsidRPr="00E162C4">
        <w:rPr>
          <w:rFonts w:cs="Arial"/>
          <w:noProof/>
          <w:spacing w:val="-14"/>
          <w:sz w:val="28"/>
        </w:rPr>
        <w:fldChar w:fldCharType="end"/>
      </w:r>
    </w:p>
    <w:p w14:paraId="44D28B50" w14:textId="11E3B69A" w:rsidR="009D6C71" w:rsidRPr="00E162C4" w:rsidRDefault="009D6C71" w:rsidP="000F1CFF">
      <w:pPr>
        <w:pStyle w:val="Execsummaryheading"/>
      </w:pPr>
      <w:bookmarkStart w:id="1" w:name="_Toc126917751"/>
      <w:r w:rsidRPr="00E162C4">
        <w:lastRenderedPageBreak/>
        <w:t>Executive summary</w:t>
      </w:r>
      <w:bookmarkEnd w:id="1"/>
    </w:p>
    <w:p w14:paraId="00F016F3" w14:textId="3E86074F" w:rsidR="00AF785E" w:rsidRDefault="00AE204E" w:rsidP="000F1CFF">
      <w:pPr>
        <w:pStyle w:val="Paragraph"/>
        <w:rPr>
          <w:rStyle w:val="normaltextrun"/>
          <w:color w:val="000000"/>
          <w:szCs w:val="20"/>
          <w:shd w:val="clear" w:color="auto" w:fill="FFFFFF"/>
        </w:rPr>
      </w:pPr>
      <w:bookmarkStart w:id="2" w:name="_Toc433122125"/>
      <w:r>
        <w:rPr>
          <w:rStyle w:val="normaltextrun"/>
          <w:color w:val="000000"/>
          <w:szCs w:val="20"/>
          <w:shd w:val="clear" w:color="auto" w:fill="FFFFFF"/>
        </w:rPr>
        <w:t xml:space="preserve">The ACMA is progressing a work program to allocate spectrum in </w:t>
      </w:r>
      <w:r w:rsidR="004604BE">
        <w:rPr>
          <w:rStyle w:val="normaltextrun"/>
          <w:color w:val="000000"/>
          <w:szCs w:val="20"/>
          <w:shd w:val="clear" w:color="auto" w:fill="FFFFFF"/>
        </w:rPr>
        <w:t xml:space="preserve">the </w:t>
      </w:r>
      <w:r w:rsidR="000D417F">
        <w:rPr>
          <w:rStyle w:val="normaltextrun"/>
          <w:color w:val="000000"/>
          <w:szCs w:val="20"/>
          <w:shd w:val="clear" w:color="auto" w:fill="FFFFFF"/>
        </w:rPr>
        <w:br/>
      </w:r>
      <w:r w:rsidR="004604BE">
        <w:rPr>
          <w:rStyle w:val="normaltextrun"/>
          <w:color w:val="000000"/>
          <w:szCs w:val="20"/>
          <w:shd w:val="clear" w:color="auto" w:fill="FFFFFF"/>
        </w:rPr>
        <w:t>3.4</w:t>
      </w:r>
      <w:r w:rsidR="00F54B4C">
        <w:rPr>
          <w:rStyle w:val="normaltextrun"/>
          <w:color w:val="000000"/>
          <w:szCs w:val="20"/>
          <w:shd w:val="clear" w:color="auto" w:fill="FFFFFF"/>
        </w:rPr>
        <w:t>–</w:t>
      </w:r>
      <w:r w:rsidR="004604BE">
        <w:rPr>
          <w:rStyle w:val="normaltextrun"/>
          <w:color w:val="000000"/>
          <w:szCs w:val="20"/>
          <w:shd w:val="clear" w:color="auto" w:fill="FFFFFF"/>
        </w:rPr>
        <w:t>4.0 GHz</w:t>
      </w:r>
      <w:r>
        <w:rPr>
          <w:rStyle w:val="normaltextrun"/>
          <w:color w:val="000000"/>
          <w:szCs w:val="20"/>
          <w:shd w:val="clear" w:color="auto" w:fill="FFFFFF"/>
        </w:rPr>
        <w:t xml:space="preserve"> frequency range, to support </w:t>
      </w:r>
      <w:r w:rsidR="00806F76">
        <w:rPr>
          <w:rStyle w:val="normaltextrun"/>
          <w:color w:val="000000"/>
          <w:szCs w:val="20"/>
          <w:shd w:val="clear" w:color="auto" w:fill="FFFFFF"/>
        </w:rPr>
        <w:t xml:space="preserve">a range of users and use cases. </w:t>
      </w:r>
    </w:p>
    <w:p w14:paraId="77C7866B" w14:textId="36D325CF" w:rsidR="00885DE2" w:rsidRDefault="00B71A51" w:rsidP="000F1CFF">
      <w:pPr>
        <w:pStyle w:val="Paragraphbeforelist"/>
        <w:rPr>
          <w:rStyle w:val="normaltextrun"/>
          <w:color w:val="000000"/>
          <w:szCs w:val="20"/>
          <w:shd w:val="clear" w:color="auto" w:fill="FFFFFF"/>
        </w:rPr>
      </w:pPr>
      <w:r>
        <w:rPr>
          <w:rStyle w:val="normaltextrun"/>
          <w:color w:val="000000"/>
          <w:szCs w:val="20"/>
          <w:shd w:val="clear" w:color="auto" w:fill="FFFFFF"/>
        </w:rPr>
        <w:t>As part of t</w:t>
      </w:r>
      <w:r w:rsidR="00565A4F">
        <w:rPr>
          <w:rStyle w:val="normaltextrun"/>
          <w:color w:val="000000"/>
          <w:szCs w:val="20"/>
          <w:shd w:val="clear" w:color="auto" w:fill="FFFFFF"/>
        </w:rPr>
        <w:t>his work program, the</w:t>
      </w:r>
      <w:r w:rsidR="004B043D">
        <w:rPr>
          <w:rStyle w:val="normaltextrun"/>
          <w:color w:val="000000"/>
          <w:szCs w:val="20"/>
          <w:shd w:val="clear" w:color="auto" w:fill="FFFFFF"/>
        </w:rPr>
        <w:t xml:space="preserve">re are </w:t>
      </w:r>
      <w:r w:rsidR="00F54B4C">
        <w:rPr>
          <w:rStyle w:val="normaltextrun"/>
          <w:color w:val="000000"/>
          <w:szCs w:val="20"/>
          <w:shd w:val="clear" w:color="auto" w:fill="FFFFFF"/>
        </w:rPr>
        <w:t xml:space="preserve">4 </w:t>
      </w:r>
      <w:r w:rsidR="004B043D">
        <w:rPr>
          <w:rStyle w:val="normaltextrun"/>
          <w:color w:val="000000"/>
          <w:szCs w:val="20"/>
          <w:shd w:val="clear" w:color="auto" w:fill="FFFFFF"/>
        </w:rPr>
        <w:t>separate spectrum allocation processes</w:t>
      </w:r>
      <w:r w:rsidR="00885DE2">
        <w:rPr>
          <w:rStyle w:val="normaltextrun"/>
          <w:color w:val="000000"/>
          <w:szCs w:val="20"/>
          <w:shd w:val="clear" w:color="auto" w:fill="FFFFFF"/>
        </w:rPr>
        <w:t>:</w:t>
      </w:r>
      <w:r w:rsidR="004B043D">
        <w:rPr>
          <w:rStyle w:val="normaltextrun"/>
          <w:color w:val="000000"/>
          <w:szCs w:val="20"/>
          <w:shd w:val="clear" w:color="auto" w:fill="FFFFFF"/>
        </w:rPr>
        <w:t xml:space="preserve"> </w:t>
      </w:r>
    </w:p>
    <w:p w14:paraId="5CCAC532" w14:textId="3FD80559" w:rsidR="00885DE2" w:rsidRPr="003B42FD" w:rsidRDefault="00885DE2" w:rsidP="000F1CFF">
      <w:pPr>
        <w:pStyle w:val="Bulletlevel1"/>
      </w:pPr>
      <w:r w:rsidRPr="00EF6973">
        <w:t>An administrative allocati</w:t>
      </w:r>
      <w:r w:rsidRPr="003B42FD">
        <w:t>on of area-wide apparatus licences (AWLs) in remote areas of the 3.4</w:t>
      </w:r>
      <w:r w:rsidR="00F54B4C">
        <w:t>–</w:t>
      </w:r>
      <w:r w:rsidRPr="003B42FD">
        <w:t xml:space="preserve">4.0 GHz band, intended to support both wide-area and local-area wireless broadband use cases. The ACMA expects to commence </w:t>
      </w:r>
      <w:r>
        <w:t xml:space="preserve">this </w:t>
      </w:r>
      <w:r w:rsidRPr="00EF6973">
        <w:t>allocation process</w:t>
      </w:r>
      <w:r w:rsidRPr="003B42FD">
        <w:t xml:space="preserve"> in Q2 2023.</w:t>
      </w:r>
    </w:p>
    <w:p w14:paraId="69FBFCC8" w14:textId="27412E7A" w:rsidR="00885DE2" w:rsidRPr="003B42FD" w:rsidRDefault="00885DE2" w:rsidP="000F1CFF">
      <w:pPr>
        <w:pStyle w:val="Bulletlevel1"/>
      </w:pPr>
      <w:r w:rsidRPr="003B42FD">
        <w:t>The auction of spectrum licences in the 3.4/3.7 GHz bands, intended to support the continued deployment of wide-area wireless broadband (WA WBB</w:t>
      </w:r>
      <w:r w:rsidRPr="00EF6973">
        <w:t>) services, such as mobile and fixed wireless networks.</w:t>
      </w:r>
      <w:r w:rsidR="00321D25">
        <w:t xml:space="preserve"> As outlined below, the ACMA intends to conduct this auction in Q4 2023.</w:t>
      </w:r>
    </w:p>
    <w:p w14:paraId="031D7AE6" w14:textId="1BF4F080" w:rsidR="00885DE2" w:rsidRDefault="00885DE2" w:rsidP="000F1CFF">
      <w:pPr>
        <w:pStyle w:val="Bulletlevel1"/>
      </w:pPr>
      <w:r w:rsidRPr="003B42FD">
        <w:t xml:space="preserve">An administrative allocation of AWLs in the 3.8 GHz band </w:t>
      </w:r>
      <w:r w:rsidR="000D417F">
        <w:br/>
      </w:r>
      <w:r w:rsidRPr="003B42FD">
        <w:t>(3.8</w:t>
      </w:r>
      <w:r w:rsidR="00F54B4C">
        <w:t>–</w:t>
      </w:r>
      <w:r w:rsidRPr="003B42FD">
        <w:t xml:space="preserve">3.95 GHz in metropolitan areas and surrounds, and </w:t>
      </w:r>
      <w:r w:rsidR="000D417F">
        <w:br/>
      </w:r>
      <w:r w:rsidRPr="003B42FD">
        <w:t>3.75</w:t>
      </w:r>
      <w:r w:rsidR="00F54B4C">
        <w:t>–</w:t>
      </w:r>
      <w:r w:rsidRPr="003B42FD">
        <w:t>3.95 GHz in some regional areas) to support new local</w:t>
      </w:r>
      <w:r w:rsidR="00640D9F">
        <w:t>-</w:t>
      </w:r>
      <w:r w:rsidRPr="003B42FD">
        <w:t xml:space="preserve">area wireless broadband (LA WBB) services and the continued deployment of satellite and point-to-point </w:t>
      </w:r>
      <w:r w:rsidR="00912C00">
        <w:t xml:space="preserve">(PTP) </w:t>
      </w:r>
      <w:r w:rsidRPr="003B42FD">
        <w:t>services.</w:t>
      </w:r>
      <w:r>
        <w:t xml:space="preserve"> </w:t>
      </w:r>
      <w:r w:rsidR="00F26C7E">
        <w:t>There may be some co-dependencies with regard</w:t>
      </w:r>
      <w:r w:rsidR="00D30C9D">
        <w:t>s</w:t>
      </w:r>
      <w:r w:rsidR="00F26C7E">
        <w:t xml:space="preserve"> to allocation limits for some interested stakeholders. This is discussed further under the ‘Allocation limits’ section of this paper.</w:t>
      </w:r>
      <w:r w:rsidR="00EA5A24">
        <w:t xml:space="preserve"> </w:t>
      </w:r>
      <w:r w:rsidR="00D60574">
        <w:t>The ACMA is considering implementing a</w:t>
      </w:r>
      <w:r w:rsidR="00D30C9D">
        <w:t>n</w:t>
      </w:r>
      <w:r w:rsidR="00D60574">
        <w:t xml:space="preserve"> </w:t>
      </w:r>
      <w:r w:rsidR="003B1748">
        <w:t>initial</w:t>
      </w:r>
      <w:r w:rsidR="00D60574">
        <w:t xml:space="preserve"> allocation limit of zero at the 3.8</w:t>
      </w:r>
      <w:r w:rsidR="00EF0BFC">
        <w:t> </w:t>
      </w:r>
      <w:r w:rsidR="00D60574">
        <w:t>GHz band AWL allocation for incumbent spectrum licensees in the 3.4</w:t>
      </w:r>
      <w:r w:rsidR="00571092">
        <w:t>–</w:t>
      </w:r>
      <w:r w:rsidR="00D60574">
        <w:t>3.7 GHz frequency range</w:t>
      </w:r>
      <w:r w:rsidR="003B1748">
        <w:t xml:space="preserve"> and </w:t>
      </w:r>
      <w:r w:rsidR="005C2F5E">
        <w:t>an additional cross-band limit</w:t>
      </w:r>
      <w:r w:rsidR="0074561B">
        <w:t>,</w:t>
      </w:r>
      <w:r w:rsidR="005C2F5E">
        <w:t xml:space="preserve"> taking into account spectrum licensed holdings including those acquired </w:t>
      </w:r>
      <w:r w:rsidR="00321D25">
        <w:t>in the Q4 2023 auction</w:t>
      </w:r>
      <w:r w:rsidR="00D60574">
        <w:t xml:space="preserve">, in order to create an initial priority access period for these non-WA WBB users. </w:t>
      </w:r>
      <w:r>
        <w:t xml:space="preserve">The ACMA expects to commence this allocation process in </w:t>
      </w:r>
      <w:r w:rsidR="000D417F">
        <w:br/>
      </w:r>
      <w:r>
        <w:t>Q1 2024</w:t>
      </w:r>
      <w:r w:rsidR="00456789">
        <w:t>, and to consult on a draft Applicant Information Pack (</w:t>
      </w:r>
      <w:r w:rsidR="0095571B">
        <w:t xml:space="preserve">AIP) </w:t>
      </w:r>
      <w:r w:rsidR="00456789">
        <w:t>(including the proposed approach to allocation limits) in Q2 2023</w:t>
      </w:r>
      <w:r>
        <w:t>.</w:t>
      </w:r>
      <w:r w:rsidR="001D5969">
        <w:t xml:space="preserve"> </w:t>
      </w:r>
    </w:p>
    <w:p w14:paraId="1D006ECC" w14:textId="038AF7A0" w:rsidR="00885DE2" w:rsidRDefault="00885DE2" w:rsidP="000F1CFF">
      <w:pPr>
        <w:pStyle w:val="Bulletlevel1last"/>
      </w:pPr>
      <w:r>
        <w:t xml:space="preserve">An allocation of apparatus licences in urban excise areas of the </w:t>
      </w:r>
      <w:r w:rsidR="000D417F">
        <w:br/>
      </w:r>
      <w:r>
        <w:t>3.4</w:t>
      </w:r>
      <w:r w:rsidR="00571092">
        <w:t>–</w:t>
      </w:r>
      <w:r>
        <w:t xml:space="preserve">3.475 GHz band, and metropolitan and regional areas of the </w:t>
      </w:r>
      <w:r w:rsidR="000D417F">
        <w:br/>
      </w:r>
      <w:r>
        <w:t>3.95</w:t>
      </w:r>
      <w:r w:rsidR="000D417F">
        <w:t>–</w:t>
      </w:r>
      <w:r>
        <w:t>4.0 GHz band, intended to support restricted cell LA WBB use.</w:t>
      </w:r>
      <w:r w:rsidR="009E2714">
        <w:t xml:space="preserve"> The ACMA expects to convene </w:t>
      </w:r>
      <w:r w:rsidR="00474A9A">
        <w:t>a Technical Liaison Group (TLG) to develop the technical arrangements to support the use of this spectrum in Q1/Q2 2023. We will decide on allocation timing after work on technical and licensing arrangements for this spectrum has been completed.</w:t>
      </w:r>
    </w:p>
    <w:p w14:paraId="33F69D5B" w14:textId="112B930C" w:rsidR="009C7BAE" w:rsidRDefault="009C7BAE" w:rsidP="000F1CFF">
      <w:pPr>
        <w:pStyle w:val="Bulletlevel1last"/>
        <w:numPr>
          <w:ilvl w:val="0"/>
          <w:numId w:val="0"/>
        </w:numPr>
      </w:pPr>
      <w:r>
        <w:rPr>
          <w:rStyle w:val="normaltextrun"/>
          <w:szCs w:val="20"/>
        </w:rPr>
        <w:t xml:space="preserve">The allocation design matters which are the subject of this consultation paper only pertain to the 3.4/3.7 GHz bands auction, although we acknowledge that there may be some co-dependencies between the other </w:t>
      </w:r>
      <w:r w:rsidR="00F54B4C">
        <w:rPr>
          <w:rStyle w:val="normaltextrun"/>
          <w:szCs w:val="20"/>
        </w:rPr>
        <w:t xml:space="preserve">3 </w:t>
      </w:r>
      <w:r>
        <w:rPr>
          <w:rStyle w:val="normaltextrun"/>
          <w:szCs w:val="20"/>
        </w:rPr>
        <w:t xml:space="preserve">allocation processes for interested stakeholders, particularly in </w:t>
      </w:r>
      <w:r w:rsidR="003C7055">
        <w:rPr>
          <w:rStyle w:val="normaltextrun"/>
          <w:szCs w:val="20"/>
        </w:rPr>
        <w:t>relation to</w:t>
      </w:r>
      <w:r>
        <w:rPr>
          <w:rStyle w:val="normaltextrun"/>
          <w:szCs w:val="20"/>
        </w:rPr>
        <w:t xml:space="preserve"> </w:t>
      </w:r>
      <w:r w:rsidR="00B762F5">
        <w:rPr>
          <w:rStyle w:val="normaltextrun"/>
          <w:szCs w:val="20"/>
        </w:rPr>
        <w:t>the</w:t>
      </w:r>
      <w:r>
        <w:rPr>
          <w:rStyle w:val="normaltextrun"/>
          <w:szCs w:val="20"/>
        </w:rPr>
        <w:t xml:space="preserve"> licensing technical frameworks which are intended to manage the coexistence of services with radio altimeters in a nearby band. Parties interested in the </w:t>
      </w:r>
      <w:r w:rsidR="00F54B4C">
        <w:rPr>
          <w:rStyle w:val="normaltextrun"/>
          <w:szCs w:val="20"/>
        </w:rPr>
        <w:t xml:space="preserve">3 </w:t>
      </w:r>
      <w:r>
        <w:rPr>
          <w:rStyle w:val="normaltextrun"/>
          <w:szCs w:val="20"/>
        </w:rPr>
        <w:t xml:space="preserve">other allocations should note that the detail on </w:t>
      </w:r>
      <w:r w:rsidR="00DE6A13">
        <w:rPr>
          <w:rStyle w:val="normaltextrun"/>
          <w:szCs w:val="20"/>
        </w:rPr>
        <w:t xml:space="preserve">the radio altimeter </w:t>
      </w:r>
      <w:r>
        <w:rPr>
          <w:rStyle w:val="normaltextrun"/>
          <w:szCs w:val="20"/>
        </w:rPr>
        <w:t>matter is contained in this consultation paper, under ‘Coexistence with radio altimeters’.</w:t>
      </w:r>
    </w:p>
    <w:p w14:paraId="2D130348" w14:textId="7B126940" w:rsidR="00C43AB0" w:rsidRPr="00406744" w:rsidRDefault="00406744" w:rsidP="000F1CFF">
      <w:pPr>
        <w:pStyle w:val="Heading2"/>
        <w:rPr>
          <w:rStyle w:val="normaltextrun"/>
          <w:iCs w:val="0"/>
          <w:szCs w:val="20"/>
        </w:rPr>
      </w:pPr>
      <w:bookmarkStart w:id="3" w:name="_Toc126917752"/>
      <w:r>
        <w:rPr>
          <w:rStyle w:val="normaltextrun"/>
          <w:iCs w:val="0"/>
          <w:szCs w:val="20"/>
        </w:rPr>
        <w:lastRenderedPageBreak/>
        <w:t>3.4/3.7 GHz bands auction draft instruments</w:t>
      </w:r>
      <w:bookmarkEnd w:id="3"/>
    </w:p>
    <w:p w14:paraId="6C01E5DA" w14:textId="0ACD5D3C" w:rsidR="00C254B1" w:rsidRDefault="00983D87" w:rsidP="000F1CFF">
      <w:pPr>
        <w:pStyle w:val="Paragraph"/>
      </w:pPr>
      <w:r>
        <w:t>To enable the allocation of the 3.4/3.7 GHz bands spectrum, o</w:t>
      </w:r>
      <w:r w:rsidR="00C27A88">
        <w:t xml:space="preserve">n 14 July 2022, the ACMA made the </w:t>
      </w:r>
      <w:hyperlink r:id="rId27" w:history="1">
        <w:r w:rsidR="00C004AB" w:rsidRPr="006048D4">
          <w:rPr>
            <w:rStyle w:val="Hyperlink"/>
          </w:rPr>
          <w:t>Radiocommunications (Spectrum Re</w:t>
        </w:r>
        <w:r w:rsidR="00571092">
          <w:rPr>
            <w:rStyle w:val="Hyperlink"/>
          </w:rPr>
          <w:t>-</w:t>
        </w:r>
        <w:r w:rsidR="00C004AB" w:rsidRPr="006048D4">
          <w:rPr>
            <w:rStyle w:val="Hyperlink"/>
          </w:rPr>
          <w:t>allocation – 3.4</w:t>
        </w:r>
        <w:r w:rsidR="00C55F61" w:rsidRPr="006048D4">
          <w:rPr>
            <w:rStyle w:val="Hyperlink"/>
          </w:rPr>
          <w:t> </w:t>
        </w:r>
        <w:r w:rsidR="00C004AB" w:rsidRPr="006048D4">
          <w:rPr>
            <w:rStyle w:val="Hyperlink"/>
          </w:rPr>
          <w:t>GHz and 3.7 GHz Bands) Declaration 2022</w:t>
        </w:r>
      </w:hyperlink>
      <w:r w:rsidR="00CC3999">
        <w:t xml:space="preserve"> (the re-allocation declaration)</w:t>
      </w:r>
      <w:r w:rsidR="00C254B1">
        <w:t>.</w:t>
      </w:r>
    </w:p>
    <w:p w14:paraId="724E8F25" w14:textId="60CA5420" w:rsidR="00454B1C" w:rsidRPr="00B23715" w:rsidRDefault="005439CA" w:rsidP="000F1CFF">
      <w:pPr>
        <w:pStyle w:val="Paragraph"/>
      </w:pPr>
      <w:r>
        <w:t>In preparation for the auction</w:t>
      </w:r>
      <w:r w:rsidR="003679AE">
        <w:t xml:space="preserve"> of spectrum licences</w:t>
      </w:r>
      <w:r>
        <w:t xml:space="preserve">, we have prepared draft allocation </w:t>
      </w:r>
      <w:r w:rsidR="00C667F2" w:rsidRPr="00546795">
        <w:t>and technical</w:t>
      </w:r>
      <w:r>
        <w:t xml:space="preserve"> instruments which describe the </w:t>
      </w:r>
      <w:r w:rsidR="00DE6A13">
        <w:t xml:space="preserve">parts of the spectrum </w:t>
      </w:r>
      <w:r>
        <w:t>we are offering in the auction, as well as setting out the rules and procedures that we propose will govern the auction process for the allocation of the</w:t>
      </w:r>
      <w:r w:rsidR="00DE6A13">
        <w:t xml:space="preserve"> spectrum</w:t>
      </w:r>
      <w:r>
        <w:t>.</w:t>
      </w:r>
      <w:r w:rsidR="00454B1C">
        <w:t xml:space="preserve"> </w:t>
      </w:r>
      <w:r w:rsidR="00FF1AE8" w:rsidRPr="00244C2B">
        <w:t xml:space="preserve">We note that the Australian Competition and Consumer Commission </w:t>
      </w:r>
      <w:r w:rsidR="00EE50ED">
        <w:t xml:space="preserve">(ACCC) </w:t>
      </w:r>
      <w:r w:rsidR="00FF1AE8" w:rsidRPr="00244C2B">
        <w:t xml:space="preserve">has </w:t>
      </w:r>
      <w:hyperlink r:id="rId28" w:history="1">
        <w:r w:rsidR="00FF1AE8" w:rsidRPr="00536C07">
          <w:rPr>
            <w:rStyle w:val="Hyperlink"/>
          </w:rPr>
          <w:t>released its allocation limits advice for the 3.4 GHz and 3.7 GHz spectrum allocation</w:t>
        </w:r>
      </w:hyperlink>
      <w:r w:rsidR="000A2906">
        <w:t>.</w:t>
      </w:r>
      <w:r w:rsidR="00FF1AE8" w:rsidRPr="00244C2B">
        <w:t xml:space="preserve"> </w:t>
      </w:r>
      <w:r w:rsidR="000A2906">
        <w:t>W</w:t>
      </w:r>
      <w:r w:rsidR="00A47F5A" w:rsidRPr="00BB048A">
        <w:t xml:space="preserve">e have considered this advice in developing </w:t>
      </w:r>
      <w:r w:rsidR="00244C2B" w:rsidRPr="00BB048A">
        <w:t>our proposed options for allocation limits</w:t>
      </w:r>
      <w:r w:rsidR="000A2906">
        <w:t>,</w:t>
      </w:r>
      <w:r w:rsidR="00244C2B">
        <w:t xml:space="preserve"> which are included in this consultation paper</w:t>
      </w:r>
      <w:r w:rsidR="00C254B1">
        <w:t>.</w:t>
      </w:r>
      <w:r w:rsidR="00FF1AE8">
        <w:t xml:space="preserve"> </w:t>
      </w:r>
    </w:p>
    <w:p w14:paraId="3584ABB8" w14:textId="6BA47B00" w:rsidR="00AE6339" w:rsidRDefault="00AE6339" w:rsidP="000F1CFF">
      <w:pPr>
        <w:pStyle w:val="Paragraphbeforelist"/>
      </w:pPr>
      <w:r>
        <w:t xml:space="preserve">The draft allocation </w:t>
      </w:r>
      <w:r w:rsidR="00C667F2" w:rsidRPr="00546795">
        <w:t>and technical</w:t>
      </w:r>
      <w:r>
        <w:t xml:space="preserve"> instruments are:</w:t>
      </w:r>
    </w:p>
    <w:p w14:paraId="41454B14" w14:textId="28BFD496" w:rsidR="00204343" w:rsidRDefault="00204343" w:rsidP="000F1CFF">
      <w:pPr>
        <w:pStyle w:val="Bulletlevel1"/>
      </w:pPr>
      <w:r>
        <w:t xml:space="preserve">a spectrum marketing plan, to be made under section 39A of the </w:t>
      </w:r>
      <w:hyperlink r:id="rId29" w:history="1">
        <w:r w:rsidRPr="00C6178C">
          <w:rPr>
            <w:rStyle w:val="Hyperlink"/>
            <w:i/>
            <w:iCs/>
          </w:rPr>
          <w:t>Radiocommunications Act 1992</w:t>
        </w:r>
      </w:hyperlink>
      <w:r>
        <w:t xml:space="preserve"> (the Act), describing the </w:t>
      </w:r>
      <w:r w:rsidR="00572D13" w:rsidRPr="004B66E0">
        <w:t>3.4</w:t>
      </w:r>
      <w:r w:rsidR="00BC4D17">
        <w:t>/</w:t>
      </w:r>
      <w:r w:rsidR="00572D13" w:rsidRPr="004B66E0">
        <w:t>3.7 GHz band</w:t>
      </w:r>
      <w:r w:rsidR="00BC4D17">
        <w:t>s</w:t>
      </w:r>
      <w:r w:rsidR="00572D13">
        <w:t xml:space="preserve"> </w:t>
      </w:r>
      <w:r>
        <w:t>products on offer (draft marketing plan)</w:t>
      </w:r>
    </w:p>
    <w:p w14:paraId="58006A50" w14:textId="624B56E8" w:rsidR="00454B1C" w:rsidRDefault="00204343" w:rsidP="000F1CFF">
      <w:pPr>
        <w:pStyle w:val="Bulletlevel1"/>
      </w:pPr>
      <w:r>
        <w:t xml:space="preserve">an allocation determination, to be made under sections 60 and 294 of the Act, covering the auction procedures and rules for the </w:t>
      </w:r>
      <w:r w:rsidR="006E4246" w:rsidRPr="004B66E0">
        <w:t>3.4</w:t>
      </w:r>
      <w:r w:rsidR="00896FEC">
        <w:t>/</w:t>
      </w:r>
      <w:r w:rsidR="006E4246" w:rsidRPr="004B66E0">
        <w:t>3.7 GHz bands</w:t>
      </w:r>
      <w:r w:rsidR="006E4246">
        <w:t xml:space="preserve"> </w:t>
      </w:r>
      <w:r>
        <w:t>(draft allocation determination)</w:t>
      </w:r>
    </w:p>
    <w:p w14:paraId="0C9C6F62" w14:textId="7F51E901" w:rsidR="00AA6BE0" w:rsidRPr="00B412E1" w:rsidRDefault="000671DB" w:rsidP="000F1CFF">
      <w:pPr>
        <w:pStyle w:val="Bulletlevel1"/>
      </w:pPr>
      <w:r w:rsidRPr="00B412E1">
        <w:t>a</w:t>
      </w:r>
      <w:r w:rsidR="00AA6BE0" w:rsidRPr="00B412E1">
        <w:t xml:space="preserve"> draft unacceptable </w:t>
      </w:r>
      <w:r w:rsidR="00395AA0" w:rsidRPr="00B412E1">
        <w:t xml:space="preserve">level of </w:t>
      </w:r>
      <w:r w:rsidR="00AA6BE0" w:rsidRPr="00B412E1">
        <w:t>interference determination</w:t>
      </w:r>
      <w:r w:rsidR="00D92602" w:rsidRPr="00B412E1">
        <w:t xml:space="preserve"> </w:t>
      </w:r>
      <w:r w:rsidR="00556D6A" w:rsidRPr="00B412E1">
        <w:t>variation</w:t>
      </w:r>
    </w:p>
    <w:p w14:paraId="6869B148" w14:textId="0464CCB2" w:rsidR="00AA6BE0" w:rsidRPr="00B412E1" w:rsidRDefault="00AC09FC" w:rsidP="000F1CFF">
      <w:pPr>
        <w:pStyle w:val="Bulletlevel1"/>
      </w:pPr>
      <w:r>
        <w:t xml:space="preserve">a </w:t>
      </w:r>
      <w:r w:rsidR="00AA6BE0" w:rsidRPr="00B412E1">
        <w:t xml:space="preserve">draft Radiocommunications Advisory Guidelines </w:t>
      </w:r>
      <w:r w:rsidR="00AE2F0C" w:rsidRPr="00B412E1">
        <w:t>for m</w:t>
      </w:r>
      <w:r w:rsidR="00AA6BE0" w:rsidRPr="00B412E1">
        <w:t xml:space="preserve">anaging </w:t>
      </w:r>
      <w:r w:rsidR="00AE2F0C" w:rsidRPr="00B412E1">
        <w:t>i</w:t>
      </w:r>
      <w:r w:rsidR="00AA6BE0" w:rsidRPr="00B412E1">
        <w:t xml:space="preserve">nterference from </w:t>
      </w:r>
      <w:r w:rsidR="00AE2F0C" w:rsidRPr="00B412E1">
        <w:t>s</w:t>
      </w:r>
      <w:r w:rsidR="00AA6BE0" w:rsidRPr="00B412E1">
        <w:t xml:space="preserve">pectrum </w:t>
      </w:r>
      <w:r w:rsidR="00AE2F0C" w:rsidRPr="00B412E1">
        <w:t>l</w:t>
      </w:r>
      <w:r w:rsidR="00AA6BE0" w:rsidRPr="00B412E1">
        <w:t xml:space="preserve">icensed </w:t>
      </w:r>
      <w:r w:rsidR="00AE2F0C" w:rsidRPr="00B412E1">
        <w:t>t</w:t>
      </w:r>
      <w:r w:rsidR="00AA6BE0" w:rsidRPr="00B412E1">
        <w:t>ransmitters</w:t>
      </w:r>
      <w:r w:rsidR="008E1D79">
        <w:t xml:space="preserve"> </w:t>
      </w:r>
      <w:r w:rsidR="00556D6A" w:rsidRPr="00B412E1">
        <w:t>variation</w:t>
      </w:r>
    </w:p>
    <w:p w14:paraId="39C2F737" w14:textId="2A0D698F" w:rsidR="00AA6BE0" w:rsidRPr="00B412E1" w:rsidRDefault="00AC09FC" w:rsidP="000F1CFF">
      <w:pPr>
        <w:pStyle w:val="Bulletlevel1"/>
      </w:pPr>
      <w:r>
        <w:t xml:space="preserve">a </w:t>
      </w:r>
      <w:r w:rsidR="00AA6BE0" w:rsidRPr="00B412E1">
        <w:t xml:space="preserve">draft Radiocommunications Advisory Guidelines </w:t>
      </w:r>
      <w:r w:rsidR="00AE2F0C" w:rsidRPr="00B412E1">
        <w:t>for m</w:t>
      </w:r>
      <w:r w:rsidR="00AA6BE0" w:rsidRPr="00B412E1">
        <w:t xml:space="preserve">anaging </w:t>
      </w:r>
      <w:r w:rsidR="00AE2F0C" w:rsidRPr="00B412E1">
        <w:t>i</w:t>
      </w:r>
      <w:r w:rsidR="00AA6BE0" w:rsidRPr="00B412E1">
        <w:t xml:space="preserve">nterference to </w:t>
      </w:r>
      <w:r w:rsidR="00AE2F0C" w:rsidRPr="00B412E1">
        <w:t>s</w:t>
      </w:r>
      <w:r w:rsidR="00AA6BE0" w:rsidRPr="00B412E1">
        <w:t xml:space="preserve">pectrum </w:t>
      </w:r>
      <w:r w:rsidR="00AE2F0C" w:rsidRPr="00B412E1">
        <w:t>l</w:t>
      </w:r>
      <w:r w:rsidR="00AA6BE0" w:rsidRPr="00B412E1">
        <w:t xml:space="preserve">icensed </w:t>
      </w:r>
      <w:r w:rsidR="00AE2F0C" w:rsidRPr="00B412E1">
        <w:t>r</w:t>
      </w:r>
      <w:r w:rsidR="00AA6BE0" w:rsidRPr="00B412E1">
        <w:t>eceivers</w:t>
      </w:r>
      <w:r w:rsidR="00250E87" w:rsidRPr="00B412E1">
        <w:t xml:space="preserve"> </w:t>
      </w:r>
      <w:r w:rsidR="00556D6A" w:rsidRPr="00B412E1">
        <w:t>variation</w:t>
      </w:r>
    </w:p>
    <w:p w14:paraId="0792CD94" w14:textId="5A292418" w:rsidR="00AA6BE0" w:rsidRPr="00B412E1" w:rsidRDefault="00AC09FC" w:rsidP="000F1CFF">
      <w:pPr>
        <w:pStyle w:val="Bulletlevel1last"/>
      </w:pPr>
      <w:r>
        <w:t xml:space="preserve">a </w:t>
      </w:r>
      <w:r w:rsidR="00AA6BE0" w:rsidRPr="00B412E1">
        <w:t xml:space="preserve">draft </w:t>
      </w:r>
      <w:r w:rsidR="000A31A9" w:rsidRPr="00B412E1">
        <w:t>Radiocommunications and Licensing Instructions</w:t>
      </w:r>
      <w:r w:rsidR="00D00C5D" w:rsidRPr="00B412E1">
        <w:t xml:space="preserve"> MS47</w:t>
      </w:r>
      <w:r w:rsidR="00056D87" w:rsidRPr="00B412E1">
        <w:t xml:space="preserve"> (the draft RALI MS47)</w:t>
      </w:r>
      <w:r>
        <w:t>.</w:t>
      </w:r>
    </w:p>
    <w:p w14:paraId="3C2F6C38" w14:textId="46614601" w:rsidR="00CB6F5B" w:rsidRDefault="00CB6F5B" w:rsidP="000F1CFF">
      <w:pPr>
        <w:pStyle w:val="Paragraph"/>
      </w:pPr>
      <w:r w:rsidRPr="00184B60">
        <w:t xml:space="preserve">This paper summarises the matters included in the draft allocation </w:t>
      </w:r>
      <w:r w:rsidR="00D8572E">
        <w:t xml:space="preserve">and technical </w:t>
      </w:r>
      <w:r>
        <w:t xml:space="preserve">instruments and invites comments from interested parties on those instruments and any other issues relevant to the allocation of spectrum licences in the </w:t>
      </w:r>
      <w:r w:rsidR="00D8339A" w:rsidRPr="004B66E0">
        <w:t>3.4</w:t>
      </w:r>
      <w:r w:rsidR="00640F3F">
        <w:t>/</w:t>
      </w:r>
      <w:r w:rsidR="00D8339A" w:rsidRPr="004B66E0">
        <w:t>3.7 GHz bands</w:t>
      </w:r>
      <w:r>
        <w:t xml:space="preserve">. Draft versions of the allocation </w:t>
      </w:r>
      <w:r w:rsidR="00640F3F">
        <w:t xml:space="preserve">and technical </w:t>
      </w:r>
      <w:r>
        <w:t xml:space="preserve">instruments for the </w:t>
      </w:r>
      <w:r w:rsidR="00D8339A" w:rsidRPr="004B66E0">
        <w:t>3.4</w:t>
      </w:r>
      <w:r w:rsidR="00640F3F">
        <w:t>/</w:t>
      </w:r>
      <w:r w:rsidR="00D8339A" w:rsidRPr="004B66E0">
        <w:t>3.7 GHz bands</w:t>
      </w:r>
      <w:r w:rsidR="00D8339A">
        <w:t xml:space="preserve"> </w:t>
      </w:r>
      <w:r>
        <w:t>auction are published alongside this paper on the ACMA website.</w:t>
      </w:r>
    </w:p>
    <w:p w14:paraId="5F1000CE" w14:textId="27CD963D" w:rsidR="00406744" w:rsidRDefault="00406744" w:rsidP="000F1CFF">
      <w:pPr>
        <w:pStyle w:val="Heading2"/>
      </w:pPr>
      <w:bookmarkStart w:id="4" w:name="_Toc126917753"/>
      <w:r>
        <w:t>Managing coexistence with radio altimeters</w:t>
      </w:r>
      <w:bookmarkEnd w:id="4"/>
    </w:p>
    <w:p w14:paraId="69189B65" w14:textId="389B9A5C" w:rsidR="00343A35" w:rsidRDefault="00343A35" w:rsidP="000F1CFF">
      <w:pPr>
        <w:pStyle w:val="Paragraph"/>
      </w:pPr>
      <w:r>
        <w:t xml:space="preserve">In developing spectrum licence technical frameworks, coexistence between future and existing uses (in the same band in different geographic areas and in spectrally nearby bands) is routinely considered. In the review of the existing spectrum licence technical framework to include bands to support this allocation process, coexistence between </w:t>
      </w:r>
      <w:r w:rsidR="005F1E2E">
        <w:t>wireless broadband (</w:t>
      </w:r>
      <w:r>
        <w:t>WBB</w:t>
      </w:r>
      <w:r w:rsidR="005F1E2E">
        <w:t>)</w:t>
      </w:r>
      <w:r>
        <w:t xml:space="preserve"> and radio altimeters was identified as a key coexistence consideration</w:t>
      </w:r>
      <w:r w:rsidR="00571092">
        <w:t>.</w:t>
      </w:r>
      <w:r w:rsidR="00B1197F">
        <w:rPr>
          <w:rStyle w:val="FootnoteReference"/>
        </w:rPr>
        <w:footnoteReference w:id="2"/>
      </w:r>
      <w:r>
        <w:t xml:space="preserve"> </w:t>
      </w:r>
    </w:p>
    <w:p w14:paraId="3C91A76C" w14:textId="70C53C7C" w:rsidR="00993289" w:rsidRDefault="00D15B31" w:rsidP="000F1CFF">
      <w:r>
        <w:t>Radio</w:t>
      </w:r>
      <w:r w:rsidR="00993289">
        <w:t xml:space="preserve"> altimeters </w:t>
      </w:r>
      <w:r w:rsidR="00993289" w:rsidRPr="00B77CAC">
        <w:t xml:space="preserve">are critical sensors that </w:t>
      </w:r>
      <w:r w:rsidR="00993289">
        <w:t xml:space="preserve">are used </w:t>
      </w:r>
      <w:r w:rsidR="00993289" w:rsidRPr="00B77CAC">
        <w:t xml:space="preserve">by many aircraft (both fixed and rotary wing) to enable and enhance flight safety and operations. </w:t>
      </w:r>
      <w:r w:rsidR="00993289">
        <w:t>Ensuring coexistence between radio altimeters with uses of the spectrum such as WBB is a therefore key requirement of the ACMA.</w:t>
      </w:r>
    </w:p>
    <w:p w14:paraId="3AD0B2CD" w14:textId="66A6DDCB" w:rsidR="00993289" w:rsidRDefault="00993289" w:rsidP="000F1CFF">
      <w:r>
        <w:t>Similarly, the ACMA must consider opportunities to facilitate new uses of the spectrum such as WBB. Spectrum in the 3400</w:t>
      </w:r>
      <w:r w:rsidR="0046066B">
        <w:t>–</w:t>
      </w:r>
      <w:r>
        <w:t xml:space="preserve">4200 MHz range is of particular interest globally </w:t>
      </w:r>
      <w:r>
        <w:lastRenderedPageBreak/>
        <w:t>as a band for 5G WBB (in addition to 4G and earlier broadband services in parts of the range) with extensive deployments worldwide in varying parts of the band. The ACMA considers that the efficient use of this spectrum that supports both radio altimeters and WBB will contribute to the long-term public interest.</w:t>
      </w:r>
    </w:p>
    <w:p w14:paraId="013B2BAD" w14:textId="1EDF4E05" w:rsidR="00D875AB" w:rsidRDefault="00175075" w:rsidP="000F1CFF">
      <w:r>
        <w:t>The</w:t>
      </w:r>
      <w:r w:rsidR="7D005F47">
        <w:t xml:space="preserve"> ACMA has been </w:t>
      </w:r>
      <w:r w:rsidR="006B7D6D">
        <w:t xml:space="preserve">carefully </w:t>
      </w:r>
      <w:r w:rsidR="7D005F47">
        <w:t xml:space="preserve">considering </w:t>
      </w:r>
      <w:r w:rsidR="006B7D6D">
        <w:t>this issue since 2019 and closely following global developments. Domestically, the ACMA has engaged the T</w:t>
      </w:r>
      <w:r w:rsidR="00AA4219">
        <w:t>echnical Liaison Group (T</w:t>
      </w:r>
      <w:r w:rsidR="006B7D6D">
        <w:t>LG</w:t>
      </w:r>
      <w:r w:rsidR="00AA4219">
        <w:t>)</w:t>
      </w:r>
      <w:r w:rsidR="006B7D6D">
        <w:t xml:space="preserve"> on radio altimeter coexistence as well as engaging directly with a range of stakeholders </w:t>
      </w:r>
      <w:r w:rsidR="005D1761">
        <w:t xml:space="preserve">including a whole-of-government approach with relevant agencies </w:t>
      </w:r>
      <w:r w:rsidR="006B7D6D">
        <w:t>– most importantly</w:t>
      </w:r>
      <w:r w:rsidR="0003578B">
        <w:t>,</w:t>
      </w:r>
      <w:r w:rsidR="006B7D6D">
        <w:t xml:space="preserve"> the Civil Aviation Safety Authority (CASA).  </w:t>
      </w:r>
    </w:p>
    <w:p w14:paraId="33E1D967" w14:textId="1D8B5E06" w:rsidR="009D5B35" w:rsidRDefault="009D5B35" w:rsidP="000F1CFF">
      <w:r>
        <w:t xml:space="preserve">The ACMA has </w:t>
      </w:r>
      <w:r w:rsidR="005B065F">
        <w:t xml:space="preserve">not only </w:t>
      </w:r>
      <w:r w:rsidR="00C35483">
        <w:t xml:space="preserve">engaged </w:t>
      </w:r>
      <w:r>
        <w:t>on the issue with relevant sector stakeholders</w:t>
      </w:r>
      <w:r w:rsidR="00C35483">
        <w:t xml:space="preserve">, </w:t>
      </w:r>
      <w:r w:rsidR="005B065F">
        <w:t>but collaborated across government</w:t>
      </w:r>
      <w:r w:rsidR="00B56DE2">
        <w:t>,</w:t>
      </w:r>
      <w:r w:rsidR="005B065F">
        <w:t xml:space="preserve"> </w:t>
      </w:r>
      <w:r w:rsidR="00C35483">
        <w:t>including</w:t>
      </w:r>
      <w:r>
        <w:t xml:space="preserve"> close cooperation with CASA, </w:t>
      </w:r>
      <w:r w:rsidR="005B065F">
        <w:t>and</w:t>
      </w:r>
      <w:r w:rsidR="005D04CA">
        <w:t xml:space="preserve"> high</w:t>
      </w:r>
      <w:r w:rsidR="00B56DE2">
        <w:t>-</w:t>
      </w:r>
      <w:r w:rsidR="005D04CA">
        <w:t>level representation from aviation and communications areas of the Department of Infrastructure, Regional Development</w:t>
      </w:r>
      <w:r w:rsidR="000078BA">
        <w:t>, Airservices Australia, and the Department of Home Affairs. These agencies support a precautionary approach and continue to work towards a solution that provides certainty for both aviation operations and the implementation of new WBB services, recognising that both are important public</w:t>
      </w:r>
      <w:r w:rsidR="00B56DE2">
        <w:t>-</w:t>
      </w:r>
      <w:r w:rsidR="000078BA">
        <w:t xml:space="preserve">interest elements for Australia. </w:t>
      </w:r>
    </w:p>
    <w:p w14:paraId="6A9BE00A" w14:textId="094BF0A0" w:rsidR="006B7D6D" w:rsidRDefault="058583C4" w:rsidP="000F1CFF">
      <w:r>
        <w:t>As part of t</w:t>
      </w:r>
      <w:r w:rsidR="00993289">
        <w:t>he TLG</w:t>
      </w:r>
      <w:r>
        <w:t xml:space="preserve"> process, the ACMA developed a report</w:t>
      </w:r>
      <w:r w:rsidR="00571092">
        <w:t>,</w:t>
      </w:r>
      <w:r>
        <w:t xml:space="preserve"> </w:t>
      </w:r>
      <w:r w:rsidRPr="629E46A2">
        <w:rPr>
          <w:i/>
          <w:iCs/>
        </w:rPr>
        <w:t xml:space="preserve">Coexistence between </w:t>
      </w:r>
      <w:r w:rsidR="009D081D">
        <w:rPr>
          <w:i/>
          <w:iCs/>
        </w:rPr>
        <w:t>r</w:t>
      </w:r>
      <w:r w:rsidRPr="629E46A2">
        <w:rPr>
          <w:i/>
          <w:iCs/>
        </w:rPr>
        <w:t xml:space="preserve">adio </w:t>
      </w:r>
      <w:r w:rsidR="009D081D">
        <w:rPr>
          <w:i/>
          <w:iCs/>
        </w:rPr>
        <w:t>a</w:t>
      </w:r>
      <w:r w:rsidRPr="629E46A2">
        <w:rPr>
          <w:i/>
          <w:iCs/>
        </w:rPr>
        <w:t>ltimeters operating in 4200</w:t>
      </w:r>
      <w:r w:rsidR="0046066B">
        <w:rPr>
          <w:i/>
          <w:iCs/>
        </w:rPr>
        <w:t>–</w:t>
      </w:r>
      <w:r w:rsidRPr="629E46A2">
        <w:rPr>
          <w:i/>
          <w:iCs/>
        </w:rPr>
        <w:t xml:space="preserve">4400 MHz and </w:t>
      </w:r>
      <w:r w:rsidR="009D081D">
        <w:rPr>
          <w:i/>
          <w:iCs/>
        </w:rPr>
        <w:t>w</w:t>
      </w:r>
      <w:r w:rsidRPr="629E46A2">
        <w:rPr>
          <w:i/>
          <w:iCs/>
        </w:rPr>
        <w:t xml:space="preserve">ireless </w:t>
      </w:r>
      <w:r w:rsidR="009D081D">
        <w:rPr>
          <w:i/>
          <w:iCs/>
        </w:rPr>
        <w:t>b</w:t>
      </w:r>
      <w:r w:rsidRPr="629E46A2">
        <w:rPr>
          <w:i/>
          <w:iCs/>
        </w:rPr>
        <w:t>roadband systems in 3400</w:t>
      </w:r>
      <w:r w:rsidR="0046066B">
        <w:rPr>
          <w:i/>
          <w:iCs/>
        </w:rPr>
        <w:t>–</w:t>
      </w:r>
      <w:r w:rsidRPr="629E46A2">
        <w:rPr>
          <w:i/>
          <w:iCs/>
        </w:rPr>
        <w:t>4000 MHz</w:t>
      </w:r>
      <w:r w:rsidR="00571092">
        <w:t xml:space="preserve">, </w:t>
      </w:r>
      <w:r>
        <w:t xml:space="preserve">which </w:t>
      </w:r>
      <w:r w:rsidR="25D5CA51">
        <w:t>is</w:t>
      </w:r>
      <w:r>
        <w:t xml:space="preserve"> published alongside this consultation paper. This report</w:t>
      </w:r>
      <w:r w:rsidR="00E60856">
        <w:t xml:space="preserve"> </w:t>
      </w:r>
      <w:r>
        <w:t xml:space="preserve">consolidates the extensive information available to assist consideration of the matter by interested </w:t>
      </w:r>
      <w:r w:rsidR="00015AC8">
        <w:t>parties and</w:t>
      </w:r>
      <w:r>
        <w:t xml:space="preserve"> outlines the ACMA’s proposed approach for coexistence. </w:t>
      </w:r>
      <w:r w:rsidR="00D00572">
        <w:t>A draft of the report was shared previously with the TLG in October 2022</w:t>
      </w:r>
      <w:r w:rsidR="00457A4F">
        <w:t>.</w:t>
      </w:r>
    </w:p>
    <w:p w14:paraId="5E15653F" w14:textId="23ECC424" w:rsidR="005A2CCB" w:rsidRDefault="005A2CCB" w:rsidP="000F1CFF">
      <w:r>
        <w:t>The theoretical studies</w:t>
      </w:r>
      <w:r w:rsidR="00D22865">
        <w:t>, controlled trial</w:t>
      </w:r>
      <w:r>
        <w:t xml:space="preserve"> and empirical evidence from real world deployments regarding the coexistence of radio altimeters and WBB do not provide a conclusive view of the actual likelihood of interference </w:t>
      </w:r>
      <w:r w:rsidR="00AA4219">
        <w:t xml:space="preserve">occurring </w:t>
      </w:r>
      <w:r>
        <w:t>to radio altimeters. Some lack of certainty and consensus on spectrum coexistence matters is not unusual</w:t>
      </w:r>
      <w:r w:rsidR="00677C91">
        <w:t xml:space="preserve">. </w:t>
      </w:r>
      <w:r w:rsidR="00444FA9">
        <w:t>H</w:t>
      </w:r>
      <w:r>
        <w:t xml:space="preserve">owever, the critical nature of radio altimeters in some use cases makes this lack of definitive evidence more challenging than usual. </w:t>
      </w:r>
    </w:p>
    <w:p w14:paraId="75D9F7E7" w14:textId="1F79E1F1" w:rsidR="005A2CCB" w:rsidRDefault="005A2CCB" w:rsidP="000F1CFF">
      <w:r>
        <w:t>Given these circumstances, the ACMA considers it appropriate to adopt a precautionary approach to the implementation of new WBB uses into this environment. This is based on the concept that the absence of definitive data to accurately determine risk likelihood and consequence (in this risk of interference to radio altimeters) should not preclude action to mitigate the possible risk through the adoption of prudent controls (i.e., regulatory measures). The consequences of excessive or unnecessary regulatory restrictions on WBB systems may, however, reduce the long-term benefits that these services</w:t>
      </w:r>
      <w:r w:rsidR="00BD16AB">
        <w:t xml:space="preserve">, including 5G, </w:t>
      </w:r>
      <w:r>
        <w:t xml:space="preserve">can provide to the Australian </w:t>
      </w:r>
      <w:r w:rsidR="00444FA9">
        <w:t>economy and society</w:t>
      </w:r>
      <w:r>
        <w:t xml:space="preserve">. </w:t>
      </w:r>
    </w:p>
    <w:p w14:paraId="63AB58A9" w14:textId="7747A71E" w:rsidR="005A2CCB" w:rsidRDefault="00C57249" w:rsidP="000F1CFF">
      <w:r>
        <w:t xml:space="preserve">While the ACMA </w:t>
      </w:r>
      <w:r w:rsidR="0038264D">
        <w:t xml:space="preserve">manages spectrum to support </w:t>
      </w:r>
      <w:r w:rsidR="005A2CCB">
        <w:t xml:space="preserve">the safe operation of radio altimeters, the ACMA is of the view that the performance of some current radio altimeters does not support the efficient planning, allocation and use of the spectrum. This is due to the need to adopt a precautionary approach </w:t>
      </w:r>
      <w:r w:rsidR="00807109">
        <w:t xml:space="preserve">by mitigation measures </w:t>
      </w:r>
      <w:r w:rsidR="00203601">
        <w:t xml:space="preserve">in technical frameworks </w:t>
      </w:r>
      <w:r w:rsidR="00C646D3">
        <w:t xml:space="preserve">to </w:t>
      </w:r>
      <w:r w:rsidR="00581E18">
        <w:t xml:space="preserve">manage WBB uses </w:t>
      </w:r>
      <w:r w:rsidR="005A2CCB">
        <w:t>operating in spectrum well away from the radio altimeter band</w:t>
      </w:r>
      <w:r w:rsidR="00581E18">
        <w:t xml:space="preserve">. </w:t>
      </w:r>
      <w:r w:rsidR="005E66DF">
        <w:t>The imposition of</w:t>
      </w:r>
      <w:r w:rsidR="00D80719">
        <w:t xml:space="preserve"> mitigation measures impacts</w:t>
      </w:r>
      <w:r w:rsidR="005A2CCB">
        <w:t xml:space="preserve"> on the </w:t>
      </w:r>
      <w:r w:rsidR="00692261">
        <w:t xml:space="preserve">overall </w:t>
      </w:r>
      <w:r w:rsidR="005A2CCB">
        <w:t xml:space="preserve">utility of the spectrum for WBB use. </w:t>
      </w:r>
      <w:r w:rsidR="004E75F2">
        <w:t>The ACMA notes</w:t>
      </w:r>
      <w:r w:rsidR="009D081D">
        <w:t>,</w:t>
      </w:r>
      <w:r w:rsidR="004E75F2">
        <w:t xml:space="preserve"> however</w:t>
      </w:r>
      <w:r w:rsidR="009D081D">
        <w:t>,</w:t>
      </w:r>
      <w:r w:rsidR="004E75F2">
        <w:t xml:space="preserve"> that the performance of radio altimeters can be significantly improved through the retrofitting of improved filters on affected radio altimeters.</w:t>
      </w:r>
    </w:p>
    <w:p w14:paraId="5F935AB9" w14:textId="62E01D72" w:rsidR="002630EA" w:rsidRDefault="00175075" w:rsidP="000F1CFF">
      <w:r>
        <w:t>An outline of the</w:t>
      </w:r>
      <w:r w:rsidRPr="00BE387A">
        <w:t xml:space="preserve"> ACMA</w:t>
      </w:r>
      <w:r>
        <w:t>’s proposed approach is summarised below</w:t>
      </w:r>
      <w:r w:rsidR="00E66C2F">
        <w:t xml:space="preserve">, </w:t>
      </w:r>
      <w:r w:rsidR="00C460E7">
        <w:t xml:space="preserve">discussed later in this paper, </w:t>
      </w:r>
      <w:r>
        <w:t>and outlined in detail (along with supporting discussion) in the</w:t>
      </w:r>
      <w:r w:rsidRPr="00BE387A">
        <w:t xml:space="preserve"> </w:t>
      </w:r>
      <w:r>
        <w:t xml:space="preserve">report </w:t>
      </w:r>
      <w:r w:rsidR="00007D7D">
        <w:t xml:space="preserve">on </w:t>
      </w:r>
      <w:r w:rsidR="00007D7D" w:rsidRPr="7D6C722F">
        <w:rPr>
          <w:i/>
          <w:iCs/>
        </w:rPr>
        <w:lastRenderedPageBreak/>
        <w:t xml:space="preserve">Coexistence between </w:t>
      </w:r>
      <w:r w:rsidR="009D081D">
        <w:rPr>
          <w:i/>
          <w:iCs/>
        </w:rPr>
        <w:t>r</w:t>
      </w:r>
      <w:r w:rsidR="00007D7D" w:rsidRPr="7D6C722F">
        <w:rPr>
          <w:i/>
          <w:iCs/>
        </w:rPr>
        <w:t xml:space="preserve">adio </w:t>
      </w:r>
      <w:r w:rsidR="009D081D">
        <w:rPr>
          <w:i/>
          <w:iCs/>
        </w:rPr>
        <w:t>a</w:t>
      </w:r>
      <w:r w:rsidR="00007D7D" w:rsidRPr="7D6C722F">
        <w:rPr>
          <w:i/>
          <w:iCs/>
        </w:rPr>
        <w:t>ltimeters operating in 4200</w:t>
      </w:r>
      <w:r w:rsidR="0046066B">
        <w:rPr>
          <w:i/>
          <w:iCs/>
        </w:rPr>
        <w:t>–</w:t>
      </w:r>
      <w:r w:rsidR="00007D7D" w:rsidRPr="7D6C722F">
        <w:rPr>
          <w:i/>
          <w:iCs/>
        </w:rPr>
        <w:t xml:space="preserve">4400 MHz and </w:t>
      </w:r>
      <w:r w:rsidR="009D081D">
        <w:rPr>
          <w:i/>
          <w:iCs/>
        </w:rPr>
        <w:t>w</w:t>
      </w:r>
      <w:r w:rsidR="00007D7D" w:rsidRPr="7D6C722F">
        <w:rPr>
          <w:i/>
          <w:iCs/>
        </w:rPr>
        <w:t xml:space="preserve">ireless </w:t>
      </w:r>
      <w:r w:rsidR="009D081D">
        <w:rPr>
          <w:i/>
          <w:iCs/>
        </w:rPr>
        <w:t>b</w:t>
      </w:r>
      <w:r w:rsidR="00007D7D" w:rsidRPr="7D6C722F">
        <w:rPr>
          <w:i/>
          <w:iCs/>
        </w:rPr>
        <w:t>roadband systems in 3400</w:t>
      </w:r>
      <w:r w:rsidR="0046066B">
        <w:rPr>
          <w:i/>
          <w:iCs/>
        </w:rPr>
        <w:t>–</w:t>
      </w:r>
      <w:r w:rsidR="00007D7D" w:rsidRPr="7D6C722F">
        <w:rPr>
          <w:i/>
          <w:iCs/>
        </w:rPr>
        <w:t>4000</w:t>
      </w:r>
      <w:r w:rsidR="00170C25">
        <w:rPr>
          <w:i/>
          <w:iCs/>
        </w:rPr>
        <w:t> </w:t>
      </w:r>
      <w:r w:rsidR="00007D7D" w:rsidRPr="7D6C722F">
        <w:rPr>
          <w:i/>
          <w:iCs/>
        </w:rPr>
        <w:t>MHz</w:t>
      </w:r>
      <w:r w:rsidR="00007D7D">
        <w:t xml:space="preserve"> </w:t>
      </w:r>
      <w:r w:rsidR="005733EF">
        <w:t>published alongside this consultation paper.</w:t>
      </w:r>
      <w:r w:rsidR="002630EA" w:rsidRPr="002630EA">
        <w:t xml:space="preserve"> </w:t>
      </w:r>
    </w:p>
    <w:p w14:paraId="5B2792C7" w14:textId="0DBF590B" w:rsidR="002630EA" w:rsidRDefault="002630EA" w:rsidP="000F1CFF">
      <w:r>
        <w:t xml:space="preserve">The core tenet of the ACMA’s proposed approach to managing coexistence between radio altimeters and WBB is based on dual obligations on the aviation and telco sectors where interim mitigations on WBB are imposed </w:t>
      </w:r>
      <w:r w:rsidR="00183C93">
        <w:t xml:space="preserve">for a </w:t>
      </w:r>
      <w:r>
        <w:t>defined period</w:t>
      </w:r>
      <w:r w:rsidR="00B10CFB">
        <w:t xml:space="preserve">, to enable </w:t>
      </w:r>
      <w:r w:rsidR="00797B57">
        <w:t>the necessary</w:t>
      </w:r>
      <w:r>
        <w:t xml:space="preserve"> </w:t>
      </w:r>
      <w:r w:rsidR="00B10CFB">
        <w:t xml:space="preserve">retrofitting of </w:t>
      </w:r>
      <w:r>
        <w:t xml:space="preserve">radio altimeters </w:t>
      </w:r>
      <w:r w:rsidR="00B10CFB">
        <w:t xml:space="preserve">to </w:t>
      </w:r>
      <w:r>
        <w:t>improve their coexistence performance. The ACMA’s proposed approached is, in principle, similar to that adopted in the US (and proposed in Canada).</w:t>
      </w:r>
      <w:r w:rsidR="00F6330E">
        <w:t xml:space="preserve"> </w:t>
      </w:r>
      <w:r w:rsidR="00F6330E" w:rsidRPr="00CB0613">
        <w:t xml:space="preserve">The ACMA has </w:t>
      </w:r>
      <w:r w:rsidR="007107DD" w:rsidRPr="00CB0613">
        <w:t>discussed th</w:t>
      </w:r>
      <w:r w:rsidR="00B10CFB" w:rsidRPr="00CB0613">
        <w:t xml:space="preserve">e detail of </w:t>
      </w:r>
      <w:r w:rsidR="00C535BF" w:rsidRPr="00CB0613">
        <w:t xml:space="preserve">the </w:t>
      </w:r>
      <w:r w:rsidR="00797B57" w:rsidRPr="00CB0613">
        <w:t>proposed approach</w:t>
      </w:r>
      <w:r w:rsidR="007107DD" w:rsidRPr="00CB0613">
        <w:t xml:space="preserve"> with CASA which has provided its support</w:t>
      </w:r>
      <w:r w:rsidR="00AD6AAD" w:rsidRPr="00CB0613">
        <w:t xml:space="preserve">, while noting discussions continue on specific </w:t>
      </w:r>
      <w:r w:rsidR="008D4E98" w:rsidRPr="00CB0613">
        <w:t xml:space="preserve">implementation </w:t>
      </w:r>
      <w:r w:rsidR="00AD6AAD" w:rsidRPr="00CB0613">
        <w:t>aspects</w:t>
      </w:r>
      <w:r w:rsidR="007107DD" w:rsidRPr="00CB0613">
        <w:t>.</w:t>
      </w:r>
    </w:p>
    <w:p w14:paraId="123C14BB" w14:textId="3DB274FD" w:rsidR="00353D40" w:rsidRDefault="00E43C18" w:rsidP="000F1CFF">
      <w:r>
        <w:t>The</w:t>
      </w:r>
      <w:r w:rsidR="00805065">
        <w:t xml:space="preserve"> </w:t>
      </w:r>
      <w:r w:rsidR="00D415CD">
        <w:t xml:space="preserve">ACMA’s </w:t>
      </w:r>
      <w:r w:rsidR="00961DC0">
        <w:t xml:space="preserve">proposed </w:t>
      </w:r>
      <w:r w:rsidR="00805065">
        <w:t xml:space="preserve">coexistence framework </w:t>
      </w:r>
      <w:r w:rsidR="00A43EEB">
        <w:t>retains a</w:t>
      </w:r>
      <w:r>
        <w:t xml:space="preserve"> 20</w:t>
      </w:r>
      <w:r w:rsidR="00617144">
        <w:t>0</w:t>
      </w:r>
      <w:r>
        <w:t xml:space="preserve"> MHz separation between WBB and radio altimeter use</w:t>
      </w:r>
      <w:r w:rsidR="005329BD">
        <w:t xml:space="preserve"> and</w:t>
      </w:r>
      <w:r>
        <w:t xml:space="preserve"> </w:t>
      </w:r>
      <w:r w:rsidR="00683525">
        <w:t xml:space="preserve">applies </w:t>
      </w:r>
      <w:r w:rsidR="009F41A4">
        <w:t xml:space="preserve">additional </w:t>
      </w:r>
      <w:r w:rsidR="004C17B1">
        <w:t xml:space="preserve">mitigations </w:t>
      </w:r>
      <w:r w:rsidR="00856731">
        <w:t xml:space="preserve">(both interim and ongoing) </w:t>
      </w:r>
      <w:r w:rsidR="00F4194C">
        <w:t>to</w:t>
      </w:r>
      <w:r w:rsidR="00617144">
        <w:t xml:space="preserve"> WBB deployments</w:t>
      </w:r>
      <w:r w:rsidR="008B71F2">
        <w:t>.</w:t>
      </w:r>
      <w:r w:rsidR="000A7921">
        <w:t xml:space="preserve"> </w:t>
      </w:r>
      <w:r w:rsidR="00856731">
        <w:t xml:space="preserve">Interim mitigations on WBB </w:t>
      </w:r>
      <w:r w:rsidR="00C05B19">
        <w:t xml:space="preserve">operating above 3800 MHz </w:t>
      </w:r>
      <w:r w:rsidR="00856731">
        <w:t>are proposed until</w:t>
      </w:r>
      <w:r w:rsidR="004C17B1">
        <w:t xml:space="preserve"> the </w:t>
      </w:r>
      <w:r w:rsidR="00856731">
        <w:t xml:space="preserve">end </w:t>
      </w:r>
      <w:r w:rsidR="004C17B1">
        <w:t xml:space="preserve">of </w:t>
      </w:r>
      <w:r w:rsidR="00A54B05">
        <w:t>March 2025</w:t>
      </w:r>
      <w:r w:rsidR="004221C8">
        <w:t>,</w:t>
      </w:r>
      <w:r w:rsidR="004C17B1">
        <w:t xml:space="preserve"> </w:t>
      </w:r>
      <w:r w:rsidR="00856731">
        <w:t xml:space="preserve">which provides </w:t>
      </w:r>
      <w:r w:rsidR="00897B0D">
        <w:t>time for</w:t>
      </w:r>
      <w:r w:rsidR="00693B0B">
        <w:t xml:space="preserve"> radio altimeters </w:t>
      </w:r>
      <w:r w:rsidR="00897B0D">
        <w:t>to be</w:t>
      </w:r>
      <w:r w:rsidR="00693B0B">
        <w:t xml:space="preserve"> retrofitted</w:t>
      </w:r>
      <w:r w:rsidR="00897B0D">
        <w:t xml:space="preserve"> with improved </w:t>
      </w:r>
      <w:r w:rsidR="00E5318D">
        <w:t>filter</w:t>
      </w:r>
      <w:r w:rsidR="00777E3B">
        <w:t xml:space="preserve"> </w:t>
      </w:r>
      <w:r w:rsidR="00694005">
        <w:t>performance</w:t>
      </w:r>
      <w:r w:rsidR="00813359">
        <w:t>. After that time</w:t>
      </w:r>
      <w:r w:rsidR="00E70DB6">
        <w:t xml:space="preserve">, ACMA expects </w:t>
      </w:r>
      <w:r w:rsidR="008A0D21">
        <w:t xml:space="preserve">to remove the </w:t>
      </w:r>
      <w:r w:rsidR="00A43EEB">
        <w:t>interim mitigations</w:t>
      </w:r>
      <w:r w:rsidR="00897B0D">
        <w:t xml:space="preserve">. </w:t>
      </w:r>
      <w:r w:rsidR="0019255D">
        <w:t xml:space="preserve">These interim </w:t>
      </w:r>
      <w:r w:rsidR="009069EB">
        <w:t>mitigations</w:t>
      </w:r>
      <w:r w:rsidR="0019255D">
        <w:t xml:space="preserve"> include </w:t>
      </w:r>
      <w:r w:rsidR="009069EB">
        <w:t>measures</w:t>
      </w:r>
      <w:r w:rsidR="0019255D">
        <w:t xml:space="preserve"> </w:t>
      </w:r>
      <w:r w:rsidR="009069EB">
        <w:t>around</w:t>
      </w:r>
      <w:r w:rsidR="0019255D">
        <w:t xml:space="preserve"> specific </w:t>
      </w:r>
      <w:r w:rsidR="009069EB">
        <w:t xml:space="preserve">runways and </w:t>
      </w:r>
      <w:r w:rsidR="00694005">
        <w:t xml:space="preserve">some that apply </w:t>
      </w:r>
      <w:r w:rsidR="009069EB">
        <w:t>general</w:t>
      </w:r>
      <w:r w:rsidR="00694005">
        <w:t>ly to</w:t>
      </w:r>
      <w:r w:rsidR="009069EB">
        <w:t xml:space="preserve"> deployments everywhere. </w:t>
      </w:r>
    </w:p>
    <w:p w14:paraId="4917E393" w14:textId="7547F371" w:rsidR="00E43C18" w:rsidRDefault="00353D40" w:rsidP="000F1CFF">
      <w:r>
        <w:t xml:space="preserve">Other </w:t>
      </w:r>
      <w:r w:rsidR="00AE7B3F">
        <w:t xml:space="preserve">ongoing </w:t>
      </w:r>
      <w:r w:rsidR="001A7E1B">
        <w:t xml:space="preserve">measures </w:t>
      </w:r>
      <w:r w:rsidR="008E38E1">
        <w:t xml:space="preserve">applying to WBB above 3800 </w:t>
      </w:r>
      <w:r w:rsidR="001426CC">
        <w:t xml:space="preserve">MHz </w:t>
      </w:r>
      <w:r w:rsidR="001A7E1B">
        <w:t xml:space="preserve">(in </w:t>
      </w:r>
      <w:r w:rsidR="001B4B99">
        <w:t>addition</w:t>
      </w:r>
      <w:r w:rsidR="001A7E1B">
        <w:t xml:space="preserve"> to the 200 MHz separation</w:t>
      </w:r>
      <w:r w:rsidR="001B4B99">
        <w:t xml:space="preserve"> already mentioned) include in-band and unwanted </w:t>
      </w:r>
      <w:r w:rsidR="00541A16">
        <w:t>power limits.</w:t>
      </w:r>
    </w:p>
    <w:p w14:paraId="529DDEBF" w14:textId="44790629" w:rsidR="007E3223" w:rsidRDefault="0076745E" w:rsidP="000F1CFF">
      <w:r>
        <w:t>In proposing th</w:t>
      </w:r>
      <w:r w:rsidR="00A10628">
        <w:t>is approach, w</w:t>
      </w:r>
      <w:r w:rsidR="003B2CEC" w:rsidRPr="003B2CEC">
        <w:t xml:space="preserve">e </w:t>
      </w:r>
      <w:r w:rsidR="009069EB">
        <w:t>acknowledge</w:t>
      </w:r>
      <w:r w:rsidR="003B2CEC" w:rsidRPr="003B2CEC">
        <w:t xml:space="preserve"> </w:t>
      </w:r>
      <w:r w:rsidR="00A10628">
        <w:t xml:space="preserve">that retrofitting radio altimeters to improve their filter performance will </w:t>
      </w:r>
      <w:r w:rsidR="00333AA6">
        <w:t xml:space="preserve">impose costs </w:t>
      </w:r>
      <w:r w:rsidR="00EE1C8D">
        <w:t>on the</w:t>
      </w:r>
      <w:r w:rsidR="00731736">
        <w:t xml:space="preserve"> aviation sector</w:t>
      </w:r>
      <w:r w:rsidR="009605D8">
        <w:t xml:space="preserve">, as will the imposition of interim mitigations </w:t>
      </w:r>
      <w:r w:rsidR="00333AA6">
        <w:t xml:space="preserve">impose </w:t>
      </w:r>
      <w:r w:rsidR="009605D8">
        <w:t>costs on WBB deployment during this period</w:t>
      </w:r>
      <w:r w:rsidR="00731736">
        <w:t xml:space="preserve">. We are aware of </w:t>
      </w:r>
      <w:r w:rsidR="003B2CEC" w:rsidRPr="003B2CEC">
        <w:t xml:space="preserve">estimated retrofit costs published by the US </w:t>
      </w:r>
      <w:r w:rsidR="00731736">
        <w:t>F</w:t>
      </w:r>
      <w:r w:rsidR="003B2CEC" w:rsidRPr="003B2CEC">
        <w:t xml:space="preserve">ederal </w:t>
      </w:r>
      <w:r w:rsidR="00731736">
        <w:t>A</w:t>
      </w:r>
      <w:r w:rsidR="003B2CEC" w:rsidRPr="003B2CEC">
        <w:t xml:space="preserve">viation </w:t>
      </w:r>
      <w:r w:rsidR="009605D8">
        <w:t>A</w:t>
      </w:r>
      <w:r w:rsidR="003B2CEC" w:rsidRPr="003B2CEC">
        <w:t xml:space="preserve">uthority </w:t>
      </w:r>
      <w:r w:rsidR="0067000D">
        <w:t xml:space="preserve">(FAA) </w:t>
      </w:r>
      <w:r w:rsidR="003B2CEC" w:rsidRPr="003B2CEC">
        <w:t>and consider them a useful guide. The FAA total estimated average cost per aircraft is US$25</w:t>
      </w:r>
      <w:r w:rsidR="00A900C0">
        <w:t>,</w:t>
      </w:r>
      <w:r w:rsidR="003B2CEC" w:rsidRPr="003B2CEC">
        <w:t xml:space="preserve">000 per remaining aircraft from an original affected fleet of 7993. </w:t>
      </w:r>
      <w:r w:rsidR="006859C8">
        <w:t>The t</w:t>
      </w:r>
      <w:r w:rsidR="003B2CEC" w:rsidRPr="003B2CEC">
        <w:t>otal cost</w:t>
      </w:r>
      <w:r w:rsidR="00205AEC">
        <w:t xml:space="preserve"> </w:t>
      </w:r>
      <w:r w:rsidR="00205AEC" w:rsidRPr="00CF6871">
        <w:t xml:space="preserve">is likely to be significantly less in Australia due to having a smaller fleet and </w:t>
      </w:r>
      <w:r w:rsidR="00F5633C">
        <w:t>fewer</w:t>
      </w:r>
      <w:r w:rsidR="00F5633C" w:rsidRPr="00CF6871">
        <w:t xml:space="preserve"> </w:t>
      </w:r>
      <w:r w:rsidR="00205AEC" w:rsidRPr="00CF6871">
        <w:t>affected aircraft</w:t>
      </w:r>
      <w:r w:rsidR="00205AEC">
        <w:t xml:space="preserve">. We do want to use this consultation to elicit better cost </w:t>
      </w:r>
      <w:r w:rsidR="00303D2C">
        <w:t>implications on both aviation and WBB sectors</w:t>
      </w:r>
      <w:r w:rsidR="00205AEC">
        <w:t xml:space="preserve">, and other specific information on the issue using the attached targeted questions to stimulate responses. </w:t>
      </w:r>
    </w:p>
    <w:p w14:paraId="5E2108B6" w14:textId="77777777" w:rsidR="00205AEC" w:rsidRDefault="00205AEC" w:rsidP="00263BEA">
      <w:pPr>
        <w:pStyle w:val="Paragraph"/>
        <w:ind w:right="992"/>
      </w:pPr>
    </w:p>
    <w:p w14:paraId="1585119F" w14:textId="7B1C0E2D" w:rsidR="00715722" w:rsidRPr="00E162C4" w:rsidRDefault="00715722" w:rsidP="00181003">
      <w:pPr>
        <w:pStyle w:val="Heading1"/>
      </w:pPr>
      <w:bookmarkStart w:id="5" w:name="_Toc126917754"/>
      <w:r w:rsidRPr="00E162C4">
        <w:lastRenderedPageBreak/>
        <w:t>Issues for comment</w:t>
      </w:r>
      <w:bookmarkEnd w:id="2"/>
      <w:bookmarkEnd w:id="5"/>
    </w:p>
    <w:p w14:paraId="53F617AA" w14:textId="2FA5BCC1" w:rsidR="00CA7027" w:rsidRDefault="00CA7027" w:rsidP="00181003">
      <w:pPr>
        <w:pStyle w:val="Paragraphbeforelist"/>
      </w:pPr>
      <w:r w:rsidRPr="00023A36">
        <w:t>The ACMA invites comments on the issues set out in this paper</w:t>
      </w:r>
      <w:r>
        <w:t>, summarised below. Further detail about these issues can be found in the body of the paper.</w:t>
      </w:r>
    </w:p>
    <w:p w14:paraId="7C56BCD1" w14:textId="0652955A" w:rsidR="00E44B40" w:rsidRDefault="00EA09E7" w:rsidP="00181003">
      <w:pPr>
        <w:pStyle w:val="Heading2"/>
      </w:pPr>
      <w:bookmarkStart w:id="6" w:name="_Toc69301109"/>
      <w:bookmarkStart w:id="7" w:name="_Toc126917755"/>
      <w:r w:rsidRPr="00E509A8">
        <w:t>Draft marketing plan</w:t>
      </w:r>
      <w:bookmarkEnd w:id="6"/>
      <w:bookmarkEnd w:id="7"/>
    </w:p>
    <w:p w14:paraId="41E47560" w14:textId="3243473D" w:rsidR="00CC0930" w:rsidRDefault="005241EB" w:rsidP="00181003">
      <w:pPr>
        <w:pStyle w:val="Numberlistlevel1"/>
        <w:numPr>
          <w:ilvl w:val="0"/>
          <w:numId w:val="47"/>
        </w:numPr>
      </w:pPr>
      <w:r w:rsidRPr="5DEB285C">
        <w:rPr>
          <w:b/>
        </w:rPr>
        <w:t xml:space="preserve">Licence </w:t>
      </w:r>
      <w:r w:rsidR="14EBB610" w:rsidRPr="2A28728A">
        <w:rPr>
          <w:b/>
          <w:bCs/>
        </w:rPr>
        <w:t xml:space="preserve">commencement and </w:t>
      </w:r>
      <w:r w:rsidR="00C85919" w:rsidRPr="5DEB285C">
        <w:rPr>
          <w:b/>
        </w:rPr>
        <w:t>duration</w:t>
      </w:r>
      <w:r w:rsidRPr="00181003">
        <w:rPr>
          <w:b/>
          <w:bCs/>
        </w:rPr>
        <w:t>:</w:t>
      </w:r>
      <w:r>
        <w:t xml:space="preserve"> </w:t>
      </w:r>
      <w:r w:rsidR="00B62925">
        <w:t xml:space="preserve">we seek </w:t>
      </w:r>
      <w:r w:rsidR="00E27A3E">
        <w:t xml:space="preserve">comments on our preliminary </w:t>
      </w:r>
      <w:r w:rsidR="205FF571">
        <w:t>view</w:t>
      </w:r>
      <w:r w:rsidR="35EEB242">
        <w:t>s</w:t>
      </w:r>
      <w:r w:rsidR="001C14C7">
        <w:t xml:space="preserve"> that</w:t>
      </w:r>
      <w:r w:rsidR="00CC0930">
        <w:t>:</w:t>
      </w:r>
    </w:p>
    <w:p w14:paraId="05EC830E" w14:textId="541FF253" w:rsidR="007D1BFF" w:rsidRDefault="007D1BFF" w:rsidP="007D1BFF">
      <w:pPr>
        <w:pStyle w:val="Bulletlevel2"/>
      </w:pPr>
      <w:r>
        <w:t xml:space="preserve">3.4 GHz licences will commence as soon as possible after a winning bidder pays its spectrum access charge. The expiry date will be </w:t>
      </w:r>
      <w:r w:rsidR="00B56DE2">
        <w:br/>
      </w:r>
      <w:r>
        <w:t xml:space="preserve">13 December 2030 (approximately 7 years), to align with existing </w:t>
      </w:r>
      <w:r w:rsidR="00B56DE2">
        <w:br/>
      </w:r>
      <w:r>
        <w:t>3.4 GHz band licences.</w:t>
      </w:r>
    </w:p>
    <w:p w14:paraId="5D6C5FE4" w14:textId="77777777" w:rsidR="007D1BFF" w:rsidRDefault="007D1BFF" w:rsidP="007D1BFF">
      <w:pPr>
        <w:pStyle w:val="Bulletlevel2"/>
      </w:pPr>
      <w:r>
        <w:t>Subject to the payment of the spectrum access charge, 3.7 GHz licences will commence 8 weeks after publication of the auction results for a term of 20 years, the maximum allowable under subsection 65(3) of the Act.</w:t>
      </w:r>
    </w:p>
    <w:p w14:paraId="02553773" w14:textId="1A3CDB45" w:rsidR="00842D62" w:rsidRPr="00842D62" w:rsidRDefault="00444AB3" w:rsidP="00181003">
      <w:pPr>
        <w:pStyle w:val="Numberlistlevel1"/>
        <w:numPr>
          <w:ilvl w:val="0"/>
          <w:numId w:val="47"/>
        </w:numPr>
        <w:rPr>
          <w:rStyle w:val="eop"/>
          <w:rFonts w:cs="Arial"/>
        </w:rPr>
      </w:pPr>
      <w:r w:rsidRPr="001A2B17">
        <w:rPr>
          <w:b/>
        </w:rPr>
        <w:t>Licence renewal</w:t>
      </w:r>
      <w:r w:rsidR="008F64FE" w:rsidRPr="001A2B17">
        <w:rPr>
          <w:b/>
        </w:rPr>
        <w:t xml:space="preserve"> </w:t>
      </w:r>
      <w:r w:rsidRPr="001A2B17">
        <w:rPr>
          <w:b/>
        </w:rPr>
        <w:t>s</w:t>
      </w:r>
      <w:r w:rsidR="008F64FE" w:rsidRPr="001A2B17">
        <w:rPr>
          <w:b/>
        </w:rPr>
        <w:t>tatements</w:t>
      </w:r>
      <w:r w:rsidR="00E44B40" w:rsidRPr="00181003">
        <w:rPr>
          <w:b/>
          <w:bCs/>
        </w:rPr>
        <w:t>:</w:t>
      </w:r>
      <w:r w:rsidR="00E44B40" w:rsidRPr="00E162C4">
        <w:t xml:space="preserve"> </w:t>
      </w:r>
      <w:r w:rsidR="004109FD">
        <w:t>w</w:t>
      </w:r>
      <w:r w:rsidR="00E44B40" w:rsidRPr="00E162C4">
        <w:t xml:space="preserve">e seek </w:t>
      </w:r>
      <w:r w:rsidR="00AD0A0F">
        <w:t>comments on our preliminary view</w:t>
      </w:r>
      <w:r w:rsidR="001A2B17">
        <w:t>s</w:t>
      </w:r>
      <w:r w:rsidR="00D6496A">
        <w:t xml:space="preserve"> </w:t>
      </w:r>
      <w:r w:rsidR="001A2B17">
        <w:rPr>
          <w:rStyle w:val="normaltextrun"/>
          <w:rFonts w:cs="Arial"/>
          <w:color w:val="000000"/>
          <w:szCs w:val="20"/>
        </w:rPr>
        <w:t>to include the following statements in spectrum licences issued as a result of the 3.4/3.7 GHz bands auction:</w:t>
      </w:r>
      <w:r w:rsidR="001A2B17">
        <w:rPr>
          <w:rStyle w:val="eop"/>
          <w:rFonts w:cs="Arial"/>
          <w:color w:val="000000"/>
          <w:szCs w:val="20"/>
        </w:rPr>
        <w:t> </w:t>
      </w:r>
      <w:r w:rsidR="00842D62">
        <w:rPr>
          <w:rStyle w:val="eop"/>
          <w:rFonts w:cs="Arial"/>
          <w:color w:val="000000"/>
          <w:szCs w:val="20"/>
        </w:rPr>
        <w:tab/>
      </w:r>
    </w:p>
    <w:p w14:paraId="4D16D3C7" w14:textId="52FA0CAB" w:rsidR="00842D62" w:rsidRDefault="00427AFB" w:rsidP="00181003">
      <w:pPr>
        <w:pStyle w:val="Bulletlevel2"/>
        <w:rPr>
          <w:rStyle w:val="eop"/>
          <w:rFonts w:cs="Times New Roman"/>
        </w:rPr>
      </w:pPr>
      <w:r w:rsidRPr="00427AFB">
        <w:rPr>
          <w:rStyle w:val="eop"/>
          <w:rFonts w:cs="Times New Roman"/>
        </w:rPr>
        <w:t>For spectrum licences in the 3.4 GHz band:</w:t>
      </w:r>
    </w:p>
    <w:p w14:paraId="6D8A91E7" w14:textId="0E0EA97C" w:rsidR="00B50626" w:rsidRPr="00B50626" w:rsidRDefault="00B50626" w:rsidP="00181003">
      <w:pPr>
        <w:pStyle w:val="Bulletlevel2"/>
        <w:numPr>
          <w:ilvl w:val="1"/>
          <w:numId w:val="153"/>
        </w:numPr>
        <w:rPr>
          <w:rStyle w:val="eop"/>
          <w:rFonts w:cs="Times New Roman"/>
        </w:rPr>
      </w:pPr>
      <w:r w:rsidRPr="00B50626">
        <w:rPr>
          <w:rStyle w:val="eop"/>
          <w:rFonts w:cs="Times New Roman"/>
        </w:rPr>
        <w:t xml:space="preserve">The spectrum licences may be renewed at the ACMA’s discretion.  </w:t>
      </w:r>
    </w:p>
    <w:p w14:paraId="09AAE199" w14:textId="5BBA4688" w:rsidR="00B50626" w:rsidRPr="00B50626" w:rsidRDefault="00B50626" w:rsidP="00181003">
      <w:pPr>
        <w:pStyle w:val="Bulletlevel2"/>
        <w:numPr>
          <w:ilvl w:val="1"/>
          <w:numId w:val="153"/>
        </w:numPr>
        <w:rPr>
          <w:rStyle w:val="eop"/>
          <w:rFonts w:cs="Times New Roman"/>
        </w:rPr>
      </w:pPr>
      <w:r w:rsidRPr="00B50626">
        <w:rPr>
          <w:rStyle w:val="eop"/>
          <w:rFonts w:cs="Times New Roman"/>
        </w:rPr>
        <w:t>A renewal application period of 13 December 2028 to 12</w:t>
      </w:r>
      <w:r w:rsidR="001C0144">
        <w:rPr>
          <w:rStyle w:val="eop"/>
          <w:rFonts w:cs="Times New Roman"/>
        </w:rPr>
        <w:t> </w:t>
      </w:r>
      <w:r w:rsidRPr="00B50626">
        <w:rPr>
          <w:rStyle w:val="eop"/>
          <w:rFonts w:cs="Times New Roman"/>
        </w:rPr>
        <w:t xml:space="preserve">December 2030 (a period of 2 years before licence expiry).  </w:t>
      </w:r>
    </w:p>
    <w:p w14:paraId="5EAFBCCF" w14:textId="287061C8" w:rsidR="00B50626" w:rsidRPr="00B50626" w:rsidRDefault="00B50626" w:rsidP="00181003">
      <w:pPr>
        <w:pStyle w:val="Bulletlevel2"/>
        <w:numPr>
          <w:ilvl w:val="1"/>
          <w:numId w:val="153"/>
        </w:numPr>
        <w:rPr>
          <w:rStyle w:val="eop"/>
          <w:rFonts w:cs="Times New Roman"/>
        </w:rPr>
      </w:pPr>
      <w:r w:rsidRPr="00B50626">
        <w:rPr>
          <w:rStyle w:val="eop"/>
          <w:rFonts w:cs="Times New Roman"/>
        </w:rPr>
        <w:t>A renewal decision-making period of 6 months after receiving an application for renewal of the licence</w:t>
      </w:r>
      <w:r w:rsidR="219AE3DF" w:rsidRPr="298A72D8">
        <w:rPr>
          <w:rStyle w:val="eop"/>
          <w:rFonts w:cs="Times New Roman"/>
        </w:rPr>
        <w:t>.</w:t>
      </w:r>
    </w:p>
    <w:p w14:paraId="18B41FA9" w14:textId="16EB469D" w:rsidR="00812CBC" w:rsidRDefault="00B50626" w:rsidP="00181003">
      <w:pPr>
        <w:pStyle w:val="Bulletlevel2"/>
        <w:numPr>
          <w:ilvl w:val="1"/>
          <w:numId w:val="153"/>
        </w:numPr>
        <w:spacing w:after="240"/>
        <w:ind w:left="2115" w:hanging="357"/>
        <w:rPr>
          <w:rStyle w:val="eop"/>
          <w:rFonts w:cs="Times New Roman"/>
        </w:rPr>
      </w:pPr>
      <w:r w:rsidRPr="00B50626">
        <w:rPr>
          <w:rStyle w:val="eop"/>
          <w:rFonts w:cs="Times New Roman"/>
        </w:rPr>
        <w:t>There will be a public interest statement.</w:t>
      </w:r>
    </w:p>
    <w:p w14:paraId="61AD62EB" w14:textId="5354C45D" w:rsidR="00427AFB" w:rsidRPr="00B50626" w:rsidRDefault="00812CBC" w:rsidP="00181003">
      <w:pPr>
        <w:pStyle w:val="Bulletlevel2"/>
        <w:rPr>
          <w:rStyle w:val="eop"/>
          <w:rFonts w:cs="Times New Roman"/>
        </w:rPr>
      </w:pPr>
      <w:r w:rsidRPr="00812CBC">
        <w:rPr>
          <w:rStyle w:val="normaltextrun"/>
          <w:color w:val="000000"/>
          <w:szCs w:val="20"/>
        </w:rPr>
        <w:t>For spectrum licences in the 3.7 GHz band:</w:t>
      </w:r>
      <w:r w:rsidRPr="00812CBC">
        <w:rPr>
          <w:rStyle w:val="eop"/>
          <w:color w:val="000000"/>
          <w:szCs w:val="20"/>
        </w:rPr>
        <w:t> </w:t>
      </w:r>
    </w:p>
    <w:p w14:paraId="47E714C6" w14:textId="77777777" w:rsidR="00762483" w:rsidRPr="00762483" w:rsidRDefault="00762483" w:rsidP="00181003">
      <w:pPr>
        <w:pStyle w:val="Bulletlevel2"/>
        <w:numPr>
          <w:ilvl w:val="1"/>
          <w:numId w:val="154"/>
        </w:numPr>
        <w:rPr>
          <w:rStyle w:val="eop"/>
          <w:rFonts w:cs="Times New Roman"/>
        </w:rPr>
      </w:pPr>
      <w:r w:rsidRPr="00762483">
        <w:rPr>
          <w:rStyle w:val="eop"/>
          <w:rFonts w:cs="Times New Roman"/>
        </w:rPr>
        <w:t xml:space="preserve">The spectrum licences may be renewed at the ACMA’s discretion.  </w:t>
      </w:r>
    </w:p>
    <w:p w14:paraId="0714CA12" w14:textId="61BC1F5E" w:rsidR="00762483" w:rsidRPr="00762483" w:rsidRDefault="00762483" w:rsidP="00181003">
      <w:pPr>
        <w:pStyle w:val="Bulletlevel2"/>
        <w:numPr>
          <w:ilvl w:val="1"/>
          <w:numId w:val="154"/>
        </w:numPr>
        <w:rPr>
          <w:rStyle w:val="eop"/>
          <w:rFonts w:cs="Times New Roman"/>
        </w:rPr>
      </w:pPr>
      <w:r w:rsidRPr="00762483">
        <w:rPr>
          <w:rStyle w:val="eop"/>
          <w:rFonts w:cs="Times New Roman"/>
        </w:rPr>
        <w:t xml:space="preserve">A renewal application period of </w:t>
      </w:r>
      <w:r w:rsidR="001C0144">
        <w:rPr>
          <w:rStyle w:val="eop"/>
          <w:rFonts w:cs="Times New Roman"/>
        </w:rPr>
        <w:t>one</w:t>
      </w:r>
      <w:r w:rsidRPr="00762483">
        <w:rPr>
          <w:rStyle w:val="eop"/>
          <w:rFonts w:cs="Times New Roman"/>
        </w:rPr>
        <w:t xml:space="preserve"> year, commencing 5 years before licence expiry. </w:t>
      </w:r>
    </w:p>
    <w:p w14:paraId="4398DBB9" w14:textId="65D25ABC" w:rsidR="00762483" w:rsidRPr="00762483" w:rsidRDefault="00762483" w:rsidP="00181003">
      <w:pPr>
        <w:pStyle w:val="Bulletlevel2"/>
        <w:numPr>
          <w:ilvl w:val="1"/>
          <w:numId w:val="154"/>
        </w:numPr>
        <w:rPr>
          <w:rStyle w:val="eop"/>
          <w:rFonts w:cs="Times New Roman"/>
        </w:rPr>
      </w:pPr>
      <w:r w:rsidRPr="00762483">
        <w:rPr>
          <w:rStyle w:val="eop"/>
          <w:rFonts w:cs="Times New Roman"/>
        </w:rPr>
        <w:t>A renewal decision-making period of 2 years, commencing immediately after the renewal application period</w:t>
      </w:r>
      <w:r w:rsidR="72CF2989" w:rsidRPr="5ABF481A">
        <w:rPr>
          <w:rStyle w:val="eop"/>
          <w:rFonts w:cs="Times New Roman"/>
        </w:rPr>
        <w:t>.</w:t>
      </w:r>
    </w:p>
    <w:p w14:paraId="55E02AA7" w14:textId="014E328F" w:rsidR="00B50626" w:rsidRPr="00762483" w:rsidRDefault="00762483" w:rsidP="00181003">
      <w:pPr>
        <w:pStyle w:val="Bulletlevel2last"/>
        <w:numPr>
          <w:ilvl w:val="1"/>
          <w:numId w:val="154"/>
        </w:numPr>
        <w:rPr>
          <w:rStyle w:val="eop"/>
          <w:rFonts w:cs="Times New Roman"/>
        </w:rPr>
      </w:pPr>
      <w:r w:rsidRPr="00762483">
        <w:rPr>
          <w:rStyle w:val="eop"/>
          <w:rFonts w:cs="Times New Roman"/>
        </w:rPr>
        <w:t xml:space="preserve">There will be no public interest statement.  </w:t>
      </w:r>
    </w:p>
    <w:p w14:paraId="2C33204A" w14:textId="5AA7CEDF" w:rsidR="001A3981" w:rsidRDefault="00EE446F" w:rsidP="00181003">
      <w:pPr>
        <w:pStyle w:val="Numberlistlevel1"/>
        <w:numPr>
          <w:ilvl w:val="0"/>
          <w:numId w:val="47"/>
        </w:numPr>
      </w:pPr>
      <w:r w:rsidRPr="001A2B17">
        <w:rPr>
          <w:b/>
        </w:rPr>
        <w:t>Frequency lot configuratio</w:t>
      </w:r>
      <w:r w:rsidRPr="006A4748">
        <w:rPr>
          <w:b/>
        </w:rPr>
        <w:t>n</w:t>
      </w:r>
      <w:r w:rsidRPr="00181003">
        <w:rPr>
          <w:b/>
        </w:rPr>
        <w:t>:</w:t>
      </w:r>
      <w:r>
        <w:t xml:space="preserve"> we seek comments on </w:t>
      </w:r>
      <w:r w:rsidR="00EA007D">
        <w:t>the following proposed</w:t>
      </w:r>
      <w:r w:rsidR="00AC2D11">
        <w:t xml:space="preserve"> lot sizes:</w:t>
      </w:r>
    </w:p>
    <w:p w14:paraId="274478F4" w14:textId="29CC54B8" w:rsidR="00AC2D11" w:rsidRDefault="00A45C64" w:rsidP="00181003">
      <w:pPr>
        <w:pStyle w:val="Bulletlevel2"/>
      </w:pPr>
      <w:r>
        <w:t>g</w:t>
      </w:r>
      <w:r w:rsidR="00AC2D11">
        <w:t>eneric lots – 5 MHz</w:t>
      </w:r>
    </w:p>
    <w:p w14:paraId="3ECCC051" w14:textId="42B5FBC2" w:rsidR="00AC2D11" w:rsidRDefault="00A45C64" w:rsidP="00181003">
      <w:pPr>
        <w:pStyle w:val="Bulletlevel2last"/>
      </w:pPr>
      <w:r>
        <w:t>l</w:t>
      </w:r>
      <w:r w:rsidR="00593EF5">
        <w:t>eftover lots – 2.5 MHz</w:t>
      </w:r>
      <w:r>
        <w:t>.</w:t>
      </w:r>
    </w:p>
    <w:p w14:paraId="7880CE5B" w14:textId="5B78833B" w:rsidR="002D570D" w:rsidRDefault="00593EF5" w:rsidP="00181003">
      <w:pPr>
        <w:pStyle w:val="Numberlistlevel1"/>
        <w:numPr>
          <w:ilvl w:val="0"/>
          <w:numId w:val="47"/>
        </w:numPr>
      </w:pPr>
      <w:r w:rsidRPr="5DEB285C">
        <w:rPr>
          <w:b/>
        </w:rPr>
        <w:t>Geographic lot configuration</w:t>
      </w:r>
      <w:r w:rsidRPr="00181003">
        <w:rPr>
          <w:b/>
          <w:bCs/>
        </w:rPr>
        <w:t>:</w:t>
      </w:r>
      <w:r>
        <w:t xml:space="preserve"> </w:t>
      </w:r>
      <w:r w:rsidR="002D570D">
        <w:t>We seek views on our proposal to:</w:t>
      </w:r>
    </w:p>
    <w:p w14:paraId="007970CC" w14:textId="78450B78" w:rsidR="002D570D" w:rsidRDefault="002D570D" w:rsidP="00181003">
      <w:pPr>
        <w:pStyle w:val="Bulletlevel2"/>
      </w:pPr>
      <w:r>
        <w:t xml:space="preserve">Disaggregate the Rural Australia </w:t>
      </w:r>
      <w:r w:rsidR="00811063">
        <w:t>area</w:t>
      </w:r>
      <w:r>
        <w:t xml:space="preserve"> in both the 3.4 GHz and 3.7</w:t>
      </w:r>
      <w:r w:rsidR="00C23EA0">
        <w:t> </w:t>
      </w:r>
      <w:r>
        <w:t>GHz bands according to the 3.6 GHz regional boundaries.</w:t>
      </w:r>
    </w:p>
    <w:p w14:paraId="4DE8FFC6" w14:textId="77777777" w:rsidR="002D570D" w:rsidRDefault="002D570D" w:rsidP="00181003">
      <w:pPr>
        <w:pStyle w:val="Bulletlevel2"/>
      </w:pPr>
      <w:r>
        <w:t>Configure the regional areas in 3700–3800 MHz as follows:</w:t>
      </w:r>
    </w:p>
    <w:p w14:paraId="7EA93B93" w14:textId="4A018A31" w:rsidR="002D570D" w:rsidRPr="003E7545" w:rsidRDefault="002D570D" w:rsidP="003B2259">
      <w:pPr>
        <w:pStyle w:val="Bulletlevel2"/>
        <w:numPr>
          <w:ilvl w:val="1"/>
          <w:numId w:val="157"/>
        </w:numPr>
      </w:pPr>
      <w:r w:rsidRPr="003E7545">
        <w:t>3700–3750 MHz: aligned with 3.6 GHz regional areas</w:t>
      </w:r>
      <w:r w:rsidR="3A0BBBC6">
        <w:t>.</w:t>
      </w:r>
    </w:p>
    <w:p w14:paraId="3D5F6A3E" w14:textId="58364D45" w:rsidR="002D570D" w:rsidRPr="003E7545" w:rsidRDefault="002D570D" w:rsidP="003B2259">
      <w:pPr>
        <w:pStyle w:val="Bulletlevel2"/>
        <w:numPr>
          <w:ilvl w:val="1"/>
          <w:numId w:val="157"/>
        </w:numPr>
      </w:pPr>
      <w:r w:rsidRPr="003E7545">
        <w:t>3750–3800 MHz</w:t>
      </w:r>
      <w:r w:rsidR="0014234F">
        <w:t>:</w:t>
      </w:r>
    </w:p>
    <w:p w14:paraId="107B9F79" w14:textId="2BC46FB0" w:rsidR="002D570D" w:rsidRDefault="002D570D" w:rsidP="003B2259">
      <w:pPr>
        <w:pStyle w:val="Bulletlevel2"/>
        <w:numPr>
          <w:ilvl w:val="2"/>
          <w:numId w:val="158"/>
        </w:numPr>
        <w:ind w:left="2552"/>
      </w:pPr>
      <w:r>
        <w:lastRenderedPageBreak/>
        <w:t>Queensland and Victoria: Regional Area 2 (RA2) + Major Regional Centres 1 (MRC1)</w:t>
      </w:r>
    </w:p>
    <w:p w14:paraId="71A19B5A" w14:textId="10AD9C52" w:rsidR="002D570D" w:rsidRDefault="002D570D" w:rsidP="00E0705C">
      <w:pPr>
        <w:pStyle w:val="Bulletlevel2"/>
        <w:numPr>
          <w:ilvl w:val="2"/>
          <w:numId w:val="158"/>
        </w:numPr>
        <w:ind w:left="2552" w:right="992"/>
      </w:pPr>
      <w:r>
        <w:t>Other regional areas: RA2</w:t>
      </w:r>
      <w:r w:rsidR="31110402">
        <w:t>.</w:t>
      </w:r>
    </w:p>
    <w:p w14:paraId="5FD1C6F3" w14:textId="30475CAE" w:rsidR="002D570D" w:rsidRDefault="002D570D" w:rsidP="00E0705C">
      <w:pPr>
        <w:pStyle w:val="Bulletlevel2"/>
      </w:pPr>
      <w:r>
        <w:t>Configure the metropolitan areas as independent products</w:t>
      </w:r>
      <w:r w:rsidR="00D311B8">
        <w:t>.</w:t>
      </w:r>
    </w:p>
    <w:p w14:paraId="0DCA50D7" w14:textId="3EC5FB95" w:rsidR="002D570D" w:rsidRDefault="002D570D" w:rsidP="00E0705C">
      <w:pPr>
        <w:pStyle w:val="Bulletlevel2"/>
      </w:pPr>
      <w:r>
        <w:t>Aggregate the Regional WA south and Regional WA central areas in 3475–3510 MHz and 3700–3800 MHz.</w:t>
      </w:r>
    </w:p>
    <w:p w14:paraId="258C058C" w14:textId="77777777" w:rsidR="002D570D" w:rsidRDefault="002D570D" w:rsidP="00E0705C">
      <w:pPr>
        <w:pStyle w:val="Bulletlevel2"/>
      </w:pPr>
      <w:r>
        <w:t>Aggregate Tamworth with surrounding areas as follows:</w:t>
      </w:r>
    </w:p>
    <w:p w14:paraId="07BDA39B" w14:textId="12623551" w:rsidR="002D570D" w:rsidRDefault="002D570D" w:rsidP="004C06A5">
      <w:pPr>
        <w:pStyle w:val="Bulletlevel2"/>
        <w:numPr>
          <w:ilvl w:val="1"/>
          <w:numId w:val="159"/>
        </w:numPr>
      </w:pPr>
      <w:r>
        <w:t>3400–3575 MHz: aggregate with Regional NSW south and Quirindi East</w:t>
      </w:r>
      <w:r w:rsidR="00D311B8">
        <w:t>.</w:t>
      </w:r>
    </w:p>
    <w:p w14:paraId="113A1953" w14:textId="28E8848C" w:rsidR="002D570D" w:rsidRDefault="002D570D" w:rsidP="004C06A5">
      <w:pPr>
        <w:pStyle w:val="Bulletlevel2"/>
        <w:numPr>
          <w:ilvl w:val="1"/>
          <w:numId w:val="159"/>
        </w:numPr>
        <w:ind w:left="2115" w:hanging="357"/>
      </w:pPr>
      <w:r>
        <w:t xml:space="preserve">3700–3750 MHz: aggregate with Rural North NSW / South </w:t>
      </w:r>
      <w:r w:rsidR="00C23EA0">
        <w:t>Queensland</w:t>
      </w:r>
      <w:r w:rsidR="00D311B8">
        <w:t>.</w:t>
      </w:r>
    </w:p>
    <w:p w14:paraId="7CEA387A" w14:textId="70D9F728" w:rsidR="002D570D" w:rsidRDefault="002D570D" w:rsidP="004C06A5">
      <w:pPr>
        <w:pStyle w:val="Bulletlevel2"/>
        <w:spacing w:after="240"/>
        <w:ind w:left="1395" w:hanging="357"/>
      </w:pPr>
      <w:r>
        <w:t>These settings are reflected in Schedules 1</w:t>
      </w:r>
      <w:r w:rsidR="0046066B">
        <w:t>–</w:t>
      </w:r>
      <w:r>
        <w:t>4 to the draft marketing plan.</w:t>
      </w:r>
    </w:p>
    <w:p w14:paraId="749A3175" w14:textId="39BB9F85" w:rsidR="001137A4" w:rsidRDefault="001137A4" w:rsidP="004C06A5">
      <w:pPr>
        <w:pStyle w:val="Numberlistlevel1"/>
        <w:numPr>
          <w:ilvl w:val="0"/>
          <w:numId w:val="47"/>
        </w:numPr>
      </w:pPr>
      <w:r w:rsidRPr="5DEB285C">
        <w:rPr>
          <w:b/>
        </w:rPr>
        <w:t>Product naming</w:t>
      </w:r>
      <w:r>
        <w:t>: we seek comments on the proposed naming scheme for products in the auction.</w:t>
      </w:r>
    </w:p>
    <w:p w14:paraId="0AA2BA36" w14:textId="64414279" w:rsidR="005A341E" w:rsidRDefault="005A341E" w:rsidP="004C06A5">
      <w:pPr>
        <w:pStyle w:val="Heading2"/>
      </w:pPr>
      <w:bookmarkStart w:id="8" w:name="_Toc69301110"/>
      <w:bookmarkStart w:id="9" w:name="_Toc126917756"/>
      <w:r w:rsidRPr="005F0591">
        <w:t>Draft allocation determination</w:t>
      </w:r>
      <w:bookmarkEnd w:id="8"/>
      <w:bookmarkEnd w:id="9"/>
    </w:p>
    <w:p w14:paraId="02B92768" w14:textId="3DB1303C" w:rsidR="00B73E23" w:rsidRDefault="00B73E23" w:rsidP="004C06A5">
      <w:pPr>
        <w:pStyle w:val="Numberlistlevel1"/>
        <w:numPr>
          <w:ilvl w:val="0"/>
          <w:numId w:val="47"/>
        </w:numPr>
        <w:spacing w:after="240"/>
        <w:ind w:left="357" w:hanging="357"/>
      </w:pPr>
      <w:r w:rsidRPr="0029432C">
        <w:rPr>
          <w:b/>
        </w:rPr>
        <w:t>Sequencing</w:t>
      </w:r>
      <w:r w:rsidRPr="004C06A5">
        <w:t>:</w:t>
      </w:r>
      <w:r>
        <w:t xml:space="preserve"> we seek comments on our proposal to sequentially allocate the 3.4/3.7 GHz bands spectrum. We propose to allocate 3.7 GHz band spectrum through all </w:t>
      </w:r>
      <w:r w:rsidR="00F54B4C">
        <w:t xml:space="preserve">3 </w:t>
      </w:r>
      <w:r>
        <w:t xml:space="preserve">auction stages first, followed by the allocation of 3.4 GHz band spectrum, </w:t>
      </w:r>
      <w:r w:rsidRPr="00F345D1">
        <w:t xml:space="preserve">with a minimum period of </w:t>
      </w:r>
      <w:r w:rsidR="00D311B8">
        <w:br/>
      </w:r>
      <w:r w:rsidRPr="00F345D1">
        <w:t>5 working days between allocation processes.</w:t>
      </w:r>
    </w:p>
    <w:p w14:paraId="36EE6BCD" w14:textId="60068DD1" w:rsidR="00541238" w:rsidRPr="00B01524" w:rsidRDefault="00541238" w:rsidP="004C06A5">
      <w:pPr>
        <w:pStyle w:val="Numberlistlevel1"/>
        <w:numPr>
          <w:ilvl w:val="0"/>
          <w:numId w:val="47"/>
        </w:numPr>
        <w:spacing w:after="240"/>
        <w:ind w:left="357" w:hanging="357"/>
      </w:pPr>
      <w:r w:rsidRPr="00B01524">
        <w:rPr>
          <w:b/>
          <w:bCs/>
        </w:rPr>
        <w:t>Commencement of auction:</w:t>
      </w:r>
      <w:r>
        <w:t xml:space="preserve"> </w:t>
      </w:r>
      <w:r w:rsidR="00D311B8">
        <w:t>w</w:t>
      </w:r>
      <w:r>
        <w:t xml:space="preserve">e </w:t>
      </w:r>
      <w:r w:rsidR="00833990">
        <w:t xml:space="preserve">seek comments on a </w:t>
      </w:r>
      <w:r>
        <w:t>propos</w:t>
      </w:r>
      <w:r w:rsidR="00833990">
        <w:t>al</w:t>
      </w:r>
      <w:r>
        <w:t xml:space="preserve"> to include a power for the ACMA to vary the start date and time of the </w:t>
      </w:r>
      <w:r w:rsidR="00D311B8">
        <w:br/>
      </w:r>
      <w:r>
        <w:t>3.7 GHz band auction.</w:t>
      </w:r>
      <w:r w:rsidR="003A29F4">
        <w:t xml:space="preserve"> </w:t>
      </w:r>
    </w:p>
    <w:p w14:paraId="7A50CA26" w14:textId="77777777" w:rsidR="00AD2E87" w:rsidRDefault="00184971" w:rsidP="002134B5">
      <w:pPr>
        <w:pStyle w:val="Numberlistlevel1"/>
        <w:numPr>
          <w:ilvl w:val="0"/>
          <w:numId w:val="47"/>
        </w:numPr>
      </w:pPr>
      <w:r w:rsidRPr="0029432C">
        <w:rPr>
          <w:b/>
        </w:rPr>
        <w:t>Auction stages and rounds:</w:t>
      </w:r>
      <w:r>
        <w:t xml:space="preserve"> we seek comments on our proposal to</w:t>
      </w:r>
      <w:r w:rsidR="00AD2E87">
        <w:t>:</w:t>
      </w:r>
    </w:p>
    <w:p w14:paraId="1ECEE998" w14:textId="32C9B48B" w:rsidR="00AD2E87" w:rsidRDefault="00A45C64" w:rsidP="002134B5">
      <w:pPr>
        <w:pStyle w:val="Bulletlevel2"/>
      </w:pPr>
      <w:r>
        <w:t>i</w:t>
      </w:r>
      <w:r w:rsidR="00184971">
        <w:t xml:space="preserve">nclude a pre-bidding </w:t>
      </w:r>
      <w:r w:rsidR="005C7EF1">
        <w:t xml:space="preserve">round </w:t>
      </w:r>
      <w:r w:rsidR="00184971">
        <w:t xml:space="preserve">in the primary stages of the auction, during which bidders must specify </w:t>
      </w:r>
      <w:r w:rsidR="00D26874">
        <w:t xml:space="preserve">their </w:t>
      </w:r>
      <w:r w:rsidR="00184971">
        <w:t xml:space="preserve">start demand and </w:t>
      </w:r>
      <w:r w:rsidR="00A75DFB">
        <w:t xml:space="preserve">may adopt </w:t>
      </w:r>
      <w:r w:rsidR="005E41E5">
        <w:t xml:space="preserve">the </w:t>
      </w:r>
      <w:r w:rsidR="00C07B63">
        <w:t>minimum spectrum requirement (</w:t>
      </w:r>
      <w:r w:rsidR="00184971">
        <w:t>MSR</w:t>
      </w:r>
      <w:r w:rsidR="00C07B63">
        <w:t>)</w:t>
      </w:r>
      <w:r w:rsidR="00184971">
        <w:t xml:space="preserve"> for </w:t>
      </w:r>
      <w:r w:rsidR="008C687F">
        <w:t>each</w:t>
      </w:r>
      <w:r w:rsidR="00202528">
        <w:t xml:space="preserve"> product in each of </w:t>
      </w:r>
      <w:r w:rsidR="00184971">
        <w:t>the relevant band</w:t>
      </w:r>
      <w:r w:rsidR="00B74CB0">
        <w:t>s</w:t>
      </w:r>
    </w:p>
    <w:p w14:paraId="78042BA3" w14:textId="6327EBD0" w:rsidR="00184971" w:rsidRDefault="00A45C64" w:rsidP="002134B5">
      <w:pPr>
        <w:pStyle w:val="Bulletlevel2"/>
        <w:spacing w:after="240"/>
        <w:ind w:left="1395" w:hanging="357"/>
      </w:pPr>
      <w:r>
        <w:t>i</w:t>
      </w:r>
      <w:r w:rsidR="00184971">
        <w:t xml:space="preserve">nclude a pre-bidding </w:t>
      </w:r>
      <w:r w:rsidR="008B3A4A">
        <w:t>round</w:t>
      </w:r>
      <w:r w:rsidR="00184971">
        <w:t xml:space="preserve"> in the secondary stages of the auction, during which bidders must </w:t>
      </w:r>
      <w:r w:rsidR="005F536A">
        <w:t xml:space="preserve">confirm </w:t>
      </w:r>
      <w:r w:rsidR="00184971">
        <w:t>their interest in the available lots</w:t>
      </w:r>
      <w:r>
        <w:t>.</w:t>
      </w:r>
    </w:p>
    <w:p w14:paraId="530B0752" w14:textId="77777777" w:rsidR="00184971" w:rsidRDefault="00184971" w:rsidP="002134B5">
      <w:pPr>
        <w:pStyle w:val="Numberlistlevel1"/>
        <w:numPr>
          <w:ilvl w:val="0"/>
          <w:numId w:val="47"/>
        </w:numPr>
      </w:pPr>
      <w:r w:rsidRPr="0029432C">
        <w:rPr>
          <w:b/>
        </w:rPr>
        <w:t>Allocation of leftover lots:</w:t>
      </w:r>
      <w:r>
        <w:t xml:space="preserve"> we seek comments on our proposal to:</w:t>
      </w:r>
    </w:p>
    <w:p w14:paraId="6C02A1D5" w14:textId="10FE591D" w:rsidR="00BD2BD1" w:rsidRDefault="00BD2BD1" w:rsidP="002134B5">
      <w:pPr>
        <w:pStyle w:val="Bulletlevel2"/>
      </w:pPr>
      <w:r>
        <w:t>offer to allocate each leftover lot</w:t>
      </w:r>
      <w:r w:rsidR="009A227A">
        <w:t xml:space="preserve"> (of 2.5 MHz, see also ‘Frequency lot configuration’)</w:t>
      </w:r>
      <w:r>
        <w:t xml:space="preserve"> to an eligible recipient</w:t>
      </w:r>
      <w:r w:rsidR="00DE2464">
        <w:t xml:space="preserve"> (that is, an existing adjacent licensee)</w:t>
      </w:r>
      <w:r>
        <w:t xml:space="preserve"> for a set price </w:t>
      </w:r>
      <w:r w:rsidR="005150C9">
        <w:t>before the 3.7 GHz auction</w:t>
      </w:r>
    </w:p>
    <w:p w14:paraId="3C07643C" w14:textId="624D74C7" w:rsidR="00BD2BD1" w:rsidRDefault="00BD2BD1" w:rsidP="002134B5">
      <w:pPr>
        <w:pStyle w:val="Bulletlevel2"/>
        <w:spacing w:after="240"/>
        <w:ind w:left="1395" w:hanging="357"/>
      </w:pPr>
      <w:r>
        <w:t>allocate any leftover lots not taken up by an eligible recipient</w:t>
      </w:r>
      <w:r w:rsidR="00B74CB0">
        <w:t>, effectively</w:t>
      </w:r>
      <w:r>
        <w:t xml:space="preserve"> as a 7.5</w:t>
      </w:r>
      <w:r w:rsidR="00AA22E9">
        <w:t> </w:t>
      </w:r>
      <w:r>
        <w:t xml:space="preserve">MHz lot (that is, to the winner of </w:t>
      </w:r>
      <w:r w:rsidR="00802904">
        <w:t xml:space="preserve">a lot </w:t>
      </w:r>
      <w:r>
        <w:t xml:space="preserve">that is assigned the </w:t>
      </w:r>
      <w:r w:rsidR="00802904">
        <w:t>frequenc</w:t>
      </w:r>
      <w:r w:rsidR="00A77003">
        <w:t>y range</w:t>
      </w:r>
      <w:r w:rsidR="00802904">
        <w:t xml:space="preserve"> </w:t>
      </w:r>
      <w:r>
        <w:t xml:space="preserve">adjacent to the leftover lot). </w:t>
      </w:r>
    </w:p>
    <w:p w14:paraId="254E5774" w14:textId="70325C1E" w:rsidR="00247607" w:rsidRPr="00247607" w:rsidRDefault="00247607" w:rsidP="002134B5">
      <w:pPr>
        <w:pStyle w:val="Numberlistlevel1"/>
        <w:keepNext/>
        <w:keepLines/>
        <w:numPr>
          <w:ilvl w:val="0"/>
          <w:numId w:val="47"/>
        </w:numPr>
        <w:ind w:right="992" w:hanging="357"/>
        <w:rPr>
          <w:b/>
          <w:bCs/>
        </w:rPr>
      </w:pPr>
      <w:r w:rsidRPr="00F73FA1">
        <w:rPr>
          <w:b/>
          <w:bCs/>
        </w:rPr>
        <w:t>Auction announcements:</w:t>
      </w:r>
      <w:r w:rsidR="00420345" w:rsidRPr="00420345">
        <w:t xml:space="preserve"> </w:t>
      </w:r>
      <w:r w:rsidR="00420345" w:rsidRPr="00F73FA1">
        <w:t xml:space="preserve">we seek </w:t>
      </w:r>
      <w:r w:rsidR="00C64AA5">
        <w:t xml:space="preserve">comments </w:t>
      </w:r>
      <w:r w:rsidR="00DE45C0">
        <w:t>on</w:t>
      </w:r>
      <w:r w:rsidR="00420345" w:rsidRPr="00F73FA1">
        <w:t xml:space="preserve"> the </w:t>
      </w:r>
      <w:r w:rsidR="00951877">
        <w:t>proposal to publish the following information</w:t>
      </w:r>
      <w:r w:rsidR="00420345" w:rsidRPr="00F73FA1">
        <w:t>:</w:t>
      </w:r>
    </w:p>
    <w:p w14:paraId="1B3B2EDC" w14:textId="70DD0BBA" w:rsidR="00B26E10" w:rsidRPr="008C0BEF" w:rsidRDefault="00B26E10" w:rsidP="002134B5">
      <w:pPr>
        <w:pStyle w:val="Bulletlevel2"/>
        <w:keepNext/>
        <w:keepLines/>
        <w:ind w:hanging="357"/>
      </w:pPr>
      <w:r w:rsidRPr="008C0BEF">
        <w:t xml:space="preserve">after the eligibility deadline, </w:t>
      </w:r>
      <w:r w:rsidR="00953F61" w:rsidRPr="008C0BEF">
        <w:t xml:space="preserve">publish </w:t>
      </w:r>
      <w:r w:rsidRPr="008C0BEF">
        <w:t>the names of all registered bidders</w:t>
      </w:r>
    </w:p>
    <w:p w14:paraId="62A94383" w14:textId="1AF111EB" w:rsidR="00420345" w:rsidRPr="008C0BEF" w:rsidRDefault="00B26E10" w:rsidP="002134B5">
      <w:pPr>
        <w:pStyle w:val="Bulletlevel2"/>
        <w:spacing w:after="240"/>
        <w:ind w:left="1395" w:hanging="357"/>
      </w:pPr>
      <w:r w:rsidRPr="008C0BEF">
        <w:t xml:space="preserve">after the end of the auction, </w:t>
      </w:r>
      <w:r w:rsidR="00953F61" w:rsidRPr="008C0BEF">
        <w:t xml:space="preserve">publish </w:t>
      </w:r>
      <w:r w:rsidRPr="008C0BEF">
        <w:t>the results of the auction including the names of unsuccessful bidders.</w:t>
      </w:r>
    </w:p>
    <w:p w14:paraId="130D7E64" w14:textId="436D7034" w:rsidR="00184971" w:rsidRDefault="00184971" w:rsidP="002134B5">
      <w:pPr>
        <w:pStyle w:val="Numberlistlevel1"/>
        <w:numPr>
          <w:ilvl w:val="0"/>
          <w:numId w:val="47"/>
        </w:numPr>
        <w:spacing w:after="240"/>
        <w:ind w:left="357" w:hanging="357"/>
      </w:pPr>
      <w:r w:rsidRPr="0029432C">
        <w:rPr>
          <w:b/>
        </w:rPr>
        <w:lastRenderedPageBreak/>
        <w:t>Minimum spectrum requirement</w:t>
      </w:r>
      <w:r w:rsidR="004C3273">
        <w:rPr>
          <w:b/>
        </w:rPr>
        <w:t xml:space="preserve"> (MSR)</w:t>
      </w:r>
      <w:r w:rsidRPr="0029432C">
        <w:rPr>
          <w:b/>
        </w:rPr>
        <w:t>:</w:t>
      </w:r>
      <w:r>
        <w:t xml:space="preserve"> we seek comments on our proposal to apply a MSR of 2 lots </w:t>
      </w:r>
      <w:r w:rsidR="00802904">
        <w:t xml:space="preserve">for each product </w:t>
      </w:r>
      <w:r>
        <w:t>in the 3.4/3.7 GHz band</w:t>
      </w:r>
      <w:r w:rsidR="0057301A">
        <w:t>s</w:t>
      </w:r>
      <w:r>
        <w:t xml:space="preserve"> auction.</w:t>
      </w:r>
    </w:p>
    <w:p w14:paraId="73A51AC3" w14:textId="7FFC6F6A" w:rsidR="00184971" w:rsidRDefault="00184971" w:rsidP="002134B5">
      <w:pPr>
        <w:pStyle w:val="Numberlistlevel1"/>
        <w:numPr>
          <w:ilvl w:val="0"/>
          <w:numId w:val="47"/>
        </w:numPr>
        <w:spacing w:after="240"/>
        <w:ind w:left="357" w:hanging="357"/>
      </w:pPr>
      <w:r w:rsidRPr="0029432C">
        <w:rPr>
          <w:b/>
        </w:rPr>
        <w:t>Information policy:</w:t>
      </w:r>
      <w:r>
        <w:t xml:space="preserve"> we seek comments on our proposal to provide exact excess demand information to bidders at the end of each clock round</w:t>
      </w:r>
      <w:r w:rsidR="00802904">
        <w:t xml:space="preserve"> in the primary stages of the auction</w:t>
      </w:r>
      <w:r>
        <w:t>.</w:t>
      </w:r>
    </w:p>
    <w:p w14:paraId="200093BE" w14:textId="6ED544BE" w:rsidR="00184971" w:rsidRPr="0041334B" w:rsidRDefault="00184971" w:rsidP="002134B5">
      <w:pPr>
        <w:pStyle w:val="Numberlistlevel1"/>
        <w:numPr>
          <w:ilvl w:val="0"/>
          <w:numId w:val="47"/>
        </w:numPr>
        <w:spacing w:after="240"/>
        <w:ind w:left="357" w:hanging="357"/>
      </w:pPr>
      <w:r w:rsidRPr="0029432C">
        <w:rPr>
          <w:b/>
        </w:rPr>
        <w:t>Pre-assignment of frequencies for unsold lots:</w:t>
      </w:r>
      <w:r>
        <w:t xml:space="preserve"> we seek comments on our proposal that the frequency range of any unsold lots be contiguous and</w:t>
      </w:r>
      <w:r w:rsidR="00802904">
        <w:t xml:space="preserve"> be</w:t>
      </w:r>
      <w:r>
        <w:t xml:space="preserve"> determined </w:t>
      </w:r>
      <w:r w:rsidR="00802904">
        <w:t xml:space="preserve">based on </w:t>
      </w:r>
      <w:r>
        <w:t>the assignment bids, rather than pre-</w:t>
      </w:r>
      <w:r w:rsidRPr="0041334B">
        <w:t>assigned.</w:t>
      </w:r>
    </w:p>
    <w:p w14:paraId="5C41B5BE" w14:textId="77777777" w:rsidR="004B22CF" w:rsidRDefault="00834BF3" w:rsidP="002134B5">
      <w:pPr>
        <w:pStyle w:val="Numberlistlevel1"/>
        <w:numPr>
          <w:ilvl w:val="0"/>
          <w:numId w:val="47"/>
        </w:numPr>
      </w:pPr>
      <w:r w:rsidRPr="001A2069">
        <w:rPr>
          <w:b/>
        </w:rPr>
        <w:t>Allocation limits</w:t>
      </w:r>
      <w:r w:rsidR="00184971" w:rsidRPr="001A2069">
        <w:t>:</w:t>
      </w:r>
      <w:r w:rsidR="00B44CE5" w:rsidRPr="001A2069">
        <w:t xml:space="preserve"> </w:t>
      </w:r>
      <w:r w:rsidR="004B22CF">
        <w:t>We seek views on the following proposed options for allocation limits:</w:t>
      </w:r>
    </w:p>
    <w:p w14:paraId="19D6C87A" w14:textId="49447C72" w:rsidR="004B22CF" w:rsidRDefault="004B22CF" w:rsidP="002134B5">
      <w:pPr>
        <w:pStyle w:val="Bulletlevel2"/>
      </w:pPr>
      <w:r>
        <w:t xml:space="preserve">Option </w:t>
      </w:r>
      <w:r w:rsidR="00A855D5">
        <w:t>1</w:t>
      </w:r>
      <w:r>
        <w:t>: 140 MHz limit in</w:t>
      </w:r>
      <w:r w:rsidR="00802904">
        <w:t xml:space="preserve"> both</w:t>
      </w:r>
      <w:r>
        <w:t xml:space="preserve"> metropolitan and regional areas in the cross-band frequency range of 3.4</w:t>
      </w:r>
      <w:r w:rsidR="0046066B">
        <w:t>–</w:t>
      </w:r>
      <w:r>
        <w:t>3.8 GHz</w:t>
      </w:r>
    </w:p>
    <w:p w14:paraId="4DD08F49" w14:textId="4EB0966C" w:rsidR="00A855D5" w:rsidRDefault="004B22CF" w:rsidP="00B56DE2">
      <w:pPr>
        <w:pStyle w:val="Bulletlevel2"/>
      </w:pPr>
      <w:r>
        <w:t xml:space="preserve">Option </w:t>
      </w:r>
      <w:r w:rsidR="00A855D5">
        <w:t>2</w:t>
      </w:r>
      <w:r>
        <w:t>: 140 MHz limit in metropolitan areas</w:t>
      </w:r>
      <w:r w:rsidR="009A532C">
        <w:t xml:space="preserve"> and</w:t>
      </w:r>
      <w:r>
        <w:t xml:space="preserve"> 160 MHz in regional areas in the cross-band frequency range of 3.4</w:t>
      </w:r>
      <w:r w:rsidR="0046066B">
        <w:t>–</w:t>
      </w:r>
      <w:r>
        <w:t>3.8 GHz</w:t>
      </w:r>
    </w:p>
    <w:p w14:paraId="5FD5A225" w14:textId="26050F63" w:rsidR="004B22CF" w:rsidRDefault="00A855D5" w:rsidP="002134B5">
      <w:pPr>
        <w:pStyle w:val="Bulletlevel2"/>
        <w:spacing w:after="240"/>
        <w:ind w:left="1395" w:hanging="357"/>
      </w:pPr>
      <w:r>
        <w:t>Option 3: No limits</w:t>
      </w:r>
      <w:r w:rsidR="00B86DCC">
        <w:t>.</w:t>
      </w:r>
    </w:p>
    <w:p w14:paraId="21BA5DA1" w14:textId="1F79FC9B" w:rsidR="004B22CF" w:rsidRDefault="004B22CF" w:rsidP="002134B5">
      <w:pPr>
        <w:pStyle w:val="Numberlistlevel1"/>
        <w:ind w:firstLine="0"/>
      </w:pPr>
      <w:r>
        <w:t>In particular:</w:t>
      </w:r>
    </w:p>
    <w:p w14:paraId="05A6AA74" w14:textId="5F9C8161" w:rsidR="004B22CF" w:rsidRDefault="2034538E" w:rsidP="002134B5">
      <w:pPr>
        <w:pStyle w:val="Bulletlevel2"/>
      </w:pPr>
      <w:r>
        <w:t xml:space="preserve">We </w:t>
      </w:r>
      <w:r w:rsidR="0046424C">
        <w:t>seek</w:t>
      </w:r>
      <w:r>
        <w:t xml:space="preserve"> views on w</w:t>
      </w:r>
      <w:r w:rsidR="004B22CF">
        <w:t xml:space="preserve">hich of the allocation limits options, including the spectrum included in the cross-band frequency range, best achieves </w:t>
      </w:r>
      <w:r w:rsidR="00C303B6">
        <w:t xml:space="preserve">our </w:t>
      </w:r>
      <w:r w:rsidR="008D12AC">
        <w:t>identifi</w:t>
      </w:r>
      <w:r w:rsidR="00C303B6">
        <w:t>ed</w:t>
      </w:r>
      <w:r w:rsidR="004B22CF">
        <w:t xml:space="preserve"> objectives for this allocation (i.e.</w:t>
      </w:r>
      <w:r w:rsidR="002476A5">
        <w:t>,</w:t>
      </w:r>
      <w:r w:rsidR="004B22CF">
        <w:t xml:space="preserve"> by facilitating the efficient planning, allocation and use of the spectrum, supporting digital connectivity and investment in regional Australia, and promoting competitive markets)</w:t>
      </w:r>
      <w:r w:rsidR="46F488F6">
        <w:t>.</w:t>
      </w:r>
      <w:r w:rsidR="004B22CF">
        <w:t xml:space="preserve"> </w:t>
      </w:r>
    </w:p>
    <w:p w14:paraId="65E5EA1F" w14:textId="6DF8FC31" w:rsidR="004B22CF" w:rsidRDefault="03434388" w:rsidP="002134B5">
      <w:pPr>
        <w:pStyle w:val="Bulletlevel2"/>
      </w:pPr>
      <w:r>
        <w:t xml:space="preserve">We </w:t>
      </w:r>
      <w:r w:rsidR="0046424C">
        <w:t>seek</w:t>
      </w:r>
      <w:r>
        <w:t xml:space="preserve"> views on </w:t>
      </w:r>
      <w:r w:rsidR="000D3377">
        <w:t>how the</w:t>
      </w:r>
      <w:r w:rsidR="004B22CF">
        <w:t xml:space="preserve"> implementation of an allocation limit at auction </w:t>
      </w:r>
      <w:r w:rsidR="2C01D4AD">
        <w:t xml:space="preserve">may </w:t>
      </w:r>
      <w:r w:rsidR="7A4CABE4">
        <w:t>aff</w:t>
      </w:r>
      <w:r w:rsidR="004B22CF">
        <w:t>ect likely demand for the 3.4 GHz band and/or 3.7 GHz bands individually</w:t>
      </w:r>
      <w:r w:rsidR="7B94CBB2">
        <w:t xml:space="preserve"> and whether </w:t>
      </w:r>
      <w:r w:rsidR="00F51C5A">
        <w:t xml:space="preserve">your </w:t>
      </w:r>
      <w:r w:rsidR="004B22CF">
        <w:t xml:space="preserve">demand </w:t>
      </w:r>
      <w:r w:rsidR="00F51C5A">
        <w:t>would differ</w:t>
      </w:r>
      <w:r w:rsidR="004B22CF">
        <w:t xml:space="preserve"> between </w:t>
      </w:r>
      <w:r w:rsidR="56F93F18">
        <w:t xml:space="preserve">the imposition of an allocation limit under </w:t>
      </w:r>
      <w:r w:rsidR="004B22CF">
        <w:t>Options</w:t>
      </w:r>
      <w:r w:rsidR="00B85B40">
        <w:t xml:space="preserve"> 1,</w:t>
      </w:r>
      <w:r w:rsidR="004B22CF">
        <w:t xml:space="preserve"> 2 and 3</w:t>
      </w:r>
      <w:r w:rsidR="002476A5">
        <w:t>.</w:t>
      </w:r>
    </w:p>
    <w:p w14:paraId="70EF667C" w14:textId="417E3265" w:rsidR="00B82A7F" w:rsidRDefault="00B82A7F" w:rsidP="00B82A7F">
      <w:pPr>
        <w:pStyle w:val="Bulletlevel2"/>
      </w:pPr>
      <w:r>
        <w:t xml:space="preserve">We seek views on weighing the different efficiency impacts of auction settings that seek to minimise the risk of unsold lots versus the risk of spectrum monopolisation. </w:t>
      </w:r>
    </w:p>
    <w:p w14:paraId="07173372" w14:textId="77777777" w:rsidR="004902D6" w:rsidRPr="00B56DE2" w:rsidRDefault="004902D6" w:rsidP="004902D6">
      <w:pPr>
        <w:pStyle w:val="Bulletlevel2"/>
      </w:pPr>
      <w:r w:rsidRPr="00B56DE2">
        <w:t>We seek views on the matters relevant to the substitutability of other spectrum with 3.4/3.7 GHz bands spectrum, and the appropriate cross-band frequency range to apply to the allocation limits.</w:t>
      </w:r>
    </w:p>
    <w:p w14:paraId="40539A21" w14:textId="31288829" w:rsidR="004B22CF" w:rsidRDefault="32570D3A" w:rsidP="002134B5">
      <w:pPr>
        <w:pStyle w:val="Bulletlevel2"/>
      </w:pPr>
      <w:r>
        <w:t xml:space="preserve">We </w:t>
      </w:r>
      <w:r w:rsidR="0046424C">
        <w:t>seek</w:t>
      </w:r>
      <w:r>
        <w:t xml:space="preserve"> views on </w:t>
      </w:r>
      <w:r w:rsidR="00B802B4">
        <w:t>our</w:t>
      </w:r>
      <w:r w:rsidR="004B22CF">
        <w:t xml:space="preserve"> proposal to auction the 3.7 GHz and 3.4 GHz sequentially </w:t>
      </w:r>
      <w:r w:rsidR="20DD2B45">
        <w:t xml:space="preserve">and its impact on </w:t>
      </w:r>
      <w:r w:rsidR="004B22CF">
        <w:t xml:space="preserve">the appropriate approach to </w:t>
      </w:r>
      <w:r w:rsidR="0BFB82E3">
        <w:t xml:space="preserve">applying </w:t>
      </w:r>
      <w:r w:rsidR="004B22CF">
        <w:t>allocation limits</w:t>
      </w:r>
      <w:r w:rsidR="17056F15">
        <w:t xml:space="preserve"> in the auction</w:t>
      </w:r>
      <w:r w:rsidR="004B22CF">
        <w:t>, if at all</w:t>
      </w:r>
      <w:r w:rsidR="0046424C">
        <w:t>.</w:t>
      </w:r>
    </w:p>
    <w:p w14:paraId="7AE61625" w14:textId="7584851F" w:rsidR="003E0368" w:rsidRPr="003E0368" w:rsidRDefault="452AF0CA" w:rsidP="002134B5">
      <w:pPr>
        <w:pStyle w:val="Bulletlevel2"/>
      </w:pPr>
      <w:r>
        <w:t xml:space="preserve">We </w:t>
      </w:r>
      <w:r w:rsidR="0046424C">
        <w:t>seek</w:t>
      </w:r>
      <w:r>
        <w:t xml:space="preserve"> views on </w:t>
      </w:r>
      <w:r w:rsidR="00B802B4">
        <w:t>our</w:t>
      </w:r>
      <w:r>
        <w:t xml:space="preserve"> proposal to apply a metropolitan allocation limit (i</w:t>
      </w:r>
      <w:r w:rsidR="005328B1">
        <w:t>.</w:t>
      </w:r>
      <w:r>
        <w:t>e</w:t>
      </w:r>
      <w:r w:rsidR="58D7136F">
        <w:t>.</w:t>
      </w:r>
      <w:r w:rsidR="5973F09D">
        <w:t>,</w:t>
      </w:r>
      <w:r>
        <w:t xml:space="preserve"> 140</w:t>
      </w:r>
      <w:r w:rsidR="001D7146">
        <w:t> </w:t>
      </w:r>
      <w:r>
        <w:t xml:space="preserve">MHz) </w:t>
      </w:r>
      <w:r w:rsidR="0021607F">
        <w:t>t</w:t>
      </w:r>
      <w:r w:rsidR="003E0368" w:rsidRPr="003E0368">
        <w:t xml:space="preserve">o Hobart and Rural TAS Upper (product definitions as proposed in </w:t>
      </w:r>
      <w:r w:rsidR="00283DE6">
        <w:t xml:space="preserve">Figure </w:t>
      </w:r>
      <w:r w:rsidR="00995750">
        <w:t xml:space="preserve">4 of </w:t>
      </w:r>
      <w:r w:rsidR="003E0368" w:rsidRPr="003E0368">
        <w:t>the ‘Lot configuration’ section of this paper) in the 3700</w:t>
      </w:r>
      <w:r w:rsidR="0046066B">
        <w:t>–</w:t>
      </w:r>
      <w:r w:rsidR="003E0368" w:rsidRPr="003E0368">
        <w:t>3800 MHz frequency range</w:t>
      </w:r>
      <w:r w:rsidR="00A73A03">
        <w:t>.</w:t>
      </w:r>
      <w:r w:rsidR="00880AF1">
        <w:t xml:space="preserve"> We note that</w:t>
      </w:r>
      <w:r w:rsidR="001F499C">
        <w:t xml:space="preserve"> for the 3.6 GHz band spectrum licence auction held in 2018, Hobart was included in the ‘Tasmania’ product, which was considered a regional</w:t>
      </w:r>
      <w:r w:rsidR="00040DB8">
        <w:t xml:space="preserve"> area for the purposes of applying allocation limits in that auction.</w:t>
      </w:r>
    </w:p>
    <w:p w14:paraId="67EC9435" w14:textId="51C07111" w:rsidR="003E0368" w:rsidRPr="003E0368" w:rsidRDefault="003E0368" w:rsidP="002134B5">
      <w:pPr>
        <w:pStyle w:val="Bulletlevel2"/>
        <w:spacing w:after="240"/>
        <w:ind w:left="1395" w:hanging="357"/>
      </w:pPr>
      <w:r>
        <w:t>W</w:t>
      </w:r>
      <w:r w:rsidR="349D0B1F">
        <w:t xml:space="preserve">e are seeking views on the </w:t>
      </w:r>
      <w:r w:rsidRPr="003E0368">
        <w:t xml:space="preserve">short, medium and long-term </w:t>
      </w:r>
      <w:r w:rsidR="3A813BC9">
        <w:t xml:space="preserve">costs and </w:t>
      </w:r>
      <w:r w:rsidRPr="003E0368">
        <w:t xml:space="preserve">benefits if </w:t>
      </w:r>
      <w:r w:rsidR="001A1EFD">
        <w:t>Options 1, 2 or 3</w:t>
      </w:r>
      <w:r w:rsidRPr="003E0368">
        <w:t xml:space="preserve"> are implemented in this auction</w:t>
      </w:r>
      <w:r w:rsidR="002476A5">
        <w:t>.</w:t>
      </w:r>
      <w:r w:rsidRPr="003E0368">
        <w:t xml:space="preserve"> </w:t>
      </w:r>
    </w:p>
    <w:p w14:paraId="782CBBC0" w14:textId="0D94A341" w:rsidR="00184971" w:rsidRDefault="00184971" w:rsidP="002134B5">
      <w:pPr>
        <w:pStyle w:val="Numberlistlevel1"/>
        <w:numPr>
          <w:ilvl w:val="0"/>
          <w:numId w:val="47"/>
        </w:numPr>
      </w:pPr>
      <w:r w:rsidRPr="0010597F">
        <w:rPr>
          <w:b/>
        </w:rPr>
        <w:t>Exclusions from allocation limits:</w:t>
      </w:r>
      <w:r>
        <w:t xml:space="preserve"> we seek comments on our proposal to exclude the following spectrum from the allocation limit</w:t>
      </w:r>
      <w:r w:rsidR="003903B6">
        <w:t>s</w:t>
      </w:r>
      <w:r>
        <w:t>:</w:t>
      </w:r>
    </w:p>
    <w:p w14:paraId="672BBBEB" w14:textId="4DBAF4A8" w:rsidR="00184971" w:rsidRDefault="00A45C64" w:rsidP="002134B5">
      <w:pPr>
        <w:pStyle w:val="Bulletlevel2"/>
      </w:pPr>
      <w:r>
        <w:t>l</w:t>
      </w:r>
      <w:r w:rsidR="00184971">
        <w:t>eftover</w:t>
      </w:r>
      <w:r w:rsidR="00FD2989">
        <w:t xml:space="preserve"> </w:t>
      </w:r>
      <w:r w:rsidR="00184971">
        <w:t>lots</w:t>
      </w:r>
    </w:p>
    <w:p w14:paraId="13D51A4A" w14:textId="06366775" w:rsidR="00184971" w:rsidRDefault="00012FDA" w:rsidP="002134B5">
      <w:pPr>
        <w:pStyle w:val="Bulletlevel2"/>
        <w:spacing w:after="240"/>
        <w:ind w:left="1395" w:hanging="357"/>
      </w:pPr>
      <w:r>
        <w:t xml:space="preserve">the </w:t>
      </w:r>
      <w:r w:rsidR="004C3273">
        <w:t>R</w:t>
      </w:r>
      <w:r w:rsidR="00184971">
        <w:t>egional WA Central Middl</w:t>
      </w:r>
      <w:r>
        <w:t>e product.</w:t>
      </w:r>
    </w:p>
    <w:p w14:paraId="59B22C54" w14:textId="77777777" w:rsidR="00184971" w:rsidRDefault="00184971" w:rsidP="002134B5">
      <w:pPr>
        <w:pStyle w:val="Numberlistlevel1"/>
        <w:keepNext/>
        <w:keepLines/>
        <w:numPr>
          <w:ilvl w:val="0"/>
          <w:numId w:val="47"/>
        </w:numPr>
        <w:ind w:hanging="357"/>
      </w:pPr>
      <w:r w:rsidRPr="0010597F">
        <w:rPr>
          <w:b/>
        </w:rPr>
        <w:lastRenderedPageBreak/>
        <w:t>Insignificant holdings threshold:</w:t>
      </w:r>
      <w:r>
        <w:t xml:space="preserve"> we seek comments on our proposal to:</w:t>
      </w:r>
    </w:p>
    <w:p w14:paraId="167C087C" w14:textId="095BD885" w:rsidR="0092119B" w:rsidRDefault="0092119B" w:rsidP="002134B5">
      <w:pPr>
        <w:pStyle w:val="Bulletlevel2"/>
        <w:keepNext/>
        <w:keepLines/>
        <w:ind w:hanging="357"/>
      </w:pPr>
      <w:r>
        <w:t>set the insignificant holdings threshold at 30%</w:t>
      </w:r>
      <w:r w:rsidR="005439A0">
        <w:t xml:space="preserve"> of the population</w:t>
      </w:r>
    </w:p>
    <w:p w14:paraId="235B737A" w14:textId="26D30608" w:rsidR="00184971" w:rsidRDefault="00A45C64" w:rsidP="002134B5">
      <w:pPr>
        <w:pStyle w:val="Bulletlevel2"/>
        <w:keepNext/>
        <w:keepLines/>
        <w:ind w:hanging="357"/>
      </w:pPr>
      <w:r>
        <w:t>a</w:t>
      </w:r>
      <w:r w:rsidR="00184971">
        <w:t xml:space="preserve">pply a calculation method </w:t>
      </w:r>
      <w:r w:rsidR="003903B6">
        <w:t xml:space="preserve">with the effect </w:t>
      </w:r>
      <w:r w:rsidR="00184971">
        <w:t xml:space="preserve">that if a sub-area of a product is deemed to cover a small or ‘insignificant’ percentage of the population of the whole geographic area of a product, existing holdings in the sub-area would not be counted towards </w:t>
      </w:r>
      <w:r w:rsidR="003903B6">
        <w:t xml:space="preserve">an applicant’s </w:t>
      </w:r>
      <w:r w:rsidR="00184971">
        <w:t>allocation limit</w:t>
      </w:r>
    </w:p>
    <w:p w14:paraId="22A21AF0" w14:textId="2C42B701" w:rsidR="00184971" w:rsidRDefault="00A45C64" w:rsidP="002134B5">
      <w:pPr>
        <w:pStyle w:val="Bulletlevel2"/>
        <w:spacing w:after="240"/>
        <w:ind w:left="1395" w:hanging="357"/>
      </w:pPr>
      <w:r>
        <w:t>c</w:t>
      </w:r>
      <w:r w:rsidR="00184971">
        <w:t xml:space="preserve">alculate existing holdings for the 3.7 GHz band allocation, and after the conclusion of that </w:t>
      </w:r>
      <w:r w:rsidR="008B6A9E">
        <w:t xml:space="preserve">auction </w:t>
      </w:r>
      <w:r w:rsidR="00184971">
        <w:t>process, re-calculate existing holdings for the 3.4</w:t>
      </w:r>
      <w:r w:rsidR="0063301F">
        <w:t> </w:t>
      </w:r>
      <w:r w:rsidR="00184971">
        <w:t>GHz band allocation</w:t>
      </w:r>
      <w:r w:rsidR="003903B6">
        <w:t xml:space="preserve"> as if licences had been issued as a result of the 3.7 GHz band allocation</w:t>
      </w:r>
      <w:r>
        <w:t>.</w:t>
      </w:r>
    </w:p>
    <w:p w14:paraId="0AC30F60" w14:textId="1690E027" w:rsidR="004A1035" w:rsidRPr="00094616" w:rsidRDefault="004A1035" w:rsidP="00B77DFC">
      <w:pPr>
        <w:pStyle w:val="Numberlistlevel1"/>
        <w:keepNext/>
        <w:keepLines/>
        <w:numPr>
          <w:ilvl w:val="0"/>
          <w:numId w:val="47"/>
        </w:numPr>
        <w:tabs>
          <w:tab w:val="left" w:pos="426"/>
        </w:tabs>
        <w:ind w:hanging="357"/>
        <w:rPr>
          <w:b/>
          <w:bCs/>
        </w:rPr>
      </w:pPr>
      <w:r w:rsidRPr="00094616">
        <w:rPr>
          <w:b/>
          <w:bCs/>
        </w:rPr>
        <w:t>Affil</w:t>
      </w:r>
      <w:r w:rsidR="00495759" w:rsidRPr="00094616">
        <w:rPr>
          <w:b/>
          <w:bCs/>
        </w:rPr>
        <w:t>iations</w:t>
      </w:r>
      <w:r w:rsidR="00F100D2">
        <w:rPr>
          <w:b/>
          <w:bCs/>
        </w:rPr>
        <w:t>:</w:t>
      </w:r>
      <w:r w:rsidR="00F100D2">
        <w:t xml:space="preserve"> we seek comments on our proposal to:</w:t>
      </w:r>
    </w:p>
    <w:p w14:paraId="5EA8715C" w14:textId="39F1E6C7" w:rsidR="00F100D2" w:rsidRDefault="005C1D2A" w:rsidP="002134B5">
      <w:pPr>
        <w:pStyle w:val="Bulletlevel2"/>
        <w:keepNext/>
        <w:keepLines/>
        <w:tabs>
          <w:tab w:val="left" w:pos="6663"/>
        </w:tabs>
        <w:ind w:hanging="357"/>
      </w:pPr>
      <w:r>
        <w:t>p</w:t>
      </w:r>
      <w:r w:rsidR="00560EE6">
        <w:t>revent applican</w:t>
      </w:r>
      <w:r w:rsidR="00181025">
        <w:t xml:space="preserve">ts who are affiliated </w:t>
      </w:r>
      <w:r w:rsidR="00FB34BC">
        <w:t>from participating in the auction as separate bidders</w:t>
      </w:r>
    </w:p>
    <w:p w14:paraId="137691CF" w14:textId="39D42D9F" w:rsidR="00FB34BC" w:rsidRPr="00495759" w:rsidRDefault="005C1D2A" w:rsidP="002134B5">
      <w:pPr>
        <w:pStyle w:val="Bulletlevel2"/>
        <w:tabs>
          <w:tab w:val="left" w:pos="6663"/>
        </w:tabs>
        <w:spacing w:after="240"/>
        <w:ind w:left="1395" w:hanging="357"/>
      </w:pPr>
      <w:r>
        <w:t>d</w:t>
      </w:r>
      <w:r w:rsidR="00FB34BC">
        <w:t xml:space="preserve">eem agreements between parties </w:t>
      </w:r>
      <w:r w:rsidR="00647DDC">
        <w:t xml:space="preserve">about </w:t>
      </w:r>
      <w:r w:rsidR="003903B6">
        <w:t xml:space="preserve">use or acquisition of </w:t>
      </w:r>
      <w:r w:rsidR="00182FC5">
        <w:t>the</w:t>
      </w:r>
      <w:r w:rsidR="00647DDC">
        <w:t xml:space="preserve"> spectrum available for bidding </w:t>
      </w:r>
      <w:r w:rsidR="00745BBE">
        <w:t xml:space="preserve">at auction to cause the parties </w:t>
      </w:r>
      <w:r w:rsidR="00182FC5">
        <w:t xml:space="preserve">to the agreement to be affiliated. </w:t>
      </w:r>
      <w:r w:rsidR="00C85EEE">
        <w:t>(However</w:t>
      </w:r>
      <w:r w:rsidR="00000B49">
        <w:t xml:space="preserve">, leftover lot spectrum would be excluded from the </w:t>
      </w:r>
      <w:r>
        <w:t>definition of a ‘relevant agreement’.</w:t>
      </w:r>
      <w:r w:rsidR="5563F71E">
        <w:t>)</w:t>
      </w:r>
    </w:p>
    <w:p w14:paraId="3FF034A4" w14:textId="7EB235B0" w:rsidR="00184971" w:rsidRDefault="00B56DE2" w:rsidP="00B56DE2">
      <w:pPr>
        <w:pStyle w:val="Numberlistlevel1"/>
        <w:numPr>
          <w:ilvl w:val="0"/>
          <w:numId w:val="47"/>
        </w:numPr>
        <w:tabs>
          <w:tab w:val="left" w:pos="284"/>
        </w:tabs>
      </w:pPr>
      <w:r>
        <w:rPr>
          <w:b/>
        </w:rPr>
        <w:t xml:space="preserve">  </w:t>
      </w:r>
      <w:r w:rsidR="00184971" w:rsidRPr="0010597F">
        <w:rPr>
          <w:b/>
        </w:rPr>
        <w:t>Application and registration process:</w:t>
      </w:r>
      <w:r w:rsidR="00184971">
        <w:t xml:space="preserve"> we seek comments on our proposal to:</w:t>
      </w:r>
    </w:p>
    <w:p w14:paraId="6D310FEE" w14:textId="7D9C5E99" w:rsidR="004708E8" w:rsidRDefault="004708E8" w:rsidP="002134B5">
      <w:pPr>
        <w:pStyle w:val="Bulletlevel2"/>
        <w:tabs>
          <w:tab w:val="left" w:pos="6663"/>
        </w:tabs>
      </w:pPr>
      <w:r>
        <w:t>undertake a 2-stage application/eligibility nomination process covering participation in the 3.7 GHz band allocation and the 3.4 GHz band allocation</w:t>
      </w:r>
    </w:p>
    <w:p w14:paraId="0E3D06AA" w14:textId="60318F1B" w:rsidR="004708E8" w:rsidRDefault="00ED583B" w:rsidP="002134B5">
      <w:pPr>
        <w:pStyle w:val="Bulletlevel2"/>
        <w:tabs>
          <w:tab w:val="left" w:pos="6663"/>
        </w:tabs>
      </w:pPr>
      <w:r>
        <w:t>enable the submission of</w:t>
      </w:r>
      <w:r w:rsidR="004708E8">
        <w:t xml:space="preserve"> application and eligibility nomination documents</w:t>
      </w:r>
      <w:r>
        <w:t xml:space="preserve"> via an online interface</w:t>
      </w:r>
    </w:p>
    <w:p w14:paraId="56356A11" w14:textId="453576C3" w:rsidR="004708E8" w:rsidRDefault="004708E8" w:rsidP="002134B5">
      <w:pPr>
        <w:pStyle w:val="Bulletlevel2"/>
        <w:tabs>
          <w:tab w:val="left" w:pos="6663"/>
        </w:tabs>
      </w:pPr>
      <w:r>
        <w:t>set the application fee for the auction at $10,000</w:t>
      </w:r>
    </w:p>
    <w:p w14:paraId="5A3304DC" w14:textId="79486445" w:rsidR="004708E8" w:rsidRDefault="004708E8" w:rsidP="002134B5">
      <w:pPr>
        <w:pStyle w:val="Bulletlevel2"/>
        <w:tabs>
          <w:tab w:val="left" w:pos="6663"/>
        </w:tabs>
      </w:pPr>
      <w:r>
        <w:t>require applicants to secure eligibility points that may be used for bidding in the 3.7 GHz band allocation and/or the 3.4 GHz band allocation</w:t>
      </w:r>
      <w:r w:rsidR="003970C2">
        <w:t xml:space="preserve"> by </w:t>
      </w:r>
      <w:r w:rsidR="00096254">
        <w:t xml:space="preserve">requiring an eligibility payment or deed of financial security </w:t>
      </w:r>
      <w:r w:rsidR="00B56DE2">
        <w:t xml:space="preserve">that </w:t>
      </w:r>
      <w:r w:rsidR="00063F9B">
        <w:t>secur</w:t>
      </w:r>
      <w:r w:rsidR="00B56DE2">
        <w:t>es</w:t>
      </w:r>
      <w:r w:rsidR="00025E6C">
        <w:t xml:space="preserve"> the value of the eligibility points</w:t>
      </w:r>
      <w:r w:rsidR="00320247">
        <w:t xml:space="preserve"> requested</w:t>
      </w:r>
    </w:p>
    <w:p w14:paraId="724E6155" w14:textId="04F56C45" w:rsidR="004708E8" w:rsidRDefault="004708E8" w:rsidP="002134B5">
      <w:pPr>
        <w:pStyle w:val="Bulletlevel2"/>
        <w:tabs>
          <w:tab w:val="left" w:pos="6663"/>
        </w:tabs>
        <w:spacing w:after="240"/>
        <w:ind w:left="1395" w:hanging="357"/>
      </w:pPr>
      <w:r>
        <w:t>require an eligibility payment or deed of financial security of 10% of the price of the leftover lot from eligible recipients who choose to take up a leftover lot.</w:t>
      </w:r>
    </w:p>
    <w:p w14:paraId="3B1E767A" w14:textId="10559A90" w:rsidR="00184971" w:rsidRDefault="00B56DE2" w:rsidP="00B77DFC">
      <w:pPr>
        <w:pStyle w:val="Numberlistlevel1"/>
        <w:numPr>
          <w:ilvl w:val="0"/>
          <w:numId w:val="47"/>
        </w:numPr>
        <w:tabs>
          <w:tab w:val="left" w:pos="284"/>
        </w:tabs>
        <w:spacing w:after="240"/>
        <w:ind w:left="357" w:hanging="357"/>
      </w:pPr>
      <w:r>
        <w:rPr>
          <w:b/>
        </w:rPr>
        <w:t xml:space="preserve">  </w:t>
      </w:r>
      <w:r w:rsidR="00184971" w:rsidRPr="0010597F">
        <w:rPr>
          <w:b/>
        </w:rPr>
        <w:t>Variation of prices:</w:t>
      </w:r>
      <w:r w:rsidR="00184971">
        <w:t xml:space="preserve"> we seek comments on our proposal to include in the allocation determination the power for the ACMA to vary starting prices and/or the set price of leftover lots after applications open, but before the eligibility deadline. If the ACMA varied the starting prices and/or the set price of leftover lots, the application deadline and eligibility deadline would be extended.</w:t>
      </w:r>
    </w:p>
    <w:p w14:paraId="05E17D4C" w14:textId="1B409D60" w:rsidR="00184971" w:rsidRDefault="00184971" w:rsidP="002134B5">
      <w:pPr>
        <w:pStyle w:val="Numberlistlevel1"/>
        <w:numPr>
          <w:ilvl w:val="0"/>
          <w:numId w:val="47"/>
        </w:numPr>
        <w:spacing w:after="240"/>
        <w:ind w:left="357" w:hanging="357"/>
      </w:pPr>
      <w:r w:rsidRPr="0010597F">
        <w:rPr>
          <w:b/>
        </w:rPr>
        <w:t>Payment terms:</w:t>
      </w:r>
      <w:r>
        <w:t xml:space="preserve"> we seek comments on our proposal to </w:t>
      </w:r>
      <w:r w:rsidR="00BC52A3">
        <w:t>require</w:t>
      </w:r>
      <w:r>
        <w:t xml:space="preserve"> upfront payment of winning prices before licence </w:t>
      </w:r>
      <w:r w:rsidR="004F0616">
        <w:t>issue</w:t>
      </w:r>
      <w:r>
        <w:t>.</w:t>
      </w:r>
    </w:p>
    <w:p w14:paraId="36906FC0" w14:textId="0F1C326D" w:rsidR="00184971" w:rsidRDefault="00184971" w:rsidP="00B56DE2">
      <w:pPr>
        <w:pStyle w:val="Numberlistlevel1"/>
        <w:numPr>
          <w:ilvl w:val="0"/>
          <w:numId w:val="47"/>
        </w:numPr>
        <w:tabs>
          <w:tab w:val="left" w:pos="426"/>
        </w:tabs>
      </w:pPr>
      <w:r w:rsidRPr="0010597F">
        <w:rPr>
          <w:b/>
        </w:rPr>
        <w:t xml:space="preserve">Changes to the </w:t>
      </w:r>
      <w:r w:rsidRPr="002134B5">
        <w:rPr>
          <w:b/>
        </w:rPr>
        <w:t>Radiocommunications (Spectrum Licence Tax) Determination 2021</w:t>
      </w:r>
      <w:r w:rsidRPr="0010597F">
        <w:rPr>
          <w:b/>
        </w:rPr>
        <w:t>:</w:t>
      </w:r>
      <w:r>
        <w:t xml:space="preserve"> we seek comments on our proposal to:</w:t>
      </w:r>
    </w:p>
    <w:p w14:paraId="5E1BF9DB" w14:textId="470DB91B" w:rsidR="00184971" w:rsidRDefault="00A45C64" w:rsidP="002134B5">
      <w:pPr>
        <w:pStyle w:val="Bulletlevel2last"/>
        <w:spacing w:after="80"/>
      </w:pPr>
      <w:r>
        <w:t>c</w:t>
      </w:r>
      <w:r w:rsidR="00184971">
        <w:t xml:space="preserve">hange the </w:t>
      </w:r>
      <w:r w:rsidR="00597090">
        <w:t xml:space="preserve">existing </w:t>
      </w:r>
      <w:r w:rsidR="00184971">
        <w:t xml:space="preserve">frequency range </w:t>
      </w:r>
      <w:r w:rsidR="00597090">
        <w:t xml:space="preserve">used to calculate spectrum licence tax </w:t>
      </w:r>
      <w:r w:rsidR="00184971">
        <w:t>from 3400</w:t>
      </w:r>
      <w:r w:rsidR="00561DBD" w:rsidRPr="034A6DC3">
        <w:rPr>
          <w:rStyle w:val="normaltextrun"/>
        </w:rPr>
        <w:t>–</w:t>
      </w:r>
      <w:r w:rsidR="00184971">
        <w:t>3700 MHz to 3400</w:t>
      </w:r>
      <w:r w:rsidR="00561DBD" w:rsidRPr="034A6DC3">
        <w:rPr>
          <w:rStyle w:val="normaltextrun"/>
        </w:rPr>
        <w:t>–</w:t>
      </w:r>
      <w:r w:rsidR="00184971">
        <w:t>3800 MHz</w:t>
      </w:r>
    </w:p>
    <w:p w14:paraId="2AE98D2B" w14:textId="02F1ED30" w:rsidR="00184971" w:rsidRPr="0021277E" w:rsidRDefault="00A45C64" w:rsidP="002134B5">
      <w:pPr>
        <w:pStyle w:val="Bulletlevel2last"/>
        <w:tabs>
          <w:tab w:val="left" w:pos="6663"/>
        </w:tabs>
      </w:pPr>
      <w:r>
        <w:t>c</w:t>
      </w:r>
      <w:r w:rsidR="00184971">
        <w:t>hange the base amount</w:t>
      </w:r>
      <w:r w:rsidR="00CF34AE">
        <w:t xml:space="preserve"> for this frequency range, used to calculate spectrum licence tax,</w:t>
      </w:r>
      <w:r w:rsidR="00184971">
        <w:t xml:space="preserve"> from </w:t>
      </w:r>
      <w:r w:rsidR="00184971" w:rsidRPr="00651DC1">
        <w:t>$166,032 to</w:t>
      </w:r>
      <w:r w:rsidR="00A70B54" w:rsidRPr="00651DC1">
        <w:t xml:space="preserve"> </w:t>
      </w:r>
      <w:r w:rsidR="00D94E06">
        <w:t>$221,</w:t>
      </w:r>
      <w:r w:rsidR="00D94E06" w:rsidRPr="0021277E">
        <w:t xml:space="preserve">376 to reflect the change in the frequency range. </w:t>
      </w:r>
    </w:p>
    <w:p w14:paraId="29B22FA5" w14:textId="2F4036AC" w:rsidR="00BF34FF" w:rsidRDefault="00BF34FF" w:rsidP="002134B5">
      <w:pPr>
        <w:pStyle w:val="Heading2"/>
        <w:tabs>
          <w:tab w:val="left" w:pos="6663"/>
        </w:tabs>
        <w:ind w:right="992"/>
      </w:pPr>
      <w:bookmarkStart w:id="10" w:name="_Toc126917757"/>
      <w:r w:rsidRPr="0021277E">
        <w:lastRenderedPageBreak/>
        <w:t>Draft technical instruments</w:t>
      </w:r>
      <w:bookmarkEnd w:id="10"/>
    </w:p>
    <w:p w14:paraId="721D81ED" w14:textId="55FCB89F" w:rsidR="008D1CFB" w:rsidRDefault="00ED6498" w:rsidP="002134B5">
      <w:pPr>
        <w:pStyle w:val="Numberlistlevel1"/>
        <w:numPr>
          <w:ilvl w:val="0"/>
          <w:numId w:val="47"/>
        </w:numPr>
      </w:pPr>
      <w:r>
        <w:rPr>
          <w:b/>
          <w:bCs/>
        </w:rPr>
        <w:t xml:space="preserve">Spectrum licence technical framework: </w:t>
      </w:r>
      <w:r w:rsidR="00EF0C84">
        <w:t xml:space="preserve">We seek comments on the </w:t>
      </w:r>
      <w:r w:rsidR="005A6F3E">
        <w:t xml:space="preserve">proposed technical framework, </w:t>
      </w:r>
      <w:r w:rsidR="006E593A">
        <w:t xml:space="preserve">including relevant aspects of draft RALI MS47 as they relate to spectrum </w:t>
      </w:r>
      <w:r w:rsidR="009A7732">
        <w:t>licences</w:t>
      </w:r>
      <w:r w:rsidR="00785F88">
        <w:t>.</w:t>
      </w:r>
      <w:r w:rsidR="009A7732">
        <w:t xml:space="preserve"> </w:t>
      </w:r>
    </w:p>
    <w:p w14:paraId="48160413" w14:textId="3BF5FFE9" w:rsidR="000E2A9D" w:rsidRPr="0041334B" w:rsidRDefault="00ED6498" w:rsidP="002134B5">
      <w:pPr>
        <w:pStyle w:val="Numberlistlevel1"/>
        <w:numPr>
          <w:ilvl w:val="0"/>
          <w:numId w:val="47"/>
        </w:numPr>
      </w:pPr>
      <w:r>
        <w:rPr>
          <w:b/>
          <w:bCs/>
        </w:rPr>
        <w:t>Coexistence of radio altimeters with wireless broadband:</w:t>
      </w:r>
      <w:r>
        <w:t xml:space="preserve"> </w:t>
      </w:r>
      <w:r w:rsidR="008D1CFB">
        <w:t>Alongside this consultation paper, we have also published a</w:t>
      </w:r>
      <w:r w:rsidR="009A7732">
        <w:t xml:space="preserve"> </w:t>
      </w:r>
      <w:r w:rsidR="009F0BCE">
        <w:t xml:space="preserve">report on coexistence between </w:t>
      </w:r>
      <w:r w:rsidR="00B56DE2">
        <w:t xml:space="preserve">radio altimeters </w:t>
      </w:r>
      <w:r w:rsidR="009F0BCE">
        <w:t>and WBB</w:t>
      </w:r>
      <w:r w:rsidR="00FE41A4">
        <w:t>.</w:t>
      </w:r>
      <w:r w:rsidR="006F76FB">
        <w:t xml:space="preserve"> </w:t>
      </w:r>
      <w:r w:rsidR="00137E0E">
        <w:t xml:space="preserve">Published </w:t>
      </w:r>
      <w:r w:rsidR="00566D6D">
        <w:t>at Appendix A</w:t>
      </w:r>
      <w:r w:rsidR="00325468">
        <w:t xml:space="preserve"> of this consultation</w:t>
      </w:r>
      <w:r w:rsidR="007D4323">
        <w:t xml:space="preserve"> paper</w:t>
      </w:r>
      <w:r w:rsidR="00566D6D">
        <w:t xml:space="preserve"> </w:t>
      </w:r>
      <w:r w:rsidR="006F76FB">
        <w:t xml:space="preserve">is a list of </w:t>
      </w:r>
      <w:r w:rsidR="1F8CDD30">
        <w:t>separate</w:t>
      </w:r>
      <w:r w:rsidR="006F76FB">
        <w:t xml:space="preserve"> questions aimed at eliciting evidence to assist us in making final decisions</w:t>
      </w:r>
      <w:r w:rsidR="00A81436">
        <w:t xml:space="preserve"> </w:t>
      </w:r>
      <w:r w:rsidR="00A571CB">
        <w:t xml:space="preserve">around </w:t>
      </w:r>
      <w:r w:rsidR="7BC11EA0">
        <w:t xml:space="preserve">the technical framework to manage coexistence between wireless broadband and </w:t>
      </w:r>
      <w:r w:rsidR="00A571CB">
        <w:t>radio altimeters</w:t>
      </w:r>
      <w:r w:rsidR="006F76FB">
        <w:t xml:space="preserve">.  </w:t>
      </w:r>
      <w:r w:rsidR="000E2A9D">
        <w:br w:type="page"/>
      </w:r>
    </w:p>
    <w:p w14:paraId="11215182" w14:textId="77777777" w:rsidR="001F1040" w:rsidRDefault="001F1040" w:rsidP="00263BEA">
      <w:pPr>
        <w:pStyle w:val="Heading1"/>
        <w:ind w:right="992"/>
      </w:pPr>
      <w:bookmarkStart w:id="11" w:name="_Toc69301113"/>
      <w:bookmarkStart w:id="12" w:name="_Toc126917758"/>
      <w:r>
        <w:lastRenderedPageBreak/>
        <w:t>Introduction</w:t>
      </w:r>
      <w:bookmarkEnd w:id="11"/>
      <w:bookmarkEnd w:id="12"/>
    </w:p>
    <w:p w14:paraId="6EED4E60" w14:textId="0E4D1026" w:rsidR="00636E3E" w:rsidRDefault="00904F17" w:rsidP="002134B5">
      <w:r>
        <w:t xml:space="preserve">As part of the </w:t>
      </w:r>
      <w:r w:rsidR="002C711A">
        <w:t>ACMA</w:t>
      </w:r>
      <w:r w:rsidR="00064FB3">
        <w:t>’s</w:t>
      </w:r>
      <w:r w:rsidR="005D1213">
        <w:t xml:space="preserve"> </w:t>
      </w:r>
      <w:r w:rsidR="3E5751DE">
        <w:t xml:space="preserve">program </w:t>
      </w:r>
      <w:r w:rsidR="00D61411">
        <w:t>of mid-band (3.4</w:t>
      </w:r>
      <w:r w:rsidR="00150227">
        <w:t>–</w:t>
      </w:r>
      <w:r w:rsidR="00D61411">
        <w:t>4.0 GHz) allocations</w:t>
      </w:r>
      <w:r w:rsidR="006D08BD">
        <w:t xml:space="preserve">, </w:t>
      </w:r>
      <w:r w:rsidR="00D8197E">
        <w:t>we</w:t>
      </w:r>
      <w:r w:rsidR="004C62A2">
        <w:t xml:space="preserve"> will auction spectrum in the 3.4/3.7 GHz bands</w:t>
      </w:r>
      <w:r w:rsidR="00A9436B">
        <w:t xml:space="preserve"> pursuant to section 153L of the </w:t>
      </w:r>
      <w:r w:rsidR="00A9436B">
        <w:rPr>
          <w:i/>
          <w:iCs/>
        </w:rPr>
        <w:t xml:space="preserve">Radiocommunications Act 1992 </w:t>
      </w:r>
      <w:r w:rsidR="00A9436B">
        <w:t>(the Act)</w:t>
      </w:r>
      <w:r w:rsidR="004C62A2">
        <w:t xml:space="preserve">. </w:t>
      </w:r>
    </w:p>
    <w:p w14:paraId="521A3882" w14:textId="05251743" w:rsidR="005973F4" w:rsidRDefault="00743AA2" w:rsidP="002134B5">
      <w:r>
        <w:t>To</w:t>
      </w:r>
      <w:r w:rsidR="00A6709B">
        <w:t xml:space="preserve"> make the spectrum available for </w:t>
      </w:r>
      <w:r w:rsidR="00A60BCE">
        <w:t>auction</w:t>
      </w:r>
      <w:r w:rsidR="00A6709B">
        <w:t>, t</w:t>
      </w:r>
      <w:r w:rsidR="00636E3E">
        <w:t>he ACMA</w:t>
      </w:r>
      <w:r w:rsidR="002C711A">
        <w:t xml:space="preserve"> </w:t>
      </w:r>
      <w:r w:rsidR="00802716">
        <w:t xml:space="preserve">has </w:t>
      </w:r>
      <w:r w:rsidR="001F1040">
        <w:t xml:space="preserve">made the </w:t>
      </w:r>
      <w:hyperlink r:id="rId30" w:history="1">
        <w:r w:rsidR="001F1040" w:rsidRPr="002134B5">
          <w:rPr>
            <w:rStyle w:val="Hyperlink"/>
          </w:rPr>
          <w:t xml:space="preserve">Radiocommunications (Spectrum Re-allocation – 3.4 </w:t>
        </w:r>
        <w:r w:rsidR="00984065" w:rsidRPr="002134B5">
          <w:rPr>
            <w:rStyle w:val="Hyperlink"/>
          </w:rPr>
          <w:t>GHz</w:t>
        </w:r>
        <w:r w:rsidR="001F1040" w:rsidRPr="002134B5">
          <w:rPr>
            <w:rStyle w:val="Hyperlink"/>
          </w:rPr>
          <w:t xml:space="preserve"> and 3.7 GHz Bands) Declaration 2022</w:t>
        </w:r>
      </w:hyperlink>
      <w:r w:rsidR="001F1040">
        <w:t xml:space="preserve"> (the re-</w:t>
      </w:r>
      <w:r w:rsidR="001F1040" w:rsidRPr="000A5465">
        <w:t xml:space="preserve">allocation declaration). </w:t>
      </w:r>
      <w:r w:rsidR="005973F4" w:rsidRPr="000A5465">
        <w:t>The terms of the re</w:t>
      </w:r>
      <w:r w:rsidR="005973F4" w:rsidRPr="000A5465">
        <w:noBreakHyphen/>
        <w:t xml:space="preserve">allocation declaration are summarised in </w:t>
      </w:r>
      <w:r w:rsidR="005973F4" w:rsidRPr="00944835">
        <w:t xml:space="preserve">Table </w:t>
      </w:r>
      <w:r w:rsidR="00283DE6" w:rsidRPr="000A5465">
        <w:t>1</w:t>
      </w:r>
      <w:r w:rsidR="001207DD">
        <w:t>.</w:t>
      </w:r>
    </w:p>
    <w:p w14:paraId="62FE0AF7" w14:textId="56E58420" w:rsidR="00421DAE" w:rsidRPr="00CF39F9" w:rsidRDefault="00421DAE" w:rsidP="002134B5">
      <w:pPr>
        <w:pStyle w:val="Tableheading"/>
      </w:pPr>
      <w:r w:rsidRPr="00CF39F9">
        <w:t>Summary of the re-allocation declaration</w:t>
      </w:r>
    </w:p>
    <w:tbl>
      <w:tblPr>
        <w:tblStyle w:val="ACMAtablestyle"/>
        <w:tblW w:w="7508" w:type="dxa"/>
        <w:tblLayout w:type="fixed"/>
        <w:tblLook w:val="01E0" w:firstRow="1" w:lastRow="1" w:firstColumn="1" w:lastColumn="1" w:noHBand="0" w:noVBand="0"/>
        <w:tblCaption w:val="Table title to go here"/>
        <w:tblDescription w:val="Table description to go here"/>
      </w:tblPr>
      <w:tblGrid>
        <w:gridCol w:w="2689"/>
        <w:gridCol w:w="4819"/>
      </w:tblGrid>
      <w:tr w:rsidR="00421DAE" w:rsidRPr="00CF39F9" w14:paraId="7C3A210B" w14:textId="77777777" w:rsidTr="00AE5426">
        <w:trPr>
          <w:cnfStyle w:val="100000000000" w:firstRow="1" w:lastRow="0" w:firstColumn="0" w:lastColumn="0" w:oddVBand="0" w:evenVBand="0" w:oddHBand="0" w:evenHBand="0" w:firstRowFirstColumn="0" w:firstRowLastColumn="0" w:lastRowFirstColumn="0" w:lastRowLastColumn="0"/>
        </w:trPr>
        <w:tc>
          <w:tcPr>
            <w:tcW w:w="2689" w:type="dxa"/>
          </w:tcPr>
          <w:p w14:paraId="46F78CE8" w14:textId="77777777" w:rsidR="00421DAE" w:rsidRPr="00CF39F9" w:rsidRDefault="00421DAE" w:rsidP="002134B5">
            <w:pPr>
              <w:pStyle w:val="Tableheaderrow"/>
            </w:pPr>
            <w:r w:rsidRPr="00CF39F9">
              <w:t>Relevant term</w:t>
            </w:r>
          </w:p>
        </w:tc>
        <w:tc>
          <w:tcPr>
            <w:tcW w:w="4819" w:type="dxa"/>
          </w:tcPr>
          <w:p w14:paraId="21E57EB1" w14:textId="74CC13B2" w:rsidR="00421DAE" w:rsidRPr="00CF39F9" w:rsidRDefault="004A16DE" w:rsidP="002134B5">
            <w:pPr>
              <w:pStyle w:val="Tableheaderrow"/>
            </w:pPr>
            <w:r>
              <w:t>The ACMA’s</w:t>
            </w:r>
            <w:r w:rsidR="00421DAE" w:rsidRPr="00CF39F9">
              <w:t xml:space="preserve"> re-allocation declaration</w:t>
            </w:r>
          </w:p>
        </w:tc>
      </w:tr>
      <w:tr w:rsidR="00421DAE" w:rsidRPr="00421DAE" w14:paraId="70888C41" w14:textId="77777777" w:rsidTr="00AE5426">
        <w:trPr>
          <w:cnfStyle w:val="000000100000" w:firstRow="0" w:lastRow="0" w:firstColumn="0" w:lastColumn="0" w:oddVBand="0" w:evenVBand="0" w:oddHBand="1" w:evenHBand="0" w:firstRowFirstColumn="0" w:firstRowLastColumn="0" w:lastRowFirstColumn="0" w:lastRowLastColumn="0"/>
        </w:trPr>
        <w:tc>
          <w:tcPr>
            <w:tcW w:w="2689" w:type="dxa"/>
          </w:tcPr>
          <w:p w14:paraId="5D128D8B" w14:textId="77777777" w:rsidR="00421DAE" w:rsidRPr="00CF39F9" w:rsidRDefault="00421DAE" w:rsidP="002134B5">
            <w:pPr>
              <w:pStyle w:val="TableBody"/>
              <w:rPr>
                <w:b/>
                <w:bCs/>
              </w:rPr>
            </w:pPr>
            <w:r w:rsidRPr="00CF39F9">
              <w:rPr>
                <w:b/>
                <w:bCs/>
              </w:rPr>
              <w:t>Licence type</w:t>
            </w:r>
          </w:p>
        </w:tc>
        <w:tc>
          <w:tcPr>
            <w:tcW w:w="4819" w:type="dxa"/>
          </w:tcPr>
          <w:p w14:paraId="2BCCF2BA" w14:textId="77777777" w:rsidR="00421DAE" w:rsidRPr="00CF39F9" w:rsidRDefault="00421DAE" w:rsidP="002134B5">
            <w:pPr>
              <w:pStyle w:val="TableBody"/>
            </w:pPr>
            <w:r w:rsidRPr="00CF39F9">
              <w:t>Spectrum licences</w:t>
            </w:r>
          </w:p>
        </w:tc>
      </w:tr>
      <w:tr w:rsidR="00421DAE" w:rsidRPr="00421DAE" w14:paraId="174E8216" w14:textId="77777777" w:rsidTr="00AE5426">
        <w:trPr>
          <w:cnfStyle w:val="000000010000" w:firstRow="0" w:lastRow="0" w:firstColumn="0" w:lastColumn="0" w:oddVBand="0" w:evenVBand="0" w:oddHBand="0" w:evenHBand="1" w:firstRowFirstColumn="0" w:firstRowLastColumn="0" w:lastRowFirstColumn="0" w:lastRowLastColumn="0"/>
        </w:trPr>
        <w:tc>
          <w:tcPr>
            <w:tcW w:w="2689" w:type="dxa"/>
          </w:tcPr>
          <w:p w14:paraId="41798CC7" w14:textId="77777777" w:rsidR="00421DAE" w:rsidRPr="00CF39F9" w:rsidRDefault="00421DAE" w:rsidP="002134B5">
            <w:pPr>
              <w:pStyle w:val="TableBody"/>
              <w:rPr>
                <w:b/>
                <w:bCs/>
              </w:rPr>
            </w:pPr>
            <w:r w:rsidRPr="00CF39F9">
              <w:rPr>
                <w:b/>
                <w:bCs/>
              </w:rPr>
              <w:t>Parts of the spectrum</w:t>
            </w:r>
          </w:p>
        </w:tc>
        <w:tc>
          <w:tcPr>
            <w:tcW w:w="4819" w:type="dxa"/>
          </w:tcPr>
          <w:p w14:paraId="6F1A8F2C" w14:textId="0F5FE1C9" w:rsidR="00421DAE" w:rsidRPr="00CF39F9" w:rsidRDefault="00BA7668" w:rsidP="002134B5">
            <w:pPr>
              <w:pStyle w:val="Paragraphbeforelist"/>
            </w:pPr>
            <w:r w:rsidRPr="00CF39F9">
              <w:t>The</w:t>
            </w:r>
            <w:r w:rsidR="00421DAE" w:rsidRPr="00CF39F9">
              <w:t xml:space="preserve"> frequency ranges:</w:t>
            </w:r>
          </w:p>
          <w:p w14:paraId="4BB7C31A" w14:textId="29105E6D" w:rsidR="008C2BDE" w:rsidRDefault="00921893" w:rsidP="002134B5">
            <w:pPr>
              <w:pStyle w:val="Bulletlevel1"/>
            </w:pPr>
            <w:r>
              <w:t>3400</w:t>
            </w:r>
            <w:r w:rsidR="00150227">
              <w:t>–</w:t>
            </w:r>
            <w:r>
              <w:t xml:space="preserve">3425 MHz in </w:t>
            </w:r>
            <w:r w:rsidR="00165736">
              <w:t>Albury, Cairns, Hobart, Launceston, Quirindi west, Rockhampton, Rural Australia, Townsville</w:t>
            </w:r>
          </w:p>
          <w:p w14:paraId="52E034B8" w14:textId="655FFC32" w:rsidR="00165736" w:rsidRDefault="00D33B3B" w:rsidP="002134B5">
            <w:pPr>
              <w:pStyle w:val="Bulletlevel1"/>
            </w:pPr>
            <w:r>
              <w:t>3425</w:t>
            </w:r>
            <w:r w:rsidR="00150227">
              <w:t>–</w:t>
            </w:r>
            <w:r>
              <w:t>3442.5 MHz in Quirindi west, Rural Australia</w:t>
            </w:r>
          </w:p>
          <w:p w14:paraId="57CD9659" w14:textId="059EB7A4" w:rsidR="00D33B3B" w:rsidRDefault="00176F56" w:rsidP="002134B5">
            <w:pPr>
              <w:pStyle w:val="Bulletlevel1"/>
            </w:pPr>
            <w:r>
              <w:t>3475</w:t>
            </w:r>
            <w:r w:rsidR="00150227">
              <w:t>–</w:t>
            </w:r>
            <w:r>
              <w:t>3492.5 MHz in Quirindi east, Quirindi west, Regional N</w:t>
            </w:r>
            <w:r w:rsidR="00543954">
              <w:t xml:space="preserve">ew </w:t>
            </w:r>
            <w:r>
              <w:t>S</w:t>
            </w:r>
            <w:r w:rsidR="00543954">
              <w:t xml:space="preserve">outh </w:t>
            </w:r>
            <w:r>
              <w:t>W</w:t>
            </w:r>
            <w:r w:rsidR="00543954">
              <w:t>ales</w:t>
            </w:r>
            <w:r>
              <w:t xml:space="preserve"> north, Regional N</w:t>
            </w:r>
            <w:r w:rsidR="00543954">
              <w:t xml:space="preserve">ew </w:t>
            </w:r>
            <w:r>
              <w:t>S</w:t>
            </w:r>
            <w:r w:rsidR="00543954">
              <w:t xml:space="preserve">outh </w:t>
            </w:r>
            <w:r>
              <w:t>W</w:t>
            </w:r>
            <w:r w:rsidR="00543954">
              <w:t>ales</w:t>
            </w:r>
            <w:r>
              <w:t xml:space="preserve"> south, Regional Queensland, Regional South Australia, Regional Victoria, Regional Western Australia central, Regional Western Australia south, Rural Australia</w:t>
            </w:r>
          </w:p>
          <w:p w14:paraId="5124A6E8" w14:textId="6FB15129" w:rsidR="00176F56" w:rsidRDefault="00176F56" w:rsidP="002134B5">
            <w:pPr>
              <w:pStyle w:val="Bulletlevel1"/>
            </w:pPr>
            <w:r>
              <w:t>3492.5</w:t>
            </w:r>
            <w:r w:rsidR="00150227">
              <w:t>–</w:t>
            </w:r>
            <w:r>
              <w:t>3510 MHz in Albury, Cairns, Hobart, Launceston, Quirindi east, Quirindi west, Regional N</w:t>
            </w:r>
            <w:r w:rsidR="007E0155">
              <w:t xml:space="preserve">ew </w:t>
            </w:r>
            <w:r>
              <w:t>S</w:t>
            </w:r>
            <w:r w:rsidR="007E0155">
              <w:t xml:space="preserve">outh </w:t>
            </w:r>
            <w:r>
              <w:t>W</w:t>
            </w:r>
            <w:r w:rsidR="007E0155">
              <w:t>ales</w:t>
            </w:r>
            <w:r>
              <w:t xml:space="preserve"> north, Regional N</w:t>
            </w:r>
            <w:r w:rsidR="007E0155">
              <w:t xml:space="preserve">ew </w:t>
            </w:r>
            <w:r>
              <w:t>S</w:t>
            </w:r>
            <w:r w:rsidR="007E0155">
              <w:t xml:space="preserve">outh </w:t>
            </w:r>
            <w:r>
              <w:t>W</w:t>
            </w:r>
            <w:r w:rsidR="007E0155">
              <w:t>ales</w:t>
            </w:r>
            <w:r>
              <w:t xml:space="preserve"> south, Regional Queensland, Regional South Australia, Regional Victoria, Regional Western Australia central, Regional Western Australia south, Rockhampton, Rural Australia, Townsville</w:t>
            </w:r>
          </w:p>
          <w:p w14:paraId="15B85D1F" w14:textId="7D3A6587" w:rsidR="00176F56" w:rsidRDefault="00176F56" w:rsidP="002134B5">
            <w:pPr>
              <w:pStyle w:val="Bulletlevel1"/>
            </w:pPr>
            <w:r>
              <w:t>3510</w:t>
            </w:r>
            <w:r w:rsidR="00150227">
              <w:t>–</w:t>
            </w:r>
            <w:r>
              <w:t>3542.5 MHz in Albury, Cairns, Hobart, Launceston, Quirindi west, Regional Western Australia central, Rockhampton, Rural Australia, Townsville</w:t>
            </w:r>
          </w:p>
          <w:p w14:paraId="11FEE580" w14:textId="73EF88C1" w:rsidR="00176F56" w:rsidRDefault="00D77208" w:rsidP="002134B5">
            <w:pPr>
              <w:pStyle w:val="Bulletlevel1"/>
            </w:pPr>
            <w:r>
              <w:t>3542.5</w:t>
            </w:r>
            <w:r w:rsidR="00150227">
              <w:t>–</w:t>
            </w:r>
            <w:r>
              <w:t xml:space="preserve">3575 MHz in </w:t>
            </w:r>
            <w:r w:rsidR="004F7179">
              <w:t>Regional Western Australia central.</w:t>
            </w:r>
          </w:p>
          <w:p w14:paraId="4038C886" w14:textId="75D64474" w:rsidR="008C2BDE" w:rsidRDefault="008C2BDE" w:rsidP="002134B5">
            <w:pPr>
              <w:pStyle w:val="ListBullet"/>
              <w:spacing w:after="240"/>
            </w:pPr>
            <w:r w:rsidRPr="008C2BDE">
              <w:t xml:space="preserve">This part of the spectrum is referred to as the </w:t>
            </w:r>
            <w:r w:rsidRPr="00F86127">
              <w:t>3.4 GHz band</w:t>
            </w:r>
            <w:r w:rsidRPr="008C2BDE">
              <w:t xml:space="preserve"> in this paper. </w:t>
            </w:r>
          </w:p>
          <w:p w14:paraId="4B1DEE19" w14:textId="69F8ED21" w:rsidR="008C2BDE" w:rsidRPr="00CF39F9" w:rsidRDefault="008C2BDE" w:rsidP="002134B5">
            <w:pPr>
              <w:pStyle w:val="Paragraphbeforelist"/>
            </w:pPr>
            <w:r w:rsidRPr="00CF39F9">
              <w:t>The frequency ranges:</w:t>
            </w:r>
          </w:p>
          <w:p w14:paraId="66CF0E72" w14:textId="006D3684" w:rsidR="00037B3B" w:rsidRPr="00CF39F9" w:rsidRDefault="00037B3B" w:rsidP="002134B5">
            <w:pPr>
              <w:pStyle w:val="Bulletlevel1"/>
            </w:pPr>
            <w:r w:rsidRPr="00CF39F9">
              <w:rPr>
                <w:rStyle w:val="normaltextrun"/>
                <w:szCs w:val="20"/>
              </w:rPr>
              <w:t>3700–3750 MHz in all metropolitan</w:t>
            </w:r>
            <w:r w:rsidR="00392822">
              <w:rPr>
                <w:rStyle w:val="normaltextrun"/>
                <w:szCs w:val="20"/>
              </w:rPr>
              <w:t xml:space="preserve"> areas</w:t>
            </w:r>
            <w:r>
              <w:rPr>
                <w:rStyle w:val="normaltextrun"/>
                <w:szCs w:val="20"/>
              </w:rPr>
              <w:t xml:space="preserve"> </w:t>
            </w:r>
            <w:r w:rsidR="006D31CC">
              <w:rPr>
                <w:rStyle w:val="normaltextrun"/>
                <w:szCs w:val="20"/>
              </w:rPr>
              <w:t>(</w:t>
            </w:r>
            <w:r w:rsidR="006D31CC">
              <w:t xml:space="preserve">Adelaide, </w:t>
            </w:r>
            <w:r w:rsidR="006D31CC" w:rsidRPr="008335A5">
              <w:t>Brisbane</w:t>
            </w:r>
            <w:r w:rsidR="006D31CC">
              <w:t xml:space="preserve">, </w:t>
            </w:r>
            <w:r w:rsidR="006D31CC" w:rsidRPr="008335A5">
              <w:t>Canberra</w:t>
            </w:r>
            <w:r w:rsidR="006D31CC">
              <w:t xml:space="preserve">, </w:t>
            </w:r>
            <w:r w:rsidR="00E04492">
              <w:t xml:space="preserve">Hobart, </w:t>
            </w:r>
            <w:r w:rsidR="006D31CC" w:rsidRPr="008335A5">
              <w:t>Melbourne</w:t>
            </w:r>
            <w:r w:rsidR="006D31CC">
              <w:t xml:space="preserve">, </w:t>
            </w:r>
            <w:r w:rsidR="006D31CC" w:rsidRPr="008335A5">
              <w:t>Perth</w:t>
            </w:r>
            <w:r w:rsidR="006D31CC">
              <w:t>, Sydney)</w:t>
            </w:r>
            <w:r w:rsidR="00576D16">
              <w:t>,</w:t>
            </w:r>
            <w:r w:rsidRPr="00CF39F9">
              <w:rPr>
                <w:rStyle w:val="normaltextrun"/>
                <w:szCs w:val="20"/>
              </w:rPr>
              <w:t xml:space="preserve"> </w:t>
            </w:r>
            <w:r w:rsidR="00CB157B">
              <w:rPr>
                <w:rStyle w:val="normaltextrun"/>
                <w:szCs w:val="20"/>
              </w:rPr>
              <w:t xml:space="preserve">Albury, Ballarat and Bendigo, Cairns, </w:t>
            </w:r>
            <w:r w:rsidR="00E04492">
              <w:rPr>
                <w:rStyle w:val="normaltextrun"/>
                <w:szCs w:val="20"/>
              </w:rPr>
              <w:t xml:space="preserve">Launceston, </w:t>
            </w:r>
            <w:r w:rsidR="009F4786">
              <w:rPr>
                <w:rStyle w:val="normaltextrun"/>
                <w:szCs w:val="20"/>
              </w:rPr>
              <w:t>Regional N</w:t>
            </w:r>
            <w:r w:rsidR="006F0759">
              <w:rPr>
                <w:rStyle w:val="normaltextrun"/>
                <w:szCs w:val="20"/>
              </w:rPr>
              <w:t xml:space="preserve">ew </w:t>
            </w:r>
            <w:r w:rsidR="009F4786">
              <w:rPr>
                <w:rStyle w:val="normaltextrun"/>
                <w:szCs w:val="20"/>
              </w:rPr>
              <w:lastRenderedPageBreak/>
              <w:t>S</w:t>
            </w:r>
            <w:r w:rsidR="006F0759">
              <w:rPr>
                <w:rStyle w:val="normaltextrun"/>
                <w:szCs w:val="20"/>
              </w:rPr>
              <w:t xml:space="preserve">outh </w:t>
            </w:r>
            <w:r w:rsidR="009F4786">
              <w:rPr>
                <w:rStyle w:val="normaltextrun"/>
                <w:szCs w:val="20"/>
              </w:rPr>
              <w:t>W</w:t>
            </w:r>
            <w:r w:rsidR="006F0759">
              <w:rPr>
                <w:rStyle w:val="normaltextrun"/>
                <w:szCs w:val="20"/>
              </w:rPr>
              <w:t>ales</w:t>
            </w:r>
            <w:r w:rsidR="009F4786">
              <w:rPr>
                <w:rStyle w:val="normaltextrun"/>
                <w:szCs w:val="20"/>
              </w:rPr>
              <w:t xml:space="preserve"> north, Regional N</w:t>
            </w:r>
            <w:r w:rsidR="006F0759">
              <w:rPr>
                <w:rStyle w:val="normaltextrun"/>
                <w:szCs w:val="20"/>
              </w:rPr>
              <w:t xml:space="preserve">ew </w:t>
            </w:r>
            <w:r w:rsidR="009F4786">
              <w:rPr>
                <w:rStyle w:val="normaltextrun"/>
                <w:szCs w:val="20"/>
              </w:rPr>
              <w:t>S</w:t>
            </w:r>
            <w:r w:rsidR="006F0759">
              <w:rPr>
                <w:rStyle w:val="normaltextrun"/>
                <w:szCs w:val="20"/>
              </w:rPr>
              <w:t xml:space="preserve">outh </w:t>
            </w:r>
            <w:r w:rsidR="009F4786">
              <w:rPr>
                <w:rStyle w:val="normaltextrun"/>
                <w:szCs w:val="20"/>
              </w:rPr>
              <w:t>W</w:t>
            </w:r>
            <w:r w:rsidR="006F0759">
              <w:rPr>
                <w:rStyle w:val="normaltextrun"/>
                <w:szCs w:val="20"/>
              </w:rPr>
              <w:t>ales</w:t>
            </w:r>
            <w:r w:rsidR="009F4786">
              <w:rPr>
                <w:rStyle w:val="normaltextrun"/>
                <w:szCs w:val="20"/>
              </w:rPr>
              <w:t xml:space="preserve"> south, Regional Queensland, Regional South Australia, Regional Victoria, Regional Western Australia central, Regional Western Australia south, Rockhampton, Rural Australia, Toowoomba and Townsville</w:t>
            </w:r>
          </w:p>
          <w:p w14:paraId="7809A486" w14:textId="345A043B" w:rsidR="000E4E6D" w:rsidRPr="000E4E6D" w:rsidRDefault="00037B3B" w:rsidP="002134B5">
            <w:pPr>
              <w:pStyle w:val="Bulletlevel1"/>
              <w:rPr>
                <w:rStyle w:val="normaltextrun"/>
              </w:rPr>
            </w:pPr>
            <w:r w:rsidRPr="00CF39F9">
              <w:rPr>
                <w:rStyle w:val="normaltextrun"/>
                <w:szCs w:val="20"/>
              </w:rPr>
              <w:t xml:space="preserve">3750–3800 MHz in </w:t>
            </w:r>
            <w:r w:rsidR="005C2713">
              <w:rPr>
                <w:rStyle w:val="normaltextrun"/>
                <w:szCs w:val="20"/>
              </w:rPr>
              <w:t>all</w:t>
            </w:r>
            <w:r w:rsidRPr="00CF39F9">
              <w:rPr>
                <w:rStyle w:val="normaltextrun"/>
                <w:szCs w:val="20"/>
              </w:rPr>
              <w:t xml:space="preserve"> </w:t>
            </w:r>
            <w:r w:rsidR="007F6F61">
              <w:rPr>
                <w:rStyle w:val="normaltextrun"/>
                <w:szCs w:val="20"/>
              </w:rPr>
              <w:t>m</w:t>
            </w:r>
            <w:r w:rsidRPr="00CF39F9">
              <w:rPr>
                <w:rStyle w:val="normaltextrun"/>
                <w:szCs w:val="20"/>
              </w:rPr>
              <w:t>etropolitan areas</w:t>
            </w:r>
            <w:r w:rsidR="00303DEC" w:rsidRPr="00CF39F9">
              <w:rPr>
                <w:rStyle w:val="normaltextrun"/>
                <w:szCs w:val="20"/>
              </w:rPr>
              <w:t xml:space="preserve">, </w:t>
            </w:r>
            <w:r w:rsidR="007F6F61">
              <w:t xml:space="preserve">Ballarat and Bendigo, </w:t>
            </w:r>
            <w:r w:rsidR="006827F4">
              <w:t>Regional New South Wales south,</w:t>
            </w:r>
            <w:r w:rsidR="006827F4" w:rsidRPr="008335A5" w:rsidDel="00982E73">
              <w:t xml:space="preserve"> </w:t>
            </w:r>
            <w:r w:rsidR="00F90C61">
              <w:t>Regional Queensland,</w:t>
            </w:r>
            <w:r w:rsidR="00F90C61" w:rsidRPr="008335A5" w:rsidDel="00982E73">
              <w:t xml:space="preserve"> </w:t>
            </w:r>
            <w:r w:rsidR="00F90C61">
              <w:t>Regional South Australia,</w:t>
            </w:r>
            <w:r w:rsidR="00F90C61" w:rsidRPr="008335A5" w:rsidDel="00982E73">
              <w:t xml:space="preserve"> </w:t>
            </w:r>
            <w:r w:rsidR="004E7302">
              <w:t>Regional Victoria,</w:t>
            </w:r>
            <w:r w:rsidR="004E7302" w:rsidRPr="008335A5" w:rsidDel="00982E73">
              <w:t xml:space="preserve"> </w:t>
            </w:r>
            <w:r w:rsidR="001065C2">
              <w:rPr>
                <w:rStyle w:val="normaltextrun"/>
                <w:szCs w:val="20"/>
              </w:rPr>
              <w:t>R</w:t>
            </w:r>
            <w:r w:rsidR="00E15C5B" w:rsidRPr="00CF39F9">
              <w:rPr>
                <w:rStyle w:val="normaltextrun"/>
                <w:szCs w:val="20"/>
              </w:rPr>
              <w:t xml:space="preserve">egional Western Australia </w:t>
            </w:r>
            <w:r w:rsidR="008004A0">
              <w:rPr>
                <w:rStyle w:val="normaltextrun"/>
                <w:szCs w:val="20"/>
              </w:rPr>
              <w:t>c</w:t>
            </w:r>
            <w:r w:rsidR="000E7EF5" w:rsidRPr="00CF39F9">
              <w:rPr>
                <w:rStyle w:val="normaltextrun"/>
                <w:szCs w:val="20"/>
              </w:rPr>
              <w:t>entral</w:t>
            </w:r>
            <w:r w:rsidR="000E7EF5">
              <w:t xml:space="preserve">, </w:t>
            </w:r>
            <w:r w:rsidR="007F6F61">
              <w:t>Regional W</w:t>
            </w:r>
            <w:r w:rsidR="00B904D2">
              <w:t xml:space="preserve">estern </w:t>
            </w:r>
            <w:r w:rsidR="007F6F61">
              <w:t>A</w:t>
            </w:r>
            <w:r w:rsidR="00B904D2">
              <w:t>ustralia</w:t>
            </w:r>
            <w:r w:rsidR="00B155A7">
              <w:t xml:space="preserve"> south</w:t>
            </w:r>
            <w:r w:rsidR="00C516A4">
              <w:t xml:space="preserve"> and </w:t>
            </w:r>
            <w:r w:rsidR="00C516A4" w:rsidRPr="008335A5">
              <w:t>Toowoomba</w:t>
            </w:r>
            <w:r w:rsidR="007F6F61">
              <w:t>.</w:t>
            </w:r>
            <w:r w:rsidR="007F6F61" w:rsidDel="007F6F61">
              <w:rPr>
                <w:rStyle w:val="normaltextrun"/>
                <w:szCs w:val="20"/>
              </w:rPr>
              <w:t xml:space="preserve"> </w:t>
            </w:r>
          </w:p>
          <w:p w14:paraId="722E5E08" w14:textId="4BA8179B" w:rsidR="000E4E6D" w:rsidRDefault="000E4E6D" w:rsidP="002134B5">
            <w:pPr>
              <w:pStyle w:val="Paragraph"/>
            </w:pPr>
            <w:r w:rsidRPr="000E4E6D">
              <w:t xml:space="preserve">This part of the spectrum is referred to as the </w:t>
            </w:r>
            <w:r w:rsidRPr="00DC5037">
              <w:t>3.7</w:t>
            </w:r>
            <w:r w:rsidR="00FB3C9D" w:rsidRPr="00DC5037">
              <w:t> </w:t>
            </w:r>
            <w:r w:rsidRPr="00DC5037">
              <w:t>GHz band</w:t>
            </w:r>
            <w:r w:rsidRPr="00C7468D">
              <w:rPr>
                <w:i/>
                <w:iCs/>
              </w:rPr>
              <w:t xml:space="preserve"> </w:t>
            </w:r>
            <w:r w:rsidRPr="000E4E6D">
              <w:t>in this paper.</w:t>
            </w:r>
          </w:p>
          <w:p w14:paraId="738D85AF" w14:textId="3F1A678F" w:rsidR="003A683A" w:rsidRPr="00CF39F9" w:rsidRDefault="003A683A" w:rsidP="002134B5">
            <w:pPr>
              <w:pStyle w:val="TableBody"/>
            </w:pPr>
            <w:r>
              <w:t>Together, the spectrum is referred to as the 3.4/3.7 GHz bands</w:t>
            </w:r>
            <w:r w:rsidR="00C636B0">
              <w:t>.</w:t>
            </w:r>
          </w:p>
        </w:tc>
      </w:tr>
      <w:tr w:rsidR="00421DAE" w:rsidRPr="00421DAE" w14:paraId="4CD87BDB" w14:textId="77777777" w:rsidTr="00AE5426">
        <w:trPr>
          <w:cnfStyle w:val="000000100000" w:firstRow="0" w:lastRow="0" w:firstColumn="0" w:lastColumn="0" w:oddVBand="0" w:evenVBand="0" w:oddHBand="1" w:evenHBand="0" w:firstRowFirstColumn="0" w:firstRowLastColumn="0" w:lastRowFirstColumn="0" w:lastRowLastColumn="0"/>
        </w:trPr>
        <w:tc>
          <w:tcPr>
            <w:tcW w:w="2689" w:type="dxa"/>
          </w:tcPr>
          <w:p w14:paraId="39E1550B" w14:textId="77777777" w:rsidR="00421DAE" w:rsidRPr="00421DAE" w:rsidRDefault="00421DAE" w:rsidP="002134B5">
            <w:pPr>
              <w:pStyle w:val="TableBody"/>
              <w:rPr>
                <w:b/>
                <w:bCs/>
                <w:highlight w:val="yellow"/>
              </w:rPr>
            </w:pPr>
            <w:r w:rsidRPr="000E4E6D">
              <w:rPr>
                <w:b/>
                <w:bCs/>
              </w:rPr>
              <w:lastRenderedPageBreak/>
              <w:t>Re-allocation period</w:t>
            </w:r>
          </w:p>
        </w:tc>
        <w:tc>
          <w:tcPr>
            <w:tcW w:w="4819" w:type="dxa"/>
          </w:tcPr>
          <w:p w14:paraId="148852AD" w14:textId="7363A702" w:rsidR="00421DAE" w:rsidRPr="00421DAE" w:rsidRDefault="000E4E6D" w:rsidP="002134B5">
            <w:pPr>
              <w:pStyle w:val="TableBody"/>
              <w:rPr>
                <w:highlight w:val="yellow"/>
              </w:rPr>
            </w:pPr>
            <w:r w:rsidRPr="000E4E6D">
              <w:t>Five years from the commencement of the re-allocation declaration.</w:t>
            </w:r>
          </w:p>
        </w:tc>
      </w:tr>
      <w:tr w:rsidR="00421DAE" w:rsidRPr="006D46E5" w14:paraId="73A276AA" w14:textId="77777777" w:rsidTr="00AE5426">
        <w:trPr>
          <w:cnfStyle w:val="000000010000" w:firstRow="0" w:lastRow="0" w:firstColumn="0" w:lastColumn="0" w:oddVBand="0" w:evenVBand="0" w:oddHBand="0" w:evenHBand="1" w:firstRowFirstColumn="0" w:firstRowLastColumn="0" w:lastRowFirstColumn="0" w:lastRowLastColumn="0"/>
        </w:trPr>
        <w:tc>
          <w:tcPr>
            <w:tcW w:w="2689" w:type="dxa"/>
          </w:tcPr>
          <w:p w14:paraId="28146590" w14:textId="77777777" w:rsidR="00421DAE" w:rsidRPr="00421DAE" w:rsidRDefault="00421DAE" w:rsidP="002134B5">
            <w:pPr>
              <w:pStyle w:val="TableBody"/>
              <w:rPr>
                <w:b/>
                <w:bCs/>
                <w:highlight w:val="yellow"/>
              </w:rPr>
            </w:pPr>
            <w:r w:rsidRPr="000E4E6D">
              <w:rPr>
                <w:b/>
                <w:bCs/>
              </w:rPr>
              <w:t>Re-allocation deadline</w:t>
            </w:r>
          </w:p>
        </w:tc>
        <w:tc>
          <w:tcPr>
            <w:tcW w:w="4819" w:type="dxa"/>
          </w:tcPr>
          <w:p w14:paraId="31891975" w14:textId="17DA6981" w:rsidR="00421DAE" w:rsidRPr="00930510" w:rsidRDefault="00905944" w:rsidP="002134B5">
            <w:pPr>
              <w:pStyle w:val="TableBody"/>
            </w:pPr>
            <w:r>
              <w:t>The end of the re-allocation period.</w:t>
            </w:r>
          </w:p>
        </w:tc>
      </w:tr>
    </w:tbl>
    <w:p w14:paraId="79C12EB2" w14:textId="36E504D8" w:rsidR="00421DAE" w:rsidRDefault="00D7045B" w:rsidP="002134B5">
      <w:pPr>
        <w:pStyle w:val="Paragraph"/>
        <w:spacing w:before="240"/>
      </w:pPr>
      <w:r>
        <w:t xml:space="preserve">In order to </w:t>
      </w:r>
      <w:r w:rsidR="00927F0F">
        <w:t xml:space="preserve">allocate </w:t>
      </w:r>
      <w:r w:rsidR="00587303">
        <w:t>the re-allocated spectrum</w:t>
      </w:r>
      <w:r>
        <w:t xml:space="preserve">, we are required to prepare an allocation determination and a marketing plan (allocation instruments). </w:t>
      </w:r>
    </w:p>
    <w:p w14:paraId="380826D9" w14:textId="5A214A22" w:rsidR="00C74A78" w:rsidRDefault="00C74A78" w:rsidP="002134B5">
      <w:pPr>
        <w:pStyle w:val="Paragraph"/>
        <w:spacing w:before="240"/>
      </w:pPr>
      <w:r>
        <w:t>The ACMA is seeking comment on the draft versions of the allocation and technical instruments.</w:t>
      </w:r>
    </w:p>
    <w:p w14:paraId="5376B709" w14:textId="409650BA" w:rsidR="001622F2" w:rsidRDefault="001622F2" w:rsidP="002134B5">
      <w:pPr>
        <w:pStyle w:val="Heading2"/>
      </w:pPr>
      <w:bookmarkStart w:id="13" w:name="_Toc69301114"/>
      <w:bookmarkStart w:id="14" w:name="_Toc126917759"/>
      <w:r>
        <w:t>Draft allocation instruments</w:t>
      </w:r>
      <w:bookmarkEnd w:id="13"/>
      <w:bookmarkEnd w:id="14"/>
    </w:p>
    <w:p w14:paraId="096440D7" w14:textId="77777777" w:rsidR="004D33C0" w:rsidRDefault="004D33C0" w:rsidP="002134B5">
      <w:pPr>
        <w:pStyle w:val="Heading3"/>
      </w:pPr>
      <w:r>
        <w:t>Marketing plan</w:t>
      </w:r>
    </w:p>
    <w:p w14:paraId="40C64110" w14:textId="77777777" w:rsidR="00EC6A43" w:rsidRDefault="00EC6A43" w:rsidP="002134B5">
      <w:r>
        <w:t xml:space="preserve">Section 39A of the Act requires the ACMA to prepare a marketing plan for issuing spectrum licences within the parts of the spectrum subject to a re-allocation declaration. </w:t>
      </w:r>
    </w:p>
    <w:p w14:paraId="22947B1D" w14:textId="7A6963E7" w:rsidR="00D35406" w:rsidRDefault="00EC6A43" w:rsidP="002134B5">
      <w:pPr>
        <w:pStyle w:val="Paragraphbeforelist"/>
      </w:pPr>
      <w:r>
        <w:t>The marketing plan is a legislative instrument which sets out the product offering, and may specify matters including:</w:t>
      </w:r>
    </w:p>
    <w:p w14:paraId="5FAA9290" w14:textId="77777777" w:rsidR="00D35406" w:rsidRDefault="00D35406" w:rsidP="002134B5">
      <w:pPr>
        <w:pStyle w:val="Bulletlevel1"/>
      </w:pPr>
      <w:r>
        <w:t>the procedures to be followed for issuing spectrum licences</w:t>
      </w:r>
    </w:p>
    <w:p w14:paraId="2DC58976" w14:textId="77777777" w:rsidR="00D35406" w:rsidRDefault="00D35406" w:rsidP="002134B5">
      <w:pPr>
        <w:pStyle w:val="Bulletlevel1"/>
      </w:pPr>
      <w:r>
        <w:t>the timetable for issuing spectrum licences in accordance with the plan</w:t>
      </w:r>
    </w:p>
    <w:p w14:paraId="0E3743F8" w14:textId="77777777" w:rsidR="00D35406" w:rsidRDefault="00D35406" w:rsidP="002134B5">
      <w:pPr>
        <w:pStyle w:val="Bulletlevel1"/>
      </w:pPr>
      <w:r>
        <w:t>how the spectrum is to be apportioned among the spectrum licences to be issued</w:t>
      </w:r>
    </w:p>
    <w:p w14:paraId="79373B3C" w14:textId="77777777" w:rsidR="00D35406" w:rsidRDefault="00D35406" w:rsidP="002134B5">
      <w:pPr>
        <w:pStyle w:val="Bulletlevel1last"/>
      </w:pPr>
      <w:r>
        <w:t>the conditions, or types of conditions, that may be included in the spectrum licences to be issued.</w:t>
      </w:r>
    </w:p>
    <w:p w14:paraId="56E86B33" w14:textId="77777777" w:rsidR="00D35406" w:rsidRDefault="00D35406" w:rsidP="002134B5">
      <w:pPr>
        <w:pStyle w:val="Paragraph"/>
      </w:pPr>
      <w:r>
        <w:t>Further discussion of the draft version of the marketing plan is in the ‘Draft marketing plan’ section of this paper.</w:t>
      </w:r>
    </w:p>
    <w:p w14:paraId="7255FD2A" w14:textId="77777777" w:rsidR="007C281F" w:rsidRDefault="007C281F" w:rsidP="002134B5">
      <w:pPr>
        <w:pStyle w:val="Heading3"/>
      </w:pPr>
      <w:r>
        <w:t>Allocation determination</w:t>
      </w:r>
    </w:p>
    <w:p w14:paraId="0E442827" w14:textId="15704475" w:rsidR="00B021E1" w:rsidRDefault="00B021E1" w:rsidP="002134B5">
      <w:r w:rsidRPr="00D77B1B">
        <w:t xml:space="preserve">Section 60 of the Act requires the ACMA to determine written procedures to apply to the allocation of spectrum licences. Section 294 of the Act enables the ACMA to make determinations fixing spectrum access charges payable by licensees for issuing </w:t>
      </w:r>
      <w:r w:rsidRPr="00D77B1B">
        <w:lastRenderedPageBreak/>
        <w:t xml:space="preserve">spectrum licences and specifying the times when spectrum access charges </w:t>
      </w:r>
      <w:r w:rsidR="006B3522">
        <w:br/>
      </w:r>
      <w:r w:rsidRPr="00D77B1B">
        <w:t>are payable.</w:t>
      </w:r>
    </w:p>
    <w:p w14:paraId="67C505EE" w14:textId="1DECFBEE" w:rsidR="00B021E1" w:rsidRDefault="00B021E1" w:rsidP="002134B5">
      <w:pPr>
        <w:pStyle w:val="Paragraphbeforelist"/>
      </w:pPr>
      <w:r>
        <w:t xml:space="preserve">An allocation determination made under section 60 </w:t>
      </w:r>
      <w:r w:rsidR="009069A8">
        <w:t xml:space="preserve">of the Act </w:t>
      </w:r>
      <w:r w:rsidR="00F33B1A">
        <w:t xml:space="preserve">for the purposes of an auction </w:t>
      </w:r>
      <w:r>
        <w:t>sets out the auction rules and procedures, and may specify matters including, but not limited to:</w:t>
      </w:r>
    </w:p>
    <w:p w14:paraId="0C816A49" w14:textId="77777777" w:rsidR="00B021E1" w:rsidRDefault="00B021E1" w:rsidP="002134B5">
      <w:pPr>
        <w:pStyle w:val="Bulletlevel1"/>
      </w:pPr>
      <w:r>
        <w:t>the type of auction</w:t>
      </w:r>
    </w:p>
    <w:p w14:paraId="5BD7186F" w14:textId="77777777" w:rsidR="00B021E1" w:rsidRDefault="00B021E1" w:rsidP="002134B5">
      <w:pPr>
        <w:pStyle w:val="Bulletlevel1"/>
      </w:pPr>
      <w:r>
        <w:t>how the auction will be advertised</w:t>
      </w:r>
    </w:p>
    <w:p w14:paraId="65D130B7" w14:textId="15A5CF8F" w:rsidR="00B021E1" w:rsidRDefault="00B021E1" w:rsidP="002134B5">
      <w:pPr>
        <w:pStyle w:val="Bulletlevel1last"/>
      </w:pPr>
      <w:r>
        <w:t>pricing (application fees, starting prices, deposits)</w:t>
      </w:r>
      <w:r w:rsidR="00696F68">
        <w:t>, eligibility requirements</w:t>
      </w:r>
      <w:r>
        <w:t xml:space="preserve"> and methods of payment for licences.</w:t>
      </w:r>
    </w:p>
    <w:p w14:paraId="47C02D1B" w14:textId="2AB45A35" w:rsidR="00572915" w:rsidRDefault="00572915" w:rsidP="002134B5">
      <w:pPr>
        <w:pStyle w:val="Paragraph"/>
      </w:pPr>
      <w:r>
        <w:t>Discussion of the draft version of the allocation determination is in the ‘Draft allocation determination’ section of this paper.</w:t>
      </w:r>
    </w:p>
    <w:p w14:paraId="51E07215" w14:textId="106A3F01" w:rsidR="00421DAE" w:rsidRDefault="00B021E1" w:rsidP="002134B5">
      <w:pPr>
        <w:pStyle w:val="Paragraph"/>
      </w:pPr>
      <w:r>
        <w:t xml:space="preserve">An allocation determination may </w:t>
      </w:r>
      <w:r w:rsidRPr="00184B60">
        <w:t xml:space="preserve">impose limits on the aggregate of the parts </w:t>
      </w:r>
      <w:r>
        <w:t>of the spectrum that may be used by any one person, or a specified group of persons.</w:t>
      </w:r>
      <w:r w:rsidRPr="007A2E2E">
        <w:t xml:space="preserve"> </w:t>
      </w:r>
      <w:r w:rsidR="00203162" w:rsidRPr="00DF164A">
        <w:t xml:space="preserve">The Act was amended by the </w:t>
      </w:r>
      <w:hyperlink r:id="rId31" w:history="1">
        <w:r w:rsidR="00203162" w:rsidRPr="004E3FCD">
          <w:rPr>
            <w:rStyle w:val="Hyperlink"/>
            <w:i/>
            <w:iCs/>
          </w:rPr>
          <w:t>Radiocommunications Legislation Amendment (Reform and Modernisation) Act 2020</w:t>
        </w:r>
      </w:hyperlink>
      <w:r w:rsidR="00203162" w:rsidRPr="00DF164A">
        <w:rPr>
          <w:i/>
        </w:rPr>
        <w:t xml:space="preserve"> </w:t>
      </w:r>
      <w:r w:rsidR="00203162" w:rsidRPr="00DF164A">
        <w:t>(the Modernisation Act)</w:t>
      </w:r>
      <w:r w:rsidR="00203162">
        <w:t>, such that the power to set allocation limits now falls under the ACMA’s remit</w:t>
      </w:r>
      <w:r w:rsidR="00203162" w:rsidRPr="00DF164A">
        <w:t xml:space="preserve">. </w:t>
      </w:r>
      <w:r w:rsidR="00106777">
        <w:t xml:space="preserve">Further discussion on </w:t>
      </w:r>
      <w:r w:rsidR="00620D7F">
        <w:t xml:space="preserve">the proposed application and quantum of the allocation limits for the </w:t>
      </w:r>
      <w:r w:rsidR="00106777" w:rsidRPr="004B66E0">
        <w:t>3.4</w:t>
      </w:r>
      <w:r w:rsidR="008B18A8">
        <w:t>/</w:t>
      </w:r>
      <w:r w:rsidR="00106777" w:rsidRPr="004B66E0">
        <w:t>3.7</w:t>
      </w:r>
      <w:r w:rsidR="0083151E">
        <w:t> </w:t>
      </w:r>
      <w:r w:rsidR="00106777" w:rsidRPr="004B66E0">
        <w:t>GHz bands</w:t>
      </w:r>
      <w:r w:rsidR="00106777">
        <w:t xml:space="preserve"> auction is under the ‘Allocation limits’ section of this paper. </w:t>
      </w:r>
    </w:p>
    <w:p w14:paraId="2B698798" w14:textId="161DC734" w:rsidR="00C91A72" w:rsidRDefault="00C91A72" w:rsidP="002134B5">
      <w:pPr>
        <w:pStyle w:val="Heading2"/>
      </w:pPr>
      <w:bookmarkStart w:id="15" w:name="_Toc126917760"/>
      <w:r>
        <w:t>Draft technical instruments</w:t>
      </w:r>
      <w:bookmarkEnd w:id="15"/>
    </w:p>
    <w:p w14:paraId="29DE08FD" w14:textId="0DFEF53F" w:rsidR="00C53BD2" w:rsidRDefault="00C53BD2" w:rsidP="002134B5">
      <w:r>
        <w:t xml:space="preserve">The ACMA has also prepared draft technical instruments </w:t>
      </w:r>
      <w:r w:rsidR="00750180">
        <w:t xml:space="preserve">as part of a technical framework </w:t>
      </w:r>
      <w:r>
        <w:t xml:space="preserve">to provide the technical and interference management rules for the operation of radiocommunications devices under a spectrum licence in the </w:t>
      </w:r>
      <w:r w:rsidRPr="004B66E0">
        <w:t>3.4</w:t>
      </w:r>
      <w:r>
        <w:t>/</w:t>
      </w:r>
      <w:r w:rsidRPr="004B66E0">
        <w:t>3.7</w:t>
      </w:r>
      <w:r>
        <w:t> </w:t>
      </w:r>
      <w:r w:rsidRPr="004B66E0">
        <w:t>GHz bands</w:t>
      </w:r>
      <w:r>
        <w:t xml:space="preserve">. </w:t>
      </w:r>
    </w:p>
    <w:p w14:paraId="3AA34267" w14:textId="0AF7A98A" w:rsidR="004023E5" w:rsidRPr="00195152" w:rsidRDefault="00E638FC" w:rsidP="002134B5">
      <w:r>
        <w:t>Section</w:t>
      </w:r>
      <w:r w:rsidR="004023E5">
        <w:t xml:space="preserve"> 145 of the Act allows the ACMA to make determinations </w:t>
      </w:r>
      <w:r w:rsidR="004023E5" w:rsidRPr="00195152">
        <w:t>that set out the unacceptable levels of interference for each spectrum-licensed band.</w:t>
      </w:r>
      <w:r w:rsidR="00FC644B">
        <w:t xml:space="preserve"> </w:t>
      </w:r>
      <w:r w:rsidR="00954DEA">
        <w:t xml:space="preserve">Under sections 66 to 69A and </w:t>
      </w:r>
      <w:r w:rsidR="00405529">
        <w:t>section</w:t>
      </w:r>
      <w:r w:rsidR="00954DEA">
        <w:t xml:space="preserve"> 71 of the Act</w:t>
      </w:r>
      <w:r w:rsidR="00981F1A">
        <w:t>,</w:t>
      </w:r>
      <w:r w:rsidR="00954DEA">
        <w:t xml:space="preserve"> spectrum licences </w:t>
      </w:r>
      <w:r w:rsidR="001F2FDC">
        <w:t xml:space="preserve">must </w:t>
      </w:r>
      <w:r w:rsidR="00954DEA" w:rsidRPr="00012250">
        <w:rPr>
          <w:bCs/>
          <w:iCs/>
        </w:rPr>
        <w:t>include core conditions</w:t>
      </w:r>
      <w:r w:rsidR="00261B85">
        <w:rPr>
          <w:bCs/>
          <w:iCs/>
        </w:rPr>
        <w:t>,</w:t>
      </w:r>
      <w:r w:rsidR="00954DEA" w:rsidRPr="00012250">
        <w:rPr>
          <w:bCs/>
          <w:iCs/>
        </w:rPr>
        <w:t xml:space="preserve"> statutory conditions</w:t>
      </w:r>
      <w:r w:rsidR="00261B85">
        <w:rPr>
          <w:bCs/>
          <w:iCs/>
        </w:rPr>
        <w:t xml:space="preserve"> and other conditions imposed by the ACMA</w:t>
      </w:r>
      <w:r w:rsidR="00954DEA">
        <w:rPr>
          <w:bCs/>
          <w:iCs/>
        </w:rPr>
        <w:t xml:space="preserve">. </w:t>
      </w:r>
      <w:r w:rsidR="00954DEA" w:rsidRPr="00012250">
        <w:t>Further guidance on interference management with other services is provided in radiocommunications advisory guidelines made under section 262 of the Act</w:t>
      </w:r>
      <w:r w:rsidR="00954DEA">
        <w:t xml:space="preserve">. </w:t>
      </w:r>
      <w:r w:rsidR="00F9588F">
        <w:t>These elements comprise the spectrum licensing technical framework.</w:t>
      </w:r>
    </w:p>
    <w:p w14:paraId="52ABDD5B" w14:textId="7090E8ED" w:rsidR="00C91A72" w:rsidRPr="00C91A72" w:rsidRDefault="002F539C" w:rsidP="002134B5">
      <w:pPr>
        <w:pStyle w:val="Paragraph"/>
      </w:pPr>
      <w:r>
        <w:t xml:space="preserve">For this auction, the coexistence between </w:t>
      </w:r>
      <w:r w:rsidR="00CE056F">
        <w:t>wireless broadband (</w:t>
      </w:r>
      <w:r>
        <w:t>WBB</w:t>
      </w:r>
      <w:r w:rsidR="00CE056F">
        <w:t>)</w:t>
      </w:r>
      <w:r>
        <w:t xml:space="preserve"> and radio altimeters is a key consideration. </w:t>
      </w:r>
      <w:r w:rsidR="00C53BD2">
        <w:t>Further discussion of the draft version of the technical instruments</w:t>
      </w:r>
      <w:r>
        <w:t xml:space="preserve">, </w:t>
      </w:r>
      <w:r w:rsidR="00AE3FEB">
        <w:t>including issues relevant to coexistence between WBB and radio altimeters,</w:t>
      </w:r>
      <w:r w:rsidR="00C53BD2">
        <w:t xml:space="preserve"> is in the ‘Draft technical framework’ section of this paper. </w:t>
      </w:r>
    </w:p>
    <w:p w14:paraId="7530BCCB" w14:textId="4D3C7555" w:rsidR="00D13138" w:rsidRDefault="00D13138" w:rsidP="002134B5">
      <w:pPr>
        <w:pStyle w:val="Heading2"/>
      </w:pPr>
      <w:bookmarkStart w:id="16" w:name="_Toc69301116"/>
      <w:bookmarkStart w:id="17" w:name="_Toc126917761"/>
      <w:r w:rsidRPr="0025529E">
        <w:t>Background</w:t>
      </w:r>
      <w:bookmarkEnd w:id="16"/>
      <w:bookmarkEnd w:id="17"/>
    </w:p>
    <w:p w14:paraId="4044FE23" w14:textId="72B573DD" w:rsidR="001078A3" w:rsidRDefault="00DC07DE" w:rsidP="002134B5">
      <w:pPr>
        <w:pStyle w:val="Paragraph"/>
        <w:rPr>
          <w:rStyle w:val="normaltextrun"/>
          <w:b/>
          <w:bCs/>
          <w:iCs/>
          <w:sz w:val="28"/>
          <w:szCs w:val="20"/>
        </w:rPr>
      </w:pPr>
      <w:r>
        <w:rPr>
          <w:rStyle w:val="normaltextrun"/>
          <w:szCs w:val="20"/>
        </w:rPr>
        <w:t>The ACMA is progressing a program of mid-band spectrum allocations to support a range of 5G technologies including mobile, fixed wireless and satellite services in the Australian market.</w:t>
      </w:r>
      <w:r w:rsidR="00D62178">
        <w:rPr>
          <w:rStyle w:val="normaltextrun"/>
          <w:szCs w:val="20"/>
        </w:rPr>
        <w:t xml:space="preserve"> The 3.4/3.7 GHz bands auction </w:t>
      </w:r>
      <w:r w:rsidR="7F5EEBFE" w:rsidRPr="27F307BC">
        <w:rPr>
          <w:rStyle w:val="normaltextrun"/>
        </w:rPr>
        <w:t>will be</w:t>
      </w:r>
      <w:r w:rsidR="00D62178">
        <w:rPr>
          <w:rStyle w:val="normaltextrun"/>
          <w:szCs w:val="20"/>
        </w:rPr>
        <w:t xml:space="preserve"> the second of 4 allocations in the 3.4</w:t>
      </w:r>
      <w:r w:rsidR="00150227">
        <w:rPr>
          <w:rStyle w:val="normaltextrun"/>
          <w:szCs w:val="20"/>
        </w:rPr>
        <w:t>–</w:t>
      </w:r>
      <w:r w:rsidR="00D62178">
        <w:rPr>
          <w:rStyle w:val="normaltextrun"/>
          <w:szCs w:val="20"/>
        </w:rPr>
        <w:t>4.0 GHz band.</w:t>
      </w:r>
      <w:r>
        <w:rPr>
          <w:rStyle w:val="normaltextrun"/>
          <w:szCs w:val="20"/>
        </w:rPr>
        <w:t xml:space="preserve"> </w:t>
      </w:r>
    </w:p>
    <w:p w14:paraId="4C309D5C" w14:textId="5505ECB4" w:rsidR="00DC362C" w:rsidRDefault="00EA51F5" w:rsidP="002134B5">
      <w:pPr>
        <w:pStyle w:val="Paragraphbeforelist"/>
        <w:rPr>
          <w:rStyle w:val="normaltextrun"/>
          <w:rFonts w:cs="Times New Roman"/>
          <w:b/>
          <w:sz w:val="28"/>
          <w:szCs w:val="20"/>
        </w:rPr>
      </w:pPr>
      <w:r>
        <w:rPr>
          <w:rStyle w:val="normaltextrun"/>
          <w:szCs w:val="20"/>
        </w:rPr>
        <w:t>The upcoming mid-band allocations are</w:t>
      </w:r>
      <w:r w:rsidR="00DC362C">
        <w:rPr>
          <w:rStyle w:val="normaltextrun"/>
          <w:szCs w:val="20"/>
        </w:rPr>
        <w:t>:</w:t>
      </w:r>
    </w:p>
    <w:p w14:paraId="6623D065" w14:textId="6BB5422C" w:rsidR="00835D7D" w:rsidRPr="0022426F" w:rsidRDefault="00885C6F" w:rsidP="002134B5">
      <w:pPr>
        <w:pStyle w:val="Bulletlevel1"/>
      </w:pPr>
      <w:r w:rsidRPr="0022426F">
        <w:t>An administrative allocation of area-wide apparatus licences (AWLs) in remote areas of the 3.4</w:t>
      </w:r>
      <w:r w:rsidR="00150227">
        <w:t>–</w:t>
      </w:r>
      <w:r w:rsidRPr="0022426F">
        <w:t xml:space="preserve">4.0 GHz band, intended to support both wide-area and local-area wireless broadband use cases. The ACMA expects to commence </w:t>
      </w:r>
      <w:r w:rsidR="000449EC" w:rsidRPr="0022426F">
        <w:t xml:space="preserve">this </w:t>
      </w:r>
      <w:r w:rsidRPr="0022426F">
        <w:t>allocation process in Q2 2023.</w:t>
      </w:r>
    </w:p>
    <w:p w14:paraId="0681E2BC" w14:textId="3ADF0746" w:rsidR="00885C6F" w:rsidRPr="0022426F" w:rsidRDefault="00D526E8" w:rsidP="002134B5">
      <w:pPr>
        <w:pStyle w:val="Bulletlevel1"/>
      </w:pPr>
      <w:r w:rsidRPr="0022426F">
        <w:lastRenderedPageBreak/>
        <w:t>The auction of spectrum licences in the 3.4/3.7 GHz bands, intended to support the continued deployment of wide-area wireless broadband (WA WBB) services, such as mobile and fixed wireless networks.</w:t>
      </w:r>
    </w:p>
    <w:p w14:paraId="3E1D72D6" w14:textId="25D1FBC1" w:rsidR="00ED2DE9" w:rsidRPr="0022426F" w:rsidRDefault="00940621" w:rsidP="002134B5">
      <w:pPr>
        <w:pStyle w:val="Bulletlevel1"/>
      </w:pPr>
      <w:r w:rsidRPr="0022426F">
        <w:t>An administrative allocation of AWLs in the 3.8 GHz band (</w:t>
      </w:r>
      <w:r w:rsidR="00E96633" w:rsidRPr="0022426F">
        <w:t>3.</w:t>
      </w:r>
      <w:r w:rsidR="00F65AFF" w:rsidRPr="0022426F">
        <w:t>8</w:t>
      </w:r>
      <w:r w:rsidR="00150227">
        <w:t>–</w:t>
      </w:r>
      <w:r w:rsidR="00F65AFF" w:rsidRPr="0022426F">
        <w:t>3.95 GHz in metropolitan areas and surrounds, and 3.75</w:t>
      </w:r>
      <w:r w:rsidR="00150227">
        <w:t>–</w:t>
      </w:r>
      <w:r w:rsidR="00F65AFF" w:rsidRPr="0022426F">
        <w:t>3.95 GHz in some regional areas)</w:t>
      </w:r>
      <w:r w:rsidR="0092406D" w:rsidRPr="0022426F">
        <w:t xml:space="preserve"> to support new local</w:t>
      </w:r>
      <w:r w:rsidR="00686E2F">
        <w:t>-</w:t>
      </w:r>
      <w:r w:rsidR="0092406D" w:rsidRPr="0022426F">
        <w:t xml:space="preserve">area wireless broadband </w:t>
      </w:r>
      <w:r w:rsidR="00ED2DE9" w:rsidRPr="0022426F">
        <w:t xml:space="preserve">(LA WBB) services, and the continued deployment of satellite and point-to-point </w:t>
      </w:r>
      <w:r w:rsidR="00912C00">
        <w:t xml:space="preserve">(PTP) </w:t>
      </w:r>
      <w:r w:rsidR="00ED2DE9" w:rsidRPr="0022426F">
        <w:t>services.</w:t>
      </w:r>
      <w:r w:rsidR="000449EC" w:rsidRPr="0022426F">
        <w:t xml:space="preserve"> The ACMA expects to commence this allocation process in Q1 2024.</w:t>
      </w:r>
      <w:r w:rsidR="0016477B">
        <w:t xml:space="preserve"> There may be some co-dependencies with regard to allocation limits for some interested stakeholders. </w:t>
      </w:r>
      <w:r w:rsidR="00F26C7E">
        <w:t xml:space="preserve">The ACMA is considering implementing an initial allocation limit of nil at the </w:t>
      </w:r>
      <w:r w:rsidR="00F85456">
        <w:br/>
      </w:r>
      <w:r w:rsidR="00F26C7E">
        <w:t xml:space="preserve">3.8 GHz band AWL allocation for incumbent spectrum licensees in the </w:t>
      </w:r>
      <w:r w:rsidR="00F85456">
        <w:br/>
      </w:r>
      <w:r w:rsidR="00F26C7E">
        <w:t>3.4</w:t>
      </w:r>
      <w:r w:rsidR="00150227">
        <w:t>–</w:t>
      </w:r>
      <w:r w:rsidR="00F26C7E">
        <w:t xml:space="preserve">3.7 GHz frequency range and an additional cross-band limit taking into account spectrum licensed holdings including those acquired in the Q4 2023 auction, in order to create an initial priority access period for non-WA WBB users. </w:t>
      </w:r>
      <w:r w:rsidR="0016477B">
        <w:t>This is discussed further under the ‘Allocation limits’ section of this paper.</w:t>
      </w:r>
    </w:p>
    <w:p w14:paraId="750B0354" w14:textId="7A514367" w:rsidR="000449EC" w:rsidRDefault="000449EC" w:rsidP="002134B5">
      <w:pPr>
        <w:pStyle w:val="Bulletlevel1last"/>
      </w:pPr>
      <w:r>
        <w:t>An allocation</w:t>
      </w:r>
      <w:r w:rsidR="00950735">
        <w:t xml:space="preserve"> of apparatus licences in urban excise areas of the 3.4</w:t>
      </w:r>
      <w:r w:rsidR="00150227">
        <w:t>–</w:t>
      </w:r>
      <w:r w:rsidR="00950735">
        <w:t>3.475</w:t>
      </w:r>
      <w:r w:rsidR="00DB14FA">
        <w:t xml:space="preserve"> GHz band, and metropolitan and regional areas of the 3.95</w:t>
      </w:r>
      <w:r w:rsidR="00150227">
        <w:t>–</w:t>
      </w:r>
      <w:r w:rsidR="00DB14FA">
        <w:t>4.0 GHz band, intended to support restricted cell LA WBB use.</w:t>
      </w:r>
    </w:p>
    <w:p w14:paraId="61ECEBC9" w14:textId="10EE433C" w:rsidR="00D4567C" w:rsidRPr="00AF1E71" w:rsidRDefault="00D4567C" w:rsidP="002134B5">
      <w:pPr>
        <w:pStyle w:val="Paragraph"/>
      </w:pPr>
      <w:r>
        <w:t xml:space="preserve">This work program is based on the planning decisions the ACMA has </w:t>
      </w:r>
      <w:r w:rsidR="00AC5660">
        <w:t>made for the 3.4</w:t>
      </w:r>
      <w:r w:rsidR="00150227">
        <w:t>–</w:t>
      </w:r>
      <w:r w:rsidR="00AC5660">
        <w:t>4.0 GHz band.</w:t>
      </w:r>
      <w:r w:rsidR="00307AEC">
        <w:t xml:space="preserve"> </w:t>
      </w:r>
      <w:r w:rsidR="00F00ECC">
        <w:rPr>
          <w:rStyle w:val="normaltextrun"/>
          <w:szCs w:val="20"/>
        </w:rPr>
        <w:t xml:space="preserve">Further opportunities will be made available for stakeholders to respond to the ACMA’s policy settings for other allocation processes (see also </w:t>
      </w:r>
      <w:hyperlink r:id="rId32" w:history="1">
        <w:r w:rsidR="00F00ECC" w:rsidRPr="00D40E8D">
          <w:rPr>
            <w:rStyle w:val="Hyperlink"/>
            <w:szCs w:val="20"/>
          </w:rPr>
          <w:t>the ACMA website</w:t>
        </w:r>
      </w:hyperlink>
      <w:r w:rsidR="00F00ECC">
        <w:rPr>
          <w:rStyle w:val="normaltextrun"/>
          <w:szCs w:val="20"/>
        </w:rPr>
        <w:t xml:space="preserve"> for next steps for each of the allocation processes).</w:t>
      </w:r>
    </w:p>
    <w:p w14:paraId="76B626D2" w14:textId="58A19766" w:rsidR="00D4567C" w:rsidRDefault="00D4567C" w:rsidP="002134B5">
      <w:pPr>
        <w:pStyle w:val="Heading3"/>
        <w:rPr>
          <w:rFonts w:ascii="Segoe UI" w:hAnsi="Segoe UI" w:cs="Segoe UI"/>
          <w:sz w:val="18"/>
          <w:szCs w:val="18"/>
        </w:rPr>
      </w:pPr>
      <w:r>
        <w:rPr>
          <w:rStyle w:val="normaltextrun"/>
          <w:szCs w:val="20"/>
        </w:rPr>
        <w:t>P</w:t>
      </w:r>
      <w:r w:rsidR="00AE7AFB">
        <w:rPr>
          <w:rStyle w:val="normaltextrun"/>
          <w:szCs w:val="20"/>
        </w:rPr>
        <w:t xml:space="preserve">rocess to date: </w:t>
      </w:r>
      <w:r w:rsidR="00DE1F7F">
        <w:rPr>
          <w:rStyle w:val="normaltextrun"/>
          <w:szCs w:val="20"/>
        </w:rPr>
        <w:t>consultation on arrangements in</w:t>
      </w:r>
      <w:r w:rsidRPr="00563854">
        <w:rPr>
          <w:rStyle w:val="normaltextrun"/>
          <w:szCs w:val="20"/>
        </w:rPr>
        <w:t xml:space="preserve"> the 3.4</w:t>
      </w:r>
      <w:r>
        <w:rPr>
          <w:rStyle w:val="normaltextrun"/>
          <w:szCs w:val="20"/>
        </w:rPr>
        <w:t>–</w:t>
      </w:r>
      <w:r w:rsidRPr="00563854">
        <w:rPr>
          <w:rStyle w:val="normaltextrun"/>
          <w:szCs w:val="20"/>
        </w:rPr>
        <w:t>4.0 GHz band</w:t>
      </w:r>
      <w:r>
        <w:rPr>
          <w:rStyle w:val="normaltextrun"/>
          <w:szCs w:val="20"/>
        </w:rPr>
        <w:t xml:space="preserve"> </w:t>
      </w:r>
    </w:p>
    <w:p w14:paraId="5D0E6C6F" w14:textId="7644DBF2" w:rsidR="0004281F" w:rsidRDefault="007C6206" w:rsidP="002134B5">
      <w:pPr>
        <w:pStyle w:val="Paragraph"/>
        <w:rPr>
          <w:rFonts w:ascii="Segoe UI" w:hAnsi="Segoe UI" w:cs="Segoe UI"/>
          <w:sz w:val="18"/>
          <w:szCs w:val="18"/>
        </w:rPr>
      </w:pPr>
      <w:r>
        <w:rPr>
          <w:rStyle w:val="normaltextrun"/>
          <w:szCs w:val="20"/>
        </w:rPr>
        <w:t>In 2019, a</w:t>
      </w:r>
      <w:r w:rsidR="0004281F">
        <w:rPr>
          <w:rStyle w:val="normaltextrun"/>
          <w:szCs w:val="20"/>
        </w:rPr>
        <w:t xml:space="preserve">fter industry consultation and consideration of responses, the ACMA published the </w:t>
      </w:r>
      <w:hyperlink r:id="rId33" w:tgtFrame="_blank" w:history="1">
        <w:r w:rsidR="0004281F">
          <w:rPr>
            <w:rStyle w:val="normaltextrun"/>
            <w:i/>
            <w:iCs/>
            <w:color w:val="0000FF"/>
            <w:szCs w:val="20"/>
            <w:u w:val="single"/>
          </w:rPr>
          <w:t>Optimising arrangements for the 3400–3575 MHz band – Planning decisions and preliminary views</w:t>
        </w:r>
      </w:hyperlink>
      <w:r w:rsidR="0004281F">
        <w:rPr>
          <w:rStyle w:val="normaltextrun"/>
          <w:i/>
          <w:iCs/>
          <w:szCs w:val="20"/>
        </w:rPr>
        <w:t xml:space="preserve"> </w:t>
      </w:r>
      <w:r w:rsidR="0004281F">
        <w:rPr>
          <w:rStyle w:val="normaltextrun"/>
          <w:szCs w:val="20"/>
        </w:rPr>
        <w:t>paper</w:t>
      </w:r>
      <w:r w:rsidR="0004281F">
        <w:rPr>
          <w:rStyle w:val="normaltextrun"/>
          <w:i/>
          <w:iCs/>
          <w:szCs w:val="20"/>
        </w:rPr>
        <w:t xml:space="preserve">, </w:t>
      </w:r>
      <w:r w:rsidR="0004281F">
        <w:rPr>
          <w:rStyle w:val="normaltextrun"/>
          <w:szCs w:val="20"/>
        </w:rPr>
        <w:t>in which we</w:t>
      </w:r>
      <w:r w:rsidR="0004281F">
        <w:rPr>
          <w:rStyle w:val="normaltextrun"/>
          <w:i/>
          <w:iCs/>
          <w:szCs w:val="20"/>
        </w:rPr>
        <w:t xml:space="preserve"> </w:t>
      </w:r>
      <w:r w:rsidR="0004281F">
        <w:rPr>
          <w:rStyle w:val="normaltextrun"/>
          <w:szCs w:val="20"/>
        </w:rPr>
        <w:t xml:space="preserve">identified planning outcomes and outlined an implementation plan. </w:t>
      </w:r>
      <w:r>
        <w:rPr>
          <w:rStyle w:val="normaltextrun"/>
          <w:szCs w:val="20"/>
        </w:rPr>
        <w:t xml:space="preserve">We acknowledged that the mix of licensing types across the 3400–3575 MHz frequency range has impeded commercial negotiations between licensees to facilitate a move to more efficient </w:t>
      </w:r>
      <w:r w:rsidRPr="00EF6973">
        <w:rPr>
          <w:rStyle w:val="normaltextrun"/>
        </w:rPr>
        <w:t>arra</w:t>
      </w:r>
      <w:r w:rsidRPr="00AC4F16">
        <w:rPr>
          <w:rStyle w:val="normaltextrun"/>
        </w:rPr>
        <w:t>ngements</w:t>
      </w:r>
      <w:r>
        <w:rPr>
          <w:rStyle w:val="normaltextrun"/>
          <w:szCs w:val="20"/>
        </w:rPr>
        <w:t xml:space="preserve"> in this frequency range (defragmentation). The </w:t>
      </w:r>
      <w:hyperlink r:id="rId34" w:history="1">
        <w:r w:rsidRPr="00EE2DC3">
          <w:rPr>
            <w:rStyle w:val="Hyperlink"/>
            <w:szCs w:val="20"/>
          </w:rPr>
          <w:t>3400 MHz options paper</w:t>
        </w:r>
      </w:hyperlink>
      <w:r>
        <w:rPr>
          <w:rStyle w:val="normaltextrun"/>
          <w:szCs w:val="20"/>
        </w:rPr>
        <w:t xml:space="preserve"> also identified options for making more of this frequency range available for WBB use.</w:t>
      </w:r>
      <w:r>
        <w:rPr>
          <w:rStyle w:val="eop"/>
          <w:szCs w:val="20"/>
        </w:rPr>
        <w:t> </w:t>
      </w:r>
      <w:r w:rsidR="0004281F">
        <w:rPr>
          <w:rStyle w:val="normaltextrun"/>
          <w:szCs w:val="20"/>
        </w:rPr>
        <w:t>Our preliminary planning decisions involved restacking apparatus licences, converting NBN Co’s 3.5 GHz public telecommunications service (PTS) licences to spectrum licences, and re-allocating additional spectrum for WBB use via apparatus and spectrum licensing. </w:t>
      </w:r>
    </w:p>
    <w:p w14:paraId="5E8517B6" w14:textId="1754B024" w:rsidR="004F78BA" w:rsidRDefault="004F78BA" w:rsidP="002134B5">
      <w:pPr>
        <w:pStyle w:val="Paragraph"/>
        <w:rPr>
          <w:rStyle w:val="eop"/>
          <w:szCs w:val="20"/>
        </w:rPr>
      </w:pPr>
      <w:r>
        <w:rPr>
          <w:rStyle w:val="normaltextrun"/>
          <w:szCs w:val="20"/>
        </w:rPr>
        <w:t xml:space="preserve">In July 2020, we published the </w:t>
      </w:r>
      <w:hyperlink r:id="rId35" w:tgtFrame="_blank" w:history="1">
        <w:r w:rsidRPr="003855F2">
          <w:rPr>
            <w:rStyle w:val="normaltextrun"/>
            <w:i/>
            <w:color w:val="0000FF"/>
            <w:szCs w:val="20"/>
            <w:u w:val="single"/>
          </w:rPr>
          <w:t>Replanning of the 3700–4200 MHz band</w:t>
        </w:r>
      </w:hyperlink>
      <w:r>
        <w:rPr>
          <w:rStyle w:val="normaltextrun"/>
          <w:szCs w:val="20"/>
        </w:rPr>
        <w:t xml:space="preserve"> options paper, making a case to review and potentially change the spectrum management framework in the 3700–4200 MHz frequency range. These options were based on submissions made to consultation on the </w:t>
      </w:r>
      <w:hyperlink r:id="rId36" w:tgtFrame="_blank" w:history="1">
        <w:r>
          <w:rPr>
            <w:rStyle w:val="normaltextrun"/>
            <w:i/>
            <w:iCs/>
            <w:color w:val="0000FF"/>
            <w:szCs w:val="20"/>
            <w:u w:val="single"/>
          </w:rPr>
          <w:t>Planning of the 3700–4200 MHz band</w:t>
        </w:r>
      </w:hyperlink>
      <w:r>
        <w:rPr>
          <w:rStyle w:val="normaltextrun"/>
          <w:szCs w:val="20"/>
        </w:rPr>
        <w:t xml:space="preserve"> discussion paper. </w:t>
      </w:r>
      <w:r>
        <w:rPr>
          <w:rStyle w:val="eop"/>
          <w:szCs w:val="20"/>
        </w:rPr>
        <w:t> </w:t>
      </w:r>
    </w:p>
    <w:p w14:paraId="32EB8E37" w14:textId="664079BC" w:rsidR="004F78BA" w:rsidRDefault="004F78BA" w:rsidP="002134B5">
      <w:pPr>
        <w:pStyle w:val="Paragraphbeforelist"/>
        <w:rPr>
          <w:rStyle w:val="eop"/>
          <w:szCs w:val="20"/>
        </w:rPr>
      </w:pPr>
      <w:r>
        <w:rPr>
          <w:rStyle w:val="normaltextrun"/>
          <w:szCs w:val="20"/>
        </w:rPr>
        <w:t>Current Australian regulatory arrangements in the 3700–4200 MHz frequency range support the following mix of uses: </w:t>
      </w:r>
      <w:r>
        <w:rPr>
          <w:rStyle w:val="eop"/>
          <w:szCs w:val="20"/>
        </w:rPr>
        <w:t> </w:t>
      </w:r>
    </w:p>
    <w:p w14:paraId="11BB9971" w14:textId="46DB6AF5" w:rsidR="004F78BA" w:rsidRDefault="004F78BA" w:rsidP="002134B5">
      <w:pPr>
        <w:pStyle w:val="Bulletlevel1"/>
      </w:pPr>
      <w:r w:rsidRPr="6B0C5F01">
        <w:rPr>
          <w:rStyle w:val="normaltextrun"/>
        </w:rPr>
        <w:t>apparatus-licensed PTP fixed service links </w:t>
      </w:r>
      <w:r w:rsidRPr="6B0C5F01">
        <w:rPr>
          <w:rStyle w:val="eop"/>
        </w:rPr>
        <w:t> </w:t>
      </w:r>
    </w:p>
    <w:p w14:paraId="64FA4623" w14:textId="77777777" w:rsidR="004F78BA" w:rsidRDefault="004F78BA" w:rsidP="002134B5">
      <w:pPr>
        <w:pStyle w:val="Bulletlevel1"/>
      </w:pPr>
      <w:r w:rsidRPr="6B0C5F01">
        <w:rPr>
          <w:rStyle w:val="normaltextrun"/>
        </w:rPr>
        <w:t>coordinated fixed satellite service (FSS) receive earth stations</w:t>
      </w:r>
      <w:r w:rsidRPr="6B0C5F01">
        <w:rPr>
          <w:rStyle w:val="eop"/>
        </w:rPr>
        <w:t> </w:t>
      </w:r>
    </w:p>
    <w:p w14:paraId="70618E7E" w14:textId="344739EA" w:rsidR="004F78BA" w:rsidRDefault="004F78BA" w:rsidP="002134B5">
      <w:pPr>
        <w:pStyle w:val="Bulletlevel1last"/>
        <w:rPr>
          <w:rStyle w:val="eop"/>
          <w:szCs w:val="20"/>
        </w:rPr>
      </w:pPr>
      <w:r w:rsidRPr="6B0C5F01">
        <w:rPr>
          <w:rStyle w:val="normaltextrun"/>
        </w:rPr>
        <w:t>various low-power class-licensed devices.</w:t>
      </w:r>
      <w:r w:rsidR="005E0723">
        <w:rPr>
          <w:rStyle w:val="FootnoteReference"/>
          <w:sz w:val="16"/>
          <w:szCs w:val="16"/>
        </w:rPr>
        <w:footnoteReference w:id="3"/>
      </w:r>
      <w:r w:rsidRPr="6B0C5F01">
        <w:rPr>
          <w:rStyle w:val="eop"/>
        </w:rPr>
        <w:t> </w:t>
      </w:r>
    </w:p>
    <w:p w14:paraId="16858F23" w14:textId="249F2094" w:rsidR="002530C1" w:rsidRDefault="004F78BA" w:rsidP="002134B5">
      <w:pPr>
        <w:pStyle w:val="Paragraph"/>
        <w:rPr>
          <w:rStyle w:val="eop"/>
          <w:rFonts w:cs="Times New Roman"/>
          <w:szCs w:val="20"/>
        </w:rPr>
      </w:pPr>
      <w:r>
        <w:rPr>
          <w:rStyle w:val="normaltextrun"/>
          <w:szCs w:val="20"/>
        </w:rPr>
        <w:t xml:space="preserve">Following consultation with stakeholders, technical studies and engagement both domestically and internationally, we completed a review of the 3700–4200 MHz </w:t>
      </w:r>
      <w:r>
        <w:rPr>
          <w:rStyle w:val="normaltextrun"/>
          <w:szCs w:val="20"/>
        </w:rPr>
        <w:lastRenderedPageBreak/>
        <w:t xml:space="preserve">frequency range, and published the </w:t>
      </w:r>
      <w:hyperlink r:id="rId37" w:tgtFrame="_blank" w:history="1">
        <w:r w:rsidRPr="003855F2">
          <w:rPr>
            <w:rStyle w:val="normaltextrun"/>
            <w:i/>
            <w:color w:val="0000FF"/>
            <w:szCs w:val="20"/>
            <w:u w:val="single"/>
          </w:rPr>
          <w:t>Replanning the 3700–4200 MHz band</w:t>
        </w:r>
      </w:hyperlink>
      <w:r>
        <w:rPr>
          <w:rStyle w:val="normaltextrun"/>
          <w:szCs w:val="20"/>
        </w:rPr>
        <w:t xml:space="preserve"> </w:t>
      </w:r>
      <w:r w:rsidR="00F85456">
        <w:rPr>
          <w:rStyle w:val="normaltextrun"/>
          <w:szCs w:val="20"/>
        </w:rPr>
        <w:br/>
      </w:r>
      <w:r>
        <w:rPr>
          <w:rStyle w:val="normaltextrun"/>
          <w:szCs w:val="20"/>
        </w:rPr>
        <w:t xml:space="preserve">outcomes paper. </w:t>
      </w:r>
    </w:p>
    <w:p w14:paraId="323ABE32" w14:textId="08B315B9" w:rsidR="00362687" w:rsidRDefault="00462952" w:rsidP="002134B5">
      <w:pPr>
        <w:pStyle w:val="Paragraph"/>
      </w:pPr>
      <w:r>
        <w:t>As the consideration of technical arrangements</w:t>
      </w:r>
      <w:r w:rsidR="00D92D2B">
        <w:t xml:space="preserve"> for the 3400</w:t>
      </w:r>
      <w:r w:rsidR="00515267">
        <w:rPr>
          <w:rStyle w:val="normaltextrun"/>
          <w:szCs w:val="20"/>
        </w:rPr>
        <w:t>–</w:t>
      </w:r>
      <w:r w:rsidR="001842F7">
        <w:t xml:space="preserve">3575 </w:t>
      </w:r>
      <w:r w:rsidR="00D92D2B">
        <w:t xml:space="preserve">MHz and </w:t>
      </w:r>
      <w:r w:rsidR="00F85456">
        <w:br/>
      </w:r>
      <w:r w:rsidR="00D92D2B">
        <w:t>3700</w:t>
      </w:r>
      <w:r w:rsidR="00515267">
        <w:rPr>
          <w:rStyle w:val="normaltextrun"/>
          <w:szCs w:val="20"/>
        </w:rPr>
        <w:t>–</w:t>
      </w:r>
      <w:r w:rsidR="00D92D2B">
        <w:t>4200 MHz</w:t>
      </w:r>
      <w:r w:rsidR="00670485">
        <w:t xml:space="preserve"> </w:t>
      </w:r>
      <w:r w:rsidR="00D32C74">
        <w:t xml:space="preserve">bands </w:t>
      </w:r>
      <w:r w:rsidR="00670485">
        <w:t xml:space="preserve">occurred </w:t>
      </w:r>
      <w:r w:rsidR="009E0AFB">
        <w:t xml:space="preserve">at a similar time, the ACMA </w:t>
      </w:r>
      <w:r w:rsidR="00B55EFE">
        <w:t xml:space="preserve">used this as an opportunity to holistically assess the arrangements across the broader </w:t>
      </w:r>
      <w:r w:rsidR="00C8309A">
        <w:t>3400</w:t>
      </w:r>
      <w:r w:rsidR="00515267">
        <w:rPr>
          <w:rStyle w:val="normaltextrun"/>
          <w:szCs w:val="20"/>
        </w:rPr>
        <w:t>–</w:t>
      </w:r>
      <w:r w:rsidR="00C8309A">
        <w:t>4200 MHz frequency range</w:t>
      </w:r>
      <w:r w:rsidR="000F2AC3">
        <w:t xml:space="preserve">. In doing so, we aimed to support the best long-term use of </w:t>
      </w:r>
      <w:r w:rsidR="00F85456">
        <w:br/>
      </w:r>
      <w:r w:rsidR="000F2AC3">
        <w:t xml:space="preserve">the spectrum in the band by optimising access for both spectrum and </w:t>
      </w:r>
      <w:r w:rsidR="00F85456">
        <w:br/>
      </w:r>
      <w:r w:rsidR="000F2AC3">
        <w:t xml:space="preserve">apparatus-licence uses. </w:t>
      </w:r>
    </w:p>
    <w:p w14:paraId="725BDE5F" w14:textId="46ECF338" w:rsidR="0041468D" w:rsidRDefault="00EF6973" w:rsidP="002134B5">
      <w:pPr>
        <w:pStyle w:val="Paragraph"/>
      </w:pPr>
      <w:r>
        <w:t>Between March and July 2022, w</w:t>
      </w:r>
      <w:r w:rsidR="00B73ED2">
        <w:t xml:space="preserve">e consulted again on the appropriate planning arrangements </w:t>
      </w:r>
      <w:r>
        <w:t xml:space="preserve">in </w:t>
      </w:r>
      <w:r w:rsidR="00152CBF">
        <w:t>the</w:t>
      </w:r>
      <w:r w:rsidR="000C147A">
        <w:t xml:space="preserve"> </w:t>
      </w:r>
      <w:hyperlink r:id="rId38">
        <w:r w:rsidR="006134DD" w:rsidRPr="034A6DC3">
          <w:rPr>
            <w:rStyle w:val="Hyperlink"/>
          </w:rPr>
          <w:t>Proposed spectrum re-allocation declaration for the 3.4 GHz and 3.7 GHz bands</w:t>
        </w:r>
      </w:hyperlink>
      <w:r w:rsidR="0060660E">
        <w:t xml:space="preserve"> </w:t>
      </w:r>
      <w:r w:rsidR="00C638F8">
        <w:t xml:space="preserve">consultation </w:t>
      </w:r>
      <w:r w:rsidR="0060660E">
        <w:t>(the re-allocation declaration consultation).</w:t>
      </w:r>
      <w:r w:rsidR="00585AFF">
        <w:t xml:space="preserve"> </w:t>
      </w:r>
      <w:r w:rsidR="00C82F1E">
        <w:t xml:space="preserve">Final </w:t>
      </w:r>
      <w:r w:rsidR="005A5694">
        <w:t>planning</w:t>
      </w:r>
      <w:r w:rsidR="00C82F1E">
        <w:t xml:space="preserve"> d</w:t>
      </w:r>
      <w:r w:rsidR="00257794">
        <w:t xml:space="preserve">ecisions </w:t>
      </w:r>
      <w:r w:rsidR="005A5694">
        <w:t xml:space="preserve">are outlined in the </w:t>
      </w:r>
      <w:hyperlink r:id="rId39" w:history="1">
        <w:r w:rsidR="2B3D123E" w:rsidRPr="034A6DC3">
          <w:rPr>
            <w:rStyle w:val="Hyperlink"/>
            <w:i/>
            <w:iCs/>
          </w:rPr>
          <w:t>Proposed spectrum re-allocation declaration for the 3.4 GHz and 3.7 GHz bands</w:t>
        </w:r>
      </w:hyperlink>
      <w:r w:rsidR="0041468D">
        <w:t xml:space="preserve"> </w:t>
      </w:r>
      <w:r w:rsidR="006134DD">
        <w:t>outcomes paper</w:t>
      </w:r>
      <w:r w:rsidR="00F813BA">
        <w:t>,</w:t>
      </w:r>
      <w:r w:rsidR="00F961C0">
        <w:t xml:space="preserve"> </w:t>
      </w:r>
      <w:r w:rsidR="0041468D">
        <w:t xml:space="preserve">which was published when the re-allocation declaration was made. </w:t>
      </w:r>
      <w:r w:rsidR="00121852">
        <w:t>The ACMA has also notified i</w:t>
      </w:r>
      <w:r w:rsidR="0041468D">
        <w:t>ncumbent licensee</w:t>
      </w:r>
      <w:r w:rsidR="00121852">
        <w:t>s who will be affected by the re-allocation declaration (i.e., incumbent apparatus licences are automatically cancelled at the end of the re-allocation period</w:t>
      </w:r>
      <w:r w:rsidR="00A03726">
        <w:t xml:space="preserve"> pursuant to section 153H of the Act</w:t>
      </w:r>
      <w:r w:rsidR="00121852">
        <w:t xml:space="preserve">). </w:t>
      </w:r>
    </w:p>
    <w:p w14:paraId="164DC2CB" w14:textId="2ADD895C" w:rsidR="00AC4F16" w:rsidRDefault="00AC4F16" w:rsidP="002134B5">
      <w:pPr>
        <w:pStyle w:val="Heading3"/>
      </w:pPr>
      <w:r>
        <w:t>Final planning decision for the 3.4</w:t>
      </w:r>
      <w:r w:rsidR="00150227">
        <w:t>–</w:t>
      </w:r>
      <w:r>
        <w:t>4.0 GHz band</w:t>
      </w:r>
    </w:p>
    <w:p w14:paraId="68ECE50E" w14:textId="352D6AF6" w:rsidR="005C6E09" w:rsidRDefault="00C40AB8" w:rsidP="002134B5">
      <w:pPr>
        <w:pStyle w:val="Paragraph"/>
      </w:pPr>
      <w:r>
        <w:t xml:space="preserve">Indicative proposed arrangements </w:t>
      </w:r>
      <w:r w:rsidR="00C51A69">
        <w:t xml:space="preserve">in </w:t>
      </w:r>
      <w:r w:rsidR="00156599">
        <w:t xml:space="preserve">the </w:t>
      </w:r>
      <w:r w:rsidR="0024665B" w:rsidRPr="00563854">
        <w:rPr>
          <w:rStyle w:val="normaltextrun"/>
          <w:szCs w:val="20"/>
        </w:rPr>
        <w:t>3.4</w:t>
      </w:r>
      <w:r w:rsidR="0024665B">
        <w:rPr>
          <w:rStyle w:val="normaltextrun"/>
          <w:szCs w:val="20"/>
        </w:rPr>
        <w:t>–</w:t>
      </w:r>
      <w:r w:rsidR="0024665B" w:rsidRPr="00563854">
        <w:rPr>
          <w:rStyle w:val="normaltextrun"/>
          <w:szCs w:val="20"/>
        </w:rPr>
        <w:t xml:space="preserve">4.0 GHz </w:t>
      </w:r>
      <w:r w:rsidR="00156599">
        <w:t>frequency range</w:t>
      </w:r>
      <w:r w:rsidR="00C51A69">
        <w:t>, t</w:t>
      </w:r>
      <w:r w:rsidR="00584E45">
        <w:t xml:space="preserve">aken from the </w:t>
      </w:r>
      <w:r w:rsidR="00CD4ED7">
        <w:t xml:space="preserve">re-allocation </w:t>
      </w:r>
      <w:r w:rsidR="001074F5">
        <w:t xml:space="preserve">declaration </w:t>
      </w:r>
      <w:r w:rsidR="00B85411">
        <w:t>consultation</w:t>
      </w:r>
      <w:r w:rsidR="00584E45">
        <w:t xml:space="preserve"> paper, </w:t>
      </w:r>
      <w:r w:rsidR="007D22E5">
        <w:t xml:space="preserve">are represented </w:t>
      </w:r>
      <w:r w:rsidR="00584E45">
        <w:t xml:space="preserve">below in </w:t>
      </w:r>
      <w:r w:rsidR="005C6E09">
        <w:t>Figure 1.</w:t>
      </w:r>
    </w:p>
    <w:p w14:paraId="416D53AF" w14:textId="73372395" w:rsidR="002161D1" w:rsidRDefault="00DE03FE" w:rsidP="002134B5">
      <w:pPr>
        <w:pStyle w:val="ACMAFigureHeader"/>
        <w:keepNext/>
      </w:pPr>
      <w:bookmarkStart w:id="18" w:name="_Ref82771943"/>
      <w:r w:rsidRPr="000911DA">
        <w:t xml:space="preserve">Illustration of </w:t>
      </w:r>
      <w:r w:rsidR="00B503CC" w:rsidRPr="009F0A5D">
        <w:t xml:space="preserve">planning </w:t>
      </w:r>
      <w:r w:rsidRPr="009F0A5D">
        <w:t xml:space="preserve">arrangements </w:t>
      </w:r>
      <w:r w:rsidR="00812559" w:rsidRPr="009F0A5D">
        <w:t xml:space="preserve">in </w:t>
      </w:r>
      <w:r w:rsidRPr="009F0A5D">
        <w:t xml:space="preserve">the frequency range </w:t>
      </w:r>
      <w:r w:rsidRPr="009F0A5D">
        <w:br/>
      </w:r>
      <w:r w:rsidR="0024665B" w:rsidRPr="00563854">
        <w:rPr>
          <w:rStyle w:val="normaltextrun"/>
        </w:rPr>
        <w:t>3.4</w:t>
      </w:r>
      <w:r w:rsidR="0024665B">
        <w:rPr>
          <w:rStyle w:val="normaltextrun"/>
        </w:rPr>
        <w:t>–</w:t>
      </w:r>
      <w:r w:rsidR="0024665B" w:rsidRPr="00563854">
        <w:rPr>
          <w:rStyle w:val="normaltextrun"/>
        </w:rPr>
        <w:t xml:space="preserve">4.0 GHz </w:t>
      </w:r>
      <w:bookmarkEnd w:id="18"/>
    </w:p>
    <w:p w14:paraId="23C70B02" w14:textId="4BAE9F26" w:rsidR="002161D1" w:rsidRDefault="002161D1" w:rsidP="00025AFF">
      <w:pPr>
        <w:pStyle w:val="ACMAFigureHeader"/>
        <w:keepNext/>
        <w:numPr>
          <w:ilvl w:val="0"/>
          <w:numId w:val="0"/>
        </w:numPr>
        <w:tabs>
          <w:tab w:val="left" w:pos="720"/>
        </w:tabs>
        <w:spacing w:after="0"/>
        <w:ind w:left="1021"/>
      </w:pPr>
      <w:r>
        <w:rPr>
          <w:i/>
          <w:sz w:val="16"/>
          <w:szCs w:val="16"/>
        </w:rPr>
        <w:t xml:space="preserve">AM = amateur services, FSS = fixed satellite services, PMP = point-to-multipoint services, PTP = point-to-point services, AWL = area-wide apparatus licences, </w:t>
      </w:r>
      <w:r w:rsidR="00225000">
        <w:rPr>
          <w:i/>
          <w:sz w:val="16"/>
          <w:szCs w:val="16"/>
        </w:rPr>
        <w:br/>
      </w:r>
      <w:r>
        <w:rPr>
          <w:i/>
          <w:sz w:val="16"/>
          <w:szCs w:val="16"/>
        </w:rPr>
        <w:t>SL = spectrum licences, ESPZ = earth station protection zone</w:t>
      </w:r>
    </w:p>
    <w:p w14:paraId="25FE09FE" w14:textId="630F3681" w:rsidR="002161D1" w:rsidRPr="00DF4AD0" w:rsidRDefault="002161D1" w:rsidP="008E1E43">
      <w:pPr>
        <w:keepNext/>
        <w:spacing w:after="0"/>
      </w:pPr>
      <w:r w:rsidRPr="00476B6C">
        <w:t xml:space="preserve">  </w:t>
      </w:r>
      <w:r w:rsidR="00A34DD8">
        <w:rPr>
          <w:noProof/>
        </w:rPr>
        <w:drawing>
          <wp:inline distT="0" distB="0" distL="0" distR="0" wp14:anchorId="52DDEEDD" wp14:editId="57FB3EFE">
            <wp:extent cx="5490845" cy="2345055"/>
            <wp:effectExtent l="0" t="0" r="0" b="0"/>
            <wp:docPr id="3" name="Picture 3" descr="Figure 1: Illustration of planning arrangements in the frequency range &#10;3.4–4.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llustration of planning arrangements in the frequency range &#10;3.4–4.0 GHz&#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490845" cy="2345055"/>
                    </a:xfrm>
                    <a:prstGeom prst="rect">
                      <a:avLst/>
                    </a:prstGeom>
                    <a:noFill/>
                    <a:ln>
                      <a:noFill/>
                    </a:ln>
                  </pic:spPr>
                </pic:pic>
              </a:graphicData>
            </a:graphic>
          </wp:inline>
        </w:drawing>
      </w:r>
      <w:r w:rsidRPr="00476B6C">
        <w:t xml:space="preserve"> </w:t>
      </w:r>
    </w:p>
    <w:p w14:paraId="27CF4A32" w14:textId="77777777" w:rsidR="00C82F1E" w:rsidRDefault="002161D1" w:rsidP="00263BEA">
      <w:pPr>
        <w:pStyle w:val="Tableorfigurenote"/>
        <w:ind w:right="992"/>
      </w:pPr>
      <w:r>
        <w:t>Note: This diagram is illustrative only.</w:t>
      </w:r>
    </w:p>
    <w:p w14:paraId="48532EDF" w14:textId="2A9C84BA" w:rsidR="00FD07CF" w:rsidRPr="00DE2837" w:rsidRDefault="006343B5" w:rsidP="00025AFF">
      <w:pPr>
        <w:pStyle w:val="Paragraphbeforelist"/>
      </w:pPr>
      <w:r>
        <w:t>According to the</w:t>
      </w:r>
      <w:r w:rsidRPr="00DE2837">
        <w:t xml:space="preserve"> </w:t>
      </w:r>
      <w:r w:rsidR="00C164A1" w:rsidRPr="00DE2837">
        <w:t>planning decision</w:t>
      </w:r>
      <w:r w:rsidR="00A36101">
        <w:t>s</w:t>
      </w:r>
      <w:r w:rsidR="00FD07CF" w:rsidRPr="00DE2837">
        <w:t>:</w:t>
      </w:r>
    </w:p>
    <w:p w14:paraId="6C8FFC76" w14:textId="663077F5" w:rsidR="00CF3481" w:rsidRPr="00DE2837" w:rsidRDefault="00F91CDD" w:rsidP="00025AFF">
      <w:pPr>
        <w:pStyle w:val="Bulletlevel1"/>
      </w:pPr>
      <w:r w:rsidRPr="00DE2837">
        <w:t>Spectrum</w:t>
      </w:r>
      <w:r w:rsidR="00A52180" w:rsidRPr="00DE2837">
        <w:t xml:space="preserve"> in</w:t>
      </w:r>
      <w:r w:rsidR="00CF3481" w:rsidRPr="00DE2837">
        <w:t xml:space="preserve"> the 3.4/3.7 GHz bands</w:t>
      </w:r>
      <w:r w:rsidRPr="00DE2837">
        <w:t xml:space="preserve"> will be spectrum-licensed (i.e.</w:t>
      </w:r>
      <w:r w:rsidR="00F813BA">
        <w:t>,</w:t>
      </w:r>
      <w:r w:rsidRPr="00DE2837">
        <w:t xml:space="preserve"> </w:t>
      </w:r>
      <w:r w:rsidR="00020229" w:rsidRPr="00DE2837">
        <w:t>through the 3.4/3.7 GHz bands auction).</w:t>
      </w:r>
      <w:r w:rsidR="00CF3481" w:rsidRPr="00DE2837">
        <w:t xml:space="preserve"> </w:t>
      </w:r>
    </w:p>
    <w:p w14:paraId="7B6092DA" w14:textId="6FBBDA54" w:rsidR="00F96871" w:rsidRPr="00DE2837" w:rsidRDefault="00CF3481" w:rsidP="00025AFF">
      <w:pPr>
        <w:pStyle w:val="Bulletlevel1"/>
      </w:pPr>
      <w:r w:rsidRPr="00DE2837">
        <w:t>We plan to make the 3</w:t>
      </w:r>
      <w:r w:rsidR="00C54375" w:rsidRPr="00DE2837">
        <w:t>.</w:t>
      </w:r>
      <w:r w:rsidRPr="00DE2837">
        <w:t>4–3</w:t>
      </w:r>
      <w:r w:rsidR="00C54375" w:rsidRPr="00DE2837">
        <w:t>.</w:t>
      </w:r>
      <w:r w:rsidRPr="00DE2837">
        <w:t xml:space="preserve">475 </w:t>
      </w:r>
      <w:r w:rsidR="00C54375" w:rsidRPr="00DE2837">
        <w:t>G</w:t>
      </w:r>
      <w:r w:rsidRPr="00DE2837">
        <w:t>Hz frequency range available for restricted cell LA WBB use via the issue of apparatus licences in urban excise areas.</w:t>
      </w:r>
      <w:r w:rsidR="00F96871" w:rsidRPr="00DE2837">
        <w:t xml:space="preserve"> </w:t>
      </w:r>
    </w:p>
    <w:p w14:paraId="365D882B" w14:textId="12B37580" w:rsidR="00A74D4A" w:rsidRPr="00DE2837" w:rsidRDefault="00CF3481" w:rsidP="00025AFF">
      <w:pPr>
        <w:pStyle w:val="Bulletlevel1"/>
      </w:pPr>
      <w:r w:rsidRPr="00DE2837">
        <w:t>We will implement a segmentation approach in the 3</w:t>
      </w:r>
      <w:r w:rsidR="00C54375" w:rsidRPr="00DE2837">
        <w:t>.</w:t>
      </w:r>
      <w:r w:rsidRPr="00DE2837">
        <w:t>8</w:t>
      </w:r>
      <w:r w:rsidR="00C54375" w:rsidRPr="00DE2837">
        <w:t xml:space="preserve"> G</w:t>
      </w:r>
      <w:r w:rsidRPr="00DE2837">
        <w:t xml:space="preserve">Hz </w:t>
      </w:r>
      <w:r w:rsidR="00C54375" w:rsidRPr="00DE2837">
        <w:t>band</w:t>
      </w:r>
      <w:r w:rsidR="00A74D4A" w:rsidRPr="00DE2837">
        <w:t>:</w:t>
      </w:r>
      <w:r w:rsidRPr="00DE2837">
        <w:t xml:space="preserve"> </w:t>
      </w:r>
    </w:p>
    <w:p w14:paraId="6DF52FA4" w14:textId="3A39F2A3" w:rsidR="00A74D4A" w:rsidRPr="00DE2837" w:rsidRDefault="0075582E" w:rsidP="00025AFF">
      <w:pPr>
        <w:pStyle w:val="Bulletlevel2"/>
      </w:pPr>
      <w:r w:rsidRPr="00DE2837">
        <w:t>Spectrum in the 3</w:t>
      </w:r>
      <w:r w:rsidR="00C54375" w:rsidRPr="00DE2837">
        <w:t>.75</w:t>
      </w:r>
      <w:r w:rsidR="00150227">
        <w:t>–</w:t>
      </w:r>
      <w:r w:rsidR="00C54375" w:rsidRPr="00DE2837">
        <w:t>3.95 GHz</w:t>
      </w:r>
      <w:r w:rsidR="00CF3481" w:rsidRPr="00DE2837">
        <w:t xml:space="preserve"> frequency range</w:t>
      </w:r>
      <w:r w:rsidR="00C54375" w:rsidRPr="00DE2837">
        <w:t xml:space="preserve"> in some regional areas and 3.8</w:t>
      </w:r>
      <w:r w:rsidR="000323CD">
        <w:t>–</w:t>
      </w:r>
      <w:r w:rsidR="00C54375" w:rsidRPr="00DE2837">
        <w:t>3.95 GHz in metropolitan areas and surrounds</w:t>
      </w:r>
      <w:r w:rsidR="00135986" w:rsidRPr="00DE2837">
        <w:t xml:space="preserve"> should </w:t>
      </w:r>
      <w:r w:rsidR="00135986" w:rsidRPr="00DE2837">
        <w:lastRenderedPageBreak/>
        <w:t xml:space="preserve">be </w:t>
      </w:r>
      <w:r w:rsidR="00565E9B" w:rsidRPr="00DE2837">
        <w:t>made available for apparatus licensing and continued FSS and PTP use.</w:t>
      </w:r>
    </w:p>
    <w:p w14:paraId="1114359E" w14:textId="7E35B888" w:rsidR="00CF3481" w:rsidRPr="00DE2837" w:rsidRDefault="00CF3481" w:rsidP="00025AFF">
      <w:pPr>
        <w:pStyle w:val="Bulletlevel2"/>
      </w:pPr>
      <w:r w:rsidRPr="00DE2837">
        <w:t>Our preliminary view was that the 3950–4000 MHz frequency should be segmented for restricted cell use.</w:t>
      </w:r>
    </w:p>
    <w:p w14:paraId="4F59A5EB" w14:textId="52BD28EF" w:rsidR="00CF3481" w:rsidRPr="00DE2837" w:rsidRDefault="004A08A1" w:rsidP="00025AFF">
      <w:pPr>
        <w:pStyle w:val="Bulletlevel1last"/>
      </w:pPr>
      <w:r>
        <w:t>C</w:t>
      </w:r>
      <w:r w:rsidR="00CF3481" w:rsidRPr="00DE2837">
        <w:t>onsideration of the technical frameworks and implementation of the urban excise and segmentation decisions has commenced but not yet been completed.</w:t>
      </w:r>
    </w:p>
    <w:p w14:paraId="2A08C128" w14:textId="432962A6" w:rsidR="00067FAE" w:rsidRPr="00DE2837" w:rsidRDefault="0024065B" w:rsidP="00025AFF">
      <w:pPr>
        <w:pStyle w:val="Paragraph"/>
      </w:pPr>
      <w:r>
        <w:t>T</w:t>
      </w:r>
      <w:r w:rsidR="00067FAE" w:rsidRPr="00DE2837">
        <w:t>he planning decision for the 3.4</w:t>
      </w:r>
      <w:r w:rsidR="000323CD">
        <w:t>–</w:t>
      </w:r>
      <w:r w:rsidR="00067FAE" w:rsidRPr="00DE2837">
        <w:t>4.0 GHz band is reflected in the ACMA’s work program for the band.</w:t>
      </w:r>
    </w:p>
    <w:p w14:paraId="03E45120" w14:textId="11398D05" w:rsidR="00EC4136" w:rsidRPr="00EC4136" w:rsidRDefault="000B7589" w:rsidP="00025AFF">
      <w:pPr>
        <w:pStyle w:val="Heading2"/>
      </w:pPr>
      <w:bookmarkStart w:id="19" w:name="_Toc69301117"/>
      <w:bookmarkStart w:id="20" w:name="_Toc126917762"/>
      <w:r w:rsidRPr="009069A8">
        <w:t>Legislative context and policy environment</w:t>
      </w:r>
      <w:bookmarkEnd w:id="19"/>
      <w:bookmarkEnd w:id="20"/>
    </w:p>
    <w:p w14:paraId="67F1581D" w14:textId="77777777" w:rsidR="002B1842" w:rsidRDefault="002B1842" w:rsidP="00025AFF">
      <w:pPr>
        <w:pStyle w:val="paragraph0"/>
        <w:spacing w:before="0" w:beforeAutospacing="0" w:after="0" w:afterAutospacing="0"/>
        <w:textAlignment w:val="baseline"/>
        <w:rPr>
          <w:rFonts w:ascii="Segoe UI" w:hAnsi="Segoe UI" w:cs="Segoe UI"/>
          <w:b/>
          <w:bCs/>
          <w:sz w:val="18"/>
          <w:szCs w:val="18"/>
        </w:rPr>
      </w:pPr>
      <w:bookmarkStart w:id="21" w:name="_Toc69301118"/>
      <w:r>
        <w:rPr>
          <w:rStyle w:val="normaltextrun"/>
          <w:rFonts w:ascii="Arial" w:hAnsi="Arial" w:cs="Arial"/>
          <w:b/>
          <w:bCs/>
          <w:sz w:val="20"/>
          <w:szCs w:val="20"/>
        </w:rPr>
        <w:t xml:space="preserve">Guiding legislation </w:t>
      </w:r>
      <w:r>
        <w:rPr>
          <w:rStyle w:val="eop"/>
          <w:rFonts w:ascii="Arial" w:hAnsi="Arial" w:cs="Arial"/>
          <w:b/>
          <w:bCs/>
          <w:sz w:val="20"/>
          <w:szCs w:val="20"/>
        </w:rPr>
        <w:t> </w:t>
      </w:r>
    </w:p>
    <w:p w14:paraId="4E4B1227" w14:textId="67CD82C1" w:rsidR="002B1842" w:rsidRDefault="002B1842" w:rsidP="00025AFF">
      <w:pPr>
        <w:pStyle w:val="Paragraph"/>
      </w:pPr>
      <w:r>
        <w:rPr>
          <w:rStyle w:val="normaltextrun"/>
          <w:szCs w:val="20"/>
        </w:rPr>
        <w:t>The ACMA’s decisions are guided by the object of the Act to promote the long</w:t>
      </w:r>
      <w:r w:rsidR="006520CA">
        <w:rPr>
          <w:rStyle w:val="normaltextrun"/>
          <w:szCs w:val="20"/>
        </w:rPr>
        <w:t>-</w:t>
      </w:r>
      <w:r>
        <w:rPr>
          <w:rStyle w:val="normaltextrun"/>
          <w:szCs w:val="20"/>
        </w:rPr>
        <w:t>term public interest derived from the use of the spectrum by providing for the management of the spectrum in a manner that:</w:t>
      </w:r>
      <w:r>
        <w:rPr>
          <w:rStyle w:val="eop"/>
          <w:szCs w:val="20"/>
        </w:rPr>
        <w:t> </w:t>
      </w:r>
    </w:p>
    <w:p w14:paraId="73FC8B59" w14:textId="77777777" w:rsidR="002B1842" w:rsidRDefault="002B1842" w:rsidP="00025AFF">
      <w:pPr>
        <w:pStyle w:val="paragraph0"/>
        <w:numPr>
          <w:ilvl w:val="0"/>
          <w:numId w:val="11"/>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facilitates the efficient planning, allocation and use of the spectrum</w:t>
      </w:r>
      <w:r>
        <w:rPr>
          <w:rStyle w:val="eop"/>
          <w:rFonts w:ascii="Arial" w:hAnsi="Arial" w:cs="Arial"/>
          <w:sz w:val="20"/>
          <w:szCs w:val="20"/>
        </w:rPr>
        <w:t> </w:t>
      </w:r>
    </w:p>
    <w:p w14:paraId="16D21645" w14:textId="77777777" w:rsidR="006A34A4" w:rsidRDefault="002B1842" w:rsidP="00025AFF">
      <w:pPr>
        <w:pStyle w:val="paragraph0"/>
        <w:numPr>
          <w:ilvl w:val="0"/>
          <w:numId w:val="11"/>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facilitates the use of the spectrum for:</w:t>
      </w:r>
      <w:r>
        <w:rPr>
          <w:rStyle w:val="eop"/>
          <w:rFonts w:ascii="Arial" w:hAnsi="Arial" w:cs="Arial"/>
          <w:sz w:val="20"/>
          <w:szCs w:val="20"/>
        </w:rPr>
        <w:t> </w:t>
      </w:r>
    </w:p>
    <w:p w14:paraId="6FB68A0C" w14:textId="77777777" w:rsidR="006A34A4" w:rsidRDefault="002B1842" w:rsidP="00025AFF">
      <w:pPr>
        <w:pStyle w:val="paragraph0"/>
        <w:numPr>
          <w:ilvl w:val="1"/>
          <w:numId w:val="12"/>
        </w:numPr>
        <w:spacing w:before="0" w:beforeAutospacing="0" w:after="0" w:afterAutospacing="0"/>
        <w:textAlignment w:val="baseline"/>
        <w:rPr>
          <w:rFonts w:ascii="Arial" w:hAnsi="Arial" w:cs="Arial"/>
          <w:sz w:val="20"/>
          <w:szCs w:val="20"/>
        </w:rPr>
      </w:pPr>
      <w:r w:rsidRPr="006A34A4">
        <w:rPr>
          <w:rStyle w:val="normaltextrun"/>
          <w:rFonts w:ascii="Arial" w:hAnsi="Arial" w:cs="Arial"/>
          <w:sz w:val="20"/>
          <w:szCs w:val="20"/>
        </w:rPr>
        <w:t>commercial purposes</w:t>
      </w:r>
      <w:r w:rsidRPr="006A34A4">
        <w:rPr>
          <w:rStyle w:val="eop"/>
          <w:rFonts w:ascii="Arial" w:hAnsi="Arial" w:cs="Arial"/>
          <w:sz w:val="20"/>
          <w:szCs w:val="20"/>
        </w:rPr>
        <w:t> </w:t>
      </w:r>
    </w:p>
    <w:p w14:paraId="331F5E17" w14:textId="7029F7AE" w:rsidR="006A34A4" w:rsidRDefault="002B1842" w:rsidP="00025AFF">
      <w:pPr>
        <w:pStyle w:val="paragraph0"/>
        <w:numPr>
          <w:ilvl w:val="1"/>
          <w:numId w:val="12"/>
        </w:numPr>
        <w:spacing w:before="0" w:beforeAutospacing="0" w:after="0" w:afterAutospacing="0"/>
        <w:textAlignment w:val="baseline"/>
        <w:rPr>
          <w:rFonts w:ascii="Arial" w:hAnsi="Arial" w:cs="Arial"/>
          <w:sz w:val="20"/>
          <w:szCs w:val="20"/>
        </w:rPr>
      </w:pPr>
      <w:r w:rsidRPr="006A34A4">
        <w:rPr>
          <w:rStyle w:val="normaltextrun"/>
          <w:rFonts w:ascii="Arial" w:hAnsi="Arial" w:cs="Arial"/>
          <w:sz w:val="20"/>
          <w:szCs w:val="20"/>
        </w:rPr>
        <w:t>defence purposes, national security purposes and other non</w:t>
      </w:r>
      <w:r w:rsidR="005C281F">
        <w:rPr>
          <w:rStyle w:val="normaltextrun"/>
          <w:rFonts w:ascii="Arial" w:hAnsi="Arial" w:cs="Arial"/>
          <w:sz w:val="20"/>
          <w:szCs w:val="20"/>
        </w:rPr>
        <w:t>-</w:t>
      </w:r>
      <w:r w:rsidRPr="006A34A4">
        <w:rPr>
          <w:rStyle w:val="normaltextrun"/>
          <w:rFonts w:ascii="Arial" w:hAnsi="Arial" w:cs="Arial"/>
          <w:sz w:val="20"/>
          <w:szCs w:val="20"/>
        </w:rPr>
        <w:t>commercial purposes (including public safety and community purposes)</w:t>
      </w:r>
      <w:r w:rsidRPr="006A34A4">
        <w:rPr>
          <w:rStyle w:val="eop"/>
          <w:rFonts w:ascii="Arial" w:hAnsi="Arial" w:cs="Arial"/>
          <w:sz w:val="20"/>
          <w:szCs w:val="20"/>
        </w:rPr>
        <w:t> </w:t>
      </w:r>
    </w:p>
    <w:p w14:paraId="04496487" w14:textId="1E86C424" w:rsidR="002B1842" w:rsidRPr="006A34A4" w:rsidRDefault="002B1842" w:rsidP="00025AFF">
      <w:pPr>
        <w:pStyle w:val="paragraph0"/>
        <w:numPr>
          <w:ilvl w:val="0"/>
          <w:numId w:val="11"/>
        </w:numPr>
        <w:spacing w:before="0" w:beforeAutospacing="0" w:after="0" w:afterAutospacing="0"/>
        <w:textAlignment w:val="baseline"/>
        <w:rPr>
          <w:rStyle w:val="eop"/>
          <w:rFonts w:ascii="Arial" w:hAnsi="Arial" w:cs="Arial"/>
          <w:sz w:val="20"/>
          <w:szCs w:val="20"/>
        </w:rPr>
      </w:pPr>
      <w:r w:rsidRPr="006A34A4">
        <w:rPr>
          <w:rStyle w:val="normaltextrun"/>
          <w:rFonts w:ascii="Arial" w:hAnsi="Arial" w:cs="Arial"/>
          <w:sz w:val="20"/>
          <w:szCs w:val="20"/>
        </w:rPr>
        <w:t>supports the communications policy objectives of the Australian Government.</w:t>
      </w:r>
      <w:r w:rsidRPr="006A34A4">
        <w:rPr>
          <w:rStyle w:val="eop"/>
          <w:rFonts w:ascii="Arial" w:hAnsi="Arial" w:cs="Arial"/>
          <w:sz w:val="20"/>
          <w:szCs w:val="20"/>
        </w:rPr>
        <w:t> </w:t>
      </w:r>
    </w:p>
    <w:p w14:paraId="0CB2510E" w14:textId="77777777" w:rsidR="002B1842" w:rsidRDefault="002B1842" w:rsidP="00025AFF">
      <w:pPr>
        <w:pStyle w:val="paragraph0"/>
        <w:spacing w:before="0" w:beforeAutospacing="0" w:after="0" w:afterAutospacing="0"/>
        <w:ind w:left="720"/>
        <w:textAlignment w:val="baseline"/>
        <w:rPr>
          <w:rFonts w:ascii="Arial" w:hAnsi="Arial" w:cs="Arial"/>
          <w:sz w:val="20"/>
          <w:szCs w:val="20"/>
        </w:rPr>
      </w:pPr>
    </w:p>
    <w:p w14:paraId="59A22237" w14:textId="6362C720" w:rsidR="005C78B8" w:rsidRDefault="005C78B8" w:rsidP="00025AFF">
      <w:pPr>
        <w:pStyle w:val="Heading3"/>
        <w:rPr>
          <w:rStyle w:val="normaltextrun"/>
          <w:rFonts w:ascii="Times New Roman" w:hAnsi="Times New Roman" w:cs="Times New Roman"/>
          <w:b w:val="0"/>
          <w:bCs w:val="0"/>
          <w:sz w:val="24"/>
          <w:szCs w:val="20"/>
          <w:highlight w:val="green"/>
        </w:rPr>
      </w:pPr>
      <w:r w:rsidRPr="00E87398">
        <w:rPr>
          <w:rStyle w:val="normaltextrun"/>
          <w:szCs w:val="20"/>
        </w:rPr>
        <w:t>Ministerial Policy Statement</w:t>
      </w:r>
    </w:p>
    <w:p w14:paraId="782FDE34" w14:textId="48527997" w:rsidR="005C78B8" w:rsidRDefault="005C78B8" w:rsidP="00025AFF">
      <w:pPr>
        <w:pStyle w:val="Paragraphbeforelist"/>
      </w:pPr>
      <w:r w:rsidRPr="00012797">
        <w:t>The former minister responsible for the communications portfolio issued the</w:t>
      </w:r>
      <w:r w:rsidRPr="00012797" w:rsidDel="0071151E">
        <w:t xml:space="preserve"> </w:t>
      </w:r>
      <w:hyperlink r:id="rId42" w:tgtFrame="_blank" w:history="1">
        <w:r w:rsidRPr="00025AFF">
          <w:rPr>
            <w:rStyle w:val="Hyperlink"/>
          </w:rPr>
          <w:t xml:space="preserve">Radiocommunications (Ministerial Policy Statement </w:t>
        </w:r>
        <w:r w:rsidR="00F813BA">
          <w:rPr>
            <w:rStyle w:val="Hyperlink"/>
          </w:rPr>
          <w:t>–</w:t>
        </w:r>
        <w:r w:rsidRPr="00025AFF">
          <w:rPr>
            <w:rStyle w:val="Hyperlink"/>
          </w:rPr>
          <w:t xml:space="preserve"> 3.4–4.0 GHz) Instrument 2022</w:t>
        </w:r>
      </w:hyperlink>
      <w:r w:rsidRPr="00012797">
        <w:t xml:space="preserve"> (MPS) for the allocation of the spectrum in the </w:t>
      </w:r>
      <w:r w:rsidRPr="00012797" w:rsidDel="0071151E">
        <w:t>3.4</w:t>
      </w:r>
      <w:r w:rsidRPr="00012797">
        <w:t>–4.0 GHz band, containing the following objectives:</w:t>
      </w:r>
      <w:r w:rsidRPr="00452114">
        <w:rPr>
          <w:rStyle w:val="normaltextrun"/>
        </w:rPr>
        <w:t> </w:t>
      </w:r>
    </w:p>
    <w:p w14:paraId="5F6C68ED" w14:textId="77777777" w:rsidR="005C78B8" w:rsidRDefault="005C78B8" w:rsidP="00025AFF">
      <w:pPr>
        <w:pStyle w:val="Bulletlevel1"/>
      </w:pPr>
      <w:r w:rsidRPr="002C56C4">
        <w:rPr>
          <w:rStyle w:val="normaltextrun"/>
        </w:rPr>
        <w:t>supporting the deployment of new and innovative technology, including 5G</w:t>
      </w:r>
    </w:p>
    <w:p w14:paraId="5D0225A3" w14:textId="77777777" w:rsidR="005C78B8" w:rsidRDefault="005C78B8" w:rsidP="00025AFF">
      <w:pPr>
        <w:pStyle w:val="Bulletlevel1"/>
      </w:pPr>
      <w:r w:rsidRPr="002C56C4">
        <w:rPr>
          <w:rStyle w:val="normaltextrun"/>
        </w:rPr>
        <w:t>supporting a range of use-cases and users </w:t>
      </w:r>
      <w:r w:rsidRPr="002C56C4">
        <w:rPr>
          <w:rStyle w:val="eop"/>
        </w:rPr>
        <w:t> </w:t>
      </w:r>
    </w:p>
    <w:p w14:paraId="366ABA61" w14:textId="77777777" w:rsidR="005C78B8" w:rsidRDefault="005C78B8" w:rsidP="00025AFF">
      <w:pPr>
        <w:pStyle w:val="Bulletlevel1"/>
      </w:pPr>
      <w:r w:rsidRPr="002C56C4">
        <w:rPr>
          <w:rStyle w:val="normaltextrun"/>
        </w:rPr>
        <w:t>supporting digital connectivity and investment in regional Australia </w:t>
      </w:r>
      <w:r w:rsidRPr="002C56C4">
        <w:rPr>
          <w:rStyle w:val="eop"/>
        </w:rPr>
        <w:t> </w:t>
      </w:r>
    </w:p>
    <w:p w14:paraId="377CDEC0" w14:textId="77777777" w:rsidR="005C78B8" w:rsidRPr="002C56C4" w:rsidRDefault="005C78B8" w:rsidP="00025AFF">
      <w:pPr>
        <w:pStyle w:val="Bulletlevel1last"/>
        <w:rPr>
          <w:rStyle w:val="eop"/>
        </w:rPr>
      </w:pPr>
      <w:r w:rsidRPr="002C56C4">
        <w:rPr>
          <w:rStyle w:val="normaltextrun"/>
        </w:rPr>
        <w:t>promoting competitive markets. </w:t>
      </w:r>
      <w:r w:rsidRPr="002C56C4">
        <w:rPr>
          <w:rStyle w:val="eop"/>
        </w:rPr>
        <w:t> </w:t>
      </w:r>
    </w:p>
    <w:p w14:paraId="2DE653F6" w14:textId="294C5440" w:rsidR="005C78B8" w:rsidRPr="00533F5F" w:rsidRDefault="000B2D3D" w:rsidP="00025AFF">
      <w:pPr>
        <w:pStyle w:val="Paragraph"/>
        <w:rPr>
          <w:rStyle w:val="normaltextrun"/>
          <w:b/>
          <w:szCs w:val="20"/>
        </w:rPr>
      </w:pPr>
      <w:r w:rsidRPr="00E87398">
        <w:rPr>
          <w:rStyle w:val="normaltextrun"/>
          <w:szCs w:val="20"/>
        </w:rPr>
        <w:t>Under section 28C of the Act, t</w:t>
      </w:r>
      <w:r w:rsidR="005C78B8" w:rsidRPr="000B2D3D">
        <w:rPr>
          <w:rStyle w:val="normaltextrun"/>
          <w:szCs w:val="20"/>
        </w:rPr>
        <w:t>he ACMA must have regard to t</w:t>
      </w:r>
      <w:r w:rsidR="005C78B8" w:rsidRPr="000E04E3">
        <w:rPr>
          <w:rStyle w:val="normaltextrun"/>
          <w:szCs w:val="20"/>
        </w:rPr>
        <w:t xml:space="preserve">he MPS in exercising its powers and performing its </w:t>
      </w:r>
      <w:r w:rsidR="00E96F85">
        <w:rPr>
          <w:rStyle w:val="normaltextrun"/>
          <w:szCs w:val="20"/>
        </w:rPr>
        <w:t>functions</w:t>
      </w:r>
      <w:r w:rsidR="00E96F85" w:rsidRPr="000E04E3">
        <w:rPr>
          <w:rStyle w:val="normaltextrun"/>
          <w:szCs w:val="20"/>
        </w:rPr>
        <w:t xml:space="preserve"> </w:t>
      </w:r>
      <w:r w:rsidR="005C78B8" w:rsidRPr="000E04E3">
        <w:rPr>
          <w:rStyle w:val="normaltextrun"/>
          <w:szCs w:val="20"/>
        </w:rPr>
        <w:t>under the Act.</w:t>
      </w:r>
      <w:r w:rsidR="005C78B8">
        <w:rPr>
          <w:rStyle w:val="eop"/>
          <w:szCs w:val="20"/>
        </w:rPr>
        <w:t> </w:t>
      </w:r>
    </w:p>
    <w:p w14:paraId="7F01BAF6" w14:textId="7C4AB8D8" w:rsidR="002B1842" w:rsidRPr="00533F5F" w:rsidRDefault="002B1842" w:rsidP="00025AFF">
      <w:pPr>
        <w:pStyle w:val="Heading3"/>
        <w:rPr>
          <w:rFonts w:ascii="Segoe UI" w:hAnsi="Segoe UI" w:cs="Segoe UI"/>
          <w:sz w:val="18"/>
          <w:szCs w:val="18"/>
        </w:rPr>
      </w:pPr>
      <w:r w:rsidRPr="00533F5F">
        <w:rPr>
          <w:rStyle w:val="normaltextrun"/>
          <w:szCs w:val="20"/>
        </w:rPr>
        <w:t>Government communications policy objectives</w:t>
      </w:r>
      <w:r w:rsidRPr="00533F5F">
        <w:rPr>
          <w:rStyle w:val="eop"/>
          <w:szCs w:val="20"/>
        </w:rPr>
        <w:t> </w:t>
      </w:r>
    </w:p>
    <w:p w14:paraId="2B597857" w14:textId="01271022" w:rsidR="00ED34FF" w:rsidRDefault="000E46E5" w:rsidP="00025AFF">
      <w:pPr>
        <w:pStyle w:val="Paragraph"/>
        <w:rPr>
          <w:rStyle w:val="eop"/>
          <w:b/>
          <w:bCs/>
          <w:szCs w:val="20"/>
        </w:rPr>
      </w:pPr>
      <w:r>
        <w:rPr>
          <w:rStyle w:val="eop"/>
          <w:szCs w:val="20"/>
        </w:rPr>
        <w:t xml:space="preserve">As part of the government’s October 2022 Budget announcements, the </w:t>
      </w:r>
      <w:r w:rsidR="0062436C">
        <w:rPr>
          <w:rStyle w:val="eop"/>
          <w:szCs w:val="20"/>
        </w:rPr>
        <w:t>Minister for Communications (the minister)</w:t>
      </w:r>
      <w:r w:rsidR="005F4126">
        <w:rPr>
          <w:rStyle w:val="eop"/>
          <w:szCs w:val="20"/>
        </w:rPr>
        <w:t xml:space="preserve">, the Hon Michelle Rowland MP, </w:t>
      </w:r>
      <w:hyperlink r:id="rId43" w:history="1">
        <w:r w:rsidR="009B2F6F" w:rsidRPr="00577318">
          <w:rPr>
            <w:rStyle w:val="Hyperlink"/>
            <w:szCs w:val="20"/>
          </w:rPr>
          <w:t>restated</w:t>
        </w:r>
      </w:hyperlink>
      <w:r w:rsidR="009B2F6F">
        <w:rPr>
          <w:rStyle w:val="eop"/>
          <w:szCs w:val="20"/>
        </w:rPr>
        <w:t xml:space="preserve"> the government’s commitment</w:t>
      </w:r>
      <w:r w:rsidR="000D4AB2">
        <w:rPr>
          <w:rStyle w:val="eop"/>
          <w:szCs w:val="20"/>
        </w:rPr>
        <w:t xml:space="preserve"> </w:t>
      </w:r>
      <w:r w:rsidR="00942494">
        <w:rPr>
          <w:rStyle w:val="eop"/>
          <w:szCs w:val="20"/>
        </w:rPr>
        <w:t xml:space="preserve">to deliver better connectivity to Australians, including to </w:t>
      </w:r>
      <w:r w:rsidR="00C01564">
        <w:rPr>
          <w:rStyle w:val="eop"/>
          <w:szCs w:val="20"/>
        </w:rPr>
        <w:t>increase connectivity</w:t>
      </w:r>
      <w:r w:rsidR="00942494">
        <w:rPr>
          <w:rStyle w:val="eop"/>
          <w:szCs w:val="20"/>
        </w:rPr>
        <w:t xml:space="preserve"> for rural, regional, remote and First Nations communities and </w:t>
      </w:r>
      <w:r w:rsidR="00E13AF5">
        <w:rPr>
          <w:rStyle w:val="eop"/>
          <w:szCs w:val="20"/>
        </w:rPr>
        <w:t>to enable the ACMA to continue to auction high value spectrum.</w:t>
      </w:r>
    </w:p>
    <w:p w14:paraId="61352687" w14:textId="69016AFC" w:rsidR="00611548" w:rsidRDefault="00605923" w:rsidP="00025AFF">
      <w:pPr>
        <w:pStyle w:val="Paragraph"/>
        <w:rPr>
          <w:bCs/>
          <w:color w:val="000000" w:themeColor="text1"/>
          <w:szCs w:val="20"/>
        </w:rPr>
      </w:pPr>
      <w:r>
        <w:rPr>
          <w:bCs/>
          <w:color w:val="000000" w:themeColor="text1"/>
          <w:szCs w:val="20"/>
        </w:rPr>
        <w:t>I</w:t>
      </w:r>
      <w:r w:rsidR="00611548" w:rsidRPr="003C7211">
        <w:rPr>
          <w:bCs/>
          <w:color w:val="000000" w:themeColor="text1"/>
          <w:szCs w:val="20"/>
        </w:rPr>
        <w:t xml:space="preserve">n her </w:t>
      </w:r>
      <w:hyperlink r:id="rId44" w:history="1">
        <w:r w:rsidR="00611548" w:rsidRPr="003C7211">
          <w:rPr>
            <w:rStyle w:val="Hyperlink"/>
            <w:bCs/>
            <w:szCs w:val="20"/>
          </w:rPr>
          <w:t>speech to the Radcomms conference in November 2022</w:t>
        </w:r>
      </w:hyperlink>
      <w:r w:rsidR="00611548" w:rsidRPr="003C7211">
        <w:rPr>
          <w:bCs/>
          <w:color w:val="000000" w:themeColor="text1"/>
          <w:szCs w:val="20"/>
        </w:rPr>
        <w:t xml:space="preserve">, the </w:t>
      </w:r>
      <w:r>
        <w:rPr>
          <w:bCs/>
          <w:color w:val="000000" w:themeColor="text1"/>
          <w:szCs w:val="20"/>
        </w:rPr>
        <w:t xml:space="preserve">minister </w:t>
      </w:r>
      <w:r w:rsidR="00611548" w:rsidRPr="003C7211">
        <w:rPr>
          <w:bCs/>
          <w:color w:val="000000" w:themeColor="text1"/>
          <w:szCs w:val="20"/>
        </w:rPr>
        <w:t xml:space="preserve">noted </w:t>
      </w:r>
      <w:r w:rsidR="00C77C19">
        <w:rPr>
          <w:bCs/>
          <w:color w:val="000000" w:themeColor="text1"/>
          <w:szCs w:val="20"/>
        </w:rPr>
        <w:t xml:space="preserve">that the allocation of </w:t>
      </w:r>
      <w:r w:rsidR="00C77C19" w:rsidRPr="00533F5F">
        <w:rPr>
          <w:color w:val="000000" w:themeColor="text1"/>
          <w:szCs w:val="20"/>
        </w:rPr>
        <w:t xml:space="preserve">spectrum in the 3.4–4.0 GHz band will support digital connectivity and investment in regional Australia, as well as </w:t>
      </w:r>
      <w:r w:rsidR="00017145" w:rsidRPr="00533F5F">
        <w:rPr>
          <w:color w:val="000000" w:themeColor="text1"/>
          <w:szCs w:val="20"/>
        </w:rPr>
        <w:t>its importance for the deployment of new and innovative technology including 5G services</w:t>
      </w:r>
      <w:r w:rsidR="00611548" w:rsidRPr="00533F5F">
        <w:rPr>
          <w:color w:val="000000" w:themeColor="text1"/>
          <w:szCs w:val="20"/>
        </w:rPr>
        <w:t>.</w:t>
      </w:r>
    </w:p>
    <w:p w14:paraId="1A314EBF" w14:textId="2B6606D5" w:rsidR="00547894" w:rsidRDefault="00906401" w:rsidP="00025AFF">
      <w:pPr>
        <w:pStyle w:val="Paragraphbeforelist"/>
        <w:rPr>
          <w:color w:val="000000" w:themeColor="text1"/>
        </w:rPr>
      </w:pPr>
      <w:r w:rsidRPr="034A6DC3">
        <w:rPr>
          <w:color w:val="000000" w:themeColor="text1"/>
        </w:rPr>
        <w:t xml:space="preserve">In its </w:t>
      </w:r>
      <w:hyperlink r:id="rId45">
        <w:r w:rsidRPr="034A6DC3">
          <w:rPr>
            <w:rStyle w:val="Hyperlink"/>
          </w:rPr>
          <w:t>statement of expectations for the ACMA</w:t>
        </w:r>
      </w:hyperlink>
      <w:r w:rsidR="00931668" w:rsidRPr="034A6DC3">
        <w:rPr>
          <w:rStyle w:val="Hyperlink"/>
        </w:rPr>
        <w:t xml:space="preserve"> </w:t>
      </w:r>
      <w:r w:rsidR="00931668" w:rsidRPr="034A6DC3">
        <w:rPr>
          <w:rStyle w:val="Hyperlink"/>
          <w:color w:val="auto"/>
        </w:rPr>
        <w:t>(SoE)</w:t>
      </w:r>
      <w:r w:rsidRPr="034A6DC3">
        <w:rPr>
          <w:color w:val="000000" w:themeColor="text1"/>
        </w:rPr>
        <w:t xml:space="preserve">, the </w:t>
      </w:r>
      <w:r w:rsidR="0060692C" w:rsidRPr="034A6DC3">
        <w:rPr>
          <w:color w:val="000000" w:themeColor="text1"/>
        </w:rPr>
        <w:t>g</w:t>
      </w:r>
      <w:r w:rsidR="00E34165" w:rsidRPr="034A6DC3">
        <w:rPr>
          <w:color w:val="000000" w:themeColor="text1"/>
        </w:rPr>
        <w:t>overnment articulate</w:t>
      </w:r>
      <w:r w:rsidR="007A126D" w:rsidRPr="034A6DC3">
        <w:rPr>
          <w:color w:val="000000" w:themeColor="text1"/>
        </w:rPr>
        <w:t>d</w:t>
      </w:r>
      <w:r w:rsidR="00E34165" w:rsidRPr="034A6DC3">
        <w:rPr>
          <w:color w:val="000000" w:themeColor="text1"/>
        </w:rPr>
        <w:t xml:space="preserve"> its expectation that the ACMA take a proactive regulatory approach. Of particular relevance for the ACMA’s spectrum man</w:t>
      </w:r>
      <w:r w:rsidR="00435D15" w:rsidRPr="034A6DC3">
        <w:rPr>
          <w:color w:val="000000" w:themeColor="text1"/>
        </w:rPr>
        <w:t xml:space="preserve">agement functions, the </w:t>
      </w:r>
      <w:r w:rsidR="004F7C11" w:rsidRPr="034A6DC3">
        <w:rPr>
          <w:color w:val="000000" w:themeColor="text1"/>
        </w:rPr>
        <w:t xml:space="preserve">SoE outlined the </w:t>
      </w:r>
      <w:r w:rsidR="0060692C" w:rsidRPr="034A6DC3">
        <w:rPr>
          <w:color w:val="000000" w:themeColor="text1"/>
        </w:rPr>
        <w:lastRenderedPageBreak/>
        <w:t>g</w:t>
      </w:r>
      <w:r w:rsidR="00F14B18" w:rsidRPr="034A6DC3">
        <w:rPr>
          <w:color w:val="000000" w:themeColor="text1"/>
        </w:rPr>
        <w:t>overnment</w:t>
      </w:r>
      <w:r w:rsidR="004F7C11" w:rsidRPr="034A6DC3">
        <w:rPr>
          <w:color w:val="000000" w:themeColor="text1"/>
        </w:rPr>
        <w:t xml:space="preserve">’s expectation that </w:t>
      </w:r>
      <w:r w:rsidR="00547894" w:rsidRPr="034A6DC3">
        <w:rPr>
          <w:color w:val="000000" w:themeColor="text1"/>
        </w:rPr>
        <w:t>the ACMA</w:t>
      </w:r>
      <w:r w:rsidR="00C5643E" w:rsidRPr="034A6DC3">
        <w:rPr>
          <w:color w:val="000000" w:themeColor="text1"/>
        </w:rPr>
        <w:t xml:space="preserve"> support the </w:t>
      </w:r>
      <w:r w:rsidR="0060692C" w:rsidRPr="034A6DC3">
        <w:rPr>
          <w:color w:val="000000" w:themeColor="text1"/>
        </w:rPr>
        <w:t>g</w:t>
      </w:r>
      <w:r w:rsidR="00C5643E" w:rsidRPr="034A6DC3">
        <w:rPr>
          <w:color w:val="000000" w:themeColor="text1"/>
        </w:rPr>
        <w:t>overnment’s communications and media objectives</w:t>
      </w:r>
      <w:r w:rsidR="008927D1" w:rsidRPr="034A6DC3">
        <w:rPr>
          <w:color w:val="000000" w:themeColor="text1"/>
        </w:rPr>
        <w:t>, including</w:t>
      </w:r>
      <w:r w:rsidR="00547894" w:rsidRPr="034A6DC3">
        <w:rPr>
          <w:color w:val="000000" w:themeColor="text1"/>
        </w:rPr>
        <w:t>:</w:t>
      </w:r>
      <w:r w:rsidR="00F14B18" w:rsidRPr="034A6DC3">
        <w:rPr>
          <w:color w:val="000000" w:themeColor="text1"/>
        </w:rPr>
        <w:t xml:space="preserve"> </w:t>
      </w:r>
    </w:p>
    <w:p w14:paraId="3C959C1C" w14:textId="1964983C" w:rsidR="00906401" w:rsidRPr="00E96650" w:rsidRDefault="00435D15" w:rsidP="00025AFF">
      <w:pPr>
        <w:pStyle w:val="Bulletlevel1"/>
      </w:pPr>
      <w:r>
        <w:t>promot</w:t>
      </w:r>
      <w:r w:rsidR="008927D1">
        <w:t>ing</w:t>
      </w:r>
      <w:r>
        <w:t xml:space="preserve"> investment, innovation and the adoption of new and emerging technologies while continuing to safeguard the interests of consumers and small businesses</w:t>
      </w:r>
    </w:p>
    <w:p w14:paraId="5A9604B0" w14:textId="321B75B8" w:rsidR="00547894" w:rsidRPr="00A65F45" w:rsidRDefault="008927D1" w:rsidP="00025AFF">
      <w:pPr>
        <w:pStyle w:val="Bulletlevel1"/>
      </w:pPr>
      <w:r>
        <w:t>s</w:t>
      </w:r>
      <w:r w:rsidR="00261BD9">
        <w:t>upport</w:t>
      </w:r>
      <w:r>
        <w:t>ing</w:t>
      </w:r>
      <w:r w:rsidR="00261BD9">
        <w:t xml:space="preserve"> government policies related to regional, rural and remote Australia including by having regard to relevant ministerial policy statements in the planning and allocation of spectrum to support innovation and competition in these areas</w:t>
      </w:r>
    </w:p>
    <w:p w14:paraId="111187D8" w14:textId="1B27682C" w:rsidR="00547894" w:rsidRPr="003C7211" w:rsidRDefault="008927D1" w:rsidP="00025AFF">
      <w:pPr>
        <w:pStyle w:val="Bulletlevel1last"/>
      </w:pPr>
      <w:r>
        <w:t>p</w:t>
      </w:r>
      <w:r w:rsidR="00547894">
        <w:t>romot</w:t>
      </w:r>
      <w:r>
        <w:t>ing</w:t>
      </w:r>
      <w:r w:rsidR="00547894">
        <w:t xml:space="preserve"> the long-term public interest derived from spectrum, including the benefits of technological developments that improve spectrum utilisation</w:t>
      </w:r>
      <w:r w:rsidR="00E96F85">
        <w:t>.</w:t>
      </w:r>
      <w:r w:rsidR="00547894">
        <w:t xml:space="preserve"> </w:t>
      </w:r>
    </w:p>
    <w:p w14:paraId="0F9C878A" w14:textId="0DADFF4E" w:rsidR="004E7042" w:rsidRPr="00FE0046" w:rsidRDefault="00FE0046" w:rsidP="00025AFF">
      <w:pPr>
        <w:pStyle w:val="Heading2"/>
      </w:pPr>
      <w:bookmarkStart w:id="22" w:name="_Toc126917763"/>
      <w:r w:rsidRPr="00FE0046">
        <w:rPr>
          <w:rStyle w:val="CommentReference"/>
          <w:sz w:val="28"/>
          <w:szCs w:val="28"/>
        </w:rPr>
        <w:t>In</w:t>
      </w:r>
      <w:r w:rsidR="004E7042" w:rsidRPr="00FE0046">
        <w:t>dicative timeline</w:t>
      </w:r>
      <w:bookmarkEnd w:id="21"/>
      <w:r w:rsidR="00D61263">
        <w:t xml:space="preserve"> and next steps</w:t>
      </w:r>
      <w:bookmarkEnd w:id="22"/>
    </w:p>
    <w:p w14:paraId="41984313" w14:textId="68ACC5D3" w:rsidR="00AF7387" w:rsidRDefault="00AF7387" w:rsidP="00025AFF">
      <w:r>
        <w:t>To help potential bidders understand the process leading up to the auction, we have prepared an indicative timeline based on the proposals in this consultation paper. This timeline is for guidance purposes only.</w:t>
      </w:r>
    </w:p>
    <w:p w14:paraId="09520F4A" w14:textId="77777777" w:rsidR="00AF7387" w:rsidRPr="002E759B" w:rsidRDefault="00AF7387" w:rsidP="00025AFF">
      <w:r>
        <w:t>Dates in this timeline are estimates and may change as the consultation on allocation processes progresses. Allocation processes will be finalised after submissions to this consultation have been considered. Updated timelines will be published on the ACMA’s website when further information becomes available.</w:t>
      </w:r>
    </w:p>
    <w:p w14:paraId="718D3022" w14:textId="27A68C7B" w:rsidR="00AD636A" w:rsidRDefault="00AD636A" w:rsidP="00AD636A">
      <w:pPr>
        <w:pStyle w:val="Tableheading"/>
      </w:pPr>
      <w:r>
        <w:t>Proposed timeline for the 3.4</w:t>
      </w:r>
      <w:r w:rsidR="00CA18C8">
        <w:t>/3.7</w:t>
      </w:r>
      <w:r>
        <w:t xml:space="preserve"> GHz bands auction</w:t>
      </w:r>
    </w:p>
    <w:tbl>
      <w:tblPr>
        <w:tblStyle w:val="ACMAtablestyle"/>
        <w:tblW w:w="7650" w:type="dxa"/>
        <w:tblLayout w:type="fixed"/>
        <w:tblLook w:val="04A0" w:firstRow="1" w:lastRow="0" w:firstColumn="1" w:lastColumn="0" w:noHBand="0" w:noVBand="1"/>
        <w:tblCaption w:val="Indicative timeline for unsold lot auctions"/>
        <w:tblDescription w:val="Includes desciption of the event and date."/>
      </w:tblPr>
      <w:tblGrid>
        <w:gridCol w:w="3114"/>
        <w:gridCol w:w="4536"/>
      </w:tblGrid>
      <w:tr w:rsidR="00AD636A" w:rsidRPr="00F4685D" w14:paraId="49C78CDC" w14:textId="77777777" w:rsidTr="00025AFF">
        <w:trPr>
          <w:cnfStyle w:val="100000000000" w:firstRow="1" w:lastRow="0" w:firstColumn="0" w:lastColumn="0" w:oddVBand="0" w:evenVBand="0" w:oddHBand="0" w:evenHBand="0" w:firstRowFirstColumn="0" w:firstRowLastColumn="0" w:lastRowFirstColumn="0" w:lastRowLastColumn="0"/>
          <w:trHeight w:val="278"/>
        </w:trPr>
        <w:tc>
          <w:tcPr>
            <w:tcW w:w="3114" w:type="dxa"/>
          </w:tcPr>
          <w:p w14:paraId="507C86C1" w14:textId="77777777" w:rsidR="00AD636A" w:rsidRPr="00F4685D" w:rsidRDefault="00AD636A" w:rsidP="006630D7">
            <w:pPr>
              <w:pStyle w:val="TableHeading0"/>
              <w:keepNext/>
              <w:keepLines/>
            </w:pPr>
            <w:r w:rsidRPr="00F4685D">
              <w:t>Event</w:t>
            </w:r>
          </w:p>
        </w:tc>
        <w:tc>
          <w:tcPr>
            <w:tcW w:w="4536" w:type="dxa"/>
          </w:tcPr>
          <w:p w14:paraId="544A8470" w14:textId="77777777" w:rsidR="00AD636A" w:rsidRPr="00F4685D" w:rsidRDefault="00AD636A" w:rsidP="006630D7">
            <w:pPr>
              <w:pStyle w:val="TableHeading0"/>
              <w:keepNext/>
              <w:keepLines/>
            </w:pPr>
            <w:r w:rsidRPr="00F4685D">
              <w:t>Date</w:t>
            </w:r>
          </w:p>
        </w:tc>
      </w:tr>
      <w:tr w:rsidR="00AD636A" w:rsidRPr="00F4685D" w14:paraId="707D3A14" w14:textId="77777777" w:rsidTr="00025AFF">
        <w:trPr>
          <w:cnfStyle w:val="000000100000" w:firstRow="0" w:lastRow="0" w:firstColumn="0" w:lastColumn="0" w:oddVBand="0" w:evenVBand="0" w:oddHBand="1" w:evenHBand="0" w:firstRowFirstColumn="0" w:firstRowLastColumn="0" w:lastRowFirstColumn="0" w:lastRowLastColumn="0"/>
          <w:trHeight w:val="467"/>
        </w:trPr>
        <w:tc>
          <w:tcPr>
            <w:tcW w:w="3114" w:type="dxa"/>
          </w:tcPr>
          <w:p w14:paraId="0773BB67" w14:textId="77777777" w:rsidR="00AD636A" w:rsidRPr="00944835" w:rsidRDefault="00AD636A" w:rsidP="006630D7">
            <w:pPr>
              <w:pStyle w:val="Paragraph"/>
            </w:pPr>
            <w:r w:rsidRPr="00F4685D">
              <w:t>The ACMA publishes this consultation paper and invites comments on the draft allocation instruments.</w:t>
            </w:r>
          </w:p>
        </w:tc>
        <w:tc>
          <w:tcPr>
            <w:tcW w:w="4536" w:type="dxa"/>
          </w:tcPr>
          <w:p w14:paraId="7DE90BF9" w14:textId="7479DF3D" w:rsidR="00AD636A" w:rsidRPr="00944835" w:rsidRDefault="00055C4D" w:rsidP="006630D7">
            <w:pPr>
              <w:pStyle w:val="Paragraph"/>
            </w:pPr>
            <w:r w:rsidRPr="00944835">
              <w:t>1</w:t>
            </w:r>
            <w:r w:rsidR="00191E6A" w:rsidRPr="00944835">
              <w:t>3</w:t>
            </w:r>
            <w:r w:rsidR="00BD7D39" w:rsidRPr="00944835">
              <w:t> </w:t>
            </w:r>
            <w:r w:rsidR="00625566" w:rsidRPr="00944835">
              <w:t>February 2023</w:t>
            </w:r>
            <w:r w:rsidRPr="00944835">
              <w:t xml:space="preserve"> to 29 March 2023</w:t>
            </w:r>
          </w:p>
        </w:tc>
      </w:tr>
      <w:tr w:rsidR="005D267B" w:rsidRPr="00F4685D" w14:paraId="4F6011F7" w14:textId="77777777" w:rsidTr="00025AFF">
        <w:trPr>
          <w:cnfStyle w:val="000000010000" w:firstRow="0" w:lastRow="0" w:firstColumn="0" w:lastColumn="0" w:oddVBand="0" w:evenVBand="0" w:oddHBand="0" w:evenHBand="1" w:firstRowFirstColumn="0" w:firstRowLastColumn="0" w:lastRowFirstColumn="0" w:lastRowLastColumn="0"/>
          <w:trHeight w:val="467"/>
        </w:trPr>
        <w:tc>
          <w:tcPr>
            <w:tcW w:w="3114" w:type="dxa"/>
          </w:tcPr>
          <w:p w14:paraId="4D154322" w14:textId="52EC9D96" w:rsidR="005D267B" w:rsidRPr="00F4685D" w:rsidRDefault="005D267B" w:rsidP="006630D7">
            <w:pPr>
              <w:pStyle w:val="Paragraph"/>
            </w:pPr>
            <w:r w:rsidRPr="00F4685D">
              <w:t>The ACMA holds a t</w:t>
            </w:r>
            <w:r w:rsidR="003F4D5D" w:rsidRPr="00F4685D">
              <w:t>une-up to discuss the proposals in the consultation paper</w:t>
            </w:r>
          </w:p>
        </w:tc>
        <w:tc>
          <w:tcPr>
            <w:tcW w:w="4536" w:type="dxa"/>
          </w:tcPr>
          <w:p w14:paraId="43BD472B" w14:textId="0C837601" w:rsidR="005D267B" w:rsidRPr="00944835" w:rsidRDefault="00E621E9" w:rsidP="006630D7">
            <w:pPr>
              <w:pStyle w:val="Paragraph"/>
            </w:pPr>
            <w:r w:rsidRPr="00944835">
              <w:t>2</w:t>
            </w:r>
            <w:r w:rsidR="00A673C2" w:rsidRPr="00944835">
              <w:t>4</w:t>
            </w:r>
            <w:r w:rsidRPr="00944835">
              <w:t xml:space="preserve"> February 2023</w:t>
            </w:r>
          </w:p>
        </w:tc>
      </w:tr>
      <w:tr w:rsidR="00AD636A" w:rsidRPr="00F4685D" w14:paraId="5F450D8A" w14:textId="77777777" w:rsidTr="00025AFF">
        <w:trPr>
          <w:cnfStyle w:val="000000100000" w:firstRow="0" w:lastRow="0" w:firstColumn="0" w:lastColumn="0" w:oddVBand="0" w:evenVBand="0" w:oddHBand="1" w:evenHBand="0" w:firstRowFirstColumn="0" w:firstRowLastColumn="0" w:lastRowFirstColumn="0" w:lastRowLastColumn="0"/>
          <w:trHeight w:val="720"/>
        </w:trPr>
        <w:tc>
          <w:tcPr>
            <w:tcW w:w="3114" w:type="dxa"/>
          </w:tcPr>
          <w:p w14:paraId="7FEFC67D" w14:textId="3AE8617C" w:rsidR="00AD636A" w:rsidRPr="00944835" w:rsidRDefault="00AD636A" w:rsidP="006630D7">
            <w:pPr>
              <w:pStyle w:val="Paragraph"/>
            </w:pPr>
            <w:r w:rsidRPr="00F4685D">
              <w:t xml:space="preserve">The ACMA makes allocation instruments and registers them on the </w:t>
            </w:r>
            <w:hyperlink r:id="rId46" w:history="1">
              <w:r w:rsidRPr="00F4685D">
                <w:rPr>
                  <w:rStyle w:val="Hyperlink"/>
                </w:rPr>
                <w:t>Federal Register of Legislation</w:t>
              </w:r>
            </w:hyperlink>
            <w:r w:rsidRPr="00F4685D">
              <w:t>.</w:t>
            </w:r>
          </w:p>
        </w:tc>
        <w:tc>
          <w:tcPr>
            <w:tcW w:w="4536" w:type="dxa"/>
          </w:tcPr>
          <w:p w14:paraId="2C9EB2FB" w14:textId="037ECF22" w:rsidR="00AD636A" w:rsidRPr="00944835" w:rsidRDefault="000F7845" w:rsidP="006630D7">
            <w:pPr>
              <w:pStyle w:val="Paragraph"/>
            </w:pPr>
            <w:r w:rsidRPr="00944835">
              <w:t xml:space="preserve">June </w:t>
            </w:r>
            <w:r w:rsidR="004C7254" w:rsidRPr="00944835">
              <w:t>2023</w:t>
            </w:r>
          </w:p>
        </w:tc>
      </w:tr>
      <w:tr w:rsidR="00AD636A" w:rsidRPr="00F4685D" w14:paraId="006CA774" w14:textId="77777777" w:rsidTr="00025AFF">
        <w:trPr>
          <w:cnfStyle w:val="000000010000" w:firstRow="0" w:lastRow="0" w:firstColumn="0" w:lastColumn="0" w:oddVBand="0" w:evenVBand="0" w:oddHBand="0" w:evenHBand="1" w:firstRowFirstColumn="0" w:firstRowLastColumn="0" w:lastRowFirstColumn="0" w:lastRowLastColumn="0"/>
          <w:trHeight w:val="1005"/>
        </w:trPr>
        <w:tc>
          <w:tcPr>
            <w:tcW w:w="3114" w:type="dxa"/>
          </w:tcPr>
          <w:p w14:paraId="46CE4476" w14:textId="164726D1" w:rsidR="00AD636A" w:rsidRPr="00F4685D" w:rsidRDefault="00AD636A" w:rsidP="006630D7">
            <w:pPr>
              <w:pStyle w:val="Paragraph"/>
            </w:pPr>
            <w:r w:rsidRPr="00F4685D">
              <w:t xml:space="preserve">The ACMA will advertise the auction, publish the </w:t>
            </w:r>
            <w:r w:rsidRPr="00F4685D">
              <w:rPr>
                <w:iCs/>
              </w:rPr>
              <w:t xml:space="preserve">Applicant Information Pack </w:t>
            </w:r>
            <w:r w:rsidRPr="00F4685D">
              <w:t xml:space="preserve">(AIP) and invite applications to participate in the </w:t>
            </w:r>
            <w:r w:rsidR="004C7254" w:rsidRPr="00F4685D">
              <w:t>3.4</w:t>
            </w:r>
            <w:r w:rsidR="007246ED" w:rsidRPr="00F4685D">
              <w:t>/</w:t>
            </w:r>
            <w:r w:rsidR="007F2679" w:rsidRPr="00F4685D">
              <w:t>3.7 GHz bands</w:t>
            </w:r>
            <w:r w:rsidRPr="00F4685D">
              <w:t xml:space="preserve"> auction.</w:t>
            </w:r>
            <w:r w:rsidR="007276D1" w:rsidRPr="00F4685D">
              <w:t xml:space="preserve"> The AIP will give potential bidders information relevant to the decision on whether to participate, and if they choose to do so, how to participate. Starting prices, </w:t>
            </w:r>
            <w:r w:rsidR="000419A2" w:rsidRPr="00F4685D">
              <w:t>set</w:t>
            </w:r>
            <w:r w:rsidR="007276D1" w:rsidRPr="00F4685D">
              <w:t xml:space="preserve"> prices for leftover lots, lot ratings and the value of each </w:t>
            </w:r>
            <w:r w:rsidR="007276D1" w:rsidRPr="00F4685D">
              <w:lastRenderedPageBreak/>
              <w:t>eligibility point will also be published at the same time.</w:t>
            </w:r>
          </w:p>
        </w:tc>
        <w:tc>
          <w:tcPr>
            <w:tcW w:w="4536" w:type="dxa"/>
          </w:tcPr>
          <w:p w14:paraId="72255009" w14:textId="6484B889" w:rsidR="00AD636A" w:rsidRPr="00944835" w:rsidRDefault="00AD636A" w:rsidP="006630D7">
            <w:pPr>
              <w:pStyle w:val="Paragraph"/>
            </w:pPr>
            <w:r w:rsidRPr="00944835">
              <w:lastRenderedPageBreak/>
              <w:t xml:space="preserve">Applications open </w:t>
            </w:r>
            <w:r w:rsidR="009E1FAE" w:rsidRPr="00944835">
              <w:t>July </w:t>
            </w:r>
            <w:r w:rsidR="007F2679" w:rsidRPr="00944835">
              <w:t>2023</w:t>
            </w:r>
          </w:p>
          <w:p w14:paraId="69E48FC7" w14:textId="4CD84E48" w:rsidR="00AD636A" w:rsidRPr="00944835" w:rsidRDefault="00AD636A" w:rsidP="006630D7">
            <w:pPr>
              <w:pStyle w:val="Paragraph"/>
            </w:pPr>
          </w:p>
        </w:tc>
      </w:tr>
      <w:tr w:rsidR="004D6699" w:rsidRPr="00F4685D" w14:paraId="5EF7D8EF" w14:textId="77777777" w:rsidTr="00025AFF">
        <w:trPr>
          <w:cnfStyle w:val="000000100000" w:firstRow="0" w:lastRow="0" w:firstColumn="0" w:lastColumn="0" w:oddVBand="0" w:evenVBand="0" w:oddHBand="1" w:evenHBand="0" w:firstRowFirstColumn="0" w:firstRowLastColumn="0" w:lastRowFirstColumn="0" w:lastRowLastColumn="0"/>
          <w:trHeight w:val="1725"/>
        </w:trPr>
        <w:tc>
          <w:tcPr>
            <w:tcW w:w="3114" w:type="dxa"/>
          </w:tcPr>
          <w:p w14:paraId="1F5C8642" w14:textId="0A97C98A" w:rsidR="004D6699" w:rsidRPr="00F4685D" w:rsidRDefault="004D6699" w:rsidP="004D6699">
            <w:pPr>
              <w:pStyle w:val="Paragraphbeforelist"/>
            </w:pPr>
            <w:r w:rsidRPr="00F4685D">
              <w:t>By the application deadline, applicants are required to:</w:t>
            </w:r>
          </w:p>
          <w:p w14:paraId="3B975723" w14:textId="77777777" w:rsidR="004D6699" w:rsidRPr="00F4685D" w:rsidRDefault="0FC96EA9" w:rsidP="00C66473">
            <w:pPr>
              <w:pStyle w:val="Bulletlevel1"/>
            </w:pPr>
            <w:r w:rsidRPr="00F4685D">
              <w:t>submit a completed application form</w:t>
            </w:r>
          </w:p>
          <w:p w14:paraId="37F6A64B" w14:textId="77777777" w:rsidR="004D6699" w:rsidRPr="00F4685D" w:rsidRDefault="0FC96EA9" w:rsidP="00C66473">
            <w:pPr>
              <w:pStyle w:val="Bulletlevel1"/>
            </w:pPr>
            <w:r w:rsidRPr="00F4685D">
              <w:t>submit a completed deed of acknowledgement form</w:t>
            </w:r>
          </w:p>
          <w:p w14:paraId="0C565727" w14:textId="77777777" w:rsidR="004D6699" w:rsidRPr="00F4685D" w:rsidRDefault="0FC96EA9" w:rsidP="00C66473">
            <w:pPr>
              <w:pStyle w:val="Bulletlevel1"/>
            </w:pPr>
            <w:r w:rsidRPr="00F4685D">
              <w:t>submit a completed deed of confidentiality form</w:t>
            </w:r>
          </w:p>
          <w:p w14:paraId="30512C7F" w14:textId="77777777" w:rsidR="004D6699" w:rsidRPr="00F4685D" w:rsidRDefault="0FC96EA9" w:rsidP="00C66473">
            <w:pPr>
              <w:pStyle w:val="Bulletlevel1"/>
            </w:pPr>
            <w:r w:rsidRPr="00F4685D">
              <w:t>pay the application fee.</w:t>
            </w:r>
          </w:p>
        </w:tc>
        <w:tc>
          <w:tcPr>
            <w:tcW w:w="4536" w:type="dxa"/>
          </w:tcPr>
          <w:p w14:paraId="3524C720" w14:textId="52A8403D" w:rsidR="004D6699" w:rsidRPr="00944835" w:rsidRDefault="004D6699" w:rsidP="004D6699">
            <w:pPr>
              <w:pStyle w:val="Paragraph"/>
            </w:pPr>
            <w:r w:rsidRPr="00944835">
              <w:t xml:space="preserve">Application deadline </w:t>
            </w:r>
            <w:r w:rsidR="009E1FAE" w:rsidRPr="00944835">
              <w:t xml:space="preserve">July </w:t>
            </w:r>
            <w:r w:rsidRPr="00944835">
              <w:t>2023</w:t>
            </w:r>
          </w:p>
        </w:tc>
      </w:tr>
      <w:tr w:rsidR="00AD636A" w:rsidRPr="00F4685D" w14:paraId="4A12A692" w14:textId="77777777" w:rsidTr="00025AFF">
        <w:trPr>
          <w:cnfStyle w:val="000000010000" w:firstRow="0" w:lastRow="0" w:firstColumn="0" w:lastColumn="0" w:oddVBand="0" w:evenVBand="0" w:oddHBand="0" w:evenHBand="1" w:firstRowFirstColumn="0" w:firstRowLastColumn="0" w:lastRowFirstColumn="0" w:lastRowLastColumn="0"/>
        </w:trPr>
        <w:tc>
          <w:tcPr>
            <w:tcW w:w="3114" w:type="dxa"/>
          </w:tcPr>
          <w:p w14:paraId="12FF72BD" w14:textId="77777777" w:rsidR="00AD636A" w:rsidRPr="00F4685D" w:rsidRDefault="00AD636A" w:rsidP="006630D7">
            <w:pPr>
              <w:pStyle w:val="Paragraphbeforelist"/>
            </w:pPr>
            <w:r w:rsidRPr="00F4685D">
              <w:t>By the eligibility deadline, applicants are required to:</w:t>
            </w:r>
          </w:p>
          <w:p w14:paraId="6CE16B1D" w14:textId="28D2C8D2" w:rsidR="00AD636A" w:rsidRPr="00F4685D" w:rsidRDefault="09AB7C97" w:rsidP="00C66473">
            <w:pPr>
              <w:pStyle w:val="Bulletlevel1"/>
            </w:pPr>
            <w:r w:rsidRPr="00F4685D">
              <w:t>submit a completed eligibility nomination form</w:t>
            </w:r>
          </w:p>
          <w:p w14:paraId="2DF97773" w14:textId="7883FB83" w:rsidR="00B556D7" w:rsidRPr="00F4685D" w:rsidRDefault="1C9C64C6" w:rsidP="00C66473">
            <w:pPr>
              <w:pStyle w:val="Bulletlevel1"/>
            </w:pPr>
            <w:r w:rsidRPr="00F4685D">
              <w:t xml:space="preserve">(for eligible applicants) elect whether to take up </w:t>
            </w:r>
            <w:r w:rsidR="7BC26EDE" w:rsidRPr="00F4685D">
              <w:t xml:space="preserve">the </w:t>
            </w:r>
            <w:r w:rsidRPr="00F4685D">
              <w:t>leftover lot</w:t>
            </w:r>
            <w:r w:rsidR="552476B1" w:rsidRPr="00F4685D">
              <w:t>(s)</w:t>
            </w:r>
          </w:p>
          <w:p w14:paraId="1ED7290E" w14:textId="77777777" w:rsidR="00AD636A" w:rsidRPr="00F4685D" w:rsidRDefault="09AB7C97" w:rsidP="00C66473">
            <w:pPr>
              <w:pStyle w:val="Bulletlevel1"/>
            </w:pPr>
            <w:r w:rsidRPr="00F4685D">
              <w:t>pay the required eligibility payment or provide a deed of financial security, or a combination of both.</w:t>
            </w:r>
          </w:p>
        </w:tc>
        <w:tc>
          <w:tcPr>
            <w:tcW w:w="4536" w:type="dxa"/>
          </w:tcPr>
          <w:p w14:paraId="3F4EB8C1" w14:textId="3A508BB2" w:rsidR="00AD636A" w:rsidRPr="00944835" w:rsidRDefault="00041908" w:rsidP="006630D7">
            <w:pPr>
              <w:pStyle w:val="Paragraph"/>
            </w:pPr>
            <w:r w:rsidRPr="00944835">
              <w:t xml:space="preserve">September </w:t>
            </w:r>
            <w:r w:rsidR="00A509B6" w:rsidRPr="00944835">
              <w:t>2023</w:t>
            </w:r>
          </w:p>
        </w:tc>
      </w:tr>
      <w:tr w:rsidR="00AD636A" w:rsidRPr="00F4685D" w14:paraId="5216C694" w14:textId="77777777" w:rsidTr="00025AFF">
        <w:trPr>
          <w:cnfStyle w:val="000000100000" w:firstRow="0" w:lastRow="0" w:firstColumn="0" w:lastColumn="0" w:oddVBand="0" w:evenVBand="0" w:oddHBand="1" w:evenHBand="0" w:firstRowFirstColumn="0" w:firstRowLastColumn="0" w:lastRowFirstColumn="0" w:lastRowLastColumn="0"/>
        </w:trPr>
        <w:tc>
          <w:tcPr>
            <w:tcW w:w="3114" w:type="dxa"/>
          </w:tcPr>
          <w:p w14:paraId="29D52E56" w14:textId="22AB11CA" w:rsidR="00AD636A" w:rsidRPr="00F4685D" w:rsidRDefault="00E15BB5" w:rsidP="006630D7">
            <w:pPr>
              <w:pStyle w:val="Paragraph"/>
            </w:pPr>
            <w:r w:rsidRPr="00F4685D">
              <w:t>Auction system training and m</w:t>
            </w:r>
            <w:r w:rsidR="00AD636A" w:rsidRPr="00F4685D">
              <w:t>ock auction</w:t>
            </w:r>
            <w:r w:rsidR="000B19EB" w:rsidRPr="00F4685D">
              <w:t>s</w:t>
            </w:r>
            <w:r w:rsidR="00AD636A" w:rsidRPr="00F4685D">
              <w:t xml:space="preserve"> held to familiarise registered bidders with the auction system.</w:t>
            </w:r>
          </w:p>
        </w:tc>
        <w:tc>
          <w:tcPr>
            <w:tcW w:w="4536" w:type="dxa"/>
          </w:tcPr>
          <w:p w14:paraId="725F6E48" w14:textId="77777777" w:rsidR="00AD636A" w:rsidRPr="00944835" w:rsidRDefault="00AD636A" w:rsidP="006630D7">
            <w:pPr>
              <w:pStyle w:val="Paragraph"/>
            </w:pPr>
            <w:r w:rsidRPr="00944835">
              <w:t>After the eligibility deadline</w:t>
            </w:r>
          </w:p>
        </w:tc>
      </w:tr>
      <w:tr w:rsidR="00AD636A" w:rsidRPr="00080443" w14:paraId="64A96F53" w14:textId="77777777" w:rsidTr="00025AFF">
        <w:trPr>
          <w:cnfStyle w:val="000000010000" w:firstRow="0" w:lastRow="0" w:firstColumn="0" w:lastColumn="0" w:oddVBand="0" w:evenVBand="0" w:oddHBand="0" w:evenHBand="1" w:firstRowFirstColumn="0" w:firstRowLastColumn="0" w:lastRowFirstColumn="0" w:lastRowLastColumn="0"/>
          <w:trHeight w:val="312"/>
        </w:trPr>
        <w:tc>
          <w:tcPr>
            <w:tcW w:w="3114" w:type="dxa"/>
          </w:tcPr>
          <w:p w14:paraId="528AD1D7" w14:textId="77777777" w:rsidR="00AD636A" w:rsidRPr="00F4685D" w:rsidRDefault="00AD636A" w:rsidP="006630D7">
            <w:pPr>
              <w:pStyle w:val="Paragraph"/>
            </w:pPr>
            <w:r w:rsidRPr="00F4685D">
              <w:t xml:space="preserve">Estimated auction commencement. </w:t>
            </w:r>
          </w:p>
        </w:tc>
        <w:tc>
          <w:tcPr>
            <w:tcW w:w="4536" w:type="dxa"/>
          </w:tcPr>
          <w:p w14:paraId="32A0FA27" w14:textId="1D7A7499" w:rsidR="00AD636A" w:rsidRPr="00A509B6" w:rsidRDefault="00041908" w:rsidP="006630D7">
            <w:pPr>
              <w:pStyle w:val="Paragraph"/>
            </w:pPr>
            <w:r w:rsidRPr="00944835">
              <w:t xml:space="preserve">October </w:t>
            </w:r>
            <w:r w:rsidR="00A509B6" w:rsidRPr="00944835">
              <w:t>2023</w:t>
            </w:r>
          </w:p>
        </w:tc>
      </w:tr>
    </w:tbl>
    <w:p w14:paraId="1EB8A142" w14:textId="77777777" w:rsidR="00D013A8" w:rsidRDefault="00D013A8" w:rsidP="00025AFF">
      <w:pPr>
        <w:pStyle w:val="Heading1"/>
      </w:pPr>
      <w:bookmarkStart w:id="23" w:name="_Toc69301120"/>
      <w:bookmarkStart w:id="24" w:name="_Toc126917764"/>
      <w:r>
        <w:lastRenderedPageBreak/>
        <w:t>Draft marketing plan</w:t>
      </w:r>
      <w:bookmarkEnd w:id="23"/>
      <w:bookmarkEnd w:id="24"/>
    </w:p>
    <w:p w14:paraId="2DCB1C09" w14:textId="77777777" w:rsidR="004A357E" w:rsidRDefault="004A357E" w:rsidP="00025AFF">
      <w:pPr>
        <w:pStyle w:val="Paragraphbeforelist"/>
      </w:pPr>
      <w:r>
        <w:t>In accordance with section 39A of the Act, the draft marketing plan includes:</w:t>
      </w:r>
    </w:p>
    <w:p w14:paraId="63FF5A76" w14:textId="77777777" w:rsidR="004A357E" w:rsidRDefault="05628284" w:rsidP="00025AFF">
      <w:pPr>
        <w:pStyle w:val="Bulletlevel1"/>
      </w:pPr>
      <w:r>
        <w:t>procedures for issuing spectrum licences</w:t>
      </w:r>
    </w:p>
    <w:p w14:paraId="563E4EDC" w14:textId="77777777" w:rsidR="004A357E" w:rsidRDefault="05628284" w:rsidP="00025AFF">
      <w:pPr>
        <w:pStyle w:val="Bulletlevel1"/>
      </w:pPr>
      <w:r>
        <w:t>a timetable for issuing spectrum licences</w:t>
      </w:r>
    </w:p>
    <w:p w14:paraId="2F6440A3" w14:textId="77777777" w:rsidR="004A357E" w:rsidRDefault="05628284" w:rsidP="00025AFF">
      <w:pPr>
        <w:pStyle w:val="Bulletlevel1"/>
      </w:pPr>
      <w:r>
        <w:t>how the spectrum dealt with under the plan is to be apportioned among the spectrum licences to be issued (i.e., how we propose to divide it into lots for bidders to acquire in the auction)</w:t>
      </w:r>
    </w:p>
    <w:p w14:paraId="34108A94" w14:textId="77777777" w:rsidR="004A357E" w:rsidRDefault="05628284" w:rsidP="00025AFF">
      <w:pPr>
        <w:pStyle w:val="Bulletlevel1last"/>
      </w:pPr>
      <w:r>
        <w:t>the conditions and types of conditions we propose to include in spectrum licences issued in accordance with the marketing plan.</w:t>
      </w:r>
    </w:p>
    <w:p w14:paraId="03C99DAA" w14:textId="77777777" w:rsidR="00142565" w:rsidRDefault="00142565" w:rsidP="00025AFF">
      <w:pPr>
        <w:pStyle w:val="Heading2"/>
      </w:pPr>
      <w:bookmarkStart w:id="25" w:name="_Toc69301121"/>
      <w:bookmarkStart w:id="26" w:name="_Toc126917765"/>
      <w:r>
        <w:t>Spectrum licences</w:t>
      </w:r>
      <w:bookmarkEnd w:id="25"/>
      <w:bookmarkEnd w:id="26"/>
    </w:p>
    <w:p w14:paraId="68B23F26" w14:textId="77777777" w:rsidR="00142565" w:rsidRDefault="00142565" w:rsidP="00025AFF">
      <w:pPr>
        <w:pStyle w:val="Heading3"/>
      </w:pPr>
      <w:r>
        <w:t>Sample spectrum licence and core licence conditions</w:t>
      </w:r>
    </w:p>
    <w:p w14:paraId="192D7E15" w14:textId="77777777" w:rsidR="00142565" w:rsidRDefault="00142565" w:rsidP="00025AFF">
      <w:r>
        <w:t>The draft marketing plan includes a sample spectrum licence. The sample licence includes proposed conditions intended to enable all licensees to operate services without causing unacceptable interference to other services including those operating in other parts of the radiofrequency spectrum.</w:t>
      </w:r>
    </w:p>
    <w:p w14:paraId="014AA6FA" w14:textId="77777777" w:rsidR="00142565" w:rsidRDefault="00142565" w:rsidP="00025AFF">
      <w:pPr>
        <w:pStyle w:val="Paragraphbeforelist"/>
      </w:pPr>
      <w:r>
        <w:t>Core conditions, in accordance with section 66 of the Act, will apply to spectrum licences to:</w:t>
      </w:r>
    </w:p>
    <w:p w14:paraId="27F472E7" w14:textId="77777777" w:rsidR="00142565" w:rsidRDefault="58369F7A" w:rsidP="00025AFF">
      <w:pPr>
        <w:pStyle w:val="Bulletlevel1"/>
      </w:pPr>
      <w:r>
        <w:t>define their geographic boundaries</w:t>
      </w:r>
    </w:p>
    <w:p w14:paraId="67E8D697" w14:textId="77777777" w:rsidR="00142565" w:rsidRDefault="58369F7A" w:rsidP="00025AFF">
      <w:pPr>
        <w:pStyle w:val="Bulletlevel1"/>
      </w:pPr>
      <w:r>
        <w:t>define their range of frequencies</w:t>
      </w:r>
    </w:p>
    <w:p w14:paraId="6A7D5FEB" w14:textId="77777777" w:rsidR="00142565" w:rsidRDefault="58369F7A" w:rsidP="00025AFF">
      <w:pPr>
        <w:pStyle w:val="Bulletlevel1"/>
      </w:pPr>
      <w:r>
        <w:t>set outside-the-area radio emission limits</w:t>
      </w:r>
    </w:p>
    <w:p w14:paraId="66D5A2AB" w14:textId="77777777" w:rsidR="00142565" w:rsidRDefault="58369F7A" w:rsidP="00025AFF">
      <w:pPr>
        <w:pStyle w:val="Bulletlevel1last"/>
      </w:pPr>
      <w:r>
        <w:t>set outside-the-band radio emission limits.</w:t>
      </w:r>
    </w:p>
    <w:p w14:paraId="2CCE7455" w14:textId="2D6F7482" w:rsidR="00142565" w:rsidRDefault="00142565" w:rsidP="00025AFF">
      <w:pPr>
        <w:pStyle w:val="Paragraph"/>
      </w:pPr>
      <w:r>
        <w:t xml:space="preserve">The </w:t>
      </w:r>
      <w:r w:rsidR="00AA462C">
        <w:t xml:space="preserve">draft </w:t>
      </w:r>
      <w:r>
        <w:t>marketing plan also describe</w:t>
      </w:r>
      <w:r w:rsidR="00AA462C">
        <w:t>s</w:t>
      </w:r>
      <w:r>
        <w:t xml:space="preserve"> other licence conditions and rules applying to spectrum licences,</w:t>
      </w:r>
      <w:r w:rsidR="00FC309B">
        <w:rPr>
          <w:rStyle w:val="FootnoteReference"/>
        </w:rPr>
        <w:footnoteReference w:id="4"/>
      </w:r>
      <w:r>
        <w:t xml:space="preserve"> including those relating to </w:t>
      </w:r>
      <w:r w:rsidR="002F359B">
        <w:t xml:space="preserve">licence </w:t>
      </w:r>
      <w:r>
        <w:t>trading, use by third parties,</w:t>
      </w:r>
      <w:r>
        <w:rPr>
          <w:rStyle w:val="FootnoteReference"/>
        </w:rPr>
        <w:footnoteReference w:id="5"/>
      </w:r>
      <w:r>
        <w:t xml:space="preserve"> and registration of </w:t>
      </w:r>
      <w:r w:rsidRPr="004128F8">
        <w:t>transmitters</w:t>
      </w:r>
      <w:r>
        <w:t xml:space="preserve"> with the ACMA.</w:t>
      </w:r>
      <w:r>
        <w:rPr>
          <w:rStyle w:val="FootnoteReference"/>
        </w:rPr>
        <w:footnoteReference w:id="6"/>
      </w:r>
    </w:p>
    <w:p w14:paraId="3B82B4DB" w14:textId="5D59E648" w:rsidR="000A0137" w:rsidRDefault="006B5D59" w:rsidP="00025AFF">
      <w:pPr>
        <w:pStyle w:val="Heading3"/>
      </w:pPr>
      <w:r w:rsidRPr="00995DB2">
        <w:t>Licence duration</w:t>
      </w:r>
      <w:r w:rsidR="00C85919">
        <w:t xml:space="preserve"> and </w:t>
      </w:r>
      <w:r w:rsidRPr="00995DB2">
        <w:t>commencement</w:t>
      </w:r>
    </w:p>
    <w:p w14:paraId="584F707D" w14:textId="79964D86" w:rsidR="00C73645" w:rsidRDefault="00C73645" w:rsidP="00025AFF">
      <w:pPr>
        <w:pStyle w:val="Heading4"/>
      </w:pPr>
      <w:r>
        <w:t>Licence duration</w:t>
      </w:r>
    </w:p>
    <w:p w14:paraId="2B2C29B6" w14:textId="407FADDA" w:rsidR="00AD6E9F" w:rsidRDefault="00C61B4C" w:rsidP="00025AFF">
      <w:pPr>
        <w:pStyle w:val="Paragraphbeforelist"/>
      </w:pPr>
      <w:r>
        <w:t>The ACMA’s preliminary view</w:t>
      </w:r>
      <w:r w:rsidR="002243E7">
        <w:t xml:space="preserve"> </w:t>
      </w:r>
      <w:r w:rsidR="005E5A32">
        <w:t xml:space="preserve">on licence duration </w:t>
      </w:r>
      <w:r w:rsidR="00FB560B">
        <w:t>is to adopt the hybrid optio</w:t>
      </w:r>
      <w:r w:rsidR="00390424">
        <w:t>n</w:t>
      </w:r>
      <w:r w:rsidR="00226176">
        <w:t xml:space="preserve">, as presented </w:t>
      </w:r>
      <w:r w:rsidR="00165BD9">
        <w:t>in the re-allocation declaration consultation and subsequent tune-up:</w:t>
      </w:r>
    </w:p>
    <w:p w14:paraId="33847104" w14:textId="732A758E" w:rsidR="00165BD9" w:rsidRDefault="00B1BFC5" w:rsidP="00025AFF">
      <w:pPr>
        <w:pStyle w:val="Bulletlevel1"/>
      </w:pPr>
      <w:r>
        <w:t>3.4</w:t>
      </w:r>
      <w:r w:rsidR="0CF203B7">
        <w:t xml:space="preserve"> GHz </w:t>
      </w:r>
      <w:r w:rsidR="15639E8D">
        <w:t>–</w:t>
      </w:r>
      <w:r w:rsidR="0CF203B7">
        <w:t xml:space="preserve"> </w:t>
      </w:r>
      <w:r w:rsidR="15639E8D">
        <w:t xml:space="preserve">expiry on 13 </w:t>
      </w:r>
      <w:r w:rsidR="15639E8D" w:rsidRPr="00B20814">
        <w:t>December</w:t>
      </w:r>
      <w:r w:rsidR="15639E8D">
        <w:t xml:space="preserve"> 2030</w:t>
      </w:r>
      <w:r w:rsidR="4E1CCCB9">
        <w:t xml:space="preserve"> (approximately 7 years</w:t>
      </w:r>
      <w:r w:rsidR="19046B3B">
        <w:t>)</w:t>
      </w:r>
    </w:p>
    <w:p w14:paraId="19A9A41F" w14:textId="6B4587F0" w:rsidR="00F0187C" w:rsidRDefault="19046B3B" w:rsidP="00025AFF">
      <w:pPr>
        <w:pStyle w:val="Bulletlevel1last"/>
      </w:pPr>
      <w:r>
        <w:t xml:space="preserve">3.7 GHz </w:t>
      </w:r>
      <w:r w:rsidR="56F7DED1">
        <w:t>–</w:t>
      </w:r>
      <w:r>
        <w:t xml:space="preserve"> </w:t>
      </w:r>
      <w:r w:rsidR="56F7DED1">
        <w:t>20</w:t>
      </w:r>
      <w:r w:rsidR="006623DD">
        <w:t>-</w:t>
      </w:r>
      <w:r w:rsidR="56F7DED1">
        <w:t>year duration</w:t>
      </w:r>
      <w:r w:rsidR="006623DD">
        <w:t>.</w:t>
      </w:r>
    </w:p>
    <w:p w14:paraId="6935685A" w14:textId="77777777" w:rsidR="00BA1517" w:rsidRDefault="00F90C41" w:rsidP="00025AFF">
      <w:pPr>
        <w:rPr>
          <w:rFonts w:cs="Arial"/>
          <w:color w:val="000000" w:themeColor="text1"/>
        </w:rPr>
      </w:pPr>
      <w:r>
        <w:rPr>
          <w:rFonts w:cs="Arial"/>
          <w:color w:val="000000" w:themeColor="text1"/>
        </w:rPr>
        <w:t xml:space="preserve">Stakeholders expressed a range of views on </w:t>
      </w:r>
      <w:r w:rsidR="00B41C23">
        <w:rPr>
          <w:rFonts w:cs="Arial"/>
          <w:color w:val="000000" w:themeColor="text1"/>
        </w:rPr>
        <w:t xml:space="preserve">the appropriate licence term but there was majority support </w:t>
      </w:r>
      <w:r w:rsidR="005B7C2E">
        <w:rPr>
          <w:rFonts w:cs="Arial"/>
          <w:color w:val="000000" w:themeColor="text1"/>
        </w:rPr>
        <w:t xml:space="preserve">for the hybrid option. </w:t>
      </w:r>
      <w:r w:rsidR="002A1099" w:rsidRPr="0050747F">
        <w:rPr>
          <w:rFonts w:cs="Arial"/>
          <w:color w:val="000000" w:themeColor="text1"/>
        </w:rPr>
        <w:t>We consider that this option strikes the right balance between investment certainty and a market environment that supports licence trading.</w:t>
      </w:r>
      <w:r w:rsidR="00424BA0">
        <w:rPr>
          <w:rFonts w:cs="Arial"/>
          <w:color w:val="000000" w:themeColor="text1"/>
        </w:rPr>
        <w:t xml:space="preserve"> </w:t>
      </w:r>
    </w:p>
    <w:p w14:paraId="77D98BEE" w14:textId="43638571" w:rsidR="00382B46" w:rsidRDefault="00424BA0" w:rsidP="00025AFF">
      <w:pPr>
        <w:rPr>
          <w:rFonts w:cs="Arial"/>
          <w:color w:val="000000" w:themeColor="text1"/>
        </w:rPr>
      </w:pPr>
      <w:r>
        <w:rPr>
          <w:rFonts w:cs="Arial"/>
          <w:color w:val="000000" w:themeColor="text1"/>
        </w:rPr>
        <w:lastRenderedPageBreak/>
        <w:t xml:space="preserve">We also consider that this option best meets the object of the Act and </w:t>
      </w:r>
      <w:r w:rsidR="005B02D2">
        <w:rPr>
          <w:rFonts w:cs="Arial"/>
          <w:color w:val="000000" w:themeColor="text1"/>
        </w:rPr>
        <w:t>the policy objectives outlined in the MPS</w:t>
      </w:r>
      <w:r w:rsidR="00984852" w:rsidRPr="008927E8">
        <w:rPr>
          <w:rFonts w:cs="Arial"/>
          <w:color w:val="000000" w:themeColor="text1"/>
        </w:rPr>
        <w:t>.</w:t>
      </w:r>
      <w:r w:rsidR="00305650" w:rsidRPr="008927E8">
        <w:rPr>
          <w:rFonts w:cs="Arial"/>
          <w:color w:val="000000" w:themeColor="text1"/>
        </w:rPr>
        <w:t xml:space="preserve"> </w:t>
      </w:r>
      <w:r w:rsidR="00305650" w:rsidRPr="00CB0613">
        <w:rPr>
          <w:rFonts w:cs="Arial"/>
          <w:color w:val="000000" w:themeColor="text1"/>
        </w:rPr>
        <w:t xml:space="preserve">Table </w:t>
      </w:r>
      <w:r w:rsidR="006B418D" w:rsidRPr="008927E8">
        <w:rPr>
          <w:rFonts w:cs="Arial"/>
          <w:color w:val="000000" w:themeColor="text1"/>
        </w:rPr>
        <w:t xml:space="preserve">3 </w:t>
      </w:r>
      <w:r w:rsidR="00305650" w:rsidRPr="008927E8">
        <w:rPr>
          <w:rFonts w:cs="Arial"/>
          <w:color w:val="000000" w:themeColor="text1"/>
        </w:rPr>
        <w:t>below</w:t>
      </w:r>
      <w:r w:rsidR="00984852">
        <w:rPr>
          <w:rFonts w:cs="Arial"/>
          <w:color w:val="000000" w:themeColor="text1"/>
        </w:rPr>
        <w:t xml:space="preserve"> analyses </w:t>
      </w:r>
      <w:r w:rsidR="008F6092">
        <w:rPr>
          <w:rFonts w:cs="Arial"/>
          <w:color w:val="000000" w:themeColor="text1"/>
        </w:rPr>
        <w:t xml:space="preserve">how each of the </w:t>
      </w:r>
      <w:r w:rsidR="000F52D2">
        <w:rPr>
          <w:rFonts w:cs="Arial"/>
          <w:color w:val="000000" w:themeColor="text1"/>
        </w:rPr>
        <w:t xml:space="preserve">licence term options </w:t>
      </w:r>
      <w:r w:rsidR="00BF6C92">
        <w:rPr>
          <w:rFonts w:cs="Arial"/>
          <w:color w:val="000000" w:themeColor="text1"/>
        </w:rPr>
        <w:t xml:space="preserve">presented </w:t>
      </w:r>
      <w:r w:rsidR="00D80583">
        <w:rPr>
          <w:rFonts w:cs="Arial"/>
          <w:color w:val="000000" w:themeColor="text1"/>
        </w:rPr>
        <w:t xml:space="preserve">in earlier consultations </w:t>
      </w:r>
      <w:r w:rsidR="009D6414">
        <w:rPr>
          <w:rFonts w:cs="Arial"/>
          <w:color w:val="000000" w:themeColor="text1"/>
        </w:rPr>
        <w:t xml:space="preserve">achieves the </w:t>
      </w:r>
      <w:r w:rsidR="00D80583">
        <w:rPr>
          <w:rFonts w:cs="Arial"/>
          <w:color w:val="000000" w:themeColor="text1"/>
        </w:rPr>
        <w:t>object of the Act and the policy objectives in the MPS.</w:t>
      </w:r>
    </w:p>
    <w:p w14:paraId="1B273970" w14:textId="1BC93ECA" w:rsidR="00305650" w:rsidRDefault="00921C06" w:rsidP="005F422F">
      <w:pPr>
        <w:pStyle w:val="ACMATableHeader"/>
        <w:keepNext/>
      </w:pPr>
      <w:r>
        <w:t xml:space="preserve">Comparative analysis of licence term options against </w:t>
      </w:r>
      <w:r w:rsidR="003E0F01">
        <w:t>objectives</w:t>
      </w:r>
    </w:p>
    <w:tbl>
      <w:tblPr>
        <w:tblStyle w:val="ACMAtablestyle"/>
        <w:tblW w:w="9067" w:type="dxa"/>
        <w:tblLayout w:type="fixed"/>
        <w:tblLook w:val="04A0" w:firstRow="1" w:lastRow="0" w:firstColumn="1" w:lastColumn="0" w:noHBand="0" w:noVBand="1"/>
      </w:tblPr>
      <w:tblGrid>
        <w:gridCol w:w="1395"/>
        <w:gridCol w:w="2569"/>
        <w:gridCol w:w="2694"/>
        <w:gridCol w:w="2409"/>
      </w:tblGrid>
      <w:tr w:rsidR="007160E5" w:rsidRPr="0050747F" w14:paraId="7F57FC55" w14:textId="77777777" w:rsidTr="000A5465">
        <w:trPr>
          <w:cnfStyle w:val="100000000000" w:firstRow="1" w:lastRow="0" w:firstColumn="0" w:lastColumn="0" w:oddVBand="0" w:evenVBand="0" w:oddHBand="0" w:evenHBand="0" w:firstRowFirstColumn="0" w:firstRowLastColumn="0" w:lastRowFirstColumn="0" w:lastRowLastColumn="0"/>
        </w:trPr>
        <w:tc>
          <w:tcPr>
            <w:tcW w:w="1395" w:type="dxa"/>
            <w:vMerge w:val="restart"/>
          </w:tcPr>
          <w:p w14:paraId="55B1DC13" w14:textId="1B54CCCB" w:rsidR="007160E5" w:rsidRPr="005F1D9A" w:rsidRDefault="007160E5" w:rsidP="00944835">
            <w:pPr>
              <w:pStyle w:val="Tableheaderrow"/>
              <w:rPr>
                <w:color w:val="000000" w:themeColor="text1"/>
              </w:rPr>
            </w:pPr>
            <w:r w:rsidRPr="00025AFF">
              <w:t>Objectives</w:t>
            </w:r>
          </w:p>
        </w:tc>
        <w:tc>
          <w:tcPr>
            <w:tcW w:w="7672" w:type="dxa"/>
            <w:gridSpan w:val="3"/>
          </w:tcPr>
          <w:p w14:paraId="23549800" w14:textId="4DF6A24E" w:rsidR="007160E5" w:rsidRPr="005F1D9A" w:rsidRDefault="007160E5" w:rsidP="00944835">
            <w:pPr>
              <w:pStyle w:val="Tableheaderrow"/>
              <w:jc w:val="center"/>
              <w:rPr>
                <w:color w:val="000000" w:themeColor="text1"/>
              </w:rPr>
            </w:pPr>
            <w:r w:rsidRPr="00025AFF">
              <w:t>Licence duration options</w:t>
            </w:r>
          </w:p>
        </w:tc>
      </w:tr>
      <w:tr w:rsidR="007160E5" w:rsidRPr="0050747F" w14:paraId="6D0E14FD" w14:textId="77777777" w:rsidTr="000A5465">
        <w:trPr>
          <w:cnfStyle w:val="000000100000" w:firstRow="0" w:lastRow="0" w:firstColumn="0" w:lastColumn="0" w:oddVBand="0" w:evenVBand="0" w:oddHBand="1" w:evenHBand="0" w:firstRowFirstColumn="0" w:firstRowLastColumn="0" w:lastRowFirstColumn="0" w:lastRowLastColumn="0"/>
          <w:trHeight w:val="920"/>
        </w:trPr>
        <w:tc>
          <w:tcPr>
            <w:tcW w:w="1395" w:type="dxa"/>
            <w:vMerge/>
          </w:tcPr>
          <w:p w14:paraId="6D783BE4" w14:textId="77777777" w:rsidR="007160E5" w:rsidRPr="0050747F" w:rsidRDefault="007160E5" w:rsidP="00A8477B">
            <w:pPr>
              <w:jc w:val="center"/>
              <w:rPr>
                <w:rFonts w:cs="Arial"/>
                <w:color w:val="000000" w:themeColor="text1"/>
                <w:szCs w:val="20"/>
              </w:rPr>
            </w:pPr>
          </w:p>
        </w:tc>
        <w:tc>
          <w:tcPr>
            <w:tcW w:w="2569" w:type="dxa"/>
          </w:tcPr>
          <w:p w14:paraId="389E9323" w14:textId="56F85DBB" w:rsidR="007160E5" w:rsidRPr="00025AFF" w:rsidRDefault="007160E5" w:rsidP="00A8477B">
            <w:pPr>
              <w:rPr>
                <w:rFonts w:cs="Arial"/>
                <w:b/>
                <w:bCs/>
                <w:color w:val="000000" w:themeColor="text1"/>
                <w:szCs w:val="20"/>
              </w:rPr>
            </w:pPr>
            <w:r w:rsidRPr="00025AFF">
              <w:rPr>
                <w:rFonts w:cs="Arial"/>
                <w:b/>
                <w:bCs/>
                <w:color w:val="000000" w:themeColor="text1"/>
                <w:szCs w:val="20"/>
              </w:rPr>
              <w:t xml:space="preserve">Option 1 </w:t>
            </w:r>
            <w:r w:rsidR="00415206" w:rsidRPr="00025AFF">
              <w:rPr>
                <w:rFonts w:cs="Arial"/>
                <w:b/>
                <w:bCs/>
                <w:color w:val="000000" w:themeColor="text1"/>
                <w:szCs w:val="20"/>
              </w:rPr>
              <w:br/>
            </w:r>
            <w:r w:rsidRPr="00025AFF">
              <w:rPr>
                <w:rFonts w:cs="Arial"/>
                <w:b/>
                <w:bCs/>
                <w:color w:val="000000" w:themeColor="text1"/>
                <w:szCs w:val="20"/>
              </w:rPr>
              <w:t>(~7</w:t>
            </w:r>
            <w:r w:rsidR="006623DD" w:rsidRPr="00025AFF">
              <w:rPr>
                <w:rFonts w:cs="Arial"/>
                <w:b/>
                <w:bCs/>
                <w:color w:val="000000" w:themeColor="text1"/>
                <w:szCs w:val="20"/>
              </w:rPr>
              <w:t>-</w:t>
            </w:r>
            <w:r w:rsidRPr="00025AFF">
              <w:rPr>
                <w:rFonts w:cs="Arial"/>
                <w:b/>
                <w:bCs/>
                <w:color w:val="000000" w:themeColor="text1"/>
                <w:szCs w:val="20"/>
              </w:rPr>
              <w:t>year licences)</w:t>
            </w:r>
          </w:p>
        </w:tc>
        <w:tc>
          <w:tcPr>
            <w:tcW w:w="2694" w:type="dxa"/>
          </w:tcPr>
          <w:p w14:paraId="367F828D" w14:textId="0404208E" w:rsidR="007160E5" w:rsidRPr="00025AFF" w:rsidRDefault="007160E5" w:rsidP="00A8477B">
            <w:pPr>
              <w:rPr>
                <w:rFonts w:cs="Arial"/>
                <w:b/>
                <w:bCs/>
                <w:color w:val="000000" w:themeColor="text1"/>
                <w:szCs w:val="20"/>
              </w:rPr>
            </w:pPr>
            <w:r w:rsidRPr="00025AFF">
              <w:rPr>
                <w:rFonts w:cs="Arial"/>
                <w:b/>
                <w:bCs/>
                <w:color w:val="000000" w:themeColor="text1"/>
                <w:szCs w:val="20"/>
              </w:rPr>
              <w:t xml:space="preserve">Option 2 </w:t>
            </w:r>
            <w:r w:rsidR="00445449" w:rsidRPr="00025AFF">
              <w:rPr>
                <w:rFonts w:cs="Arial"/>
                <w:b/>
                <w:bCs/>
                <w:color w:val="000000" w:themeColor="text1"/>
                <w:szCs w:val="20"/>
              </w:rPr>
              <w:br/>
            </w:r>
            <w:r w:rsidRPr="00025AFF">
              <w:rPr>
                <w:rFonts w:cs="Arial"/>
                <w:b/>
                <w:bCs/>
                <w:color w:val="000000" w:themeColor="text1"/>
                <w:szCs w:val="20"/>
              </w:rPr>
              <w:t>(3.4 GHz</w:t>
            </w:r>
            <w:r w:rsidR="00445449" w:rsidRPr="00025AFF">
              <w:rPr>
                <w:rFonts w:cs="Arial"/>
                <w:b/>
                <w:bCs/>
                <w:color w:val="000000" w:themeColor="text1"/>
                <w:szCs w:val="20"/>
              </w:rPr>
              <w:t>:</w:t>
            </w:r>
            <w:r w:rsidRPr="00025AFF">
              <w:rPr>
                <w:rFonts w:cs="Arial"/>
                <w:b/>
                <w:bCs/>
                <w:color w:val="000000" w:themeColor="text1"/>
                <w:szCs w:val="20"/>
              </w:rPr>
              <w:t xml:space="preserve"> ~7</w:t>
            </w:r>
            <w:r w:rsidR="006623DD" w:rsidRPr="00025AFF">
              <w:rPr>
                <w:rFonts w:cs="Arial"/>
                <w:b/>
                <w:bCs/>
                <w:color w:val="000000" w:themeColor="text1"/>
                <w:szCs w:val="20"/>
              </w:rPr>
              <w:t>-</w:t>
            </w:r>
            <w:r w:rsidRPr="00025AFF">
              <w:rPr>
                <w:rFonts w:cs="Arial"/>
                <w:b/>
                <w:bCs/>
                <w:color w:val="000000" w:themeColor="text1"/>
                <w:szCs w:val="20"/>
              </w:rPr>
              <w:t xml:space="preserve">year licences, </w:t>
            </w:r>
            <w:r w:rsidR="005A53C2" w:rsidRPr="00025AFF">
              <w:rPr>
                <w:rFonts w:cs="Arial"/>
                <w:b/>
                <w:bCs/>
                <w:color w:val="000000" w:themeColor="text1"/>
                <w:szCs w:val="20"/>
              </w:rPr>
              <w:br/>
            </w:r>
            <w:r w:rsidRPr="00025AFF">
              <w:rPr>
                <w:rFonts w:cs="Arial"/>
                <w:b/>
                <w:bCs/>
                <w:color w:val="000000" w:themeColor="text1"/>
                <w:szCs w:val="20"/>
              </w:rPr>
              <w:t>3.7</w:t>
            </w:r>
            <w:r w:rsidR="005A53C2" w:rsidRPr="00025AFF">
              <w:rPr>
                <w:rFonts w:cs="Arial"/>
                <w:b/>
                <w:bCs/>
                <w:color w:val="000000" w:themeColor="text1"/>
                <w:szCs w:val="20"/>
              </w:rPr>
              <w:t> </w:t>
            </w:r>
            <w:r w:rsidRPr="00025AFF">
              <w:rPr>
                <w:rFonts w:cs="Arial"/>
                <w:b/>
                <w:bCs/>
                <w:color w:val="000000" w:themeColor="text1"/>
                <w:szCs w:val="20"/>
              </w:rPr>
              <w:t>GHz</w:t>
            </w:r>
            <w:r w:rsidR="00445449" w:rsidRPr="00025AFF">
              <w:rPr>
                <w:rFonts w:cs="Arial"/>
                <w:b/>
                <w:bCs/>
                <w:color w:val="000000" w:themeColor="text1"/>
                <w:szCs w:val="20"/>
              </w:rPr>
              <w:t>:</w:t>
            </w:r>
            <w:r w:rsidRPr="00025AFF">
              <w:rPr>
                <w:rFonts w:cs="Arial"/>
                <w:b/>
                <w:bCs/>
                <w:color w:val="000000" w:themeColor="text1"/>
                <w:szCs w:val="20"/>
              </w:rPr>
              <w:t xml:space="preserve"> 20</w:t>
            </w:r>
            <w:r w:rsidR="006623DD" w:rsidRPr="00025AFF">
              <w:rPr>
                <w:rFonts w:cs="Arial"/>
                <w:b/>
                <w:bCs/>
                <w:color w:val="000000" w:themeColor="text1"/>
                <w:szCs w:val="20"/>
              </w:rPr>
              <w:t>-</w:t>
            </w:r>
            <w:r w:rsidRPr="00025AFF">
              <w:rPr>
                <w:rFonts w:cs="Arial"/>
                <w:b/>
                <w:bCs/>
                <w:color w:val="000000" w:themeColor="text1"/>
                <w:szCs w:val="20"/>
              </w:rPr>
              <w:t>year licences)</w:t>
            </w:r>
          </w:p>
        </w:tc>
        <w:tc>
          <w:tcPr>
            <w:tcW w:w="2409" w:type="dxa"/>
          </w:tcPr>
          <w:p w14:paraId="54C03715" w14:textId="64ED8DF2" w:rsidR="007160E5" w:rsidRPr="00025AFF" w:rsidRDefault="007160E5" w:rsidP="000A5465">
            <w:pPr>
              <w:rPr>
                <w:rFonts w:cs="Arial"/>
                <w:b/>
                <w:bCs/>
                <w:color w:val="000000" w:themeColor="text1"/>
                <w:szCs w:val="20"/>
              </w:rPr>
            </w:pPr>
            <w:r w:rsidRPr="00025AFF">
              <w:rPr>
                <w:rFonts w:cs="Arial"/>
                <w:b/>
                <w:bCs/>
                <w:color w:val="000000" w:themeColor="text1"/>
                <w:szCs w:val="20"/>
              </w:rPr>
              <w:t xml:space="preserve">Option 3 </w:t>
            </w:r>
            <w:r w:rsidR="00A9043C" w:rsidRPr="00025AFF">
              <w:rPr>
                <w:rFonts w:cs="Arial"/>
                <w:b/>
                <w:bCs/>
                <w:color w:val="000000" w:themeColor="text1"/>
                <w:szCs w:val="20"/>
              </w:rPr>
              <w:br/>
            </w:r>
            <w:r w:rsidRPr="00025AFF">
              <w:rPr>
                <w:rFonts w:cs="Arial"/>
                <w:b/>
                <w:bCs/>
                <w:color w:val="000000" w:themeColor="text1"/>
                <w:szCs w:val="20"/>
              </w:rPr>
              <w:t>(all 20</w:t>
            </w:r>
            <w:r w:rsidR="006623DD" w:rsidRPr="00025AFF">
              <w:rPr>
                <w:rFonts w:cs="Arial"/>
                <w:b/>
                <w:bCs/>
                <w:color w:val="000000" w:themeColor="text1"/>
                <w:szCs w:val="20"/>
              </w:rPr>
              <w:t>-</w:t>
            </w:r>
            <w:r w:rsidRPr="00025AFF">
              <w:rPr>
                <w:rFonts w:cs="Arial"/>
                <w:b/>
                <w:bCs/>
                <w:color w:val="000000" w:themeColor="text1"/>
                <w:szCs w:val="20"/>
              </w:rPr>
              <w:t>year licences)</w:t>
            </w:r>
          </w:p>
        </w:tc>
      </w:tr>
      <w:tr w:rsidR="007160E5" w:rsidRPr="0050747F" w14:paraId="7C7062C3" w14:textId="77777777" w:rsidTr="000A5465">
        <w:trPr>
          <w:cnfStyle w:val="000000010000" w:firstRow="0" w:lastRow="0" w:firstColumn="0" w:lastColumn="0" w:oddVBand="0" w:evenVBand="0" w:oddHBand="0" w:evenHBand="1" w:firstRowFirstColumn="0" w:firstRowLastColumn="0" w:lastRowFirstColumn="0" w:lastRowLastColumn="0"/>
          <w:trHeight w:val="5231"/>
        </w:trPr>
        <w:tc>
          <w:tcPr>
            <w:tcW w:w="1395" w:type="dxa"/>
          </w:tcPr>
          <w:p w14:paraId="7C9F3A62" w14:textId="1D44D462" w:rsidR="007160E5" w:rsidRPr="000A5465" w:rsidRDefault="007160E5" w:rsidP="00A8477B">
            <w:pPr>
              <w:rPr>
                <w:rFonts w:cs="Arial"/>
                <w:b/>
                <w:bCs/>
                <w:color w:val="000000" w:themeColor="text1"/>
                <w:szCs w:val="20"/>
              </w:rPr>
            </w:pPr>
            <w:r w:rsidRPr="000A5465">
              <w:rPr>
                <w:rFonts w:cs="Arial"/>
                <w:b/>
                <w:bCs/>
                <w:color w:val="000000" w:themeColor="text1"/>
                <w:szCs w:val="20"/>
              </w:rPr>
              <w:t xml:space="preserve">Efficient allocation </w:t>
            </w:r>
            <w:r w:rsidR="008946F7" w:rsidRPr="000A5465">
              <w:rPr>
                <w:rFonts w:cs="Arial"/>
                <w:b/>
                <w:bCs/>
                <w:color w:val="000000" w:themeColor="text1"/>
                <w:szCs w:val="20"/>
              </w:rPr>
              <w:t>and</w:t>
            </w:r>
            <w:r w:rsidR="00B42C2F" w:rsidRPr="000A5465">
              <w:rPr>
                <w:rFonts w:cs="Arial"/>
                <w:b/>
                <w:bCs/>
                <w:color w:val="000000" w:themeColor="text1"/>
                <w:szCs w:val="20"/>
              </w:rPr>
              <w:t xml:space="preserve"> use of spectrum</w:t>
            </w:r>
          </w:p>
        </w:tc>
        <w:tc>
          <w:tcPr>
            <w:tcW w:w="2569" w:type="dxa"/>
          </w:tcPr>
          <w:p w14:paraId="038FC7BA" w14:textId="20304D9E" w:rsidR="007160E5" w:rsidRPr="00415206" w:rsidRDefault="00B42C2F" w:rsidP="00415206">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8946F7">
              <w:rPr>
                <w:rFonts w:cs="Arial"/>
                <w:color w:val="000000" w:themeColor="text1"/>
                <w:szCs w:val="20"/>
              </w:rPr>
              <w:t>Short</w:t>
            </w:r>
            <w:r>
              <w:rPr>
                <w:rFonts w:cs="Arial"/>
                <w:color w:val="000000" w:themeColor="text1"/>
                <w:szCs w:val="20"/>
              </w:rPr>
              <w:t xml:space="preserve"> licence term may </w:t>
            </w:r>
            <w:r w:rsidR="008946F7">
              <w:rPr>
                <w:rFonts w:cs="Arial"/>
                <w:color w:val="000000" w:themeColor="text1"/>
                <w:szCs w:val="20"/>
              </w:rPr>
              <w:t>l</w:t>
            </w:r>
            <w:r w:rsidR="008946F7" w:rsidRPr="00415206">
              <w:rPr>
                <w:rFonts w:cs="Arial"/>
                <w:color w:val="000000" w:themeColor="text1"/>
                <w:szCs w:val="20"/>
              </w:rPr>
              <w:t>imit</w:t>
            </w:r>
            <w:r w:rsidR="007160E5" w:rsidRPr="00415206">
              <w:rPr>
                <w:rFonts w:cs="Arial"/>
                <w:color w:val="000000" w:themeColor="text1"/>
                <w:szCs w:val="20"/>
              </w:rPr>
              <w:t xml:space="preserve"> investment certainty</w:t>
            </w:r>
            <w:r w:rsidR="00EF259D">
              <w:rPr>
                <w:rFonts w:cs="Arial"/>
                <w:color w:val="000000" w:themeColor="text1"/>
                <w:szCs w:val="20"/>
              </w:rPr>
              <w:t>.</w:t>
            </w:r>
          </w:p>
          <w:p w14:paraId="2B492764" w14:textId="77777777" w:rsidR="00B42C2F" w:rsidRPr="00415206" w:rsidRDefault="00B42C2F" w:rsidP="00415206">
            <w:pPr>
              <w:spacing w:after="0" w:line="240" w:lineRule="auto"/>
              <w:rPr>
                <w:rFonts w:cs="Arial"/>
                <w:color w:val="000000" w:themeColor="text1"/>
                <w:szCs w:val="20"/>
              </w:rPr>
            </w:pPr>
          </w:p>
          <w:p w14:paraId="3DEDE371" w14:textId="781E5E11" w:rsidR="007160E5" w:rsidRPr="00415206" w:rsidRDefault="008946F7" w:rsidP="00415206">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B42C2F" w:rsidRPr="00415206" w:rsidDel="003767C9">
              <w:rPr>
                <w:rFonts w:cs="Arial"/>
                <w:color w:val="000000" w:themeColor="text1"/>
                <w:szCs w:val="20"/>
              </w:rPr>
              <w:t xml:space="preserve"> </w:t>
            </w:r>
            <w:r w:rsidR="00B42C2F">
              <w:rPr>
                <w:rFonts w:cs="Arial"/>
                <w:color w:val="000000" w:themeColor="text1"/>
                <w:szCs w:val="20"/>
              </w:rPr>
              <w:t>Short licence term may</w:t>
            </w:r>
            <w:r w:rsidR="007160E5" w:rsidRPr="00415206">
              <w:rPr>
                <w:rFonts w:cs="Arial"/>
                <w:color w:val="000000" w:themeColor="text1"/>
                <w:szCs w:val="20"/>
              </w:rPr>
              <w:t xml:space="preserve"> </w:t>
            </w:r>
            <w:r w:rsidR="00415206">
              <w:rPr>
                <w:rFonts w:cs="Arial"/>
                <w:color w:val="000000" w:themeColor="text1"/>
                <w:szCs w:val="20"/>
              </w:rPr>
              <w:t>discourage</w:t>
            </w:r>
            <w:r w:rsidR="007160E5" w:rsidRPr="00415206">
              <w:rPr>
                <w:rFonts w:cs="Arial"/>
                <w:color w:val="000000" w:themeColor="text1"/>
                <w:szCs w:val="20"/>
              </w:rPr>
              <w:t xml:space="preserve"> participation of new entrants</w:t>
            </w:r>
            <w:r w:rsidR="00EF259D">
              <w:rPr>
                <w:rFonts w:cs="Arial"/>
                <w:color w:val="000000" w:themeColor="text1"/>
                <w:szCs w:val="20"/>
              </w:rPr>
              <w:t>.</w:t>
            </w:r>
          </w:p>
          <w:p w14:paraId="198A0413" w14:textId="77777777" w:rsidR="00B42C2F" w:rsidRPr="00415206" w:rsidRDefault="00B42C2F" w:rsidP="00415206">
            <w:pPr>
              <w:spacing w:after="0" w:line="240" w:lineRule="auto"/>
              <w:rPr>
                <w:rFonts w:cs="Arial"/>
                <w:color w:val="000000" w:themeColor="text1"/>
                <w:szCs w:val="20"/>
              </w:rPr>
            </w:pPr>
          </w:p>
          <w:p w14:paraId="23BC51AE" w14:textId="400BB0CE" w:rsidR="00B42C2F" w:rsidRDefault="008946F7" w:rsidP="00415206">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B42C2F" w:rsidRPr="00415206" w:rsidDel="003767C9">
              <w:rPr>
                <w:rFonts w:cs="Arial"/>
                <w:color w:val="000000" w:themeColor="text1"/>
                <w:szCs w:val="20"/>
              </w:rPr>
              <w:t xml:space="preserve"> </w:t>
            </w:r>
            <w:r w:rsidR="00B42C2F">
              <w:rPr>
                <w:rFonts w:cs="Arial"/>
                <w:color w:val="000000" w:themeColor="text1"/>
                <w:szCs w:val="20"/>
              </w:rPr>
              <w:t>Short licence term</w:t>
            </w:r>
            <w:r w:rsidR="00B42C2F" w:rsidRPr="00415206">
              <w:rPr>
                <w:rFonts w:cs="Arial"/>
                <w:color w:val="000000" w:themeColor="text1"/>
                <w:szCs w:val="20"/>
              </w:rPr>
              <w:t xml:space="preserve"> </w:t>
            </w:r>
            <w:r w:rsidR="00B42C2F">
              <w:rPr>
                <w:rFonts w:cs="Arial"/>
                <w:color w:val="000000" w:themeColor="text1"/>
                <w:szCs w:val="20"/>
              </w:rPr>
              <w:t xml:space="preserve">may </w:t>
            </w:r>
            <w:r w:rsidR="00B42C2F" w:rsidRPr="00415206">
              <w:rPr>
                <w:rFonts w:cs="Arial"/>
                <w:color w:val="000000" w:themeColor="text1"/>
                <w:szCs w:val="20"/>
              </w:rPr>
              <w:t>provide for more efficient allocation</w:t>
            </w:r>
            <w:r w:rsidR="00B42C2F">
              <w:rPr>
                <w:rFonts w:cs="Arial"/>
                <w:color w:val="000000" w:themeColor="text1"/>
                <w:szCs w:val="20"/>
              </w:rPr>
              <w:t xml:space="preserve"> and use</w:t>
            </w:r>
            <w:r w:rsidR="00B42C2F" w:rsidRPr="00415206">
              <w:rPr>
                <w:rFonts w:cs="Arial"/>
                <w:color w:val="000000" w:themeColor="text1"/>
                <w:szCs w:val="20"/>
              </w:rPr>
              <w:t xml:space="preserve"> in the medium to long term</w:t>
            </w:r>
            <w:r w:rsidR="00B42C2F">
              <w:rPr>
                <w:rFonts w:cs="Arial"/>
                <w:color w:val="000000" w:themeColor="text1"/>
                <w:szCs w:val="20"/>
              </w:rPr>
              <w:t xml:space="preserve"> as it is more likely to facilitate commercially-led defragmentation activities.</w:t>
            </w:r>
          </w:p>
          <w:p w14:paraId="449F1B2E" w14:textId="5E640649" w:rsidR="00B42C2F" w:rsidRPr="00A63AB7" w:rsidRDefault="00B42C2F" w:rsidP="00A63AB7">
            <w:pPr>
              <w:spacing w:after="0" w:line="240" w:lineRule="auto"/>
              <w:rPr>
                <w:rFonts w:cs="Arial"/>
                <w:color w:val="000000" w:themeColor="text1"/>
                <w:szCs w:val="20"/>
              </w:rPr>
            </w:pPr>
          </w:p>
          <w:p w14:paraId="6A3B3AB8" w14:textId="51B07752" w:rsidR="007160E5" w:rsidRPr="00415206" w:rsidRDefault="00B42C2F" w:rsidP="00415206">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Pr="00A63AB7">
              <w:rPr>
                <w:rFonts w:cs="Arial"/>
                <w:color w:val="000000" w:themeColor="text1"/>
                <w:szCs w:val="20"/>
              </w:rPr>
              <w:t xml:space="preserve">Re-allocation period of </w:t>
            </w:r>
            <w:r w:rsidR="00C331E0">
              <w:rPr>
                <w:rFonts w:cs="Arial"/>
                <w:color w:val="000000" w:themeColor="text1"/>
                <w:szCs w:val="20"/>
              </w:rPr>
              <w:br/>
            </w:r>
            <w:r w:rsidRPr="00A63AB7">
              <w:rPr>
                <w:rFonts w:cs="Arial"/>
                <w:color w:val="000000" w:themeColor="text1"/>
                <w:szCs w:val="20"/>
              </w:rPr>
              <w:t xml:space="preserve">5 years </w:t>
            </w:r>
            <w:r>
              <w:rPr>
                <w:rFonts w:cs="Arial"/>
                <w:color w:val="000000" w:themeColor="text1"/>
                <w:szCs w:val="20"/>
              </w:rPr>
              <w:t>may</w:t>
            </w:r>
            <w:r w:rsidRPr="00A63AB7">
              <w:rPr>
                <w:rFonts w:cs="Arial"/>
                <w:color w:val="000000" w:themeColor="text1"/>
                <w:szCs w:val="20"/>
              </w:rPr>
              <w:t xml:space="preserve"> constrain use</w:t>
            </w:r>
            <w:r>
              <w:rPr>
                <w:rFonts w:cs="Arial"/>
                <w:color w:val="000000" w:themeColor="text1"/>
                <w:szCs w:val="20"/>
              </w:rPr>
              <w:t xml:space="preserve"> of a licence with a short licence term.</w:t>
            </w:r>
          </w:p>
        </w:tc>
        <w:tc>
          <w:tcPr>
            <w:tcW w:w="2694" w:type="dxa"/>
          </w:tcPr>
          <w:p w14:paraId="7B502502" w14:textId="426B7B7D" w:rsidR="00B42C2F" w:rsidRDefault="00B42C2F" w:rsidP="00B42C2F">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Short licence term may l</w:t>
            </w:r>
            <w:r w:rsidRPr="00415206">
              <w:rPr>
                <w:rFonts w:cs="Arial"/>
                <w:color w:val="000000" w:themeColor="text1"/>
                <w:szCs w:val="20"/>
              </w:rPr>
              <w:t>imit investment certainty</w:t>
            </w:r>
            <w:r>
              <w:rPr>
                <w:rFonts w:cs="Arial"/>
                <w:color w:val="000000" w:themeColor="text1"/>
                <w:szCs w:val="20"/>
              </w:rPr>
              <w:t xml:space="preserve"> in the 3.4</w:t>
            </w:r>
            <w:r w:rsidR="005C2936">
              <w:rPr>
                <w:rFonts w:cs="Arial"/>
                <w:color w:val="000000" w:themeColor="text1"/>
                <w:szCs w:val="20"/>
              </w:rPr>
              <w:t> </w:t>
            </w:r>
            <w:r>
              <w:rPr>
                <w:rFonts w:cs="Arial"/>
                <w:color w:val="000000" w:themeColor="text1"/>
                <w:szCs w:val="20"/>
              </w:rPr>
              <w:t>GHz band</w:t>
            </w:r>
            <w:r w:rsidR="005C2936">
              <w:rPr>
                <w:rFonts w:cs="Arial"/>
                <w:color w:val="000000" w:themeColor="text1"/>
                <w:szCs w:val="20"/>
              </w:rPr>
              <w:t xml:space="preserve">, which may affect how efficiently the band is </w:t>
            </w:r>
            <w:r w:rsidR="00B47F19">
              <w:rPr>
                <w:rFonts w:cs="Arial"/>
                <w:color w:val="000000" w:themeColor="text1"/>
                <w:szCs w:val="20"/>
              </w:rPr>
              <w:t>allocated and used</w:t>
            </w:r>
            <w:r w:rsidR="005C2936">
              <w:rPr>
                <w:rFonts w:cs="Arial"/>
                <w:color w:val="000000" w:themeColor="text1"/>
                <w:szCs w:val="20"/>
              </w:rPr>
              <w:t>.</w:t>
            </w:r>
          </w:p>
          <w:p w14:paraId="571A03FE" w14:textId="77777777" w:rsidR="00B42C2F" w:rsidRPr="008F11ED" w:rsidRDefault="00B42C2F" w:rsidP="0026414B">
            <w:pPr>
              <w:spacing w:after="0" w:line="240" w:lineRule="auto"/>
              <w:rPr>
                <w:rFonts w:cs="Arial"/>
                <w:color w:val="000000" w:themeColor="text1"/>
                <w:szCs w:val="20"/>
                <w:highlight w:val="yellow"/>
              </w:rPr>
            </w:pPr>
          </w:p>
          <w:p w14:paraId="62A6806F" w14:textId="77422827" w:rsidR="007160E5" w:rsidRPr="00D11FE5" w:rsidRDefault="00B42C2F" w:rsidP="0026414B">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Compared to Option 1, </w:t>
            </w:r>
            <w:r w:rsidR="008946F7" w:rsidRPr="00AD7D5B">
              <w:rPr>
                <w:rFonts w:cs="Arial"/>
                <w:color w:val="000000" w:themeColor="text1"/>
                <w:szCs w:val="20"/>
              </w:rPr>
              <w:t>Option</w:t>
            </w:r>
            <w:r w:rsidRPr="00AD7D5B">
              <w:rPr>
                <w:rFonts w:cs="Arial"/>
                <w:color w:val="000000" w:themeColor="text1"/>
                <w:szCs w:val="20"/>
              </w:rPr>
              <w:t xml:space="preserve"> 2 </w:t>
            </w:r>
            <w:r w:rsidR="005C2936" w:rsidRPr="00AD7D5B">
              <w:rPr>
                <w:rFonts w:cs="Arial"/>
                <w:color w:val="000000" w:themeColor="text1"/>
                <w:szCs w:val="20"/>
              </w:rPr>
              <w:t xml:space="preserve">may </w:t>
            </w:r>
            <w:r w:rsidR="008946F7" w:rsidRPr="00AD7D5B">
              <w:rPr>
                <w:rFonts w:cs="Arial"/>
                <w:color w:val="000000" w:themeColor="text1"/>
                <w:szCs w:val="20"/>
              </w:rPr>
              <w:t>provide</w:t>
            </w:r>
            <w:r w:rsidRPr="00D11FE5">
              <w:rPr>
                <w:rFonts w:cs="Arial"/>
                <w:color w:val="000000" w:themeColor="text1"/>
                <w:szCs w:val="20"/>
              </w:rPr>
              <w:t xml:space="preserve"> greater investment certainty for </w:t>
            </w:r>
            <w:r w:rsidRPr="00AD7D5B">
              <w:rPr>
                <w:rFonts w:cs="Arial"/>
                <w:color w:val="000000" w:themeColor="text1"/>
                <w:szCs w:val="20"/>
              </w:rPr>
              <w:t xml:space="preserve">future licensees in the </w:t>
            </w:r>
            <w:r w:rsidRPr="00D11FE5">
              <w:rPr>
                <w:rFonts w:cs="Arial"/>
                <w:color w:val="000000" w:themeColor="text1"/>
                <w:szCs w:val="20"/>
              </w:rPr>
              <w:t>3.7 GHz</w:t>
            </w:r>
            <w:r w:rsidRPr="00AD7D5B">
              <w:rPr>
                <w:rFonts w:cs="Arial"/>
                <w:color w:val="000000" w:themeColor="text1"/>
                <w:szCs w:val="20"/>
              </w:rPr>
              <w:t xml:space="preserve"> band</w:t>
            </w:r>
            <w:r w:rsidRPr="00D11FE5">
              <w:rPr>
                <w:rFonts w:cs="Arial"/>
                <w:color w:val="000000" w:themeColor="text1"/>
                <w:szCs w:val="20"/>
              </w:rPr>
              <w:t>.</w:t>
            </w:r>
          </w:p>
          <w:p w14:paraId="48DB466A" w14:textId="77777777" w:rsidR="00B42C2F" w:rsidRPr="008F11ED" w:rsidRDefault="00B42C2F" w:rsidP="0026414B">
            <w:pPr>
              <w:spacing w:after="0" w:line="240" w:lineRule="auto"/>
              <w:rPr>
                <w:rFonts w:cs="Arial"/>
                <w:color w:val="000000" w:themeColor="text1"/>
                <w:szCs w:val="20"/>
              </w:rPr>
            </w:pPr>
          </w:p>
          <w:p w14:paraId="368E2761" w14:textId="22CC29E5" w:rsidR="007160E5" w:rsidRPr="0026414B" w:rsidRDefault="00B42C2F" w:rsidP="0026414B">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397968">
              <w:rPr>
                <w:rFonts w:cs="Arial"/>
                <w:color w:val="000000" w:themeColor="text1"/>
                <w:szCs w:val="20"/>
              </w:rPr>
              <w:t xml:space="preserve">Compared with Option 1, Option 2 </w:t>
            </w:r>
            <w:r w:rsidR="00A63119">
              <w:rPr>
                <w:rFonts w:cs="Arial"/>
                <w:color w:val="000000" w:themeColor="text1"/>
                <w:szCs w:val="20"/>
              </w:rPr>
              <w:t>results in misaligned licence</w:t>
            </w:r>
            <w:r w:rsidR="002213D1">
              <w:rPr>
                <w:rFonts w:cs="Arial"/>
                <w:color w:val="000000" w:themeColor="text1"/>
                <w:szCs w:val="20"/>
              </w:rPr>
              <w:t xml:space="preserve"> expiry dates across the </w:t>
            </w:r>
            <w:r w:rsidR="004F67D9">
              <w:rPr>
                <w:rFonts w:cs="Arial"/>
                <w:color w:val="000000" w:themeColor="text1"/>
                <w:szCs w:val="20"/>
              </w:rPr>
              <w:t>3.4–3.8 GHz band</w:t>
            </w:r>
            <w:r w:rsidR="004F6C64">
              <w:rPr>
                <w:rFonts w:cs="Arial"/>
                <w:color w:val="000000" w:themeColor="text1"/>
                <w:szCs w:val="20"/>
              </w:rPr>
              <w:t>, which may introduce barriers to trading</w:t>
            </w:r>
            <w:r w:rsidR="006D1318">
              <w:rPr>
                <w:rFonts w:cs="Arial"/>
                <w:color w:val="000000" w:themeColor="text1"/>
                <w:szCs w:val="20"/>
              </w:rPr>
              <w:t xml:space="preserve"> across the wider band</w:t>
            </w:r>
            <w:r w:rsidR="004F6C64">
              <w:rPr>
                <w:rFonts w:cs="Arial"/>
                <w:color w:val="000000" w:themeColor="text1"/>
                <w:szCs w:val="20"/>
              </w:rPr>
              <w:t>.</w:t>
            </w:r>
            <w:r w:rsidR="00237FB8">
              <w:rPr>
                <w:rFonts w:cs="Arial"/>
                <w:color w:val="000000" w:themeColor="text1"/>
                <w:szCs w:val="20"/>
              </w:rPr>
              <w:t xml:space="preserve"> This may </w:t>
            </w:r>
            <w:r w:rsidR="00EF43D3">
              <w:rPr>
                <w:rFonts w:cs="Arial"/>
                <w:color w:val="000000" w:themeColor="text1"/>
                <w:szCs w:val="20"/>
              </w:rPr>
              <w:t>influence</w:t>
            </w:r>
            <w:r w:rsidR="00237FB8">
              <w:rPr>
                <w:rFonts w:cs="Arial"/>
                <w:color w:val="000000" w:themeColor="text1"/>
                <w:szCs w:val="20"/>
              </w:rPr>
              <w:t xml:space="preserve"> bidding behaviour at auction.</w:t>
            </w:r>
            <w:r w:rsidR="002167B9">
              <w:rPr>
                <w:rFonts w:cs="Arial"/>
                <w:color w:val="000000" w:themeColor="text1"/>
                <w:szCs w:val="20"/>
              </w:rPr>
              <w:t xml:space="preserve"> However </w:t>
            </w:r>
            <w:r w:rsidR="00CE40AD">
              <w:rPr>
                <w:rFonts w:cs="Arial"/>
                <w:color w:val="000000" w:themeColor="text1"/>
                <w:szCs w:val="20"/>
              </w:rPr>
              <w:t>mitigations may be available under the Act</w:t>
            </w:r>
            <w:r w:rsidR="008946F7" w:rsidRPr="00D11FE5">
              <w:rPr>
                <w:rFonts w:cs="Arial"/>
                <w:color w:val="000000" w:themeColor="text1"/>
                <w:szCs w:val="20"/>
              </w:rPr>
              <w:t xml:space="preserve">. </w:t>
            </w:r>
          </w:p>
        </w:tc>
        <w:tc>
          <w:tcPr>
            <w:tcW w:w="2409" w:type="dxa"/>
          </w:tcPr>
          <w:p w14:paraId="0689828B" w14:textId="419D3512" w:rsidR="007160E5" w:rsidRPr="00445449" w:rsidRDefault="008946F7" w:rsidP="00445449">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B42C2F" w:rsidRPr="00445449" w:rsidDel="00B47F19">
              <w:rPr>
                <w:rFonts w:cs="Arial"/>
                <w:color w:val="000000" w:themeColor="text1"/>
                <w:szCs w:val="20"/>
              </w:rPr>
              <w:t xml:space="preserve"> </w:t>
            </w:r>
            <w:r w:rsidR="00B47F19">
              <w:rPr>
                <w:rFonts w:cs="Arial"/>
                <w:color w:val="000000" w:themeColor="text1"/>
                <w:szCs w:val="20"/>
              </w:rPr>
              <w:t>Long licence terms may provide</w:t>
            </w:r>
            <w:r w:rsidR="00B47F19" w:rsidRPr="00445449">
              <w:rPr>
                <w:rFonts w:cs="Arial"/>
                <w:color w:val="000000" w:themeColor="text1"/>
                <w:szCs w:val="20"/>
              </w:rPr>
              <w:t xml:space="preserve"> </w:t>
            </w:r>
            <w:r w:rsidR="00B42C2F" w:rsidRPr="00445449">
              <w:rPr>
                <w:rFonts w:cs="Arial"/>
                <w:color w:val="000000" w:themeColor="text1"/>
                <w:szCs w:val="20"/>
              </w:rPr>
              <w:t>greater investment certainty</w:t>
            </w:r>
            <w:r w:rsidR="007A7E5F">
              <w:rPr>
                <w:rFonts w:cs="Arial"/>
                <w:color w:val="000000" w:themeColor="text1"/>
                <w:szCs w:val="20"/>
              </w:rPr>
              <w:t>, encouraging deployment of services within the spectrum</w:t>
            </w:r>
            <w:r w:rsidR="00B42C2F">
              <w:rPr>
                <w:rFonts w:cs="Arial"/>
                <w:color w:val="000000" w:themeColor="text1"/>
                <w:szCs w:val="20"/>
              </w:rPr>
              <w:t>.</w:t>
            </w:r>
          </w:p>
          <w:p w14:paraId="7B8DD0B7" w14:textId="77777777" w:rsidR="00B42C2F" w:rsidRPr="00445449" w:rsidRDefault="00B42C2F" w:rsidP="00445449">
            <w:pPr>
              <w:spacing w:after="0" w:line="240" w:lineRule="auto"/>
              <w:rPr>
                <w:rFonts w:cs="Arial"/>
                <w:color w:val="000000" w:themeColor="text1"/>
                <w:szCs w:val="20"/>
              </w:rPr>
            </w:pPr>
          </w:p>
          <w:p w14:paraId="144A2B6B" w14:textId="6BC34199" w:rsidR="007160E5" w:rsidRPr="0050747F" w:rsidRDefault="008946F7" w:rsidP="00445449">
            <w:pPr>
              <w:spacing w:after="0" w:line="240" w:lineRule="auto"/>
            </w:pPr>
            <w:r>
              <w:rPr>
                <w:rFonts w:ascii="Wingdings 2" w:eastAsia="Wingdings 2" w:hAnsi="Wingdings 2" w:cs="Wingdings 2"/>
                <w:color w:val="000000" w:themeColor="text1"/>
                <w:szCs w:val="20"/>
              </w:rPr>
              <w:t></w:t>
            </w:r>
            <w:r w:rsidR="00B42C2F" w:rsidRPr="00445449" w:rsidDel="00B47F19">
              <w:rPr>
                <w:rFonts w:cs="Arial"/>
                <w:color w:val="000000" w:themeColor="text1"/>
                <w:szCs w:val="20"/>
              </w:rPr>
              <w:t xml:space="preserve"> </w:t>
            </w:r>
            <w:r w:rsidR="007A7E5F">
              <w:rPr>
                <w:rFonts w:cs="Arial"/>
                <w:color w:val="000000" w:themeColor="text1"/>
                <w:szCs w:val="20"/>
              </w:rPr>
              <w:t xml:space="preserve">Similar to Option 2, long licence terms across the 3.4/3.7 GHz bands may introduce some complexity to defragmentation options for </w:t>
            </w:r>
            <w:r>
              <w:rPr>
                <w:rFonts w:cs="Arial"/>
                <w:color w:val="000000" w:themeColor="text1"/>
                <w:szCs w:val="20"/>
              </w:rPr>
              <w:t>licensees</w:t>
            </w:r>
            <w:r w:rsidR="008C5172">
              <w:rPr>
                <w:rFonts w:cs="Arial"/>
                <w:color w:val="000000" w:themeColor="text1"/>
                <w:szCs w:val="20"/>
              </w:rPr>
              <w:t xml:space="preserve"> as there is a mismatch</w:t>
            </w:r>
            <w:r w:rsidR="00B42C2F">
              <w:rPr>
                <w:rFonts w:cs="Arial"/>
                <w:color w:val="000000" w:themeColor="text1"/>
                <w:szCs w:val="20"/>
              </w:rPr>
              <w:t xml:space="preserve"> between expiry of existing 3.4 GHz licences and new 3.4 GHz licences</w:t>
            </w:r>
            <w:r w:rsidR="008C5172">
              <w:rPr>
                <w:rFonts w:cs="Arial"/>
                <w:color w:val="000000" w:themeColor="text1"/>
                <w:szCs w:val="20"/>
              </w:rPr>
              <w:t xml:space="preserve">. This </w:t>
            </w:r>
            <w:r>
              <w:rPr>
                <w:rFonts w:cs="Arial"/>
                <w:color w:val="000000" w:themeColor="text1"/>
                <w:szCs w:val="20"/>
              </w:rPr>
              <w:t>may</w:t>
            </w:r>
            <w:r w:rsidR="00B42C2F">
              <w:rPr>
                <w:rFonts w:cs="Arial"/>
                <w:color w:val="000000" w:themeColor="text1"/>
                <w:szCs w:val="20"/>
              </w:rPr>
              <w:t xml:space="preserve"> cause uncertainty about achieving contiguous spectrum holdings.</w:t>
            </w:r>
            <w:r w:rsidR="00FD0F6A">
              <w:rPr>
                <w:rFonts w:cs="Arial"/>
                <w:color w:val="000000" w:themeColor="text1"/>
                <w:szCs w:val="20"/>
              </w:rPr>
              <w:t xml:space="preserve"> However, mitigations may be available under the Act.</w:t>
            </w:r>
          </w:p>
        </w:tc>
      </w:tr>
      <w:tr w:rsidR="007160E5" w:rsidRPr="0050747F" w14:paraId="618E87E1" w14:textId="77777777" w:rsidTr="000A5465">
        <w:trPr>
          <w:cnfStyle w:val="000000100000" w:firstRow="0" w:lastRow="0" w:firstColumn="0" w:lastColumn="0" w:oddVBand="0" w:evenVBand="0" w:oddHBand="1" w:evenHBand="0" w:firstRowFirstColumn="0" w:firstRowLastColumn="0" w:lastRowFirstColumn="0" w:lastRowLastColumn="0"/>
        </w:trPr>
        <w:tc>
          <w:tcPr>
            <w:tcW w:w="1395" w:type="dxa"/>
            <w:vMerge w:val="restart"/>
          </w:tcPr>
          <w:p w14:paraId="03739F10" w14:textId="1A8F8F8C" w:rsidR="007160E5" w:rsidRPr="000A5465" w:rsidRDefault="00A1146E" w:rsidP="00A8477B">
            <w:pPr>
              <w:rPr>
                <w:rFonts w:cs="Arial"/>
                <w:b/>
                <w:bCs/>
                <w:color w:val="000000" w:themeColor="text1"/>
                <w:szCs w:val="20"/>
              </w:rPr>
            </w:pPr>
            <w:r w:rsidRPr="000A5465">
              <w:rPr>
                <w:rFonts w:cs="Arial"/>
                <w:b/>
                <w:bCs/>
                <w:color w:val="000000" w:themeColor="text1"/>
                <w:szCs w:val="20"/>
              </w:rPr>
              <w:t>Support deployment</w:t>
            </w:r>
            <w:r w:rsidR="007160E5" w:rsidRPr="000A5465">
              <w:rPr>
                <w:rFonts w:cs="Arial"/>
                <w:b/>
                <w:bCs/>
                <w:color w:val="000000" w:themeColor="text1"/>
                <w:szCs w:val="20"/>
              </w:rPr>
              <w:t xml:space="preserve"> of new and innovative technology</w:t>
            </w:r>
          </w:p>
        </w:tc>
        <w:tc>
          <w:tcPr>
            <w:tcW w:w="7672" w:type="dxa"/>
            <w:gridSpan w:val="3"/>
          </w:tcPr>
          <w:p w14:paraId="05A9E3A3" w14:textId="2FDBB485" w:rsidR="007160E5" w:rsidRPr="00A30205" w:rsidRDefault="007160E5" w:rsidP="00A30205">
            <w:pPr>
              <w:spacing w:after="0" w:line="240" w:lineRule="auto"/>
              <w:rPr>
                <w:rFonts w:cs="Arial"/>
                <w:color w:val="000000" w:themeColor="text1"/>
                <w:szCs w:val="20"/>
              </w:rPr>
            </w:pPr>
            <w:r w:rsidRPr="00A30205">
              <w:rPr>
                <w:rFonts w:cs="Arial"/>
                <w:color w:val="000000" w:themeColor="text1"/>
                <w:szCs w:val="20"/>
              </w:rPr>
              <w:t xml:space="preserve">Broadly catered for by technology </w:t>
            </w:r>
            <w:r w:rsidR="00082C7C">
              <w:rPr>
                <w:rFonts w:cs="Arial"/>
                <w:color w:val="000000" w:themeColor="text1"/>
                <w:szCs w:val="20"/>
              </w:rPr>
              <w:t>flexible</w:t>
            </w:r>
            <w:r w:rsidR="00082C7C" w:rsidRPr="00A30205">
              <w:rPr>
                <w:rFonts w:cs="Arial"/>
                <w:color w:val="000000" w:themeColor="text1"/>
                <w:szCs w:val="20"/>
              </w:rPr>
              <w:t xml:space="preserve"> </w:t>
            </w:r>
            <w:r w:rsidRPr="00A30205">
              <w:rPr>
                <w:rFonts w:cs="Arial"/>
                <w:color w:val="000000" w:themeColor="text1"/>
                <w:szCs w:val="20"/>
              </w:rPr>
              <w:t>technical framework</w:t>
            </w:r>
          </w:p>
        </w:tc>
      </w:tr>
      <w:tr w:rsidR="007160E5" w:rsidRPr="0050747F" w14:paraId="751A390E" w14:textId="77777777" w:rsidTr="000A5465">
        <w:trPr>
          <w:cnfStyle w:val="000000010000" w:firstRow="0" w:lastRow="0" w:firstColumn="0" w:lastColumn="0" w:oddVBand="0" w:evenVBand="0" w:oddHBand="0" w:evenHBand="1" w:firstRowFirstColumn="0" w:firstRowLastColumn="0" w:lastRowFirstColumn="0" w:lastRowLastColumn="0"/>
        </w:trPr>
        <w:tc>
          <w:tcPr>
            <w:tcW w:w="1395" w:type="dxa"/>
            <w:vMerge/>
          </w:tcPr>
          <w:p w14:paraId="72CD0CEA" w14:textId="77777777" w:rsidR="007160E5" w:rsidRPr="0050747F" w:rsidRDefault="007160E5" w:rsidP="00A8477B">
            <w:pPr>
              <w:rPr>
                <w:rFonts w:cs="Arial"/>
                <w:color w:val="000000" w:themeColor="text1"/>
                <w:szCs w:val="20"/>
              </w:rPr>
            </w:pPr>
          </w:p>
        </w:tc>
        <w:tc>
          <w:tcPr>
            <w:tcW w:w="2569" w:type="dxa"/>
          </w:tcPr>
          <w:p w14:paraId="3F755F46" w14:textId="1082A024" w:rsidR="007160E5" w:rsidRPr="00A30205" w:rsidRDefault="00845DA2" w:rsidP="00A30205">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Pr="00A30205">
              <w:rPr>
                <w:rFonts w:cs="Arial"/>
                <w:color w:val="000000" w:themeColor="text1"/>
                <w:szCs w:val="20"/>
              </w:rPr>
              <w:t>Reduced investment certainty</w:t>
            </w:r>
            <w:r w:rsidR="00367D86">
              <w:rPr>
                <w:rFonts w:cs="Arial"/>
                <w:color w:val="000000" w:themeColor="text1"/>
                <w:szCs w:val="20"/>
              </w:rPr>
              <w:t xml:space="preserve"> due to short licence term</w:t>
            </w:r>
            <w:r w:rsidRPr="00A30205">
              <w:rPr>
                <w:rFonts w:cs="Arial"/>
                <w:color w:val="000000" w:themeColor="text1"/>
                <w:szCs w:val="20"/>
              </w:rPr>
              <w:t xml:space="preserve"> may constrain deployment</w:t>
            </w:r>
            <w:r w:rsidR="00367D86">
              <w:rPr>
                <w:rFonts w:cs="Arial"/>
                <w:color w:val="000000" w:themeColor="text1"/>
                <w:szCs w:val="20"/>
              </w:rPr>
              <w:t xml:space="preserve"> by some licensees, particularly those in the 3.7 GHz band where </w:t>
            </w:r>
            <w:r w:rsidR="00D11FE5">
              <w:rPr>
                <w:rFonts w:cs="Arial"/>
                <w:color w:val="000000" w:themeColor="text1"/>
                <w:szCs w:val="20"/>
              </w:rPr>
              <w:t xml:space="preserve">large </w:t>
            </w:r>
            <w:r w:rsidR="00367D86">
              <w:rPr>
                <w:rFonts w:cs="Arial"/>
                <w:color w:val="000000" w:themeColor="text1"/>
                <w:szCs w:val="20"/>
              </w:rPr>
              <w:t>contiguous</w:t>
            </w:r>
            <w:r w:rsidR="00D11FE5">
              <w:rPr>
                <w:rFonts w:cs="Arial"/>
                <w:color w:val="000000" w:themeColor="text1"/>
                <w:szCs w:val="20"/>
              </w:rPr>
              <w:t xml:space="preserve"> blocks of</w:t>
            </w:r>
            <w:r w:rsidR="00367D86">
              <w:rPr>
                <w:rFonts w:cs="Arial"/>
                <w:color w:val="000000" w:themeColor="text1"/>
                <w:szCs w:val="20"/>
              </w:rPr>
              <w:t xml:space="preserve"> spectrum </w:t>
            </w:r>
            <w:r w:rsidR="00D11FE5">
              <w:rPr>
                <w:rFonts w:cs="Arial"/>
                <w:color w:val="000000" w:themeColor="text1"/>
                <w:szCs w:val="20"/>
              </w:rPr>
              <w:t>are</w:t>
            </w:r>
            <w:r w:rsidR="00367D86">
              <w:rPr>
                <w:rFonts w:cs="Arial"/>
                <w:color w:val="000000" w:themeColor="text1"/>
                <w:szCs w:val="20"/>
              </w:rPr>
              <w:t xml:space="preserve"> available</w:t>
            </w:r>
            <w:r w:rsidR="00FC325F">
              <w:rPr>
                <w:rFonts w:cs="Arial"/>
                <w:color w:val="000000" w:themeColor="text1"/>
                <w:szCs w:val="20"/>
              </w:rPr>
              <w:t xml:space="preserve"> at auction</w:t>
            </w:r>
            <w:r w:rsidDel="00367D86">
              <w:rPr>
                <w:rFonts w:cs="Arial"/>
                <w:color w:val="000000" w:themeColor="text1"/>
                <w:szCs w:val="20"/>
              </w:rPr>
              <w:t>.</w:t>
            </w:r>
          </w:p>
          <w:p w14:paraId="4E2C5EB1" w14:textId="77777777" w:rsidR="00845DA2" w:rsidRPr="00A30205" w:rsidRDefault="00845DA2" w:rsidP="00A30205">
            <w:pPr>
              <w:spacing w:after="0" w:line="240" w:lineRule="auto"/>
              <w:rPr>
                <w:rFonts w:cs="Arial"/>
                <w:color w:val="000000" w:themeColor="text1"/>
                <w:szCs w:val="20"/>
              </w:rPr>
            </w:pPr>
          </w:p>
          <w:p w14:paraId="44CC1A7B" w14:textId="7CC8F7FE" w:rsidR="007160E5" w:rsidRPr="0050747F" w:rsidRDefault="00A1146E" w:rsidP="00AD7D5B">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7160E5" w:rsidRPr="00A30205">
              <w:rPr>
                <w:rFonts w:cs="Arial"/>
                <w:color w:val="000000" w:themeColor="text1"/>
                <w:szCs w:val="20"/>
              </w:rPr>
              <w:t xml:space="preserve"> </w:t>
            </w:r>
            <w:r w:rsidR="00585CCF">
              <w:rPr>
                <w:rFonts w:cs="Arial"/>
                <w:color w:val="000000" w:themeColor="text1"/>
                <w:szCs w:val="20"/>
              </w:rPr>
              <w:t>Short licence terms in the 3.4 GHz band may facilitate earlier defragmentation (</w:t>
            </w:r>
            <w:r w:rsidR="009C66CA">
              <w:rPr>
                <w:rFonts w:cs="Arial"/>
                <w:color w:val="000000" w:themeColor="text1"/>
                <w:szCs w:val="20"/>
              </w:rPr>
              <w:t>and therefore</w:t>
            </w:r>
            <w:r w:rsidR="00585CCF">
              <w:rPr>
                <w:rFonts w:cs="Arial"/>
                <w:color w:val="000000" w:themeColor="text1"/>
                <w:szCs w:val="20"/>
              </w:rPr>
              <w:t xml:space="preserve"> contiguous spectrum)</w:t>
            </w:r>
            <w:r w:rsidR="009C66CA">
              <w:rPr>
                <w:rFonts w:cs="Arial"/>
                <w:color w:val="000000" w:themeColor="text1"/>
                <w:szCs w:val="20"/>
              </w:rPr>
              <w:t xml:space="preserve">. </w:t>
            </w:r>
            <w:r>
              <w:rPr>
                <w:rFonts w:cs="Arial"/>
                <w:color w:val="000000" w:themeColor="text1"/>
                <w:szCs w:val="20"/>
              </w:rPr>
              <w:t>This</w:t>
            </w:r>
            <w:r w:rsidR="009C66CA">
              <w:rPr>
                <w:rFonts w:cs="Arial"/>
                <w:color w:val="000000" w:themeColor="text1"/>
                <w:szCs w:val="20"/>
              </w:rPr>
              <w:t xml:space="preserve"> may support the deployment of new and innovative </w:t>
            </w:r>
            <w:r w:rsidR="009C66CA">
              <w:rPr>
                <w:rFonts w:cs="Arial"/>
                <w:color w:val="000000" w:themeColor="text1"/>
                <w:szCs w:val="20"/>
              </w:rPr>
              <w:lastRenderedPageBreak/>
              <w:t>technology in that spectrum</w:t>
            </w:r>
            <w:r>
              <w:rPr>
                <w:rFonts w:cs="Arial"/>
                <w:color w:val="000000" w:themeColor="text1"/>
                <w:szCs w:val="20"/>
              </w:rPr>
              <w:t>.</w:t>
            </w:r>
          </w:p>
        </w:tc>
        <w:tc>
          <w:tcPr>
            <w:tcW w:w="2694" w:type="dxa"/>
          </w:tcPr>
          <w:p w14:paraId="3253075B" w14:textId="565992DF" w:rsidR="007160E5" w:rsidRPr="000810B5" w:rsidRDefault="00FA1AEA" w:rsidP="000810B5">
            <w:pPr>
              <w:spacing w:after="0" w:line="240" w:lineRule="auto"/>
              <w:rPr>
                <w:rFonts w:cs="Arial"/>
                <w:color w:val="000000" w:themeColor="text1"/>
                <w:szCs w:val="20"/>
              </w:rPr>
            </w:pPr>
            <w:r>
              <w:rPr>
                <w:rFonts w:ascii="Wingdings 2" w:eastAsia="Wingdings 2" w:hAnsi="Wingdings 2" w:cs="Wingdings 2"/>
                <w:color w:val="000000" w:themeColor="text1"/>
                <w:szCs w:val="20"/>
              </w:rPr>
              <w:lastRenderedPageBreak/>
              <w:t></w:t>
            </w:r>
            <w:r>
              <w:rPr>
                <w:rFonts w:cs="Arial"/>
                <w:color w:val="000000" w:themeColor="text1"/>
                <w:szCs w:val="20"/>
              </w:rPr>
              <w:t xml:space="preserve"> </w:t>
            </w:r>
            <w:r w:rsidR="007160E5" w:rsidRPr="000810B5">
              <w:rPr>
                <w:rFonts w:cs="Arial"/>
                <w:color w:val="000000" w:themeColor="text1"/>
                <w:szCs w:val="20"/>
              </w:rPr>
              <w:t xml:space="preserve">Reduced investment certainty </w:t>
            </w:r>
            <w:r w:rsidR="00016556">
              <w:rPr>
                <w:rFonts w:cs="Arial"/>
                <w:color w:val="000000" w:themeColor="text1"/>
                <w:szCs w:val="20"/>
              </w:rPr>
              <w:t>due to short licence term</w:t>
            </w:r>
            <w:r w:rsidR="00845DA2" w:rsidRPr="000810B5">
              <w:rPr>
                <w:rFonts w:cs="Arial"/>
                <w:color w:val="000000" w:themeColor="text1"/>
                <w:szCs w:val="20"/>
              </w:rPr>
              <w:t xml:space="preserve"> </w:t>
            </w:r>
            <w:r w:rsidR="007160E5" w:rsidRPr="000810B5">
              <w:rPr>
                <w:rFonts w:cs="Arial"/>
                <w:color w:val="000000" w:themeColor="text1"/>
                <w:szCs w:val="20"/>
              </w:rPr>
              <w:t>may constrain deployment in 3.4 GHz</w:t>
            </w:r>
            <w:r w:rsidR="00016556">
              <w:rPr>
                <w:rFonts w:cs="Arial"/>
                <w:color w:val="000000" w:themeColor="text1"/>
                <w:szCs w:val="20"/>
              </w:rPr>
              <w:t xml:space="preserve"> band for any new entrants</w:t>
            </w:r>
            <w:r w:rsidR="00BE238F">
              <w:rPr>
                <w:rFonts w:cs="Arial"/>
                <w:color w:val="000000" w:themeColor="text1"/>
                <w:szCs w:val="20"/>
              </w:rPr>
              <w:t>.</w:t>
            </w:r>
          </w:p>
          <w:p w14:paraId="0F05726E" w14:textId="77777777" w:rsidR="00FA1AEA" w:rsidRPr="000810B5" w:rsidRDefault="00FA1AEA" w:rsidP="000810B5">
            <w:pPr>
              <w:spacing w:after="0" w:line="240" w:lineRule="auto"/>
              <w:rPr>
                <w:rFonts w:cs="Arial"/>
                <w:color w:val="000000" w:themeColor="text1"/>
                <w:szCs w:val="20"/>
              </w:rPr>
            </w:pPr>
          </w:p>
          <w:p w14:paraId="364DF2C5" w14:textId="46C0BCD3" w:rsidR="007160E5" w:rsidRPr="000810B5" w:rsidRDefault="00FA1AEA" w:rsidP="000810B5">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FE3BE1">
              <w:rPr>
                <w:rFonts w:cs="Arial"/>
                <w:color w:val="000000" w:themeColor="text1"/>
                <w:szCs w:val="20"/>
              </w:rPr>
              <w:t>The combination of a l</w:t>
            </w:r>
            <w:r w:rsidR="002917BA">
              <w:rPr>
                <w:rFonts w:cs="Arial"/>
                <w:color w:val="000000" w:themeColor="text1"/>
                <w:szCs w:val="20"/>
              </w:rPr>
              <w:t xml:space="preserve">ong licence term and large contiguous blocks of spectrum available in the 3.7 GHz band may </w:t>
            </w:r>
            <w:r w:rsidR="00FE3BE1">
              <w:rPr>
                <w:rFonts w:cs="Arial"/>
                <w:color w:val="000000" w:themeColor="text1"/>
                <w:szCs w:val="20"/>
              </w:rPr>
              <w:t xml:space="preserve">encourage bidders to </w:t>
            </w:r>
            <w:r w:rsidR="006A50BB">
              <w:rPr>
                <w:rFonts w:cs="Arial"/>
                <w:color w:val="000000" w:themeColor="text1"/>
                <w:szCs w:val="20"/>
              </w:rPr>
              <w:t>acquire the spectrum to deploy new and innovative technologies.</w:t>
            </w:r>
          </w:p>
        </w:tc>
        <w:tc>
          <w:tcPr>
            <w:tcW w:w="2409" w:type="dxa"/>
          </w:tcPr>
          <w:p w14:paraId="19699141" w14:textId="3F38C21A" w:rsidR="00553393" w:rsidRDefault="00F16EF7" w:rsidP="00A62E05">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FA1AEA">
              <w:rPr>
                <w:rFonts w:cs="Arial"/>
                <w:color w:val="000000" w:themeColor="text1"/>
                <w:szCs w:val="20"/>
              </w:rPr>
              <w:t xml:space="preserve"> </w:t>
            </w:r>
            <w:r w:rsidR="00A1146E">
              <w:rPr>
                <w:rFonts w:cs="Arial"/>
                <w:color w:val="000000" w:themeColor="text1"/>
                <w:szCs w:val="20"/>
              </w:rPr>
              <w:t>Similar</w:t>
            </w:r>
            <w:r w:rsidR="004E5FCE">
              <w:rPr>
                <w:rFonts w:cs="Arial"/>
                <w:color w:val="000000" w:themeColor="text1"/>
                <w:szCs w:val="20"/>
              </w:rPr>
              <w:t xml:space="preserve"> to Option 2, l</w:t>
            </w:r>
            <w:r w:rsidR="00845DA2" w:rsidRPr="00A62E05">
              <w:rPr>
                <w:rFonts w:cs="Arial"/>
                <w:color w:val="000000" w:themeColor="text1"/>
                <w:szCs w:val="20"/>
              </w:rPr>
              <w:t>onger licence terms may provide greater investment certainty and therefore encourage deployment</w:t>
            </w:r>
            <w:r w:rsidR="00845DA2" w:rsidRPr="00A62E05" w:rsidDel="001B7D46">
              <w:rPr>
                <w:rFonts w:cs="Arial"/>
                <w:color w:val="000000" w:themeColor="text1"/>
                <w:szCs w:val="20"/>
              </w:rPr>
              <w:t xml:space="preserve">, </w:t>
            </w:r>
            <w:r w:rsidR="004E5FCE">
              <w:rPr>
                <w:rFonts w:cs="Arial"/>
                <w:color w:val="000000" w:themeColor="text1"/>
                <w:szCs w:val="20"/>
              </w:rPr>
              <w:t>particularly in the 3.7 GHz band</w:t>
            </w:r>
            <w:r w:rsidR="00A1146E">
              <w:rPr>
                <w:rFonts w:cs="Arial"/>
                <w:color w:val="000000" w:themeColor="text1"/>
                <w:szCs w:val="20"/>
              </w:rPr>
              <w:t>.</w:t>
            </w:r>
          </w:p>
          <w:p w14:paraId="2B283C34" w14:textId="690DBD42" w:rsidR="00553393" w:rsidRDefault="00553393" w:rsidP="00A62E05">
            <w:pPr>
              <w:spacing w:after="0" w:line="240" w:lineRule="auto"/>
              <w:rPr>
                <w:rFonts w:cs="Arial"/>
                <w:color w:val="000000" w:themeColor="text1"/>
                <w:szCs w:val="20"/>
              </w:rPr>
            </w:pPr>
          </w:p>
          <w:p w14:paraId="77E52A61" w14:textId="22B38DDD" w:rsidR="00553393" w:rsidRPr="00A62E05" w:rsidRDefault="00553393" w:rsidP="00A62E05">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Piecemeal</w:t>
            </w:r>
            <w:r w:rsidR="00A63FF2">
              <w:rPr>
                <w:rFonts w:cs="Arial"/>
                <w:color w:val="000000" w:themeColor="text1"/>
                <w:szCs w:val="20"/>
              </w:rPr>
              <w:t>, long-term</w:t>
            </w:r>
            <w:r>
              <w:rPr>
                <w:rFonts w:cs="Arial"/>
                <w:color w:val="000000" w:themeColor="text1"/>
                <w:szCs w:val="20"/>
              </w:rPr>
              <w:t xml:space="preserve"> acquisitions of the 3.4 GHz band (which are not contiguous and are available in small parcels) may discourage bidders from deploying new technologies that require larger bandwidths.</w:t>
            </w:r>
          </w:p>
          <w:p w14:paraId="0DC90D91" w14:textId="33910B5E" w:rsidR="007160E5" w:rsidRPr="0050747F" w:rsidRDefault="007160E5" w:rsidP="00A62E05">
            <w:pPr>
              <w:spacing w:after="0" w:line="240" w:lineRule="auto"/>
              <w:rPr>
                <w:rFonts w:cs="Arial"/>
                <w:color w:val="000000" w:themeColor="text1"/>
                <w:szCs w:val="20"/>
              </w:rPr>
            </w:pPr>
          </w:p>
        </w:tc>
      </w:tr>
      <w:tr w:rsidR="007160E5" w:rsidRPr="0050747F" w14:paraId="1999B5F5" w14:textId="77777777" w:rsidTr="000A5465">
        <w:trPr>
          <w:cnfStyle w:val="000000100000" w:firstRow="0" w:lastRow="0" w:firstColumn="0" w:lastColumn="0" w:oddVBand="0" w:evenVBand="0" w:oddHBand="1" w:evenHBand="0" w:firstRowFirstColumn="0" w:firstRowLastColumn="0" w:lastRowFirstColumn="0" w:lastRowLastColumn="0"/>
        </w:trPr>
        <w:tc>
          <w:tcPr>
            <w:tcW w:w="1395" w:type="dxa"/>
            <w:vMerge w:val="restart"/>
          </w:tcPr>
          <w:p w14:paraId="031AF171" w14:textId="74DE158A" w:rsidR="007160E5" w:rsidRPr="000A5465" w:rsidRDefault="00A1146E" w:rsidP="00A8477B">
            <w:pPr>
              <w:rPr>
                <w:rFonts w:cs="Arial"/>
                <w:b/>
                <w:bCs/>
                <w:color w:val="000000" w:themeColor="text1"/>
                <w:szCs w:val="20"/>
              </w:rPr>
            </w:pPr>
            <w:r w:rsidRPr="000A5465">
              <w:rPr>
                <w:rFonts w:cs="Arial"/>
                <w:b/>
                <w:bCs/>
                <w:color w:val="000000" w:themeColor="text1"/>
                <w:szCs w:val="20"/>
              </w:rPr>
              <w:t>Support a</w:t>
            </w:r>
            <w:r w:rsidR="007160E5" w:rsidRPr="000A5465">
              <w:rPr>
                <w:rFonts w:cs="Arial"/>
                <w:b/>
                <w:bCs/>
                <w:color w:val="000000" w:themeColor="text1"/>
                <w:szCs w:val="20"/>
              </w:rPr>
              <w:t xml:space="preserve"> range of WBB use cases and users</w:t>
            </w:r>
          </w:p>
        </w:tc>
        <w:tc>
          <w:tcPr>
            <w:tcW w:w="7672" w:type="dxa"/>
            <w:gridSpan w:val="3"/>
          </w:tcPr>
          <w:p w14:paraId="7F3E719E" w14:textId="26D74ABC" w:rsidR="007160E5" w:rsidRPr="00EE5488" w:rsidRDefault="007160E5" w:rsidP="008F11ED">
            <w:pPr>
              <w:pStyle w:val="TableBody"/>
            </w:pPr>
            <w:r w:rsidRPr="00EE5488">
              <w:t>Broadly catered for by band planning and licensing arrangements and approach to broader 3.4</w:t>
            </w:r>
            <w:r w:rsidR="00683F63">
              <w:rPr>
                <w:rStyle w:val="normaltextrun"/>
                <w:szCs w:val="20"/>
              </w:rPr>
              <w:t>–</w:t>
            </w:r>
            <w:r w:rsidRPr="00EE5488">
              <w:t>4.0 GHz band (i.e., mixture of AWLs and spectrum licences for WA and LA WBB use cases</w:t>
            </w:r>
            <w:r w:rsidR="00845DA2" w:rsidRPr="00EE5488">
              <w:t>)</w:t>
            </w:r>
            <w:r w:rsidR="00AB5BF2">
              <w:t>.</w:t>
            </w:r>
            <w:r w:rsidRPr="00EE5488">
              <w:t xml:space="preserve"> </w:t>
            </w:r>
          </w:p>
        </w:tc>
      </w:tr>
      <w:tr w:rsidR="007160E5" w:rsidRPr="0050747F" w14:paraId="2BB7312A" w14:textId="77777777" w:rsidTr="000A5465">
        <w:trPr>
          <w:cnfStyle w:val="000000010000" w:firstRow="0" w:lastRow="0" w:firstColumn="0" w:lastColumn="0" w:oddVBand="0" w:evenVBand="0" w:oddHBand="0" w:evenHBand="1" w:firstRowFirstColumn="0" w:firstRowLastColumn="0" w:lastRowFirstColumn="0" w:lastRowLastColumn="0"/>
          <w:trHeight w:val="2300"/>
        </w:trPr>
        <w:tc>
          <w:tcPr>
            <w:tcW w:w="1395" w:type="dxa"/>
            <w:vMerge/>
          </w:tcPr>
          <w:p w14:paraId="7426FC6F" w14:textId="77777777" w:rsidR="007160E5" w:rsidRPr="0050747F" w:rsidRDefault="007160E5" w:rsidP="00A8477B">
            <w:pPr>
              <w:rPr>
                <w:rFonts w:cs="Arial"/>
                <w:bCs/>
                <w:color w:val="000000" w:themeColor="text1"/>
                <w:szCs w:val="20"/>
              </w:rPr>
            </w:pPr>
          </w:p>
        </w:tc>
        <w:tc>
          <w:tcPr>
            <w:tcW w:w="2569" w:type="dxa"/>
          </w:tcPr>
          <w:p w14:paraId="3F381793" w14:textId="619AF4A0" w:rsidR="00845DA2" w:rsidRPr="002629DB" w:rsidRDefault="00A1146E" w:rsidP="002629DB">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845DA2" w:rsidRPr="002629DB" w:rsidDel="00B403E1">
              <w:rPr>
                <w:rFonts w:cs="Arial"/>
                <w:color w:val="000000" w:themeColor="text1"/>
                <w:szCs w:val="20"/>
              </w:rPr>
              <w:t xml:space="preserve"> </w:t>
            </w:r>
            <w:r w:rsidR="00B403E1">
              <w:rPr>
                <w:rFonts w:cs="Arial"/>
                <w:color w:val="000000" w:themeColor="text1"/>
                <w:szCs w:val="20"/>
              </w:rPr>
              <w:t>Short licence terms may</w:t>
            </w:r>
            <w:r w:rsidR="007160E5" w:rsidRPr="002629DB">
              <w:rPr>
                <w:rFonts w:cs="Arial"/>
                <w:color w:val="000000" w:themeColor="text1"/>
                <w:szCs w:val="20"/>
              </w:rPr>
              <w:t xml:space="preserve"> reduce likelihood of new entrants seeking to acquire spectrum licences</w:t>
            </w:r>
            <w:r w:rsidR="00B403E1">
              <w:rPr>
                <w:rFonts w:cs="Arial"/>
                <w:color w:val="000000" w:themeColor="text1"/>
                <w:szCs w:val="20"/>
              </w:rPr>
              <w:t>, particularly in the 3.7 GHz band</w:t>
            </w:r>
            <w:r>
              <w:rPr>
                <w:rFonts w:cs="Arial"/>
                <w:color w:val="000000" w:themeColor="text1"/>
                <w:szCs w:val="20"/>
              </w:rPr>
              <w:t>.</w:t>
            </w:r>
            <w:r w:rsidR="008001DA">
              <w:rPr>
                <w:rFonts w:cs="Arial"/>
                <w:color w:val="000000" w:themeColor="text1"/>
                <w:szCs w:val="20"/>
              </w:rPr>
              <w:t xml:space="preserve"> </w:t>
            </w:r>
            <w:r w:rsidR="007160E5" w:rsidRPr="002629DB">
              <w:rPr>
                <w:rFonts w:cs="Arial"/>
                <w:color w:val="000000" w:themeColor="text1"/>
                <w:szCs w:val="20"/>
              </w:rPr>
              <w:t xml:space="preserve">However, adjacent </w:t>
            </w:r>
            <w:r w:rsidR="00B01CC5">
              <w:rPr>
                <w:rFonts w:cs="Arial"/>
                <w:color w:val="000000" w:themeColor="text1"/>
                <w:szCs w:val="20"/>
              </w:rPr>
              <w:t>3.8</w:t>
            </w:r>
            <w:r w:rsidR="00D866A4">
              <w:rPr>
                <w:rStyle w:val="normaltextrun"/>
                <w:szCs w:val="20"/>
              </w:rPr>
              <w:t>–</w:t>
            </w:r>
            <w:r w:rsidR="00B01CC5">
              <w:rPr>
                <w:rFonts w:cs="Arial"/>
                <w:color w:val="000000" w:themeColor="text1"/>
                <w:szCs w:val="20"/>
              </w:rPr>
              <w:t>4</w:t>
            </w:r>
            <w:r w:rsidR="00D866A4">
              <w:rPr>
                <w:rFonts w:cs="Arial"/>
                <w:color w:val="000000" w:themeColor="text1"/>
                <w:szCs w:val="20"/>
              </w:rPr>
              <w:t>.0</w:t>
            </w:r>
            <w:r w:rsidR="00B01CC5">
              <w:rPr>
                <w:rFonts w:cs="Arial"/>
                <w:color w:val="000000" w:themeColor="text1"/>
                <w:szCs w:val="20"/>
              </w:rPr>
              <w:t xml:space="preserve"> GHz </w:t>
            </w:r>
            <w:r w:rsidR="007160E5" w:rsidRPr="002629DB">
              <w:rPr>
                <w:rFonts w:cs="Arial"/>
                <w:color w:val="000000" w:themeColor="text1"/>
                <w:szCs w:val="20"/>
              </w:rPr>
              <w:t xml:space="preserve">AWLs </w:t>
            </w:r>
          </w:p>
          <w:p w14:paraId="16AF2DEE" w14:textId="25AD1C5A" w:rsidR="007160E5" w:rsidRPr="002629DB" w:rsidRDefault="00845DA2" w:rsidP="002629DB">
            <w:pPr>
              <w:spacing w:after="0" w:line="240" w:lineRule="auto"/>
              <w:rPr>
                <w:rFonts w:cs="Arial"/>
                <w:color w:val="000000" w:themeColor="text1"/>
                <w:szCs w:val="20"/>
              </w:rPr>
            </w:pPr>
            <w:r w:rsidRPr="002629DB">
              <w:rPr>
                <w:rFonts w:cs="Arial"/>
                <w:color w:val="000000" w:themeColor="text1"/>
                <w:szCs w:val="20"/>
              </w:rPr>
              <w:t>may offer an alternative</w:t>
            </w:r>
            <w:r>
              <w:rPr>
                <w:rFonts w:cs="Arial"/>
                <w:color w:val="000000" w:themeColor="text1"/>
                <w:szCs w:val="20"/>
              </w:rPr>
              <w:t>.</w:t>
            </w:r>
            <w:r w:rsidRPr="002629DB">
              <w:rPr>
                <w:rFonts w:cs="Arial"/>
                <w:color w:val="000000" w:themeColor="text1"/>
                <w:szCs w:val="20"/>
              </w:rPr>
              <w:t xml:space="preserve"> </w:t>
            </w:r>
          </w:p>
        </w:tc>
        <w:tc>
          <w:tcPr>
            <w:tcW w:w="2694" w:type="dxa"/>
          </w:tcPr>
          <w:p w14:paraId="366D5D2C" w14:textId="22E891E7" w:rsidR="00845DA2" w:rsidRPr="00EA7685" w:rsidRDefault="000D417F" w:rsidP="00A73255">
            <w:pPr>
              <w:spacing w:after="0" w:line="240" w:lineRule="auto"/>
              <w:rPr>
                <w:rFonts w:cs="Arial"/>
                <w:color w:val="000000" w:themeColor="text1"/>
                <w:szCs w:val="20"/>
              </w:rPr>
            </w:pPr>
            <w:r>
              <w:rPr>
                <w:rFonts w:ascii="Wingdings" w:eastAsia="Wingdings" w:hAnsi="Wingdings" w:cs="Wingdings"/>
                <w:color w:val="000000" w:themeColor="text1"/>
                <w:szCs w:val="20"/>
              </w:rPr>
              <w:sym w:font="Wingdings" w:char="F0A1"/>
            </w:r>
            <w:r>
              <w:rPr>
                <w:rFonts w:cs="Arial"/>
                <w:color w:val="000000" w:themeColor="text1"/>
                <w:szCs w:val="20"/>
              </w:rPr>
              <w:t xml:space="preserve"> </w:t>
            </w:r>
            <w:r w:rsidR="00B403E1" w:rsidRPr="00EA7685">
              <w:rPr>
                <w:rFonts w:cs="Arial"/>
                <w:color w:val="000000" w:themeColor="text1"/>
                <w:szCs w:val="20"/>
              </w:rPr>
              <w:t>Short licence terms may</w:t>
            </w:r>
            <w:r w:rsidR="007160E5" w:rsidRPr="00EA7685">
              <w:rPr>
                <w:rFonts w:cs="Arial"/>
                <w:color w:val="000000" w:themeColor="text1"/>
                <w:szCs w:val="20"/>
              </w:rPr>
              <w:t xml:space="preserve"> reduce likelihood of new spectrum licensees in</w:t>
            </w:r>
            <w:r w:rsidR="003155AE" w:rsidRPr="00EA7685">
              <w:rPr>
                <w:rFonts w:cs="Arial"/>
                <w:color w:val="000000" w:themeColor="text1"/>
                <w:szCs w:val="20"/>
              </w:rPr>
              <w:t xml:space="preserve"> the</w:t>
            </w:r>
            <w:r w:rsidR="007160E5" w:rsidRPr="00EA7685">
              <w:rPr>
                <w:rFonts w:cs="Arial"/>
                <w:color w:val="000000" w:themeColor="text1"/>
                <w:szCs w:val="20"/>
              </w:rPr>
              <w:t xml:space="preserve"> 3.4 GHz</w:t>
            </w:r>
            <w:r w:rsidR="003155AE" w:rsidRPr="00EA7685">
              <w:rPr>
                <w:rFonts w:cs="Arial"/>
                <w:color w:val="000000" w:themeColor="text1"/>
                <w:szCs w:val="20"/>
              </w:rPr>
              <w:t xml:space="preserve"> band</w:t>
            </w:r>
            <w:r w:rsidR="007160E5" w:rsidRPr="00EA7685">
              <w:rPr>
                <w:rFonts w:cs="Arial"/>
                <w:color w:val="000000" w:themeColor="text1"/>
                <w:szCs w:val="20"/>
              </w:rPr>
              <w:t xml:space="preserve"> (although this may already be limited due to limited available spectrum and adjacency to existing licences)</w:t>
            </w:r>
            <w:r w:rsidR="00ED2AC4" w:rsidRPr="00EA7685">
              <w:rPr>
                <w:rFonts w:cs="Arial"/>
                <w:color w:val="000000" w:themeColor="text1"/>
                <w:szCs w:val="20"/>
              </w:rPr>
              <w:t>.</w:t>
            </w:r>
          </w:p>
          <w:p w14:paraId="3C2D7AE0" w14:textId="77777777" w:rsidR="00B403E1" w:rsidRPr="00A73255" w:rsidRDefault="00B403E1" w:rsidP="00A73255">
            <w:pPr>
              <w:spacing w:after="0" w:line="240" w:lineRule="auto"/>
              <w:rPr>
                <w:rFonts w:cs="Arial"/>
                <w:color w:val="000000" w:themeColor="text1"/>
                <w:szCs w:val="20"/>
              </w:rPr>
            </w:pPr>
          </w:p>
          <w:p w14:paraId="6242509D" w14:textId="5A1B46EC" w:rsidR="007160E5" w:rsidRPr="00A73255" w:rsidRDefault="00A1146E" w:rsidP="00A73255">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sidR="00845DA2" w:rsidRPr="00A73255" w:rsidDel="00B200DD">
              <w:rPr>
                <w:rFonts w:cs="Arial"/>
                <w:color w:val="000000" w:themeColor="text1"/>
                <w:szCs w:val="20"/>
              </w:rPr>
              <w:t xml:space="preserve"> </w:t>
            </w:r>
            <w:r w:rsidR="0005392E">
              <w:rPr>
                <w:rFonts w:cs="Arial"/>
                <w:color w:val="000000" w:themeColor="text1"/>
                <w:szCs w:val="20"/>
              </w:rPr>
              <w:t xml:space="preserve">Compared to Option 1, Option 2 is more likely to encourage </w:t>
            </w:r>
            <w:r w:rsidRPr="00A73255">
              <w:rPr>
                <w:rFonts w:cs="Arial"/>
                <w:color w:val="000000" w:themeColor="text1"/>
                <w:szCs w:val="20"/>
              </w:rPr>
              <w:t xml:space="preserve">new </w:t>
            </w:r>
            <w:r>
              <w:rPr>
                <w:rFonts w:cs="Arial"/>
                <w:color w:val="000000" w:themeColor="text1"/>
                <w:szCs w:val="20"/>
              </w:rPr>
              <w:t>entrants</w:t>
            </w:r>
            <w:r w:rsidR="00845DA2" w:rsidRPr="00A73255" w:rsidDel="0005392E">
              <w:rPr>
                <w:rFonts w:cs="Arial"/>
                <w:color w:val="000000" w:themeColor="text1"/>
                <w:szCs w:val="20"/>
              </w:rPr>
              <w:t xml:space="preserve"> </w:t>
            </w:r>
            <w:r w:rsidR="0005392E">
              <w:rPr>
                <w:rFonts w:cs="Arial"/>
                <w:color w:val="000000" w:themeColor="text1"/>
                <w:szCs w:val="20"/>
              </w:rPr>
              <w:t>to acquire</w:t>
            </w:r>
            <w:r w:rsidR="0005392E" w:rsidRPr="00A73255">
              <w:rPr>
                <w:rFonts w:cs="Arial"/>
                <w:color w:val="000000" w:themeColor="text1"/>
                <w:szCs w:val="20"/>
              </w:rPr>
              <w:t xml:space="preserve"> </w:t>
            </w:r>
            <w:r w:rsidR="00845DA2" w:rsidRPr="00A73255">
              <w:rPr>
                <w:rFonts w:cs="Arial"/>
                <w:color w:val="000000" w:themeColor="text1"/>
                <w:szCs w:val="20"/>
              </w:rPr>
              <w:t>3.7</w:t>
            </w:r>
            <w:r w:rsidR="00845DA2">
              <w:rPr>
                <w:rFonts w:cs="Arial"/>
                <w:color w:val="000000" w:themeColor="text1"/>
                <w:szCs w:val="20"/>
              </w:rPr>
              <w:t> </w:t>
            </w:r>
            <w:r w:rsidR="00845DA2" w:rsidRPr="00A73255">
              <w:rPr>
                <w:rFonts w:cs="Arial"/>
                <w:color w:val="000000" w:themeColor="text1"/>
                <w:szCs w:val="20"/>
              </w:rPr>
              <w:t>GHz</w:t>
            </w:r>
            <w:r w:rsidR="0005392E">
              <w:rPr>
                <w:rFonts w:cs="Arial"/>
                <w:color w:val="000000" w:themeColor="text1"/>
                <w:szCs w:val="20"/>
              </w:rPr>
              <w:t xml:space="preserve"> spectrum</w:t>
            </w:r>
            <w:r w:rsidR="00B200DD">
              <w:rPr>
                <w:rFonts w:cs="Arial"/>
                <w:color w:val="000000" w:themeColor="text1"/>
                <w:szCs w:val="20"/>
              </w:rPr>
              <w:t xml:space="preserve"> </w:t>
            </w:r>
            <w:r w:rsidR="0005392E">
              <w:rPr>
                <w:rFonts w:cs="Arial"/>
                <w:color w:val="000000" w:themeColor="text1"/>
                <w:szCs w:val="20"/>
              </w:rPr>
              <w:t xml:space="preserve">(due to the long licence term) </w:t>
            </w:r>
            <w:r w:rsidR="00B200DD">
              <w:rPr>
                <w:rFonts w:cs="Arial"/>
                <w:color w:val="000000" w:themeColor="text1"/>
                <w:szCs w:val="20"/>
              </w:rPr>
              <w:t>and therefore a larger range of users and/or use cases</w:t>
            </w:r>
            <w:r w:rsidR="00845DA2" w:rsidRPr="00A73255" w:rsidDel="00B200DD">
              <w:rPr>
                <w:rFonts w:cs="Arial"/>
                <w:color w:val="000000" w:themeColor="text1"/>
                <w:szCs w:val="20"/>
              </w:rPr>
              <w:t>.</w:t>
            </w:r>
          </w:p>
        </w:tc>
        <w:tc>
          <w:tcPr>
            <w:tcW w:w="2409" w:type="dxa"/>
          </w:tcPr>
          <w:p w14:paraId="251B8482" w14:textId="263F99A4" w:rsidR="007160E5" w:rsidRPr="00C36F3E" w:rsidRDefault="000D417F" w:rsidP="00C36F3E">
            <w:pPr>
              <w:spacing w:after="0" w:line="240" w:lineRule="auto"/>
              <w:rPr>
                <w:rFonts w:cs="Arial"/>
                <w:color w:val="000000" w:themeColor="text1"/>
                <w:szCs w:val="20"/>
              </w:rPr>
            </w:pPr>
            <w:r>
              <w:rPr>
                <w:rFonts w:ascii="Wingdings" w:eastAsia="Wingdings" w:hAnsi="Wingdings" w:cs="Wingdings"/>
                <w:color w:val="000000" w:themeColor="text1"/>
                <w:szCs w:val="20"/>
              </w:rPr>
              <w:t></w:t>
            </w:r>
            <w:r>
              <w:rPr>
                <w:rFonts w:ascii="Wingdings 2" w:eastAsia="Wingdings 2" w:hAnsi="Wingdings 2" w:cs="Wingdings 2"/>
                <w:color w:val="000000" w:themeColor="text1"/>
                <w:szCs w:val="20"/>
              </w:rPr>
              <w:t></w:t>
            </w:r>
            <w:r w:rsidR="00A1146E">
              <w:rPr>
                <w:rFonts w:cs="Arial"/>
                <w:color w:val="000000" w:themeColor="text1"/>
                <w:szCs w:val="20"/>
              </w:rPr>
              <w:t>Long</w:t>
            </w:r>
            <w:r w:rsidR="0005392E">
              <w:rPr>
                <w:rFonts w:cs="Arial"/>
                <w:color w:val="000000" w:themeColor="text1"/>
                <w:szCs w:val="20"/>
              </w:rPr>
              <w:t xml:space="preserve"> licence terms m</w:t>
            </w:r>
            <w:r w:rsidR="00845DA2" w:rsidRPr="00C36F3E">
              <w:rPr>
                <w:rFonts w:cs="Arial"/>
                <w:color w:val="000000" w:themeColor="text1"/>
                <w:szCs w:val="20"/>
              </w:rPr>
              <w:t>ay</w:t>
            </w:r>
            <w:r w:rsidR="007160E5" w:rsidRPr="00C36F3E">
              <w:rPr>
                <w:rFonts w:cs="Arial"/>
                <w:color w:val="000000" w:themeColor="text1"/>
                <w:szCs w:val="20"/>
              </w:rPr>
              <w:t xml:space="preserve"> enhance likelihood of new spectrum licensees in both 3.4 and 3.7 GHz</w:t>
            </w:r>
            <w:r w:rsidR="003155AE">
              <w:rPr>
                <w:rFonts w:cs="Arial"/>
                <w:color w:val="000000" w:themeColor="text1"/>
                <w:szCs w:val="20"/>
              </w:rPr>
              <w:t xml:space="preserve"> bands</w:t>
            </w:r>
            <w:r w:rsidR="007160E5" w:rsidRPr="00C36F3E">
              <w:rPr>
                <w:rFonts w:cs="Arial"/>
                <w:color w:val="000000" w:themeColor="text1"/>
                <w:szCs w:val="20"/>
              </w:rPr>
              <w:t>. However, interest in</w:t>
            </w:r>
            <w:r w:rsidR="003155AE">
              <w:rPr>
                <w:rFonts w:cs="Arial"/>
                <w:color w:val="000000" w:themeColor="text1"/>
                <w:szCs w:val="20"/>
              </w:rPr>
              <w:t xml:space="preserve"> the</w:t>
            </w:r>
            <w:r w:rsidR="007160E5" w:rsidRPr="00C36F3E">
              <w:rPr>
                <w:rFonts w:cs="Arial"/>
                <w:color w:val="000000" w:themeColor="text1"/>
                <w:szCs w:val="20"/>
              </w:rPr>
              <w:t xml:space="preserve"> 3.4 GHz</w:t>
            </w:r>
            <w:r w:rsidR="003155AE">
              <w:rPr>
                <w:rFonts w:cs="Arial"/>
                <w:color w:val="000000" w:themeColor="text1"/>
                <w:szCs w:val="20"/>
              </w:rPr>
              <w:t xml:space="preserve"> band</w:t>
            </w:r>
            <w:r w:rsidR="007160E5" w:rsidRPr="00C36F3E">
              <w:rPr>
                <w:rFonts w:cs="Arial"/>
                <w:color w:val="000000" w:themeColor="text1"/>
                <w:szCs w:val="20"/>
              </w:rPr>
              <w:t xml:space="preserve"> may already be constrained due to available quantum and </w:t>
            </w:r>
            <w:r w:rsidR="00845DA2" w:rsidRPr="00C36F3E">
              <w:rPr>
                <w:rFonts w:cs="Arial"/>
                <w:color w:val="000000" w:themeColor="text1"/>
                <w:szCs w:val="20"/>
              </w:rPr>
              <w:t>adjacency to existing licences</w:t>
            </w:r>
            <w:r w:rsidR="00845DA2">
              <w:rPr>
                <w:rFonts w:cs="Arial"/>
                <w:color w:val="000000" w:themeColor="text1"/>
                <w:szCs w:val="20"/>
              </w:rPr>
              <w:t>.</w:t>
            </w:r>
          </w:p>
        </w:tc>
      </w:tr>
      <w:tr w:rsidR="007160E5" w:rsidRPr="0050747F" w14:paraId="638DE6BD" w14:textId="77777777" w:rsidTr="000A5465">
        <w:trPr>
          <w:cnfStyle w:val="000000100000" w:firstRow="0" w:lastRow="0" w:firstColumn="0" w:lastColumn="0" w:oddVBand="0" w:evenVBand="0" w:oddHBand="1" w:evenHBand="0" w:firstRowFirstColumn="0" w:firstRowLastColumn="0" w:lastRowFirstColumn="0" w:lastRowLastColumn="0"/>
        </w:trPr>
        <w:tc>
          <w:tcPr>
            <w:tcW w:w="1395" w:type="dxa"/>
          </w:tcPr>
          <w:p w14:paraId="689F8519" w14:textId="090BFF7A" w:rsidR="007160E5" w:rsidRPr="000A5465" w:rsidRDefault="00A1146E" w:rsidP="00A8477B">
            <w:pPr>
              <w:rPr>
                <w:rFonts w:cs="Arial"/>
                <w:b/>
                <w:bCs/>
                <w:color w:val="000000" w:themeColor="text1"/>
                <w:szCs w:val="20"/>
              </w:rPr>
            </w:pPr>
            <w:r w:rsidRPr="000A5465">
              <w:rPr>
                <w:rFonts w:cs="Arial"/>
                <w:b/>
                <w:bCs/>
                <w:color w:val="000000" w:themeColor="text1"/>
                <w:szCs w:val="20"/>
              </w:rPr>
              <w:t xml:space="preserve">Support regional </w:t>
            </w:r>
            <w:r w:rsidR="007160E5" w:rsidRPr="000A5465">
              <w:rPr>
                <w:rFonts w:cs="Arial"/>
                <w:b/>
                <w:bCs/>
                <w:color w:val="000000" w:themeColor="text1"/>
                <w:szCs w:val="20"/>
              </w:rPr>
              <w:t>connectivity and investment in regional Australia</w:t>
            </w:r>
          </w:p>
        </w:tc>
        <w:tc>
          <w:tcPr>
            <w:tcW w:w="2569" w:type="dxa"/>
          </w:tcPr>
          <w:p w14:paraId="4AC20040" w14:textId="13B01A16" w:rsidR="007160E5" w:rsidRPr="0082422D" w:rsidRDefault="00FC1E85" w:rsidP="0082422D">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7160E5" w:rsidRPr="0082422D">
              <w:rPr>
                <w:rFonts w:cs="Arial"/>
                <w:color w:val="000000" w:themeColor="text1"/>
                <w:szCs w:val="20"/>
              </w:rPr>
              <w:t xml:space="preserve">Limited investment certainty may </w:t>
            </w:r>
            <w:r w:rsidR="004F5EB6">
              <w:rPr>
                <w:rFonts w:cs="Arial"/>
                <w:color w:val="000000" w:themeColor="text1"/>
                <w:szCs w:val="20"/>
              </w:rPr>
              <w:t>discourage</w:t>
            </w:r>
            <w:r w:rsidR="004F5EB6" w:rsidRPr="0082422D">
              <w:rPr>
                <w:rFonts w:cs="Arial"/>
                <w:color w:val="000000" w:themeColor="text1"/>
                <w:szCs w:val="20"/>
              </w:rPr>
              <w:t xml:space="preserve"> </w:t>
            </w:r>
            <w:r w:rsidR="00A1146E">
              <w:rPr>
                <w:rFonts w:cs="Arial"/>
                <w:color w:val="000000" w:themeColor="text1"/>
                <w:szCs w:val="20"/>
              </w:rPr>
              <w:t>bidders</w:t>
            </w:r>
            <w:r w:rsidR="004F5EB6">
              <w:rPr>
                <w:rFonts w:cs="Arial"/>
                <w:color w:val="000000" w:themeColor="text1"/>
                <w:szCs w:val="20"/>
              </w:rPr>
              <w:t xml:space="preserve"> from acquiring spectrum in regional areas in the short-term, particularly in the 3.7 GHz band</w:t>
            </w:r>
            <w:r w:rsidR="0082422D" w:rsidRPr="0082422D">
              <w:rPr>
                <w:rFonts w:cs="Arial"/>
                <w:color w:val="000000" w:themeColor="text1"/>
                <w:szCs w:val="20"/>
              </w:rPr>
              <w:t>.</w:t>
            </w:r>
          </w:p>
          <w:p w14:paraId="6A9216D5" w14:textId="77777777" w:rsidR="004F5EB6" w:rsidRDefault="004F5EB6" w:rsidP="0082422D">
            <w:pPr>
              <w:spacing w:after="0" w:line="240" w:lineRule="auto"/>
              <w:rPr>
                <w:rFonts w:cs="Arial"/>
                <w:color w:val="000000" w:themeColor="text1"/>
                <w:szCs w:val="20"/>
              </w:rPr>
            </w:pPr>
          </w:p>
          <w:p w14:paraId="0F906DDF" w14:textId="1D730D54" w:rsidR="007160E5" w:rsidRPr="0050747F" w:rsidRDefault="004F5EB6" w:rsidP="00A8477B">
            <w:pPr>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However, a uniform licence term in the 3.4</w:t>
            </w:r>
            <w:r w:rsidR="00150227">
              <w:rPr>
                <w:rFonts w:cs="Arial"/>
                <w:color w:val="000000" w:themeColor="text1"/>
                <w:szCs w:val="20"/>
              </w:rPr>
              <w:t>–</w:t>
            </w:r>
            <w:r>
              <w:rPr>
                <w:rFonts w:cs="Arial"/>
                <w:color w:val="000000" w:themeColor="text1"/>
                <w:szCs w:val="20"/>
              </w:rPr>
              <w:t xml:space="preserve">3.7 GHz frequency range may encourage existing licensees to acquire the regional spectrum in </w:t>
            </w:r>
            <w:r w:rsidR="00176F23">
              <w:rPr>
                <w:rFonts w:cs="Arial"/>
                <w:color w:val="000000" w:themeColor="text1"/>
                <w:szCs w:val="20"/>
              </w:rPr>
              <w:t xml:space="preserve">the </w:t>
            </w:r>
            <w:r>
              <w:rPr>
                <w:rFonts w:cs="Arial"/>
                <w:color w:val="000000" w:themeColor="text1"/>
                <w:szCs w:val="20"/>
              </w:rPr>
              <w:t>3.4 GHz band.</w:t>
            </w:r>
          </w:p>
        </w:tc>
        <w:tc>
          <w:tcPr>
            <w:tcW w:w="2694" w:type="dxa"/>
          </w:tcPr>
          <w:p w14:paraId="32D3B697" w14:textId="369DA8AC" w:rsidR="007160E5" w:rsidRPr="00A73255" w:rsidRDefault="004F5EB6" w:rsidP="00A73255">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A1146E">
              <w:rPr>
                <w:rFonts w:cs="Arial"/>
                <w:color w:val="000000" w:themeColor="text1"/>
                <w:szCs w:val="20"/>
              </w:rPr>
              <w:t>Compared</w:t>
            </w:r>
            <w:r>
              <w:rPr>
                <w:rFonts w:cs="Arial"/>
                <w:color w:val="000000" w:themeColor="text1"/>
                <w:szCs w:val="20"/>
              </w:rPr>
              <w:t xml:space="preserve"> to Option 1, l</w:t>
            </w:r>
            <w:r w:rsidR="00845DA2" w:rsidRPr="00A73255">
              <w:rPr>
                <w:rFonts w:cs="Arial"/>
                <w:color w:val="000000" w:themeColor="text1"/>
                <w:szCs w:val="20"/>
              </w:rPr>
              <w:t>onger</w:t>
            </w:r>
            <w:r w:rsidR="007160E5" w:rsidRPr="00A73255">
              <w:rPr>
                <w:rFonts w:cs="Arial"/>
                <w:color w:val="000000" w:themeColor="text1"/>
                <w:szCs w:val="20"/>
              </w:rPr>
              <w:t xml:space="preserve"> licence </w:t>
            </w:r>
            <w:r w:rsidR="00176F23">
              <w:rPr>
                <w:rFonts w:cs="Arial"/>
                <w:color w:val="000000" w:themeColor="text1"/>
                <w:szCs w:val="20"/>
              </w:rPr>
              <w:t>term</w:t>
            </w:r>
            <w:r w:rsidR="00176F23" w:rsidRPr="00A73255">
              <w:rPr>
                <w:rFonts w:cs="Arial"/>
                <w:color w:val="000000" w:themeColor="text1"/>
                <w:szCs w:val="20"/>
              </w:rPr>
              <w:t xml:space="preserve"> </w:t>
            </w:r>
            <w:r w:rsidR="007160E5" w:rsidRPr="00A73255">
              <w:rPr>
                <w:rFonts w:cs="Arial"/>
                <w:color w:val="000000" w:themeColor="text1"/>
                <w:szCs w:val="20"/>
              </w:rPr>
              <w:t>in 3.7</w:t>
            </w:r>
            <w:r w:rsidR="00A73255">
              <w:rPr>
                <w:rFonts w:cs="Arial"/>
                <w:color w:val="000000" w:themeColor="text1"/>
                <w:szCs w:val="20"/>
              </w:rPr>
              <w:t> </w:t>
            </w:r>
            <w:r w:rsidR="007160E5" w:rsidRPr="00A73255">
              <w:rPr>
                <w:rFonts w:cs="Arial"/>
                <w:color w:val="000000" w:themeColor="text1"/>
                <w:szCs w:val="20"/>
              </w:rPr>
              <w:t>GHz may enhance likelihood of regional investment through providing investment certainty</w:t>
            </w:r>
            <w:r w:rsidR="00860C0C">
              <w:rPr>
                <w:rFonts w:cs="Arial"/>
                <w:color w:val="000000" w:themeColor="text1"/>
                <w:szCs w:val="20"/>
              </w:rPr>
              <w:t>.</w:t>
            </w:r>
          </w:p>
          <w:p w14:paraId="4EF28DD0" w14:textId="77777777" w:rsidR="004F5EB6" w:rsidRPr="00A73255" w:rsidRDefault="004F5EB6" w:rsidP="00A73255">
            <w:pPr>
              <w:spacing w:after="0" w:line="240" w:lineRule="auto"/>
              <w:rPr>
                <w:rFonts w:cs="Arial"/>
                <w:color w:val="000000" w:themeColor="text1"/>
                <w:szCs w:val="20"/>
              </w:rPr>
            </w:pPr>
          </w:p>
          <w:p w14:paraId="7F1089A1" w14:textId="0B51857D" w:rsidR="007160E5" w:rsidRPr="00A73255" w:rsidRDefault="007160E5" w:rsidP="00A73255">
            <w:pPr>
              <w:spacing w:after="0" w:line="240" w:lineRule="auto"/>
              <w:rPr>
                <w:rFonts w:cs="Arial"/>
                <w:color w:val="000000" w:themeColor="text1"/>
                <w:szCs w:val="20"/>
              </w:rPr>
            </w:pPr>
          </w:p>
        </w:tc>
        <w:tc>
          <w:tcPr>
            <w:tcW w:w="2409" w:type="dxa"/>
          </w:tcPr>
          <w:p w14:paraId="387CF055" w14:textId="17073870" w:rsidR="007160E5" w:rsidRPr="00C71757" w:rsidRDefault="004F5EB6" w:rsidP="00C71757">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7160E5" w:rsidRPr="00C71757">
              <w:rPr>
                <w:rFonts w:cs="Arial"/>
                <w:color w:val="000000" w:themeColor="text1"/>
                <w:szCs w:val="20"/>
              </w:rPr>
              <w:t xml:space="preserve">Longer licence duration in </w:t>
            </w:r>
            <w:r w:rsidR="003155AE">
              <w:rPr>
                <w:rFonts w:cs="Arial"/>
                <w:color w:val="000000" w:themeColor="text1"/>
                <w:szCs w:val="20"/>
              </w:rPr>
              <w:t xml:space="preserve">the </w:t>
            </w:r>
            <w:r w:rsidR="007160E5" w:rsidRPr="00C71757">
              <w:rPr>
                <w:rFonts w:cs="Arial"/>
                <w:color w:val="000000" w:themeColor="text1"/>
                <w:szCs w:val="20"/>
              </w:rPr>
              <w:t xml:space="preserve">3.7 GHz </w:t>
            </w:r>
            <w:r w:rsidR="003155AE">
              <w:rPr>
                <w:rFonts w:cs="Arial"/>
                <w:color w:val="000000" w:themeColor="text1"/>
                <w:szCs w:val="20"/>
              </w:rPr>
              <w:t xml:space="preserve">band </w:t>
            </w:r>
            <w:r w:rsidR="007160E5" w:rsidRPr="00C71757">
              <w:rPr>
                <w:rFonts w:cs="Arial"/>
                <w:color w:val="000000" w:themeColor="text1"/>
                <w:szCs w:val="20"/>
              </w:rPr>
              <w:t xml:space="preserve">may enhance likelihood of regional investment, especially for new entrants. </w:t>
            </w:r>
          </w:p>
          <w:p w14:paraId="4850C487" w14:textId="77777777" w:rsidR="004F5EB6" w:rsidRPr="00C71757" w:rsidRDefault="004F5EB6" w:rsidP="00C71757">
            <w:pPr>
              <w:spacing w:after="0" w:line="240" w:lineRule="auto"/>
              <w:rPr>
                <w:rFonts w:cs="Arial"/>
                <w:color w:val="000000" w:themeColor="text1"/>
                <w:szCs w:val="20"/>
              </w:rPr>
            </w:pPr>
          </w:p>
          <w:p w14:paraId="64992E30" w14:textId="777ECB77" w:rsidR="007160E5" w:rsidRPr="0050747F" w:rsidRDefault="004F5EB6" w:rsidP="00B65FA2">
            <w:pPr>
              <w:spacing w:after="0" w:line="240" w:lineRule="auto"/>
              <w:rPr>
                <w:rFonts w:cs="Arial"/>
                <w:color w:val="000000" w:themeColor="text1"/>
                <w:szCs w:val="20"/>
              </w:rPr>
            </w:pPr>
            <w:r>
              <w:rPr>
                <w:rFonts w:ascii="Wingdings 2" w:eastAsia="Wingdings 2" w:hAnsi="Wingdings 2" w:cs="Wingdings 2"/>
                <w:color w:val="000000" w:themeColor="text1"/>
                <w:szCs w:val="20"/>
              </w:rPr>
              <w:t></w:t>
            </w:r>
            <w:r>
              <w:rPr>
                <w:rFonts w:cs="Arial"/>
                <w:color w:val="000000" w:themeColor="text1"/>
                <w:szCs w:val="20"/>
              </w:rPr>
              <w:t xml:space="preserve"> </w:t>
            </w:r>
            <w:r w:rsidR="007160E5" w:rsidRPr="00C71757">
              <w:rPr>
                <w:rFonts w:cs="Arial"/>
                <w:color w:val="000000" w:themeColor="text1"/>
                <w:szCs w:val="20"/>
              </w:rPr>
              <w:t xml:space="preserve">Regional investment in 3.4 GHz may be limited </w:t>
            </w:r>
            <w:r w:rsidR="007A1CF4">
              <w:rPr>
                <w:rFonts w:cs="Arial"/>
                <w:color w:val="000000" w:themeColor="text1"/>
                <w:szCs w:val="20"/>
              </w:rPr>
              <w:t xml:space="preserve">by mismatch </w:t>
            </w:r>
            <w:r w:rsidR="00304DEE">
              <w:rPr>
                <w:rFonts w:cs="Arial"/>
                <w:color w:val="000000" w:themeColor="text1"/>
                <w:szCs w:val="20"/>
              </w:rPr>
              <w:t xml:space="preserve">in </w:t>
            </w:r>
            <w:r w:rsidR="00B65FA2">
              <w:rPr>
                <w:rFonts w:cs="Arial"/>
                <w:color w:val="000000" w:themeColor="text1"/>
                <w:szCs w:val="20"/>
              </w:rPr>
              <w:t xml:space="preserve">licence </w:t>
            </w:r>
            <w:r w:rsidR="00304DEE">
              <w:rPr>
                <w:rFonts w:cs="Arial"/>
                <w:color w:val="000000" w:themeColor="text1"/>
                <w:szCs w:val="20"/>
              </w:rPr>
              <w:t xml:space="preserve">expiry </w:t>
            </w:r>
            <w:r w:rsidR="00B65FA2">
              <w:rPr>
                <w:rFonts w:cs="Arial"/>
                <w:color w:val="000000" w:themeColor="text1"/>
                <w:szCs w:val="20"/>
              </w:rPr>
              <w:t>and greater difficulty to defragment holdings</w:t>
            </w:r>
            <w:r w:rsidR="007160E5" w:rsidRPr="00C71757">
              <w:rPr>
                <w:rFonts w:cs="Arial"/>
                <w:color w:val="000000" w:themeColor="text1"/>
                <w:szCs w:val="20"/>
              </w:rPr>
              <w:t>.</w:t>
            </w:r>
          </w:p>
        </w:tc>
      </w:tr>
      <w:tr w:rsidR="007160E5" w:rsidRPr="0050747F" w14:paraId="7EF983CF" w14:textId="77777777" w:rsidTr="000A5465">
        <w:trPr>
          <w:cnfStyle w:val="000000010000" w:firstRow="0" w:lastRow="0" w:firstColumn="0" w:lastColumn="0" w:oddVBand="0" w:evenVBand="0" w:oddHBand="0" w:evenHBand="1" w:firstRowFirstColumn="0" w:firstRowLastColumn="0" w:lastRowFirstColumn="0" w:lastRowLastColumn="0"/>
        </w:trPr>
        <w:tc>
          <w:tcPr>
            <w:tcW w:w="1395" w:type="dxa"/>
          </w:tcPr>
          <w:p w14:paraId="205289F4" w14:textId="42813EDA" w:rsidR="007160E5" w:rsidRPr="000A5465" w:rsidRDefault="006E1E3F" w:rsidP="00A8477B">
            <w:pPr>
              <w:rPr>
                <w:rFonts w:cs="Arial"/>
                <w:b/>
                <w:bCs/>
                <w:color w:val="000000" w:themeColor="text1"/>
                <w:szCs w:val="20"/>
              </w:rPr>
            </w:pPr>
            <w:r w:rsidRPr="000A5465">
              <w:rPr>
                <w:rFonts w:cs="Arial"/>
                <w:b/>
                <w:bCs/>
                <w:color w:val="000000" w:themeColor="text1"/>
                <w:szCs w:val="20"/>
              </w:rPr>
              <w:t>Promote c</w:t>
            </w:r>
            <w:r w:rsidR="007160E5" w:rsidRPr="000A5465">
              <w:rPr>
                <w:rFonts w:cs="Arial"/>
                <w:b/>
                <w:bCs/>
                <w:color w:val="000000" w:themeColor="text1"/>
                <w:szCs w:val="20"/>
              </w:rPr>
              <w:t>ompetitive markets</w:t>
            </w:r>
          </w:p>
        </w:tc>
        <w:tc>
          <w:tcPr>
            <w:tcW w:w="7672" w:type="dxa"/>
            <w:gridSpan w:val="3"/>
          </w:tcPr>
          <w:p w14:paraId="0567ECF1" w14:textId="2707B8F7" w:rsidR="007160E5" w:rsidRPr="007C187A" w:rsidRDefault="00966142" w:rsidP="007C187A">
            <w:pPr>
              <w:spacing w:after="0" w:line="240" w:lineRule="auto"/>
              <w:rPr>
                <w:rFonts w:cs="Arial"/>
                <w:color w:val="000000" w:themeColor="text1"/>
                <w:szCs w:val="20"/>
              </w:rPr>
            </w:pPr>
            <w:r>
              <w:rPr>
                <w:rFonts w:cs="Arial"/>
                <w:color w:val="000000" w:themeColor="text1"/>
                <w:szCs w:val="20"/>
              </w:rPr>
              <w:t>We consider this objective is primarily met through other auction policy settings, such as the allocation limits.</w:t>
            </w:r>
          </w:p>
        </w:tc>
      </w:tr>
    </w:tbl>
    <w:p w14:paraId="55079597" w14:textId="3F38125D" w:rsidR="000D417F" w:rsidRPr="00025AFF" w:rsidRDefault="000D417F" w:rsidP="00C331E0">
      <w:pPr>
        <w:pStyle w:val="Heading4"/>
        <w:keepNext/>
        <w:rPr>
          <w:b w:val="0"/>
          <w:bCs/>
        </w:rPr>
      </w:pPr>
      <w:r>
        <w:rPr>
          <w:b w:val="0"/>
          <w:bCs/>
        </w:rPr>
        <w:lastRenderedPageBreak/>
        <w:t xml:space="preserve">Note: </w:t>
      </w:r>
      <w:r>
        <w:rPr>
          <w:rFonts w:ascii="Wingdings" w:eastAsia="Wingdings" w:hAnsi="Wingdings" w:cs="Wingdings"/>
          <w:b w:val="0"/>
        </w:rPr>
        <w:t></w:t>
      </w:r>
      <w:r>
        <w:rPr>
          <w:b w:val="0"/>
          <w:bCs/>
        </w:rPr>
        <w:t xml:space="preserve"> symbol represents neutral </w:t>
      </w:r>
      <w:r w:rsidR="00AE73EA">
        <w:rPr>
          <w:b w:val="0"/>
          <w:bCs/>
        </w:rPr>
        <w:t>impact</w:t>
      </w:r>
      <w:r>
        <w:rPr>
          <w:b w:val="0"/>
          <w:bCs/>
        </w:rPr>
        <w:t xml:space="preserve">. </w:t>
      </w:r>
    </w:p>
    <w:p w14:paraId="3A30F1FC" w14:textId="4F74F5D4" w:rsidR="00B75755" w:rsidRDefault="00C73645" w:rsidP="00025AFF">
      <w:pPr>
        <w:pStyle w:val="Heading4"/>
        <w:keepNext/>
      </w:pPr>
      <w:r>
        <w:t>Licence commencement</w:t>
      </w:r>
    </w:p>
    <w:p w14:paraId="4DF3F82D" w14:textId="609A6E3E" w:rsidR="0006054F" w:rsidRDefault="005E784F" w:rsidP="00025AFF">
      <w:r>
        <w:t>T</w:t>
      </w:r>
      <w:r w:rsidR="009B5016">
        <w:t>he ACMA’s preliminary view is that 3.4/3.7 GHz spectrum licences</w:t>
      </w:r>
      <w:r w:rsidR="00216E53">
        <w:t xml:space="preserve"> </w:t>
      </w:r>
      <w:r w:rsidR="00610014">
        <w:t>should commence</w:t>
      </w:r>
      <w:r w:rsidR="009B5016">
        <w:t xml:space="preserve"> shortly after the auction</w:t>
      </w:r>
      <w:r w:rsidR="00216E53">
        <w:t xml:space="preserve"> concludes</w:t>
      </w:r>
      <w:r w:rsidR="009B5016">
        <w:t>.</w:t>
      </w:r>
      <w:r w:rsidR="007D3D5F">
        <w:t xml:space="preserve"> </w:t>
      </w:r>
      <w:r w:rsidR="003B36C1">
        <w:t xml:space="preserve">Stakeholders </w:t>
      </w:r>
      <w:r w:rsidR="002555B1">
        <w:t>have</w:t>
      </w:r>
      <w:r w:rsidR="003B36C1">
        <w:t xml:space="preserve"> supported this approach</w:t>
      </w:r>
      <w:r w:rsidR="002555B1">
        <w:t xml:space="preserve"> throughout the ACMA’s </w:t>
      </w:r>
      <w:r w:rsidR="007C70D4">
        <w:t>consultations.</w:t>
      </w:r>
    </w:p>
    <w:p w14:paraId="071BD528" w14:textId="594947C8" w:rsidR="009A5A6A" w:rsidRDefault="00CD0012" w:rsidP="00025AFF">
      <w:r>
        <w:t>In the 3.</w:t>
      </w:r>
      <w:r w:rsidR="00471DA9">
        <w:t>4</w:t>
      </w:r>
      <w:r>
        <w:t xml:space="preserve"> GHz band, </w:t>
      </w:r>
      <w:r w:rsidR="002F35F2">
        <w:t xml:space="preserve">we propose </w:t>
      </w:r>
      <w:r w:rsidR="009701D7">
        <w:t>that</w:t>
      </w:r>
      <w:r w:rsidR="002F35F2">
        <w:t xml:space="preserve"> </w:t>
      </w:r>
      <w:r w:rsidR="00471DA9">
        <w:t>licences expire on 13 December 2030</w:t>
      </w:r>
      <w:r w:rsidR="00E4034F">
        <w:t xml:space="preserve"> to align with existing 3.4 GHz licences.</w:t>
      </w:r>
      <w:r w:rsidR="00AC5713">
        <w:t xml:space="preserve"> </w:t>
      </w:r>
      <w:r w:rsidR="00A464AC">
        <w:t>Given there is a common expiry date</w:t>
      </w:r>
      <w:r w:rsidR="00AC5713">
        <w:t xml:space="preserve">, </w:t>
      </w:r>
      <w:r w:rsidR="00A464AC">
        <w:t>licences may commence as soon as the licensee pays the spectrum access charge</w:t>
      </w:r>
      <w:r w:rsidR="007C2BBA">
        <w:t>.</w:t>
      </w:r>
      <w:r w:rsidR="00E4034F">
        <w:t xml:space="preserve"> In the 3.7 GHz band, </w:t>
      </w:r>
      <w:r w:rsidR="007C2BBA">
        <w:t xml:space="preserve">in order to achieve a common expiry date, we must set a common </w:t>
      </w:r>
      <w:r w:rsidR="00D83768">
        <w:t xml:space="preserve">commencement date for the 20-year licence term. </w:t>
      </w:r>
      <w:r w:rsidR="005A6C79">
        <w:t xml:space="preserve">To allow sufficient time for </w:t>
      </w:r>
      <w:r w:rsidR="00B54298">
        <w:t xml:space="preserve">invoice payment and </w:t>
      </w:r>
      <w:r w:rsidR="005A6C79">
        <w:t>licence issue</w:t>
      </w:r>
      <w:r w:rsidR="00B54298">
        <w:t xml:space="preserve">, we propose to set a common commencement date of </w:t>
      </w:r>
      <w:r w:rsidR="00225000">
        <w:br/>
      </w:r>
      <w:r w:rsidR="00B54298">
        <w:t>8 weeks after the publication of the auction results</w:t>
      </w:r>
      <w:r w:rsidR="009B1524">
        <w:t xml:space="preserve"> for licences issued before that time</w:t>
      </w:r>
      <w:r w:rsidR="00B54298">
        <w:t>.</w:t>
      </w:r>
      <w:r w:rsidR="009B1524">
        <w:t xml:space="preserve"> In the unlikely event </w:t>
      </w:r>
      <w:r w:rsidR="00176F23" w:rsidRPr="00176F23">
        <w:t>any licence is issued after that time, the licence will commence on the day it is issued, and run for less than 20 years to ensure it shares the common expiry date with licences issued before that time.</w:t>
      </w:r>
    </w:p>
    <w:p w14:paraId="4D23316E" w14:textId="77777777" w:rsidR="00703C90" w:rsidRDefault="00703C90" w:rsidP="00944835">
      <w:pPr>
        <w:pStyle w:val="Issueforcomment"/>
        <w:spacing w:before="20"/>
      </w:pPr>
      <w:r>
        <w:t>Licence commencement and duration: we seek comments on our preliminary views that:</w:t>
      </w:r>
    </w:p>
    <w:p w14:paraId="5A2C1AA2" w14:textId="60915B22" w:rsidR="00703C90" w:rsidRDefault="00703C90" w:rsidP="00025AFF">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3.4 GHz licences will commence as soon as </w:t>
      </w:r>
      <w:r w:rsidR="007D1BFF">
        <w:t xml:space="preserve">possible after </w:t>
      </w:r>
      <w:r>
        <w:t>a winning bidder pays its spectrum access charge. The expiry date will be 13 December 2030 (approximately 7 years), to align with existing 3.4 GHz band licences.</w:t>
      </w:r>
    </w:p>
    <w:p w14:paraId="6906923D" w14:textId="09465D17" w:rsidR="00703C90" w:rsidRDefault="007D1BFF" w:rsidP="00025AFF">
      <w:pPr>
        <w:pStyle w:val="Bulletlevel1las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Subject to the payment of the spectrum access charge, </w:t>
      </w:r>
      <w:r w:rsidR="00703C90">
        <w:t>3.7 GHz licences will commence 8 weeks after publication of the auction results for a term of 20 years, the maximum allowable under subsection 65(3) of the Act.</w:t>
      </w:r>
    </w:p>
    <w:p w14:paraId="5EF4F0B3" w14:textId="57739373" w:rsidR="005C5358" w:rsidRPr="0027457F" w:rsidRDefault="005C5358" w:rsidP="00250C38">
      <w:pPr>
        <w:pStyle w:val="Heading3"/>
      </w:pPr>
      <w:bookmarkStart w:id="27" w:name="_Toc69744461"/>
      <w:bookmarkStart w:id="28" w:name="_Toc69301122"/>
      <w:r w:rsidRPr="0027457F">
        <w:t>Licence renewals</w:t>
      </w:r>
      <w:bookmarkEnd w:id="27"/>
      <w:r w:rsidRPr="0027457F">
        <w:t xml:space="preserve"> </w:t>
      </w:r>
    </w:p>
    <w:p w14:paraId="54A21707" w14:textId="595CAE04" w:rsidR="005C5358" w:rsidRDefault="00F20072" w:rsidP="00944835">
      <w:pPr>
        <w:pStyle w:val="Paragraph"/>
      </w:pPr>
      <w:r>
        <w:t xml:space="preserve">Section 65A of the Act </w:t>
      </w:r>
      <w:r w:rsidR="00256BF6">
        <w:t xml:space="preserve">sets out </w:t>
      </w:r>
      <w:r w:rsidR="00AD12A3">
        <w:t xml:space="preserve">the </w:t>
      </w:r>
      <w:r w:rsidR="00256BF6">
        <w:t xml:space="preserve">requirements for spectrum licences </w:t>
      </w:r>
      <w:r w:rsidR="00AD12A3">
        <w:t xml:space="preserve">to contain </w:t>
      </w:r>
      <w:r w:rsidR="00176F23">
        <w:t xml:space="preserve">statements </w:t>
      </w:r>
      <w:r w:rsidR="00AD12A3">
        <w:t>regarding</w:t>
      </w:r>
      <w:r w:rsidR="00F43627">
        <w:t xml:space="preserve"> renewal arrangements, such as a renewal statement, </w:t>
      </w:r>
      <w:r w:rsidR="00AD12A3">
        <w:t>renewal application period</w:t>
      </w:r>
      <w:r w:rsidR="00176F23">
        <w:t xml:space="preserve"> statement</w:t>
      </w:r>
      <w:r w:rsidR="00AD12A3">
        <w:t xml:space="preserve">, </w:t>
      </w:r>
      <w:r w:rsidR="00FF7E68">
        <w:t>renewal decision-making period</w:t>
      </w:r>
      <w:r w:rsidR="00176F23">
        <w:t xml:space="preserve"> statement</w:t>
      </w:r>
      <w:r w:rsidR="00FF7E68">
        <w:t xml:space="preserve"> and public interest statement. </w:t>
      </w:r>
      <w:r w:rsidR="00F64201">
        <w:t>This section outlines our preliminary views on these matters for spectrum licences issued for the 3.4/3.7 GHz bands.</w:t>
      </w:r>
    </w:p>
    <w:p w14:paraId="36A20BE8" w14:textId="77777777" w:rsidR="00A2102B" w:rsidRDefault="00A2102B" w:rsidP="00944835">
      <w:pPr>
        <w:pStyle w:val="Paragraph"/>
        <w:spacing w:after="80"/>
      </w:pPr>
      <w:r>
        <w:t>We have taken the following</w:t>
      </w:r>
      <w:r w:rsidR="00523B20">
        <w:t xml:space="preserve"> general approach</w:t>
      </w:r>
      <w:r>
        <w:t>:</w:t>
      </w:r>
    </w:p>
    <w:p w14:paraId="0FEB7EDB" w14:textId="17358022" w:rsidR="00523B20" w:rsidRDefault="4A98EB1B" w:rsidP="00944835">
      <w:pPr>
        <w:pStyle w:val="Bulletlevel1"/>
      </w:pPr>
      <w:r>
        <w:t>3</w:t>
      </w:r>
      <w:r w:rsidR="26AFF4CB">
        <w:t xml:space="preserve">.4 GHz </w:t>
      </w:r>
      <w:r>
        <w:t xml:space="preserve">spectrum licences </w:t>
      </w:r>
      <w:r w:rsidR="00C5153D">
        <w:t>–</w:t>
      </w:r>
      <w:r>
        <w:t xml:space="preserve"> </w:t>
      </w:r>
      <w:r w:rsidR="26AFF4CB">
        <w:t xml:space="preserve">align the renewal arrangements </w:t>
      </w:r>
      <w:r w:rsidR="2B7D502D">
        <w:t>with existing licences in the band</w:t>
      </w:r>
      <w:r w:rsidR="33CEDF53">
        <w:t xml:space="preserve"> to the maximum extent possible</w:t>
      </w:r>
      <w:r w:rsidR="42623A6E">
        <w:t>,</w:t>
      </w:r>
      <w:r w:rsidR="2B7D502D">
        <w:t xml:space="preserve"> to facilitate defragmentation and licence trading. </w:t>
      </w:r>
    </w:p>
    <w:p w14:paraId="0D67C1D6" w14:textId="7D4ED7A4" w:rsidR="00333498" w:rsidRDefault="4A98EB1B" w:rsidP="00944835">
      <w:pPr>
        <w:pStyle w:val="Bulletlevel1last"/>
      </w:pPr>
      <w:r>
        <w:t xml:space="preserve">3.7 GHz spectrum licences – </w:t>
      </w:r>
      <w:r w:rsidR="4268E43B">
        <w:t xml:space="preserve">follow the </w:t>
      </w:r>
      <w:r w:rsidR="53835611">
        <w:t>approach for</w:t>
      </w:r>
      <w:r w:rsidR="4268E43B">
        <w:t xml:space="preserve"> long-term spectrum licences outlined in the document, </w:t>
      </w:r>
      <w:hyperlink r:id="rId47">
        <w:r w:rsidR="4268E43B" w:rsidRPr="00025AFF">
          <w:rPr>
            <w:rStyle w:val="Hyperlink"/>
            <w:i/>
            <w:iCs/>
          </w:rPr>
          <w:t xml:space="preserve">Our approach to </w:t>
        </w:r>
        <w:r w:rsidR="28BAE177" w:rsidRPr="00025AFF">
          <w:rPr>
            <w:rStyle w:val="Hyperlink"/>
            <w:i/>
            <w:iCs/>
          </w:rPr>
          <w:t xml:space="preserve">radiocommunications licensing </w:t>
        </w:r>
        <w:r w:rsidR="00944835">
          <w:rPr>
            <w:rStyle w:val="Hyperlink"/>
            <w:i/>
            <w:iCs/>
          </w:rPr>
          <w:br/>
        </w:r>
        <w:r w:rsidR="28BAE177" w:rsidRPr="00025AFF">
          <w:rPr>
            <w:rStyle w:val="Hyperlink"/>
            <w:i/>
            <w:iCs/>
          </w:rPr>
          <w:t>and allocation</w:t>
        </w:r>
      </w:hyperlink>
      <w:r w:rsidR="28BAE177">
        <w:t>.</w:t>
      </w:r>
    </w:p>
    <w:p w14:paraId="695A3F95" w14:textId="77777777" w:rsidR="005C5358" w:rsidRDefault="005C5358" w:rsidP="00944835">
      <w:pPr>
        <w:pStyle w:val="Heading4"/>
      </w:pPr>
      <w:r>
        <w:t>Renewal statement</w:t>
      </w:r>
    </w:p>
    <w:p w14:paraId="46462161" w14:textId="7AAF0534" w:rsidR="005C5358" w:rsidRDefault="00256BF6" w:rsidP="00944835">
      <w:pPr>
        <w:pStyle w:val="Paragraphbeforelist"/>
      </w:pPr>
      <w:r>
        <w:t>A</w:t>
      </w:r>
      <w:r w:rsidR="005C5358">
        <w:t xml:space="preserve"> spectrum licence must include a renewal statement </w:t>
      </w:r>
      <w:r w:rsidR="000E4926">
        <w:t>to</w:t>
      </w:r>
      <w:r w:rsidR="005C5358">
        <w:t xml:space="preserve"> the effect that</w:t>
      </w:r>
      <w:r w:rsidR="00DD0331">
        <w:t>:</w:t>
      </w:r>
    </w:p>
    <w:p w14:paraId="0B7B4F72" w14:textId="4FC2CA91" w:rsidR="005C5358" w:rsidRDefault="51E66AA4" w:rsidP="00944835">
      <w:pPr>
        <w:pStyle w:val="Bulletlevel1"/>
      </w:pPr>
      <w:r>
        <w:t>the licence cannot be renewed</w:t>
      </w:r>
    </w:p>
    <w:p w14:paraId="14A38DA7" w14:textId="7870DD7A" w:rsidR="005C5358" w:rsidRDefault="51E66AA4" w:rsidP="00944835">
      <w:pPr>
        <w:pStyle w:val="Bulletlevel1"/>
      </w:pPr>
      <w:r>
        <w:t>the licence may be renewed at the discretion of the ACMA</w:t>
      </w:r>
    </w:p>
    <w:p w14:paraId="617DECD9" w14:textId="3A07BBA3" w:rsidR="005C5358" w:rsidRDefault="51E66AA4" w:rsidP="00944835">
      <w:pPr>
        <w:pStyle w:val="Bulletlevel1last"/>
      </w:pPr>
      <w:r>
        <w:t>the licence may be renewed at the ACMA’s discretion, so long as specified circumstances exist.</w:t>
      </w:r>
      <w:r w:rsidR="00FD13DD">
        <w:rPr>
          <w:rStyle w:val="FootnoteReference"/>
        </w:rPr>
        <w:footnoteReference w:id="7"/>
      </w:r>
    </w:p>
    <w:p w14:paraId="50BB071C" w14:textId="77777777" w:rsidR="005C5358" w:rsidRDefault="005C5358" w:rsidP="00944835">
      <w:pPr>
        <w:pStyle w:val="Heading4"/>
        <w:keepNext/>
      </w:pPr>
      <w:r>
        <w:lastRenderedPageBreak/>
        <w:t>Renewal application period statement</w:t>
      </w:r>
    </w:p>
    <w:p w14:paraId="275507E9" w14:textId="0DB11178" w:rsidR="005C5358" w:rsidRDefault="005C5358" w:rsidP="00250C38">
      <w:pPr>
        <w:pStyle w:val="Paragraph"/>
        <w:spacing w:after="80"/>
      </w:pPr>
      <w:r>
        <w:t>If a spectrum licence includes a renewal statement to the effect that it may be renewed, we must also include a renewal application period statement outlining the period during which a spectrum licensee can apply for a licence renewal.</w:t>
      </w:r>
      <w:r>
        <w:rPr>
          <w:rStyle w:val="FootnoteReference"/>
        </w:rPr>
        <w:footnoteReference w:id="8"/>
      </w:r>
      <w:r>
        <w:t xml:space="preserve"> The renewal application period for a spectrum licence must</w:t>
      </w:r>
      <w:r w:rsidR="00FA3A92">
        <w:t>:</w:t>
      </w:r>
      <w:r>
        <w:rPr>
          <w:rStyle w:val="FootnoteReference"/>
        </w:rPr>
        <w:footnoteReference w:id="9"/>
      </w:r>
    </w:p>
    <w:p w14:paraId="041D461F" w14:textId="770EB15F" w:rsidR="005C5358" w:rsidRPr="008B5783" w:rsidRDefault="51E66AA4" w:rsidP="00944835">
      <w:pPr>
        <w:pStyle w:val="Bulletlevel1"/>
      </w:pPr>
      <w:r>
        <w:t>begin at a time when the licence is in force</w:t>
      </w:r>
      <w:r w:rsidR="003155AE">
        <w:t xml:space="preserve"> and</w:t>
      </w:r>
    </w:p>
    <w:p w14:paraId="7217C9E2" w14:textId="77777777" w:rsidR="005C5358" w:rsidRPr="008B5783" w:rsidRDefault="51E66AA4" w:rsidP="00944835">
      <w:pPr>
        <w:pStyle w:val="Bulletlevel1last"/>
      </w:pPr>
      <w:r>
        <w:t>end before the licence is due to expire.</w:t>
      </w:r>
    </w:p>
    <w:p w14:paraId="7472E57C" w14:textId="581B34C3" w:rsidR="004E44FA" w:rsidRDefault="00F5764B" w:rsidP="00944835">
      <w:pPr>
        <w:pStyle w:val="ListBulletLast"/>
      </w:pPr>
      <w:r>
        <w:t>Our preliminary view is</w:t>
      </w:r>
      <w:r w:rsidR="00060ABE">
        <w:t xml:space="preserve"> that 3.4 GHz spectrum licences </w:t>
      </w:r>
      <w:r w:rsidR="00F416FF">
        <w:t xml:space="preserve">have a renewal application period </w:t>
      </w:r>
      <w:r w:rsidR="00F74C19">
        <w:t xml:space="preserve">of 13 December 2028 to 12 December 2030, that is a period of 2 years before licence expiry. </w:t>
      </w:r>
      <w:r w:rsidR="00D3165A">
        <w:t xml:space="preserve">Existing </w:t>
      </w:r>
      <w:r w:rsidR="009E525A">
        <w:t>3.4 GHz spectrum licences do not have a renewal application period</w:t>
      </w:r>
      <w:r w:rsidR="003155AE">
        <w:t xml:space="preserve"> statement</w:t>
      </w:r>
      <w:r w:rsidR="009E525A">
        <w:t xml:space="preserve">, and therefore </w:t>
      </w:r>
      <w:r w:rsidR="00914603">
        <w:t xml:space="preserve">any application </w:t>
      </w:r>
      <w:r w:rsidR="00704040">
        <w:t>for renewal must be made within the 2-year period ending when the licence is due to expire</w:t>
      </w:r>
      <w:r w:rsidR="00834E0F">
        <w:t>.</w:t>
      </w:r>
      <w:r w:rsidR="00834E0F">
        <w:rPr>
          <w:rStyle w:val="FootnoteReference"/>
        </w:rPr>
        <w:footnoteReference w:id="10"/>
      </w:r>
      <w:r w:rsidR="00193CD4">
        <w:t xml:space="preserve"> </w:t>
      </w:r>
      <w:r w:rsidR="006F0354">
        <w:t xml:space="preserve">To enable </w:t>
      </w:r>
      <w:r w:rsidR="009B0F47">
        <w:t>defragmentation and trading, we propose to align t</w:t>
      </w:r>
      <w:r w:rsidR="00E913E1">
        <w:t>he renewal application period for 3.4 GHz spectrum licences issued after the auction with existing 3.4 GHz spectrum licences.</w:t>
      </w:r>
      <w:r w:rsidR="0017343A" w:rsidRPr="0017343A">
        <w:t xml:space="preserve"> </w:t>
      </w:r>
      <w:r w:rsidR="0017343A">
        <w:t xml:space="preserve">That is, our intention is to consider whether to renew 3.4 GHz spectrum licences issued after the auction concurrently with existing 3.4 GHz spectrum licences as they come due </w:t>
      </w:r>
      <w:r w:rsidR="00944835">
        <w:br/>
      </w:r>
      <w:r w:rsidR="0017343A">
        <w:t xml:space="preserve">for expiry. </w:t>
      </w:r>
    </w:p>
    <w:p w14:paraId="1F573A67" w14:textId="5BF71A6C" w:rsidR="00FE162B" w:rsidRDefault="00F5764B" w:rsidP="00944835">
      <w:pPr>
        <w:pStyle w:val="ListBulletLast"/>
      </w:pPr>
      <w:r>
        <w:t>Our preliminary view is</w:t>
      </w:r>
      <w:r w:rsidR="00515BC0">
        <w:t xml:space="preserve"> that 3.7 GHz spectrum licences have a renewal application period of </w:t>
      </w:r>
      <w:r w:rsidR="00225000">
        <w:t>one</w:t>
      </w:r>
      <w:r w:rsidR="003155AE">
        <w:t> </w:t>
      </w:r>
      <w:r w:rsidR="00FF2075">
        <w:t xml:space="preserve">year, commencing 5 years </w:t>
      </w:r>
      <w:r w:rsidR="0081337C">
        <w:t>before licence expiry. This aligns with our general approach to long-term spectrum licences</w:t>
      </w:r>
      <w:r w:rsidR="00D54E45">
        <w:t xml:space="preserve"> and ensures</w:t>
      </w:r>
      <w:r w:rsidR="007E5421">
        <w:t xml:space="preserve"> we can begin consideration of</w:t>
      </w:r>
      <w:r w:rsidR="00D54E45">
        <w:t xml:space="preserve"> licence renewal arrangements </w:t>
      </w:r>
      <w:r w:rsidR="007E5421">
        <w:t xml:space="preserve">well before expiry to give sufficient clarity to licensees and the wider </w:t>
      </w:r>
      <w:r w:rsidR="003B4A15">
        <w:t>industry</w:t>
      </w:r>
      <w:r w:rsidR="007E5421">
        <w:t>.</w:t>
      </w:r>
      <w:r w:rsidR="00D54E45">
        <w:t xml:space="preserve"> </w:t>
      </w:r>
    </w:p>
    <w:p w14:paraId="15A8CCE7" w14:textId="77777777" w:rsidR="005C5358" w:rsidRDefault="005C5358" w:rsidP="00944835">
      <w:pPr>
        <w:pStyle w:val="Heading4"/>
        <w:keepNext/>
      </w:pPr>
      <w:r>
        <w:t>Renewal decision-making period statement</w:t>
      </w:r>
    </w:p>
    <w:p w14:paraId="07C97FAE" w14:textId="018F47E4" w:rsidR="005C5358" w:rsidRDefault="004808D0" w:rsidP="00944835">
      <w:pPr>
        <w:pStyle w:val="Paragraphbeforelist"/>
      </w:pPr>
      <w:r>
        <w:t xml:space="preserve">A </w:t>
      </w:r>
      <w:r w:rsidR="005C5358">
        <w:t xml:space="preserve">spectrum licence may also include a statement </w:t>
      </w:r>
      <w:r w:rsidR="009A21CB">
        <w:t>to the effect that a specified</w:t>
      </w:r>
      <w:r w:rsidR="005C5358">
        <w:t xml:space="preserve"> period is the ‘renewal decision-making period’ for the licence.</w:t>
      </w:r>
      <w:r w:rsidR="005C5358">
        <w:rPr>
          <w:rStyle w:val="FootnoteReference"/>
        </w:rPr>
        <w:footnoteReference w:id="11"/>
      </w:r>
      <w:r w:rsidR="005C5358">
        <w:t xml:space="preserve"> This is the time in which the ACMA decide</w:t>
      </w:r>
      <w:r w:rsidR="00802533">
        <w:t>s</w:t>
      </w:r>
      <w:r w:rsidR="005C5358">
        <w:t xml:space="preserve"> </w:t>
      </w:r>
      <w:r w:rsidR="007B1A5A">
        <w:t xml:space="preserve">whether </w:t>
      </w:r>
      <w:r w:rsidR="005C5358">
        <w:t>to renew a licence</w:t>
      </w:r>
      <w:r w:rsidR="00802533">
        <w:t>,</w:t>
      </w:r>
      <w:r w:rsidR="005C5358">
        <w:t xml:space="preserve"> after </w:t>
      </w:r>
      <w:r w:rsidR="002B398B">
        <w:t xml:space="preserve">receiving </w:t>
      </w:r>
      <w:r w:rsidR="005C5358">
        <w:t xml:space="preserve">a </w:t>
      </w:r>
      <w:r w:rsidR="002B398B">
        <w:t xml:space="preserve">licence renewal </w:t>
      </w:r>
      <w:r w:rsidR="005C5358">
        <w:t xml:space="preserve">application from </w:t>
      </w:r>
      <w:r w:rsidR="0086344C">
        <w:t>a</w:t>
      </w:r>
      <w:r w:rsidR="005C5358">
        <w:t xml:space="preserve"> licensee. If such a statement is not included in the spectrum licence</w:t>
      </w:r>
      <w:r w:rsidR="001A1AB8">
        <w:t>,</w:t>
      </w:r>
      <w:r w:rsidR="005C5358">
        <w:t xml:space="preserve"> then the renewal decision-making period is either:</w:t>
      </w:r>
    </w:p>
    <w:p w14:paraId="5833EDCE" w14:textId="51DC5F3C" w:rsidR="005C5358" w:rsidRDefault="51E66AA4" w:rsidP="00944835">
      <w:pPr>
        <w:pStyle w:val="Bulletlevel1"/>
      </w:pPr>
      <w:r>
        <w:t>6 months after receiving an application for renewal</w:t>
      </w:r>
    </w:p>
    <w:p w14:paraId="5B36EF7F" w14:textId="3746D0A0" w:rsidR="005C5358" w:rsidRDefault="51E66AA4" w:rsidP="00944835">
      <w:pPr>
        <w:pStyle w:val="Bulletlevel1last"/>
      </w:pPr>
      <w:r>
        <w:t>if the ACMA has issued a notice</w:t>
      </w:r>
      <w:r w:rsidR="005C5358">
        <w:rPr>
          <w:rStyle w:val="FootnoteReference"/>
        </w:rPr>
        <w:footnoteReference w:id="12"/>
      </w:r>
      <w:r>
        <w:t xml:space="preserve"> requesting further information from the renewal applicant, 6 months after receiving the further information.</w:t>
      </w:r>
      <w:r w:rsidR="001A1AB8">
        <w:rPr>
          <w:rStyle w:val="FootnoteReference"/>
        </w:rPr>
        <w:footnoteReference w:id="13"/>
      </w:r>
    </w:p>
    <w:p w14:paraId="39C235C1" w14:textId="2AE833F7" w:rsidR="009C7816" w:rsidRDefault="00F5764B" w:rsidP="00944835">
      <w:pPr>
        <w:pStyle w:val="ListBulletLast"/>
      </w:pPr>
      <w:r>
        <w:t xml:space="preserve">Our preliminary view is that 3.4 GHz </w:t>
      </w:r>
      <w:r w:rsidR="00C420C6">
        <w:t xml:space="preserve">spectrum licences have a renewal decision-making period of </w:t>
      </w:r>
      <w:r w:rsidR="00105B08">
        <w:t>6 months after receiving a</w:t>
      </w:r>
      <w:r w:rsidR="00A16438">
        <w:t xml:space="preserve"> licence renewal</w:t>
      </w:r>
      <w:r w:rsidR="00105B08">
        <w:t xml:space="preserve"> application.</w:t>
      </w:r>
      <w:r w:rsidR="00A16438">
        <w:t xml:space="preserve"> </w:t>
      </w:r>
      <w:r w:rsidR="006F1B17">
        <w:t xml:space="preserve">This aligns the </w:t>
      </w:r>
      <w:r w:rsidR="00B24231">
        <w:t>renewal decision-making period</w:t>
      </w:r>
      <w:r w:rsidR="006F1B17">
        <w:t xml:space="preserve"> with existing 3.4 GHz spectrum licences</w:t>
      </w:r>
      <w:r w:rsidR="007219E7">
        <w:t xml:space="preserve"> (which do not include a renewal decision-making period statement)</w:t>
      </w:r>
      <w:r w:rsidR="00B24231">
        <w:t xml:space="preserve">, </w:t>
      </w:r>
      <w:r w:rsidR="003D706D">
        <w:t xml:space="preserve">facilitating </w:t>
      </w:r>
      <w:r w:rsidR="00751059">
        <w:t>defragmentation and trading.</w:t>
      </w:r>
    </w:p>
    <w:p w14:paraId="408C7E3C" w14:textId="1380AA19" w:rsidR="00A87B9E" w:rsidRDefault="00F5764B" w:rsidP="00944835">
      <w:pPr>
        <w:pStyle w:val="ListBulletLast"/>
      </w:pPr>
      <w:r>
        <w:t>Our preliminary view is</w:t>
      </w:r>
      <w:r w:rsidR="00A87B9E">
        <w:t xml:space="preserve"> that 3.7 GHz spectrum licences </w:t>
      </w:r>
      <w:r w:rsidR="008733BB">
        <w:t>have a renewal decision-making period</w:t>
      </w:r>
      <w:r w:rsidR="00120310">
        <w:t xml:space="preserve"> of 2 years, </w:t>
      </w:r>
      <w:r w:rsidR="0004092B">
        <w:t xml:space="preserve">commencing immediately after the renewal application period. </w:t>
      </w:r>
      <w:r w:rsidR="009532EE">
        <w:t xml:space="preserve">This aligns with our general approach to long-term spectrum licences and ensures we can consider </w:t>
      </w:r>
      <w:r w:rsidR="00AB1B12">
        <w:t xml:space="preserve">any </w:t>
      </w:r>
      <w:r w:rsidR="009532EE">
        <w:t xml:space="preserve">licence renewal </w:t>
      </w:r>
      <w:r w:rsidR="00D7640D">
        <w:t>applications</w:t>
      </w:r>
      <w:r w:rsidR="009532EE">
        <w:t xml:space="preserve"> well before expiry to give sufficient clarity to licensees and the wider industry.</w:t>
      </w:r>
    </w:p>
    <w:p w14:paraId="658EB80C" w14:textId="713508F3" w:rsidR="005C5358" w:rsidRDefault="005C5358" w:rsidP="00944835">
      <w:pPr>
        <w:pStyle w:val="Heading4"/>
      </w:pPr>
      <w:r>
        <w:t xml:space="preserve">Public interest </w:t>
      </w:r>
      <w:r w:rsidR="00D955D3">
        <w:t>statement</w:t>
      </w:r>
    </w:p>
    <w:p w14:paraId="10A922EF" w14:textId="675B3386" w:rsidR="005C5358" w:rsidRDefault="003C35C0" w:rsidP="00944835">
      <w:pPr>
        <w:pStyle w:val="Paragraph"/>
      </w:pPr>
      <w:r>
        <w:lastRenderedPageBreak/>
        <w:t xml:space="preserve">A spectrum licence may also include </w:t>
      </w:r>
      <w:r w:rsidR="00505631">
        <w:t xml:space="preserve">a </w:t>
      </w:r>
      <w:r w:rsidR="00AB6A14">
        <w:t xml:space="preserve">public interest </w:t>
      </w:r>
      <w:r w:rsidR="00505631">
        <w:t>statement</w:t>
      </w:r>
      <w:r w:rsidR="001E1870">
        <w:t xml:space="preserve">, </w:t>
      </w:r>
      <w:r w:rsidR="00C06CDB">
        <w:t>which requires the ACMA not to renew the licence unless it is satisfied it is in the public interest to do so.</w:t>
      </w:r>
      <w:r w:rsidR="00E958F3" w:rsidRPr="00ED3AF3">
        <w:rPr>
          <w:vertAlign w:val="superscript"/>
        </w:rPr>
        <w:footnoteReference w:id="14"/>
      </w:r>
      <w:r w:rsidR="00505631">
        <w:t xml:space="preserve"> </w:t>
      </w:r>
      <w:r w:rsidR="00A94763">
        <w:t xml:space="preserve">Further, the </w:t>
      </w:r>
      <w:r w:rsidR="00365489">
        <w:t xml:space="preserve">Act provides that the </w:t>
      </w:r>
      <w:r w:rsidR="00A94763">
        <w:t>ACMA</w:t>
      </w:r>
      <w:r w:rsidR="00862CCB">
        <w:t xml:space="preserve"> must </w:t>
      </w:r>
      <w:r w:rsidR="00B008FC">
        <w:t>not</w:t>
      </w:r>
      <w:r w:rsidR="00ED715D">
        <w:t xml:space="preserve"> </w:t>
      </w:r>
      <w:r w:rsidR="005C5358">
        <w:t>renew a licence for a period that is 10 years or longer</w:t>
      </w:r>
      <w:r w:rsidR="00F75536">
        <w:t xml:space="preserve"> </w:t>
      </w:r>
      <w:r w:rsidR="005C5358">
        <w:t xml:space="preserve">unless </w:t>
      </w:r>
      <w:r w:rsidR="003354A0">
        <w:t>it</w:t>
      </w:r>
      <w:r w:rsidR="005C5358">
        <w:t xml:space="preserve"> is satisfied it is in the public interest to do so</w:t>
      </w:r>
      <w:r w:rsidR="00E31CD5">
        <w:t xml:space="preserve"> (whether or not the licence includes a public interest statement)</w:t>
      </w:r>
      <w:r w:rsidR="005C5358">
        <w:t>.</w:t>
      </w:r>
      <w:r w:rsidR="00B008FC" w:rsidRPr="00ED3AF3">
        <w:rPr>
          <w:vertAlign w:val="superscript"/>
        </w:rPr>
        <w:footnoteReference w:id="15"/>
      </w:r>
    </w:p>
    <w:p w14:paraId="3F2E2B28" w14:textId="5995E607" w:rsidR="003354A0" w:rsidRDefault="00AD1FC2" w:rsidP="00944835">
      <w:pPr>
        <w:pStyle w:val="Paragraph"/>
      </w:pPr>
      <w:r>
        <w:t>Our pr</w:t>
      </w:r>
      <w:r w:rsidR="001D1DE6">
        <w:t xml:space="preserve">eliminary view is that 3.4 GHz spectrum licences should include a public interest </w:t>
      </w:r>
      <w:r w:rsidR="00225039">
        <w:t>statement</w:t>
      </w:r>
      <w:r w:rsidR="001D1DE6">
        <w:t xml:space="preserve">. </w:t>
      </w:r>
      <w:r w:rsidR="0001168B">
        <w:t xml:space="preserve">We would like to facilitate more efficient use of </w:t>
      </w:r>
      <w:r w:rsidR="00A21B0F">
        <w:t xml:space="preserve">the 3.4 GHz band spectrum, which is currently subject to significant </w:t>
      </w:r>
      <w:r w:rsidR="00790064">
        <w:t xml:space="preserve">fragmentation. </w:t>
      </w:r>
      <w:r w:rsidR="001B5884">
        <w:t xml:space="preserve">The </w:t>
      </w:r>
      <w:r w:rsidR="00D55BE1" w:rsidRPr="00AD4CA1">
        <w:t>public interest</w:t>
      </w:r>
      <w:r w:rsidR="001B5884">
        <w:t xml:space="preserve"> statement will </w:t>
      </w:r>
      <w:r w:rsidR="00782A3D">
        <w:t>reflect</w:t>
      </w:r>
      <w:r w:rsidR="00A341D0">
        <w:t xml:space="preserve"> that </w:t>
      </w:r>
      <w:r w:rsidR="00D55BE1" w:rsidRPr="00AD4CA1">
        <w:t xml:space="preserve">the ACMA is guided by the object of the Act, in particular in relation to whether the spectrum is being efficiently allocated and used. When considering the efficiency of allocation and use of the spectrum, one </w:t>
      </w:r>
      <w:r w:rsidR="00D55BE1">
        <w:t xml:space="preserve">relevant </w:t>
      </w:r>
      <w:r w:rsidR="00D55BE1" w:rsidRPr="00AD4CA1">
        <w:t>aspect is the extent of fragmentation across the band, whic</w:t>
      </w:r>
      <w:r w:rsidR="00D55BE1">
        <w:t>h can be mitigated through secondary market activity amongst spectrum licensees.</w:t>
      </w:r>
    </w:p>
    <w:p w14:paraId="508A2739" w14:textId="144DB9E8" w:rsidR="003354A0" w:rsidRDefault="00443F09" w:rsidP="00944835">
      <w:pPr>
        <w:pStyle w:val="Paragraph"/>
      </w:pPr>
      <w:r w:rsidRPr="00CB0613">
        <w:t>Our preliminary view is that 3.7 GHz spectrum licences should not include a public interest statement.</w:t>
      </w:r>
      <w:r w:rsidR="00D52D11" w:rsidRPr="00CB0613">
        <w:t xml:space="preserve"> </w:t>
      </w:r>
      <w:r w:rsidR="002258B1">
        <w:t xml:space="preserve">Over the course of </w:t>
      </w:r>
      <w:r w:rsidR="002402F8">
        <w:t xml:space="preserve">a 20-year licence, there will be sufficient opportunity for licensees </w:t>
      </w:r>
      <w:r w:rsidR="008D57C1">
        <w:t xml:space="preserve">to </w:t>
      </w:r>
      <w:r w:rsidR="0016193B">
        <w:t xml:space="preserve">achieve </w:t>
      </w:r>
      <w:r w:rsidR="00EC48CA">
        <w:t xml:space="preserve">more efficient use of </w:t>
      </w:r>
      <w:r w:rsidR="00462DF6">
        <w:t xml:space="preserve">the </w:t>
      </w:r>
      <w:r w:rsidR="00EC48CA">
        <w:t>spectrum</w:t>
      </w:r>
      <w:r w:rsidR="00310F90">
        <w:t xml:space="preserve">. </w:t>
      </w:r>
      <w:r w:rsidR="00C330CE">
        <w:t>Regardless of whether the 3.7 GHz licences include a public interest statement</w:t>
      </w:r>
      <w:r w:rsidR="00026D4B">
        <w:t xml:space="preserve">, </w:t>
      </w:r>
      <w:r w:rsidR="00FE7378">
        <w:t>the ACMA must not renew a licence for greater than 10 years</w:t>
      </w:r>
      <w:r w:rsidR="00D222C6">
        <w:t xml:space="preserve"> unless it is satisfied it is in the public interest</w:t>
      </w:r>
      <w:r w:rsidR="00EE2624">
        <w:t xml:space="preserve"> to do so</w:t>
      </w:r>
      <w:r w:rsidR="00D222C6">
        <w:t>.</w:t>
      </w:r>
      <w:r w:rsidR="00965D42">
        <w:t xml:space="preserve"> More generally, the ACMA is guided in all its decisions by the object of the Act, t</w:t>
      </w:r>
      <w:r w:rsidR="009C4279">
        <w:t>o promote the long-term public interest derived from the use of the spectrum.</w:t>
      </w:r>
    </w:p>
    <w:p w14:paraId="1BA4163A" w14:textId="1067076B" w:rsidR="005C5358" w:rsidRDefault="005C5358" w:rsidP="00944835">
      <w:pPr>
        <w:pStyle w:val="Issueforcomment"/>
      </w:pPr>
      <w:r>
        <w:t>Licence renewal statements</w:t>
      </w:r>
    </w:p>
    <w:p w14:paraId="20AFF364" w14:textId="7ADBE101" w:rsidR="006D5D9A" w:rsidRPr="005E78B2" w:rsidRDefault="006D5D9A" w:rsidP="00944835">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80"/>
      </w:pPr>
      <w:r w:rsidRPr="00E56E99">
        <w:t>We</w:t>
      </w:r>
      <w:r w:rsidRPr="005E78B2">
        <w:t xml:space="preserve"> seek comments on our preliminary views to include the following statements in spectrum licences issued as a result of the 3.4/3.7 GHz bands auction: </w:t>
      </w:r>
      <w:r w:rsidRPr="005E78B2">
        <w:tab/>
      </w:r>
    </w:p>
    <w:p w14:paraId="1918FFF3" w14:textId="77777777" w:rsidR="006D5D9A" w:rsidRPr="006D5D9A" w:rsidRDefault="006D5D9A" w:rsidP="00944835">
      <w:pPr>
        <w:pStyle w:val="Issueforcomment"/>
        <w:rPr>
          <w:b w:val="0"/>
          <w:bCs w:val="0"/>
        </w:rPr>
      </w:pPr>
      <w:r w:rsidRPr="006D5D9A">
        <w:rPr>
          <w:b w:val="0"/>
          <w:bCs w:val="0"/>
        </w:rPr>
        <w:t>For spectrum licences in the 3.4 GHz band:</w:t>
      </w:r>
    </w:p>
    <w:p w14:paraId="6F1FBEBA" w14:textId="77777777" w:rsidR="006D5D9A" w:rsidRPr="006D5D9A" w:rsidRDefault="006D5D9A"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 xml:space="preserve">The spectrum licences may be renewed at the ACMA’s discretion.  </w:t>
      </w:r>
    </w:p>
    <w:p w14:paraId="2FE4E147" w14:textId="575C930B" w:rsidR="006D5D9A" w:rsidRPr="006D5D9A" w:rsidRDefault="006D5D9A"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 xml:space="preserve">A renewal application period of 13 December 2028 to 12 December 2030 </w:t>
      </w:r>
      <w:r w:rsidR="00944835">
        <w:br/>
      </w:r>
      <w:r w:rsidRPr="006D5D9A">
        <w:t xml:space="preserve">(a period of 2 years before licence expiry).  </w:t>
      </w:r>
    </w:p>
    <w:p w14:paraId="7AA3366F" w14:textId="3D4D1DA4" w:rsidR="006D5D9A" w:rsidRPr="006D5D9A" w:rsidRDefault="006D5D9A"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A renewal decision-making period of 6 months after receiving an application for renewal of the licence</w:t>
      </w:r>
      <w:r w:rsidR="00225000">
        <w:t>.</w:t>
      </w:r>
      <w:r w:rsidRPr="006D5D9A">
        <w:t xml:space="preserve"> </w:t>
      </w:r>
    </w:p>
    <w:p w14:paraId="626C31C4" w14:textId="77777777" w:rsidR="006D5D9A" w:rsidRPr="006D5D9A" w:rsidRDefault="006D5D9A" w:rsidP="00944835">
      <w:pPr>
        <w:pStyle w:val="Bulletlevel1last"/>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There will be a public interest statement.</w:t>
      </w:r>
    </w:p>
    <w:p w14:paraId="6BBE0657" w14:textId="77777777" w:rsidR="006D5D9A" w:rsidRPr="006D5D9A" w:rsidRDefault="006D5D9A" w:rsidP="00944835">
      <w:pPr>
        <w:pStyle w:val="Issueforcomment"/>
        <w:rPr>
          <w:b w:val="0"/>
          <w:bCs w:val="0"/>
        </w:rPr>
      </w:pPr>
      <w:r w:rsidRPr="006D5D9A">
        <w:rPr>
          <w:b w:val="0"/>
          <w:bCs w:val="0"/>
        </w:rPr>
        <w:t xml:space="preserve">For spectrum licences in the 3.7 GHz band: </w:t>
      </w:r>
    </w:p>
    <w:p w14:paraId="74062526" w14:textId="77777777" w:rsidR="006D5D9A" w:rsidRPr="006D5D9A" w:rsidRDefault="006D5D9A"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 xml:space="preserve">The spectrum licences may be renewed at the ACMA’s discretion.  </w:t>
      </w:r>
    </w:p>
    <w:p w14:paraId="2ACC123A" w14:textId="6C3F2A20" w:rsidR="006D5D9A" w:rsidRPr="006D5D9A" w:rsidRDefault="006D5D9A"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 xml:space="preserve">A renewal application period of </w:t>
      </w:r>
      <w:r w:rsidR="00225000">
        <w:t>one</w:t>
      </w:r>
      <w:r w:rsidRPr="006D5D9A">
        <w:t xml:space="preserve"> year, commencing 5 years before licence expiry. </w:t>
      </w:r>
    </w:p>
    <w:p w14:paraId="71E3F271" w14:textId="7236E36E" w:rsidR="006D5D9A" w:rsidRDefault="006D5D9A"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rsidRPr="006D5D9A">
        <w:t>A renewal decision-making period of 2 years, commencing immediately after the renewal application period</w:t>
      </w:r>
      <w:r w:rsidR="00944835">
        <w:t>.</w:t>
      </w:r>
      <w:r w:rsidRPr="006D5D9A">
        <w:t xml:space="preserve"> </w:t>
      </w:r>
    </w:p>
    <w:p w14:paraId="13EC8DEA" w14:textId="3E40B881" w:rsidR="00944835" w:rsidRPr="006D5D9A" w:rsidRDefault="00944835" w:rsidP="00944835">
      <w:pPr>
        <w:pStyle w:val="Bulletlevel1"/>
        <w:pBdr>
          <w:top w:val="single" w:sz="4" w:space="1" w:color="auto"/>
          <w:left w:val="single" w:sz="4" w:space="4" w:color="auto"/>
          <w:bottom w:val="single" w:sz="4" w:space="1" w:color="auto"/>
          <w:right w:val="single" w:sz="4" w:space="4" w:color="auto"/>
        </w:pBdr>
        <w:shd w:val="clear" w:color="auto" w:fill="F2F2F2" w:themeFill="background1" w:themeFillShade="F2"/>
      </w:pPr>
      <w:r>
        <w:t>There will be no public interest statement.</w:t>
      </w:r>
    </w:p>
    <w:p w14:paraId="65907DAB" w14:textId="77777777" w:rsidR="00395DDD" w:rsidRDefault="00395DDD" w:rsidP="00455860">
      <w:pPr>
        <w:pStyle w:val="Heading2"/>
        <w:ind w:right="992"/>
      </w:pPr>
      <w:bookmarkStart w:id="29" w:name="_Toc126917766"/>
      <w:r>
        <w:t>Lot configuration</w:t>
      </w:r>
      <w:bookmarkEnd w:id="28"/>
      <w:bookmarkEnd w:id="29"/>
    </w:p>
    <w:p w14:paraId="23012D9D" w14:textId="671ADF1F" w:rsidR="00CA25CD" w:rsidRDefault="00CA25CD" w:rsidP="00944835">
      <w:pPr>
        <w:pStyle w:val="Paragraph"/>
      </w:pPr>
      <w:r w:rsidRPr="00820342">
        <w:t xml:space="preserve">Spectrum </w:t>
      </w:r>
      <w:r>
        <w:t xml:space="preserve">is typically </w:t>
      </w:r>
      <w:r w:rsidRPr="00820342">
        <w:t xml:space="preserve">divided into lots before it can be offered to the market. There are </w:t>
      </w:r>
      <w:r w:rsidR="00F54B4C">
        <w:t>2</w:t>
      </w:r>
      <w:r w:rsidR="00F54B4C" w:rsidRPr="00820342">
        <w:t xml:space="preserve"> </w:t>
      </w:r>
      <w:r w:rsidRPr="00820342">
        <w:t>dimensions to lot configuration</w:t>
      </w:r>
      <w:r w:rsidR="004161EF">
        <w:t xml:space="preserve"> </w:t>
      </w:r>
      <w:r w:rsidR="00E42005">
        <w:t xml:space="preserve">– </w:t>
      </w:r>
      <w:r w:rsidRPr="00820342">
        <w:t xml:space="preserve">frequency and geography. In deciding lot configuration for any allocation, </w:t>
      </w:r>
      <w:r>
        <w:t>we are guided by the object of the Act to promote the long-term public interest derived from the use of the spectrum. W</w:t>
      </w:r>
      <w:r w:rsidRPr="00820342">
        <w:t xml:space="preserve">e consider a range of factors, including the source of demand and the technical characteristics of the spectrum. We also have regard to the </w:t>
      </w:r>
      <w:r w:rsidR="00CA07BF">
        <w:t>MPS</w:t>
      </w:r>
      <w:r>
        <w:t>.</w:t>
      </w:r>
    </w:p>
    <w:p w14:paraId="05CA7CA8" w14:textId="7AD4BC51" w:rsidR="00206DEF" w:rsidRPr="00206DEF" w:rsidRDefault="00206DEF" w:rsidP="00455860">
      <w:pPr>
        <w:pStyle w:val="Heading3"/>
        <w:keepLines/>
        <w:spacing w:after="0"/>
        <w:ind w:right="992"/>
      </w:pPr>
      <w:r w:rsidRPr="00206DEF">
        <w:lastRenderedPageBreak/>
        <w:t>Lot configuration</w:t>
      </w:r>
      <w:r w:rsidR="00E42005">
        <w:t xml:space="preserve"> – </w:t>
      </w:r>
      <w:r w:rsidRPr="00206DEF">
        <w:t>frequency</w:t>
      </w:r>
    </w:p>
    <w:p w14:paraId="441CF63F" w14:textId="7F43EED4" w:rsidR="00206DEF" w:rsidRDefault="00206DEF" w:rsidP="00944835">
      <w:pPr>
        <w:pStyle w:val="Heading4"/>
        <w:keepNext/>
        <w:keepLines/>
        <w:spacing w:before="80"/>
      </w:pPr>
      <w:r>
        <w:t>Generic lots</w:t>
      </w:r>
    </w:p>
    <w:p w14:paraId="23882F31" w14:textId="5D1314D7" w:rsidR="006C0D0F" w:rsidRPr="008A3BCF" w:rsidRDefault="004E6564" w:rsidP="00944835">
      <w:pPr>
        <w:pStyle w:val="Paragraph"/>
        <w:keepNext/>
        <w:keepLines/>
      </w:pPr>
      <w:r>
        <w:t xml:space="preserve">Our preliminary view is that </w:t>
      </w:r>
      <w:r w:rsidR="00203876">
        <w:t>the lot</w:t>
      </w:r>
      <w:r w:rsidR="00521B7D">
        <w:t xml:space="preserve"> size in the 3.4/3.7 GHz bands auction should be 5 MHz. </w:t>
      </w:r>
      <w:r w:rsidR="00FC1CD5">
        <w:t xml:space="preserve">The </w:t>
      </w:r>
      <w:r w:rsidR="009B21B8">
        <w:t>majority</w:t>
      </w:r>
      <w:r w:rsidR="00FC1CD5">
        <w:t xml:space="preserve"> of s</w:t>
      </w:r>
      <w:r w:rsidR="006C0D0F">
        <w:t xml:space="preserve">ubmissions to the July 2022 tune-up </w:t>
      </w:r>
      <w:r w:rsidR="00E51050">
        <w:t xml:space="preserve">expressed </w:t>
      </w:r>
      <w:r w:rsidR="004A25D0">
        <w:t xml:space="preserve">support </w:t>
      </w:r>
      <w:r w:rsidR="00594667">
        <w:t xml:space="preserve">for </w:t>
      </w:r>
      <w:r w:rsidR="00C91EB6">
        <w:t>a lot size of 5 MHz</w:t>
      </w:r>
      <w:r w:rsidR="005F3E8D">
        <w:t>.</w:t>
      </w:r>
      <w:r w:rsidR="00594667">
        <w:t xml:space="preserve"> Some submitters preferred a 10 MHz lot size but supported a 5 MHz lot size </w:t>
      </w:r>
      <w:r w:rsidR="00363836">
        <w:t xml:space="preserve">if a MSR of </w:t>
      </w:r>
      <w:r w:rsidR="00E73C4C">
        <w:t>10 MHz (2 lots) was available</w:t>
      </w:r>
      <w:r w:rsidR="0041542F">
        <w:t xml:space="preserve">. </w:t>
      </w:r>
      <w:r w:rsidR="00345761">
        <w:t>Our view is that a</w:t>
      </w:r>
      <w:r w:rsidR="005C34AB">
        <w:t xml:space="preserve"> </w:t>
      </w:r>
      <w:r w:rsidR="00040B4C">
        <w:t xml:space="preserve">lot size of 5 MHz enables </w:t>
      </w:r>
      <w:r w:rsidR="001800C3">
        <w:t xml:space="preserve">existing licensees </w:t>
      </w:r>
      <w:r w:rsidR="00C01D13">
        <w:t>with holdings that are not a multiple of 10 MHz to ‘round up’ their holdings</w:t>
      </w:r>
      <w:r w:rsidR="00BB6E0A">
        <w:t xml:space="preserve">. </w:t>
      </w:r>
    </w:p>
    <w:p w14:paraId="261FB817" w14:textId="77777777" w:rsidR="00206DEF" w:rsidRPr="00597635" w:rsidRDefault="00206DEF" w:rsidP="00944835">
      <w:pPr>
        <w:pStyle w:val="Heading4"/>
      </w:pPr>
      <w:r>
        <w:t>Leftover lots</w:t>
      </w:r>
    </w:p>
    <w:p w14:paraId="71C9806F" w14:textId="24DE3B37" w:rsidR="008421D6" w:rsidRDefault="00A42815" w:rsidP="00944835">
      <w:pPr>
        <w:pStyle w:val="Paragraph"/>
      </w:pPr>
      <w:r>
        <w:t>As shown in Figure 2, in regional area 1 (RA1),</w:t>
      </w:r>
      <w:r w:rsidR="00A673C2">
        <w:rPr>
          <w:rStyle w:val="FootnoteReference"/>
        </w:rPr>
        <w:footnoteReference w:id="16"/>
      </w:r>
      <w:r w:rsidR="008421D6" w:rsidRPr="00127249">
        <w:t xml:space="preserve"> there are 2 blocks of spectrum supply of 42.5</w:t>
      </w:r>
      <w:r w:rsidR="009E01D5">
        <w:t> </w:t>
      </w:r>
      <w:r w:rsidR="008421D6" w:rsidRPr="00127249">
        <w:t>MHz and 67.5</w:t>
      </w:r>
      <w:r w:rsidR="008421D6">
        <w:t> </w:t>
      </w:r>
      <w:r w:rsidR="008421D6" w:rsidRPr="00127249">
        <w:t xml:space="preserve">MHz. This means that spectrum cannot be evenly divided into 5 MHz lots, and ‘leftover lots’ of 2.5 MHz are required, as shown in </w:t>
      </w:r>
      <w:r w:rsidR="000129BD" w:rsidRPr="00CB0613">
        <w:t>Figure</w:t>
      </w:r>
      <w:r w:rsidR="008421D6" w:rsidRPr="00CB0613">
        <w:fldChar w:fldCharType="begin"/>
      </w:r>
      <w:r w:rsidR="008421D6" w:rsidRPr="008927E8">
        <w:instrText xml:space="preserve"> REF _Ref115877296 \h  \* MERGEFORMAT </w:instrText>
      </w:r>
      <w:r w:rsidR="008421D6" w:rsidRPr="00CB0613">
        <w:fldChar w:fldCharType="end"/>
      </w:r>
      <w:r w:rsidR="008B4DB0">
        <w:t> </w:t>
      </w:r>
      <w:r w:rsidR="00D413A5" w:rsidRPr="00CB0613">
        <w:t>2</w:t>
      </w:r>
      <w:r w:rsidR="00DB6798">
        <w:t xml:space="preserve"> below</w:t>
      </w:r>
      <w:r w:rsidR="008421D6" w:rsidRPr="00127249">
        <w:t>. The internationally harmonised channel bandwidths for the n78 band (3300</w:t>
      </w:r>
      <w:r w:rsidR="00881E36">
        <w:rPr>
          <w:rStyle w:val="normaltextrun"/>
          <w:szCs w:val="20"/>
        </w:rPr>
        <w:t>–</w:t>
      </w:r>
      <w:r w:rsidR="008421D6" w:rsidRPr="00127249">
        <w:t>3800 MHz) are 10,15, 20, 25, 30, 40, 50, 60, 70, 80, 90 and 100 MHz, so any 2.5</w:t>
      </w:r>
      <w:r w:rsidR="008421D6">
        <w:t> </w:t>
      </w:r>
      <w:r w:rsidR="008421D6" w:rsidRPr="00127249">
        <w:t>MHz holdings are not useable</w:t>
      </w:r>
      <w:r w:rsidR="005038F6">
        <w:t xml:space="preserve"> on their own</w:t>
      </w:r>
      <w:r w:rsidR="008421D6">
        <w:t>.</w:t>
      </w:r>
    </w:p>
    <w:p w14:paraId="5A5121A0" w14:textId="1CA5F37A" w:rsidR="008421D6" w:rsidRPr="00F2024B" w:rsidRDefault="008421D6" w:rsidP="00817DF1">
      <w:pPr>
        <w:pStyle w:val="Figureheading"/>
      </w:pPr>
      <w:r w:rsidRPr="00CC0F6E">
        <w:t>Leftover lots in RA1</w:t>
      </w:r>
    </w:p>
    <w:p w14:paraId="7583E857" w14:textId="77777777" w:rsidR="008421D6" w:rsidRDefault="008421D6" w:rsidP="00817DF1">
      <w:pPr>
        <w:pStyle w:val="ACMABulletLevel1"/>
        <w:tabs>
          <w:tab w:val="clear" w:pos="-31680"/>
        </w:tabs>
        <w:ind w:left="360" w:firstLine="0"/>
        <w:rPr>
          <w:rFonts w:ascii="Arial" w:hAnsi="Arial" w:cs="Arial"/>
          <w:sz w:val="22"/>
          <w:szCs w:val="22"/>
        </w:rPr>
      </w:pPr>
      <w:r w:rsidRPr="001E1DBE">
        <w:rPr>
          <w:rFonts w:ascii="Arial" w:hAnsi="Arial" w:cs="Arial"/>
          <w:noProof/>
          <w:sz w:val="22"/>
          <w:szCs w:val="22"/>
          <w:lang w:eastAsia="en-AU"/>
        </w:rPr>
        <mc:AlternateContent>
          <mc:Choice Requires="wps">
            <w:drawing>
              <wp:anchor distT="0" distB="0" distL="114300" distR="114300" simplePos="0" relativeHeight="251658240" behindDoc="0" locked="0" layoutInCell="1" allowOverlap="1" wp14:anchorId="77F5F8F6" wp14:editId="1C4787F1">
                <wp:simplePos x="0" y="0"/>
                <wp:positionH relativeFrom="column">
                  <wp:posOffset>2749608</wp:posOffset>
                </wp:positionH>
                <wp:positionV relativeFrom="paragraph">
                  <wp:posOffset>543848</wp:posOffset>
                </wp:positionV>
                <wp:extent cx="259369" cy="222019"/>
                <wp:effectExtent l="19050" t="19050" r="26670" b="26035"/>
                <wp:wrapNone/>
                <wp:docPr id="5" name="Oval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auto">
                        <a:xfrm>
                          <a:off x="0" y="0"/>
                          <a:ext cx="259369" cy="222019"/>
                        </a:xfrm>
                        <a:prstGeom prst="ellipse">
                          <a:avLst/>
                        </a:prstGeom>
                        <a:noFill/>
                        <a:ln w="28575" cap="flat" cmpd="sng" algn="ctr">
                          <a:solidFill>
                            <a:schemeClr val="accent5"/>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3D4DA2" id="Oval 12" o:spid="_x0000_s1026" alt="&quot;&quot;" style="position:absolute;margin-left:216.5pt;margin-top:42.8pt;width:20.4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" filled="f" strokecolor="#4bacc6 [3208]" strokeweight="2.25pt"/>
            </w:pict>
          </mc:Fallback>
        </mc:AlternateContent>
      </w:r>
      <w:r w:rsidRPr="00B11624">
        <w:rPr>
          <w:noProof/>
          <w:lang w:eastAsia="en-AU"/>
        </w:rPr>
        <w:drawing>
          <wp:inline distT="0" distB="0" distL="0" distR="0" wp14:anchorId="2FEA3A61" wp14:editId="379D010D">
            <wp:extent cx="2760453" cy="861854"/>
            <wp:effectExtent l="0" t="0" r="1905" b="0"/>
            <wp:docPr id="25" name="Picture 25" descr="Figure 2: Leftover lots in 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 Leftover lots in RA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6559" cy="863760"/>
                    </a:xfrm>
                    <a:prstGeom prst="rect">
                      <a:avLst/>
                    </a:prstGeom>
                    <a:noFill/>
                    <a:ln>
                      <a:noFill/>
                    </a:ln>
                  </pic:spPr>
                </pic:pic>
              </a:graphicData>
            </a:graphic>
          </wp:inline>
        </w:drawing>
      </w:r>
      <w:r w:rsidRPr="001E1DBE">
        <w:rPr>
          <w:rFonts w:asciiTheme="minorHAnsi" w:eastAsiaTheme="minorHAnsi" w:hAnsiTheme="minorHAnsi" w:cstheme="minorBidi"/>
          <w:noProof/>
          <w:sz w:val="22"/>
          <w:szCs w:val="22"/>
        </w:rPr>
        <w:t xml:space="preserve"> </w:t>
      </w:r>
    </w:p>
    <w:p w14:paraId="23BC473F" w14:textId="41595614" w:rsidR="00BD7975" w:rsidRDefault="008421D6" w:rsidP="00817DF1">
      <w:pPr>
        <w:pStyle w:val="ACMABulletLevel1"/>
        <w:tabs>
          <w:tab w:val="clear" w:pos="-31680"/>
        </w:tabs>
        <w:ind w:left="360" w:firstLine="0"/>
        <w:rPr>
          <w:rFonts w:ascii="Arial" w:hAnsi="Arial" w:cs="Arial"/>
          <w:sz w:val="22"/>
          <w:szCs w:val="22"/>
        </w:rPr>
      </w:pPr>
      <w:r w:rsidRPr="001E1DBE">
        <w:rPr>
          <w:rFonts w:ascii="Arial" w:hAnsi="Arial" w:cs="Arial"/>
          <w:noProof/>
          <w:sz w:val="22"/>
          <w:szCs w:val="22"/>
          <w:lang w:eastAsia="en-AU"/>
        </w:rPr>
        <mc:AlternateContent>
          <mc:Choice Requires="wps">
            <w:drawing>
              <wp:anchor distT="0" distB="0" distL="114300" distR="114300" simplePos="0" relativeHeight="251658241" behindDoc="0" locked="0" layoutInCell="1" allowOverlap="1" wp14:anchorId="570C6AD3" wp14:editId="7F36E4A4">
                <wp:simplePos x="0" y="0"/>
                <wp:positionH relativeFrom="column">
                  <wp:posOffset>4160809</wp:posOffset>
                </wp:positionH>
                <wp:positionV relativeFrom="paragraph">
                  <wp:posOffset>594995</wp:posOffset>
                </wp:positionV>
                <wp:extent cx="259369" cy="222019"/>
                <wp:effectExtent l="19050" t="19050" r="26670" b="26035"/>
                <wp:wrapNone/>
                <wp:docPr id="11" name="Oval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auto">
                        <a:xfrm>
                          <a:off x="0" y="0"/>
                          <a:ext cx="259369" cy="222019"/>
                        </a:xfrm>
                        <a:prstGeom prst="ellipse">
                          <a:avLst/>
                        </a:prstGeom>
                        <a:noFill/>
                        <a:ln w="28575" cap="flat" cmpd="sng" algn="ctr">
                          <a:solidFill>
                            <a:schemeClr val="accent5"/>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BEAE80" id="Oval 12" o:spid="_x0000_s1026" alt="&quot;&quot;" style="position:absolute;margin-left:327.6pt;margin-top:46.85pt;width:20.4pt;height: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" filled="f" strokecolor="#4bacc6 [3208]" strokeweight="2.25pt"/>
            </w:pict>
          </mc:Fallback>
        </mc:AlternateContent>
      </w:r>
      <w:r>
        <w:rPr>
          <w:noProof/>
          <w:lang w:eastAsia="en-AU"/>
        </w:rPr>
        <w:drawing>
          <wp:inline distT="0" distB="0" distL="0" distR="0" wp14:anchorId="2D8E6025" wp14:editId="2E329293">
            <wp:extent cx="5750064" cy="955344"/>
            <wp:effectExtent l="0" t="0" r="3175" b="0"/>
            <wp:docPr id="26" name="Picture 26" descr="Figure 2: Leftover lots in 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2: Leftover lots in RA1"/>
                    <pic:cNvPicPr/>
                  </pic:nvPicPr>
                  <pic:blipFill rotWithShape="1">
                    <a:blip r:embed="rId49"/>
                    <a:srcRect l="980"/>
                    <a:stretch/>
                  </pic:blipFill>
                  <pic:spPr bwMode="auto">
                    <a:xfrm>
                      <a:off x="0" y="0"/>
                      <a:ext cx="5765297" cy="957875"/>
                    </a:xfrm>
                    <a:prstGeom prst="rect">
                      <a:avLst/>
                    </a:prstGeom>
                    <a:ln>
                      <a:noFill/>
                    </a:ln>
                    <a:extLst>
                      <a:ext uri="{53640926-AAD7-44D8-BBD7-CCE9431645EC}">
                        <a14:shadowObscured xmlns:a14="http://schemas.microsoft.com/office/drawing/2010/main"/>
                      </a:ext>
                    </a:extLst>
                  </pic:spPr>
                </pic:pic>
              </a:graphicData>
            </a:graphic>
          </wp:inline>
        </w:drawing>
      </w:r>
    </w:p>
    <w:p w14:paraId="0CB407D9" w14:textId="12B43CEA" w:rsidR="008421D6" w:rsidRPr="001D3B08" w:rsidRDefault="00B81559" w:rsidP="00944835">
      <w:pPr>
        <w:pStyle w:val="Paragraph"/>
      </w:pPr>
      <w:r>
        <w:t>I</w:t>
      </w:r>
      <w:r w:rsidR="008421D6" w:rsidRPr="001D3B08">
        <w:t xml:space="preserve">n </w:t>
      </w:r>
      <w:r w:rsidR="0063455F">
        <w:t>major regional centres 2 (</w:t>
      </w:r>
      <w:r w:rsidR="008421D6" w:rsidRPr="001D3B08">
        <w:t>MRC2</w:t>
      </w:r>
      <w:r w:rsidR="0063455F">
        <w:t>)</w:t>
      </w:r>
      <w:r w:rsidR="008421D6" w:rsidRPr="001D3B08">
        <w:t>, the spectrum supply of 50 MHz from 3492.5</w:t>
      </w:r>
      <w:r w:rsidR="00E05B22">
        <w:rPr>
          <w:rStyle w:val="normaltextrun"/>
          <w:szCs w:val="20"/>
        </w:rPr>
        <w:t>–</w:t>
      </w:r>
      <w:r w:rsidR="008421D6" w:rsidRPr="001D3B08">
        <w:t xml:space="preserve">3542.5 MHz is not aligned with the frequency boundaries in other areas by 2.5 MHz, as seen in </w:t>
      </w:r>
      <w:r w:rsidR="008421D6" w:rsidRPr="00CB0613">
        <w:t xml:space="preserve">Figure </w:t>
      </w:r>
      <w:r w:rsidR="0045066A" w:rsidRPr="00CB0613">
        <w:t>2</w:t>
      </w:r>
      <w:r w:rsidR="0045066A" w:rsidRPr="001D3B08">
        <w:t xml:space="preserve"> </w:t>
      </w:r>
      <w:r w:rsidR="008421D6" w:rsidRPr="001D3B08">
        <w:t>above. This may prevent bidders from obtaining contiguous frequency holdings across geographic areas. To align these frequency boundaries, we propose to configure 2 lots of 2.5 MHz at either end of this spectrum block. This approach was supported by stakeholders</w:t>
      </w:r>
      <w:r w:rsidR="00C26C71">
        <w:t xml:space="preserve"> in the July 2022 tune-up</w:t>
      </w:r>
      <w:r w:rsidR="008421D6" w:rsidRPr="001D3B08">
        <w:t xml:space="preserve">, and is shown in </w:t>
      </w:r>
      <w:r w:rsidR="008421D6" w:rsidRPr="00CB0613">
        <w:t xml:space="preserve">Figure </w:t>
      </w:r>
      <w:r w:rsidR="0045066A" w:rsidRPr="00CB0613">
        <w:t>3</w:t>
      </w:r>
      <w:r w:rsidR="0045066A" w:rsidRPr="001D3B08">
        <w:t xml:space="preserve"> </w:t>
      </w:r>
      <w:r w:rsidR="008421D6" w:rsidRPr="001D3B08">
        <w:t>below.</w:t>
      </w:r>
    </w:p>
    <w:p w14:paraId="719DC76D" w14:textId="44C1C9D1" w:rsidR="008421D6" w:rsidRPr="00F2024B" w:rsidRDefault="008421D6" w:rsidP="00817DF1">
      <w:pPr>
        <w:pStyle w:val="Figureheading"/>
      </w:pPr>
      <w:r w:rsidRPr="00CC0F6E">
        <w:t>Leftover lots in MRC2</w:t>
      </w:r>
    </w:p>
    <w:p w14:paraId="4CF89842" w14:textId="77777777" w:rsidR="008421D6" w:rsidRDefault="008421D6" w:rsidP="00817DF1">
      <w:pPr>
        <w:pStyle w:val="ACMABulletLevel1"/>
        <w:tabs>
          <w:tab w:val="clear" w:pos="-31680"/>
        </w:tabs>
        <w:ind w:left="360" w:firstLine="0"/>
        <w:rPr>
          <w:rFonts w:ascii="Arial" w:hAnsi="Arial" w:cs="Arial"/>
          <w:b/>
          <w:bCs/>
          <w:sz w:val="22"/>
          <w:szCs w:val="22"/>
        </w:rPr>
      </w:pPr>
      <w:r w:rsidRPr="001E1DBE">
        <w:rPr>
          <w:rFonts w:ascii="Arial" w:hAnsi="Arial" w:cs="Arial"/>
          <w:noProof/>
          <w:sz w:val="22"/>
          <w:szCs w:val="22"/>
          <w:lang w:eastAsia="en-AU"/>
        </w:rPr>
        <mc:AlternateContent>
          <mc:Choice Requires="wps">
            <w:drawing>
              <wp:anchor distT="0" distB="0" distL="114300" distR="114300" simplePos="0" relativeHeight="251658243" behindDoc="0" locked="0" layoutInCell="1" allowOverlap="1" wp14:anchorId="2B096860" wp14:editId="77EE5B57">
                <wp:simplePos x="0" y="0"/>
                <wp:positionH relativeFrom="column">
                  <wp:posOffset>4641273</wp:posOffset>
                </wp:positionH>
                <wp:positionV relativeFrom="paragraph">
                  <wp:posOffset>411249</wp:posOffset>
                </wp:positionV>
                <wp:extent cx="259369" cy="222019"/>
                <wp:effectExtent l="19050" t="19050" r="26670" b="26035"/>
                <wp:wrapNone/>
                <wp:docPr id="22" name="Oval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auto">
                        <a:xfrm>
                          <a:off x="0" y="0"/>
                          <a:ext cx="259369" cy="222019"/>
                        </a:xfrm>
                        <a:prstGeom prst="ellipse">
                          <a:avLst/>
                        </a:prstGeom>
                        <a:noFill/>
                        <a:ln w="28575" cap="flat" cmpd="sng" algn="ctr">
                          <a:solidFill>
                            <a:schemeClr val="accent5"/>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674E7D" id="Oval 12" o:spid="_x0000_s1026" alt="&quot;&quot;" style="position:absolute;margin-left:365.45pt;margin-top:32.4pt;width:20.4pt;height: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" filled="f" strokecolor="#4bacc6 [3208]" strokeweight="2.25pt"/>
            </w:pict>
          </mc:Fallback>
        </mc:AlternateContent>
      </w:r>
      <w:r w:rsidRPr="001E1DBE">
        <w:rPr>
          <w:rFonts w:ascii="Arial" w:hAnsi="Arial" w:cs="Arial"/>
          <w:noProof/>
          <w:sz w:val="22"/>
          <w:szCs w:val="22"/>
          <w:lang w:eastAsia="en-AU"/>
        </w:rPr>
        <mc:AlternateContent>
          <mc:Choice Requires="wps">
            <w:drawing>
              <wp:anchor distT="0" distB="0" distL="114300" distR="114300" simplePos="0" relativeHeight="251658242" behindDoc="0" locked="0" layoutInCell="1" allowOverlap="1" wp14:anchorId="525F1AD1" wp14:editId="0E330AE0">
                <wp:simplePos x="0" y="0"/>
                <wp:positionH relativeFrom="column">
                  <wp:posOffset>2138392</wp:posOffset>
                </wp:positionH>
                <wp:positionV relativeFrom="paragraph">
                  <wp:posOffset>406342</wp:posOffset>
                </wp:positionV>
                <wp:extent cx="259369" cy="222019"/>
                <wp:effectExtent l="19050" t="19050" r="26670" b="26035"/>
                <wp:wrapNone/>
                <wp:docPr id="24" name="Oval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auto">
                        <a:xfrm>
                          <a:off x="0" y="0"/>
                          <a:ext cx="259369" cy="222019"/>
                        </a:xfrm>
                        <a:prstGeom prst="ellipse">
                          <a:avLst/>
                        </a:prstGeom>
                        <a:noFill/>
                        <a:ln w="28575" cap="flat" cmpd="sng" algn="ctr">
                          <a:solidFill>
                            <a:schemeClr val="accent5"/>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8BF882" id="Oval 12" o:spid="_x0000_s1026" alt="&quot;&quot;" style="position:absolute;margin-left:168.4pt;margin-top:32pt;width:20.4pt;height: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" filled="f" strokecolor="#4bacc6 [3208]" strokeweight="2.25pt"/>
            </w:pict>
          </mc:Fallback>
        </mc:AlternateContent>
      </w:r>
      <w:r w:rsidRPr="00465859">
        <w:rPr>
          <w:rFonts w:ascii="Arial" w:hAnsi="Arial" w:cs="Arial"/>
          <w:b/>
          <w:bCs/>
          <w:noProof/>
          <w:sz w:val="22"/>
          <w:szCs w:val="22"/>
          <w:lang w:eastAsia="en-AU"/>
        </w:rPr>
        <w:drawing>
          <wp:inline distT="0" distB="0" distL="0" distR="0" wp14:anchorId="52864D97" wp14:editId="3E57EE6F">
            <wp:extent cx="6300470" cy="828040"/>
            <wp:effectExtent l="0" t="0" r="5080" b="0"/>
            <wp:docPr id="27" name="Picture 7" descr="Figure 3: Leftover lots in MRC2">
              <a:extLst xmlns:a="http://schemas.openxmlformats.org/drawingml/2006/main">
                <a:ext uri="{FF2B5EF4-FFF2-40B4-BE49-F238E27FC236}">
                  <a16:creationId xmlns:a16="http://schemas.microsoft.com/office/drawing/2014/main" id="{F7C8185D-4593-4FD3-A68E-3EF441271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Figure 3: Leftover lots in MRC2">
                      <a:extLst>
                        <a:ext uri="{FF2B5EF4-FFF2-40B4-BE49-F238E27FC236}">
                          <a16:creationId xmlns:a16="http://schemas.microsoft.com/office/drawing/2014/main" id="{F7C8185D-4593-4FD3-A68E-3EF441271BE6}"/>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0470" cy="828040"/>
                    </a:xfrm>
                    <a:prstGeom prst="rect">
                      <a:avLst/>
                    </a:prstGeom>
                    <a:noFill/>
                    <a:ln>
                      <a:noFill/>
                    </a:ln>
                  </pic:spPr>
                </pic:pic>
              </a:graphicData>
            </a:graphic>
          </wp:inline>
        </w:drawing>
      </w:r>
    </w:p>
    <w:p w14:paraId="38BACFFA" w14:textId="77777777" w:rsidR="008421D6" w:rsidRDefault="008421D6" w:rsidP="00817DF1">
      <w:pPr>
        <w:pStyle w:val="Paragraph"/>
      </w:pPr>
    </w:p>
    <w:p w14:paraId="2CDA491D" w14:textId="538BE41B" w:rsidR="00035C61" w:rsidRDefault="008F5D1C" w:rsidP="00944835">
      <w:pPr>
        <w:pStyle w:val="Paragraphbeforelist"/>
        <w:keepNext/>
        <w:keepLines/>
      </w:pPr>
      <w:r>
        <w:lastRenderedPageBreak/>
        <w:t xml:space="preserve">Our preliminary view </w:t>
      </w:r>
      <w:r w:rsidR="00CB28BD">
        <w:t xml:space="preserve">is that </w:t>
      </w:r>
      <w:r w:rsidR="00643783">
        <w:t>the following area</w:t>
      </w:r>
      <w:r w:rsidR="004B4B80">
        <w:t xml:space="preserve">s will be configured with </w:t>
      </w:r>
      <w:r w:rsidR="00F97B20">
        <w:t>‘</w:t>
      </w:r>
      <w:r w:rsidR="004B4B80">
        <w:t>left</w:t>
      </w:r>
      <w:r w:rsidR="00F97B20">
        <w:t xml:space="preserve">over lots’ </w:t>
      </w:r>
      <w:r w:rsidR="00B8385E">
        <w:t>of 2.5 MHz:</w:t>
      </w:r>
    </w:p>
    <w:p w14:paraId="14AF4605" w14:textId="54DFAAA1" w:rsidR="00B8385E" w:rsidRDefault="42C2548E" w:rsidP="00944835">
      <w:pPr>
        <w:pStyle w:val="Bulletlevel1"/>
        <w:keepNext/>
        <w:keepLines/>
      </w:pPr>
      <w:r>
        <w:t xml:space="preserve">Major Regional Centres </w:t>
      </w:r>
      <w:r w:rsidR="19C9A385">
        <w:t>2</w:t>
      </w:r>
      <w:r w:rsidR="00684266">
        <w:t>:</w:t>
      </w:r>
      <w:r w:rsidR="22B986CD">
        <w:t xml:space="preserve"> </w:t>
      </w:r>
      <w:r w:rsidR="025E0F2C">
        <w:t>349</w:t>
      </w:r>
      <w:r w:rsidR="63EB2767">
        <w:t>2.5</w:t>
      </w:r>
      <w:r w:rsidR="6C83382F" w:rsidRPr="7D6C722F">
        <w:rPr>
          <w:rStyle w:val="normaltextrun"/>
        </w:rPr>
        <w:t>–</w:t>
      </w:r>
      <w:r w:rsidR="1E0B69DB">
        <w:t>3495</w:t>
      </w:r>
      <w:r w:rsidR="3F617669">
        <w:t xml:space="preserve"> MHz and </w:t>
      </w:r>
      <w:r w:rsidR="3416395E">
        <w:t>3540</w:t>
      </w:r>
      <w:r w:rsidR="6C83382F" w:rsidRPr="7D6C722F">
        <w:rPr>
          <w:rStyle w:val="normaltextrun"/>
        </w:rPr>
        <w:t>–</w:t>
      </w:r>
      <w:r w:rsidR="3416395E">
        <w:t>3542.</w:t>
      </w:r>
      <w:r w:rsidR="1C03E98A">
        <w:t>5 </w:t>
      </w:r>
      <w:r w:rsidR="3F617669">
        <w:t>MHz</w:t>
      </w:r>
      <w:r w:rsidR="00E715CD">
        <w:t>.</w:t>
      </w:r>
    </w:p>
    <w:p w14:paraId="59C4ABD6" w14:textId="459F168A" w:rsidR="00853D01" w:rsidRDefault="3F617669" w:rsidP="00944835">
      <w:pPr>
        <w:pStyle w:val="Bulletlevel1last"/>
        <w:keepNext/>
        <w:keepLines/>
      </w:pPr>
      <w:r>
        <w:t>Regional Area 1</w:t>
      </w:r>
      <w:r w:rsidR="00684266">
        <w:t>:</w:t>
      </w:r>
      <w:r>
        <w:t xml:space="preserve"> </w:t>
      </w:r>
      <w:r w:rsidR="1B6A7095">
        <w:t>3440</w:t>
      </w:r>
      <w:r w:rsidR="6C83382F" w:rsidRPr="7D6C722F">
        <w:rPr>
          <w:rStyle w:val="normaltextrun"/>
        </w:rPr>
        <w:t>–</w:t>
      </w:r>
      <w:r w:rsidR="1B6A7095">
        <w:t xml:space="preserve">3442.5 MHz and </w:t>
      </w:r>
      <w:r w:rsidR="31C1DF79">
        <w:t>3540</w:t>
      </w:r>
      <w:r w:rsidR="6C83382F" w:rsidRPr="7D6C722F">
        <w:rPr>
          <w:rStyle w:val="normaltextrun"/>
        </w:rPr>
        <w:t>–</w:t>
      </w:r>
      <w:r w:rsidR="31C1DF79">
        <w:t>3542.5 </w:t>
      </w:r>
      <w:r w:rsidR="1BBA1F31">
        <w:t>MHz</w:t>
      </w:r>
      <w:r w:rsidR="1F022939">
        <w:t>.</w:t>
      </w:r>
    </w:p>
    <w:p w14:paraId="72FFF68B" w14:textId="7648C1DE" w:rsidR="00410084" w:rsidRDefault="00180675" w:rsidP="00944835">
      <w:pPr>
        <w:pStyle w:val="Paragraph"/>
        <w:keepNext/>
        <w:keepLines/>
      </w:pPr>
      <w:r>
        <w:t xml:space="preserve">This is consistent with the approach presented at the July 2022 tune-up and was supported by stakeholders </w:t>
      </w:r>
      <w:r w:rsidR="00A87CC6">
        <w:t>in their sub</w:t>
      </w:r>
      <w:r w:rsidR="00BB0A6E">
        <w:t xml:space="preserve">missions. </w:t>
      </w:r>
      <w:r w:rsidR="00410084">
        <w:t xml:space="preserve">The </w:t>
      </w:r>
      <w:r w:rsidR="00D83556">
        <w:t>l</w:t>
      </w:r>
      <w:r w:rsidR="00410084">
        <w:t>eftover lot allocation section below</w:t>
      </w:r>
      <w:r w:rsidR="003359B3">
        <w:t xml:space="preserve"> describes our preliminary view on </w:t>
      </w:r>
      <w:r w:rsidR="008A6920">
        <w:t>how leftover lots should be allocated in the auction.</w:t>
      </w:r>
      <w:r w:rsidR="001E602F">
        <w:t xml:space="preserve"> Schedule </w:t>
      </w:r>
      <w:r w:rsidR="007A6F91">
        <w:t>3</w:t>
      </w:r>
      <w:r w:rsidR="001E602F">
        <w:t xml:space="preserve"> </w:t>
      </w:r>
      <w:r w:rsidR="007E50ED">
        <w:t>to</w:t>
      </w:r>
      <w:r w:rsidR="003030A7">
        <w:t xml:space="preserve"> the draft marketing plan</w:t>
      </w:r>
      <w:r w:rsidR="001E602F">
        <w:t xml:space="preserve"> provides a complete list of the leftover lots available for allocation</w:t>
      </w:r>
      <w:r w:rsidR="00836EF5">
        <w:t>.</w:t>
      </w:r>
    </w:p>
    <w:p w14:paraId="17DC437F" w14:textId="7734A70B" w:rsidR="00040F38" w:rsidRDefault="00B21C98" w:rsidP="00944835">
      <w:pPr>
        <w:pStyle w:val="Paragraph"/>
      </w:pPr>
      <w:r w:rsidRPr="00CB0613">
        <w:t>Figure</w:t>
      </w:r>
      <w:r w:rsidRPr="00CB0613" w:rsidDel="00080A13">
        <w:t xml:space="preserve"> </w:t>
      </w:r>
      <w:r w:rsidR="00080A13" w:rsidRPr="00CB0613">
        <w:t>4</w:t>
      </w:r>
      <w:r>
        <w:t xml:space="preserve"> below shows an illustration of the </w:t>
      </w:r>
      <w:r w:rsidR="00915B52">
        <w:t xml:space="preserve">resulting </w:t>
      </w:r>
      <w:r>
        <w:t>frequency lot configuration for the 3.4/3.7 GHz bands auction</w:t>
      </w:r>
      <w:r w:rsidR="00B438A6">
        <w:t xml:space="preserve">, </w:t>
      </w:r>
      <w:r w:rsidR="00F144E9">
        <w:t>showing both the generic</w:t>
      </w:r>
      <w:r>
        <w:t xml:space="preserve"> </w:t>
      </w:r>
      <w:r w:rsidR="00F144E9">
        <w:t>lots and leftover lots.</w:t>
      </w:r>
      <w:r>
        <w:t xml:space="preserve"> Due to the large number of products, we have not included a table of all </w:t>
      </w:r>
      <w:r w:rsidR="00F26F37">
        <w:t xml:space="preserve">lots available </w:t>
      </w:r>
      <w:r w:rsidR="00BC6071">
        <w:t>in the auction.</w:t>
      </w:r>
      <w:r w:rsidR="00C01C13">
        <w:t xml:space="preserve"> </w:t>
      </w:r>
    </w:p>
    <w:p w14:paraId="3C1A9FF7" w14:textId="77777777" w:rsidR="002320D9" w:rsidRPr="008D7570" w:rsidRDefault="002320D9" w:rsidP="00944835">
      <w:pPr>
        <w:pStyle w:val="Issueforcomment"/>
      </w:pPr>
      <w:r>
        <w:t>Frequency lot configuration</w:t>
      </w:r>
    </w:p>
    <w:p w14:paraId="64778DB0" w14:textId="565C27F5" w:rsidR="002320D9" w:rsidRDefault="00EA007D" w:rsidP="00944835">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pPr>
      <w:r>
        <w:t>We seek comments on the following proposed lot sizes</w:t>
      </w:r>
      <w:r w:rsidR="002320D9">
        <w:t>:</w:t>
      </w:r>
    </w:p>
    <w:p w14:paraId="5983734D" w14:textId="77777777" w:rsidR="002320D9" w:rsidRDefault="002320D9" w:rsidP="00944835">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pPr>
      <w:r>
        <w:t>The lot size for generic lots should be 5 MHz.</w:t>
      </w:r>
    </w:p>
    <w:p w14:paraId="22EB2D10" w14:textId="77777777" w:rsidR="002320D9" w:rsidRPr="00A75A3B" w:rsidRDefault="002320D9" w:rsidP="00944835">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pPr>
      <w:r>
        <w:t>The lot size for leftover lots should be 2.5 MHz.</w:t>
      </w:r>
    </w:p>
    <w:p w14:paraId="4789AB09" w14:textId="77777777" w:rsidR="002320D9" w:rsidRDefault="002320D9" w:rsidP="00BC6071">
      <w:pPr>
        <w:pStyle w:val="Paragraph"/>
      </w:pPr>
    </w:p>
    <w:p w14:paraId="33769930" w14:textId="77777777" w:rsidR="004A2079" w:rsidRDefault="004A2079">
      <w:pPr>
        <w:spacing w:after="0" w:line="240" w:lineRule="auto"/>
        <w:sectPr w:rsidR="004A2079" w:rsidSect="00820551">
          <w:headerReference w:type="even" r:id="rId51"/>
          <w:headerReference w:type="default" r:id="rId52"/>
          <w:footerReference w:type="even" r:id="rId53"/>
          <w:footerReference w:type="default" r:id="rId54"/>
          <w:pgSz w:w="11906" w:h="16838" w:code="9"/>
          <w:pgMar w:top="1945" w:right="3117" w:bottom="1134" w:left="1134" w:header="709" w:footer="119" w:gutter="0"/>
          <w:pgNumType w:start="1"/>
          <w:cols w:space="708"/>
          <w:docGrid w:linePitch="360"/>
        </w:sectPr>
      </w:pPr>
    </w:p>
    <w:p w14:paraId="4BA7867A" w14:textId="5586E7DC" w:rsidR="00A87664" w:rsidRDefault="00A87664" w:rsidP="00CD3809">
      <w:pPr>
        <w:pStyle w:val="Figureheading"/>
      </w:pPr>
      <w:r>
        <w:lastRenderedPageBreak/>
        <w:t xml:space="preserve">Illustration of </w:t>
      </w:r>
      <w:r w:rsidR="00E10D91">
        <w:t xml:space="preserve">frequency </w:t>
      </w:r>
      <w:r>
        <w:t>lot configuration for the 3.4</w:t>
      </w:r>
      <w:r w:rsidR="00E10D91">
        <w:t>/</w:t>
      </w:r>
      <w:r>
        <w:t>3.7 GHz bands</w:t>
      </w:r>
    </w:p>
    <w:p w14:paraId="7E56732C" w14:textId="20FDE787" w:rsidR="00EF4DEA" w:rsidRDefault="00A87664" w:rsidP="0074445C">
      <w:pPr>
        <w:pStyle w:val="Paragraph"/>
        <w:spacing w:before="240"/>
        <w:rPr>
          <w:rStyle w:val="eop"/>
          <w:b/>
          <w:bCs/>
          <w:color w:val="323232"/>
          <w:szCs w:val="20"/>
          <w:shd w:val="clear" w:color="auto" w:fill="FFFFFF"/>
        </w:rPr>
      </w:pPr>
      <w:r w:rsidRPr="00390518">
        <w:rPr>
          <w:rStyle w:val="eop"/>
          <w:b/>
          <w:bCs/>
          <w:color w:val="323232"/>
          <w:szCs w:val="20"/>
          <w:shd w:val="clear" w:color="auto" w:fill="FFFFFF"/>
        </w:rPr>
        <w:t xml:space="preserve"> </w:t>
      </w:r>
      <w:r w:rsidR="00154EA8" w:rsidRPr="00154EA8">
        <w:rPr>
          <w:rStyle w:val="eop"/>
          <w:noProof/>
        </w:rPr>
        <w:drawing>
          <wp:inline distT="0" distB="0" distL="0" distR="0" wp14:anchorId="0D77DF15" wp14:editId="1DED9AD2">
            <wp:extent cx="9790083" cy="4510454"/>
            <wp:effectExtent l="0" t="0" r="1905" b="4445"/>
            <wp:docPr id="2" name="Picture 2" descr="Figure 4: Illustration of frequency lot configuration for the 3.4/3.7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Illustration of frequency lot configuration for the 3.4/3.7 GHz band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04846" cy="4517256"/>
                    </a:xfrm>
                    <a:prstGeom prst="rect">
                      <a:avLst/>
                    </a:prstGeom>
                    <a:noFill/>
                    <a:ln>
                      <a:noFill/>
                    </a:ln>
                  </pic:spPr>
                </pic:pic>
              </a:graphicData>
            </a:graphic>
          </wp:inline>
        </w:drawing>
      </w:r>
    </w:p>
    <w:p w14:paraId="31629AA5" w14:textId="77777777" w:rsidR="00EF4DEA" w:rsidRDefault="00EF4DEA" w:rsidP="0074445C">
      <w:pPr>
        <w:pStyle w:val="Paragraph"/>
        <w:spacing w:before="240"/>
        <w:rPr>
          <w:rStyle w:val="eop"/>
          <w:b/>
          <w:bCs/>
          <w:color w:val="323232"/>
          <w:szCs w:val="20"/>
          <w:shd w:val="clear" w:color="auto" w:fill="FFFFFF"/>
        </w:rPr>
      </w:pPr>
    </w:p>
    <w:p w14:paraId="43CF9FC4" w14:textId="49312B49" w:rsidR="00A53862" w:rsidRPr="0074445C" w:rsidRDefault="00A53862" w:rsidP="0074445C">
      <w:pPr>
        <w:pStyle w:val="Paragraph"/>
        <w:spacing w:before="240"/>
        <w:rPr>
          <w:b/>
          <w:color w:val="323232"/>
          <w:szCs w:val="20"/>
          <w:shd w:val="clear" w:color="auto" w:fill="FFFFFF"/>
        </w:rPr>
      </w:pPr>
      <w:r>
        <w:br w:type="page"/>
      </w:r>
    </w:p>
    <w:p w14:paraId="67DFA359" w14:textId="77777777" w:rsidR="004A2079" w:rsidRDefault="004A2079" w:rsidP="00CA25CD">
      <w:pPr>
        <w:pStyle w:val="Paragraph"/>
        <w:sectPr w:rsidR="004A2079" w:rsidSect="00DB1393">
          <w:pgSz w:w="16838" w:h="11906" w:orient="landscape" w:code="9"/>
          <w:pgMar w:top="1134" w:right="1945" w:bottom="1276" w:left="1134" w:header="709" w:footer="119" w:gutter="0"/>
          <w:cols w:space="708"/>
          <w:docGrid w:linePitch="360"/>
        </w:sectPr>
      </w:pPr>
    </w:p>
    <w:p w14:paraId="53AC54B0" w14:textId="50EE1414" w:rsidR="008C0C87" w:rsidRPr="00A75A3B" w:rsidRDefault="008C0C87" w:rsidP="00263BEA">
      <w:pPr>
        <w:pStyle w:val="Heading3"/>
        <w:ind w:right="992"/>
      </w:pPr>
      <w:r w:rsidRPr="00246A66">
        <w:lastRenderedPageBreak/>
        <w:t>Lot configuration</w:t>
      </w:r>
      <w:r w:rsidR="00AF1524">
        <w:softHyphen/>
      </w:r>
      <w:r w:rsidR="00AF1524">
        <w:softHyphen/>
      </w:r>
      <w:r w:rsidR="00AF1524">
        <w:softHyphen/>
      </w:r>
      <w:r w:rsidR="00AF1524">
        <w:softHyphen/>
      </w:r>
      <w:r w:rsidR="00AF1524">
        <w:softHyphen/>
      </w:r>
      <w:r w:rsidR="00AF1524">
        <w:softHyphen/>
        <w:t xml:space="preserve"> – </w:t>
      </w:r>
      <w:r w:rsidRPr="00246A66">
        <w:t>geography</w:t>
      </w:r>
      <w:r w:rsidRPr="00A75A3B">
        <w:t xml:space="preserve"> </w:t>
      </w:r>
    </w:p>
    <w:p w14:paraId="21C31293" w14:textId="36A96C81" w:rsidR="008C0C87" w:rsidRDefault="001F63AF" w:rsidP="00263BEA">
      <w:pPr>
        <w:pStyle w:val="Paragraphbeforelist"/>
        <w:ind w:right="992"/>
      </w:pPr>
      <w:r w:rsidRPr="00E469B9">
        <w:t xml:space="preserve">In order to support the efficient allocation and use of the spectrum, </w:t>
      </w:r>
      <w:r w:rsidR="00D05B9D" w:rsidRPr="00E469B9">
        <w:t>at</w:t>
      </w:r>
      <w:r w:rsidR="00111A36" w:rsidRPr="00E469B9">
        <w:t xml:space="preserve"> the July 2022 tune-up, </w:t>
      </w:r>
      <w:r w:rsidR="00442BCD" w:rsidRPr="00E469B9">
        <w:t xml:space="preserve">we </w:t>
      </w:r>
      <w:r w:rsidRPr="00E469B9">
        <w:t>identified</w:t>
      </w:r>
      <w:r w:rsidR="00442BCD" w:rsidRPr="00E469B9">
        <w:t xml:space="preserve"> the following objectives </w:t>
      </w:r>
      <w:r w:rsidR="00937BDE" w:rsidRPr="00E469B9">
        <w:t xml:space="preserve">to be </w:t>
      </w:r>
      <w:r w:rsidR="00BD2B05" w:rsidRPr="00E469B9">
        <w:t>met for</w:t>
      </w:r>
      <w:r w:rsidR="00E636A7" w:rsidRPr="00E469B9">
        <w:t xml:space="preserve"> geographic lot configuration </w:t>
      </w:r>
      <w:r w:rsidR="001A5AC2" w:rsidRPr="00E469B9">
        <w:t>in the 3.4/3.7 GHz bands:</w:t>
      </w:r>
    </w:p>
    <w:p w14:paraId="7119BF35" w14:textId="2DA260DD" w:rsidR="00D5232E" w:rsidRPr="00D5232E" w:rsidRDefault="1F022939" w:rsidP="00263BEA">
      <w:pPr>
        <w:pStyle w:val="Bulletlevel1"/>
        <w:ind w:right="992"/>
      </w:pPr>
      <w:r>
        <w:t>d</w:t>
      </w:r>
      <w:r w:rsidR="13299970">
        <w:t>efine the ‘spectrum product’ to meet expected demand, to the extent possible.</w:t>
      </w:r>
    </w:p>
    <w:p w14:paraId="03C938E3" w14:textId="1F3D7FFA" w:rsidR="00D5232E" w:rsidRPr="00D5232E" w:rsidRDefault="1F022939" w:rsidP="00263BEA">
      <w:pPr>
        <w:pStyle w:val="Bulletlevel1"/>
        <w:ind w:right="992"/>
      </w:pPr>
      <w:r>
        <w:t>m</w:t>
      </w:r>
      <w:r w:rsidR="13299970">
        <w:t>aximise opportunities for bidders to obtain contiguous spectrum holdings (frequency and geography).</w:t>
      </w:r>
    </w:p>
    <w:p w14:paraId="59980DD7" w14:textId="201D1151" w:rsidR="00D5232E" w:rsidRPr="00D5232E" w:rsidRDefault="1F022939" w:rsidP="00263BEA">
      <w:pPr>
        <w:pStyle w:val="Bulletlevel1"/>
        <w:ind w:right="992"/>
      </w:pPr>
      <w:r>
        <w:t>e</w:t>
      </w:r>
      <w:r w:rsidR="13299970">
        <w:t>nable future defragmentation by:</w:t>
      </w:r>
    </w:p>
    <w:p w14:paraId="3957E5D8" w14:textId="7DEB4B80" w:rsidR="00D5232E" w:rsidRPr="00D5232E" w:rsidRDefault="00646942" w:rsidP="00263BEA">
      <w:pPr>
        <w:pStyle w:val="Bulletlevel2"/>
        <w:ind w:right="992"/>
      </w:pPr>
      <w:r>
        <w:t>a</w:t>
      </w:r>
      <w:r w:rsidR="00D5232E" w:rsidRPr="00D5232E">
        <w:t>ligning 3.4 GHz areas with existing 3.4 GHz areas</w:t>
      </w:r>
    </w:p>
    <w:p w14:paraId="7C196928" w14:textId="4630DF7B" w:rsidR="00D5232E" w:rsidRPr="00D5232E" w:rsidRDefault="00646942" w:rsidP="00263BEA">
      <w:pPr>
        <w:pStyle w:val="Bulletlevel2"/>
        <w:ind w:right="992"/>
      </w:pPr>
      <w:r>
        <w:t>a</w:t>
      </w:r>
      <w:r w:rsidR="00D5232E" w:rsidRPr="00D5232E">
        <w:t>ligning 3.7 GHz metropolitan areas with existing 3.6 GHz areas.</w:t>
      </w:r>
    </w:p>
    <w:p w14:paraId="67494923" w14:textId="4E5DF986" w:rsidR="004708EE" w:rsidRDefault="007E50ED" w:rsidP="00263BEA">
      <w:pPr>
        <w:pStyle w:val="Bulletlevel1last"/>
        <w:ind w:right="992"/>
      </w:pPr>
      <w:r>
        <w:t>m</w:t>
      </w:r>
      <w:r w:rsidR="13299970">
        <w:t>inimise auction complexity</w:t>
      </w:r>
      <w:r w:rsidR="00C5153D">
        <w:t xml:space="preserve"> by </w:t>
      </w:r>
      <w:r w:rsidR="1F022939">
        <w:t>m</w:t>
      </w:r>
      <w:r w:rsidR="13299970">
        <w:t xml:space="preserve">aking </w:t>
      </w:r>
      <w:r w:rsidR="6C9374CC">
        <w:t xml:space="preserve">the </w:t>
      </w:r>
      <w:r w:rsidR="13299970">
        <w:t xml:space="preserve">auction as simple as possible </w:t>
      </w:r>
      <w:r w:rsidR="009C6968">
        <w:t xml:space="preserve">for bidders to </w:t>
      </w:r>
      <w:r w:rsidR="13299970">
        <w:t xml:space="preserve">express </w:t>
      </w:r>
      <w:r w:rsidR="009C6968">
        <w:t xml:space="preserve">their </w:t>
      </w:r>
      <w:r w:rsidR="13299970">
        <w:t>spectrum demand.</w:t>
      </w:r>
    </w:p>
    <w:p w14:paraId="578245FB" w14:textId="283235D9" w:rsidR="00FD73E7" w:rsidRDefault="00923F52" w:rsidP="00263BEA">
      <w:pPr>
        <w:pStyle w:val="Paragraphbeforelist"/>
        <w:ind w:right="992"/>
      </w:pPr>
      <w:r>
        <w:t>In light of the objectives, at the July 2022 tune-up, w</w:t>
      </w:r>
      <w:r w:rsidR="00D9250C">
        <w:t>e sought comments on the following questions related to geographic lot configuration:</w:t>
      </w:r>
    </w:p>
    <w:p w14:paraId="24B3D614" w14:textId="77777777" w:rsidR="00AE73EB" w:rsidRPr="00AE73EB" w:rsidRDefault="7F0BBD2F" w:rsidP="00263BEA">
      <w:pPr>
        <w:pStyle w:val="Bulletlevel1"/>
        <w:ind w:right="992"/>
      </w:pPr>
      <w:r>
        <w:t>How should the Rural Australia area be disaggregated?</w:t>
      </w:r>
    </w:p>
    <w:p w14:paraId="222880B4" w14:textId="0C9A68BB" w:rsidR="00AE73EB" w:rsidRPr="00AE73EB" w:rsidRDefault="7F0BBD2F" w:rsidP="00263BEA">
      <w:pPr>
        <w:pStyle w:val="Bulletlevel1"/>
        <w:ind w:right="992"/>
      </w:pPr>
      <w:r>
        <w:t>How should the regional lots in 3700</w:t>
      </w:r>
      <w:r w:rsidR="74BC43A8">
        <w:t>–</w:t>
      </w:r>
      <w:r>
        <w:t>3800 MHz be defined?</w:t>
      </w:r>
    </w:p>
    <w:p w14:paraId="06DE3F27" w14:textId="77777777" w:rsidR="00AE73EB" w:rsidRPr="00AE73EB" w:rsidRDefault="7F0BBD2F" w:rsidP="00263BEA">
      <w:pPr>
        <w:pStyle w:val="Bulletlevel1"/>
        <w:ind w:right="992"/>
      </w:pPr>
      <w:r>
        <w:t>Should metropolitan areas be aggregated as a single lot?</w:t>
      </w:r>
    </w:p>
    <w:p w14:paraId="172972C5" w14:textId="5DC047FD" w:rsidR="00AE73EB" w:rsidRPr="00AE73EB" w:rsidRDefault="7F0BBD2F" w:rsidP="00263BEA">
      <w:pPr>
        <w:pStyle w:val="Bulletlevel1"/>
        <w:ind w:right="992"/>
      </w:pPr>
      <w:r>
        <w:t>Should Regional WA south and Regional WA central be aggregated as a single lot?</w:t>
      </w:r>
    </w:p>
    <w:p w14:paraId="67775D34" w14:textId="0F8D7382" w:rsidR="00D9250C" w:rsidRDefault="7F0BBD2F" w:rsidP="00263BEA">
      <w:pPr>
        <w:pStyle w:val="Bulletlevel1last"/>
        <w:ind w:right="992"/>
      </w:pPr>
      <w:r>
        <w:t>Should Regional NSW north (Tamworth) be aggregated with surrounding areas?</w:t>
      </w:r>
    </w:p>
    <w:p w14:paraId="5C6D3E24" w14:textId="4998978B" w:rsidR="00AE73EB" w:rsidRDefault="00F60158" w:rsidP="00263BEA">
      <w:pPr>
        <w:pStyle w:val="Heading4"/>
        <w:ind w:right="992"/>
      </w:pPr>
      <w:r>
        <w:t>Disaggregation of Rural Australia</w:t>
      </w:r>
    </w:p>
    <w:p w14:paraId="160D4AB6" w14:textId="6D311AF8" w:rsidR="00B5173B" w:rsidRDefault="00A62712" w:rsidP="00263BEA">
      <w:pPr>
        <w:ind w:right="992"/>
      </w:pPr>
      <w:r>
        <w:t xml:space="preserve">The Rural Australia area defined </w:t>
      </w:r>
      <w:r w:rsidR="00FE3808">
        <w:t xml:space="preserve">in the re-allocation declaration </w:t>
      </w:r>
      <w:r w:rsidR="00935675">
        <w:t xml:space="preserve">covers </w:t>
      </w:r>
      <w:r w:rsidR="00A003A3">
        <w:t xml:space="preserve">rural areas outside the </w:t>
      </w:r>
      <w:r w:rsidR="00AE21D7">
        <w:t>metropolitan</w:t>
      </w:r>
      <w:r w:rsidR="00E67BD4">
        <w:t xml:space="preserve">, major regional centres </w:t>
      </w:r>
      <w:r w:rsidR="001D00B6">
        <w:t xml:space="preserve">(MRC1 and MRC2) </w:t>
      </w:r>
      <w:r w:rsidR="00E67BD4">
        <w:t>and</w:t>
      </w:r>
      <w:r w:rsidR="00705BC6">
        <w:t xml:space="preserve"> inner regional </w:t>
      </w:r>
      <w:r w:rsidR="00156B2A">
        <w:t>are</w:t>
      </w:r>
      <w:r w:rsidR="00E67BD4">
        <w:t>as</w:t>
      </w:r>
      <w:r w:rsidR="001D00B6">
        <w:t xml:space="preserve"> (Regional Area 2) of Australia.</w:t>
      </w:r>
      <w:r w:rsidR="00CB306D">
        <w:t xml:space="preserve"> Rural Australia and Quirindi West </w:t>
      </w:r>
      <w:r w:rsidR="00C14F5F">
        <w:t>together make up R</w:t>
      </w:r>
      <w:r w:rsidR="00940B8A">
        <w:t xml:space="preserve">egional Area 1. </w:t>
      </w:r>
      <w:r w:rsidR="003D1197">
        <w:t xml:space="preserve">Our preliminary view is to </w:t>
      </w:r>
      <w:r w:rsidR="00E77F90">
        <w:t>disaggregate</w:t>
      </w:r>
      <w:r w:rsidR="003D1197">
        <w:t xml:space="preserve"> Rural Australia </w:t>
      </w:r>
      <w:r w:rsidR="009421CC">
        <w:t>according to the 3.6 GHz regional areas</w:t>
      </w:r>
      <w:r w:rsidR="00914F57">
        <w:t xml:space="preserve">, in both the 3.4 GHz and </w:t>
      </w:r>
      <w:r w:rsidR="00976A0C">
        <w:t>3.7 GHz bands.</w:t>
      </w:r>
    </w:p>
    <w:p w14:paraId="58AFAE94" w14:textId="175826E8" w:rsidR="00BE0B71" w:rsidRDefault="00C51985" w:rsidP="00263BEA">
      <w:pPr>
        <w:ind w:right="992"/>
      </w:pPr>
      <w:r>
        <w:t xml:space="preserve">In the 3.7 GHz band, there has been broad support for </w:t>
      </w:r>
      <w:r w:rsidR="00BC4384">
        <w:t xml:space="preserve">disaggregating Rural </w:t>
      </w:r>
      <w:r w:rsidR="00AF1524">
        <w:br/>
      </w:r>
      <w:r w:rsidR="00BC4384">
        <w:t xml:space="preserve">Australia </w:t>
      </w:r>
      <w:r w:rsidR="00FF7BA3">
        <w:t xml:space="preserve">to align with the </w:t>
      </w:r>
      <w:r w:rsidR="00FC1101">
        <w:t>regional areas in the frequency adjacent 3.6 GHz band</w:t>
      </w:r>
      <w:r w:rsidR="007E50ED">
        <w:t xml:space="preserve"> </w:t>
      </w:r>
      <w:r w:rsidR="00AF1524">
        <w:br/>
      </w:r>
      <w:r w:rsidR="007E50ED">
        <w:t>(3575</w:t>
      </w:r>
      <w:r w:rsidR="00150227">
        <w:t>–</w:t>
      </w:r>
      <w:r w:rsidR="007D2911">
        <w:t>3700 MHz</w:t>
      </w:r>
      <w:r w:rsidR="003A4D53">
        <w:t>)</w:t>
      </w:r>
      <w:r w:rsidR="00977D25">
        <w:t xml:space="preserve">. This </w:t>
      </w:r>
      <w:r w:rsidR="00101C5D">
        <w:t xml:space="preserve">approach will likely be consistent with demand from likely bidders, and </w:t>
      </w:r>
      <w:r w:rsidR="00977D25" w:rsidDel="00101C5D">
        <w:t xml:space="preserve">will </w:t>
      </w:r>
      <w:r w:rsidR="00101C5D">
        <w:t xml:space="preserve">simplify </w:t>
      </w:r>
      <w:r w:rsidR="00F06EB1">
        <w:t xml:space="preserve">future defragmentation </w:t>
      </w:r>
      <w:r w:rsidR="00101C5D">
        <w:t>activities</w:t>
      </w:r>
      <w:r w:rsidR="00BE0B71">
        <w:t xml:space="preserve">. </w:t>
      </w:r>
    </w:p>
    <w:p w14:paraId="16B01936" w14:textId="30898840" w:rsidR="004318CD" w:rsidRDefault="00BE0B71" w:rsidP="00263BEA">
      <w:pPr>
        <w:pStyle w:val="Paragraphbeforelist"/>
        <w:ind w:right="992"/>
      </w:pPr>
      <w:r>
        <w:t xml:space="preserve">In the 3.4 GHz band, </w:t>
      </w:r>
      <w:r w:rsidR="00C365EC">
        <w:t>w</w:t>
      </w:r>
      <w:r w:rsidR="00526CDE">
        <w:t xml:space="preserve">e presented </w:t>
      </w:r>
      <w:r w:rsidR="00E2645F">
        <w:t xml:space="preserve">3 options </w:t>
      </w:r>
      <w:r w:rsidR="00A30B1B">
        <w:t xml:space="preserve">for disaggregating Rural Australia </w:t>
      </w:r>
      <w:r w:rsidR="00EE35F2">
        <w:t xml:space="preserve">at the </w:t>
      </w:r>
      <w:r w:rsidR="007A265C">
        <w:t>July 2022 tune-up and sought comments</w:t>
      </w:r>
      <w:r w:rsidR="00CD6F44">
        <w:t>:</w:t>
      </w:r>
    </w:p>
    <w:p w14:paraId="7DE5FE9C" w14:textId="2DC9E424" w:rsidR="007F4210" w:rsidRDefault="00FC375D" w:rsidP="00263BEA">
      <w:pPr>
        <w:pStyle w:val="Bulletlevel1"/>
        <w:numPr>
          <w:ilvl w:val="0"/>
          <w:numId w:val="148"/>
        </w:numPr>
        <w:ind w:right="992"/>
      </w:pPr>
      <w:r>
        <w:t xml:space="preserve">Aligned with the </w:t>
      </w:r>
      <w:r w:rsidR="003624A0">
        <w:t>state-based licence boundaries from the 3.4 GHz auction</w:t>
      </w:r>
      <w:r w:rsidR="00C65C6A">
        <w:t xml:space="preserve"> </w:t>
      </w:r>
      <w:r w:rsidR="00AF1524">
        <w:br/>
      </w:r>
      <w:r w:rsidR="00C65C6A">
        <w:t>in 2000</w:t>
      </w:r>
      <w:r w:rsidR="003624A0">
        <w:t>.</w:t>
      </w:r>
    </w:p>
    <w:p w14:paraId="4A3237E0" w14:textId="16BF7780" w:rsidR="003624A0" w:rsidRDefault="003624A0" w:rsidP="00263BEA">
      <w:pPr>
        <w:pStyle w:val="Bulletlevel1"/>
        <w:numPr>
          <w:ilvl w:val="0"/>
          <w:numId w:val="148"/>
        </w:numPr>
        <w:ind w:right="992"/>
      </w:pPr>
      <w:r>
        <w:t xml:space="preserve">Aligned with </w:t>
      </w:r>
      <w:r w:rsidR="000D0F37">
        <w:t xml:space="preserve">the </w:t>
      </w:r>
      <w:r>
        <w:t>current 3.4 GHz licence boundaries</w:t>
      </w:r>
      <w:r w:rsidR="000D0F37">
        <w:t xml:space="preserve"> (Western Australia and southern/eastern Australia.</w:t>
      </w:r>
    </w:p>
    <w:p w14:paraId="7E524AF1" w14:textId="77777777" w:rsidR="000D0F37" w:rsidRDefault="000D0F37" w:rsidP="00263BEA">
      <w:pPr>
        <w:pStyle w:val="Bulletlevel1last"/>
        <w:numPr>
          <w:ilvl w:val="0"/>
          <w:numId w:val="148"/>
        </w:numPr>
        <w:ind w:right="992"/>
      </w:pPr>
      <w:r>
        <w:t>Aligned with the 3.6 GHz band regional areas.</w:t>
      </w:r>
    </w:p>
    <w:p w14:paraId="57F92966" w14:textId="1F125495" w:rsidR="000D0F37" w:rsidRDefault="000D0F37" w:rsidP="00263BEA">
      <w:pPr>
        <w:pStyle w:val="Paragraph"/>
        <w:ind w:right="992"/>
      </w:pPr>
      <w:r>
        <w:t xml:space="preserve">These options are shown in Figures </w:t>
      </w:r>
      <w:r w:rsidR="00080A13" w:rsidRPr="00CB0613">
        <w:t>5</w:t>
      </w:r>
      <w:r w:rsidR="00150227">
        <w:t>–</w:t>
      </w:r>
      <w:r w:rsidR="00080A13" w:rsidRPr="00CB0613">
        <w:t>7</w:t>
      </w:r>
      <w:r w:rsidR="00080A13">
        <w:t xml:space="preserve"> </w:t>
      </w:r>
      <w:r w:rsidR="00B25705">
        <w:t>below.</w:t>
      </w:r>
    </w:p>
    <w:p w14:paraId="7D217C5B" w14:textId="1F239613" w:rsidR="00B25705" w:rsidRDefault="001E1BC3" w:rsidP="00CD06EF">
      <w:pPr>
        <w:pStyle w:val="Figureheading"/>
      </w:pPr>
      <w:r>
        <w:lastRenderedPageBreak/>
        <w:t xml:space="preserve">Rural Australia </w:t>
      </w:r>
      <w:r w:rsidR="00627D52">
        <w:t xml:space="preserve">option (a) </w:t>
      </w:r>
      <w:r>
        <w:t>– year 2000 3.4 GHz auction boundaries</w:t>
      </w:r>
    </w:p>
    <w:p w14:paraId="3E62AEA1" w14:textId="7FD36183" w:rsidR="001E1BC3" w:rsidRDefault="00B24C2E" w:rsidP="001E1BC3">
      <w:pPr>
        <w:pStyle w:val="Paragraph"/>
      </w:pPr>
      <w:r w:rsidRPr="00CF41F9">
        <w:rPr>
          <w:noProof/>
        </w:rPr>
        <w:drawing>
          <wp:inline distT="0" distB="0" distL="0" distR="0" wp14:anchorId="6B50DC64" wp14:editId="13B9D5E7">
            <wp:extent cx="4115820" cy="3163420"/>
            <wp:effectExtent l="19050" t="19050" r="18415" b="18415"/>
            <wp:docPr id="19" name="Picture 3" descr="Figure 5: Rural Australia option (a) – year 2000 3.4 GHz auction boundaries">
              <a:extLst xmlns:a="http://schemas.openxmlformats.org/drawingml/2006/main">
                <a:ext uri="{FF2B5EF4-FFF2-40B4-BE49-F238E27FC236}">
                  <a16:creationId xmlns:a16="http://schemas.microsoft.com/office/drawing/2014/main" id="{99AEC31D-0DE1-4BCD-9922-8CC21FBC1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Figure 5: Rural Australia option (a) – year 2000 3.4 GHz auction boundaries">
                      <a:extLst>
                        <a:ext uri="{FF2B5EF4-FFF2-40B4-BE49-F238E27FC236}">
                          <a16:creationId xmlns:a16="http://schemas.microsoft.com/office/drawing/2014/main" id="{99AEC31D-0DE1-4BCD-9922-8CC21FBC167D}"/>
                        </a:ext>
                      </a:extLst>
                    </pic:cNvPr>
                    <pic:cNvPicPr>
                      <a:picLocks noChangeAspect="1"/>
                    </pic:cNvPicPr>
                  </pic:nvPicPr>
                  <pic:blipFill rotWithShape="1">
                    <a:blip r:embed="rId56">
                      <a:extLst>
                        <a:ext uri="{28A0092B-C50C-407E-A947-70E740481C1C}">
                          <a14:useLocalDpi xmlns:a14="http://schemas.microsoft.com/office/drawing/2010/main" val="0"/>
                        </a:ext>
                      </a:extLst>
                    </a:blip>
                    <a:srcRect r="2816" b="5242"/>
                    <a:stretch/>
                  </pic:blipFill>
                  <pic:spPr bwMode="auto">
                    <a:xfrm>
                      <a:off x="0" y="0"/>
                      <a:ext cx="4115820" cy="31634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71D2C1" w14:textId="36EBA641" w:rsidR="00B24C2E" w:rsidRDefault="001607BF" w:rsidP="007620AC">
      <w:pPr>
        <w:pStyle w:val="Figureheading"/>
      </w:pPr>
      <w:r>
        <w:t xml:space="preserve">Rural Australia </w:t>
      </w:r>
      <w:r w:rsidR="00627D52">
        <w:t xml:space="preserve">option (b) </w:t>
      </w:r>
      <w:r>
        <w:t>– current 3.4 GHz licence boundaries</w:t>
      </w:r>
    </w:p>
    <w:p w14:paraId="2B71F9EE" w14:textId="5C32FDEB" w:rsidR="001607BF" w:rsidRDefault="00FA5471" w:rsidP="001607BF">
      <w:pPr>
        <w:pStyle w:val="Paragraph"/>
      </w:pPr>
      <w:r w:rsidRPr="00482042">
        <w:rPr>
          <w:noProof/>
        </w:rPr>
        <w:drawing>
          <wp:inline distT="0" distB="0" distL="0" distR="0" wp14:anchorId="2B440D3E" wp14:editId="656BDB45">
            <wp:extent cx="4121150" cy="3323212"/>
            <wp:effectExtent l="0" t="0" r="0" b="0"/>
            <wp:docPr id="20" name="Picture 5" descr="Figure 6: Rural Australia option (b) – current 3.4 GHz licence boundaries">
              <a:extLst xmlns:a="http://schemas.openxmlformats.org/drawingml/2006/main">
                <a:ext uri="{FF2B5EF4-FFF2-40B4-BE49-F238E27FC236}">
                  <a16:creationId xmlns:a16="http://schemas.microsoft.com/office/drawing/2014/main" id="{85A55C8A-8D8A-4505-B4DA-5F8F83A9B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Figure 6: Rural Australia option (b) – current 3.4 GHz licence boundaries">
                      <a:extLst>
                        <a:ext uri="{FF2B5EF4-FFF2-40B4-BE49-F238E27FC236}">
                          <a16:creationId xmlns:a16="http://schemas.microsoft.com/office/drawing/2014/main" id="{85A55C8A-8D8A-4505-B4DA-5F8F83A9BDCF}"/>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23673" cy="3325246"/>
                    </a:xfrm>
                    <a:prstGeom prst="rect">
                      <a:avLst/>
                    </a:prstGeom>
                  </pic:spPr>
                </pic:pic>
              </a:graphicData>
            </a:graphic>
          </wp:inline>
        </w:drawing>
      </w:r>
    </w:p>
    <w:p w14:paraId="21F52225" w14:textId="1D3D77CF" w:rsidR="00FA5471" w:rsidRDefault="00FA5471" w:rsidP="00E8426E">
      <w:pPr>
        <w:pStyle w:val="Figureheading"/>
      </w:pPr>
      <w:r>
        <w:lastRenderedPageBreak/>
        <w:t xml:space="preserve">Rural Australia </w:t>
      </w:r>
      <w:r w:rsidR="00627D52">
        <w:t xml:space="preserve">option (c) </w:t>
      </w:r>
      <w:r w:rsidR="005F67E1">
        <w:t>–</w:t>
      </w:r>
      <w:r w:rsidR="00627D52">
        <w:t xml:space="preserve"> </w:t>
      </w:r>
      <w:r w:rsidR="005F67E1">
        <w:t>3.6 GHz regional areas</w:t>
      </w:r>
    </w:p>
    <w:p w14:paraId="1A94F60F" w14:textId="3BB17760" w:rsidR="005F67E1" w:rsidRDefault="00FA2AF1" w:rsidP="005F67E1">
      <w:pPr>
        <w:pStyle w:val="Paragraph"/>
      </w:pPr>
      <w:r w:rsidRPr="00482042">
        <w:rPr>
          <w:noProof/>
        </w:rPr>
        <w:drawing>
          <wp:inline distT="0" distB="0" distL="0" distR="0" wp14:anchorId="223D6249" wp14:editId="28A9871F">
            <wp:extent cx="4025900" cy="3374112"/>
            <wp:effectExtent l="0" t="0" r="0" b="0"/>
            <wp:docPr id="21" name="Picture 6" descr="Figure 7: Rural Australia option (c) – 3.6 GHz regional areas">
              <a:extLst xmlns:a="http://schemas.openxmlformats.org/drawingml/2006/main">
                <a:ext uri="{FF2B5EF4-FFF2-40B4-BE49-F238E27FC236}">
                  <a16:creationId xmlns:a16="http://schemas.microsoft.com/office/drawing/2014/main" id="{66EE3F1F-49EE-4170-94E1-6A9E8653B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Figure 7: Rural Australia option (c) – 3.6 GHz regional areas">
                      <a:extLst>
                        <a:ext uri="{FF2B5EF4-FFF2-40B4-BE49-F238E27FC236}">
                          <a16:creationId xmlns:a16="http://schemas.microsoft.com/office/drawing/2014/main" id="{66EE3F1F-49EE-4170-94E1-6A9E8653B6C4}"/>
                        </a:ext>
                      </a:extLst>
                    </pic:cNvPr>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2335" cy="3379506"/>
                    </a:xfrm>
                    <a:prstGeom prst="rect">
                      <a:avLst/>
                    </a:prstGeom>
                    <a:noFill/>
                    <a:ln>
                      <a:noFill/>
                    </a:ln>
                  </pic:spPr>
                </pic:pic>
              </a:graphicData>
            </a:graphic>
          </wp:inline>
        </w:drawing>
      </w:r>
    </w:p>
    <w:p w14:paraId="38B2E3DC" w14:textId="7DDEEA4C" w:rsidR="00DB5B42" w:rsidRDefault="0005724D" w:rsidP="00263BEA">
      <w:pPr>
        <w:pStyle w:val="Paragraph"/>
        <w:ind w:right="992"/>
      </w:pPr>
      <w:r>
        <w:t>Stakeholders did not express</w:t>
      </w:r>
      <w:r w:rsidR="00C65CEA">
        <w:t xml:space="preserve"> </w:t>
      </w:r>
      <w:r>
        <w:t>majority</w:t>
      </w:r>
      <w:r w:rsidR="00E548BE">
        <w:t xml:space="preserve"> support for any of </w:t>
      </w:r>
      <w:r>
        <w:t xml:space="preserve">these </w:t>
      </w:r>
      <w:r w:rsidRPr="00DB5F7E">
        <w:t>options.</w:t>
      </w:r>
      <w:r w:rsidR="00F6298E" w:rsidRPr="00DB5F7E">
        <w:t xml:space="preserve"> </w:t>
      </w:r>
      <w:r w:rsidR="00F543AD" w:rsidRPr="00CB0613">
        <w:t xml:space="preserve">Table </w:t>
      </w:r>
      <w:r w:rsidR="00DB5F7E" w:rsidRPr="00DB5F7E">
        <w:t>4</w:t>
      </w:r>
      <w:r w:rsidR="00F543AD" w:rsidRPr="00DB5F7E">
        <w:t xml:space="preserve"> below</w:t>
      </w:r>
      <w:r w:rsidR="00F543AD">
        <w:t xml:space="preserve"> considers </w:t>
      </w:r>
      <w:r w:rsidR="00BA3754">
        <w:t xml:space="preserve">stakeholder submissions against the </w:t>
      </w:r>
      <w:r w:rsidR="007A2811">
        <w:t xml:space="preserve">geographic lot configuration objectives </w:t>
      </w:r>
      <w:r w:rsidR="00756B2B">
        <w:t>outlined</w:t>
      </w:r>
      <w:r w:rsidR="007A2811">
        <w:t xml:space="preserve"> earlier</w:t>
      </w:r>
      <w:r w:rsidR="00C65C6A">
        <w:t>.</w:t>
      </w:r>
    </w:p>
    <w:p w14:paraId="456A53C8" w14:textId="629A6C10" w:rsidR="003B187F" w:rsidRDefault="00C40FA1" w:rsidP="005F422F">
      <w:pPr>
        <w:pStyle w:val="ACMATableHeader"/>
      </w:pPr>
      <w:r>
        <w:t xml:space="preserve">Analysis of </w:t>
      </w:r>
      <w:r w:rsidR="006873DC">
        <w:t>options for disaggregating Rural Australia</w:t>
      </w:r>
      <w:r w:rsidR="00FF27B0">
        <w:t xml:space="preserve"> area</w:t>
      </w:r>
    </w:p>
    <w:tbl>
      <w:tblPr>
        <w:tblStyle w:val="ACMAtablestyle"/>
        <w:tblW w:w="8784" w:type="dxa"/>
        <w:tblLook w:val="04A0" w:firstRow="1" w:lastRow="0" w:firstColumn="1" w:lastColumn="0" w:noHBand="0" w:noVBand="1"/>
      </w:tblPr>
      <w:tblGrid>
        <w:gridCol w:w="2397"/>
        <w:gridCol w:w="1859"/>
        <w:gridCol w:w="2303"/>
        <w:gridCol w:w="2225"/>
      </w:tblGrid>
      <w:tr w:rsidR="00FF3E04" w14:paraId="68A3B6F1" w14:textId="77777777" w:rsidTr="00BC1E6C">
        <w:trPr>
          <w:cnfStyle w:val="100000000000" w:firstRow="1" w:lastRow="0" w:firstColumn="0" w:lastColumn="0" w:oddVBand="0" w:evenVBand="0" w:oddHBand="0" w:evenHBand="0" w:firstRowFirstColumn="0" w:firstRowLastColumn="0" w:lastRowFirstColumn="0" w:lastRowLastColumn="0"/>
        </w:trPr>
        <w:tc>
          <w:tcPr>
            <w:tcW w:w="0" w:type="dxa"/>
          </w:tcPr>
          <w:p w14:paraId="7F45F47F" w14:textId="274F076D" w:rsidR="003B187F" w:rsidRDefault="00CD0FFA" w:rsidP="00CB0613">
            <w:pPr>
              <w:pStyle w:val="Tableheaderrow"/>
            </w:pPr>
            <w:r>
              <w:t>Objective</w:t>
            </w:r>
          </w:p>
        </w:tc>
        <w:tc>
          <w:tcPr>
            <w:tcW w:w="0" w:type="dxa"/>
          </w:tcPr>
          <w:p w14:paraId="39C1B8DA" w14:textId="6CCBF376" w:rsidR="003B187F" w:rsidRPr="00F21DCD" w:rsidRDefault="009A4EA1" w:rsidP="00CB0613">
            <w:pPr>
              <w:pStyle w:val="Tableheaderrow"/>
            </w:pPr>
            <w:r>
              <w:t>(a)</w:t>
            </w:r>
            <w:r w:rsidR="00F21DCD">
              <w:t xml:space="preserve"> </w:t>
            </w:r>
            <w:r>
              <w:t>–</w:t>
            </w:r>
            <w:r w:rsidR="00F21DCD">
              <w:t xml:space="preserve"> </w:t>
            </w:r>
            <w:r w:rsidR="00944835">
              <w:t>y</w:t>
            </w:r>
            <w:r>
              <w:t>ear 2000 boundaries</w:t>
            </w:r>
          </w:p>
        </w:tc>
        <w:tc>
          <w:tcPr>
            <w:tcW w:w="0" w:type="dxa"/>
          </w:tcPr>
          <w:p w14:paraId="57DD61D4" w14:textId="64C01797" w:rsidR="003B187F" w:rsidRDefault="009A4EA1" w:rsidP="00CB0613">
            <w:pPr>
              <w:pStyle w:val="Tableheaderrow"/>
            </w:pPr>
            <w:r>
              <w:t xml:space="preserve">(b) </w:t>
            </w:r>
            <w:r w:rsidR="00F0225F">
              <w:t>–</w:t>
            </w:r>
            <w:r>
              <w:t xml:space="preserve"> </w:t>
            </w:r>
            <w:r w:rsidR="00F0225F">
              <w:t>current 3.4 GHz boundaries</w:t>
            </w:r>
          </w:p>
        </w:tc>
        <w:tc>
          <w:tcPr>
            <w:tcW w:w="0" w:type="dxa"/>
          </w:tcPr>
          <w:p w14:paraId="62FEEBAA" w14:textId="6A9CD475" w:rsidR="003B187F" w:rsidRDefault="00C91B3E" w:rsidP="00CB0613">
            <w:pPr>
              <w:pStyle w:val="Tableheaderrow"/>
            </w:pPr>
            <w:r>
              <w:t xml:space="preserve">(c) </w:t>
            </w:r>
            <w:r w:rsidR="00C27916">
              <w:t>–</w:t>
            </w:r>
            <w:r>
              <w:t xml:space="preserve"> </w:t>
            </w:r>
            <w:r w:rsidR="00C27916">
              <w:t>3.6 GHz regional areas</w:t>
            </w:r>
          </w:p>
        </w:tc>
      </w:tr>
      <w:tr w:rsidR="00D816C8" w14:paraId="06803B1E" w14:textId="77777777" w:rsidTr="00CB0613">
        <w:trPr>
          <w:cnfStyle w:val="000000100000" w:firstRow="0" w:lastRow="0" w:firstColumn="0" w:lastColumn="0" w:oddVBand="0" w:evenVBand="0" w:oddHBand="1" w:evenHBand="0" w:firstRowFirstColumn="0" w:firstRowLastColumn="0" w:lastRowFirstColumn="0" w:lastRowLastColumn="0"/>
        </w:trPr>
        <w:tc>
          <w:tcPr>
            <w:tcW w:w="0" w:type="dxa"/>
          </w:tcPr>
          <w:p w14:paraId="6BAE21C0" w14:textId="1D2512D3" w:rsidR="00D816C8" w:rsidRPr="00B84AA2" w:rsidRDefault="005756BE" w:rsidP="00D816C8">
            <w:pPr>
              <w:rPr>
                <w:b/>
              </w:rPr>
            </w:pPr>
            <w:r w:rsidRPr="00B84AA2">
              <w:rPr>
                <w:b/>
              </w:rPr>
              <w:t>Aligning with s</w:t>
            </w:r>
            <w:r w:rsidR="00D816C8" w:rsidRPr="00B84AA2">
              <w:rPr>
                <w:b/>
              </w:rPr>
              <w:t>pectrum demand</w:t>
            </w:r>
          </w:p>
        </w:tc>
        <w:tc>
          <w:tcPr>
            <w:tcW w:w="0" w:type="dxa"/>
          </w:tcPr>
          <w:p w14:paraId="1251B9AA" w14:textId="1F6DE54D" w:rsidR="00D816C8" w:rsidRDefault="00D816C8" w:rsidP="00CB0613">
            <w:pPr>
              <w:pStyle w:val="TableBody"/>
            </w:pPr>
            <w:r>
              <w:t>A majority of stakeholders expressed differential demand for spectrum across Rural Australia.</w:t>
            </w:r>
            <w:r w:rsidR="00CC1E25">
              <w:t xml:space="preserve"> Does not align with </w:t>
            </w:r>
            <w:r w:rsidR="00412B64">
              <w:t xml:space="preserve">demand </w:t>
            </w:r>
            <w:r w:rsidR="00011525">
              <w:t xml:space="preserve">profile </w:t>
            </w:r>
            <w:r w:rsidR="00412B64">
              <w:t>indicated by most stakeholders.</w:t>
            </w:r>
          </w:p>
        </w:tc>
        <w:tc>
          <w:tcPr>
            <w:tcW w:w="0" w:type="dxa"/>
          </w:tcPr>
          <w:p w14:paraId="644C6C6C" w14:textId="1BE6A3A6" w:rsidR="00D816C8" w:rsidRDefault="00D816C8" w:rsidP="00CB0613">
            <w:pPr>
              <w:pStyle w:val="TableBody"/>
            </w:pPr>
            <w:r>
              <w:t>A minority of stakeholders expressed the same demand across Rural Australia.</w:t>
            </w:r>
            <w:r w:rsidR="00401D8D">
              <w:t xml:space="preserve"> However, this may limit </w:t>
            </w:r>
            <w:r w:rsidR="00FE0B82">
              <w:t>participation by other bidders with differential demand</w:t>
            </w:r>
            <w:r w:rsidR="002E075F">
              <w:t xml:space="preserve"> across south</w:t>
            </w:r>
            <w:r w:rsidR="006836CF">
              <w:t>ern and eastern Australia.</w:t>
            </w:r>
          </w:p>
        </w:tc>
        <w:tc>
          <w:tcPr>
            <w:tcW w:w="0" w:type="dxa"/>
          </w:tcPr>
          <w:p w14:paraId="62E857E1" w14:textId="50C5DF0D" w:rsidR="00D816C8" w:rsidRDefault="00D816C8" w:rsidP="00CB0613">
            <w:pPr>
              <w:pStyle w:val="TableBody"/>
            </w:pPr>
            <w:r>
              <w:t>A majority of stakeholders expressed differential demand for spectrum across Rural Australia.</w:t>
            </w:r>
          </w:p>
        </w:tc>
      </w:tr>
      <w:tr w:rsidR="00D816C8" w14:paraId="4300850A" w14:textId="77777777" w:rsidTr="00CB0613">
        <w:trPr>
          <w:cnfStyle w:val="000000010000" w:firstRow="0" w:lastRow="0" w:firstColumn="0" w:lastColumn="0" w:oddVBand="0" w:evenVBand="0" w:oddHBand="0" w:evenHBand="1" w:firstRowFirstColumn="0" w:firstRowLastColumn="0" w:lastRowFirstColumn="0" w:lastRowLastColumn="0"/>
        </w:trPr>
        <w:tc>
          <w:tcPr>
            <w:tcW w:w="0" w:type="dxa"/>
          </w:tcPr>
          <w:p w14:paraId="0068A25A" w14:textId="324FE4AC" w:rsidR="00D816C8" w:rsidRPr="00B84AA2" w:rsidRDefault="005756BE" w:rsidP="00D816C8">
            <w:pPr>
              <w:rPr>
                <w:b/>
              </w:rPr>
            </w:pPr>
            <w:r w:rsidRPr="00B84AA2">
              <w:rPr>
                <w:b/>
              </w:rPr>
              <w:t>Maximise opportunity for c</w:t>
            </w:r>
            <w:r w:rsidR="00D816C8" w:rsidRPr="00B84AA2">
              <w:rPr>
                <w:b/>
              </w:rPr>
              <w:t>ontiguous holdings</w:t>
            </w:r>
          </w:p>
        </w:tc>
        <w:tc>
          <w:tcPr>
            <w:tcW w:w="0" w:type="dxa"/>
          </w:tcPr>
          <w:p w14:paraId="49290FDE" w14:textId="53C7EE90" w:rsidR="00D816C8" w:rsidRDefault="009904D1" w:rsidP="00CB0613">
            <w:pPr>
              <w:pStyle w:val="TableBody"/>
            </w:pPr>
            <w:r>
              <w:t xml:space="preserve">Enables contiguous holdings over </w:t>
            </w:r>
            <w:r w:rsidR="00D40F97">
              <w:t>smaller geographic areas</w:t>
            </w:r>
            <w:r w:rsidR="00C04C58">
              <w:t xml:space="preserve">. Bidders can aggregate holdings through </w:t>
            </w:r>
            <w:r w:rsidR="006B2838">
              <w:t xml:space="preserve">bidding for </w:t>
            </w:r>
            <w:r w:rsidR="00693AF4">
              <w:t>multiple products.</w:t>
            </w:r>
          </w:p>
        </w:tc>
        <w:tc>
          <w:tcPr>
            <w:tcW w:w="0" w:type="dxa"/>
          </w:tcPr>
          <w:p w14:paraId="475281D4" w14:textId="02264B03" w:rsidR="00D816C8" w:rsidRDefault="00E333D2" w:rsidP="00CB0613">
            <w:pPr>
              <w:pStyle w:val="TableBody"/>
            </w:pPr>
            <w:r>
              <w:t>Enables contiguous holdings over a wide geographic area.</w:t>
            </w:r>
          </w:p>
        </w:tc>
        <w:tc>
          <w:tcPr>
            <w:tcW w:w="0" w:type="dxa"/>
          </w:tcPr>
          <w:p w14:paraId="434B837F" w14:textId="43B89056" w:rsidR="00D816C8" w:rsidRDefault="00CF5598" w:rsidP="00CB0613">
            <w:pPr>
              <w:pStyle w:val="TableBody"/>
            </w:pPr>
            <w:r>
              <w:t>Enables contiguous holdings over smaller geographic areas. Bidders can aggregate holdings through bidding for multiple products.</w:t>
            </w:r>
          </w:p>
        </w:tc>
      </w:tr>
      <w:tr w:rsidR="00D816C8" w14:paraId="79DFA062" w14:textId="77777777" w:rsidTr="00CB0613">
        <w:trPr>
          <w:cnfStyle w:val="000000100000" w:firstRow="0" w:lastRow="0" w:firstColumn="0" w:lastColumn="0" w:oddVBand="0" w:evenVBand="0" w:oddHBand="1" w:evenHBand="0" w:firstRowFirstColumn="0" w:firstRowLastColumn="0" w:lastRowFirstColumn="0" w:lastRowLastColumn="0"/>
        </w:trPr>
        <w:tc>
          <w:tcPr>
            <w:tcW w:w="0" w:type="dxa"/>
          </w:tcPr>
          <w:p w14:paraId="05FCABAD" w14:textId="4DD4312D" w:rsidR="00D816C8" w:rsidRPr="00B84AA2" w:rsidRDefault="00D816C8" w:rsidP="007E45BF">
            <w:pPr>
              <w:keepNext/>
              <w:keepLines/>
              <w:rPr>
                <w:b/>
              </w:rPr>
            </w:pPr>
            <w:r w:rsidRPr="00B84AA2">
              <w:rPr>
                <w:b/>
              </w:rPr>
              <w:lastRenderedPageBreak/>
              <w:t>Enable future defragmentation</w:t>
            </w:r>
          </w:p>
        </w:tc>
        <w:tc>
          <w:tcPr>
            <w:tcW w:w="0" w:type="dxa"/>
          </w:tcPr>
          <w:p w14:paraId="4952B38F" w14:textId="39A8398B" w:rsidR="00D816C8" w:rsidRDefault="005D3172" w:rsidP="007E45BF">
            <w:pPr>
              <w:pStyle w:val="TableBody"/>
              <w:keepNext/>
              <w:keepLines/>
            </w:pPr>
            <w:r>
              <w:t xml:space="preserve">Boundaries do not align with </w:t>
            </w:r>
            <w:r w:rsidR="001979F4">
              <w:t xml:space="preserve">existing 3.4 GHz and </w:t>
            </w:r>
            <w:r w:rsidR="0031060F">
              <w:t xml:space="preserve">3.6 GHz boundaries. </w:t>
            </w:r>
            <w:r w:rsidR="00CE1E64">
              <w:t xml:space="preserve">Existing </w:t>
            </w:r>
            <w:r w:rsidR="00343019">
              <w:t xml:space="preserve">boundary on WA/SA border is not </w:t>
            </w:r>
            <w:r w:rsidR="00AB4B30">
              <w:t>included.</w:t>
            </w:r>
          </w:p>
        </w:tc>
        <w:tc>
          <w:tcPr>
            <w:tcW w:w="0" w:type="dxa"/>
          </w:tcPr>
          <w:p w14:paraId="04BF5922" w14:textId="41EE0850" w:rsidR="00D816C8" w:rsidRDefault="00AD4CE8" w:rsidP="007E45BF">
            <w:pPr>
              <w:pStyle w:val="TableBody"/>
              <w:keepNext/>
              <w:keepLines/>
            </w:pPr>
            <w:r>
              <w:t xml:space="preserve">Boundaries align with existing 3.4 GHz boundaries. </w:t>
            </w:r>
            <w:r w:rsidR="00D816C8">
              <w:t>Stakeholders with existing spectrum holdings across Rural Australia value the ability to defragment those holdings on a national basis.</w:t>
            </w:r>
          </w:p>
        </w:tc>
        <w:tc>
          <w:tcPr>
            <w:tcW w:w="0" w:type="dxa"/>
          </w:tcPr>
          <w:p w14:paraId="3BCB1B35" w14:textId="38F1D6B1" w:rsidR="00D816C8" w:rsidRDefault="00CF5E71" w:rsidP="007E45BF">
            <w:pPr>
              <w:pStyle w:val="TableBody"/>
              <w:keepNext/>
              <w:keepLines/>
            </w:pPr>
            <w:r>
              <w:t xml:space="preserve">Boundaries align with existing 3.6 GHz </w:t>
            </w:r>
            <w:r w:rsidR="00AD4CE8">
              <w:t xml:space="preserve">boundaries. </w:t>
            </w:r>
            <w:r w:rsidR="007E53DD">
              <w:t xml:space="preserve">Enables long-term </w:t>
            </w:r>
            <w:r w:rsidR="008D1D49">
              <w:t>defragmentation</w:t>
            </w:r>
            <w:r w:rsidR="00CD0DA0">
              <w:t xml:space="preserve"> of band despite </w:t>
            </w:r>
            <w:r w:rsidR="00EE603E">
              <w:t xml:space="preserve">non-alignment with existing 3.4 GHz boundaries. </w:t>
            </w:r>
            <w:r w:rsidR="00EE2B29">
              <w:t xml:space="preserve">Partial or aggregated trades </w:t>
            </w:r>
            <w:r w:rsidR="00C22D36">
              <w:t xml:space="preserve">can be </w:t>
            </w:r>
            <w:r w:rsidR="004D4DCA">
              <w:t>used to defragment 3.4 GHz holdings.</w:t>
            </w:r>
          </w:p>
        </w:tc>
      </w:tr>
      <w:tr w:rsidR="00414AC6" w14:paraId="02FDD1C6" w14:textId="77777777" w:rsidTr="00CB0613">
        <w:trPr>
          <w:cnfStyle w:val="000000010000" w:firstRow="0" w:lastRow="0" w:firstColumn="0" w:lastColumn="0" w:oddVBand="0" w:evenVBand="0" w:oddHBand="0" w:evenHBand="1" w:firstRowFirstColumn="0" w:firstRowLastColumn="0" w:lastRowFirstColumn="0" w:lastRowLastColumn="0"/>
        </w:trPr>
        <w:tc>
          <w:tcPr>
            <w:tcW w:w="0" w:type="dxa"/>
          </w:tcPr>
          <w:p w14:paraId="1318D188" w14:textId="196A7826" w:rsidR="00414AC6" w:rsidRPr="00B84AA2" w:rsidRDefault="00414AC6" w:rsidP="00414AC6">
            <w:pPr>
              <w:rPr>
                <w:b/>
              </w:rPr>
            </w:pPr>
            <w:r w:rsidRPr="00B84AA2">
              <w:rPr>
                <w:b/>
              </w:rPr>
              <w:t>Minimise auction complexity</w:t>
            </w:r>
          </w:p>
        </w:tc>
        <w:tc>
          <w:tcPr>
            <w:tcW w:w="0" w:type="dxa"/>
          </w:tcPr>
          <w:p w14:paraId="3A2B00AF" w14:textId="1762981F" w:rsidR="00414AC6" w:rsidRDefault="00414AC6" w:rsidP="00CB0613">
            <w:pPr>
              <w:pStyle w:val="TableBody"/>
            </w:pPr>
            <w:r>
              <w:t xml:space="preserve">Applying allocation limits over </w:t>
            </w:r>
            <w:r w:rsidR="006A1FFD">
              <w:t xml:space="preserve">geographic areas </w:t>
            </w:r>
            <w:r w:rsidR="00BA5A80">
              <w:t>inconsistent with existing 3.4 GHz and 3.6 GHz areas increases auction complexity.</w:t>
            </w:r>
          </w:p>
        </w:tc>
        <w:tc>
          <w:tcPr>
            <w:tcW w:w="0" w:type="dxa"/>
          </w:tcPr>
          <w:p w14:paraId="1EC60ED8" w14:textId="672474CC" w:rsidR="00414AC6" w:rsidRDefault="00414AC6" w:rsidP="00CB0613">
            <w:pPr>
              <w:pStyle w:val="TableBody"/>
            </w:pPr>
            <w:r>
              <w:t xml:space="preserve">Applying allocation limits over </w:t>
            </w:r>
            <w:r w:rsidR="00696AB7">
              <w:t>the</w:t>
            </w:r>
            <w:r>
              <w:t xml:space="preserve"> large </w:t>
            </w:r>
            <w:r w:rsidR="00CF3973">
              <w:t xml:space="preserve">southern/eastern Australia </w:t>
            </w:r>
            <w:r>
              <w:t xml:space="preserve">area with </w:t>
            </w:r>
            <w:r w:rsidR="00061527">
              <w:t xml:space="preserve">multiple </w:t>
            </w:r>
            <w:r>
              <w:t xml:space="preserve">existing holdings </w:t>
            </w:r>
            <w:r w:rsidR="00500CDA">
              <w:t>in</w:t>
            </w:r>
            <w:r w:rsidR="00C65C6A">
              <w:t xml:space="preserve"> the</w:t>
            </w:r>
            <w:r w:rsidR="00500CDA">
              <w:t xml:space="preserve"> 3.6 GHz</w:t>
            </w:r>
            <w:r w:rsidR="00C65C6A">
              <w:t xml:space="preserve"> band</w:t>
            </w:r>
            <w:r w:rsidR="00500CDA">
              <w:t xml:space="preserve"> </w:t>
            </w:r>
            <w:r>
              <w:t>would increase auction complexity significantly.</w:t>
            </w:r>
          </w:p>
        </w:tc>
        <w:tc>
          <w:tcPr>
            <w:tcW w:w="0" w:type="dxa"/>
          </w:tcPr>
          <w:p w14:paraId="2F344312" w14:textId="56F104DD" w:rsidR="00414AC6" w:rsidRDefault="00414AC6" w:rsidP="00CB0613">
            <w:pPr>
              <w:pStyle w:val="TableBody"/>
            </w:pPr>
            <w:r>
              <w:t xml:space="preserve">Applying allocation limits over smaller areas </w:t>
            </w:r>
            <w:r w:rsidR="00C67883">
              <w:t xml:space="preserve">consistent with </w:t>
            </w:r>
            <w:r w:rsidR="00C65C6A">
              <w:t xml:space="preserve">the </w:t>
            </w:r>
            <w:r w:rsidR="00E37715">
              <w:t xml:space="preserve">3.6 GHz band </w:t>
            </w:r>
            <w:r>
              <w:t>is less complex.</w:t>
            </w:r>
          </w:p>
        </w:tc>
      </w:tr>
    </w:tbl>
    <w:p w14:paraId="1F78A15F" w14:textId="22AB7C02" w:rsidR="004566C4" w:rsidRPr="006873DC" w:rsidRDefault="004566C4" w:rsidP="00263BEA">
      <w:pPr>
        <w:pStyle w:val="Paragraph"/>
        <w:spacing w:before="240"/>
        <w:ind w:right="992"/>
      </w:pPr>
      <w:r>
        <w:t xml:space="preserve">On balance, </w:t>
      </w:r>
      <w:r w:rsidR="0038575F">
        <w:t xml:space="preserve">we consider option (c) best </w:t>
      </w:r>
      <w:r w:rsidR="007F5F7B">
        <w:t>meets</w:t>
      </w:r>
      <w:r w:rsidR="0038575F">
        <w:t xml:space="preserve"> the objectives. </w:t>
      </w:r>
      <w:r w:rsidR="00387438">
        <w:t xml:space="preserve">It enables </w:t>
      </w:r>
      <w:r w:rsidR="008C77BC">
        <w:t xml:space="preserve">bidders </w:t>
      </w:r>
      <w:r w:rsidR="00583400">
        <w:t>to express</w:t>
      </w:r>
      <w:r w:rsidR="008C77BC">
        <w:t xml:space="preserve"> differential demand </w:t>
      </w:r>
      <w:r w:rsidR="00583400">
        <w:t>across rural areas</w:t>
      </w:r>
      <w:r w:rsidR="008F1CE6">
        <w:t>, while those with similar demand</w:t>
      </w:r>
      <w:r w:rsidR="002F306E">
        <w:t xml:space="preserve"> can achieve that outcome through bidding for multiple products</w:t>
      </w:r>
      <w:r w:rsidR="008C2CC9">
        <w:t>.</w:t>
      </w:r>
      <w:r w:rsidR="006E5812">
        <w:t xml:space="preserve"> It also best facilitates future defragmentation</w:t>
      </w:r>
      <w:r w:rsidR="00B75AEA">
        <w:t xml:space="preserve"> through aligning</w:t>
      </w:r>
      <w:r w:rsidR="00725657">
        <w:t xml:space="preserve"> the areas with regional areas in the frequency adjacent 3.6 GHz band. </w:t>
      </w:r>
      <w:r w:rsidR="00485B5D">
        <w:t xml:space="preserve">Applying </w:t>
      </w:r>
      <w:r w:rsidR="00F73F34">
        <w:t xml:space="preserve">the </w:t>
      </w:r>
      <w:r w:rsidR="007C559A">
        <w:t>allocation limit</w:t>
      </w:r>
      <w:r w:rsidR="00F73F34">
        <w:t>s</w:t>
      </w:r>
      <w:r w:rsidR="007C559A">
        <w:t xml:space="preserve"> </w:t>
      </w:r>
      <w:r w:rsidR="00485B5D">
        <w:t>is</w:t>
      </w:r>
      <w:r w:rsidR="007C559A">
        <w:t xml:space="preserve"> </w:t>
      </w:r>
      <w:r w:rsidR="00EF0AA7">
        <w:t>extremely complex</w:t>
      </w:r>
      <w:r w:rsidR="00AF2FE2">
        <w:t xml:space="preserve"> </w:t>
      </w:r>
      <w:r w:rsidR="00405A61">
        <w:t>due to mismatched geography across the wider</w:t>
      </w:r>
      <w:r w:rsidR="00AF03CB">
        <w:t xml:space="preserve"> </w:t>
      </w:r>
      <w:r w:rsidR="002B6CE6">
        <w:t>3.4</w:t>
      </w:r>
      <w:r w:rsidR="00F73F34">
        <w:t>–</w:t>
      </w:r>
      <w:r w:rsidR="002B6CE6">
        <w:t>3.8</w:t>
      </w:r>
      <w:r w:rsidR="00F73F34">
        <w:t> </w:t>
      </w:r>
      <w:r w:rsidR="002B6CE6">
        <w:t xml:space="preserve">GHz </w:t>
      </w:r>
      <w:r w:rsidR="00AF03CB">
        <w:t>band</w:t>
      </w:r>
      <w:r w:rsidR="002D0D37">
        <w:t>. O</w:t>
      </w:r>
      <w:r w:rsidR="00D349A3">
        <w:t>ption (c) is the least complex to implement</w:t>
      </w:r>
      <w:r w:rsidR="00E106BC">
        <w:t xml:space="preserve"> because it</w:t>
      </w:r>
      <w:r w:rsidR="006852EC">
        <w:t xml:space="preserve"> aligns </w:t>
      </w:r>
      <w:r w:rsidR="004954AA">
        <w:t xml:space="preserve">with the 3.6 GHz geographic areas. </w:t>
      </w:r>
      <w:r w:rsidR="00A27EBA">
        <w:t xml:space="preserve">Therefore, we have adopted </w:t>
      </w:r>
      <w:r w:rsidR="00D926D0">
        <w:t xml:space="preserve">option (c) </w:t>
      </w:r>
      <w:r w:rsidR="000A46D9">
        <w:t xml:space="preserve">as our preliminary view </w:t>
      </w:r>
      <w:r w:rsidR="00D926D0">
        <w:t xml:space="preserve">in the draft </w:t>
      </w:r>
      <w:r w:rsidR="001008E0">
        <w:br/>
      </w:r>
      <w:r w:rsidR="00D926D0">
        <w:t>marketing plan.</w:t>
      </w:r>
    </w:p>
    <w:p w14:paraId="10B56B6F" w14:textId="49A64C88" w:rsidR="00F60158" w:rsidRDefault="007D36E4" w:rsidP="00263BEA">
      <w:pPr>
        <w:pStyle w:val="Heading4"/>
        <w:ind w:right="992"/>
      </w:pPr>
      <w:r>
        <w:t xml:space="preserve">Regional </w:t>
      </w:r>
      <w:r w:rsidR="00347574">
        <w:t xml:space="preserve">products </w:t>
      </w:r>
      <w:r w:rsidR="00924C08">
        <w:t>in 3700</w:t>
      </w:r>
      <w:r w:rsidR="003954E8">
        <w:t>–</w:t>
      </w:r>
      <w:r w:rsidR="00924C08">
        <w:t>3800 MHz</w:t>
      </w:r>
    </w:p>
    <w:p w14:paraId="3FCC8F94" w14:textId="04E4BAAE" w:rsidR="00B5173B" w:rsidRDefault="00A4564D" w:rsidP="00263BEA">
      <w:pPr>
        <w:pStyle w:val="Paragraphbeforelist"/>
        <w:ind w:right="992"/>
      </w:pPr>
      <w:r>
        <w:t xml:space="preserve">In the re-allocation declaration, </w:t>
      </w:r>
      <w:r w:rsidR="00706143">
        <w:t xml:space="preserve">we declared the following </w:t>
      </w:r>
      <w:r w:rsidR="003C5A30">
        <w:t>regional areas for re-allocation in the 3.7 GHz band:</w:t>
      </w:r>
    </w:p>
    <w:p w14:paraId="3352B794" w14:textId="5838729C" w:rsidR="003C5A30" w:rsidRDefault="6D8B2B27" w:rsidP="00E061AC">
      <w:pPr>
        <w:pStyle w:val="Bulletlevel1"/>
        <w:ind w:right="992"/>
      </w:pPr>
      <w:r>
        <w:t>3700</w:t>
      </w:r>
      <w:r w:rsidR="0EC692BB">
        <w:t>–</w:t>
      </w:r>
      <w:r>
        <w:t xml:space="preserve">3750 MHz: all regional areas (MRC 1, MRC2, </w:t>
      </w:r>
      <w:r w:rsidR="7C856CAF">
        <w:t>RA1, RA2</w:t>
      </w:r>
      <w:r w:rsidR="6B75CDCD">
        <w:t>, Regional WA</w:t>
      </w:r>
      <w:r w:rsidR="21D6A576">
        <w:t xml:space="preserve"> central)</w:t>
      </w:r>
    </w:p>
    <w:p w14:paraId="689E3713" w14:textId="288CA75A" w:rsidR="00064469" w:rsidRDefault="21D6A576" w:rsidP="00E061AC">
      <w:pPr>
        <w:pStyle w:val="Bulletlevel1last"/>
        <w:ind w:right="992"/>
      </w:pPr>
      <w:r>
        <w:t>3750</w:t>
      </w:r>
      <w:r w:rsidR="0EC692BB">
        <w:t>–</w:t>
      </w:r>
      <w:r>
        <w:t xml:space="preserve">3800 MHz: </w:t>
      </w:r>
      <w:r w:rsidR="71A24D31">
        <w:t xml:space="preserve">all regional areas, excluding </w:t>
      </w:r>
      <w:r w:rsidR="1910DB20">
        <w:t>Regional Area 1</w:t>
      </w:r>
      <w:r w:rsidR="001008E0">
        <w:t>.</w:t>
      </w:r>
    </w:p>
    <w:p w14:paraId="2AED7009" w14:textId="23B048AC" w:rsidR="003B5964" w:rsidRDefault="003B5964" w:rsidP="00263BEA">
      <w:pPr>
        <w:pStyle w:val="Paragraph"/>
        <w:ind w:right="992"/>
      </w:pPr>
      <w:r>
        <w:t>Th</w:t>
      </w:r>
      <w:r w:rsidR="008F62F1">
        <w:t xml:space="preserve">ese areas are shown in Figures </w:t>
      </w:r>
      <w:r w:rsidR="00310177">
        <w:t xml:space="preserve">15 </w:t>
      </w:r>
      <w:r w:rsidR="00C915DC">
        <w:t xml:space="preserve">and </w:t>
      </w:r>
      <w:r w:rsidR="00310177">
        <w:t xml:space="preserve">17 </w:t>
      </w:r>
      <w:r w:rsidR="00C915DC">
        <w:t>below.</w:t>
      </w:r>
    </w:p>
    <w:p w14:paraId="53D9C07F" w14:textId="6D1EE083" w:rsidR="000A73BD" w:rsidRDefault="00057E58" w:rsidP="00263BEA">
      <w:pPr>
        <w:pStyle w:val="Paragraph"/>
        <w:ind w:right="992"/>
      </w:pPr>
      <w:r>
        <w:t xml:space="preserve">This means that the regional areas </w:t>
      </w:r>
      <w:r w:rsidR="00592D99">
        <w:t xml:space="preserve">re-allocated for spectrum licensing </w:t>
      </w:r>
      <w:r w:rsidR="00567DDF">
        <w:t xml:space="preserve">differ </w:t>
      </w:r>
      <w:r w:rsidR="00737F51">
        <w:t>between the lower 50 MHz and upper 50 MHz of the 3.7 GHz band</w:t>
      </w:r>
      <w:r w:rsidR="007D6468">
        <w:t xml:space="preserve">. At the July 2022 tune-up, we presented 2 options for how to configure regional </w:t>
      </w:r>
      <w:r w:rsidR="002008FB">
        <w:t xml:space="preserve">products </w:t>
      </w:r>
      <w:r w:rsidR="00085A7E">
        <w:t>to address these different areas</w:t>
      </w:r>
      <w:r w:rsidR="001008E0">
        <w:t>.</w:t>
      </w:r>
    </w:p>
    <w:p w14:paraId="4D071F15" w14:textId="3316D7DF" w:rsidR="008D3ADD" w:rsidRDefault="00BA5CE8" w:rsidP="00DF7798">
      <w:pPr>
        <w:pStyle w:val="ACMATableHeader"/>
        <w:keepNext/>
        <w:keepLines/>
        <w:ind w:right="992"/>
      </w:pPr>
      <w:r>
        <w:lastRenderedPageBreak/>
        <w:t xml:space="preserve">Options for </w:t>
      </w:r>
      <w:r w:rsidR="00893FE2">
        <w:t>3700</w:t>
      </w:r>
      <w:r w:rsidR="009A5D4A">
        <w:t>–</w:t>
      </w:r>
      <w:r w:rsidR="00893FE2">
        <w:t xml:space="preserve">3800 MHz regional </w:t>
      </w:r>
      <w:r w:rsidR="00597863">
        <w:t xml:space="preserve">product </w:t>
      </w:r>
      <w:r w:rsidR="00893FE2">
        <w:t xml:space="preserve">configuration </w:t>
      </w:r>
    </w:p>
    <w:tbl>
      <w:tblPr>
        <w:tblStyle w:val="ACMAtablestyle"/>
        <w:tblW w:w="0" w:type="auto"/>
        <w:tblLook w:val="04A0" w:firstRow="1" w:lastRow="0" w:firstColumn="1" w:lastColumn="0" w:noHBand="0" w:noVBand="1"/>
      </w:tblPr>
      <w:tblGrid>
        <w:gridCol w:w="1651"/>
        <w:gridCol w:w="3045"/>
        <w:gridCol w:w="2525"/>
        <w:gridCol w:w="56"/>
      </w:tblGrid>
      <w:tr w:rsidR="002F6BE8" w14:paraId="42594FEB" w14:textId="77777777" w:rsidTr="002F6BE8">
        <w:trPr>
          <w:gridAfter w:val="1"/>
          <w:cnfStyle w:val="100000000000" w:firstRow="1" w:lastRow="0" w:firstColumn="0" w:lastColumn="0" w:oddVBand="0" w:evenVBand="0" w:oddHBand="0" w:evenHBand="0" w:firstRowFirstColumn="0" w:firstRowLastColumn="0" w:lastRowFirstColumn="0" w:lastRowLastColumn="0"/>
          <w:wAfter w:w="56" w:type="dxa"/>
        </w:trPr>
        <w:tc>
          <w:tcPr>
            <w:tcW w:w="1555" w:type="dxa"/>
          </w:tcPr>
          <w:p w14:paraId="61D77780" w14:textId="55A91D80" w:rsidR="008D3ADD" w:rsidRDefault="008D3ADD" w:rsidP="00DF7798">
            <w:pPr>
              <w:pStyle w:val="Bulletlevel1"/>
              <w:keepNext/>
              <w:keepLines/>
              <w:numPr>
                <w:ilvl w:val="0"/>
                <w:numId w:val="0"/>
              </w:numPr>
              <w:ind w:right="992"/>
            </w:pPr>
          </w:p>
        </w:tc>
        <w:tc>
          <w:tcPr>
            <w:tcW w:w="2268" w:type="dxa"/>
          </w:tcPr>
          <w:p w14:paraId="22104178" w14:textId="402F1A50" w:rsidR="008D3ADD" w:rsidRDefault="00E04B79" w:rsidP="00DF7798">
            <w:pPr>
              <w:pStyle w:val="Bulletlevel1"/>
              <w:keepNext/>
              <w:keepLines/>
              <w:numPr>
                <w:ilvl w:val="0"/>
                <w:numId w:val="0"/>
              </w:numPr>
              <w:ind w:right="992"/>
            </w:pPr>
            <w:r>
              <w:t>3700</w:t>
            </w:r>
            <w:r w:rsidR="009A5D4A">
              <w:t>–</w:t>
            </w:r>
            <w:r>
              <w:t>3750 MHz</w:t>
            </w:r>
          </w:p>
        </w:tc>
        <w:tc>
          <w:tcPr>
            <w:tcW w:w="1984" w:type="dxa"/>
          </w:tcPr>
          <w:p w14:paraId="64AC5582" w14:textId="6A1145E7" w:rsidR="008D3ADD" w:rsidRDefault="00E04B79" w:rsidP="00DF7798">
            <w:pPr>
              <w:pStyle w:val="Bulletlevel1"/>
              <w:keepNext/>
              <w:keepLines/>
              <w:numPr>
                <w:ilvl w:val="0"/>
                <w:numId w:val="0"/>
              </w:numPr>
              <w:ind w:right="992"/>
            </w:pPr>
            <w:r>
              <w:t>3750</w:t>
            </w:r>
            <w:r w:rsidR="009A5D4A">
              <w:t>–</w:t>
            </w:r>
            <w:r>
              <w:t>3800 MHz</w:t>
            </w:r>
          </w:p>
        </w:tc>
      </w:tr>
      <w:tr w:rsidR="008D3ADD" w14:paraId="015247A0" w14:textId="77777777" w:rsidTr="002F6BE8">
        <w:trPr>
          <w:cnfStyle w:val="000000100000" w:firstRow="0" w:lastRow="0" w:firstColumn="0" w:lastColumn="0" w:oddVBand="0" w:evenVBand="0" w:oddHBand="1" w:evenHBand="0" w:firstRowFirstColumn="0" w:firstRowLastColumn="0" w:lastRowFirstColumn="0" w:lastRowLastColumn="0"/>
        </w:trPr>
        <w:tc>
          <w:tcPr>
            <w:tcW w:w="1555" w:type="dxa"/>
          </w:tcPr>
          <w:p w14:paraId="775BAF3A" w14:textId="54437A3E" w:rsidR="008D3ADD" w:rsidRPr="0040025A" w:rsidRDefault="00E04B79" w:rsidP="00DF7798">
            <w:pPr>
              <w:pStyle w:val="Bulletlevel1"/>
              <w:keepNext/>
              <w:keepLines/>
              <w:numPr>
                <w:ilvl w:val="0"/>
                <w:numId w:val="0"/>
              </w:numPr>
              <w:ind w:right="992"/>
            </w:pPr>
            <w:r w:rsidRPr="0040025A">
              <w:t>2 lot option</w:t>
            </w:r>
          </w:p>
        </w:tc>
        <w:tc>
          <w:tcPr>
            <w:tcW w:w="2268" w:type="dxa"/>
          </w:tcPr>
          <w:p w14:paraId="32871B96" w14:textId="42C3E412" w:rsidR="008D3ADD" w:rsidRDefault="00A02CF1" w:rsidP="00DF7798">
            <w:pPr>
              <w:pStyle w:val="Bulletlevel1"/>
              <w:keepNext/>
              <w:keepLines/>
              <w:numPr>
                <w:ilvl w:val="0"/>
                <w:numId w:val="27"/>
              </w:numPr>
              <w:ind w:right="992"/>
            </w:pPr>
            <w:r>
              <w:t>M</w:t>
            </w:r>
            <w:r w:rsidR="0005145E">
              <w:t>etropolitan</w:t>
            </w:r>
          </w:p>
          <w:p w14:paraId="135E4181" w14:textId="6F31A2EC" w:rsidR="00A02CF1" w:rsidRDefault="00A02CF1" w:rsidP="00DF7798">
            <w:pPr>
              <w:pStyle w:val="Bulletlevel1"/>
              <w:keepNext/>
              <w:keepLines/>
              <w:numPr>
                <w:ilvl w:val="0"/>
                <w:numId w:val="27"/>
              </w:numPr>
              <w:ind w:right="992"/>
            </w:pPr>
            <w:r>
              <w:t>RA1+RA2</w:t>
            </w:r>
            <w:r w:rsidR="00B34458">
              <w:t>+MRC1</w:t>
            </w:r>
          </w:p>
        </w:tc>
        <w:tc>
          <w:tcPr>
            <w:tcW w:w="1984" w:type="dxa"/>
            <w:gridSpan w:val="2"/>
          </w:tcPr>
          <w:p w14:paraId="4A4E8FD7" w14:textId="32FE6D99" w:rsidR="008D3ADD" w:rsidRDefault="005B4507" w:rsidP="00DF7798">
            <w:pPr>
              <w:pStyle w:val="Bulletlevel1"/>
              <w:keepNext/>
              <w:keepLines/>
              <w:numPr>
                <w:ilvl w:val="0"/>
                <w:numId w:val="28"/>
              </w:numPr>
              <w:ind w:right="992"/>
            </w:pPr>
            <w:r>
              <w:t>Metropolitan</w:t>
            </w:r>
          </w:p>
          <w:p w14:paraId="2203A80A" w14:textId="597151E6" w:rsidR="005B4507" w:rsidRDefault="005265F6" w:rsidP="00DF7798">
            <w:pPr>
              <w:pStyle w:val="Bulletlevel1"/>
              <w:keepNext/>
              <w:keepLines/>
              <w:numPr>
                <w:ilvl w:val="0"/>
                <w:numId w:val="28"/>
              </w:numPr>
              <w:ind w:right="992"/>
            </w:pPr>
            <w:r>
              <w:t>RA2+MRC1</w:t>
            </w:r>
          </w:p>
        </w:tc>
      </w:tr>
      <w:tr w:rsidR="002F6BE8" w14:paraId="30631F65" w14:textId="77777777" w:rsidTr="002F6BE8">
        <w:trPr>
          <w:cnfStyle w:val="000000010000" w:firstRow="0" w:lastRow="0" w:firstColumn="0" w:lastColumn="0" w:oddVBand="0" w:evenVBand="0" w:oddHBand="0" w:evenHBand="1" w:firstRowFirstColumn="0" w:firstRowLastColumn="0" w:lastRowFirstColumn="0" w:lastRowLastColumn="0"/>
        </w:trPr>
        <w:tc>
          <w:tcPr>
            <w:tcW w:w="1555" w:type="dxa"/>
          </w:tcPr>
          <w:p w14:paraId="4C927D3F" w14:textId="6EE97047" w:rsidR="008D3ADD" w:rsidRPr="0040025A" w:rsidRDefault="00E04B79" w:rsidP="00DF7798">
            <w:pPr>
              <w:pStyle w:val="Bulletlevel1"/>
              <w:keepNext/>
              <w:keepLines/>
              <w:numPr>
                <w:ilvl w:val="0"/>
                <w:numId w:val="0"/>
              </w:numPr>
              <w:ind w:right="992"/>
            </w:pPr>
            <w:r w:rsidRPr="0040025A">
              <w:t>3 lot option</w:t>
            </w:r>
          </w:p>
        </w:tc>
        <w:tc>
          <w:tcPr>
            <w:tcW w:w="2268" w:type="dxa"/>
          </w:tcPr>
          <w:p w14:paraId="147B7744" w14:textId="5FDC58CB" w:rsidR="008D3ADD" w:rsidRDefault="002B1799" w:rsidP="00DF7798">
            <w:pPr>
              <w:pStyle w:val="Bulletlevel1"/>
              <w:keepNext/>
              <w:keepLines/>
              <w:numPr>
                <w:ilvl w:val="0"/>
                <w:numId w:val="29"/>
              </w:numPr>
              <w:ind w:right="992"/>
            </w:pPr>
            <w:r>
              <w:t>Metropolitan</w:t>
            </w:r>
          </w:p>
          <w:p w14:paraId="7B747B56" w14:textId="77777777" w:rsidR="002B1799" w:rsidRDefault="002B1799" w:rsidP="00DF7798">
            <w:pPr>
              <w:pStyle w:val="Bulletlevel1"/>
              <w:keepNext/>
              <w:keepLines/>
              <w:numPr>
                <w:ilvl w:val="0"/>
                <w:numId w:val="29"/>
              </w:numPr>
              <w:ind w:right="992"/>
            </w:pPr>
            <w:r>
              <w:t>RA2+</w:t>
            </w:r>
            <w:r w:rsidR="00EA0DF8">
              <w:t>MRC</w:t>
            </w:r>
            <w:r w:rsidR="004E2B47">
              <w:t>1</w:t>
            </w:r>
          </w:p>
          <w:p w14:paraId="2ADBB59A" w14:textId="48B684EB" w:rsidR="004E2B47" w:rsidRDefault="004E2B47" w:rsidP="00DF7798">
            <w:pPr>
              <w:pStyle w:val="Bulletlevel1"/>
              <w:keepNext/>
              <w:keepLines/>
              <w:numPr>
                <w:ilvl w:val="0"/>
                <w:numId w:val="29"/>
              </w:numPr>
              <w:ind w:right="992"/>
            </w:pPr>
            <w:r>
              <w:t>RA</w:t>
            </w:r>
            <w:r w:rsidR="006A7500">
              <w:t>1</w:t>
            </w:r>
          </w:p>
        </w:tc>
        <w:tc>
          <w:tcPr>
            <w:tcW w:w="1984" w:type="dxa"/>
            <w:gridSpan w:val="2"/>
          </w:tcPr>
          <w:p w14:paraId="070C24EE" w14:textId="77777777" w:rsidR="008D3ADD" w:rsidRDefault="009D2135" w:rsidP="00DF7798">
            <w:pPr>
              <w:pStyle w:val="Bulletlevel1"/>
              <w:keepNext/>
              <w:keepLines/>
              <w:numPr>
                <w:ilvl w:val="0"/>
                <w:numId w:val="30"/>
              </w:numPr>
              <w:ind w:right="992"/>
            </w:pPr>
            <w:r>
              <w:t>Metropolitan</w:t>
            </w:r>
          </w:p>
          <w:p w14:paraId="49D2A079" w14:textId="1C2494A4" w:rsidR="009D2135" w:rsidRDefault="009D2135" w:rsidP="00DF7798">
            <w:pPr>
              <w:pStyle w:val="Bulletlevel1"/>
              <w:keepNext/>
              <w:keepLines/>
              <w:numPr>
                <w:ilvl w:val="0"/>
                <w:numId w:val="30"/>
              </w:numPr>
              <w:ind w:right="992"/>
            </w:pPr>
            <w:r>
              <w:t>RA2+MRC1</w:t>
            </w:r>
          </w:p>
        </w:tc>
      </w:tr>
    </w:tbl>
    <w:p w14:paraId="2D7D15B9" w14:textId="77777777" w:rsidR="001008E0" w:rsidRDefault="001008E0" w:rsidP="00263BEA">
      <w:pPr>
        <w:pStyle w:val="Bulletlevel1"/>
        <w:numPr>
          <w:ilvl w:val="0"/>
          <w:numId w:val="0"/>
        </w:numPr>
        <w:ind w:right="992"/>
      </w:pPr>
    </w:p>
    <w:p w14:paraId="27751BBA" w14:textId="5F543D4D" w:rsidR="006B5D33" w:rsidRDefault="006B5D33" w:rsidP="00263BEA">
      <w:pPr>
        <w:pStyle w:val="Bulletlevel1"/>
        <w:numPr>
          <w:ilvl w:val="0"/>
          <w:numId w:val="0"/>
        </w:numPr>
        <w:ind w:right="992"/>
      </w:pPr>
      <w:r>
        <w:t xml:space="preserve">An example </w:t>
      </w:r>
      <w:r w:rsidR="00E02000">
        <w:t>of these options is s</w:t>
      </w:r>
      <w:r w:rsidR="007173AA">
        <w:t xml:space="preserve">hown in Figures </w:t>
      </w:r>
      <w:r w:rsidR="00A25CD8" w:rsidRPr="00944835">
        <w:t xml:space="preserve">8 </w:t>
      </w:r>
      <w:r w:rsidR="007173AA" w:rsidRPr="00944835">
        <w:t xml:space="preserve">and </w:t>
      </w:r>
      <w:r w:rsidR="00A25CD8" w:rsidRPr="00944835">
        <w:t>9</w:t>
      </w:r>
      <w:r w:rsidR="00A25CD8">
        <w:t xml:space="preserve"> </w:t>
      </w:r>
      <w:r w:rsidR="007173AA">
        <w:t>below.</w:t>
      </w:r>
    </w:p>
    <w:p w14:paraId="3DC09DAC" w14:textId="77777777" w:rsidR="00DD6E67" w:rsidRDefault="00DD6E67" w:rsidP="00263BEA">
      <w:pPr>
        <w:pStyle w:val="Bulletlevel1"/>
        <w:numPr>
          <w:ilvl w:val="0"/>
          <w:numId w:val="0"/>
        </w:numPr>
        <w:ind w:right="992"/>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103"/>
      </w:tblGrid>
      <w:tr w:rsidR="001A45E0" w14:paraId="03645B75" w14:textId="77777777" w:rsidTr="00944835">
        <w:tc>
          <w:tcPr>
            <w:tcW w:w="4678" w:type="dxa"/>
          </w:tcPr>
          <w:p w14:paraId="7E270CFE" w14:textId="240A17A4" w:rsidR="001A45E0" w:rsidRDefault="001A45E0" w:rsidP="001A45E0">
            <w:pPr>
              <w:pStyle w:val="Figureheading"/>
            </w:pPr>
            <w:r>
              <w:t xml:space="preserve">2 lots option, Brisbane </w:t>
            </w:r>
            <w:r w:rsidR="00DD6E67">
              <w:br/>
            </w:r>
            <w:r>
              <w:t>3700–3750 MHz</w:t>
            </w:r>
          </w:p>
          <w:p w14:paraId="3B2A5B78" w14:textId="77777777" w:rsidR="001A45E0" w:rsidRDefault="001A45E0" w:rsidP="001A45E0">
            <w:pPr>
              <w:pStyle w:val="Paragraph"/>
            </w:pPr>
            <w:r>
              <w:rPr>
                <w:noProof/>
              </w:rPr>
              <w:drawing>
                <wp:inline distT="0" distB="0" distL="0" distR="0" wp14:anchorId="4D8AA630" wp14:editId="4777E8A9">
                  <wp:extent cx="2829421" cy="3207224"/>
                  <wp:effectExtent l="0" t="0" r="9525" b="0"/>
                  <wp:docPr id="35" name="Picture 35" descr="Figure 8: 2 lots option, Brisbane 3700–3750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8: 2 lots option, Brisbane 3700–3750 MH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6644" cy="3215412"/>
                          </a:xfrm>
                          <a:prstGeom prst="rect">
                            <a:avLst/>
                          </a:prstGeom>
                          <a:noFill/>
                        </pic:spPr>
                      </pic:pic>
                    </a:graphicData>
                  </a:graphic>
                </wp:inline>
              </w:drawing>
            </w:r>
          </w:p>
          <w:p w14:paraId="6303D359" w14:textId="77777777" w:rsidR="001A45E0" w:rsidRDefault="001A45E0" w:rsidP="001A45E0">
            <w:pPr>
              <w:pStyle w:val="Tableorfigurenotemultiple"/>
            </w:pPr>
            <w:r w:rsidRPr="00F87169">
              <w:t>Green – metropolitan, Orange – regional (RA1+RA2+MRC1)</w:t>
            </w:r>
          </w:p>
          <w:p w14:paraId="433753E4" w14:textId="77777777" w:rsidR="001A45E0" w:rsidRDefault="001A45E0" w:rsidP="00DE4A71">
            <w:pPr>
              <w:pStyle w:val="Tableorfigurenote"/>
              <w:ind w:right="992"/>
            </w:pPr>
          </w:p>
        </w:tc>
        <w:tc>
          <w:tcPr>
            <w:tcW w:w="5103" w:type="dxa"/>
          </w:tcPr>
          <w:p w14:paraId="0A82648F" w14:textId="77777777" w:rsidR="001A45E0" w:rsidRDefault="001A45E0" w:rsidP="001A45E0">
            <w:pPr>
              <w:pStyle w:val="Figureheading"/>
            </w:pPr>
            <w:r>
              <w:t>3 lots option, Brisbane 3700–3750 MHz</w:t>
            </w:r>
          </w:p>
          <w:p w14:paraId="47588AEE" w14:textId="77777777" w:rsidR="001A45E0" w:rsidRDefault="001A45E0" w:rsidP="001A45E0">
            <w:pPr>
              <w:pStyle w:val="Paragraph"/>
            </w:pPr>
            <w:r>
              <w:rPr>
                <w:noProof/>
              </w:rPr>
              <w:drawing>
                <wp:inline distT="0" distB="0" distL="0" distR="0" wp14:anchorId="073DEF14" wp14:editId="6E0998EC">
                  <wp:extent cx="2934269" cy="3531062"/>
                  <wp:effectExtent l="0" t="0" r="0" b="0"/>
                  <wp:docPr id="37" name="Picture 37" descr="Figure 9: 3 lots option, Brisbane 3700–3750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9: 3 lots option, Brisbane 3700–3750 MHz"/>
                          <pic:cNvPicPr/>
                        </pic:nvPicPr>
                        <pic:blipFill>
                          <a:blip r:embed="rId60">
                            <a:extLst>
                              <a:ext uri="{28A0092B-C50C-407E-A947-70E740481C1C}">
                                <a14:useLocalDpi xmlns:a14="http://schemas.microsoft.com/office/drawing/2010/main" val="0"/>
                              </a:ext>
                            </a:extLst>
                          </a:blip>
                          <a:stretch>
                            <a:fillRect/>
                          </a:stretch>
                        </pic:blipFill>
                        <pic:spPr>
                          <a:xfrm>
                            <a:off x="0" y="0"/>
                            <a:ext cx="2976495" cy="3581876"/>
                          </a:xfrm>
                          <a:prstGeom prst="rect">
                            <a:avLst/>
                          </a:prstGeom>
                        </pic:spPr>
                      </pic:pic>
                    </a:graphicData>
                  </a:graphic>
                </wp:inline>
              </w:drawing>
            </w:r>
          </w:p>
          <w:p w14:paraId="3C9A3808" w14:textId="5DEB0D37" w:rsidR="001A45E0" w:rsidRDefault="001A45E0" w:rsidP="00DE4A71">
            <w:pPr>
              <w:pStyle w:val="Tableorfigurenote"/>
              <w:ind w:right="-285"/>
            </w:pPr>
            <w:r>
              <w:t>Green – metropolitan, Red –regional (RA2+MRC1), Blue – rural (RA1)</w:t>
            </w:r>
          </w:p>
        </w:tc>
      </w:tr>
    </w:tbl>
    <w:p w14:paraId="01AD1F11" w14:textId="59D2FD3B" w:rsidR="00816B0F" w:rsidRDefault="00ED516D" w:rsidP="00263BEA">
      <w:pPr>
        <w:pStyle w:val="Paragraph"/>
        <w:ind w:right="992"/>
      </w:pPr>
      <w:r>
        <w:t xml:space="preserve">Stakeholders expressed clear support for the 2 lots option. </w:t>
      </w:r>
      <w:r w:rsidR="00CF1E22">
        <w:t>T</w:t>
      </w:r>
      <w:r w:rsidR="003D4CFA">
        <w:t>h</w:t>
      </w:r>
      <w:r w:rsidR="003C0AB0">
        <w:t>is view</w:t>
      </w:r>
      <w:r w:rsidR="003D4CFA">
        <w:t xml:space="preserve"> </w:t>
      </w:r>
      <w:r w:rsidR="00A95317">
        <w:t>prioritise</w:t>
      </w:r>
      <w:r w:rsidR="003C0AB0">
        <w:t>s</w:t>
      </w:r>
      <w:r w:rsidR="00A95317">
        <w:t xml:space="preserve"> the ability to defragment </w:t>
      </w:r>
      <w:r w:rsidR="002D2E96">
        <w:t xml:space="preserve">the </w:t>
      </w:r>
      <w:r w:rsidR="00961E73">
        <w:t xml:space="preserve">3.7 GHz </w:t>
      </w:r>
      <w:r w:rsidR="002D2E96">
        <w:t xml:space="preserve">band </w:t>
      </w:r>
      <w:r w:rsidR="00961E73">
        <w:t xml:space="preserve">with </w:t>
      </w:r>
      <w:r w:rsidR="00057FE8">
        <w:t>existing</w:t>
      </w:r>
      <w:r w:rsidR="00A95317">
        <w:t xml:space="preserve"> holdings </w:t>
      </w:r>
      <w:r w:rsidR="00E306C2">
        <w:t xml:space="preserve">in </w:t>
      </w:r>
      <w:r w:rsidR="006872C2">
        <w:t xml:space="preserve">the 3.6 GHz band </w:t>
      </w:r>
      <w:r w:rsidR="00E306C2">
        <w:t>over</w:t>
      </w:r>
      <w:r w:rsidR="006872C2">
        <w:t xml:space="preserve"> expressing differential demand between the </w:t>
      </w:r>
      <w:r w:rsidR="00BE60C0">
        <w:t>regional (</w:t>
      </w:r>
      <w:r w:rsidR="00E83F01">
        <w:t>RA2+MRC</w:t>
      </w:r>
      <w:r w:rsidR="00032BD7">
        <w:t>1</w:t>
      </w:r>
      <w:r w:rsidR="006C1BF7">
        <w:t xml:space="preserve">) and rural (RA1) lots. </w:t>
      </w:r>
      <w:r w:rsidR="00036E96">
        <w:t xml:space="preserve">It also means that </w:t>
      </w:r>
      <w:r w:rsidR="009059D9">
        <w:t xml:space="preserve">any </w:t>
      </w:r>
      <w:r w:rsidR="00036E96">
        <w:t xml:space="preserve">bidders </w:t>
      </w:r>
      <w:r w:rsidR="005E3DC3">
        <w:t xml:space="preserve">with </w:t>
      </w:r>
      <w:r w:rsidR="00051BC4">
        <w:t xml:space="preserve">specific </w:t>
      </w:r>
      <w:r w:rsidR="005E3DC3">
        <w:t>demand for spectrum in urban fringe areas</w:t>
      </w:r>
      <w:r w:rsidR="0017038C">
        <w:t xml:space="preserve"> </w:t>
      </w:r>
      <w:r w:rsidR="007B172E">
        <w:t xml:space="preserve">will </w:t>
      </w:r>
      <w:r w:rsidR="0053517A">
        <w:t xml:space="preserve">only </w:t>
      </w:r>
      <w:r w:rsidR="007B172E">
        <w:t xml:space="preserve">be able to </w:t>
      </w:r>
      <w:r w:rsidR="00E10849">
        <w:t>bid for that spectrum</w:t>
      </w:r>
      <w:r w:rsidR="00DC5A5B">
        <w:t xml:space="preserve"> in</w:t>
      </w:r>
      <w:r w:rsidR="00D33E0B">
        <w:t xml:space="preserve"> </w:t>
      </w:r>
      <w:r w:rsidR="00554ACB">
        <w:t>the 37</w:t>
      </w:r>
      <w:r w:rsidR="00D634E7">
        <w:t>5</w:t>
      </w:r>
      <w:r w:rsidR="00554ACB">
        <w:t>0</w:t>
      </w:r>
      <w:r w:rsidR="009A5D4A">
        <w:t>–</w:t>
      </w:r>
      <w:r w:rsidR="00554ACB">
        <w:t>37</w:t>
      </w:r>
      <w:r w:rsidR="00D634E7">
        <w:t>8</w:t>
      </w:r>
      <w:r w:rsidR="00554ACB">
        <w:t>0 MHz range</w:t>
      </w:r>
      <w:r w:rsidR="007245D8">
        <w:t>.</w:t>
      </w:r>
      <w:r w:rsidR="00945B5F">
        <w:t xml:space="preserve"> Any bidders who </w:t>
      </w:r>
      <w:r w:rsidR="00813D16">
        <w:t>wish to obtain urban fringe spectrum in the 3700</w:t>
      </w:r>
      <w:r w:rsidR="009A5D4A">
        <w:t>–</w:t>
      </w:r>
      <w:r w:rsidR="00813D16">
        <w:t xml:space="preserve">3750 MHz </w:t>
      </w:r>
      <w:r w:rsidR="00B9509C">
        <w:t xml:space="preserve">range must also bid for </w:t>
      </w:r>
      <w:r w:rsidR="00634D73">
        <w:t xml:space="preserve">the surrounding </w:t>
      </w:r>
      <w:r w:rsidR="003F3AD2">
        <w:t>rural areas.</w:t>
      </w:r>
    </w:p>
    <w:p w14:paraId="4B0CC550" w14:textId="0E4996C1" w:rsidR="008F3A99" w:rsidRPr="005D0B5D" w:rsidRDefault="00B349D8" w:rsidP="00263BEA">
      <w:pPr>
        <w:pStyle w:val="Paragraph"/>
        <w:ind w:right="992"/>
      </w:pPr>
      <w:r>
        <w:t>Th</w:t>
      </w:r>
      <w:r w:rsidR="001D010B">
        <w:t>e 2 lots option increase</w:t>
      </w:r>
      <w:r w:rsidR="005A67F8">
        <w:t>s</w:t>
      </w:r>
      <w:r w:rsidR="001D010B">
        <w:t xml:space="preserve"> </w:t>
      </w:r>
      <w:r w:rsidR="00A73A93">
        <w:t xml:space="preserve">auction complexity because allocation limits must be applied across different geographic areas </w:t>
      </w:r>
      <w:r w:rsidR="00A73A93" w:rsidRPr="00DF7798">
        <w:t>within</w:t>
      </w:r>
      <w:r w:rsidR="00A73A93">
        <w:t xml:space="preserve"> the 3.7 GHz band</w:t>
      </w:r>
      <w:r w:rsidR="00B17E70">
        <w:t xml:space="preserve"> as well as </w:t>
      </w:r>
      <w:r w:rsidR="005A67F8" w:rsidRPr="00DF7798">
        <w:t>between</w:t>
      </w:r>
      <w:r w:rsidR="005A67F8">
        <w:t xml:space="preserve"> the 3.4 GHz and 3.7 GHz bands. </w:t>
      </w:r>
      <w:r w:rsidR="00160FAB">
        <w:t>W</w:t>
      </w:r>
      <w:r w:rsidR="00B34660">
        <w:t xml:space="preserve">e </w:t>
      </w:r>
      <w:r w:rsidR="00124526">
        <w:t xml:space="preserve">consider that </w:t>
      </w:r>
      <w:r w:rsidR="00985E9A">
        <w:t xml:space="preserve">a 30% </w:t>
      </w:r>
      <w:r w:rsidR="00947B7B">
        <w:t xml:space="preserve">insignificant holdings </w:t>
      </w:r>
      <w:r w:rsidR="00985E9A">
        <w:t>threshold</w:t>
      </w:r>
      <w:r w:rsidR="00B37632">
        <w:t xml:space="preserve"> </w:t>
      </w:r>
      <w:r w:rsidR="00AD24A6">
        <w:t>will enable</w:t>
      </w:r>
      <w:r w:rsidR="00411858">
        <w:t xml:space="preserve"> application of </w:t>
      </w:r>
      <w:r w:rsidR="00160FAB">
        <w:t xml:space="preserve">an </w:t>
      </w:r>
      <w:r w:rsidR="00411858">
        <w:t>allocation limi</w:t>
      </w:r>
      <w:r w:rsidR="0034047D">
        <w:t>t</w:t>
      </w:r>
      <w:r w:rsidR="00411858">
        <w:t xml:space="preserve"> across these areas without </w:t>
      </w:r>
      <w:r w:rsidR="00411858">
        <w:lastRenderedPageBreak/>
        <w:t xml:space="preserve">unfairly advantaging or restricting any potential bidder. </w:t>
      </w:r>
      <w:r w:rsidR="005C35F1">
        <w:t>Therefore, we have adopted the 2 lots option as our preliminary view in the draft marketing plan.</w:t>
      </w:r>
    </w:p>
    <w:p w14:paraId="431EB60C" w14:textId="4230016B" w:rsidR="00924C08" w:rsidRDefault="008C11FE" w:rsidP="00263BEA">
      <w:pPr>
        <w:pStyle w:val="Heading4"/>
        <w:ind w:right="992"/>
      </w:pPr>
      <w:r>
        <w:t xml:space="preserve">Metropolitan </w:t>
      </w:r>
      <w:r w:rsidR="00B8281D">
        <w:t>areas</w:t>
      </w:r>
    </w:p>
    <w:p w14:paraId="2A7F0336" w14:textId="3A7DA565" w:rsidR="00B5173B" w:rsidRPr="00B5173B" w:rsidRDefault="00BE691E" w:rsidP="00263BEA">
      <w:pPr>
        <w:ind w:right="992"/>
      </w:pPr>
      <w:r>
        <w:t xml:space="preserve">Our preliminary view is to </w:t>
      </w:r>
      <w:r w:rsidR="008B0B85">
        <w:t xml:space="preserve">configure the metropolitan areas (Brisbane, Sydney, Canberra, </w:t>
      </w:r>
      <w:r w:rsidR="003A143C">
        <w:t>Melbourne, Hobart, Adela</w:t>
      </w:r>
      <w:r w:rsidR="00B3349C">
        <w:t xml:space="preserve">ide and Perth) as separate lots. </w:t>
      </w:r>
      <w:r w:rsidR="00F5293D">
        <w:t xml:space="preserve">Stakeholders who addressed this issue in their submissions supported </w:t>
      </w:r>
      <w:r w:rsidR="00D535BB">
        <w:t>configuring the metropolitan areas as separate lots</w:t>
      </w:r>
      <w:r w:rsidR="00FF0AB6">
        <w:t xml:space="preserve">. </w:t>
      </w:r>
      <w:r w:rsidR="00286853">
        <w:t xml:space="preserve">Existing licensees have different </w:t>
      </w:r>
      <w:r w:rsidR="00D24071">
        <w:t>spectrum holdings across the metropolitan areas</w:t>
      </w:r>
      <w:r w:rsidR="00697332">
        <w:t xml:space="preserve">. </w:t>
      </w:r>
      <w:r w:rsidR="001C048A" w:rsidRPr="001C048A">
        <w:t>Therefore, offering the metropolitan areas as independent products will enable bidders to balance their metropolitan holdings (if they so choose) and express differential demand.</w:t>
      </w:r>
    </w:p>
    <w:p w14:paraId="353FF0D8" w14:textId="129BD7D0" w:rsidR="008C11FE" w:rsidRDefault="00E07EA3" w:rsidP="00DF7798">
      <w:pPr>
        <w:pStyle w:val="Heading4"/>
        <w:keepNext/>
        <w:keepLines/>
        <w:ind w:right="992"/>
      </w:pPr>
      <w:r>
        <w:t>Regional WA aggregation</w:t>
      </w:r>
    </w:p>
    <w:p w14:paraId="6AD5602D" w14:textId="025A5EE6" w:rsidR="00B5173B" w:rsidRDefault="00682DB8" w:rsidP="00DF7798">
      <w:pPr>
        <w:keepNext/>
        <w:keepLines/>
        <w:ind w:right="992"/>
      </w:pPr>
      <w:r w:rsidRPr="00682DB8">
        <w:t xml:space="preserve">For historical reasons, in the 3.4 GHz band the regional areas surrounding Perth are split into 2 distinct areas: Regional WA central and Regional WA south, as shown in </w:t>
      </w:r>
      <w:r w:rsidRPr="00CB0613">
        <w:t xml:space="preserve">Figure </w:t>
      </w:r>
      <w:r w:rsidR="001662DE" w:rsidRPr="00CB0613">
        <w:t>10</w:t>
      </w:r>
      <w:r w:rsidR="001662DE" w:rsidRPr="00682DB8">
        <w:t xml:space="preserve"> </w:t>
      </w:r>
      <w:r w:rsidRPr="00682DB8">
        <w:t>below.</w:t>
      </w:r>
    </w:p>
    <w:p w14:paraId="58EFB492" w14:textId="7851CFC5" w:rsidR="00BE5374" w:rsidRDefault="00BE5374" w:rsidP="006F03AA">
      <w:pPr>
        <w:pStyle w:val="Figureheading"/>
      </w:pPr>
      <w:r>
        <w:t xml:space="preserve">Regional </w:t>
      </w:r>
      <w:r w:rsidR="00115B2C">
        <w:t xml:space="preserve">WA central </w:t>
      </w:r>
      <w:r w:rsidR="007A28CB">
        <w:t xml:space="preserve">(blue) </w:t>
      </w:r>
      <w:r w:rsidR="00115B2C">
        <w:t>and Regional WA south</w:t>
      </w:r>
      <w:r w:rsidR="007A28CB">
        <w:t xml:space="preserve"> (green)</w:t>
      </w:r>
    </w:p>
    <w:p w14:paraId="435AA22B" w14:textId="0BF31792" w:rsidR="00C04673" w:rsidRDefault="001E7891" w:rsidP="00C04673">
      <w:pPr>
        <w:pStyle w:val="Paragraph"/>
      </w:pPr>
      <w:r>
        <w:rPr>
          <w:noProof/>
          <w:sz w:val="22"/>
          <w:szCs w:val="22"/>
        </w:rPr>
        <w:drawing>
          <wp:inline distT="0" distB="0" distL="0" distR="0" wp14:anchorId="2A0A2792" wp14:editId="78ABD4DD">
            <wp:extent cx="2160325" cy="3739486"/>
            <wp:effectExtent l="0" t="0" r="0" b="0"/>
            <wp:docPr id="12" name="Picture 12" descr="Figure 10: Regional WA Central (blue) and Regional WA Sout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Regional WA Central (blue) and Regional WA South (green)"/>
                    <pic:cNvPicPr/>
                  </pic:nvPicPr>
                  <pic:blipFill>
                    <a:blip r:embed="rId61">
                      <a:extLst>
                        <a:ext uri="{28A0092B-C50C-407E-A947-70E740481C1C}">
                          <a14:useLocalDpi xmlns:a14="http://schemas.microsoft.com/office/drawing/2010/main" val="0"/>
                        </a:ext>
                      </a:extLst>
                    </a:blip>
                    <a:stretch>
                      <a:fillRect/>
                    </a:stretch>
                  </pic:blipFill>
                  <pic:spPr>
                    <a:xfrm>
                      <a:off x="0" y="0"/>
                      <a:ext cx="2172695" cy="3760898"/>
                    </a:xfrm>
                    <a:prstGeom prst="rect">
                      <a:avLst/>
                    </a:prstGeom>
                  </pic:spPr>
                </pic:pic>
              </a:graphicData>
            </a:graphic>
          </wp:inline>
        </w:drawing>
      </w:r>
    </w:p>
    <w:p w14:paraId="4E9B7426" w14:textId="4DB4AFE9" w:rsidR="00E46A3B" w:rsidRDefault="00573671" w:rsidP="00263BEA">
      <w:pPr>
        <w:pStyle w:val="Paragraphbeforelist"/>
        <w:ind w:right="992"/>
      </w:pPr>
      <w:r>
        <w:t>T</w:t>
      </w:r>
      <w:r w:rsidR="00E46A3B">
        <w:t>he following spectrum is available in each area</w:t>
      </w:r>
      <w:r w:rsidR="00665739">
        <w:t>:</w:t>
      </w:r>
    </w:p>
    <w:p w14:paraId="781DE025" w14:textId="2DA9E7D9" w:rsidR="00665739" w:rsidRDefault="331DA938" w:rsidP="00DF7798">
      <w:pPr>
        <w:pStyle w:val="Bulletlevel1"/>
        <w:ind w:right="992"/>
      </w:pPr>
      <w:r>
        <w:t>3.4 GHz</w:t>
      </w:r>
      <w:r w:rsidR="6460BB3D">
        <w:t>:</w:t>
      </w:r>
    </w:p>
    <w:p w14:paraId="6635BEA6" w14:textId="31F4F29B" w:rsidR="000E59FB" w:rsidRDefault="000E59FB" w:rsidP="00DF7798">
      <w:pPr>
        <w:pStyle w:val="Bulletlevel2"/>
        <w:ind w:right="992"/>
      </w:pPr>
      <w:r>
        <w:t xml:space="preserve">Regional WA south: </w:t>
      </w:r>
      <w:r w:rsidR="008828BB">
        <w:t>3475</w:t>
      </w:r>
      <w:r w:rsidR="00832045">
        <w:t>–</w:t>
      </w:r>
      <w:r w:rsidR="008828BB">
        <w:t>3510 MHz</w:t>
      </w:r>
    </w:p>
    <w:p w14:paraId="5AFD2CEC" w14:textId="16573587" w:rsidR="008828BB" w:rsidRDefault="008828BB" w:rsidP="00DF7798">
      <w:pPr>
        <w:pStyle w:val="Bulletlevel2"/>
        <w:ind w:right="992"/>
      </w:pPr>
      <w:r>
        <w:t xml:space="preserve">Regional </w:t>
      </w:r>
      <w:r w:rsidR="00151CFF">
        <w:t xml:space="preserve">WA central: </w:t>
      </w:r>
      <w:r w:rsidR="007324EB">
        <w:t>3475</w:t>
      </w:r>
      <w:r w:rsidR="00832045">
        <w:t>–</w:t>
      </w:r>
      <w:r w:rsidR="007324EB">
        <w:t>3575 MHz</w:t>
      </w:r>
    </w:p>
    <w:p w14:paraId="4E398FD2" w14:textId="77777777" w:rsidR="00675573" w:rsidRDefault="6BF43B0D" w:rsidP="00DF7798">
      <w:pPr>
        <w:pStyle w:val="Bulletlevel1"/>
        <w:ind w:right="992"/>
      </w:pPr>
      <w:r>
        <w:t xml:space="preserve">3.7 GHz: </w:t>
      </w:r>
    </w:p>
    <w:p w14:paraId="3980B502" w14:textId="1F24E5A4" w:rsidR="007324EB" w:rsidRDefault="005162E2" w:rsidP="00DF7798">
      <w:pPr>
        <w:pStyle w:val="Bulletlevel2last"/>
        <w:ind w:right="992"/>
      </w:pPr>
      <w:r>
        <w:t>3700</w:t>
      </w:r>
      <w:r w:rsidR="00832045">
        <w:t>–</w:t>
      </w:r>
      <w:r>
        <w:t>3800</w:t>
      </w:r>
      <w:r w:rsidR="00173A51">
        <w:t xml:space="preserve"> MHz in both</w:t>
      </w:r>
      <w:r w:rsidR="008E40F5">
        <w:t xml:space="preserve"> of the above</w:t>
      </w:r>
      <w:r w:rsidR="00173A51">
        <w:t xml:space="preserve"> areas</w:t>
      </w:r>
      <w:r w:rsidR="005B42BA">
        <w:t>.</w:t>
      </w:r>
    </w:p>
    <w:p w14:paraId="54C3FFC7" w14:textId="5C340DAB" w:rsidR="00145180" w:rsidRDefault="008B7C6D" w:rsidP="00DF7798">
      <w:pPr>
        <w:pStyle w:val="Bulletlevel1last"/>
        <w:numPr>
          <w:ilvl w:val="0"/>
          <w:numId w:val="0"/>
        </w:numPr>
        <w:ind w:right="992"/>
      </w:pPr>
      <w:r>
        <w:t>In tune-up submissions, a</w:t>
      </w:r>
      <w:r w:rsidR="000F6A2D">
        <w:t xml:space="preserve">ll stakeholders supported </w:t>
      </w:r>
      <w:r w:rsidR="00015659">
        <w:t xml:space="preserve">aggregating the </w:t>
      </w:r>
      <w:r w:rsidR="00633807">
        <w:t xml:space="preserve">Regional WA </w:t>
      </w:r>
      <w:r w:rsidR="008E40F5">
        <w:t xml:space="preserve">areas </w:t>
      </w:r>
      <w:r w:rsidR="00633807">
        <w:t xml:space="preserve">in the </w:t>
      </w:r>
      <w:r w:rsidR="002E611D">
        <w:t xml:space="preserve">3.7 GHz </w:t>
      </w:r>
      <w:r w:rsidR="00857DEC">
        <w:t xml:space="preserve">band. </w:t>
      </w:r>
      <w:r w:rsidR="00D6525C">
        <w:t xml:space="preserve">A majority of stakeholders supported </w:t>
      </w:r>
      <w:r w:rsidR="000C4EAA">
        <w:t xml:space="preserve">aggregating the </w:t>
      </w:r>
      <w:r w:rsidR="008E40F5">
        <w:t xml:space="preserve">areas </w:t>
      </w:r>
      <w:r w:rsidR="000C4EAA">
        <w:t xml:space="preserve">in the </w:t>
      </w:r>
      <w:r w:rsidR="002E611D">
        <w:t>3.4 GHz band</w:t>
      </w:r>
      <w:r w:rsidR="00CF0F2C">
        <w:t>,</w:t>
      </w:r>
      <w:r w:rsidR="000828B3">
        <w:t xml:space="preserve"> but</w:t>
      </w:r>
      <w:r w:rsidR="00821BAB">
        <w:t xml:space="preserve"> a minority </w:t>
      </w:r>
      <w:r w:rsidR="004E1625">
        <w:t xml:space="preserve">supported </w:t>
      </w:r>
      <w:r w:rsidR="0065218E">
        <w:t>separate products</w:t>
      </w:r>
      <w:r w:rsidR="00571085">
        <w:t xml:space="preserve"> to address different</w:t>
      </w:r>
      <w:r w:rsidR="0063572D">
        <w:t xml:space="preserve">ial holdings between the </w:t>
      </w:r>
      <w:r w:rsidR="00F54B4C">
        <w:t xml:space="preserve">2 </w:t>
      </w:r>
      <w:r w:rsidR="0063572D">
        <w:t>are</w:t>
      </w:r>
      <w:r w:rsidR="00145180">
        <w:t>a</w:t>
      </w:r>
      <w:r w:rsidR="0063572D">
        <w:t xml:space="preserve">s. </w:t>
      </w:r>
    </w:p>
    <w:p w14:paraId="7CC2F82D" w14:textId="33F6955D" w:rsidR="00DE57E8" w:rsidRDefault="00DE57E8" w:rsidP="00DF7798">
      <w:pPr>
        <w:pStyle w:val="Bulletlevel1last"/>
        <w:numPr>
          <w:ilvl w:val="0"/>
          <w:numId w:val="0"/>
        </w:numPr>
        <w:ind w:right="992"/>
      </w:pPr>
      <w:r>
        <w:lastRenderedPageBreak/>
        <w:t>In the 3.6 GHz band (3575</w:t>
      </w:r>
      <w:r w:rsidR="00832045">
        <w:t>–</w:t>
      </w:r>
      <w:r>
        <w:t xml:space="preserve">3700 MHz), these areas are aggregated into a single region. Our preference would be to aggregate both areas across the whole </w:t>
      </w:r>
      <w:r w:rsidR="00E061AC">
        <w:br/>
      </w:r>
      <w:r>
        <w:t>3400</w:t>
      </w:r>
      <w:r w:rsidR="00832045">
        <w:t>–</w:t>
      </w:r>
      <w:r>
        <w:t xml:space="preserve">3800 MHz frequency range. </w:t>
      </w:r>
      <w:r w:rsidRPr="00C12052">
        <w:t>This would enable a licensee to achieve a contiguous geographic holding in these frequency ranges, thus increasing spectrum utility by removing the geographic boundary</w:t>
      </w:r>
      <w:r w:rsidR="00374D68">
        <w:t xml:space="preserve"> between the </w:t>
      </w:r>
      <w:r w:rsidR="00F54B4C">
        <w:t xml:space="preserve">2 </w:t>
      </w:r>
      <w:r w:rsidR="00374D68">
        <w:t>areas</w:t>
      </w:r>
      <w:r w:rsidRPr="00C12052">
        <w:t xml:space="preserve"> and any need for interference management at that boundary. </w:t>
      </w:r>
      <w:r w:rsidR="00BD7DD3">
        <w:t xml:space="preserve">However, the different level of </w:t>
      </w:r>
      <w:r w:rsidR="00EA68A5">
        <w:t xml:space="preserve">supply </w:t>
      </w:r>
      <w:r w:rsidR="0083782E">
        <w:t xml:space="preserve">between the </w:t>
      </w:r>
      <w:r w:rsidR="00F54B4C">
        <w:t xml:space="preserve">2 </w:t>
      </w:r>
      <w:r w:rsidR="0083782E">
        <w:t xml:space="preserve">areas </w:t>
      </w:r>
      <w:r w:rsidR="005C5E71">
        <w:t xml:space="preserve">in the 3.4 GHz band complicates </w:t>
      </w:r>
      <w:r w:rsidR="007B14FE">
        <w:t>the ability to aggregate the products</w:t>
      </w:r>
      <w:r w:rsidR="002B2999">
        <w:t>, because the supply only overlaps in the frequency range 3475</w:t>
      </w:r>
      <w:r w:rsidR="00832045">
        <w:t>–</w:t>
      </w:r>
      <w:r w:rsidR="002B2999">
        <w:t>3510 </w:t>
      </w:r>
      <w:r w:rsidR="00F54836">
        <w:t xml:space="preserve">MHz. Therefore, our view is that the </w:t>
      </w:r>
      <w:r w:rsidR="00522DD4">
        <w:t>areas</w:t>
      </w:r>
      <w:r w:rsidR="00F54836">
        <w:t xml:space="preserve"> should be a</w:t>
      </w:r>
      <w:r w:rsidR="00522DD4">
        <w:t>n</w:t>
      </w:r>
      <w:r w:rsidR="00F54836">
        <w:t xml:space="preserve"> </w:t>
      </w:r>
      <w:r w:rsidR="00522DD4">
        <w:t>aggregated</w:t>
      </w:r>
      <w:r w:rsidR="00F54836">
        <w:t xml:space="preserve"> Regional WA product </w:t>
      </w:r>
      <w:r w:rsidR="00E061AC">
        <w:br/>
      </w:r>
      <w:r w:rsidR="00F54836">
        <w:t xml:space="preserve">in </w:t>
      </w:r>
      <w:r w:rsidR="00596A30">
        <w:t>3475</w:t>
      </w:r>
      <w:r w:rsidR="009921DB">
        <w:t>–</w:t>
      </w:r>
      <w:r w:rsidR="00596A30">
        <w:t>3510 </w:t>
      </w:r>
      <w:r w:rsidR="00E666F3">
        <w:t xml:space="preserve">MHz, and </w:t>
      </w:r>
      <w:r w:rsidR="00522DD4">
        <w:t xml:space="preserve">then a separate Regional WA central product in </w:t>
      </w:r>
      <w:r w:rsidR="00E061AC">
        <w:br/>
      </w:r>
      <w:r w:rsidR="00522DD4">
        <w:t>3510</w:t>
      </w:r>
      <w:r w:rsidR="00832045">
        <w:t>–</w:t>
      </w:r>
      <w:r w:rsidR="00522DD4">
        <w:t xml:space="preserve">3575 MHz. </w:t>
      </w:r>
      <w:r w:rsidR="001F5177">
        <w:t xml:space="preserve">This </w:t>
      </w:r>
      <w:r w:rsidR="00604DC1">
        <w:t>maxim</w:t>
      </w:r>
      <w:r w:rsidR="007E7620">
        <w:t>ises the opportunity for</w:t>
      </w:r>
      <w:r w:rsidR="00604DC1">
        <w:t xml:space="preserve"> contigu</w:t>
      </w:r>
      <w:r w:rsidR="00931066">
        <w:t>ous</w:t>
      </w:r>
      <w:r w:rsidR="00604DC1">
        <w:t xml:space="preserve"> </w:t>
      </w:r>
      <w:r w:rsidR="00931066">
        <w:t>holdings</w:t>
      </w:r>
      <w:r w:rsidR="001F5177">
        <w:t xml:space="preserve"> </w:t>
      </w:r>
      <w:r w:rsidR="007E7620">
        <w:t xml:space="preserve">while </w:t>
      </w:r>
      <w:r w:rsidR="009F70DA">
        <w:t>improving supply</w:t>
      </w:r>
      <w:r w:rsidR="002238E5">
        <w:t xml:space="preserve"> for stakeholders</w:t>
      </w:r>
      <w:r w:rsidR="005B0AA3">
        <w:t>.</w:t>
      </w:r>
    </w:p>
    <w:p w14:paraId="55C9F07C" w14:textId="77078E6A" w:rsidR="00F909C1" w:rsidRPr="00C04673" w:rsidRDefault="0034047D" w:rsidP="00DF7798">
      <w:pPr>
        <w:pStyle w:val="Bulletlevel1last"/>
        <w:numPr>
          <w:ilvl w:val="0"/>
          <w:numId w:val="0"/>
        </w:numPr>
        <w:ind w:right="992"/>
      </w:pPr>
      <w:r>
        <w:t>T</w:t>
      </w:r>
      <w:r w:rsidR="00C270BE">
        <w:t xml:space="preserve">his creates </w:t>
      </w:r>
      <w:r w:rsidR="00F37BFC">
        <w:t xml:space="preserve">complexity in applying the allocation limits </w:t>
      </w:r>
      <w:r w:rsidR="003140A7">
        <w:t xml:space="preserve">in Regional WA </w:t>
      </w:r>
      <w:r w:rsidR="00F37BFC">
        <w:t xml:space="preserve">due to the differential holdings </w:t>
      </w:r>
      <w:r w:rsidR="003140A7">
        <w:t xml:space="preserve">between the 2 areas. </w:t>
      </w:r>
      <w:r w:rsidR="004D1EDE">
        <w:t xml:space="preserve">Therefore, we have decided to </w:t>
      </w:r>
      <w:r w:rsidR="00F3785E">
        <w:t xml:space="preserve">exclude </w:t>
      </w:r>
      <w:r w:rsidR="00851AF8">
        <w:t xml:space="preserve">Regional WA central </w:t>
      </w:r>
      <w:r w:rsidR="00C2135D">
        <w:t xml:space="preserve">from </w:t>
      </w:r>
      <w:r w:rsidR="00FE0034">
        <w:t>the alloc</w:t>
      </w:r>
      <w:r w:rsidR="00C37679">
        <w:t>ation limits.</w:t>
      </w:r>
    </w:p>
    <w:p w14:paraId="5E3D8FF2" w14:textId="30F7E219" w:rsidR="00727574" w:rsidRDefault="00727574" w:rsidP="00DF7798">
      <w:pPr>
        <w:pStyle w:val="Heading4"/>
        <w:ind w:right="992"/>
      </w:pPr>
      <w:r>
        <w:t>Regional NSW north (Tamworth) aggregation</w:t>
      </w:r>
    </w:p>
    <w:p w14:paraId="68661EEB" w14:textId="1A6A5803" w:rsidR="00B5173B" w:rsidRDefault="00DE1E37" w:rsidP="00DF7798">
      <w:pPr>
        <w:ind w:right="992"/>
      </w:pPr>
      <w:r>
        <w:t>In the re-allocation declaration</w:t>
      </w:r>
      <w:r w:rsidR="00546BB1">
        <w:t xml:space="preserve">, </w:t>
      </w:r>
      <w:r w:rsidR="00841056">
        <w:t xml:space="preserve">the exclusion </w:t>
      </w:r>
      <w:r w:rsidR="00851B75">
        <w:t xml:space="preserve">of </w:t>
      </w:r>
      <w:r w:rsidR="00EA5C27">
        <w:t>the Quirindi Earth Station Protection Zone (ESPZ)</w:t>
      </w:r>
      <w:r w:rsidR="00273FCB">
        <w:t xml:space="preserve"> from re-allocation in the 3750</w:t>
      </w:r>
      <w:r w:rsidR="007A637E">
        <w:t>–</w:t>
      </w:r>
      <w:r w:rsidR="00273FCB">
        <w:t xml:space="preserve">3800 MHz </w:t>
      </w:r>
      <w:r w:rsidR="00D25D42">
        <w:t xml:space="preserve">frequency range meant Tamworth was no longer geographically adjacent to </w:t>
      </w:r>
      <w:r w:rsidR="0008627E">
        <w:t xml:space="preserve">other re-allocated areas. </w:t>
      </w:r>
    </w:p>
    <w:p w14:paraId="3DAAB308" w14:textId="559B3945" w:rsidR="00D739E6" w:rsidRDefault="00D739E6" w:rsidP="00DF7798">
      <w:pPr>
        <w:pStyle w:val="Paragraphbeforelist"/>
        <w:ind w:right="992"/>
      </w:pPr>
      <w:r>
        <w:t>A</w:t>
      </w:r>
      <w:r w:rsidR="003D4A43">
        <w:t xml:space="preserve">t the tune-up, we sought comments </w:t>
      </w:r>
      <w:r w:rsidR="008D6D23">
        <w:t xml:space="preserve">on the following proposals, as shown in </w:t>
      </w:r>
      <w:r w:rsidR="00E061AC">
        <w:br/>
      </w:r>
      <w:r w:rsidR="008D6D23" w:rsidRPr="00CB0613">
        <w:t xml:space="preserve">Figures </w:t>
      </w:r>
      <w:r w:rsidR="00DF7AE0" w:rsidRPr="00CB0613">
        <w:t xml:space="preserve">11 and </w:t>
      </w:r>
      <w:r w:rsidR="008D1AA5" w:rsidRPr="00CB0613" w:rsidDel="00DF7AE0">
        <w:t>1</w:t>
      </w:r>
      <w:r w:rsidR="00DF7AE0" w:rsidRPr="00CB0613">
        <w:t>2</w:t>
      </w:r>
      <w:r w:rsidR="008D6D23">
        <w:t xml:space="preserve"> below:</w:t>
      </w:r>
    </w:p>
    <w:p w14:paraId="3B86EAF9" w14:textId="1D6B90EF" w:rsidR="00E56FA3" w:rsidRPr="00E56FA3" w:rsidRDefault="4C10D2F6" w:rsidP="00DF7798">
      <w:pPr>
        <w:pStyle w:val="Bulletlevel1"/>
        <w:ind w:right="992"/>
      </w:pPr>
      <w:r>
        <w:t>3400</w:t>
      </w:r>
      <w:r w:rsidR="1EA9CE3B">
        <w:t>–</w:t>
      </w:r>
      <w:r>
        <w:t xml:space="preserve">3575 MHz: the small size of Tamworth and Quirindi East means it would be more efficient to aggregate them with the adjacent Regional NSW south area. Otherwise, if the products were obtained by different licensees, it would be difficult to manage interference at the area boundaries. </w:t>
      </w:r>
    </w:p>
    <w:p w14:paraId="76C45D9B" w14:textId="68E14873" w:rsidR="00622442" w:rsidRPr="00622442" w:rsidRDefault="54B190B8" w:rsidP="00DF7798">
      <w:pPr>
        <w:pStyle w:val="Bulletlevel1last"/>
        <w:ind w:right="992"/>
      </w:pPr>
      <w:r>
        <w:t>3700</w:t>
      </w:r>
      <w:r w:rsidR="1EA9CE3B">
        <w:t>–</w:t>
      </w:r>
      <w:r>
        <w:t xml:space="preserve">3750 MHz: Tamworth is no longer adjacent to the Regional NSW south area because of the exclusion of the Quirindi ESPZ. However, it is adjacent to the Rural North NSW </w:t>
      </w:r>
      <w:r w:rsidR="3DE30404">
        <w:t>/</w:t>
      </w:r>
      <w:r>
        <w:t xml:space="preserve"> South Q</w:t>
      </w:r>
      <w:r w:rsidR="00E061AC">
        <w:t>ueensland</w:t>
      </w:r>
      <w:r>
        <w:t xml:space="preserve"> area, so it would be more efficient to aggregate it with that area. </w:t>
      </w:r>
    </w:p>
    <w:p w14:paraId="269B2C02" w14:textId="56638567" w:rsidR="008D6D23" w:rsidRDefault="007B134D" w:rsidP="00DF7798">
      <w:pPr>
        <w:pStyle w:val="Figureheading"/>
        <w:ind w:right="992"/>
      </w:pPr>
      <w:r>
        <w:lastRenderedPageBreak/>
        <w:t>3400</w:t>
      </w:r>
      <w:r w:rsidR="007A637E">
        <w:t>–</w:t>
      </w:r>
      <w:r>
        <w:t xml:space="preserve">3575 MHz: </w:t>
      </w:r>
      <w:r w:rsidRPr="007B134D">
        <w:t>aggregation of Tamworth (red) with Quirindi East (yellow) and Regional NSW south (green)</w:t>
      </w:r>
    </w:p>
    <w:p w14:paraId="1402E9C0" w14:textId="24C9B9E9" w:rsidR="007B134D" w:rsidRDefault="00462814" w:rsidP="007B134D">
      <w:pPr>
        <w:pStyle w:val="Paragraph"/>
      </w:pPr>
      <w:r>
        <w:rPr>
          <w:rFonts w:asciiTheme="minorHAnsi" w:eastAsiaTheme="minorHAnsi" w:hAnsiTheme="minorHAnsi" w:cstheme="minorBidi"/>
          <w:noProof/>
          <w:sz w:val="22"/>
          <w:szCs w:val="22"/>
        </w:rPr>
        <w:drawing>
          <wp:inline distT="0" distB="0" distL="0" distR="0" wp14:anchorId="69EDD7B0" wp14:editId="0E5FF4F6">
            <wp:extent cx="3603009" cy="3293622"/>
            <wp:effectExtent l="0" t="0" r="0" b="2540"/>
            <wp:docPr id="16" name="Picture 16" descr="Figure 11: 3400–3575 MHz: aggregation of Tamworth (red) with Quirindi East (yellow) and Regional NSW Sout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1: 3400–3575 MHz: aggregation of Tamworth (red) with Quirindi East (yellow) and Regional NSW South (gree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0065" cy="3318355"/>
                    </a:xfrm>
                    <a:prstGeom prst="rect">
                      <a:avLst/>
                    </a:prstGeom>
                  </pic:spPr>
                </pic:pic>
              </a:graphicData>
            </a:graphic>
          </wp:inline>
        </w:drawing>
      </w:r>
    </w:p>
    <w:p w14:paraId="5A083230" w14:textId="5FFD1A94" w:rsidR="0023695F" w:rsidRDefault="00FF1DA0" w:rsidP="00263BEA">
      <w:pPr>
        <w:pStyle w:val="Figureheading"/>
        <w:ind w:right="992"/>
      </w:pPr>
      <w:r w:rsidRPr="00FF1DA0">
        <w:t>3700</w:t>
      </w:r>
      <w:r w:rsidR="006C46D8">
        <w:t>–</w:t>
      </w:r>
      <w:r w:rsidRPr="00FF1DA0">
        <w:t>3750 MHz: aggregation of Tamworth (red) with Rural N</w:t>
      </w:r>
      <w:r>
        <w:t>or</w:t>
      </w:r>
      <w:r w:rsidRPr="00FF1DA0">
        <w:t>th NSW / S</w:t>
      </w:r>
      <w:r>
        <w:t>ou</w:t>
      </w:r>
      <w:r w:rsidRPr="00FF1DA0">
        <w:t>th Q</w:t>
      </w:r>
      <w:r w:rsidR="00411706">
        <w:t>ueensland</w:t>
      </w:r>
      <w:r w:rsidRPr="00FF1DA0">
        <w:t xml:space="preserve"> (blue)</w:t>
      </w:r>
    </w:p>
    <w:p w14:paraId="3E2F286B" w14:textId="39091968" w:rsidR="00C169D4" w:rsidRDefault="000471A1" w:rsidP="00C169D4">
      <w:pPr>
        <w:pStyle w:val="Paragraph"/>
      </w:pPr>
      <w:r>
        <w:rPr>
          <w:noProof/>
        </w:rPr>
        <w:drawing>
          <wp:inline distT="0" distB="0" distL="0" distR="0" wp14:anchorId="2D207C14" wp14:editId="4134A620">
            <wp:extent cx="3548418" cy="3125700"/>
            <wp:effectExtent l="0" t="0" r="0" b="0"/>
            <wp:docPr id="18" name="Picture 18" descr="Figure 12: 3700–3750 MHz: aggregation of Tamworth (red) with Rural North NSW / South Queensl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2: 3700–3750 MHz: aggregation of Tamworth (red) with Rural North NSW / South Queensland (blue)"/>
                    <pic:cNvPicPr/>
                  </pic:nvPicPr>
                  <pic:blipFill>
                    <a:blip r:embed="rId63">
                      <a:extLst>
                        <a:ext uri="{28A0092B-C50C-407E-A947-70E740481C1C}">
                          <a14:useLocalDpi xmlns:a14="http://schemas.microsoft.com/office/drawing/2010/main" val="0"/>
                        </a:ext>
                      </a:extLst>
                    </a:blip>
                    <a:stretch>
                      <a:fillRect/>
                    </a:stretch>
                  </pic:blipFill>
                  <pic:spPr>
                    <a:xfrm>
                      <a:off x="0" y="0"/>
                      <a:ext cx="3553290" cy="3129991"/>
                    </a:xfrm>
                    <a:prstGeom prst="rect">
                      <a:avLst/>
                    </a:prstGeom>
                  </pic:spPr>
                </pic:pic>
              </a:graphicData>
            </a:graphic>
          </wp:inline>
        </w:drawing>
      </w:r>
    </w:p>
    <w:p w14:paraId="4E9E32B0" w14:textId="697D2E12" w:rsidR="00597474" w:rsidRDefault="003B3143" w:rsidP="00DB4442">
      <w:pPr>
        <w:pStyle w:val="Paragraph"/>
        <w:ind w:right="992"/>
      </w:pPr>
      <w:r>
        <w:t>In the 3400</w:t>
      </w:r>
      <w:r w:rsidR="006C46D8">
        <w:t>–</w:t>
      </w:r>
      <w:r>
        <w:t>3575 MHz frequency range, a</w:t>
      </w:r>
      <w:r w:rsidR="003B3617">
        <w:t xml:space="preserve"> majori</w:t>
      </w:r>
      <w:r w:rsidR="002F45DA">
        <w:t xml:space="preserve">ty of stakeholders supported our proposal </w:t>
      </w:r>
      <w:r w:rsidR="00A139B6">
        <w:t>to aggregate Tamworth with Quirindi East and Regional NSW south</w:t>
      </w:r>
      <w:r w:rsidR="0043046C">
        <w:t xml:space="preserve">, </w:t>
      </w:r>
      <w:r w:rsidR="005A7F41">
        <w:t xml:space="preserve">with some expressing </w:t>
      </w:r>
      <w:r w:rsidR="00BF3CC5">
        <w:t xml:space="preserve">concerns that existing holdings in Tamworth may prevent them bidding in the </w:t>
      </w:r>
      <w:r w:rsidR="00FB648B">
        <w:t>Rural</w:t>
      </w:r>
      <w:r w:rsidR="00CF21B3">
        <w:t xml:space="preserve"> </w:t>
      </w:r>
      <w:r w:rsidR="00C3790D">
        <w:t>Australia lots</w:t>
      </w:r>
      <w:r w:rsidR="008C5FA2">
        <w:t xml:space="preserve"> if they were aggregated</w:t>
      </w:r>
      <w:r>
        <w:t>.</w:t>
      </w:r>
      <w:r w:rsidR="00FB648B">
        <w:t xml:space="preserve"> </w:t>
      </w:r>
      <w:r w:rsidR="00DE27E4">
        <w:t xml:space="preserve">A minority supported </w:t>
      </w:r>
      <w:r w:rsidR="002B2E5B">
        <w:t xml:space="preserve">aggregating Tamworth </w:t>
      </w:r>
      <w:r w:rsidR="00586CBC">
        <w:t xml:space="preserve">with Rural </w:t>
      </w:r>
      <w:r w:rsidR="00C3790D">
        <w:t>Australia</w:t>
      </w:r>
      <w:r w:rsidR="009575C3">
        <w:t xml:space="preserve"> to assist with achieving defragmentation across the wider band.</w:t>
      </w:r>
    </w:p>
    <w:p w14:paraId="588C62E9" w14:textId="6505C3C3" w:rsidR="001B2131" w:rsidRDefault="001F764F" w:rsidP="00DB4442">
      <w:pPr>
        <w:pStyle w:val="Paragraph"/>
        <w:ind w:right="992"/>
      </w:pPr>
      <w:r>
        <w:lastRenderedPageBreak/>
        <w:t xml:space="preserve">Our </w:t>
      </w:r>
      <w:r w:rsidR="0092719D">
        <w:t xml:space="preserve">proposal </w:t>
      </w:r>
      <w:r w:rsidR="00877567">
        <w:t xml:space="preserve">achieves both the </w:t>
      </w:r>
      <w:r w:rsidR="003B03EA">
        <w:t xml:space="preserve">spectrum demand </w:t>
      </w:r>
      <w:r w:rsidR="00823BD7">
        <w:t xml:space="preserve">and defragmentation </w:t>
      </w:r>
      <w:r w:rsidR="003B03EA">
        <w:t>objective</w:t>
      </w:r>
      <w:r w:rsidR="00823BD7">
        <w:t xml:space="preserve">s </w:t>
      </w:r>
      <w:r w:rsidR="0058673D">
        <w:t xml:space="preserve">stated above. </w:t>
      </w:r>
      <w:r w:rsidR="0024047D">
        <w:t xml:space="preserve">Aggregating Tamworth with Rural Australia in </w:t>
      </w:r>
      <w:r w:rsidR="00B56356">
        <w:t>3400</w:t>
      </w:r>
      <w:r w:rsidR="006C46D8">
        <w:t>–</w:t>
      </w:r>
      <w:r w:rsidR="00B56356">
        <w:t>3575 </w:t>
      </w:r>
      <w:r w:rsidR="00B00D78">
        <w:t>MHz does not achieve the defragmentation objective</w:t>
      </w:r>
      <w:r w:rsidR="006F7F7C">
        <w:t xml:space="preserve"> and there is </w:t>
      </w:r>
      <w:r w:rsidR="006968B8">
        <w:t>evidence of differential demand between these areas</w:t>
      </w:r>
      <w:r w:rsidR="00A62A9F">
        <w:t xml:space="preserve"> from some stakeholders. </w:t>
      </w:r>
      <w:r w:rsidR="00AF086C">
        <w:t>Therefore, our preliminary view</w:t>
      </w:r>
      <w:r w:rsidR="00435E1F">
        <w:t xml:space="preserve"> in the draft marketing plan</w:t>
      </w:r>
      <w:r w:rsidR="00AF086C">
        <w:t xml:space="preserve"> is to </w:t>
      </w:r>
      <w:r w:rsidR="006063DC">
        <w:t xml:space="preserve">aggregate Tamworth with the Quirindi East and </w:t>
      </w:r>
      <w:r w:rsidR="00BA505B">
        <w:t>Regional NSW south</w:t>
      </w:r>
      <w:r w:rsidR="00167914">
        <w:t xml:space="preserve"> areas</w:t>
      </w:r>
      <w:r w:rsidR="00B21E33">
        <w:t>.</w:t>
      </w:r>
    </w:p>
    <w:p w14:paraId="394CD009" w14:textId="29CD3E39" w:rsidR="000E675A" w:rsidRDefault="000E675A" w:rsidP="00DB4442">
      <w:pPr>
        <w:pStyle w:val="Paragraph"/>
        <w:ind w:right="992"/>
      </w:pPr>
      <w:r>
        <w:t>In the 3700</w:t>
      </w:r>
      <w:r w:rsidR="006C46D8">
        <w:t>–</w:t>
      </w:r>
      <w:r>
        <w:t xml:space="preserve">3750 MHz frequency range, stakeholders supported our proposal for aggregating Tamworth with Rural North NSW / South QLD. </w:t>
      </w:r>
      <w:r w:rsidR="00FE31C8">
        <w:t>Therefore, this proposal forms our preliminary view in the draft marketing plan.</w:t>
      </w:r>
    </w:p>
    <w:p w14:paraId="76040A76" w14:textId="74CA6646" w:rsidR="00F6492A" w:rsidRDefault="00F6492A" w:rsidP="00DB4442">
      <w:pPr>
        <w:pStyle w:val="Heading4"/>
        <w:ind w:right="992"/>
      </w:pPr>
      <w:r>
        <w:t xml:space="preserve">Minor adjustments to </w:t>
      </w:r>
      <w:r w:rsidR="001D54E5">
        <w:t>regional</w:t>
      </w:r>
      <w:r w:rsidR="0063311B">
        <w:t xml:space="preserve"> and </w:t>
      </w:r>
      <w:r w:rsidR="001D54E5">
        <w:t xml:space="preserve">rural areas in </w:t>
      </w:r>
      <w:r w:rsidR="008E1BD5">
        <w:t xml:space="preserve">the </w:t>
      </w:r>
      <w:r w:rsidR="0046058B">
        <w:t>3.7 GHz band</w:t>
      </w:r>
    </w:p>
    <w:p w14:paraId="5731517E" w14:textId="3D63DC1F" w:rsidR="0046058B" w:rsidRDefault="00C34F75" w:rsidP="00DB4442">
      <w:pPr>
        <w:pStyle w:val="Paragraph"/>
        <w:ind w:right="992"/>
      </w:pPr>
      <w:r>
        <w:t>As noted in the</w:t>
      </w:r>
      <w:r w:rsidR="00F0679E">
        <w:t xml:space="preserve"> re-allocation declaration consultation</w:t>
      </w:r>
      <w:r w:rsidR="006A04ED">
        <w:t xml:space="preserve">, </w:t>
      </w:r>
      <w:r w:rsidR="008D3C57">
        <w:t xml:space="preserve">there were a number of minor adjustments </w:t>
      </w:r>
      <w:r w:rsidR="0063311B">
        <w:t xml:space="preserve">required to some regional and rural areas in the 3.7 GHz band </w:t>
      </w:r>
      <w:r w:rsidR="00B70C43">
        <w:t>to align them with the frequency adjacent 3.6 GHz</w:t>
      </w:r>
      <w:r w:rsidR="00347CC8">
        <w:t xml:space="preserve"> regional areas</w:t>
      </w:r>
      <w:r w:rsidR="0051115E">
        <w:t xml:space="preserve">, rather than with </w:t>
      </w:r>
      <w:r w:rsidR="00B26B91">
        <w:t>the 3.4 GHz regional areas.</w:t>
      </w:r>
      <w:r w:rsidR="00347CC8">
        <w:t xml:space="preserve"> </w:t>
      </w:r>
      <w:r w:rsidR="00EE32A5">
        <w:t xml:space="preserve">This is reflected in the </w:t>
      </w:r>
      <w:r w:rsidR="00D701BC">
        <w:t>region names with</w:t>
      </w:r>
      <w:r w:rsidR="002104BC">
        <w:t xml:space="preserve"> ‘</w:t>
      </w:r>
      <w:r w:rsidR="00D701BC">
        <w:t>3700</w:t>
      </w:r>
      <w:r w:rsidR="00B7548C">
        <w:t>–</w:t>
      </w:r>
      <w:r w:rsidR="00D701BC">
        <w:t>3750</w:t>
      </w:r>
      <w:r w:rsidR="002104BC">
        <w:t>’</w:t>
      </w:r>
      <w:r w:rsidR="00D701BC">
        <w:t xml:space="preserve"> and</w:t>
      </w:r>
      <w:r w:rsidR="002104BC">
        <w:t xml:space="preserve"> ‘</w:t>
      </w:r>
      <w:r w:rsidR="00D701BC">
        <w:t>3750</w:t>
      </w:r>
      <w:r w:rsidR="00B7548C">
        <w:t>–</w:t>
      </w:r>
      <w:r w:rsidR="00D701BC">
        <w:t>3800</w:t>
      </w:r>
      <w:r w:rsidR="002104BC">
        <w:t>’</w:t>
      </w:r>
      <w:r w:rsidR="00687087">
        <w:t xml:space="preserve"> appended</w:t>
      </w:r>
      <w:r w:rsidR="0004192F">
        <w:t xml:space="preserve"> in Schedule </w:t>
      </w:r>
      <w:r w:rsidR="008828BE">
        <w:t xml:space="preserve">4 </w:t>
      </w:r>
      <w:r w:rsidR="008E1BD5">
        <w:t>to</w:t>
      </w:r>
      <w:r w:rsidR="0004192F">
        <w:t xml:space="preserve"> the draft marketing plan.</w:t>
      </w:r>
    </w:p>
    <w:p w14:paraId="345E6148" w14:textId="1C8CE0FB" w:rsidR="008065BD" w:rsidRDefault="008065BD" w:rsidP="00944835">
      <w:pPr>
        <w:pStyle w:val="Heading4"/>
      </w:pPr>
      <w:r>
        <w:t>Proposed geographic product configuration</w:t>
      </w:r>
    </w:p>
    <w:p w14:paraId="2153256C" w14:textId="77777777" w:rsidR="007C4DC1" w:rsidRDefault="007C4DC1" w:rsidP="007C4DC1">
      <w:pPr>
        <w:ind w:right="992"/>
      </w:pPr>
      <w:r w:rsidRPr="002E1B1C">
        <w:t>Schedule 4</w:t>
      </w:r>
      <w:r>
        <w:t xml:space="preserve"> to the draft marketing plan defines the proposed geographic areas for the 3.4/3.7 GHz bands. The geographic areas are defined using Hierarchical Cell Identifier Scheme (HCIS) cells, which may be converted into a placemark file (.kmz) viewable in Google Earth using the </w:t>
      </w:r>
      <w:hyperlink r:id="rId64" w:history="1">
        <w:r w:rsidRPr="005B3F2F">
          <w:rPr>
            <w:rStyle w:val="Hyperlink"/>
          </w:rPr>
          <w:t>converter tool</w:t>
        </w:r>
      </w:hyperlink>
      <w:r>
        <w:t xml:space="preserve"> on the ACMA’s website.</w:t>
      </w:r>
    </w:p>
    <w:p w14:paraId="0DCF555D" w14:textId="77777777" w:rsidR="007C4DC1" w:rsidRDefault="007C4DC1" w:rsidP="007C4DC1">
      <w:pPr>
        <w:pStyle w:val="Paragraphbeforelist"/>
        <w:ind w:right="992"/>
      </w:pPr>
      <w:r>
        <w:t xml:space="preserve">Figures </w:t>
      </w:r>
      <w:r w:rsidRPr="00CB0613">
        <w:t>13</w:t>
      </w:r>
      <w:r>
        <w:t>–</w:t>
      </w:r>
      <w:r w:rsidRPr="00CB0613">
        <w:t>18</w:t>
      </w:r>
      <w:r>
        <w:t xml:space="preserve"> below show the areas declared for spectrum licensing in the re-allocation declaration and our preliminary view on geographic areas for lots of a product for the following frequency ranges:</w:t>
      </w:r>
    </w:p>
    <w:p w14:paraId="660A7BF1" w14:textId="77777777" w:rsidR="007C4DC1" w:rsidRDefault="007C4DC1" w:rsidP="007C4DC1">
      <w:pPr>
        <w:pStyle w:val="Bulletlevel1"/>
        <w:ind w:right="992"/>
      </w:pPr>
      <w:r>
        <w:t>3400–3575 MHz</w:t>
      </w:r>
    </w:p>
    <w:p w14:paraId="3B41BE5E" w14:textId="77777777" w:rsidR="007C4DC1" w:rsidRDefault="007C4DC1" w:rsidP="007C4DC1">
      <w:pPr>
        <w:pStyle w:val="Bulletlevel1"/>
        <w:ind w:right="992"/>
      </w:pPr>
      <w:r>
        <w:t>3700–3750 MHz</w:t>
      </w:r>
    </w:p>
    <w:p w14:paraId="6430F29D" w14:textId="77777777" w:rsidR="007C4DC1" w:rsidRDefault="007C4DC1" w:rsidP="007C4DC1">
      <w:pPr>
        <w:pStyle w:val="Bulletlevel1last"/>
        <w:ind w:right="992"/>
      </w:pPr>
      <w:r>
        <w:t>3750–3800 MHz.</w:t>
      </w:r>
    </w:p>
    <w:p w14:paraId="1D546DF2" w14:textId="17B509CB" w:rsidR="009C7504" w:rsidRDefault="009C7504" w:rsidP="00DB4442">
      <w:pPr>
        <w:pStyle w:val="Issueforcomment"/>
        <w:keepNext/>
        <w:keepLines/>
        <w:pBdr>
          <w:left w:val="single" w:sz="4" w:space="1" w:color="auto"/>
          <w:right w:val="single" w:sz="4" w:space="1" w:color="auto"/>
        </w:pBdr>
        <w:ind w:right="992"/>
      </w:pPr>
      <w:r>
        <w:t xml:space="preserve">Geographic </w:t>
      </w:r>
      <w:r w:rsidR="00EB0076">
        <w:t xml:space="preserve">product </w:t>
      </w:r>
      <w:r>
        <w:t>configuration</w:t>
      </w:r>
    </w:p>
    <w:p w14:paraId="4B0A920A" w14:textId="46498A5B" w:rsidR="009C7504" w:rsidRPr="00522BAB" w:rsidRDefault="00A9122B" w:rsidP="00DB4442">
      <w:pPr>
        <w:pStyle w:val="Issueforcomment"/>
        <w:keepNext/>
        <w:keepLines/>
        <w:pBdr>
          <w:left w:val="single" w:sz="4" w:space="1" w:color="auto"/>
          <w:right w:val="single" w:sz="4" w:space="1" w:color="auto"/>
        </w:pBdr>
        <w:ind w:right="992"/>
        <w:rPr>
          <w:b w:val="0"/>
          <w:bCs w:val="0"/>
        </w:rPr>
      </w:pPr>
      <w:r>
        <w:rPr>
          <w:b w:val="0"/>
          <w:bCs w:val="0"/>
        </w:rPr>
        <w:t>We seek views on our proposal to</w:t>
      </w:r>
      <w:r w:rsidR="009C7504" w:rsidRPr="00522BAB">
        <w:rPr>
          <w:b w:val="0"/>
          <w:bCs w:val="0"/>
        </w:rPr>
        <w:t>:</w:t>
      </w:r>
    </w:p>
    <w:p w14:paraId="6F915B27" w14:textId="77777777" w:rsidR="009C7504" w:rsidRPr="00522BAB" w:rsidRDefault="009C7504" w:rsidP="00DB4442">
      <w:pPr>
        <w:pStyle w:val="Issueforcomment"/>
        <w:keepNext/>
        <w:keepLines/>
        <w:numPr>
          <w:ilvl w:val="0"/>
          <w:numId w:val="20"/>
        </w:numPr>
        <w:pBdr>
          <w:left w:val="single" w:sz="4" w:space="1" w:color="auto"/>
          <w:right w:val="single" w:sz="4" w:space="1" w:color="auto"/>
        </w:pBdr>
        <w:ind w:right="992"/>
        <w:rPr>
          <w:b w:val="0"/>
          <w:bCs w:val="0"/>
        </w:rPr>
      </w:pPr>
      <w:r w:rsidRPr="00522BAB">
        <w:rPr>
          <w:b w:val="0"/>
          <w:bCs w:val="0"/>
        </w:rPr>
        <w:t>Disaggregate the Rural Australia lot in both the 3.4 GHz and 3.7 GHz bands according to the 3.6 GHz regional boundaries.</w:t>
      </w:r>
    </w:p>
    <w:p w14:paraId="3662D8FC" w14:textId="0D523593" w:rsidR="009C7504" w:rsidRDefault="009C7504" w:rsidP="00DB4442">
      <w:pPr>
        <w:pStyle w:val="Issueforcomment"/>
        <w:keepNext/>
        <w:keepLines/>
        <w:numPr>
          <w:ilvl w:val="0"/>
          <w:numId w:val="20"/>
        </w:numPr>
        <w:pBdr>
          <w:left w:val="single" w:sz="4" w:space="1" w:color="auto"/>
          <w:right w:val="single" w:sz="4" w:space="1" w:color="auto"/>
        </w:pBdr>
        <w:ind w:right="992"/>
        <w:rPr>
          <w:b w:val="0"/>
          <w:bCs w:val="0"/>
        </w:rPr>
      </w:pPr>
      <w:r w:rsidRPr="00522BAB">
        <w:rPr>
          <w:b w:val="0"/>
          <w:bCs w:val="0"/>
        </w:rPr>
        <w:t>Configure the regional areas in 3700</w:t>
      </w:r>
      <w:r w:rsidR="00EC5C75" w:rsidRPr="002124BB">
        <w:rPr>
          <w:b w:val="0"/>
        </w:rPr>
        <w:t>–</w:t>
      </w:r>
      <w:r w:rsidRPr="00522BAB">
        <w:rPr>
          <w:b w:val="0"/>
          <w:bCs w:val="0"/>
        </w:rPr>
        <w:t>3800 MHz as follows:</w:t>
      </w:r>
    </w:p>
    <w:p w14:paraId="092B1218" w14:textId="42C9CF05" w:rsidR="009C7504" w:rsidRPr="00A52A8F" w:rsidRDefault="009C7504" w:rsidP="00DB4442">
      <w:pPr>
        <w:pStyle w:val="Issueforcomment"/>
        <w:keepNext/>
        <w:keepLines/>
        <w:pBdr>
          <w:left w:val="single" w:sz="4" w:space="1" w:color="auto"/>
          <w:right w:val="single" w:sz="4" w:space="1" w:color="auto"/>
        </w:pBdr>
        <w:ind w:right="992" w:firstLine="357"/>
        <w:rPr>
          <w:b w:val="0"/>
        </w:rPr>
      </w:pPr>
      <w:r w:rsidRPr="00A27D2F">
        <w:rPr>
          <w:b w:val="0"/>
          <w:bCs w:val="0"/>
        </w:rPr>
        <w:t>a)</w:t>
      </w:r>
      <w:r>
        <w:rPr>
          <w:b w:val="0"/>
        </w:rPr>
        <w:t xml:space="preserve"> </w:t>
      </w:r>
      <w:r w:rsidR="0064624C">
        <w:rPr>
          <w:b w:val="0"/>
        </w:rPr>
        <w:tab/>
      </w:r>
      <w:r w:rsidRPr="00A52A8F">
        <w:rPr>
          <w:b w:val="0"/>
        </w:rPr>
        <w:t>3700</w:t>
      </w:r>
      <w:r w:rsidR="00EC5C75" w:rsidRPr="002124BB">
        <w:rPr>
          <w:b w:val="0"/>
          <w:bCs w:val="0"/>
        </w:rPr>
        <w:t>–</w:t>
      </w:r>
      <w:r w:rsidRPr="00A52A8F">
        <w:rPr>
          <w:b w:val="0"/>
        </w:rPr>
        <w:t>3750 MHz: aligned with 3.6 GHz regional areas</w:t>
      </w:r>
    </w:p>
    <w:p w14:paraId="5461CE53" w14:textId="2D028EEA" w:rsidR="009C7504" w:rsidRPr="00A27D2F" w:rsidRDefault="009C7504" w:rsidP="00DB4442">
      <w:pPr>
        <w:pStyle w:val="Issueforcomment"/>
        <w:keepNext/>
        <w:keepLines/>
        <w:pBdr>
          <w:left w:val="single" w:sz="4" w:space="1" w:color="auto"/>
          <w:right w:val="single" w:sz="4" w:space="1" w:color="auto"/>
        </w:pBdr>
        <w:ind w:right="992" w:firstLine="357"/>
        <w:rPr>
          <w:b w:val="0"/>
          <w:bCs w:val="0"/>
        </w:rPr>
      </w:pPr>
      <w:r>
        <w:rPr>
          <w:b w:val="0"/>
        </w:rPr>
        <w:t xml:space="preserve">b) </w:t>
      </w:r>
      <w:r w:rsidR="0064624C">
        <w:rPr>
          <w:b w:val="0"/>
        </w:rPr>
        <w:tab/>
      </w:r>
      <w:r w:rsidRPr="00A52A8F">
        <w:rPr>
          <w:b w:val="0"/>
        </w:rPr>
        <w:t>3750</w:t>
      </w:r>
      <w:r w:rsidR="00EC5C75" w:rsidRPr="002124BB">
        <w:rPr>
          <w:b w:val="0"/>
          <w:bCs w:val="0"/>
        </w:rPr>
        <w:t>–</w:t>
      </w:r>
      <w:r w:rsidRPr="00A52A8F">
        <w:rPr>
          <w:b w:val="0"/>
        </w:rPr>
        <w:t>3800 MHz</w:t>
      </w:r>
      <w:r w:rsidR="007557E8">
        <w:rPr>
          <w:b w:val="0"/>
        </w:rPr>
        <w:t xml:space="preserve"> in the following configuration:</w:t>
      </w:r>
    </w:p>
    <w:p w14:paraId="47353B6A" w14:textId="03E6B42F" w:rsidR="009C7504" w:rsidRPr="00A52A8F" w:rsidRDefault="009C7504" w:rsidP="00DB4442">
      <w:pPr>
        <w:pStyle w:val="Issueforcomment"/>
        <w:keepNext/>
        <w:keepLines/>
        <w:pBdr>
          <w:left w:val="single" w:sz="4" w:space="1" w:color="auto"/>
          <w:right w:val="single" w:sz="4" w:space="1" w:color="auto"/>
        </w:pBdr>
        <w:ind w:right="992" w:firstLine="680"/>
        <w:rPr>
          <w:b w:val="0"/>
        </w:rPr>
      </w:pPr>
      <w:r>
        <w:rPr>
          <w:b w:val="0"/>
        </w:rPr>
        <w:t xml:space="preserve">i. </w:t>
      </w:r>
      <w:r w:rsidR="0064624C">
        <w:rPr>
          <w:b w:val="0"/>
        </w:rPr>
        <w:tab/>
      </w:r>
      <w:r w:rsidRPr="00A52A8F">
        <w:rPr>
          <w:b w:val="0"/>
        </w:rPr>
        <w:t xml:space="preserve">Queensland and Victoria: Regional Area 2 (RA2) + </w:t>
      </w:r>
      <w:r w:rsidR="00411706">
        <w:rPr>
          <w:b w:val="0"/>
        </w:rPr>
        <w:br/>
        <w:t xml:space="preserve">                 </w:t>
      </w:r>
      <w:r w:rsidRPr="00A52A8F">
        <w:rPr>
          <w:b w:val="0"/>
        </w:rPr>
        <w:t>Major Regional Centres 1 (MRC1)</w:t>
      </w:r>
    </w:p>
    <w:p w14:paraId="6035359C" w14:textId="28441BC4" w:rsidR="009C7504" w:rsidRDefault="009C7504" w:rsidP="00DB4442">
      <w:pPr>
        <w:pStyle w:val="Issueforcomment"/>
        <w:keepNext/>
        <w:keepLines/>
        <w:pBdr>
          <w:left w:val="single" w:sz="4" w:space="1" w:color="auto"/>
          <w:right w:val="single" w:sz="4" w:space="1" w:color="auto"/>
        </w:pBdr>
        <w:ind w:right="992" w:firstLine="624"/>
        <w:rPr>
          <w:b w:val="0"/>
        </w:rPr>
      </w:pPr>
      <w:r>
        <w:rPr>
          <w:b w:val="0"/>
        </w:rPr>
        <w:t xml:space="preserve">ii. </w:t>
      </w:r>
      <w:r w:rsidR="0064624C">
        <w:rPr>
          <w:b w:val="0"/>
        </w:rPr>
        <w:tab/>
      </w:r>
      <w:r w:rsidRPr="00A52A8F">
        <w:rPr>
          <w:b w:val="0"/>
        </w:rPr>
        <w:t>Other regional areas: RA2</w:t>
      </w:r>
      <w:r w:rsidR="00411706">
        <w:rPr>
          <w:b w:val="0"/>
        </w:rPr>
        <w:t>.</w:t>
      </w:r>
    </w:p>
    <w:p w14:paraId="74569549" w14:textId="7CA7AD16" w:rsidR="009C7504" w:rsidRPr="00522BAB" w:rsidRDefault="009C7504" w:rsidP="00DB4442">
      <w:pPr>
        <w:pStyle w:val="Issueforcomment"/>
        <w:keepNext/>
        <w:keepLines/>
        <w:numPr>
          <w:ilvl w:val="0"/>
          <w:numId w:val="20"/>
        </w:numPr>
        <w:pBdr>
          <w:left w:val="single" w:sz="4" w:space="1" w:color="auto"/>
          <w:right w:val="single" w:sz="4" w:space="1" w:color="auto"/>
        </w:pBdr>
        <w:ind w:right="992"/>
        <w:rPr>
          <w:b w:val="0"/>
          <w:bCs w:val="0"/>
        </w:rPr>
      </w:pPr>
      <w:r w:rsidRPr="00522BAB">
        <w:rPr>
          <w:b w:val="0"/>
          <w:bCs w:val="0"/>
        </w:rPr>
        <w:t>Configure the metropolitan areas as independent products</w:t>
      </w:r>
      <w:r w:rsidR="00411706">
        <w:rPr>
          <w:b w:val="0"/>
          <w:bCs w:val="0"/>
        </w:rPr>
        <w:t>.</w:t>
      </w:r>
    </w:p>
    <w:p w14:paraId="38A9F5C6" w14:textId="26EA31E2" w:rsidR="009C7504" w:rsidRPr="00522BAB" w:rsidRDefault="009C7504" w:rsidP="00DB4442">
      <w:pPr>
        <w:pStyle w:val="Issueforcomment"/>
        <w:numPr>
          <w:ilvl w:val="0"/>
          <w:numId w:val="20"/>
        </w:numPr>
        <w:pBdr>
          <w:left w:val="single" w:sz="4" w:space="1" w:color="auto"/>
          <w:right w:val="single" w:sz="4" w:space="1" w:color="auto"/>
        </w:pBdr>
        <w:ind w:right="992"/>
        <w:rPr>
          <w:b w:val="0"/>
          <w:bCs w:val="0"/>
        </w:rPr>
      </w:pPr>
      <w:r w:rsidRPr="00522BAB">
        <w:rPr>
          <w:b w:val="0"/>
          <w:bCs w:val="0"/>
        </w:rPr>
        <w:t xml:space="preserve">Aggregate </w:t>
      </w:r>
      <w:r w:rsidR="00FC2F4B">
        <w:rPr>
          <w:b w:val="0"/>
          <w:bCs w:val="0"/>
        </w:rPr>
        <w:t xml:space="preserve">the </w:t>
      </w:r>
      <w:r w:rsidRPr="00522BAB">
        <w:rPr>
          <w:b w:val="0"/>
          <w:bCs w:val="0"/>
        </w:rPr>
        <w:t>Regional WA south and Regional WA central</w:t>
      </w:r>
      <w:r w:rsidR="00FC2F4B">
        <w:rPr>
          <w:b w:val="0"/>
          <w:bCs w:val="0"/>
        </w:rPr>
        <w:t xml:space="preserve"> areas</w:t>
      </w:r>
      <w:r w:rsidRPr="00522BAB">
        <w:rPr>
          <w:b w:val="0"/>
          <w:bCs w:val="0"/>
        </w:rPr>
        <w:t xml:space="preserve"> in </w:t>
      </w:r>
      <w:r w:rsidR="00411706">
        <w:rPr>
          <w:b w:val="0"/>
          <w:bCs w:val="0"/>
        </w:rPr>
        <w:br/>
      </w:r>
      <w:r w:rsidRPr="00522BAB">
        <w:rPr>
          <w:b w:val="0"/>
          <w:bCs w:val="0"/>
        </w:rPr>
        <w:t>3475</w:t>
      </w:r>
      <w:r w:rsidR="00424050" w:rsidRPr="00424050">
        <w:rPr>
          <w:b w:val="0"/>
          <w:bCs w:val="0"/>
        </w:rPr>
        <w:t>–</w:t>
      </w:r>
      <w:r w:rsidRPr="00522BAB">
        <w:rPr>
          <w:b w:val="0"/>
          <w:bCs w:val="0"/>
        </w:rPr>
        <w:t>3510 MHz and 3700</w:t>
      </w:r>
      <w:r w:rsidR="00EC5C75" w:rsidRPr="00424050">
        <w:rPr>
          <w:b w:val="0"/>
          <w:bCs w:val="0"/>
        </w:rPr>
        <w:t>–</w:t>
      </w:r>
      <w:r w:rsidRPr="00522BAB">
        <w:rPr>
          <w:b w:val="0"/>
          <w:bCs w:val="0"/>
        </w:rPr>
        <w:t>3800 MHz.</w:t>
      </w:r>
    </w:p>
    <w:p w14:paraId="6B468844" w14:textId="77777777" w:rsidR="009C7504" w:rsidRPr="00522BAB" w:rsidRDefault="009C7504" w:rsidP="00DB4442">
      <w:pPr>
        <w:pStyle w:val="Issueforcomment"/>
        <w:numPr>
          <w:ilvl w:val="0"/>
          <w:numId w:val="20"/>
        </w:numPr>
        <w:pBdr>
          <w:left w:val="single" w:sz="4" w:space="1" w:color="auto"/>
          <w:right w:val="single" w:sz="4" w:space="1" w:color="auto"/>
        </w:pBdr>
        <w:ind w:right="992"/>
        <w:rPr>
          <w:b w:val="0"/>
          <w:bCs w:val="0"/>
        </w:rPr>
      </w:pPr>
      <w:r w:rsidRPr="00522BAB">
        <w:rPr>
          <w:b w:val="0"/>
          <w:bCs w:val="0"/>
        </w:rPr>
        <w:t>Aggregate Tamworth with surrounding areas as follows:</w:t>
      </w:r>
    </w:p>
    <w:p w14:paraId="0BE682A8" w14:textId="3792F7A6" w:rsidR="009C7504" w:rsidRPr="00A52A8F" w:rsidRDefault="009C7504" w:rsidP="00DB4442">
      <w:pPr>
        <w:pStyle w:val="Issueforcomment"/>
        <w:pBdr>
          <w:left w:val="single" w:sz="4" w:space="1" w:color="auto"/>
          <w:right w:val="single" w:sz="4" w:space="1" w:color="auto"/>
        </w:pBdr>
        <w:ind w:right="992" w:firstLine="357"/>
        <w:rPr>
          <w:b w:val="0"/>
        </w:rPr>
      </w:pPr>
      <w:r w:rsidRPr="00A27D2F">
        <w:rPr>
          <w:b w:val="0"/>
          <w:bCs w:val="0"/>
        </w:rPr>
        <w:t>a)</w:t>
      </w:r>
      <w:r>
        <w:rPr>
          <w:b w:val="0"/>
        </w:rPr>
        <w:t xml:space="preserve"> </w:t>
      </w:r>
      <w:r w:rsidR="0064624C">
        <w:rPr>
          <w:b w:val="0"/>
        </w:rPr>
        <w:tab/>
      </w:r>
      <w:r w:rsidRPr="00A52A8F">
        <w:rPr>
          <w:b w:val="0"/>
        </w:rPr>
        <w:t>3400</w:t>
      </w:r>
      <w:r w:rsidR="00EC5C75" w:rsidRPr="00424050">
        <w:rPr>
          <w:b w:val="0"/>
          <w:bCs w:val="0"/>
        </w:rPr>
        <w:t>–</w:t>
      </w:r>
      <w:r w:rsidRPr="00A52A8F">
        <w:rPr>
          <w:b w:val="0"/>
        </w:rPr>
        <w:t>3575 MHz: aggregate with Regional NSW south and Quirindi East</w:t>
      </w:r>
    </w:p>
    <w:p w14:paraId="252F1484" w14:textId="34905DE4" w:rsidR="009C7504" w:rsidRDefault="009C7504" w:rsidP="00DB4442">
      <w:pPr>
        <w:pStyle w:val="Issueforcomment"/>
        <w:pBdr>
          <w:left w:val="single" w:sz="4" w:space="1" w:color="auto"/>
          <w:right w:val="single" w:sz="4" w:space="1" w:color="auto"/>
        </w:pBdr>
        <w:ind w:right="992" w:firstLine="357"/>
        <w:rPr>
          <w:b w:val="0"/>
        </w:rPr>
      </w:pPr>
      <w:r>
        <w:rPr>
          <w:b w:val="0"/>
        </w:rPr>
        <w:t xml:space="preserve">b) </w:t>
      </w:r>
      <w:r w:rsidR="0064624C">
        <w:rPr>
          <w:b w:val="0"/>
        </w:rPr>
        <w:tab/>
      </w:r>
      <w:r w:rsidRPr="00A27D2F">
        <w:rPr>
          <w:b w:val="0"/>
        </w:rPr>
        <w:t>3700</w:t>
      </w:r>
      <w:r w:rsidR="00EC5C75" w:rsidRPr="00424050">
        <w:rPr>
          <w:b w:val="0"/>
          <w:bCs w:val="0"/>
        </w:rPr>
        <w:t>–</w:t>
      </w:r>
      <w:r w:rsidRPr="00A27D2F">
        <w:rPr>
          <w:b w:val="0"/>
        </w:rPr>
        <w:t>3750 MHz: aggregate with Rural North NSW / South Q</w:t>
      </w:r>
      <w:r w:rsidR="00411706">
        <w:rPr>
          <w:b w:val="0"/>
        </w:rPr>
        <w:t>ueensland</w:t>
      </w:r>
    </w:p>
    <w:p w14:paraId="501488BF" w14:textId="5B9C6A48" w:rsidR="00FA1722" w:rsidRPr="00A27D2F" w:rsidRDefault="002D570D" w:rsidP="00DB4442">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These settings are reflected in Schedules 1</w:t>
      </w:r>
      <w:r w:rsidR="00150227">
        <w:t>–</w:t>
      </w:r>
      <w:r>
        <w:t>4 to the draft marketing plan</w:t>
      </w:r>
      <w:r w:rsidR="00A3192F">
        <w:t xml:space="preserve"> and at Figures 14, 16 and 18 below.</w:t>
      </w:r>
    </w:p>
    <w:p w14:paraId="437FD82F" w14:textId="359251A3" w:rsidR="00DA2202" w:rsidRDefault="00DA2202" w:rsidP="00DB4442">
      <w:pPr>
        <w:spacing w:after="0" w:line="240" w:lineRule="auto"/>
        <w:ind w:right="992"/>
        <w:rPr>
          <w:rFonts w:cs="Arial"/>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103"/>
      </w:tblGrid>
      <w:tr w:rsidR="00DA2202" w14:paraId="3D42FAFB" w14:textId="77777777" w:rsidTr="00A572E3">
        <w:tc>
          <w:tcPr>
            <w:tcW w:w="4962" w:type="dxa"/>
          </w:tcPr>
          <w:p w14:paraId="3948ED35" w14:textId="73BC034B" w:rsidR="00DA2202" w:rsidRPr="00DA2202" w:rsidRDefault="00DA2202" w:rsidP="00DE4A71">
            <w:pPr>
              <w:pStyle w:val="Figureheading"/>
              <w:ind w:right="-102"/>
              <w:rPr>
                <w:rFonts w:cs="Arial"/>
              </w:rPr>
            </w:pPr>
            <w:r>
              <w:lastRenderedPageBreak/>
              <w:t>3400–3575 MHz</w:t>
            </w:r>
            <w:r w:rsidR="009B369B">
              <w:t xml:space="preserve"> (</w:t>
            </w:r>
            <w:r>
              <w:t>re-allocat</w:t>
            </w:r>
            <w:r w:rsidR="009B369B">
              <w:t>ed</w:t>
            </w:r>
            <w:r>
              <w:t xml:space="preserve"> areas</w:t>
            </w:r>
            <w:r w:rsidR="009B369B">
              <w:t>)</w:t>
            </w:r>
          </w:p>
          <w:p w14:paraId="31B81087" w14:textId="0EA61773" w:rsidR="00DA2202" w:rsidRDefault="00DA2202" w:rsidP="00DE4A71">
            <w:pPr>
              <w:spacing w:after="360" w:line="240" w:lineRule="auto"/>
              <w:ind w:right="992"/>
              <w:rPr>
                <w:rFonts w:cs="Arial"/>
              </w:rPr>
            </w:pPr>
            <w:r>
              <w:rPr>
                <w:noProof/>
              </w:rPr>
              <w:drawing>
                <wp:inline distT="0" distB="0" distL="0" distR="0" wp14:anchorId="14DE3DAB" wp14:editId="146BF577">
                  <wp:extent cx="2749047" cy="3657600"/>
                  <wp:effectExtent l="0" t="0" r="0" b="0"/>
                  <wp:docPr id="8" name="Picture 8" descr="Figure 13: 3400–3575 MHz: map of re-allocation declar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3: 3400–3575 MHz: map of re-allocation declaration area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3655" cy="3690341"/>
                          </a:xfrm>
                          <a:prstGeom prst="rect">
                            <a:avLst/>
                          </a:prstGeom>
                          <a:noFill/>
                        </pic:spPr>
                      </pic:pic>
                    </a:graphicData>
                  </a:graphic>
                </wp:inline>
              </w:drawing>
            </w:r>
          </w:p>
        </w:tc>
        <w:tc>
          <w:tcPr>
            <w:tcW w:w="5103" w:type="dxa"/>
          </w:tcPr>
          <w:p w14:paraId="0B788C18" w14:textId="384909A7" w:rsidR="00DA2202" w:rsidRDefault="00DA2202" w:rsidP="00DE4A71">
            <w:pPr>
              <w:pStyle w:val="Figureheading"/>
              <w:ind w:right="-105"/>
            </w:pPr>
            <w:r>
              <w:t xml:space="preserve">3400–3575 MHz </w:t>
            </w:r>
            <w:r w:rsidR="00D2656F">
              <w:t>(</w:t>
            </w:r>
            <w:r w:rsidR="00B77067">
              <w:t>proposed configuration</w:t>
            </w:r>
            <w:r w:rsidR="00D2656F">
              <w:t>)</w:t>
            </w:r>
          </w:p>
          <w:p w14:paraId="7D5EE9F9" w14:textId="452193CA" w:rsidR="00DA2202" w:rsidRDefault="00DA2202" w:rsidP="00DE4A71">
            <w:pPr>
              <w:tabs>
                <w:tab w:val="left" w:pos="1027"/>
              </w:tabs>
              <w:spacing w:after="360" w:line="240" w:lineRule="auto"/>
              <w:rPr>
                <w:rFonts w:cs="Arial"/>
              </w:rPr>
            </w:pPr>
            <w:r>
              <w:rPr>
                <w:noProof/>
              </w:rPr>
              <w:drawing>
                <wp:inline distT="0" distB="0" distL="0" distR="0" wp14:anchorId="342F90B6" wp14:editId="1257B049">
                  <wp:extent cx="2838202" cy="3608637"/>
                  <wp:effectExtent l="0" t="0" r="635" b="0"/>
                  <wp:docPr id="9" name="Picture 9" descr="Figure 14: 3400–3575 MHz: preliminary view on lo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4: 3400–3575 MHz: preliminary view on lot configur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642" cy="3649883"/>
                          </a:xfrm>
                          <a:prstGeom prst="rect">
                            <a:avLst/>
                          </a:prstGeom>
                          <a:noFill/>
                        </pic:spPr>
                      </pic:pic>
                    </a:graphicData>
                  </a:graphic>
                </wp:inline>
              </w:drawing>
            </w:r>
          </w:p>
        </w:tc>
      </w:tr>
      <w:tr w:rsidR="00DA2202" w14:paraId="056A2215" w14:textId="77777777" w:rsidTr="00A572E3">
        <w:tc>
          <w:tcPr>
            <w:tcW w:w="4962" w:type="dxa"/>
          </w:tcPr>
          <w:p w14:paraId="740F5A87" w14:textId="6C6A5AC6" w:rsidR="00DA2202" w:rsidRDefault="00DA2202" w:rsidP="00DE4A71">
            <w:pPr>
              <w:pStyle w:val="Figureheading"/>
              <w:ind w:right="40"/>
            </w:pPr>
            <w:r>
              <w:t>3700–3750 MHz</w:t>
            </w:r>
            <w:r w:rsidR="00D2656F">
              <w:t xml:space="preserve"> (re-allocated areas)</w:t>
            </w:r>
          </w:p>
          <w:p w14:paraId="4DA33D09" w14:textId="13C3E8E9" w:rsidR="00DA2202" w:rsidRDefault="00DA2202" w:rsidP="00DE4A71">
            <w:pPr>
              <w:spacing w:after="0" w:line="240" w:lineRule="auto"/>
              <w:ind w:right="40"/>
              <w:rPr>
                <w:rFonts w:cs="Arial"/>
              </w:rPr>
            </w:pPr>
            <w:r>
              <w:rPr>
                <w:noProof/>
              </w:rPr>
              <w:drawing>
                <wp:inline distT="0" distB="0" distL="0" distR="0" wp14:anchorId="5DCAE166" wp14:editId="2D5BEA62">
                  <wp:extent cx="2743200" cy="3892820"/>
                  <wp:effectExtent l="0" t="0" r="0" b="0"/>
                  <wp:docPr id="28" name="Picture 28" descr="Figure 15: 3700–3750 MHz: map of re-allocation declar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5: 3700–3750 MHz: map of re-allocation declaration are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5079" cy="3952250"/>
                          </a:xfrm>
                          <a:prstGeom prst="rect">
                            <a:avLst/>
                          </a:prstGeom>
                          <a:noFill/>
                        </pic:spPr>
                      </pic:pic>
                    </a:graphicData>
                  </a:graphic>
                </wp:inline>
              </w:drawing>
            </w:r>
          </w:p>
        </w:tc>
        <w:tc>
          <w:tcPr>
            <w:tcW w:w="5103" w:type="dxa"/>
          </w:tcPr>
          <w:p w14:paraId="5500A09E" w14:textId="15E38524" w:rsidR="00DA2202" w:rsidRDefault="00DA2202" w:rsidP="00DE4A71">
            <w:pPr>
              <w:pStyle w:val="Figureheading"/>
              <w:ind w:right="-105"/>
            </w:pPr>
            <w:r>
              <w:t>3700–3750 MHz</w:t>
            </w:r>
            <w:r w:rsidR="00D2656F">
              <w:t xml:space="preserve"> (proposed configuration)</w:t>
            </w:r>
          </w:p>
          <w:p w14:paraId="0A69518C" w14:textId="66C7B2C2" w:rsidR="00DA2202" w:rsidRDefault="00DA2202" w:rsidP="00DE4A71">
            <w:pPr>
              <w:spacing w:after="0" w:line="240" w:lineRule="auto"/>
              <w:rPr>
                <w:rFonts w:cs="Arial"/>
              </w:rPr>
            </w:pPr>
            <w:r>
              <w:rPr>
                <w:noProof/>
              </w:rPr>
              <w:drawing>
                <wp:inline distT="0" distB="0" distL="0" distR="0" wp14:anchorId="1621AA06" wp14:editId="24847116">
                  <wp:extent cx="2841988" cy="3920490"/>
                  <wp:effectExtent l="19050" t="19050" r="15875" b="22860"/>
                  <wp:docPr id="31" name="Picture 31" descr="Figure 16: 3700–3750 MHz: preliminary view on lo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6: 3700–3750 MHz: preliminary view on lot configuration"/>
                          <pic:cNvPicPr/>
                        </pic:nvPicPr>
                        <pic:blipFill>
                          <a:blip r:embed="rId68">
                            <a:extLst>
                              <a:ext uri="{28A0092B-C50C-407E-A947-70E740481C1C}">
                                <a14:useLocalDpi xmlns:a14="http://schemas.microsoft.com/office/drawing/2010/main" val="0"/>
                              </a:ext>
                            </a:extLst>
                          </a:blip>
                          <a:stretch>
                            <a:fillRect/>
                          </a:stretch>
                        </pic:blipFill>
                        <pic:spPr>
                          <a:xfrm>
                            <a:off x="0" y="0"/>
                            <a:ext cx="2898912" cy="3999016"/>
                          </a:xfrm>
                          <a:prstGeom prst="rect">
                            <a:avLst/>
                          </a:prstGeom>
                          <a:ln>
                            <a:solidFill>
                              <a:schemeClr val="tx1"/>
                            </a:solidFill>
                          </a:ln>
                        </pic:spPr>
                      </pic:pic>
                    </a:graphicData>
                  </a:graphic>
                </wp:inline>
              </w:drawing>
            </w:r>
          </w:p>
        </w:tc>
      </w:tr>
      <w:tr w:rsidR="00DA2202" w14:paraId="0F512688" w14:textId="77777777" w:rsidTr="00A572E3">
        <w:tc>
          <w:tcPr>
            <w:tcW w:w="4962" w:type="dxa"/>
          </w:tcPr>
          <w:p w14:paraId="54FB9820" w14:textId="54776FD9" w:rsidR="00DA2202" w:rsidRDefault="00DA2202" w:rsidP="00DE4A71">
            <w:pPr>
              <w:pStyle w:val="Figureheading"/>
              <w:ind w:right="-102"/>
            </w:pPr>
            <w:r>
              <w:lastRenderedPageBreak/>
              <w:t>3750–3800 MHz</w:t>
            </w:r>
            <w:r w:rsidR="00D2656F">
              <w:t xml:space="preserve"> (re-allocated areas)</w:t>
            </w:r>
          </w:p>
          <w:p w14:paraId="53AA3846" w14:textId="55FD37E9" w:rsidR="00DA2202" w:rsidRDefault="00DA2202" w:rsidP="00DE4A71">
            <w:pPr>
              <w:spacing w:after="0" w:line="240" w:lineRule="auto"/>
              <w:rPr>
                <w:rFonts w:cs="Arial"/>
              </w:rPr>
            </w:pPr>
            <w:r>
              <w:rPr>
                <w:noProof/>
              </w:rPr>
              <w:drawing>
                <wp:inline distT="0" distB="0" distL="0" distR="0" wp14:anchorId="6E56C15B" wp14:editId="1144A67D">
                  <wp:extent cx="2796540" cy="4052269"/>
                  <wp:effectExtent l="0" t="0" r="3810" b="5715"/>
                  <wp:docPr id="32" name="Picture 32" descr="Figure 17: 3750–3800 MHz: map of re-allocation declar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7: 3750–3800 MHz: map of re-allocation declaration are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3332" cy="4062111"/>
                          </a:xfrm>
                          <a:prstGeom prst="rect">
                            <a:avLst/>
                          </a:prstGeom>
                          <a:noFill/>
                        </pic:spPr>
                      </pic:pic>
                    </a:graphicData>
                  </a:graphic>
                </wp:inline>
              </w:drawing>
            </w:r>
          </w:p>
        </w:tc>
        <w:tc>
          <w:tcPr>
            <w:tcW w:w="5103" w:type="dxa"/>
          </w:tcPr>
          <w:p w14:paraId="2A4412B4" w14:textId="4DD968DE" w:rsidR="00DA2202" w:rsidRDefault="00DA2202" w:rsidP="00DE4A71">
            <w:pPr>
              <w:pStyle w:val="Figureheading"/>
              <w:ind w:right="-105"/>
            </w:pPr>
            <w:r>
              <w:t>3750–3800 MHz</w:t>
            </w:r>
            <w:r w:rsidR="00D2656F">
              <w:t xml:space="preserve"> (proposed configuration)</w:t>
            </w:r>
          </w:p>
          <w:p w14:paraId="443DBB8F" w14:textId="19E7F22D" w:rsidR="00DA2202" w:rsidRDefault="00DA2202" w:rsidP="00DB4442">
            <w:pPr>
              <w:spacing w:after="0" w:line="240" w:lineRule="auto"/>
              <w:ind w:right="992"/>
              <w:rPr>
                <w:rFonts w:cs="Arial"/>
              </w:rPr>
            </w:pPr>
            <w:r>
              <w:rPr>
                <w:noProof/>
              </w:rPr>
              <w:drawing>
                <wp:inline distT="0" distB="0" distL="0" distR="0" wp14:anchorId="72426F3A" wp14:editId="79B1FDD3">
                  <wp:extent cx="2777490" cy="3819170"/>
                  <wp:effectExtent l="19050" t="19050" r="22860" b="10160"/>
                  <wp:docPr id="33" name="Picture 33" descr="Figure 18: 3750–3800 MHz: preliminary view on lo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8: 3750–3800 MHz: preliminary view on lot configuration"/>
                          <pic:cNvPicPr/>
                        </pic:nvPicPr>
                        <pic:blipFill>
                          <a:blip r:embed="rId70"/>
                          <a:stretch>
                            <a:fillRect/>
                          </a:stretch>
                        </pic:blipFill>
                        <pic:spPr>
                          <a:xfrm>
                            <a:off x="0" y="0"/>
                            <a:ext cx="2798138" cy="3847562"/>
                          </a:xfrm>
                          <a:prstGeom prst="rect">
                            <a:avLst/>
                          </a:prstGeom>
                          <a:ln>
                            <a:solidFill>
                              <a:schemeClr val="tx1"/>
                            </a:solidFill>
                          </a:ln>
                        </pic:spPr>
                      </pic:pic>
                    </a:graphicData>
                  </a:graphic>
                </wp:inline>
              </w:drawing>
            </w:r>
          </w:p>
        </w:tc>
      </w:tr>
    </w:tbl>
    <w:p w14:paraId="5AE0943F" w14:textId="1D7AC161" w:rsidR="008C0C87" w:rsidRDefault="008D117F" w:rsidP="00DB4442">
      <w:pPr>
        <w:pStyle w:val="Heading2"/>
        <w:ind w:right="992"/>
      </w:pPr>
      <w:bookmarkStart w:id="30" w:name="_Toc126917767"/>
      <w:r>
        <w:t>Products</w:t>
      </w:r>
      <w:bookmarkEnd w:id="30"/>
    </w:p>
    <w:p w14:paraId="1BCECAB1" w14:textId="6FEA247B" w:rsidR="007C24AF" w:rsidRDefault="007C24AF" w:rsidP="00A572E3">
      <w:pPr>
        <w:pStyle w:val="Paragraph"/>
      </w:pPr>
      <w:r>
        <w:t xml:space="preserve">Schedules </w:t>
      </w:r>
      <w:r w:rsidRPr="002F6BE8">
        <w:t>1</w:t>
      </w:r>
      <w:r>
        <w:t xml:space="preserve"> and </w:t>
      </w:r>
      <w:r w:rsidR="00C630DC" w:rsidRPr="002F6BE8">
        <w:t>2</w:t>
      </w:r>
      <w:r>
        <w:t xml:space="preserve"> </w:t>
      </w:r>
      <w:r w:rsidR="00D45D28">
        <w:t>to</w:t>
      </w:r>
      <w:r>
        <w:t xml:space="preserve"> </w:t>
      </w:r>
      <w:r w:rsidR="00BA1701">
        <w:t xml:space="preserve">the </w:t>
      </w:r>
      <w:r>
        <w:t>draft marketing plan</w:t>
      </w:r>
      <w:r w:rsidR="00BA1701">
        <w:t xml:space="preserve"> list the proposed products for the </w:t>
      </w:r>
      <w:r w:rsidR="00FD05D6">
        <w:t>3.7 GHz and 3.4 GHz bands respectively.</w:t>
      </w:r>
      <w:r w:rsidR="0049759F">
        <w:t xml:space="preserve"> </w:t>
      </w:r>
      <w:r w:rsidR="0049759F" w:rsidRPr="002F6BE8">
        <w:t xml:space="preserve">Schedule </w:t>
      </w:r>
      <w:r w:rsidR="00C630DC">
        <w:t xml:space="preserve">3 </w:t>
      </w:r>
      <w:r w:rsidR="0049759F">
        <w:t>lists the proposed leftover lots.</w:t>
      </w:r>
    </w:p>
    <w:p w14:paraId="569BF2CF" w14:textId="6B73CADA" w:rsidR="008C0C87" w:rsidRDefault="00D26A3D" w:rsidP="00A572E3">
      <w:pPr>
        <w:pStyle w:val="Paragraph"/>
      </w:pPr>
      <w:r>
        <w:t xml:space="preserve">We </w:t>
      </w:r>
      <w:r w:rsidR="001179E2">
        <w:t>propose</w:t>
      </w:r>
      <w:r>
        <w:t xml:space="preserve"> the following naming scheme for products in the 3.4/3.7 GHz </w:t>
      </w:r>
      <w:r w:rsidR="008B7C00">
        <w:t xml:space="preserve">bands </w:t>
      </w:r>
      <w:r>
        <w:t>auction:</w:t>
      </w:r>
    </w:p>
    <w:p w14:paraId="6CAFC682" w14:textId="048677E0" w:rsidR="00DE1FDB" w:rsidRDefault="008B7C00" w:rsidP="00A572E3">
      <w:pPr>
        <w:pStyle w:val="ACMATableHeader"/>
      </w:pPr>
      <w:r>
        <w:t>Proposed naming scheme for the 3.4/3.7 GHz bands auction</w:t>
      </w:r>
    </w:p>
    <w:tbl>
      <w:tblPr>
        <w:tblStyle w:val="ACMAtablestyle"/>
        <w:tblW w:w="0" w:type="auto"/>
        <w:tblLook w:val="04A0" w:firstRow="1" w:lastRow="0" w:firstColumn="1" w:lastColumn="0" w:noHBand="0" w:noVBand="1"/>
      </w:tblPr>
      <w:tblGrid>
        <w:gridCol w:w="1838"/>
        <w:gridCol w:w="1701"/>
        <w:gridCol w:w="1985"/>
      </w:tblGrid>
      <w:tr w:rsidR="00831FA6" w14:paraId="2AC8F76C" w14:textId="77777777" w:rsidTr="00A572E3">
        <w:trPr>
          <w:cnfStyle w:val="100000000000" w:firstRow="1" w:lastRow="0" w:firstColumn="0" w:lastColumn="0" w:oddVBand="0" w:evenVBand="0" w:oddHBand="0" w:evenHBand="0" w:firstRowFirstColumn="0" w:firstRowLastColumn="0" w:lastRowFirstColumn="0" w:lastRowLastColumn="0"/>
        </w:trPr>
        <w:tc>
          <w:tcPr>
            <w:tcW w:w="1838" w:type="dxa"/>
          </w:tcPr>
          <w:p w14:paraId="556B5654" w14:textId="4173EC25" w:rsidR="003F0D34" w:rsidRDefault="00235DB1" w:rsidP="003502F3">
            <w:pPr>
              <w:pStyle w:val="Tableheaderrow"/>
            </w:pPr>
            <w:r>
              <w:t>Frequency range (MHz)</w:t>
            </w:r>
          </w:p>
        </w:tc>
        <w:tc>
          <w:tcPr>
            <w:tcW w:w="1701" w:type="dxa"/>
          </w:tcPr>
          <w:p w14:paraId="11DBB267" w14:textId="3B62E905" w:rsidR="003F0D34" w:rsidRDefault="00235DB1" w:rsidP="003502F3">
            <w:pPr>
              <w:pStyle w:val="Tableheaderrow"/>
            </w:pPr>
            <w:r>
              <w:t>Product name</w:t>
            </w:r>
          </w:p>
        </w:tc>
        <w:tc>
          <w:tcPr>
            <w:tcW w:w="1985" w:type="dxa"/>
          </w:tcPr>
          <w:p w14:paraId="3457E3BF" w14:textId="6901BCE5" w:rsidR="003F0D34" w:rsidRDefault="00235DB1" w:rsidP="003502F3">
            <w:pPr>
              <w:pStyle w:val="Tableheaderrow"/>
            </w:pPr>
            <w:r>
              <w:t>Product ID</w:t>
            </w:r>
          </w:p>
        </w:tc>
      </w:tr>
      <w:tr w:rsidR="003F0D34" w14:paraId="779B676A" w14:textId="77777777" w:rsidTr="00A572E3">
        <w:trPr>
          <w:cnfStyle w:val="000000100000" w:firstRow="0" w:lastRow="0" w:firstColumn="0" w:lastColumn="0" w:oddVBand="0" w:evenVBand="0" w:oddHBand="1" w:evenHBand="0" w:firstRowFirstColumn="0" w:firstRowLastColumn="0" w:lastRowFirstColumn="0" w:lastRowLastColumn="0"/>
        </w:trPr>
        <w:tc>
          <w:tcPr>
            <w:tcW w:w="1838" w:type="dxa"/>
          </w:tcPr>
          <w:p w14:paraId="7AC8A653" w14:textId="325471D8" w:rsidR="003F0D34" w:rsidRPr="00522D6A" w:rsidRDefault="00522D6A" w:rsidP="003502F3">
            <w:pPr>
              <w:pStyle w:val="TableBody"/>
              <w:rPr>
                <w:b/>
                <w:bCs/>
              </w:rPr>
            </w:pPr>
            <w:r>
              <w:t>3400</w:t>
            </w:r>
            <w:r w:rsidR="008E04FE" w:rsidRPr="00C01405">
              <w:t>–</w:t>
            </w:r>
            <w:r>
              <w:t>3475</w:t>
            </w:r>
          </w:p>
        </w:tc>
        <w:tc>
          <w:tcPr>
            <w:tcW w:w="1701" w:type="dxa"/>
          </w:tcPr>
          <w:p w14:paraId="7EA1B1EA" w14:textId="2BB6F4C1" w:rsidR="003F0D34" w:rsidRPr="00522D6A" w:rsidRDefault="00AC6B71" w:rsidP="003502F3">
            <w:pPr>
              <w:pStyle w:val="TableBody"/>
            </w:pPr>
            <w:r>
              <w:t>…Lower</w:t>
            </w:r>
          </w:p>
        </w:tc>
        <w:tc>
          <w:tcPr>
            <w:tcW w:w="1985" w:type="dxa"/>
          </w:tcPr>
          <w:p w14:paraId="1C335047" w14:textId="23D9205C" w:rsidR="003F0D34" w:rsidRPr="00522D6A" w:rsidRDefault="00AC6B71" w:rsidP="003502F3">
            <w:pPr>
              <w:pStyle w:val="TableBody"/>
            </w:pPr>
            <w:r>
              <w:t>…01</w:t>
            </w:r>
          </w:p>
        </w:tc>
      </w:tr>
      <w:tr w:rsidR="003F0D34" w14:paraId="5D220FC4" w14:textId="77777777" w:rsidTr="00A572E3">
        <w:trPr>
          <w:cnfStyle w:val="000000010000" w:firstRow="0" w:lastRow="0" w:firstColumn="0" w:lastColumn="0" w:oddVBand="0" w:evenVBand="0" w:oddHBand="0" w:evenHBand="1" w:firstRowFirstColumn="0" w:firstRowLastColumn="0" w:lastRowFirstColumn="0" w:lastRowLastColumn="0"/>
        </w:trPr>
        <w:tc>
          <w:tcPr>
            <w:tcW w:w="1838" w:type="dxa"/>
          </w:tcPr>
          <w:p w14:paraId="1FDB537B" w14:textId="3CB678CA" w:rsidR="003F0D34" w:rsidRPr="00522D6A" w:rsidRDefault="00AC6B71" w:rsidP="003502F3">
            <w:pPr>
              <w:pStyle w:val="TableBody"/>
              <w:rPr>
                <w:b/>
                <w:bCs/>
              </w:rPr>
            </w:pPr>
            <w:r>
              <w:t>3475</w:t>
            </w:r>
            <w:r w:rsidR="008E04FE" w:rsidRPr="00C01405">
              <w:t>–</w:t>
            </w:r>
            <w:r>
              <w:t>3575</w:t>
            </w:r>
          </w:p>
        </w:tc>
        <w:tc>
          <w:tcPr>
            <w:tcW w:w="1701" w:type="dxa"/>
          </w:tcPr>
          <w:p w14:paraId="3C1E66D5" w14:textId="2019B5EC" w:rsidR="003F0D34" w:rsidRPr="00522D6A" w:rsidRDefault="00AC6B71" w:rsidP="003502F3">
            <w:pPr>
              <w:pStyle w:val="TableBody"/>
            </w:pPr>
            <w:r>
              <w:t>…Middle</w:t>
            </w:r>
          </w:p>
        </w:tc>
        <w:tc>
          <w:tcPr>
            <w:tcW w:w="1985" w:type="dxa"/>
          </w:tcPr>
          <w:p w14:paraId="755BC85A" w14:textId="7228EF9E" w:rsidR="003F0D34" w:rsidRPr="00522D6A" w:rsidRDefault="00AC6B71" w:rsidP="003502F3">
            <w:pPr>
              <w:pStyle w:val="TableBody"/>
            </w:pPr>
            <w:r>
              <w:t>…02</w:t>
            </w:r>
          </w:p>
        </w:tc>
      </w:tr>
      <w:tr w:rsidR="003F0D34" w14:paraId="3BEC0A9E" w14:textId="77777777" w:rsidTr="00A572E3">
        <w:trPr>
          <w:cnfStyle w:val="000000100000" w:firstRow="0" w:lastRow="0" w:firstColumn="0" w:lastColumn="0" w:oddVBand="0" w:evenVBand="0" w:oddHBand="1" w:evenHBand="0" w:firstRowFirstColumn="0" w:firstRowLastColumn="0" w:lastRowFirstColumn="0" w:lastRowLastColumn="0"/>
        </w:trPr>
        <w:tc>
          <w:tcPr>
            <w:tcW w:w="1838" w:type="dxa"/>
          </w:tcPr>
          <w:p w14:paraId="7EC3C1C5" w14:textId="3F44B1C1" w:rsidR="003F0D34" w:rsidRPr="00522D6A" w:rsidRDefault="00AC6B71" w:rsidP="003502F3">
            <w:pPr>
              <w:pStyle w:val="TableBody"/>
              <w:rPr>
                <w:b/>
                <w:bCs/>
              </w:rPr>
            </w:pPr>
            <w:r>
              <w:t>3700</w:t>
            </w:r>
            <w:r w:rsidR="008E04FE" w:rsidRPr="00C01405">
              <w:t>–</w:t>
            </w:r>
            <w:r>
              <w:t>3800</w:t>
            </w:r>
          </w:p>
        </w:tc>
        <w:tc>
          <w:tcPr>
            <w:tcW w:w="1701" w:type="dxa"/>
          </w:tcPr>
          <w:p w14:paraId="36ED8E2A" w14:textId="159206B7" w:rsidR="003F0D34" w:rsidRPr="00522D6A" w:rsidRDefault="00AC6B71" w:rsidP="003502F3">
            <w:pPr>
              <w:pStyle w:val="TableBody"/>
            </w:pPr>
            <w:r>
              <w:t>…Upper</w:t>
            </w:r>
          </w:p>
        </w:tc>
        <w:tc>
          <w:tcPr>
            <w:tcW w:w="1985" w:type="dxa"/>
          </w:tcPr>
          <w:p w14:paraId="5273B4CD" w14:textId="7ABD4629" w:rsidR="003F0D34" w:rsidRPr="00522D6A" w:rsidRDefault="00AC6B71" w:rsidP="003502F3">
            <w:pPr>
              <w:pStyle w:val="TableBody"/>
            </w:pPr>
            <w:r>
              <w:t>…03</w:t>
            </w:r>
          </w:p>
        </w:tc>
      </w:tr>
    </w:tbl>
    <w:p w14:paraId="750A0E26" w14:textId="77777777" w:rsidR="0045663C" w:rsidRDefault="0045663C" w:rsidP="007E41EC">
      <w:pPr>
        <w:pStyle w:val="Paragraphbeforelist"/>
        <w:ind w:right="992"/>
      </w:pPr>
    </w:p>
    <w:p w14:paraId="74C32715" w14:textId="21BDCAEE" w:rsidR="008E7B24" w:rsidRDefault="00C74346" w:rsidP="007E41EC">
      <w:pPr>
        <w:pStyle w:val="Paragraphbeforelist"/>
        <w:ind w:right="992"/>
      </w:pPr>
      <w:r>
        <w:t>In adopting this</w:t>
      </w:r>
      <w:r w:rsidR="00A86CE8">
        <w:t xml:space="preserve"> </w:t>
      </w:r>
      <w:r w:rsidR="00E31B96">
        <w:t xml:space="preserve">naming </w:t>
      </w:r>
      <w:r w:rsidR="00A86CE8">
        <w:t>scheme</w:t>
      </w:r>
      <w:r w:rsidR="0045663C">
        <w:t>,</w:t>
      </w:r>
      <w:r w:rsidR="00A86CE8">
        <w:t xml:space="preserve"> </w:t>
      </w:r>
      <w:r>
        <w:t>it should be noted that</w:t>
      </w:r>
      <w:r w:rsidR="00357DAC">
        <w:t>:</w:t>
      </w:r>
    </w:p>
    <w:p w14:paraId="5EA85A98" w14:textId="54C7914E" w:rsidR="00357DAC" w:rsidRDefault="357D18AD" w:rsidP="007E41EC">
      <w:pPr>
        <w:pStyle w:val="Bulletlevel1"/>
        <w:ind w:right="992"/>
      </w:pPr>
      <w:r>
        <w:t>There is no Lower product for the Regional</w:t>
      </w:r>
      <w:r w:rsidR="7E53B098">
        <w:t xml:space="preserve"> Area 2 products (e.g.</w:t>
      </w:r>
      <w:r w:rsidR="0045663C">
        <w:t>,</w:t>
      </w:r>
      <w:r w:rsidR="7E53B098">
        <w:t xml:space="preserve"> Regional SA), even though there is a Middle and Upper product.</w:t>
      </w:r>
    </w:p>
    <w:p w14:paraId="1B097C2B" w14:textId="682948C6" w:rsidR="00E32B89" w:rsidRDefault="2906DC4F" w:rsidP="007E41EC">
      <w:pPr>
        <w:pStyle w:val="Bulletlevel1last"/>
        <w:ind w:right="992"/>
      </w:pPr>
      <w:r>
        <w:t xml:space="preserve">The </w:t>
      </w:r>
      <w:r w:rsidR="28E0665D">
        <w:t xml:space="preserve">product for the </w:t>
      </w:r>
      <w:r>
        <w:t xml:space="preserve">Regional WA Central </w:t>
      </w:r>
      <w:r w:rsidR="28E0665D">
        <w:t>area is called Regional WA Central Middle.</w:t>
      </w:r>
    </w:p>
    <w:p w14:paraId="2C5B48C0" w14:textId="129059B5" w:rsidR="00947377" w:rsidRDefault="00CE72A4" w:rsidP="007E41EC">
      <w:pPr>
        <w:pStyle w:val="Paragraph"/>
        <w:ind w:right="992"/>
      </w:pPr>
      <w:r>
        <w:t>T</w:t>
      </w:r>
      <w:r w:rsidR="009331FC">
        <w:t>his</w:t>
      </w:r>
      <w:r w:rsidR="00AF57BD">
        <w:t xml:space="preserve"> naming scheme </w:t>
      </w:r>
      <w:r w:rsidR="009331FC">
        <w:t xml:space="preserve">achieves consistent product names </w:t>
      </w:r>
      <w:r w:rsidR="007178A1">
        <w:t xml:space="preserve">and product IDs across the bands and prevents </w:t>
      </w:r>
      <w:r w:rsidR="00F87578">
        <w:t xml:space="preserve">products </w:t>
      </w:r>
      <w:r w:rsidR="000620FB">
        <w:t xml:space="preserve">with overlapping frequencies </w:t>
      </w:r>
      <w:r w:rsidR="00CE795C">
        <w:t>having</w:t>
      </w:r>
      <w:r w:rsidR="000620FB">
        <w:t xml:space="preserve"> different </w:t>
      </w:r>
      <w:r w:rsidR="00CE795C">
        <w:t xml:space="preserve">product </w:t>
      </w:r>
      <w:r w:rsidR="000620FB">
        <w:t>names</w:t>
      </w:r>
      <w:r w:rsidR="00CE795C">
        <w:t xml:space="preserve"> and product IDs</w:t>
      </w:r>
      <w:r w:rsidR="000620FB">
        <w:t xml:space="preserve">. </w:t>
      </w:r>
      <w:r w:rsidR="00DE1FDB">
        <w:t>We welcome comments on the proposed naming scheme.</w:t>
      </w:r>
    </w:p>
    <w:p w14:paraId="3938C953" w14:textId="77777777" w:rsidR="005D73C0" w:rsidRDefault="005D73C0" w:rsidP="00332AD4">
      <w:pPr>
        <w:pStyle w:val="Heading1"/>
        <w:ind w:right="992"/>
      </w:pPr>
      <w:bookmarkStart w:id="31" w:name="_Toc69301123"/>
      <w:bookmarkStart w:id="32" w:name="_Toc126917768"/>
      <w:r>
        <w:lastRenderedPageBreak/>
        <w:t>Draft allocation determination</w:t>
      </w:r>
      <w:bookmarkEnd w:id="31"/>
      <w:bookmarkEnd w:id="32"/>
    </w:p>
    <w:p w14:paraId="52903F8E" w14:textId="77777777" w:rsidR="005D73C0" w:rsidRDefault="005D73C0" w:rsidP="00332AD4">
      <w:pPr>
        <w:pStyle w:val="Paragraphbeforelist"/>
        <w:ind w:right="992"/>
      </w:pPr>
      <w:r>
        <w:t>The draft allocation determination includes:</w:t>
      </w:r>
    </w:p>
    <w:p w14:paraId="02E31297" w14:textId="77777777" w:rsidR="005D73C0" w:rsidRDefault="301162DE" w:rsidP="00332AD4">
      <w:pPr>
        <w:pStyle w:val="Bulletlevel1"/>
        <w:ind w:right="992"/>
      </w:pPr>
      <w:r>
        <w:t>rules for how the spectrum will be allocated by auction</w:t>
      </w:r>
    </w:p>
    <w:p w14:paraId="5C4CE2D3" w14:textId="77777777" w:rsidR="005D73C0" w:rsidRDefault="301162DE" w:rsidP="00332AD4">
      <w:pPr>
        <w:pStyle w:val="Bulletlevel1"/>
        <w:ind w:right="992"/>
      </w:pPr>
      <w:r>
        <w:t>the auction format that will be used</w:t>
      </w:r>
    </w:p>
    <w:p w14:paraId="0CA6ACCC" w14:textId="77777777" w:rsidR="005D73C0" w:rsidRDefault="301162DE" w:rsidP="00332AD4">
      <w:pPr>
        <w:pStyle w:val="Bulletlevel1"/>
        <w:ind w:right="992"/>
      </w:pPr>
      <w:r>
        <w:t>procedures that will apply to the auction</w:t>
      </w:r>
    </w:p>
    <w:p w14:paraId="713FC70D" w14:textId="77777777" w:rsidR="005D73C0" w:rsidRDefault="301162DE" w:rsidP="00332AD4">
      <w:pPr>
        <w:pStyle w:val="Bulletlevel1last"/>
        <w:ind w:right="992"/>
      </w:pPr>
      <w:r>
        <w:t>responsibilities of bidders/applicants and the ACMA throughout all stages of the auction.</w:t>
      </w:r>
    </w:p>
    <w:p w14:paraId="36C43FB9" w14:textId="189AEF29" w:rsidR="005D73C0" w:rsidRDefault="005D73C0" w:rsidP="00332AD4">
      <w:pPr>
        <w:pStyle w:val="Paragraph"/>
        <w:ind w:right="992"/>
      </w:pPr>
      <w:r>
        <w:t>Section 60 of the Act</w:t>
      </w:r>
      <w:r w:rsidR="00355D24">
        <w:t xml:space="preserve"> </w:t>
      </w:r>
      <w:r>
        <w:t>requires the ACMA to determine the procedures to be applied in allocating spectrum licences by auction, by tender, by allocation for a pre-determined price or a negotiated price, by direct allocation, or by a combination of those methods.</w:t>
      </w:r>
      <w:r w:rsidR="00A96986">
        <w:t xml:space="preserve"> The ACMA</w:t>
      </w:r>
      <w:r w:rsidR="00A96986" w:rsidDel="00185E13">
        <w:t xml:space="preserve"> </w:t>
      </w:r>
      <w:r w:rsidR="00185E13">
        <w:t xml:space="preserve">may also </w:t>
      </w:r>
      <w:r w:rsidR="00DE3A9E">
        <w:t>impose</w:t>
      </w:r>
      <w:r w:rsidR="00A96986">
        <w:t xml:space="preserve"> limits on the </w:t>
      </w:r>
      <w:r w:rsidR="0030383C">
        <w:t xml:space="preserve">aggregate </w:t>
      </w:r>
      <w:r w:rsidR="00A96986">
        <w:t>amount of spectrum acquired</w:t>
      </w:r>
      <w:r w:rsidR="0030383C">
        <w:t xml:space="preserve"> as a result of the auction, following consultation with the ACCC pursuant to </w:t>
      </w:r>
      <w:r w:rsidR="007A6863">
        <w:t>sub</w:t>
      </w:r>
      <w:r w:rsidR="0030383C">
        <w:t>section 60(13A) of the Act.</w:t>
      </w:r>
      <w:r>
        <w:t xml:space="preserve"> Section</w:t>
      </w:r>
      <w:r w:rsidR="00A6274E">
        <w:t> </w:t>
      </w:r>
      <w:r>
        <w:t xml:space="preserve">294 of the Act also allows the ACMA to make a determination fixing the spectrum access charges payable by licensees, for issuing spectrum licences, and specifying the times when such spectrum access charges are payable. </w:t>
      </w:r>
      <w:r w:rsidR="009B7BCE">
        <w:t>These rules are included in the draft allocation determination for consultation</w:t>
      </w:r>
      <w:r>
        <w:t>.</w:t>
      </w:r>
    </w:p>
    <w:p w14:paraId="79D77156" w14:textId="77777777" w:rsidR="00F95AC9" w:rsidRPr="00354B3E" w:rsidRDefault="00F95AC9" w:rsidP="00332AD4">
      <w:pPr>
        <w:pStyle w:val="Heading2"/>
        <w:ind w:right="992"/>
      </w:pPr>
      <w:bookmarkStart w:id="33" w:name="_Toc69301124"/>
      <w:bookmarkStart w:id="34" w:name="_Toc126917769"/>
      <w:r w:rsidRPr="00354B3E">
        <w:t>Allocation methodology</w:t>
      </w:r>
      <w:bookmarkEnd w:id="33"/>
      <w:bookmarkEnd w:id="34"/>
    </w:p>
    <w:p w14:paraId="69490948" w14:textId="77777777" w:rsidR="006F3203" w:rsidRPr="00354B3E" w:rsidRDefault="006F3203" w:rsidP="00332AD4">
      <w:pPr>
        <w:pStyle w:val="Heading3"/>
        <w:ind w:right="992"/>
      </w:pPr>
      <w:r w:rsidRPr="00354B3E">
        <w:t>Auction format</w:t>
      </w:r>
    </w:p>
    <w:p w14:paraId="0F918569" w14:textId="2F85CA6A" w:rsidR="00FF2448" w:rsidDel="00396D93" w:rsidRDefault="00FD5392" w:rsidP="00332AD4">
      <w:pPr>
        <w:pStyle w:val="Paragraph"/>
        <w:ind w:right="992"/>
      </w:pPr>
      <w:r>
        <w:t xml:space="preserve">Where there </w:t>
      </w:r>
      <w:r w:rsidR="00D863D0">
        <w:t>is</w:t>
      </w:r>
      <w:r>
        <w:t xml:space="preserve"> </w:t>
      </w:r>
      <w:r w:rsidR="00CC2E13">
        <w:t xml:space="preserve">expected to be </w:t>
      </w:r>
      <w:r w:rsidR="009A310D">
        <w:t xml:space="preserve">significant </w:t>
      </w:r>
      <w:r w:rsidR="00AB555C">
        <w:t xml:space="preserve">excess </w:t>
      </w:r>
      <w:r>
        <w:t>demand</w:t>
      </w:r>
      <w:r w:rsidR="0052399F">
        <w:t xml:space="preserve"> for </w:t>
      </w:r>
      <w:r w:rsidR="000D387B">
        <w:t>spectrum</w:t>
      </w:r>
      <w:r w:rsidR="00DA5F2B">
        <w:t xml:space="preserve">, </w:t>
      </w:r>
      <w:r w:rsidR="003B2C53" w:rsidDel="00396D93">
        <w:t xml:space="preserve">an auction </w:t>
      </w:r>
      <w:r w:rsidR="00695E91">
        <w:t xml:space="preserve">is </w:t>
      </w:r>
      <w:r w:rsidR="003D2C46">
        <w:t xml:space="preserve">generally </w:t>
      </w:r>
      <w:r w:rsidR="00695E91">
        <w:t xml:space="preserve">the allocation method that best achieves </w:t>
      </w:r>
      <w:r w:rsidR="003B2C53" w:rsidDel="00396D93">
        <w:t xml:space="preserve">the </w:t>
      </w:r>
      <w:r w:rsidR="003B2C53">
        <w:t>object of the Act</w:t>
      </w:r>
      <w:r w:rsidR="003B2C53" w:rsidDel="00396D93">
        <w:t xml:space="preserve">. </w:t>
      </w:r>
      <w:r w:rsidR="00FF2448" w:rsidRPr="0056197C" w:rsidDel="00396D93">
        <w:t xml:space="preserve">The auction mechanism is intended to </w:t>
      </w:r>
      <w:r w:rsidR="00BE1DA6">
        <w:t>enable</w:t>
      </w:r>
      <w:r w:rsidR="0089435D">
        <w:t xml:space="preserve"> </w:t>
      </w:r>
      <w:r w:rsidR="00B64FB0">
        <w:t>bidder</w:t>
      </w:r>
      <w:r w:rsidR="008E2BCB">
        <w:t>s</w:t>
      </w:r>
      <w:r w:rsidR="001C7403">
        <w:t xml:space="preserve"> to reveal their</w:t>
      </w:r>
      <w:r w:rsidR="0089435D">
        <w:t xml:space="preserve"> valuation</w:t>
      </w:r>
      <w:r w:rsidR="008E2BCB">
        <w:t>s</w:t>
      </w:r>
      <w:r w:rsidR="002E2EEC">
        <w:t xml:space="preserve">, </w:t>
      </w:r>
      <w:r w:rsidR="00C812C1">
        <w:t xml:space="preserve">enabling </w:t>
      </w:r>
      <w:r w:rsidR="002E2EEC">
        <w:t xml:space="preserve">the spectrum </w:t>
      </w:r>
      <w:r w:rsidR="00C812C1">
        <w:t xml:space="preserve">to be </w:t>
      </w:r>
      <w:r w:rsidR="002E2EEC">
        <w:t xml:space="preserve">allocated to the </w:t>
      </w:r>
      <w:r w:rsidR="00FF2448" w:rsidRPr="0056197C" w:rsidDel="00396D93">
        <w:t>bidder or bidders who value it the most</w:t>
      </w:r>
      <w:r w:rsidR="003133C2">
        <w:t xml:space="preserve">. </w:t>
      </w:r>
      <w:r w:rsidR="00306069">
        <w:t>Generally, a party’s valuation of the spectrum is a good proxy for the public benefits they can provide from the use of the spectrum</w:t>
      </w:r>
      <w:r w:rsidR="00D25AB1">
        <w:t xml:space="preserve">. Auctions </w:t>
      </w:r>
      <w:r w:rsidR="00FC4637">
        <w:t xml:space="preserve">can </w:t>
      </w:r>
      <w:r w:rsidR="00D25AB1">
        <w:t xml:space="preserve">also </w:t>
      </w:r>
      <w:r w:rsidR="00FC4637">
        <w:t>enhance the efficiency of allocation of the spectrum</w:t>
      </w:r>
      <w:r w:rsidR="00450E58">
        <w:t>.</w:t>
      </w:r>
      <w:r w:rsidR="00CD6C81">
        <w:t xml:space="preserve"> </w:t>
      </w:r>
      <w:r w:rsidR="003133C2">
        <w:t>As such,</w:t>
      </w:r>
      <w:r w:rsidR="00674B39">
        <w:t xml:space="preserve"> where </w:t>
      </w:r>
      <w:r w:rsidR="00EC2F8B">
        <w:t>there is competing demand</w:t>
      </w:r>
      <w:r w:rsidR="00516850">
        <w:t xml:space="preserve">, </w:t>
      </w:r>
      <w:r w:rsidR="00E355D2">
        <w:t xml:space="preserve">an auction provides </w:t>
      </w:r>
      <w:r w:rsidR="00FF2448" w:rsidRPr="0056197C" w:rsidDel="00396D93">
        <w:t xml:space="preserve">for an outcome that maximises the </w:t>
      </w:r>
      <w:r w:rsidR="00FC4637">
        <w:t>long</w:t>
      </w:r>
      <w:r w:rsidR="00143423">
        <w:t>-</w:t>
      </w:r>
      <w:r w:rsidR="00FC4637">
        <w:t xml:space="preserve">term </w:t>
      </w:r>
      <w:r w:rsidR="00FF2448" w:rsidRPr="0056197C" w:rsidDel="00396D93">
        <w:t xml:space="preserve">public </w:t>
      </w:r>
      <w:r w:rsidR="00FF2448" w:rsidDel="00396D93">
        <w:t>interest from the</w:t>
      </w:r>
      <w:r w:rsidR="00FF2448" w:rsidRPr="0056197C" w:rsidDel="00396D93">
        <w:t xml:space="preserve"> use of the spectrum.</w:t>
      </w:r>
    </w:p>
    <w:p w14:paraId="32F1448A" w14:textId="5A475097" w:rsidR="003B2C53" w:rsidDel="00396D93" w:rsidRDefault="00A770B5" w:rsidP="00332AD4">
      <w:pPr>
        <w:pStyle w:val="Paragraph"/>
        <w:ind w:right="992"/>
      </w:pPr>
      <w:r>
        <w:t>In addition, a</w:t>
      </w:r>
      <w:r w:rsidR="003B2C53" w:rsidRPr="002301F0" w:rsidDel="00396D93">
        <w:t xml:space="preserve">uctions </w:t>
      </w:r>
      <w:r w:rsidR="003B2C53" w:rsidDel="00396D93">
        <w:t xml:space="preserve">provide a </w:t>
      </w:r>
      <w:r w:rsidR="003B2C53" w:rsidRPr="002301F0" w:rsidDel="00396D93">
        <w:t xml:space="preserve">transparent method of allocating </w:t>
      </w:r>
      <w:r w:rsidR="003B2C53" w:rsidDel="00396D93">
        <w:t>spectrum</w:t>
      </w:r>
      <w:r w:rsidR="003B2C53" w:rsidRPr="002301F0" w:rsidDel="00396D93">
        <w:t xml:space="preserve"> where there is </w:t>
      </w:r>
      <w:r w:rsidR="003B2C53" w:rsidDel="00396D93">
        <w:t xml:space="preserve">likely to be </w:t>
      </w:r>
      <w:r w:rsidR="003B2C53" w:rsidRPr="002301F0" w:rsidDel="00396D93">
        <w:t>competing demand</w:t>
      </w:r>
      <w:r w:rsidR="003B2C53" w:rsidDel="00396D93">
        <w:t>, either in the aggregate or for individual lots</w:t>
      </w:r>
      <w:r w:rsidR="003B2C53" w:rsidRPr="002301F0" w:rsidDel="00396D93">
        <w:t>.</w:t>
      </w:r>
      <w:r w:rsidR="003B2C53" w:rsidDel="00396D93">
        <w:t xml:space="preserve"> </w:t>
      </w:r>
    </w:p>
    <w:p w14:paraId="31F60E63" w14:textId="16ADC726" w:rsidR="006F3203" w:rsidRDefault="00036401" w:rsidP="00332AD4">
      <w:pPr>
        <w:pStyle w:val="Paragraph"/>
        <w:ind w:right="992"/>
      </w:pPr>
      <w:r>
        <w:t>We propose to</w:t>
      </w:r>
      <w:r w:rsidR="006F3203">
        <w:t xml:space="preserve"> use a </w:t>
      </w:r>
      <w:r w:rsidR="00150227">
        <w:t>2</w:t>
      </w:r>
      <w:r w:rsidR="006F3203">
        <w:t xml:space="preserve">-stage generic lots clock auction format, with </w:t>
      </w:r>
      <w:r w:rsidR="004506D1">
        <w:t xml:space="preserve">an English </w:t>
      </w:r>
      <w:r w:rsidR="004D0A5A">
        <w:t>open outcry (EOO</w:t>
      </w:r>
      <w:r w:rsidR="00F81DF4">
        <w:t>)</w:t>
      </w:r>
      <w:r w:rsidR="0012489C">
        <w:t xml:space="preserve"> </w:t>
      </w:r>
      <w:r w:rsidR="006F3203">
        <w:t xml:space="preserve">format for a secondary stage (if required). </w:t>
      </w:r>
      <w:r w:rsidR="0012489C">
        <w:t xml:space="preserve">The format </w:t>
      </w:r>
      <w:r w:rsidR="00C374B4">
        <w:t xml:space="preserve">was previously referred to as </w:t>
      </w:r>
      <w:r w:rsidR="006F3203">
        <w:t xml:space="preserve">the enhanced simultaneous multi-round ascending (ESMRA) auction format </w:t>
      </w:r>
      <w:r w:rsidR="00F16619">
        <w:t>a</w:t>
      </w:r>
      <w:r w:rsidR="00F677DC">
        <w:t>nd</w:t>
      </w:r>
      <w:r w:rsidR="00F16619">
        <w:t xml:space="preserve"> was used </w:t>
      </w:r>
      <w:r w:rsidR="006F3203">
        <w:t xml:space="preserve">in the recent 26 GHz and 850/900 MHz band auctions. </w:t>
      </w:r>
    </w:p>
    <w:p w14:paraId="3A906CE4" w14:textId="7E6698AA" w:rsidR="004C31FF" w:rsidRPr="009D4D19" w:rsidRDefault="004C31FF" w:rsidP="00332AD4">
      <w:pPr>
        <w:pStyle w:val="Heading3"/>
        <w:ind w:right="992"/>
      </w:pPr>
      <w:r>
        <w:t>Auction system</w:t>
      </w:r>
    </w:p>
    <w:p w14:paraId="51AE34C1" w14:textId="591201FC" w:rsidR="004C31FF" w:rsidRDefault="00594584" w:rsidP="00332AD4">
      <w:pPr>
        <w:pStyle w:val="Paragraphbeforelist"/>
        <w:ind w:right="992"/>
      </w:pPr>
      <w:r>
        <w:t>T</w:t>
      </w:r>
      <w:r w:rsidR="004C31FF">
        <w:t xml:space="preserve">he 3.4/3.7 GHz bands auction will use a different auction system to the system used in the 3.6 GHz, 26 GHz and 850/900 MHz auctions. The underlying </w:t>
      </w:r>
      <w:r w:rsidR="00150227">
        <w:t>2</w:t>
      </w:r>
      <w:r w:rsidR="004C31FF">
        <w:t xml:space="preserve">-stage generic lots </w:t>
      </w:r>
      <w:r w:rsidR="007146B5">
        <w:t xml:space="preserve">clock </w:t>
      </w:r>
      <w:r w:rsidR="004C31FF">
        <w:t>auction format remains unchanged. The main differences from the previous auction system are:</w:t>
      </w:r>
    </w:p>
    <w:p w14:paraId="232AA65C" w14:textId="77777777" w:rsidR="004C31FF" w:rsidRDefault="59A2F4D1" w:rsidP="00332AD4">
      <w:pPr>
        <w:pStyle w:val="Bulletlevel1"/>
        <w:ind w:right="992"/>
      </w:pPr>
      <w:r>
        <w:t>updated user interface</w:t>
      </w:r>
    </w:p>
    <w:p w14:paraId="363CCD85" w14:textId="421BB670" w:rsidR="004C31FF" w:rsidRDefault="59A2F4D1" w:rsidP="00332AD4">
      <w:pPr>
        <w:pStyle w:val="Bulletlevel1last"/>
        <w:ind w:right="992"/>
      </w:pPr>
      <w:r>
        <w:t xml:space="preserve">implementation changes – bidder onboarding, pre-bidding </w:t>
      </w:r>
      <w:r w:rsidR="00B14214">
        <w:t>round</w:t>
      </w:r>
      <w:r>
        <w:t xml:space="preserve"> </w:t>
      </w:r>
      <w:r w:rsidR="3AF3F547">
        <w:t>and</w:t>
      </w:r>
      <w:r>
        <w:t xml:space="preserve"> </w:t>
      </w:r>
      <w:r w:rsidR="2F2E7A86">
        <w:t xml:space="preserve">the </w:t>
      </w:r>
      <w:r>
        <w:t>transition between auction stages</w:t>
      </w:r>
      <w:r w:rsidR="74EE1551">
        <w:t>.</w:t>
      </w:r>
    </w:p>
    <w:p w14:paraId="35BAB6F4" w14:textId="481D859D" w:rsidR="006D2BA9" w:rsidRDefault="004C31FF" w:rsidP="00332AD4">
      <w:pPr>
        <w:ind w:right="992"/>
      </w:pPr>
      <w:r>
        <w:t xml:space="preserve">We will </w:t>
      </w:r>
      <w:r w:rsidR="002E5D04" w:rsidRPr="002E5D04">
        <w:t>give</w:t>
      </w:r>
      <w:r w:rsidR="00444EEB">
        <w:t xml:space="preserve"> each bidder an opportunity to </w:t>
      </w:r>
      <w:r w:rsidR="002E5D04" w:rsidRPr="002E5D04">
        <w:t>trial</w:t>
      </w:r>
      <w:r w:rsidR="00444EEB">
        <w:t xml:space="preserve"> the </w:t>
      </w:r>
      <w:r w:rsidR="002E5D04" w:rsidRPr="002E5D04">
        <w:t xml:space="preserve">auction </w:t>
      </w:r>
      <w:r w:rsidR="00444EEB">
        <w:t xml:space="preserve">system </w:t>
      </w:r>
      <w:r w:rsidR="002E5D04" w:rsidRPr="002E5D04">
        <w:t>before the auction commences</w:t>
      </w:r>
      <w:r w:rsidR="002E5D04">
        <w:t>.</w:t>
      </w:r>
      <w:r w:rsidR="0081372C" w:rsidRPr="0081372C">
        <w:t xml:space="preserve"> </w:t>
      </w:r>
      <w:r w:rsidR="00A45B77">
        <w:t>This will be in the form of a mock auction</w:t>
      </w:r>
      <w:r w:rsidR="005D5842">
        <w:t>.</w:t>
      </w:r>
      <w:r w:rsidR="0081372C" w:rsidRPr="0081372C">
        <w:t xml:space="preserve"> </w:t>
      </w:r>
      <w:r w:rsidR="0081372C">
        <w:t xml:space="preserve">We </w:t>
      </w:r>
      <w:r w:rsidR="0081498E">
        <w:t xml:space="preserve">also </w:t>
      </w:r>
      <w:r w:rsidR="0068365A">
        <w:t xml:space="preserve">intend to </w:t>
      </w:r>
      <w:r w:rsidR="0081372C">
        <w:t>provide</w:t>
      </w:r>
      <w:r w:rsidR="0081498E">
        <w:t xml:space="preserve"> training </w:t>
      </w:r>
      <w:r w:rsidR="0081372C">
        <w:t xml:space="preserve">to all registered bidders prior to </w:t>
      </w:r>
      <w:r w:rsidR="00EC6D89">
        <w:t>their</w:t>
      </w:r>
      <w:r w:rsidR="0081372C" w:rsidRPr="001A5F69">
        <w:t xml:space="preserve"> </w:t>
      </w:r>
      <w:r w:rsidR="0081372C" w:rsidRPr="00EE6387">
        <w:t>mock auction</w:t>
      </w:r>
      <w:r w:rsidR="0081372C">
        <w:t xml:space="preserve">. </w:t>
      </w:r>
    </w:p>
    <w:p w14:paraId="53F49EDF" w14:textId="77777777" w:rsidR="00996C0D" w:rsidRPr="00354B3E" w:rsidRDefault="00996C0D" w:rsidP="00332AD4">
      <w:pPr>
        <w:pStyle w:val="Heading3"/>
        <w:ind w:right="992"/>
      </w:pPr>
      <w:r w:rsidRPr="00354B3E">
        <w:lastRenderedPageBreak/>
        <w:t>Sequencing</w:t>
      </w:r>
    </w:p>
    <w:p w14:paraId="06D8DA94" w14:textId="15814103" w:rsidR="00D95C80" w:rsidRDefault="00D95C80" w:rsidP="00332AD4">
      <w:pPr>
        <w:ind w:right="992"/>
      </w:pPr>
      <w:r>
        <w:t>Typically, we prefer to auction spectrum that is considered to be partially or wholly substitutable within a simultaneous auction, allowing for bidders to use information about demand for one part of the spectrum to inform bids on another, and to allow dynamic switching of demand during the auction. This enhances the efficiency of the allocation.</w:t>
      </w:r>
    </w:p>
    <w:p w14:paraId="5A2D426F" w14:textId="3C32BE6E" w:rsidR="000C6748" w:rsidRDefault="008B73A2" w:rsidP="00332AD4">
      <w:pPr>
        <w:ind w:right="992"/>
      </w:pPr>
      <w:r>
        <w:t>T</w:t>
      </w:r>
      <w:r w:rsidR="00747190">
        <w:t xml:space="preserve">he ACMA is consulting on options for </w:t>
      </w:r>
      <w:r w:rsidR="001041C4">
        <w:t>implementing allocation limits at auction</w:t>
      </w:r>
      <w:r w:rsidR="00E136B7">
        <w:t>. We are considering</w:t>
      </w:r>
      <w:r w:rsidR="008E0DA3">
        <w:t xml:space="preserve"> including all spectrum-licensed holdings in the 3.4</w:t>
      </w:r>
      <w:r w:rsidR="000E485E">
        <w:t>–</w:t>
      </w:r>
      <w:r w:rsidR="008E0DA3">
        <w:t>3.8 GHz frequency range</w:t>
      </w:r>
      <w:r w:rsidR="00843196">
        <w:t xml:space="preserve"> when calculating a bidder’s allocation limit</w:t>
      </w:r>
      <w:r w:rsidR="0082254C">
        <w:t xml:space="preserve"> (with the exception of </w:t>
      </w:r>
      <w:r w:rsidR="00AC72AB">
        <w:t>certain geographic areas and frequency ranges)</w:t>
      </w:r>
      <w:r w:rsidR="00843196">
        <w:t>. However</w:t>
      </w:r>
      <w:r w:rsidR="00D95C80">
        <w:t>, imposing a cross-band allocation limit in a simultaneous auction of the 3.4</w:t>
      </w:r>
      <w:r w:rsidR="005B535B">
        <w:t>/</w:t>
      </w:r>
      <w:r w:rsidR="00D95C80">
        <w:t>3.</w:t>
      </w:r>
      <w:r w:rsidR="00CC2CAD">
        <w:t>7 </w:t>
      </w:r>
      <w:r w:rsidR="00D95C80">
        <w:t xml:space="preserve">GHz bands will dramatically increase the complexity both for the administration of the auction (via the auction system) and for bidders participating in the auction. The complexity is a result of the </w:t>
      </w:r>
      <w:r w:rsidR="00A80948">
        <w:t>number of spectrum</w:t>
      </w:r>
      <w:r w:rsidR="00FB2EEB">
        <w:t xml:space="preserve"> products </w:t>
      </w:r>
      <w:r w:rsidR="00D95C80">
        <w:t xml:space="preserve">on offer, and the </w:t>
      </w:r>
      <w:r w:rsidR="006C2D54">
        <w:t>va</w:t>
      </w:r>
      <w:r w:rsidR="00962AEC">
        <w:t xml:space="preserve">riable </w:t>
      </w:r>
      <w:r w:rsidR="00D95C80">
        <w:t>geographic lot configuration across the bands.</w:t>
      </w:r>
      <w:r w:rsidR="000C6748" w:rsidRPr="000C6748">
        <w:t xml:space="preserve"> </w:t>
      </w:r>
    </w:p>
    <w:p w14:paraId="2A3D2D66" w14:textId="2B7FDAB0" w:rsidR="003B6FFD" w:rsidRPr="00807B0A" w:rsidRDefault="00A542F0" w:rsidP="00332AD4">
      <w:pPr>
        <w:ind w:right="992"/>
        <w:rPr>
          <w:highlight w:val="yellow"/>
        </w:rPr>
      </w:pPr>
      <w:r>
        <w:t xml:space="preserve">We considered whether </w:t>
      </w:r>
      <w:r w:rsidR="009D67A1">
        <w:t xml:space="preserve">disaggregating the </w:t>
      </w:r>
      <w:r w:rsidR="00251D71">
        <w:t xml:space="preserve">spectrum available at auction </w:t>
      </w:r>
      <w:r w:rsidR="00360810">
        <w:t>into geographically smaller products so that they all align across different frequency ranges would</w:t>
      </w:r>
      <w:r w:rsidR="00490732">
        <w:t xml:space="preserve"> eliminate the </w:t>
      </w:r>
      <w:r w:rsidR="00974A6A">
        <w:t>majority of issues related to the application of allo</w:t>
      </w:r>
      <w:r w:rsidR="00360810">
        <w:t>cation limits involved in a simultaneous auction – including the calculation of existing holdings and dynamic issues where demand is spread across multiple bands.</w:t>
      </w:r>
      <w:r w:rsidR="00974A6A">
        <w:t xml:space="preserve"> However, our </w:t>
      </w:r>
      <w:r w:rsidR="00360810">
        <w:t xml:space="preserve">concern with greater geographic disaggregation is that it may be less spectrally efficient, as it would impose additional boundaries between geographic regions, </w:t>
      </w:r>
      <w:r w:rsidR="00436A9A">
        <w:t>increasing the risk</w:t>
      </w:r>
      <w:r w:rsidR="0051652F">
        <w:t xml:space="preserve"> of ‘utility loss zones’</w:t>
      </w:r>
      <w:r w:rsidR="00360810">
        <w:t xml:space="preserve"> at boundaries.</w:t>
      </w:r>
      <w:r w:rsidR="0051652F">
        <w:rPr>
          <w:rStyle w:val="FootnoteReference"/>
        </w:rPr>
        <w:footnoteReference w:id="17"/>
      </w:r>
      <w:r w:rsidR="00360810">
        <w:t xml:space="preserve"> Stakeholder feedback received </w:t>
      </w:r>
      <w:r w:rsidR="00974A6A">
        <w:t xml:space="preserve">to date </w:t>
      </w:r>
      <w:r w:rsidR="00360810">
        <w:t>has consistently expressed a preference for the more aggregated areas.</w:t>
      </w:r>
    </w:p>
    <w:p w14:paraId="4E931E72" w14:textId="5CC7B1F2" w:rsidR="008B1B81" w:rsidRDefault="00D95C80" w:rsidP="00332AD4">
      <w:pPr>
        <w:ind w:right="992"/>
      </w:pPr>
      <w:r>
        <w:t xml:space="preserve">A sequential auction of </w:t>
      </w:r>
      <w:r w:rsidR="006B3911">
        <w:t>3.7 GHz</w:t>
      </w:r>
      <w:r w:rsidR="00497B6A">
        <w:t xml:space="preserve"> band</w:t>
      </w:r>
      <w:r w:rsidR="006B3911">
        <w:t xml:space="preserve"> and 3.4 GHz band</w:t>
      </w:r>
      <w:r>
        <w:t xml:space="preserve"> spectrum would significantly reduce the complexity relating to the implementation of </w:t>
      </w:r>
      <w:r w:rsidR="008D0E5D">
        <w:t xml:space="preserve">a </w:t>
      </w:r>
      <w:r>
        <w:t xml:space="preserve">cross-band </w:t>
      </w:r>
      <w:r w:rsidR="00CC1AEB">
        <w:t>allocation</w:t>
      </w:r>
      <w:r>
        <w:t xml:space="preserve"> limit relative to a simultaneous auction of both bands</w:t>
      </w:r>
      <w:r w:rsidR="000C6748">
        <w:t>, thereby simplifying the bidding environment for the bidders</w:t>
      </w:r>
      <w:r w:rsidR="0086554D">
        <w:t>. We consider this will i</w:t>
      </w:r>
      <w:r w:rsidR="000C6748">
        <w:t>ncrease the ability of bidders to bid in their best interests. This is necessary for allocative efficiency</w:t>
      </w:r>
      <w:r>
        <w:t>.</w:t>
      </w:r>
    </w:p>
    <w:p w14:paraId="47333BD2" w14:textId="01C05057" w:rsidR="009040A3" w:rsidRDefault="009040A3" w:rsidP="00332AD4">
      <w:pPr>
        <w:ind w:right="992"/>
      </w:pPr>
      <w:r>
        <w:t xml:space="preserve">Sequential </w:t>
      </w:r>
      <w:r w:rsidR="00B45C1A">
        <w:t>auctions</w:t>
      </w:r>
      <w:r>
        <w:t xml:space="preserve"> mean that bidders cannot dynamically switch demand between bands, arguably hindering efficiency. However, the extent to which bidders may wish to switch demand </w:t>
      </w:r>
      <w:r w:rsidR="00C33EC8">
        <w:t xml:space="preserve">in a simultaneous auction </w:t>
      </w:r>
      <w:r>
        <w:t xml:space="preserve">will be reduced where products are </w:t>
      </w:r>
      <w:r w:rsidR="00995D11">
        <w:t xml:space="preserve">less </w:t>
      </w:r>
      <w:r>
        <w:t xml:space="preserve">substitutable because they have different licence terms. As described </w:t>
      </w:r>
      <w:r w:rsidRPr="0067190F">
        <w:t xml:space="preserve">at ‘licence </w:t>
      </w:r>
      <w:r w:rsidR="00605D47" w:rsidRPr="0067190F">
        <w:t>duration and commencement</w:t>
      </w:r>
      <w:r w:rsidRPr="0067190F">
        <w:t>’, we propose to allocate 3.</w:t>
      </w:r>
      <w:r w:rsidR="00EA61ED" w:rsidRPr="0067190F">
        <w:t xml:space="preserve">7 GHz band licences for 20 years and </w:t>
      </w:r>
      <w:r w:rsidRPr="0067190F">
        <w:t xml:space="preserve">3.4 GHz band licences for 7 years. </w:t>
      </w:r>
      <w:r w:rsidR="00166B4F" w:rsidRPr="0067190F">
        <w:t>Accordingly</w:t>
      </w:r>
      <w:r w:rsidR="005A0C6D" w:rsidRPr="001A05D5">
        <w:t xml:space="preserve">, </w:t>
      </w:r>
      <w:r w:rsidR="00FB2D0B" w:rsidRPr="001A05D5">
        <w:t>the lot ratings for 3.7</w:t>
      </w:r>
      <w:r w:rsidR="001A05D5">
        <w:t> </w:t>
      </w:r>
      <w:r w:rsidR="00FB2D0B" w:rsidRPr="001A05D5">
        <w:t xml:space="preserve">GHz band products are likely to be significantly higher than lot ratings for </w:t>
      </w:r>
      <w:r w:rsidR="00D562AD" w:rsidRPr="001A05D5">
        <w:t>3.4</w:t>
      </w:r>
      <w:r w:rsidR="00387B3D">
        <w:t> </w:t>
      </w:r>
      <w:r w:rsidR="00D562AD" w:rsidRPr="001A05D5">
        <w:t xml:space="preserve">GHz band </w:t>
      </w:r>
      <w:r w:rsidR="003F78B2" w:rsidRPr="001A05D5">
        <w:t>products</w:t>
      </w:r>
      <w:r w:rsidR="00A97F21" w:rsidRPr="001A05D5">
        <w:t xml:space="preserve"> because of the relative value of the lots</w:t>
      </w:r>
      <w:r w:rsidR="00F94984" w:rsidRPr="001A05D5">
        <w:t xml:space="preserve"> due </w:t>
      </w:r>
      <w:r w:rsidR="00DA37C6">
        <w:t xml:space="preserve">mainly </w:t>
      </w:r>
      <w:r w:rsidR="00F94984" w:rsidRPr="001A05D5">
        <w:t>to the longer licence term</w:t>
      </w:r>
      <w:r w:rsidR="00D562AD" w:rsidRPr="001A05D5">
        <w:t>. As a result, switching demand from 3.4 GHz band products to 3.</w:t>
      </w:r>
      <w:r w:rsidR="000F12BA" w:rsidRPr="001A05D5">
        <w:t>7</w:t>
      </w:r>
      <w:r w:rsidR="00D562AD" w:rsidRPr="001A05D5">
        <w:t xml:space="preserve"> GHz band products covering a similar area </w:t>
      </w:r>
      <w:r w:rsidR="000F12BA" w:rsidRPr="001A05D5">
        <w:t xml:space="preserve">in a simultaneous auction </w:t>
      </w:r>
      <w:r w:rsidR="00D562AD" w:rsidRPr="001A05D5">
        <w:t>may not be possible.</w:t>
      </w:r>
      <w:r w:rsidR="001A05D5">
        <w:t xml:space="preserve"> Lot ratings are discussed further below.</w:t>
      </w:r>
    </w:p>
    <w:p w14:paraId="6A7FACA6" w14:textId="23CEF3E3" w:rsidR="00996C0D" w:rsidRDefault="00996C0D" w:rsidP="00332AD4">
      <w:pPr>
        <w:ind w:right="992"/>
      </w:pPr>
      <w:r w:rsidRPr="00B4119A">
        <w:t>Given the</w:t>
      </w:r>
      <w:r w:rsidR="00A862F5">
        <w:t xml:space="preserve"> </w:t>
      </w:r>
      <w:r w:rsidR="00F10A2F">
        <w:t>spectrum in</w:t>
      </w:r>
      <w:r w:rsidRPr="00B4119A">
        <w:t xml:space="preserve"> the 3.7 GHz band</w:t>
      </w:r>
      <w:r w:rsidR="00A862F5">
        <w:t xml:space="preserve"> is likely to be of higher value</w:t>
      </w:r>
      <w:r w:rsidRPr="00B4119A">
        <w:t xml:space="preserve">, we propose </w:t>
      </w:r>
      <w:r w:rsidR="00893707">
        <w:t>that the</w:t>
      </w:r>
      <w:r w:rsidRPr="00B4119A">
        <w:t xml:space="preserve"> 3.7</w:t>
      </w:r>
      <w:r>
        <w:t> </w:t>
      </w:r>
      <w:r w:rsidRPr="00B4119A">
        <w:t xml:space="preserve">GHz band </w:t>
      </w:r>
      <w:r>
        <w:t xml:space="preserve">spectrum be allocated </w:t>
      </w:r>
      <w:r w:rsidRPr="00B4119A">
        <w:t>first</w:t>
      </w:r>
      <w:r>
        <w:t xml:space="preserve"> through all </w:t>
      </w:r>
      <w:r w:rsidR="00F54B4C">
        <w:t xml:space="preserve">3 </w:t>
      </w:r>
      <w:r>
        <w:t>stages</w:t>
      </w:r>
      <w:r w:rsidR="00FC6BCD">
        <w:t xml:space="preserve"> as described below</w:t>
      </w:r>
      <w:r w:rsidRPr="00B4119A">
        <w:t>, followed by the 3.</w:t>
      </w:r>
      <w:r w:rsidR="00CE560F" w:rsidRPr="00B4119A">
        <w:t>4</w:t>
      </w:r>
      <w:r w:rsidR="00CE560F">
        <w:t> </w:t>
      </w:r>
      <w:r w:rsidRPr="00B4119A">
        <w:t>GHz band</w:t>
      </w:r>
      <w:r>
        <w:t xml:space="preserve"> through all </w:t>
      </w:r>
      <w:r w:rsidR="00F54B4C">
        <w:t xml:space="preserve">3 </w:t>
      </w:r>
      <w:r>
        <w:t>stages</w:t>
      </w:r>
      <w:r w:rsidRPr="00B4119A">
        <w:t>.</w:t>
      </w:r>
      <w:r>
        <w:t xml:space="preserve"> We will allow a minimum period of 5 working days between the end of the 3.7 GHz allocation and the start of the 3.4</w:t>
      </w:r>
      <w:r w:rsidR="00E003A8">
        <w:t> </w:t>
      </w:r>
      <w:r>
        <w:t xml:space="preserve">GHz allocation. This will provide bidders who wish to bid in both bands the opportunity to revise their bidding strategy after the </w:t>
      </w:r>
      <w:r w:rsidR="003C53EC">
        <w:t xml:space="preserve">3.7 GHz allocation has </w:t>
      </w:r>
      <w:r w:rsidR="00606642">
        <w:t>concluded.</w:t>
      </w:r>
      <w:r w:rsidR="000A0495">
        <w:t xml:space="preserve"> </w:t>
      </w:r>
      <w:r w:rsidR="000A0495">
        <w:lastRenderedPageBreak/>
        <w:t xml:space="preserve">It will also allow those bidders who were </w:t>
      </w:r>
      <w:r w:rsidR="00370193">
        <w:t>unsuccessful</w:t>
      </w:r>
      <w:r w:rsidR="000A0495">
        <w:t xml:space="preserve"> in </w:t>
      </w:r>
      <w:r w:rsidR="00370193">
        <w:t xml:space="preserve">acquiring spectrum in </w:t>
      </w:r>
      <w:r w:rsidR="000A0495">
        <w:t xml:space="preserve">the </w:t>
      </w:r>
      <w:r w:rsidR="000A0495" w:rsidRPr="000A0495">
        <w:t>3.7</w:t>
      </w:r>
      <w:r w:rsidR="00E003A8">
        <w:t> </w:t>
      </w:r>
      <w:r w:rsidR="000A0495" w:rsidRPr="000A0495">
        <w:t xml:space="preserve">GHz band </w:t>
      </w:r>
      <w:r w:rsidR="000A0495">
        <w:t>the</w:t>
      </w:r>
      <w:r w:rsidR="00370193">
        <w:t xml:space="preserve"> opportunity</w:t>
      </w:r>
      <w:r w:rsidR="000A0495" w:rsidRPr="000A0495">
        <w:t xml:space="preserve"> to acquire spectrum </w:t>
      </w:r>
      <w:r w:rsidR="00370193">
        <w:t>in the 3.4 GHz band</w:t>
      </w:r>
      <w:r w:rsidR="000A0495" w:rsidRPr="000A0495">
        <w:t xml:space="preserve">. </w:t>
      </w:r>
    </w:p>
    <w:p w14:paraId="79DF67D9" w14:textId="14873B6F" w:rsidR="00583210" w:rsidRPr="00AC706B" w:rsidRDefault="00583210" w:rsidP="00332AD4">
      <w:pPr>
        <w:pStyle w:val="Issueforcomment"/>
        <w:keepNext/>
        <w:pBdr>
          <w:left w:val="single" w:sz="4" w:space="1" w:color="auto"/>
          <w:right w:val="single" w:sz="4" w:space="1" w:color="auto"/>
        </w:pBdr>
        <w:ind w:right="992"/>
      </w:pPr>
      <w:r w:rsidRPr="00661FA9">
        <w:t>Se</w:t>
      </w:r>
      <w:r w:rsidRPr="00AC706B">
        <w:t>quencing</w:t>
      </w:r>
    </w:p>
    <w:p w14:paraId="4AF109D7" w14:textId="1B1AFF16" w:rsidR="00583210" w:rsidRPr="00661FA9" w:rsidRDefault="00583210" w:rsidP="00332AD4">
      <w:pPr>
        <w:pStyle w:val="Issueforcomment"/>
        <w:pBdr>
          <w:left w:val="single" w:sz="4" w:space="1" w:color="auto"/>
          <w:right w:val="single" w:sz="4" w:space="1" w:color="auto"/>
        </w:pBdr>
        <w:ind w:right="992"/>
        <w:rPr>
          <w:b w:val="0"/>
        </w:rPr>
      </w:pPr>
      <w:r w:rsidRPr="00661FA9">
        <w:rPr>
          <w:b w:val="0"/>
        </w:rPr>
        <w:t xml:space="preserve">We propose to </w:t>
      </w:r>
      <w:r w:rsidR="00325E56" w:rsidRPr="00661FA9">
        <w:rPr>
          <w:b w:val="0"/>
        </w:rPr>
        <w:t xml:space="preserve">sequentially allocate </w:t>
      </w:r>
      <w:r w:rsidR="001C3399">
        <w:rPr>
          <w:b w:val="0"/>
        </w:rPr>
        <w:t xml:space="preserve">the </w:t>
      </w:r>
      <w:r w:rsidR="00325E56" w:rsidRPr="00661FA9">
        <w:rPr>
          <w:b w:val="0"/>
        </w:rPr>
        <w:t>3.4/3.7 GHz band</w:t>
      </w:r>
      <w:r w:rsidR="00195269">
        <w:rPr>
          <w:b w:val="0"/>
        </w:rPr>
        <w:t>s</w:t>
      </w:r>
      <w:r w:rsidR="00325E56" w:rsidRPr="00661FA9">
        <w:rPr>
          <w:b w:val="0"/>
        </w:rPr>
        <w:t xml:space="preserve"> spectrum</w:t>
      </w:r>
      <w:r w:rsidR="00A804C7" w:rsidRPr="00661FA9">
        <w:rPr>
          <w:b w:val="0"/>
        </w:rPr>
        <w:t xml:space="preserve">. </w:t>
      </w:r>
      <w:r w:rsidRPr="00661FA9">
        <w:rPr>
          <w:b w:val="0"/>
        </w:rPr>
        <w:t>We propose to allocate 3.</w:t>
      </w:r>
      <w:r w:rsidR="00091319" w:rsidRPr="00661FA9">
        <w:rPr>
          <w:b w:val="0"/>
        </w:rPr>
        <w:t>7</w:t>
      </w:r>
      <w:r w:rsidR="00091319">
        <w:rPr>
          <w:b w:val="0"/>
        </w:rPr>
        <w:t> </w:t>
      </w:r>
      <w:r w:rsidRPr="00661FA9">
        <w:rPr>
          <w:b w:val="0"/>
        </w:rPr>
        <w:t xml:space="preserve">GHz </w:t>
      </w:r>
      <w:r w:rsidR="00F45A99" w:rsidRPr="00661FA9">
        <w:rPr>
          <w:b w:val="0"/>
        </w:rPr>
        <w:t xml:space="preserve">band </w:t>
      </w:r>
      <w:r w:rsidRPr="00661FA9">
        <w:rPr>
          <w:b w:val="0"/>
        </w:rPr>
        <w:t xml:space="preserve">spectrum through all </w:t>
      </w:r>
      <w:r w:rsidR="00F54B4C">
        <w:rPr>
          <w:b w:val="0"/>
          <w:bCs w:val="0"/>
        </w:rPr>
        <w:t>3</w:t>
      </w:r>
      <w:r w:rsidR="00F54B4C" w:rsidRPr="00661FA9">
        <w:rPr>
          <w:b w:val="0"/>
        </w:rPr>
        <w:t xml:space="preserve"> </w:t>
      </w:r>
      <w:r w:rsidR="00CA244E" w:rsidRPr="00661FA9">
        <w:rPr>
          <w:b w:val="0"/>
        </w:rPr>
        <w:t>auction stages</w:t>
      </w:r>
      <w:r w:rsidR="00A804C7" w:rsidRPr="00661FA9">
        <w:rPr>
          <w:b w:val="0"/>
        </w:rPr>
        <w:t xml:space="preserve"> first</w:t>
      </w:r>
      <w:r w:rsidR="00CA244E" w:rsidRPr="00661FA9">
        <w:rPr>
          <w:b w:val="0"/>
        </w:rPr>
        <w:t xml:space="preserve">, followed by </w:t>
      </w:r>
      <w:r w:rsidR="00AC706B" w:rsidRPr="00661FA9">
        <w:rPr>
          <w:b w:val="0"/>
        </w:rPr>
        <w:t>the allocation of</w:t>
      </w:r>
      <w:r w:rsidR="00562F3B" w:rsidRPr="00661FA9">
        <w:rPr>
          <w:b w:val="0"/>
        </w:rPr>
        <w:t xml:space="preserve"> 3.4</w:t>
      </w:r>
      <w:r w:rsidR="00030908">
        <w:rPr>
          <w:b w:val="0"/>
        </w:rPr>
        <w:t> </w:t>
      </w:r>
      <w:r w:rsidR="00562F3B" w:rsidRPr="00661FA9">
        <w:rPr>
          <w:b w:val="0"/>
        </w:rPr>
        <w:t xml:space="preserve">GHz band </w:t>
      </w:r>
      <w:r w:rsidR="00AC706B" w:rsidRPr="00661FA9">
        <w:rPr>
          <w:b w:val="0"/>
        </w:rPr>
        <w:t>spectrum</w:t>
      </w:r>
      <w:r w:rsidR="008C3CB6">
        <w:rPr>
          <w:b w:val="0"/>
        </w:rPr>
        <w:t xml:space="preserve"> through all </w:t>
      </w:r>
      <w:r w:rsidR="00F54B4C">
        <w:rPr>
          <w:b w:val="0"/>
        </w:rPr>
        <w:t xml:space="preserve">3 </w:t>
      </w:r>
      <w:r w:rsidR="008C3CB6">
        <w:rPr>
          <w:b w:val="0"/>
        </w:rPr>
        <w:t>auction stages</w:t>
      </w:r>
      <w:r w:rsidR="008D075A">
        <w:rPr>
          <w:b w:val="0"/>
        </w:rPr>
        <w:t xml:space="preserve">, with a minimum of </w:t>
      </w:r>
      <w:r w:rsidR="0045663C">
        <w:rPr>
          <w:b w:val="0"/>
        </w:rPr>
        <w:br/>
      </w:r>
      <w:r w:rsidR="008D075A">
        <w:rPr>
          <w:b w:val="0"/>
        </w:rPr>
        <w:t>5</w:t>
      </w:r>
      <w:r w:rsidR="00150227">
        <w:rPr>
          <w:b w:val="0"/>
        </w:rPr>
        <w:t xml:space="preserve"> </w:t>
      </w:r>
      <w:r w:rsidR="008D075A">
        <w:rPr>
          <w:b w:val="0"/>
        </w:rPr>
        <w:t xml:space="preserve">working days between </w:t>
      </w:r>
      <w:r w:rsidR="00ED7293">
        <w:rPr>
          <w:b w:val="0"/>
        </w:rPr>
        <w:t>allocations</w:t>
      </w:r>
      <w:r w:rsidR="00AC706B" w:rsidRPr="00661FA9">
        <w:rPr>
          <w:b w:val="0"/>
        </w:rPr>
        <w:t>.</w:t>
      </w:r>
    </w:p>
    <w:p w14:paraId="5480702E" w14:textId="77777777" w:rsidR="00DE2DD6" w:rsidRDefault="00DE2DD6" w:rsidP="00332AD4">
      <w:pPr>
        <w:pStyle w:val="Heading4"/>
        <w:ind w:right="992"/>
      </w:pPr>
      <w:r>
        <w:t>Commencement of auction</w:t>
      </w:r>
    </w:p>
    <w:p w14:paraId="05329296" w14:textId="75E1D5EA" w:rsidR="00DA7899" w:rsidRDefault="00DE2DD6" w:rsidP="00332AD4">
      <w:pPr>
        <w:ind w:right="992"/>
      </w:pPr>
      <w:r>
        <w:t xml:space="preserve">We have included the power for the ACMA to vary the start date and time of the 3.7 GHz band auction. Our proposal is to enable the ACMA to vary the start of the </w:t>
      </w:r>
      <w:r w:rsidR="00105920">
        <w:t>first clock round</w:t>
      </w:r>
      <w:r>
        <w:t xml:space="preserve"> of the 3.7</w:t>
      </w:r>
      <w:r w:rsidR="009A764F">
        <w:t> </w:t>
      </w:r>
      <w:r>
        <w:t xml:space="preserve">GHz band </w:t>
      </w:r>
      <w:r w:rsidR="00105920">
        <w:t xml:space="preserve">auction </w:t>
      </w:r>
      <w:r>
        <w:t xml:space="preserve">at least </w:t>
      </w:r>
      <w:r w:rsidRPr="00CB0613">
        <w:t>2 working days</w:t>
      </w:r>
      <w:r>
        <w:t xml:space="preserve"> before </w:t>
      </w:r>
      <w:r w:rsidR="00105920">
        <w:t xml:space="preserve">the commencement of the pre-bidding </w:t>
      </w:r>
      <w:r w:rsidR="008C40CB">
        <w:t>round</w:t>
      </w:r>
      <w:r w:rsidR="00105920">
        <w:t xml:space="preserve"> of the 3.7 GHz band auction</w:t>
      </w:r>
      <w:r>
        <w:t xml:space="preserve">, to delay it by at least </w:t>
      </w:r>
      <w:r w:rsidRPr="00CB0613">
        <w:t>10 working days</w:t>
      </w:r>
      <w:r>
        <w:t xml:space="preserve">. </w:t>
      </w:r>
      <w:r w:rsidR="00DA7899">
        <w:t xml:space="preserve">The ACMA must also set a </w:t>
      </w:r>
      <w:r w:rsidR="00086B0D">
        <w:t xml:space="preserve">pre-bidding round </w:t>
      </w:r>
      <w:r w:rsidR="005D2171">
        <w:t>of</w:t>
      </w:r>
      <w:r w:rsidR="00DA7899">
        <w:t xml:space="preserve"> a period of at least 3 hours that falls within the 48 hours prior to the varied start date and time of the first clock round of the 3.7 GHz band auction.</w:t>
      </w:r>
    </w:p>
    <w:p w14:paraId="5E5C8434" w14:textId="2AE097F6" w:rsidR="00DE2DD6" w:rsidRDefault="00DE2DD6" w:rsidP="00332AD4">
      <w:pPr>
        <w:ind w:right="992"/>
      </w:pPr>
      <w:r>
        <w:t xml:space="preserve">Although the ACMA will conduct extensive auction system testing prior to the mock auctions, this will allow the auction manager to reschedule the auction in case any issues arise during the mock auctions.   </w:t>
      </w:r>
    </w:p>
    <w:p w14:paraId="1E48A386" w14:textId="77777777" w:rsidR="00DE2DD6" w:rsidRDefault="00DE2DD6" w:rsidP="00332AD4">
      <w:pPr>
        <w:pStyle w:val="Issueforcomment"/>
        <w:pBdr>
          <w:left w:val="single" w:sz="4" w:space="1" w:color="auto"/>
          <w:right w:val="single" w:sz="4" w:space="1" w:color="auto"/>
        </w:pBdr>
        <w:ind w:right="992"/>
      </w:pPr>
      <w:r>
        <w:t>Commencement of auction</w:t>
      </w:r>
    </w:p>
    <w:p w14:paraId="63B5FCFB" w14:textId="6E323E75" w:rsidR="00DE2DD6" w:rsidRPr="0005066B" w:rsidRDefault="00DE2DD6" w:rsidP="00332AD4">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We</w:t>
      </w:r>
      <w:r w:rsidR="0083093C">
        <w:t xml:space="preserve"> seek comments on our</w:t>
      </w:r>
      <w:r>
        <w:t xml:space="preserve"> propos</w:t>
      </w:r>
      <w:r w:rsidR="0083093C">
        <w:t>al</w:t>
      </w:r>
      <w:r>
        <w:t xml:space="preserve"> to include a power for the ACMA to vary the </w:t>
      </w:r>
      <w:r w:rsidR="00521657">
        <w:t xml:space="preserve">commencement date and time </w:t>
      </w:r>
      <w:r w:rsidR="0002262E">
        <w:t>of</w:t>
      </w:r>
      <w:r w:rsidR="00521657">
        <w:t xml:space="preserve"> </w:t>
      </w:r>
      <w:r w:rsidR="00DA7899">
        <w:t xml:space="preserve">the </w:t>
      </w:r>
      <w:r>
        <w:t>3.7 GHz band auction</w:t>
      </w:r>
      <w:r w:rsidR="00DA7899">
        <w:t>.</w:t>
      </w:r>
    </w:p>
    <w:p w14:paraId="552021CD" w14:textId="3D2A3E41" w:rsidR="008D43D5" w:rsidRPr="00CE1C81" w:rsidRDefault="008D43D5" w:rsidP="00332AD4">
      <w:pPr>
        <w:pStyle w:val="Heading3"/>
        <w:ind w:right="992"/>
      </w:pPr>
      <w:r w:rsidRPr="00CE1C81">
        <w:t>Auction stages and rounds</w:t>
      </w:r>
    </w:p>
    <w:p w14:paraId="5D8E10A4" w14:textId="423372B3" w:rsidR="00D941AB" w:rsidRPr="00D941AB" w:rsidRDefault="00D941AB" w:rsidP="00332AD4">
      <w:pPr>
        <w:ind w:right="992"/>
      </w:pPr>
      <w:r w:rsidRPr="00D941AB">
        <w:t xml:space="preserve">The following describes the auction stages and rounds that will </w:t>
      </w:r>
      <w:r>
        <w:t>occur</w:t>
      </w:r>
      <w:r w:rsidRPr="00D941AB">
        <w:t xml:space="preserve"> for each of the 3.7 GHz and 3.4 GHz band allocations.</w:t>
      </w:r>
    </w:p>
    <w:p w14:paraId="4CBD995A" w14:textId="77777777" w:rsidR="008D43D5" w:rsidRPr="00CC60C6" w:rsidRDefault="008D43D5" w:rsidP="00332AD4">
      <w:pPr>
        <w:pStyle w:val="Heading4"/>
        <w:ind w:right="992"/>
        <w:rPr>
          <w:b w:val="0"/>
          <w:bCs/>
          <w:i w:val="0"/>
          <w:iCs/>
        </w:rPr>
      </w:pPr>
      <w:r w:rsidRPr="00CC60C6">
        <w:t>Primary stage</w:t>
      </w:r>
    </w:p>
    <w:p w14:paraId="20B0F068" w14:textId="3F885019" w:rsidR="008D43D5" w:rsidRDefault="008D43D5" w:rsidP="00332AD4">
      <w:pPr>
        <w:pStyle w:val="Paragraph"/>
        <w:numPr>
          <w:ilvl w:val="0"/>
          <w:numId w:val="13"/>
        </w:numPr>
        <w:ind w:right="992"/>
      </w:pPr>
      <w:r>
        <w:t xml:space="preserve">Pre-bidding </w:t>
      </w:r>
      <w:r w:rsidR="00690DAD">
        <w:t>round</w:t>
      </w:r>
    </w:p>
    <w:p w14:paraId="3F039009" w14:textId="4B80AA20" w:rsidR="008D43D5" w:rsidRDefault="008D43D5" w:rsidP="00332AD4">
      <w:pPr>
        <w:pStyle w:val="Paragraph"/>
        <w:ind w:right="992"/>
      </w:pPr>
      <w:r>
        <w:t xml:space="preserve">In previous auctions, the pre-bidding </w:t>
      </w:r>
      <w:r w:rsidR="00690DAD">
        <w:t xml:space="preserve">round </w:t>
      </w:r>
      <w:r>
        <w:t xml:space="preserve">allowed bidders to </w:t>
      </w:r>
      <w:r w:rsidR="003A6E8B">
        <w:t xml:space="preserve">confirm or </w:t>
      </w:r>
      <w:r>
        <w:t>modify their start demand</w:t>
      </w:r>
      <w:r w:rsidR="00713DF9">
        <w:t>s</w:t>
      </w:r>
      <w:r>
        <w:t xml:space="preserve"> and MSR selection</w:t>
      </w:r>
      <w:r w:rsidR="00713DF9">
        <w:t>s</w:t>
      </w:r>
      <w:r>
        <w:t xml:space="preserve"> specified in their eligibility nomination form shortly before bidding rounds commence</w:t>
      </w:r>
      <w:r w:rsidR="00686D91">
        <w:t>d</w:t>
      </w:r>
      <w:r>
        <w:t xml:space="preserve">. However, </w:t>
      </w:r>
      <w:r w:rsidR="00713DF9">
        <w:t xml:space="preserve">for this allocation process, </w:t>
      </w:r>
      <w:r>
        <w:t>bidders will not be required to nominate start demand</w:t>
      </w:r>
      <w:r w:rsidR="00713DF9">
        <w:t>s</w:t>
      </w:r>
      <w:r>
        <w:t xml:space="preserve"> in the eligibility nomination form, </w:t>
      </w:r>
      <w:r w:rsidR="00180DE5">
        <w:t xml:space="preserve">instead </w:t>
      </w:r>
      <w:r>
        <w:t>bidders will enter their start demands and MSR selection</w:t>
      </w:r>
      <w:r w:rsidR="00B7673D">
        <w:t>s</w:t>
      </w:r>
      <w:r>
        <w:t xml:space="preserve"> in the pre-bidding </w:t>
      </w:r>
      <w:r w:rsidR="00F15C5B">
        <w:t xml:space="preserve">round </w:t>
      </w:r>
      <w:r>
        <w:t xml:space="preserve">of each of the 3.7 GHz and 3.4 GHz </w:t>
      </w:r>
      <w:r w:rsidR="00583BA4">
        <w:t xml:space="preserve">band </w:t>
      </w:r>
      <w:r>
        <w:t xml:space="preserve">allocations. The pre-bidding </w:t>
      </w:r>
      <w:r w:rsidR="00BE68C7">
        <w:t xml:space="preserve">round </w:t>
      </w:r>
      <w:r w:rsidR="007A224B">
        <w:t>will still</w:t>
      </w:r>
      <w:r>
        <w:t xml:space="preserve"> occur shortly before bidding rounds commence in the primary stage for the allocation of each band. </w:t>
      </w:r>
    </w:p>
    <w:p w14:paraId="06B98356" w14:textId="77777777" w:rsidR="008D43D5" w:rsidRPr="008C4D03" w:rsidRDefault="008D43D5" w:rsidP="00332AD4">
      <w:pPr>
        <w:pStyle w:val="Paragraph"/>
        <w:numPr>
          <w:ilvl w:val="0"/>
          <w:numId w:val="13"/>
        </w:numPr>
        <w:ind w:right="992"/>
      </w:pPr>
      <w:r w:rsidRPr="008C4D03">
        <w:t>Bidding rounds</w:t>
      </w:r>
    </w:p>
    <w:p w14:paraId="38A11063" w14:textId="4301F55E" w:rsidR="00344441" w:rsidRDefault="00344441" w:rsidP="00332AD4">
      <w:pPr>
        <w:pStyle w:val="Paragraph"/>
        <w:ind w:right="992"/>
      </w:pPr>
      <w:r>
        <w:t xml:space="preserve">The primary stage is a series of bidding rounds that progress according to a clock function. In each round, bidders must indicate 2 details for each product simultaneously: the changed level of demand for lots, and the price point at which they wish to express that demand. For example, the bidder may choose to increase their bid by for 2 lots at a price point of $114. This bid may be for more lots, or fewer lots, than the bid made during the previous clock round, or it may be for the same number of lots. </w:t>
      </w:r>
    </w:p>
    <w:p w14:paraId="15FE7C96" w14:textId="220B751A" w:rsidR="00344441" w:rsidRDefault="00344441" w:rsidP="00332AD4">
      <w:pPr>
        <w:pStyle w:val="Paragraph"/>
        <w:ind w:right="992"/>
      </w:pPr>
      <w:r>
        <w:t xml:space="preserve">The start demand for lots of a product for the first round of the primary stage is the demand expressed by bidders at the conclusion of the pre-bidding </w:t>
      </w:r>
      <w:r w:rsidR="00864344">
        <w:t>round</w:t>
      </w:r>
      <w:r>
        <w:t xml:space="preserve">. This start demand is binding, which means that a decrease bids for lots of a product may be </w:t>
      </w:r>
      <w:r>
        <w:lastRenderedPageBreak/>
        <w:t>rejected or only partially applied, if the total start demands (of all bidders) for lots in of a product is less than or equal to supply.</w:t>
      </w:r>
    </w:p>
    <w:p w14:paraId="5EFE3911" w14:textId="77777777" w:rsidR="00344441" w:rsidRDefault="00344441" w:rsidP="00332AD4">
      <w:pPr>
        <w:pStyle w:val="Paragraph"/>
        <w:ind w:right="992"/>
      </w:pPr>
      <w:r>
        <w:t xml:space="preserve">In each round of the primary stage, bidders may indicate whether they wish to change their demand for lots of a product, which may change from or be the same as the demand expressed in the previous round. Bids may be changed at any time until the end of the round. </w:t>
      </w:r>
    </w:p>
    <w:p w14:paraId="12DF4C9E" w14:textId="77777777" w:rsidR="00344441" w:rsidRDefault="00344441" w:rsidP="00332AD4">
      <w:pPr>
        <w:pStyle w:val="Paragraph"/>
        <w:ind w:right="992"/>
      </w:pPr>
      <w:r>
        <w:t>The primary stage ends when there is no excess demand for any product.</w:t>
      </w:r>
    </w:p>
    <w:p w14:paraId="659DAEA5" w14:textId="0F1102F7" w:rsidR="008D43D5" w:rsidRPr="00B01524" w:rsidRDefault="008D43D5" w:rsidP="00332AD4">
      <w:pPr>
        <w:pStyle w:val="Heading4"/>
        <w:keepNext/>
        <w:ind w:right="992"/>
      </w:pPr>
      <w:r w:rsidRPr="00CC60C6">
        <w:t>Second</w:t>
      </w:r>
      <w:r w:rsidRPr="00B01524">
        <w:t>ary stage</w:t>
      </w:r>
    </w:p>
    <w:p w14:paraId="49FC10EC" w14:textId="77777777" w:rsidR="00D2616E" w:rsidRDefault="008D43D5" w:rsidP="00332AD4">
      <w:pPr>
        <w:pStyle w:val="Paragraph"/>
        <w:ind w:right="992"/>
      </w:pPr>
      <w:r w:rsidRPr="00D2616E">
        <w:t>The secondary stage will be used to offer any sing</w:t>
      </w:r>
      <w:r w:rsidR="00381A3C" w:rsidRPr="00D2616E">
        <w:t>le</w:t>
      </w:r>
      <w:r w:rsidRPr="00D2616E">
        <w:t xml:space="preserve"> unallocated lots</w:t>
      </w:r>
      <w:r w:rsidR="005B2D50" w:rsidRPr="00D2616E">
        <w:t xml:space="preserve"> of a product</w:t>
      </w:r>
      <w:r w:rsidRPr="00D2616E">
        <w:t xml:space="preserve"> that are still available after the end of the primary stage</w:t>
      </w:r>
      <w:r w:rsidR="00B03BE2" w:rsidRPr="00D2616E">
        <w:t xml:space="preserve"> (residual lots)</w:t>
      </w:r>
      <w:r w:rsidRPr="00D2616E">
        <w:t xml:space="preserve">. </w:t>
      </w:r>
    </w:p>
    <w:p w14:paraId="6D41D671" w14:textId="513DC6AF" w:rsidR="008D43D5" w:rsidRDefault="008D43D5" w:rsidP="00332AD4">
      <w:pPr>
        <w:pStyle w:val="Paragraph"/>
        <w:ind w:right="992"/>
      </w:pPr>
      <w:r w:rsidRPr="00D2616E">
        <w:t xml:space="preserve">These single lots may be as a result of the functioning of </w:t>
      </w:r>
      <w:r w:rsidR="00875B6B" w:rsidRPr="00D2616E">
        <w:t xml:space="preserve">the </w:t>
      </w:r>
      <w:r w:rsidRPr="00D2616E">
        <w:t>MSR in the primary stage or unsold lots as a result of insufficient demand in the primary stage. Selection of the MSR for a product will affect a bidder’s ability to bid in the secondary stage for a single lot of that product. If a bidder applies the MSR for a product and does not acquire any lots of that product during the primary stage, they will not be permitted to participate in the secondary stage. This is to prevent bidders from reducing demand during the primary stage in an attempt to obtain a single unsold lot of a product at a lower price in the secondary stage.</w:t>
      </w:r>
    </w:p>
    <w:p w14:paraId="048E934F" w14:textId="32AD4BEA" w:rsidR="00D2616E" w:rsidRPr="00D2616E" w:rsidRDefault="000E799F" w:rsidP="00332AD4">
      <w:pPr>
        <w:pStyle w:val="Paragraph"/>
        <w:ind w:right="992"/>
      </w:pPr>
      <w:r>
        <w:t xml:space="preserve">Allocation limits continue to apply in the secondary stage. </w:t>
      </w:r>
      <w:r w:rsidR="004B2CC8">
        <w:t xml:space="preserve">Any bidder who has reached </w:t>
      </w:r>
      <w:r w:rsidR="005F44F6">
        <w:t xml:space="preserve">its allocation limit for a product in the primary stage will be ineligible to bid </w:t>
      </w:r>
      <w:r w:rsidR="00B9495A">
        <w:t xml:space="preserve">for a residual lot </w:t>
      </w:r>
      <w:r w:rsidR="00D277B1">
        <w:t>of that product in the secondary stage.</w:t>
      </w:r>
      <w:r w:rsidR="00B04D51">
        <w:t xml:space="preserve"> </w:t>
      </w:r>
      <w:r w:rsidR="00075E75">
        <w:t xml:space="preserve">Since some products overlap geographically (e.g. </w:t>
      </w:r>
      <w:r w:rsidR="0068769C">
        <w:t>Albury Lower and Albury Middle), a</w:t>
      </w:r>
      <w:r w:rsidR="008B04FF">
        <w:t xml:space="preserve"> case </w:t>
      </w:r>
      <w:r w:rsidR="0068769C">
        <w:t xml:space="preserve">may arise </w:t>
      </w:r>
      <w:r w:rsidR="008B04FF">
        <w:t xml:space="preserve">where </w:t>
      </w:r>
      <w:r w:rsidR="00D725B3">
        <w:t>there are residual lots available for both products</w:t>
      </w:r>
      <w:r w:rsidR="006E3708">
        <w:t>,</w:t>
      </w:r>
      <w:r w:rsidR="003E7810">
        <w:t xml:space="preserve"> but the allocation </w:t>
      </w:r>
      <w:r w:rsidR="0034238D">
        <w:t xml:space="preserve">limits restrict a bidder </w:t>
      </w:r>
      <w:r w:rsidR="00403396">
        <w:t xml:space="preserve">to bidding on </w:t>
      </w:r>
      <w:r w:rsidR="00235A8B">
        <w:t>only 1 residual lot.</w:t>
      </w:r>
      <w:r w:rsidR="008B04FF">
        <w:t xml:space="preserve"> </w:t>
      </w:r>
      <w:r w:rsidR="00D2616E">
        <w:t xml:space="preserve">Prior to the start of the secondary stage, bidders will be asked to nominate the residual lot they are interested in. The nomination will be confirmed in the pre-bidding </w:t>
      </w:r>
      <w:r w:rsidR="000B56F5">
        <w:t>round</w:t>
      </w:r>
      <w:r w:rsidR="00D2616E">
        <w:t>.</w:t>
      </w:r>
    </w:p>
    <w:p w14:paraId="11CC997A" w14:textId="175C50D8" w:rsidR="008D43D5" w:rsidRPr="00D2616E" w:rsidRDefault="008D43D5" w:rsidP="00332AD4">
      <w:pPr>
        <w:pStyle w:val="Paragraph"/>
        <w:numPr>
          <w:ilvl w:val="0"/>
          <w:numId w:val="14"/>
        </w:numPr>
        <w:ind w:right="992"/>
      </w:pPr>
      <w:r w:rsidRPr="00D2616E">
        <w:t xml:space="preserve">Pre-bidding </w:t>
      </w:r>
      <w:r w:rsidR="009067FF">
        <w:t>round</w:t>
      </w:r>
    </w:p>
    <w:p w14:paraId="71288A80" w14:textId="57C51A3B" w:rsidR="008D43D5" w:rsidRPr="00D2616E" w:rsidRDefault="008D43D5" w:rsidP="00332AD4">
      <w:pPr>
        <w:pStyle w:val="Paragraph"/>
        <w:ind w:right="992"/>
      </w:pPr>
      <w:r w:rsidRPr="00D2616E">
        <w:t xml:space="preserve">There will be a pre-bidding </w:t>
      </w:r>
      <w:r w:rsidR="009067FF">
        <w:t>round</w:t>
      </w:r>
      <w:r w:rsidR="009067FF" w:rsidRPr="00D2616E">
        <w:t xml:space="preserve"> </w:t>
      </w:r>
      <w:r w:rsidRPr="00D2616E">
        <w:t xml:space="preserve">in the secondary stage, which is a new concept for this </w:t>
      </w:r>
      <w:r w:rsidR="003619D1" w:rsidRPr="00D2616E">
        <w:t>auction</w:t>
      </w:r>
      <w:r w:rsidRPr="00D2616E">
        <w:t xml:space="preserve">. Bidders will be required to </w:t>
      </w:r>
      <w:r w:rsidR="00D2616E">
        <w:t>make a binding nomination of</w:t>
      </w:r>
      <w:r w:rsidR="00D2616E" w:rsidRPr="00D2616E">
        <w:t xml:space="preserve"> </w:t>
      </w:r>
      <w:r w:rsidRPr="00D2616E">
        <w:t>their interest in the available lots</w:t>
      </w:r>
      <w:r w:rsidR="00A5223F" w:rsidRPr="00D2616E">
        <w:t xml:space="preserve"> in the </w:t>
      </w:r>
      <w:r w:rsidR="00D92A17" w:rsidRPr="00D2616E">
        <w:t xml:space="preserve">secondary stage </w:t>
      </w:r>
      <w:r w:rsidR="00A5223F" w:rsidRPr="00D2616E">
        <w:t xml:space="preserve">pre-bidding </w:t>
      </w:r>
      <w:r w:rsidR="00424A52">
        <w:t>round</w:t>
      </w:r>
      <w:r w:rsidRPr="00D2616E">
        <w:t>. Bidders who do not nominate their interest in the available lots will be ineligible to bid in the secondary stage</w:t>
      </w:r>
      <w:r w:rsidR="001D4FC0" w:rsidRPr="00D2616E">
        <w:t xml:space="preserve"> </w:t>
      </w:r>
      <w:r w:rsidR="00CA2704" w:rsidRPr="00D2616E">
        <w:t>bidding rounds</w:t>
      </w:r>
      <w:r w:rsidRPr="00D2616E">
        <w:t>.</w:t>
      </w:r>
    </w:p>
    <w:p w14:paraId="3B563EA5" w14:textId="77777777" w:rsidR="008D43D5" w:rsidRPr="00D2616E" w:rsidRDefault="008D43D5" w:rsidP="00332AD4">
      <w:pPr>
        <w:pStyle w:val="Paragraph"/>
        <w:numPr>
          <w:ilvl w:val="0"/>
          <w:numId w:val="14"/>
        </w:numPr>
        <w:ind w:right="992"/>
      </w:pPr>
      <w:r w:rsidRPr="00D2616E">
        <w:t>Bidding rounds</w:t>
      </w:r>
    </w:p>
    <w:p w14:paraId="76AE1A60" w14:textId="202F93CF" w:rsidR="008D43D5" w:rsidRPr="00D2616E" w:rsidRDefault="008D43D5" w:rsidP="00332AD4">
      <w:pPr>
        <w:pStyle w:val="Paragraph"/>
        <w:ind w:right="992"/>
      </w:pPr>
      <w:r w:rsidRPr="00D2616E">
        <w:t>The secondary stage uses a</w:t>
      </w:r>
      <w:r w:rsidR="00EC730E">
        <w:t>n EOO</w:t>
      </w:r>
      <w:r w:rsidR="005B2D50" w:rsidRPr="00D2616E">
        <w:t xml:space="preserve"> </w:t>
      </w:r>
      <w:r w:rsidRPr="00D2616E">
        <w:t xml:space="preserve">format with a simple ascending-bid </w:t>
      </w:r>
      <w:r w:rsidR="00B0038A" w:rsidRPr="00D2616E">
        <w:t>process</w:t>
      </w:r>
      <w:r w:rsidRPr="00D2616E">
        <w:t>. All residual lots will be offered concurrently within this stage. The starting prices for the secondary stage are the same as for the primary stage.</w:t>
      </w:r>
    </w:p>
    <w:p w14:paraId="1036DE4C" w14:textId="77777777" w:rsidR="008D43D5" w:rsidRDefault="008D43D5" w:rsidP="00332AD4">
      <w:pPr>
        <w:pStyle w:val="Paragraph"/>
        <w:ind w:right="992"/>
      </w:pPr>
      <w:r w:rsidRPr="00D2616E">
        <w:t>Before each round in the secondary stage, the auction manager</w:t>
      </w:r>
      <w:r w:rsidRPr="000B1790">
        <w:t xml:space="preserve"> states the price of each residual lot (the specified price) that the bidder must meet in the upcoming round in order to place a valid bid in the round</w:t>
      </w:r>
      <w:r>
        <w:t>.</w:t>
      </w:r>
      <w:r w:rsidRPr="00232366">
        <w:t xml:space="preserve"> The bidder can make a bid at or above the specified price (a continue bid) or place a lower bid (an exit bid). Once a bidder has made an exit bid, the bidder cannot resume bidding on that lot in future rounds.</w:t>
      </w:r>
      <w:r w:rsidRPr="006227ED">
        <w:t xml:space="preserve"> </w:t>
      </w:r>
    </w:p>
    <w:p w14:paraId="23FAC22F" w14:textId="77777777" w:rsidR="008D43D5" w:rsidRDefault="008D43D5" w:rsidP="00332AD4">
      <w:pPr>
        <w:pStyle w:val="Paragraph"/>
        <w:ind w:right="992"/>
      </w:pPr>
      <w:r w:rsidRPr="006227ED">
        <w:t xml:space="preserve">Bidding on a residual lot stops when there is only one continue bid made on the lot in a round, where only exit bids are made on the lot in a round, or where no bids are made on the lot in a round. A bidder will only win if no other bidder places a higher bid, such as when there is only one bidder who bids at least the specified price in the final round, or there is a bidder who places the highest exit bid in the final round in which </w:t>
      </w:r>
      <w:r w:rsidRPr="006227ED">
        <w:lastRenderedPageBreak/>
        <w:t>only exit bids are placed. The highest bidder in the final round wins and pays the amount of the second-highest bid</w:t>
      </w:r>
      <w:r>
        <w:t xml:space="preserve">. </w:t>
      </w:r>
      <w:r w:rsidRPr="006227ED">
        <w:t>This ensures that the winner never pays more than necessary to win, which encourages ‘true value’ bidding.</w:t>
      </w:r>
    </w:p>
    <w:p w14:paraId="65F83DDE" w14:textId="77777777" w:rsidR="008D43D5" w:rsidRDefault="008D43D5" w:rsidP="00332AD4">
      <w:pPr>
        <w:pStyle w:val="Paragraph"/>
        <w:ind w:right="992"/>
      </w:pPr>
      <w:r w:rsidRPr="005D1F96">
        <w:t xml:space="preserve">The secondary stage </w:t>
      </w:r>
      <w:r>
        <w:t>ends</w:t>
      </w:r>
      <w:r w:rsidRPr="005D1F96">
        <w:t xml:space="preserve"> when the final round has concluded for each residual lot available for bidding in the secondary stage.</w:t>
      </w:r>
    </w:p>
    <w:p w14:paraId="7F6A61B5" w14:textId="77777777" w:rsidR="008D43D5" w:rsidRPr="00CC60C6" w:rsidRDefault="008D43D5" w:rsidP="00332AD4">
      <w:pPr>
        <w:pStyle w:val="Heading4"/>
        <w:ind w:right="992"/>
        <w:rPr>
          <w:b w:val="0"/>
          <w:bCs/>
          <w:i w:val="0"/>
          <w:iCs/>
        </w:rPr>
      </w:pPr>
      <w:r w:rsidRPr="00CC60C6">
        <w:t>Assignment stage</w:t>
      </w:r>
    </w:p>
    <w:p w14:paraId="6295BCC0" w14:textId="436D5D9A" w:rsidR="008D43D5" w:rsidRDefault="008D43D5" w:rsidP="00332AD4">
      <w:pPr>
        <w:pStyle w:val="Paragraph"/>
        <w:ind w:right="992"/>
      </w:pPr>
      <w:r>
        <w:t xml:space="preserve">In the assignment stage, winning bidders from the primary and secondary stage may submit bids for their preferred frequency range. After the primary stage (or if required, the secondary stage) ends, and at </w:t>
      </w:r>
      <w:r w:rsidRPr="0037780B">
        <w:t>least 24 hours before</w:t>
      </w:r>
      <w:r>
        <w:t xml:space="preserve"> the assignment stage starts, winning bidders will be provided with all frequency range options for each product in the assignment stage. </w:t>
      </w:r>
      <w:r w:rsidRPr="00BA622C">
        <w:t>For example, if 4 lots are available in a product, and there are 2 winning bidders, and Bidder A wins only 1 lot and Bidder B wins 3 lots, Bidder A may submit bids for</w:t>
      </w:r>
      <w:r w:rsidR="00BC6CE2">
        <w:t xml:space="preserve"> frequencies assigned to</w:t>
      </w:r>
      <w:r w:rsidRPr="00BA622C">
        <w:t xml:space="preserve"> Lot 1, Lot 2</w:t>
      </w:r>
      <w:r>
        <w:t>,</w:t>
      </w:r>
      <w:r w:rsidRPr="00BA622C">
        <w:t xml:space="preserve"> Lot 3 and Lot 4, even though Bidder A may only be assigned Lot 1 or Lot 4 (due to Bidder B’s allocation of 3 lots which must be allocated as contiguous frequencies). </w:t>
      </w:r>
      <w:r>
        <w:t>This differs from previous auctions, where bidders were provided only with their feasible frequency range options for each product in the assignment stage.</w:t>
      </w:r>
    </w:p>
    <w:p w14:paraId="65BEC9E1" w14:textId="20D52257" w:rsidR="00913C45" w:rsidRDefault="00913C45" w:rsidP="00332AD4">
      <w:pPr>
        <w:pStyle w:val="Paragraph"/>
        <w:ind w:right="992"/>
      </w:pPr>
      <w:r>
        <w:t xml:space="preserve">The ACMA </w:t>
      </w:r>
      <w:r w:rsidR="009A61E9">
        <w:t xml:space="preserve">may </w:t>
      </w:r>
      <w:r>
        <w:t>also use the assignment stage</w:t>
      </w:r>
      <w:r w:rsidR="001453F8">
        <w:t xml:space="preserve"> for the 3.4 GHz allocation</w:t>
      </w:r>
      <w:r>
        <w:t xml:space="preserve"> to allocate leftover lots, as discussed below. </w:t>
      </w:r>
    </w:p>
    <w:p w14:paraId="20F5FD6D" w14:textId="01662463" w:rsidR="001273DC" w:rsidRPr="00DA54D5" w:rsidRDefault="00583210" w:rsidP="00332AD4">
      <w:pPr>
        <w:pStyle w:val="Paragraphbeforelist"/>
        <w:pBdr>
          <w:top w:val="single" w:sz="4" w:space="1" w:color="auto"/>
          <w:left w:val="single" w:sz="4" w:space="1" w:color="auto"/>
          <w:bottom w:val="single" w:sz="4" w:space="1" w:color="auto"/>
          <w:right w:val="single" w:sz="4" w:space="1" w:color="auto"/>
        </w:pBdr>
        <w:shd w:val="clear" w:color="auto" w:fill="F2F2F2" w:themeFill="background1" w:themeFillShade="F2"/>
        <w:ind w:right="992"/>
        <w:rPr>
          <w:b/>
        </w:rPr>
      </w:pPr>
      <w:r w:rsidRPr="00DA54D5">
        <w:rPr>
          <w:b/>
        </w:rPr>
        <w:t>Auction stages and rounds</w:t>
      </w:r>
    </w:p>
    <w:p w14:paraId="3E952787" w14:textId="6A13BAAA" w:rsidR="003761E1" w:rsidRPr="00DA54D5" w:rsidRDefault="001273DC" w:rsidP="00332AD4">
      <w:pPr>
        <w:pStyle w:val="Paragraphbeforelist"/>
        <w:pBdr>
          <w:top w:val="single" w:sz="4" w:space="1" w:color="auto"/>
          <w:left w:val="single" w:sz="4" w:space="1" w:color="auto"/>
          <w:bottom w:val="single" w:sz="4" w:space="1" w:color="auto"/>
          <w:right w:val="single" w:sz="4" w:space="1" w:color="auto"/>
        </w:pBdr>
        <w:shd w:val="clear" w:color="auto" w:fill="F2F2F2" w:themeFill="background1" w:themeFillShade="F2"/>
        <w:spacing w:after="60"/>
        <w:ind w:right="992"/>
      </w:pPr>
      <w:r w:rsidRPr="00DA54D5">
        <w:t>We propose to</w:t>
      </w:r>
      <w:r w:rsidR="003761E1" w:rsidRPr="00DA54D5">
        <w:t>:</w:t>
      </w:r>
    </w:p>
    <w:p w14:paraId="7D73E6C2" w14:textId="7C934040" w:rsidR="001F3C92" w:rsidRPr="001F3C92" w:rsidRDefault="00E84675" w:rsidP="00332AD4">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I</w:t>
      </w:r>
      <w:r w:rsidR="001F3C92" w:rsidRPr="001F3C92">
        <w:t>nclude a pre-bidding round in the primary stages of the auction, during which bidders must specify their start demand and may adopt the minimum spectrum requirement (MSR) for each product in each of the relevant bands</w:t>
      </w:r>
      <w:r>
        <w:t>.</w:t>
      </w:r>
    </w:p>
    <w:p w14:paraId="62688ED8" w14:textId="4EBCE4C7" w:rsidR="001F3C92" w:rsidRPr="001F3C92" w:rsidRDefault="00E84675" w:rsidP="00332AD4">
      <w:pPr>
        <w:pStyle w:val="Bulletlevel1last"/>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I</w:t>
      </w:r>
      <w:r w:rsidR="001F3C92" w:rsidRPr="001F3C92">
        <w:t xml:space="preserve">nclude a pre-bidding </w:t>
      </w:r>
      <w:r w:rsidR="00952FD8">
        <w:t>round</w:t>
      </w:r>
      <w:r w:rsidR="001F3C92" w:rsidRPr="001F3C92">
        <w:t xml:space="preserve"> in the secondary stages of the auction, during which bidders must confirm their interest in the available lots.</w:t>
      </w:r>
    </w:p>
    <w:p w14:paraId="61BC8094" w14:textId="0E4EC386" w:rsidR="00DA5CB6" w:rsidRPr="00354B3E" w:rsidRDefault="00DA5CB6" w:rsidP="00332AD4">
      <w:pPr>
        <w:pStyle w:val="Heading3"/>
        <w:ind w:right="992"/>
      </w:pPr>
      <w:r w:rsidRPr="00354B3E">
        <w:t>Allocation of leftover lots</w:t>
      </w:r>
    </w:p>
    <w:p w14:paraId="25E29047" w14:textId="40968528" w:rsidR="00DD2024" w:rsidRDefault="00DD2024" w:rsidP="00332AD4">
      <w:pPr>
        <w:pStyle w:val="Paragraph"/>
        <w:ind w:right="992"/>
      </w:pPr>
      <w:r w:rsidRPr="00C20288">
        <w:t>The leftover lots are described in the ‘</w:t>
      </w:r>
      <w:r w:rsidR="00C47F72">
        <w:t>lot configuration’</w:t>
      </w:r>
      <w:r w:rsidRPr="00C20288">
        <w:t xml:space="preserve"> section of this paper.</w:t>
      </w:r>
    </w:p>
    <w:p w14:paraId="61CF90C2" w14:textId="77777777" w:rsidR="00EC3C29" w:rsidRDefault="00EC3C29" w:rsidP="00332AD4">
      <w:pPr>
        <w:pStyle w:val="Paragraphbeforelist"/>
        <w:ind w:right="992"/>
      </w:pPr>
      <w:r>
        <w:t>In the July 2022 tune-up, we identified 2 options for allocating the leftover lots:</w:t>
      </w:r>
    </w:p>
    <w:p w14:paraId="72F14468" w14:textId="5A6F0F68" w:rsidR="00EC3C29" w:rsidRDefault="0FC330FC" w:rsidP="00332AD4">
      <w:pPr>
        <w:pStyle w:val="Bulletlevel1"/>
        <w:ind w:right="992"/>
      </w:pPr>
      <w:r>
        <w:t>Secondary stage – bidders bid on frequency specific 2.5 MHz lots, in addition to unsold 5 MHz generic lots from the primary stage</w:t>
      </w:r>
      <w:r w:rsidR="00E84675">
        <w:t>.</w:t>
      </w:r>
    </w:p>
    <w:p w14:paraId="2CDA3322" w14:textId="6EECC9E1" w:rsidR="00EC3C29" w:rsidRDefault="0FC330FC" w:rsidP="00332AD4">
      <w:pPr>
        <w:pStyle w:val="Bulletlevel1last"/>
        <w:ind w:right="992"/>
      </w:pPr>
      <w:r>
        <w:t xml:space="preserve">Assignment stage – leftover lots are allocated to the winner of the adjacent lot. A bidder includes any value it wishes to express for the leftover lot in its bid for </w:t>
      </w:r>
      <w:r w:rsidR="00C64C7F">
        <w:t xml:space="preserve">an </w:t>
      </w:r>
      <w:r>
        <w:t>adjacent frequency range.</w:t>
      </w:r>
    </w:p>
    <w:p w14:paraId="49E861D0" w14:textId="77777777" w:rsidR="00EC3C29" w:rsidRDefault="00EC3C29" w:rsidP="00332AD4">
      <w:pPr>
        <w:pStyle w:val="Paragraph"/>
        <w:ind w:right="992"/>
      </w:pPr>
      <w:r>
        <w:t>Responses from stakeholders on the preferred method for allocating leftover lots varied.</w:t>
      </w:r>
    </w:p>
    <w:p w14:paraId="2868B4AF" w14:textId="5FD098D4" w:rsidR="00DA5CB6" w:rsidRDefault="009A78EA" w:rsidP="00332AD4">
      <w:pPr>
        <w:pStyle w:val="Paragraph"/>
        <w:ind w:right="992"/>
      </w:pPr>
      <w:r>
        <w:t xml:space="preserve">Maximising the possibility that spectrum is allocated, </w:t>
      </w:r>
      <w:r w:rsidR="00DA5CB6">
        <w:t>rather than remain</w:t>
      </w:r>
      <w:r w:rsidR="00D96B1A">
        <w:t>ing</w:t>
      </w:r>
      <w:r w:rsidR="00DA5CB6">
        <w:t xml:space="preserve"> unsold</w:t>
      </w:r>
      <w:r>
        <w:t xml:space="preserve">, is consistent </w:t>
      </w:r>
      <w:r w:rsidR="00EC57C4">
        <w:t xml:space="preserve">with </w:t>
      </w:r>
      <w:r w:rsidR="0053603F">
        <w:t>the object of the Act</w:t>
      </w:r>
      <w:r w:rsidR="00DA5CB6">
        <w:t xml:space="preserve">. Reducing the amount of unsold spectrum and aligning spectrum </w:t>
      </w:r>
      <w:r w:rsidR="00C14A4A">
        <w:t xml:space="preserve">allocations </w:t>
      </w:r>
      <w:r w:rsidR="00DA5CB6">
        <w:t>with internationally harmonised channel bandwidths also promote</w:t>
      </w:r>
      <w:r w:rsidR="008748DF">
        <w:t>s</w:t>
      </w:r>
      <w:r w:rsidR="00DA5CB6">
        <w:t xml:space="preserve"> the deployment of 5G technology and support</w:t>
      </w:r>
      <w:r w:rsidR="00C14A4A">
        <w:t>s</w:t>
      </w:r>
      <w:r w:rsidR="00DA5CB6">
        <w:t xml:space="preserve"> digital connectivity and investment in regional Australia, since all of the leftover lots </w:t>
      </w:r>
      <w:r w:rsidR="008572A4">
        <w:t>cover</w:t>
      </w:r>
      <w:r w:rsidR="00DA5CB6">
        <w:t xml:space="preserve"> regional areas.</w:t>
      </w:r>
      <w:r w:rsidR="009A61D6">
        <w:t xml:space="preserve"> Furthermore, ensuring the auction </w:t>
      </w:r>
      <w:r w:rsidR="00047984">
        <w:t xml:space="preserve">is not overly complex </w:t>
      </w:r>
      <w:r w:rsidR="00992FFC">
        <w:t xml:space="preserve">ensures bidders are able to bid in line with their best interests, which is also necessary </w:t>
      </w:r>
      <w:r w:rsidR="004C3AD8">
        <w:t>to support an efficient allocation.</w:t>
      </w:r>
    </w:p>
    <w:p w14:paraId="1434DD7B" w14:textId="4E3A23A0" w:rsidR="00DA5CB6" w:rsidRDefault="004B3955" w:rsidP="00332AD4">
      <w:pPr>
        <w:pStyle w:val="Paragraph"/>
        <w:ind w:right="992"/>
      </w:pPr>
      <w:r>
        <w:t>A</w:t>
      </w:r>
      <w:r w:rsidR="0037620C" w:rsidRPr="00577900">
        <w:t>uction</w:t>
      </w:r>
      <w:r w:rsidR="0015133E" w:rsidRPr="00577900">
        <w:t>ing</w:t>
      </w:r>
      <w:r w:rsidR="0037620C">
        <w:t xml:space="preserve"> spectrum typically provides </w:t>
      </w:r>
      <w:r w:rsidR="0037620C" w:rsidRPr="0056197C" w:rsidDel="00396D93">
        <w:t xml:space="preserve">for an outcome that maximises the public </w:t>
      </w:r>
      <w:r w:rsidR="0037620C" w:rsidDel="00396D93">
        <w:t>interest from the</w:t>
      </w:r>
      <w:r w:rsidR="0037620C" w:rsidRPr="0056197C" w:rsidDel="00396D93">
        <w:t xml:space="preserve"> use of the spectrum.</w:t>
      </w:r>
      <w:r w:rsidR="002E7BB7">
        <w:t xml:space="preserve"> However,</w:t>
      </w:r>
      <w:r w:rsidR="00823D2C">
        <w:t xml:space="preserve"> in the case of these leftover lots, </w:t>
      </w:r>
      <w:r w:rsidR="00DA5CB6">
        <w:lastRenderedPageBreak/>
        <w:t>given their small size</w:t>
      </w:r>
      <w:r w:rsidR="00CB10CC">
        <w:t>,</w:t>
      </w:r>
      <w:r w:rsidR="00DA5CB6">
        <w:t xml:space="preserve"> they are likely to have </w:t>
      </w:r>
      <w:r w:rsidR="00E836C9">
        <w:t>very limited utility on their own</w:t>
      </w:r>
      <w:r w:rsidR="00E26176">
        <w:t>,</w:t>
      </w:r>
      <w:r w:rsidR="00DA5CB6">
        <w:t xml:space="preserve"> </w:t>
      </w:r>
      <w:r w:rsidR="00E836C9">
        <w:t xml:space="preserve">and as such </w:t>
      </w:r>
      <w:r w:rsidR="00DA5CB6">
        <w:t xml:space="preserve">are likely to </w:t>
      </w:r>
      <w:r w:rsidR="004918C0">
        <w:t xml:space="preserve">be of material </w:t>
      </w:r>
      <w:r w:rsidR="00DA5CB6">
        <w:t xml:space="preserve">value only to adjacent licensees. </w:t>
      </w:r>
    </w:p>
    <w:p w14:paraId="3F236F0E" w14:textId="3A1C7331" w:rsidR="00DA5CB6" w:rsidRPr="00CB1414" w:rsidRDefault="00DA5CB6" w:rsidP="00332AD4">
      <w:pPr>
        <w:pStyle w:val="Paragraphbeforelist"/>
        <w:ind w:right="992"/>
      </w:pPr>
      <w:r>
        <w:t xml:space="preserve">We </w:t>
      </w:r>
      <w:r w:rsidR="00C034F6">
        <w:t xml:space="preserve">present </w:t>
      </w:r>
      <w:r w:rsidR="00FA327D">
        <w:t>4</w:t>
      </w:r>
      <w:r>
        <w:t xml:space="preserve"> options for the allocation of the leftover lots</w:t>
      </w:r>
      <w:r w:rsidR="00034AF6">
        <w:t xml:space="preserve">, including 2 additional allocation options </w:t>
      </w:r>
      <w:r w:rsidR="00170DA3">
        <w:t>to supplement</w:t>
      </w:r>
      <w:r w:rsidR="008F7F41">
        <w:t xml:space="preserve"> those raised at the </w:t>
      </w:r>
      <w:r w:rsidR="00E31C6A">
        <w:t>July 2022</w:t>
      </w:r>
      <w:r w:rsidR="008F7F41">
        <w:t xml:space="preserve"> tune-up</w:t>
      </w:r>
      <w:r w:rsidR="00610078">
        <w:t>:</w:t>
      </w:r>
    </w:p>
    <w:p w14:paraId="31F501D2" w14:textId="10B0C6F2" w:rsidR="00610078" w:rsidRDefault="00610078" w:rsidP="00332AD4">
      <w:pPr>
        <w:pStyle w:val="Bulletlevel1"/>
        <w:ind w:right="992"/>
      </w:pPr>
      <w:r w:rsidRPr="00610078">
        <w:rPr>
          <w:b/>
        </w:rPr>
        <w:t>Option A: Secondary stage allocation</w:t>
      </w:r>
      <w:r>
        <w:rPr>
          <w:b/>
        </w:rPr>
        <w:t>.</w:t>
      </w:r>
      <w:r w:rsidRPr="00610078">
        <w:rPr>
          <w:b/>
        </w:rPr>
        <w:t xml:space="preserve"> </w:t>
      </w:r>
      <w:r w:rsidRPr="00610078">
        <w:t>Under Option A, frequency-specific leftover lots are offered for bidding in the secondary stage of the auction (in the same stage that any unsold generic 5 MHz lots from the primary stage are offered). Option A enables both existing adjacent licensees and other interested parties to bid for the spectrum.</w:t>
      </w:r>
    </w:p>
    <w:p w14:paraId="488BDD73" w14:textId="4BAEA0FD" w:rsidR="00610078" w:rsidRDefault="00610078" w:rsidP="00332AD4">
      <w:pPr>
        <w:pStyle w:val="Bulletlevel1"/>
        <w:ind w:right="992"/>
      </w:pPr>
      <w:r w:rsidRPr="00610078">
        <w:rPr>
          <w:b/>
        </w:rPr>
        <w:t>Option B: Assignment stage allocation</w:t>
      </w:r>
      <w:r>
        <w:rPr>
          <w:b/>
        </w:rPr>
        <w:t xml:space="preserve">. </w:t>
      </w:r>
      <w:r w:rsidRPr="00610078">
        <w:t xml:space="preserve">Under Option B, leftover lots would be allocated to the winner of adjacent frequency assignment in the assignment stage. Under this option, leftover lots will be offered as a 7.5 MHz lot (the </w:t>
      </w:r>
      <w:r w:rsidR="00E84675">
        <w:br/>
      </w:r>
      <w:r w:rsidRPr="00610078">
        <w:t xml:space="preserve">2.5 MHz lot together with the 5 MHz lot) in the assignment stage.  </w:t>
      </w:r>
    </w:p>
    <w:p w14:paraId="5A100116" w14:textId="73A9D17E" w:rsidR="00610078" w:rsidRDefault="00610078" w:rsidP="00332AD4">
      <w:pPr>
        <w:pStyle w:val="Bulletlevel1"/>
        <w:ind w:right="992"/>
      </w:pPr>
      <w:r w:rsidRPr="00FC4825">
        <w:rPr>
          <w:b/>
        </w:rPr>
        <w:t xml:space="preserve">Option </w:t>
      </w:r>
      <w:r>
        <w:rPr>
          <w:b/>
        </w:rPr>
        <w:t xml:space="preserve">C: </w:t>
      </w:r>
      <w:r w:rsidR="00457C84">
        <w:rPr>
          <w:b/>
        </w:rPr>
        <w:t>Pro-rata primary price direct allocation</w:t>
      </w:r>
      <w:r w:rsidRPr="003D5F9A">
        <w:rPr>
          <w:b/>
        </w:rPr>
        <w:t>.</w:t>
      </w:r>
      <w:r>
        <w:t xml:space="preserve"> </w:t>
      </w:r>
      <w:r w:rsidRPr="00610078">
        <w:t xml:space="preserve">Under Option C, the ACMA would offer the leftover lots to existing licensees (or </w:t>
      </w:r>
      <w:r w:rsidR="002F0CAA">
        <w:t>a related body corporate</w:t>
      </w:r>
      <w:r w:rsidRPr="00610078">
        <w:t>)</w:t>
      </w:r>
      <w:r w:rsidR="005C51AC">
        <w:t xml:space="preserve"> whose licences adjoin the leftover lot</w:t>
      </w:r>
      <w:r w:rsidR="00E35857">
        <w:t xml:space="preserve"> after the primary stage of the 3.4 GHz band auction,</w:t>
      </w:r>
      <w:r w:rsidRPr="00610078">
        <w:t xml:space="preserve"> at a pro-rata price based on the </w:t>
      </w:r>
      <w:r w:rsidR="006B3389">
        <w:t>price paid</w:t>
      </w:r>
      <w:r w:rsidRPr="00610078">
        <w:t xml:space="preserve"> for </w:t>
      </w:r>
      <w:r w:rsidR="00F41196">
        <w:t>the generic lots</w:t>
      </w:r>
      <w:r w:rsidR="00A31277">
        <w:t xml:space="preserve"> of the frequency-adjacent product</w:t>
      </w:r>
      <w:r w:rsidRPr="00610078">
        <w:t xml:space="preserve"> </w:t>
      </w:r>
      <w:r w:rsidR="00A31277">
        <w:t>after the primary stage</w:t>
      </w:r>
      <w:r w:rsidR="00E244C6">
        <w:t xml:space="preserve"> </w:t>
      </w:r>
      <w:r w:rsidRPr="00610078">
        <w:t>at auction</w:t>
      </w:r>
      <w:r w:rsidR="00A31277">
        <w:t xml:space="preserve"> (the primary price)</w:t>
      </w:r>
      <w:r w:rsidRPr="00610078">
        <w:t>. If the offer is rejected, then the leftover lots would be allocated in the assignment stage in accordance with Option B.</w:t>
      </w:r>
    </w:p>
    <w:p w14:paraId="3B2C1C41" w14:textId="0E153542" w:rsidR="00610078" w:rsidRPr="00632EA0" w:rsidRDefault="00610078" w:rsidP="00332AD4">
      <w:pPr>
        <w:pStyle w:val="Bulletlevel1last"/>
        <w:ind w:right="992"/>
        <w:rPr>
          <w:b/>
        </w:rPr>
      </w:pPr>
      <w:r w:rsidRPr="00632EA0">
        <w:rPr>
          <w:b/>
        </w:rPr>
        <w:t xml:space="preserve">Option D: </w:t>
      </w:r>
      <w:r w:rsidR="00457C84">
        <w:rPr>
          <w:b/>
        </w:rPr>
        <w:t>Set price direct allocation</w:t>
      </w:r>
      <w:r w:rsidRPr="00632EA0">
        <w:rPr>
          <w:b/>
        </w:rPr>
        <w:t xml:space="preserve">. </w:t>
      </w:r>
      <w:r w:rsidRPr="00632EA0">
        <w:t xml:space="preserve">Under Option D, leftover lots would be offered at a set price to the existing adjacent licensee </w:t>
      </w:r>
      <w:r w:rsidR="00885B57">
        <w:t xml:space="preserve">(or a related body corporate) </w:t>
      </w:r>
      <w:r w:rsidRPr="00632EA0">
        <w:t>before the auction commences. The existing licensees will be named in the marketing plan. If the leftover lots are not acquired by the existing adjacent licensee, then they would be allocated in the assignment stage in accordance with Option B.</w:t>
      </w:r>
    </w:p>
    <w:p w14:paraId="61EBA296" w14:textId="77777777" w:rsidR="0053434B" w:rsidRDefault="0053434B" w:rsidP="00332AD4">
      <w:pPr>
        <w:pStyle w:val="Paragraphbeforelist"/>
        <w:ind w:right="992"/>
      </w:pPr>
      <w:r>
        <w:t>When determining the allocation method for the leftover lots, we are guided by the object of the Act and the MPS; particularly our objective to facilitate the efficient planning, allocation and use of the spectrum. With respect to the leftover lots, we consider that in order to support the efficient allocation and use of the spectrum, the appropriate allocation method will:</w:t>
      </w:r>
    </w:p>
    <w:p w14:paraId="27C935D3" w14:textId="54FD625E" w:rsidR="0053434B" w:rsidRDefault="0053434B" w:rsidP="00332AD4">
      <w:pPr>
        <w:pStyle w:val="Bulletlevel1"/>
        <w:ind w:right="992"/>
      </w:pPr>
      <w:r>
        <w:t xml:space="preserve">maximise the likelihood that the spectrum is allocated to a party that values it (most likely an adjacent licensee) </w:t>
      </w:r>
    </w:p>
    <w:p w14:paraId="724BD307" w14:textId="5204A7E6" w:rsidR="0053434B" w:rsidRDefault="0053434B" w:rsidP="00332AD4">
      <w:pPr>
        <w:pStyle w:val="Bulletlevel1last"/>
        <w:ind w:right="992"/>
      </w:pPr>
      <w:r>
        <w:t>minimise the complexity of the auction system and rules.</w:t>
      </w:r>
    </w:p>
    <w:p w14:paraId="5BA2C95A" w14:textId="45FAE804" w:rsidR="002053BF" w:rsidRDefault="001A5594" w:rsidP="00332AD4">
      <w:pPr>
        <w:pStyle w:val="Bulletlevel1last"/>
        <w:numPr>
          <w:ilvl w:val="0"/>
          <w:numId w:val="0"/>
        </w:numPr>
        <w:ind w:right="992"/>
      </w:pPr>
      <w:r>
        <w:t>Accordingly</w:t>
      </w:r>
      <w:r w:rsidR="002053BF">
        <w:t xml:space="preserve">, </w:t>
      </w:r>
      <w:r w:rsidR="00B24E31" w:rsidRPr="00CB0613">
        <w:t xml:space="preserve">Table </w:t>
      </w:r>
      <w:r w:rsidR="00076448">
        <w:t>7</w:t>
      </w:r>
      <w:r w:rsidR="00B24E31">
        <w:t xml:space="preserve"> presents </w:t>
      </w:r>
      <w:r w:rsidR="002053BF">
        <w:t xml:space="preserve">the analysis of each option focusing </w:t>
      </w:r>
      <w:r w:rsidR="00B24E31">
        <w:t>on the e</w:t>
      </w:r>
      <w:r w:rsidR="00122C71">
        <w:t>x</w:t>
      </w:r>
      <w:r w:rsidR="00B24E31">
        <w:t>tent to</w:t>
      </w:r>
      <w:r w:rsidR="00122C71">
        <w:t xml:space="preserve"> which it achieves the objective of </w:t>
      </w:r>
      <w:r w:rsidR="00411D9A">
        <w:t>efficient allocation and use of the spectrum.</w:t>
      </w:r>
    </w:p>
    <w:p w14:paraId="37F05908" w14:textId="40784BB7" w:rsidR="00610078" w:rsidRDefault="00610078" w:rsidP="00332AD4">
      <w:pPr>
        <w:pStyle w:val="Tableheading"/>
        <w:ind w:right="992"/>
      </w:pPr>
      <w:r>
        <w:t>Comparative analysis of options for the allocation of leftover lots</w:t>
      </w:r>
    </w:p>
    <w:tbl>
      <w:tblPr>
        <w:tblStyle w:val="ACMAtablestyle"/>
        <w:tblpPr w:leftFromText="180" w:rightFromText="180" w:vertAnchor="text" w:tblpXSpec="right" w:tblpY="1"/>
        <w:tblOverlap w:val="never"/>
        <w:tblW w:w="8652" w:type="dxa"/>
        <w:tblLook w:val="04A0" w:firstRow="1" w:lastRow="0" w:firstColumn="1" w:lastColumn="0" w:noHBand="0" w:noVBand="1"/>
      </w:tblPr>
      <w:tblGrid>
        <w:gridCol w:w="2120"/>
        <w:gridCol w:w="6532"/>
      </w:tblGrid>
      <w:tr w:rsidR="007D5D56" w14:paraId="6F02F160" w14:textId="1591FBCF" w:rsidTr="00332AD4">
        <w:trPr>
          <w:cnfStyle w:val="100000000000" w:firstRow="1" w:lastRow="0" w:firstColumn="0" w:lastColumn="0" w:oddVBand="0" w:evenVBand="0" w:oddHBand="0" w:evenHBand="0" w:firstRowFirstColumn="0" w:firstRowLastColumn="0" w:lastRowFirstColumn="0" w:lastRowLastColumn="0"/>
          <w:cantSplit/>
          <w:trHeight w:val="901"/>
        </w:trPr>
        <w:tc>
          <w:tcPr>
            <w:tcW w:w="2120" w:type="dxa"/>
          </w:tcPr>
          <w:p w14:paraId="4EDEBD05" w14:textId="4DF5B1FF" w:rsidR="007D5D56" w:rsidRPr="00E84675" w:rsidRDefault="00FE63B9" w:rsidP="00332AD4">
            <w:pPr>
              <w:pStyle w:val="TableHeading0"/>
              <w:ind w:right="992"/>
            </w:pPr>
            <w:r w:rsidRPr="00E84675">
              <w:t>ACMA objective</w:t>
            </w:r>
          </w:p>
        </w:tc>
        <w:tc>
          <w:tcPr>
            <w:tcW w:w="6532" w:type="dxa"/>
          </w:tcPr>
          <w:p w14:paraId="520656A9" w14:textId="25DCE4B7" w:rsidR="007D5D56" w:rsidRPr="00E84675" w:rsidRDefault="007D5D56" w:rsidP="00332AD4">
            <w:pPr>
              <w:pStyle w:val="TableHeading0"/>
              <w:ind w:right="992"/>
            </w:pPr>
            <w:r w:rsidRPr="00E84675">
              <w:t>Efficient allocation and use of the spectrum</w:t>
            </w:r>
          </w:p>
        </w:tc>
      </w:tr>
      <w:tr w:rsidR="007D5D56" w14:paraId="4E6EA195" w14:textId="25F0026D" w:rsidTr="00332AD4">
        <w:trPr>
          <w:cnfStyle w:val="000000100000" w:firstRow="0" w:lastRow="0" w:firstColumn="0" w:lastColumn="0" w:oddVBand="0" w:evenVBand="0" w:oddHBand="1" w:evenHBand="0" w:firstRowFirstColumn="0" w:firstRowLastColumn="0" w:lastRowFirstColumn="0" w:lastRowLastColumn="0"/>
          <w:trHeight w:val="1107"/>
        </w:trPr>
        <w:tc>
          <w:tcPr>
            <w:tcW w:w="2120" w:type="dxa"/>
          </w:tcPr>
          <w:p w14:paraId="5EF2D28E" w14:textId="25540BB6" w:rsidR="007D5D56" w:rsidRPr="00D574D4" w:rsidRDefault="007D5D56" w:rsidP="00332AD4">
            <w:pPr>
              <w:pStyle w:val="TableBody"/>
              <w:ind w:right="992"/>
              <w:rPr>
                <w:b/>
                <w:bCs/>
              </w:rPr>
            </w:pPr>
            <w:r>
              <w:rPr>
                <w:b/>
                <w:bCs/>
              </w:rPr>
              <w:t>Option A</w:t>
            </w:r>
          </w:p>
        </w:tc>
        <w:tc>
          <w:tcPr>
            <w:tcW w:w="6532" w:type="dxa"/>
          </w:tcPr>
          <w:p w14:paraId="648631D0" w14:textId="45A3CAF4" w:rsidR="007D5D56" w:rsidRDefault="007D5D56" w:rsidP="00332AD4">
            <w:pPr>
              <w:pStyle w:val="Paragraph"/>
              <w:ind w:right="992"/>
            </w:pPr>
            <w:r>
              <w:rPr>
                <w:rFonts w:ascii="Wingdings 2" w:eastAsia="Wingdings 2" w:hAnsi="Wingdings 2" w:cs="Wingdings 2"/>
              </w:rPr>
              <w:t></w:t>
            </w:r>
            <w:r>
              <w:t xml:space="preserve"> Can facilitate</w:t>
            </w:r>
            <w:r w:rsidRPr="00436899">
              <w:t xml:space="preserve"> an efficient allocation if the existing adjacent licensee bids for the leftover lot. </w:t>
            </w:r>
            <w:r>
              <w:t xml:space="preserve">Given their limited utility as independent lots, we consider the existing adjacent licensee is likely to derive the greatest value from the leftover lots as it will align their existing holdings with internationally harmonised channel bandwidths (which are typically in multiples of 5 MHz or more preferably 10 MHz). </w:t>
            </w:r>
          </w:p>
          <w:p w14:paraId="0B31DE2B" w14:textId="77777777" w:rsidR="007D5D56" w:rsidRDefault="007D5D56" w:rsidP="00332AD4">
            <w:pPr>
              <w:pStyle w:val="Paragraph"/>
              <w:ind w:right="992"/>
            </w:pPr>
            <w:r>
              <w:rPr>
                <w:rFonts w:ascii="Wingdings 2" w:eastAsia="Wingdings 2" w:hAnsi="Wingdings 2" w:cs="Wingdings 2"/>
              </w:rPr>
              <w:lastRenderedPageBreak/>
              <w:t></w:t>
            </w:r>
            <w:r>
              <w:t xml:space="preserve"> A bidder may seek to acquire the leftover lot to facilitating trading to support defragmentation of existing holdings.</w:t>
            </w:r>
          </w:p>
          <w:p w14:paraId="1324D6CA" w14:textId="7F23D485" w:rsidR="007D5D56" w:rsidRDefault="007D5D56" w:rsidP="00332AD4">
            <w:pPr>
              <w:pStyle w:val="Paragraph"/>
              <w:ind w:right="992"/>
            </w:pPr>
            <w:r>
              <w:rPr>
                <w:rFonts w:ascii="Wingdings 2" w:eastAsia="Wingdings 2" w:hAnsi="Wingdings 2" w:cs="Wingdings 2"/>
              </w:rPr>
              <w:t></w:t>
            </w:r>
            <w:r>
              <w:t xml:space="preserve"> </w:t>
            </w:r>
            <w:r w:rsidR="00162587">
              <w:t>This option</w:t>
            </w:r>
            <w:r w:rsidR="004A3CC4">
              <w:t xml:space="preserve"> may</w:t>
            </w:r>
            <w:r w:rsidR="00162587">
              <w:t xml:space="preserve"> reduce the certainty with which bidders value the leftover lot during the secondary stage. </w:t>
            </w:r>
            <w:r>
              <w:t>More than one bidder may win generic lots of spectrum in products that are adjacent to the leftover lots. If a bidder considers there is a benefit in obtaining the leftover lot, bidders in the secondary stage would acquire a frequency-specific leftover lot and then bid for the frequency assignment of generic lots won in the primary stage (and secondary stage) in the assignment stage</w:t>
            </w:r>
            <w:r w:rsidR="00174FB8">
              <w:t xml:space="preserve"> to ensure adjacency of frequencies</w:t>
            </w:r>
            <w:r>
              <w:t xml:space="preserve">. </w:t>
            </w:r>
            <w:r w:rsidR="00AD2850">
              <w:t>We note that</w:t>
            </w:r>
            <w:r>
              <w:t xml:space="preserve"> if the leftover lot is sought by a bidder to facilitate trading, then value of contiguity is less of a concern.</w:t>
            </w:r>
          </w:p>
          <w:p w14:paraId="1F8333D9" w14:textId="4D73C3CB" w:rsidR="007D5D56" w:rsidRDefault="007D5D56" w:rsidP="00332AD4">
            <w:pPr>
              <w:pStyle w:val="Paragraph"/>
              <w:ind w:right="992"/>
            </w:pPr>
            <w:r>
              <w:rPr>
                <w:rFonts w:ascii="Wingdings 2" w:eastAsia="Wingdings 2" w:hAnsi="Wingdings 2" w:cs="Wingdings 2"/>
              </w:rPr>
              <w:t></w:t>
            </w:r>
            <w:r>
              <w:t xml:space="preserve"> Introduces further complexity to the auction.</w:t>
            </w:r>
            <w:r w:rsidRPr="00436899">
              <w:t xml:space="preserve"> </w:t>
            </w:r>
            <w:r>
              <w:t>T</w:t>
            </w:r>
            <w:r w:rsidRPr="00436899">
              <w:t xml:space="preserve">he secondary stage may require 2 steps to allocate the generic lots unsold from the primary stage and the frequency specific leftover lots. The configuration and operation of the secondary stage is likely to be very complex in this scenario. </w:t>
            </w:r>
            <w:r>
              <w:t>It may be difficult to justify added complexity to the auction when the outcome of the bidding is likely to result in the leftover lot being allocated at the starting price.</w:t>
            </w:r>
          </w:p>
        </w:tc>
      </w:tr>
      <w:tr w:rsidR="007D5D56" w14:paraId="50CA3481" w14:textId="77777777" w:rsidTr="00332AD4">
        <w:trPr>
          <w:cnfStyle w:val="000000010000" w:firstRow="0" w:lastRow="0" w:firstColumn="0" w:lastColumn="0" w:oddVBand="0" w:evenVBand="0" w:oddHBand="0" w:evenHBand="1" w:firstRowFirstColumn="0" w:firstRowLastColumn="0" w:lastRowFirstColumn="0" w:lastRowLastColumn="0"/>
          <w:trHeight w:val="1107"/>
        </w:trPr>
        <w:tc>
          <w:tcPr>
            <w:tcW w:w="2120" w:type="dxa"/>
          </w:tcPr>
          <w:p w14:paraId="7BA51AFB" w14:textId="0835CBC1" w:rsidR="007D5D56" w:rsidRDefault="007D5D56" w:rsidP="00332AD4">
            <w:pPr>
              <w:pStyle w:val="TableBody"/>
              <w:ind w:right="992"/>
              <w:rPr>
                <w:b/>
                <w:bCs/>
              </w:rPr>
            </w:pPr>
            <w:r>
              <w:rPr>
                <w:b/>
                <w:bCs/>
              </w:rPr>
              <w:lastRenderedPageBreak/>
              <w:t>Option B</w:t>
            </w:r>
          </w:p>
        </w:tc>
        <w:tc>
          <w:tcPr>
            <w:tcW w:w="6532" w:type="dxa"/>
          </w:tcPr>
          <w:p w14:paraId="43C9BF7C" w14:textId="721F76A3" w:rsidR="007D5D56" w:rsidRDefault="007D5D56" w:rsidP="00332AD4">
            <w:pPr>
              <w:pStyle w:val="Paragraph"/>
              <w:ind w:right="992"/>
            </w:pPr>
            <w:r>
              <w:rPr>
                <w:rFonts w:ascii="Wingdings 2" w:eastAsia="Wingdings 2" w:hAnsi="Wingdings 2" w:cs="Wingdings 2"/>
              </w:rPr>
              <w:t></w:t>
            </w:r>
            <w:r>
              <w:t xml:space="preserve"> A bidder</w:t>
            </w:r>
            <w:r w:rsidRPr="00436899">
              <w:t xml:space="preserve"> who wins spectrum</w:t>
            </w:r>
            <w:r>
              <w:t xml:space="preserve"> at auction and has no existing adjacent holdings</w:t>
            </w:r>
            <w:r w:rsidR="00322E94">
              <w:t xml:space="preserve"> to the frequency-specific leftover lot</w:t>
            </w:r>
            <w:r w:rsidRPr="00436899">
              <w:t xml:space="preserve"> is unlikely to want</w:t>
            </w:r>
            <w:r>
              <w:t xml:space="preserve"> to bid for</w:t>
            </w:r>
            <w:r w:rsidRPr="00436899">
              <w:t xml:space="preserve"> the leftover lot, because the resulting amount of spectrum will not be aligned with internationally harmonised channel bandwidths</w:t>
            </w:r>
            <w:r>
              <w:t>. Consequently, the leftover lots will have little to no utility</w:t>
            </w:r>
            <w:r w:rsidRPr="00436899">
              <w:t>.</w:t>
            </w:r>
          </w:p>
          <w:p w14:paraId="080917AB" w14:textId="39497318" w:rsidR="007D5D56" w:rsidRDefault="007D5D56" w:rsidP="00332AD4">
            <w:pPr>
              <w:pStyle w:val="Paragraph"/>
              <w:ind w:right="992"/>
            </w:pPr>
            <w:r>
              <w:rPr>
                <w:rFonts w:ascii="Wingdings 2" w:eastAsia="Wingdings 2" w:hAnsi="Wingdings 2" w:cs="Wingdings 2"/>
              </w:rPr>
              <w:t></w:t>
            </w:r>
            <w:r>
              <w:t xml:space="preserve"> </w:t>
            </w:r>
            <w:r w:rsidRPr="00436899">
              <w:t xml:space="preserve">The assignment stage </w:t>
            </w:r>
            <w:r>
              <w:t xml:space="preserve">allocation </w:t>
            </w:r>
            <w:r w:rsidRPr="00436899">
              <w:t xml:space="preserve">would </w:t>
            </w:r>
            <w:r>
              <w:t xml:space="preserve">also introduce some additional </w:t>
            </w:r>
            <w:r w:rsidRPr="00436899">
              <w:t>complex</w:t>
            </w:r>
            <w:r>
              <w:t>ity into the auction</w:t>
            </w:r>
            <w:r w:rsidRPr="00436899">
              <w:t xml:space="preserve">. </w:t>
            </w:r>
            <w:r>
              <w:t>Given the possibility the bidder who acquires spectrum adjacent to the leftover lot at auction may not have use for the leftover lot, additional auction complexity to enable this outcome may not be desirable.</w:t>
            </w:r>
          </w:p>
        </w:tc>
      </w:tr>
      <w:tr w:rsidR="007D5D56" w14:paraId="1BA9DC22" w14:textId="77777777" w:rsidTr="00332AD4">
        <w:trPr>
          <w:cnfStyle w:val="000000100000" w:firstRow="0" w:lastRow="0" w:firstColumn="0" w:lastColumn="0" w:oddVBand="0" w:evenVBand="0" w:oddHBand="1" w:evenHBand="0" w:firstRowFirstColumn="0" w:firstRowLastColumn="0" w:lastRowFirstColumn="0" w:lastRowLastColumn="0"/>
          <w:trHeight w:val="716"/>
        </w:trPr>
        <w:tc>
          <w:tcPr>
            <w:tcW w:w="2120" w:type="dxa"/>
          </w:tcPr>
          <w:p w14:paraId="2324B526" w14:textId="3C9B22B8" w:rsidR="007D5D56" w:rsidRDefault="007D5D56" w:rsidP="00332AD4">
            <w:pPr>
              <w:pStyle w:val="TableBody"/>
              <w:ind w:right="992"/>
              <w:rPr>
                <w:b/>
                <w:bCs/>
              </w:rPr>
            </w:pPr>
            <w:r>
              <w:rPr>
                <w:b/>
                <w:bCs/>
              </w:rPr>
              <w:t>Option C</w:t>
            </w:r>
          </w:p>
        </w:tc>
        <w:tc>
          <w:tcPr>
            <w:tcW w:w="6532" w:type="dxa"/>
          </w:tcPr>
          <w:p w14:paraId="36217FA0" w14:textId="485268D7" w:rsidR="007D5D56" w:rsidRDefault="007D5D56" w:rsidP="00332AD4">
            <w:pPr>
              <w:pStyle w:val="Paragraph"/>
              <w:ind w:right="992"/>
            </w:pPr>
            <w:r>
              <w:rPr>
                <w:rFonts w:ascii="Wingdings 2" w:eastAsia="Wingdings 2" w:hAnsi="Wingdings 2" w:cs="Wingdings 2"/>
              </w:rPr>
              <w:t></w:t>
            </w:r>
            <w:r>
              <w:t xml:space="preserve"> May </w:t>
            </w:r>
            <w:r w:rsidRPr="00436899">
              <w:t xml:space="preserve">achieve an efficient allocation by providing an opportunity for the </w:t>
            </w:r>
            <w:r>
              <w:t xml:space="preserve">existing </w:t>
            </w:r>
            <w:r w:rsidRPr="00436899">
              <w:t>adjacent licensee to acquire the leftover lot to round up its holdings to a multiple of 5 MHz</w:t>
            </w:r>
            <w:r w:rsidR="00EE5B6B">
              <w:t xml:space="preserve"> in a geographic area</w:t>
            </w:r>
            <w:r w:rsidRPr="00436899">
              <w:t>. It also achieves a market price for the leftover lots</w:t>
            </w:r>
            <w:r w:rsidRPr="0049421D">
              <w:t xml:space="preserve"> </w:t>
            </w:r>
            <w:r>
              <w:t xml:space="preserve">as </w:t>
            </w:r>
            <w:r w:rsidR="008101D7">
              <w:t xml:space="preserve">each </w:t>
            </w:r>
            <w:r>
              <w:t xml:space="preserve">will be offered </w:t>
            </w:r>
            <w:r w:rsidRPr="0049421D">
              <w:t>at a pro-rata price based on the primary price</w:t>
            </w:r>
            <w:r>
              <w:t xml:space="preserve"> for the 5 MHz lots </w:t>
            </w:r>
            <w:r w:rsidR="008101D7">
              <w:t xml:space="preserve">in </w:t>
            </w:r>
            <w:r>
              <w:t>the same geograph</w:t>
            </w:r>
            <w:r w:rsidR="008101D7">
              <w:t>ic area</w:t>
            </w:r>
            <w:r w:rsidRPr="00436899">
              <w:t>.</w:t>
            </w:r>
          </w:p>
          <w:p w14:paraId="524635B7" w14:textId="45E9B890" w:rsidR="007D5D56" w:rsidRDefault="00AC6D61" w:rsidP="00332AD4">
            <w:pPr>
              <w:pStyle w:val="Paragraph"/>
              <w:ind w:right="992"/>
            </w:pPr>
            <w:r>
              <w:rPr>
                <w:rFonts w:ascii="Wingdings" w:eastAsia="Wingdings" w:hAnsi="Wingdings" w:cs="Wingdings"/>
              </w:rPr>
              <w:t></w:t>
            </w:r>
            <w:r w:rsidR="007D5D56">
              <w:t xml:space="preserve"> May protract the length of the auction and introduces</w:t>
            </w:r>
            <w:r w:rsidR="007D5D56" w:rsidRPr="00436899">
              <w:t xml:space="preserve"> </w:t>
            </w:r>
            <w:r w:rsidR="007D5D56">
              <w:t>some</w:t>
            </w:r>
            <w:r w:rsidR="007D5D56" w:rsidRPr="00436899">
              <w:t xml:space="preserve"> complexity in the auction system and auction rules</w:t>
            </w:r>
            <w:r w:rsidR="007D5D56">
              <w:t xml:space="preserve">, as </w:t>
            </w:r>
            <w:r w:rsidR="00BA0EF5">
              <w:t>this</w:t>
            </w:r>
            <w:r w:rsidR="007D5D56">
              <w:t xml:space="preserve"> process is to be implemented at the end of the primary stage</w:t>
            </w:r>
            <w:r w:rsidR="00742A1E">
              <w:t xml:space="preserve"> for the 3.4 GHz band allocation</w:t>
            </w:r>
            <w:r w:rsidR="007D5D56" w:rsidRPr="00436899">
              <w:t xml:space="preserve">. </w:t>
            </w:r>
            <w:r w:rsidR="007D5D56">
              <w:t>Bidders will be required to follow</w:t>
            </w:r>
            <w:r w:rsidR="007D5D56" w:rsidRPr="00436899">
              <w:t xml:space="preserve"> a process for the election and allocation of leftover lots </w:t>
            </w:r>
            <w:r w:rsidR="007D5D56">
              <w:t>after</w:t>
            </w:r>
            <w:r w:rsidR="007D5D56" w:rsidRPr="00436899">
              <w:t xml:space="preserve"> the end of </w:t>
            </w:r>
            <w:r w:rsidR="0072036D">
              <w:t>that</w:t>
            </w:r>
            <w:r w:rsidR="0072036D" w:rsidRPr="00436899">
              <w:t xml:space="preserve"> </w:t>
            </w:r>
            <w:r w:rsidR="007D5D56" w:rsidRPr="00436899">
              <w:t>primary stage</w:t>
            </w:r>
            <w:r w:rsidR="007D5D56">
              <w:t>. The outcome of that election will be</w:t>
            </w:r>
            <w:r w:rsidR="007D5D56" w:rsidRPr="00436899">
              <w:t xml:space="preserve"> implement</w:t>
            </w:r>
            <w:r w:rsidR="007D5D56">
              <w:t>ed</w:t>
            </w:r>
            <w:r w:rsidR="007D5D56" w:rsidRPr="00436899">
              <w:t xml:space="preserve"> in the assignment stage configuration</w:t>
            </w:r>
            <w:r w:rsidR="00FA4BB6">
              <w:t xml:space="preserve"> for the 3.4 GHz band allocation</w:t>
            </w:r>
            <w:r w:rsidR="007D5D56" w:rsidRPr="00436899">
              <w:t>. There must also be a fallback assignment stage allocation process</w:t>
            </w:r>
            <w:r w:rsidR="007D5D56">
              <w:t xml:space="preserve"> (i.e., </w:t>
            </w:r>
            <w:r w:rsidR="007D5D56">
              <w:lastRenderedPageBreak/>
              <w:t>in accordance with Option B)</w:t>
            </w:r>
            <w:r w:rsidR="007D5D56" w:rsidRPr="00436899">
              <w:t xml:space="preserve"> for those lots not acquired by adjacent licensees.</w:t>
            </w:r>
            <w:r w:rsidR="007D5D56">
              <w:t xml:space="preserve"> </w:t>
            </w:r>
          </w:p>
        </w:tc>
      </w:tr>
      <w:tr w:rsidR="007D5D56" w14:paraId="101A4B88" w14:textId="77777777" w:rsidTr="00332AD4">
        <w:trPr>
          <w:cnfStyle w:val="000000010000" w:firstRow="0" w:lastRow="0" w:firstColumn="0" w:lastColumn="0" w:oddVBand="0" w:evenVBand="0" w:oddHBand="0" w:evenHBand="1" w:firstRowFirstColumn="0" w:firstRowLastColumn="0" w:lastRowFirstColumn="0" w:lastRowLastColumn="0"/>
          <w:trHeight w:val="1107"/>
        </w:trPr>
        <w:tc>
          <w:tcPr>
            <w:tcW w:w="2120" w:type="dxa"/>
          </w:tcPr>
          <w:p w14:paraId="0FAB86C9" w14:textId="2E7ED5A9" w:rsidR="007D5D56" w:rsidRDefault="007D5D56" w:rsidP="00332AD4">
            <w:pPr>
              <w:pStyle w:val="TableBody"/>
              <w:ind w:right="992"/>
              <w:rPr>
                <w:b/>
                <w:bCs/>
              </w:rPr>
            </w:pPr>
            <w:r>
              <w:rPr>
                <w:b/>
                <w:bCs/>
              </w:rPr>
              <w:lastRenderedPageBreak/>
              <w:t>Option D</w:t>
            </w:r>
          </w:p>
        </w:tc>
        <w:tc>
          <w:tcPr>
            <w:tcW w:w="6532" w:type="dxa"/>
          </w:tcPr>
          <w:p w14:paraId="27E926E4" w14:textId="1A6E2EC1" w:rsidR="007D5D56" w:rsidRDefault="007D5D56" w:rsidP="00332AD4">
            <w:pPr>
              <w:pStyle w:val="Paragraph"/>
              <w:ind w:right="992"/>
            </w:pPr>
            <w:r>
              <w:rPr>
                <w:rFonts w:ascii="Wingdings 2" w:eastAsia="Wingdings 2" w:hAnsi="Wingdings 2" w:cs="Wingdings 2"/>
              </w:rPr>
              <w:t></w:t>
            </w:r>
            <w:r>
              <w:t xml:space="preserve"> Option D</w:t>
            </w:r>
            <w:r w:rsidRPr="009160C7">
              <w:t xml:space="preserve"> has the </w:t>
            </w:r>
            <w:r>
              <w:t xml:space="preserve">same </w:t>
            </w:r>
            <w:r w:rsidRPr="009160C7">
              <w:t xml:space="preserve">benefits of </w:t>
            </w:r>
            <w:r>
              <w:t xml:space="preserve">Option C as it enables the spectrum to be allocated to the existing adjacent licensee, which </w:t>
            </w:r>
            <w:r w:rsidR="002F3EEA">
              <w:t xml:space="preserve">is likely to be the </w:t>
            </w:r>
            <w:r w:rsidR="00AA183B">
              <w:t xml:space="preserve">most </w:t>
            </w:r>
            <w:r>
              <w:t>efficient allocation of the spectrum</w:t>
            </w:r>
            <w:r w:rsidRPr="009160C7">
              <w:t>.</w:t>
            </w:r>
          </w:p>
          <w:p w14:paraId="68C5D2BA" w14:textId="7FFA1C1E" w:rsidR="007D5D56" w:rsidRPr="009160C7" w:rsidRDefault="00E84675" w:rsidP="00332AD4">
            <w:pPr>
              <w:pStyle w:val="Paragraph"/>
              <w:ind w:right="992"/>
            </w:pPr>
            <w:r>
              <w:rPr>
                <w:rFonts w:ascii="Wingdings" w:eastAsia="Wingdings" w:hAnsi="Wingdings" w:cs="Wingdings"/>
              </w:rPr>
              <w:sym w:font="Wingdings" w:char="F0A1"/>
            </w:r>
            <w:r>
              <w:t xml:space="preserve"> </w:t>
            </w:r>
            <w:r w:rsidR="007D5D56">
              <w:t>Compared to Option C, Option D</w:t>
            </w:r>
            <w:r w:rsidR="007D5D56" w:rsidRPr="009160C7">
              <w:t xml:space="preserve"> does not achieve a market price for the leftover lots </w:t>
            </w:r>
            <w:r w:rsidR="007D5D56">
              <w:t>as we propose to</w:t>
            </w:r>
            <w:r w:rsidR="007D5D56" w:rsidRPr="009160C7">
              <w:t xml:space="preserve"> </w:t>
            </w:r>
            <w:r w:rsidR="007D5D56">
              <w:t>allocate</w:t>
            </w:r>
            <w:r w:rsidR="007D5D56" w:rsidRPr="009160C7">
              <w:t xml:space="preserve"> them at a price</w:t>
            </w:r>
            <w:r w:rsidR="00FA4BB6">
              <w:t xml:space="preserve"> set by the ACMA</w:t>
            </w:r>
            <w:r w:rsidR="007D5D56" w:rsidRPr="009160C7">
              <w:t xml:space="preserve">. </w:t>
            </w:r>
            <w:r w:rsidR="007D5D56">
              <w:t>However, as noted under discussion of Option A, we consider</w:t>
            </w:r>
            <w:r w:rsidR="007D5D56" w:rsidRPr="009160C7">
              <w:t xml:space="preserve"> </w:t>
            </w:r>
            <w:r w:rsidR="004019DC">
              <w:t xml:space="preserve">it very likely that the </w:t>
            </w:r>
            <w:r w:rsidR="007D5D56">
              <w:t>existing</w:t>
            </w:r>
            <w:r w:rsidR="007D5D56" w:rsidRPr="009160C7">
              <w:t xml:space="preserve"> adjacent </w:t>
            </w:r>
            <w:r w:rsidR="007D5D56">
              <w:t>licensee</w:t>
            </w:r>
            <w:r w:rsidR="007D5D56" w:rsidRPr="009160C7">
              <w:t xml:space="preserve"> </w:t>
            </w:r>
            <w:r w:rsidR="004019DC">
              <w:t xml:space="preserve">would </w:t>
            </w:r>
            <w:r w:rsidR="007D5D56">
              <w:t xml:space="preserve">derive the greatest value from </w:t>
            </w:r>
            <w:r w:rsidR="007D5D56" w:rsidRPr="009160C7">
              <w:t>the spectrum</w:t>
            </w:r>
            <w:r w:rsidR="007D5D56">
              <w:t>. To this end, Option D mitigates the risk that a bidder other than the existing adjacent licensee acquires the leftover lot for the purpose of preventing the existing adjacent licensee from accessing it.</w:t>
            </w:r>
          </w:p>
          <w:p w14:paraId="425E848B" w14:textId="5B8B380C" w:rsidR="007D5D56" w:rsidRDefault="00F6470E" w:rsidP="00332AD4">
            <w:pPr>
              <w:pStyle w:val="Paragraph"/>
              <w:ind w:right="992"/>
            </w:pPr>
            <w:r>
              <w:rPr>
                <w:rFonts w:ascii="Wingdings 2" w:eastAsia="Wingdings 2" w:hAnsi="Wingdings 2" w:cs="Wingdings 2"/>
              </w:rPr>
              <w:t></w:t>
            </w:r>
            <w:r w:rsidR="007D5D56">
              <w:t xml:space="preserve"> Option D is significantly simpler to implement for the ACMA and for bidders to follow as the allocation of</w:t>
            </w:r>
            <w:r w:rsidR="007D5D56" w:rsidRPr="009160C7">
              <w:t xml:space="preserve"> leftover lot</w:t>
            </w:r>
            <w:r w:rsidR="007D5D56">
              <w:t>s</w:t>
            </w:r>
            <w:r w:rsidR="007D5D56" w:rsidRPr="009160C7">
              <w:t xml:space="preserve"> </w:t>
            </w:r>
            <w:r w:rsidR="007D5D56">
              <w:t>occurs</w:t>
            </w:r>
            <w:r w:rsidR="007D5D56" w:rsidRPr="009160C7">
              <w:t xml:space="preserve"> before </w:t>
            </w:r>
            <w:r w:rsidR="00385F23">
              <w:t xml:space="preserve">commencement of </w:t>
            </w:r>
            <w:r w:rsidR="007D5D56" w:rsidRPr="009160C7">
              <w:t xml:space="preserve">the primary stage </w:t>
            </w:r>
            <w:r w:rsidR="00385F23">
              <w:t>of the 3.</w:t>
            </w:r>
            <w:r w:rsidR="007D185D">
              <w:t>7 </w:t>
            </w:r>
            <w:r w:rsidR="00385F23">
              <w:t>GHz band allocation</w:t>
            </w:r>
            <w:r w:rsidR="007D5D56" w:rsidRPr="009160C7">
              <w:t>.</w:t>
            </w:r>
          </w:p>
        </w:tc>
      </w:tr>
    </w:tbl>
    <w:p w14:paraId="72972BCA" w14:textId="2174A05A" w:rsidR="00FE63B9" w:rsidRPr="00332AD4" w:rsidRDefault="00E84675" w:rsidP="00332AD4">
      <w:pPr>
        <w:pStyle w:val="Paragraph"/>
        <w:ind w:right="992"/>
        <w:rPr>
          <w:i/>
          <w:iCs/>
        </w:rPr>
      </w:pPr>
      <w:r>
        <w:br w:type="textWrapping" w:clear="all"/>
      </w:r>
      <w:r w:rsidR="00AC6D61" w:rsidRPr="00332AD4">
        <w:rPr>
          <w:i/>
          <w:iCs/>
        </w:rPr>
        <w:t xml:space="preserve">Note: </w:t>
      </w:r>
      <w:r w:rsidR="00AC6D61" w:rsidRPr="00332AD4">
        <w:rPr>
          <w:rFonts w:ascii="Wingdings" w:eastAsia="Wingdings" w:hAnsi="Wingdings" w:cs="Wingdings"/>
          <w:i/>
        </w:rPr>
        <w:sym w:font="Wingdings" w:char="F0A1"/>
      </w:r>
      <w:r w:rsidR="00AC6D61" w:rsidRPr="00332AD4">
        <w:rPr>
          <w:i/>
          <w:iCs/>
        </w:rPr>
        <w:t xml:space="preserve"> </w:t>
      </w:r>
      <w:r w:rsidR="00AC6D61">
        <w:rPr>
          <w:i/>
          <w:iCs/>
        </w:rPr>
        <w:t xml:space="preserve">symbol </w:t>
      </w:r>
      <w:r w:rsidR="00AC6D61" w:rsidRPr="00332AD4">
        <w:rPr>
          <w:i/>
          <w:iCs/>
        </w:rPr>
        <w:t xml:space="preserve">represents neutral </w:t>
      </w:r>
      <w:r w:rsidR="006456D9">
        <w:rPr>
          <w:i/>
          <w:iCs/>
        </w:rPr>
        <w:t>impact</w:t>
      </w:r>
      <w:r w:rsidR="00AC6D61" w:rsidRPr="00332AD4">
        <w:rPr>
          <w:i/>
          <w:iCs/>
        </w:rPr>
        <w:t xml:space="preserve">. </w:t>
      </w:r>
    </w:p>
    <w:p w14:paraId="4A08D249" w14:textId="6CCA1FD3" w:rsidR="00DA5CB6" w:rsidRDefault="00F26ADA" w:rsidP="00332AD4">
      <w:pPr>
        <w:pStyle w:val="Paragraph"/>
        <w:ind w:right="992"/>
      </w:pPr>
      <w:r>
        <w:t>On balance</w:t>
      </w:r>
      <w:r w:rsidR="008F1B82">
        <w:t>, o</w:t>
      </w:r>
      <w:r w:rsidR="00DA5CB6">
        <w:t xml:space="preserve">ur preliminary view is to </w:t>
      </w:r>
      <w:r w:rsidR="00DA5CB6" w:rsidRPr="0039300A">
        <w:t xml:space="preserve">offer to directly allocate </w:t>
      </w:r>
      <w:r w:rsidR="00AD122C">
        <w:t>frequency-specific</w:t>
      </w:r>
      <w:r w:rsidR="00AD122C" w:rsidRPr="0039300A">
        <w:t xml:space="preserve"> </w:t>
      </w:r>
      <w:r w:rsidR="00A863C6">
        <w:br/>
      </w:r>
      <w:r w:rsidR="00DA5CB6" w:rsidRPr="0039300A">
        <w:t xml:space="preserve">2.5 MHz leftover lots to an eligible recipient (or </w:t>
      </w:r>
      <w:r w:rsidR="003B14F9">
        <w:t>a related body corporate</w:t>
      </w:r>
      <w:r w:rsidR="00DA5CB6" w:rsidRPr="0039300A">
        <w:t>)</w:t>
      </w:r>
      <w:r w:rsidR="00DA5CB6">
        <w:t xml:space="preserve"> for a set price</w:t>
      </w:r>
      <w:r>
        <w:t xml:space="preserve"> (Option D)</w:t>
      </w:r>
      <w:r w:rsidR="00DA5CB6" w:rsidRPr="0039300A">
        <w:t xml:space="preserve">. </w:t>
      </w:r>
      <w:r w:rsidR="005229D7">
        <w:t>We conside</w:t>
      </w:r>
      <w:r w:rsidR="007B1CC3">
        <w:t>r Option D may deliver all the benefits of Option C without the additional auction complexity</w:t>
      </w:r>
      <w:r w:rsidR="00B716B1">
        <w:t xml:space="preserve"> for bidders</w:t>
      </w:r>
      <w:r w:rsidR="007B1CC3">
        <w:t xml:space="preserve">. </w:t>
      </w:r>
      <w:r w:rsidR="00F813A8">
        <w:t xml:space="preserve">We consider this approach will best achieve </w:t>
      </w:r>
      <w:r w:rsidR="009512A0">
        <w:t>our objectives for this allocation.</w:t>
      </w:r>
    </w:p>
    <w:p w14:paraId="34485E62" w14:textId="15AF1953" w:rsidR="00DA5CB6" w:rsidRPr="00DA5CB6" w:rsidRDefault="00DA5CB6" w:rsidP="00332AD4">
      <w:pPr>
        <w:pStyle w:val="Paragraphbeforelist"/>
        <w:keepNext/>
        <w:pBdr>
          <w:top w:val="single" w:sz="4" w:space="1" w:color="auto"/>
          <w:left w:val="single" w:sz="4" w:space="1" w:color="auto"/>
          <w:bottom w:val="single" w:sz="4" w:space="1" w:color="auto"/>
          <w:right w:val="single" w:sz="4" w:space="1" w:color="auto"/>
        </w:pBdr>
        <w:shd w:val="clear" w:color="auto" w:fill="F2F2F2" w:themeFill="background1" w:themeFillShade="F2"/>
        <w:ind w:right="992"/>
        <w:rPr>
          <w:b/>
          <w:bCs/>
        </w:rPr>
      </w:pPr>
      <w:r w:rsidRPr="00DA54D5">
        <w:rPr>
          <w:b/>
        </w:rPr>
        <w:t>Allocation of leftover lots</w:t>
      </w:r>
    </w:p>
    <w:p w14:paraId="2E5F2A79" w14:textId="4E10D4E6" w:rsidR="008439B9" w:rsidRDefault="00DA5CB6" w:rsidP="00332AD4">
      <w:pPr>
        <w:pStyle w:val="Paragraphbeforelist"/>
        <w:pBdr>
          <w:top w:val="single" w:sz="4" w:space="1" w:color="auto"/>
          <w:left w:val="single" w:sz="4" w:space="1" w:color="auto"/>
          <w:bottom w:val="single" w:sz="4" w:space="1" w:color="auto"/>
          <w:right w:val="single" w:sz="4" w:space="1" w:color="auto"/>
        </w:pBdr>
        <w:shd w:val="clear" w:color="auto" w:fill="F2F2F2" w:themeFill="background1" w:themeFillShade="F2"/>
        <w:ind w:right="992"/>
        <w:rPr>
          <w:b/>
          <w:bCs/>
        </w:rPr>
      </w:pPr>
      <w:r>
        <w:t>W</w:t>
      </w:r>
      <w:r w:rsidRPr="00E825A0">
        <w:t>e propose to</w:t>
      </w:r>
      <w:r w:rsidR="00950ADB">
        <w:t xml:space="preserve"> adopt Option D for the allocation of leftover lots, that is</w:t>
      </w:r>
      <w:r w:rsidR="008439B9" w:rsidRPr="00FA3BE2">
        <w:t>:</w:t>
      </w:r>
    </w:p>
    <w:p w14:paraId="65642759" w14:textId="3DAF0730" w:rsidR="00913C45" w:rsidRPr="00E825A0" w:rsidRDefault="00AC6D61" w:rsidP="00332AD4">
      <w:pPr>
        <w:pStyle w:val="Paragraphbeforelist"/>
        <w:numPr>
          <w:ilvl w:val="0"/>
          <w:numId w:val="21"/>
        </w:numPr>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O</w:t>
      </w:r>
      <w:r w:rsidR="00DA5CB6" w:rsidRPr="00DA54D5">
        <w:t xml:space="preserve">ffer to allocate </w:t>
      </w:r>
      <w:r w:rsidR="000A1717">
        <w:t xml:space="preserve">each </w:t>
      </w:r>
      <w:r w:rsidR="00DA5CB6" w:rsidRPr="00DA54D5">
        <w:t>lefto</w:t>
      </w:r>
      <w:r w:rsidR="00DA5CB6" w:rsidRPr="00E825A0">
        <w:t>ver lot to an eligible recipient for a set price</w:t>
      </w:r>
      <w:r w:rsidR="000A1717">
        <w:t xml:space="preserve"> in the first instance</w:t>
      </w:r>
      <w:r w:rsidR="00DA5CB6" w:rsidRPr="00E825A0">
        <w:t>.</w:t>
      </w:r>
    </w:p>
    <w:p w14:paraId="0581FD67" w14:textId="7ED84781" w:rsidR="00935FA6" w:rsidRPr="005F1867" w:rsidRDefault="00AC6D61" w:rsidP="00332AD4">
      <w:pPr>
        <w:pStyle w:val="Bulletlevel1last"/>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A</w:t>
      </w:r>
      <w:r w:rsidR="00DA5CB6" w:rsidRPr="00DA54D5">
        <w:t>llocate any leftover lots not taken up by an eligible recipient to the winn</w:t>
      </w:r>
      <w:r w:rsidR="00913C45" w:rsidRPr="00DA54D5">
        <w:t>er</w:t>
      </w:r>
      <w:r w:rsidR="00DA5CB6" w:rsidRPr="00DA54D5">
        <w:t xml:space="preserve"> of the </w:t>
      </w:r>
      <w:r w:rsidR="00BA4E9F">
        <w:t>lot of a product</w:t>
      </w:r>
      <w:r w:rsidR="00BA4E9F" w:rsidRPr="00DA54D5">
        <w:t xml:space="preserve"> </w:t>
      </w:r>
      <w:r w:rsidR="00DA5CB6" w:rsidRPr="00DA54D5">
        <w:t>that is assigned the spectrum adjacent to the leftover lot</w:t>
      </w:r>
      <w:r w:rsidR="00DA5CB6" w:rsidRPr="00B20121">
        <w:t>.</w:t>
      </w:r>
      <w:r w:rsidR="00DA5CB6" w:rsidRPr="00DA54D5">
        <w:t xml:space="preserve"> </w:t>
      </w:r>
    </w:p>
    <w:p w14:paraId="460BEA5C" w14:textId="566CD33E" w:rsidR="00935FA6" w:rsidRPr="00935FA6" w:rsidRDefault="00935FA6" w:rsidP="00332AD4">
      <w:pPr>
        <w:pStyle w:val="Heading3"/>
        <w:ind w:right="992"/>
      </w:pPr>
      <w:r>
        <w:t>A</w:t>
      </w:r>
      <w:r w:rsidRPr="00935FA6">
        <w:t>uction announcements</w:t>
      </w:r>
    </w:p>
    <w:p w14:paraId="24BE5EB1" w14:textId="605D2118" w:rsidR="00566BFB" w:rsidRDefault="0099614A" w:rsidP="00332AD4">
      <w:pPr>
        <w:pStyle w:val="Paragraph"/>
        <w:ind w:right="992"/>
      </w:pPr>
      <w:r w:rsidRPr="0099614A">
        <w:t xml:space="preserve">Registered bidders become aware of the identities of all other registered bidders through the associates </w:t>
      </w:r>
      <w:r w:rsidR="005A641F">
        <w:t xml:space="preserve">review </w:t>
      </w:r>
      <w:r w:rsidRPr="0099614A">
        <w:t xml:space="preserve">process conducted shortly after the application deadline. </w:t>
      </w:r>
      <w:r w:rsidR="002C5409">
        <w:t xml:space="preserve">Under previous auction rules, the ACMA </w:t>
      </w:r>
      <w:r w:rsidR="009065EA">
        <w:t>has</w:t>
      </w:r>
      <w:r w:rsidR="002C5409">
        <w:t xml:space="preserve"> not </w:t>
      </w:r>
      <w:r>
        <w:t xml:space="preserve">publicly </w:t>
      </w:r>
      <w:r w:rsidR="002C5409">
        <w:t>announce</w:t>
      </w:r>
      <w:r w:rsidR="009065EA">
        <w:t>d</w:t>
      </w:r>
      <w:r w:rsidR="002C5409">
        <w:t xml:space="preserve"> the identity of all registered bidders. </w:t>
      </w:r>
      <w:r w:rsidR="002330DB">
        <w:t>A</w:t>
      </w:r>
      <w:r w:rsidR="002C5409" w:rsidRPr="002C5409">
        <w:t xml:space="preserve"> bidder could publicly announce that they </w:t>
      </w:r>
      <w:r w:rsidR="002330DB">
        <w:t>were</w:t>
      </w:r>
      <w:r w:rsidR="002330DB" w:rsidRPr="002C5409">
        <w:t xml:space="preserve"> </w:t>
      </w:r>
      <w:r w:rsidR="002C5409" w:rsidRPr="002C5409">
        <w:t xml:space="preserve">a bidder in the auction, but could not announce the identity of other bidders in the auction. </w:t>
      </w:r>
    </w:p>
    <w:p w14:paraId="6CD3009F" w14:textId="48F472CF" w:rsidR="00700068" w:rsidRDefault="005A7058" w:rsidP="00332AD4">
      <w:pPr>
        <w:ind w:right="992"/>
      </w:pPr>
      <w:r>
        <w:t>W</w:t>
      </w:r>
      <w:r w:rsidR="00566BFB">
        <w:t xml:space="preserve">e </w:t>
      </w:r>
      <w:r w:rsidR="0039692F">
        <w:t xml:space="preserve">seek stakeholder views </w:t>
      </w:r>
      <w:r w:rsidR="00DB4D6B">
        <w:t>in relation to</w:t>
      </w:r>
      <w:r w:rsidR="00566BFB">
        <w:t xml:space="preserve"> </w:t>
      </w:r>
      <w:r w:rsidR="000C4255">
        <w:t xml:space="preserve">the </w:t>
      </w:r>
      <w:r w:rsidR="00E3659C">
        <w:t xml:space="preserve">proposal that the </w:t>
      </w:r>
      <w:r w:rsidR="000C4255">
        <w:t xml:space="preserve">ACMA </w:t>
      </w:r>
      <w:r w:rsidR="00566BFB">
        <w:t>announc</w:t>
      </w:r>
      <w:r w:rsidR="00E3659C">
        <w:t>e</w:t>
      </w:r>
      <w:r w:rsidR="00566BFB">
        <w:t xml:space="preserve"> the identity of all registered bidders in the auction after the eligibility deadline</w:t>
      </w:r>
      <w:r w:rsidR="00E62762">
        <w:t xml:space="preserve"> (that is, </w:t>
      </w:r>
      <w:r w:rsidR="00AD4CCC">
        <w:t>before the auction commences</w:t>
      </w:r>
      <w:r w:rsidR="00E62762">
        <w:t>)</w:t>
      </w:r>
      <w:r w:rsidR="00AD4CCC">
        <w:t xml:space="preserve">. </w:t>
      </w:r>
      <w:r w:rsidR="00935FA6" w:rsidRPr="00935FA6">
        <w:t xml:space="preserve">We understand </w:t>
      </w:r>
      <w:r w:rsidR="00566BFB">
        <w:t>the</w:t>
      </w:r>
      <w:r w:rsidR="00566BFB" w:rsidRPr="00935FA6">
        <w:t xml:space="preserve"> </w:t>
      </w:r>
      <w:r w:rsidR="00566BFB" w:rsidRPr="00566BFB">
        <w:t>identity of all bidders</w:t>
      </w:r>
      <w:r w:rsidR="00566BFB" w:rsidRPr="00566BFB" w:rsidDel="00566BFB">
        <w:t xml:space="preserve"> </w:t>
      </w:r>
      <w:r w:rsidR="00935FA6" w:rsidRPr="00935FA6">
        <w:t xml:space="preserve">is routinely made available prior to the </w:t>
      </w:r>
      <w:r w:rsidR="00566BFB">
        <w:t xml:space="preserve">start of the </w:t>
      </w:r>
      <w:r w:rsidR="00935FA6" w:rsidRPr="00935FA6">
        <w:t>auction in many other jurisdictions</w:t>
      </w:r>
      <w:r w:rsidR="00103445">
        <w:t>,</w:t>
      </w:r>
      <w:r w:rsidR="00935FA6" w:rsidRPr="00935FA6">
        <w:t xml:space="preserve"> including the US, UK, Canada, France, Germany, Hong Kong, Singapore, Spain and Taiwan.</w:t>
      </w:r>
      <w:r w:rsidR="00661F77">
        <w:t xml:space="preserve"> We consider that it would improve transparency of the auction process without revealing commercially sensitive information.</w:t>
      </w:r>
    </w:p>
    <w:p w14:paraId="7F8AB471" w14:textId="6967E9C5" w:rsidR="002C5409" w:rsidRDefault="00CE4C75" w:rsidP="00332AD4">
      <w:pPr>
        <w:pStyle w:val="Paragraph"/>
        <w:ind w:right="992"/>
      </w:pPr>
      <w:r>
        <w:lastRenderedPageBreak/>
        <w:t xml:space="preserve">Consequently, </w:t>
      </w:r>
      <w:r w:rsidRPr="00CE4C75">
        <w:t xml:space="preserve">after the end of the auction, the auction </w:t>
      </w:r>
      <w:r w:rsidR="002D2094">
        <w:t xml:space="preserve">results </w:t>
      </w:r>
      <w:r>
        <w:t>will include</w:t>
      </w:r>
      <w:r w:rsidRPr="00CE4C75">
        <w:t xml:space="preserve"> the names of unsuccessful bidders.</w:t>
      </w:r>
    </w:p>
    <w:p w14:paraId="44338894" w14:textId="42900B80" w:rsidR="00A843BE" w:rsidRDefault="00362453" w:rsidP="00332AD4">
      <w:pPr>
        <w:pStyle w:val="Paragraph"/>
        <w:ind w:right="992"/>
      </w:pPr>
      <w:r>
        <w:t xml:space="preserve">This proposal is not </w:t>
      </w:r>
      <w:r w:rsidR="00087F4E">
        <w:t>described</w:t>
      </w:r>
      <w:r>
        <w:t xml:space="preserve"> </w:t>
      </w:r>
      <w:r w:rsidR="00663C71">
        <w:t>in the draft allocation determination</w:t>
      </w:r>
      <w:r>
        <w:t xml:space="preserve">. </w:t>
      </w:r>
      <w:r w:rsidR="005871F9">
        <w:t xml:space="preserve">We will </w:t>
      </w:r>
      <w:r w:rsidR="00087F4E">
        <w:t xml:space="preserve">consider stakeholder comments on this matter </w:t>
      </w:r>
      <w:r w:rsidR="00E55043">
        <w:t>ahead of finalising the allocation determination.</w:t>
      </w:r>
    </w:p>
    <w:p w14:paraId="3539CE34" w14:textId="045006DF" w:rsidR="00935FA6" w:rsidRPr="00DA54D5" w:rsidRDefault="00935FA6" w:rsidP="00332AD4">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ind w:right="992"/>
        <w:rPr>
          <w:b/>
          <w:bCs/>
        </w:rPr>
      </w:pPr>
      <w:r>
        <w:rPr>
          <w:b/>
        </w:rPr>
        <w:t>Auction announcements</w:t>
      </w:r>
    </w:p>
    <w:p w14:paraId="553187C2" w14:textId="49C7F99B" w:rsidR="00935FA6" w:rsidRDefault="00935FA6" w:rsidP="00332AD4">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 xml:space="preserve">We </w:t>
      </w:r>
      <w:r w:rsidR="00DB4D6B">
        <w:t xml:space="preserve">seek stakeholder views in relation </w:t>
      </w:r>
      <w:r>
        <w:t>to the following announcements</w:t>
      </w:r>
      <w:r w:rsidR="00566BFB">
        <w:t xml:space="preserve"> about </w:t>
      </w:r>
      <w:r w:rsidR="00A863C6">
        <w:br/>
      </w:r>
      <w:r w:rsidR="00566BFB">
        <w:t>the auction</w:t>
      </w:r>
      <w:r>
        <w:t>:</w:t>
      </w:r>
    </w:p>
    <w:p w14:paraId="3602415D" w14:textId="3B6EC72B" w:rsidR="00935FA6" w:rsidRDefault="00A863C6" w:rsidP="00332AD4">
      <w:pPr>
        <w:pStyle w:val="Paragraphbeforelist"/>
        <w:numPr>
          <w:ilvl w:val="0"/>
          <w:numId w:val="21"/>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A</w:t>
      </w:r>
      <w:r w:rsidR="00935FA6">
        <w:t xml:space="preserve">fter </w:t>
      </w:r>
      <w:r w:rsidR="002C5409">
        <w:t>the eligibility deadline</w:t>
      </w:r>
      <w:r w:rsidR="00935FA6">
        <w:t xml:space="preserve">, the </w:t>
      </w:r>
      <w:r w:rsidR="009C77BB">
        <w:t xml:space="preserve">names </w:t>
      </w:r>
      <w:r w:rsidR="00935FA6">
        <w:t xml:space="preserve">of all registered bidders. </w:t>
      </w:r>
    </w:p>
    <w:p w14:paraId="30E5BC3A" w14:textId="3C76000B" w:rsidR="00935FA6" w:rsidRPr="00DA54D5" w:rsidRDefault="00A863C6" w:rsidP="00332AD4">
      <w:pPr>
        <w:pStyle w:val="Paragraphbeforelist"/>
        <w:numPr>
          <w:ilvl w:val="0"/>
          <w:numId w:val="21"/>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A</w:t>
      </w:r>
      <w:r w:rsidR="00935FA6">
        <w:t>fter the end of the auction, the results of the auction</w:t>
      </w:r>
      <w:r w:rsidR="008F5FCC">
        <w:t xml:space="preserve"> including t</w:t>
      </w:r>
      <w:r w:rsidR="00935FA6">
        <w:t>he names of unsuccessful bidders.</w:t>
      </w:r>
    </w:p>
    <w:p w14:paraId="3626AD49" w14:textId="07F36A19" w:rsidR="00EB1946" w:rsidRPr="009065EA" w:rsidRDefault="00EB1946" w:rsidP="00332AD4">
      <w:pPr>
        <w:pStyle w:val="Heading2"/>
        <w:ind w:right="992"/>
      </w:pPr>
      <w:bookmarkStart w:id="35" w:name="_Toc69301125"/>
      <w:bookmarkStart w:id="36" w:name="_Toc126917770"/>
      <w:r w:rsidRPr="009065EA">
        <w:t>Auction rules</w:t>
      </w:r>
      <w:bookmarkEnd w:id="35"/>
      <w:bookmarkEnd w:id="36"/>
    </w:p>
    <w:p w14:paraId="46D8182E" w14:textId="77777777" w:rsidR="00162934" w:rsidRPr="009065EA" w:rsidRDefault="00162934" w:rsidP="00332AD4">
      <w:pPr>
        <w:pStyle w:val="Heading3"/>
        <w:ind w:right="992"/>
      </w:pPr>
      <w:r w:rsidRPr="009065EA">
        <w:t>Minimum spectrum requirement</w:t>
      </w:r>
    </w:p>
    <w:p w14:paraId="05B383F6" w14:textId="0A413E51" w:rsidR="0040573A" w:rsidRDefault="0040573A" w:rsidP="00332AD4">
      <w:pPr>
        <w:pStyle w:val="Paragraph"/>
        <w:ind w:right="992"/>
      </w:pPr>
      <w:r>
        <w:t>As outl</w:t>
      </w:r>
      <w:r w:rsidRPr="00024ED7">
        <w:t xml:space="preserve">ined in </w:t>
      </w:r>
      <w:r w:rsidR="007C4CF6">
        <w:t>Part 6, Division 1</w:t>
      </w:r>
      <w:r w:rsidR="00531A99">
        <w:t xml:space="preserve"> </w:t>
      </w:r>
      <w:r w:rsidR="007C4CF6">
        <w:t>of</w:t>
      </w:r>
      <w:r>
        <w:t xml:space="preserve"> the draft allocation determination, bids placed in the </w:t>
      </w:r>
      <w:r w:rsidR="00761D17">
        <w:t xml:space="preserve">primary stage </w:t>
      </w:r>
      <w:r>
        <w:t xml:space="preserve">may be fully applied, partially applied or not applied. For example, if a bidder makes a bid reducing its demand in a geographic area from 2 lots to 0 lots, the bid may be partially applied if there is only </w:t>
      </w:r>
      <w:r w:rsidR="00D059B7">
        <w:t>one</w:t>
      </w:r>
      <w:r>
        <w:t xml:space="preserve"> lot of excess demand in the round. The bidder is left with a reduction of </w:t>
      </w:r>
      <w:r w:rsidR="001C79CF">
        <w:t>one</w:t>
      </w:r>
      <w:r>
        <w:t xml:space="preserve"> lot, rather than 2. If there are 2 lots of excess demand in the round, then the bid is fully applied, and the bidder is able to reduce its demand by 2 lots. If there are 0 lots of excess demand in the round, the bidder’s bid is not applied.</w:t>
      </w:r>
    </w:p>
    <w:p w14:paraId="52DA2871" w14:textId="5DF25AAD" w:rsidR="0040573A" w:rsidRDefault="001C79CF" w:rsidP="00332AD4">
      <w:pPr>
        <w:pStyle w:val="Paragraph"/>
        <w:ind w:right="992"/>
      </w:pPr>
      <w:r>
        <w:t xml:space="preserve">The minimum spectrum requirement (MSR) is an optional feature in the primary stage of a </w:t>
      </w:r>
      <w:r w:rsidR="00F54B4C">
        <w:t>2</w:t>
      </w:r>
      <w:r w:rsidRPr="0040573A">
        <w:t>-stage generic lots clock auction</w:t>
      </w:r>
      <w:r>
        <w:t xml:space="preserve">. </w:t>
      </w:r>
      <w:r w:rsidR="0040573A">
        <w:t>Where an MSR</w:t>
      </w:r>
      <w:r w:rsidR="0040573A" w:rsidDel="00326CDB">
        <w:t xml:space="preserve"> </w:t>
      </w:r>
      <w:r w:rsidR="0040573A">
        <w:t xml:space="preserve">is available, and the bidder chooses to use </w:t>
      </w:r>
      <w:r w:rsidR="00FF76B0">
        <w:t>the MSR feature on a particular pr</w:t>
      </w:r>
      <w:r w:rsidR="009262FC">
        <w:t>oduct</w:t>
      </w:r>
      <w:r w:rsidR="0040573A">
        <w:t xml:space="preserve">, the bidder is guaranteed that it will not be left with </w:t>
      </w:r>
      <w:r w:rsidR="00326CDB">
        <w:t>an amount</w:t>
      </w:r>
      <w:r w:rsidR="0040573A" w:rsidDel="00326CDB">
        <w:t xml:space="preserve"> </w:t>
      </w:r>
      <w:r w:rsidR="0040573A">
        <w:t xml:space="preserve">of spectrum </w:t>
      </w:r>
      <w:r w:rsidR="00326CDB">
        <w:t xml:space="preserve">less than its MSR </w:t>
      </w:r>
      <w:r w:rsidR="0040573A">
        <w:t xml:space="preserve">for </w:t>
      </w:r>
      <w:r w:rsidR="002B523C">
        <w:t>that</w:t>
      </w:r>
      <w:r w:rsidR="0040573A">
        <w:t xml:space="preserve"> particular product</w:t>
      </w:r>
      <w:r w:rsidR="00B21800">
        <w:t xml:space="preserve">. </w:t>
      </w:r>
      <w:r w:rsidR="0040573A">
        <w:t xml:space="preserve">Applying the example above, if the bidder has selected to use the MSR and reduces demand from 2 to 0 lots, its bid will be fully applied even if there is only </w:t>
      </w:r>
      <w:r w:rsidR="008546F5">
        <w:t>one</w:t>
      </w:r>
      <w:r w:rsidR="0040573A">
        <w:t xml:space="preserve"> lot of excess demand. </w:t>
      </w:r>
    </w:p>
    <w:p w14:paraId="12DF4EC0" w14:textId="5FCC9710" w:rsidR="00163403" w:rsidRDefault="00EA2405" w:rsidP="00332AD4">
      <w:pPr>
        <w:pStyle w:val="Heading4"/>
        <w:ind w:right="992"/>
      </w:pPr>
      <w:r>
        <w:t xml:space="preserve">Option 1: </w:t>
      </w:r>
      <w:r w:rsidR="005311E6">
        <w:t xml:space="preserve">MSR of </w:t>
      </w:r>
      <w:r w:rsidR="00F54B4C">
        <w:t xml:space="preserve">4 </w:t>
      </w:r>
      <w:r w:rsidR="00163403">
        <w:t>lots</w:t>
      </w:r>
    </w:p>
    <w:p w14:paraId="7E54ECDD" w14:textId="202E78FB" w:rsidR="00DF603F" w:rsidRDefault="00B77932" w:rsidP="00332AD4">
      <w:pPr>
        <w:ind w:right="992"/>
      </w:pPr>
      <w:r>
        <w:t>An</w:t>
      </w:r>
      <w:r w:rsidR="00BE1A52">
        <w:t xml:space="preserve"> MSR of 4 lots</w:t>
      </w:r>
      <w:r w:rsidR="00BE1A52" w:rsidRPr="00752630">
        <w:t xml:space="preserve"> mitigates exposure risk for bidders</w:t>
      </w:r>
      <w:r w:rsidR="00BE1A52">
        <w:t>, particularly where bidders may wish to obtain spectrum in the 3.4/3.7 GHz bands in multiples of 10 MHz.</w:t>
      </w:r>
      <w:r w:rsidR="00D157F5">
        <w:t xml:space="preserve"> </w:t>
      </w:r>
      <w:r w:rsidR="00DF603F">
        <w:t>In this sense, a</w:t>
      </w:r>
      <w:r w:rsidR="00DF603F" w:rsidRPr="000A05C7">
        <w:t xml:space="preserve"> larger MSR </w:t>
      </w:r>
      <w:r w:rsidR="00B1618B">
        <w:t>promotes</w:t>
      </w:r>
      <w:r w:rsidR="00DF603F" w:rsidRPr="000A05C7">
        <w:t xml:space="preserve"> efficient spectrum allocation and use by preventing bidders from obtaining spectrum holdings that are insufficient for 5G services.</w:t>
      </w:r>
    </w:p>
    <w:p w14:paraId="00518F22" w14:textId="33208718" w:rsidR="00D157F5" w:rsidRDefault="00752630" w:rsidP="00332AD4">
      <w:pPr>
        <w:ind w:right="992"/>
      </w:pPr>
      <w:r>
        <w:t>However, i</w:t>
      </w:r>
      <w:r w:rsidR="000A05C7" w:rsidRPr="000A05C7">
        <w:t>f there is excess demand of 1 lot, a bidder with a MSR of 4 lots can reduce its demand to zero</w:t>
      </w:r>
      <w:r w:rsidR="00D41938">
        <w:t xml:space="preserve">. This increases the risk of unsold lots and of </w:t>
      </w:r>
      <w:r w:rsidR="005B09B2">
        <w:t>gaming</w:t>
      </w:r>
      <w:r w:rsidR="00D41938">
        <w:t xml:space="preserve"> behaviour at auction</w:t>
      </w:r>
      <w:r w:rsidR="005B09B2">
        <w:t>;</w:t>
      </w:r>
      <w:r w:rsidR="007B2FC0" w:rsidRPr="007B2FC0">
        <w:t xml:space="preserve"> </w:t>
      </w:r>
      <w:r w:rsidR="007B2FC0" w:rsidRPr="00384E1A">
        <w:t>specifically price driving</w:t>
      </w:r>
      <w:r w:rsidR="005B09B2">
        <w:t xml:space="preserve"> behaviour</w:t>
      </w:r>
      <w:r w:rsidR="00D41938">
        <w:t xml:space="preserve">. </w:t>
      </w:r>
      <w:r w:rsidR="00D8053E">
        <w:t xml:space="preserve">A bidder may game the auction by expressing artificially high spectrum demand to inflate prices for its competitors, and withdraw by </w:t>
      </w:r>
      <w:r w:rsidR="00AB4142">
        <w:t xml:space="preserve">submitting a zero bid with no commitment. </w:t>
      </w:r>
      <w:r w:rsidR="007B2FC0" w:rsidRPr="00384E1A">
        <w:t xml:space="preserve">This risk is </w:t>
      </w:r>
      <w:r w:rsidR="00462523">
        <w:t>particularly present</w:t>
      </w:r>
      <w:r w:rsidR="007B2FC0" w:rsidRPr="00384E1A">
        <w:t xml:space="preserve"> in this auction due to the small amount of spectrum supply in some products</w:t>
      </w:r>
      <w:r w:rsidR="007F13B6">
        <w:t>.</w:t>
      </w:r>
    </w:p>
    <w:p w14:paraId="50668B52" w14:textId="4C19803B" w:rsidR="007B2FC0" w:rsidRDefault="000A05C7" w:rsidP="00332AD4">
      <w:pPr>
        <w:ind w:right="992"/>
      </w:pPr>
      <w:r w:rsidRPr="000A05C7">
        <w:t>While these</w:t>
      </w:r>
      <w:r w:rsidR="00F26F76">
        <w:t xml:space="preserve"> unsold</w:t>
      </w:r>
      <w:r w:rsidRPr="000A05C7">
        <w:t xml:space="preserve"> lots</w:t>
      </w:r>
      <w:r w:rsidR="00F26F76">
        <w:t xml:space="preserve"> from the primary stage</w:t>
      </w:r>
      <w:r w:rsidRPr="000A05C7">
        <w:t xml:space="preserve"> would be available for bidding in the secondary stage, other interested bidders may not be able to express demand for them</w:t>
      </w:r>
      <w:r w:rsidR="00F267C6">
        <w:t xml:space="preserve"> (e.g.,</w:t>
      </w:r>
      <w:r w:rsidRPr="000A05C7">
        <w:t xml:space="preserve"> because they would exceed the allocation limits</w:t>
      </w:r>
      <w:r w:rsidR="005E4030">
        <w:t xml:space="preserve"> based on their winnings in the primary stage</w:t>
      </w:r>
      <w:r w:rsidR="00F267C6">
        <w:t>)</w:t>
      </w:r>
      <w:r w:rsidRPr="000A05C7">
        <w:t xml:space="preserve">. </w:t>
      </w:r>
      <w:r w:rsidR="00E47A11" w:rsidRPr="00CC220E">
        <w:t xml:space="preserve">A further complication is that even if all 3 lots were sold in the secondary stage, the </w:t>
      </w:r>
      <w:r w:rsidR="00D86C4D">
        <w:t>EOO</w:t>
      </w:r>
      <w:r w:rsidR="00D86C4D" w:rsidRPr="00CC220E">
        <w:t xml:space="preserve"> </w:t>
      </w:r>
      <w:r w:rsidR="00E47A11" w:rsidRPr="00CC220E">
        <w:t xml:space="preserve">format means they are bid on independently and may sell at different prices. </w:t>
      </w:r>
    </w:p>
    <w:p w14:paraId="1331A973" w14:textId="06B90870" w:rsidR="005563C1" w:rsidRPr="00F174E6" w:rsidRDefault="00EA2405" w:rsidP="00332AD4">
      <w:pPr>
        <w:pStyle w:val="Heading4"/>
        <w:ind w:right="992"/>
        <w:rPr>
          <w:highlight w:val="yellow"/>
        </w:rPr>
      </w:pPr>
      <w:r>
        <w:t xml:space="preserve">Option 2: </w:t>
      </w:r>
      <w:r w:rsidR="005563C1" w:rsidRPr="001B57D0">
        <w:t>No MSR</w:t>
      </w:r>
    </w:p>
    <w:p w14:paraId="733E535A" w14:textId="43D260B9" w:rsidR="005563C1" w:rsidRDefault="00242AA0" w:rsidP="00332AD4">
      <w:pPr>
        <w:ind w:right="992"/>
      </w:pPr>
      <w:r>
        <w:lastRenderedPageBreak/>
        <w:t xml:space="preserve">Although not </w:t>
      </w:r>
      <w:r w:rsidR="001A02D4">
        <w:t>offering the MSR feature</w:t>
      </w:r>
      <w:r w:rsidR="005563C1">
        <w:t xml:space="preserve"> would p</w:t>
      </w:r>
      <w:r w:rsidR="005563C1" w:rsidRPr="000F6B49">
        <w:t>romote auction simplicity</w:t>
      </w:r>
      <w:r w:rsidR="001A02D4">
        <w:t>, we consider the exposure risk for bidders is too high</w:t>
      </w:r>
      <w:r w:rsidR="006F2D2E">
        <w:t xml:space="preserve"> when compared with the marginal benefits gained from removing the need for a secondary stage to allocate unsold spectrum from the primary stage</w:t>
      </w:r>
      <w:r w:rsidR="005563C1">
        <w:t>.</w:t>
      </w:r>
      <w:r w:rsidR="005563C1" w:rsidRPr="000F6B49">
        <w:t xml:space="preserve"> </w:t>
      </w:r>
    </w:p>
    <w:p w14:paraId="71DC2A4C" w14:textId="20329E51" w:rsidR="00163403" w:rsidRPr="000F6B49" w:rsidRDefault="00EA2405" w:rsidP="00332AD4">
      <w:pPr>
        <w:pStyle w:val="Heading4"/>
        <w:ind w:right="992"/>
      </w:pPr>
      <w:r>
        <w:t xml:space="preserve">Option 3: MSR of </w:t>
      </w:r>
      <w:r w:rsidR="00F54B4C">
        <w:t xml:space="preserve">2 </w:t>
      </w:r>
      <w:r w:rsidR="00163403">
        <w:t>lots</w:t>
      </w:r>
    </w:p>
    <w:p w14:paraId="1627B4F8" w14:textId="77777777" w:rsidR="00F26F76" w:rsidRDefault="00B77932" w:rsidP="00332AD4">
      <w:pPr>
        <w:ind w:right="992"/>
      </w:pPr>
      <w:r>
        <w:t>In response to the ACMA’s most recent consultation, the majority of submitters supported an MSR of 2 lots.</w:t>
      </w:r>
      <w:r w:rsidRPr="00C90B14">
        <w:t xml:space="preserve"> </w:t>
      </w:r>
      <w:r w:rsidR="00F26F76">
        <w:t>We adopted an MSR of 2 lots in the 850/900 MHz band and 26 GHz band auctions.</w:t>
      </w:r>
    </w:p>
    <w:p w14:paraId="69A2E394" w14:textId="29059706" w:rsidR="004B2EFB" w:rsidRDefault="007B2FC0" w:rsidP="00332AD4">
      <w:pPr>
        <w:ind w:right="992"/>
      </w:pPr>
      <w:r>
        <w:t>To a lesser extent than an MSR of 4 lots, a</w:t>
      </w:r>
      <w:r w:rsidR="00B77932">
        <w:t xml:space="preserve">n MSR of 2 lots will mitigate the exposure risk for bidders so that a bidder does not acquire an amount of spectrum that is not aligned with its business case. </w:t>
      </w:r>
      <w:r w:rsidRPr="000A05C7">
        <w:t>However, a smaller spectrum holding can still be used for lower capacity 5G services or traded on the secondary market</w:t>
      </w:r>
      <w:r w:rsidR="004B2EFB">
        <w:t xml:space="preserve">. Compared with the </w:t>
      </w:r>
      <w:r w:rsidR="006D448B">
        <w:t xml:space="preserve">occurrence of </w:t>
      </w:r>
      <w:r w:rsidR="004B2EFB">
        <w:t>unsold lots that may result from</w:t>
      </w:r>
      <w:r w:rsidR="006D448B">
        <w:t xml:space="preserve"> price driving under an MSR of 4 lots</w:t>
      </w:r>
      <w:r w:rsidR="004B2EFB">
        <w:t>,</w:t>
      </w:r>
      <w:r w:rsidRPr="000A05C7">
        <w:t xml:space="preserve"> </w:t>
      </w:r>
      <w:r w:rsidR="004B2EFB">
        <w:t xml:space="preserve">enabling bidders to acquire a smaller spectrum holding to </w:t>
      </w:r>
      <w:r w:rsidR="00B07183">
        <w:t>the bidder</w:t>
      </w:r>
      <w:r w:rsidR="006930AE">
        <w:t>’s</w:t>
      </w:r>
      <w:r w:rsidR="00B07183">
        <w:t xml:space="preserve"> </w:t>
      </w:r>
      <w:r w:rsidR="004B2EFB">
        <w:t>true value is a more efficient allocation of spectrum</w:t>
      </w:r>
      <w:r w:rsidRPr="000A05C7">
        <w:t xml:space="preserve">. </w:t>
      </w:r>
      <w:r w:rsidR="004A5E5A">
        <w:t>A</w:t>
      </w:r>
      <w:r w:rsidR="006D448B">
        <w:t xml:space="preserve">n MSR of 2 lots </w:t>
      </w:r>
      <w:r w:rsidR="00A93579">
        <w:t>also reduces the likelihood of strategic bidding (</w:t>
      </w:r>
      <w:r w:rsidR="006D448B">
        <w:t>when compared with an MSR of 4 lots</w:t>
      </w:r>
      <w:r w:rsidR="00A93579">
        <w:t>)</w:t>
      </w:r>
      <w:r w:rsidR="006D448B">
        <w:t xml:space="preserve">. </w:t>
      </w:r>
    </w:p>
    <w:p w14:paraId="2B3823AE" w14:textId="2D8710CC" w:rsidR="00CA25CD" w:rsidRPr="000245A0" w:rsidRDefault="000245A0" w:rsidP="00332AD4">
      <w:pPr>
        <w:ind w:right="992"/>
      </w:pPr>
      <w:r w:rsidRPr="000245A0">
        <w:t xml:space="preserve">On balance, </w:t>
      </w:r>
      <w:r w:rsidR="00362C47">
        <w:t xml:space="preserve">we consider implementing an MSR of 2 lots </w:t>
      </w:r>
      <w:r w:rsidR="005311E6">
        <w:t>(option 3)</w:t>
      </w:r>
      <w:r w:rsidR="00362C47">
        <w:t xml:space="preserve"> strikes the right balance between enabling bidders to obtain spectrum suited to their business needs, and mitigating the occurrence of anti-competitive behaviour at auction. </w:t>
      </w:r>
      <w:r w:rsidR="00B0157A">
        <w:t xml:space="preserve">If an MSR is adopted, a secondary stage is required to allocate any single unsold lot of a product resulting from MSR operation during the primary stage. </w:t>
      </w:r>
    </w:p>
    <w:p w14:paraId="2FF50632" w14:textId="77777777" w:rsidR="006F272B" w:rsidRDefault="006F272B" w:rsidP="00332AD4">
      <w:pPr>
        <w:pStyle w:val="Issueforcomment"/>
        <w:pBdr>
          <w:left w:val="single" w:sz="4" w:space="1" w:color="auto"/>
          <w:right w:val="single" w:sz="4" w:space="1" w:color="auto"/>
        </w:pBdr>
        <w:ind w:right="992"/>
      </w:pPr>
      <w:r>
        <w:t>Minimum spectrum requirement</w:t>
      </w:r>
    </w:p>
    <w:p w14:paraId="65FB7DFC" w14:textId="755DF903" w:rsidR="006F272B" w:rsidRPr="007F60A0" w:rsidRDefault="006F272B" w:rsidP="00332AD4">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We propose to include a</w:t>
      </w:r>
      <w:r w:rsidR="00243419">
        <w:t xml:space="preserve">n option to </w:t>
      </w:r>
      <w:r w:rsidR="009A297B">
        <w:t>apply an</w:t>
      </w:r>
      <w:r>
        <w:t xml:space="preserve"> MSR of 2 lots in the 3.4/3.7 GHz band</w:t>
      </w:r>
      <w:r w:rsidR="00195269">
        <w:t>s</w:t>
      </w:r>
      <w:r>
        <w:t xml:space="preserve"> auction. </w:t>
      </w:r>
    </w:p>
    <w:p w14:paraId="081925A0" w14:textId="7270EB7E" w:rsidR="006C080F" w:rsidRPr="00597BD5" w:rsidRDefault="006C080F" w:rsidP="00332AD4">
      <w:pPr>
        <w:pStyle w:val="Heading3"/>
        <w:ind w:right="992"/>
      </w:pPr>
      <w:r w:rsidRPr="00597BD5">
        <w:t>Information policy</w:t>
      </w:r>
    </w:p>
    <w:p w14:paraId="47C523C5" w14:textId="308EAC34" w:rsidR="006C080F" w:rsidRDefault="006C080F" w:rsidP="00332AD4">
      <w:pPr>
        <w:pStyle w:val="Paragraph"/>
        <w:ind w:right="992"/>
      </w:pPr>
      <w:r>
        <w:t>In an ascending auction format such as</w:t>
      </w:r>
      <w:r w:rsidRPr="00947E0C">
        <w:t xml:space="preserve"> </w:t>
      </w:r>
      <w:r>
        <w:t xml:space="preserve">a </w:t>
      </w:r>
      <w:r w:rsidR="0087749E">
        <w:t>2</w:t>
      </w:r>
      <w:r w:rsidRPr="00947E0C">
        <w:t>-stage generic lots clock auction format</w:t>
      </w:r>
      <w:r>
        <w:t xml:space="preserve">, the auction manager typically provides bidders with information about </w:t>
      </w:r>
      <w:r w:rsidR="00BA53BE">
        <w:t xml:space="preserve">the extent of </w:t>
      </w:r>
      <w:r>
        <w:t xml:space="preserve">demand </w:t>
      </w:r>
      <w:r w:rsidR="00BA53BE">
        <w:t>for each product</w:t>
      </w:r>
      <w:r>
        <w:t xml:space="preserve"> throughout the auction. </w:t>
      </w:r>
      <w:r w:rsidR="00AB0A8E">
        <w:t xml:space="preserve">Doing so provides bidders with information </w:t>
      </w:r>
      <w:r w:rsidR="00E1086A">
        <w:t xml:space="preserve">that </w:t>
      </w:r>
      <w:r w:rsidR="00EF60D0">
        <w:t xml:space="preserve">they </w:t>
      </w:r>
      <w:r w:rsidR="00E1086A">
        <w:t xml:space="preserve">can </w:t>
      </w:r>
      <w:r w:rsidR="00EF60D0">
        <w:t xml:space="preserve">use to </w:t>
      </w:r>
      <w:r w:rsidR="00E1086A">
        <w:t>inform their bidding strategies</w:t>
      </w:r>
      <w:r>
        <w:t>, which is a key reason why auctions are structured in an open, transparent fashion.</w:t>
      </w:r>
      <w:r w:rsidR="00B3688C">
        <w:t xml:space="preserve"> </w:t>
      </w:r>
    </w:p>
    <w:p w14:paraId="70FA22B1" w14:textId="033D62D3" w:rsidR="006C080F" w:rsidRDefault="006C080F" w:rsidP="00332AD4">
      <w:pPr>
        <w:pStyle w:val="Paragraph"/>
        <w:ind w:right="992"/>
      </w:pPr>
      <w:r>
        <w:t xml:space="preserve">In contrast to standard </w:t>
      </w:r>
      <w:r w:rsidR="0083660D">
        <w:t xml:space="preserve">simultaneous multi-round ascending </w:t>
      </w:r>
      <w:r>
        <w:t xml:space="preserve">auctions, </w:t>
      </w:r>
      <w:r w:rsidR="0087749E">
        <w:t>2</w:t>
      </w:r>
      <w:r w:rsidRPr="00947E0C">
        <w:t xml:space="preserve">-stage generic lots clock </w:t>
      </w:r>
      <w:r>
        <w:t>auctions have a higher risk of strategic demand reduction. Strategic demand reduction is a bidding strategy that involves sacrificing some of the spectrum that a bidder might like to have acquired in the auction in return for ending the auction earlier, and at a lower price for the spectrum that the bidder actually wins.</w:t>
      </w:r>
    </w:p>
    <w:p w14:paraId="4711D03E" w14:textId="5384BF38" w:rsidR="006C080F" w:rsidRDefault="006C080F" w:rsidP="00332AD4">
      <w:pPr>
        <w:pStyle w:val="Paragraph"/>
        <w:ind w:right="992"/>
      </w:pPr>
      <w:r>
        <w:t xml:space="preserve">Although providing detail about the level of excess demand can create incentives for bidders to close out the auction early, this is offset by the benefits of price discovery and transparency. In the 3.6 GHz band auction, information </w:t>
      </w:r>
      <w:r w:rsidR="004033A2">
        <w:t xml:space="preserve">about </w:t>
      </w:r>
      <w:r>
        <w:t xml:space="preserve">exact excess demand was provided only where it was greater than supply by more than 4 lots (a limited information policy). In the 26 GHz band auction, we provided exact excess demand information, including where aggregate demand </w:t>
      </w:r>
      <w:r w:rsidR="00D51967">
        <w:t xml:space="preserve">was </w:t>
      </w:r>
      <w:r>
        <w:t>equal to or less than supply (a full information policy).</w:t>
      </w:r>
      <w:r w:rsidRPr="002543F4">
        <w:t xml:space="preserve"> </w:t>
      </w:r>
      <w:r>
        <w:t xml:space="preserve">A full information policy was also applied in the most recent 850/900 MHz band auction. </w:t>
      </w:r>
    </w:p>
    <w:p w14:paraId="116EC2C0" w14:textId="5ABBD7D8" w:rsidR="006C080F" w:rsidRDefault="006C080F" w:rsidP="00332AD4">
      <w:pPr>
        <w:pStyle w:val="Paragraph"/>
        <w:ind w:right="992"/>
      </w:pPr>
      <w:r>
        <w:t xml:space="preserve">We propose a full information policy be applied for the 3.4/3.7 GHz bands auction by providing exact excess demand information to bidders at the end of each clock round. </w:t>
      </w:r>
    </w:p>
    <w:p w14:paraId="0C5DEA95" w14:textId="600ED1BF" w:rsidR="00C91C8E" w:rsidRDefault="00C91C8E" w:rsidP="00332AD4">
      <w:pPr>
        <w:pStyle w:val="Issueforcomment"/>
        <w:keepNext/>
        <w:pBdr>
          <w:left w:val="single" w:sz="4" w:space="1" w:color="auto"/>
          <w:right w:val="single" w:sz="4" w:space="1" w:color="auto"/>
        </w:pBdr>
        <w:ind w:right="992"/>
      </w:pPr>
      <w:r>
        <w:lastRenderedPageBreak/>
        <w:t>Information policy</w:t>
      </w:r>
    </w:p>
    <w:p w14:paraId="09FD1D50" w14:textId="192C3290" w:rsidR="00C91C8E" w:rsidRPr="007F60A0" w:rsidRDefault="00C91C8E" w:rsidP="00332AD4">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 xml:space="preserve">We propose to </w:t>
      </w:r>
      <w:r w:rsidRPr="00C91C8E">
        <w:t>provid</w:t>
      </w:r>
      <w:r>
        <w:t>e</w:t>
      </w:r>
      <w:r w:rsidRPr="00C91C8E">
        <w:t xml:space="preserve"> exact excess demand information to bidders at the end of each clock round.</w:t>
      </w:r>
    </w:p>
    <w:p w14:paraId="1038AE32" w14:textId="75713BD8" w:rsidR="008A4A45" w:rsidRDefault="008A4A45" w:rsidP="00332AD4">
      <w:pPr>
        <w:pStyle w:val="Heading3"/>
        <w:ind w:right="992"/>
      </w:pPr>
      <w:r>
        <w:t>Activity rule</w:t>
      </w:r>
    </w:p>
    <w:p w14:paraId="4743437F" w14:textId="21C9E984" w:rsidR="004F4D70" w:rsidRDefault="008A4A45" w:rsidP="00332AD4">
      <w:pPr>
        <w:ind w:right="992"/>
      </w:pPr>
      <w:r>
        <w:t xml:space="preserve">In the </w:t>
      </w:r>
      <w:r w:rsidR="00382B11">
        <w:t xml:space="preserve">last </w:t>
      </w:r>
      <w:r w:rsidR="00F54B4C">
        <w:t xml:space="preserve">3 </w:t>
      </w:r>
      <w:r w:rsidR="00382B11">
        <w:t>auctions (</w:t>
      </w:r>
      <w:r>
        <w:t>3.6 GHz</w:t>
      </w:r>
      <w:r w:rsidR="009E7BD4">
        <w:t>, 2</w:t>
      </w:r>
      <w:r>
        <w:t xml:space="preserve">6 GHz </w:t>
      </w:r>
      <w:r w:rsidR="009E7BD4">
        <w:t xml:space="preserve">and 850/900 MHz </w:t>
      </w:r>
      <w:r>
        <w:t>band</w:t>
      </w:r>
      <w:r w:rsidR="00382B11">
        <w:t>s)</w:t>
      </w:r>
      <w:r>
        <w:t xml:space="preserve">, we implemented a global (aggregate) activity rule, which calculates the maximum bidding activity allowed in the next round based on the bidding activity in the current round. This activity rule </w:t>
      </w:r>
      <w:r w:rsidR="00197269">
        <w:rPr>
          <w:rStyle w:val="normaltextrun"/>
          <w:color w:val="000000"/>
          <w:szCs w:val="20"/>
          <w:shd w:val="clear" w:color="auto" w:fill="FFFFFF"/>
        </w:rPr>
        <w:t>promotes meaningful bidding and price discovery</w:t>
      </w:r>
      <w:r w:rsidR="007C3DF7">
        <w:rPr>
          <w:rStyle w:val="normaltextrun"/>
          <w:color w:val="000000"/>
          <w:szCs w:val="20"/>
          <w:shd w:val="clear" w:color="auto" w:fill="FFFFFF"/>
        </w:rPr>
        <w:t xml:space="preserve"> </w:t>
      </w:r>
      <w:r w:rsidR="002064C4">
        <w:rPr>
          <w:rStyle w:val="normaltextrun"/>
          <w:color w:val="000000"/>
          <w:szCs w:val="20"/>
          <w:shd w:val="clear" w:color="auto" w:fill="FFFFFF"/>
        </w:rPr>
        <w:t>by</w:t>
      </w:r>
      <w:r w:rsidR="007C3DF7">
        <w:rPr>
          <w:rStyle w:val="normaltextrun"/>
          <w:color w:val="000000"/>
          <w:szCs w:val="20"/>
          <w:shd w:val="clear" w:color="auto" w:fill="FFFFFF"/>
        </w:rPr>
        <w:t xml:space="preserve"> ensur</w:t>
      </w:r>
      <w:r w:rsidR="002064C4">
        <w:rPr>
          <w:rStyle w:val="normaltextrun"/>
          <w:color w:val="000000"/>
          <w:szCs w:val="20"/>
          <w:shd w:val="clear" w:color="auto" w:fill="FFFFFF"/>
        </w:rPr>
        <w:t>ing</w:t>
      </w:r>
      <w:r w:rsidR="007C3DF7">
        <w:rPr>
          <w:rStyle w:val="normaltextrun"/>
          <w:color w:val="000000"/>
          <w:szCs w:val="20"/>
          <w:shd w:val="clear" w:color="auto" w:fill="FFFFFF"/>
        </w:rPr>
        <w:t xml:space="preserve"> bidders</w:t>
      </w:r>
      <w:r w:rsidR="00C74D64">
        <w:rPr>
          <w:rStyle w:val="normaltextrun"/>
          <w:color w:val="000000"/>
          <w:szCs w:val="20"/>
          <w:shd w:val="clear" w:color="auto" w:fill="FFFFFF"/>
        </w:rPr>
        <w:t xml:space="preserve"> express their demand throughout </w:t>
      </w:r>
      <w:r w:rsidR="009D03DE">
        <w:rPr>
          <w:rStyle w:val="normaltextrun"/>
          <w:color w:val="000000"/>
          <w:szCs w:val="20"/>
          <w:shd w:val="clear" w:color="auto" w:fill="FFFFFF"/>
        </w:rPr>
        <w:t>the auction.</w:t>
      </w:r>
      <w:r w:rsidR="003668D4">
        <w:rPr>
          <w:rStyle w:val="normaltextrun"/>
          <w:color w:val="000000"/>
          <w:szCs w:val="20"/>
          <w:shd w:val="clear" w:color="auto" w:fill="FFFFFF"/>
        </w:rPr>
        <w:t xml:space="preserve"> This means </w:t>
      </w:r>
      <w:r w:rsidR="00197269">
        <w:rPr>
          <w:rStyle w:val="normaltextrun"/>
          <w:color w:val="000000"/>
          <w:szCs w:val="20"/>
          <w:shd w:val="clear" w:color="auto" w:fill="FFFFFF"/>
        </w:rPr>
        <w:t xml:space="preserve">bidders know that a competitor is unable to </w:t>
      </w:r>
      <w:r w:rsidR="003668D4">
        <w:rPr>
          <w:rStyle w:val="normaltextrun"/>
          <w:color w:val="000000"/>
          <w:szCs w:val="20"/>
          <w:shd w:val="clear" w:color="auto" w:fill="FFFFFF"/>
        </w:rPr>
        <w:t xml:space="preserve">lower their </w:t>
      </w:r>
      <w:r w:rsidR="00DD356A">
        <w:rPr>
          <w:rStyle w:val="normaltextrun"/>
          <w:color w:val="000000"/>
          <w:szCs w:val="20"/>
          <w:shd w:val="clear" w:color="auto" w:fill="FFFFFF"/>
        </w:rPr>
        <w:t xml:space="preserve">overall </w:t>
      </w:r>
      <w:r w:rsidR="003668D4">
        <w:rPr>
          <w:rStyle w:val="normaltextrun"/>
          <w:color w:val="000000"/>
          <w:szCs w:val="20"/>
          <w:shd w:val="clear" w:color="auto" w:fill="FFFFFF"/>
        </w:rPr>
        <w:t>demand and then increase it</w:t>
      </w:r>
      <w:r w:rsidR="00197269">
        <w:rPr>
          <w:rStyle w:val="normaltextrun"/>
          <w:color w:val="000000"/>
          <w:szCs w:val="20"/>
          <w:shd w:val="clear" w:color="auto" w:fill="FFFFFF"/>
        </w:rPr>
        <w:t xml:space="preserve"> at a late</w:t>
      </w:r>
      <w:r w:rsidR="00AC489A">
        <w:rPr>
          <w:rStyle w:val="normaltextrun"/>
          <w:color w:val="000000"/>
          <w:szCs w:val="20"/>
          <w:shd w:val="clear" w:color="auto" w:fill="FFFFFF"/>
        </w:rPr>
        <w:t>r</w:t>
      </w:r>
      <w:r w:rsidR="00197269">
        <w:rPr>
          <w:rStyle w:val="normaltextrun"/>
          <w:color w:val="000000"/>
          <w:szCs w:val="20"/>
          <w:shd w:val="clear" w:color="auto" w:fill="FFFFFF"/>
        </w:rPr>
        <w:t xml:space="preserve"> stage and outbid them</w:t>
      </w:r>
      <w:r w:rsidR="003668D4">
        <w:rPr>
          <w:rStyle w:val="normaltextrun"/>
          <w:color w:val="000000"/>
          <w:szCs w:val="20"/>
          <w:shd w:val="clear" w:color="auto" w:fill="FFFFFF"/>
        </w:rPr>
        <w:t xml:space="preserve">. </w:t>
      </w:r>
      <w:r w:rsidR="00CE3278">
        <w:rPr>
          <w:rStyle w:val="normaltextrun"/>
          <w:color w:val="000000"/>
          <w:szCs w:val="20"/>
          <w:shd w:val="clear" w:color="auto" w:fill="FFFFFF"/>
        </w:rPr>
        <w:t xml:space="preserve">The activity rule </w:t>
      </w:r>
      <w:r w:rsidR="00860450">
        <w:t>will be used</w:t>
      </w:r>
      <w:r w:rsidR="00AF2629">
        <w:t xml:space="preserve"> in </w:t>
      </w:r>
      <w:r w:rsidR="00335B88">
        <w:t>the 3.4/3.7 GHz bands</w:t>
      </w:r>
      <w:r w:rsidR="00AF2629">
        <w:t xml:space="preserve"> auction</w:t>
      </w:r>
      <w:r w:rsidR="0069071D">
        <w:t xml:space="preserve"> and will be based on the ‘eligibility requirement’.</w:t>
      </w:r>
    </w:p>
    <w:p w14:paraId="57841294" w14:textId="7D12EBEF" w:rsidR="008A4A45" w:rsidRDefault="008A4A45" w:rsidP="00332AD4">
      <w:pPr>
        <w:pStyle w:val="Heading3"/>
        <w:ind w:right="992"/>
      </w:pPr>
      <w:r>
        <w:t>Eligibility</w:t>
      </w:r>
      <w:r w:rsidR="00462EAB">
        <w:t xml:space="preserve"> </w:t>
      </w:r>
      <w:r>
        <w:t>requirement</w:t>
      </w:r>
    </w:p>
    <w:p w14:paraId="549DBCC0" w14:textId="154EA675" w:rsidR="007D6EDC" w:rsidRPr="00E87955" w:rsidRDefault="00913B64" w:rsidP="00332AD4">
      <w:pPr>
        <w:ind w:right="992"/>
      </w:pPr>
      <w:r w:rsidRPr="007610FB">
        <w:t xml:space="preserve">A bidder’s </w:t>
      </w:r>
      <w:r>
        <w:t>maximum</w:t>
      </w:r>
      <w:r w:rsidRPr="007610FB">
        <w:t xml:space="preserve"> eligibility is based on the</w:t>
      </w:r>
      <w:r>
        <w:t xml:space="preserve"> eligibility secured by the bidder at the eligibility deadline</w:t>
      </w:r>
      <w:r w:rsidRPr="007610FB">
        <w:t>. Eligibility is measured in eligibility points</w:t>
      </w:r>
      <w:r>
        <w:t xml:space="preserve">. Each lot in the auction will have a lot rating which determines how many eligibility points is required to bid on it. </w:t>
      </w:r>
      <w:r w:rsidR="00776D95" w:rsidRPr="00E87955">
        <w:t>Each bidder’s maximum eligibility points will need to be adjusted after the end of the 3.7 GHz band allocation for the 3.4</w:t>
      </w:r>
      <w:r w:rsidR="00BE51B7">
        <w:t> </w:t>
      </w:r>
      <w:r w:rsidR="00776D95" w:rsidRPr="00E87955">
        <w:t xml:space="preserve">GHz band allocation. After the end of the 3.7 GHz band allocation, the bidders used eligibility (that is, the total eligibility of lots won in the primary and secondary stages) will be subtracted from the maximum eligibility points secured in the bidder’s eligibility nomination form. This will become the bidder’s maximum eligibility points for the 3.4 GHz band allocation. </w:t>
      </w:r>
      <w:r w:rsidR="00E137DC" w:rsidRPr="00E87955">
        <w:t xml:space="preserve"> </w:t>
      </w:r>
    </w:p>
    <w:p w14:paraId="4F70BE27" w14:textId="15C83B61" w:rsidR="008A4A45" w:rsidRDefault="00371B8A" w:rsidP="00332AD4">
      <w:pPr>
        <w:pStyle w:val="Paragraphbeforelist"/>
        <w:ind w:right="992"/>
      </w:pPr>
      <w:r w:rsidRPr="00E87955">
        <w:t>I</w:t>
      </w:r>
      <w:r w:rsidR="008A4A45" w:rsidRPr="007610FB">
        <w:t xml:space="preserve">n each round of the </w:t>
      </w:r>
      <w:r w:rsidR="009977C8">
        <w:t xml:space="preserve">primary stage of </w:t>
      </w:r>
      <w:r w:rsidR="003E46C1">
        <w:t>each allocation</w:t>
      </w:r>
      <w:r w:rsidR="008A4A45" w:rsidRPr="007610FB">
        <w:t>, the bidder must be active on a specified percentage (</w:t>
      </w:r>
      <w:r w:rsidR="008A4A45">
        <w:t>for example,</w:t>
      </w:r>
      <w:r w:rsidR="008A4A45" w:rsidRPr="007610FB">
        <w:t xml:space="preserve"> 95</w:t>
      </w:r>
      <w:r w:rsidR="008A4A45">
        <w:t xml:space="preserve"> per cent</w:t>
      </w:r>
      <w:r w:rsidR="008A4A45" w:rsidRPr="007610FB">
        <w:t xml:space="preserve">) of its eligibility, or the bidder’s eligibility is reduced. The </w:t>
      </w:r>
      <w:r w:rsidR="008A4A45">
        <w:t xml:space="preserve">specified percentage is set by the auction manager and </w:t>
      </w:r>
      <w:r w:rsidR="008A4A45" w:rsidRPr="007610FB">
        <w:t xml:space="preserve">is called the </w:t>
      </w:r>
      <w:r w:rsidR="008A4A45">
        <w:t>‘</w:t>
      </w:r>
      <w:r w:rsidR="008A4A45" w:rsidRPr="007610FB">
        <w:t>eligibility requirement</w:t>
      </w:r>
      <w:r w:rsidR="008A4A45">
        <w:t>’</w:t>
      </w:r>
      <w:r w:rsidR="008A4A45" w:rsidRPr="007610FB">
        <w:t xml:space="preserve">. End-of-round activity is </w:t>
      </w:r>
      <w:r w:rsidR="008A4A45">
        <w:t>calculated</w:t>
      </w:r>
      <w:r w:rsidR="008A4A45" w:rsidRPr="007610FB">
        <w:t xml:space="preserve"> as the</w:t>
      </w:r>
      <w:r w:rsidR="008A4A45">
        <w:t xml:space="preserve"> greater of the</w:t>
      </w:r>
      <w:r w:rsidR="008A4A45" w:rsidRPr="007610FB">
        <w:t xml:space="preserve"> total eligibility points of all lots</w:t>
      </w:r>
      <w:r w:rsidR="008A4A45">
        <w:t>:</w:t>
      </w:r>
    </w:p>
    <w:p w14:paraId="333BC2F3" w14:textId="77777777" w:rsidR="008A4A45" w:rsidRDefault="7156E1A9" w:rsidP="00332AD4">
      <w:pPr>
        <w:pStyle w:val="Bulletlevel1"/>
        <w:ind w:right="992"/>
      </w:pPr>
      <w:r>
        <w:t>the bidder placed bids for in the round; or</w:t>
      </w:r>
    </w:p>
    <w:p w14:paraId="16B2AEFC" w14:textId="77777777" w:rsidR="008A4A45" w:rsidRDefault="7156E1A9" w:rsidP="00332AD4">
      <w:pPr>
        <w:pStyle w:val="Bulletlevel1last"/>
        <w:ind w:right="992"/>
      </w:pPr>
      <w:r>
        <w:t>in the bidder’s posted demand.</w:t>
      </w:r>
    </w:p>
    <w:p w14:paraId="5FEFB0B1" w14:textId="59982210" w:rsidR="008A4A45" w:rsidRDefault="008A4A45" w:rsidP="00332AD4">
      <w:pPr>
        <w:pStyle w:val="Paragraph"/>
        <w:ind w:right="992"/>
      </w:pPr>
      <w:r w:rsidRPr="007610FB">
        <w:t>If the eligibility requirement is not met, the bidder’s eligibility in the next round is reduced to (end-of-round activity)</w:t>
      </w:r>
      <w:r>
        <w:t xml:space="preserve"> divided by </w:t>
      </w:r>
      <w:r w:rsidRPr="007610FB">
        <w:t xml:space="preserve">(eligibility requirement), rounded </w:t>
      </w:r>
      <w:r w:rsidR="00712E0B">
        <w:t>down</w:t>
      </w:r>
      <w:r w:rsidR="00712E0B" w:rsidRPr="007610FB">
        <w:t xml:space="preserve"> </w:t>
      </w:r>
      <w:r w:rsidRPr="007610FB">
        <w:t xml:space="preserve">to the nearest integer. Eligibility </w:t>
      </w:r>
      <w:r>
        <w:t>is calculated</w:t>
      </w:r>
      <w:r w:rsidRPr="007610FB">
        <w:t xml:space="preserve"> at the end of </w:t>
      </w:r>
      <w:r>
        <w:t>each</w:t>
      </w:r>
      <w:r w:rsidRPr="007610FB">
        <w:t xml:space="preserve"> round, based on end-of-round activity. However, the bid processing algorithm prevents any bid from being applied that would cause the bidder to exceed its eligibility at any point during bid processing.</w:t>
      </w:r>
      <w:r>
        <w:t xml:space="preserve"> </w:t>
      </w:r>
    </w:p>
    <w:p w14:paraId="095A6A85" w14:textId="77777777" w:rsidR="008A4A45" w:rsidRPr="000F15AD" w:rsidRDefault="008A4A45" w:rsidP="00332AD4">
      <w:pPr>
        <w:pStyle w:val="Paragraph"/>
        <w:ind w:right="992"/>
      </w:pPr>
      <w:r>
        <w:t>We will consult on the eligibility requirement with registered bidders after the close of applications, together with other auction parameters.</w:t>
      </w:r>
    </w:p>
    <w:p w14:paraId="58AECFB7" w14:textId="77777777" w:rsidR="00EE6387" w:rsidRPr="00772DD3" w:rsidRDefault="00EE6387" w:rsidP="00332AD4">
      <w:pPr>
        <w:keepNext/>
        <w:spacing w:before="60" w:after="60"/>
        <w:ind w:right="992"/>
        <w:outlineLvl w:val="2"/>
        <w:rPr>
          <w:rFonts w:cs="Arial"/>
          <w:b/>
          <w:bCs/>
          <w:szCs w:val="26"/>
        </w:rPr>
      </w:pPr>
      <w:r w:rsidRPr="00772DD3">
        <w:rPr>
          <w:rFonts w:cs="Arial"/>
          <w:b/>
          <w:bCs/>
          <w:szCs w:val="26"/>
        </w:rPr>
        <w:t xml:space="preserve">Pre-assignment of </w:t>
      </w:r>
      <w:r>
        <w:rPr>
          <w:rFonts w:cs="Arial"/>
          <w:b/>
          <w:bCs/>
          <w:szCs w:val="26"/>
        </w:rPr>
        <w:t xml:space="preserve">frequencies for </w:t>
      </w:r>
      <w:r w:rsidRPr="00772DD3">
        <w:rPr>
          <w:rFonts w:cs="Arial"/>
          <w:b/>
          <w:bCs/>
          <w:szCs w:val="26"/>
        </w:rPr>
        <w:t>unsold lots</w:t>
      </w:r>
    </w:p>
    <w:p w14:paraId="4563781F" w14:textId="725DE437" w:rsidR="00EE6387" w:rsidRDefault="00EE6387" w:rsidP="00332AD4">
      <w:pPr>
        <w:ind w:right="992"/>
      </w:pPr>
      <w:r>
        <w:t xml:space="preserve">In the </w:t>
      </w:r>
      <w:r w:rsidR="00360818">
        <w:t xml:space="preserve">3.6 GHz and </w:t>
      </w:r>
      <w:r>
        <w:t>26 GHz</w:t>
      </w:r>
      <w:r w:rsidR="00360818">
        <w:t xml:space="preserve"> band </w:t>
      </w:r>
      <w:r>
        <w:t xml:space="preserve">auctions, any unsold lots (except in </w:t>
      </w:r>
      <w:r w:rsidR="00310E43">
        <w:t xml:space="preserve">paired </w:t>
      </w:r>
      <w:r>
        <w:t xml:space="preserve">lower/upper products) were pre-assigned to the highest position in the band. For the 850/900 MHz band auction, </w:t>
      </w:r>
      <w:r w:rsidR="00360818">
        <w:t xml:space="preserve">the </w:t>
      </w:r>
      <w:r w:rsidRPr="006C5B20">
        <w:t xml:space="preserve">frequency range of any unsold lots </w:t>
      </w:r>
      <w:r w:rsidR="00B10DEC">
        <w:t xml:space="preserve">was </w:t>
      </w:r>
      <w:r>
        <w:t xml:space="preserve">contiguous and </w:t>
      </w:r>
      <w:r w:rsidRPr="006C5B20">
        <w:t>determined by the assignment bids, rather than pre-assigned.</w:t>
      </w:r>
    </w:p>
    <w:p w14:paraId="14041288" w14:textId="7AE31FC2" w:rsidR="00EE6387" w:rsidRDefault="00EE6387" w:rsidP="00332AD4">
      <w:pPr>
        <w:ind w:right="992"/>
      </w:pPr>
      <w:r w:rsidRPr="002F417A">
        <w:t xml:space="preserve">For the </w:t>
      </w:r>
      <w:r>
        <w:t>3.4/3.7 GHz bands auction</w:t>
      </w:r>
      <w:r w:rsidRPr="002F417A">
        <w:t xml:space="preserve">, we </w:t>
      </w:r>
      <w:r>
        <w:t xml:space="preserve">consider that </w:t>
      </w:r>
      <w:r w:rsidRPr="002F417A">
        <w:t xml:space="preserve">some bidders may express demand for frequency ranges </w:t>
      </w:r>
      <w:r>
        <w:t>adjacent to their existing spectrum licensed holding in the wider 3.4</w:t>
      </w:r>
      <w:r w:rsidR="0087749E">
        <w:t>–</w:t>
      </w:r>
      <w:r>
        <w:t>3.8 GHz frequency range</w:t>
      </w:r>
      <w:r w:rsidRPr="002F417A">
        <w:t xml:space="preserve">. </w:t>
      </w:r>
      <w:r w:rsidR="006239B0">
        <w:t>Therefore</w:t>
      </w:r>
      <w:r w:rsidRPr="002F417A">
        <w:t xml:space="preserve">, the relative value of frequency ranges may differ between bidders. </w:t>
      </w:r>
      <w:r w:rsidR="003923DE">
        <w:t>On that basis</w:t>
      </w:r>
      <w:r>
        <w:t xml:space="preserve">, we propose to adopt the same policy for assignment of unsold lots as per the 850/900 MHz band auction. That is, all </w:t>
      </w:r>
      <w:r>
        <w:lastRenderedPageBreak/>
        <w:t>unsold lots would be contiguous, but not pre-assigned within the frequencies available.</w:t>
      </w:r>
    </w:p>
    <w:p w14:paraId="7B47BA01" w14:textId="77777777" w:rsidR="00EE6387" w:rsidRDefault="00EE6387" w:rsidP="00332AD4">
      <w:pPr>
        <w:pStyle w:val="Issueforcomment"/>
        <w:pBdr>
          <w:left w:val="single" w:sz="4" w:space="1" w:color="auto"/>
          <w:right w:val="single" w:sz="4" w:space="1" w:color="auto"/>
        </w:pBdr>
        <w:ind w:right="992"/>
      </w:pPr>
      <w:r w:rsidRPr="00165D17">
        <w:t>Pre-assignment of frequencies for unsold lots</w:t>
      </w:r>
    </w:p>
    <w:p w14:paraId="09B7A6F6" w14:textId="77777777" w:rsidR="00EE6387" w:rsidRPr="00CE6B8C" w:rsidRDefault="00EE6387" w:rsidP="00DD6E67">
      <w:pPr>
        <w:pStyle w:val="Paragraph"/>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CE6B8C">
        <w:t xml:space="preserve">We propose </w:t>
      </w:r>
      <w:r w:rsidRPr="00804B96">
        <w:t xml:space="preserve">the frequency range of any unsold lots be </w:t>
      </w:r>
      <w:r>
        <w:t xml:space="preserve">contiguous and </w:t>
      </w:r>
      <w:r w:rsidRPr="00804B96">
        <w:t>determined by the assignment bids, rather than pre-assigned.</w:t>
      </w:r>
      <w:r>
        <w:t xml:space="preserve"> </w:t>
      </w:r>
    </w:p>
    <w:p w14:paraId="6CB5193A" w14:textId="77777777" w:rsidR="008A4A45" w:rsidRDefault="008A4A45" w:rsidP="00332AD4">
      <w:pPr>
        <w:pStyle w:val="Heading3"/>
        <w:ind w:right="992"/>
      </w:pPr>
      <w:r>
        <w:t xml:space="preserve">Assignment stage pricing rule </w:t>
      </w:r>
    </w:p>
    <w:p w14:paraId="0A3F0CA1" w14:textId="4AC38C7F" w:rsidR="007D7C1E" w:rsidRPr="009D4D19" w:rsidRDefault="008A4A45" w:rsidP="00332AD4">
      <w:pPr>
        <w:pStyle w:val="Paragraph"/>
        <w:ind w:right="992"/>
      </w:pPr>
      <w:r>
        <w:t xml:space="preserve">In the </w:t>
      </w:r>
      <w:r w:rsidR="0087749E">
        <w:t>2</w:t>
      </w:r>
      <w:r w:rsidR="00CC7354">
        <w:t>-</w:t>
      </w:r>
      <w:r w:rsidR="009D6533">
        <w:t xml:space="preserve">stage </w:t>
      </w:r>
      <w:r w:rsidR="00CC7354">
        <w:t xml:space="preserve">generic lots </w:t>
      </w:r>
      <w:r w:rsidR="009D6533">
        <w:t>clock</w:t>
      </w:r>
      <w:r>
        <w:t xml:space="preserve"> </w:t>
      </w:r>
      <w:r w:rsidR="00131027">
        <w:t xml:space="preserve">auction </w:t>
      </w:r>
      <w:r>
        <w:t xml:space="preserve">format, the assignment stage is used to assign frequency ranges to the amounts of spectrum won in the primary </w:t>
      </w:r>
      <w:r w:rsidR="006745D0">
        <w:t>(and if used, the secondary)</w:t>
      </w:r>
      <w:r>
        <w:t xml:space="preserve"> stage. In the assignment stage, bidders submit confidential, one-shot bids for any, or all, of available frequency range options. </w:t>
      </w:r>
      <w:r w:rsidR="00C577A9">
        <w:t xml:space="preserve">A pay your bid rule is possible, where bidders submit confidential bids for various assignment scenarios and pay the full price of their bids on the selected scenario. However, this can lead </w:t>
      </w:r>
      <w:r w:rsidR="009B6AF1">
        <w:t xml:space="preserve">to a </w:t>
      </w:r>
      <w:r w:rsidR="00310E43">
        <w:t>bidder basing its bids</w:t>
      </w:r>
      <w:r w:rsidR="00C577A9">
        <w:t xml:space="preserve"> on how they believe a competitor might value the scenarios, rather than on their own valuations.</w:t>
      </w:r>
      <w:r>
        <w:t xml:space="preserve"> In </w:t>
      </w:r>
      <w:r w:rsidR="003D17AB">
        <w:t>previous</w:t>
      </w:r>
      <w:r w:rsidR="00881960">
        <w:t xml:space="preserve"> </w:t>
      </w:r>
      <w:r w:rsidRPr="00BE0186">
        <w:t>spectrum</w:t>
      </w:r>
      <w:r>
        <w:t xml:space="preserve"> auctions, we have used a second-price rule known as the nearest Vickrey core price</w:t>
      </w:r>
      <w:r w:rsidR="00760C0D">
        <w:t>, to encourage bidders to bid according to their own valuation of the assignment scenarios</w:t>
      </w:r>
      <w:r w:rsidR="00D2451F">
        <w:t xml:space="preserve"> and reduc</w:t>
      </w:r>
      <w:r w:rsidR="001C5773">
        <w:t>e</w:t>
      </w:r>
      <w:r w:rsidR="00D2451F">
        <w:t xml:space="preserve"> the risk of </w:t>
      </w:r>
      <w:r w:rsidR="00D2451F" w:rsidRPr="005A344F">
        <w:t>undesirable outcomes resulting from strategic bidding</w:t>
      </w:r>
      <w:r w:rsidR="00760C0D">
        <w:t>.</w:t>
      </w:r>
      <w:r w:rsidR="00383C59">
        <w:t xml:space="preserve"> </w:t>
      </w:r>
      <w:r w:rsidR="00EB13A1">
        <w:t>We</w:t>
      </w:r>
      <w:r w:rsidR="00383C59">
        <w:t xml:space="preserve"> propose </w:t>
      </w:r>
      <w:r w:rsidR="001232F4">
        <w:t xml:space="preserve">to use </w:t>
      </w:r>
      <w:r w:rsidR="00383C59">
        <w:t>the same pricing rule for the 3.4/3.7</w:t>
      </w:r>
      <w:r w:rsidR="00150263">
        <w:t> </w:t>
      </w:r>
      <w:r w:rsidR="00383C59">
        <w:t xml:space="preserve">GHz </w:t>
      </w:r>
      <w:r w:rsidR="00150263">
        <w:t>band</w:t>
      </w:r>
      <w:r w:rsidR="00574025">
        <w:t>s</w:t>
      </w:r>
      <w:r w:rsidR="00150263">
        <w:t xml:space="preserve"> </w:t>
      </w:r>
      <w:r w:rsidR="00383C59">
        <w:t>a</w:t>
      </w:r>
      <w:r w:rsidR="00572411">
        <w:t>llocations</w:t>
      </w:r>
      <w:r>
        <w:t xml:space="preserve">. </w:t>
      </w:r>
    </w:p>
    <w:p w14:paraId="7344B794" w14:textId="00F672A8" w:rsidR="002634D8" w:rsidRPr="00D545E8" w:rsidRDefault="002634D8" w:rsidP="00332AD4">
      <w:pPr>
        <w:pStyle w:val="Heading2"/>
        <w:ind w:right="992"/>
      </w:pPr>
      <w:bookmarkStart w:id="37" w:name="_Toc69301126"/>
      <w:bookmarkStart w:id="38" w:name="_Toc126917771"/>
      <w:r w:rsidRPr="00D545E8">
        <w:t>Allocation limits</w:t>
      </w:r>
      <w:bookmarkEnd w:id="37"/>
      <w:bookmarkEnd w:id="38"/>
      <w:r w:rsidRPr="00D545E8">
        <w:t xml:space="preserve"> </w:t>
      </w:r>
    </w:p>
    <w:p w14:paraId="0D5DA9CD" w14:textId="21BF9600" w:rsidR="002A47A8" w:rsidRDefault="005929B8" w:rsidP="00332AD4">
      <w:pPr>
        <w:pStyle w:val="Paragraph"/>
        <w:ind w:right="992"/>
      </w:pPr>
      <w:r>
        <w:t>T</w:t>
      </w:r>
      <w:r w:rsidR="008537CC">
        <w:t>he ACMA may determine procedures to impose limits on the aggregate of the parts of the spectrum that may be used by any</w:t>
      </w:r>
      <w:r w:rsidR="00B702C1">
        <w:t xml:space="preserve"> person</w:t>
      </w:r>
      <w:r>
        <w:t xml:space="preserve"> </w:t>
      </w:r>
      <w:r w:rsidR="00CD4285">
        <w:t xml:space="preserve">or specified group of persons </w:t>
      </w:r>
      <w:r>
        <w:t xml:space="preserve">as a result of a spectrum allocation, in accordance with </w:t>
      </w:r>
      <w:r w:rsidR="00D43103">
        <w:t>sub</w:t>
      </w:r>
      <w:r>
        <w:t>section 60(5) of the Act.</w:t>
      </w:r>
      <w:r w:rsidR="00C42A0C">
        <w:t xml:space="preserve"> The allocation limits </w:t>
      </w:r>
      <w:r w:rsidR="00DF3743">
        <w:t xml:space="preserve">will affect how much spectrum a bidder </w:t>
      </w:r>
      <w:r w:rsidR="002D726C">
        <w:t xml:space="preserve">can </w:t>
      </w:r>
      <w:r w:rsidR="00DF3743">
        <w:t>acquire at auction</w:t>
      </w:r>
      <w:r w:rsidR="00394E05">
        <w:t xml:space="preserve">. </w:t>
      </w:r>
    </w:p>
    <w:p w14:paraId="4B3218BC" w14:textId="6513828A" w:rsidR="00BA3537" w:rsidRDefault="00565A58" w:rsidP="00332AD4">
      <w:pPr>
        <w:pStyle w:val="Paragraph"/>
        <w:ind w:right="992"/>
      </w:pPr>
      <w:r>
        <w:t>We are considerin</w:t>
      </w:r>
      <w:r w:rsidR="00E80839">
        <w:t xml:space="preserve">g </w:t>
      </w:r>
      <w:r w:rsidR="00DC6748">
        <w:t xml:space="preserve">whether to impose allocation limits </w:t>
      </w:r>
      <w:r w:rsidR="000D7A4A">
        <w:t xml:space="preserve">on the 3.4/3.7 GHz bands auction, and if so, </w:t>
      </w:r>
      <w:r w:rsidR="00F77741">
        <w:t xml:space="preserve">the </w:t>
      </w:r>
      <w:r w:rsidR="00190F10">
        <w:t xml:space="preserve">nature and quantum </w:t>
      </w:r>
      <w:r w:rsidR="00F77741">
        <w:t>of the allocation limit</w:t>
      </w:r>
      <w:r w:rsidR="00030367">
        <w:t xml:space="preserve">. </w:t>
      </w:r>
      <w:r w:rsidR="00BA3537">
        <w:t xml:space="preserve">Allocation limits are a regulatory intervention into the market, and are likely to impose costs and generate benefits. Consistent with the Office </w:t>
      </w:r>
      <w:r w:rsidR="008C0B99">
        <w:t>of Impact Analysis</w:t>
      </w:r>
      <w:r w:rsidR="0058113F">
        <w:t>’</w:t>
      </w:r>
      <w:r w:rsidR="008C0B99">
        <w:t xml:space="preserve"> (formerly the Office </w:t>
      </w:r>
      <w:r w:rsidR="00BA3537">
        <w:t>of Best Practice Regulation</w:t>
      </w:r>
      <w:r w:rsidR="0058113F">
        <w:t>, referred to in this paper as the OIA</w:t>
      </w:r>
      <w:r w:rsidR="00BA3537">
        <w:t xml:space="preserve">) guidelines for regulatory impact analysis, we are undertaking a process equivalent to a regulatory impact statement (referred to as a RIS-like process) on the ACMA’s proposal to implement allocation limits at this auction. A RIS-like process enables us to assess the proposal to impose allocation limits using the Regulatory Impact Analysis framework. </w:t>
      </w:r>
    </w:p>
    <w:p w14:paraId="08221F5F" w14:textId="660BEE4B" w:rsidR="001A357F" w:rsidRDefault="00CB4081" w:rsidP="00332AD4">
      <w:pPr>
        <w:pStyle w:val="Heading3"/>
        <w:ind w:right="992"/>
      </w:pPr>
      <w:r>
        <w:t>Case for action</w:t>
      </w:r>
    </w:p>
    <w:p w14:paraId="4938C482" w14:textId="3EF82931" w:rsidR="006E1057" w:rsidRDefault="00FC4825" w:rsidP="00332AD4">
      <w:pPr>
        <w:ind w:right="992"/>
      </w:pPr>
      <w:r>
        <w:t xml:space="preserve">Spectrum is a finite resource used to deploy wireless services, such as </w:t>
      </w:r>
      <w:r w:rsidR="00A343EC">
        <w:t>WA WBB</w:t>
      </w:r>
      <w:r>
        <w:t xml:space="preserve"> services (including mobile and fixed wireless networks). </w:t>
      </w:r>
      <w:r w:rsidR="006E1057">
        <w:t xml:space="preserve">Spectrum in the 3.4/3.7 GHz bands is key mid-band spectrum for the deployment of 5G networks. </w:t>
      </w:r>
    </w:p>
    <w:p w14:paraId="5791C5F3" w14:textId="3883CC8A" w:rsidR="001055EC" w:rsidRDefault="002E3633" w:rsidP="00332AD4">
      <w:pPr>
        <w:pStyle w:val="Paragraphbeforelist"/>
        <w:ind w:right="992"/>
      </w:pPr>
      <w:r>
        <w:t>Our role in managing spectrum</w:t>
      </w:r>
      <w:r w:rsidR="00A362E8">
        <w:t xml:space="preserve"> </w:t>
      </w:r>
      <w:r w:rsidR="004C433C">
        <w:t>is guided by the object of the Act: to</w:t>
      </w:r>
      <w:r w:rsidR="00E154D2">
        <w:t xml:space="preserve"> </w:t>
      </w:r>
      <w:r w:rsidR="005D1D45">
        <w:t xml:space="preserve">promote the long-term public interest derived from the use of the spectrum, </w:t>
      </w:r>
      <w:r w:rsidR="004C3D97">
        <w:t xml:space="preserve">including through </w:t>
      </w:r>
      <w:r w:rsidR="005D1D45">
        <w:t>facilitating the efficient planning, allocation and use of the spectrum</w:t>
      </w:r>
      <w:r w:rsidR="00987998">
        <w:t xml:space="preserve"> and by supporting</w:t>
      </w:r>
      <w:r w:rsidR="00E55006">
        <w:t xml:space="preserve"> the communications policy objectives of the government.</w:t>
      </w:r>
      <w:r w:rsidR="00D56FE1">
        <w:rPr>
          <w:rStyle w:val="FootnoteReference"/>
        </w:rPr>
        <w:footnoteReference w:id="18"/>
      </w:r>
      <w:r w:rsidR="004C3D97">
        <w:t xml:space="preserve"> </w:t>
      </w:r>
      <w:r w:rsidR="007370FF">
        <w:t xml:space="preserve">As required by the Act, we </w:t>
      </w:r>
      <w:r w:rsidR="005762EA">
        <w:t>must also have</w:t>
      </w:r>
      <w:r w:rsidR="007370FF">
        <w:t xml:space="preserve"> regard to the objectives specified in the MPS.</w:t>
      </w:r>
      <w:r w:rsidR="00E55006">
        <w:t xml:space="preserve"> </w:t>
      </w:r>
      <w:r w:rsidR="00D96433">
        <w:t>Specifically, o</w:t>
      </w:r>
      <w:r w:rsidR="001055EC">
        <w:t>ur objectives for this allocation are to:</w:t>
      </w:r>
    </w:p>
    <w:p w14:paraId="0E63DCFD" w14:textId="4D2ACF7A" w:rsidR="001055EC" w:rsidRDefault="00613634" w:rsidP="00332AD4">
      <w:pPr>
        <w:pStyle w:val="Bulletlevel1"/>
        <w:numPr>
          <w:ilvl w:val="0"/>
          <w:numId w:val="90"/>
        </w:numPr>
        <w:ind w:right="992"/>
      </w:pPr>
      <w:r>
        <w:t>F</w:t>
      </w:r>
      <w:r w:rsidR="001055EC">
        <w:t>acilitate the efficient planning, allocation and use of the spectrum.</w:t>
      </w:r>
    </w:p>
    <w:p w14:paraId="282183FE" w14:textId="17631908" w:rsidR="001055EC" w:rsidRDefault="00613634" w:rsidP="00332AD4">
      <w:pPr>
        <w:pStyle w:val="Bulletlevel1"/>
        <w:numPr>
          <w:ilvl w:val="0"/>
          <w:numId w:val="90"/>
        </w:numPr>
        <w:ind w:right="992"/>
      </w:pPr>
      <w:r>
        <w:t>S</w:t>
      </w:r>
      <w:r w:rsidR="001055EC">
        <w:t>upport digital connectivity and investment in regional Australia.</w:t>
      </w:r>
    </w:p>
    <w:p w14:paraId="28D175F3" w14:textId="4FC4136F" w:rsidR="001055EC" w:rsidRDefault="00613634" w:rsidP="00332AD4">
      <w:pPr>
        <w:pStyle w:val="Bulletlevel1"/>
        <w:numPr>
          <w:ilvl w:val="0"/>
          <w:numId w:val="90"/>
        </w:numPr>
        <w:ind w:right="992"/>
      </w:pPr>
      <w:r>
        <w:t>P</w:t>
      </w:r>
      <w:r w:rsidR="001055EC">
        <w:t>romote competitive markets.</w:t>
      </w:r>
    </w:p>
    <w:p w14:paraId="06A6BA7B" w14:textId="302A66C3" w:rsidR="001055EC" w:rsidRDefault="00613634" w:rsidP="00332AD4">
      <w:pPr>
        <w:pStyle w:val="Bulletlevel1"/>
        <w:numPr>
          <w:ilvl w:val="0"/>
          <w:numId w:val="90"/>
        </w:numPr>
        <w:ind w:right="992"/>
      </w:pPr>
      <w:r>
        <w:lastRenderedPageBreak/>
        <w:t>S</w:t>
      </w:r>
      <w:r w:rsidR="001055EC">
        <w:t>upport the deployment of new and innovative technology, including 5G.</w:t>
      </w:r>
    </w:p>
    <w:p w14:paraId="454CB3EF" w14:textId="64ACA8C9" w:rsidR="001055EC" w:rsidRDefault="00613634" w:rsidP="00332AD4">
      <w:pPr>
        <w:pStyle w:val="Bulletlevel1last"/>
        <w:numPr>
          <w:ilvl w:val="0"/>
          <w:numId w:val="90"/>
        </w:numPr>
        <w:ind w:right="992"/>
      </w:pPr>
      <w:r>
        <w:t>S</w:t>
      </w:r>
      <w:r w:rsidR="001055EC">
        <w:t>upport a range of use cases and users.</w:t>
      </w:r>
    </w:p>
    <w:p w14:paraId="2A9FBAF5" w14:textId="099265D3" w:rsidR="001055EC" w:rsidRDefault="001055EC" w:rsidP="00332AD4">
      <w:pPr>
        <w:pStyle w:val="Paragraph"/>
        <w:ind w:right="992"/>
      </w:pPr>
      <w:r>
        <w:t xml:space="preserve">We consider the first 3 objectives are most relevant to the </w:t>
      </w:r>
      <w:r w:rsidR="00780090">
        <w:t>implementation of</w:t>
      </w:r>
      <w:r>
        <w:t xml:space="preserve"> allocation limits in the 3.4/3.7 GHz bands auction. The final 2 objectives are supported by the ACMA’s planning decisions for the 3.4</w:t>
      </w:r>
      <w:r w:rsidR="0087749E">
        <w:t>–</w:t>
      </w:r>
      <w:r>
        <w:t xml:space="preserve">4.0 GHz band: the availability of this mid-band spectrum will support the deployment of 5G technologies, and the mix of licence types to be offered in the band is intended to support a range of use cases and users. </w:t>
      </w:r>
    </w:p>
    <w:p w14:paraId="45E88E4F" w14:textId="5ABD3774" w:rsidR="009752C0" w:rsidRDefault="006B52E1" w:rsidP="00332AD4">
      <w:pPr>
        <w:ind w:right="992"/>
      </w:pPr>
      <w:r>
        <w:t xml:space="preserve">As required by the Act, the ACMA </w:t>
      </w:r>
      <w:r w:rsidR="0058113F">
        <w:t>consulted with</w:t>
      </w:r>
      <w:r>
        <w:t xml:space="preserve"> the</w:t>
      </w:r>
      <w:r w:rsidR="00F22ED4">
        <w:t xml:space="preserve"> ACCC </w:t>
      </w:r>
      <w:r w:rsidR="0017655A">
        <w:t>to inform our decision on allocation limits for this auction</w:t>
      </w:r>
      <w:r w:rsidR="00562F04">
        <w:t>, and the ACCC conducted a public consultation to inform its</w:t>
      </w:r>
      <w:r w:rsidR="00747D9C">
        <w:t xml:space="preserve"> views</w:t>
      </w:r>
      <w:r w:rsidR="00F22ED4">
        <w:t>. On</w:t>
      </w:r>
      <w:r w:rsidR="00EE7620" w:rsidRPr="00EE7620">
        <w:t xml:space="preserve"> 1 August 2022, the ACCC provided the ACMA with its </w:t>
      </w:r>
      <w:hyperlink r:id="rId71" w:history="1">
        <w:r w:rsidR="00EE7620" w:rsidRPr="00EE7620">
          <w:rPr>
            <w:rStyle w:val="Hyperlink"/>
          </w:rPr>
          <w:t>advice on allocation limits for the 3.4/3.7 GHz bands spectrum auction</w:t>
        </w:r>
      </w:hyperlink>
      <w:r w:rsidR="00F9598F">
        <w:t>, which</w:t>
      </w:r>
      <w:r w:rsidR="00BB1D65" w:rsidRPr="00BB1D65">
        <w:t xml:space="preserve"> </w:t>
      </w:r>
      <w:r w:rsidR="009B7C70">
        <w:t xml:space="preserve">recommend </w:t>
      </w:r>
      <w:r w:rsidR="00D84067">
        <w:t xml:space="preserve">the imposition of </w:t>
      </w:r>
      <w:r w:rsidR="00BB1D65">
        <w:t>allocation limits for the 3.4/3.7 GHz bands</w:t>
      </w:r>
      <w:r w:rsidR="00EE7620" w:rsidRPr="00EE7620">
        <w:t>.</w:t>
      </w:r>
      <w:r w:rsidR="00EE7620">
        <w:rPr>
          <w:rStyle w:val="FootnoteReference"/>
        </w:rPr>
        <w:footnoteReference w:id="19"/>
      </w:r>
      <w:r w:rsidR="00EE7620">
        <w:t xml:space="preserve"> </w:t>
      </w:r>
      <w:r w:rsidR="000947BF">
        <w:t>As noted in its advice, the ACCC</w:t>
      </w:r>
      <w:r w:rsidR="0017655A">
        <w:t xml:space="preserve"> </w:t>
      </w:r>
      <w:r w:rsidR="00F16A62">
        <w:t>had</w:t>
      </w:r>
      <w:r w:rsidR="009B64E7">
        <w:t xml:space="preserve"> regard to</w:t>
      </w:r>
      <w:r w:rsidR="0017655A">
        <w:t xml:space="preserve"> the objectives of</w:t>
      </w:r>
      <w:r w:rsidR="009B64E7">
        <w:t xml:space="preserve"> promoting competition in downstream market</w:t>
      </w:r>
      <w:r w:rsidR="00D732AF">
        <w:t>s for the long-term interests of end-users, encouraging investment in infrastructure including in regional Australia, and supporting the deployment of new and innovative technology</w:t>
      </w:r>
      <w:r w:rsidR="00C56802">
        <w:t>.</w:t>
      </w:r>
      <w:r w:rsidR="00044F9F">
        <w:rPr>
          <w:rStyle w:val="FootnoteReference"/>
        </w:rPr>
        <w:footnoteReference w:id="20"/>
      </w:r>
      <w:r w:rsidR="00783837">
        <w:t xml:space="preserve"> </w:t>
      </w:r>
      <w:r w:rsidR="00E7747B">
        <w:t xml:space="preserve"> </w:t>
      </w:r>
    </w:p>
    <w:p w14:paraId="3ED29BAB" w14:textId="0B1E3C34" w:rsidR="00E21398" w:rsidRPr="00136237" w:rsidRDefault="003B0375" w:rsidP="00332AD4">
      <w:pPr>
        <w:ind w:right="992"/>
        <w:rPr>
          <w:iCs/>
        </w:rPr>
      </w:pPr>
      <w:r>
        <w:t>In its advice to the ACMA, the</w:t>
      </w:r>
      <w:r w:rsidR="00A53EAE">
        <w:t xml:space="preserve"> ACCC’s assessment of </w:t>
      </w:r>
      <w:r w:rsidR="00934532">
        <w:t>the state of the market is:</w:t>
      </w:r>
      <w:r w:rsidR="00136237" w:rsidRPr="00136237">
        <w:rPr>
          <w:rStyle w:val="FootnoteReference"/>
          <w:iCs/>
          <w:color w:val="404040" w:themeColor="text1" w:themeTint="BF"/>
        </w:rPr>
        <w:footnoteReference w:id="21"/>
      </w:r>
    </w:p>
    <w:p w14:paraId="5C475CA7" w14:textId="14917AD4" w:rsidR="00CD2166" w:rsidRPr="006758D3" w:rsidRDefault="00622265" w:rsidP="00332AD4">
      <w:pPr>
        <w:ind w:left="454" w:right="992"/>
        <w:rPr>
          <w:i/>
        </w:rPr>
      </w:pPr>
      <w:r w:rsidRPr="006758D3">
        <w:rPr>
          <w:i/>
        </w:rPr>
        <w:t xml:space="preserve">In the future, [mobile network operators (MNOs)] will likely need additional mid-band spectrum to ensure they can cater for increasing data demands of 5G services. Currently, there are holdings imbalances between the MNOs so that </w:t>
      </w:r>
      <w:r w:rsidR="00741B85" w:rsidRPr="006758D3">
        <w:rPr>
          <w:i/>
        </w:rPr>
        <w:t>in differing areas they may individually have a strong need to acquire spectrum. NBN Co</w:t>
      </w:r>
      <w:r w:rsidR="007B512A" w:rsidRPr="006758D3">
        <w:rPr>
          <w:i/>
        </w:rPr>
        <w:t>, in particular, has substantial regional holdings and may have an incentive to prevent MNOs acquiring spectrum to deny the possibility of them expanding their fixed wireless services</w:t>
      </w:r>
      <w:r w:rsidR="004F5387" w:rsidRPr="006758D3">
        <w:rPr>
          <w:i/>
        </w:rPr>
        <w:t xml:space="preserve"> to compete with NBN Co’s offerings</w:t>
      </w:r>
      <w:r w:rsidR="007B512A" w:rsidRPr="006758D3">
        <w:rPr>
          <w:i/>
        </w:rPr>
        <w:t>.</w:t>
      </w:r>
    </w:p>
    <w:p w14:paraId="3520DB79" w14:textId="509403ED" w:rsidR="00727DB4" w:rsidRDefault="003B0375" w:rsidP="00332AD4">
      <w:pPr>
        <w:ind w:right="992"/>
      </w:pPr>
      <w:r>
        <w:t>The</w:t>
      </w:r>
      <w:r w:rsidR="009475B5">
        <w:t xml:space="preserve"> ACCC </w:t>
      </w:r>
      <w:r w:rsidR="00934532">
        <w:t xml:space="preserve">advised that an allocation limit is required to prevent </w:t>
      </w:r>
      <w:r w:rsidR="00934532" w:rsidRPr="0028522C">
        <w:t>monopolisation of spectrum available at auction</w:t>
      </w:r>
      <w:r w:rsidR="00727DB4" w:rsidRPr="00800C05">
        <w:t>:</w:t>
      </w:r>
      <w:r w:rsidR="00136237" w:rsidRPr="006758D3">
        <w:rPr>
          <w:rStyle w:val="FootnoteReference"/>
        </w:rPr>
        <w:footnoteReference w:id="22"/>
      </w:r>
    </w:p>
    <w:p w14:paraId="6A5D9A79" w14:textId="16E1839E" w:rsidR="00727DB4" w:rsidRPr="006758D3" w:rsidRDefault="00BE3B8A" w:rsidP="00332AD4">
      <w:pPr>
        <w:ind w:left="454" w:right="992"/>
        <w:rPr>
          <w:i/>
        </w:rPr>
      </w:pPr>
      <w:r w:rsidRPr="006758D3">
        <w:rPr>
          <w:i/>
        </w:rPr>
        <w:t>[An anti-monopolisation]</w:t>
      </w:r>
      <w:r w:rsidR="004E237E" w:rsidRPr="006758D3">
        <w:rPr>
          <w:i/>
        </w:rPr>
        <w:t xml:space="preserve"> limit would prevent any party from monopolising all the spectrum in this allocation. Such a limit helps to ensure that no single MNO can acquire and hold key 5G spectrum for a long period to the potential detriment of competition in downstream markets.</w:t>
      </w:r>
    </w:p>
    <w:p w14:paraId="408213EA" w14:textId="6FA795D6" w:rsidR="0039453D" w:rsidRDefault="00480EAF" w:rsidP="00332AD4">
      <w:pPr>
        <w:ind w:right="992"/>
      </w:pPr>
      <w:r>
        <w:t>W</w:t>
      </w:r>
      <w:r w:rsidR="003319B9">
        <w:t>e</w:t>
      </w:r>
      <w:r>
        <w:t xml:space="preserve"> agree that</w:t>
      </w:r>
      <w:r w:rsidR="003319B9">
        <w:t xml:space="preserve"> it </w:t>
      </w:r>
      <w:r w:rsidR="003863BC">
        <w:t>is</w:t>
      </w:r>
      <w:r w:rsidR="003319B9">
        <w:t xml:space="preserve"> appropriate to implement an allocation limit</w:t>
      </w:r>
      <w:r w:rsidR="00360ADB">
        <w:t xml:space="preserve"> for the 3.4/3.7 GHz bands auction and consider that a limit is necessary to </w:t>
      </w:r>
      <w:r w:rsidR="006A1573">
        <w:t>achieve the objectives of this allocation</w:t>
      </w:r>
      <w:r w:rsidR="00032B52">
        <w:t xml:space="preserve">. </w:t>
      </w:r>
      <w:r w:rsidR="00B17C06">
        <w:t xml:space="preserve">Without an allocation limit, </w:t>
      </w:r>
      <w:r w:rsidR="00032B52">
        <w:t xml:space="preserve">it is possible that one party may monopolise the available spectrum, and in doing so, </w:t>
      </w:r>
      <w:r w:rsidR="005E711B">
        <w:t>deny</w:t>
      </w:r>
      <w:r w:rsidR="00406CE1">
        <w:t xml:space="preserve"> other</w:t>
      </w:r>
      <w:r w:rsidR="00032B52">
        <w:t xml:space="preserve"> bidder</w:t>
      </w:r>
      <w:r w:rsidR="00406CE1">
        <w:t>s</w:t>
      </w:r>
      <w:r w:rsidR="00E21398">
        <w:t xml:space="preserve"> the opportunity to obtain</w:t>
      </w:r>
      <w:r w:rsidR="00032B52">
        <w:t xml:space="preserve"> additional spectrum to meet future capacity requirements.</w:t>
      </w:r>
      <w:r w:rsidR="005E711B">
        <w:t xml:space="preserve"> </w:t>
      </w:r>
      <w:r w:rsidR="00C72567">
        <w:t>As the ACCC advises, ‘a limit helps to ensure that no single MNO can acquire and hold key 5G spectrum for a long period to the potential detriment of competition in downstream markets’.</w:t>
      </w:r>
      <w:r w:rsidR="00D95F90">
        <w:rPr>
          <w:rStyle w:val="FootnoteReference"/>
        </w:rPr>
        <w:footnoteReference w:id="23"/>
      </w:r>
    </w:p>
    <w:p w14:paraId="04985226" w14:textId="149A2BC5" w:rsidR="008E1602" w:rsidRDefault="00F01CBC" w:rsidP="00332AD4">
      <w:pPr>
        <w:pStyle w:val="Heading3"/>
        <w:ind w:right="992"/>
      </w:pPr>
      <w:r>
        <w:t>Options for allocation limits</w:t>
      </w:r>
    </w:p>
    <w:p w14:paraId="402582E7" w14:textId="085F51FA" w:rsidR="00BC44DA" w:rsidRDefault="005A314C" w:rsidP="00332AD4">
      <w:pPr>
        <w:pStyle w:val="Paragraph"/>
        <w:ind w:right="992"/>
      </w:pPr>
      <w:r>
        <w:t>At a high</w:t>
      </w:r>
      <w:r w:rsidR="005F03B2">
        <w:t xml:space="preserve"> </w:t>
      </w:r>
      <w:r>
        <w:t>level, a</w:t>
      </w:r>
      <w:r w:rsidR="00BC44DA">
        <w:t xml:space="preserve">n allocation limit that </w:t>
      </w:r>
      <w:r w:rsidR="00850B42">
        <w:t>restricts demand too much</w:t>
      </w:r>
      <w:r w:rsidR="00BC44DA">
        <w:t xml:space="preserve"> may increase the risk that spectrum is not sold at auction, impeding the efficient allocation and use of the </w:t>
      </w:r>
      <w:r w:rsidR="00BC44DA">
        <w:lastRenderedPageBreak/>
        <w:t xml:space="preserve">spectrum. </w:t>
      </w:r>
      <w:r w:rsidR="0044577C">
        <w:t>Conversely, a</w:t>
      </w:r>
      <w:r w:rsidR="00BC44DA">
        <w:t xml:space="preserve">n allocation limit which is too relaxed may enable one bidder to obtain all or a significant amount of the spectrum on offer. </w:t>
      </w:r>
    </w:p>
    <w:p w14:paraId="21A74089" w14:textId="0EC9BE5B" w:rsidR="00C54F79" w:rsidRDefault="0014489E" w:rsidP="00332AD4">
      <w:pPr>
        <w:pStyle w:val="Paragraph"/>
        <w:ind w:right="992"/>
      </w:pPr>
      <w:r>
        <w:t>The appropriate allocation limit will be informed by how well it meets the objectives as stated under the ‘Case for action’ section</w:t>
      </w:r>
      <w:r w:rsidR="00E03956">
        <w:t>: that is, whether the allocation limit facilitates the efficient planning, allocation and use of the spectrum, supports digital connectivity and investment in regional Australia, and promotes competitive markets</w:t>
      </w:r>
      <w:r>
        <w:t>.</w:t>
      </w:r>
      <w:r w:rsidR="00C37549" w:rsidRPr="00C37549">
        <w:t xml:space="preserve"> </w:t>
      </w:r>
    </w:p>
    <w:p w14:paraId="17DFED34" w14:textId="216FB585" w:rsidR="004F0183" w:rsidRDefault="00FC4B89" w:rsidP="00332AD4">
      <w:pPr>
        <w:pStyle w:val="Paragraph"/>
        <w:ind w:right="992"/>
      </w:pPr>
      <w:hyperlink r:id="rId72" w:history="1">
        <w:r w:rsidR="006D67D0" w:rsidRPr="007B0954">
          <w:rPr>
            <w:rStyle w:val="Hyperlink"/>
          </w:rPr>
          <w:t>Responses to the ACCC’s consultation</w:t>
        </w:r>
      </w:hyperlink>
      <w:r w:rsidR="006D67D0">
        <w:t xml:space="preserve"> were divided on the appropriate quantum of the allocation limit for the 3.4/3.7 GHz bands auction. </w:t>
      </w:r>
      <w:r w:rsidR="007B0954">
        <w:t xml:space="preserve">Of those who provided a </w:t>
      </w:r>
      <w:r w:rsidR="00FA79F0">
        <w:br/>
      </w:r>
      <w:r w:rsidR="007B0954">
        <w:t>public view</w:t>
      </w:r>
      <w:r w:rsidR="005A0F0D">
        <w:t xml:space="preserve">: </w:t>
      </w:r>
      <w:r w:rsidR="009036B5">
        <w:t xml:space="preserve">Optus’ preliminary view </w:t>
      </w:r>
      <w:r w:rsidR="0014235A">
        <w:t>advocated for</w:t>
      </w:r>
      <w:r w:rsidR="009036B5">
        <w:t xml:space="preserve"> a 100 MHz allocation limit in the 3.4</w:t>
      </w:r>
      <w:r w:rsidR="0087749E">
        <w:t>–</w:t>
      </w:r>
      <w:r w:rsidR="009036B5">
        <w:t xml:space="preserve">4.0 GHz frequency range; </w:t>
      </w:r>
      <w:r w:rsidR="00C62AFE">
        <w:t xml:space="preserve">Pivotel proposed a 150 MHz allocation limit across </w:t>
      </w:r>
      <w:r w:rsidR="00FA79F0">
        <w:br/>
      </w:r>
      <w:r w:rsidR="00C62AFE">
        <w:t>3.4</w:t>
      </w:r>
      <w:r w:rsidR="0087749E">
        <w:t>–</w:t>
      </w:r>
      <w:r w:rsidR="00C62AFE">
        <w:t xml:space="preserve">4.0 GHz; </w:t>
      </w:r>
      <w:r w:rsidR="004A5443">
        <w:t>Telstra supported a 175 MHz limit across 3.4</w:t>
      </w:r>
      <w:r w:rsidR="0087749E">
        <w:t>–</w:t>
      </w:r>
      <w:r w:rsidR="004A5443">
        <w:t xml:space="preserve">3.8 GHz; </w:t>
      </w:r>
      <w:r w:rsidR="004F0183">
        <w:t>and TPG proposed a 120 MHz limit in the 3.4</w:t>
      </w:r>
      <w:r w:rsidR="0087749E">
        <w:t>–</w:t>
      </w:r>
      <w:r w:rsidR="004F0183">
        <w:t>3.8 GHz</w:t>
      </w:r>
      <w:r w:rsidR="00CB6150">
        <w:t xml:space="preserve"> frequency</w:t>
      </w:r>
      <w:r w:rsidR="004F0183">
        <w:t xml:space="preserve"> range with a secondary limit of 45% of the 425 MHz available in the 2.3 GHz band</w:t>
      </w:r>
      <w:r w:rsidR="00DE15A7">
        <w:t xml:space="preserve"> (2302</w:t>
      </w:r>
      <w:r w:rsidR="0087749E">
        <w:t>–</w:t>
      </w:r>
      <w:r w:rsidR="00DE15A7">
        <w:t>2400 MHz)</w:t>
      </w:r>
      <w:r w:rsidR="004F0183">
        <w:t xml:space="preserve"> and the </w:t>
      </w:r>
      <w:r w:rsidR="00FA79F0">
        <w:br/>
      </w:r>
      <w:r w:rsidR="004F0183">
        <w:t>3.4</w:t>
      </w:r>
      <w:r w:rsidR="0087749E">
        <w:t>–</w:t>
      </w:r>
      <w:r w:rsidR="004F0183">
        <w:t xml:space="preserve">4.0 GHz frequency range. </w:t>
      </w:r>
      <w:r w:rsidR="00B80219">
        <w:t>NBN Co did not express a view on the quantum of the allocation limit.</w:t>
      </w:r>
    </w:p>
    <w:p w14:paraId="2029880B" w14:textId="6AD8EF68" w:rsidR="00EF50FE" w:rsidRDefault="008B5B5C" w:rsidP="00332AD4">
      <w:pPr>
        <w:pStyle w:val="Paragraphbeforelist"/>
        <w:ind w:right="992"/>
      </w:pPr>
      <w:r>
        <w:t>Based on the ACCC’s advice and responses to the ACCC’s consultation, and c</w:t>
      </w:r>
      <w:r w:rsidR="005F08B8">
        <w:t xml:space="preserve">onsistent with </w:t>
      </w:r>
      <w:r w:rsidR="004E6D89">
        <w:t xml:space="preserve">OIA </w:t>
      </w:r>
      <w:r w:rsidR="00736084">
        <w:t>guidance</w:t>
      </w:r>
      <w:r w:rsidR="00020079">
        <w:t xml:space="preserve">, we have identified </w:t>
      </w:r>
      <w:r w:rsidR="00C37549">
        <w:t xml:space="preserve">3 options for </w:t>
      </w:r>
      <w:r w:rsidR="00DE47BA">
        <w:t xml:space="preserve">the imposition of </w:t>
      </w:r>
      <w:r w:rsidR="00C37549">
        <w:t>allocation limits that the ACMA seeks views on</w:t>
      </w:r>
      <w:r w:rsidR="00BD27FA">
        <w:t xml:space="preserve"> (noting that there is an additional, non-regulatory option of imposing no limits in any areas)</w:t>
      </w:r>
      <w:r w:rsidR="002517E3" w:rsidDel="0014489E">
        <w:t>:</w:t>
      </w:r>
    </w:p>
    <w:p w14:paraId="10B34937" w14:textId="249B549F" w:rsidR="00915DE5" w:rsidRPr="00F21179" w:rsidRDefault="00915DE5" w:rsidP="00DD6E67">
      <w:pPr>
        <w:pStyle w:val="Bulletlevel1"/>
        <w:spacing w:after="240"/>
        <w:ind w:left="425" w:right="992" w:hanging="425"/>
      </w:pPr>
      <w:r w:rsidRPr="00CB0613">
        <w:rPr>
          <w:b/>
        </w:rPr>
        <w:t>Option</w:t>
      </w:r>
      <w:r w:rsidRPr="00F21179">
        <w:t xml:space="preserve"> </w:t>
      </w:r>
      <w:r w:rsidR="00BD27FA">
        <w:rPr>
          <w:b/>
        </w:rPr>
        <w:t>1</w:t>
      </w:r>
      <w:r w:rsidRPr="00CB0613">
        <w:rPr>
          <w:b/>
        </w:rPr>
        <w:t>:</w:t>
      </w:r>
      <w:r w:rsidRPr="00F21179">
        <w:t xml:space="preserve"> </w:t>
      </w:r>
      <w:r w:rsidRPr="00DD6E67">
        <w:rPr>
          <w:b/>
        </w:rPr>
        <w:t>140 MHz in metropolitan and regional areas</w:t>
      </w:r>
      <w:r w:rsidR="006A36CD" w:rsidRPr="00DD6E67">
        <w:rPr>
          <w:b/>
        </w:rPr>
        <w:t xml:space="preserve"> in the 3.4</w:t>
      </w:r>
      <w:r w:rsidR="00AA567D" w:rsidRPr="00DD6E67">
        <w:rPr>
          <w:b/>
        </w:rPr>
        <w:t>–</w:t>
      </w:r>
      <w:r w:rsidR="006A36CD" w:rsidRPr="00DD6E67">
        <w:rPr>
          <w:b/>
        </w:rPr>
        <w:t>3.8 GHz frequency range.</w:t>
      </w:r>
      <w:r w:rsidR="006A36CD" w:rsidRPr="00F21179">
        <w:t xml:space="preserve"> </w:t>
      </w:r>
      <w:r w:rsidR="009C114A" w:rsidRPr="00803284">
        <w:t xml:space="preserve">This is equivalent to 35% of </w:t>
      </w:r>
      <w:r w:rsidR="00803284" w:rsidRPr="00803284">
        <w:t>spectrum-licensed space</w:t>
      </w:r>
      <w:r w:rsidR="009C114A" w:rsidRPr="00803284">
        <w:t xml:space="preserve"> </w:t>
      </w:r>
      <w:r w:rsidR="00792E15">
        <w:t>in</w:t>
      </w:r>
      <w:r w:rsidR="009C114A" w:rsidRPr="00803284">
        <w:t xml:space="preserve"> the 3.4</w:t>
      </w:r>
      <w:r w:rsidR="00B4793B">
        <w:rPr>
          <w:bCs/>
        </w:rPr>
        <w:t>–</w:t>
      </w:r>
      <w:r w:rsidR="009C114A" w:rsidRPr="00803284">
        <w:t>3.8 GHz frequency range.</w:t>
      </w:r>
    </w:p>
    <w:p w14:paraId="1AC56A7D" w14:textId="3AA1A0DF" w:rsidR="001C6712" w:rsidRDefault="00AD666D" w:rsidP="00332AD4">
      <w:pPr>
        <w:pStyle w:val="Paragraph"/>
        <w:ind w:left="426" w:right="992"/>
      </w:pPr>
      <w:r>
        <w:t xml:space="preserve">The </w:t>
      </w:r>
      <w:r w:rsidR="00E823B1">
        <w:t>ACCC advises</w:t>
      </w:r>
      <w:r>
        <w:t xml:space="preserve"> that </w:t>
      </w:r>
      <w:r w:rsidR="001949E5">
        <w:t>limits are required</w:t>
      </w:r>
      <w:r w:rsidR="003113A2">
        <w:t xml:space="preserve"> in order to provide the best opportunity to maximise competition in downstream mobile and fixed </w:t>
      </w:r>
      <w:r w:rsidR="002F447B">
        <w:t xml:space="preserve">wireless </w:t>
      </w:r>
      <w:r w:rsidR="003113A2">
        <w:t>broadband markets post-auction.</w:t>
      </w:r>
      <w:r w:rsidR="00BE3964">
        <w:rPr>
          <w:rStyle w:val="FootnoteReference"/>
        </w:rPr>
        <w:footnoteReference w:id="24"/>
      </w:r>
      <w:r w:rsidR="003113A2">
        <w:t xml:space="preserve"> </w:t>
      </w:r>
      <w:r w:rsidR="005A23A0">
        <w:t xml:space="preserve"> </w:t>
      </w:r>
    </w:p>
    <w:p w14:paraId="39FF73CB" w14:textId="596CF112" w:rsidR="004A2E88" w:rsidRDefault="00396FD2" w:rsidP="00332AD4">
      <w:pPr>
        <w:pStyle w:val="Paragraph"/>
        <w:ind w:left="426" w:right="992"/>
      </w:pPr>
      <w:r>
        <w:t xml:space="preserve">Option </w:t>
      </w:r>
      <w:r w:rsidR="00CA0023">
        <w:t>1</w:t>
      </w:r>
      <w:r>
        <w:t xml:space="preserve"> is the limit recommended by the ACCC in its advice to the ACMA.</w:t>
      </w:r>
      <w:r w:rsidR="00C64D18">
        <w:t xml:space="preserve"> </w:t>
      </w:r>
      <w:r w:rsidR="00FA78E0">
        <w:t>As noted in its advice, t</w:t>
      </w:r>
      <w:r w:rsidR="00C64D18">
        <w:t xml:space="preserve">he ACCC considers </w:t>
      </w:r>
      <w:r w:rsidR="00FA78E0">
        <w:t>that a limit of 140 MHz is in the long-term interests of end users.</w:t>
      </w:r>
    </w:p>
    <w:p w14:paraId="1920B875" w14:textId="24876DE5" w:rsidR="006A36CD" w:rsidRDefault="006A36CD" w:rsidP="00DD6E67">
      <w:pPr>
        <w:pStyle w:val="Bulletlevel1"/>
        <w:spacing w:after="240"/>
        <w:ind w:left="425" w:right="992" w:hanging="425"/>
      </w:pPr>
      <w:r w:rsidRPr="00FC4825">
        <w:rPr>
          <w:b/>
        </w:rPr>
        <w:t xml:space="preserve">Option </w:t>
      </w:r>
      <w:r w:rsidR="00BD27FA">
        <w:rPr>
          <w:b/>
        </w:rPr>
        <w:t>2</w:t>
      </w:r>
      <w:r w:rsidRPr="00FC4825">
        <w:rPr>
          <w:b/>
        </w:rPr>
        <w:t>:</w:t>
      </w:r>
      <w:r>
        <w:t xml:space="preserve"> </w:t>
      </w:r>
      <w:r w:rsidRPr="00DD6E67">
        <w:rPr>
          <w:b/>
        </w:rPr>
        <w:t>140 MHz in metropolitan areas and 160 MHz in regional areas, in the 3.4</w:t>
      </w:r>
      <w:r w:rsidR="00AA567D" w:rsidRPr="00DD6E67">
        <w:rPr>
          <w:b/>
        </w:rPr>
        <w:t>–</w:t>
      </w:r>
      <w:r w:rsidRPr="00DD6E67">
        <w:rPr>
          <w:b/>
        </w:rPr>
        <w:t>3.8</w:t>
      </w:r>
      <w:r w:rsidR="001D477D" w:rsidRPr="00DD6E67">
        <w:rPr>
          <w:b/>
        </w:rPr>
        <w:t> </w:t>
      </w:r>
      <w:r w:rsidRPr="00DD6E67">
        <w:rPr>
          <w:b/>
        </w:rPr>
        <w:t>GHz frequency range.</w:t>
      </w:r>
      <w:r w:rsidR="009C114A" w:rsidRPr="00FA79F0">
        <w:rPr>
          <w:bCs/>
        </w:rPr>
        <w:t xml:space="preserve"> </w:t>
      </w:r>
      <w:r w:rsidR="009C114A">
        <w:t xml:space="preserve">This is equivalent to </w:t>
      </w:r>
      <w:r w:rsidR="00BE16D8">
        <w:t xml:space="preserve">35% of </w:t>
      </w:r>
      <w:r w:rsidR="00803284">
        <w:t xml:space="preserve">spectrum-licensed space </w:t>
      </w:r>
      <w:r w:rsidR="00BE16D8">
        <w:t>in the 3.4</w:t>
      </w:r>
      <w:r w:rsidR="00864298">
        <w:t>–</w:t>
      </w:r>
      <w:r w:rsidR="00BE16D8">
        <w:t>3.8 GHz frequency range in metropolitan areas, and 40% in regional areas.</w:t>
      </w:r>
    </w:p>
    <w:p w14:paraId="3872AA10" w14:textId="168CC59B" w:rsidR="00FF4D51" w:rsidRDefault="00CC1091" w:rsidP="003D5EAA">
      <w:pPr>
        <w:pStyle w:val="Paragraph"/>
        <w:ind w:left="426" w:right="992"/>
      </w:pPr>
      <w:r>
        <w:t xml:space="preserve">Option </w:t>
      </w:r>
      <w:r w:rsidR="00CA0023">
        <w:t>2</w:t>
      </w:r>
      <w:r w:rsidR="007C0809">
        <w:t xml:space="preserve"> </w:t>
      </w:r>
      <w:r w:rsidR="00B57603">
        <w:t>would apply</w:t>
      </w:r>
      <w:r w:rsidR="00167D21">
        <w:t xml:space="preserve"> the </w:t>
      </w:r>
      <w:r w:rsidR="00692CE0">
        <w:t xml:space="preserve">ACCC’s </w:t>
      </w:r>
      <w:r w:rsidR="00167D21">
        <w:t xml:space="preserve">recommended </w:t>
      </w:r>
      <w:r w:rsidR="00692CE0">
        <w:t xml:space="preserve">limit </w:t>
      </w:r>
      <w:r w:rsidR="00167D21">
        <w:t xml:space="preserve">in </w:t>
      </w:r>
      <w:r w:rsidR="00692CE0">
        <w:t>metropolitan areas,</w:t>
      </w:r>
      <w:r w:rsidR="00167D21">
        <w:t xml:space="preserve"> and a </w:t>
      </w:r>
      <w:r w:rsidR="005225F9">
        <w:t xml:space="preserve">slightly </w:t>
      </w:r>
      <w:r w:rsidR="00167D21">
        <w:t xml:space="preserve">less restrictive limit in regional areas. </w:t>
      </w:r>
    </w:p>
    <w:p w14:paraId="5AFECE38" w14:textId="52F3FA10" w:rsidR="00F01060" w:rsidRDefault="00F01060" w:rsidP="00DD6E67">
      <w:pPr>
        <w:pStyle w:val="Paragraph"/>
        <w:ind w:left="426" w:right="992"/>
      </w:pPr>
      <w:r>
        <w:t xml:space="preserve">Option </w:t>
      </w:r>
      <w:r w:rsidR="00CA0023">
        <w:t>2</w:t>
      </w:r>
      <w:r>
        <w:t xml:space="preserve"> considers differential limits for metropolitan and regional areas. If the ACMA decides to apply different limits to metropolitan and regional areas, these areas will be </w:t>
      </w:r>
      <w:r w:rsidRPr="005F0526">
        <w:t xml:space="preserve">defined in the </w:t>
      </w:r>
      <w:r w:rsidR="005F0526">
        <w:t>allocation instruments</w:t>
      </w:r>
      <w:r>
        <w:t>. Metropolitan areas are products which encompass Brisbane, Sydney, Canberra, Melbourne, Hobart, Adelaide and Perth. All other products available at auction will be designated as regional areas</w:t>
      </w:r>
      <w:r w:rsidR="00E2711A">
        <w:t>, with the exception of Regional WA Central Middle</w:t>
      </w:r>
      <w:r>
        <w:t xml:space="preserve">. Under </w:t>
      </w:r>
      <w:r w:rsidR="00FA79F0">
        <w:br/>
      </w:r>
      <w:r>
        <w:t xml:space="preserve">Option </w:t>
      </w:r>
      <w:r w:rsidR="00A5369A">
        <w:t>2</w:t>
      </w:r>
      <w:r>
        <w:t>, the metropolitan allocation limit is proposed to apply to Rural T</w:t>
      </w:r>
      <w:r w:rsidR="00FA79F0">
        <w:t>asmania</w:t>
      </w:r>
      <w:r>
        <w:t xml:space="preserve"> Upper in the frequency range 3700</w:t>
      </w:r>
      <w:r w:rsidR="00F66730">
        <w:t>–</w:t>
      </w:r>
      <w:r>
        <w:t>3</w:t>
      </w:r>
      <w:r w:rsidR="0078757F">
        <w:t>750</w:t>
      </w:r>
      <w:r>
        <w:t> </w:t>
      </w:r>
      <w:r w:rsidR="0078757F">
        <w:t>MHz, and Hobart in the frequency range 3750–3800 MHz.</w:t>
      </w:r>
      <w:r w:rsidR="009C60A5">
        <w:t xml:space="preserve"> We note that in previous allocations, such as the 3.6 GHz band auction, Hobart was considered a regional area. In the 3.4/3.7 GHz bands auction, we propose to consider Hobart a metropolitan area for the purposes of applying allocation limits.</w:t>
      </w:r>
    </w:p>
    <w:p w14:paraId="71894AB8" w14:textId="50A9C360" w:rsidR="00BD27FA" w:rsidRDefault="00BD27FA" w:rsidP="00410A6B">
      <w:pPr>
        <w:pStyle w:val="Bulletlevel1"/>
        <w:spacing w:after="240"/>
        <w:ind w:left="425" w:right="992" w:hanging="425"/>
      </w:pPr>
      <w:r w:rsidRPr="00CB0613">
        <w:rPr>
          <w:b/>
        </w:rPr>
        <w:lastRenderedPageBreak/>
        <w:t xml:space="preserve">Option </w:t>
      </w:r>
      <w:r>
        <w:rPr>
          <w:b/>
        </w:rPr>
        <w:t>3</w:t>
      </w:r>
      <w:r w:rsidRPr="00CB0613">
        <w:rPr>
          <w:b/>
        </w:rPr>
        <w:t xml:space="preserve">: </w:t>
      </w:r>
      <w:r w:rsidRPr="00410A6B">
        <w:rPr>
          <w:b/>
        </w:rPr>
        <w:t>No limits in any areas.</w:t>
      </w:r>
      <w:r w:rsidRPr="00CB0613">
        <w:rPr>
          <w:b/>
        </w:rPr>
        <w:t xml:space="preserve"> </w:t>
      </w:r>
      <w:r>
        <w:t xml:space="preserve">Under Option </w:t>
      </w:r>
      <w:r w:rsidR="00CA0023">
        <w:t>3</w:t>
      </w:r>
      <w:r>
        <w:t xml:space="preserve">, no limits would be imposed for the auction. This represents the option with no regulatory intervention with respect to allocation limits. </w:t>
      </w:r>
    </w:p>
    <w:p w14:paraId="527D6F55" w14:textId="6AEE6BF5" w:rsidR="004F4F30" w:rsidRDefault="004F4F30" w:rsidP="00332AD4">
      <w:pPr>
        <w:pStyle w:val="Paragraph"/>
        <w:ind w:right="992"/>
      </w:pPr>
      <w:r>
        <w:t>As th</w:t>
      </w:r>
      <w:r w:rsidR="005B5EB3">
        <w:t>e spectrum holdings of incumbent licensees in the 3.4</w:t>
      </w:r>
      <w:r w:rsidR="0087749E">
        <w:t>–</w:t>
      </w:r>
      <w:r w:rsidR="005B5EB3">
        <w:t>3.8 GHz frequency range differ</w:t>
      </w:r>
      <w:r w:rsidR="00BD6806">
        <w:t xml:space="preserve"> geographically to the</w:t>
      </w:r>
      <w:r w:rsidR="00515FA0">
        <w:t xml:space="preserve"> spectrum available at auction, </w:t>
      </w:r>
      <w:r w:rsidR="00596FD4">
        <w:t xml:space="preserve">we are proposing to implement an insignificant holdings threshold (discussed later in this paper). </w:t>
      </w:r>
      <w:r w:rsidR="00596FD4" w:rsidRPr="005F0D44">
        <w:t xml:space="preserve">The proposed operation of the allocation limits is illustrated by the </w:t>
      </w:r>
      <w:r w:rsidR="00456DFD" w:rsidRPr="005F0D44">
        <w:t xml:space="preserve">allocation limits </w:t>
      </w:r>
      <w:r w:rsidR="00E75F40" w:rsidRPr="00B01524">
        <w:t xml:space="preserve">calculation tool </w:t>
      </w:r>
      <w:r w:rsidR="004770CE" w:rsidRPr="005F0D44">
        <w:t>published with this consultation paper.</w:t>
      </w:r>
      <w:r w:rsidR="00FA79F0">
        <w:t xml:space="preserve"> This can be found in the key documents section of the consultation landing page. </w:t>
      </w:r>
    </w:p>
    <w:p w14:paraId="3BD8B3D3" w14:textId="1A803A5E" w:rsidR="001920DB" w:rsidRDefault="001920DB" w:rsidP="00332AD4">
      <w:pPr>
        <w:pStyle w:val="Paragraph"/>
        <w:ind w:right="992"/>
      </w:pPr>
      <w:r>
        <w:t xml:space="preserve">The allocation limits calculation tool is being made available to provide transparency on how allocation limits are intended to function in the 3.4/3.7 GHz auction. </w:t>
      </w:r>
      <w:r w:rsidR="004F2432">
        <w:t>In particular, t</w:t>
      </w:r>
      <w:r>
        <w:t xml:space="preserve">he calculation tool is intended to assist stakeholders in achieving a common understanding of how allocation limits will apply with sequential auctions, and how existing spectrum licence holdings may be deemed insignificant for the purposes of applying allocation limits, which is important given the complex nature of existing spectrum licence holdings in the band and the new method being used to determine </w:t>
      </w:r>
      <w:r w:rsidR="00306372">
        <w:t xml:space="preserve">which </w:t>
      </w:r>
      <w:r>
        <w:t>insignifican</w:t>
      </w:r>
      <w:r w:rsidR="00B9367C">
        <w:t>ce</w:t>
      </w:r>
      <w:r>
        <w:t>. The calculation tool also allows for the regional allocation limit to be switched between 140 MHz and 160 MHz so that stakeholders can assess the potential impacts of the different options.</w:t>
      </w:r>
    </w:p>
    <w:p w14:paraId="05861206" w14:textId="4DCC1CFF" w:rsidR="001920DB" w:rsidRDefault="001920DB" w:rsidP="00332AD4">
      <w:pPr>
        <w:pStyle w:val="Paragraph"/>
        <w:ind w:right="992"/>
      </w:pPr>
      <w:r>
        <w:t xml:space="preserve">Due to the complex nature of existing spectrum licence holdings in the band, the calculation tool outlines 5 separate scenarios for how allocation limits can apply and therefore the demand able to be expressed for any product. These include calculations for a potential new licensee with zero existing holdings, plus separate calculations for the 4 incumbent licensees in the band (NBN Co, Optus, Telstra and TPG) that are tailored to their specific existing holdings. The existing spectrum licence information drawn upon in the calculation tool is publicly available </w:t>
      </w:r>
      <w:r w:rsidR="00874CDC">
        <w:t xml:space="preserve">in </w:t>
      </w:r>
      <w:r>
        <w:t>the Register of Radiocommunications Licences. If there are any issues identified with the licence information we have used in the calculation tool or with the general function of the calculation tool, please include this in your submission to this consultation paper.</w:t>
      </w:r>
    </w:p>
    <w:p w14:paraId="1D0D7988" w14:textId="5015F700" w:rsidR="00F30262" w:rsidRDefault="00D75299" w:rsidP="00332AD4">
      <w:pPr>
        <w:pStyle w:val="Paragraph"/>
        <w:ind w:right="992"/>
      </w:pPr>
      <w:r>
        <w:t xml:space="preserve">Our assessment of each of the allocation limits options against the ACMA’s objectives is in </w:t>
      </w:r>
      <w:r w:rsidRPr="00024ED7">
        <w:t xml:space="preserve">Table </w:t>
      </w:r>
      <w:r w:rsidR="00EF4103">
        <w:t xml:space="preserve">8 </w:t>
      </w:r>
      <w:r>
        <w:t xml:space="preserve">below. </w:t>
      </w:r>
      <w:r w:rsidR="00597442" w:rsidRPr="00597442">
        <w:t>The key risks the ACMA has identified are the risk of unsold lots, and the risk of monopolisation of the spectrum. Unsold, vacant spectrum is a source of inefficiency, as it is an unused, valuable resource. The risk of monopolisation primarily relates to the possibility that one bidder may acquire all of the available spectrum at auction, potentially for the purposes of keeping the spectrum from its competitors. In any case, significantly imbalanced holdings as a result of this auction may have long-term impacts on competition in downstream markets, noting some of the spectrum licences on offer may be granted for a period of 20 years.</w:t>
      </w:r>
    </w:p>
    <w:p w14:paraId="31F4D46F" w14:textId="2A124A9F" w:rsidR="00D75299" w:rsidRDefault="00D75299" w:rsidP="00AD63F0">
      <w:pPr>
        <w:pStyle w:val="Tableheading"/>
        <w:ind w:right="992"/>
      </w:pPr>
      <w:r>
        <w:t>Comparative analysis of allocation limits options with ACMA objectives</w:t>
      </w:r>
    </w:p>
    <w:tbl>
      <w:tblPr>
        <w:tblStyle w:val="ACMAtablestyle"/>
        <w:tblW w:w="9209" w:type="dxa"/>
        <w:tblLook w:val="04A0" w:firstRow="1" w:lastRow="0" w:firstColumn="1" w:lastColumn="0" w:noHBand="0" w:noVBand="1"/>
      </w:tblPr>
      <w:tblGrid>
        <w:gridCol w:w="2218"/>
        <w:gridCol w:w="2330"/>
        <w:gridCol w:w="2330"/>
        <w:gridCol w:w="2331"/>
      </w:tblGrid>
      <w:tr w:rsidR="00DF4E3F" w14:paraId="2752C0C4" w14:textId="77777777" w:rsidTr="00DF4E3F">
        <w:trPr>
          <w:cnfStyle w:val="100000000000" w:firstRow="1" w:lastRow="0" w:firstColumn="0" w:lastColumn="0" w:oddVBand="0" w:evenVBand="0" w:oddHBand="0" w:evenHBand="0" w:firstRowFirstColumn="0" w:firstRowLastColumn="0" w:lastRowFirstColumn="0" w:lastRowLastColumn="0"/>
        </w:trPr>
        <w:tc>
          <w:tcPr>
            <w:tcW w:w="2218" w:type="dxa"/>
          </w:tcPr>
          <w:p w14:paraId="5CAF5722" w14:textId="77777777" w:rsidR="00DF4E3F" w:rsidRDefault="00DF4E3F" w:rsidP="001726ED">
            <w:pPr>
              <w:pStyle w:val="TableHeading0"/>
              <w:keepNext/>
            </w:pPr>
            <w:r>
              <w:t>Objective</w:t>
            </w:r>
          </w:p>
        </w:tc>
        <w:tc>
          <w:tcPr>
            <w:tcW w:w="2330" w:type="dxa"/>
          </w:tcPr>
          <w:p w14:paraId="4DAEA312" w14:textId="77777777" w:rsidR="00DF4E3F" w:rsidRDefault="00DF4E3F" w:rsidP="001726ED">
            <w:pPr>
              <w:pStyle w:val="TableHeading0"/>
              <w:keepNext/>
            </w:pPr>
            <w:r>
              <w:t>Option 1</w:t>
            </w:r>
          </w:p>
        </w:tc>
        <w:tc>
          <w:tcPr>
            <w:tcW w:w="2330" w:type="dxa"/>
          </w:tcPr>
          <w:p w14:paraId="3FB2BCB6" w14:textId="77777777" w:rsidR="00DF4E3F" w:rsidRDefault="00DF4E3F" w:rsidP="001726ED">
            <w:pPr>
              <w:pStyle w:val="TableHeading0"/>
              <w:keepNext/>
            </w:pPr>
            <w:r>
              <w:t>Option 2</w:t>
            </w:r>
          </w:p>
        </w:tc>
        <w:tc>
          <w:tcPr>
            <w:tcW w:w="2331" w:type="dxa"/>
          </w:tcPr>
          <w:p w14:paraId="46FE5D6C" w14:textId="77777777" w:rsidR="00DF4E3F" w:rsidRDefault="00DF4E3F" w:rsidP="001726ED">
            <w:pPr>
              <w:pStyle w:val="TableHeading0"/>
              <w:keepNext/>
            </w:pPr>
            <w:r>
              <w:t>Option 3</w:t>
            </w:r>
          </w:p>
        </w:tc>
      </w:tr>
      <w:tr w:rsidR="00DF4E3F" w14:paraId="3E22DFE6" w14:textId="77777777" w:rsidTr="00DF4E3F">
        <w:trPr>
          <w:cnfStyle w:val="000000100000" w:firstRow="0" w:lastRow="0" w:firstColumn="0" w:lastColumn="0" w:oddVBand="0" w:evenVBand="0" w:oddHBand="1" w:evenHBand="0" w:firstRowFirstColumn="0" w:firstRowLastColumn="0" w:lastRowFirstColumn="0" w:lastRowLastColumn="0"/>
        </w:trPr>
        <w:tc>
          <w:tcPr>
            <w:tcW w:w="2218" w:type="dxa"/>
          </w:tcPr>
          <w:p w14:paraId="2CB9F273" w14:textId="77777777" w:rsidR="00DF4E3F" w:rsidRPr="0045778E" w:rsidRDefault="00DF4E3F" w:rsidP="00EE16ED">
            <w:pPr>
              <w:pStyle w:val="TableBody"/>
              <w:rPr>
                <w:b/>
              </w:rPr>
            </w:pPr>
            <w:r w:rsidRPr="0045778E">
              <w:rPr>
                <w:b/>
              </w:rPr>
              <w:t>Efficient allocation and use of the spectrum</w:t>
            </w:r>
          </w:p>
        </w:tc>
        <w:tc>
          <w:tcPr>
            <w:tcW w:w="2330" w:type="dxa"/>
          </w:tcPr>
          <w:p w14:paraId="7496F80C" w14:textId="77777777" w:rsidR="00DF4E3F" w:rsidRDefault="00DF4E3F" w:rsidP="00EE16ED">
            <w:pPr>
              <w:pStyle w:val="TableBody"/>
            </w:pPr>
            <w:r>
              <w:rPr>
                <w:rFonts w:ascii="Wingdings 2" w:eastAsia="Wingdings 2" w:hAnsi="Wingdings 2" w:cs="Wingdings 2"/>
              </w:rPr>
              <w:t></w:t>
            </w:r>
            <w:r>
              <w:t xml:space="preserve"> Compared to Option 3 (no limits), increased risk of unsold lots, due to restriction on demand. Unsold spectrum is a key source of inefficiency for the allocation and use of spectrum, as spectrum </w:t>
            </w:r>
            <w:r>
              <w:lastRenderedPageBreak/>
              <w:t xml:space="preserve">is a valuable resource </w:t>
            </w:r>
            <w:r w:rsidDel="001A2ED3">
              <w:t xml:space="preserve">and </w:t>
            </w:r>
            <w:r>
              <w:t>any subsequent allocation process would involve impose costs for</w:t>
            </w:r>
            <w:r w:rsidDel="00540999">
              <w:t xml:space="preserve"> </w:t>
            </w:r>
            <w:r>
              <w:t>bidders and the ACMA. Further, if spectrum is not allocated, defragmentation activities are less likely to occur.</w:t>
            </w:r>
          </w:p>
          <w:p w14:paraId="5EB6CF21" w14:textId="77777777" w:rsidR="00DF4E3F" w:rsidRDefault="00DF4E3F" w:rsidP="00EE16ED">
            <w:pPr>
              <w:pStyle w:val="TableBody"/>
              <w:rPr>
                <w:rFonts w:eastAsia="Wingdings 2" w:cs="Wingdings 2"/>
              </w:rPr>
            </w:pPr>
          </w:p>
          <w:p w14:paraId="26351F0C" w14:textId="77777777" w:rsidR="00DF4E3F" w:rsidRDefault="00DF4E3F" w:rsidP="00EE16ED">
            <w:pPr>
              <w:pStyle w:val="TableBody"/>
              <w:rPr>
                <w:rFonts w:ascii="Wingdings 2" w:eastAsia="Wingdings 2" w:hAnsi="Wingdings 2" w:cs="Wingdings 2"/>
              </w:rPr>
            </w:pPr>
            <w:r>
              <w:rPr>
                <w:rFonts w:ascii="Wingdings 2" w:eastAsia="Wingdings 2" w:hAnsi="Wingdings 2" w:cs="Wingdings 2"/>
              </w:rPr>
              <w:t></w:t>
            </w:r>
            <w:r>
              <w:t xml:space="preserve"> </w:t>
            </w:r>
            <w:r>
              <w:rPr>
                <w:rFonts w:eastAsia="Wingdings 2" w:cs="Wingdings 2"/>
              </w:rPr>
              <w:t>Decreased risk that one bidder may monopolise the spectrum.</w:t>
            </w:r>
          </w:p>
        </w:tc>
        <w:tc>
          <w:tcPr>
            <w:tcW w:w="2330" w:type="dxa"/>
          </w:tcPr>
          <w:p w14:paraId="5EF4E513" w14:textId="1EC9D05C" w:rsidR="00DF4E3F" w:rsidRDefault="00DF4E3F" w:rsidP="00EE16ED">
            <w:pPr>
              <w:pStyle w:val="TableBody"/>
            </w:pPr>
            <w:r>
              <w:rPr>
                <w:rFonts w:ascii="Wingdings 2" w:eastAsia="Wingdings 2" w:hAnsi="Wingdings 2" w:cs="Wingdings 2"/>
              </w:rPr>
              <w:lastRenderedPageBreak/>
              <w:t></w:t>
            </w:r>
            <w:r>
              <w:t xml:space="preserve"> Compared to </w:t>
            </w:r>
            <w:r w:rsidR="001726ED">
              <w:br/>
            </w:r>
            <w:r>
              <w:t xml:space="preserve">Option 1, slightly decreased risk of </w:t>
            </w:r>
            <w:r w:rsidR="001726ED">
              <w:br/>
            </w:r>
            <w:r>
              <w:t xml:space="preserve">unsold lots due to the less restrictive allocation limit in regional areas. </w:t>
            </w:r>
          </w:p>
          <w:p w14:paraId="7405024F" w14:textId="77777777" w:rsidR="00DF4E3F" w:rsidRDefault="00DF4E3F" w:rsidP="00EE16ED">
            <w:pPr>
              <w:pStyle w:val="TableBody"/>
            </w:pPr>
          </w:p>
          <w:p w14:paraId="7F368CED" w14:textId="77777777" w:rsidR="00DF4E3F" w:rsidRDefault="00DF4E3F" w:rsidP="00EE16ED">
            <w:pPr>
              <w:pStyle w:val="TableBody"/>
            </w:pPr>
            <w:r>
              <w:rPr>
                <w:rFonts w:ascii="Wingdings 2" w:eastAsia="Wingdings 2" w:hAnsi="Wingdings 2" w:cs="Wingdings 2"/>
              </w:rPr>
              <w:t></w:t>
            </w:r>
            <w:r>
              <w:t xml:space="preserve"> </w:t>
            </w:r>
            <w:r>
              <w:rPr>
                <w:rFonts w:eastAsia="Wingdings 2" w:cs="Wingdings 2"/>
              </w:rPr>
              <w:t xml:space="preserve">Somewhat decreased risk that one bidder may </w:t>
            </w:r>
            <w:r>
              <w:rPr>
                <w:rFonts w:eastAsia="Wingdings 2" w:cs="Wingdings 2"/>
              </w:rPr>
              <w:lastRenderedPageBreak/>
              <w:t>monopolise the spectrum compared to Option 1.</w:t>
            </w:r>
          </w:p>
        </w:tc>
        <w:tc>
          <w:tcPr>
            <w:tcW w:w="2331" w:type="dxa"/>
          </w:tcPr>
          <w:p w14:paraId="6AC96697" w14:textId="779A28F2" w:rsidR="00DF4E3F" w:rsidRDefault="00DF4E3F" w:rsidP="00EE16ED">
            <w:pPr>
              <w:pStyle w:val="TableBody"/>
            </w:pPr>
            <w:r>
              <w:rPr>
                <w:rFonts w:ascii="Wingdings 2" w:eastAsia="Wingdings 2" w:hAnsi="Wingdings 2" w:cs="Wingdings 2"/>
              </w:rPr>
              <w:lastRenderedPageBreak/>
              <w:t></w:t>
            </w:r>
            <w:r>
              <w:t xml:space="preserve"> There is a </w:t>
            </w:r>
            <w:r w:rsidR="00A86BC3">
              <w:t>higher</w:t>
            </w:r>
            <w:r>
              <w:t xml:space="preserve"> risk </w:t>
            </w:r>
            <w:r w:rsidR="006006C4">
              <w:t>of monopolisation compared to Options 1 and 2</w:t>
            </w:r>
          </w:p>
          <w:p w14:paraId="4B71B0DB" w14:textId="77777777" w:rsidR="00DF4E3F" w:rsidRDefault="00DF4E3F" w:rsidP="00EE16ED">
            <w:pPr>
              <w:pStyle w:val="TableBody"/>
            </w:pPr>
          </w:p>
          <w:p w14:paraId="639AA117" w14:textId="77777777" w:rsidR="00DF4E3F" w:rsidRDefault="00DF4E3F" w:rsidP="00EE16ED">
            <w:pPr>
              <w:pStyle w:val="TableBody"/>
              <w:rPr>
                <w:rFonts w:ascii="Wingdings 2" w:eastAsia="Wingdings 2" w:hAnsi="Wingdings 2" w:cs="Wingdings 2"/>
              </w:rPr>
            </w:pPr>
            <w:r>
              <w:rPr>
                <w:rFonts w:ascii="Wingdings 2" w:eastAsia="Wingdings 2" w:hAnsi="Wingdings 2" w:cs="Wingdings 2"/>
              </w:rPr>
              <w:t></w:t>
            </w:r>
            <w:r>
              <w:t xml:space="preserve"> Compared to Options 1 and 2, decreased risk of unsold lots as there are no restrictions on the </w:t>
            </w:r>
            <w:r>
              <w:lastRenderedPageBreak/>
              <w:t xml:space="preserve">amount of spectrum a bidder may acquire at the auction. If all spectrum is allocated, then a key regulatory barrier to defragmentation activities is removed, increasing the likelihood that defragmentation will occur.  </w:t>
            </w:r>
          </w:p>
        </w:tc>
      </w:tr>
      <w:tr w:rsidR="00DF4E3F" w14:paraId="4A5D4624" w14:textId="77777777" w:rsidTr="00DF4E3F">
        <w:trPr>
          <w:cnfStyle w:val="000000010000" w:firstRow="0" w:lastRow="0" w:firstColumn="0" w:lastColumn="0" w:oddVBand="0" w:evenVBand="0" w:oddHBand="0" w:evenHBand="1" w:firstRowFirstColumn="0" w:firstRowLastColumn="0" w:lastRowFirstColumn="0" w:lastRowLastColumn="0"/>
        </w:trPr>
        <w:tc>
          <w:tcPr>
            <w:tcW w:w="2218" w:type="dxa"/>
          </w:tcPr>
          <w:p w14:paraId="5AF44DA6" w14:textId="77777777" w:rsidR="00DF4E3F" w:rsidRPr="0045778E" w:rsidRDefault="00DF4E3F" w:rsidP="00EE16ED">
            <w:pPr>
              <w:pStyle w:val="TableBody"/>
              <w:rPr>
                <w:b/>
              </w:rPr>
            </w:pPr>
            <w:r w:rsidRPr="0045778E">
              <w:rPr>
                <w:b/>
              </w:rPr>
              <w:lastRenderedPageBreak/>
              <w:t>Support digital connectivity in regional Australia</w:t>
            </w:r>
          </w:p>
        </w:tc>
        <w:tc>
          <w:tcPr>
            <w:tcW w:w="2330" w:type="dxa"/>
          </w:tcPr>
          <w:p w14:paraId="6953C400" w14:textId="77777777" w:rsidR="00DF4E3F" w:rsidRDefault="00DF4E3F" w:rsidP="00EE16ED">
            <w:pPr>
              <w:pStyle w:val="TableBody"/>
            </w:pPr>
            <w:r>
              <w:rPr>
                <w:rFonts w:ascii="Wingdings 2" w:eastAsia="Wingdings 2" w:hAnsi="Wingdings 2" w:cs="Wingdings 2"/>
              </w:rPr>
              <w:t></w:t>
            </w:r>
            <w:r>
              <w:t xml:space="preserve"> Compared to Options 2 and 3, ACMA considers the risk of unsold lots is greater in regional areas under Option 1. Unsold lots may make defragmentation activities more difficult in the 3.4 GHz band (3400-3575 MHz). Fragmentation of spectrum holdings is currently most prevalent in regional areas. Failure to allocate some of this spectrum may curtail the optimal deployment of networks in these areas.</w:t>
            </w:r>
          </w:p>
          <w:p w14:paraId="4D932704" w14:textId="77777777" w:rsidR="00DF4E3F" w:rsidRDefault="00DF4E3F" w:rsidP="00EE16ED">
            <w:pPr>
              <w:pStyle w:val="TableBody"/>
            </w:pPr>
          </w:p>
          <w:p w14:paraId="214C9753" w14:textId="77777777" w:rsidR="00DF4E3F" w:rsidRDefault="00DF4E3F" w:rsidP="00EE16ED">
            <w:pPr>
              <w:pStyle w:val="TableBody"/>
              <w:rPr>
                <w:rFonts w:ascii="Wingdings 2" w:eastAsia="Wingdings 2" w:hAnsi="Wingdings 2" w:cs="Wingdings 2"/>
              </w:rPr>
            </w:pPr>
            <w:r>
              <w:rPr>
                <w:rFonts w:ascii="Wingdings 2" w:eastAsia="Wingdings 2" w:hAnsi="Wingdings 2" w:cs="Wingdings 2"/>
              </w:rPr>
              <w:t></w:t>
            </w:r>
            <w:r>
              <w:t xml:space="preserve"> More likely to facilitate the entry of a new bidder (outside of the current incumbent licensees in the 3.4–3.8 GHz frequency range) in regional areas, due to the more restrictive limit in regional areas.</w:t>
            </w:r>
          </w:p>
        </w:tc>
        <w:tc>
          <w:tcPr>
            <w:tcW w:w="2330" w:type="dxa"/>
          </w:tcPr>
          <w:p w14:paraId="125620F3" w14:textId="77777777" w:rsidR="00DF4E3F" w:rsidRDefault="00DF4E3F" w:rsidP="00EE16ED">
            <w:pPr>
              <w:pStyle w:val="TableBody"/>
            </w:pPr>
            <w:r>
              <w:rPr>
                <w:rFonts w:ascii="Wingdings 2" w:eastAsia="Wingdings 2" w:hAnsi="Wingdings 2" w:cs="Wingdings 2"/>
              </w:rPr>
              <w:t></w:t>
            </w:r>
            <w:r>
              <w:t xml:space="preserve"> Due to the slightly decreased risk of unsold lots (compared to Option 1), there is an increased possibility that the spectrum will be allocated and used in regional Australia. </w:t>
            </w:r>
          </w:p>
        </w:tc>
        <w:tc>
          <w:tcPr>
            <w:tcW w:w="2331" w:type="dxa"/>
          </w:tcPr>
          <w:p w14:paraId="0D3ABCEF" w14:textId="77777777" w:rsidR="00DF4E3F" w:rsidRDefault="00DF4E3F" w:rsidP="00EE16ED">
            <w:pPr>
              <w:pStyle w:val="TableBody"/>
            </w:pPr>
            <w:r>
              <w:rPr>
                <w:rFonts w:ascii="Wingdings 2" w:eastAsia="Wingdings 2" w:hAnsi="Wingdings 2" w:cs="Wingdings 2"/>
              </w:rPr>
              <w:t></w:t>
            </w:r>
            <w:r>
              <w:t xml:space="preserve"> Decreased risk of unsold lots in regional areas. Spectrum in regional areas in the 3.4 GHz band is the most fragmented in the 3.4–3.8 GHz frequency range. If spectrum is allocated, then it is more likely that defragmentation activities will occur. Enabling these activities to occur may potentially improve the quality of services provided in regional Australia. </w:t>
            </w:r>
          </w:p>
          <w:p w14:paraId="216EC836" w14:textId="77777777" w:rsidR="00DF4E3F" w:rsidRDefault="00DF4E3F" w:rsidP="00EE16ED">
            <w:pPr>
              <w:pStyle w:val="TableBody"/>
            </w:pPr>
          </w:p>
          <w:p w14:paraId="3203799D" w14:textId="77777777" w:rsidR="00DF4E3F" w:rsidRDefault="00DF4E3F" w:rsidP="00EE16ED">
            <w:pPr>
              <w:pStyle w:val="TableBody"/>
              <w:rPr>
                <w:rFonts w:ascii="Wingdings 2" w:eastAsia="Wingdings 2" w:hAnsi="Wingdings 2" w:cs="Wingdings 2"/>
              </w:rPr>
            </w:pPr>
            <w:r>
              <w:rPr>
                <w:rFonts w:ascii="Wingdings 2" w:eastAsia="Wingdings 2" w:hAnsi="Wingdings 2" w:cs="Wingdings 2"/>
              </w:rPr>
              <w:t></w:t>
            </w:r>
            <w:r>
              <w:t xml:space="preserve"> However, the increased risk of monopolisation of the spectrum could prevent some interested bidders from obtaining regional spectrum to roll out services in competition with existing regional providers. </w:t>
            </w:r>
          </w:p>
        </w:tc>
      </w:tr>
      <w:tr w:rsidR="00DF4E3F" w14:paraId="3AA1DE2D" w14:textId="77777777" w:rsidTr="00DF4E3F">
        <w:trPr>
          <w:cnfStyle w:val="000000100000" w:firstRow="0" w:lastRow="0" w:firstColumn="0" w:lastColumn="0" w:oddVBand="0" w:evenVBand="0" w:oddHBand="1" w:evenHBand="0" w:firstRowFirstColumn="0" w:firstRowLastColumn="0" w:lastRowFirstColumn="0" w:lastRowLastColumn="0"/>
        </w:trPr>
        <w:tc>
          <w:tcPr>
            <w:tcW w:w="2218" w:type="dxa"/>
          </w:tcPr>
          <w:p w14:paraId="77589F34" w14:textId="77777777" w:rsidR="00DF4E3F" w:rsidRPr="0045778E" w:rsidRDefault="00DF4E3F" w:rsidP="00EE16ED">
            <w:pPr>
              <w:pStyle w:val="TableBody"/>
              <w:rPr>
                <w:b/>
              </w:rPr>
            </w:pPr>
            <w:r w:rsidRPr="0045778E">
              <w:rPr>
                <w:b/>
              </w:rPr>
              <w:t>Promote competitive markets</w:t>
            </w:r>
          </w:p>
        </w:tc>
        <w:tc>
          <w:tcPr>
            <w:tcW w:w="2330" w:type="dxa"/>
          </w:tcPr>
          <w:p w14:paraId="1DE07CB6" w14:textId="77777777" w:rsidR="00DF4E3F" w:rsidRDefault="00DF4E3F" w:rsidP="00EE16ED">
            <w:pPr>
              <w:pStyle w:val="TableBody"/>
            </w:pPr>
            <w:r>
              <w:rPr>
                <w:rFonts w:ascii="Wingdings 2" w:eastAsia="Wingdings 2" w:hAnsi="Wingdings 2" w:cs="Wingdings 2"/>
              </w:rPr>
              <w:t></w:t>
            </w:r>
            <w:r>
              <w:t xml:space="preserve"> Comparative to Options 2 and 3, decreases risk of monopolisation of spectrum holdings by one operator at auction. </w:t>
            </w:r>
          </w:p>
          <w:p w14:paraId="481D1E78" w14:textId="77777777" w:rsidR="00DF4E3F" w:rsidRDefault="00DF4E3F" w:rsidP="00EE16ED">
            <w:pPr>
              <w:pStyle w:val="TableBody"/>
            </w:pPr>
          </w:p>
          <w:p w14:paraId="2026BEF5" w14:textId="77777777" w:rsidR="00DF4E3F" w:rsidRDefault="00DF4E3F" w:rsidP="00EE16ED">
            <w:pPr>
              <w:pStyle w:val="TableBody"/>
              <w:rPr>
                <w:rFonts w:ascii="Wingdings 2" w:eastAsia="Wingdings 2" w:hAnsi="Wingdings 2" w:cs="Wingdings 2"/>
              </w:rPr>
            </w:pPr>
            <w:r>
              <w:rPr>
                <w:rFonts w:ascii="Wingdings 2" w:eastAsia="Wingdings 2" w:hAnsi="Wingdings 2" w:cs="Wingdings 2"/>
              </w:rPr>
              <w:t></w:t>
            </w:r>
            <w:r>
              <w:t xml:space="preserve"> May increase competition by enhancing the possibility of new market entry </w:t>
            </w:r>
            <w:r>
              <w:lastRenderedPageBreak/>
              <w:t>(outside of the current incumbent licensees in the 3.4–3.8 GHz frequency range) by limiting the amount of spectrum the incumbent licensees may acquire.</w:t>
            </w:r>
          </w:p>
        </w:tc>
        <w:tc>
          <w:tcPr>
            <w:tcW w:w="2330" w:type="dxa"/>
          </w:tcPr>
          <w:p w14:paraId="09787CEC" w14:textId="77777777" w:rsidR="00DF4E3F" w:rsidRDefault="00DF4E3F" w:rsidP="00EE16ED">
            <w:pPr>
              <w:pStyle w:val="TableBody"/>
            </w:pPr>
            <w:r>
              <w:rPr>
                <w:rFonts w:ascii="Wingdings 2" w:eastAsia="Wingdings 2" w:hAnsi="Wingdings 2" w:cs="Wingdings 2"/>
              </w:rPr>
              <w:lastRenderedPageBreak/>
              <w:t></w:t>
            </w:r>
            <w:r>
              <w:t xml:space="preserve"> Comparative to Option 3, decreases risk of monopolisation of either 3.4 GHz or 3.7 GHz spectrum by one operator at auction.</w:t>
            </w:r>
          </w:p>
          <w:p w14:paraId="6E5D1AE3" w14:textId="77777777" w:rsidR="00DF4E3F" w:rsidRDefault="00DF4E3F" w:rsidP="00EE16ED">
            <w:pPr>
              <w:pStyle w:val="TableBody"/>
            </w:pPr>
          </w:p>
          <w:p w14:paraId="04DD564D" w14:textId="77777777" w:rsidR="00DF4E3F" w:rsidRDefault="00DF4E3F" w:rsidP="00EE16ED">
            <w:pPr>
              <w:pStyle w:val="TableBody"/>
            </w:pPr>
            <w:r>
              <w:rPr>
                <w:rFonts w:ascii="Wingdings 2" w:eastAsia="Wingdings 2" w:hAnsi="Wingdings 2" w:cs="Wingdings 2"/>
              </w:rPr>
              <w:t></w:t>
            </w:r>
            <w:r>
              <w:t xml:space="preserve"> Slightly decreased possibility of facilitating the entry of a new bidder (outside of the current </w:t>
            </w:r>
            <w:r>
              <w:lastRenderedPageBreak/>
              <w:t>incumbent licensees in the 3.4-3.8 GHz frequency range) when compared with Option 1.</w:t>
            </w:r>
          </w:p>
        </w:tc>
        <w:tc>
          <w:tcPr>
            <w:tcW w:w="2331" w:type="dxa"/>
          </w:tcPr>
          <w:p w14:paraId="3A4487BD" w14:textId="77777777" w:rsidR="00DF4E3F" w:rsidRDefault="00DF4E3F" w:rsidP="00EE16ED">
            <w:pPr>
              <w:pStyle w:val="TableBody"/>
            </w:pPr>
            <w:r>
              <w:rPr>
                <w:rFonts w:ascii="Wingdings 2" w:eastAsia="Wingdings 2" w:hAnsi="Wingdings 2" w:cs="Wingdings 2"/>
              </w:rPr>
              <w:lastRenderedPageBreak/>
              <w:t></w:t>
            </w:r>
            <w:r>
              <w:t xml:space="preserve"> If one party purchases all spectrum on offer, then there may be resulting spectrum holding imbalances that are detrimental to downstream competition. An entrenched imbalance (as some spectrum licences may be issued </w:t>
            </w:r>
            <w:r>
              <w:lastRenderedPageBreak/>
              <w:t xml:space="preserve">for a term of 20 years) may result in decreased competition in the relevant markets over time.  </w:t>
            </w:r>
          </w:p>
          <w:p w14:paraId="7218273D" w14:textId="77777777" w:rsidR="00DF4E3F" w:rsidRDefault="00DF4E3F" w:rsidP="00EE16ED">
            <w:pPr>
              <w:pStyle w:val="TableBody"/>
            </w:pPr>
          </w:p>
          <w:p w14:paraId="23A6373D" w14:textId="77777777" w:rsidR="00DF4E3F" w:rsidRDefault="00DF4E3F" w:rsidP="00EE16ED">
            <w:pPr>
              <w:pStyle w:val="TableBody"/>
              <w:rPr>
                <w:rFonts w:ascii="Wingdings 2" w:eastAsia="Wingdings 2" w:hAnsi="Wingdings 2" w:cs="Wingdings 2"/>
              </w:rPr>
            </w:pPr>
            <w:r>
              <w:rPr>
                <w:rFonts w:ascii="Wingdings 2" w:eastAsia="Wingdings 2" w:hAnsi="Wingdings 2" w:cs="Wingdings 2"/>
              </w:rPr>
              <w:t></w:t>
            </w:r>
            <w:r>
              <w:t xml:space="preserve"> May not facilitate the entry of a new bidder (outside of the current incumbent licensees in the 3.4–3.8 GHz frequency range).</w:t>
            </w:r>
          </w:p>
        </w:tc>
      </w:tr>
    </w:tbl>
    <w:p w14:paraId="1BE6B616" w14:textId="77777777" w:rsidR="009127E5" w:rsidRDefault="009127E5" w:rsidP="001726ED">
      <w:pPr>
        <w:pStyle w:val="Paragraph"/>
        <w:ind w:right="992"/>
      </w:pPr>
    </w:p>
    <w:p w14:paraId="3D1BD381" w14:textId="2EF22E4B" w:rsidR="00DF3C0B" w:rsidRPr="00525351" w:rsidRDefault="00DF3C0B" w:rsidP="00332AD4">
      <w:pPr>
        <w:pStyle w:val="Heading3"/>
        <w:ind w:right="992"/>
      </w:pPr>
      <w:r>
        <w:t>Cross-band frequency range</w:t>
      </w:r>
    </w:p>
    <w:p w14:paraId="6F8A45F6" w14:textId="77777777" w:rsidR="00CA792E" w:rsidRPr="001726ED" w:rsidRDefault="00CA792E" w:rsidP="00CA792E">
      <w:pPr>
        <w:pStyle w:val="Paragraph"/>
        <w:ind w:right="992"/>
      </w:pPr>
      <w:r w:rsidRPr="001726ED">
        <w:t xml:space="preserve">The frequency range within which spectrum licensed holdings will be calculated to count towards a bidder’s allocation limit is referred to as a ‘cross-band frequency range’. </w:t>
      </w:r>
    </w:p>
    <w:p w14:paraId="26AAF012" w14:textId="77777777" w:rsidR="00CA792E" w:rsidRPr="001726ED" w:rsidRDefault="00CA792E" w:rsidP="00CA792E">
      <w:pPr>
        <w:pStyle w:val="Paragraph"/>
        <w:ind w:right="992"/>
      </w:pPr>
      <w:r w:rsidRPr="001726ED">
        <w:t>In considering its advice, ACCC consulted on other potentially relevant mid-band spectrum and 2.3 GHz band spectrum in particular. Submissions were somewhat supportive of a limit to be applied in the 3.4–3.8 GHz frequency range for the 3.4/3.7 GHz bands auction. Of the public responses to the ACCC’s consultation, NBN Co supported the inclusion of all sub-6 GHz band spectrum holdings when calculating a bidder’s allocation limit; Optus and Pivotel both agreed that only spectrum-licensed holdings in the 3.4–4.0 GHz frequency range should be accounted for; similarly, Telstra supported spectrum-licensed holdings in the 3.4–3.8 GHz frequency range;</w:t>
      </w:r>
      <w:r w:rsidRPr="001726ED">
        <w:rPr>
          <w:rStyle w:val="FootnoteReference"/>
        </w:rPr>
        <w:footnoteReference w:id="25"/>
      </w:r>
      <w:r w:rsidRPr="001726ED" w:rsidDel="00E65147">
        <w:t xml:space="preserve"> </w:t>
      </w:r>
      <w:r w:rsidRPr="001726ED">
        <w:t xml:space="preserve">and TPG supported the inclusion of spectrum-licensed holdings in the 2.3 GHz band as well as the </w:t>
      </w:r>
      <w:r w:rsidRPr="001726ED">
        <w:br/>
        <w:t>3.4–3.8 GHz frequency range in the cross-band frequency range.</w:t>
      </w:r>
    </w:p>
    <w:p w14:paraId="06C8A634" w14:textId="77777777" w:rsidR="00CA792E" w:rsidRPr="001726ED" w:rsidRDefault="00CA792E" w:rsidP="00CA792E">
      <w:pPr>
        <w:pStyle w:val="Paragraph"/>
        <w:ind w:right="992"/>
      </w:pPr>
      <w:r w:rsidRPr="001726ED">
        <w:t xml:space="preserve">In its advice the ACCC noted that the 2.3 GHz band has similar propagation characteristics, vendor availability and technical frameworks as the 3.4-3.8 GHz band. However, the ACCC ultimately concluded that other factors supported its recommendation that the ACMA implement an allocation limit in the 3.4-3.8 GHz cross-band frequency range at the 3.4/3.7 GHz bands auction. </w:t>
      </w:r>
    </w:p>
    <w:p w14:paraId="5A9CCD30" w14:textId="77777777" w:rsidR="00CA792E" w:rsidRPr="001726ED" w:rsidRDefault="00CA792E" w:rsidP="00CA792E">
      <w:pPr>
        <w:pStyle w:val="Paragraph"/>
        <w:ind w:right="992"/>
      </w:pPr>
      <w:r w:rsidRPr="001726ED">
        <w:t>In considering the ACCC’s advice, the ACMA has conducted its own analysis of technical and policy matters that are relevant to a decision on the appropriate cross-band frequency range:</w:t>
      </w:r>
    </w:p>
    <w:p w14:paraId="4C78A266" w14:textId="77777777" w:rsidR="00CA792E" w:rsidRPr="001726ED" w:rsidRDefault="00CA792E" w:rsidP="00CA792E">
      <w:pPr>
        <w:pStyle w:val="Bulletlevel1"/>
      </w:pPr>
      <w:r w:rsidRPr="001726ED">
        <w:t>Propagation characteristics</w:t>
      </w:r>
    </w:p>
    <w:p w14:paraId="4AFAF57A" w14:textId="77777777" w:rsidR="00CA792E" w:rsidRPr="001726ED" w:rsidRDefault="00CA792E" w:rsidP="00CA792E">
      <w:pPr>
        <w:pStyle w:val="Bulletlevel1"/>
      </w:pPr>
      <w:r w:rsidRPr="001726ED">
        <w:t>Equipment availability and international harmonisation</w:t>
      </w:r>
    </w:p>
    <w:p w14:paraId="18A81BAB" w14:textId="77777777" w:rsidR="00CA792E" w:rsidRPr="001726ED" w:rsidRDefault="00CA792E" w:rsidP="00CA792E">
      <w:pPr>
        <w:pStyle w:val="Bulletlevel1"/>
      </w:pPr>
      <w:r w:rsidRPr="001726ED">
        <w:t>Complexity of the application of allocation limits</w:t>
      </w:r>
    </w:p>
    <w:p w14:paraId="043A3A81" w14:textId="77777777" w:rsidR="00CA792E" w:rsidRPr="001726ED" w:rsidRDefault="00CA792E" w:rsidP="00CA792E">
      <w:pPr>
        <w:pStyle w:val="Bulletlevel1"/>
      </w:pPr>
      <w:r w:rsidRPr="001726ED">
        <w:t>Approaches used in other jurisdictions</w:t>
      </w:r>
    </w:p>
    <w:p w14:paraId="48E31000" w14:textId="77777777" w:rsidR="00CA792E" w:rsidRPr="001726ED" w:rsidRDefault="00CA792E" w:rsidP="00CA792E">
      <w:pPr>
        <w:pStyle w:val="Bulletlevel1"/>
        <w:numPr>
          <w:ilvl w:val="0"/>
          <w:numId w:val="0"/>
        </w:numPr>
      </w:pPr>
      <w:r w:rsidRPr="001726ED">
        <w:t>Our considerations on these matters are detailed below.</w:t>
      </w:r>
    </w:p>
    <w:p w14:paraId="78CEB02D" w14:textId="7461D5F6" w:rsidR="00E37F87" w:rsidRDefault="00E37F87" w:rsidP="00332AD4">
      <w:pPr>
        <w:pStyle w:val="Heading4"/>
        <w:keepNext/>
        <w:ind w:right="992"/>
      </w:pPr>
      <w:r>
        <w:t>Technical characteristics of substitutable spectrum</w:t>
      </w:r>
    </w:p>
    <w:p w14:paraId="776B7EF5" w14:textId="448207B7" w:rsidR="00B2349C" w:rsidRDefault="00674010" w:rsidP="00332AD4">
      <w:pPr>
        <w:pStyle w:val="Paragraph"/>
        <w:ind w:right="992"/>
      </w:pPr>
      <w:r>
        <w:t xml:space="preserve">From a technical perspective, </w:t>
      </w:r>
      <w:r w:rsidR="00C05503">
        <w:t xml:space="preserve">propagation </w:t>
      </w:r>
      <w:r w:rsidR="00007136">
        <w:t xml:space="preserve">losses </w:t>
      </w:r>
      <w:r w:rsidR="00C05503">
        <w:t xml:space="preserve">increase </w:t>
      </w:r>
      <w:r w:rsidR="00FB096C">
        <w:t xml:space="preserve">as the </w:t>
      </w:r>
      <w:r w:rsidR="00C05503">
        <w:t>frequenc</w:t>
      </w:r>
      <w:r w:rsidR="00FB096C">
        <w:t>y increase</w:t>
      </w:r>
      <w:r w:rsidR="002D129E">
        <w:t>s. The</w:t>
      </w:r>
      <w:r w:rsidR="002666C9">
        <w:t xml:space="preserve"> smaller the difference in frequency between </w:t>
      </w:r>
      <w:r w:rsidR="00F54B4C">
        <w:t xml:space="preserve">2 </w:t>
      </w:r>
      <w:r w:rsidR="002666C9">
        <w:t>bands</w:t>
      </w:r>
      <w:r w:rsidR="00D422F0">
        <w:t>,</w:t>
      </w:r>
      <w:r w:rsidR="002666C9">
        <w:t xml:space="preserve"> the smaller the </w:t>
      </w:r>
      <w:r w:rsidR="00D47110">
        <w:lastRenderedPageBreak/>
        <w:t>difference in</w:t>
      </w:r>
      <w:r>
        <w:t xml:space="preserve"> propagation characteristics</w:t>
      </w:r>
      <w:r w:rsidR="006133C1">
        <w:t>.</w:t>
      </w:r>
      <w:r w:rsidR="00D02737">
        <w:t xml:space="preserve"> </w:t>
      </w:r>
      <w:r w:rsidR="00E84E0F">
        <w:t>From this perspective</w:t>
      </w:r>
      <w:r w:rsidR="00D422F0">
        <w:t>,</w:t>
      </w:r>
      <w:r w:rsidR="00E84E0F">
        <w:t xml:space="preserve"> </w:t>
      </w:r>
      <w:r>
        <w:t xml:space="preserve">the propagation characteristics of </w:t>
      </w:r>
      <w:r w:rsidR="006727C5">
        <w:t>other mid-band</w:t>
      </w:r>
      <w:r w:rsidR="000042D3">
        <w:t xml:space="preserve"> spectrum (1800 MHz, </w:t>
      </w:r>
      <w:r w:rsidR="006727C5">
        <w:t>2.1 GHz</w:t>
      </w:r>
      <w:r w:rsidR="000042D3">
        <w:t>,</w:t>
      </w:r>
      <w:r w:rsidR="006727C5">
        <w:t xml:space="preserve"> </w:t>
      </w:r>
      <w:r>
        <w:t xml:space="preserve">2.3 GHz and </w:t>
      </w:r>
      <w:r w:rsidR="009127E5">
        <w:br/>
      </w:r>
      <w:r>
        <w:t>2.5 GHz bands</w:t>
      </w:r>
      <w:r w:rsidR="00345F6F">
        <w:t>)</w:t>
      </w:r>
      <w:r w:rsidR="00D71F41" w:rsidRPr="00D71F41">
        <w:t xml:space="preserve"> </w:t>
      </w:r>
      <w:r w:rsidR="003F566A">
        <w:t xml:space="preserve">are </w:t>
      </w:r>
      <w:r w:rsidR="00B42781">
        <w:t xml:space="preserve">more comparable </w:t>
      </w:r>
      <w:r w:rsidR="000042D3">
        <w:t xml:space="preserve">to the 3.4/3.7 GHz bands </w:t>
      </w:r>
      <w:r w:rsidR="00B42781">
        <w:t>than</w:t>
      </w:r>
      <w:r w:rsidR="00554A8A">
        <w:t xml:space="preserve"> </w:t>
      </w:r>
      <w:r w:rsidR="000042D3">
        <w:t>the</w:t>
      </w:r>
      <w:r w:rsidR="00554A8A">
        <w:t xml:space="preserve"> sub-1 GHz bands.</w:t>
      </w:r>
      <w:r w:rsidR="00452D88">
        <w:t xml:space="preserve"> </w:t>
      </w:r>
    </w:p>
    <w:p w14:paraId="39A43AA3" w14:textId="0E66ACA2" w:rsidR="006F7ADA" w:rsidRDefault="00B2349C" w:rsidP="00332AD4">
      <w:pPr>
        <w:pStyle w:val="Paragraph"/>
        <w:ind w:right="992"/>
      </w:pPr>
      <w:r>
        <w:t>Propagation characteristics</w:t>
      </w:r>
      <w:r w:rsidR="00452D88">
        <w:t xml:space="preserve"> influence factors such as cell coverage and </w:t>
      </w:r>
      <w:r w:rsidR="00B64915">
        <w:t>si</w:t>
      </w:r>
      <w:r w:rsidR="00B33813">
        <w:t xml:space="preserve">gnal </w:t>
      </w:r>
      <w:r w:rsidR="00452D88">
        <w:t>penetration through clutter and into buildings</w:t>
      </w:r>
      <w:r w:rsidR="00DB7ABA">
        <w:t>. As a general rule</w:t>
      </w:r>
      <w:r w:rsidR="005C70E9">
        <w:t>,</w:t>
      </w:r>
      <w:r w:rsidR="00DB7ABA" w:rsidDel="005C70E9">
        <w:t xml:space="preserve"> </w:t>
      </w:r>
      <w:r w:rsidR="00DB7ABA">
        <w:t xml:space="preserve">lower </w:t>
      </w:r>
      <w:r w:rsidR="004E6D17">
        <w:t xml:space="preserve">frequencies </w:t>
      </w:r>
      <w:r w:rsidR="00202406">
        <w:t>support</w:t>
      </w:r>
      <w:r w:rsidR="004E6D17">
        <w:t xml:space="preserve"> larger cell sizes and </w:t>
      </w:r>
      <w:r w:rsidR="00C53C88">
        <w:t xml:space="preserve">have </w:t>
      </w:r>
      <w:r w:rsidR="004E6D17">
        <w:t xml:space="preserve">better clutter/indoor </w:t>
      </w:r>
      <w:r w:rsidR="00202406">
        <w:t>penetration</w:t>
      </w:r>
      <w:r w:rsidR="004E6D17">
        <w:t xml:space="preserve">. </w:t>
      </w:r>
      <w:r w:rsidR="00452D88">
        <w:t xml:space="preserve">The </w:t>
      </w:r>
      <w:r w:rsidR="001C464E">
        <w:t xml:space="preserve">deployment </w:t>
      </w:r>
      <w:r w:rsidR="00452D88">
        <w:t xml:space="preserve">of </w:t>
      </w:r>
      <w:r w:rsidR="001C464E">
        <w:t xml:space="preserve">new </w:t>
      </w:r>
      <w:r w:rsidR="00452D88">
        <w:t xml:space="preserve">technology </w:t>
      </w:r>
      <w:r w:rsidR="001C464E">
        <w:t>including 5G and</w:t>
      </w:r>
      <w:r w:rsidR="00452D88">
        <w:t xml:space="preserve"> </w:t>
      </w:r>
      <w:r w:rsidR="00D71F41" w:rsidRPr="00D71F41">
        <w:t xml:space="preserve">active antenna systems </w:t>
      </w:r>
      <w:r w:rsidR="00D53E68">
        <w:t xml:space="preserve">can </w:t>
      </w:r>
      <w:r w:rsidR="001C464E">
        <w:t xml:space="preserve">help </w:t>
      </w:r>
      <w:r w:rsidR="00D53E68">
        <w:t>improve these factors</w:t>
      </w:r>
      <w:r w:rsidR="00202406">
        <w:t xml:space="preserve"> </w:t>
      </w:r>
      <w:r w:rsidR="00785CE2">
        <w:t xml:space="preserve">for networks </w:t>
      </w:r>
      <w:r w:rsidR="00DB6415">
        <w:t xml:space="preserve">in </w:t>
      </w:r>
      <w:r w:rsidR="00785CE2">
        <w:t xml:space="preserve">the </w:t>
      </w:r>
      <w:r w:rsidR="00F13AD4">
        <w:t xml:space="preserve">mid-band. </w:t>
      </w:r>
      <w:r w:rsidR="00D26BC0">
        <w:t xml:space="preserve">The initial focus </w:t>
      </w:r>
      <w:r w:rsidR="00977EA8">
        <w:t xml:space="preserve">globally for </w:t>
      </w:r>
      <w:r w:rsidR="00103380">
        <w:t xml:space="preserve">the introduction of </w:t>
      </w:r>
      <w:r w:rsidR="00977EA8">
        <w:t xml:space="preserve">these technologies </w:t>
      </w:r>
      <w:r w:rsidR="000D3292">
        <w:t>h</w:t>
      </w:r>
      <w:r w:rsidR="00977EA8">
        <w:t xml:space="preserve">as </w:t>
      </w:r>
      <w:r w:rsidR="000D3292">
        <w:t xml:space="preserve">been </w:t>
      </w:r>
      <w:r w:rsidR="00977EA8">
        <w:t xml:space="preserve">the </w:t>
      </w:r>
      <w:r w:rsidR="000D3292">
        <w:t>3300</w:t>
      </w:r>
      <w:r w:rsidR="0087749E">
        <w:t>–</w:t>
      </w:r>
      <w:r w:rsidR="000D3292">
        <w:t xml:space="preserve">3800 MHz band. </w:t>
      </w:r>
    </w:p>
    <w:p w14:paraId="7388177F" w14:textId="5CD5E240" w:rsidR="002A0F0D" w:rsidRDefault="00BB24F6" w:rsidP="00332AD4">
      <w:pPr>
        <w:pStyle w:val="Paragraph"/>
        <w:ind w:right="992"/>
      </w:pPr>
      <w:r w:rsidRPr="00CA792E">
        <w:t>W</w:t>
      </w:r>
      <w:r w:rsidR="00103380" w:rsidRPr="00CA792E">
        <w:t>hile</w:t>
      </w:r>
      <w:r w:rsidR="00CE18A8" w:rsidRPr="00CA792E">
        <w:t xml:space="preserve"> the 5G equipment ecosystem is currently more mature in the 3300</w:t>
      </w:r>
      <w:r w:rsidR="0087749E" w:rsidRPr="00CA792E">
        <w:t>–</w:t>
      </w:r>
      <w:r w:rsidR="00CE18A8" w:rsidRPr="00CA792E">
        <w:t>3800</w:t>
      </w:r>
      <w:r w:rsidR="00ED0A2F" w:rsidRPr="00CA792E">
        <w:t> </w:t>
      </w:r>
      <w:r w:rsidR="00CE18A8" w:rsidRPr="00CA792E">
        <w:t>MHz frequency range, e</w:t>
      </w:r>
      <w:r w:rsidR="00674010" w:rsidRPr="00CA792E">
        <w:t xml:space="preserve">quipment availability </w:t>
      </w:r>
      <w:r w:rsidR="00101A8A" w:rsidRPr="00CA792E">
        <w:t>for other mid-band spectrum</w:t>
      </w:r>
      <w:r w:rsidR="00674010" w:rsidRPr="00CA792E">
        <w:t xml:space="preserve"> is </w:t>
      </w:r>
      <w:r w:rsidR="006E381E" w:rsidRPr="00CA792E">
        <w:t>rapidly</w:t>
      </w:r>
      <w:r w:rsidR="00671081" w:rsidRPr="00CA792E">
        <w:t xml:space="preserve"> </w:t>
      </w:r>
      <w:r w:rsidR="00C7386B" w:rsidRPr="00CA792E">
        <w:t>increasing</w:t>
      </w:r>
      <w:r w:rsidR="00671081" w:rsidRPr="00CA792E">
        <w:t xml:space="preserve"> and </w:t>
      </w:r>
      <w:r w:rsidR="00674010" w:rsidRPr="00CA792E">
        <w:t xml:space="preserve">expected to </w:t>
      </w:r>
      <w:r w:rsidR="00671081" w:rsidRPr="00CA792E">
        <w:t>continue to do so</w:t>
      </w:r>
      <w:r w:rsidR="00674010" w:rsidRPr="00CA792E">
        <w:t>.</w:t>
      </w:r>
      <w:r w:rsidR="006F7ADA" w:rsidRPr="00CA792E">
        <w:t xml:space="preserve"> In its </w:t>
      </w:r>
      <w:hyperlink r:id="rId73" w:history="1">
        <w:r w:rsidR="006F7ADA" w:rsidRPr="00CA792E">
          <w:rPr>
            <w:rStyle w:val="Hyperlink"/>
          </w:rPr>
          <w:t>January 2023 member report on the 5G equipment ecosystem</w:t>
        </w:r>
      </w:hyperlink>
      <w:r w:rsidR="006F7ADA" w:rsidRPr="00CA792E">
        <w:t>, the Global mobile Suppliers Association (the GSA) identified the number of announced 5G devices supported in different 3GPP band</w:t>
      </w:r>
      <w:r w:rsidR="006F7ADA" w:rsidRPr="00CA792E" w:rsidDel="004031C5">
        <w:t>s</w:t>
      </w:r>
      <w:r w:rsidR="006F7ADA" w:rsidRPr="00CA792E">
        <w:t>. Band n78 (3300–3800 MHz) topped the list, however, there is still significant (and growing) device support in other mid-band frequencies available for WBB use in Australia</w:t>
      </w:r>
      <w:r w:rsidR="00D40740">
        <w:t>. T</w:t>
      </w:r>
      <w:r w:rsidR="006F7ADA" w:rsidRPr="00CA792E">
        <w:t>his includes bands n77 (3300–4200 MHz), n7 (2500–2570 / 2620–2690 MHz), n40 (2300–2400 MHz), n1 (1920–1980 / 2110–2170 MHz) and n3 (1710–1785 / 1805–1880 MHz).</w:t>
      </w:r>
      <w:r w:rsidR="00674010" w:rsidDel="000142BE">
        <w:t xml:space="preserve"> </w:t>
      </w:r>
    </w:p>
    <w:p w14:paraId="0568309A" w14:textId="3D9EFCD8" w:rsidR="007274C8" w:rsidRDefault="00AB7D6C" w:rsidP="00332AD4">
      <w:pPr>
        <w:pStyle w:val="Paragraph"/>
        <w:spacing w:after="120"/>
        <w:ind w:right="992"/>
      </w:pPr>
      <w:r>
        <w:t>Mid-band spectrum</w:t>
      </w:r>
      <w:r w:rsidR="002A0F0D" w:rsidDel="00AB7D6C">
        <w:t xml:space="preserve"> </w:t>
      </w:r>
      <w:r>
        <w:t>is</w:t>
      </w:r>
      <w:r w:rsidR="002A0F0D">
        <w:t xml:space="preserve"> expected </w:t>
      </w:r>
      <w:r w:rsidR="002A0F0D" w:rsidRPr="00411364">
        <w:t>to</w:t>
      </w:r>
      <w:r w:rsidR="00A400DC">
        <w:t xml:space="preserve"> continue</w:t>
      </w:r>
      <w:r w:rsidR="002A0F0D" w:rsidRPr="00411364">
        <w:t xml:space="preserve"> play</w:t>
      </w:r>
      <w:r w:rsidR="00A400DC">
        <w:t>ing</w:t>
      </w:r>
      <w:r w:rsidR="002A0F0D" w:rsidRPr="00411364">
        <w:t xml:space="preserve"> a key role in providing network capacity and coverage in metropolitan and regional areas. </w:t>
      </w:r>
      <w:r w:rsidR="0076237E">
        <w:t>T</w:t>
      </w:r>
      <w:r w:rsidR="009D4131">
        <w:t xml:space="preserve">here are some </w:t>
      </w:r>
      <w:r w:rsidR="0042767D">
        <w:t xml:space="preserve">key </w:t>
      </w:r>
      <w:r w:rsidR="00F153B1">
        <w:t>differences</w:t>
      </w:r>
      <w:r w:rsidR="009D4131">
        <w:t xml:space="preserve"> between </w:t>
      </w:r>
      <w:r w:rsidR="00F153B1">
        <w:t>bands</w:t>
      </w:r>
      <w:r w:rsidR="007274C8">
        <w:t>, includ</w:t>
      </w:r>
      <w:r w:rsidR="00ED5DE1">
        <w:t>ing</w:t>
      </w:r>
      <w:r w:rsidR="007274C8">
        <w:t>:</w:t>
      </w:r>
      <w:r w:rsidR="00F153B1">
        <w:t xml:space="preserve"> </w:t>
      </w:r>
    </w:p>
    <w:p w14:paraId="54704F42" w14:textId="3C3CDFF2" w:rsidR="00735C6E" w:rsidRDefault="00AE62D0" w:rsidP="00332AD4">
      <w:pPr>
        <w:pStyle w:val="Paragraph"/>
        <w:numPr>
          <w:ilvl w:val="0"/>
          <w:numId w:val="126"/>
        </w:numPr>
        <w:spacing w:after="120"/>
        <w:ind w:right="992"/>
      </w:pPr>
      <w:r>
        <w:t>T</w:t>
      </w:r>
      <w:r w:rsidR="00FA5264" w:rsidRPr="00411364">
        <w:t>he</w:t>
      </w:r>
      <w:r w:rsidR="00152285" w:rsidRPr="00411364">
        <w:t xml:space="preserve"> 2.3 GHz band and the 3.4</w:t>
      </w:r>
      <w:r w:rsidR="00D342F1">
        <w:t>–</w:t>
      </w:r>
      <w:r w:rsidR="00152285" w:rsidRPr="00411364">
        <w:t xml:space="preserve">3.8 GHz frequency range are </w:t>
      </w:r>
      <w:r w:rsidR="006529F6" w:rsidRPr="00411364">
        <w:t xml:space="preserve">configured </w:t>
      </w:r>
      <w:r w:rsidR="00477816" w:rsidRPr="00411364">
        <w:t>for</w:t>
      </w:r>
      <w:r w:rsidR="0015213C" w:rsidRPr="00411364">
        <w:t xml:space="preserve"> </w:t>
      </w:r>
      <w:r w:rsidR="009E314B" w:rsidRPr="00411364">
        <w:t>use by</w:t>
      </w:r>
      <w:r w:rsidR="0015213C" w:rsidRPr="00411364">
        <w:t xml:space="preserve"> </w:t>
      </w:r>
      <w:r w:rsidR="006529F6" w:rsidRPr="00411364">
        <w:t xml:space="preserve">time division duplex (TDD) </w:t>
      </w:r>
      <w:r w:rsidR="00210B5A">
        <w:t xml:space="preserve">or unpaired </w:t>
      </w:r>
      <w:r w:rsidR="002A0081">
        <w:t xml:space="preserve">spectrum </w:t>
      </w:r>
      <w:r w:rsidR="00DE07AD" w:rsidRPr="00411364">
        <w:t>technologie</w:t>
      </w:r>
      <w:r w:rsidR="00BB4E06" w:rsidRPr="00411364">
        <w:t>s</w:t>
      </w:r>
      <w:r w:rsidR="003739F6" w:rsidRPr="00411364">
        <w:t>,</w:t>
      </w:r>
      <w:r w:rsidR="00BB4E06" w:rsidRPr="00411364">
        <w:t xml:space="preserve"> </w:t>
      </w:r>
      <w:r w:rsidR="006529F6" w:rsidRPr="00411364">
        <w:t>while other mid-band spectrum (the 1800 MHz, 2 GHz and 2.5 GHz bands)</w:t>
      </w:r>
      <w:r w:rsidR="00E96454" w:rsidRPr="00411364">
        <w:t xml:space="preserve"> is configured </w:t>
      </w:r>
      <w:r w:rsidR="00BB4E06" w:rsidRPr="00411364">
        <w:t xml:space="preserve">for </w:t>
      </w:r>
      <w:r w:rsidR="00E96454" w:rsidRPr="00411364">
        <w:t xml:space="preserve">frequency division duplex (FDD) </w:t>
      </w:r>
      <w:r w:rsidR="002A0081">
        <w:t xml:space="preserve">or paired spectrum </w:t>
      </w:r>
      <w:r w:rsidR="00BB4E06" w:rsidRPr="00411364">
        <w:t>use</w:t>
      </w:r>
      <w:r w:rsidR="00E96454" w:rsidRPr="00411364">
        <w:t>.</w:t>
      </w:r>
      <w:r w:rsidR="00DC2251" w:rsidRPr="00411364">
        <w:t xml:space="preserve"> </w:t>
      </w:r>
      <w:r w:rsidR="0075180B">
        <w:t xml:space="preserve">While </w:t>
      </w:r>
      <w:r w:rsidR="004225A2">
        <w:t>there are difference</w:t>
      </w:r>
      <w:r w:rsidR="00CB7B34">
        <w:t>s</w:t>
      </w:r>
      <w:r w:rsidR="004225A2">
        <w:t xml:space="preserve"> in how FDD and TDD systems operate they </w:t>
      </w:r>
      <w:r w:rsidR="00250C33">
        <w:t xml:space="preserve">are both capable of supporting new technologies such as 5G and active antenna systems. </w:t>
      </w:r>
      <w:r w:rsidR="00F4756F">
        <w:t>Th</w:t>
      </w:r>
      <w:r w:rsidR="0034099E">
        <w:t xml:space="preserve">e size of </w:t>
      </w:r>
      <w:r w:rsidR="005549FD">
        <w:t xml:space="preserve">an </w:t>
      </w:r>
      <w:r w:rsidR="00325F52">
        <w:t xml:space="preserve">active </w:t>
      </w:r>
      <w:r w:rsidR="002A0081">
        <w:t xml:space="preserve">antenna </w:t>
      </w:r>
      <w:r w:rsidR="00325F52">
        <w:t>array will vary with frequency</w:t>
      </w:r>
      <w:r w:rsidR="00592C75">
        <w:t xml:space="preserve"> (independent of whether it employs FDD or TDD)</w:t>
      </w:r>
      <w:r w:rsidR="00CF4EEB">
        <w:t>. L</w:t>
      </w:r>
      <w:r w:rsidR="00325F52">
        <w:t xml:space="preserve">arger arrays </w:t>
      </w:r>
      <w:r w:rsidR="00487F13">
        <w:t xml:space="preserve">are </w:t>
      </w:r>
      <w:r w:rsidR="00325F52">
        <w:t xml:space="preserve">more </w:t>
      </w:r>
      <w:r w:rsidR="00F41A14">
        <w:t>practical</w:t>
      </w:r>
      <w:r w:rsidR="00325F52">
        <w:t xml:space="preserve"> </w:t>
      </w:r>
      <w:r w:rsidR="00CE0376">
        <w:t xml:space="preserve">in higher </w:t>
      </w:r>
      <w:r w:rsidR="00F41A14">
        <w:t>frequenc</w:t>
      </w:r>
      <w:r w:rsidR="00133DF1">
        <w:t>y</w:t>
      </w:r>
      <w:r w:rsidR="00CE0376">
        <w:t xml:space="preserve"> bands which </w:t>
      </w:r>
      <w:r w:rsidR="00487F13">
        <w:t>is</w:t>
      </w:r>
      <w:r w:rsidR="008A4E12">
        <w:t xml:space="preserve"> </w:t>
      </w:r>
      <w:r w:rsidR="00487F13">
        <w:t>beneficial in offsetting the increased propagation losses</w:t>
      </w:r>
      <w:r w:rsidR="00692E8C">
        <w:t xml:space="preserve"> to improve coverage and capacity</w:t>
      </w:r>
      <w:r w:rsidR="00487F13">
        <w:t>.</w:t>
      </w:r>
      <w:r w:rsidR="00F41A14">
        <w:t xml:space="preserve"> </w:t>
      </w:r>
      <w:r w:rsidR="00763169">
        <w:t xml:space="preserve"> </w:t>
      </w:r>
    </w:p>
    <w:p w14:paraId="089936E8" w14:textId="036245FE" w:rsidR="00DB74CC" w:rsidRDefault="00DB74CC" w:rsidP="00332AD4">
      <w:pPr>
        <w:pStyle w:val="Paragraph"/>
        <w:numPr>
          <w:ilvl w:val="0"/>
          <w:numId w:val="126"/>
        </w:numPr>
        <w:ind w:right="992"/>
      </w:pPr>
      <w:r>
        <w:t>T</w:t>
      </w:r>
      <w:r w:rsidR="00DC2251" w:rsidRPr="00411364">
        <w:t xml:space="preserve">he </w:t>
      </w:r>
      <w:r w:rsidR="00F06F25">
        <w:t>total</w:t>
      </w:r>
      <w:r w:rsidR="00DC2251" w:rsidRPr="00411364">
        <w:t xml:space="preserve"> amount of spectrum </w:t>
      </w:r>
      <w:r w:rsidR="00E732DD" w:rsidRPr="00411364">
        <w:t xml:space="preserve">available in each band </w:t>
      </w:r>
      <w:r w:rsidR="009D6BEA" w:rsidRPr="00411364">
        <w:t>varies</w:t>
      </w:r>
      <w:r w:rsidR="00E732DD" w:rsidRPr="00411364">
        <w:t>.</w:t>
      </w:r>
      <w:r w:rsidR="00920D52">
        <w:t xml:space="preserve"> </w:t>
      </w:r>
      <w:r w:rsidR="0042767D">
        <w:t>Typically</w:t>
      </w:r>
      <w:r w:rsidR="00E55011">
        <w:t>,</w:t>
      </w:r>
      <w:r w:rsidR="0042767D">
        <w:t xml:space="preserve"> operators have access to </w:t>
      </w:r>
      <w:r w:rsidR="00AC2F34">
        <w:t xml:space="preserve">more spectrum and </w:t>
      </w:r>
      <w:r w:rsidR="000B01D2">
        <w:t xml:space="preserve">therefore </w:t>
      </w:r>
      <w:r w:rsidR="00AC2F34">
        <w:t xml:space="preserve">larger </w:t>
      </w:r>
      <w:r w:rsidR="000D1BF9">
        <w:t xml:space="preserve">operating </w:t>
      </w:r>
      <w:r w:rsidR="00AC2F34">
        <w:t xml:space="preserve">bandwidths </w:t>
      </w:r>
      <w:r w:rsidR="008E59ED">
        <w:t>in higher frequency bands.</w:t>
      </w:r>
      <w:r w:rsidR="00AC2F34">
        <w:t xml:space="preserve"> </w:t>
      </w:r>
      <w:r w:rsidR="00A84C8B">
        <w:t>For example, t</w:t>
      </w:r>
      <w:r w:rsidR="00CA2B88">
        <w:t>here is 400 MHz of spectrum available in the 3.4</w:t>
      </w:r>
      <w:r w:rsidR="0087749E">
        <w:t>–</w:t>
      </w:r>
      <w:r w:rsidR="00CA2B88">
        <w:t xml:space="preserve">3.8 GHz frequency range </w:t>
      </w:r>
      <w:r w:rsidR="00A84C8B">
        <w:t xml:space="preserve">but only </w:t>
      </w:r>
      <w:r w:rsidR="000D1BF9">
        <w:t>2x60 MHz (</w:t>
      </w:r>
      <w:r w:rsidR="00A84C8B">
        <w:t>120 MHz</w:t>
      </w:r>
      <w:r w:rsidR="000D1BF9">
        <w:t>)</w:t>
      </w:r>
      <w:r w:rsidR="00A84C8B">
        <w:t xml:space="preserve"> in the 2 GHz band. </w:t>
      </w:r>
      <w:r w:rsidR="00DA6256">
        <w:t>This can affect the cost</w:t>
      </w:r>
      <w:r w:rsidR="008016E5">
        <w:t xml:space="preserve"> </w:t>
      </w:r>
      <w:r w:rsidR="003225BA">
        <w:t>efficiency</w:t>
      </w:r>
      <w:r w:rsidR="00DA6256">
        <w:t xml:space="preserve"> or cost</w:t>
      </w:r>
      <w:r w:rsidR="008016E5">
        <w:t>-</w:t>
      </w:r>
      <w:r w:rsidR="00DA6256">
        <w:t>per</w:t>
      </w:r>
      <w:r w:rsidR="008016E5">
        <w:t>-</w:t>
      </w:r>
      <w:r w:rsidR="00DA6256">
        <w:t>bit</w:t>
      </w:r>
      <w:r w:rsidR="00E96454" w:rsidRPr="00411364">
        <w:t xml:space="preserve"> </w:t>
      </w:r>
      <w:r w:rsidR="008B5E35">
        <w:t>of deployments,</w:t>
      </w:r>
      <w:r w:rsidR="003225BA">
        <w:t xml:space="preserve"> with greater benefits realised for wider bandwidth deployments</w:t>
      </w:r>
      <w:r w:rsidR="008B5E35">
        <w:t>.</w:t>
      </w:r>
      <w:r w:rsidR="00745328">
        <w:rPr>
          <w:rStyle w:val="FootnoteReference"/>
        </w:rPr>
        <w:footnoteReference w:id="26"/>
      </w:r>
      <w:r w:rsidR="00020802">
        <w:t xml:space="preserve"> Other than the </w:t>
      </w:r>
      <w:r w:rsidR="00D00AA7">
        <w:br/>
      </w:r>
      <w:r w:rsidR="00020802">
        <w:t>3.4</w:t>
      </w:r>
      <w:r w:rsidR="00737B2C">
        <w:t>–</w:t>
      </w:r>
      <w:r w:rsidR="00020802">
        <w:t>3.8 GHz frequency range, bands w</w:t>
      </w:r>
      <w:r w:rsidR="00AC1BFE">
        <w:t>h</w:t>
      </w:r>
      <w:r w:rsidR="00020802">
        <w:t xml:space="preserve">ere </w:t>
      </w:r>
      <w:r w:rsidR="00E24792">
        <w:t xml:space="preserve">operators currently </w:t>
      </w:r>
      <w:r w:rsidR="00AE62D0">
        <w:t xml:space="preserve">have </w:t>
      </w:r>
      <w:r w:rsidR="00E24792">
        <w:t xml:space="preserve">large bandwidth spectrum holdings include: Optus in the 2.3 GHz </w:t>
      </w:r>
      <w:r w:rsidR="00380140">
        <w:t xml:space="preserve">band </w:t>
      </w:r>
      <w:r w:rsidR="00E24792">
        <w:t xml:space="preserve">(up to </w:t>
      </w:r>
      <w:r w:rsidR="00133F75">
        <w:t>98</w:t>
      </w:r>
      <w:r w:rsidR="00E24792">
        <w:t xml:space="preserve"> MHz</w:t>
      </w:r>
      <w:r w:rsidR="00380140">
        <w:t xml:space="preserve"> in metro</w:t>
      </w:r>
      <w:r w:rsidR="00B63F5A">
        <w:t>politan</w:t>
      </w:r>
      <w:r w:rsidR="00380140">
        <w:t xml:space="preserve"> areas), NBN Co in the 2.3 GHz band (up to </w:t>
      </w:r>
      <w:r w:rsidR="00133F75">
        <w:t>98</w:t>
      </w:r>
      <w:r w:rsidR="00380140">
        <w:t xml:space="preserve"> MHz in regional areas), Telstra in the 1800 MHz </w:t>
      </w:r>
      <w:r w:rsidR="000A0E47">
        <w:t xml:space="preserve">band </w:t>
      </w:r>
      <w:r w:rsidR="00380140">
        <w:t>(2</w:t>
      </w:r>
      <w:r w:rsidR="00D00AA7">
        <w:t xml:space="preserve"> </w:t>
      </w:r>
      <w:r w:rsidR="00380140">
        <w:t>x</w:t>
      </w:r>
      <w:r w:rsidR="00D00AA7">
        <w:t xml:space="preserve"> </w:t>
      </w:r>
      <w:r w:rsidR="00380140">
        <w:t xml:space="preserve">40 MHz in </w:t>
      </w:r>
      <w:r w:rsidR="00097B4B">
        <w:t xml:space="preserve">most </w:t>
      </w:r>
      <w:r w:rsidR="00380140">
        <w:t>regional areas) and Telstra in the 2.5 GHz band (2</w:t>
      </w:r>
      <w:r w:rsidR="00D00AA7">
        <w:t xml:space="preserve"> </w:t>
      </w:r>
      <w:r w:rsidR="00380140">
        <w:t>x</w:t>
      </w:r>
      <w:r w:rsidR="00D00AA7">
        <w:t xml:space="preserve"> </w:t>
      </w:r>
      <w:r w:rsidR="00380140">
        <w:t xml:space="preserve">40 MHz Australia-wide).  </w:t>
      </w:r>
    </w:p>
    <w:p w14:paraId="0AF2F2CE" w14:textId="0B9A6611" w:rsidR="00D51137" w:rsidRDefault="00DB74CC" w:rsidP="00332AD4">
      <w:pPr>
        <w:pStyle w:val="Paragraph"/>
        <w:ind w:right="992"/>
      </w:pPr>
      <w:r>
        <w:t>D</w:t>
      </w:r>
      <w:r w:rsidR="00E23956" w:rsidRPr="00411364">
        <w:t>espite the difference</w:t>
      </w:r>
      <w:r w:rsidR="003E4F84" w:rsidRPr="00411364">
        <w:t>s</w:t>
      </w:r>
      <w:r>
        <w:t xml:space="preserve"> identified</w:t>
      </w:r>
      <w:r w:rsidR="00E23956" w:rsidRPr="00411364">
        <w:t xml:space="preserve">, </w:t>
      </w:r>
      <w:r w:rsidR="00EC717E" w:rsidRPr="00411364">
        <w:t xml:space="preserve">all </w:t>
      </w:r>
      <w:r w:rsidR="00371EDD" w:rsidRPr="00411364">
        <w:t>mid</w:t>
      </w:r>
      <w:r w:rsidR="00077A7D" w:rsidRPr="00411364">
        <w:t>-</w:t>
      </w:r>
      <w:r w:rsidR="00EC717E" w:rsidRPr="00411364">
        <w:t>band</w:t>
      </w:r>
      <w:r w:rsidR="00077A7D" w:rsidRPr="00411364">
        <w:t xml:space="preserve"> spectrum </w:t>
      </w:r>
      <w:r w:rsidR="000B61DF" w:rsidRPr="00411364">
        <w:t xml:space="preserve">can be </w:t>
      </w:r>
      <w:r w:rsidR="00EC717E" w:rsidRPr="00411364">
        <w:t xml:space="preserve">used to </w:t>
      </w:r>
      <w:r w:rsidR="00EC70E7" w:rsidRPr="00411364">
        <w:t>provide similar services</w:t>
      </w:r>
      <w:r w:rsidR="00EC717E" w:rsidRPr="00411364">
        <w:t xml:space="preserve"> </w:t>
      </w:r>
      <w:r w:rsidR="00B90D0B" w:rsidRPr="00411364">
        <w:t xml:space="preserve">and can be </w:t>
      </w:r>
      <w:r w:rsidR="00152865" w:rsidRPr="00411364">
        <w:t>configured</w:t>
      </w:r>
      <w:r w:rsidR="00B90D0B" w:rsidRPr="00411364">
        <w:t xml:space="preserve"> to</w:t>
      </w:r>
      <w:r w:rsidR="00B53B7D" w:rsidRPr="00411364">
        <w:t xml:space="preserve"> either</w:t>
      </w:r>
      <w:r w:rsidR="00EC717E" w:rsidRPr="00411364">
        <w:t xml:space="preserve"> </w:t>
      </w:r>
      <w:r w:rsidR="00176448" w:rsidRPr="00411364">
        <w:t xml:space="preserve">improve </w:t>
      </w:r>
      <w:r w:rsidR="00A86C8F" w:rsidRPr="00411364">
        <w:t xml:space="preserve">network </w:t>
      </w:r>
      <w:r w:rsidR="00176448" w:rsidRPr="00411364">
        <w:t xml:space="preserve">capacity or </w:t>
      </w:r>
      <w:r w:rsidR="00074B35" w:rsidRPr="00411364">
        <w:t>provide</w:t>
      </w:r>
      <w:r w:rsidR="007B580B">
        <w:t xml:space="preserve"> a</w:t>
      </w:r>
      <w:r w:rsidR="00074B35" w:rsidRPr="00411364">
        <w:t xml:space="preserve"> broad coverage</w:t>
      </w:r>
      <w:r w:rsidR="00074B35" w:rsidRPr="00411364" w:rsidDel="007B580B">
        <w:t xml:space="preserve"> </w:t>
      </w:r>
      <w:r w:rsidR="007B580B">
        <w:t>layer</w:t>
      </w:r>
      <w:r w:rsidR="00F871F5">
        <w:t xml:space="preserve"> </w:t>
      </w:r>
      <w:r w:rsidR="00590E0B">
        <w:t xml:space="preserve">as </w:t>
      </w:r>
      <w:r w:rsidR="005538E2">
        <w:t>required</w:t>
      </w:r>
      <w:r w:rsidR="00074B35" w:rsidRPr="00411364">
        <w:t>.</w:t>
      </w:r>
      <w:r w:rsidR="009A655C" w:rsidRPr="00411364">
        <w:t xml:space="preserve"> </w:t>
      </w:r>
      <w:r w:rsidR="00EC06EA" w:rsidRPr="00411364">
        <w:t xml:space="preserve">While </w:t>
      </w:r>
      <w:r w:rsidR="007B580B">
        <w:t xml:space="preserve">the availability of </w:t>
      </w:r>
      <w:r w:rsidR="00B67056" w:rsidRPr="00411364">
        <w:t xml:space="preserve">5G </w:t>
      </w:r>
      <w:r w:rsidR="007B580B">
        <w:t xml:space="preserve">equipment </w:t>
      </w:r>
      <w:r w:rsidR="00C37210">
        <w:t xml:space="preserve">currently </w:t>
      </w:r>
      <w:r w:rsidR="007B580B">
        <w:t xml:space="preserve">differs </w:t>
      </w:r>
      <w:r w:rsidR="00E57B10">
        <w:t xml:space="preserve">by </w:t>
      </w:r>
      <w:r w:rsidR="00B7143F" w:rsidRPr="00411364">
        <w:t>band</w:t>
      </w:r>
      <w:r w:rsidR="00D04C10" w:rsidRPr="00411364">
        <w:t>, with the constant evolution of technology</w:t>
      </w:r>
      <w:r w:rsidR="004B2F9F" w:rsidRPr="00411364">
        <w:t xml:space="preserve"> and growing network capacity requirements</w:t>
      </w:r>
      <w:r w:rsidR="00D04C10" w:rsidRPr="00411364">
        <w:t xml:space="preserve">, it is expected </w:t>
      </w:r>
      <w:r w:rsidR="00C37210">
        <w:t xml:space="preserve">this will change </w:t>
      </w:r>
      <w:r w:rsidR="00956AED">
        <w:t xml:space="preserve">and </w:t>
      </w:r>
      <w:r w:rsidR="005538E2">
        <w:t>bands</w:t>
      </w:r>
      <w:r w:rsidR="001C0A50" w:rsidRPr="00411364">
        <w:t xml:space="preserve"> </w:t>
      </w:r>
      <w:r w:rsidR="008B7286" w:rsidRPr="00411364">
        <w:t>can</w:t>
      </w:r>
      <w:r w:rsidR="001C0A50" w:rsidRPr="00411364">
        <w:t xml:space="preserve"> </w:t>
      </w:r>
      <w:r w:rsidR="00450D29" w:rsidRPr="00411364">
        <w:t xml:space="preserve">be </w:t>
      </w:r>
      <w:r w:rsidR="008B7286" w:rsidRPr="00411364">
        <w:t xml:space="preserve">re-farmed </w:t>
      </w:r>
      <w:r w:rsidR="00956AED">
        <w:t xml:space="preserve">to support </w:t>
      </w:r>
      <w:r w:rsidR="008B7286" w:rsidRPr="00411364">
        <w:t>such use</w:t>
      </w:r>
      <w:r w:rsidR="00450D29" w:rsidRPr="00411364">
        <w:t xml:space="preserve"> in the future</w:t>
      </w:r>
      <w:r w:rsidR="006D293D" w:rsidRPr="00411364">
        <w:t xml:space="preserve"> </w:t>
      </w:r>
      <w:r w:rsidR="008B7286" w:rsidRPr="00411364">
        <w:t xml:space="preserve">– </w:t>
      </w:r>
      <w:r w:rsidR="006D293D" w:rsidRPr="00411364">
        <w:t xml:space="preserve">this includes </w:t>
      </w:r>
      <w:r w:rsidR="008B7286" w:rsidRPr="00411364">
        <w:t xml:space="preserve">providing </w:t>
      </w:r>
      <w:r w:rsidR="006D293D" w:rsidRPr="00411364">
        <w:t>support</w:t>
      </w:r>
      <w:r w:rsidR="006B3F3A" w:rsidRPr="00411364">
        <w:t xml:space="preserve"> for</w:t>
      </w:r>
      <w:r w:rsidR="006D293D" w:rsidRPr="00411364">
        <w:t xml:space="preserve"> </w:t>
      </w:r>
      <w:r w:rsidR="004804A2" w:rsidRPr="00411364">
        <w:t xml:space="preserve">future generation </w:t>
      </w:r>
      <w:r w:rsidR="004804A2" w:rsidRPr="00411364">
        <w:lastRenderedPageBreak/>
        <w:t>technologies</w:t>
      </w:r>
      <w:r w:rsidR="002E33A3" w:rsidRPr="00411364">
        <w:t xml:space="preserve"> as well</w:t>
      </w:r>
      <w:r w:rsidR="004804A2" w:rsidRPr="00411364">
        <w:t>.</w:t>
      </w:r>
      <w:r w:rsidR="00E453C2" w:rsidRPr="00411364">
        <w:t xml:space="preserve"> </w:t>
      </w:r>
      <w:r w:rsidR="00E57B10">
        <w:t>In fact</w:t>
      </w:r>
      <w:r w:rsidR="00956AED">
        <w:t>,</w:t>
      </w:r>
      <w:r w:rsidR="00E57B10">
        <w:t xml:space="preserve"> </w:t>
      </w:r>
      <w:r w:rsidR="009476DA">
        <w:t xml:space="preserve">in Australia, </w:t>
      </w:r>
      <w:r w:rsidR="00E57B10">
        <w:t xml:space="preserve">5G services </w:t>
      </w:r>
      <w:r w:rsidR="009476DA">
        <w:t xml:space="preserve">have </w:t>
      </w:r>
      <w:r w:rsidR="00543444">
        <w:t xml:space="preserve">already </w:t>
      </w:r>
      <w:r w:rsidR="009476DA">
        <w:t xml:space="preserve">been deployed in most </w:t>
      </w:r>
      <w:r w:rsidR="00E57B10">
        <w:t>bands below 3.4 GHz.</w:t>
      </w:r>
      <w:r w:rsidR="000816A8">
        <w:t xml:space="preserve"> The ACMA has</w:t>
      </w:r>
      <w:r w:rsidR="00AD5DE3">
        <w:t xml:space="preserve"> also</w:t>
      </w:r>
      <w:r w:rsidR="000816A8">
        <w:t xml:space="preserve"> been working with industry to update </w:t>
      </w:r>
      <w:r w:rsidR="005A60B1">
        <w:t>mid-band spectrum</w:t>
      </w:r>
      <w:r w:rsidR="000816A8">
        <w:t xml:space="preserve"> technical frameworks </w:t>
      </w:r>
      <w:r w:rsidR="00C8512D">
        <w:t>(</w:t>
      </w:r>
      <w:r w:rsidR="0046358F">
        <w:t xml:space="preserve">for </w:t>
      </w:r>
      <w:r w:rsidR="00C8512D">
        <w:t xml:space="preserve">both FDD and TDD bands) </w:t>
      </w:r>
      <w:r w:rsidR="000816A8">
        <w:t xml:space="preserve">to </w:t>
      </w:r>
      <w:r w:rsidR="00F54471">
        <w:t xml:space="preserve">ensure they can </w:t>
      </w:r>
      <w:r w:rsidR="000816A8">
        <w:t>support</w:t>
      </w:r>
      <w:r w:rsidR="00E57B10">
        <w:t xml:space="preserve"> </w:t>
      </w:r>
      <w:r w:rsidR="00F54471">
        <w:t xml:space="preserve">new technologies such as 5G and active antenna systems. </w:t>
      </w:r>
    </w:p>
    <w:p w14:paraId="4A705D46" w14:textId="585E484C" w:rsidR="0012233F" w:rsidRDefault="00223CBD" w:rsidP="00332AD4">
      <w:pPr>
        <w:pStyle w:val="Paragraph"/>
        <w:ind w:right="992"/>
      </w:pPr>
      <w:r>
        <w:t>The ACMA considers that</w:t>
      </w:r>
      <w:r w:rsidR="0012233F" w:rsidRPr="00AA34E2">
        <w:t xml:space="preserve"> any near-term differences in equipment availability across these bands are </w:t>
      </w:r>
      <w:r>
        <w:t>of limited relevance, because</w:t>
      </w:r>
      <w:r w:rsidR="0012233F" w:rsidRPr="00AA34E2">
        <w:t xml:space="preserve"> in the medium to longer term these bands will become more substitutable</w:t>
      </w:r>
      <w:r w:rsidR="0012233F" w:rsidRPr="002033F6">
        <w:t>.</w:t>
      </w:r>
      <w:r w:rsidR="0012233F" w:rsidRPr="00AA34E2">
        <w:t xml:space="preserve"> </w:t>
      </w:r>
      <w:r w:rsidR="0012233F">
        <w:t xml:space="preserve">In this context, therefore, we consider all mid-band spectrum to be </w:t>
      </w:r>
      <w:r w:rsidR="006A097E">
        <w:t>at least partially</w:t>
      </w:r>
      <w:r w:rsidR="0012233F">
        <w:t xml:space="preserve"> substitutable.</w:t>
      </w:r>
    </w:p>
    <w:p w14:paraId="5AE961A0" w14:textId="6DCBEB06" w:rsidR="009E5191" w:rsidRDefault="0053393A" w:rsidP="00332AD4">
      <w:pPr>
        <w:pStyle w:val="Heading4"/>
        <w:keepNext/>
        <w:ind w:right="992"/>
      </w:pPr>
      <w:r>
        <w:t>Policy</w:t>
      </w:r>
      <w:r w:rsidR="009E5191">
        <w:t xml:space="preserve"> considerations</w:t>
      </w:r>
      <w:r>
        <w:t xml:space="preserve"> for the cross-band frequency range</w:t>
      </w:r>
    </w:p>
    <w:p w14:paraId="624102AF" w14:textId="71282D2B" w:rsidR="005113D5" w:rsidRDefault="00532050" w:rsidP="00332AD4">
      <w:pPr>
        <w:pStyle w:val="Paragraph"/>
        <w:ind w:right="992"/>
      </w:pPr>
      <w:r>
        <w:t xml:space="preserve">Despite the </w:t>
      </w:r>
      <w:r w:rsidR="001D60DD">
        <w:t>technical</w:t>
      </w:r>
      <w:r>
        <w:t xml:space="preserve"> substitutability of spectrum in the 1</w:t>
      </w:r>
      <w:r w:rsidR="0087749E">
        <w:t>–</w:t>
      </w:r>
      <w:r>
        <w:t>6 GHz frequency range</w:t>
      </w:r>
      <w:r w:rsidR="001D60DD">
        <w:t xml:space="preserve"> in the long-term</w:t>
      </w:r>
      <w:r>
        <w:t>, i</w:t>
      </w:r>
      <w:r w:rsidR="00DF3C0B">
        <w:t xml:space="preserve">t is likely that the </w:t>
      </w:r>
      <w:r w:rsidR="001065EC">
        <w:t xml:space="preserve">existing </w:t>
      </w:r>
      <w:r w:rsidR="00CC1B92">
        <w:t xml:space="preserve">licensees in the band will seek to acquire spectrum in this auction in order to </w:t>
      </w:r>
      <w:r w:rsidR="00DF3C0B">
        <w:t xml:space="preserve">complement existing </w:t>
      </w:r>
      <w:r w:rsidR="00700380">
        <w:t xml:space="preserve">spectrum-licensed </w:t>
      </w:r>
      <w:r w:rsidR="00DF3C0B">
        <w:t>holdings in the 3.4</w:t>
      </w:r>
      <w:r w:rsidR="00D45A6F">
        <w:t>–</w:t>
      </w:r>
      <w:r w:rsidR="00DF3C0B">
        <w:t>3.8 GHz frequency range</w:t>
      </w:r>
      <w:r w:rsidR="001D60DD">
        <w:t xml:space="preserve">, </w:t>
      </w:r>
      <w:r w:rsidR="00DF3C0B">
        <w:t>rather than to deploy new networks. All incumbent</w:t>
      </w:r>
      <w:r w:rsidR="00744F61">
        <w:t xml:space="preserve"> spectrum</w:t>
      </w:r>
      <w:r w:rsidR="00DF3C0B">
        <w:t xml:space="preserve"> licensees in this frequency range are currently deploying networks using their existing holdings</w:t>
      </w:r>
      <w:r w:rsidR="003E2F08">
        <w:t>.</w:t>
      </w:r>
      <w:r w:rsidR="008E361B">
        <w:t xml:space="preserve"> </w:t>
      </w:r>
    </w:p>
    <w:p w14:paraId="39DAE0F5" w14:textId="25F62A40" w:rsidR="00CA1BC0" w:rsidRDefault="007F795F" w:rsidP="00332AD4">
      <w:pPr>
        <w:pStyle w:val="Paragraph"/>
        <w:ind w:right="992"/>
      </w:pPr>
      <w:r w:rsidRPr="008A59CC">
        <w:t>Spectrum in the 3.4</w:t>
      </w:r>
      <w:r w:rsidR="00177B31">
        <w:t>–</w:t>
      </w:r>
      <w:r w:rsidRPr="008A59CC">
        <w:t xml:space="preserve">3.8 GHz frequency range is internationally harmonised for </w:t>
      </w:r>
      <w:r w:rsidR="00E81CA3" w:rsidRPr="008A59CC">
        <w:t>5G use</w:t>
      </w:r>
      <w:r w:rsidRPr="008A59CC">
        <w:t>.</w:t>
      </w:r>
      <w:r w:rsidR="00C334C7">
        <w:rPr>
          <w:rStyle w:val="FootnoteReference"/>
        </w:rPr>
        <w:footnoteReference w:id="27"/>
      </w:r>
      <w:r>
        <w:t xml:space="preserve"> </w:t>
      </w:r>
      <w:r w:rsidR="00E71BF0">
        <w:t xml:space="preserve">For the 3.4 GHz band in particular, adjacent licensees are likely to derive the greatest value from the spectrum </w:t>
      </w:r>
      <w:r w:rsidR="00F914B8">
        <w:t>by using</w:t>
      </w:r>
      <w:r w:rsidR="00E71BF0">
        <w:t xml:space="preserve"> it </w:t>
      </w:r>
      <w:r w:rsidR="00F914B8">
        <w:t>to</w:t>
      </w:r>
      <w:r w:rsidR="00E71BF0">
        <w:t xml:space="preserve"> supplement existing holdings by enabling them to obtain access to larger geographic areas and </w:t>
      </w:r>
      <w:r w:rsidR="00177B31">
        <w:t>bandwidths</w:t>
      </w:r>
      <w:r w:rsidR="005756E6">
        <w:t>.</w:t>
      </w:r>
      <w:r>
        <w:t xml:space="preserve"> </w:t>
      </w:r>
      <w:r w:rsidR="0079496A">
        <w:t xml:space="preserve">It is less likely that a licensee will derive as much value by obtaining spectrum at the </w:t>
      </w:r>
      <w:r w:rsidR="00806397">
        <w:br/>
      </w:r>
      <w:r w:rsidR="0079496A">
        <w:t>3.4/3.7 GHz bands auction to supplement i</w:t>
      </w:r>
      <w:r w:rsidR="00A51837">
        <w:t>ts holdings in the 1</w:t>
      </w:r>
      <w:r w:rsidR="0087749E">
        <w:t>–</w:t>
      </w:r>
      <w:r w:rsidR="00A51837">
        <w:t xml:space="preserve">6 GHz </w:t>
      </w:r>
      <w:r w:rsidR="001E51FA">
        <w:t xml:space="preserve">frequency </w:t>
      </w:r>
      <w:r w:rsidR="00B72AFA">
        <w:t>range</w:t>
      </w:r>
      <w:r w:rsidR="00A51837">
        <w:t xml:space="preserve"> as it does by obtaining spectrum to supplement its holdings in the 3.4</w:t>
      </w:r>
      <w:r w:rsidR="00543C36">
        <w:t>–</w:t>
      </w:r>
      <w:r w:rsidR="00A51837">
        <w:t xml:space="preserve">3.8 GHz frequency range. </w:t>
      </w:r>
      <w:r w:rsidR="005C055D">
        <w:t>Therefore</w:t>
      </w:r>
      <w:r w:rsidR="002C14FC">
        <w:t>,</w:t>
      </w:r>
      <w:r w:rsidR="002C14FC" w:rsidDel="00C133F8">
        <w:t xml:space="preserve"> </w:t>
      </w:r>
      <w:r w:rsidR="00C133F8">
        <w:t>existing licensees</w:t>
      </w:r>
      <w:r w:rsidR="002C14FC">
        <w:t xml:space="preserve"> </w:t>
      </w:r>
      <w:r w:rsidR="00103134">
        <w:t xml:space="preserve">would likely </w:t>
      </w:r>
      <w:r w:rsidR="00446AA3">
        <w:t>consider</w:t>
      </w:r>
      <w:r w:rsidR="00CA2D27">
        <w:t xml:space="preserve"> spectrum in the 3.4</w:t>
      </w:r>
      <w:r w:rsidR="00543C36">
        <w:t>–</w:t>
      </w:r>
      <w:r w:rsidR="00CA2D27">
        <w:t xml:space="preserve">3.8 GHz frequency range more substitutable than </w:t>
      </w:r>
      <w:r w:rsidR="0041356D">
        <w:t xml:space="preserve">other </w:t>
      </w:r>
      <w:r w:rsidR="00543C36">
        <w:t xml:space="preserve">mid-band </w:t>
      </w:r>
      <w:r w:rsidR="00CA2D27">
        <w:t>spectrum.</w:t>
      </w:r>
      <w:r w:rsidR="00080CA0">
        <w:t xml:space="preserve"> </w:t>
      </w:r>
    </w:p>
    <w:p w14:paraId="0A455114" w14:textId="5A9F3135" w:rsidR="00472B84" w:rsidRDefault="0019612B" w:rsidP="00332AD4">
      <w:pPr>
        <w:pStyle w:val="Paragraph"/>
        <w:ind w:right="992"/>
      </w:pPr>
      <w:r>
        <w:t>Examples</w:t>
      </w:r>
      <w:r w:rsidR="002C0F51">
        <w:t xml:space="preserve"> of allocation limits applied in other jurisdictions reflect this approach.</w:t>
      </w:r>
      <w:r w:rsidR="003E38F9" w:rsidDel="003E38F9">
        <w:rPr>
          <w:rStyle w:val="FootnoteReference"/>
        </w:rPr>
        <w:t xml:space="preserve"> </w:t>
      </w:r>
      <w:r w:rsidR="00CA1BC0">
        <w:t xml:space="preserve">In jurisdictions which have conducted an auction of spectrum in the 3.4–3.8 GHz frequency range in the last </w:t>
      </w:r>
      <w:r w:rsidR="00F54B4C">
        <w:t xml:space="preserve">2 </w:t>
      </w:r>
      <w:r w:rsidR="00CA1BC0">
        <w:t>years where an allocation limit has been imposed, a limit has applied only within the frequency range on offer (see also Belgium’s 2022 auction of 3410</w:t>
      </w:r>
      <w:r w:rsidR="0087749E">
        <w:t>–</w:t>
      </w:r>
      <w:r w:rsidR="00CA1BC0">
        <w:t>3800 MHz, Denmark’s 2021 auction of 3410</w:t>
      </w:r>
      <w:r w:rsidR="0087749E">
        <w:t>–</w:t>
      </w:r>
      <w:r w:rsidR="00CA1BC0">
        <w:t>3800 MHz, France’s 2020 auction of 3490</w:t>
      </w:r>
      <w:r w:rsidR="0087749E">
        <w:t>–</w:t>
      </w:r>
      <w:r w:rsidR="00CA1BC0">
        <w:t>3800 MHz, Sweden’s 2021 auction of 3400</w:t>
      </w:r>
      <w:r w:rsidR="0087749E">
        <w:t>–</w:t>
      </w:r>
      <w:r w:rsidR="00CA1BC0">
        <w:t xml:space="preserve">3720 MHz). In contrast, </w:t>
      </w:r>
      <w:r w:rsidR="002920FA">
        <w:t xml:space="preserve">between 2016 and 2017, </w:t>
      </w:r>
      <w:r w:rsidR="00CA1BC0">
        <w:t>the UK conducted an allocation of spectrum in the 3410</w:t>
      </w:r>
      <w:r w:rsidR="0087749E">
        <w:t>–</w:t>
      </w:r>
      <w:r w:rsidR="00CA1BC0">
        <w:t>3480 MHz and 3500</w:t>
      </w:r>
      <w:r w:rsidR="0087749E">
        <w:t>–</w:t>
      </w:r>
      <w:r w:rsidR="00CA1BC0">
        <w:t>3580 MHz frequency ranges and accounted for all spectrum-licensed holdings, limiting each bidder to 37% of currently licensed spectrum.</w:t>
      </w:r>
    </w:p>
    <w:p w14:paraId="0F4BE85E" w14:textId="669A6248" w:rsidR="009D31C0" w:rsidRDefault="00363255" w:rsidP="00332AD4">
      <w:pPr>
        <w:pStyle w:val="Paragraph"/>
        <w:ind w:right="992"/>
      </w:pPr>
      <w:r>
        <w:t>Although the natur</w:t>
      </w:r>
      <w:r w:rsidR="00065310">
        <w:t>e</w:t>
      </w:r>
      <w:r>
        <w:t xml:space="preserve"> of substitutability is likely different for a non-incumbent licensee</w:t>
      </w:r>
      <w:r w:rsidR="009F3A3C">
        <w:t xml:space="preserve"> (in the 3.4</w:t>
      </w:r>
      <w:r w:rsidR="00357163">
        <w:t>–</w:t>
      </w:r>
      <w:r w:rsidR="009F3A3C">
        <w:t>3.8 GHz frequency range)</w:t>
      </w:r>
      <w:r>
        <w:t xml:space="preserve"> or a new entrant, </w:t>
      </w:r>
      <w:r w:rsidR="009D31C0">
        <w:t xml:space="preserve">the question over </w:t>
      </w:r>
      <w:r w:rsidR="008B453C">
        <w:t xml:space="preserve">the cross-band frequency range is unlikely to be relevant for any </w:t>
      </w:r>
      <w:r w:rsidR="00004FF6">
        <w:t>new market entrants</w:t>
      </w:r>
      <w:r w:rsidR="00C15937">
        <w:t xml:space="preserve"> given the restrictions </w:t>
      </w:r>
      <w:r w:rsidR="00727E3C">
        <w:t xml:space="preserve">would be unlikely to </w:t>
      </w:r>
      <w:r w:rsidR="00381304">
        <w:t xml:space="preserve">have any practical effect </w:t>
      </w:r>
      <w:r w:rsidR="00727E3C">
        <w:t xml:space="preserve">for these parties under any </w:t>
      </w:r>
      <w:r w:rsidR="004E0BAC">
        <w:t>approach.</w:t>
      </w:r>
    </w:p>
    <w:p w14:paraId="22CE8FEE" w14:textId="1EEC75F6" w:rsidR="00EF317D" w:rsidRPr="00CA792E" w:rsidRDefault="005A4524" w:rsidP="00332AD4">
      <w:pPr>
        <w:pStyle w:val="Paragraph"/>
        <w:ind w:right="992"/>
      </w:pPr>
      <w:r w:rsidRPr="00CA792E">
        <w:t>Further, a</w:t>
      </w:r>
      <w:r w:rsidR="002D32D0" w:rsidRPr="00CA792E">
        <w:t xml:space="preserve">n operator’s existing holdings in another band may constrain their ability </w:t>
      </w:r>
      <w:r w:rsidR="002D32D0" w:rsidRPr="00CA792E" w:rsidDel="00AC6D44">
        <w:t xml:space="preserve">to </w:t>
      </w:r>
      <w:r w:rsidR="002D32D0" w:rsidRPr="00CA792E">
        <w:t>obtain geographically contiguous spectrum in the 3.4/3.7 GHz bands, which would impose issues at licence boundaries (resulting from the need to manage co-channel interference)</w:t>
      </w:r>
      <w:r w:rsidRPr="00CA792E">
        <w:t>.</w:t>
      </w:r>
      <w:r w:rsidR="000367B1" w:rsidRPr="00CA792E">
        <w:t xml:space="preserve"> This was noted by the ACCC in its advice to the ACMA</w:t>
      </w:r>
      <w:r w:rsidR="00FD0843" w:rsidRPr="00CA792E">
        <w:t>.</w:t>
      </w:r>
      <w:r w:rsidRPr="00CA792E">
        <w:rPr>
          <w:rStyle w:val="FootnoteReference"/>
        </w:rPr>
        <w:footnoteReference w:id="28"/>
      </w:r>
      <w:r w:rsidRPr="00CA792E">
        <w:t xml:space="preserve"> </w:t>
      </w:r>
      <w:r w:rsidR="00D212B8" w:rsidRPr="00CA792E">
        <w:t xml:space="preserve">It is clear </w:t>
      </w:r>
      <w:r w:rsidR="009C4D7E" w:rsidRPr="00CA792E">
        <w:t xml:space="preserve">that licensees value </w:t>
      </w:r>
      <w:r w:rsidR="00FB0CB3" w:rsidRPr="00CA792E">
        <w:t xml:space="preserve">obtaining contiguous spectrum holdings in a given geographical area </w:t>
      </w:r>
      <w:r w:rsidR="002D32D0" w:rsidRPr="00CA792E">
        <w:t>(</w:t>
      </w:r>
      <w:r w:rsidR="00FB0CB3" w:rsidRPr="00CA792E">
        <w:t>the larger the better</w:t>
      </w:r>
      <w:r w:rsidR="002D32D0" w:rsidRPr="00CA792E">
        <w:t>)</w:t>
      </w:r>
      <w:r w:rsidR="00FB0CB3" w:rsidRPr="00CA792E">
        <w:t xml:space="preserve">. </w:t>
      </w:r>
      <w:r w:rsidR="008E10B1" w:rsidRPr="00CA792E">
        <w:t>The</w:t>
      </w:r>
      <w:r w:rsidR="00D212B8" w:rsidRPr="00CA792E">
        <w:t xml:space="preserve"> ACMA understands </w:t>
      </w:r>
      <w:r w:rsidR="007D4A48" w:rsidRPr="00CA792E">
        <w:t>licensees</w:t>
      </w:r>
      <w:r w:rsidR="00A32E60" w:rsidRPr="00CA792E">
        <w:t xml:space="preserve"> also</w:t>
      </w:r>
      <w:r w:rsidR="007D4A48" w:rsidRPr="00CA792E">
        <w:t xml:space="preserve"> value </w:t>
      </w:r>
      <w:r w:rsidR="003F38A9" w:rsidRPr="00CA792E">
        <w:t>obtaining</w:t>
      </w:r>
      <w:r w:rsidR="007D4A48" w:rsidRPr="00CA792E">
        <w:t xml:space="preserve"> the same </w:t>
      </w:r>
      <w:r w:rsidR="003F38A9" w:rsidRPr="00CA792E">
        <w:t>frequency</w:t>
      </w:r>
      <w:r w:rsidR="007D4A48" w:rsidRPr="00CA792E">
        <w:t xml:space="preserve"> in </w:t>
      </w:r>
      <w:r w:rsidR="003F38A9" w:rsidRPr="00CA792E">
        <w:t>adjacent geographical areas</w:t>
      </w:r>
      <w:r w:rsidR="000A4433" w:rsidRPr="00CA792E">
        <w:t xml:space="preserve"> because, </w:t>
      </w:r>
      <w:r w:rsidR="00533995" w:rsidRPr="00CA792E">
        <w:t>in order to manage interference,</w:t>
      </w:r>
      <w:r w:rsidR="009A000E" w:rsidRPr="00CA792E">
        <w:t xml:space="preserve"> </w:t>
      </w:r>
      <w:r w:rsidR="00FD2ED3" w:rsidRPr="00CA792E">
        <w:t xml:space="preserve">the ability </w:t>
      </w:r>
      <w:r w:rsidR="009D6944" w:rsidRPr="00CA792E">
        <w:t xml:space="preserve">to </w:t>
      </w:r>
      <w:r w:rsidR="000712B7" w:rsidRPr="00CA792E">
        <w:t xml:space="preserve">deploy services </w:t>
      </w:r>
      <w:r w:rsidR="003B205B" w:rsidRPr="00CA792E">
        <w:t xml:space="preserve">near licence </w:t>
      </w:r>
      <w:r w:rsidR="000712B7" w:rsidRPr="00CA792E">
        <w:t>boundaries</w:t>
      </w:r>
      <w:r w:rsidR="00FD2ED3" w:rsidRPr="00CA792E">
        <w:t xml:space="preserve"> becomes </w:t>
      </w:r>
      <w:r w:rsidR="00FD2ED3" w:rsidRPr="00CA792E">
        <w:lastRenderedPageBreak/>
        <w:t>increasingly constrained</w:t>
      </w:r>
      <w:r w:rsidR="00926186" w:rsidRPr="00CA792E">
        <w:t>.</w:t>
      </w:r>
      <w:r w:rsidR="00D6674A" w:rsidRPr="00CA792E">
        <w:t xml:space="preserve"> </w:t>
      </w:r>
      <w:r w:rsidR="002B27C0" w:rsidRPr="00CA792E">
        <w:t xml:space="preserve">The ACMA considers that having </w:t>
      </w:r>
      <w:r w:rsidR="00D6674A" w:rsidRPr="00CA792E">
        <w:t xml:space="preserve">geographically contiguous spectrum avoids </w:t>
      </w:r>
      <w:r w:rsidR="007A769F" w:rsidRPr="00CA792E">
        <w:t xml:space="preserve">this issue. </w:t>
      </w:r>
    </w:p>
    <w:p w14:paraId="162D9C72" w14:textId="06682973" w:rsidR="00153B1C" w:rsidRPr="00CA792E" w:rsidRDefault="00FE72AD" w:rsidP="00332AD4">
      <w:pPr>
        <w:pStyle w:val="Paragraph"/>
        <w:ind w:right="992"/>
      </w:pPr>
      <w:r w:rsidRPr="00CA792E">
        <w:t>To a certain degree,</w:t>
      </w:r>
      <w:r w:rsidR="0070755A" w:rsidRPr="00CA792E">
        <w:t xml:space="preserve"> </w:t>
      </w:r>
      <w:r w:rsidR="00853478" w:rsidRPr="00CA792E">
        <w:t xml:space="preserve">allocation limits </w:t>
      </w:r>
      <w:r w:rsidRPr="00CA792E">
        <w:t>across</w:t>
      </w:r>
      <w:r w:rsidR="00853478" w:rsidRPr="00CA792E">
        <w:t xml:space="preserve"> areas where there are mismatched </w:t>
      </w:r>
      <w:r w:rsidR="00E41299" w:rsidRPr="00CA792E">
        <w:t>geographic</w:t>
      </w:r>
      <w:r w:rsidR="00853478" w:rsidRPr="00CA792E">
        <w:t xml:space="preserve"> boundaries </w:t>
      </w:r>
      <w:r w:rsidR="009323C1" w:rsidRPr="00CA792E">
        <w:t xml:space="preserve">may </w:t>
      </w:r>
      <w:r w:rsidRPr="00CA792E">
        <w:t xml:space="preserve">be </w:t>
      </w:r>
      <w:r w:rsidR="006F509E" w:rsidRPr="00CA792E">
        <w:t xml:space="preserve">successfully </w:t>
      </w:r>
      <w:r w:rsidRPr="00CA792E">
        <w:t>implemented by configuring</w:t>
      </w:r>
      <w:r w:rsidR="0034245C" w:rsidRPr="00CA792E">
        <w:t xml:space="preserve"> other auction settings </w:t>
      </w:r>
      <w:r w:rsidRPr="00CA792E">
        <w:t>accordingly,</w:t>
      </w:r>
      <w:r w:rsidR="0034245C" w:rsidRPr="00CA792E">
        <w:t xml:space="preserve"> such as</w:t>
      </w:r>
      <w:r w:rsidR="00E04FD6" w:rsidRPr="00CA792E">
        <w:t xml:space="preserve"> </w:t>
      </w:r>
      <w:r w:rsidR="00886C59" w:rsidRPr="00CA792E">
        <w:t xml:space="preserve">tailoring </w:t>
      </w:r>
      <w:r w:rsidR="00E04FD6" w:rsidRPr="00CA792E">
        <w:t xml:space="preserve">the </w:t>
      </w:r>
      <w:r w:rsidR="00D14584" w:rsidRPr="00CA792E">
        <w:t xml:space="preserve">geographic </w:t>
      </w:r>
      <w:r w:rsidR="00886C59" w:rsidRPr="00CA792E">
        <w:t>areas</w:t>
      </w:r>
      <w:r w:rsidR="00D14584" w:rsidRPr="00CA792E">
        <w:t xml:space="preserve"> of the available products </w:t>
      </w:r>
      <w:r w:rsidR="00886C59" w:rsidRPr="00CA792E">
        <w:t>to align with all boundaries</w:t>
      </w:r>
      <w:r w:rsidR="00BA0149" w:rsidRPr="00CA792E">
        <w:t xml:space="preserve"> of the </w:t>
      </w:r>
      <w:r w:rsidR="007A2A98" w:rsidRPr="00CA792E">
        <w:t>current</w:t>
      </w:r>
      <w:r w:rsidR="00BA0149" w:rsidRPr="00CA792E">
        <w:t xml:space="preserve"> holdings in the cross-band frequency range and/</w:t>
      </w:r>
      <w:r w:rsidR="00D14584" w:rsidRPr="00CA792E">
        <w:t xml:space="preserve">or the </w:t>
      </w:r>
      <w:r w:rsidRPr="00CA792E">
        <w:t xml:space="preserve">application </w:t>
      </w:r>
      <w:r w:rsidR="00D14584" w:rsidRPr="00CA792E">
        <w:t xml:space="preserve">of an insignificant holdings threshold. </w:t>
      </w:r>
      <w:r w:rsidR="00BA0149" w:rsidRPr="00CA792E">
        <w:t xml:space="preserve">In this case, </w:t>
      </w:r>
      <w:r w:rsidR="002548B9" w:rsidRPr="00CA792E">
        <w:t>the geographic boundaries in the</w:t>
      </w:r>
      <w:r w:rsidR="0045778E" w:rsidRPr="00CA792E">
        <w:t xml:space="preserve"> </w:t>
      </w:r>
      <w:r w:rsidR="009A5FDF" w:rsidRPr="00CA792E">
        <w:t>1</w:t>
      </w:r>
      <w:r w:rsidR="008F2886" w:rsidRPr="00CA792E">
        <w:t>–</w:t>
      </w:r>
      <w:r w:rsidR="009A5FDF" w:rsidRPr="00CA792E">
        <w:t>6 GHz</w:t>
      </w:r>
      <w:r w:rsidR="002548B9" w:rsidRPr="00CA792E">
        <w:t xml:space="preserve"> mid-band </w:t>
      </w:r>
      <w:r w:rsidR="009A5FDF" w:rsidRPr="00CA792E">
        <w:t xml:space="preserve">frequency range </w:t>
      </w:r>
      <w:r w:rsidR="002548B9" w:rsidRPr="00CA792E">
        <w:t xml:space="preserve">do not align. Any </w:t>
      </w:r>
      <w:r w:rsidR="00127244" w:rsidRPr="00CA792E">
        <w:t>further disaggregation of</w:t>
      </w:r>
      <w:r w:rsidR="005A552A" w:rsidRPr="00CA792E">
        <w:t xml:space="preserve"> geographic areas of products available at this auction beyond th</w:t>
      </w:r>
      <w:r w:rsidR="00127244" w:rsidRPr="00CA792E">
        <w:t>ose</w:t>
      </w:r>
      <w:r w:rsidR="005A552A" w:rsidRPr="00CA792E">
        <w:t xml:space="preserve"> proposed </w:t>
      </w:r>
      <w:r w:rsidR="00931D46" w:rsidRPr="00CA792E">
        <w:t>may increase</w:t>
      </w:r>
      <w:r w:rsidR="00947E49" w:rsidRPr="00CA792E">
        <w:t xml:space="preserve"> </w:t>
      </w:r>
      <w:r w:rsidR="00040795" w:rsidRPr="00CA792E">
        <w:t>the</w:t>
      </w:r>
      <w:r w:rsidR="00943447" w:rsidRPr="00CA792E">
        <w:t xml:space="preserve"> need for interference management measures around the </w:t>
      </w:r>
      <w:r w:rsidR="003A7C36" w:rsidRPr="00CA792E">
        <w:t xml:space="preserve">geographic </w:t>
      </w:r>
      <w:r w:rsidR="00943447" w:rsidRPr="00CA792E">
        <w:t>boundaries</w:t>
      </w:r>
      <w:r w:rsidR="00127244" w:rsidRPr="00CA792E">
        <w:t>, increasing the ‘</w:t>
      </w:r>
      <w:r w:rsidR="00436A9A" w:rsidRPr="00CA792E">
        <w:t>utility loss</w:t>
      </w:r>
      <w:r w:rsidR="00127244" w:rsidRPr="00CA792E">
        <w:t xml:space="preserve"> zone’ issue</w:t>
      </w:r>
      <w:r w:rsidR="00B331E0" w:rsidRPr="00CA792E">
        <w:t xml:space="preserve"> (referred to above at </w:t>
      </w:r>
      <w:r w:rsidR="00436A9A" w:rsidRPr="00CA792E">
        <w:t>the ‘Sequencing’ section</w:t>
      </w:r>
      <w:r w:rsidR="00B331E0" w:rsidRPr="00CA792E">
        <w:t xml:space="preserve"> of this paper)</w:t>
      </w:r>
      <w:r w:rsidR="00127244" w:rsidRPr="00CA792E">
        <w:t>.</w:t>
      </w:r>
      <w:r w:rsidR="001A3529" w:rsidRPr="00CA792E">
        <w:t xml:space="preserve"> </w:t>
      </w:r>
      <w:r w:rsidR="00B90E96" w:rsidRPr="00CA792E">
        <w:t>More d</w:t>
      </w:r>
      <w:r w:rsidR="00083306" w:rsidRPr="00CA792E">
        <w:t xml:space="preserve">isaggregated geographic areas may also increase the risk </w:t>
      </w:r>
      <w:r w:rsidR="00AF34B5" w:rsidRPr="00CA792E">
        <w:t>that bidders will not obtain geographically contiguous</w:t>
      </w:r>
      <w:r w:rsidR="00083306" w:rsidRPr="00CA792E">
        <w:t xml:space="preserve"> </w:t>
      </w:r>
      <w:r w:rsidR="00AB0E9E" w:rsidRPr="00CA792E">
        <w:t>areas in the 3.4</w:t>
      </w:r>
      <w:r w:rsidR="0049326E" w:rsidRPr="00CA792E">
        <w:t>–</w:t>
      </w:r>
      <w:r w:rsidR="00AB0E9E" w:rsidRPr="00CA792E">
        <w:t xml:space="preserve">3.8 GHz frequency range which suit their needs. </w:t>
      </w:r>
    </w:p>
    <w:p w14:paraId="2DC5BC8D" w14:textId="650ACEC8" w:rsidR="007C0205" w:rsidRPr="00CA792E" w:rsidRDefault="009155AE" w:rsidP="00332AD4">
      <w:pPr>
        <w:pStyle w:val="Paragraph"/>
        <w:ind w:right="992"/>
      </w:pPr>
      <w:r w:rsidRPr="00CA792E">
        <w:t>I</w:t>
      </w:r>
      <w:r w:rsidR="00FE122E" w:rsidRPr="00CA792E">
        <w:t>mportantly, w</w:t>
      </w:r>
      <w:r w:rsidR="00B46AAC" w:rsidRPr="00CA792E">
        <w:t>hile</w:t>
      </w:r>
      <w:r w:rsidR="0083351B" w:rsidRPr="00CA792E">
        <w:t xml:space="preserve"> </w:t>
      </w:r>
      <w:r w:rsidR="004D6B1E" w:rsidRPr="00CA792E">
        <w:t>spectrum in</w:t>
      </w:r>
      <w:r w:rsidR="0083351B" w:rsidRPr="00CA792E">
        <w:t xml:space="preserve"> the 1</w:t>
      </w:r>
      <w:r w:rsidR="00A131FC" w:rsidRPr="00CA792E">
        <w:t>–</w:t>
      </w:r>
      <w:r w:rsidR="0083351B" w:rsidRPr="00CA792E">
        <w:t xml:space="preserve">6 GHz </w:t>
      </w:r>
      <w:r w:rsidR="005A3437" w:rsidRPr="00CA792E">
        <w:t>frequency range</w:t>
      </w:r>
      <w:r w:rsidR="0083351B" w:rsidRPr="00CA792E">
        <w:t xml:space="preserve"> is likely to be considered broadly substitutable with the </w:t>
      </w:r>
      <w:r w:rsidR="0083351B" w:rsidRPr="00CA792E" w:rsidDel="004C4BD4">
        <w:t>3.4</w:t>
      </w:r>
      <w:r w:rsidR="004C4BD4" w:rsidRPr="00CA792E">
        <w:t>/3.7 GHz bands spectrum</w:t>
      </w:r>
      <w:r w:rsidR="0083351B" w:rsidRPr="00CA792E">
        <w:t xml:space="preserve">, implementing limits over </w:t>
      </w:r>
      <w:r w:rsidR="00B63B70" w:rsidRPr="00CA792E">
        <w:t>the 1</w:t>
      </w:r>
      <w:r w:rsidR="008F2886" w:rsidRPr="00CA792E">
        <w:t>–</w:t>
      </w:r>
      <w:r w:rsidR="00B63B70" w:rsidRPr="00CA792E">
        <w:t xml:space="preserve">6 GHz frequency </w:t>
      </w:r>
      <w:r w:rsidR="0083351B" w:rsidRPr="00CA792E">
        <w:t xml:space="preserve">range </w:t>
      </w:r>
      <w:r w:rsidR="00300102" w:rsidRPr="00CA792E">
        <w:t xml:space="preserve">will further increase the complexity of the allocation </w:t>
      </w:r>
      <w:r w:rsidR="0083351B" w:rsidRPr="00CA792E">
        <w:t xml:space="preserve">due to the diversity in spectrum holdings in these bands. </w:t>
      </w:r>
      <w:r w:rsidR="00DB2EEA" w:rsidRPr="00CA792E">
        <w:t>Such</w:t>
      </w:r>
      <w:r w:rsidR="0083351B" w:rsidRPr="00CA792E" w:rsidDel="00AC5321">
        <w:t xml:space="preserve"> </w:t>
      </w:r>
      <w:r w:rsidR="00AC5321" w:rsidRPr="00CA792E">
        <w:t xml:space="preserve">additional </w:t>
      </w:r>
      <w:r w:rsidR="0083351B" w:rsidRPr="00CA792E">
        <w:t>complexity</w:t>
      </w:r>
      <w:r w:rsidR="00AC5321" w:rsidRPr="00CA792E">
        <w:t xml:space="preserve">, in an already complex </w:t>
      </w:r>
      <w:r w:rsidR="007F4902" w:rsidRPr="00CA792E">
        <w:t>auction</w:t>
      </w:r>
      <w:r w:rsidR="00AC5321" w:rsidRPr="00CA792E">
        <w:t>,</w:t>
      </w:r>
      <w:r w:rsidR="0083351B" w:rsidRPr="00CA792E">
        <w:t xml:space="preserve"> </w:t>
      </w:r>
      <w:r w:rsidR="007F4902" w:rsidRPr="00CA792E">
        <w:t xml:space="preserve">will </w:t>
      </w:r>
      <w:r w:rsidR="0083351B" w:rsidRPr="00CA792E">
        <w:t>mak</w:t>
      </w:r>
      <w:r w:rsidR="00273A76" w:rsidRPr="00CA792E">
        <w:t>e</w:t>
      </w:r>
      <w:r w:rsidR="0083351B" w:rsidRPr="00CA792E">
        <w:t xml:space="preserve"> bid strategy formulation and auction implementation overly </w:t>
      </w:r>
      <w:r w:rsidR="00E71981" w:rsidRPr="00CA792E">
        <w:t>complicated</w:t>
      </w:r>
      <w:r w:rsidR="0083351B" w:rsidRPr="00CA792E">
        <w:t xml:space="preserve">. </w:t>
      </w:r>
      <w:r w:rsidR="005D50AF" w:rsidRPr="00CA792E">
        <w:t xml:space="preserve">We would also need to freshly consider </w:t>
      </w:r>
      <w:r w:rsidR="005C250E" w:rsidRPr="00CA792E">
        <w:t>the appropriate quantum of the allocation limit</w:t>
      </w:r>
      <w:r w:rsidR="00927283" w:rsidRPr="00CA792E">
        <w:t xml:space="preserve"> and how such limits might be implemented through our auction design</w:t>
      </w:r>
      <w:r w:rsidR="005C250E" w:rsidRPr="00CA792E">
        <w:t xml:space="preserve">, </w:t>
      </w:r>
      <w:r w:rsidR="00866308" w:rsidRPr="00CA792E">
        <w:t>which may require further time and potentially further consultations</w:t>
      </w:r>
      <w:r w:rsidR="00FE122E" w:rsidRPr="00CA792E">
        <w:t xml:space="preserve"> which could have implications on the proposed timing of this spectrum allocation</w:t>
      </w:r>
      <w:r w:rsidR="00866308" w:rsidRPr="00CA792E">
        <w:t xml:space="preserve">. </w:t>
      </w:r>
    </w:p>
    <w:p w14:paraId="08F261D3" w14:textId="42244C0E" w:rsidR="00665657" w:rsidRDefault="00C40AB9" w:rsidP="00332AD4">
      <w:pPr>
        <w:pStyle w:val="Paragraph"/>
        <w:ind w:right="992"/>
      </w:pPr>
      <w:r w:rsidRPr="00D40740">
        <w:t xml:space="preserve">Taking into account relevant technical and policy </w:t>
      </w:r>
      <w:r w:rsidR="003F07D1" w:rsidRPr="00D40740">
        <w:t>matters, w</w:t>
      </w:r>
      <w:r w:rsidR="00A43AC0" w:rsidRPr="00D40740">
        <w:t>e</w:t>
      </w:r>
      <w:r w:rsidR="000059DF" w:rsidRPr="00CA792E">
        <w:t xml:space="preserve"> </w:t>
      </w:r>
      <w:r w:rsidR="00EC46AA" w:rsidRPr="00CA792E">
        <w:t>consider that</w:t>
      </w:r>
      <w:r w:rsidR="000059DF" w:rsidRPr="00CA792E">
        <w:t xml:space="preserve"> cross-band limits should </w:t>
      </w:r>
      <w:r w:rsidR="00045433" w:rsidRPr="00CA792E">
        <w:t>account for</w:t>
      </w:r>
      <w:r w:rsidR="000059DF" w:rsidRPr="00CA792E">
        <w:t xml:space="preserve"> </w:t>
      </w:r>
      <w:r w:rsidR="004A298B" w:rsidRPr="00CA792E">
        <w:t>the 3.4</w:t>
      </w:r>
      <w:r w:rsidR="008F2886" w:rsidRPr="00CA792E">
        <w:t>–</w:t>
      </w:r>
      <w:r w:rsidR="004A298B" w:rsidRPr="00CA792E">
        <w:t>3.8 GHz frequency range</w:t>
      </w:r>
      <w:r w:rsidR="000059DF" w:rsidRPr="00CA792E">
        <w:t xml:space="preserve"> only.</w:t>
      </w:r>
      <w:r w:rsidR="00017CEE" w:rsidRPr="00CA792E">
        <w:t xml:space="preserve"> We seek comments on </w:t>
      </w:r>
      <w:r w:rsidR="00A80359" w:rsidRPr="00CA792E">
        <w:t xml:space="preserve">the </w:t>
      </w:r>
      <w:r w:rsidR="0002217A" w:rsidRPr="00CA792E">
        <w:t>matters</w:t>
      </w:r>
      <w:r w:rsidR="009F1381" w:rsidRPr="00CA792E">
        <w:t xml:space="preserve"> relevant to </w:t>
      </w:r>
      <w:r w:rsidR="001D254D" w:rsidRPr="00CA792E">
        <w:t>the</w:t>
      </w:r>
      <w:r w:rsidR="009F1381" w:rsidRPr="00CA792E">
        <w:t xml:space="preserve"> cross-band frequency range</w:t>
      </w:r>
      <w:r w:rsidR="00C9248C" w:rsidRPr="00B968A6">
        <w:t>, as well as on the cross-band frequency range itself</w:t>
      </w:r>
      <w:r w:rsidR="00927283" w:rsidRPr="00CA792E">
        <w:t>.</w:t>
      </w:r>
      <w:r w:rsidR="00927283">
        <w:t xml:space="preserve"> </w:t>
      </w:r>
    </w:p>
    <w:p w14:paraId="7F7AA8ED" w14:textId="77777777" w:rsidR="00334939" w:rsidRPr="00FC4825" w:rsidRDefault="00334939" w:rsidP="00332AD4">
      <w:pPr>
        <w:pStyle w:val="Heading3"/>
        <w:ind w:right="992"/>
      </w:pPr>
      <w:r w:rsidRPr="00FC4825">
        <w:t>Types of holdings considered</w:t>
      </w:r>
    </w:p>
    <w:p w14:paraId="628766AB" w14:textId="04ABBBA6" w:rsidR="00334939" w:rsidRDefault="00334939" w:rsidP="00332AD4">
      <w:pPr>
        <w:pStyle w:val="Paragraph"/>
        <w:ind w:right="992"/>
      </w:pPr>
      <w:r>
        <w:t xml:space="preserve">When calculating a bidder’s allocation limit, we propose only to </w:t>
      </w:r>
      <w:r w:rsidR="00EA469D">
        <w:t xml:space="preserve">consider </w:t>
      </w:r>
      <w:r>
        <w:t xml:space="preserve">the bidder’s spectrum-licensed holdings within the </w:t>
      </w:r>
      <w:r w:rsidR="005F7BD0">
        <w:t>3.4</w:t>
      </w:r>
      <w:r w:rsidR="00BF2935">
        <w:t>–</w:t>
      </w:r>
      <w:r w:rsidR="005F7BD0">
        <w:t xml:space="preserve">3.8 GHz </w:t>
      </w:r>
      <w:r>
        <w:t xml:space="preserve">cross-band frequency range. </w:t>
      </w:r>
      <w:r w:rsidR="00C4363F">
        <w:t>Any apparatus-licensed holdings within the 3.4</w:t>
      </w:r>
      <w:r w:rsidR="00BF2935">
        <w:t>–</w:t>
      </w:r>
      <w:r w:rsidR="00C4363F">
        <w:t>3.8 GHz frequency range in the metropolitan and regional areas which have been declared for re-allocation will be cancelled</w:t>
      </w:r>
      <w:r w:rsidR="00DC4001">
        <w:t xml:space="preserve"> </w:t>
      </w:r>
      <w:r w:rsidR="00704F03">
        <w:t xml:space="preserve">immediately </w:t>
      </w:r>
      <w:r w:rsidR="00E9015B">
        <w:t>after</w:t>
      </w:r>
      <w:r w:rsidR="00DC4001">
        <w:t xml:space="preserve"> the re-allocation period, </w:t>
      </w:r>
      <w:r w:rsidR="00E9015B">
        <w:t>which ends</w:t>
      </w:r>
      <w:r w:rsidR="00DC4001">
        <w:t xml:space="preserve"> on </w:t>
      </w:r>
      <w:r w:rsidR="00B6354F" w:rsidRPr="00577AC9">
        <w:t>16</w:t>
      </w:r>
      <w:r w:rsidR="00DC4001" w:rsidRPr="00577AC9">
        <w:t xml:space="preserve"> July 2027</w:t>
      </w:r>
      <w:r w:rsidR="00A0448E">
        <w:t>.</w:t>
      </w:r>
      <w:r w:rsidR="00C009DC">
        <w:t xml:space="preserve"> The urban excise areas in the 3400</w:t>
      </w:r>
      <w:r w:rsidR="0087749E">
        <w:t>–</w:t>
      </w:r>
      <w:r w:rsidR="00C009DC">
        <w:t>34</w:t>
      </w:r>
      <w:r w:rsidR="00937CCD">
        <w:t>7</w:t>
      </w:r>
      <w:r w:rsidR="00C009DC">
        <w:t>5 MHz frequency range are currently vacant.</w:t>
      </w:r>
      <w:r w:rsidR="00DC4001">
        <w:t xml:space="preserve"> </w:t>
      </w:r>
      <w:r w:rsidR="00A0448E">
        <w:t>Therefore, apparatus licences in the 3.4</w:t>
      </w:r>
      <w:r w:rsidR="0087749E">
        <w:t>–</w:t>
      </w:r>
      <w:r w:rsidR="00A0448E">
        <w:t xml:space="preserve">3.8 GHz frequency range in the </w:t>
      </w:r>
      <w:r w:rsidR="00A53997">
        <w:t>metropolitan and regional</w:t>
      </w:r>
      <w:r w:rsidR="00A0448E">
        <w:t xml:space="preserve"> areas</w:t>
      </w:r>
      <w:r w:rsidR="00DC4001">
        <w:t xml:space="preserve"> are not relevant for</w:t>
      </w:r>
      <w:r w:rsidR="0039667D">
        <w:t xml:space="preserve"> a bidder’s ability to compete </w:t>
      </w:r>
      <w:r w:rsidR="008A60D8">
        <w:t>in downstream markets</w:t>
      </w:r>
      <w:r w:rsidR="0039667D">
        <w:t xml:space="preserve"> as a result of the spectrum licence auction.</w:t>
      </w:r>
    </w:p>
    <w:p w14:paraId="1B763A35" w14:textId="007EE67D" w:rsidR="00D46CD8" w:rsidRDefault="00AD2595" w:rsidP="00332AD4">
      <w:pPr>
        <w:pStyle w:val="Paragraph"/>
        <w:ind w:right="992"/>
      </w:pPr>
      <w:r>
        <w:t xml:space="preserve">Spectrum accessible through a third-party authorisation </w:t>
      </w:r>
      <w:r w:rsidR="00403A81">
        <w:t>under section 68 of the Act</w:t>
      </w:r>
      <w:r w:rsidR="00E03250">
        <w:t>, for which the bidder is not the licen</w:t>
      </w:r>
      <w:r w:rsidR="00403A81">
        <w:t xml:space="preserve">see </w:t>
      </w:r>
      <w:r w:rsidR="005C7EFF">
        <w:t xml:space="preserve">is proposed </w:t>
      </w:r>
      <w:r w:rsidR="00A16FE6">
        <w:t xml:space="preserve">not </w:t>
      </w:r>
      <w:r w:rsidR="005557D7">
        <w:t xml:space="preserve">to </w:t>
      </w:r>
      <w:r w:rsidR="00A16FE6">
        <w:t xml:space="preserve">be counted towards the bidder’s allocation limit. </w:t>
      </w:r>
      <w:r w:rsidR="005817BB">
        <w:t xml:space="preserve">This is consistent with the allocation limits policies applied in recent auctions, such as the 850/900 MHz band, 26 GHz band and 3.6 GHz </w:t>
      </w:r>
      <w:r w:rsidR="004F69A1">
        <w:br/>
      </w:r>
      <w:r w:rsidR="005817BB">
        <w:t>band auctions.</w:t>
      </w:r>
      <w:r w:rsidR="007464B8">
        <w:t xml:space="preserve"> </w:t>
      </w:r>
    </w:p>
    <w:p w14:paraId="6D49AFEC" w14:textId="00A34E47" w:rsidR="00E02135" w:rsidRDefault="00E02135" w:rsidP="00332AD4">
      <w:pPr>
        <w:pStyle w:val="Paragraph"/>
        <w:ind w:right="992"/>
      </w:pPr>
      <w:r>
        <w:t>Inclusion of third-</w:t>
      </w:r>
      <w:r w:rsidR="00C409C3">
        <w:t xml:space="preserve">party authorisations </w:t>
      </w:r>
      <w:r w:rsidR="00142137">
        <w:t>for this allocation</w:t>
      </w:r>
      <w:r w:rsidR="00C409C3">
        <w:t xml:space="preserve"> would likely exacerbate the complexity that flows from </w:t>
      </w:r>
      <w:r w:rsidR="00767BAB">
        <w:t>mismatched geographic boundaries noted above in the discussion of inclusion of holdings in other bands in the cross-band frequency range</w:t>
      </w:r>
      <w:r w:rsidR="00A665D8">
        <w:t xml:space="preserve">. </w:t>
      </w:r>
      <w:r w:rsidR="00AB5AE3">
        <w:t xml:space="preserve">It may not be possible </w:t>
      </w:r>
      <w:r w:rsidR="00550DA5">
        <w:t xml:space="preserve">to disaggregate </w:t>
      </w:r>
      <w:r w:rsidR="00A246CE">
        <w:t xml:space="preserve">geographic boundaries and set an insignificant holdings threshold that will be coherent </w:t>
      </w:r>
      <w:r w:rsidR="00E1017E">
        <w:t xml:space="preserve">and applicable for third party authorisations. </w:t>
      </w:r>
      <w:r w:rsidR="00A665D8">
        <w:t xml:space="preserve">Including third-party authorisations </w:t>
      </w:r>
      <w:r w:rsidR="003A3DBF">
        <w:t xml:space="preserve">in the calculation of a bidder’s existing holdings would </w:t>
      </w:r>
      <w:r w:rsidR="00326A47">
        <w:t xml:space="preserve">lead to </w:t>
      </w:r>
      <w:r w:rsidR="00D11145">
        <w:t>complexity</w:t>
      </w:r>
      <w:r w:rsidR="00326A47">
        <w:t xml:space="preserve"> at auction</w:t>
      </w:r>
      <w:r w:rsidR="00586D6A">
        <w:t xml:space="preserve"> which may reduce certainty for bidders and l</w:t>
      </w:r>
      <w:r w:rsidR="00A37B3C">
        <w:t>ead to</w:t>
      </w:r>
      <w:r w:rsidR="005C214F">
        <w:t xml:space="preserve"> </w:t>
      </w:r>
      <w:r w:rsidR="005C214F">
        <w:lastRenderedPageBreak/>
        <w:t>unintended auction outcomes</w:t>
      </w:r>
      <w:r w:rsidR="0047139F">
        <w:t xml:space="preserve">, due to the difficulty in forming bidding strategy for </w:t>
      </w:r>
      <w:r w:rsidR="004F69A1">
        <w:br/>
      </w:r>
      <w:r w:rsidR="0047139F">
        <w:t>the auction</w:t>
      </w:r>
      <w:r w:rsidR="00326A47">
        <w:t xml:space="preserve">. </w:t>
      </w:r>
    </w:p>
    <w:p w14:paraId="61E5EEA7" w14:textId="746FE889" w:rsidR="00FC01BF" w:rsidRDefault="008979E1" w:rsidP="00332AD4">
      <w:pPr>
        <w:pStyle w:val="Paragraph"/>
        <w:ind w:right="992"/>
      </w:pPr>
      <w:r>
        <w:t xml:space="preserve">We note </w:t>
      </w:r>
      <w:r w:rsidR="00B82809">
        <w:t xml:space="preserve">that allocation limits </w:t>
      </w:r>
      <w:r w:rsidR="001254E6">
        <w:t xml:space="preserve">cease to have effect at the conclusion of the </w:t>
      </w:r>
      <w:r w:rsidR="000A66A0">
        <w:t>3.</w:t>
      </w:r>
      <w:r w:rsidR="00291D2A">
        <w:t>4</w:t>
      </w:r>
      <w:r w:rsidR="000A66A0">
        <w:t xml:space="preserve"> GHz</w:t>
      </w:r>
      <w:r w:rsidR="001254E6">
        <w:t xml:space="preserve"> auction</w:t>
      </w:r>
      <w:r w:rsidR="00BB141F">
        <w:t xml:space="preserve"> (t</w:t>
      </w:r>
      <w:r w:rsidR="00291D2A">
        <w:t xml:space="preserve">hat is, the second </w:t>
      </w:r>
      <w:r w:rsidR="00FE0F1A">
        <w:t xml:space="preserve">of the </w:t>
      </w:r>
      <w:r w:rsidR="00F54B4C">
        <w:t xml:space="preserve">2 </w:t>
      </w:r>
      <w:r w:rsidR="00FE0F1A">
        <w:t>auctions</w:t>
      </w:r>
      <w:r w:rsidR="00BB141F">
        <w:t>)</w:t>
      </w:r>
      <w:r w:rsidR="0073482C">
        <w:t xml:space="preserve">. </w:t>
      </w:r>
      <w:r w:rsidR="002A3B0D">
        <w:t xml:space="preserve">There are other regulatory mechanisms to consider longer-term competition concerns arising from potential third-party authorisations, </w:t>
      </w:r>
      <w:r w:rsidR="00616B61">
        <w:t xml:space="preserve">and the ACCC has the ability to consider these through the </w:t>
      </w:r>
      <w:r w:rsidR="00FC01BF">
        <w:t>regulatory framework in the</w:t>
      </w:r>
      <w:r w:rsidR="00C82DC9">
        <w:t xml:space="preserve"> </w:t>
      </w:r>
      <w:r w:rsidR="00C82DC9">
        <w:rPr>
          <w:i/>
          <w:iCs/>
        </w:rPr>
        <w:t>Competition and Consumer Act 2010</w:t>
      </w:r>
      <w:r w:rsidR="00C82DC9">
        <w:t xml:space="preserve"> by operation of section 68A of the </w:t>
      </w:r>
      <w:r w:rsidR="007635A7">
        <w:t>Act</w:t>
      </w:r>
      <w:r w:rsidR="00C82DC9">
        <w:t>.</w:t>
      </w:r>
      <w:r w:rsidR="004E6DB6">
        <w:t xml:space="preserve"> </w:t>
      </w:r>
    </w:p>
    <w:p w14:paraId="53F138CA" w14:textId="77777777" w:rsidR="00004ECE" w:rsidRDefault="00004ECE" w:rsidP="00332AD4">
      <w:pPr>
        <w:pStyle w:val="Paragraph"/>
        <w:ind w:right="992"/>
      </w:pPr>
      <w:r>
        <w:t>Therefore, we propose to only include the spectrum-licensed holdings for which the bidder is the licensee in assessing the application of the allocation limits to the bidder.</w:t>
      </w:r>
      <w:r w:rsidRPr="00B22EFC">
        <w:t xml:space="preserve"> </w:t>
      </w:r>
    </w:p>
    <w:p w14:paraId="65476422" w14:textId="4F30C751" w:rsidR="006A0967" w:rsidRDefault="006A0967" w:rsidP="00332AD4">
      <w:pPr>
        <w:pStyle w:val="Paragraph"/>
        <w:ind w:right="992"/>
      </w:pPr>
      <w:r>
        <w:t xml:space="preserve">Relevantly, </w:t>
      </w:r>
      <w:r w:rsidR="00D11F89">
        <w:t>we are aware that o</w:t>
      </w:r>
      <w:r w:rsidR="008200C2" w:rsidRPr="008200C2">
        <w:t xml:space="preserve">n 21 December 2022, the ACCC announced that it would not grant authorisation for </w:t>
      </w:r>
      <w:r w:rsidR="00F84E9B">
        <w:t>a</w:t>
      </w:r>
      <w:r w:rsidR="008200C2" w:rsidRPr="008200C2">
        <w:t xml:space="preserve"> deal</w:t>
      </w:r>
      <w:r w:rsidR="00F84E9B">
        <w:t xml:space="preserve"> proposed by </w:t>
      </w:r>
      <w:r w:rsidR="00F84E9B" w:rsidRPr="00F84E9B">
        <w:t xml:space="preserve">Telstra and TPG of </w:t>
      </w:r>
      <w:r w:rsidR="00F84E9B">
        <w:t xml:space="preserve">a </w:t>
      </w:r>
      <w:r w:rsidR="00F84E9B" w:rsidRPr="00F84E9B">
        <w:t>Multi-Operator Core Network (MOCN) agreement, and related agreements for Telstra to lease TPG’s spectrum in regional areas, including spectrum in the 700 MHz, 800 MHz, 2 GHz and 3.6 GHz bands, excluding 1800</w:t>
      </w:r>
      <w:r w:rsidR="007D071A">
        <w:t> </w:t>
      </w:r>
      <w:r w:rsidR="00F84E9B" w:rsidRPr="00F84E9B">
        <w:t xml:space="preserve">MHz and 26 </w:t>
      </w:r>
      <w:r w:rsidR="007D071A" w:rsidRPr="00F84E9B">
        <w:t>GHz.</w:t>
      </w:r>
      <w:r w:rsidR="008200C2" w:rsidRPr="008200C2">
        <w:t xml:space="preserve"> Telstra and TPG </w:t>
      </w:r>
      <w:r w:rsidR="008200C2">
        <w:t xml:space="preserve">have now </w:t>
      </w:r>
      <w:r w:rsidR="008200C2" w:rsidRPr="008200C2">
        <w:t xml:space="preserve">applied to the Australian Competition Tribunal for a review of the merger authorisation determination. </w:t>
      </w:r>
    </w:p>
    <w:p w14:paraId="10068A47" w14:textId="1429D9B4" w:rsidR="00FF62DC" w:rsidRDefault="00DE1FE0" w:rsidP="00332AD4">
      <w:pPr>
        <w:pStyle w:val="Heading3"/>
        <w:ind w:right="992"/>
      </w:pPr>
      <w:r>
        <w:t>Limits applicable to the 3.8</w:t>
      </w:r>
      <w:r w:rsidR="0087749E">
        <w:t>–</w:t>
      </w:r>
      <w:r>
        <w:t xml:space="preserve">3.95 </w:t>
      </w:r>
      <w:r w:rsidR="0015169F">
        <w:t>G</w:t>
      </w:r>
      <w:r>
        <w:t>Hz area-wide apparatus licence allocation</w:t>
      </w:r>
    </w:p>
    <w:p w14:paraId="67569105" w14:textId="7D57A456" w:rsidR="00F76169" w:rsidRDefault="00F76169" w:rsidP="00332AD4">
      <w:pPr>
        <w:ind w:right="992"/>
      </w:pPr>
      <w:r>
        <w:t>This auction will be followed by the allocation of AWLs in the 3.8 GHz band.</w:t>
      </w:r>
      <w:r w:rsidR="00B21659">
        <w:t xml:space="preserve"> </w:t>
      </w:r>
      <w:r w:rsidR="005F3B54">
        <w:t>Our 4 mid-band allocations in the 3.4</w:t>
      </w:r>
      <w:r w:rsidR="0087749E">
        <w:t>–</w:t>
      </w:r>
      <w:r w:rsidR="005F3B54">
        <w:t>4.0 GHz band are guided by the</w:t>
      </w:r>
      <w:r w:rsidR="00B21659">
        <w:t xml:space="preserve"> object of the Act and the objectives contained in the MPS. </w:t>
      </w:r>
      <w:r>
        <w:t xml:space="preserve">Of particular relevance to the 3.8 </w:t>
      </w:r>
      <w:r w:rsidR="00661B17">
        <w:t>GHz band</w:t>
      </w:r>
      <w:r>
        <w:t xml:space="preserve"> AWL allocation in metropolitan and regional areas is the objective to support a range of users and use cases</w:t>
      </w:r>
      <w:r w:rsidR="0020350A">
        <w:t>. As the 3.4/3.7 GHz bands auction is intended to support WA WBB applications, our view is that 3.8 GHz band</w:t>
      </w:r>
      <w:r>
        <w:t xml:space="preserve"> spectrum </w:t>
      </w:r>
      <w:r w:rsidR="0020350A">
        <w:t>should be prioritised</w:t>
      </w:r>
      <w:r>
        <w:t xml:space="preserve"> for LA WBB use on a shared basis with fixed satellite and </w:t>
      </w:r>
      <w:r w:rsidR="00305FC6">
        <w:t>PTP</w:t>
      </w:r>
      <w:r>
        <w:t xml:space="preserve"> services. </w:t>
      </w:r>
    </w:p>
    <w:p w14:paraId="6EC9CF81" w14:textId="1EAE2FAF" w:rsidR="00B80625" w:rsidRDefault="00F76169" w:rsidP="00332AD4">
      <w:pPr>
        <w:ind w:right="992"/>
      </w:pPr>
      <w:r>
        <w:t xml:space="preserve">The ACMA’s </w:t>
      </w:r>
      <w:r w:rsidR="00185860">
        <w:t>initial view</w:t>
      </w:r>
      <w:r>
        <w:t xml:space="preserve"> is that the AWLs in the 3.8 GHz band will be allocated via an ‘allocation window’, as was used in </w:t>
      </w:r>
      <w:hyperlink r:id="rId74" w:history="1">
        <w:r w:rsidRPr="00184A2E">
          <w:rPr>
            <w:rStyle w:val="Hyperlink"/>
          </w:rPr>
          <w:t>the allocation of AWLs in the 26/28 GHz bands</w:t>
        </w:r>
      </w:hyperlink>
      <w:r>
        <w:t xml:space="preserve">. </w:t>
      </w:r>
    </w:p>
    <w:p w14:paraId="2EA89767" w14:textId="5AA5D176" w:rsidR="00CF055A" w:rsidRDefault="00F76169" w:rsidP="00332AD4">
      <w:pPr>
        <w:ind w:right="992"/>
      </w:pPr>
      <w:r>
        <w:t xml:space="preserve">The ACMA is </w:t>
      </w:r>
      <w:r w:rsidR="00CF055A">
        <w:t xml:space="preserve">also </w:t>
      </w:r>
      <w:r>
        <w:t>considering applying allocation limits that would preclude existing 3.4–3.7</w:t>
      </w:r>
      <w:r w:rsidR="001234AF">
        <w:t> </w:t>
      </w:r>
      <w:r>
        <w:t>GHz spectrum licensees (</w:t>
      </w:r>
      <w:r w:rsidR="00FC32BB">
        <w:t xml:space="preserve">currently </w:t>
      </w:r>
      <w:r>
        <w:t>NBN Co, Telstra, Optus and TPG Telecom</w:t>
      </w:r>
      <w:r w:rsidR="00111FE2">
        <w:t>, and related parties</w:t>
      </w:r>
      <w:r>
        <w:t>) from being issued an AWL for a period of time after applications open; that is</w:t>
      </w:r>
      <w:r w:rsidR="00952AD2">
        <w:t>,</w:t>
      </w:r>
      <w:r>
        <w:t xml:space="preserve"> a nil limit would be applied to NBN Co and</w:t>
      </w:r>
      <w:r w:rsidR="0097224B">
        <w:t xml:space="preserve"> the</w:t>
      </w:r>
      <w:r>
        <w:t xml:space="preserve"> MNOs for a specified period of time from the start of the initial allocation window. </w:t>
      </w:r>
      <w:r w:rsidR="002679A1">
        <w:t xml:space="preserve">This nil limit </w:t>
      </w:r>
      <w:r>
        <w:t xml:space="preserve">would provide LA WBB, PTP and </w:t>
      </w:r>
      <w:r w:rsidR="004A7250">
        <w:t>FSS</w:t>
      </w:r>
      <w:r>
        <w:t xml:space="preserve"> initial priority to access spectrum in the band. We are currently considering the approach to allocating licences for the spectrum that may remain following this initial priority access period.</w:t>
      </w:r>
      <w:r w:rsidR="000860E0">
        <w:t xml:space="preserve"> W</w:t>
      </w:r>
      <w:r w:rsidR="00325FFD">
        <w:t xml:space="preserve">e are considering </w:t>
      </w:r>
      <w:r w:rsidR="000860E0">
        <w:t>impos</w:t>
      </w:r>
      <w:r w:rsidR="00325FFD">
        <w:t>ing</w:t>
      </w:r>
      <w:r w:rsidR="000860E0">
        <w:t xml:space="preserve"> cross-band limits that would take into account spectrum-licensed holdings across the 3.4</w:t>
      </w:r>
      <w:r w:rsidR="0087749E">
        <w:t>–</w:t>
      </w:r>
      <w:r w:rsidR="000860E0">
        <w:t>4.0 GHz band (including spectrum acquired in the 3.4/3.7 GHz auction).</w:t>
      </w:r>
    </w:p>
    <w:p w14:paraId="5E385B36" w14:textId="038E6F35" w:rsidR="00073DB7" w:rsidRPr="003813A6" w:rsidRDefault="00F76169" w:rsidP="00332AD4">
      <w:pPr>
        <w:ind w:right="992"/>
      </w:pPr>
      <w:r>
        <w:t xml:space="preserve">We will continue to develop a proposed approach to this allocation process and how best to manage demand for this spectrum over the coming months. </w:t>
      </w:r>
      <w:r w:rsidR="009C0363">
        <w:t xml:space="preserve">We expect to consult on </w:t>
      </w:r>
      <w:r w:rsidR="004A55BD">
        <w:t xml:space="preserve">our preliminary views on </w:t>
      </w:r>
      <w:r w:rsidR="00073DB7">
        <w:t>allocation limits for the 3.8</w:t>
      </w:r>
      <w:r w:rsidR="00BF7043">
        <w:t xml:space="preserve"> GHz band </w:t>
      </w:r>
      <w:r w:rsidR="00185860">
        <w:t xml:space="preserve">AWL </w:t>
      </w:r>
      <w:r w:rsidR="00BF7043">
        <w:t>allocation</w:t>
      </w:r>
      <w:r w:rsidR="007B738B">
        <w:t xml:space="preserve"> </w:t>
      </w:r>
      <w:r w:rsidR="00A4123C">
        <w:t xml:space="preserve">in Q2 2023. </w:t>
      </w:r>
      <w:r w:rsidR="008E42DD">
        <w:t xml:space="preserve">Although </w:t>
      </w:r>
      <w:r w:rsidR="00FF7210">
        <w:t>this</w:t>
      </w:r>
      <w:r w:rsidR="0050451C">
        <w:t xml:space="preserve"> </w:t>
      </w:r>
      <w:r w:rsidR="008E42DD">
        <w:t xml:space="preserve">consultation pertains to the auction </w:t>
      </w:r>
      <w:r w:rsidR="00185860">
        <w:t>of spectrum licences</w:t>
      </w:r>
      <w:r w:rsidR="008E42DD">
        <w:t xml:space="preserve">, we acknowledge there may be some interplay between the limits for the 3.4/3.7 GHz bands auction and those we are considering for the 3.8 GHz band </w:t>
      </w:r>
      <w:r w:rsidR="004F69A1">
        <w:br/>
      </w:r>
      <w:r w:rsidR="00185860">
        <w:t xml:space="preserve">AWL </w:t>
      </w:r>
      <w:r w:rsidR="008E42DD">
        <w:t>allocation.</w:t>
      </w:r>
    </w:p>
    <w:p w14:paraId="5A3B4A77" w14:textId="5F10B7E0" w:rsidR="001A357F" w:rsidRPr="00D545E8" w:rsidRDefault="007D0947" w:rsidP="00332AD4">
      <w:pPr>
        <w:pStyle w:val="Issueforcomment"/>
        <w:keepNext/>
        <w:keepLines/>
        <w:pBdr>
          <w:left w:val="single" w:sz="4" w:space="1" w:color="auto"/>
          <w:right w:val="single" w:sz="4" w:space="1" w:color="auto"/>
        </w:pBdr>
        <w:ind w:right="992"/>
        <w:rPr>
          <w:b w:val="0"/>
        </w:rPr>
      </w:pPr>
      <w:r w:rsidRPr="00D545E8">
        <w:lastRenderedPageBreak/>
        <w:t>Allocation limits</w:t>
      </w:r>
    </w:p>
    <w:p w14:paraId="38C31EFF" w14:textId="77777777" w:rsidR="003228F3" w:rsidRPr="003228F3" w:rsidRDefault="003228F3" w:rsidP="00332AD4">
      <w:pPr>
        <w:pStyle w:val="Issueforcomment"/>
        <w:keepNext/>
        <w:keepLines/>
        <w:pBdr>
          <w:left w:val="single" w:sz="4" w:space="1" w:color="auto"/>
          <w:right w:val="single" w:sz="4" w:space="1" w:color="auto"/>
        </w:pBdr>
        <w:ind w:right="992"/>
        <w:rPr>
          <w:b w:val="0"/>
          <w:bCs w:val="0"/>
        </w:rPr>
      </w:pPr>
      <w:r w:rsidRPr="003228F3">
        <w:rPr>
          <w:b w:val="0"/>
          <w:bCs w:val="0"/>
        </w:rPr>
        <w:t>We seek views on the following proposed options for allocation limits:</w:t>
      </w:r>
    </w:p>
    <w:p w14:paraId="0E901896" w14:textId="7FA4B79B" w:rsidR="003228F3" w:rsidRPr="003228F3" w:rsidRDefault="003228F3" w:rsidP="00332AD4">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 xml:space="preserve">Option </w:t>
      </w:r>
      <w:r w:rsidR="006E764B">
        <w:t>1</w:t>
      </w:r>
      <w:r w:rsidRPr="003228F3">
        <w:t>: 140 MHz limit in both metropolitan and regional areas in the cross-band frequency range of 3.4</w:t>
      </w:r>
      <w:r w:rsidR="0087749E">
        <w:t>–</w:t>
      </w:r>
      <w:r w:rsidRPr="003228F3">
        <w:t>3.8 GHz</w:t>
      </w:r>
    </w:p>
    <w:p w14:paraId="490BE837" w14:textId="0CA86A9D" w:rsidR="003228F3" w:rsidRDefault="003228F3" w:rsidP="00332AD4">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 xml:space="preserve">Option </w:t>
      </w:r>
      <w:r w:rsidR="006E764B">
        <w:t>2</w:t>
      </w:r>
      <w:r w:rsidRPr="003228F3">
        <w:t>: 140 MHz limit in metropolitan areas and 160 MHz in regional areas in the cross-band frequency range of 3.4</w:t>
      </w:r>
      <w:r w:rsidR="0087749E">
        <w:t>–</w:t>
      </w:r>
      <w:r w:rsidRPr="003228F3">
        <w:t>3.8 GHz</w:t>
      </w:r>
    </w:p>
    <w:p w14:paraId="07883EB0" w14:textId="32B8BA1C" w:rsidR="006E764B" w:rsidRPr="003228F3" w:rsidRDefault="006E764B" w:rsidP="00D40740">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spacing w:after="240"/>
        <w:ind w:left="425" w:right="992" w:hanging="425"/>
      </w:pPr>
      <w:r>
        <w:t>Option 3: No limits.</w:t>
      </w:r>
    </w:p>
    <w:p w14:paraId="68D868E2" w14:textId="77777777" w:rsidR="003228F3" w:rsidRPr="003228F3" w:rsidRDefault="003228F3" w:rsidP="00332AD4">
      <w:pPr>
        <w:pStyle w:val="Issueforcomment"/>
        <w:keepNext/>
        <w:keepLines/>
        <w:pBdr>
          <w:left w:val="single" w:sz="4" w:space="1" w:color="auto"/>
          <w:right w:val="single" w:sz="4" w:space="1" w:color="auto"/>
        </w:pBdr>
        <w:ind w:right="992"/>
        <w:rPr>
          <w:b w:val="0"/>
          <w:bCs w:val="0"/>
        </w:rPr>
      </w:pPr>
      <w:r w:rsidRPr="003228F3">
        <w:rPr>
          <w:b w:val="0"/>
          <w:bCs w:val="0"/>
        </w:rPr>
        <w:t>In particular:</w:t>
      </w:r>
    </w:p>
    <w:p w14:paraId="513C9D50" w14:textId="3E897307" w:rsidR="003228F3" w:rsidRPr="003228F3" w:rsidRDefault="003228F3" w:rsidP="00332AD4">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We seek views on which of the allocation limits options, including the spectrum included in the cross-band frequency range, best achieves our identified objectives for this allocation (i.e</w:t>
      </w:r>
      <w:r w:rsidR="2745A767">
        <w:t>.</w:t>
      </w:r>
      <w:r w:rsidR="3AE6127E">
        <w:t>,</w:t>
      </w:r>
      <w:r w:rsidRPr="003228F3">
        <w:t xml:space="preserve"> by facilitating the efficient planning, allocation and use of the spectrum, supporting digital connectivity and investment in regional Australia, and promoting competitive markets). </w:t>
      </w:r>
    </w:p>
    <w:p w14:paraId="1D6BDF88" w14:textId="6193C62B" w:rsidR="003228F3" w:rsidRDefault="003228F3" w:rsidP="00332AD4">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We seek views on how the implementation of an allocation limit at auction may affect likely demand for the 3.4 GHz band and/or 3.7 GHz bands individually and whether your demand would differ between the imposition of an allocation limit under Options 1, 2 and 3</w:t>
      </w:r>
      <w:r w:rsidR="00332179">
        <w:t>.</w:t>
      </w:r>
    </w:p>
    <w:p w14:paraId="2EC49D48" w14:textId="150687AA" w:rsidR="007B0D18" w:rsidRDefault="007B0D18" w:rsidP="007B0D18">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 xml:space="preserve">We seek views on </w:t>
      </w:r>
      <w:r w:rsidR="00B40405">
        <w:t>weighing the different efficiency impacts of auction settings that seek to minimise</w:t>
      </w:r>
      <w:r>
        <w:t xml:space="preserve"> the risk of unsold lots </w:t>
      </w:r>
      <w:r w:rsidR="00B40405">
        <w:t>versus</w:t>
      </w:r>
      <w:r>
        <w:t xml:space="preserve"> the risk of</w:t>
      </w:r>
      <w:r w:rsidR="00B40405">
        <w:t xml:space="preserve"> spectrum</w:t>
      </w:r>
      <w:r>
        <w:t xml:space="preserve"> monopolisation.</w:t>
      </w:r>
    </w:p>
    <w:p w14:paraId="368F3038" w14:textId="48499855" w:rsidR="00E468E6" w:rsidRPr="001C2063" w:rsidRDefault="00E468E6" w:rsidP="007B0D18">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1C2063">
        <w:t>We seek views on the matters relevant to</w:t>
      </w:r>
      <w:r w:rsidR="006E077D" w:rsidRPr="001C2063">
        <w:t xml:space="preserve"> </w:t>
      </w:r>
      <w:r w:rsidR="006A6E58" w:rsidRPr="001C2063">
        <w:t>the substitutability of other spectrum with 3.4/3.7 GHz bands spectrum</w:t>
      </w:r>
      <w:r w:rsidR="0020356A" w:rsidRPr="001C2063">
        <w:t>, and the appropriate cross-band frequency range to apply to the allocation limits.</w:t>
      </w:r>
    </w:p>
    <w:p w14:paraId="4E6B133C" w14:textId="77777777" w:rsidR="003228F3" w:rsidRPr="003228F3" w:rsidRDefault="003228F3" w:rsidP="00332AD4">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We seek views on a proposal to auction the 3.7 GHz and 3.4 GHz sequentially and its impact on the appropriate approach to applying allocation limits in the auction, if at all.</w:t>
      </w:r>
    </w:p>
    <w:p w14:paraId="7CCDD2CA" w14:textId="4B92F266" w:rsidR="003228F3" w:rsidRPr="003228F3" w:rsidRDefault="003228F3" w:rsidP="00332AD4">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 xml:space="preserve">We seek views on a proposal to apply a metropolitan allocation limit </w:t>
      </w:r>
      <w:r w:rsidR="004F69A1">
        <w:br/>
      </w:r>
      <w:r w:rsidRPr="003228F3">
        <w:t>(i.e</w:t>
      </w:r>
      <w:r w:rsidR="2745A767">
        <w:t>.</w:t>
      </w:r>
      <w:r w:rsidR="7217A6BE">
        <w:t>,</w:t>
      </w:r>
      <w:r w:rsidRPr="003228F3">
        <w:t xml:space="preserve"> 140 MHz) to Hobart and Rural TAS Upper (product definitions as proposed </w:t>
      </w:r>
      <w:r w:rsidR="004F69A1">
        <w:br/>
      </w:r>
      <w:r w:rsidRPr="003228F3">
        <w:t xml:space="preserve">in </w:t>
      </w:r>
      <w:r w:rsidR="00971B98">
        <w:t>Figure</w:t>
      </w:r>
      <w:r w:rsidR="00971B98" w:rsidRPr="003228F3">
        <w:t xml:space="preserve"> </w:t>
      </w:r>
      <w:r w:rsidRPr="003228F3">
        <w:t>4 of the ‘Lot configuration’ section of this paper) in the 3700</w:t>
      </w:r>
      <w:r w:rsidR="0087749E">
        <w:t>–</w:t>
      </w:r>
      <w:r w:rsidRPr="003228F3">
        <w:t>3800 MHz frequency range. We note that for the 3.6 GHz band spectrum licence auction held in 2018, Hobart was included in the ‘Tasmania’ product, which was considered a regional area for the purposes of applying allocation limits in that auction.</w:t>
      </w:r>
    </w:p>
    <w:p w14:paraId="1D23434D" w14:textId="4EF5049D" w:rsidR="00F94327" w:rsidRPr="00F94327" w:rsidRDefault="003228F3" w:rsidP="00332AD4">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3228F3">
        <w:t>We are seeking views on the short, medium and long-term costs and benefits if Options 1, 2 or 3 are implemented in this auction</w:t>
      </w:r>
      <w:r w:rsidR="00C75052">
        <w:t>.</w:t>
      </w:r>
    </w:p>
    <w:p w14:paraId="033DFC32" w14:textId="77777777" w:rsidR="004F69A1" w:rsidRDefault="004F69A1" w:rsidP="00D40740">
      <w:pPr>
        <w:pStyle w:val="Paragraph"/>
      </w:pPr>
    </w:p>
    <w:p w14:paraId="1152374E" w14:textId="1E6E2995" w:rsidR="00177268" w:rsidRDefault="00177268" w:rsidP="00D40740">
      <w:pPr>
        <w:pStyle w:val="Heading3"/>
        <w:keepLines/>
        <w:ind w:right="992"/>
      </w:pPr>
      <w:r>
        <w:t>Exclusions from allocation limits</w:t>
      </w:r>
    </w:p>
    <w:p w14:paraId="4B006141" w14:textId="78D57673" w:rsidR="001C0540" w:rsidRPr="001C0540" w:rsidRDefault="001C0540" w:rsidP="00D40740">
      <w:pPr>
        <w:pStyle w:val="Heading4"/>
        <w:keepNext/>
        <w:keepLines/>
        <w:spacing w:before="60"/>
        <w:ind w:right="992"/>
      </w:pPr>
      <w:r w:rsidRPr="001C0540">
        <w:t>Leftover lots</w:t>
      </w:r>
    </w:p>
    <w:p w14:paraId="06B4D276" w14:textId="420ED0A5" w:rsidR="001C0540" w:rsidRDefault="001C0540" w:rsidP="00D40740">
      <w:pPr>
        <w:pStyle w:val="Paragraph"/>
        <w:keepNext/>
        <w:keepLines/>
        <w:ind w:right="992"/>
      </w:pPr>
      <w:r>
        <w:t xml:space="preserve">Our </w:t>
      </w:r>
      <w:r w:rsidR="009065EA">
        <w:t>preliminary</w:t>
      </w:r>
      <w:r>
        <w:t xml:space="preserve"> view is that leftover lots are likely to have value </w:t>
      </w:r>
      <w:r w:rsidR="008B61B1">
        <w:t xml:space="preserve">chiefly </w:t>
      </w:r>
      <w:r>
        <w:t xml:space="preserve">to the existing adjacent licensees. </w:t>
      </w:r>
      <w:r w:rsidR="00EA2CF5">
        <w:t>O</w:t>
      </w:r>
      <w:r>
        <w:t xml:space="preserve">ur preliminary view is to exclude the leftover lots from the allocation limits. Including leftover lots in the allocation limits </w:t>
      </w:r>
      <w:r w:rsidR="007F2DC1">
        <w:t xml:space="preserve">may potentially </w:t>
      </w:r>
      <w:r>
        <w:t xml:space="preserve">discourage </w:t>
      </w:r>
      <w:r w:rsidR="00750642">
        <w:t>existing spectrum</w:t>
      </w:r>
      <w:r>
        <w:t xml:space="preserve"> licensees from acquiring them</w:t>
      </w:r>
      <w:r w:rsidR="007F2DC1">
        <w:t xml:space="preserve">. </w:t>
      </w:r>
      <w:r w:rsidR="00D71611">
        <w:t xml:space="preserve">If that is the case, including them in the allocation limits may cause them to </w:t>
      </w:r>
      <w:r>
        <w:t>remain unallocated and result in a</w:t>
      </w:r>
      <w:r w:rsidR="00D71611">
        <w:t xml:space="preserve"> suboptimal </w:t>
      </w:r>
      <w:r>
        <w:t xml:space="preserve">allocation of spectrum. </w:t>
      </w:r>
      <w:r w:rsidR="00FE44FE">
        <w:t>Given the</w:t>
      </w:r>
      <w:r>
        <w:t xml:space="preserve"> small size of the leftover lots (2.5 MHz)</w:t>
      </w:r>
      <w:r w:rsidR="00FE44FE">
        <w:t xml:space="preserve">, it is unlikely that excluding them from allocation limits will have the effect of </w:t>
      </w:r>
      <w:r>
        <w:t>undermin</w:t>
      </w:r>
      <w:r w:rsidR="00891B39">
        <w:t>ing</w:t>
      </w:r>
      <w:r>
        <w:t xml:space="preserve"> the MPS objective to promote competitive markets. </w:t>
      </w:r>
    </w:p>
    <w:p w14:paraId="602EF2D7" w14:textId="77777777" w:rsidR="001C0540" w:rsidRPr="001C0540" w:rsidRDefault="001C0540" w:rsidP="00332AD4">
      <w:pPr>
        <w:pStyle w:val="Heading4"/>
        <w:ind w:right="992"/>
      </w:pPr>
      <w:r w:rsidRPr="001C0540">
        <w:t>Regional WA Central Middle</w:t>
      </w:r>
    </w:p>
    <w:p w14:paraId="61FABA21" w14:textId="5C12F14E" w:rsidR="001C0540" w:rsidRDefault="001C0540" w:rsidP="00332AD4">
      <w:pPr>
        <w:pStyle w:val="Paragraph"/>
        <w:ind w:right="992"/>
      </w:pPr>
      <w:r>
        <w:t xml:space="preserve">Our preliminary view is to exclude Regional WA Central Middle from the allocation limits. </w:t>
      </w:r>
      <w:r w:rsidR="0087334A">
        <w:t>A</w:t>
      </w:r>
      <w:r>
        <w:t xml:space="preserve"> bidder who acquires additional spectrum in this product is likely to be limited </w:t>
      </w:r>
      <w:r>
        <w:lastRenderedPageBreak/>
        <w:t xml:space="preserve">or prohibited from acquiring spectrum in the other Regional WA products because it would cause them to exceed the allocation limit </w:t>
      </w:r>
      <w:r w:rsidR="00953C77">
        <w:t xml:space="preserve">when assessed in relation to </w:t>
      </w:r>
      <w:r>
        <w:t xml:space="preserve">Regional WA Central Middle. This is inconsistent with the MPS objective to </w:t>
      </w:r>
      <w:r w:rsidRPr="00182411">
        <w:t>support digital connectivity and investment in regional Australia</w:t>
      </w:r>
      <w:r>
        <w:t xml:space="preserve">, since acquiring spectrum in a lowly populated area (Regional WA Central Middle) prevents a bidder acquiring spectrum in much larger regional areas. This may result in bidders not acquiring spectrum and delivering services in Regional WA Central Middle. The </w:t>
      </w:r>
      <w:r w:rsidR="00266F57">
        <w:t>proposed</w:t>
      </w:r>
      <w:r>
        <w:t xml:space="preserve"> insignificant holdings threshold </w:t>
      </w:r>
      <w:r w:rsidR="00BB2B38">
        <w:t xml:space="preserve">(discussed below) </w:t>
      </w:r>
      <w:r>
        <w:t>does not solve this problem because it works the other way round – holdings in smaller areas are not counted towards larger areas. The small population of Regional WA Central Middle means that a bidder who exceeds the allocation limit</w:t>
      </w:r>
      <w:r w:rsidR="009065EA">
        <w:t xml:space="preserve"> in </w:t>
      </w:r>
      <w:r w:rsidR="001F2B07">
        <w:t xml:space="preserve">relation to </w:t>
      </w:r>
      <w:r w:rsidR="009065EA">
        <w:t xml:space="preserve">this </w:t>
      </w:r>
      <w:r w:rsidR="00977D47">
        <w:t xml:space="preserve">product </w:t>
      </w:r>
      <w:r>
        <w:t>is unlikely to undermine the MPS objective to promote competitive markets.</w:t>
      </w:r>
    </w:p>
    <w:p w14:paraId="58E06F12" w14:textId="4C29613A" w:rsidR="00217761" w:rsidRPr="00FF580B" w:rsidRDefault="00217761" w:rsidP="00332AD4">
      <w:pPr>
        <w:pStyle w:val="Paragraphbeforelist"/>
        <w:keepNext/>
        <w:pBdr>
          <w:top w:val="single" w:sz="4" w:space="1" w:color="auto"/>
          <w:left w:val="single" w:sz="4" w:space="4" w:color="auto"/>
          <w:bottom w:val="single" w:sz="4" w:space="1" w:color="auto"/>
          <w:right w:val="single" w:sz="4" w:space="4" w:color="auto"/>
        </w:pBdr>
        <w:shd w:val="clear" w:color="auto" w:fill="F2F2F2" w:themeFill="background1" w:themeFillShade="F2"/>
        <w:ind w:right="992"/>
        <w:rPr>
          <w:b/>
        </w:rPr>
      </w:pPr>
      <w:r w:rsidRPr="00FF580B">
        <w:rPr>
          <w:b/>
        </w:rPr>
        <w:t>Exclusions from allocation limits</w:t>
      </w:r>
    </w:p>
    <w:p w14:paraId="31F42AD0" w14:textId="4C29613A" w:rsidR="00217761" w:rsidRDefault="00217761" w:rsidP="00332AD4">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 xml:space="preserve">We propose to exclude the following </w:t>
      </w:r>
      <w:r w:rsidR="00EA0AD6">
        <w:t>spectrum</w:t>
      </w:r>
      <w:r w:rsidR="00FF580B">
        <w:t xml:space="preserve"> </w:t>
      </w:r>
      <w:r>
        <w:t>from the allocation limit</w:t>
      </w:r>
      <w:r w:rsidR="005218A5">
        <w:t>:</w:t>
      </w:r>
    </w:p>
    <w:p w14:paraId="505BA712" w14:textId="79D4D2A0" w:rsidR="00217761" w:rsidRDefault="004F69A1" w:rsidP="00332AD4">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l</w:t>
      </w:r>
      <w:r w:rsidR="00217761">
        <w:t>eftover lots</w:t>
      </w:r>
    </w:p>
    <w:p w14:paraId="197FC7E6" w14:textId="113D8FF5" w:rsidR="00AB046D" w:rsidRDefault="004F69A1" w:rsidP="00332AD4">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t</w:t>
      </w:r>
      <w:r w:rsidR="004F09AB">
        <w:t xml:space="preserve">he </w:t>
      </w:r>
      <w:r w:rsidR="005218A5">
        <w:t>Regional WA Central Middle</w:t>
      </w:r>
      <w:r w:rsidR="004F09AB">
        <w:t xml:space="preserve"> product</w:t>
      </w:r>
      <w:r>
        <w:t>.</w:t>
      </w:r>
    </w:p>
    <w:p w14:paraId="410F6924" w14:textId="77777777" w:rsidR="004F69A1" w:rsidRDefault="004F69A1" w:rsidP="00D40740">
      <w:pPr>
        <w:pStyle w:val="Paragraph"/>
      </w:pPr>
    </w:p>
    <w:p w14:paraId="2D7E5913" w14:textId="2B7EF87C" w:rsidR="00AD421F" w:rsidRPr="00AD421F" w:rsidRDefault="00AD421F" w:rsidP="00332AD4">
      <w:pPr>
        <w:pStyle w:val="Heading3"/>
        <w:ind w:right="992"/>
      </w:pPr>
      <w:r>
        <w:t>Insignificant holdings threshold</w:t>
      </w:r>
    </w:p>
    <w:p w14:paraId="5DEFEF38" w14:textId="3997217A" w:rsidR="0020272B" w:rsidRDefault="009E04D9" w:rsidP="00332AD4">
      <w:pPr>
        <w:pStyle w:val="Paragraph"/>
        <w:ind w:right="992"/>
      </w:pPr>
      <w:r>
        <w:t xml:space="preserve">In past auctions, </w:t>
      </w:r>
      <w:r w:rsidR="00E64F38">
        <w:t xml:space="preserve">the </w:t>
      </w:r>
      <w:r>
        <w:t>Minister</w:t>
      </w:r>
      <w:r w:rsidR="00FF692D">
        <w:t xml:space="preserve"> has</w:t>
      </w:r>
      <w:r>
        <w:t xml:space="preserve"> </w:t>
      </w:r>
      <w:r w:rsidR="008F3F52">
        <w:t>directed the</w:t>
      </w:r>
      <w:r w:rsidR="00E64F38">
        <w:t xml:space="preserve"> ACMA to </w:t>
      </w:r>
      <w:r>
        <w:t xml:space="preserve">impose an ‘insignificant holdings threshold’ so that if a sub-area </w:t>
      </w:r>
      <w:r w:rsidR="00C942A6">
        <w:t xml:space="preserve">of a product available at auction </w:t>
      </w:r>
      <w:r w:rsidR="00E7370E">
        <w:t>was</w:t>
      </w:r>
      <w:r>
        <w:t xml:space="preserve"> deemed to cover a</w:t>
      </w:r>
      <w:r w:rsidR="004A5130">
        <w:t xml:space="preserve"> small or ‘</w:t>
      </w:r>
      <w:r>
        <w:t>insignificant</w:t>
      </w:r>
      <w:r w:rsidR="004A5130">
        <w:t>’</w:t>
      </w:r>
      <w:r>
        <w:t xml:space="preserve"> percentage of the population of the whole geographic area</w:t>
      </w:r>
      <w:r w:rsidR="00C942A6">
        <w:t xml:space="preserve"> of a product</w:t>
      </w:r>
      <w:r>
        <w:t>, existing holdings in the sub-area would not be counted towards</w:t>
      </w:r>
      <w:r w:rsidR="004A5130">
        <w:t xml:space="preserve"> the</w:t>
      </w:r>
      <w:r>
        <w:t xml:space="preserve"> </w:t>
      </w:r>
      <w:r w:rsidR="00753E8F">
        <w:t xml:space="preserve">bidder’s </w:t>
      </w:r>
      <w:r>
        <w:t>allocation limit.</w:t>
      </w:r>
      <w:r w:rsidR="00FE1932">
        <w:t xml:space="preserve"> The purpose of </w:t>
      </w:r>
      <w:r w:rsidR="009E6E80">
        <w:t>this threshold</w:t>
      </w:r>
      <w:r w:rsidR="00FE1932">
        <w:t xml:space="preserve"> was to </w:t>
      </w:r>
      <w:r w:rsidR="00EE59BF">
        <w:t xml:space="preserve">reconcile the differences between the areas available at auction with the </w:t>
      </w:r>
      <w:r w:rsidR="0020272B">
        <w:t xml:space="preserve">areas covered by </w:t>
      </w:r>
      <w:r w:rsidR="00EE59BF">
        <w:t xml:space="preserve">existing licences. </w:t>
      </w:r>
      <w:r w:rsidR="003F12D5">
        <w:t>For the 3.6 GHz band auction,</w:t>
      </w:r>
      <w:r w:rsidR="003F12D5" w:rsidRPr="003F12D5">
        <w:t xml:space="preserve"> the threshold was set at 15%</w:t>
      </w:r>
      <w:r w:rsidR="00E90F68">
        <w:t xml:space="preserve"> of the population of a given </w:t>
      </w:r>
      <w:r w:rsidR="000F00CE">
        <w:t xml:space="preserve">regional </w:t>
      </w:r>
      <w:r w:rsidR="00E90F68">
        <w:t>area</w:t>
      </w:r>
      <w:r w:rsidR="002F336C">
        <w:t>. F</w:t>
      </w:r>
      <w:r w:rsidR="003F12D5">
        <w:t>or the 850/900</w:t>
      </w:r>
      <w:r w:rsidR="000F6ECB">
        <w:t> </w:t>
      </w:r>
      <w:r w:rsidR="003F12D5">
        <w:t xml:space="preserve">MHz band auction, the threshold was set at </w:t>
      </w:r>
      <w:r w:rsidR="003F12D5" w:rsidRPr="003F12D5">
        <w:t>25% of the population</w:t>
      </w:r>
      <w:r w:rsidR="00F54B23">
        <w:t xml:space="preserve"> of </w:t>
      </w:r>
      <w:r w:rsidR="000F00CE">
        <w:t>the ‘major population’</w:t>
      </w:r>
      <w:r w:rsidR="00F54B23">
        <w:t xml:space="preserve"> area</w:t>
      </w:r>
      <w:r w:rsidR="003F12D5">
        <w:t>.</w:t>
      </w:r>
      <w:r w:rsidR="0020272B" w:rsidRPr="0020272B">
        <w:t xml:space="preserve"> </w:t>
      </w:r>
      <w:r w:rsidR="0020272B">
        <w:t xml:space="preserve">The use of the insignificant holdings threshold meant that a bidder could exceed the allocation limit in the sub-area deemed insignificant. </w:t>
      </w:r>
    </w:p>
    <w:p w14:paraId="419BE960" w14:textId="0DD0E85D" w:rsidR="00E7370E" w:rsidRDefault="00E7370E" w:rsidP="00332AD4">
      <w:pPr>
        <w:pStyle w:val="Paragraph"/>
        <w:ind w:right="992"/>
      </w:pPr>
      <w:r>
        <w:t>For the 3.4/3.7 GHz band</w:t>
      </w:r>
      <w:r w:rsidR="007C3A2C">
        <w:t>s</w:t>
      </w:r>
      <w:r>
        <w:t xml:space="preserve"> auction, t</w:t>
      </w:r>
      <w:r w:rsidRPr="008C15E6">
        <w:t>he geographic composition of</w:t>
      </w:r>
      <w:r w:rsidR="00F66BBC">
        <w:t xml:space="preserve"> some bidders existing</w:t>
      </w:r>
      <w:r w:rsidR="00A63E01">
        <w:t xml:space="preserve"> </w:t>
      </w:r>
      <w:r w:rsidRPr="008C15E6">
        <w:t xml:space="preserve">holdings </w:t>
      </w:r>
      <w:r>
        <w:t xml:space="preserve">in the 3.4–3.8 GHz frequency range </w:t>
      </w:r>
      <w:r w:rsidRPr="008C15E6">
        <w:t>are not aligned with the geographic areas of the products</w:t>
      </w:r>
      <w:r>
        <w:t xml:space="preserve"> proposed to be</w:t>
      </w:r>
      <w:r w:rsidRPr="008C15E6">
        <w:t xml:space="preserve"> available at auction.</w:t>
      </w:r>
      <w:r w:rsidR="00C564FA">
        <w:t xml:space="preserve"> Therefore</w:t>
      </w:r>
      <w:r w:rsidR="00C2679D">
        <w:t>,</w:t>
      </w:r>
      <w:r w:rsidR="00622C5E" w:rsidRPr="00622C5E">
        <w:t xml:space="preserve"> </w:t>
      </w:r>
      <w:r w:rsidR="00622C5E">
        <w:t>we consider it would be appropriate to include a</w:t>
      </w:r>
      <w:r w:rsidR="001A4774">
        <w:t xml:space="preserve">n insignificance </w:t>
      </w:r>
      <w:r w:rsidR="00622C5E">
        <w:t>test</w:t>
      </w:r>
      <w:r w:rsidR="00622C5E" w:rsidDel="00F8565F">
        <w:t>,</w:t>
      </w:r>
      <w:r w:rsidR="00622C5E">
        <w:t xml:space="preserve"> to avoid an existing spectrum licensee who may wish to be a bidder in the 3.4/3.7 GHz bands auction from being restricted to a level of spectrum holdings below the allocation limit in a larger area due to existing holdings in a smaller area.</w:t>
      </w:r>
      <w:r w:rsidR="1BB627C4">
        <w:t xml:space="preserve"> We propose to include a threshold of </w:t>
      </w:r>
      <w:r w:rsidR="1BB627C4" w:rsidRPr="003B6B5C">
        <w:t>30% of the population</w:t>
      </w:r>
      <w:r w:rsidR="1BB627C4">
        <w:t xml:space="preserve"> in order to eliminate the minor issues involved in the 3.7 GHz band where adopting different geographic lot configuration in 3700–3750 MHz and 3750–3800</w:t>
      </w:r>
      <w:r w:rsidR="00DF5C3A">
        <w:t> </w:t>
      </w:r>
      <w:r w:rsidR="1BB627C4">
        <w:t>MHz may unduly restrict participation.</w:t>
      </w:r>
    </w:p>
    <w:p w14:paraId="2DD2B573" w14:textId="49970247" w:rsidR="007418F4" w:rsidRDefault="000E4923" w:rsidP="00332AD4">
      <w:pPr>
        <w:pStyle w:val="Paragraph"/>
        <w:ind w:right="992"/>
      </w:pPr>
      <w:r>
        <w:t>However</w:t>
      </w:r>
      <w:r w:rsidR="00F10A39">
        <w:t xml:space="preserve">, we consider </w:t>
      </w:r>
      <w:r w:rsidR="00B26EC4">
        <w:t xml:space="preserve">that </w:t>
      </w:r>
      <w:r w:rsidR="009945FC">
        <w:t xml:space="preserve">the </w:t>
      </w:r>
      <w:r w:rsidR="00B26EC4">
        <w:t xml:space="preserve">calculation method </w:t>
      </w:r>
      <w:r w:rsidR="009945FC">
        <w:t>used in previous auctions</w:t>
      </w:r>
      <w:r w:rsidR="00B26EC4">
        <w:t xml:space="preserve"> </w:t>
      </w:r>
      <w:r>
        <w:t xml:space="preserve">would likely </w:t>
      </w:r>
      <w:r w:rsidR="00F10A39" w:rsidRPr="00F10A39">
        <w:t>lead to counterintuitive outcomes</w:t>
      </w:r>
      <w:r w:rsidR="004A4CC8">
        <w:t xml:space="preserve"> for </w:t>
      </w:r>
      <w:r w:rsidR="00FD6AC5">
        <w:t xml:space="preserve">some </w:t>
      </w:r>
      <w:r w:rsidR="004A4CC8">
        <w:t xml:space="preserve">existing </w:t>
      </w:r>
      <w:r w:rsidR="00FD6AC5">
        <w:t xml:space="preserve">spectrum </w:t>
      </w:r>
      <w:r w:rsidR="004A4CC8">
        <w:t>licensees</w:t>
      </w:r>
      <w:r w:rsidR="00F10A39" w:rsidRPr="00F10A39">
        <w:t>, particularly in circumstances where bidders have existing holdings in multiple frequencies but in different geographic areas.</w:t>
      </w:r>
    </w:p>
    <w:p w14:paraId="125C2006" w14:textId="183DC74F" w:rsidR="00C72204" w:rsidRDefault="000B38FF" w:rsidP="00332AD4">
      <w:pPr>
        <w:pStyle w:val="Paragraph"/>
        <w:ind w:right="992"/>
      </w:pPr>
      <w:r>
        <w:t>We therefore propose a calculation method that</w:t>
      </w:r>
      <w:r w:rsidR="002F1FB0">
        <w:t xml:space="preserve"> calculates existing holdings as </w:t>
      </w:r>
      <w:r w:rsidR="002E65C5">
        <w:t xml:space="preserve">being the largest quantum of spectrum </w:t>
      </w:r>
      <w:r w:rsidR="00AD0E65">
        <w:t>a bidder owns</w:t>
      </w:r>
      <w:r w:rsidR="008E2CBF">
        <w:t xml:space="preserve"> </w:t>
      </w:r>
      <w:r w:rsidR="000913B6">
        <w:t>that cover</w:t>
      </w:r>
      <w:r w:rsidR="004868B2">
        <w:t>s</w:t>
      </w:r>
      <w:r w:rsidR="000913B6">
        <w:t xml:space="preserve"> at least the insignificant holdings threshold percentage of the population. </w:t>
      </w:r>
      <w:r w:rsidR="00B40066">
        <w:t xml:space="preserve">The calculation method </w:t>
      </w:r>
      <w:r w:rsidR="00B40066" w:rsidRPr="00B40066">
        <w:t xml:space="preserve">supports an outcome where a bidder would only exceed </w:t>
      </w:r>
      <w:r w:rsidR="008D3550">
        <w:t>the</w:t>
      </w:r>
      <w:r w:rsidR="008D3550" w:rsidRPr="00B40066">
        <w:t xml:space="preserve"> </w:t>
      </w:r>
      <w:r w:rsidR="00B40066" w:rsidRPr="00B40066">
        <w:t>allocation limit</w:t>
      </w:r>
      <w:r w:rsidR="008D3550">
        <w:t>s</w:t>
      </w:r>
      <w:r w:rsidR="00B40066" w:rsidRPr="00B40066">
        <w:t xml:space="preserve"> if </w:t>
      </w:r>
      <w:r w:rsidR="008D3550">
        <w:t xml:space="preserve">allocation of lots to </w:t>
      </w:r>
      <w:r w:rsidR="002F1D55">
        <w:t>that bidder</w:t>
      </w:r>
      <w:r w:rsidR="00B40066" w:rsidRPr="00B40066">
        <w:t xml:space="preserve"> exceed</w:t>
      </w:r>
      <w:r w:rsidR="00A975E8">
        <w:t>s</w:t>
      </w:r>
      <w:r w:rsidR="00B40066" w:rsidRPr="00B40066">
        <w:t xml:space="preserve"> the limit in a sub-area (or collection of sub-areas) that cover a percentage of the population of the product that is greater than the insignificant holdings threshold</w:t>
      </w:r>
      <w:r w:rsidR="009E1EBB">
        <w:t>.</w:t>
      </w:r>
    </w:p>
    <w:p w14:paraId="6FE22DA3" w14:textId="3950DA48" w:rsidR="00C564FA" w:rsidRDefault="00B5541A" w:rsidP="00332AD4">
      <w:pPr>
        <w:pStyle w:val="Paragraphbeforelist"/>
      </w:pPr>
      <w:r>
        <w:lastRenderedPageBreak/>
        <w:t>The</w:t>
      </w:r>
      <w:r w:rsidR="00244541">
        <w:t xml:space="preserve"> </w:t>
      </w:r>
      <w:r w:rsidR="0082108C">
        <w:t>calculation method</w:t>
      </w:r>
      <w:r w:rsidR="001B35B6">
        <w:t xml:space="preserve"> </w:t>
      </w:r>
      <w:r w:rsidR="005B5178">
        <w:t xml:space="preserve">we </w:t>
      </w:r>
      <w:r w:rsidR="001B35B6">
        <w:t>propose</w:t>
      </w:r>
      <w:r w:rsidR="0082108C">
        <w:t xml:space="preserve"> </w:t>
      </w:r>
      <w:r w:rsidR="000C19CB">
        <w:t>is</w:t>
      </w:r>
      <w:r w:rsidR="0082108C">
        <w:t xml:space="preserve"> as follows:</w:t>
      </w:r>
    </w:p>
    <w:p w14:paraId="64F2FE9E" w14:textId="02F36B65" w:rsidR="0082108C" w:rsidRDefault="00884DF9" w:rsidP="00332AD4">
      <w:pPr>
        <w:pStyle w:val="Paragraph"/>
        <w:numPr>
          <w:ilvl w:val="2"/>
          <w:numId w:val="15"/>
        </w:numPr>
        <w:ind w:left="567" w:right="992" w:hanging="283"/>
      </w:pPr>
      <w:r>
        <w:t xml:space="preserve">Determine </w:t>
      </w:r>
      <w:r w:rsidR="0088610C">
        <w:t>the</w:t>
      </w:r>
      <w:r>
        <w:t xml:space="preserve"> </w:t>
      </w:r>
      <w:r w:rsidR="0082108C">
        <w:t>bidder’s existing holdings in each unique sub-area and the percentage of the population of the larger geographic area (the product being demanded) that is attributable to each sub-area.</w:t>
      </w:r>
    </w:p>
    <w:p w14:paraId="591EE344" w14:textId="013813C8" w:rsidR="0082108C" w:rsidRDefault="0082108C" w:rsidP="00332AD4">
      <w:pPr>
        <w:pStyle w:val="Paragraph"/>
        <w:numPr>
          <w:ilvl w:val="2"/>
          <w:numId w:val="15"/>
        </w:numPr>
        <w:ind w:left="567" w:right="992" w:hanging="283"/>
      </w:pPr>
      <w:r>
        <w:t xml:space="preserve">Rank the bidder’s existing holdings in each sub-area </w:t>
      </w:r>
      <w:r w:rsidR="0092568C">
        <w:t xml:space="preserve">(that is, </w:t>
      </w:r>
      <w:r w:rsidR="00A83856">
        <w:t xml:space="preserve">considering </w:t>
      </w:r>
      <w:r w:rsidR="0092568C">
        <w:t xml:space="preserve">the bandwidth </w:t>
      </w:r>
      <w:r w:rsidR="00EB78B1">
        <w:t>in each sub-area)</w:t>
      </w:r>
      <w:r>
        <w:t xml:space="preserve"> in descending order.</w:t>
      </w:r>
    </w:p>
    <w:p w14:paraId="110188D0" w14:textId="7E63A25D" w:rsidR="0082108C" w:rsidRDefault="0082108C" w:rsidP="00332AD4">
      <w:pPr>
        <w:pStyle w:val="Paragraph"/>
        <w:numPr>
          <w:ilvl w:val="2"/>
          <w:numId w:val="15"/>
        </w:numPr>
        <w:ind w:left="567" w:right="992" w:hanging="283"/>
      </w:pPr>
      <w:r>
        <w:t xml:space="preserve">Calculate the cumulative percentage of the population for each sub-area </w:t>
      </w:r>
      <w:r w:rsidR="00C473A6">
        <w:t>descending down the list by bandwidth (e</w:t>
      </w:r>
      <w:r w:rsidR="00E64D66">
        <w:t>.g</w:t>
      </w:r>
      <w:r w:rsidR="00C473A6">
        <w:t>.</w:t>
      </w:r>
      <w:r>
        <w:t>,</w:t>
      </w:r>
      <w:r w:rsidR="00C473A6">
        <w:t xml:space="preserve"> the second-ranked sub-area’s cumulative population percentage will be</w:t>
      </w:r>
      <w:r>
        <w:t xml:space="preserve"> </w:t>
      </w:r>
      <w:r w:rsidR="005E4EA3">
        <w:t>the sum of the first and second-ranked sub-areas’ population percentages</w:t>
      </w:r>
      <w:r>
        <w:t>.</w:t>
      </w:r>
    </w:p>
    <w:p w14:paraId="02EA56A1" w14:textId="51C7F293" w:rsidR="0082108C" w:rsidRDefault="0082108C" w:rsidP="00332AD4">
      <w:pPr>
        <w:pStyle w:val="Paragraph"/>
        <w:numPr>
          <w:ilvl w:val="2"/>
          <w:numId w:val="15"/>
        </w:numPr>
        <w:ind w:left="567" w:right="992" w:hanging="283"/>
      </w:pPr>
      <w:r>
        <w:t xml:space="preserve">Descending down the list by bandwidth, find the first sub-area (or first collection of sub-areas with </w:t>
      </w:r>
      <w:r w:rsidR="00B153F4">
        <w:t>equal</w:t>
      </w:r>
      <w:r>
        <w:t xml:space="preserve"> bandwidth) where the cumulative percentage of the population exceeds the insignificant holdings threshold</w:t>
      </w:r>
      <w:r w:rsidR="000713A8">
        <w:t>.</w:t>
      </w:r>
      <w:r w:rsidR="009A68EA">
        <w:t xml:space="preserve"> </w:t>
      </w:r>
      <w:r>
        <w:t xml:space="preserve">The existing holdings for this sub-area </w:t>
      </w:r>
      <w:r w:rsidR="000616FB">
        <w:t xml:space="preserve">(using the </w:t>
      </w:r>
      <w:r w:rsidR="00D44FB8">
        <w:t xml:space="preserve">below </w:t>
      </w:r>
      <w:r w:rsidR="000616FB">
        <w:t xml:space="preserve">example, 100 MHz) </w:t>
      </w:r>
      <w:r>
        <w:t xml:space="preserve">will be the existing holdings used </w:t>
      </w:r>
      <w:r w:rsidR="00B615DC">
        <w:t xml:space="preserve">to calculate </w:t>
      </w:r>
      <w:r>
        <w:t>express</w:t>
      </w:r>
      <w:r w:rsidR="00B615DC">
        <w:t>ible</w:t>
      </w:r>
      <w:r>
        <w:t xml:space="preserve"> demand </w:t>
      </w:r>
      <w:r w:rsidR="00B615DC">
        <w:t xml:space="preserve">under the allocation limit </w:t>
      </w:r>
      <w:r>
        <w:t>for a product</w:t>
      </w:r>
      <w:r w:rsidR="0075029D">
        <w:t xml:space="preserve"> for a bidder</w:t>
      </w:r>
      <w:r>
        <w:t>.</w:t>
      </w:r>
    </w:p>
    <w:p w14:paraId="19AB3FCB" w14:textId="485E6247" w:rsidR="0082108C" w:rsidRDefault="0082108C" w:rsidP="00332AD4">
      <w:pPr>
        <w:pStyle w:val="Paragraph"/>
        <w:numPr>
          <w:ilvl w:val="2"/>
          <w:numId w:val="15"/>
        </w:numPr>
        <w:ind w:left="567" w:right="992" w:hanging="283"/>
      </w:pPr>
      <w:r>
        <w:t xml:space="preserve">The limit would only be considered to be exceeded if the bidder is expressing demand on the product that causes the excess (e.g., if </w:t>
      </w:r>
      <w:r w:rsidR="00135EA6">
        <w:t xml:space="preserve">a sub-area </w:t>
      </w:r>
      <w:r w:rsidR="00D22BA1" w:rsidRPr="00D22BA1">
        <w:t>is insignificant for Product X Upper but</w:t>
      </w:r>
      <w:r w:rsidR="0075029D">
        <w:t xml:space="preserve"> that area</w:t>
      </w:r>
      <w:r w:rsidR="00D22BA1" w:rsidRPr="00D22BA1">
        <w:t xml:space="preserve"> constitutes the whole geographic area for other products such as Product </w:t>
      </w:r>
      <w:r w:rsidR="00F771BE">
        <w:t>Y</w:t>
      </w:r>
      <w:r w:rsidR="00F771BE" w:rsidRPr="00D22BA1">
        <w:t xml:space="preserve"> </w:t>
      </w:r>
      <w:r w:rsidR="00D22BA1" w:rsidRPr="00D22BA1">
        <w:t xml:space="preserve">Lower and Product </w:t>
      </w:r>
      <w:r w:rsidR="00F771BE">
        <w:t>Y</w:t>
      </w:r>
      <w:r w:rsidR="00F771BE" w:rsidRPr="00D22BA1">
        <w:t xml:space="preserve"> </w:t>
      </w:r>
      <w:r w:rsidR="00D22BA1" w:rsidRPr="00D22BA1">
        <w:t xml:space="preserve">Middle, a bidder's demand for Product X Upper causing them to go above the limit in Sub-Area C does not mean they have exceeded the limit in Product </w:t>
      </w:r>
      <w:r w:rsidR="00F771BE">
        <w:t>Y</w:t>
      </w:r>
      <w:r w:rsidR="00F771BE" w:rsidRPr="00D22BA1">
        <w:t xml:space="preserve"> </w:t>
      </w:r>
      <w:r w:rsidR="00D22BA1" w:rsidRPr="00D22BA1">
        <w:t xml:space="preserve">Lower and Product </w:t>
      </w:r>
      <w:r w:rsidR="00F771BE">
        <w:t>Y</w:t>
      </w:r>
      <w:r w:rsidR="00F771BE" w:rsidRPr="00D22BA1">
        <w:t xml:space="preserve"> </w:t>
      </w:r>
      <w:r w:rsidR="00D22BA1" w:rsidRPr="00D22BA1">
        <w:t xml:space="preserve">Middle if they express zero demand for these </w:t>
      </w:r>
      <w:r w:rsidR="00F54B4C">
        <w:t>2</w:t>
      </w:r>
      <w:r w:rsidR="00F54B4C" w:rsidRPr="00D22BA1">
        <w:t xml:space="preserve"> </w:t>
      </w:r>
      <w:r w:rsidR="00D22BA1" w:rsidRPr="00D22BA1">
        <w:t>products</w:t>
      </w:r>
      <w:r>
        <w:t>).</w:t>
      </w:r>
    </w:p>
    <w:p w14:paraId="59956DB7" w14:textId="20A5C59A" w:rsidR="00FD1240" w:rsidRDefault="009F0E08" w:rsidP="00332AD4">
      <w:pPr>
        <w:pStyle w:val="Paragraph"/>
        <w:ind w:right="992"/>
      </w:pPr>
      <w:r>
        <w:t xml:space="preserve">For example, assume that Product X Upper is made up of </w:t>
      </w:r>
      <w:r w:rsidR="009A0DFB">
        <w:t>4</w:t>
      </w:r>
      <w:r>
        <w:t xml:space="preserve"> sub-areas (A, B</w:t>
      </w:r>
      <w:r w:rsidR="009A0DFB">
        <w:t>,</w:t>
      </w:r>
      <w:r>
        <w:t xml:space="preserve"> C</w:t>
      </w:r>
      <w:r w:rsidR="009A0DFB">
        <w:t xml:space="preserve"> </w:t>
      </w:r>
      <w:r>
        <w:t xml:space="preserve">and </w:t>
      </w:r>
      <w:r w:rsidR="009A0DFB">
        <w:t>D</w:t>
      </w:r>
      <w:r>
        <w:t>)</w:t>
      </w:r>
      <w:r w:rsidR="00D678D5">
        <w:t>, and that</w:t>
      </w:r>
      <w:r>
        <w:t xml:space="preserve"> a bidder holds 80 MHz in Sub-Area A (</w:t>
      </w:r>
      <w:r w:rsidR="4F404998">
        <w:t>3</w:t>
      </w:r>
      <w:r>
        <w:t>0% of the population), 100 MHz in Sub-Area B (25% of the population)</w:t>
      </w:r>
      <w:r w:rsidR="00D678D5">
        <w:t>,</w:t>
      </w:r>
      <w:r>
        <w:t xml:space="preserve"> 120 MHz in Sub-Area C (15% of the population)</w:t>
      </w:r>
      <w:r w:rsidR="00D678D5">
        <w:t xml:space="preserve"> and </w:t>
      </w:r>
      <w:r w:rsidR="004354D6">
        <w:t>zero</w:t>
      </w:r>
      <w:r w:rsidR="00D678D5">
        <w:t xml:space="preserve"> in </w:t>
      </w:r>
      <w:r w:rsidR="004354D6">
        <w:t>Sub-area D (</w:t>
      </w:r>
      <w:r w:rsidR="0016381F">
        <w:t>30% of the population)</w:t>
      </w:r>
      <w:r>
        <w:t xml:space="preserve">. </w:t>
      </w:r>
      <w:r w:rsidR="007C054D">
        <w:t>Based on these parameters, t</w:t>
      </w:r>
      <w:r w:rsidR="00FD1240">
        <w:t>he</w:t>
      </w:r>
      <w:r w:rsidR="00557EDB">
        <w:t xml:space="preserve"> calculation method</w:t>
      </w:r>
      <w:r w:rsidR="00B653F9">
        <w:t xml:space="preserve"> is intended to </w:t>
      </w:r>
      <w:r w:rsidR="007C054D">
        <w:t xml:space="preserve">generate an outcome </w:t>
      </w:r>
      <w:r w:rsidR="00BD0826">
        <w:t xml:space="preserve">like </w:t>
      </w:r>
      <w:r w:rsidR="007C054D">
        <w:t>in</w:t>
      </w:r>
      <w:r w:rsidR="00BD0826">
        <w:t xml:space="preserve"> the table below</w:t>
      </w:r>
      <w:r w:rsidR="00D93387">
        <w:t xml:space="preserve">. The sub-areas </w:t>
      </w:r>
      <w:r w:rsidR="00091DC7">
        <w:t>within Product X Upper</w:t>
      </w:r>
      <w:r w:rsidR="00D93387">
        <w:t xml:space="preserve"> are </w:t>
      </w:r>
      <w:r w:rsidR="00BA008E">
        <w:t xml:space="preserve">ranked in descending order of </w:t>
      </w:r>
      <w:r w:rsidR="00D13BEA">
        <w:t>the bidder’s existing holdings</w:t>
      </w:r>
      <w:r w:rsidR="009A4E1D">
        <w:t xml:space="preserve"> (in </w:t>
      </w:r>
      <w:r w:rsidR="00F509F8">
        <w:t xml:space="preserve">MHz of </w:t>
      </w:r>
      <w:r w:rsidR="009A4E1D">
        <w:t>bandwidth)</w:t>
      </w:r>
      <w:r w:rsidR="0007140B">
        <w:t>;</w:t>
      </w:r>
      <w:r w:rsidR="00BA008E">
        <w:t xml:space="preserve"> the cumulative population percentage</w:t>
      </w:r>
      <w:r w:rsidR="00E75BB6">
        <w:t xml:space="preserve"> for each sub-area is calculated</w:t>
      </w:r>
      <w:r w:rsidR="00E5639C">
        <w:t>;</w:t>
      </w:r>
      <w:r w:rsidR="00BD0826">
        <w:t xml:space="preserve"> </w:t>
      </w:r>
      <w:r w:rsidR="00D92CEE">
        <w:t xml:space="preserve">and </w:t>
      </w:r>
      <w:r w:rsidR="00706CE0">
        <w:t xml:space="preserve">the </w:t>
      </w:r>
      <w:r w:rsidR="00421BE7">
        <w:t xml:space="preserve">existing holdings </w:t>
      </w:r>
      <w:r w:rsidR="00B64483">
        <w:t>in</w:t>
      </w:r>
      <w:r w:rsidR="00706CE0">
        <w:t xml:space="preserve"> </w:t>
      </w:r>
      <w:r w:rsidR="0075029D">
        <w:t xml:space="preserve">the </w:t>
      </w:r>
      <w:r w:rsidR="00E5639C">
        <w:t>first</w:t>
      </w:r>
      <w:r w:rsidR="00706CE0">
        <w:t xml:space="preserve"> sub-area</w:t>
      </w:r>
      <w:r w:rsidR="00BD0826">
        <w:t xml:space="preserve"> </w:t>
      </w:r>
      <w:r w:rsidR="00193AE4">
        <w:t xml:space="preserve">where the </w:t>
      </w:r>
      <w:r w:rsidR="00890F83">
        <w:t xml:space="preserve">cumulative population percentage exceeds the </w:t>
      </w:r>
      <w:r w:rsidR="00BE3F50">
        <w:t xml:space="preserve">proposed 30% </w:t>
      </w:r>
      <w:r w:rsidR="00DB75A2">
        <w:t xml:space="preserve">insignificant holdings </w:t>
      </w:r>
      <w:r w:rsidR="00BE3F50">
        <w:t>threshold</w:t>
      </w:r>
      <w:r w:rsidR="00B64483">
        <w:t xml:space="preserve"> are the calculated existing holdings for the product</w:t>
      </w:r>
      <w:r w:rsidR="00193AE4">
        <w:t>.</w:t>
      </w:r>
      <w:r w:rsidR="00CB6C7F">
        <w:t xml:space="preserve"> It is </w:t>
      </w:r>
      <w:r w:rsidR="00415036">
        <w:t>demonstrating that the bidder has existing holdings of at least 100 MHz covering 40% of the population of Product X Upper</w:t>
      </w:r>
      <w:r w:rsidR="004E2709">
        <w:t>.</w:t>
      </w:r>
      <w:r w:rsidR="00121457">
        <w:t xml:space="preserve"> </w:t>
      </w:r>
    </w:p>
    <w:p w14:paraId="5F7ADEF7" w14:textId="79F1AE80" w:rsidR="00193AE4" w:rsidRDefault="00193AE4" w:rsidP="00332AD4">
      <w:pPr>
        <w:pStyle w:val="Tableheading"/>
        <w:ind w:right="992"/>
      </w:pPr>
      <w:r>
        <w:t>Existing holdings calculation example</w:t>
      </w:r>
      <w:r w:rsidR="005E2DB2">
        <w:t xml:space="preserve"> (‘Product X Upper’)</w:t>
      </w:r>
    </w:p>
    <w:tbl>
      <w:tblPr>
        <w:tblStyle w:val="ACMAtablestyle"/>
        <w:tblW w:w="8280" w:type="dxa"/>
        <w:tblLook w:val="04A0" w:firstRow="1" w:lastRow="0" w:firstColumn="1" w:lastColumn="0" w:noHBand="0" w:noVBand="1"/>
      </w:tblPr>
      <w:tblGrid>
        <w:gridCol w:w="825"/>
        <w:gridCol w:w="1399"/>
        <w:gridCol w:w="891"/>
        <w:gridCol w:w="1744"/>
        <w:gridCol w:w="1760"/>
        <w:gridCol w:w="1661"/>
      </w:tblGrid>
      <w:tr w:rsidR="004354D6" w:rsidRPr="004354D6" w14:paraId="7603EAF2" w14:textId="77777777" w:rsidTr="00332AD4">
        <w:trPr>
          <w:cnfStyle w:val="100000000000" w:firstRow="1" w:lastRow="0" w:firstColumn="0" w:lastColumn="0" w:oddVBand="0" w:evenVBand="0" w:oddHBand="0" w:evenHBand="0" w:firstRowFirstColumn="0" w:firstRowLastColumn="0" w:lastRowFirstColumn="0" w:lastRowLastColumn="0"/>
          <w:trHeight w:val="885"/>
        </w:trPr>
        <w:tc>
          <w:tcPr>
            <w:tcW w:w="0" w:type="dxa"/>
            <w:hideMark/>
          </w:tcPr>
          <w:p w14:paraId="780360C0" w14:textId="007B02B9" w:rsidR="004354D6" w:rsidRPr="00332AD4" w:rsidRDefault="004354D6" w:rsidP="00D40740">
            <w:pPr>
              <w:pStyle w:val="Tableheaderrow"/>
            </w:pPr>
            <w:r w:rsidRPr="00332AD4">
              <w:t>Sub-</w:t>
            </w:r>
            <w:r w:rsidR="00091DC7" w:rsidRPr="00332AD4">
              <w:t>a</w:t>
            </w:r>
            <w:r w:rsidRPr="00332AD4">
              <w:t>rea</w:t>
            </w:r>
          </w:p>
        </w:tc>
        <w:tc>
          <w:tcPr>
            <w:tcW w:w="0" w:type="dxa"/>
            <w:hideMark/>
          </w:tcPr>
          <w:p w14:paraId="34A3A49B" w14:textId="77777777" w:rsidR="004354D6" w:rsidRPr="00332AD4" w:rsidRDefault="004354D6" w:rsidP="00D40740">
            <w:pPr>
              <w:pStyle w:val="Tableheaderrow"/>
            </w:pPr>
            <w:r w:rsidRPr="00332AD4">
              <w:t>Existing holdings</w:t>
            </w:r>
          </w:p>
        </w:tc>
        <w:tc>
          <w:tcPr>
            <w:tcW w:w="0" w:type="dxa"/>
            <w:hideMark/>
          </w:tcPr>
          <w:p w14:paraId="04EE95B8" w14:textId="77777777" w:rsidR="004354D6" w:rsidRPr="00332AD4" w:rsidRDefault="004354D6" w:rsidP="00D40740">
            <w:pPr>
              <w:pStyle w:val="Tableheaderrow"/>
            </w:pPr>
            <w:r w:rsidRPr="00332AD4">
              <w:t>Rank</w:t>
            </w:r>
          </w:p>
        </w:tc>
        <w:tc>
          <w:tcPr>
            <w:tcW w:w="0" w:type="dxa"/>
            <w:hideMark/>
          </w:tcPr>
          <w:p w14:paraId="4FF26B4A" w14:textId="77777777" w:rsidR="004354D6" w:rsidRPr="00332AD4" w:rsidRDefault="004354D6" w:rsidP="00D40740">
            <w:pPr>
              <w:pStyle w:val="Tableheaderrow"/>
            </w:pPr>
            <w:r w:rsidRPr="00332AD4">
              <w:t>Population percentage</w:t>
            </w:r>
          </w:p>
        </w:tc>
        <w:tc>
          <w:tcPr>
            <w:tcW w:w="0" w:type="dxa"/>
            <w:hideMark/>
          </w:tcPr>
          <w:p w14:paraId="220ADF9C" w14:textId="77777777" w:rsidR="004354D6" w:rsidRPr="00332AD4" w:rsidRDefault="004354D6" w:rsidP="00D40740">
            <w:pPr>
              <w:pStyle w:val="Tableheaderrow"/>
            </w:pPr>
            <w:r w:rsidRPr="00332AD4">
              <w:t>Cumulative population percentage</w:t>
            </w:r>
          </w:p>
        </w:tc>
        <w:tc>
          <w:tcPr>
            <w:tcW w:w="0" w:type="dxa"/>
            <w:hideMark/>
          </w:tcPr>
          <w:p w14:paraId="16312277" w14:textId="77777777" w:rsidR="004354D6" w:rsidRPr="00332AD4" w:rsidRDefault="004354D6" w:rsidP="00D40740">
            <w:pPr>
              <w:pStyle w:val="Tableheaderrow"/>
            </w:pPr>
            <w:r w:rsidRPr="00332AD4">
              <w:t>Calculated existing holdings</w:t>
            </w:r>
          </w:p>
        </w:tc>
      </w:tr>
      <w:tr w:rsidR="004354D6" w:rsidRPr="004354D6" w14:paraId="4852F917" w14:textId="77777777" w:rsidTr="00332AD4">
        <w:trPr>
          <w:cnfStyle w:val="000000100000" w:firstRow="0" w:lastRow="0" w:firstColumn="0" w:lastColumn="0" w:oddVBand="0" w:evenVBand="0" w:oddHBand="1" w:evenHBand="0" w:firstRowFirstColumn="0" w:firstRowLastColumn="0" w:lastRowFirstColumn="0" w:lastRowLastColumn="0"/>
          <w:trHeight w:val="255"/>
        </w:trPr>
        <w:tc>
          <w:tcPr>
            <w:tcW w:w="0" w:type="dxa"/>
            <w:noWrap/>
            <w:hideMark/>
          </w:tcPr>
          <w:p w14:paraId="0F593D34"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C</w:t>
            </w:r>
          </w:p>
        </w:tc>
        <w:tc>
          <w:tcPr>
            <w:tcW w:w="0" w:type="dxa"/>
            <w:noWrap/>
            <w:hideMark/>
          </w:tcPr>
          <w:p w14:paraId="6D8DADF5"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120 MHz</w:t>
            </w:r>
          </w:p>
        </w:tc>
        <w:tc>
          <w:tcPr>
            <w:tcW w:w="0" w:type="dxa"/>
            <w:noWrap/>
            <w:hideMark/>
          </w:tcPr>
          <w:p w14:paraId="6F578770"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1</w:t>
            </w:r>
          </w:p>
        </w:tc>
        <w:tc>
          <w:tcPr>
            <w:tcW w:w="0" w:type="dxa"/>
            <w:noWrap/>
            <w:hideMark/>
          </w:tcPr>
          <w:p w14:paraId="0BF3C236"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15%</w:t>
            </w:r>
          </w:p>
        </w:tc>
        <w:tc>
          <w:tcPr>
            <w:tcW w:w="0" w:type="dxa"/>
            <w:noWrap/>
            <w:hideMark/>
          </w:tcPr>
          <w:p w14:paraId="216E4219"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15%</w:t>
            </w:r>
          </w:p>
        </w:tc>
        <w:tc>
          <w:tcPr>
            <w:tcW w:w="0" w:type="dxa"/>
            <w:vMerge w:val="restart"/>
            <w:noWrap/>
            <w:hideMark/>
          </w:tcPr>
          <w:p w14:paraId="1DEA8091"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100 MHz</w:t>
            </w:r>
          </w:p>
        </w:tc>
      </w:tr>
      <w:tr w:rsidR="004354D6" w:rsidRPr="004354D6" w14:paraId="01AC5E62" w14:textId="77777777" w:rsidTr="00332AD4">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322ACCF6" w14:textId="77777777" w:rsidR="004354D6" w:rsidRPr="00B46EC5" w:rsidRDefault="004354D6" w:rsidP="00C37666">
            <w:pPr>
              <w:spacing w:after="0" w:line="240" w:lineRule="auto"/>
              <w:jc w:val="center"/>
              <w:rPr>
                <w:rFonts w:cs="Arial"/>
                <w:b/>
                <w:color w:val="000000"/>
                <w:szCs w:val="20"/>
              </w:rPr>
            </w:pPr>
            <w:r w:rsidRPr="00B46EC5">
              <w:rPr>
                <w:rFonts w:cs="Arial"/>
                <w:b/>
                <w:color w:val="000000"/>
                <w:szCs w:val="20"/>
              </w:rPr>
              <w:t>B</w:t>
            </w:r>
          </w:p>
        </w:tc>
        <w:tc>
          <w:tcPr>
            <w:tcW w:w="0" w:type="dxa"/>
            <w:noWrap/>
            <w:hideMark/>
          </w:tcPr>
          <w:p w14:paraId="2F05B888" w14:textId="77777777" w:rsidR="004354D6" w:rsidRPr="00B46EC5" w:rsidRDefault="004354D6" w:rsidP="00C37666">
            <w:pPr>
              <w:spacing w:after="0" w:line="240" w:lineRule="auto"/>
              <w:jc w:val="center"/>
              <w:rPr>
                <w:rFonts w:cs="Arial"/>
                <w:b/>
                <w:color w:val="000000"/>
                <w:szCs w:val="20"/>
              </w:rPr>
            </w:pPr>
            <w:r w:rsidRPr="00B46EC5">
              <w:rPr>
                <w:rFonts w:cs="Arial"/>
                <w:b/>
                <w:color w:val="000000"/>
                <w:szCs w:val="20"/>
              </w:rPr>
              <w:t>100 MHz</w:t>
            </w:r>
          </w:p>
        </w:tc>
        <w:tc>
          <w:tcPr>
            <w:tcW w:w="0" w:type="dxa"/>
            <w:noWrap/>
            <w:hideMark/>
          </w:tcPr>
          <w:p w14:paraId="098517F8" w14:textId="77777777" w:rsidR="004354D6" w:rsidRPr="00B46EC5" w:rsidRDefault="004354D6" w:rsidP="00C37666">
            <w:pPr>
              <w:spacing w:after="0" w:line="240" w:lineRule="auto"/>
              <w:jc w:val="center"/>
              <w:rPr>
                <w:rFonts w:cs="Arial"/>
                <w:b/>
                <w:color w:val="000000"/>
                <w:szCs w:val="20"/>
              </w:rPr>
            </w:pPr>
            <w:r w:rsidRPr="00B46EC5">
              <w:rPr>
                <w:rFonts w:cs="Arial"/>
                <w:b/>
                <w:color w:val="000000"/>
                <w:szCs w:val="20"/>
              </w:rPr>
              <w:t>2</w:t>
            </w:r>
          </w:p>
        </w:tc>
        <w:tc>
          <w:tcPr>
            <w:tcW w:w="0" w:type="dxa"/>
            <w:noWrap/>
            <w:hideMark/>
          </w:tcPr>
          <w:p w14:paraId="51F54169" w14:textId="77777777" w:rsidR="004354D6" w:rsidRPr="00B46EC5" w:rsidRDefault="004354D6" w:rsidP="00C37666">
            <w:pPr>
              <w:spacing w:after="0" w:line="240" w:lineRule="auto"/>
              <w:jc w:val="center"/>
              <w:rPr>
                <w:rFonts w:cs="Arial"/>
                <w:b/>
                <w:color w:val="000000"/>
                <w:szCs w:val="20"/>
              </w:rPr>
            </w:pPr>
            <w:r w:rsidRPr="00B46EC5">
              <w:rPr>
                <w:rFonts w:cs="Arial"/>
                <w:b/>
                <w:color w:val="000000"/>
                <w:szCs w:val="20"/>
              </w:rPr>
              <w:t>25%</w:t>
            </w:r>
          </w:p>
        </w:tc>
        <w:tc>
          <w:tcPr>
            <w:tcW w:w="0" w:type="dxa"/>
            <w:noWrap/>
            <w:hideMark/>
          </w:tcPr>
          <w:p w14:paraId="48DB3B73" w14:textId="77777777" w:rsidR="004354D6" w:rsidRPr="008E3362" w:rsidRDefault="004354D6" w:rsidP="00C37666">
            <w:pPr>
              <w:spacing w:after="0" w:line="240" w:lineRule="auto"/>
              <w:jc w:val="center"/>
              <w:rPr>
                <w:rFonts w:cs="Arial"/>
                <w:b/>
                <w:color w:val="000000"/>
                <w:szCs w:val="20"/>
              </w:rPr>
            </w:pPr>
            <w:r w:rsidRPr="00EC7D3B">
              <w:rPr>
                <w:rFonts w:cs="Arial"/>
                <w:b/>
                <w:color w:val="000000"/>
                <w:szCs w:val="20"/>
              </w:rPr>
              <w:t>40%</w:t>
            </w:r>
          </w:p>
        </w:tc>
        <w:tc>
          <w:tcPr>
            <w:tcW w:w="0" w:type="dxa"/>
            <w:vMerge/>
            <w:hideMark/>
          </w:tcPr>
          <w:p w14:paraId="1D84909B" w14:textId="77777777" w:rsidR="004354D6" w:rsidRPr="004354D6" w:rsidRDefault="004354D6" w:rsidP="00C37666">
            <w:pPr>
              <w:spacing w:after="0" w:line="240" w:lineRule="auto"/>
              <w:rPr>
                <w:rFonts w:cs="Arial"/>
                <w:color w:val="000000"/>
                <w:szCs w:val="20"/>
              </w:rPr>
            </w:pPr>
          </w:p>
        </w:tc>
      </w:tr>
      <w:tr w:rsidR="004354D6" w:rsidRPr="004354D6" w14:paraId="382761BA" w14:textId="77777777" w:rsidTr="00332AD4">
        <w:trPr>
          <w:cnfStyle w:val="000000100000" w:firstRow="0" w:lastRow="0" w:firstColumn="0" w:lastColumn="0" w:oddVBand="0" w:evenVBand="0" w:oddHBand="1" w:evenHBand="0" w:firstRowFirstColumn="0" w:firstRowLastColumn="0" w:lastRowFirstColumn="0" w:lastRowLastColumn="0"/>
          <w:trHeight w:val="255"/>
        </w:trPr>
        <w:tc>
          <w:tcPr>
            <w:tcW w:w="0" w:type="dxa"/>
            <w:noWrap/>
            <w:hideMark/>
          </w:tcPr>
          <w:p w14:paraId="4CAD816F"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A</w:t>
            </w:r>
          </w:p>
        </w:tc>
        <w:tc>
          <w:tcPr>
            <w:tcW w:w="0" w:type="dxa"/>
            <w:noWrap/>
            <w:hideMark/>
          </w:tcPr>
          <w:p w14:paraId="374B6322"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80 MHz</w:t>
            </w:r>
          </w:p>
        </w:tc>
        <w:tc>
          <w:tcPr>
            <w:tcW w:w="0" w:type="dxa"/>
            <w:noWrap/>
            <w:hideMark/>
          </w:tcPr>
          <w:p w14:paraId="6226D7BB"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3</w:t>
            </w:r>
          </w:p>
        </w:tc>
        <w:tc>
          <w:tcPr>
            <w:tcW w:w="0" w:type="dxa"/>
            <w:noWrap/>
            <w:hideMark/>
          </w:tcPr>
          <w:p w14:paraId="072F0C9C" w14:textId="41CF7D87" w:rsidR="004354D6" w:rsidRPr="004354D6" w:rsidRDefault="6E4D1C2F" w:rsidP="00C37666">
            <w:pPr>
              <w:spacing w:after="0" w:line="240" w:lineRule="auto"/>
              <w:jc w:val="center"/>
              <w:rPr>
                <w:rFonts w:cs="Arial"/>
                <w:color w:val="000000"/>
              </w:rPr>
            </w:pPr>
            <w:r w:rsidRPr="6499567C">
              <w:rPr>
                <w:rFonts w:cs="Arial"/>
                <w:color w:val="000000" w:themeColor="text1"/>
              </w:rPr>
              <w:t>3</w:t>
            </w:r>
            <w:r w:rsidR="004354D6" w:rsidRPr="6499567C">
              <w:rPr>
                <w:rFonts w:cs="Arial"/>
                <w:color w:val="000000" w:themeColor="text1"/>
              </w:rPr>
              <w:t>0%</w:t>
            </w:r>
          </w:p>
        </w:tc>
        <w:tc>
          <w:tcPr>
            <w:tcW w:w="0" w:type="dxa"/>
            <w:noWrap/>
            <w:hideMark/>
          </w:tcPr>
          <w:p w14:paraId="330370D3" w14:textId="310014C4" w:rsidR="004354D6" w:rsidRPr="004354D6" w:rsidRDefault="004354D6" w:rsidP="00C37666">
            <w:pPr>
              <w:spacing w:after="0" w:line="240" w:lineRule="auto"/>
              <w:jc w:val="center"/>
              <w:rPr>
                <w:rFonts w:cs="Arial"/>
                <w:color w:val="000000"/>
                <w:szCs w:val="20"/>
              </w:rPr>
            </w:pPr>
            <w:r w:rsidRPr="420EBBF8">
              <w:rPr>
                <w:rFonts w:cs="Arial"/>
                <w:color w:val="000000" w:themeColor="text1"/>
              </w:rPr>
              <w:t>70%</w:t>
            </w:r>
          </w:p>
        </w:tc>
        <w:tc>
          <w:tcPr>
            <w:tcW w:w="0" w:type="dxa"/>
            <w:vMerge/>
            <w:hideMark/>
          </w:tcPr>
          <w:p w14:paraId="260C1251" w14:textId="77777777" w:rsidR="004354D6" w:rsidRPr="004354D6" w:rsidRDefault="004354D6" w:rsidP="00C37666">
            <w:pPr>
              <w:spacing w:after="0" w:line="240" w:lineRule="auto"/>
              <w:rPr>
                <w:rFonts w:cs="Arial"/>
                <w:color w:val="000000"/>
                <w:szCs w:val="20"/>
              </w:rPr>
            </w:pPr>
          </w:p>
        </w:tc>
      </w:tr>
      <w:tr w:rsidR="004354D6" w:rsidRPr="004354D6" w14:paraId="483ED782" w14:textId="77777777" w:rsidTr="00332AD4">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59DCEE2A"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D</w:t>
            </w:r>
          </w:p>
        </w:tc>
        <w:tc>
          <w:tcPr>
            <w:tcW w:w="0" w:type="dxa"/>
            <w:noWrap/>
            <w:hideMark/>
          </w:tcPr>
          <w:p w14:paraId="0BA9BA0C"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0 MHz</w:t>
            </w:r>
          </w:p>
        </w:tc>
        <w:tc>
          <w:tcPr>
            <w:tcW w:w="0" w:type="dxa"/>
            <w:noWrap/>
            <w:hideMark/>
          </w:tcPr>
          <w:p w14:paraId="09530A59"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4</w:t>
            </w:r>
          </w:p>
        </w:tc>
        <w:tc>
          <w:tcPr>
            <w:tcW w:w="0" w:type="dxa"/>
            <w:noWrap/>
            <w:hideMark/>
          </w:tcPr>
          <w:p w14:paraId="51C09D59"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30%</w:t>
            </w:r>
          </w:p>
        </w:tc>
        <w:tc>
          <w:tcPr>
            <w:tcW w:w="0" w:type="dxa"/>
            <w:noWrap/>
            <w:hideMark/>
          </w:tcPr>
          <w:p w14:paraId="65612ED4" w14:textId="77777777" w:rsidR="004354D6" w:rsidRPr="004354D6" w:rsidRDefault="004354D6" w:rsidP="00C37666">
            <w:pPr>
              <w:spacing w:after="0" w:line="240" w:lineRule="auto"/>
              <w:jc w:val="center"/>
              <w:rPr>
                <w:rFonts w:cs="Arial"/>
                <w:color w:val="000000"/>
                <w:szCs w:val="20"/>
              </w:rPr>
            </w:pPr>
            <w:r w:rsidRPr="004354D6">
              <w:rPr>
                <w:rFonts w:cs="Arial"/>
                <w:color w:val="000000"/>
                <w:szCs w:val="20"/>
              </w:rPr>
              <w:t>100%</w:t>
            </w:r>
          </w:p>
        </w:tc>
        <w:tc>
          <w:tcPr>
            <w:tcW w:w="0" w:type="dxa"/>
            <w:vMerge/>
            <w:hideMark/>
          </w:tcPr>
          <w:p w14:paraId="5C4E7080" w14:textId="77777777" w:rsidR="004354D6" w:rsidRPr="004354D6" w:rsidRDefault="004354D6" w:rsidP="00C37666">
            <w:pPr>
              <w:spacing w:after="0" w:line="240" w:lineRule="auto"/>
              <w:rPr>
                <w:rFonts w:cs="Arial"/>
                <w:color w:val="000000"/>
                <w:szCs w:val="20"/>
              </w:rPr>
            </w:pPr>
          </w:p>
        </w:tc>
      </w:tr>
    </w:tbl>
    <w:p w14:paraId="0832F985" w14:textId="77777777" w:rsidR="00193AE4" w:rsidRPr="00EC7D3B" w:rsidRDefault="00193AE4" w:rsidP="00332AD4">
      <w:pPr>
        <w:pStyle w:val="Paragraph"/>
        <w:ind w:right="992"/>
      </w:pPr>
    </w:p>
    <w:p w14:paraId="102E6AB9" w14:textId="0687BC3A" w:rsidR="00295DBB" w:rsidRDefault="00074BE1" w:rsidP="00263BEA">
      <w:pPr>
        <w:pStyle w:val="Paragraphbeforelist"/>
        <w:ind w:right="992"/>
      </w:pPr>
      <w:r>
        <w:lastRenderedPageBreak/>
        <w:t>T</w:t>
      </w:r>
      <w:r w:rsidR="008908A3">
        <w:t xml:space="preserve">he allocation limits </w:t>
      </w:r>
      <w:r>
        <w:t>are proposed to</w:t>
      </w:r>
      <w:r w:rsidR="008908A3">
        <w:t xml:space="preserve"> </w:t>
      </w:r>
      <w:r w:rsidR="00B94BB2">
        <w:t xml:space="preserve">limit </w:t>
      </w:r>
      <w:r>
        <w:t xml:space="preserve">the </w:t>
      </w:r>
      <w:r w:rsidR="00372078" w:rsidRPr="00372078">
        <w:t xml:space="preserve">aggregate of the parts of the spectrum that may be used by any person or specified group of persons as a result of </w:t>
      </w:r>
      <w:r w:rsidR="00693AB1">
        <w:t>the</w:t>
      </w:r>
      <w:r w:rsidR="00BE7980">
        <w:t xml:space="preserve"> </w:t>
      </w:r>
      <w:r w:rsidR="00693AB1">
        <w:t xml:space="preserve">3.4/3.7 GHz bands auction </w:t>
      </w:r>
      <w:r w:rsidR="00372078">
        <w:t xml:space="preserve">in the </w:t>
      </w:r>
      <w:r>
        <w:t>3.4</w:t>
      </w:r>
      <w:r w:rsidR="0087749E">
        <w:t>–</w:t>
      </w:r>
      <w:r>
        <w:t>3.8 GHz frequency range. Therefore, i</w:t>
      </w:r>
      <w:r w:rsidR="0065166E">
        <w:t>n a sequential auction as is proposed for the 3.4/3.</w:t>
      </w:r>
      <w:r w:rsidR="0065166E" w:rsidDel="00F4471C">
        <w:t>7</w:t>
      </w:r>
      <w:r w:rsidR="00F4471C">
        <w:t> </w:t>
      </w:r>
      <w:r w:rsidR="0065166E">
        <w:t xml:space="preserve">GHz bands auction, </w:t>
      </w:r>
      <w:r w:rsidR="00C81EB1">
        <w:t xml:space="preserve">we will need to give effect to the </w:t>
      </w:r>
      <w:r w:rsidR="00E95A04">
        <w:t xml:space="preserve">allocation limits </w:t>
      </w:r>
      <w:r w:rsidR="00631540">
        <w:t>during the allocation of the 3.7</w:t>
      </w:r>
      <w:r w:rsidR="00F14C9C">
        <w:t> </w:t>
      </w:r>
      <w:r w:rsidR="00631540">
        <w:t>GHz band</w:t>
      </w:r>
      <w:r>
        <w:t xml:space="preserve"> and</w:t>
      </w:r>
      <w:r w:rsidR="00631540">
        <w:t xml:space="preserve"> </w:t>
      </w:r>
      <w:r w:rsidR="00375CAD">
        <w:t xml:space="preserve">again </w:t>
      </w:r>
      <w:r w:rsidR="00D707AC">
        <w:t>during</w:t>
      </w:r>
      <w:r w:rsidR="00631540">
        <w:t xml:space="preserve"> the allocation of the 3.4 GHz band.</w:t>
      </w:r>
      <w:r w:rsidR="00C81EB1">
        <w:t xml:space="preserve"> </w:t>
      </w:r>
    </w:p>
    <w:p w14:paraId="0B3E2CFE" w14:textId="1D2ADB5E" w:rsidR="00E95A04" w:rsidRDefault="00C81EB1" w:rsidP="00332AD4">
      <w:pPr>
        <w:pStyle w:val="Paragraphbeforelist"/>
        <w:keepNext/>
        <w:keepLines/>
        <w:ind w:right="992"/>
      </w:pPr>
      <w:r>
        <w:t>To do so</w:t>
      </w:r>
      <w:r w:rsidR="00E95A04">
        <w:t xml:space="preserve">, we </w:t>
      </w:r>
      <w:r w:rsidR="00631540">
        <w:t>propose</w:t>
      </w:r>
      <w:r w:rsidR="00E95A04">
        <w:t xml:space="preserve"> </w:t>
      </w:r>
      <w:r w:rsidR="008A4DAB">
        <w:t>to</w:t>
      </w:r>
      <w:r w:rsidR="00E95A04">
        <w:t xml:space="preserve"> take the following steps:</w:t>
      </w:r>
    </w:p>
    <w:p w14:paraId="6B50D2DB" w14:textId="6798B798" w:rsidR="00E95A04" w:rsidRDefault="00E95A04" w:rsidP="00332AD4">
      <w:pPr>
        <w:pStyle w:val="Numberlistlevel1"/>
        <w:keepNext/>
        <w:keepLines/>
        <w:numPr>
          <w:ilvl w:val="0"/>
          <w:numId w:val="152"/>
        </w:numPr>
        <w:ind w:right="992"/>
      </w:pPr>
      <w:r>
        <w:t>Calculate existing holdings using the calculation method</w:t>
      </w:r>
      <w:r w:rsidR="0088610C">
        <w:t xml:space="preserve"> described above to determine </w:t>
      </w:r>
      <w:r w:rsidR="00660C41">
        <w:t>expressible demand</w:t>
      </w:r>
      <w:r w:rsidR="002E7887">
        <w:t xml:space="preserve"> in each </w:t>
      </w:r>
      <w:r w:rsidR="0059416F">
        <w:t xml:space="preserve">product </w:t>
      </w:r>
      <w:r w:rsidR="002E7887" w:rsidDel="00CA5038">
        <w:t xml:space="preserve">in </w:t>
      </w:r>
      <w:r w:rsidR="002E7887">
        <w:t>the 3.7 GHz band</w:t>
      </w:r>
      <w:r>
        <w:t>.</w:t>
      </w:r>
    </w:p>
    <w:p w14:paraId="5E2F54D1" w14:textId="020E7E6D" w:rsidR="00E95A04" w:rsidRDefault="00D7261F" w:rsidP="00332AD4">
      <w:pPr>
        <w:pStyle w:val="Numberlistlevel1"/>
        <w:keepNext/>
        <w:keepLines/>
        <w:numPr>
          <w:ilvl w:val="0"/>
          <w:numId w:val="152"/>
        </w:numPr>
        <w:ind w:right="992"/>
      </w:pPr>
      <w:r>
        <w:t>Allocate the</w:t>
      </w:r>
      <w:r w:rsidR="00E95A04">
        <w:t xml:space="preserve"> 3.7 GHz band</w:t>
      </w:r>
      <w:r w:rsidR="0088610C">
        <w:t xml:space="preserve"> spectrum.</w:t>
      </w:r>
    </w:p>
    <w:p w14:paraId="1AE40B6F" w14:textId="7F01E04F" w:rsidR="00E95A04" w:rsidRDefault="00E95A04" w:rsidP="00332AD4">
      <w:pPr>
        <w:pStyle w:val="Numberlistlevel1"/>
        <w:keepNext/>
        <w:keepLines/>
        <w:numPr>
          <w:ilvl w:val="0"/>
          <w:numId w:val="152"/>
        </w:numPr>
        <w:ind w:right="992"/>
      </w:pPr>
      <w:r>
        <w:t>Re-calculate existing holdings using the calculation method, adding any spectrum won in the 3.7 GHz band</w:t>
      </w:r>
      <w:r w:rsidR="002E7887">
        <w:t xml:space="preserve"> to determine</w:t>
      </w:r>
      <w:r>
        <w:t xml:space="preserve"> expressible demand </w:t>
      </w:r>
      <w:r w:rsidR="000B1CDA">
        <w:t>in</w:t>
      </w:r>
      <w:r>
        <w:t xml:space="preserve"> each </w:t>
      </w:r>
      <w:r w:rsidR="0059416F">
        <w:t>product</w:t>
      </w:r>
      <w:r>
        <w:t xml:space="preserve"> the 3.4</w:t>
      </w:r>
      <w:r w:rsidR="0088610C">
        <w:t> </w:t>
      </w:r>
      <w:r>
        <w:t xml:space="preserve">GHz band. </w:t>
      </w:r>
    </w:p>
    <w:p w14:paraId="6E7ED382" w14:textId="6DB37D1F" w:rsidR="008138FC" w:rsidRDefault="0088610C" w:rsidP="00332AD4">
      <w:pPr>
        <w:pStyle w:val="Numberlistlast"/>
        <w:numPr>
          <w:ilvl w:val="0"/>
          <w:numId w:val="152"/>
        </w:numPr>
        <w:ind w:right="992"/>
      </w:pPr>
      <w:r>
        <w:t>Allocate</w:t>
      </w:r>
      <w:r w:rsidR="00E95A04">
        <w:t xml:space="preserve"> 3.4 GHz band</w:t>
      </w:r>
      <w:r>
        <w:t xml:space="preserve"> spectrum</w:t>
      </w:r>
      <w:r w:rsidR="00E95A04">
        <w:t>.</w:t>
      </w:r>
    </w:p>
    <w:p w14:paraId="17C3004F" w14:textId="68589D3D" w:rsidR="004770CE" w:rsidRPr="004770CE" w:rsidRDefault="004770CE" w:rsidP="00332AD4">
      <w:pPr>
        <w:pStyle w:val="Paragraph"/>
        <w:ind w:right="992"/>
      </w:pPr>
      <w:r>
        <w:t>The proposed operation of the allocation limits is illustrated by the allocation limits spreadsheet</w:t>
      </w:r>
      <w:r w:rsidR="00B67286">
        <w:t>,</w:t>
      </w:r>
      <w:r>
        <w:t xml:space="preserve"> published </w:t>
      </w:r>
      <w:r w:rsidR="00B67286">
        <w:t xml:space="preserve">in the key documents section </w:t>
      </w:r>
      <w:r>
        <w:t>with this consultation paper.</w:t>
      </w:r>
    </w:p>
    <w:p w14:paraId="694F7791" w14:textId="61D6EA32" w:rsidR="00532A91" w:rsidRPr="00FF580B" w:rsidRDefault="00532A91" w:rsidP="00332AD4">
      <w:pPr>
        <w:pStyle w:val="Paragraphbeforelist"/>
        <w:keepNext/>
        <w:pBdr>
          <w:top w:val="single" w:sz="4" w:space="1" w:color="auto"/>
          <w:left w:val="single" w:sz="4" w:space="1" w:color="auto"/>
          <w:bottom w:val="single" w:sz="4" w:space="1" w:color="auto"/>
          <w:right w:val="single" w:sz="4" w:space="1" w:color="auto"/>
        </w:pBdr>
        <w:shd w:val="clear" w:color="auto" w:fill="F2F2F2" w:themeFill="background1" w:themeFillShade="F2"/>
        <w:ind w:right="992"/>
        <w:rPr>
          <w:b/>
          <w:bCs/>
        </w:rPr>
      </w:pPr>
      <w:r>
        <w:rPr>
          <w:b/>
          <w:bCs/>
        </w:rPr>
        <w:t>Insignificant holdings threshold</w:t>
      </w:r>
    </w:p>
    <w:p w14:paraId="28AADA28" w14:textId="450EC834" w:rsidR="00532A91" w:rsidRDefault="00532A91" w:rsidP="00332AD4">
      <w:pPr>
        <w:pStyle w:val="Paragraphbeforelist"/>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We propose to:</w:t>
      </w:r>
    </w:p>
    <w:p w14:paraId="762C6258" w14:textId="26BDE1CB" w:rsidR="0061428B" w:rsidRPr="00FF580B" w:rsidRDefault="00295DBB" w:rsidP="00332AD4">
      <w:pPr>
        <w:pStyle w:val="Paragraphbeforelist"/>
        <w:numPr>
          <w:ilvl w:val="0"/>
          <w:numId w:val="19"/>
        </w:numPr>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S</w:t>
      </w:r>
      <w:r w:rsidR="0061428B">
        <w:t>et the insignificant holdings threshold at 30%</w:t>
      </w:r>
      <w:r w:rsidR="00986B5F">
        <w:t xml:space="preserve"> of the population</w:t>
      </w:r>
      <w:r w:rsidR="0061428B">
        <w:t>.</w:t>
      </w:r>
    </w:p>
    <w:p w14:paraId="3D7FFA43" w14:textId="5D8BFBC4" w:rsidR="00532A91" w:rsidRPr="00FF580B" w:rsidRDefault="00295DBB" w:rsidP="00332AD4">
      <w:pPr>
        <w:pStyle w:val="Paragraphbeforelist"/>
        <w:numPr>
          <w:ilvl w:val="0"/>
          <w:numId w:val="19"/>
        </w:numPr>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A</w:t>
      </w:r>
      <w:r w:rsidR="00E80622">
        <w:t>pply</w:t>
      </w:r>
      <w:r w:rsidR="008B21AC">
        <w:t xml:space="preserve"> </w:t>
      </w:r>
      <w:r w:rsidR="00C72204">
        <w:t>a</w:t>
      </w:r>
      <w:r w:rsidR="008B21AC">
        <w:t xml:space="preserve"> </w:t>
      </w:r>
      <w:r w:rsidR="00E80622">
        <w:t>calculation method</w:t>
      </w:r>
      <w:r w:rsidR="00424C43">
        <w:t xml:space="preserve"> </w:t>
      </w:r>
      <w:r w:rsidR="001E7E37" w:rsidRPr="001E7E37">
        <w:t>so that if a sub-area</w:t>
      </w:r>
      <w:r w:rsidR="001E7E37">
        <w:t xml:space="preserve"> of a product</w:t>
      </w:r>
      <w:r w:rsidR="001E7E37" w:rsidRPr="001E7E37">
        <w:t xml:space="preserve"> </w:t>
      </w:r>
      <w:r w:rsidR="001E7E37">
        <w:t>i</w:t>
      </w:r>
      <w:r w:rsidR="001E7E37" w:rsidRPr="001E7E37">
        <w:t>s deemed to cover a small or ‘insignificant’ percentage of the population of the whole geographic area</w:t>
      </w:r>
      <w:r w:rsidR="001E7E37">
        <w:t xml:space="preserve"> of a product</w:t>
      </w:r>
      <w:r w:rsidR="00B70ED1">
        <w:t xml:space="preserve"> (that is, </w:t>
      </w:r>
      <w:r w:rsidR="001B5AA9">
        <w:t xml:space="preserve">not more than </w:t>
      </w:r>
      <w:r w:rsidR="00B70ED1">
        <w:t>30%)</w:t>
      </w:r>
      <w:r w:rsidR="001E7E37" w:rsidRPr="001E7E37">
        <w:t xml:space="preserve">, existing holdings in the sub-area would not be counted towards the allocation limit. </w:t>
      </w:r>
      <w:r w:rsidR="007701D3">
        <w:t xml:space="preserve"> </w:t>
      </w:r>
    </w:p>
    <w:p w14:paraId="266F5185" w14:textId="5E4671EE" w:rsidR="00532A91" w:rsidRPr="00ED5947" w:rsidRDefault="00295DBB" w:rsidP="00332AD4">
      <w:pPr>
        <w:pStyle w:val="Bulletlevel1last"/>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C</w:t>
      </w:r>
      <w:r w:rsidR="00D707AC">
        <w:t>alculate exi</w:t>
      </w:r>
      <w:r w:rsidR="008D00F7">
        <w:t xml:space="preserve">sting holdings </w:t>
      </w:r>
      <w:r w:rsidR="008B252B" w:rsidRPr="000A4455">
        <w:t>for</w:t>
      </w:r>
      <w:r w:rsidR="008D00F7" w:rsidRPr="007A2FDD">
        <w:t xml:space="preserve"> the 3.7 GHz band a</w:t>
      </w:r>
      <w:r w:rsidR="008B252B" w:rsidRPr="007A2FDD">
        <w:t xml:space="preserve">llocation, and after the conclusion of that </w:t>
      </w:r>
      <w:r w:rsidR="005E1F74" w:rsidRPr="00ED5947">
        <w:t xml:space="preserve">allocation </w:t>
      </w:r>
      <w:r w:rsidR="008B252B" w:rsidRPr="00ED5947">
        <w:t xml:space="preserve">process, </w:t>
      </w:r>
      <w:r w:rsidR="00247D44" w:rsidRPr="00ED5947">
        <w:t xml:space="preserve">re-calculate existing holdings </w:t>
      </w:r>
      <w:r w:rsidR="008B252B" w:rsidRPr="00ED5947">
        <w:t>for</w:t>
      </w:r>
      <w:r w:rsidR="008D00F7" w:rsidRPr="00ED5947">
        <w:t xml:space="preserve"> the </w:t>
      </w:r>
      <w:r>
        <w:br/>
      </w:r>
      <w:r w:rsidR="008D00F7" w:rsidRPr="00ED5947">
        <w:t>3.4 GHz band a</w:t>
      </w:r>
      <w:r w:rsidR="008B252B" w:rsidRPr="00ED5947">
        <w:t>llocation</w:t>
      </w:r>
      <w:r w:rsidR="008D00F7" w:rsidRPr="00ED5947">
        <w:t>.</w:t>
      </w:r>
    </w:p>
    <w:p w14:paraId="0164C6EC" w14:textId="0F12646B" w:rsidR="001A357F" w:rsidRDefault="001A357F" w:rsidP="00332AD4">
      <w:pPr>
        <w:pStyle w:val="Heading3"/>
        <w:ind w:right="992"/>
      </w:pPr>
      <w:r w:rsidRPr="00B219BB">
        <w:t>Affiliations</w:t>
      </w:r>
    </w:p>
    <w:p w14:paraId="2889065A" w14:textId="4EFAA4B9" w:rsidR="00531003" w:rsidRDefault="00960960" w:rsidP="00332AD4">
      <w:pPr>
        <w:pStyle w:val="Paragraph"/>
        <w:ind w:right="992"/>
      </w:pPr>
      <w:r>
        <w:t>We</w:t>
      </w:r>
      <w:r w:rsidR="00824060">
        <w:t xml:space="preserve"> have </w:t>
      </w:r>
      <w:r w:rsidR="008913EB">
        <w:t>consider</w:t>
      </w:r>
      <w:r w:rsidR="00824060">
        <w:t>ed</w:t>
      </w:r>
      <w:r w:rsidR="008913EB">
        <w:t xml:space="preserve"> whether the affiliations provisions used in previous auctions </w:t>
      </w:r>
      <w:r w:rsidR="004E437D">
        <w:t>are</w:t>
      </w:r>
      <w:r w:rsidR="008913EB">
        <w:t xml:space="preserve"> appropriate</w:t>
      </w:r>
      <w:r w:rsidR="00FC7150">
        <w:t xml:space="preserve"> </w:t>
      </w:r>
      <w:r w:rsidR="00AB6DBA">
        <w:t>for the current market</w:t>
      </w:r>
      <w:r w:rsidR="008913EB">
        <w:t xml:space="preserve">. </w:t>
      </w:r>
    </w:p>
    <w:p w14:paraId="5A60E79A" w14:textId="20D73891" w:rsidR="00C94812" w:rsidRDefault="00A53E93" w:rsidP="00332AD4">
      <w:pPr>
        <w:pStyle w:val="Paragraph"/>
        <w:ind w:right="992"/>
      </w:pPr>
      <w:r>
        <w:t>In previous auctions, the ACMA was directed by the minister to impose rules to prevent applicants who were affiliated fro</w:t>
      </w:r>
      <w:r w:rsidR="00D95661">
        <w:t xml:space="preserve">m </w:t>
      </w:r>
      <w:r w:rsidR="00C94812">
        <w:t>avoiding the effect of the allocation limits, by applying the limits to each applicant and all the applicant’s associates collectively. The minister’s directions defined who was an associate of an applicant, including parties to a 'relevant agreement' about the spectrum that was being allocated.</w:t>
      </w:r>
    </w:p>
    <w:p w14:paraId="3C8E52BF" w14:textId="4D052AB0" w:rsidR="00A53E93" w:rsidRDefault="00EA514E" w:rsidP="00332AD4">
      <w:pPr>
        <w:pStyle w:val="Paragraph"/>
        <w:ind w:right="992"/>
      </w:pPr>
      <w:r>
        <w:t xml:space="preserve">To comply with these directions, the ACMA prevented </w:t>
      </w:r>
      <w:r w:rsidR="00F54B4C">
        <w:t xml:space="preserve">2 </w:t>
      </w:r>
      <w:r>
        <w:t xml:space="preserve">persons who were ‘affiliated’ from participating in the auction as separate bidders. </w:t>
      </w:r>
      <w:r w:rsidR="00A53E93">
        <w:t>Two bidders were considered to be affiliated if one was an associate of another, or if they had an associate in common</w:t>
      </w:r>
      <w:r w:rsidR="00A53E93" w:rsidRPr="00B219BB">
        <w:t xml:space="preserve">. </w:t>
      </w:r>
      <w:r w:rsidR="005F30C9">
        <w:t xml:space="preserve">The affiliates provisions ensure the allocations limits are not exceeded </w:t>
      </w:r>
      <w:r w:rsidR="00A654BE">
        <w:t xml:space="preserve">by </w:t>
      </w:r>
      <w:r w:rsidR="002B586B">
        <w:t>preventing</w:t>
      </w:r>
      <w:r w:rsidR="00A654BE">
        <w:t xml:space="preserve"> parties who are closely related from </w:t>
      </w:r>
      <w:r w:rsidR="002B586B">
        <w:t xml:space="preserve">participating in the auction as separate bidders. By preventing closely related parties from participating in the auction as separate bidders, </w:t>
      </w:r>
      <w:r w:rsidR="000B440C">
        <w:t xml:space="preserve">this </w:t>
      </w:r>
      <w:r w:rsidR="005F30C9">
        <w:t>assist</w:t>
      </w:r>
      <w:r w:rsidR="000B440C">
        <w:t>s</w:t>
      </w:r>
      <w:r w:rsidR="005F30C9">
        <w:t xml:space="preserve"> to </w:t>
      </w:r>
      <w:r w:rsidR="00C86DD7">
        <w:t>maintain the integrity of the auction process</w:t>
      </w:r>
      <w:r w:rsidR="005F30C9">
        <w:t xml:space="preserve">. </w:t>
      </w:r>
    </w:p>
    <w:p w14:paraId="5CDA36DE" w14:textId="553009FF" w:rsidR="0049515E" w:rsidRDefault="00A21F43" w:rsidP="00332AD4">
      <w:pPr>
        <w:pStyle w:val="Paragraph"/>
        <w:ind w:right="992"/>
      </w:pPr>
      <w:r>
        <w:t>We have conside</w:t>
      </w:r>
      <w:r w:rsidR="00C5274E">
        <w:t>red</w:t>
      </w:r>
      <w:r>
        <w:t xml:space="preserve"> each of the provisions </w:t>
      </w:r>
      <w:r w:rsidR="00C5274E">
        <w:t>contained in the previous allocation determination and o</w:t>
      </w:r>
      <w:r w:rsidR="00DF0EB4">
        <w:t>ur view is that</w:t>
      </w:r>
      <w:r w:rsidR="000F4378">
        <w:t xml:space="preserve"> the affiliates </w:t>
      </w:r>
      <w:r w:rsidR="005D248A">
        <w:t>provisions</w:t>
      </w:r>
      <w:r w:rsidR="00AA541D">
        <w:t xml:space="preserve"> used in previous auctions </w:t>
      </w:r>
      <w:r w:rsidR="005D248A">
        <w:t>are</w:t>
      </w:r>
      <w:r w:rsidR="00845572">
        <w:t xml:space="preserve"> generally</w:t>
      </w:r>
      <w:r w:rsidR="00AA541D">
        <w:t xml:space="preserve"> still</w:t>
      </w:r>
      <w:r w:rsidR="00C8115B">
        <w:t xml:space="preserve"> </w:t>
      </w:r>
      <w:r w:rsidR="00AA541D">
        <w:t>fi</w:t>
      </w:r>
      <w:r w:rsidR="00B61374">
        <w:t>t</w:t>
      </w:r>
      <w:r w:rsidR="00AA541D">
        <w:t xml:space="preserve"> for purpose</w:t>
      </w:r>
      <w:r w:rsidR="00615D6A">
        <w:t>.</w:t>
      </w:r>
      <w:r w:rsidR="00B61374">
        <w:t xml:space="preserve"> </w:t>
      </w:r>
      <w:r w:rsidR="000B440C">
        <w:t xml:space="preserve">In those allocation determinations, </w:t>
      </w:r>
      <w:r w:rsidR="0080662A">
        <w:t>‘</w:t>
      </w:r>
      <w:r w:rsidR="000B440C">
        <w:t>r</w:t>
      </w:r>
      <w:r w:rsidR="007744A3" w:rsidRPr="007744A3">
        <w:t>elevant agreement’ has been defined consistently with the definition of ‘relevant agreement’ that appears in the Corporations Act 2001, which captures a wide range of agreements.</w:t>
      </w:r>
      <w:r w:rsidR="007744A3">
        <w:t xml:space="preserve"> </w:t>
      </w:r>
      <w:r w:rsidR="0049515E">
        <w:t xml:space="preserve">We consider </w:t>
      </w:r>
      <w:r w:rsidR="005968EC">
        <w:t xml:space="preserve">relevant </w:t>
      </w:r>
      <w:r w:rsidR="0049515E">
        <w:t xml:space="preserve">agreements between parties about spectrum on </w:t>
      </w:r>
      <w:r w:rsidR="0049515E">
        <w:lastRenderedPageBreak/>
        <w:t>offer in the auction could impact the auction outcome</w:t>
      </w:r>
      <w:r w:rsidR="00CB088C">
        <w:t xml:space="preserve"> and/or cause the allocation limits </w:t>
      </w:r>
      <w:r w:rsidR="008913EB">
        <w:t xml:space="preserve">set </w:t>
      </w:r>
      <w:r w:rsidR="00CB088C">
        <w:t>to be exceeded</w:t>
      </w:r>
      <w:r w:rsidR="0049515E">
        <w:t>. Therefore, a</w:t>
      </w:r>
      <w:r w:rsidR="00C11406" w:rsidRPr="00030A48">
        <w:t>s</w:t>
      </w:r>
      <w:r w:rsidR="00D35B22">
        <w:t xml:space="preserve"> with</w:t>
      </w:r>
      <w:r w:rsidR="00C11406" w:rsidRPr="00030A48">
        <w:t xml:space="preserve"> previous auctions, agreements between parties about the spectrum available at auction would cause the parties to the agreement to be associated</w:t>
      </w:r>
      <w:r w:rsidR="00030A48" w:rsidRPr="00030A48">
        <w:t xml:space="preserve"> </w:t>
      </w:r>
      <w:r w:rsidR="005968EC">
        <w:t>for the purposes of</w:t>
      </w:r>
      <w:r w:rsidR="00030A48" w:rsidRPr="00030A48">
        <w:t xml:space="preserve"> the auction</w:t>
      </w:r>
      <w:r w:rsidR="00C11406" w:rsidRPr="00030A48">
        <w:t xml:space="preserve">. </w:t>
      </w:r>
      <w:r w:rsidR="00941685" w:rsidRPr="00030A48" w:rsidDel="007F5475">
        <w:t xml:space="preserve">Given the leftover lots will not contribute to the allocation limit for a bidder, we consider that an agreement about leftover lots </w:t>
      </w:r>
      <w:r w:rsidR="0085638D" w:rsidRPr="00030A48" w:rsidDel="007F5475">
        <w:t xml:space="preserve">and no other spectrum </w:t>
      </w:r>
      <w:r w:rsidR="00030A48" w:rsidRPr="00030A48" w:rsidDel="007F5475">
        <w:t xml:space="preserve">to be allocated at the 3.4/3.7 GHz bands auction </w:t>
      </w:r>
      <w:r w:rsidR="00941685" w:rsidRPr="00030A48" w:rsidDel="007F5475">
        <w:t>should not cause parties to be associated</w:t>
      </w:r>
      <w:r w:rsidR="00030A48" w:rsidRPr="00030A48" w:rsidDel="007F5475">
        <w:t>.</w:t>
      </w:r>
      <w:r w:rsidR="00F0357A">
        <w:t xml:space="preserve"> </w:t>
      </w:r>
      <w:r w:rsidR="00955482">
        <w:t xml:space="preserve">We further consider it appropriate </w:t>
      </w:r>
      <w:r w:rsidR="00CA4DFB">
        <w:t xml:space="preserve">to </w:t>
      </w:r>
      <w:r w:rsidR="00582AA6">
        <w:t xml:space="preserve">continue to </w:t>
      </w:r>
      <w:r w:rsidR="00BB4F14">
        <w:t xml:space="preserve">require </w:t>
      </w:r>
      <w:r w:rsidR="00CA4DFB">
        <w:t xml:space="preserve">bidders </w:t>
      </w:r>
      <w:r w:rsidR="00201ED8">
        <w:t>to report any changes in their affiliations on an ongoing basis during the auction period</w:t>
      </w:r>
      <w:r w:rsidR="006C38F5">
        <w:t xml:space="preserve"> to </w:t>
      </w:r>
      <w:r w:rsidR="00F52BE3">
        <w:t>ensure the allocation limits are not exceeded.</w:t>
      </w:r>
    </w:p>
    <w:p w14:paraId="7850209C" w14:textId="77777777" w:rsidR="0051386D" w:rsidRDefault="0051386D" w:rsidP="00332AD4">
      <w:pPr>
        <w:pStyle w:val="Paragraphbeforelist"/>
        <w:ind w:right="992"/>
      </w:pPr>
      <w:r>
        <w:t>If an affiliation is identified between applicants before the eligibility deadline, the following options are proposed to remedy the affiliation and allow participation in the auction:</w:t>
      </w:r>
    </w:p>
    <w:p w14:paraId="34FFEFA4" w14:textId="53630D88" w:rsidR="0051386D" w:rsidRDefault="4C7409D1" w:rsidP="00332AD4">
      <w:pPr>
        <w:pStyle w:val="Bulletlevel1"/>
        <w:ind w:right="992"/>
      </w:pPr>
      <w:r>
        <w:t>All but one of the affiliated applicants must withdraw their application, allowing the remaining applicant to continue participating in the auction.</w:t>
      </w:r>
    </w:p>
    <w:p w14:paraId="599940DE" w14:textId="35033BA0" w:rsidR="0051386D" w:rsidRDefault="4C7409D1" w:rsidP="00332AD4">
      <w:pPr>
        <w:pStyle w:val="Bulletlevel1last"/>
        <w:ind w:right="992"/>
      </w:pPr>
      <w:r>
        <w:t>All the affiliated applicants withdraw their applications and submit a new single application on behalf of all affiliated applicants.</w:t>
      </w:r>
    </w:p>
    <w:p w14:paraId="675A59C4" w14:textId="22458AF4" w:rsidR="0051386D" w:rsidRDefault="0051386D" w:rsidP="00332AD4">
      <w:pPr>
        <w:pStyle w:val="ListBullet"/>
        <w:ind w:right="992"/>
      </w:pPr>
      <w:r>
        <w:t xml:space="preserve">If an affiliation is identified between applicants during </w:t>
      </w:r>
      <w:r w:rsidR="00CF3DBF">
        <w:t xml:space="preserve">the 3.7 GHz band auction </w:t>
      </w:r>
      <w:r w:rsidR="008C49E7">
        <w:t>or the 3.4 GHz band</w:t>
      </w:r>
      <w:r w:rsidR="00C95349">
        <w:t xml:space="preserve"> </w:t>
      </w:r>
      <w:r>
        <w:t>auction, the following options are proposed to ensure the allocation limits are applied appropriately:</w:t>
      </w:r>
    </w:p>
    <w:p w14:paraId="10329B3C" w14:textId="02429B97" w:rsidR="0051386D" w:rsidRDefault="4C7409D1" w:rsidP="00332AD4">
      <w:pPr>
        <w:pStyle w:val="Bulletlevel1"/>
        <w:ind w:right="992"/>
      </w:pPr>
      <w:r>
        <w:t>The affiliated bidders must jointly give the ACMA a direction on how to allocate the lots between the affiliated bidders</w:t>
      </w:r>
      <w:r w:rsidR="00610859">
        <w:t xml:space="preserve"> up to the application limit</w:t>
      </w:r>
      <w:r>
        <w:t>, to ensure the limits are not exceeded.</w:t>
      </w:r>
    </w:p>
    <w:p w14:paraId="0079F6E9" w14:textId="5716282A" w:rsidR="0051386D" w:rsidRDefault="4C7409D1" w:rsidP="00332AD4">
      <w:pPr>
        <w:pStyle w:val="Bulletlevel1last"/>
        <w:ind w:right="992"/>
      </w:pPr>
      <w:r>
        <w:t>If the ACMA does not receive such a direction, we will allocate the spectrum between the affiliated bidders at our discretion, up to the allocation limit.</w:t>
      </w:r>
    </w:p>
    <w:p w14:paraId="37E7B469" w14:textId="2A10CB8F" w:rsidR="008D5D57" w:rsidRDefault="0051386D" w:rsidP="00332AD4">
      <w:pPr>
        <w:pStyle w:val="Paragraph"/>
        <w:ind w:right="992"/>
      </w:pPr>
      <w:r>
        <w:t xml:space="preserve">Before issue of any licences, each affiliated bidder would be required to pay the balance of their full winning price despite receiving less spectrum. Where an affiliated bidder does not pay the balance of their full winning price, they may be excluded from obtaining a spectrum licence and any eligibility payment paid may be forfeited. In addition, any amounts secured under a deed </w:t>
      </w:r>
      <w:r w:rsidR="007939DF">
        <w:t xml:space="preserve">of financial security </w:t>
      </w:r>
      <w:r>
        <w:t>provided by the applicant may be recoverable by the ACMA on behalf of the Commonwealth.</w:t>
      </w:r>
    </w:p>
    <w:p w14:paraId="3FBFEAF1" w14:textId="550799F4" w:rsidR="002415B4" w:rsidRDefault="006C5C35" w:rsidP="00332AD4">
      <w:pPr>
        <w:pStyle w:val="ListBullet"/>
        <w:ind w:right="992"/>
      </w:pPr>
      <w:r>
        <w:t>T</w:t>
      </w:r>
      <w:r w:rsidR="002F7ABF">
        <w:t xml:space="preserve">he ACMA is conducting </w:t>
      </w:r>
      <w:r w:rsidR="00F54B4C">
        <w:t xml:space="preserve">2 </w:t>
      </w:r>
      <w:r w:rsidR="002F7ABF">
        <w:t xml:space="preserve">sequential auctions, </w:t>
      </w:r>
      <w:r>
        <w:t xml:space="preserve">therefore, </w:t>
      </w:r>
      <w:r w:rsidR="002F7ABF">
        <w:t xml:space="preserve">it is possible that an affiliation </w:t>
      </w:r>
      <w:r w:rsidR="00C940B5">
        <w:t>is</w:t>
      </w:r>
      <w:r w:rsidR="002F7ABF">
        <w:t xml:space="preserve"> identified between bidders in </w:t>
      </w:r>
      <w:r w:rsidR="00087CCC">
        <w:t xml:space="preserve">or after </w:t>
      </w:r>
      <w:r w:rsidR="002F7ABF">
        <w:t>the first auction</w:t>
      </w:r>
      <w:r w:rsidR="00C940B5">
        <w:t xml:space="preserve"> (3.7 GHz band)</w:t>
      </w:r>
      <w:r w:rsidR="00087CCC">
        <w:t xml:space="preserve"> and before the second auction (3.4 GHz band)</w:t>
      </w:r>
      <w:r w:rsidR="001E7C64">
        <w:t xml:space="preserve">. </w:t>
      </w:r>
      <w:r w:rsidR="00CF1D00">
        <w:t xml:space="preserve">This will impact participation </w:t>
      </w:r>
      <w:r w:rsidR="004F5777">
        <w:t xml:space="preserve">by those affiliated bidders </w:t>
      </w:r>
      <w:r w:rsidR="00CF1D00">
        <w:t xml:space="preserve">in the </w:t>
      </w:r>
      <w:r w:rsidR="004F5777">
        <w:t xml:space="preserve">second auction (3.4 GHz band). </w:t>
      </w:r>
      <w:r w:rsidR="00C940B5">
        <w:t>I</w:t>
      </w:r>
      <w:r w:rsidR="00C95349">
        <w:t xml:space="preserve">f an affiliation is identified </w:t>
      </w:r>
      <w:r w:rsidR="0033490E">
        <w:t xml:space="preserve">between bidders </w:t>
      </w:r>
      <w:r w:rsidR="00462EC7">
        <w:t>be</w:t>
      </w:r>
      <w:r w:rsidR="00C95349">
        <w:t>for</w:t>
      </w:r>
      <w:r w:rsidR="00462EC7">
        <w:t>e</w:t>
      </w:r>
      <w:r w:rsidR="00C95349">
        <w:t xml:space="preserve"> the 3.</w:t>
      </w:r>
      <w:r w:rsidR="00336A89">
        <w:t>4</w:t>
      </w:r>
      <w:r w:rsidR="00C95349">
        <w:t xml:space="preserve"> GHz band auction commences</w:t>
      </w:r>
      <w:r w:rsidR="00161061">
        <w:t xml:space="preserve">, </w:t>
      </w:r>
      <w:r w:rsidR="00790B72">
        <w:t xml:space="preserve">we propose to allow </w:t>
      </w:r>
      <w:r w:rsidR="00161061">
        <w:t xml:space="preserve">each affiliated bidder </w:t>
      </w:r>
      <w:r w:rsidR="00790B72">
        <w:t>to</w:t>
      </w:r>
      <w:r w:rsidR="00462EC7">
        <w:t xml:space="preserve"> participate in </w:t>
      </w:r>
      <w:r w:rsidR="00F931CE">
        <w:t>the 3.4 GHz band</w:t>
      </w:r>
      <w:r w:rsidR="00462EC7">
        <w:t xml:space="preserve"> auction as separate bidders</w:t>
      </w:r>
      <w:r w:rsidR="00F65F35">
        <w:t xml:space="preserve"> subject to:</w:t>
      </w:r>
    </w:p>
    <w:p w14:paraId="340DB890" w14:textId="0FB32AB6" w:rsidR="00336A89" w:rsidRDefault="00A76856" w:rsidP="00332AD4">
      <w:pPr>
        <w:pStyle w:val="Bulletlevel1"/>
        <w:ind w:right="992"/>
      </w:pPr>
      <w:r>
        <w:t>A</w:t>
      </w:r>
      <w:r w:rsidR="00A60C89">
        <w:t>n affiliated</w:t>
      </w:r>
      <w:r w:rsidR="00336A89">
        <w:t xml:space="preserve"> </w:t>
      </w:r>
      <w:r w:rsidR="00A60C89">
        <w:t>bidder</w:t>
      </w:r>
      <w:r w:rsidR="00336A89">
        <w:t xml:space="preserve"> having sufficient eligibility</w:t>
      </w:r>
      <w:r w:rsidR="00EB4871">
        <w:t xml:space="preserve"> points</w:t>
      </w:r>
      <w:r w:rsidR="00336A89">
        <w:t xml:space="preserve"> to participate in the 3.4 GHz auction</w:t>
      </w:r>
      <w:r>
        <w:t xml:space="preserve">. </w:t>
      </w:r>
    </w:p>
    <w:p w14:paraId="78747AA7" w14:textId="54BFD8D6" w:rsidR="00F751FA" w:rsidRDefault="00A76856" w:rsidP="00332AD4">
      <w:pPr>
        <w:pStyle w:val="Bulletlevel1"/>
        <w:ind w:right="992"/>
      </w:pPr>
      <w:r>
        <w:t>T</w:t>
      </w:r>
      <w:r w:rsidR="00A04258">
        <w:t xml:space="preserve">he </w:t>
      </w:r>
      <w:r w:rsidR="002415B4">
        <w:t>affiliat</w:t>
      </w:r>
      <w:r w:rsidR="00A60C89">
        <w:t>ed bidders</w:t>
      </w:r>
      <w:r w:rsidR="00185A5E">
        <w:t>,</w:t>
      </w:r>
      <w:r w:rsidR="00F751FA">
        <w:t xml:space="preserve"> as</w:t>
      </w:r>
      <w:r w:rsidR="002415B4">
        <w:t xml:space="preserve"> a specified group of persons</w:t>
      </w:r>
      <w:r w:rsidR="00185A5E">
        <w:t xml:space="preserve">, </w:t>
      </w:r>
      <w:r w:rsidR="00D03CCD">
        <w:t>having spectrum licensed holdings</w:t>
      </w:r>
      <w:r w:rsidR="00185A5E">
        <w:t xml:space="preserve"> </w:t>
      </w:r>
      <w:r w:rsidR="00CB6941">
        <w:t>below</w:t>
      </w:r>
      <w:r w:rsidR="00185A5E">
        <w:t xml:space="preserve"> the allocation limit</w:t>
      </w:r>
      <w:r>
        <w:t>.</w:t>
      </w:r>
    </w:p>
    <w:p w14:paraId="4F210F63" w14:textId="39C06EE0" w:rsidR="004520D6" w:rsidRDefault="00A76856" w:rsidP="00332AD4">
      <w:pPr>
        <w:pStyle w:val="Bulletlevel1last"/>
        <w:ind w:right="992"/>
      </w:pPr>
      <w:r>
        <w:t>A</w:t>
      </w:r>
      <w:r w:rsidR="004A35A4">
        <w:t xml:space="preserve"> </w:t>
      </w:r>
      <w:r w:rsidR="0037059A">
        <w:t xml:space="preserve">joint </w:t>
      </w:r>
      <w:r w:rsidR="001B6782">
        <w:t>direction</w:t>
      </w:r>
      <w:r w:rsidR="003366BF">
        <w:t xml:space="preserve"> </w:t>
      </w:r>
      <w:r w:rsidR="005539CB">
        <w:t xml:space="preserve">is given by </w:t>
      </w:r>
      <w:r w:rsidR="00AA2ED7">
        <w:t xml:space="preserve">the affiliated </w:t>
      </w:r>
      <w:r w:rsidR="003366BF">
        <w:t>bidders</w:t>
      </w:r>
      <w:r w:rsidR="004A35A4">
        <w:t xml:space="preserve"> </w:t>
      </w:r>
      <w:r w:rsidR="00386CB4">
        <w:t xml:space="preserve">on how </w:t>
      </w:r>
      <w:r w:rsidR="005A0C72">
        <w:t xml:space="preserve">the allocation limit will </w:t>
      </w:r>
      <w:r w:rsidR="00AA2ED7">
        <w:t>be apportioned between</w:t>
      </w:r>
      <w:r w:rsidR="005A0C72">
        <w:t xml:space="preserve"> the </w:t>
      </w:r>
      <w:r w:rsidR="00A60C89">
        <w:t>bidders</w:t>
      </w:r>
      <w:r w:rsidR="004D0DC2">
        <w:t xml:space="preserve">, and if a joint direction is not given, the spectrum will be apportioned by the ACMA </w:t>
      </w:r>
      <w:r w:rsidR="004D0DC2" w:rsidRPr="003366BF">
        <w:t xml:space="preserve">at </w:t>
      </w:r>
      <w:r w:rsidR="004D0DC2">
        <w:t xml:space="preserve">its </w:t>
      </w:r>
      <w:r w:rsidR="004D0DC2" w:rsidRPr="003366BF">
        <w:t>discretion</w:t>
      </w:r>
      <w:r w:rsidR="004D0DC2">
        <w:t xml:space="preserve">. </w:t>
      </w:r>
      <w:r w:rsidR="00596A86">
        <w:t>F</w:t>
      </w:r>
      <w:r w:rsidR="005A0C72">
        <w:t xml:space="preserve">or example, </w:t>
      </w:r>
      <w:r w:rsidR="00DE3194">
        <w:t xml:space="preserve">the ACMA </w:t>
      </w:r>
      <w:r w:rsidR="006F7DC2">
        <w:t>may</w:t>
      </w:r>
      <w:r w:rsidR="00DE3194">
        <w:t xml:space="preserve"> impose </w:t>
      </w:r>
      <w:r w:rsidR="00AE62BB">
        <w:t>a 140 MHz allocation limit in Melbourne</w:t>
      </w:r>
      <w:r w:rsidR="00A943E2">
        <w:t xml:space="preserve">. </w:t>
      </w:r>
      <w:r w:rsidR="006F7DC2">
        <w:t xml:space="preserve">If </w:t>
      </w:r>
      <w:r w:rsidR="00F54B4C">
        <w:t xml:space="preserve">2 </w:t>
      </w:r>
      <w:r w:rsidR="006F7DC2">
        <w:t>bidders are affiliate</w:t>
      </w:r>
      <w:r w:rsidR="00640AAD">
        <w:t>d</w:t>
      </w:r>
      <w:r w:rsidR="006F7DC2">
        <w:t>, and each</w:t>
      </w:r>
      <w:r w:rsidR="002B461A">
        <w:t xml:space="preserve"> affiliated bidder </w:t>
      </w:r>
      <w:r w:rsidR="00A943E2">
        <w:t>ha</w:t>
      </w:r>
      <w:r w:rsidR="002B461A">
        <w:t xml:space="preserve">s a </w:t>
      </w:r>
      <w:r w:rsidR="00A77140">
        <w:t>spectrum licen</w:t>
      </w:r>
      <w:r w:rsidR="002B461A">
        <w:t>c</w:t>
      </w:r>
      <w:r w:rsidR="00A77140">
        <w:t>e</w:t>
      </w:r>
      <w:r w:rsidR="002B461A">
        <w:t xml:space="preserve"> for </w:t>
      </w:r>
      <w:r w:rsidR="00574A30">
        <w:t xml:space="preserve">50 MHz of spectrum in Melbourne, the specified group of persons </w:t>
      </w:r>
      <w:r w:rsidR="00420EE9">
        <w:t xml:space="preserve">made up of the </w:t>
      </w:r>
      <w:r w:rsidR="00F54B4C">
        <w:t xml:space="preserve">2 </w:t>
      </w:r>
      <w:r w:rsidR="00420EE9">
        <w:t>bidders holds</w:t>
      </w:r>
      <w:r w:rsidR="00574A30">
        <w:t xml:space="preserve"> </w:t>
      </w:r>
      <w:r w:rsidR="00382C50">
        <w:t xml:space="preserve">spectrum licences for </w:t>
      </w:r>
      <w:r w:rsidR="000815AB">
        <w:t>a total of</w:t>
      </w:r>
      <w:r w:rsidR="00A943E2">
        <w:t xml:space="preserve"> 100 MHz </w:t>
      </w:r>
      <w:r w:rsidR="00A77140">
        <w:t xml:space="preserve">of spectrum in Melbourne. Those </w:t>
      </w:r>
      <w:r w:rsidR="00F54B4C">
        <w:t xml:space="preserve">2 </w:t>
      </w:r>
      <w:r w:rsidR="00A77140">
        <w:t>affiliated bidders</w:t>
      </w:r>
      <w:r w:rsidR="00596A86">
        <w:t xml:space="preserve"> </w:t>
      </w:r>
      <w:r w:rsidR="005A0C72">
        <w:t xml:space="preserve">can </w:t>
      </w:r>
      <w:r w:rsidR="00D440D2">
        <w:t>acquire</w:t>
      </w:r>
      <w:r w:rsidR="005A0C72">
        <w:t xml:space="preserve"> 40 MHz of spectrum in Melbourne</w:t>
      </w:r>
      <w:r w:rsidR="00490BFB">
        <w:t xml:space="preserve"> before the allocation limit in Melbourne is reached</w:t>
      </w:r>
      <w:r w:rsidR="00A77140">
        <w:t>. T</w:t>
      </w:r>
      <w:r w:rsidR="00596A86">
        <w:t xml:space="preserve">he affiliated bidders may direct the </w:t>
      </w:r>
      <w:r w:rsidR="00596A86">
        <w:lastRenderedPageBreak/>
        <w:t>ACMA t</w:t>
      </w:r>
      <w:r w:rsidR="00BC0AAF">
        <w:t xml:space="preserve">hat Bidder A can bid for </w:t>
      </w:r>
      <w:r w:rsidR="000F60FD">
        <w:t xml:space="preserve">up to </w:t>
      </w:r>
      <w:r w:rsidR="00BC0AAF">
        <w:t xml:space="preserve">25 MHz </w:t>
      </w:r>
      <w:r w:rsidR="000F60FD">
        <w:t xml:space="preserve">of spectrum </w:t>
      </w:r>
      <w:r w:rsidR="009C05D1">
        <w:t xml:space="preserve">in Melbourne </w:t>
      </w:r>
      <w:r w:rsidR="00BC0AAF">
        <w:t xml:space="preserve">and Bidder B can bid for </w:t>
      </w:r>
      <w:r w:rsidR="000F60FD">
        <w:t xml:space="preserve">up to </w:t>
      </w:r>
      <w:r w:rsidR="00BC0AAF">
        <w:t>15 MHz</w:t>
      </w:r>
      <w:r w:rsidR="000F60FD">
        <w:t xml:space="preserve"> of spectrum</w:t>
      </w:r>
      <w:r w:rsidR="009C05D1">
        <w:t xml:space="preserve"> in Melbourne</w:t>
      </w:r>
      <w:r w:rsidR="00BC0AAF">
        <w:t>, or any other combination up to the allocation limit</w:t>
      </w:r>
      <w:r w:rsidR="009C05D1">
        <w:t>.</w:t>
      </w:r>
    </w:p>
    <w:p w14:paraId="414B5586" w14:textId="31C8B19C" w:rsidR="00F23186" w:rsidRDefault="00FA6D07" w:rsidP="00332AD4">
      <w:pPr>
        <w:pStyle w:val="ListBullet"/>
        <w:ind w:right="992"/>
      </w:pPr>
      <w:r>
        <w:t>This</w:t>
      </w:r>
      <w:r w:rsidR="00F23186">
        <w:t xml:space="preserve"> is consistent wi</w:t>
      </w:r>
      <w:r w:rsidR="008C49E7">
        <w:t>th</w:t>
      </w:r>
      <w:r w:rsidR="00F23186">
        <w:t xml:space="preserve"> affiliations that are identified during a</w:t>
      </w:r>
      <w:r>
        <w:t xml:space="preserve"> single auction process</w:t>
      </w:r>
      <w:r w:rsidR="00F23186">
        <w:t>, where bidders may continue through to the end</w:t>
      </w:r>
      <w:r>
        <w:t xml:space="preserve"> of the auction</w:t>
      </w:r>
      <w:r w:rsidR="001B6782">
        <w:t xml:space="preserve"> as separate bidders</w:t>
      </w:r>
      <w:r>
        <w:t xml:space="preserve">, after which time the </w:t>
      </w:r>
      <w:r w:rsidR="00D04DAB">
        <w:t xml:space="preserve">winning spectrum </w:t>
      </w:r>
      <w:r w:rsidR="00894985">
        <w:t>is</w:t>
      </w:r>
      <w:r w:rsidR="00D04DAB">
        <w:t xml:space="preserve"> reconciled against the allocation limit </w:t>
      </w:r>
      <w:r w:rsidR="00490BFB">
        <w:t>to ensure</w:t>
      </w:r>
      <w:r w:rsidR="00D04DAB">
        <w:t xml:space="preserve"> the allocation limit is not exceeded</w:t>
      </w:r>
      <w:r w:rsidR="00F23186">
        <w:t xml:space="preserve">. </w:t>
      </w:r>
      <w:r w:rsidR="003D7711">
        <w:t xml:space="preserve">The </w:t>
      </w:r>
      <w:r w:rsidR="0046799F">
        <w:t xml:space="preserve">joint direction on </w:t>
      </w:r>
      <w:r w:rsidR="009121EA">
        <w:t>how spectrum is to be apportioned between</w:t>
      </w:r>
      <w:r w:rsidR="00D04DAB">
        <w:t xml:space="preserve"> affiliated bidders</w:t>
      </w:r>
      <w:r w:rsidR="003D7711">
        <w:t xml:space="preserve">, or </w:t>
      </w:r>
      <w:r w:rsidR="00C9207A">
        <w:t>as decided by ACMA,</w:t>
      </w:r>
      <w:r w:rsidR="009121EA">
        <w:t xml:space="preserve"> </w:t>
      </w:r>
      <w:r w:rsidR="00B12BF3">
        <w:t>ensure</w:t>
      </w:r>
      <w:r w:rsidR="00C9207A">
        <w:t>s</w:t>
      </w:r>
      <w:r w:rsidR="00B12BF3">
        <w:t xml:space="preserve"> </w:t>
      </w:r>
      <w:r w:rsidR="00D04DAB">
        <w:t>the</w:t>
      </w:r>
      <w:r w:rsidR="00583B24">
        <w:t xml:space="preserve"> allocation limit </w:t>
      </w:r>
      <w:r w:rsidR="00B12BF3">
        <w:t xml:space="preserve">is </w:t>
      </w:r>
      <w:r w:rsidR="00583B24">
        <w:t xml:space="preserve">applied to </w:t>
      </w:r>
      <w:r w:rsidR="00B12BF3">
        <w:t xml:space="preserve">the </w:t>
      </w:r>
      <w:r w:rsidR="0079410D">
        <w:t xml:space="preserve">affiliated bidders </w:t>
      </w:r>
      <w:r w:rsidR="00B36547">
        <w:t xml:space="preserve">as </w:t>
      </w:r>
      <w:r w:rsidR="005539CB">
        <w:t>a single group</w:t>
      </w:r>
      <w:r w:rsidR="00FE2FBC">
        <w:t>. Further, it reduces the risk that affiliated bidders</w:t>
      </w:r>
      <w:r w:rsidR="00ED49BC" w:rsidRPr="00ED49BC">
        <w:t xml:space="preserve"> </w:t>
      </w:r>
      <w:r w:rsidR="00FE2FBC">
        <w:t xml:space="preserve">win </w:t>
      </w:r>
      <w:r w:rsidR="00A874FA">
        <w:t>spectrum</w:t>
      </w:r>
      <w:r w:rsidR="0079410D">
        <w:t xml:space="preserve"> in excess of </w:t>
      </w:r>
      <w:r w:rsidR="00A874FA">
        <w:t>the allocation limit, and as a result, are</w:t>
      </w:r>
      <w:r w:rsidR="00ED49BC" w:rsidRPr="00ED49BC">
        <w:t xml:space="preserve"> required to pay the balance of </w:t>
      </w:r>
      <w:r w:rsidR="0079410D">
        <w:t xml:space="preserve">their </w:t>
      </w:r>
      <w:r w:rsidR="00ED49BC" w:rsidRPr="00ED49BC">
        <w:t>full winning price despite receiving less spectrum</w:t>
      </w:r>
      <w:r w:rsidR="00287302">
        <w:t xml:space="preserve"> after the end of the </w:t>
      </w:r>
      <w:r w:rsidR="002C2F77">
        <w:t>auctio</w:t>
      </w:r>
      <w:r w:rsidR="0049784B">
        <w:t>n</w:t>
      </w:r>
      <w:r w:rsidR="00EC0961">
        <w:t>.</w:t>
      </w:r>
    </w:p>
    <w:p w14:paraId="54A49EB6" w14:textId="77777777" w:rsidR="00422DCC" w:rsidRDefault="00422DCC" w:rsidP="00332AD4">
      <w:pPr>
        <w:pStyle w:val="ListBullet"/>
        <w:ind w:right="992"/>
      </w:pPr>
    </w:p>
    <w:p w14:paraId="132D32A7" w14:textId="270425A6" w:rsidR="008945A9" w:rsidRPr="00DF58BA" w:rsidRDefault="008945A9" w:rsidP="00332AD4">
      <w:pPr>
        <w:pStyle w:val="Paragraphbeforelist"/>
        <w:keepNext/>
        <w:pBdr>
          <w:top w:val="single" w:sz="4" w:space="1" w:color="auto"/>
          <w:left w:val="single" w:sz="4" w:space="4" w:color="auto"/>
          <w:bottom w:val="single" w:sz="4" w:space="1" w:color="auto"/>
          <w:right w:val="single" w:sz="4" w:space="4" w:color="auto"/>
        </w:pBdr>
        <w:shd w:val="clear" w:color="auto" w:fill="F2F2F2" w:themeFill="background1" w:themeFillShade="F2"/>
        <w:ind w:right="992"/>
        <w:rPr>
          <w:b/>
          <w:bCs/>
        </w:rPr>
      </w:pPr>
      <w:r w:rsidRPr="00DF58BA">
        <w:rPr>
          <w:b/>
          <w:bCs/>
        </w:rPr>
        <w:t>Affiliations</w:t>
      </w:r>
    </w:p>
    <w:p w14:paraId="3F0A1C78" w14:textId="77777777" w:rsidR="00DF58BA" w:rsidRDefault="008945A9" w:rsidP="00332AD4">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DF58BA">
        <w:t>We propose to</w:t>
      </w:r>
      <w:r w:rsidR="00DF58BA">
        <w:t>:</w:t>
      </w:r>
    </w:p>
    <w:p w14:paraId="5D0772A3" w14:textId="43AF2E47" w:rsidR="00DF58BA" w:rsidRDefault="001B5EF7" w:rsidP="00332AD4">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P</w:t>
      </w:r>
      <w:r w:rsidR="00DF58BA">
        <w:t>revent applicants who are affiliated from participat</w:t>
      </w:r>
      <w:r w:rsidR="00115955">
        <w:t>ing</w:t>
      </w:r>
      <w:r w:rsidR="00DF58BA">
        <w:t xml:space="preserve"> in the auction as separate bidders. </w:t>
      </w:r>
    </w:p>
    <w:p w14:paraId="790A174F" w14:textId="2F38E985" w:rsidR="008945A9" w:rsidRPr="00CF3973" w:rsidRDefault="001B5EF7" w:rsidP="00332AD4">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D</w:t>
      </w:r>
      <w:r w:rsidR="006E6C46">
        <w:t xml:space="preserve">eem </w:t>
      </w:r>
      <w:r w:rsidR="00461F42" w:rsidRPr="00461F42">
        <w:t xml:space="preserve">agreements between parties about the spectrum available </w:t>
      </w:r>
      <w:r w:rsidR="003726AB">
        <w:t xml:space="preserve">for bidding </w:t>
      </w:r>
      <w:r w:rsidR="00461F42" w:rsidRPr="00461F42">
        <w:t xml:space="preserve">at auction </w:t>
      </w:r>
      <w:r w:rsidR="008573EE">
        <w:t>to</w:t>
      </w:r>
      <w:r w:rsidR="00461F42" w:rsidRPr="00461F42">
        <w:t xml:space="preserve"> cause the parties to the agreement to be </w:t>
      </w:r>
      <w:r w:rsidR="00875E84">
        <w:t>affiliated</w:t>
      </w:r>
      <w:r w:rsidR="003726AB">
        <w:t xml:space="preserve">. </w:t>
      </w:r>
      <w:r w:rsidR="00370706">
        <w:t>However</w:t>
      </w:r>
      <w:r w:rsidR="003726AB">
        <w:t xml:space="preserve">, </w:t>
      </w:r>
      <w:r w:rsidR="00115955">
        <w:t>leftover lot spectrum</w:t>
      </w:r>
      <w:r w:rsidR="003726AB">
        <w:t xml:space="preserve"> would </w:t>
      </w:r>
      <w:r w:rsidR="00370706">
        <w:t>not have this effect.</w:t>
      </w:r>
    </w:p>
    <w:p w14:paraId="2576E91C" w14:textId="3563642A" w:rsidR="00F356C0" w:rsidRPr="00CF3973" w:rsidRDefault="001B5EF7" w:rsidP="00332AD4">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A</w:t>
      </w:r>
      <w:r w:rsidR="11D2D8FC">
        <w:t>llow</w:t>
      </w:r>
      <w:r w:rsidR="66E2B02E">
        <w:t xml:space="preserve"> affiliated bidders</w:t>
      </w:r>
      <w:r w:rsidR="11D2D8FC">
        <w:t>,</w:t>
      </w:r>
      <w:r w:rsidR="4273D2AB">
        <w:t xml:space="preserve"> </w:t>
      </w:r>
      <w:r w:rsidR="2422C5CE">
        <w:t xml:space="preserve">identified </w:t>
      </w:r>
      <w:r w:rsidR="00370706">
        <w:t xml:space="preserve">after the eligibility deadline but </w:t>
      </w:r>
      <w:r w:rsidR="2422C5CE">
        <w:t xml:space="preserve">before the </w:t>
      </w:r>
      <w:r w:rsidR="11D2D8FC">
        <w:t xml:space="preserve">start of the </w:t>
      </w:r>
      <w:r w:rsidR="2422C5CE">
        <w:t>3.4 GHz band auction</w:t>
      </w:r>
      <w:r w:rsidR="11D2D8FC">
        <w:t>,</w:t>
      </w:r>
      <w:r w:rsidR="2422C5CE">
        <w:t xml:space="preserve"> </w:t>
      </w:r>
      <w:r w:rsidR="4273D2AB">
        <w:t>to participate in the 3.4</w:t>
      </w:r>
      <w:r w:rsidR="2422C5CE">
        <w:t> </w:t>
      </w:r>
      <w:r w:rsidR="4273D2AB">
        <w:t>GHz band auction as separate bidders</w:t>
      </w:r>
      <w:r w:rsidR="002D075A">
        <w:t xml:space="preserve"> subjec</w:t>
      </w:r>
      <w:r w:rsidR="00794258">
        <w:t xml:space="preserve">t to </w:t>
      </w:r>
      <w:r w:rsidR="000C7B00">
        <w:t>the</w:t>
      </w:r>
      <w:r w:rsidR="00794258">
        <w:t xml:space="preserve"> allocation limit</w:t>
      </w:r>
      <w:r w:rsidR="000C7B00">
        <w:t xml:space="preserve"> applying to them as</w:t>
      </w:r>
      <w:r w:rsidR="00794258">
        <w:t xml:space="preserve"> a specified group </w:t>
      </w:r>
      <w:r w:rsidR="00A17436">
        <w:br/>
      </w:r>
      <w:r w:rsidR="00794258">
        <w:t>of persons</w:t>
      </w:r>
      <w:r w:rsidR="235A783C">
        <w:t>.</w:t>
      </w:r>
    </w:p>
    <w:p w14:paraId="5EE99923" w14:textId="4641340E" w:rsidR="00D97B62" w:rsidRDefault="00D97B62" w:rsidP="00332AD4">
      <w:pPr>
        <w:pStyle w:val="Heading2"/>
        <w:ind w:right="992"/>
      </w:pPr>
      <w:bookmarkStart w:id="39" w:name="_Toc69301127"/>
      <w:bookmarkStart w:id="40" w:name="_Toc126917772"/>
      <w:r>
        <w:t>Application and registration process</w:t>
      </w:r>
      <w:bookmarkEnd w:id="39"/>
      <w:bookmarkEnd w:id="40"/>
    </w:p>
    <w:p w14:paraId="32FE6548" w14:textId="77777777" w:rsidR="00A24373" w:rsidRDefault="00110796" w:rsidP="00332AD4">
      <w:pPr>
        <w:pStyle w:val="Paragraph"/>
        <w:ind w:right="992"/>
      </w:pPr>
      <w:r>
        <w:t>The draft allocation determination sets out the application process that interested parties must comply with, in order to be eligible to participate in and bid for spectrum at auction. This includes specifying documentation necessary to submit a complete application, when it must be submitted</w:t>
      </w:r>
      <w:r w:rsidR="00FF6CD7">
        <w:t xml:space="preserve"> and how</w:t>
      </w:r>
      <w:r>
        <w:t>.</w:t>
      </w:r>
      <w:r w:rsidR="001162A4">
        <w:t xml:space="preserve"> </w:t>
      </w:r>
    </w:p>
    <w:p w14:paraId="31F1939D" w14:textId="18215F5B" w:rsidR="00541AB9" w:rsidRDefault="000B4A7F" w:rsidP="00332AD4">
      <w:pPr>
        <w:pStyle w:val="Paragraph"/>
        <w:ind w:right="992"/>
      </w:pPr>
      <w:r>
        <w:t>Given we propose the 3.7 GHz</w:t>
      </w:r>
      <w:r w:rsidR="00617893">
        <w:t xml:space="preserve"> band</w:t>
      </w:r>
      <w:r>
        <w:t xml:space="preserve"> and 3.4 GHz band be allocated sequentially, we </w:t>
      </w:r>
      <w:r w:rsidR="002B3E7E">
        <w:t xml:space="preserve">propose </w:t>
      </w:r>
      <w:r>
        <w:t xml:space="preserve">to implement a streamlined single application process followed by a single eligibility </w:t>
      </w:r>
      <w:r w:rsidR="004758DB">
        <w:t xml:space="preserve">nomination </w:t>
      </w:r>
      <w:r>
        <w:t>process. The</w:t>
      </w:r>
      <w:r w:rsidRPr="00E24961">
        <w:t xml:space="preserve"> single application</w:t>
      </w:r>
      <w:r>
        <w:t xml:space="preserve"> </w:t>
      </w:r>
      <w:r w:rsidRPr="00E24961">
        <w:t>and eligibility</w:t>
      </w:r>
      <w:r>
        <w:t xml:space="preserve"> </w:t>
      </w:r>
      <w:r w:rsidR="004758DB">
        <w:t xml:space="preserve">nomination </w:t>
      </w:r>
      <w:r>
        <w:t>process</w:t>
      </w:r>
      <w:r w:rsidR="0065606D">
        <w:t>es</w:t>
      </w:r>
      <w:r>
        <w:t xml:space="preserve"> will allow bidders to apply to participate in the 3.4/3.7 GHz bands auction with the flexibility to bid on either or both of 3.7 GHz band and 3.4 GHz band spectrum up to the bidder’s allocation limit. </w:t>
      </w:r>
    </w:p>
    <w:p w14:paraId="3D566BF4" w14:textId="6C8DD7A1" w:rsidR="005216DC" w:rsidRDefault="005216DC" w:rsidP="00332AD4">
      <w:pPr>
        <w:pStyle w:val="Heading3"/>
        <w:ind w:right="992"/>
      </w:pPr>
      <w:r>
        <w:t xml:space="preserve">Online application </w:t>
      </w:r>
      <w:r w:rsidR="00BC4A37">
        <w:t>interface</w:t>
      </w:r>
    </w:p>
    <w:p w14:paraId="2DA67D86" w14:textId="170A5B93" w:rsidR="00633F49" w:rsidRDefault="005F539E" w:rsidP="00332AD4">
      <w:pPr>
        <w:pStyle w:val="Paragraph"/>
        <w:ind w:right="992"/>
      </w:pPr>
      <w:r>
        <w:t>W</w:t>
      </w:r>
      <w:r w:rsidR="005216DC">
        <w:t xml:space="preserve">e are </w:t>
      </w:r>
      <w:r w:rsidR="00834C4A">
        <w:t xml:space="preserve">aware that the application </w:t>
      </w:r>
      <w:r w:rsidR="00DF5F73">
        <w:t xml:space="preserve">and registration processes can be </w:t>
      </w:r>
      <w:r w:rsidR="00E63CAE">
        <w:t>administratively burdensome</w:t>
      </w:r>
      <w:r w:rsidR="00DF5F73">
        <w:t xml:space="preserve"> </w:t>
      </w:r>
      <w:r w:rsidR="00D953FC">
        <w:t>for applicants</w:t>
      </w:r>
      <w:r w:rsidR="00456CEE">
        <w:t>,</w:t>
      </w:r>
      <w:r w:rsidR="00E63CAE">
        <w:t xml:space="preserve"> and that </w:t>
      </w:r>
      <w:r w:rsidR="009F60DA">
        <w:t xml:space="preserve">submitting </w:t>
      </w:r>
      <w:r w:rsidR="003A3101">
        <w:t xml:space="preserve">a large volume of documents by email </w:t>
      </w:r>
      <w:r w:rsidR="00E82945">
        <w:t>can cause problems</w:t>
      </w:r>
      <w:r w:rsidR="004716EA">
        <w:t xml:space="preserve"> with </w:t>
      </w:r>
      <w:r w:rsidR="00F330B5">
        <w:t xml:space="preserve">the size of </w:t>
      </w:r>
      <w:r w:rsidR="004716EA">
        <w:t>attachments</w:t>
      </w:r>
      <w:r w:rsidR="00E82945">
        <w:t>.</w:t>
      </w:r>
      <w:r w:rsidR="00D953FC">
        <w:t xml:space="preserve"> Therefore</w:t>
      </w:r>
      <w:r w:rsidR="000A609F">
        <w:t xml:space="preserve">, </w:t>
      </w:r>
      <w:r w:rsidR="00D953FC">
        <w:t>w</w:t>
      </w:r>
      <w:r w:rsidR="005216DC">
        <w:t xml:space="preserve">e are </w:t>
      </w:r>
      <w:r w:rsidR="007A49CC">
        <w:t xml:space="preserve">investigating </w:t>
      </w:r>
      <w:r w:rsidR="0024607B">
        <w:t xml:space="preserve">the feasibility of </w:t>
      </w:r>
      <w:r w:rsidR="00D953FC">
        <w:t>develop</w:t>
      </w:r>
      <w:r w:rsidR="0024607B">
        <w:t>ing</w:t>
      </w:r>
      <w:r w:rsidR="005216DC">
        <w:t xml:space="preserve"> a</w:t>
      </w:r>
      <w:r w:rsidR="00272C73">
        <w:t>n online</w:t>
      </w:r>
      <w:r w:rsidR="005216DC">
        <w:t xml:space="preserve"> </w:t>
      </w:r>
      <w:r w:rsidR="00E127BE">
        <w:t>portal</w:t>
      </w:r>
      <w:r w:rsidR="005216DC">
        <w:t xml:space="preserve"> for submitting </w:t>
      </w:r>
      <w:r w:rsidR="00CD0420">
        <w:t>application and eligibil</w:t>
      </w:r>
      <w:r w:rsidR="00172FD0">
        <w:t xml:space="preserve">ity nomination </w:t>
      </w:r>
      <w:r w:rsidR="005216DC">
        <w:t xml:space="preserve">documents to the ACMA for </w:t>
      </w:r>
      <w:r w:rsidR="00633F49">
        <w:t>the 3.4/3.7 GHz bands</w:t>
      </w:r>
      <w:r w:rsidR="005216DC">
        <w:t xml:space="preserve"> auction</w:t>
      </w:r>
      <w:r w:rsidR="00754A92">
        <w:t>, to be used in tandem with</w:t>
      </w:r>
      <w:r w:rsidR="008C61D8">
        <w:t xml:space="preserve"> submitting original documents</w:t>
      </w:r>
      <w:r w:rsidR="005216DC">
        <w:t xml:space="preserve">. </w:t>
      </w:r>
    </w:p>
    <w:p w14:paraId="377849DB" w14:textId="06533AB3" w:rsidR="005216DC" w:rsidRDefault="00AE5A5F" w:rsidP="00332AD4">
      <w:pPr>
        <w:pStyle w:val="Paragraphbeforelist"/>
        <w:ind w:right="992"/>
      </w:pPr>
      <w:r>
        <w:t xml:space="preserve">The outline of the </w:t>
      </w:r>
      <w:r w:rsidR="005A7214">
        <w:t>solution we are considering is:</w:t>
      </w:r>
    </w:p>
    <w:p w14:paraId="7A5F8442" w14:textId="262E0D1E" w:rsidR="00794B8F" w:rsidRDefault="00371AF6" w:rsidP="00332AD4">
      <w:pPr>
        <w:pStyle w:val="Bulletlevel1"/>
        <w:ind w:right="992"/>
      </w:pPr>
      <w:r>
        <w:t xml:space="preserve">Completing web-based forms </w:t>
      </w:r>
      <w:r w:rsidR="007B0B3E">
        <w:t xml:space="preserve">for the application </w:t>
      </w:r>
      <w:r w:rsidR="00BD56B5">
        <w:t xml:space="preserve">form </w:t>
      </w:r>
      <w:r w:rsidR="007B0B3E">
        <w:t>and eligibility nomination</w:t>
      </w:r>
      <w:r w:rsidR="00BD56B5">
        <w:t xml:space="preserve"> form.</w:t>
      </w:r>
    </w:p>
    <w:p w14:paraId="45F3CB39" w14:textId="259421AF" w:rsidR="00BD56B5" w:rsidRDefault="005E29B7" w:rsidP="00332AD4">
      <w:pPr>
        <w:pStyle w:val="Bulletlevel1last"/>
        <w:ind w:right="992"/>
      </w:pPr>
      <w:r>
        <w:t xml:space="preserve">Executing </w:t>
      </w:r>
      <w:r w:rsidR="00E127BE">
        <w:t>paper copies of</w:t>
      </w:r>
      <w:r w:rsidR="00564D72">
        <w:t xml:space="preserve"> </w:t>
      </w:r>
      <w:r w:rsidR="006B7CDB">
        <w:t>deeds and statutory declaration</w:t>
      </w:r>
      <w:r w:rsidR="00663073">
        <w:t xml:space="preserve">s </w:t>
      </w:r>
      <w:r w:rsidR="00E127BE">
        <w:t>and uploading them via the online portal.</w:t>
      </w:r>
    </w:p>
    <w:p w14:paraId="14CA5E96" w14:textId="5E53C34A" w:rsidR="00E127BE" w:rsidRDefault="00C672AD" w:rsidP="00332AD4">
      <w:pPr>
        <w:pStyle w:val="Paragraph"/>
        <w:ind w:right="992"/>
      </w:pPr>
      <w:r>
        <w:rPr>
          <w:rStyle w:val="ParagraphChar"/>
        </w:rPr>
        <w:lastRenderedPageBreak/>
        <w:t>We will retain</w:t>
      </w:r>
      <w:r w:rsidRPr="000114ED">
        <w:rPr>
          <w:rStyle w:val="ParagraphChar"/>
        </w:rPr>
        <w:t xml:space="preserve"> </w:t>
      </w:r>
      <w:r w:rsidR="002437DE" w:rsidRPr="000114ED">
        <w:rPr>
          <w:rStyle w:val="ParagraphChar"/>
        </w:rPr>
        <w:t xml:space="preserve">email </w:t>
      </w:r>
      <w:r w:rsidR="00147BE2" w:rsidRPr="000114ED">
        <w:rPr>
          <w:rStyle w:val="ParagraphChar"/>
        </w:rPr>
        <w:t xml:space="preserve">and </w:t>
      </w:r>
      <w:r w:rsidR="00A001D1" w:rsidRPr="000114ED">
        <w:rPr>
          <w:rStyle w:val="ParagraphChar"/>
        </w:rPr>
        <w:t>in-person</w:t>
      </w:r>
      <w:r w:rsidR="00147BE2" w:rsidRPr="000114ED">
        <w:rPr>
          <w:rStyle w:val="ParagraphChar"/>
        </w:rPr>
        <w:t xml:space="preserve"> </w:t>
      </w:r>
      <w:r w:rsidR="002437DE" w:rsidRPr="000114ED">
        <w:rPr>
          <w:rStyle w:val="ParagraphChar"/>
        </w:rPr>
        <w:t>based process</w:t>
      </w:r>
      <w:r w:rsidR="00147BE2" w:rsidRPr="000114ED">
        <w:rPr>
          <w:rStyle w:val="ParagraphChar"/>
        </w:rPr>
        <w:t>e</w:t>
      </w:r>
      <w:r w:rsidR="00A001D1" w:rsidRPr="000114ED">
        <w:rPr>
          <w:rStyle w:val="ParagraphChar"/>
        </w:rPr>
        <w:t>s</w:t>
      </w:r>
      <w:r w:rsidR="002437DE" w:rsidRPr="000114ED">
        <w:rPr>
          <w:rStyle w:val="ParagraphChar"/>
        </w:rPr>
        <w:t xml:space="preserve"> for </w:t>
      </w:r>
      <w:r w:rsidR="00945035" w:rsidRPr="000114ED">
        <w:rPr>
          <w:rStyle w:val="ParagraphChar"/>
        </w:rPr>
        <w:t>giving documents to the ACMA</w:t>
      </w:r>
      <w:r w:rsidR="000821A9">
        <w:t>.</w:t>
      </w:r>
    </w:p>
    <w:p w14:paraId="215B64E1" w14:textId="5C8BCDD0" w:rsidR="000821A9" w:rsidRDefault="00313C43" w:rsidP="00332AD4">
      <w:pPr>
        <w:pStyle w:val="Paragraph"/>
        <w:ind w:right="992"/>
      </w:pPr>
      <w:r>
        <w:t xml:space="preserve">We welcome any comments or </w:t>
      </w:r>
      <w:r w:rsidR="00EC06AC">
        <w:t xml:space="preserve">suggestions </w:t>
      </w:r>
      <w:r w:rsidR="00585262">
        <w:t xml:space="preserve">in </w:t>
      </w:r>
      <w:r w:rsidR="00A974D3">
        <w:t>regard</w:t>
      </w:r>
      <w:r w:rsidR="00585262">
        <w:t xml:space="preserve"> to this proposal.</w:t>
      </w:r>
    </w:p>
    <w:p w14:paraId="3372F8E8" w14:textId="77777777" w:rsidR="00427EC7" w:rsidRDefault="00427EC7" w:rsidP="00332AD4">
      <w:pPr>
        <w:pStyle w:val="Heading3"/>
        <w:ind w:right="992"/>
      </w:pPr>
      <w:r>
        <w:t>Stage 1:</w:t>
      </w:r>
      <w:r>
        <w:tab/>
      </w:r>
      <w:r>
        <w:tab/>
        <w:t>Application stage</w:t>
      </w:r>
    </w:p>
    <w:p w14:paraId="40F3F0B9" w14:textId="4AC5E899" w:rsidR="0092460B" w:rsidRDefault="0092460B" w:rsidP="00332AD4">
      <w:pPr>
        <w:pStyle w:val="Paragraphbeforelist"/>
        <w:ind w:right="992"/>
      </w:pPr>
      <w:r>
        <w:t>By the application deadline</w:t>
      </w:r>
      <w:r w:rsidR="0099390B" w:rsidRPr="0099390B">
        <w:t xml:space="preserve"> </w:t>
      </w:r>
      <w:r w:rsidR="0099390B">
        <w:t xml:space="preserve">(estimated to be in </w:t>
      </w:r>
      <w:r w:rsidR="000C01B1" w:rsidRPr="000114ED">
        <w:t>July</w:t>
      </w:r>
      <w:r w:rsidR="0099390B" w:rsidRPr="00245CE3">
        <w:t xml:space="preserve"> 2023</w:t>
      </w:r>
      <w:r w:rsidR="0099390B">
        <w:t>)</w:t>
      </w:r>
      <w:r>
        <w:t>, the applicant must submit:</w:t>
      </w:r>
    </w:p>
    <w:p w14:paraId="6966BEA0" w14:textId="184463A3" w:rsidR="0092460B" w:rsidRDefault="4F940523" w:rsidP="00332AD4">
      <w:pPr>
        <w:pStyle w:val="Bulletlevel1"/>
        <w:ind w:right="992"/>
      </w:pPr>
      <w:r>
        <w:t>a completed application form registering their intent to participate in the auction</w:t>
      </w:r>
    </w:p>
    <w:p w14:paraId="25ABDCAA" w14:textId="1E761628" w:rsidR="0092460B" w:rsidRDefault="4F940523" w:rsidP="00332AD4">
      <w:pPr>
        <w:pStyle w:val="Bulletlevel1"/>
        <w:ind w:right="992"/>
      </w:pPr>
      <w:r>
        <w:t>a deed of acknowledgment binding the applicant to follow the procedures detailed in the allocation determination</w:t>
      </w:r>
    </w:p>
    <w:p w14:paraId="4D3D25BF" w14:textId="3EBF7A48" w:rsidR="0092460B" w:rsidRDefault="4F940523" w:rsidP="00332AD4">
      <w:pPr>
        <w:pStyle w:val="Bulletlevel1"/>
        <w:ind w:right="992"/>
      </w:pPr>
      <w:r>
        <w:t>deed(s) of confidentiality</w:t>
      </w:r>
    </w:p>
    <w:p w14:paraId="3DDDEEDF" w14:textId="1AA67D5B" w:rsidR="0092460B" w:rsidRDefault="4F940523" w:rsidP="00332AD4">
      <w:pPr>
        <w:pStyle w:val="Bulletlevel1last"/>
        <w:ind w:right="992"/>
      </w:pPr>
      <w:r>
        <w:t>a non-refundable application fee of $10,000.</w:t>
      </w:r>
    </w:p>
    <w:p w14:paraId="0621BCBA" w14:textId="20935AA8" w:rsidR="0092460B" w:rsidRDefault="0092460B" w:rsidP="00332AD4">
      <w:pPr>
        <w:pStyle w:val="Paragraph"/>
        <w:ind w:right="992"/>
      </w:pPr>
      <w:r>
        <w:t xml:space="preserve">We consider that the application fee is sufficiently large to discourage frivolous or non-serious applications, without being so large as to be a disincentive for genuine applicants. </w:t>
      </w:r>
    </w:p>
    <w:p w14:paraId="098E7954" w14:textId="2EF1415F" w:rsidR="00FE54A1" w:rsidRDefault="00FE54A1" w:rsidP="00332AD4">
      <w:pPr>
        <w:pStyle w:val="Paragraph"/>
        <w:ind w:right="992"/>
      </w:pPr>
      <w:r>
        <w:t>Eligible recipients who intend to elect to acquire leftover lots must apply to participate in the auction</w:t>
      </w:r>
      <w:r w:rsidR="005321C7">
        <w:t xml:space="preserve"> even if they do not wish to acquire any other lot.</w:t>
      </w:r>
    </w:p>
    <w:p w14:paraId="3B68035E" w14:textId="57DCF438" w:rsidR="00875E84" w:rsidRDefault="00542A8C" w:rsidP="00332AD4">
      <w:pPr>
        <w:pStyle w:val="Paragraph"/>
        <w:ind w:right="992"/>
      </w:pPr>
      <w:r>
        <w:t>In order to maintain the integrity of the auction process, w</w:t>
      </w:r>
      <w:r w:rsidR="00056BDC" w:rsidRPr="00A81450">
        <w:t xml:space="preserve">e intend to </w:t>
      </w:r>
      <w:r w:rsidR="00E9579A" w:rsidRPr="00A81450">
        <w:t>se</w:t>
      </w:r>
      <w:r w:rsidR="00D87D23" w:rsidRPr="00A81450">
        <w:t xml:space="preserve">ek </w:t>
      </w:r>
      <w:r w:rsidR="004E7C08" w:rsidRPr="00A81450">
        <w:t xml:space="preserve">a </w:t>
      </w:r>
      <w:r w:rsidR="001F3BF0">
        <w:t>statement</w:t>
      </w:r>
      <w:r w:rsidR="001F3BF0" w:rsidRPr="00A81450">
        <w:t xml:space="preserve"> </w:t>
      </w:r>
      <w:r>
        <w:t xml:space="preserve">from each applicant </w:t>
      </w:r>
      <w:r w:rsidR="000E296F" w:rsidRPr="00A81450">
        <w:t xml:space="preserve">that </w:t>
      </w:r>
      <w:r w:rsidR="00B92E42" w:rsidRPr="00A81450">
        <w:t>the applicant has not colluded with another party in relation to the 3.4/3.7 GHz bands auction</w:t>
      </w:r>
      <w:r w:rsidR="00B301D5" w:rsidRPr="00A81450">
        <w:t xml:space="preserve">. </w:t>
      </w:r>
    </w:p>
    <w:p w14:paraId="044C07CB" w14:textId="46997169" w:rsidR="001E5AE0" w:rsidRDefault="001E5AE0" w:rsidP="00332AD4">
      <w:pPr>
        <w:pStyle w:val="Heading3"/>
        <w:ind w:right="992"/>
      </w:pPr>
      <w:r>
        <w:t>Stage 2:</w:t>
      </w:r>
      <w:r>
        <w:tab/>
      </w:r>
      <w:r>
        <w:tab/>
      </w:r>
      <w:r w:rsidRPr="00354B3E">
        <w:t>Eligibility nomination stage</w:t>
      </w:r>
    </w:p>
    <w:p w14:paraId="406FAEE2" w14:textId="6F29B8E0" w:rsidR="00DB1EFB" w:rsidRDefault="00DB1EFB" w:rsidP="00332AD4">
      <w:pPr>
        <w:pStyle w:val="Paragraph"/>
        <w:ind w:right="992"/>
      </w:pPr>
      <w:bookmarkStart w:id="41" w:name="_Toc69301128"/>
      <w:r w:rsidRPr="00DB1EFB">
        <w:t xml:space="preserve">In previous simultaneous auctions, each applicant nominated its provisional start demands on its eligibility nomination form, and its eligibility points were calculated by adding the lot ratings for its provisional start demands. An applicant secured its eligibility points by providing an eligibility payment </w:t>
      </w:r>
      <w:r w:rsidR="00793CE3">
        <w:t>and/</w:t>
      </w:r>
      <w:r w:rsidRPr="00DB1EFB">
        <w:t xml:space="preserve">or deed of financial security for 10% of the total value of the provisional start demands at the starting prices.  </w:t>
      </w:r>
    </w:p>
    <w:p w14:paraId="11E17B57" w14:textId="27498644" w:rsidR="00057E38" w:rsidRDefault="003D2108" w:rsidP="00332AD4">
      <w:pPr>
        <w:pStyle w:val="Paragraphbeforelist"/>
        <w:ind w:right="992"/>
      </w:pPr>
      <w:r>
        <w:t xml:space="preserve">Given </w:t>
      </w:r>
      <w:r w:rsidRPr="003D2108">
        <w:t xml:space="preserve">we intend to implement a streamlined single application process followed by a single eligibility </w:t>
      </w:r>
      <w:r w:rsidR="00E10CC6">
        <w:t xml:space="preserve">nomination </w:t>
      </w:r>
      <w:r w:rsidRPr="003D2108">
        <w:t>process</w:t>
      </w:r>
      <w:r>
        <w:t xml:space="preserve">, we have identified </w:t>
      </w:r>
      <w:r w:rsidR="00057E38">
        <w:t xml:space="preserve">2 </w:t>
      </w:r>
      <w:r w:rsidR="00C636F9">
        <w:t xml:space="preserve">possible </w:t>
      </w:r>
      <w:r w:rsidR="00057E38">
        <w:t xml:space="preserve">eligibility nomination </w:t>
      </w:r>
      <w:r w:rsidR="00A54F04">
        <w:t>approaches</w:t>
      </w:r>
      <w:r w:rsidR="00C636F9">
        <w:t>:</w:t>
      </w:r>
    </w:p>
    <w:p w14:paraId="12457C92" w14:textId="3C5E7C39" w:rsidR="00057E38" w:rsidRDefault="00C24260" w:rsidP="00332AD4">
      <w:pPr>
        <w:pStyle w:val="Numberlistlevel2"/>
        <w:numPr>
          <w:ilvl w:val="0"/>
          <w:numId w:val="112"/>
        </w:numPr>
        <w:ind w:right="992"/>
      </w:pPr>
      <w:r>
        <w:t>Applicants</w:t>
      </w:r>
      <w:r w:rsidR="00057E38">
        <w:t xml:space="preserve"> nominate provisional start demands for both bands</w:t>
      </w:r>
    </w:p>
    <w:p w14:paraId="0EC896DA" w14:textId="33CF23B4" w:rsidR="00057E38" w:rsidRDefault="00C24260" w:rsidP="00332AD4">
      <w:pPr>
        <w:pStyle w:val="Numberlistlevel2last"/>
        <w:numPr>
          <w:ilvl w:val="0"/>
          <w:numId w:val="112"/>
        </w:numPr>
        <w:ind w:right="992"/>
      </w:pPr>
      <w:r>
        <w:t>Applicants</w:t>
      </w:r>
      <w:r w:rsidR="00057E38">
        <w:t xml:space="preserve"> nominate eligibility points which can be used flexibly across both bands.</w:t>
      </w:r>
    </w:p>
    <w:p w14:paraId="0925BA01" w14:textId="09DF3EE9" w:rsidR="0099611E" w:rsidRDefault="009B546D" w:rsidP="00332AD4">
      <w:pPr>
        <w:pStyle w:val="Paragraph"/>
        <w:ind w:right="992"/>
      </w:pPr>
      <w:r w:rsidRPr="009B546D">
        <w:t xml:space="preserve">Under option (a), applicants would </w:t>
      </w:r>
      <w:r w:rsidR="00E57889" w:rsidRPr="00E57889">
        <w:t xml:space="preserve">nominate provisional start demands for both the </w:t>
      </w:r>
      <w:r w:rsidR="00A17436">
        <w:br/>
      </w:r>
      <w:r w:rsidR="00E57889" w:rsidRPr="00E57889">
        <w:t>3.7 GHz and 3.4 GHz band spectrum in their eligibility nomination form.</w:t>
      </w:r>
      <w:r w:rsidR="00E57889">
        <w:t xml:space="preserve"> </w:t>
      </w:r>
      <w:r w:rsidR="00BE4A06">
        <w:t>However, o</w:t>
      </w:r>
      <w:r w:rsidR="0099611E">
        <w:t>ur view is that it is not possible for a</w:t>
      </w:r>
      <w:r w:rsidR="00075F41">
        <w:t>n applicant</w:t>
      </w:r>
      <w:r w:rsidR="0099611E" w:rsidDel="00075F41">
        <w:t xml:space="preserve"> </w:t>
      </w:r>
      <w:r w:rsidR="0099611E">
        <w:t xml:space="preserve">to nominate a start demand for the </w:t>
      </w:r>
      <w:r w:rsidR="00A17436">
        <w:br/>
      </w:r>
      <w:r w:rsidR="0099611E">
        <w:t xml:space="preserve">3.4 GHz band allocation when it cannot take into account any spectrum won in the </w:t>
      </w:r>
      <w:r w:rsidR="00A17436">
        <w:br/>
      </w:r>
      <w:r w:rsidR="0099611E">
        <w:t xml:space="preserve">3.7 GHz band </w:t>
      </w:r>
      <w:r w:rsidR="001C4A94">
        <w:t>allocation</w:t>
      </w:r>
      <w:r w:rsidR="0099611E">
        <w:t xml:space="preserve">. We consider nominating a start demand for the 3.4 GHz band allocation process assuming no spectrum had been acquired in the 3.7 GHz allocation process would require from </w:t>
      </w:r>
      <w:r w:rsidR="00F3387E">
        <w:t xml:space="preserve">applicants </w:t>
      </w:r>
      <w:r w:rsidR="0099611E">
        <w:t xml:space="preserve">an eligibility payment </w:t>
      </w:r>
      <w:r w:rsidR="00ED61DF">
        <w:t xml:space="preserve">that would not properly reflect the amount required </w:t>
      </w:r>
      <w:r w:rsidR="0099611E">
        <w:t xml:space="preserve">or deed of financial security for spectrum that </w:t>
      </w:r>
      <w:r w:rsidR="007F77C3">
        <w:t xml:space="preserve">an </w:t>
      </w:r>
      <w:r w:rsidR="00DF22B1">
        <w:t xml:space="preserve">applicant </w:t>
      </w:r>
      <w:r w:rsidR="0099611E">
        <w:t>may not be able to acquire. This would result in an eligibility payment or deed of financial security</w:t>
      </w:r>
      <w:r w:rsidR="007F77C3">
        <w:t xml:space="preserve"> amount</w:t>
      </w:r>
      <w:r w:rsidR="0099611E">
        <w:t xml:space="preserve"> that is unnecessarily high. </w:t>
      </w:r>
    </w:p>
    <w:p w14:paraId="1D64A52C" w14:textId="06F2DE56" w:rsidR="00D21771" w:rsidRDefault="00CF1DB9" w:rsidP="00332AD4">
      <w:pPr>
        <w:pStyle w:val="Paragraph"/>
        <w:ind w:right="992"/>
      </w:pPr>
      <w:r w:rsidRPr="00CF1DB9">
        <w:t>Under option (</w:t>
      </w:r>
      <w:r w:rsidR="00BE4A06">
        <w:t>b</w:t>
      </w:r>
      <w:r w:rsidRPr="00CF1DB9">
        <w:t xml:space="preserve">), </w:t>
      </w:r>
      <w:r w:rsidR="00075F41">
        <w:t>applicants</w:t>
      </w:r>
      <w:r w:rsidRPr="00CF1DB9">
        <w:t xml:space="preserve"> will secure the number of eligibility points </w:t>
      </w:r>
      <w:r w:rsidR="009A7CCB">
        <w:t>they</w:t>
      </w:r>
      <w:r w:rsidRPr="00CF1DB9">
        <w:t xml:space="preserve"> will need to express demand for the lots </w:t>
      </w:r>
      <w:r w:rsidR="00245CE3">
        <w:t>they</w:t>
      </w:r>
      <w:r w:rsidR="00245CE3" w:rsidRPr="00CF1DB9">
        <w:t xml:space="preserve"> </w:t>
      </w:r>
      <w:r w:rsidRPr="00CF1DB9">
        <w:t>would like to acquire in the 3.7 GHz and/or 3.4 GHz band allocations</w:t>
      </w:r>
      <w:r w:rsidR="0099611E">
        <w:t>.</w:t>
      </w:r>
      <w:r w:rsidR="002E35D4">
        <w:t xml:space="preserve"> </w:t>
      </w:r>
      <w:r w:rsidR="001E6AB3" w:rsidRPr="001E6AB3">
        <w:t xml:space="preserve">The ACMA will set a dollar value for each eligibility point. The number of eligibility points nominated by the applicant will be multiplied by the dollar </w:t>
      </w:r>
      <w:r w:rsidR="001E6AB3" w:rsidRPr="001E6AB3">
        <w:lastRenderedPageBreak/>
        <w:t xml:space="preserve">value of each eligibility point to determine the eligibility payment or deed of financial security </w:t>
      </w:r>
      <w:r w:rsidR="007F77C3">
        <w:t xml:space="preserve">amount </w:t>
      </w:r>
      <w:r w:rsidR="001E6AB3" w:rsidRPr="001E6AB3">
        <w:t>required to secure the eligibility points required by the applicant.</w:t>
      </w:r>
    </w:p>
    <w:p w14:paraId="4F02767F" w14:textId="0657FC9B" w:rsidR="00DF7E63" w:rsidRDefault="00DF7E63" w:rsidP="00332AD4">
      <w:pPr>
        <w:pStyle w:val="Paragraph"/>
        <w:ind w:right="992"/>
      </w:pPr>
      <w:r>
        <w:t>The number of eligibility points required by a bidder will be based on the lot ratings for each product</w:t>
      </w:r>
      <w:r w:rsidR="00FE05A3">
        <w:t xml:space="preserve"> available for bidding</w:t>
      </w:r>
      <w:r w:rsidR="0019125C">
        <w:t xml:space="preserve"> and the spectrum they wish to acquire</w:t>
      </w:r>
      <w:r>
        <w:t>. T</w:t>
      </w:r>
      <w:r w:rsidRPr="00196CD2">
        <w:t xml:space="preserve">he applicant multiplies their </w:t>
      </w:r>
      <w:r>
        <w:t>desired</w:t>
      </w:r>
      <w:r w:rsidRPr="00196CD2">
        <w:t xml:space="preserve"> number of lots </w:t>
      </w:r>
      <w:r>
        <w:t>of</w:t>
      </w:r>
      <w:r w:rsidRPr="00196CD2">
        <w:t xml:space="preserve"> each product by the specified lot rating. The total lot ratings for all the bidder’s </w:t>
      </w:r>
      <w:r>
        <w:t>desired</w:t>
      </w:r>
      <w:r w:rsidRPr="00196CD2">
        <w:t xml:space="preserve"> lots determines the </w:t>
      </w:r>
      <w:r w:rsidR="00C8772E">
        <w:t xml:space="preserve">number of eligibility points a </w:t>
      </w:r>
      <w:r w:rsidRPr="00196CD2">
        <w:t>bidder</w:t>
      </w:r>
      <w:r w:rsidR="00C8772E">
        <w:t xml:space="preserve"> would need</w:t>
      </w:r>
      <w:r w:rsidRPr="00196CD2">
        <w:t xml:space="preserve"> to </w:t>
      </w:r>
      <w:r w:rsidR="00C8772E">
        <w:t xml:space="preserve">facilitate </w:t>
      </w:r>
      <w:r>
        <w:t xml:space="preserve">bidding </w:t>
      </w:r>
      <w:r w:rsidR="00C8772E">
        <w:t>for the lots it seeks to acquire</w:t>
      </w:r>
      <w:r w:rsidRPr="00196CD2">
        <w:t xml:space="preserve">. </w:t>
      </w:r>
      <w:r w:rsidRPr="00E71113">
        <w:t xml:space="preserve">Bidders can </w:t>
      </w:r>
      <w:r>
        <w:t xml:space="preserve">use eligibility points to </w:t>
      </w:r>
      <w:r w:rsidRPr="00E71113">
        <w:t xml:space="preserve">bid on any lot, or any combination of lots, up to their </w:t>
      </w:r>
      <w:r>
        <w:t xml:space="preserve">maximum eligibility points and </w:t>
      </w:r>
      <w:r w:rsidR="00856CB8">
        <w:t xml:space="preserve">up to </w:t>
      </w:r>
      <w:r w:rsidR="00117BEC">
        <w:t xml:space="preserve">the </w:t>
      </w:r>
      <w:r>
        <w:t>allocation limit</w:t>
      </w:r>
      <w:r w:rsidR="0019125C">
        <w:t xml:space="preserve">. Eligibility points may be used in the 3.7 GHz </w:t>
      </w:r>
      <w:r w:rsidR="00117BEC">
        <w:t xml:space="preserve">band </w:t>
      </w:r>
      <w:r w:rsidR="0019125C">
        <w:t>allocation and/or the 3.4 GHz band allocation</w:t>
      </w:r>
      <w:r>
        <w:t xml:space="preserve">. </w:t>
      </w:r>
      <w:r w:rsidRPr="00E71113">
        <w:t xml:space="preserve">Bidders </w:t>
      </w:r>
      <w:r>
        <w:t>cannot</w:t>
      </w:r>
      <w:r w:rsidRPr="00E71113">
        <w:t xml:space="preserve"> bid on lots in such a way that their bidding activity would exceed their eligibility</w:t>
      </w:r>
      <w:r>
        <w:t xml:space="preserve"> points o</w:t>
      </w:r>
      <w:r w:rsidR="00C9185B">
        <w:t xml:space="preserve">r result in </w:t>
      </w:r>
      <w:r w:rsidR="00DD480C">
        <w:t>the</w:t>
      </w:r>
      <w:r w:rsidR="00D40740">
        <w:t>ir</w:t>
      </w:r>
      <w:r w:rsidR="00DD480C">
        <w:t xml:space="preserve"> breaching </w:t>
      </w:r>
      <w:r>
        <w:t>the allocation limit</w:t>
      </w:r>
      <w:r w:rsidRPr="00E71113">
        <w:t>.</w:t>
      </w:r>
      <w:r>
        <w:t xml:space="preserve"> </w:t>
      </w:r>
    </w:p>
    <w:p w14:paraId="2C88D6C1" w14:textId="2B16415A" w:rsidR="00DF7E63" w:rsidRPr="00E71113" w:rsidRDefault="00DF7E63" w:rsidP="00332AD4">
      <w:pPr>
        <w:pStyle w:val="Paragraph"/>
        <w:ind w:right="992"/>
      </w:pPr>
      <w:r w:rsidRPr="001E6734">
        <w:t xml:space="preserve">The eligibility points a bidder may secure for the purposes of bidding in the 3.7 GHz </w:t>
      </w:r>
      <w:r w:rsidR="009C550F">
        <w:t xml:space="preserve">band </w:t>
      </w:r>
      <w:r w:rsidRPr="001E6734">
        <w:t>and</w:t>
      </w:r>
      <w:r>
        <w:t>/or</w:t>
      </w:r>
      <w:r w:rsidRPr="001E6734">
        <w:t xml:space="preserve"> 3.4 GHz </w:t>
      </w:r>
      <w:r w:rsidR="004D66B6">
        <w:t xml:space="preserve">band </w:t>
      </w:r>
      <w:r w:rsidRPr="001E6734">
        <w:t>allocations may be greater than the total spectrum that may be secured by the bidder in the 3.7 GHz band allocation</w:t>
      </w:r>
      <w:r w:rsidR="00C8772E">
        <w:t xml:space="preserve"> or the 3.4 GHz band allocation</w:t>
      </w:r>
      <w:r w:rsidRPr="001E6734">
        <w:t xml:space="preserve">. </w:t>
      </w:r>
      <w:r w:rsidRPr="00DC35A1">
        <w:t>However, the eligibility points that may be used in 3.7</w:t>
      </w:r>
      <w:r w:rsidR="00C8772E">
        <w:t xml:space="preserve"> GHz band allocation and 3.4 </w:t>
      </w:r>
      <w:r w:rsidRPr="00DC35A1">
        <w:t xml:space="preserve">GHz band </w:t>
      </w:r>
      <w:r w:rsidR="00AC4A56">
        <w:t>allocation</w:t>
      </w:r>
      <w:r w:rsidRPr="00DC35A1">
        <w:t xml:space="preserve"> will be </w:t>
      </w:r>
      <w:r w:rsidR="004F3473">
        <w:t>limited by</w:t>
      </w:r>
      <w:r w:rsidRPr="00DC35A1">
        <w:t xml:space="preserve"> the allocation limit</w:t>
      </w:r>
      <w:r w:rsidR="00710885">
        <w:t xml:space="preserve"> as applied to the bidder</w:t>
      </w:r>
      <w:r w:rsidRPr="00DC35A1">
        <w:t xml:space="preserve"> and the total amount of spectrum available. </w:t>
      </w:r>
      <w:r w:rsidR="00F42705">
        <w:t xml:space="preserve">They </w:t>
      </w:r>
      <w:r w:rsidR="007F034C">
        <w:t xml:space="preserve">may </w:t>
      </w:r>
      <w:r w:rsidR="00D667E3">
        <w:t>also</w:t>
      </w:r>
      <w:r w:rsidR="007F034C">
        <w:t xml:space="preserve"> be</w:t>
      </w:r>
      <w:r w:rsidR="007F034C" w:rsidRPr="00DC35A1">
        <w:t xml:space="preserve"> </w:t>
      </w:r>
      <w:r w:rsidRPr="00DC35A1">
        <w:t>reduce</w:t>
      </w:r>
      <w:r w:rsidR="007F034C">
        <w:t>d</w:t>
      </w:r>
      <w:r w:rsidRPr="00DC35A1">
        <w:t xml:space="preserve"> for each bidder in the pre-bidding </w:t>
      </w:r>
      <w:r w:rsidR="00F00386">
        <w:t>round</w:t>
      </w:r>
      <w:r w:rsidR="00C8772E">
        <w:t>(s)</w:t>
      </w:r>
      <w:r w:rsidR="007F034C">
        <w:t xml:space="preserve"> of the primary stage</w:t>
      </w:r>
      <w:r w:rsidRPr="00DC35A1">
        <w:t xml:space="preserve"> of the 3.7 GHz band allocation</w:t>
      </w:r>
      <w:r w:rsidR="00D53ED3">
        <w:t xml:space="preserve"> process and the 3.4 GHz band allocation process</w:t>
      </w:r>
      <w:r w:rsidR="00D667E3">
        <w:t>, depending on the start demands expressed.</w:t>
      </w:r>
    </w:p>
    <w:p w14:paraId="18A3842E" w14:textId="210929FA" w:rsidR="00DF7E63" w:rsidRDefault="00994436" w:rsidP="00332AD4">
      <w:pPr>
        <w:pStyle w:val="Paragraph"/>
        <w:ind w:right="992"/>
      </w:pPr>
      <w:r>
        <w:t xml:space="preserve">Bidders that are allocated spectrum in the 3.7 GHz band allocation </w:t>
      </w:r>
      <w:r w:rsidR="00214692">
        <w:t>who</w:t>
      </w:r>
      <w:r w:rsidR="00C8772E">
        <w:t xml:space="preserve"> wish to participate in the 3.4 GHz band allocation </w:t>
      </w:r>
      <w:r>
        <w:t xml:space="preserve">will have their </w:t>
      </w:r>
      <w:r w:rsidR="00DF7E63" w:rsidRPr="001633F1">
        <w:t>eligibility points adjusted after the end of the 3.7</w:t>
      </w:r>
      <w:r w:rsidR="00C8772E">
        <w:t> </w:t>
      </w:r>
      <w:r w:rsidR="00DF7E63" w:rsidRPr="001633F1">
        <w:t>GHz band allocation</w:t>
      </w:r>
      <w:r w:rsidR="004D0476">
        <w:t>.</w:t>
      </w:r>
      <w:r w:rsidR="00DF7E63" w:rsidRPr="001633F1">
        <w:t xml:space="preserve"> After the end of the 3.7</w:t>
      </w:r>
      <w:r w:rsidR="004D0476">
        <w:t> </w:t>
      </w:r>
      <w:r w:rsidR="00DF7E63" w:rsidRPr="001633F1">
        <w:t>GHz band allocation, the bidder</w:t>
      </w:r>
      <w:r w:rsidR="00DA33CF">
        <w:t>’</w:t>
      </w:r>
      <w:r w:rsidR="00DF7E63" w:rsidRPr="001633F1">
        <w:t>s used eligibility (that is, the total eligibility of lots won in the primary and secondary stages</w:t>
      </w:r>
      <w:r w:rsidR="00DD3396">
        <w:t xml:space="preserve"> of the 3.7 GHz band allocation</w:t>
      </w:r>
      <w:r w:rsidR="00DF7E63" w:rsidRPr="001633F1">
        <w:t xml:space="preserve">) will be subtracted from the eligibility points secured in the bidder’s eligibility nomination form. This will </w:t>
      </w:r>
      <w:r w:rsidR="00B144F7">
        <w:t>determine</w:t>
      </w:r>
      <w:r w:rsidR="00B144F7" w:rsidRPr="001633F1">
        <w:t xml:space="preserve"> </w:t>
      </w:r>
      <w:r w:rsidR="00DF7E63" w:rsidRPr="001633F1">
        <w:t>the bidder’s eligibility points for the 3.4</w:t>
      </w:r>
      <w:r>
        <w:t> </w:t>
      </w:r>
      <w:r w:rsidR="00DF7E63" w:rsidRPr="001633F1">
        <w:t xml:space="preserve">GHz band allocation. As described above, the eligibility points a bidder can use in the 3.4 GHz band </w:t>
      </w:r>
      <w:r w:rsidR="00DA33CF">
        <w:t>may</w:t>
      </w:r>
      <w:r w:rsidR="00DA33CF" w:rsidRPr="001633F1">
        <w:t xml:space="preserve"> </w:t>
      </w:r>
      <w:r w:rsidR="00DF7E63" w:rsidRPr="001633F1">
        <w:t>reduce</w:t>
      </w:r>
      <w:r w:rsidR="00DA33CF">
        <w:t xml:space="preserve"> </w:t>
      </w:r>
      <w:r w:rsidR="00DF7E63" w:rsidRPr="001633F1">
        <w:t xml:space="preserve">after the pre-bidding </w:t>
      </w:r>
      <w:r w:rsidR="00F00386">
        <w:t>round</w:t>
      </w:r>
      <w:r w:rsidR="00DF7E63" w:rsidRPr="001633F1">
        <w:t xml:space="preserve"> </w:t>
      </w:r>
      <w:r w:rsidR="00DA33CF">
        <w:t xml:space="preserve">of the primary stage </w:t>
      </w:r>
      <w:r w:rsidR="00DF7E63" w:rsidRPr="001633F1">
        <w:t>has been completed</w:t>
      </w:r>
      <w:r w:rsidR="00DF7E63" w:rsidRPr="00DF707A">
        <w:t xml:space="preserve">. </w:t>
      </w:r>
    </w:p>
    <w:p w14:paraId="50E533E6" w14:textId="5670A9A6" w:rsidR="005639E8" w:rsidRDefault="00770574" w:rsidP="00332AD4">
      <w:pPr>
        <w:pStyle w:val="Paragraph"/>
        <w:ind w:right="992"/>
      </w:pPr>
      <w:r w:rsidRPr="00770574">
        <w:t>Option (</w:t>
      </w:r>
      <w:r w:rsidR="00FF0721">
        <w:t>b</w:t>
      </w:r>
      <w:r w:rsidRPr="00770574">
        <w:t xml:space="preserve">) enables the 3.4 GHz auction to follow shortly after the 3.7 GHz auction. Further, it allows a more flexible use of eligibility points across both bands, and thus enables bidders to secure their eligibility points with an </w:t>
      </w:r>
      <w:r>
        <w:t>eligibility payment and</w:t>
      </w:r>
      <w:r w:rsidRPr="00770574">
        <w:t xml:space="preserve">/or </w:t>
      </w:r>
      <w:r>
        <w:t>deed of financial security</w:t>
      </w:r>
      <w:r w:rsidR="00A94E96">
        <w:t xml:space="preserve"> amount</w:t>
      </w:r>
      <w:r>
        <w:t xml:space="preserve"> </w:t>
      </w:r>
      <w:r w:rsidRPr="00770574">
        <w:t xml:space="preserve">based on their intended demand across the whole </w:t>
      </w:r>
      <w:r w:rsidR="00D40740">
        <w:br/>
      </w:r>
      <w:r w:rsidRPr="00770574">
        <w:t>auction</w:t>
      </w:r>
      <w:r w:rsidR="00B965B4">
        <w:t xml:space="preserve"> process</w:t>
      </w:r>
      <w:r w:rsidRPr="00770574">
        <w:t xml:space="preserve">. </w:t>
      </w:r>
    </w:p>
    <w:p w14:paraId="2803F42A" w14:textId="6C8CCE53" w:rsidR="00770574" w:rsidRDefault="005639E8" w:rsidP="00372BD6">
      <w:pPr>
        <w:pStyle w:val="Paragraph"/>
        <w:keepNext/>
        <w:keepLines/>
        <w:ind w:right="992"/>
      </w:pPr>
      <w:r>
        <w:t>Therefore, we propose to implement the eligibility approach described in option (</w:t>
      </w:r>
      <w:r w:rsidR="00EB4724">
        <w:t>b</w:t>
      </w:r>
      <w:r>
        <w:t>).</w:t>
      </w:r>
    </w:p>
    <w:p w14:paraId="177A7F57" w14:textId="77777777" w:rsidR="00693642" w:rsidRDefault="00D3581C" w:rsidP="00372BD6">
      <w:pPr>
        <w:pStyle w:val="Paragraphbeforelist"/>
        <w:keepNext/>
        <w:keepLines/>
        <w:ind w:right="992"/>
      </w:pPr>
      <w:r>
        <w:t>Given our preferred view that leftover lots will not be available for bidding in the primary or secondary stage</w:t>
      </w:r>
      <w:r w:rsidR="00693642">
        <w:t>:</w:t>
      </w:r>
    </w:p>
    <w:p w14:paraId="1D2E6E5D" w14:textId="6932F9BB" w:rsidR="00693642" w:rsidRDefault="3CBB9A0F" w:rsidP="00372BD6">
      <w:pPr>
        <w:pStyle w:val="Bulletlevel1"/>
        <w:keepNext/>
        <w:keepLines/>
        <w:ind w:right="992"/>
      </w:pPr>
      <w:r>
        <w:t>an eligible recipient will not need to secure eligibility points for leftover lots</w:t>
      </w:r>
    </w:p>
    <w:p w14:paraId="588DF1F9" w14:textId="3EC7BC8A" w:rsidR="00D3581C" w:rsidRDefault="4A323559" w:rsidP="00332AD4">
      <w:pPr>
        <w:pStyle w:val="Bulletlevel1last"/>
        <w:ind w:right="992"/>
      </w:pPr>
      <w:r>
        <w:t xml:space="preserve">eligible </w:t>
      </w:r>
      <w:r w:rsidR="006E57BA">
        <w:t xml:space="preserve">recipients </w:t>
      </w:r>
      <w:r>
        <w:t>can nominate</w:t>
      </w:r>
      <w:r w:rsidR="006E57BA">
        <w:t>, before the eligibility deadline,</w:t>
      </w:r>
      <w:r>
        <w:t xml:space="preserve"> which leftover lots, if any, they would like to </w:t>
      </w:r>
      <w:r w:rsidR="006E57BA">
        <w:t xml:space="preserve">have </w:t>
      </w:r>
      <w:r>
        <w:t xml:space="preserve">directly allocated to them. </w:t>
      </w:r>
    </w:p>
    <w:p w14:paraId="428365EE" w14:textId="071DACD7" w:rsidR="00F926E2" w:rsidRDefault="001C24AC" w:rsidP="00332AD4">
      <w:pPr>
        <w:pStyle w:val="Paragraphbeforelist"/>
        <w:ind w:right="992"/>
      </w:pPr>
      <w:r>
        <w:t xml:space="preserve">Therefore, </w:t>
      </w:r>
      <w:r w:rsidR="00815FFF">
        <w:t xml:space="preserve">by the eligibility deadline, an </w:t>
      </w:r>
      <w:r w:rsidR="00F926E2">
        <w:t>applicant will specify:</w:t>
      </w:r>
    </w:p>
    <w:p w14:paraId="45EA25CA" w14:textId="4CFC8CE4" w:rsidR="00F926E2" w:rsidRDefault="20B2F2EA" w:rsidP="00332AD4">
      <w:pPr>
        <w:pStyle w:val="Bulletlevel1"/>
        <w:ind w:right="992"/>
      </w:pPr>
      <w:r>
        <w:t xml:space="preserve">the </w:t>
      </w:r>
      <w:r w:rsidR="000C1A42">
        <w:t>applicant’s</w:t>
      </w:r>
      <w:r>
        <w:t xml:space="preserve"> eligibility points that will be used for bidding in the </w:t>
      </w:r>
      <w:r w:rsidR="5987C487">
        <w:t>3.4/3.7 GHz bands auction</w:t>
      </w:r>
    </w:p>
    <w:p w14:paraId="42B8976A" w14:textId="0F98CF08" w:rsidR="00F926E2" w:rsidRDefault="3F0DD897" w:rsidP="00332AD4">
      <w:pPr>
        <w:pStyle w:val="Bulletlevel1last"/>
        <w:ind w:right="992"/>
      </w:pPr>
      <w:r>
        <w:t>f</w:t>
      </w:r>
      <w:r w:rsidR="18372688">
        <w:t xml:space="preserve">or eligible recipients, which leftover lots, if any, they would like to </w:t>
      </w:r>
      <w:r w:rsidR="006E57BA">
        <w:t xml:space="preserve">have </w:t>
      </w:r>
      <w:r w:rsidR="18372688">
        <w:t>directly allocated to them for the price</w:t>
      </w:r>
      <w:r>
        <w:t xml:space="preserve"> set by the ACMA</w:t>
      </w:r>
      <w:r w:rsidR="18372688">
        <w:t>.</w:t>
      </w:r>
      <w:r w:rsidR="61B3938F">
        <w:t xml:space="preserve"> </w:t>
      </w:r>
    </w:p>
    <w:p w14:paraId="13E8FDC1" w14:textId="71A42665" w:rsidR="00AE23DE" w:rsidRDefault="00F926E2" w:rsidP="00332AD4">
      <w:pPr>
        <w:pStyle w:val="Paragraphbeforelist"/>
        <w:ind w:right="992"/>
      </w:pPr>
      <w:r>
        <w:lastRenderedPageBreak/>
        <w:t>By the eligibility deadline, in order to register as a bidder, the applicant must</w:t>
      </w:r>
      <w:r w:rsidR="00876C98">
        <w:t xml:space="preserve"> </w:t>
      </w:r>
      <w:r>
        <w:t xml:space="preserve">make an eligibility payment and/or give a deed of financial security for their </w:t>
      </w:r>
      <w:r w:rsidR="00867939">
        <w:t>eligibility points</w:t>
      </w:r>
      <w:r w:rsidR="00897312">
        <w:t>.</w:t>
      </w:r>
      <w:r w:rsidR="00897312" w:rsidRPr="00897312">
        <w:t xml:space="preserve"> </w:t>
      </w:r>
      <w:r w:rsidR="00355011">
        <w:t xml:space="preserve">The </w:t>
      </w:r>
      <w:r w:rsidR="00AE23DE">
        <w:t xml:space="preserve">amount of the eligibility payment and/or deed of financial security </w:t>
      </w:r>
      <w:r w:rsidR="006E57BA">
        <w:t xml:space="preserve">amount </w:t>
      </w:r>
      <w:r w:rsidR="00AE23DE">
        <w:t xml:space="preserve">will </w:t>
      </w:r>
      <w:r w:rsidR="00A17436">
        <w:br/>
      </w:r>
      <w:r w:rsidR="00AE23DE">
        <w:t>depend on:</w:t>
      </w:r>
    </w:p>
    <w:p w14:paraId="22C1A1F6" w14:textId="384FD930" w:rsidR="00AE23DE" w:rsidRDefault="4367D51D" w:rsidP="00332AD4">
      <w:pPr>
        <w:pStyle w:val="Bulletlevel1"/>
        <w:ind w:right="992"/>
      </w:pPr>
      <w:r>
        <w:t>t</w:t>
      </w:r>
      <w:r w:rsidR="0ED85CF9">
        <w:t>he number of eligibility points nominated by the applicant</w:t>
      </w:r>
    </w:p>
    <w:p w14:paraId="7D2FFD8C" w14:textId="293E9EFA" w:rsidR="00AE23DE" w:rsidRDefault="4367D51D" w:rsidP="00332AD4">
      <w:pPr>
        <w:pStyle w:val="Bulletlevel1last"/>
        <w:ind w:right="992"/>
      </w:pPr>
      <w:r>
        <w:t>f</w:t>
      </w:r>
      <w:r w:rsidR="2BD46D00">
        <w:t>or eligible recipients, the leftover lots they wish to acquire</w:t>
      </w:r>
      <w:r>
        <w:t>.</w:t>
      </w:r>
    </w:p>
    <w:p w14:paraId="02C69558" w14:textId="7113687B" w:rsidR="00D43FD1" w:rsidRDefault="00A802F2" w:rsidP="00332AD4">
      <w:pPr>
        <w:pStyle w:val="Paragraph"/>
        <w:ind w:right="992"/>
      </w:pPr>
      <w:bookmarkStart w:id="42" w:name="_Hlk116473744"/>
      <w:r w:rsidRPr="00742096">
        <w:t>The ACMA will set a price for</w:t>
      </w:r>
      <w:r w:rsidR="006E57BA">
        <w:t xml:space="preserve"> each</w:t>
      </w:r>
      <w:r w:rsidRPr="00742096">
        <w:t xml:space="preserve"> </w:t>
      </w:r>
      <w:r w:rsidR="00E34226" w:rsidRPr="00742096">
        <w:t>leftover lot</w:t>
      </w:r>
      <w:r w:rsidRPr="00742096">
        <w:t>.</w:t>
      </w:r>
      <w:r w:rsidR="00655566">
        <w:t xml:space="preserve"> An</w:t>
      </w:r>
      <w:r w:rsidRPr="00742096">
        <w:t xml:space="preserve"> </w:t>
      </w:r>
      <w:r w:rsidR="00655566" w:rsidRPr="00655566">
        <w:t xml:space="preserve">eligibility payment or deed of financial security </w:t>
      </w:r>
      <w:r w:rsidR="006C07DA">
        <w:t xml:space="preserve">amount </w:t>
      </w:r>
      <w:r w:rsidR="003500C5">
        <w:t>of</w:t>
      </w:r>
      <w:r w:rsidRPr="00742096">
        <w:t xml:space="preserve"> 10% of the price of the leftover lot</w:t>
      </w:r>
      <w:r w:rsidR="006C07DA">
        <w:t>s sought</w:t>
      </w:r>
      <w:r w:rsidRPr="00742096">
        <w:t xml:space="preserve"> will be required</w:t>
      </w:r>
      <w:r w:rsidR="00655566">
        <w:t xml:space="preserve"> from eligible recipients who choose to take up a leftover lot</w:t>
      </w:r>
      <w:r w:rsidR="00655566" w:rsidRPr="00655566">
        <w:t>.</w:t>
      </w:r>
      <w:r w:rsidR="00755F50" w:rsidRPr="00755F50">
        <w:t xml:space="preserve"> </w:t>
      </w:r>
    </w:p>
    <w:p w14:paraId="52F9BFA8" w14:textId="783A5A93" w:rsidR="00F926E2" w:rsidRDefault="00BF3A93" w:rsidP="00332AD4">
      <w:pPr>
        <w:pStyle w:val="Paragraph"/>
        <w:ind w:right="992"/>
      </w:pPr>
      <w:r>
        <w:t>I</w:t>
      </w:r>
      <w:r w:rsidR="00755F50" w:rsidRPr="00755F50">
        <w:t xml:space="preserve">f a leftover lot recipient is also </w:t>
      </w:r>
      <w:r w:rsidR="00D43FD1">
        <w:t xml:space="preserve">securing eligibility points for bidding </w:t>
      </w:r>
      <w:r w:rsidR="00755F50" w:rsidRPr="00755F50">
        <w:t xml:space="preserve">in the auction, and there is </w:t>
      </w:r>
      <w:r w:rsidR="00BE1135">
        <w:t xml:space="preserve">a </w:t>
      </w:r>
      <w:r w:rsidR="00755F50" w:rsidRPr="00755F50">
        <w:t xml:space="preserve">shortfall between the amount of the eligibility payment </w:t>
      </w:r>
      <w:r w:rsidR="00D43FD1">
        <w:t>and/</w:t>
      </w:r>
      <w:r w:rsidR="00755F50" w:rsidRPr="00755F50">
        <w:t xml:space="preserve">or deed </w:t>
      </w:r>
      <w:r w:rsidR="00D43FD1">
        <w:t xml:space="preserve">of financial security </w:t>
      </w:r>
      <w:r w:rsidR="00755F50" w:rsidRPr="00755F50">
        <w:t xml:space="preserve">and the total amount required to secure the nominated </w:t>
      </w:r>
      <w:r w:rsidR="00BE1135">
        <w:t xml:space="preserve">eligibility </w:t>
      </w:r>
      <w:r w:rsidR="00755F50" w:rsidRPr="00755F50">
        <w:t>points and</w:t>
      </w:r>
      <w:r w:rsidR="00BE1135">
        <w:t xml:space="preserve"> for</w:t>
      </w:r>
      <w:r w:rsidR="00755F50" w:rsidRPr="00755F50">
        <w:t xml:space="preserve"> provid</w:t>
      </w:r>
      <w:r w:rsidR="00BE1135">
        <w:t>ing</w:t>
      </w:r>
      <w:r w:rsidR="00755F50" w:rsidRPr="00755F50">
        <w:t xml:space="preserve"> 10% of the amount required to secure the leftover lots, and the leftover lot recipient does not ‘top up’ the payment or the deed, any </w:t>
      </w:r>
      <w:r w:rsidR="00D43FD1">
        <w:t>eligibility payment</w:t>
      </w:r>
      <w:r w:rsidR="00755F50" w:rsidRPr="00755F50">
        <w:t xml:space="preserve"> </w:t>
      </w:r>
      <w:r w:rsidR="00BE1135">
        <w:t xml:space="preserve">made </w:t>
      </w:r>
      <w:r w:rsidR="00104377">
        <w:t>and</w:t>
      </w:r>
      <w:r w:rsidR="00755F50" w:rsidRPr="00755F50">
        <w:t>/</w:t>
      </w:r>
      <w:r w:rsidR="00104377">
        <w:t>or</w:t>
      </w:r>
      <w:r w:rsidR="00BE1135">
        <w:t xml:space="preserve"> amount</w:t>
      </w:r>
      <w:r w:rsidR="00104377">
        <w:t xml:space="preserve"> </w:t>
      </w:r>
      <w:r w:rsidR="00755F50" w:rsidRPr="00755F50">
        <w:t>secured by the deed</w:t>
      </w:r>
      <w:r w:rsidR="00104377">
        <w:t xml:space="preserve"> of financial security</w:t>
      </w:r>
      <w:r w:rsidR="00755F50" w:rsidRPr="00755F50">
        <w:t xml:space="preserve"> will be applied to cover the leftover lots first. </w:t>
      </w:r>
      <w:r w:rsidR="00330C37">
        <w:t>T</w:t>
      </w:r>
      <w:r w:rsidR="00755F50" w:rsidRPr="00755F50">
        <w:t xml:space="preserve">he </w:t>
      </w:r>
      <w:r w:rsidR="00A50C51">
        <w:t xml:space="preserve">nominated </w:t>
      </w:r>
      <w:r w:rsidR="00755F50" w:rsidRPr="00755F50">
        <w:t xml:space="preserve">eligibility points secured for the auction will be reduced accordingly. For example, if 10% of the value of leftover lots is $100,000 and the </w:t>
      </w:r>
      <w:r w:rsidR="00152A3E">
        <w:t>applicant</w:t>
      </w:r>
      <w:r w:rsidR="00755F50" w:rsidRPr="00755F50">
        <w:t xml:space="preserve"> wishes to also secure eligibility points</w:t>
      </w:r>
      <w:r w:rsidR="00010B99">
        <w:t xml:space="preserve"> for bidding in the auction </w:t>
      </w:r>
      <w:r w:rsidR="00755F50" w:rsidRPr="00755F50">
        <w:t>to the value of $100,000, a</w:t>
      </w:r>
      <w:r w:rsidR="00010B99">
        <w:t>n</w:t>
      </w:r>
      <w:r w:rsidR="00755F50" w:rsidRPr="00755F50">
        <w:t xml:space="preserve"> </w:t>
      </w:r>
      <w:r w:rsidR="00010B99">
        <w:t xml:space="preserve">eligibility </w:t>
      </w:r>
      <w:r w:rsidR="00755F50" w:rsidRPr="00755F50">
        <w:t xml:space="preserve">payment </w:t>
      </w:r>
      <w:r w:rsidR="00010B99">
        <w:t>and/</w:t>
      </w:r>
      <w:r w:rsidR="00755F50" w:rsidRPr="00755F50">
        <w:t>or deed</w:t>
      </w:r>
      <w:r w:rsidR="00010B99">
        <w:t xml:space="preserve"> of financial security</w:t>
      </w:r>
      <w:r w:rsidR="00A50C51">
        <w:t xml:space="preserve"> amount</w:t>
      </w:r>
      <w:r w:rsidR="00755F50" w:rsidRPr="00755F50">
        <w:t xml:space="preserve"> </w:t>
      </w:r>
      <w:r w:rsidR="00152A3E">
        <w:t>of</w:t>
      </w:r>
      <w:r w:rsidR="00755F50" w:rsidRPr="00755F50">
        <w:t xml:space="preserve"> $200,000</w:t>
      </w:r>
      <w:r w:rsidR="00152A3E">
        <w:t xml:space="preserve"> would be required</w:t>
      </w:r>
      <w:r w:rsidR="00755F50" w:rsidRPr="00755F50">
        <w:t xml:space="preserve">. If the </w:t>
      </w:r>
      <w:r w:rsidR="00152A3E">
        <w:t>applicant</w:t>
      </w:r>
      <w:r w:rsidR="00755F50" w:rsidRPr="00755F50">
        <w:t xml:space="preserve"> </w:t>
      </w:r>
      <w:r w:rsidR="00152A3E">
        <w:t>makes</w:t>
      </w:r>
      <w:r w:rsidR="00755F50" w:rsidRPr="00755F50">
        <w:t xml:space="preserve"> an eligibility payment</w:t>
      </w:r>
      <w:r w:rsidR="00152A3E">
        <w:t xml:space="preserve"> and/</w:t>
      </w:r>
      <w:r w:rsidR="00755F50" w:rsidRPr="00755F50">
        <w:t xml:space="preserve">or </w:t>
      </w:r>
      <w:r w:rsidR="00152A3E">
        <w:t xml:space="preserve">provides a deed of financial security </w:t>
      </w:r>
      <w:r w:rsidR="00755F50" w:rsidRPr="00755F50">
        <w:t>for $150,000, then $100,000 will</w:t>
      </w:r>
      <w:r w:rsidR="00152A3E">
        <w:t xml:space="preserve"> be first u</w:t>
      </w:r>
      <w:r w:rsidR="00755F50" w:rsidRPr="00755F50">
        <w:t>sed to cover the amount required to secure the leftover lots, and the remaining $50,000 will be used for the purposes of securing eligibility points.</w:t>
      </w:r>
    </w:p>
    <w:p w14:paraId="08463900" w14:textId="4384F533" w:rsidR="001F15BC" w:rsidRDefault="000E0ED7" w:rsidP="00332AD4">
      <w:pPr>
        <w:pStyle w:val="Paragraph"/>
        <w:ind w:right="992"/>
      </w:pPr>
      <w:r w:rsidRPr="00FA2BFA">
        <w:t>The election to acquire a leftover lot must be made before the eligibility deadline. It is a binding commitment that cannot be withdrawn or amended</w:t>
      </w:r>
      <w:r w:rsidR="003E1F96">
        <w:t xml:space="preserve"> (unless the ACMA varies the price of a leftover lot)</w:t>
      </w:r>
      <w:r w:rsidRPr="00FA2BFA">
        <w:t xml:space="preserve">. </w:t>
      </w:r>
      <w:r w:rsidR="003E1F96">
        <w:t>F</w:t>
      </w:r>
      <w:r w:rsidRPr="00FA2BFA">
        <w:t xml:space="preserve">ailure to make an eligibility payment </w:t>
      </w:r>
      <w:r w:rsidR="002150E8">
        <w:t>and/</w:t>
      </w:r>
      <w:r w:rsidRPr="00FA2BFA">
        <w:t xml:space="preserve">or provide a deed of financial security will not prevent the leftover lot recipient from being allocated its leftover lot. It may however affect an </w:t>
      </w:r>
      <w:r w:rsidR="00E94C1E" w:rsidRPr="00FA2BFA">
        <w:t>applicant’s</w:t>
      </w:r>
      <w:r w:rsidRPr="00FA2BFA">
        <w:t xml:space="preserve"> ability to bid in the auction</w:t>
      </w:r>
      <w:r w:rsidR="001E50E5">
        <w:t>, as discussed above</w:t>
      </w:r>
      <w:r w:rsidRPr="00FA2BFA" w:rsidDel="001E50E5">
        <w:t>.</w:t>
      </w:r>
      <w:r w:rsidRPr="00FA2BFA">
        <w:t xml:space="preserve"> </w:t>
      </w:r>
    </w:p>
    <w:p w14:paraId="5C0A96CA" w14:textId="5EBF861C" w:rsidR="000E0ED7" w:rsidRPr="003B6BE1" w:rsidRDefault="001F15BC" w:rsidP="00332AD4">
      <w:pPr>
        <w:pStyle w:val="Paragraph"/>
        <w:ind w:right="992"/>
      </w:pPr>
      <w:r w:rsidRPr="003B6BE1">
        <w:t xml:space="preserve">Leftover lots elected to be taken up by an eligible recipient before the eligibility deadline will be allocated to that eligible recipient </w:t>
      </w:r>
      <w:r w:rsidR="0020765A">
        <w:t xml:space="preserve">immediately </w:t>
      </w:r>
      <w:r w:rsidRPr="003B6BE1">
        <w:t>after the eligibility deadline</w:t>
      </w:r>
      <w:r w:rsidR="00D91963">
        <w:t xml:space="preserve"> (or the extended eligibility deadline, if there is one)</w:t>
      </w:r>
      <w:r w:rsidRPr="003B6BE1">
        <w:t xml:space="preserve">. </w:t>
      </w:r>
      <w:r w:rsidR="000E0ED7" w:rsidRPr="003B6BE1">
        <w:t>We will advise all bidders of the leftover lots that have been elected to be taken up</w:t>
      </w:r>
      <w:r w:rsidRPr="003B6BE1">
        <w:t xml:space="preserve"> </w:t>
      </w:r>
      <w:r w:rsidR="00935F7C">
        <w:t>after the eligibility deadline (or the extended eligibility deadline)</w:t>
      </w:r>
      <w:r w:rsidR="000E0ED7" w:rsidRPr="003B6BE1">
        <w:t>.</w:t>
      </w:r>
    </w:p>
    <w:p w14:paraId="7DD146CD" w14:textId="77777777" w:rsidR="0003560E" w:rsidRPr="007005AF" w:rsidRDefault="0003560E" w:rsidP="00D40740">
      <w:pPr>
        <w:pStyle w:val="Paragraphbeforelist"/>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rPr>
          <w:b/>
          <w:bCs/>
        </w:rPr>
      </w:pPr>
      <w:r w:rsidRPr="007005AF">
        <w:rPr>
          <w:b/>
          <w:bCs/>
        </w:rPr>
        <w:t>Application and registration process</w:t>
      </w:r>
    </w:p>
    <w:p w14:paraId="26E7B83D" w14:textId="36ED9E7A" w:rsidR="00935F7C" w:rsidRPr="00CB0613" w:rsidRDefault="00935F7C" w:rsidP="00D40740">
      <w:pPr>
        <w:pStyle w:val="Paragraphbeforelist"/>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t>We propose</w:t>
      </w:r>
      <w:r w:rsidRPr="00CB0613">
        <w:t xml:space="preserve"> to:</w:t>
      </w:r>
    </w:p>
    <w:p w14:paraId="2293D374" w14:textId="7488BF2E" w:rsidR="00935F7C" w:rsidRPr="00CB0613" w:rsidRDefault="00935F7C" w:rsidP="00D40740">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CB0613">
        <w:t>undertake a 2-stage application/eligibility nomination process covering participation in the 3.7</w:t>
      </w:r>
      <w:r w:rsidR="00035797">
        <w:t> </w:t>
      </w:r>
      <w:r w:rsidRPr="00CB0613">
        <w:t>GHz band allocation and the 3.4 GHz band allocation</w:t>
      </w:r>
    </w:p>
    <w:p w14:paraId="1C23D412" w14:textId="77777777" w:rsidR="00935F7C" w:rsidRPr="00CB0613" w:rsidRDefault="00935F7C" w:rsidP="00D40740">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CB0613">
        <w:t>enable the submission of application and eligibility nomination documents via an online interface</w:t>
      </w:r>
    </w:p>
    <w:p w14:paraId="258B8298" w14:textId="77777777" w:rsidR="00935F7C" w:rsidRPr="00CB0613" w:rsidRDefault="00935F7C" w:rsidP="00D40740">
      <w:pPr>
        <w:pStyle w:val="Bulletlevel1"/>
        <w:keepNext/>
        <w:keepLines/>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CB0613">
        <w:t>set the application fee for the auction at $10,000</w:t>
      </w:r>
    </w:p>
    <w:p w14:paraId="741DC2B4" w14:textId="5D54EC01" w:rsidR="00935F7C" w:rsidRPr="00CB0613" w:rsidRDefault="00935F7C" w:rsidP="00332AD4">
      <w:pPr>
        <w:pStyle w:val="Bulletlevel1"/>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CB0613">
        <w:t xml:space="preserve">require applicants to secure eligibility points that may be used for bidding in the 3.7 GHz band allocation and/or the 3.4 GHz band allocation by requiring an eligibility payment or deed of financial security </w:t>
      </w:r>
      <w:r w:rsidR="00D40740">
        <w:t xml:space="preserve">that </w:t>
      </w:r>
      <w:r w:rsidR="00684564">
        <w:t>secur</w:t>
      </w:r>
      <w:r w:rsidR="00D40740">
        <w:t>es</w:t>
      </w:r>
      <w:r w:rsidRPr="00CB0613">
        <w:t xml:space="preserve"> the value of the eligibility points requested</w:t>
      </w:r>
    </w:p>
    <w:p w14:paraId="34C36A27" w14:textId="77777777" w:rsidR="00935F7C" w:rsidRPr="00CB0613" w:rsidRDefault="00935F7C" w:rsidP="00332AD4">
      <w:pPr>
        <w:pStyle w:val="Bulletlevel1last"/>
        <w:pBdr>
          <w:top w:val="single" w:sz="4" w:space="1" w:color="auto"/>
          <w:left w:val="single" w:sz="4" w:space="1" w:color="auto"/>
          <w:bottom w:val="single" w:sz="4" w:space="1" w:color="auto"/>
          <w:right w:val="single" w:sz="4" w:space="1" w:color="auto"/>
        </w:pBdr>
        <w:shd w:val="clear" w:color="auto" w:fill="F2F2F2" w:themeFill="background1" w:themeFillShade="F2"/>
        <w:ind w:right="992"/>
      </w:pPr>
      <w:r w:rsidRPr="00CB0613">
        <w:t>require an eligibility payment or deed of financial security of 10% of the price of the leftover lot from eligible recipients who choose to take up a leftover lot.</w:t>
      </w:r>
    </w:p>
    <w:p w14:paraId="780E94EF" w14:textId="7A516039" w:rsidR="00B9576D" w:rsidRPr="00CB6584" w:rsidRDefault="00B9576D" w:rsidP="00332AD4">
      <w:pPr>
        <w:pStyle w:val="Heading2"/>
        <w:ind w:right="992"/>
      </w:pPr>
      <w:bookmarkStart w:id="43" w:name="_Toc126917773"/>
      <w:bookmarkEnd w:id="42"/>
      <w:r w:rsidRPr="00CB6584">
        <w:lastRenderedPageBreak/>
        <w:t xml:space="preserve">Lot ratings and </w:t>
      </w:r>
      <w:r w:rsidR="0007271E">
        <w:t xml:space="preserve">starting </w:t>
      </w:r>
      <w:r w:rsidRPr="00CB6584">
        <w:t>prices</w:t>
      </w:r>
      <w:bookmarkEnd w:id="41"/>
      <w:bookmarkEnd w:id="43"/>
    </w:p>
    <w:p w14:paraId="37990765" w14:textId="1B0E01FC" w:rsidR="0057745F" w:rsidRPr="00CB6584" w:rsidRDefault="0057745F" w:rsidP="00332AD4">
      <w:pPr>
        <w:keepNext/>
        <w:keepLines/>
        <w:ind w:right="992"/>
      </w:pPr>
      <w:r w:rsidRPr="00CB6584">
        <w:rPr>
          <w:rFonts w:cs="Arial"/>
        </w:rPr>
        <w:t>Under the terms of the draft allocation determination the ACMA must specify a lot rating and starting price for</w:t>
      </w:r>
      <w:r w:rsidR="000B7940">
        <w:rPr>
          <w:rFonts w:cs="Arial"/>
        </w:rPr>
        <w:t xml:space="preserve"> the lots of</w:t>
      </w:r>
      <w:r w:rsidRPr="00CB6584">
        <w:rPr>
          <w:rFonts w:cs="Arial"/>
        </w:rPr>
        <w:t xml:space="preserve"> each of the products </w:t>
      </w:r>
      <w:r w:rsidR="00B624C1">
        <w:rPr>
          <w:rFonts w:cs="Arial"/>
        </w:rPr>
        <w:t>available for bidding in the auction</w:t>
      </w:r>
      <w:r w:rsidRPr="00CB6584">
        <w:rPr>
          <w:rFonts w:cs="Arial"/>
        </w:rPr>
        <w:t>.</w:t>
      </w:r>
      <w:r w:rsidR="005C79C4">
        <w:rPr>
          <w:rStyle w:val="FootnoteReference"/>
          <w:rFonts w:cs="Arial"/>
        </w:rPr>
        <w:footnoteReference w:id="29"/>
      </w:r>
      <w:r w:rsidRPr="00CB6584">
        <w:rPr>
          <w:rFonts w:cs="Arial"/>
        </w:rPr>
        <w:t xml:space="preserve"> Lot ratings provide indications of the relative value of a product for the purpose of the auction. Geographic regions valued more highly are given a higher lot rating. </w:t>
      </w:r>
      <w:r w:rsidR="00D761D4" w:rsidRPr="00CB6584">
        <w:rPr>
          <w:rFonts w:cs="Arial"/>
        </w:rPr>
        <w:t>Lot ratings may also take into account licence term</w:t>
      </w:r>
      <w:r w:rsidR="00CB6584" w:rsidRPr="00CB6584">
        <w:rPr>
          <w:rFonts w:cs="Arial"/>
        </w:rPr>
        <w:t xml:space="preserve"> (i.e.</w:t>
      </w:r>
      <w:r w:rsidR="000346EC">
        <w:rPr>
          <w:rFonts w:cs="Arial"/>
        </w:rPr>
        <w:t>,</w:t>
      </w:r>
      <w:r w:rsidR="00CB6584" w:rsidRPr="00CB6584">
        <w:rPr>
          <w:rFonts w:cs="Arial"/>
        </w:rPr>
        <w:t xml:space="preserve"> the longer the licence term, the higher the lot rating)</w:t>
      </w:r>
      <w:r w:rsidRPr="00CB6584">
        <w:rPr>
          <w:rFonts w:cs="Arial"/>
        </w:rPr>
        <w:t xml:space="preserve">. </w:t>
      </w:r>
      <w:r w:rsidRPr="00CB6584">
        <w:t xml:space="preserve">Lot ratings are used to determine the total eligibility points available to bidders at the start of the auction. </w:t>
      </w:r>
    </w:p>
    <w:p w14:paraId="04BD8C2E" w14:textId="02135450" w:rsidR="0057745F" w:rsidRPr="00CB6584" w:rsidRDefault="0057745F" w:rsidP="00332AD4">
      <w:pPr>
        <w:keepNext/>
        <w:keepLines/>
        <w:ind w:right="992"/>
      </w:pPr>
      <w:r w:rsidRPr="00CB6584">
        <w:t xml:space="preserve">By the eligibility deadline, each bidder nominates the number of </w:t>
      </w:r>
      <w:r w:rsidR="00A90114" w:rsidRPr="00CB6584">
        <w:t>eligibility points it will need to facilitate bidding</w:t>
      </w:r>
      <w:r w:rsidRPr="00CB6584">
        <w:t xml:space="preserve"> in </w:t>
      </w:r>
      <w:r w:rsidR="00A90114" w:rsidRPr="00CB6584">
        <w:t>the 3.4/3.7 GHz bands auction</w:t>
      </w:r>
      <w:r w:rsidRPr="00CB6584">
        <w:t>. To calculate the eligibility points, the applicant multiplies the</w:t>
      </w:r>
      <w:r w:rsidR="00A90114" w:rsidRPr="00CB6584">
        <w:t xml:space="preserve"> </w:t>
      </w:r>
      <w:r w:rsidRPr="00CB6584">
        <w:t xml:space="preserve">number of lots in each product </w:t>
      </w:r>
      <w:r w:rsidR="00A90114" w:rsidRPr="00CB6584">
        <w:t xml:space="preserve">the bidder seeks to acquire </w:t>
      </w:r>
      <w:r w:rsidRPr="00CB6584">
        <w:t xml:space="preserve">by the specified lot rating. </w:t>
      </w:r>
    </w:p>
    <w:p w14:paraId="76B7760F" w14:textId="3F986017" w:rsidR="0057745F" w:rsidRPr="00CB6584" w:rsidRDefault="00631021" w:rsidP="00332AD4">
      <w:pPr>
        <w:ind w:right="992"/>
      </w:pPr>
      <w:r w:rsidRPr="00631021">
        <w:t>Lot ratings provide the basis for the activity rule that allow</w:t>
      </w:r>
      <w:r>
        <w:t>s</w:t>
      </w:r>
      <w:r w:rsidRPr="00631021">
        <w:t xml:space="preserve"> each bidder to bid flexibly on its most profitable package </w:t>
      </w:r>
      <w:r w:rsidR="008B1582">
        <w:t xml:space="preserve">of lots </w:t>
      </w:r>
      <w:r w:rsidRPr="00631021">
        <w:t xml:space="preserve">in each round, substituting between different lots where necessary. </w:t>
      </w:r>
      <w:r w:rsidR="00510D48">
        <w:t>As such, a</w:t>
      </w:r>
      <w:r w:rsidR="0057745F" w:rsidRPr="00CB6584">
        <w:t xml:space="preserve">ppropriate lot ratings facilitate price discovery in the auction. Lot ratings are typically aligned with the relative population </w:t>
      </w:r>
      <w:r w:rsidR="00BA4F79">
        <w:t xml:space="preserve">in the geographic area </w:t>
      </w:r>
      <w:r w:rsidR="0057745F" w:rsidRPr="00CB6584">
        <w:t xml:space="preserve">for different products. </w:t>
      </w:r>
    </w:p>
    <w:p w14:paraId="773903E0" w14:textId="52D73E77" w:rsidR="0057745F" w:rsidRDefault="0057745F" w:rsidP="00332AD4">
      <w:pPr>
        <w:ind w:right="992"/>
        <w:rPr>
          <w:rFonts w:cs="Arial"/>
        </w:rPr>
      </w:pPr>
      <w:r w:rsidRPr="00CB6584">
        <w:rPr>
          <w:rFonts w:cs="Arial"/>
        </w:rPr>
        <w:t xml:space="preserve">Starting prices are the initial prices for each lot in the first round of the auction. If demand exceeds supply for a </w:t>
      </w:r>
      <w:r w:rsidR="00CD3718">
        <w:rPr>
          <w:rFonts w:cs="Arial"/>
        </w:rPr>
        <w:t>product</w:t>
      </w:r>
      <w:r w:rsidRPr="00CB6584">
        <w:rPr>
          <w:rFonts w:cs="Arial"/>
        </w:rPr>
        <w:t xml:space="preserve">, the price for all lots </w:t>
      </w:r>
      <w:r w:rsidR="009F02F4">
        <w:rPr>
          <w:rFonts w:cs="Arial"/>
        </w:rPr>
        <w:t xml:space="preserve">of </w:t>
      </w:r>
      <w:r w:rsidRPr="00CB6584">
        <w:rPr>
          <w:rFonts w:cs="Arial"/>
        </w:rPr>
        <w:t>a product increases according to the clock price for that round.</w:t>
      </w:r>
    </w:p>
    <w:p w14:paraId="559819C4" w14:textId="0115223F" w:rsidR="00AA16F1" w:rsidRDefault="00AA16F1" w:rsidP="00332AD4">
      <w:pPr>
        <w:pStyle w:val="Paragraph"/>
        <w:ind w:right="992"/>
      </w:pPr>
      <w:r>
        <w:t>The</w:t>
      </w:r>
      <w:r w:rsidR="00D4026F">
        <w:t xml:space="preserve"> lot ratings,</w:t>
      </w:r>
      <w:r>
        <w:t xml:space="preserve"> starting prices for </w:t>
      </w:r>
      <w:r w:rsidR="005004ED">
        <w:t xml:space="preserve">lots of each product </w:t>
      </w:r>
      <w:r>
        <w:t>available for bidding in the auction and the set price of leftover lots will be released in the AIP.</w:t>
      </w:r>
    </w:p>
    <w:p w14:paraId="013137AE" w14:textId="25C67AB2" w:rsidR="00B31C16" w:rsidRDefault="00B31C16" w:rsidP="00332AD4">
      <w:pPr>
        <w:pStyle w:val="Heading3"/>
        <w:ind w:right="992"/>
      </w:pPr>
      <w:r w:rsidRPr="00354B3E">
        <w:t>Variation of prices</w:t>
      </w:r>
    </w:p>
    <w:p w14:paraId="4F42DC07" w14:textId="16782E3B" w:rsidR="00CF3F3A" w:rsidRDefault="00CF3F3A" w:rsidP="00332AD4">
      <w:pPr>
        <w:ind w:right="992"/>
      </w:pPr>
      <w:bookmarkStart w:id="44" w:name="_Hlk116561284"/>
      <w:r>
        <w:t>In the 26 GHz band auction and the 850/900 MHz band auction, we included the ability for the ACMA to change the starting prices after applications opened, but before the eligibility deadline. We propose to include the flexibility to vary starting prices in the 3.4/3.7 GHz band</w:t>
      </w:r>
      <w:r w:rsidR="00D55524">
        <w:t>s</w:t>
      </w:r>
      <w:r>
        <w:t xml:space="preserve"> auction as well. </w:t>
      </w:r>
    </w:p>
    <w:p w14:paraId="52FFD959" w14:textId="56DB60C4" w:rsidR="00CF3F3A" w:rsidRDefault="00CF3F3A" w:rsidP="00332AD4">
      <w:pPr>
        <w:ind w:right="992"/>
      </w:pPr>
      <w:r>
        <w:t xml:space="preserve">We expect a variation of starting prices would occur only in unusual circumstances, such as where a significant change occurs in the market after prices are set. </w:t>
      </w:r>
    </w:p>
    <w:p w14:paraId="06CFAFF1" w14:textId="5045F9AD" w:rsidR="00F266EF" w:rsidRDefault="00CF3F3A" w:rsidP="00332AD4">
      <w:pPr>
        <w:ind w:right="992"/>
      </w:pPr>
      <w:r>
        <w:t xml:space="preserve">If starting prices are changed, lot ratings may also be changed. Consequently, we would extend the application and eligibility deadlines, to give applicants the opportunity to </w:t>
      </w:r>
      <w:r w:rsidR="00D945A0">
        <w:t>vary</w:t>
      </w:r>
      <w:r>
        <w:t>, or withdraw their application without penalty</w:t>
      </w:r>
      <w:r w:rsidR="00D945A0">
        <w:t>, and for new applicants to apply to participate</w:t>
      </w:r>
      <w:r>
        <w:t>.</w:t>
      </w:r>
    </w:p>
    <w:p w14:paraId="5B8E66C7" w14:textId="4EC0A157" w:rsidR="00F266EF" w:rsidRPr="00F266EF" w:rsidRDefault="003C4679" w:rsidP="00332AD4">
      <w:pPr>
        <w:ind w:right="992"/>
      </w:pPr>
      <w:r>
        <w:t xml:space="preserve">We propose to also include in the allocation determination a </w:t>
      </w:r>
      <w:r w:rsidR="00C413B6">
        <w:t>power for the ACMA to vary</w:t>
      </w:r>
      <w:r w:rsidR="007C0B9D">
        <w:t xml:space="preserve"> the set price for leftover lots.</w:t>
      </w:r>
      <w:r w:rsidR="00B624C1">
        <w:t xml:space="preserve"> </w:t>
      </w:r>
      <w:r w:rsidR="00473E03" w:rsidRPr="00916AA4">
        <w:t xml:space="preserve">As for the change to starting prices, if the set price for a leftover lot is changed, we would extend the application and eligibility deadlines, to give applicants the opportunity to </w:t>
      </w:r>
      <w:r w:rsidR="00473E03">
        <w:t>withdraw an application or to submit an updated eligibility nomination form</w:t>
      </w:r>
      <w:r w:rsidR="00B624C1" w:rsidRPr="00B624C1">
        <w:t>.</w:t>
      </w:r>
      <w:r w:rsidR="00B624C1">
        <w:t xml:space="preserve"> </w:t>
      </w:r>
      <w:r w:rsidR="00E13931">
        <w:t>The ACMA may change starting prices and the set price of a leftover lot independent of each</w:t>
      </w:r>
      <w:r w:rsidR="003B5F26">
        <w:t xml:space="preserve"> </w:t>
      </w:r>
      <w:r w:rsidR="00E13931">
        <w:t>other.</w:t>
      </w:r>
    </w:p>
    <w:p w14:paraId="083C5DD3" w14:textId="44117288" w:rsidR="00E13931" w:rsidRPr="00E825A0" w:rsidRDefault="00E13931" w:rsidP="00100D82">
      <w:pPr>
        <w:pStyle w:val="Issueforcomment"/>
        <w:keepNext/>
        <w:keepLines/>
        <w:pBdr>
          <w:left w:val="single" w:sz="4" w:space="1" w:color="auto"/>
          <w:right w:val="single" w:sz="4" w:space="1" w:color="auto"/>
        </w:pBdr>
        <w:ind w:right="992"/>
      </w:pPr>
      <w:r>
        <w:lastRenderedPageBreak/>
        <w:t>Variation of prices</w:t>
      </w:r>
    </w:p>
    <w:p w14:paraId="6452F29E" w14:textId="0322CEC6" w:rsidR="00451F56" w:rsidRPr="00451F56" w:rsidRDefault="00451F56" w:rsidP="00100D82">
      <w:pPr>
        <w:pStyle w:val="Issueforcomment"/>
        <w:keepNext/>
        <w:keepLines/>
        <w:pBdr>
          <w:left w:val="single" w:sz="4" w:space="1" w:color="auto"/>
          <w:right w:val="single" w:sz="4" w:space="1" w:color="auto"/>
        </w:pBdr>
        <w:ind w:right="992"/>
        <w:rPr>
          <w:b w:val="0"/>
          <w:bCs w:val="0"/>
        </w:rPr>
      </w:pPr>
      <w:r w:rsidRPr="00451F56">
        <w:rPr>
          <w:b w:val="0"/>
          <w:bCs w:val="0"/>
        </w:rPr>
        <w:t>We propose to include in the allocation determination the power for the ACMA to vary starting prices</w:t>
      </w:r>
      <w:r>
        <w:rPr>
          <w:b w:val="0"/>
          <w:bCs w:val="0"/>
        </w:rPr>
        <w:t xml:space="preserve"> and/or the set price of leftover lots</w:t>
      </w:r>
      <w:r w:rsidRPr="00451F56">
        <w:rPr>
          <w:b w:val="0"/>
          <w:bCs w:val="0"/>
        </w:rPr>
        <w:t xml:space="preserve"> after applications open, but before the eligibility deadline. If the ACMA varied the starting prices</w:t>
      </w:r>
      <w:r>
        <w:rPr>
          <w:b w:val="0"/>
          <w:bCs w:val="0"/>
        </w:rPr>
        <w:t xml:space="preserve"> and/or the set price of leftover lots</w:t>
      </w:r>
      <w:r w:rsidRPr="00451F56">
        <w:rPr>
          <w:b w:val="0"/>
          <w:bCs w:val="0"/>
        </w:rPr>
        <w:t>, the application deadline and eligibility deadline would be extended.</w:t>
      </w:r>
    </w:p>
    <w:p w14:paraId="49071FBF" w14:textId="1898AED9" w:rsidR="009C45B1" w:rsidRDefault="009C45B1" w:rsidP="00100D82">
      <w:pPr>
        <w:pStyle w:val="Heading2"/>
        <w:ind w:right="992"/>
      </w:pPr>
      <w:bookmarkStart w:id="45" w:name="_Toc69301129"/>
      <w:bookmarkStart w:id="46" w:name="_Toc126917774"/>
      <w:bookmarkEnd w:id="44"/>
      <w:r>
        <w:t>Payment terms</w:t>
      </w:r>
      <w:bookmarkEnd w:id="45"/>
      <w:bookmarkEnd w:id="46"/>
    </w:p>
    <w:p w14:paraId="5FA4BC64" w14:textId="77777777" w:rsidR="00311745" w:rsidRDefault="00311745" w:rsidP="00100D82">
      <w:pPr>
        <w:pStyle w:val="Paragraph"/>
        <w:ind w:right="992"/>
      </w:pPr>
      <w:r w:rsidRPr="003414B5">
        <w:t xml:space="preserve">The draft allocation determination sets out financial obligations </w:t>
      </w:r>
      <w:r>
        <w:t>of winning</w:t>
      </w:r>
      <w:r w:rsidRPr="003414B5">
        <w:t xml:space="preserve"> bidders</w:t>
      </w:r>
      <w:r>
        <w:t xml:space="preserve"> to pay their winning price</w:t>
      </w:r>
      <w:r w:rsidRPr="003414B5">
        <w:t>. The draft allocation determination also includes procedure</w:t>
      </w:r>
      <w:r>
        <w:t>s</w:t>
      </w:r>
      <w:r w:rsidRPr="003414B5">
        <w:t xml:space="preserve"> for the ACMA</w:t>
      </w:r>
      <w:r>
        <w:t xml:space="preserve"> to refund</w:t>
      </w:r>
      <w:r w:rsidRPr="003414B5">
        <w:t xml:space="preserve"> eligibility payments</w:t>
      </w:r>
      <w:r>
        <w:t xml:space="preserve"> </w:t>
      </w:r>
      <w:r w:rsidRPr="003414B5">
        <w:t>to unsuccessful bidders</w:t>
      </w:r>
      <w:r>
        <w:t>, or a winning bidder whose eligibility payment exceeds its winning price.</w:t>
      </w:r>
    </w:p>
    <w:p w14:paraId="4DDC38DF" w14:textId="132DD395" w:rsidR="00311745" w:rsidRDefault="00DB2EC7" w:rsidP="00100D82">
      <w:pPr>
        <w:pStyle w:val="Paragraphbeforelist"/>
        <w:ind w:right="992"/>
      </w:pPr>
      <w:r>
        <w:t>For some previous auctions</w:t>
      </w:r>
      <w:r w:rsidR="00311745">
        <w:t xml:space="preserve">, the ACMA has </w:t>
      </w:r>
      <w:r>
        <w:t xml:space="preserve">set out </w:t>
      </w:r>
      <w:r w:rsidR="00311745">
        <w:t xml:space="preserve">the following </w:t>
      </w:r>
      <w:r w:rsidR="00F54B4C">
        <w:t xml:space="preserve">2 </w:t>
      </w:r>
      <w:r w:rsidR="00311745">
        <w:t xml:space="preserve">methods of payment of </w:t>
      </w:r>
      <w:r w:rsidR="000450BA">
        <w:t>the winning price</w:t>
      </w:r>
      <w:r w:rsidR="00311745">
        <w:t>:</w:t>
      </w:r>
    </w:p>
    <w:p w14:paraId="147E961C" w14:textId="77777777" w:rsidR="00311745" w:rsidRDefault="73A19C75" w:rsidP="00100D82">
      <w:pPr>
        <w:pStyle w:val="Bulletlevel1"/>
        <w:ind w:right="992"/>
      </w:pPr>
      <w:r>
        <w:t>upfront payment, where the entire winning price must be paid before licence issue</w:t>
      </w:r>
    </w:p>
    <w:p w14:paraId="57517481" w14:textId="77777777" w:rsidR="00311745" w:rsidRDefault="73A19C75" w:rsidP="00100D82">
      <w:pPr>
        <w:pStyle w:val="Bulletlevel1last"/>
        <w:ind w:right="992"/>
      </w:pPr>
      <w:r>
        <w:t>payment by instalments, where only the first of several instalments must be paid before licence issue.</w:t>
      </w:r>
    </w:p>
    <w:p w14:paraId="5D557862" w14:textId="6D9F2BFB" w:rsidR="00F968E0" w:rsidRPr="00F968E0" w:rsidRDefault="00F968E0" w:rsidP="00100D82">
      <w:pPr>
        <w:pStyle w:val="Paragraph"/>
        <w:ind w:right="992"/>
      </w:pPr>
      <w:r w:rsidRPr="00F968E0">
        <w:t xml:space="preserve">Consistent with the recommendations of the Spectrum Pricing Review, the ACMA has typically favoured upfront payments of winning </w:t>
      </w:r>
      <w:r w:rsidR="00DC1D0A">
        <w:t>prices</w:t>
      </w:r>
      <w:r w:rsidRPr="00F968E0">
        <w:t xml:space="preserve">. In the 26 GHz auction, the </w:t>
      </w:r>
      <w:r w:rsidR="00A70562">
        <w:t>m</w:t>
      </w:r>
      <w:r w:rsidRPr="00F968E0">
        <w:t xml:space="preserve">inister directed the ACMA to provide winning bidders with the election of paying upfront or by instalments. </w:t>
      </w:r>
      <w:r w:rsidR="00A70562">
        <w:t>An u</w:t>
      </w:r>
      <w:r w:rsidRPr="00F968E0">
        <w:t xml:space="preserve">pfront payment </w:t>
      </w:r>
      <w:r w:rsidR="00A70562">
        <w:t>was</w:t>
      </w:r>
      <w:r w:rsidRPr="00F968E0">
        <w:t xml:space="preserve"> required for the winning </w:t>
      </w:r>
      <w:r w:rsidR="00074A13">
        <w:t>price</w:t>
      </w:r>
      <w:r w:rsidR="00074A13" w:rsidRPr="00F968E0">
        <w:t xml:space="preserve"> </w:t>
      </w:r>
      <w:r w:rsidRPr="00F968E0">
        <w:t>from the 850/900 MHz band auction</w:t>
      </w:r>
      <w:r w:rsidR="00BC45FC">
        <w:t>, however,</w:t>
      </w:r>
      <w:r w:rsidRPr="00F968E0">
        <w:t xml:space="preserve"> </w:t>
      </w:r>
      <w:r w:rsidR="00555E5E">
        <w:t>the time for such payments is</w:t>
      </w:r>
      <w:r w:rsidR="00555E5E" w:rsidRPr="00F968E0">
        <w:t xml:space="preserve"> </w:t>
      </w:r>
      <w:r w:rsidRPr="00F968E0">
        <w:t xml:space="preserve">not until closer to the commencement of the spectrum licences in July 2024. </w:t>
      </w:r>
    </w:p>
    <w:p w14:paraId="058BB02D" w14:textId="62437F13" w:rsidR="00D3661D" w:rsidRDefault="0048263D" w:rsidP="00100D82">
      <w:pPr>
        <w:pStyle w:val="Paragraph"/>
        <w:ind w:right="992"/>
      </w:pPr>
      <w:r>
        <w:t xml:space="preserve">For the </w:t>
      </w:r>
      <w:r w:rsidR="00404699">
        <w:t xml:space="preserve">3.4/3.7 GHz bands auction, </w:t>
      </w:r>
      <w:r w:rsidR="004E6AE0">
        <w:t>we propose</w:t>
      </w:r>
      <w:r w:rsidR="00361482">
        <w:t xml:space="preserve"> to require upfront payment </w:t>
      </w:r>
      <w:r w:rsidR="00BC45FC">
        <w:t>of the winning price</w:t>
      </w:r>
      <w:r w:rsidR="00095959">
        <w:t xml:space="preserve"> from each bidder</w:t>
      </w:r>
      <w:r w:rsidR="00171AF1">
        <w:t>, shortly after the end of the 3.4 GHz band allocation</w:t>
      </w:r>
      <w:r w:rsidR="00BC45FC">
        <w:t xml:space="preserve">. </w:t>
      </w:r>
    </w:p>
    <w:p w14:paraId="0924A2E6" w14:textId="77777777" w:rsidR="00587ED8" w:rsidRDefault="00587ED8" w:rsidP="00100D82">
      <w:pPr>
        <w:pStyle w:val="Issueforcomment"/>
        <w:pBdr>
          <w:left w:val="single" w:sz="4" w:space="1" w:color="auto"/>
          <w:right w:val="single" w:sz="4" w:space="1" w:color="auto"/>
        </w:pBdr>
        <w:ind w:right="992"/>
      </w:pPr>
      <w:r>
        <w:t>Payment terms</w:t>
      </w:r>
    </w:p>
    <w:p w14:paraId="470E8023" w14:textId="4DC3DA4F" w:rsidR="002C65F9" w:rsidRPr="00587ED8" w:rsidRDefault="00587ED8" w:rsidP="00100D82">
      <w:pPr>
        <w:pStyle w:val="Issueforcomment"/>
        <w:pBdr>
          <w:left w:val="single" w:sz="4" w:space="1" w:color="auto"/>
          <w:right w:val="single" w:sz="4" w:space="1" w:color="auto"/>
        </w:pBdr>
        <w:ind w:right="992"/>
        <w:rPr>
          <w:b w:val="0"/>
        </w:rPr>
      </w:pPr>
      <w:r w:rsidRPr="00587ED8">
        <w:rPr>
          <w:b w:val="0"/>
          <w:bCs w:val="0"/>
        </w:rPr>
        <w:t>We propose to use the upfront payment arrangement for payment of winning prices shortly before licence</w:t>
      </w:r>
      <w:r w:rsidR="00D626A1">
        <w:rPr>
          <w:b w:val="0"/>
          <w:bCs w:val="0"/>
        </w:rPr>
        <w:t xml:space="preserve"> issue and</w:t>
      </w:r>
      <w:r w:rsidRPr="00587ED8">
        <w:rPr>
          <w:b w:val="0"/>
          <w:bCs w:val="0"/>
        </w:rPr>
        <w:t xml:space="preserve"> commencement. </w:t>
      </w:r>
    </w:p>
    <w:p w14:paraId="5BA9AEA6" w14:textId="77777777" w:rsidR="000346EC" w:rsidRDefault="000346EC" w:rsidP="00ED0840">
      <w:pPr>
        <w:pStyle w:val="Paragraph"/>
      </w:pPr>
    </w:p>
    <w:p w14:paraId="1E243E66" w14:textId="18F72095" w:rsidR="00D3661D" w:rsidRDefault="00D3661D" w:rsidP="00100D82">
      <w:pPr>
        <w:pStyle w:val="Heading3"/>
        <w:ind w:right="992"/>
      </w:pPr>
      <w:r>
        <w:t>Unsuccessful bidders</w:t>
      </w:r>
    </w:p>
    <w:p w14:paraId="1E122FD2" w14:textId="1F6BDD3E" w:rsidR="00F95402" w:rsidRDefault="009A6D1F" w:rsidP="00100D82">
      <w:pPr>
        <w:pStyle w:val="Paragraph"/>
        <w:ind w:right="992"/>
      </w:pPr>
      <w:r>
        <w:t xml:space="preserve">In previous auctions, the ACMA has returned eligibility payments or cancelled deeds of financial security </w:t>
      </w:r>
      <w:r w:rsidR="00D91776">
        <w:t>as soon as possible after the auction. For the 3.4/3.7 GHz auction, we intend to</w:t>
      </w:r>
      <w:r w:rsidR="00A8699B">
        <w:t xml:space="preserve"> </w:t>
      </w:r>
      <w:r w:rsidR="009F5843">
        <w:t xml:space="preserve">return </w:t>
      </w:r>
      <w:r w:rsidR="00B44698">
        <w:t xml:space="preserve">eligibility payments </w:t>
      </w:r>
      <w:r w:rsidR="007B283A">
        <w:t xml:space="preserve">or cancel deed of financial security closer to the </w:t>
      </w:r>
      <w:r w:rsidR="0092244C">
        <w:t xml:space="preserve">6-month </w:t>
      </w:r>
      <w:r w:rsidR="00444742">
        <w:t xml:space="preserve">deadline </w:t>
      </w:r>
      <w:r w:rsidR="003779D5">
        <w:t xml:space="preserve">specified in the draft allocation determination </w:t>
      </w:r>
      <w:r w:rsidR="00444742">
        <w:t xml:space="preserve">to allow </w:t>
      </w:r>
      <w:r w:rsidR="00F60FBE">
        <w:t>time to resolve any complaints</w:t>
      </w:r>
      <w:r w:rsidR="0006048E">
        <w:t xml:space="preserve"> or issues </w:t>
      </w:r>
      <w:r w:rsidR="00E22A84">
        <w:t>related to potential breaches of auction rules.</w:t>
      </w:r>
    </w:p>
    <w:p w14:paraId="5E1A916B" w14:textId="455D4ED9" w:rsidR="00F95402" w:rsidRPr="00810AEB" w:rsidRDefault="00F95402" w:rsidP="00100D82">
      <w:pPr>
        <w:pStyle w:val="Heading3"/>
        <w:ind w:right="992"/>
      </w:pPr>
      <w:r w:rsidRPr="00810AEB">
        <w:t>Chan</w:t>
      </w:r>
      <w:r w:rsidRPr="00376042">
        <w:t>ges to the Radiocommunications (Spectrum Licence Tax) Determination 2021</w:t>
      </w:r>
      <w:r w:rsidR="00436AED">
        <w:t xml:space="preserve"> (SLT Determination)</w:t>
      </w:r>
    </w:p>
    <w:p w14:paraId="3C499ED9" w14:textId="658DB3A9" w:rsidR="00F95402" w:rsidRDefault="009B75EA" w:rsidP="00100D82">
      <w:pPr>
        <w:pStyle w:val="Paragraph"/>
        <w:ind w:right="992"/>
      </w:pPr>
      <w:r>
        <w:t xml:space="preserve">We </w:t>
      </w:r>
      <w:r w:rsidRPr="009B75EA">
        <w:t>propos</w:t>
      </w:r>
      <w:r>
        <w:t xml:space="preserve">e to make </w:t>
      </w:r>
      <w:r w:rsidRPr="009B75EA">
        <w:t>amendments to the SLT Determination to include the 3.7</w:t>
      </w:r>
      <w:r w:rsidR="006D2271">
        <w:t> </w:t>
      </w:r>
      <w:r w:rsidRPr="009B75EA">
        <w:t>GHz band so that spectrum licence tax can be imposed on the spectrum licences won in the 3.</w:t>
      </w:r>
      <w:r w:rsidR="006D2271">
        <w:t>7</w:t>
      </w:r>
      <w:r w:rsidRPr="009B75EA">
        <w:t xml:space="preserve"> GHz band </w:t>
      </w:r>
      <w:r w:rsidR="006D2271">
        <w:t>at</w:t>
      </w:r>
      <w:r w:rsidRPr="009B75EA">
        <w:t xml:space="preserve"> auction. </w:t>
      </w:r>
      <w:r w:rsidR="00EF31BF">
        <w:t xml:space="preserve">Spectrum licence tax will also be payable on </w:t>
      </w:r>
      <w:r w:rsidR="008A0DEB">
        <w:t xml:space="preserve">licences issued for 3.4 GHz band spectrum and for </w:t>
      </w:r>
      <w:r w:rsidR="00EF31BF">
        <w:t xml:space="preserve">any leftover lots allocated in the </w:t>
      </w:r>
      <w:r w:rsidR="000346EC">
        <w:br/>
      </w:r>
      <w:r w:rsidR="00EF31BF">
        <w:t>3.4/3.7 GHz bands auction.</w:t>
      </w:r>
    </w:p>
    <w:p w14:paraId="1B978AA9" w14:textId="7F1FCD98" w:rsidR="009B75EA" w:rsidRDefault="00C854E9" w:rsidP="00100D82">
      <w:pPr>
        <w:pStyle w:val="Paragraphbeforelist"/>
        <w:ind w:right="992"/>
      </w:pPr>
      <w:r>
        <w:t xml:space="preserve">The proposed changes </w:t>
      </w:r>
      <w:r w:rsidR="002F2E3E">
        <w:t>are</w:t>
      </w:r>
      <w:r w:rsidR="002745E8">
        <w:t xml:space="preserve"> to item 9 of clause 2 of Schedule 1</w:t>
      </w:r>
      <w:r>
        <w:t>:</w:t>
      </w:r>
    </w:p>
    <w:p w14:paraId="1E83ED0C" w14:textId="048F8E97" w:rsidR="002745E8" w:rsidRDefault="51A70DF5" w:rsidP="00100D82">
      <w:pPr>
        <w:pStyle w:val="Bulletlevel1"/>
        <w:ind w:right="992"/>
      </w:pPr>
      <w:r>
        <w:t>amend the</w:t>
      </w:r>
      <w:r w:rsidR="4CBA3E0A">
        <w:t xml:space="preserve"> frequency range fr</w:t>
      </w:r>
      <w:r>
        <w:t>o</w:t>
      </w:r>
      <w:r w:rsidR="4CBA3E0A">
        <w:t>m 3400</w:t>
      </w:r>
      <w:r w:rsidR="004F02C3">
        <w:t>–</w:t>
      </w:r>
      <w:r w:rsidR="4CBA3E0A">
        <w:t>3700 MHz</w:t>
      </w:r>
      <w:r>
        <w:t xml:space="preserve"> to</w:t>
      </w:r>
      <w:r w:rsidR="4CBA3E0A">
        <w:t xml:space="preserve"> 34</w:t>
      </w:r>
      <w:r w:rsidR="639B7A21">
        <w:t>00</w:t>
      </w:r>
      <w:r w:rsidR="004F02C3">
        <w:t>–</w:t>
      </w:r>
      <w:r w:rsidR="639B7A21">
        <w:t>3800</w:t>
      </w:r>
      <w:r>
        <w:t> </w:t>
      </w:r>
      <w:r w:rsidR="639B7A21">
        <w:t>MHz</w:t>
      </w:r>
      <w:r>
        <w:t>.</w:t>
      </w:r>
    </w:p>
    <w:p w14:paraId="5AE792D9" w14:textId="6E7B346A" w:rsidR="005E00B2" w:rsidRDefault="2ECAA731" w:rsidP="00100D82">
      <w:pPr>
        <w:pStyle w:val="Bulletlevel1last"/>
        <w:ind w:right="992"/>
      </w:pPr>
      <w:r>
        <w:t>chang</w:t>
      </w:r>
      <w:r w:rsidR="51A70DF5">
        <w:t>e</w:t>
      </w:r>
      <w:r>
        <w:t xml:space="preserve"> the base amount</w:t>
      </w:r>
      <w:r w:rsidR="5769DABA">
        <w:t xml:space="preserve"> from $166,032</w:t>
      </w:r>
      <w:r>
        <w:t xml:space="preserve"> to </w:t>
      </w:r>
      <w:r w:rsidR="3A8E43C7">
        <w:t>$</w:t>
      </w:r>
      <w:r w:rsidR="0AE8F45F">
        <w:t>221,376 to reflect the change in the frequency range</w:t>
      </w:r>
      <w:r w:rsidR="3D960ABE">
        <w:t>.</w:t>
      </w:r>
      <w:r w:rsidR="1FD6F0A4">
        <w:t xml:space="preserve"> </w:t>
      </w:r>
    </w:p>
    <w:p w14:paraId="0F22E563" w14:textId="55AC9982" w:rsidR="007370D3" w:rsidRDefault="00077BEB" w:rsidP="00100D82">
      <w:pPr>
        <w:pStyle w:val="Paragraph"/>
        <w:ind w:right="992"/>
      </w:pPr>
      <w:r>
        <w:lastRenderedPageBreak/>
        <w:t xml:space="preserve">The increase in the </w:t>
      </w:r>
      <w:r w:rsidR="00FB61E0">
        <w:t>b</w:t>
      </w:r>
      <w:r>
        <w:t>ase amount</w:t>
      </w:r>
      <w:r w:rsidR="001E5839">
        <w:t xml:space="preserve"> </w:t>
      </w:r>
      <w:r w:rsidR="00C34B20">
        <w:t xml:space="preserve">is to ensure that </w:t>
      </w:r>
      <w:r w:rsidR="005A11D1">
        <w:t>the winners</w:t>
      </w:r>
      <w:r w:rsidR="00242BA1">
        <w:t xml:space="preserve"> of spectrum in the 3700</w:t>
      </w:r>
      <w:r w:rsidR="004F02C3">
        <w:t>–</w:t>
      </w:r>
      <w:r w:rsidR="00242BA1">
        <w:t>3800</w:t>
      </w:r>
      <w:r w:rsidR="0003560E">
        <w:t xml:space="preserve"> MHz </w:t>
      </w:r>
      <w:r w:rsidR="00150F83">
        <w:t xml:space="preserve">frequency range </w:t>
      </w:r>
      <w:r w:rsidR="00242BA1">
        <w:t>pay the equivalent spectrum licence</w:t>
      </w:r>
      <w:r w:rsidR="00196AC7">
        <w:t xml:space="preserve"> tax as those</w:t>
      </w:r>
      <w:r w:rsidR="00DE3306">
        <w:t xml:space="preserve"> with spectrum licences in the 3400</w:t>
      </w:r>
      <w:r w:rsidR="004F02C3">
        <w:t>–</w:t>
      </w:r>
      <w:r w:rsidR="00DE3306">
        <w:t>3700</w:t>
      </w:r>
      <w:r w:rsidR="00842D8F">
        <w:t xml:space="preserve"> </w:t>
      </w:r>
      <w:r w:rsidR="0003560E">
        <w:t xml:space="preserve">MHz </w:t>
      </w:r>
      <w:r w:rsidR="00842D8F">
        <w:t xml:space="preserve">frequency range. </w:t>
      </w:r>
      <w:r w:rsidR="0017407D">
        <w:t xml:space="preserve">The change in the base amount </w:t>
      </w:r>
      <w:r w:rsidR="001E5839">
        <w:t>will</w:t>
      </w:r>
      <w:r w:rsidR="00CB34E7">
        <w:t xml:space="preserve"> no</w:t>
      </w:r>
      <w:r w:rsidR="00D23BDC">
        <w:t>t</w:t>
      </w:r>
      <w:r w:rsidR="00855AF1">
        <w:t xml:space="preserve"> increase</w:t>
      </w:r>
      <w:r w:rsidR="000A3889">
        <w:t xml:space="preserve"> the spectrum licence taxes for </w:t>
      </w:r>
      <w:r w:rsidR="004B682A">
        <w:t>existing spectrum licen</w:t>
      </w:r>
      <w:r w:rsidR="00050526">
        <w:t>c</w:t>
      </w:r>
      <w:r w:rsidR="004B682A">
        <w:t xml:space="preserve">es in the </w:t>
      </w:r>
      <w:r w:rsidR="00235CBF">
        <w:t xml:space="preserve">3400–3700 MHz </w:t>
      </w:r>
      <w:r w:rsidR="009229B2">
        <w:t>frequency range</w:t>
      </w:r>
      <w:r w:rsidR="00F741AC">
        <w:t>.</w:t>
      </w:r>
      <w:r w:rsidR="00461F1A">
        <w:t xml:space="preserve"> </w:t>
      </w:r>
    </w:p>
    <w:p w14:paraId="5B2259B1" w14:textId="64F2F05C" w:rsidR="00B94E59" w:rsidRPr="002B49A5" w:rsidRDefault="00B94E59" w:rsidP="00100D82">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ind w:right="992"/>
        <w:rPr>
          <w:b/>
        </w:rPr>
      </w:pPr>
      <w:r w:rsidRPr="002B49A5">
        <w:rPr>
          <w:b/>
        </w:rPr>
        <w:t xml:space="preserve">Changes to the </w:t>
      </w:r>
      <w:r w:rsidRPr="00810AEB">
        <w:rPr>
          <w:b/>
          <w:iCs/>
        </w:rPr>
        <w:t xml:space="preserve">Radiocommunications (Spectrum Licence Tax) </w:t>
      </w:r>
      <w:r w:rsidR="000346EC">
        <w:rPr>
          <w:b/>
          <w:iCs/>
        </w:rPr>
        <w:br/>
      </w:r>
      <w:r w:rsidRPr="00810AEB">
        <w:rPr>
          <w:b/>
          <w:iCs/>
        </w:rPr>
        <w:t>Determination 2021</w:t>
      </w:r>
    </w:p>
    <w:p w14:paraId="4BC1C84C" w14:textId="09225427" w:rsidR="002B49A5" w:rsidRDefault="002B49A5" w:rsidP="00100D82">
      <w:pPr>
        <w:pStyle w:val="Paragraphbeforelist"/>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We propose to make the following amendments to item 9 of clause 2 of Schedule 1:</w:t>
      </w:r>
    </w:p>
    <w:p w14:paraId="75768EE8" w14:textId="5F21E501" w:rsidR="00B94E59" w:rsidRDefault="0B70B54C" w:rsidP="00100D82">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change</w:t>
      </w:r>
      <w:r w:rsidR="641085ED">
        <w:t xml:space="preserve"> the frequency range from 3400</w:t>
      </w:r>
      <w:r w:rsidR="004F02C3">
        <w:t>–</w:t>
      </w:r>
      <w:r w:rsidR="641085ED">
        <w:t>3700 MHz to 3400</w:t>
      </w:r>
      <w:r w:rsidR="004F02C3">
        <w:t>–</w:t>
      </w:r>
      <w:r w:rsidR="641085ED">
        <w:t>3800 MHz</w:t>
      </w:r>
    </w:p>
    <w:p w14:paraId="47DBC52D" w14:textId="39B392C8" w:rsidR="00B94E59" w:rsidRDefault="641085ED" w:rsidP="00100D82">
      <w:pPr>
        <w:pStyle w:val="Paragraphbeforelist"/>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t>change the base amount from $166,032 to $</w:t>
      </w:r>
      <w:r w:rsidR="4579ADC4">
        <w:t>221,376</w:t>
      </w:r>
      <w:r>
        <w:t xml:space="preserve"> to reflect </w:t>
      </w:r>
      <w:r w:rsidR="4579ADC4">
        <w:t xml:space="preserve">the </w:t>
      </w:r>
      <w:r w:rsidR="11104DE0">
        <w:t>change in the frequency range</w:t>
      </w:r>
      <w:r>
        <w:t>.</w:t>
      </w:r>
    </w:p>
    <w:p w14:paraId="25AB97D1" w14:textId="010E6363" w:rsidR="001113A5" w:rsidRDefault="001113A5" w:rsidP="00100D82">
      <w:pPr>
        <w:pStyle w:val="Heading2"/>
        <w:ind w:right="992"/>
      </w:pPr>
      <w:bookmarkStart w:id="47" w:name="_Toc126917775"/>
      <w:r>
        <w:t>Unsold lots</w:t>
      </w:r>
      <w:bookmarkEnd w:id="47"/>
    </w:p>
    <w:p w14:paraId="27F55943" w14:textId="00559389" w:rsidR="001113A5" w:rsidRPr="00AD4A1B" w:rsidRDefault="00AE1632" w:rsidP="00100D82">
      <w:pPr>
        <w:pStyle w:val="Paragraph"/>
        <w:ind w:right="992"/>
      </w:pPr>
      <w:r w:rsidRPr="00AD4A1B">
        <w:t xml:space="preserve">Any parts of the spectrum which are offered in this allocation, either via auction or for a pre-determined price, but not allocated, may </w:t>
      </w:r>
      <w:r w:rsidR="00AD4A1B" w:rsidRPr="00AD4A1B">
        <w:t xml:space="preserve">or may not </w:t>
      </w:r>
      <w:r w:rsidRPr="00AD4A1B">
        <w:t xml:space="preserve">be </w:t>
      </w:r>
      <w:r w:rsidR="002205CB">
        <w:t>offered for allocation</w:t>
      </w:r>
      <w:r w:rsidRPr="00AD4A1B">
        <w:t xml:space="preserve"> at a later stage</w:t>
      </w:r>
      <w:r w:rsidR="00AD4A1B" w:rsidRPr="00AD4A1B">
        <w:t xml:space="preserve">. If the ACMA decides to </w:t>
      </w:r>
      <w:r w:rsidR="00D7162D">
        <w:t xml:space="preserve">allocate any spectrum which is not allocated in the current process, the </w:t>
      </w:r>
      <w:r w:rsidR="00A8052F">
        <w:t>ACMA will determine procedures for that process.</w:t>
      </w:r>
    </w:p>
    <w:p w14:paraId="7BC1A17D" w14:textId="77777777" w:rsidR="001113A5" w:rsidRDefault="001113A5" w:rsidP="00100D82">
      <w:pPr>
        <w:pStyle w:val="Paragraph"/>
        <w:ind w:right="992"/>
      </w:pPr>
    </w:p>
    <w:p w14:paraId="68EB5529" w14:textId="4361031F" w:rsidR="00D161B9" w:rsidRPr="002745E8" w:rsidRDefault="00D161B9" w:rsidP="00100D82">
      <w:pPr>
        <w:pStyle w:val="Paragraph"/>
        <w:ind w:right="992"/>
      </w:pPr>
      <w:r>
        <w:br w:type="page"/>
      </w:r>
    </w:p>
    <w:p w14:paraId="52A83BD0" w14:textId="483ADA57" w:rsidR="005E250B" w:rsidRDefault="00F311ED" w:rsidP="00100D82">
      <w:pPr>
        <w:pStyle w:val="Heading1"/>
        <w:ind w:right="992"/>
      </w:pPr>
      <w:bookmarkStart w:id="48" w:name="_Toc126917776"/>
      <w:r w:rsidRPr="00FE1084">
        <w:lastRenderedPageBreak/>
        <w:t>Dr</w:t>
      </w:r>
      <w:r w:rsidRPr="00B24A15">
        <w:t xml:space="preserve">aft </w:t>
      </w:r>
      <w:r w:rsidR="005347BD">
        <w:t>t</w:t>
      </w:r>
      <w:r w:rsidRPr="00B24A15">
        <w:t xml:space="preserve">echnical </w:t>
      </w:r>
      <w:r w:rsidR="005347BD">
        <w:t>f</w:t>
      </w:r>
      <w:r w:rsidR="00ED6CE7" w:rsidRPr="00C204AE">
        <w:t>ramewo</w:t>
      </w:r>
      <w:r w:rsidR="006F6968" w:rsidRPr="00C204AE">
        <w:t>rk</w:t>
      </w:r>
      <w:bookmarkEnd w:id="48"/>
    </w:p>
    <w:p w14:paraId="7FC19F72" w14:textId="77777777" w:rsidR="008D4E19" w:rsidRDefault="008D4E19" w:rsidP="00100D82">
      <w:pPr>
        <w:pStyle w:val="Heading2"/>
        <w:ind w:right="992"/>
        <w:rPr>
          <w:rStyle w:val="normaltextrun"/>
          <w:rFonts w:cs="Times New Roman"/>
          <w:b w:val="0"/>
          <w:bCs w:val="0"/>
          <w:iCs w:val="0"/>
          <w:color w:val="323232"/>
          <w:kern w:val="32"/>
          <w:sz w:val="53"/>
          <w:szCs w:val="20"/>
        </w:rPr>
      </w:pPr>
      <w:bookmarkStart w:id="49" w:name="_Toc126917777"/>
      <w:r>
        <w:rPr>
          <w:rStyle w:val="normaltextrun"/>
          <w:szCs w:val="20"/>
        </w:rPr>
        <w:t>Elements of a spectrum licensing technical framework</w:t>
      </w:r>
      <w:bookmarkEnd w:id="49"/>
    </w:p>
    <w:p w14:paraId="420ED6E5" w14:textId="2F8E92A6" w:rsidR="008D4E19" w:rsidRPr="00C347C1" w:rsidRDefault="008D4E19" w:rsidP="00100D82">
      <w:pPr>
        <w:spacing w:after="80"/>
        <w:ind w:right="992"/>
      </w:pPr>
      <w:r w:rsidRPr="00C347C1">
        <w:t>A spectrum licen</w:t>
      </w:r>
      <w:r w:rsidR="00497BFF">
        <w:t>sing</w:t>
      </w:r>
      <w:r w:rsidRPr="00C347C1">
        <w:t xml:space="preserve"> technical framework consists of </w:t>
      </w:r>
      <w:r w:rsidR="00F54B4C">
        <w:t>3</w:t>
      </w:r>
      <w:r w:rsidR="00F54B4C" w:rsidRPr="00C347C1">
        <w:t xml:space="preserve"> </w:t>
      </w:r>
      <w:r w:rsidRPr="00C347C1">
        <w:t xml:space="preserve">interlocking regulatory elements under the </w:t>
      </w:r>
      <w:r w:rsidR="005C5DF7">
        <w:rPr>
          <w:iCs/>
        </w:rPr>
        <w:t>Act</w:t>
      </w:r>
      <w:r w:rsidRPr="00C347C1">
        <w:t>:</w:t>
      </w:r>
    </w:p>
    <w:p w14:paraId="4E56F11F" w14:textId="00C5286C" w:rsidR="008D4E19" w:rsidRPr="00C347C1" w:rsidRDefault="008D4E19" w:rsidP="00100D82">
      <w:pPr>
        <w:pStyle w:val="ListParagraph"/>
        <w:numPr>
          <w:ilvl w:val="0"/>
          <w:numId w:val="108"/>
        </w:numPr>
        <w:spacing w:after="80"/>
        <w:ind w:left="357" w:right="992" w:hanging="357"/>
        <w:contextualSpacing w:val="0"/>
      </w:pPr>
      <w:r w:rsidRPr="00C347C1">
        <w:t xml:space="preserve">The conditions specified </w:t>
      </w:r>
      <w:r w:rsidR="006647AF">
        <w:t>i</w:t>
      </w:r>
      <w:r w:rsidRPr="00C347C1">
        <w:t>n the spectrum licence: in particular, the core conditions that define the spectrum space (both frequency and geographic area) and the level of emissions permitted inside and across the frequency boundaries of the licence (section 66). Section 71 also provides for the ACMA to apply other conditions in a spectrum licence.</w:t>
      </w:r>
    </w:p>
    <w:p w14:paraId="786D1B9C" w14:textId="7C8EEA24" w:rsidR="008D4E19" w:rsidRPr="00C347C1" w:rsidRDefault="008D4E19" w:rsidP="00100D82">
      <w:pPr>
        <w:pStyle w:val="ListParagraph"/>
        <w:numPr>
          <w:ilvl w:val="0"/>
          <w:numId w:val="108"/>
        </w:numPr>
        <w:spacing w:after="80"/>
        <w:ind w:left="357" w:right="992" w:hanging="357"/>
        <w:contextualSpacing w:val="0"/>
      </w:pPr>
      <w:r w:rsidRPr="00C347C1">
        <w:t>A determination of unacceptable</w:t>
      </w:r>
      <w:r w:rsidR="00507521">
        <w:t xml:space="preserve"> levels of</w:t>
      </w:r>
      <w:r w:rsidRPr="00C347C1">
        <w:t xml:space="preserve"> interference for the purpose of device registration in each band (section 145). </w:t>
      </w:r>
    </w:p>
    <w:p w14:paraId="0CC9185A" w14:textId="3A654FAE" w:rsidR="008D4E19" w:rsidRDefault="008D4E19" w:rsidP="00100D82">
      <w:pPr>
        <w:pStyle w:val="ListParagraph"/>
        <w:numPr>
          <w:ilvl w:val="0"/>
          <w:numId w:val="108"/>
        </w:numPr>
        <w:ind w:right="992"/>
      </w:pPr>
      <w:r w:rsidRPr="00C347C1">
        <w:t>Radiocommunications advisory guidelines</w:t>
      </w:r>
      <w:r w:rsidR="00507521">
        <w:t xml:space="preserve"> (RAGs)</w:t>
      </w:r>
      <w:r w:rsidRPr="00C347C1">
        <w:t xml:space="preserve"> that provide assistance and advice for coordination with stations in other services when and where required (section 262).</w:t>
      </w:r>
    </w:p>
    <w:p w14:paraId="19B7DEBC" w14:textId="7669AF86" w:rsidR="008D4E19" w:rsidRPr="00C347C1" w:rsidRDefault="008D4E19" w:rsidP="00100D82">
      <w:pPr>
        <w:ind w:right="992"/>
      </w:pPr>
      <w:r>
        <w:t xml:space="preserve">Often, radiocommunications assignment and licensing instructions (RALIs) may be created or modified that </w:t>
      </w:r>
      <w:r w:rsidR="00BA6A2F">
        <w:t>also support, and are referenced</w:t>
      </w:r>
      <w:r w:rsidR="008C09FA">
        <w:t xml:space="preserve"> in</w:t>
      </w:r>
      <w:r w:rsidR="00BA6A2F">
        <w:t>,</w:t>
      </w:r>
      <w:r w:rsidR="008C09FA">
        <w:t xml:space="preserve"> </w:t>
      </w:r>
      <w:r w:rsidR="00AD19C8">
        <w:t>a</w:t>
      </w:r>
      <w:r>
        <w:t xml:space="preserve"> spectrum licensing technical framework.</w:t>
      </w:r>
    </w:p>
    <w:p w14:paraId="3DE881F4" w14:textId="7C949397" w:rsidR="008D4E19" w:rsidRPr="00C347C1" w:rsidRDefault="008D4E19" w:rsidP="00100D82">
      <w:pPr>
        <w:ind w:right="992"/>
        <w:rPr>
          <w:bCs/>
          <w:iCs/>
        </w:rPr>
      </w:pPr>
      <w:r w:rsidRPr="00C347C1">
        <w:rPr>
          <w:bCs/>
          <w:iCs/>
        </w:rPr>
        <w:t>A more comprehensive explanation of spectrum licen</w:t>
      </w:r>
      <w:r w:rsidR="00A9591D">
        <w:rPr>
          <w:bCs/>
          <w:iCs/>
        </w:rPr>
        <w:t>sing</w:t>
      </w:r>
      <w:r w:rsidRPr="00C347C1">
        <w:rPr>
          <w:bCs/>
          <w:iCs/>
        </w:rPr>
        <w:t xml:space="preserve"> technical frameworks is provided in the document </w:t>
      </w:r>
      <w:hyperlink r:id="rId75" w:history="1">
        <w:r w:rsidRPr="00C347C1">
          <w:rPr>
            <w:rStyle w:val="Hyperlink"/>
            <w:bCs/>
            <w:i/>
            <w:iCs/>
          </w:rPr>
          <w:t>Spectrum licensee</w:t>
        </w:r>
        <w:r w:rsidR="000346EC">
          <w:rPr>
            <w:rStyle w:val="Hyperlink"/>
            <w:bCs/>
            <w:i/>
            <w:iCs/>
          </w:rPr>
          <w:t>s – know your obligation</w:t>
        </w:r>
        <w:r w:rsidRPr="00C347C1">
          <w:rPr>
            <w:rStyle w:val="Hyperlink"/>
            <w:bCs/>
            <w:i/>
            <w:iCs/>
          </w:rPr>
          <w:t>s</w:t>
        </w:r>
      </w:hyperlink>
      <w:r w:rsidRPr="00C347C1">
        <w:rPr>
          <w:bCs/>
          <w:iCs/>
        </w:rPr>
        <w:t>.</w:t>
      </w:r>
    </w:p>
    <w:p w14:paraId="1BCE3533" w14:textId="77777777" w:rsidR="008D4E19" w:rsidRDefault="008D4E19" w:rsidP="00100D82">
      <w:pPr>
        <w:pStyle w:val="Heading2"/>
        <w:ind w:right="992"/>
        <w:rPr>
          <w:rStyle w:val="normaltextrun"/>
          <w:rFonts w:cs="Times New Roman"/>
          <w:b w:val="0"/>
          <w:bCs w:val="0"/>
          <w:iCs w:val="0"/>
          <w:sz w:val="20"/>
          <w:szCs w:val="20"/>
        </w:rPr>
      </w:pPr>
      <w:bookmarkStart w:id="50" w:name="_Toc126917778"/>
      <w:r>
        <w:rPr>
          <w:rStyle w:val="normaltextrun"/>
          <w:szCs w:val="20"/>
        </w:rPr>
        <w:t>3.4 GHz Technical Liaison Group</w:t>
      </w:r>
      <w:bookmarkEnd w:id="50"/>
    </w:p>
    <w:p w14:paraId="16388E21" w14:textId="47EE77D5" w:rsidR="008D4E19" w:rsidRDefault="008D4E19" w:rsidP="00100D82">
      <w:pPr>
        <w:ind w:right="992"/>
        <w:rPr>
          <w:rFonts w:cs="Arial"/>
        </w:rPr>
      </w:pPr>
      <w:r>
        <w:rPr>
          <w:rFonts w:cs="Arial"/>
        </w:rPr>
        <w:t xml:space="preserve">The ACMA generally reviews or develops a new technical framework through the formation of a </w:t>
      </w:r>
      <w:hyperlink r:id="rId76" w:history="1">
        <w:r w:rsidRPr="000F2377">
          <w:rPr>
            <w:rStyle w:val="Hyperlink"/>
            <w:rFonts w:cs="Arial"/>
          </w:rPr>
          <w:t>Technical Liaison Group</w:t>
        </w:r>
      </w:hyperlink>
      <w:r>
        <w:rPr>
          <w:rFonts w:cs="Arial"/>
        </w:rPr>
        <w:t xml:space="preserve"> (TLG). A TLG</w:t>
      </w:r>
      <w:r w:rsidRPr="00B9508D">
        <w:rPr>
          <w:rFonts w:cs="Arial"/>
        </w:rPr>
        <w:t xml:space="preserve"> </w:t>
      </w:r>
      <w:r>
        <w:rPr>
          <w:rFonts w:cs="Arial"/>
        </w:rPr>
        <w:t>is</w:t>
      </w:r>
      <w:r w:rsidRPr="00B9508D">
        <w:rPr>
          <w:rFonts w:cs="Arial"/>
        </w:rPr>
        <w:t xml:space="preserve"> </w:t>
      </w:r>
      <w:r>
        <w:rPr>
          <w:rFonts w:cs="Arial"/>
        </w:rPr>
        <w:t>a short-term advisory body</w:t>
      </w:r>
      <w:r w:rsidRPr="00B9508D">
        <w:rPr>
          <w:rFonts w:cs="Arial"/>
        </w:rPr>
        <w:t xml:space="preserve"> convened by the ACMA as a forum for consultation between the ACMA, industry and other stakeholders with an interest in the technical aspects of spectrum licences</w:t>
      </w:r>
      <w:r>
        <w:rPr>
          <w:rFonts w:cs="Arial"/>
        </w:rPr>
        <w:t>.</w:t>
      </w:r>
    </w:p>
    <w:p w14:paraId="12B14788" w14:textId="205F1066" w:rsidR="008D4E19" w:rsidRDefault="008D4E19" w:rsidP="00100D82">
      <w:pPr>
        <w:ind w:right="992"/>
        <w:rPr>
          <w:rFonts w:cs="Arial"/>
          <w:snapToGrid w:val="0"/>
          <w:lang w:eastAsia="en-US"/>
        </w:rPr>
      </w:pPr>
      <w:r>
        <w:rPr>
          <w:rFonts w:cs="Arial"/>
          <w:snapToGrid w:val="0"/>
          <w:lang w:eastAsia="en-US"/>
        </w:rPr>
        <w:t xml:space="preserve">In July 2021, the ACMA formed the 3700–4200 MHz </w:t>
      </w:r>
      <w:r w:rsidR="0087301C">
        <w:rPr>
          <w:rFonts w:cs="Arial"/>
          <w:snapToGrid w:val="0"/>
          <w:lang w:eastAsia="en-US"/>
        </w:rPr>
        <w:t xml:space="preserve">band </w:t>
      </w:r>
      <w:r>
        <w:rPr>
          <w:rFonts w:cs="Arial"/>
          <w:snapToGrid w:val="0"/>
          <w:lang w:eastAsia="en-US"/>
        </w:rPr>
        <w:t xml:space="preserve">(subsequently renamed </w:t>
      </w:r>
      <w:r w:rsidR="000346EC">
        <w:rPr>
          <w:rFonts w:cs="Arial"/>
          <w:snapToGrid w:val="0"/>
          <w:lang w:eastAsia="en-US"/>
        </w:rPr>
        <w:t xml:space="preserve">to </w:t>
      </w:r>
      <w:r>
        <w:rPr>
          <w:rFonts w:cs="Arial"/>
          <w:snapToGrid w:val="0"/>
          <w:lang w:eastAsia="en-US"/>
        </w:rPr>
        <w:t xml:space="preserve">3.4–4.0 GHz) Technical Liaison Group (TLG) to provide advice on the development </w:t>
      </w:r>
      <w:r w:rsidR="00507521">
        <w:rPr>
          <w:rFonts w:cs="Arial"/>
          <w:snapToGrid w:val="0"/>
          <w:lang w:eastAsia="en-US"/>
        </w:rPr>
        <w:t xml:space="preserve">of </w:t>
      </w:r>
      <w:r>
        <w:rPr>
          <w:rFonts w:cs="Arial"/>
          <w:snapToGrid w:val="0"/>
          <w:lang w:eastAsia="en-US"/>
        </w:rPr>
        <w:t>all technical frameworks required in the 3400–4000 MHz range. Some discussions were held on spectrum licensing</w:t>
      </w:r>
      <w:r w:rsidR="00334E06">
        <w:rPr>
          <w:rFonts w:cs="Arial"/>
          <w:snapToGrid w:val="0"/>
          <w:lang w:eastAsia="en-US"/>
        </w:rPr>
        <w:t xml:space="preserve"> technical</w:t>
      </w:r>
      <w:r>
        <w:rPr>
          <w:rFonts w:cs="Arial"/>
          <w:snapToGrid w:val="0"/>
          <w:lang w:eastAsia="en-US"/>
        </w:rPr>
        <w:t xml:space="preserve"> framework issues in 202</w:t>
      </w:r>
      <w:r w:rsidR="00E67E9F">
        <w:rPr>
          <w:rFonts w:cs="Arial"/>
          <w:snapToGrid w:val="0"/>
          <w:lang w:eastAsia="en-US"/>
        </w:rPr>
        <w:t>1</w:t>
      </w:r>
      <w:r>
        <w:rPr>
          <w:rFonts w:cs="Arial"/>
          <w:snapToGrid w:val="0"/>
          <w:lang w:eastAsia="en-US"/>
        </w:rPr>
        <w:t xml:space="preserve"> but the TLG was </w:t>
      </w:r>
      <w:r w:rsidR="00446DB7">
        <w:rPr>
          <w:rFonts w:cs="Arial"/>
          <w:snapToGrid w:val="0"/>
          <w:lang w:eastAsia="en-US"/>
        </w:rPr>
        <w:t xml:space="preserve">then </w:t>
      </w:r>
      <w:r>
        <w:rPr>
          <w:rFonts w:cs="Arial"/>
          <w:snapToGrid w:val="0"/>
          <w:lang w:eastAsia="en-US"/>
        </w:rPr>
        <w:t>refocussed on the remote area-wide licensing (AWL) framework. The TLG was re-engaged in September</w:t>
      </w:r>
      <w:r w:rsidR="0087749E">
        <w:rPr>
          <w:rFonts w:cs="Arial"/>
          <w:snapToGrid w:val="0"/>
          <w:lang w:eastAsia="en-US"/>
        </w:rPr>
        <w:t>–</w:t>
      </w:r>
      <w:r>
        <w:rPr>
          <w:rFonts w:cs="Arial"/>
          <w:snapToGrid w:val="0"/>
          <w:lang w:eastAsia="en-US"/>
        </w:rPr>
        <w:t xml:space="preserve">October 2022 to consider the remaining spectrum licensing technical framework issues. </w:t>
      </w:r>
      <w:r w:rsidR="00390CA7">
        <w:rPr>
          <w:rFonts w:cs="Arial"/>
        </w:rPr>
        <w:t xml:space="preserve">A record </w:t>
      </w:r>
      <w:r>
        <w:rPr>
          <w:rFonts w:cs="Arial"/>
        </w:rPr>
        <w:t xml:space="preserve">of the TLG </w:t>
      </w:r>
      <w:r w:rsidR="00390CA7">
        <w:rPr>
          <w:rFonts w:cs="Arial"/>
        </w:rPr>
        <w:t xml:space="preserve">discussions </w:t>
      </w:r>
      <w:r>
        <w:rPr>
          <w:rFonts w:cs="Arial"/>
        </w:rPr>
        <w:t xml:space="preserve">are available on the </w:t>
      </w:r>
      <w:hyperlink r:id="rId77" w:history="1">
        <w:r w:rsidRPr="003A77FD">
          <w:rPr>
            <w:rStyle w:val="Hyperlink"/>
            <w:rFonts w:cs="Arial"/>
          </w:rPr>
          <w:t>ACMA website</w:t>
        </w:r>
      </w:hyperlink>
      <w:r w:rsidR="00FD1E8F">
        <w:rPr>
          <w:rFonts w:cs="Arial"/>
        </w:rPr>
        <w:t>.</w:t>
      </w:r>
    </w:p>
    <w:p w14:paraId="3611E115" w14:textId="570D5F95" w:rsidR="008D4E19" w:rsidRDefault="008D4E19" w:rsidP="00100D82">
      <w:pPr>
        <w:ind w:right="992"/>
        <w:rPr>
          <w:rFonts w:cs="Arial"/>
        </w:rPr>
      </w:pPr>
      <w:r>
        <w:rPr>
          <w:rFonts w:cs="Arial"/>
        </w:rPr>
        <w:t xml:space="preserve">One of the key bases for the TLG process was a desire to have a single spectrum licensing technical framework covering both the 3.4 GHz band and 3.7 GHz bands that was </w:t>
      </w:r>
      <w:r w:rsidR="00213549">
        <w:rPr>
          <w:rFonts w:cs="Arial"/>
        </w:rPr>
        <w:t xml:space="preserve">to be </w:t>
      </w:r>
      <w:r>
        <w:rPr>
          <w:rFonts w:cs="Arial"/>
        </w:rPr>
        <w:t>adapted from the existing 3.4 GHz spectrum licensing technical framework. This is because the bands are directly adjacent to each other and</w:t>
      </w:r>
      <w:r w:rsidR="004057F2">
        <w:rPr>
          <w:rFonts w:cs="Arial"/>
        </w:rPr>
        <w:t xml:space="preserve"> are</w:t>
      </w:r>
      <w:r>
        <w:rPr>
          <w:rFonts w:cs="Arial"/>
        </w:rPr>
        <w:t xml:space="preserve"> considered substitutable. A single framework </w:t>
      </w:r>
      <w:r w:rsidR="002B4007">
        <w:rPr>
          <w:rFonts w:cs="Arial"/>
        </w:rPr>
        <w:t>then</w:t>
      </w:r>
      <w:r>
        <w:rPr>
          <w:rFonts w:cs="Arial"/>
        </w:rPr>
        <w:t xml:space="preserve"> simplif</w:t>
      </w:r>
      <w:r w:rsidR="004057F2">
        <w:rPr>
          <w:rFonts w:cs="Arial"/>
        </w:rPr>
        <w:t>ies</w:t>
      </w:r>
      <w:r>
        <w:rPr>
          <w:rFonts w:cs="Arial"/>
        </w:rPr>
        <w:t xml:space="preserve"> network design for any licensees that end up holding spectrum in all </w:t>
      </w:r>
      <w:r w:rsidR="00CB50BC">
        <w:rPr>
          <w:rFonts w:cs="Arial"/>
        </w:rPr>
        <w:t>bands and</w:t>
      </w:r>
      <w:r>
        <w:rPr>
          <w:rFonts w:cs="Arial"/>
        </w:rPr>
        <w:t xml:space="preserve"> would help to reduce the complexity of any future defragmentation of spectrum holdings </w:t>
      </w:r>
      <w:r w:rsidR="00C643D4">
        <w:rPr>
          <w:rFonts w:cs="Arial"/>
        </w:rPr>
        <w:t>across</w:t>
      </w:r>
      <w:r>
        <w:rPr>
          <w:rFonts w:cs="Arial"/>
        </w:rPr>
        <w:t xml:space="preserve"> the broader 3400–3800 MHz </w:t>
      </w:r>
      <w:r w:rsidR="005875CE">
        <w:rPr>
          <w:rFonts w:cs="Arial"/>
        </w:rPr>
        <w:t>frequency range</w:t>
      </w:r>
      <w:r>
        <w:rPr>
          <w:rFonts w:cs="Arial"/>
        </w:rPr>
        <w:t>.</w:t>
      </w:r>
    </w:p>
    <w:p w14:paraId="140C4E7D" w14:textId="16BA586B" w:rsidR="00012250" w:rsidRPr="00012250" w:rsidRDefault="00012250" w:rsidP="00100D82">
      <w:pPr>
        <w:pStyle w:val="Heading2"/>
        <w:ind w:right="992"/>
      </w:pPr>
      <w:bookmarkStart w:id="51" w:name="_Toc513143738"/>
      <w:bookmarkStart w:id="52" w:name="_Toc514146652"/>
      <w:bookmarkStart w:id="53" w:name="_Toc45091019"/>
      <w:bookmarkStart w:id="54" w:name="_Toc69744489"/>
      <w:bookmarkStart w:id="55" w:name="_Toc126917779"/>
      <w:r w:rsidRPr="00012250">
        <w:t xml:space="preserve">Draft technical </w:t>
      </w:r>
      <w:r w:rsidR="00F400C5">
        <w:t>framework</w:t>
      </w:r>
      <w:r w:rsidRPr="00012250">
        <w:t xml:space="preserve"> </w:t>
      </w:r>
      <w:bookmarkEnd w:id="51"/>
      <w:bookmarkEnd w:id="52"/>
      <w:bookmarkEnd w:id="53"/>
      <w:bookmarkEnd w:id="54"/>
      <w:r w:rsidR="00F70C27">
        <w:t>elements</w:t>
      </w:r>
      <w:bookmarkEnd w:id="55"/>
    </w:p>
    <w:p w14:paraId="372BDCCA" w14:textId="3E933FCE" w:rsidR="00012250" w:rsidRPr="00012250" w:rsidRDefault="00012250" w:rsidP="00100D82">
      <w:pPr>
        <w:ind w:right="992"/>
        <w:rPr>
          <w:bCs/>
          <w:iCs/>
        </w:rPr>
      </w:pPr>
      <w:r w:rsidRPr="00012250">
        <w:rPr>
          <w:bCs/>
          <w:iCs/>
        </w:rPr>
        <w:t>The ACMA is proposing to amend the existing spectrum licen</w:t>
      </w:r>
      <w:r w:rsidR="00AA6213">
        <w:rPr>
          <w:bCs/>
          <w:iCs/>
        </w:rPr>
        <w:t>sing</w:t>
      </w:r>
      <w:r w:rsidRPr="00012250">
        <w:rPr>
          <w:bCs/>
          <w:iCs/>
        </w:rPr>
        <w:t xml:space="preserve"> technical framework </w:t>
      </w:r>
      <w:r w:rsidR="005C2EE0">
        <w:rPr>
          <w:bCs/>
          <w:iCs/>
        </w:rPr>
        <w:t>(</w:t>
      </w:r>
      <w:r w:rsidR="00F54B4C">
        <w:rPr>
          <w:bCs/>
          <w:iCs/>
        </w:rPr>
        <w:t>‘</w:t>
      </w:r>
      <w:r w:rsidR="005C2EE0">
        <w:rPr>
          <w:bCs/>
          <w:iCs/>
        </w:rPr>
        <w:t>the framework</w:t>
      </w:r>
      <w:r w:rsidR="00F54B4C">
        <w:rPr>
          <w:bCs/>
          <w:iCs/>
        </w:rPr>
        <w:t>’</w:t>
      </w:r>
      <w:r w:rsidR="005C2EE0">
        <w:rPr>
          <w:bCs/>
          <w:iCs/>
        </w:rPr>
        <w:t xml:space="preserve">) </w:t>
      </w:r>
      <w:r w:rsidRPr="00012250">
        <w:rPr>
          <w:bCs/>
          <w:iCs/>
        </w:rPr>
        <w:t>for the 3.4 GHz band to encompass the spectrum space</w:t>
      </w:r>
      <w:r w:rsidR="00820CA9">
        <w:rPr>
          <w:bCs/>
          <w:iCs/>
        </w:rPr>
        <w:t>s</w:t>
      </w:r>
      <w:r w:rsidRPr="00012250">
        <w:rPr>
          <w:bCs/>
          <w:iCs/>
        </w:rPr>
        <w:t xml:space="preserve"> contained in the </w:t>
      </w:r>
      <w:r w:rsidR="005875CE">
        <w:t>re-allocation declaration.</w:t>
      </w:r>
      <w:r w:rsidRPr="00012250">
        <w:rPr>
          <w:bCs/>
          <w:iCs/>
        </w:rPr>
        <w:t xml:space="preserve"> </w:t>
      </w:r>
    </w:p>
    <w:p w14:paraId="28C200E2" w14:textId="77777777" w:rsidR="00012250" w:rsidRPr="00012250" w:rsidRDefault="00012250" w:rsidP="00100D82">
      <w:pPr>
        <w:spacing w:after="80"/>
        <w:ind w:right="992"/>
        <w:rPr>
          <w:bCs/>
          <w:iCs/>
        </w:rPr>
      </w:pPr>
      <w:r w:rsidRPr="00012250">
        <w:rPr>
          <w:bCs/>
          <w:iCs/>
        </w:rPr>
        <w:lastRenderedPageBreak/>
        <w:t>The elements that comprise the current 3.4 GHz technical framework are:</w:t>
      </w:r>
    </w:p>
    <w:p w14:paraId="35A8AD3A" w14:textId="1C376ACD" w:rsidR="00012250" w:rsidRPr="00012250" w:rsidRDefault="00012250" w:rsidP="00100D82">
      <w:pPr>
        <w:pStyle w:val="ListParagraph"/>
        <w:numPr>
          <w:ilvl w:val="0"/>
          <w:numId w:val="120"/>
        </w:numPr>
        <w:spacing w:after="80"/>
        <w:ind w:left="357" w:right="992" w:hanging="357"/>
        <w:contextualSpacing w:val="0"/>
      </w:pPr>
      <w:r w:rsidRPr="00012250">
        <w:t xml:space="preserve">Conditions </w:t>
      </w:r>
      <w:r w:rsidR="0025091D">
        <w:t>i</w:t>
      </w:r>
      <w:r w:rsidRPr="00012250">
        <w:t xml:space="preserve">n the spectrum licence (a copy of a current 3.4 GHz band spectrum licence is </w:t>
      </w:r>
      <w:hyperlink r:id="rId78" w:history="1">
        <w:r w:rsidR="000346EC">
          <w:rPr>
            <w:rStyle w:val="Hyperlink"/>
          </w:rPr>
          <w:t>available h</w:t>
        </w:r>
        <w:r w:rsidRPr="00012250">
          <w:rPr>
            <w:rStyle w:val="Hyperlink"/>
          </w:rPr>
          <w:t>ere</w:t>
        </w:r>
      </w:hyperlink>
      <w:r w:rsidRPr="00012250">
        <w:t>)</w:t>
      </w:r>
    </w:p>
    <w:p w14:paraId="230A5CB8" w14:textId="558D79C1" w:rsidR="00012250" w:rsidRPr="00012250" w:rsidRDefault="00FC4B89" w:rsidP="00100D82">
      <w:pPr>
        <w:pStyle w:val="ListParagraph"/>
        <w:numPr>
          <w:ilvl w:val="0"/>
          <w:numId w:val="120"/>
        </w:numPr>
        <w:spacing w:after="80"/>
        <w:ind w:left="357" w:right="992" w:hanging="357"/>
        <w:contextualSpacing w:val="0"/>
      </w:pPr>
      <w:hyperlink r:id="rId79" w:history="1">
        <w:r w:rsidR="00012250" w:rsidRPr="00012250">
          <w:rPr>
            <w:rStyle w:val="Hyperlink"/>
          </w:rPr>
          <w:t>Radiocommunications (Unacceptable Levels of Interference – 3.4 GHz Band) Determination 2015</w:t>
        </w:r>
      </w:hyperlink>
      <w:r w:rsidR="00012250" w:rsidRPr="00012250">
        <w:t xml:space="preserve"> (s.145 determination</w:t>
      </w:r>
      <w:r w:rsidR="00BE027D">
        <w:t xml:space="preserve"> or </w:t>
      </w:r>
      <w:r w:rsidR="00F54B4C">
        <w:t>‘</w:t>
      </w:r>
      <w:r w:rsidR="002E4E15">
        <w:t>s</w:t>
      </w:r>
      <w:r w:rsidR="00BE027D">
        <w:t>.145</w:t>
      </w:r>
      <w:r w:rsidR="00F54B4C">
        <w:t>’</w:t>
      </w:r>
      <w:r w:rsidR="00012250" w:rsidRPr="00012250">
        <w:t xml:space="preserve">) </w:t>
      </w:r>
    </w:p>
    <w:p w14:paraId="5F93BFBB" w14:textId="02B59432" w:rsidR="00012250" w:rsidRPr="00012250" w:rsidRDefault="00FC4B89" w:rsidP="00100D82">
      <w:pPr>
        <w:pStyle w:val="ListParagraph"/>
        <w:numPr>
          <w:ilvl w:val="0"/>
          <w:numId w:val="120"/>
        </w:numPr>
        <w:spacing w:after="80"/>
        <w:ind w:left="357" w:right="992" w:hanging="357"/>
        <w:contextualSpacing w:val="0"/>
      </w:pPr>
      <w:hyperlink r:id="rId80" w:history="1">
        <w:r w:rsidR="00012250" w:rsidRPr="00012250">
          <w:rPr>
            <w:rStyle w:val="Hyperlink"/>
          </w:rPr>
          <w:t>Radiocommunications Advisory Guidelines (Managing Interference from Spectrum Licensed Transmitters – 3.4 GHz Band) 2015</w:t>
        </w:r>
      </w:hyperlink>
      <w:r w:rsidR="00012250" w:rsidRPr="00012250">
        <w:t xml:space="preserve"> (</w:t>
      </w:r>
      <w:r w:rsidR="00F54B4C">
        <w:t>‘</w:t>
      </w:r>
      <w:r w:rsidR="00012250" w:rsidRPr="00012250">
        <w:t>RAG Tx</w:t>
      </w:r>
      <w:r w:rsidR="00F54B4C">
        <w:t>’</w:t>
      </w:r>
      <w:r w:rsidR="00012250" w:rsidRPr="00012250">
        <w:t>)</w:t>
      </w:r>
    </w:p>
    <w:p w14:paraId="422F4E50" w14:textId="4CBB88B2" w:rsidR="00012250" w:rsidRDefault="00FC4B89" w:rsidP="00100D82">
      <w:pPr>
        <w:pStyle w:val="ListParagraph"/>
        <w:numPr>
          <w:ilvl w:val="0"/>
          <w:numId w:val="120"/>
        </w:numPr>
        <w:spacing w:after="80"/>
        <w:ind w:left="357" w:right="992" w:hanging="357"/>
        <w:contextualSpacing w:val="0"/>
      </w:pPr>
      <w:hyperlink r:id="rId81" w:history="1">
        <w:r w:rsidR="00012250" w:rsidRPr="00012250">
          <w:rPr>
            <w:rStyle w:val="Hyperlink"/>
          </w:rPr>
          <w:t>Radiocommunications Advisory Guidelines (Managing Interference to Spectrum Licensed Receivers – 3.4 GHz Band) 2015</w:t>
        </w:r>
      </w:hyperlink>
      <w:r w:rsidR="00012250" w:rsidRPr="00012250">
        <w:t xml:space="preserve"> (</w:t>
      </w:r>
      <w:r w:rsidR="00F54B4C">
        <w:t>‘</w:t>
      </w:r>
      <w:r w:rsidR="00012250" w:rsidRPr="00012250">
        <w:t>RAG Rx</w:t>
      </w:r>
      <w:r w:rsidR="00F54B4C">
        <w:t>’</w:t>
      </w:r>
      <w:r w:rsidR="00012250" w:rsidRPr="00012250">
        <w:t xml:space="preserve">) </w:t>
      </w:r>
    </w:p>
    <w:p w14:paraId="5FCAE305" w14:textId="3CB2F1CA" w:rsidR="00E15904" w:rsidRPr="00012250" w:rsidRDefault="00574CF5" w:rsidP="00100D82">
      <w:pPr>
        <w:pStyle w:val="ListParagraph"/>
        <w:numPr>
          <w:ilvl w:val="0"/>
          <w:numId w:val="120"/>
        </w:numPr>
        <w:ind w:right="992"/>
      </w:pPr>
      <w:r>
        <w:t>Any relevant r</w:t>
      </w:r>
      <w:r w:rsidR="00C057DE">
        <w:t xml:space="preserve">eferenced </w:t>
      </w:r>
      <w:r w:rsidR="00573DD4">
        <w:t>radiocommunications</w:t>
      </w:r>
      <w:r w:rsidR="00830455">
        <w:t xml:space="preserve"> assignment and licensing instructions (RALI</w:t>
      </w:r>
      <w:r>
        <w:t>s</w:t>
      </w:r>
      <w:r w:rsidR="00830455">
        <w:t>)</w:t>
      </w:r>
      <w:r w:rsidR="00152EB5">
        <w:t>.</w:t>
      </w:r>
    </w:p>
    <w:p w14:paraId="2BDC23B0" w14:textId="19D31E11" w:rsidR="00012250" w:rsidRPr="00012250" w:rsidRDefault="00012250" w:rsidP="00100D82">
      <w:pPr>
        <w:ind w:right="992"/>
      </w:pPr>
      <w:r w:rsidRPr="00012250">
        <w:t xml:space="preserve">After considering the outcomes from the TLG, we have drafted amendments to the </w:t>
      </w:r>
      <w:r w:rsidR="00E15904">
        <w:t>framework</w:t>
      </w:r>
      <w:r w:rsidRPr="00012250">
        <w:t xml:space="preserve">. </w:t>
      </w:r>
      <w:r w:rsidR="00D0255B">
        <w:t>This includes</w:t>
      </w:r>
      <w:r w:rsidR="00356B1F">
        <w:t xml:space="preserve"> amendments to the</w:t>
      </w:r>
      <w:r w:rsidRPr="00012250">
        <w:t xml:space="preserve"> s.145, RAG Tx</w:t>
      </w:r>
      <w:r w:rsidR="008F7ABA">
        <w:t xml:space="preserve">, </w:t>
      </w:r>
      <w:r w:rsidR="00356B1F">
        <w:t xml:space="preserve">and </w:t>
      </w:r>
      <w:r w:rsidRPr="00012250">
        <w:t xml:space="preserve">RAG Rx </w:t>
      </w:r>
      <w:r w:rsidR="008F7ABA">
        <w:t xml:space="preserve">and </w:t>
      </w:r>
      <w:r w:rsidR="00356B1F">
        <w:t xml:space="preserve">a </w:t>
      </w:r>
      <w:r w:rsidR="00205DB3">
        <w:t>new</w:t>
      </w:r>
      <w:r w:rsidR="00356B1F">
        <w:t xml:space="preserve"> </w:t>
      </w:r>
      <w:r w:rsidR="00DC4F95">
        <w:t xml:space="preserve">draft </w:t>
      </w:r>
      <w:r w:rsidR="00AB5CD7">
        <w:t xml:space="preserve">RALI </w:t>
      </w:r>
      <w:r w:rsidR="008F7ABA">
        <w:t>MS47</w:t>
      </w:r>
      <w:r w:rsidR="00205DB3">
        <w:t xml:space="preserve">, </w:t>
      </w:r>
      <w:r w:rsidR="007D67AB">
        <w:t xml:space="preserve">which </w:t>
      </w:r>
      <w:r w:rsidR="00C53F1A">
        <w:t>have been published alongside this consultation paper.</w:t>
      </w:r>
      <w:r w:rsidR="00967868">
        <w:t xml:space="preserve"> </w:t>
      </w:r>
      <w:r w:rsidRPr="00012250">
        <w:t>A sample spectrum licence is also included in the draft marketing plan</w:t>
      </w:r>
      <w:r w:rsidR="009134F7">
        <w:t xml:space="preserve">, also published </w:t>
      </w:r>
      <w:r w:rsidR="00B754E4">
        <w:t>with</w:t>
      </w:r>
      <w:r w:rsidR="009134F7">
        <w:t xml:space="preserve"> this consultation paper</w:t>
      </w:r>
      <w:r w:rsidRPr="00012250">
        <w:t xml:space="preserve">. </w:t>
      </w:r>
    </w:p>
    <w:p w14:paraId="3751DB7F" w14:textId="52C5A196" w:rsidR="00012250" w:rsidRPr="00012250" w:rsidRDefault="00012250" w:rsidP="00100D82">
      <w:pPr>
        <w:ind w:right="992"/>
      </w:pPr>
      <w:r w:rsidRPr="00012250">
        <w:t>It is noted that when developing or updating a spectrum licen</w:t>
      </w:r>
      <w:r w:rsidR="005B42F8">
        <w:t>sing</w:t>
      </w:r>
      <w:r w:rsidRPr="00012250">
        <w:t xml:space="preserve"> technical framework to include new spectrum, the ACMA would usually consider amendments to the </w:t>
      </w:r>
      <w:hyperlink r:id="rId82" w:history="1">
        <w:r w:rsidRPr="00B7350D">
          <w:rPr>
            <w:rStyle w:val="Hyperlink"/>
          </w:rPr>
          <w:t>Radiocommunications (Trading Rules for Spectrum Licences) Determination 2012</w:t>
        </w:r>
      </w:hyperlink>
      <w:r w:rsidRPr="00012250">
        <w:t xml:space="preserve"> to define a minimum contiguous bandwidth (MCB) for trading. However, as this instrument is due to sunset on 1 April 2023, the ACMA </w:t>
      </w:r>
      <w:r w:rsidR="00280E53">
        <w:t>has</w:t>
      </w:r>
      <w:r w:rsidRPr="00012250">
        <w:t xml:space="preserve"> separately </w:t>
      </w:r>
      <w:r w:rsidR="00280E53">
        <w:t>consulted</w:t>
      </w:r>
      <w:r w:rsidRPr="00012250">
        <w:t xml:space="preserve"> on a proposed remake of this instrument</w:t>
      </w:r>
      <w:r w:rsidR="00531A8B">
        <w:t xml:space="preserve"> and intends to make a replacement instrument before 1 April 2023</w:t>
      </w:r>
      <w:r w:rsidRPr="00012250">
        <w:t>. Th</w:t>
      </w:r>
      <w:r w:rsidR="00531A8B">
        <w:t>e consultation draft included</w:t>
      </w:r>
      <w:r w:rsidRPr="00012250">
        <w:t xml:space="preserve">, among other things, defining a </w:t>
      </w:r>
      <w:r w:rsidR="000346EC">
        <w:br/>
      </w:r>
      <w:r w:rsidRPr="00012250">
        <w:t>10 MHz MCB for the broader 3400</w:t>
      </w:r>
      <w:r w:rsidR="0087749E">
        <w:t>–</w:t>
      </w:r>
      <w:r w:rsidRPr="00012250">
        <w:t xml:space="preserve">3800 MHz band. Interested stakeholders are referred to the </w:t>
      </w:r>
      <w:hyperlink r:id="rId83" w:history="1">
        <w:r w:rsidRPr="009A074A">
          <w:rPr>
            <w:rStyle w:val="Hyperlink"/>
          </w:rPr>
          <w:t>ACMA website</w:t>
        </w:r>
      </w:hyperlink>
      <w:r w:rsidRPr="00012250">
        <w:t xml:space="preserve"> for details on that consultation process.</w:t>
      </w:r>
    </w:p>
    <w:p w14:paraId="5A5E78B1" w14:textId="6455ED81" w:rsidR="00012250" w:rsidRPr="00012250" w:rsidRDefault="00012250" w:rsidP="00100D82">
      <w:pPr>
        <w:pStyle w:val="Heading3"/>
        <w:ind w:right="992"/>
      </w:pPr>
      <w:bookmarkStart w:id="56" w:name="_Toc513143739"/>
      <w:bookmarkStart w:id="57" w:name="_Toc514146653"/>
      <w:bookmarkStart w:id="58" w:name="_Toc45091022"/>
      <w:bookmarkStart w:id="59" w:name="_Toc69744490"/>
      <w:r w:rsidRPr="00012250">
        <w:t xml:space="preserve">Conditions </w:t>
      </w:r>
      <w:r w:rsidR="002D5CF8">
        <w:t>i</w:t>
      </w:r>
      <w:r w:rsidRPr="00012250">
        <w:t>n the spectrum licence</w:t>
      </w:r>
      <w:bookmarkEnd w:id="56"/>
      <w:bookmarkEnd w:id="57"/>
      <w:r w:rsidRPr="00012250">
        <w:t xml:space="preserve"> </w:t>
      </w:r>
    </w:p>
    <w:p w14:paraId="75490B2B" w14:textId="109C95A5" w:rsidR="00012250" w:rsidRPr="00012250" w:rsidRDefault="00012250" w:rsidP="00100D82">
      <w:pPr>
        <w:spacing w:after="80"/>
        <w:ind w:right="992"/>
        <w:rPr>
          <w:bCs/>
          <w:iCs/>
        </w:rPr>
      </w:pPr>
      <w:r w:rsidRPr="00012250">
        <w:rPr>
          <w:bCs/>
          <w:iCs/>
        </w:rPr>
        <w:t>Each spectrum licence includes both core conditions and statutory conditions specified under relevant sections of the Act. The Act also provides that other specific conditions may be included by the ACMA.</w:t>
      </w:r>
    </w:p>
    <w:p w14:paraId="0E3E6DE8" w14:textId="2284B257" w:rsidR="00012250" w:rsidRPr="00012250" w:rsidRDefault="00012250" w:rsidP="00100D82">
      <w:pPr>
        <w:pStyle w:val="ListParagraph"/>
        <w:numPr>
          <w:ilvl w:val="0"/>
          <w:numId w:val="121"/>
        </w:numPr>
        <w:spacing w:after="80"/>
        <w:ind w:left="357" w:right="992" w:hanging="357"/>
        <w:contextualSpacing w:val="0"/>
      </w:pPr>
      <w:r w:rsidRPr="00CD06EF">
        <w:rPr>
          <w:b/>
        </w:rPr>
        <w:t>Core conditions</w:t>
      </w:r>
      <w:r w:rsidR="000346EC">
        <w:rPr>
          <w:b/>
        </w:rPr>
        <w:t>:</w:t>
      </w:r>
      <w:r w:rsidR="000346EC">
        <w:t xml:space="preserve"> </w:t>
      </w:r>
      <w:r w:rsidRPr="00012250">
        <w:t>required under section 66</w:t>
      </w:r>
      <w:r w:rsidR="009C352F">
        <w:t xml:space="preserve"> of the Act</w:t>
      </w:r>
      <w:r w:rsidRPr="00012250">
        <w:t>, these conditions define the spectrum space within which the licensee is authorised to operate radiocommunications devices under the licence, and the maximum permitted level of radio emissions inside and outside the band. These conditions are included in all spectrum licences.</w:t>
      </w:r>
    </w:p>
    <w:p w14:paraId="0C0B055F" w14:textId="3F738B83" w:rsidR="00012250" w:rsidRPr="00012250" w:rsidRDefault="00012250" w:rsidP="00100D82">
      <w:pPr>
        <w:pStyle w:val="ListParagraph"/>
        <w:numPr>
          <w:ilvl w:val="0"/>
          <w:numId w:val="121"/>
        </w:numPr>
        <w:spacing w:after="80"/>
        <w:ind w:left="357" w:right="992" w:hanging="357"/>
        <w:contextualSpacing w:val="0"/>
      </w:pPr>
      <w:r w:rsidRPr="00CD06EF">
        <w:rPr>
          <w:b/>
        </w:rPr>
        <w:t>Statutory conditions</w:t>
      </w:r>
      <w:r w:rsidR="000346EC">
        <w:rPr>
          <w:b/>
        </w:rPr>
        <w:t>:</w:t>
      </w:r>
      <w:r w:rsidR="000346EC">
        <w:t xml:space="preserve"> </w:t>
      </w:r>
      <w:r w:rsidRPr="00012250">
        <w:t>required under sections 67 to 69A</w:t>
      </w:r>
      <w:r w:rsidR="009C352F">
        <w:t xml:space="preserve"> of the Act</w:t>
      </w:r>
      <w:r w:rsidRPr="00012250">
        <w:t>, these conditions include information about payment of charges, use by third parties, residency, registration of transmitters and devices exempt from registration. These conditions are included in all spectrum licences.</w:t>
      </w:r>
    </w:p>
    <w:p w14:paraId="1DD9C7CF" w14:textId="6089301A" w:rsidR="00012250" w:rsidRDefault="00012250" w:rsidP="00100D82">
      <w:pPr>
        <w:pStyle w:val="ListParagraph"/>
        <w:numPr>
          <w:ilvl w:val="0"/>
          <w:numId w:val="121"/>
        </w:numPr>
        <w:ind w:right="992"/>
      </w:pPr>
      <w:r w:rsidRPr="00CD06EF">
        <w:rPr>
          <w:b/>
        </w:rPr>
        <w:t>Other conditions</w:t>
      </w:r>
      <w:r w:rsidR="000346EC">
        <w:rPr>
          <w:b/>
        </w:rPr>
        <w:t xml:space="preserve">: </w:t>
      </w:r>
      <w:r w:rsidRPr="00012250">
        <w:t xml:space="preserve">conditions </w:t>
      </w:r>
      <w:r w:rsidR="00143951">
        <w:t xml:space="preserve">included under </w:t>
      </w:r>
      <w:r w:rsidRPr="00012250">
        <w:t xml:space="preserve">section 71 </w:t>
      </w:r>
      <w:r w:rsidR="009C352F">
        <w:t xml:space="preserve">of the Act </w:t>
      </w:r>
      <w:r w:rsidRPr="00012250">
        <w:t>generally provide for the efficient management of the spectrum and administration of the Act. These conditions may vary from one band or licence to another.</w:t>
      </w:r>
    </w:p>
    <w:p w14:paraId="0234BFE5" w14:textId="77777777" w:rsidR="002735C0" w:rsidRPr="00012250" w:rsidRDefault="002735C0" w:rsidP="00100D82">
      <w:pPr>
        <w:pStyle w:val="Heading3"/>
        <w:ind w:right="992"/>
      </w:pPr>
      <w:bookmarkStart w:id="60" w:name="_Toc45091023"/>
      <w:bookmarkStart w:id="61" w:name="_Toc69744491"/>
      <w:r w:rsidRPr="00012250">
        <w:t>Radiocommunications Advisory Guidelines</w:t>
      </w:r>
      <w:bookmarkEnd w:id="60"/>
      <w:bookmarkEnd w:id="61"/>
    </w:p>
    <w:p w14:paraId="3CB27634" w14:textId="21C09DE3" w:rsidR="002735C0" w:rsidRPr="00012250" w:rsidRDefault="002735C0" w:rsidP="00100D82">
      <w:pPr>
        <w:ind w:right="992"/>
      </w:pPr>
      <w:r w:rsidRPr="00012250">
        <w:t xml:space="preserve">Further guidance on interference management with other services is provided in </w:t>
      </w:r>
      <w:r w:rsidR="002C5208">
        <w:t>RAGs</w:t>
      </w:r>
      <w:r w:rsidRPr="00012250">
        <w:t xml:space="preserve"> made under section 262 of the Act. RAGs can refer to any aspect of radiocommunications or radio emissions.</w:t>
      </w:r>
    </w:p>
    <w:p w14:paraId="256D83B5" w14:textId="77777777" w:rsidR="002735C0" w:rsidRPr="00012250" w:rsidRDefault="002735C0" w:rsidP="00100D82">
      <w:pPr>
        <w:ind w:right="992"/>
      </w:pPr>
      <w:r w:rsidRPr="00012250">
        <w:t xml:space="preserve">Generally, RAGs include provisions to help assess the possible interference between spectrum-licensed devices and services operating under spectrum, apparatus or class licences. Potentially affected services are identified in the RAGs to enable licensees to </w:t>
      </w:r>
      <w:r w:rsidRPr="00012250">
        <w:lastRenderedPageBreak/>
        <w:t>assess and mitigate the risk of interference with these services. RAGs may also set out the ACMA’s approach to resolving interference disputes.</w:t>
      </w:r>
    </w:p>
    <w:p w14:paraId="756286ED" w14:textId="77777777" w:rsidR="002735C0" w:rsidRPr="00012250" w:rsidRDefault="002735C0" w:rsidP="00100D82">
      <w:pPr>
        <w:ind w:right="992"/>
      </w:pPr>
      <w:r w:rsidRPr="00012250">
        <w:t xml:space="preserve">If interference arises between a spectrum-licensed service and another service, conditions on each of the licences generally provide a path to resolution. We will, however, consider the provisions of the RAGs in resolving the matter. Some provisions may also be incorporated by reference as a licence condition, and hence, would be mandatory for the licensee to meet. </w:t>
      </w:r>
    </w:p>
    <w:p w14:paraId="5FDF1992" w14:textId="0A073DF9" w:rsidR="002735C0" w:rsidRPr="00012250" w:rsidRDefault="002735C0" w:rsidP="00100D82">
      <w:pPr>
        <w:ind w:right="992"/>
      </w:pPr>
      <w:r w:rsidRPr="00012250">
        <w:t xml:space="preserve">Currently, there are </w:t>
      </w:r>
      <w:r w:rsidR="00F54B4C">
        <w:t>2</w:t>
      </w:r>
      <w:r w:rsidR="00F54B4C" w:rsidRPr="00012250">
        <w:t xml:space="preserve"> </w:t>
      </w:r>
      <w:r w:rsidR="00996007">
        <w:t>RAGs</w:t>
      </w:r>
      <w:r w:rsidRPr="00012250">
        <w:t xml:space="preserve"> relevant to the deployment of services in the 3.4 GHz band</w:t>
      </w:r>
      <w:r w:rsidR="00CB1AFF">
        <w:t>,</w:t>
      </w:r>
      <w:r w:rsidRPr="00012250">
        <w:t xml:space="preserve"> the RAG Tx and RAG Rx. The ACMA proposes to amend these RAGs so they encompass the spectrum space defined in the re-allocation declaration and to take into account any licensed services that may be affected as a result.</w:t>
      </w:r>
    </w:p>
    <w:p w14:paraId="47544D0C" w14:textId="4B528591" w:rsidR="00796E43" w:rsidRDefault="00796E43" w:rsidP="00100D82">
      <w:pPr>
        <w:pStyle w:val="Heading2"/>
        <w:ind w:right="992"/>
        <w:rPr>
          <w:rStyle w:val="normaltextrun"/>
          <w:rFonts w:cs="Times New Roman"/>
          <w:b w:val="0"/>
          <w:bCs w:val="0"/>
          <w:iCs w:val="0"/>
          <w:sz w:val="20"/>
          <w:szCs w:val="20"/>
        </w:rPr>
      </w:pPr>
      <w:bookmarkStart w:id="62" w:name="_Toc126917780"/>
      <w:r>
        <w:rPr>
          <w:rStyle w:val="normaltextrun"/>
          <w:szCs w:val="20"/>
        </w:rPr>
        <w:t xml:space="preserve">Summary of </w:t>
      </w:r>
      <w:r w:rsidR="000479DC">
        <w:rPr>
          <w:rStyle w:val="normaltextrun"/>
          <w:szCs w:val="20"/>
        </w:rPr>
        <w:t xml:space="preserve">general </w:t>
      </w:r>
      <w:r w:rsidR="001B596F">
        <w:rPr>
          <w:rStyle w:val="normaltextrun"/>
          <w:szCs w:val="20"/>
        </w:rPr>
        <w:t xml:space="preserve">or common </w:t>
      </w:r>
      <w:r w:rsidR="00D264A4">
        <w:rPr>
          <w:rStyle w:val="normaltextrun"/>
          <w:szCs w:val="20"/>
        </w:rPr>
        <w:t>amendments</w:t>
      </w:r>
      <w:bookmarkEnd w:id="62"/>
    </w:p>
    <w:p w14:paraId="377983F8" w14:textId="3D33492D" w:rsidR="00C50054" w:rsidRDefault="003F381A" w:rsidP="00100D82">
      <w:pPr>
        <w:spacing w:after="80"/>
        <w:ind w:right="992"/>
      </w:pPr>
      <w:r>
        <w:t>Overall, amendments proposed to the existing framework are</w:t>
      </w:r>
      <w:r w:rsidR="00C50054">
        <w:t xml:space="preserve">: </w:t>
      </w:r>
    </w:p>
    <w:p w14:paraId="2A128092" w14:textId="7DA9CBAC" w:rsidR="00012250" w:rsidRPr="00012250" w:rsidRDefault="00012250" w:rsidP="00B7350D">
      <w:pPr>
        <w:pStyle w:val="Bulletlevel1"/>
        <w:ind w:right="992"/>
      </w:pPr>
      <w:r w:rsidRPr="00012250">
        <w:t xml:space="preserve">general updates to align with other </w:t>
      </w:r>
      <w:r w:rsidR="006D3637">
        <w:t xml:space="preserve">spectrum licence technical </w:t>
      </w:r>
      <w:r w:rsidR="001C7F92">
        <w:t>frameworks</w:t>
      </w:r>
      <w:r w:rsidRPr="00012250">
        <w:t xml:space="preserve"> w</w:t>
      </w:r>
      <w:r w:rsidR="00796E43">
        <w:t>h</w:t>
      </w:r>
      <w:r w:rsidRPr="00012250">
        <w:t>ere appropriate</w:t>
      </w:r>
    </w:p>
    <w:p w14:paraId="22DB2AFF" w14:textId="2CBF107E" w:rsidR="00012250" w:rsidRDefault="00620197" w:rsidP="00B7350D">
      <w:pPr>
        <w:pStyle w:val="Bulletlevel1"/>
        <w:ind w:right="992"/>
      </w:pPr>
      <w:r>
        <w:t>u</w:t>
      </w:r>
      <w:r w:rsidR="00F676DF">
        <w:t>pdat</w:t>
      </w:r>
      <w:r w:rsidR="0097308E">
        <w:t>ing the</w:t>
      </w:r>
      <w:r w:rsidR="00012250" w:rsidRPr="00012250">
        <w:t xml:space="preserve"> definition of the 3.4 GHz band to cover the 3400</w:t>
      </w:r>
      <w:r w:rsidR="0087749E">
        <w:t>–</w:t>
      </w:r>
      <w:r w:rsidR="00012250" w:rsidRPr="00012250">
        <w:t>3800 MHz fr</w:t>
      </w:r>
      <w:r w:rsidR="00423D17">
        <w:t>e</w:t>
      </w:r>
      <w:r w:rsidR="00012250" w:rsidRPr="00012250">
        <w:t>q</w:t>
      </w:r>
      <w:r w:rsidR="00C349B6">
        <w:t>u</w:t>
      </w:r>
      <w:r w:rsidR="00012250" w:rsidRPr="00012250">
        <w:t>ency range</w:t>
      </w:r>
    </w:p>
    <w:p w14:paraId="29CF633B" w14:textId="4685D871" w:rsidR="003F0347" w:rsidRDefault="00620197" w:rsidP="00B7350D">
      <w:pPr>
        <w:pStyle w:val="Bulletlevel1"/>
        <w:ind w:right="992"/>
      </w:pPr>
      <w:r>
        <w:t>a</w:t>
      </w:r>
      <w:r w:rsidR="00E30DE2">
        <w:t xml:space="preserve">dding </w:t>
      </w:r>
      <w:r w:rsidR="000D0F2E">
        <w:t xml:space="preserve">or amending </w:t>
      </w:r>
      <w:r w:rsidR="00E30DE2">
        <w:t xml:space="preserve">appropriate coexistence management for </w:t>
      </w:r>
      <w:r w:rsidR="007D0852">
        <w:t xml:space="preserve">services that are now relevant in the band including </w:t>
      </w:r>
      <w:r w:rsidR="006D3637">
        <w:t xml:space="preserve">under </w:t>
      </w:r>
      <w:r w:rsidR="000D0F2E">
        <w:t>AWLs, earth receive stations</w:t>
      </w:r>
      <w:r w:rsidR="00707966">
        <w:t xml:space="preserve">, </w:t>
      </w:r>
      <w:r w:rsidR="005A4FD0">
        <w:t xml:space="preserve">radio-navigation </w:t>
      </w:r>
      <w:r w:rsidR="00AF7EE5">
        <w:t>class-licensed services</w:t>
      </w:r>
      <w:r w:rsidR="00707966">
        <w:t xml:space="preserve"> and incumbent apparatus-licensed services affected by the re-allocation declaration</w:t>
      </w:r>
    </w:p>
    <w:p w14:paraId="38453BC3" w14:textId="420A635D" w:rsidR="00EC223E" w:rsidRDefault="00620197" w:rsidP="00B7350D">
      <w:pPr>
        <w:pStyle w:val="Bulletlevel1"/>
        <w:ind w:right="992"/>
      </w:pPr>
      <w:r>
        <w:t>r</w:t>
      </w:r>
      <w:r w:rsidR="001577BF">
        <w:t>emoval of co-</w:t>
      </w:r>
      <w:r w:rsidR="00A94101">
        <w:t>ordination</w:t>
      </w:r>
      <w:r w:rsidR="001577BF">
        <w:t xml:space="preserve"> requirements with </w:t>
      </w:r>
      <w:r w:rsidR="00A94101">
        <w:t xml:space="preserve">Public Telephony Systems (PTS) as </w:t>
      </w:r>
      <w:r w:rsidR="00171B55">
        <w:t xml:space="preserve">there </w:t>
      </w:r>
      <w:r w:rsidR="00A94101">
        <w:t xml:space="preserve">are no longer </w:t>
      </w:r>
      <w:r w:rsidR="00497452">
        <w:t xml:space="preserve">provisions </w:t>
      </w:r>
      <w:r w:rsidR="00DE479D">
        <w:t>for them</w:t>
      </w:r>
      <w:r w:rsidR="00497452">
        <w:t xml:space="preserve"> </w:t>
      </w:r>
      <w:r w:rsidR="00A94101">
        <w:t>in the band</w:t>
      </w:r>
    </w:p>
    <w:p w14:paraId="4AE3527B" w14:textId="6C243CFF" w:rsidR="003B1C71" w:rsidRDefault="00620197" w:rsidP="00B7350D">
      <w:pPr>
        <w:pStyle w:val="Bulletlevel1last"/>
        <w:ind w:right="992"/>
      </w:pPr>
      <w:r>
        <w:t>u</w:t>
      </w:r>
      <w:r w:rsidR="003B1C71">
        <w:t>pdating of refe</w:t>
      </w:r>
      <w:r w:rsidR="00BB591C">
        <w:t>re</w:t>
      </w:r>
      <w:r w:rsidR="003B1C71">
        <w:t xml:space="preserve">nces as </w:t>
      </w:r>
      <w:r w:rsidR="00021922">
        <w:t xml:space="preserve">some of these, such as </w:t>
      </w:r>
      <w:r w:rsidR="00391A7C">
        <w:t xml:space="preserve">to </w:t>
      </w:r>
      <w:r w:rsidR="003B1C71">
        <w:t>the 3.6 GHz marketing plan instrument</w:t>
      </w:r>
      <w:r w:rsidR="00021922">
        <w:t>, are</w:t>
      </w:r>
      <w:r w:rsidR="003B1C71">
        <w:t xml:space="preserve"> subject to sunsetting</w:t>
      </w:r>
      <w:r w:rsidR="007020D6">
        <w:t xml:space="preserve"> and may or may</w:t>
      </w:r>
      <w:r w:rsidR="00D264A4">
        <w:t xml:space="preserve"> not </w:t>
      </w:r>
      <w:r w:rsidR="007020D6">
        <w:t xml:space="preserve">have been </w:t>
      </w:r>
      <w:r w:rsidR="00EC0782">
        <w:t>remade</w:t>
      </w:r>
      <w:r w:rsidR="003B1C71">
        <w:t xml:space="preserve">. </w:t>
      </w:r>
    </w:p>
    <w:p w14:paraId="73CD118A" w14:textId="3F6F54A0" w:rsidR="00F2357E" w:rsidRDefault="000630F6" w:rsidP="00B7350D">
      <w:pPr>
        <w:pStyle w:val="Heading2"/>
        <w:ind w:right="992"/>
      </w:pPr>
      <w:bookmarkStart w:id="63" w:name="_Toc126917781"/>
      <w:r>
        <w:t xml:space="preserve">Summary of other amendments </w:t>
      </w:r>
      <w:r w:rsidR="00D966E9">
        <w:t xml:space="preserve">to </w:t>
      </w:r>
      <w:r w:rsidR="00590985">
        <w:t>each</w:t>
      </w:r>
      <w:r w:rsidR="00D966E9">
        <w:t xml:space="preserve"> framework element</w:t>
      </w:r>
      <w:bookmarkEnd w:id="63"/>
    </w:p>
    <w:p w14:paraId="5FED0B23" w14:textId="22476113" w:rsidR="003D748C" w:rsidRPr="00012250" w:rsidRDefault="003D748C" w:rsidP="00B7350D">
      <w:pPr>
        <w:ind w:right="992"/>
      </w:pPr>
      <w:r>
        <w:t xml:space="preserve">Proposed other amendments to the relevant elements of the framework are </w:t>
      </w:r>
      <w:r w:rsidR="000346EC">
        <w:br/>
      </w:r>
      <w:r>
        <w:t>described below.</w:t>
      </w:r>
    </w:p>
    <w:p w14:paraId="4F765060" w14:textId="253F37D8" w:rsidR="003D748C" w:rsidRDefault="007966C4" w:rsidP="00B7350D">
      <w:pPr>
        <w:pStyle w:val="Heading3"/>
        <w:ind w:right="992"/>
      </w:pPr>
      <w:r>
        <w:t>Sample</w:t>
      </w:r>
      <w:r w:rsidR="00ED6CE7">
        <w:t xml:space="preserve"> spectrum licence</w:t>
      </w:r>
    </w:p>
    <w:p w14:paraId="0EFD33B7" w14:textId="5834D9D2" w:rsidR="00012250" w:rsidRPr="00012250" w:rsidRDefault="00154571" w:rsidP="00B7350D">
      <w:pPr>
        <w:ind w:right="992"/>
      </w:pPr>
      <w:r>
        <w:t>The sample spectrum licence in the draft marketing plan</w:t>
      </w:r>
      <w:r w:rsidR="00D2744A">
        <w:t xml:space="preserve"> propose</w:t>
      </w:r>
      <w:r>
        <w:t>s</w:t>
      </w:r>
      <w:r w:rsidR="00012250" w:rsidRPr="00012250">
        <w:t xml:space="preserve"> core conditions relating to unwanted emissions</w:t>
      </w:r>
      <w:r w:rsidR="000314A7">
        <w:t xml:space="preserve"> that differ from existing licences near the 3.4/3.7 GHz band</w:t>
      </w:r>
      <w:r w:rsidR="00FA344D">
        <w:t>s</w:t>
      </w:r>
      <w:r w:rsidR="00012250" w:rsidRPr="00012250">
        <w:t xml:space="preserve">. </w:t>
      </w:r>
      <w:r w:rsidR="000D3E7E">
        <w:t>These conditions are crafted</w:t>
      </w:r>
      <w:r w:rsidR="00361921">
        <w:t xml:space="preserve"> to align</w:t>
      </w:r>
      <w:r w:rsidR="00012250" w:rsidRPr="00012250">
        <w:t xml:space="preserve"> with 3GPP standards and </w:t>
      </w:r>
      <w:r w:rsidR="000D3E7E">
        <w:t xml:space="preserve">to </w:t>
      </w:r>
      <w:r w:rsidR="00012250" w:rsidRPr="00012250">
        <w:t xml:space="preserve">update </w:t>
      </w:r>
      <w:r w:rsidR="006E004F">
        <w:t xml:space="preserve">the </w:t>
      </w:r>
      <w:r w:rsidR="00012250" w:rsidRPr="00012250">
        <w:t>frequency range</w:t>
      </w:r>
      <w:r w:rsidR="000642C6">
        <w:t xml:space="preserve"> over which</w:t>
      </w:r>
      <w:r w:rsidR="00012250" w:rsidRPr="00012250">
        <w:t xml:space="preserve"> they apply to account for the re-allocation declaration. </w:t>
      </w:r>
      <w:r w:rsidR="002F5A22">
        <w:t xml:space="preserve">Responses </w:t>
      </w:r>
      <w:r w:rsidR="000D3E7E">
        <w:t xml:space="preserve">from </w:t>
      </w:r>
      <w:r w:rsidR="002F5A22">
        <w:t>the TLG in relation to these amendments were supportive</w:t>
      </w:r>
      <w:r w:rsidR="003F04A2">
        <w:t>.</w:t>
      </w:r>
    </w:p>
    <w:p w14:paraId="03E40AFE" w14:textId="77777777" w:rsidR="00E40E6B" w:rsidRDefault="00E40E6B" w:rsidP="005347BD">
      <w:pPr>
        <w:ind w:right="992"/>
      </w:pPr>
      <w:r>
        <w:t xml:space="preserve">A new clause (the RAG Tx clause) has been added to Licence Schedule 4 which requires licence holders to comply with new clauses in the amended RAG Tx concerning management of coexistence with radio-navigation services (i.e., radio altimeters) which operate under a class licence in the 4200-4400 MHz band. </w:t>
      </w:r>
    </w:p>
    <w:p w14:paraId="5E865A49" w14:textId="77777777" w:rsidR="00E40E6B" w:rsidRDefault="00E40E6B" w:rsidP="005347BD">
      <w:pPr>
        <w:ind w:right="992"/>
      </w:pPr>
      <w:r>
        <w:t xml:space="preserve">The ACMA presently does not intend to include the RAG Tx clause in the final version of the sample spectrum licence in the draft marketing plan. However, the RAG Tx clause remains in the sample spectrum licence for consultation, to illustrate how such a condition would be implemented if the ACMA reconsidered that position. </w:t>
      </w:r>
    </w:p>
    <w:p w14:paraId="2D9C3D2B" w14:textId="28704595" w:rsidR="00012250" w:rsidRPr="00012250" w:rsidRDefault="00C71BC3" w:rsidP="00B7350D">
      <w:pPr>
        <w:ind w:right="992"/>
      </w:pPr>
      <w:r>
        <w:t xml:space="preserve">For details on other aspects of the sample licence please refer to the Draft marketing plan section of this paper. </w:t>
      </w:r>
    </w:p>
    <w:p w14:paraId="5DE356C9" w14:textId="2A9E1E3C" w:rsidR="00012250" w:rsidRPr="00481478" w:rsidRDefault="00012250" w:rsidP="00B7350D">
      <w:pPr>
        <w:pStyle w:val="Heading3"/>
        <w:ind w:right="992"/>
      </w:pPr>
      <w:r w:rsidRPr="0021571E">
        <w:lastRenderedPageBreak/>
        <w:t>Unacceptable level</w:t>
      </w:r>
      <w:r w:rsidRPr="000C74BA">
        <w:t>s of interference</w:t>
      </w:r>
      <w:bookmarkEnd w:id="58"/>
      <w:bookmarkEnd w:id="59"/>
      <w:r w:rsidRPr="000C74BA">
        <w:t xml:space="preserve"> </w:t>
      </w:r>
      <w:r w:rsidR="00826326">
        <w:t>(s.145</w:t>
      </w:r>
      <w:r w:rsidR="00E44F5F">
        <w:t xml:space="preserve"> determination</w:t>
      </w:r>
      <w:r w:rsidR="00826326">
        <w:t>)</w:t>
      </w:r>
    </w:p>
    <w:p w14:paraId="49D0A1AF" w14:textId="2874F0F8" w:rsidR="00012250" w:rsidRPr="00012250" w:rsidRDefault="00012250" w:rsidP="00B7350D">
      <w:pPr>
        <w:ind w:right="992"/>
      </w:pPr>
      <w:r w:rsidRPr="00012250">
        <w:t>We consider the s.145 determination is generally fit for purpose</w:t>
      </w:r>
      <w:r w:rsidR="00715542">
        <w:t>, but it has been amended to reflect the general amendments</w:t>
      </w:r>
      <w:r w:rsidR="00C12070">
        <w:t xml:space="preserve"> described</w:t>
      </w:r>
      <w:r w:rsidR="00715542">
        <w:t xml:space="preserve"> above.</w:t>
      </w:r>
    </w:p>
    <w:p w14:paraId="2B642691" w14:textId="0ABF4E6C" w:rsidR="00012250" w:rsidRPr="00481478" w:rsidRDefault="00012250" w:rsidP="00B7350D">
      <w:pPr>
        <w:pStyle w:val="Heading3"/>
        <w:ind w:right="992"/>
      </w:pPr>
      <w:bookmarkStart w:id="64" w:name="_Toc328403873"/>
      <w:bookmarkStart w:id="65" w:name="_Toc367692837"/>
      <w:bookmarkStart w:id="66" w:name="_Toc367693441"/>
      <w:bookmarkStart w:id="67" w:name="_Toc367881973"/>
      <w:bookmarkStart w:id="68" w:name="_Toc403740555"/>
      <w:bookmarkStart w:id="69" w:name="_Toc404333450"/>
      <w:bookmarkStart w:id="70" w:name="_Toc513143744"/>
      <w:bookmarkStart w:id="71" w:name="_Toc514146658"/>
      <w:r w:rsidRPr="0021571E">
        <w:t>Managing interference from s</w:t>
      </w:r>
      <w:r w:rsidRPr="000C74BA">
        <w:t>pectrum-licensed transmitters</w:t>
      </w:r>
      <w:bookmarkEnd w:id="64"/>
      <w:bookmarkEnd w:id="65"/>
      <w:bookmarkEnd w:id="66"/>
      <w:bookmarkEnd w:id="67"/>
      <w:bookmarkEnd w:id="68"/>
      <w:bookmarkEnd w:id="69"/>
      <w:bookmarkEnd w:id="70"/>
      <w:bookmarkEnd w:id="71"/>
      <w:r w:rsidR="00826326">
        <w:t xml:space="preserve"> (RAG Tx)</w:t>
      </w:r>
    </w:p>
    <w:p w14:paraId="3C2853FB" w14:textId="387B0C21" w:rsidR="00012250" w:rsidRPr="00012250" w:rsidRDefault="00012250" w:rsidP="00B7350D">
      <w:pPr>
        <w:ind w:right="992"/>
      </w:pPr>
      <w:r w:rsidRPr="00012250">
        <w:t xml:space="preserve">The RAG Tx provides guidance on the protection of apparatus and class-licensed receivers from interference caused by transmitters operating under a spectrum licence. </w:t>
      </w:r>
      <w:r w:rsidR="00A01B95">
        <w:t>O</w:t>
      </w:r>
      <w:r w:rsidR="008841BD">
        <w:t>ther</w:t>
      </w:r>
      <w:r w:rsidRPr="00012250">
        <w:t xml:space="preserve"> </w:t>
      </w:r>
      <w:r w:rsidR="00A01B95">
        <w:t>k</w:t>
      </w:r>
      <w:r w:rsidR="00A01B95" w:rsidRPr="00012250">
        <w:t>ey</w:t>
      </w:r>
      <w:r w:rsidR="00A01B95">
        <w:t xml:space="preserve"> </w:t>
      </w:r>
      <w:r w:rsidRPr="00012250">
        <w:t>changes proposed to the RAG Tx include</w:t>
      </w:r>
      <w:r w:rsidR="00596B10">
        <w:t xml:space="preserve"> the matters set </w:t>
      </w:r>
      <w:r w:rsidR="000346EC">
        <w:br/>
      </w:r>
      <w:r w:rsidR="00596B10">
        <w:t>out below.</w:t>
      </w:r>
    </w:p>
    <w:p w14:paraId="3FD68BC0" w14:textId="4226255B" w:rsidR="00F40E35" w:rsidRDefault="00802006" w:rsidP="00B7350D">
      <w:pPr>
        <w:ind w:right="992"/>
      </w:pPr>
      <w:r>
        <w:t>The ACMA proposes to a</w:t>
      </w:r>
      <w:r w:rsidR="00012250" w:rsidRPr="00012250">
        <w:t>mend</w:t>
      </w:r>
      <w:r>
        <w:t xml:space="preserve"> the provisions about</w:t>
      </w:r>
      <w:r w:rsidR="00012250" w:rsidRPr="00012250">
        <w:t xml:space="preserve"> the</w:t>
      </w:r>
      <w:r w:rsidR="00AF548A">
        <w:t xml:space="preserve"> coordination with earth receive stations as there may now be spectrum licensed transmitters </w:t>
      </w:r>
      <w:r w:rsidR="00BB2120">
        <w:t xml:space="preserve">on frequencies below, on or above </w:t>
      </w:r>
      <w:r w:rsidR="00E2269F">
        <w:t>earth receive stations</w:t>
      </w:r>
      <w:r w:rsidR="0021227F">
        <w:t xml:space="preserve"> in adjacent geographic </w:t>
      </w:r>
      <w:r w:rsidR="00BD538F">
        <w:t>areas</w:t>
      </w:r>
      <w:r w:rsidR="00E2269F">
        <w:t>.</w:t>
      </w:r>
      <w:r w:rsidR="00273757">
        <w:t xml:space="preserve"> </w:t>
      </w:r>
      <w:r w:rsidR="00F40E35">
        <w:t xml:space="preserve">This </w:t>
      </w:r>
      <w:r w:rsidR="00DC0A96">
        <w:t xml:space="preserve">is proposed to be managed by the </w:t>
      </w:r>
      <w:r w:rsidR="008362D4">
        <w:t xml:space="preserve">modification of the </w:t>
      </w:r>
      <w:r w:rsidR="00991C09">
        <w:t>provisions</w:t>
      </w:r>
      <w:r w:rsidR="00F21936">
        <w:t xml:space="preserve"> </w:t>
      </w:r>
      <w:r w:rsidR="00AE3C99">
        <w:t xml:space="preserve">in relation to the application of an assumed </w:t>
      </w:r>
      <w:r w:rsidR="00D36DCC">
        <w:t>radiofrequency (</w:t>
      </w:r>
      <w:r w:rsidR="00AE3C99">
        <w:t>RF</w:t>
      </w:r>
      <w:r w:rsidR="00D36DCC">
        <w:t>)</w:t>
      </w:r>
      <w:r w:rsidR="00AE3C99">
        <w:t xml:space="preserve"> filter to an earth receive station.</w:t>
      </w:r>
      <w:r w:rsidR="00AE1F7E">
        <w:t xml:space="preserve"> </w:t>
      </w:r>
      <w:r w:rsidR="003B3773">
        <w:t>If the</w:t>
      </w:r>
      <w:r w:rsidR="00AE1F7E">
        <w:t xml:space="preserve"> station was registered under </w:t>
      </w:r>
      <w:r w:rsidR="00735248">
        <w:t>its</w:t>
      </w:r>
      <w:r w:rsidR="00AE1F7E">
        <w:t xml:space="preserve"> licence after the re</w:t>
      </w:r>
      <w:r w:rsidR="00970698">
        <w:t>-</w:t>
      </w:r>
      <w:r w:rsidR="00AE1F7E">
        <w:t>allocation declaration was made</w:t>
      </w:r>
      <w:r w:rsidR="003B3773">
        <w:t xml:space="preserve"> then a</w:t>
      </w:r>
      <w:r w:rsidR="00133D60">
        <w:t>n</w:t>
      </w:r>
      <w:r w:rsidR="003B3773">
        <w:t xml:space="preserve"> RF filter is assumed to exist both at the upper and lower edges of the </w:t>
      </w:r>
      <w:r w:rsidR="002D2541">
        <w:t>licen</w:t>
      </w:r>
      <w:r w:rsidR="006D0869">
        <w:t>s</w:t>
      </w:r>
      <w:r w:rsidR="002D2541">
        <w:t>ed bandwidth, rather than just the lower edge.</w:t>
      </w:r>
    </w:p>
    <w:p w14:paraId="65651BB9" w14:textId="0DCA24E3" w:rsidR="00012250" w:rsidRDefault="008B4BBD" w:rsidP="00B7350D">
      <w:pPr>
        <w:ind w:right="992"/>
      </w:pPr>
      <w:r>
        <w:t>T</w:t>
      </w:r>
      <w:r w:rsidR="00273757">
        <w:t xml:space="preserve">here were views </w:t>
      </w:r>
      <w:r>
        <w:t xml:space="preserve">expressed </w:t>
      </w:r>
      <w:r w:rsidR="00273757">
        <w:t xml:space="preserve">in the TLG that </w:t>
      </w:r>
      <w:r w:rsidR="00E73734">
        <w:t xml:space="preserve">the </w:t>
      </w:r>
      <w:r w:rsidR="00E5141C">
        <w:t>attenuation</w:t>
      </w:r>
      <w:r w:rsidR="00E73734">
        <w:t xml:space="preserve"> performance of the RF filter </w:t>
      </w:r>
      <w:r w:rsidR="00C26A4F">
        <w:t>detai</w:t>
      </w:r>
      <w:r w:rsidR="006C3D6E">
        <w:t>l</w:t>
      </w:r>
      <w:r w:rsidR="00C26A4F">
        <w:t xml:space="preserve">ed in </w:t>
      </w:r>
      <w:r w:rsidR="00E73734">
        <w:t xml:space="preserve">table 1 of </w:t>
      </w:r>
      <w:r w:rsidR="00E662D3">
        <w:t xml:space="preserve">clause </w:t>
      </w:r>
      <w:r w:rsidR="00E73734">
        <w:t>4.</w:t>
      </w:r>
      <w:r w:rsidR="005661FB">
        <w:t xml:space="preserve">3 </w:t>
      </w:r>
      <w:r w:rsidR="005C2F1A">
        <w:t xml:space="preserve">(also in </w:t>
      </w:r>
      <w:r w:rsidR="000C07D3">
        <w:t xml:space="preserve">table 8 of RALI </w:t>
      </w:r>
      <w:r w:rsidR="005C2F1A">
        <w:t>MS47 for AWLs)</w:t>
      </w:r>
      <w:r w:rsidR="00E73734">
        <w:t xml:space="preserve"> </w:t>
      </w:r>
      <w:r w:rsidR="00D941C3">
        <w:t xml:space="preserve">should be changed to reflect current technology, and that </w:t>
      </w:r>
      <w:r w:rsidR="00FD61B2">
        <w:t xml:space="preserve">protection </w:t>
      </w:r>
      <w:r w:rsidR="002D4582">
        <w:t xml:space="preserve">values for earth station receivers should be </w:t>
      </w:r>
      <w:r w:rsidR="00A87F21">
        <w:t>changed</w:t>
      </w:r>
      <w:r w:rsidR="00141040">
        <w:t>.</w:t>
      </w:r>
      <w:r w:rsidR="00A87F21">
        <w:t xml:space="preserve"> </w:t>
      </w:r>
      <w:r w:rsidR="00141040">
        <w:t xml:space="preserve">While </w:t>
      </w:r>
      <w:r w:rsidR="00A87F21">
        <w:t>we are not proposing to update any of these parameters at this point</w:t>
      </w:r>
      <w:r w:rsidR="00905FCA">
        <w:t xml:space="preserve">, </w:t>
      </w:r>
      <w:r w:rsidR="00113220">
        <w:t>w</w:t>
      </w:r>
      <w:r w:rsidR="00E544CE">
        <w:t>e welcome specific evidence and p</w:t>
      </w:r>
      <w:r w:rsidR="009D4C50">
        <w:t xml:space="preserve">roposals </w:t>
      </w:r>
      <w:r w:rsidR="001439AA">
        <w:t>for changes to these elements.</w:t>
      </w:r>
    </w:p>
    <w:p w14:paraId="62A0A789" w14:textId="70AE2D8E" w:rsidR="00F527DF" w:rsidRDefault="001A51A2" w:rsidP="00B7350D">
      <w:pPr>
        <w:spacing w:after="80"/>
        <w:ind w:right="992"/>
      </w:pPr>
      <w:r>
        <w:t xml:space="preserve">Some satellite sector members in the TLG </w:t>
      </w:r>
      <w:r w:rsidR="009A04FB">
        <w:t xml:space="preserve">reiterated comments in relation to </w:t>
      </w:r>
      <w:r w:rsidR="001B6906">
        <w:t xml:space="preserve">the practicalities of </w:t>
      </w:r>
      <w:r w:rsidR="009A04FB">
        <w:t>RF filtering</w:t>
      </w:r>
      <w:r w:rsidR="001B6906">
        <w:t>,</w:t>
      </w:r>
      <w:r w:rsidR="009A04FB">
        <w:t xml:space="preserve"> </w:t>
      </w:r>
      <w:r w:rsidR="00D700F6">
        <w:t xml:space="preserve">and the ACMA proposal to </w:t>
      </w:r>
      <w:r w:rsidR="006C215E">
        <w:t xml:space="preserve">allow </w:t>
      </w:r>
      <w:r w:rsidR="007B6DEC">
        <w:t xml:space="preserve">earth </w:t>
      </w:r>
      <w:r w:rsidR="00E5141C">
        <w:t xml:space="preserve">receive </w:t>
      </w:r>
      <w:r w:rsidR="007B6DEC">
        <w:t>station</w:t>
      </w:r>
      <w:r w:rsidR="00703A92">
        <w:t xml:space="preserve">s </w:t>
      </w:r>
      <w:r w:rsidR="00024627">
        <w:t xml:space="preserve">to </w:t>
      </w:r>
      <w:r w:rsidR="00EE354A">
        <w:t xml:space="preserve">have </w:t>
      </w:r>
      <w:r w:rsidR="003F6C8A">
        <w:t xml:space="preserve">a licensed bandwidth, based on </w:t>
      </w:r>
      <w:r w:rsidR="002B2CF7">
        <w:t xml:space="preserve">a </w:t>
      </w:r>
      <w:r w:rsidR="005121AD">
        <w:t>practical RF filter bandwidth</w:t>
      </w:r>
      <w:r w:rsidR="003F6C8A">
        <w:t>,</w:t>
      </w:r>
      <w:r w:rsidR="0046374C">
        <w:rPr>
          <w:rStyle w:val="FootnoteReference"/>
        </w:rPr>
        <w:footnoteReference w:id="30"/>
      </w:r>
      <w:r w:rsidR="00EE354A">
        <w:t xml:space="preserve"> tha</w:t>
      </w:r>
      <w:r w:rsidR="00F63A13">
        <w:t>t is different to that used for satellite coordination</w:t>
      </w:r>
      <w:r w:rsidR="00FE0F4D">
        <w:t>:</w:t>
      </w:r>
    </w:p>
    <w:p w14:paraId="1F81D586" w14:textId="36EE2A82" w:rsidR="00FE0F4D" w:rsidRDefault="007B3114" w:rsidP="00B7350D">
      <w:pPr>
        <w:pStyle w:val="ListParagraph"/>
        <w:numPr>
          <w:ilvl w:val="0"/>
          <w:numId w:val="107"/>
        </w:numPr>
        <w:spacing w:after="80"/>
        <w:ind w:left="714" w:right="992" w:hanging="357"/>
        <w:contextualSpacing w:val="0"/>
      </w:pPr>
      <w:r>
        <w:t xml:space="preserve">Employing custom RF filters to </w:t>
      </w:r>
      <w:r w:rsidR="008970E0">
        <w:t>minimise licen</w:t>
      </w:r>
      <w:r w:rsidR="00106BE6">
        <w:t>s</w:t>
      </w:r>
      <w:r w:rsidR="008970E0">
        <w:t xml:space="preserve">ed bandwidth at any time is very costly and </w:t>
      </w:r>
      <w:r w:rsidR="002F3823">
        <w:t>may require new filters when there are carrier changes.</w:t>
      </w:r>
    </w:p>
    <w:p w14:paraId="3E7CC07D" w14:textId="062FBD14" w:rsidR="002F3823" w:rsidRDefault="002F3823" w:rsidP="00B7350D">
      <w:pPr>
        <w:pStyle w:val="ListParagraph"/>
        <w:numPr>
          <w:ilvl w:val="0"/>
          <w:numId w:val="107"/>
        </w:numPr>
        <w:ind w:right="992"/>
      </w:pPr>
      <w:r>
        <w:t xml:space="preserve">Employing </w:t>
      </w:r>
      <w:r w:rsidR="002A51BE">
        <w:t xml:space="preserve">more standard </w:t>
      </w:r>
      <w:r w:rsidR="00910742">
        <w:t xml:space="preserve">RF </w:t>
      </w:r>
      <w:r w:rsidR="002A51BE">
        <w:t xml:space="preserve">filters </w:t>
      </w:r>
      <w:r w:rsidR="004D3D26">
        <w:t xml:space="preserve">with wider </w:t>
      </w:r>
      <w:r w:rsidR="008D652B">
        <w:t xml:space="preserve">bandwidths would result in </w:t>
      </w:r>
      <w:r w:rsidR="00C11C76">
        <w:t>high</w:t>
      </w:r>
      <w:r w:rsidR="0057746E">
        <w:t>er</w:t>
      </w:r>
      <w:r w:rsidR="00C11C76">
        <w:t xml:space="preserve"> </w:t>
      </w:r>
      <w:r w:rsidR="006B6CA1">
        <w:t>receiver</w:t>
      </w:r>
      <w:r w:rsidR="00C11C76">
        <w:t xml:space="preserve"> licence taxes, especially in </w:t>
      </w:r>
      <w:r w:rsidR="00547988">
        <w:t>metropolitan areas.</w:t>
      </w:r>
    </w:p>
    <w:p w14:paraId="751447A2" w14:textId="79C7A93C" w:rsidR="00E87626" w:rsidRDefault="00547988" w:rsidP="00B7350D">
      <w:pPr>
        <w:ind w:right="992"/>
      </w:pPr>
      <w:r>
        <w:t>The ACMA notes the</w:t>
      </w:r>
      <w:r w:rsidR="00B31174">
        <w:t>se</w:t>
      </w:r>
      <w:r>
        <w:t xml:space="preserve"> concerns</w:t>
      </w:r>
      <w:r w:rsidR="00F013EC">
        <w:t xml:space="preserve">. However, </w:t>
      </w:r>
      <w:r w:rsidR="0027354B">
        <w:t xml:space="preserve">this </w:t>
      </w:r>
      <w:r w:rsidR="000A7A4A">
        <w:t xml:space="preserve">earth receive station </w:t>
      </w:r>
      <w:r w:rsidR="009230B3">
        <w:t xml:space="preserve">licensing approach </w:t>
      </w:r>
      <w:r w:rsidR="00147138">
        <w:t>is</w:t>
      </w:r>
      <w:r w:rsidR="00B66D98">
        <w:t xml:space="preserve"> proposed to be introduced </w:t>
      </w:r>
      <w:r w:rsidR="00474823">
        <w:t xml:space="preserve">to give </w:t>
      </w:r>
      <w:r w:rsidR="00642A12">
        <w:t xml:space="preserve">earth </w:t>
      </w:r>
      <w:r w:rsidR="000A7A4A">
        <w:t xml:space="preserve">receive </w:t>
      </w:r>
      <w:r w:rsidR="00642A12">
        <w:t>station licensees both certainty and flexibility</w:t>
      </w:r>
      <w:r w:rsidR="00F92E56">
        <w:t xml:space="preserve"> around </w:t>
      </w:r>
      <w:r w:rsidR="00A37B75">
        <w:t>coordination with WBB services</w:t>
      </w:r>
      <w:r w:rsidR="00642A12">
        <w:t xml:space="preserve">. </w:t>
      </w:r>
      <w:r w:rsidR="00302135">
        <w:t xml:space="preserve">Our view remains that this is a practical </w:t>
      </w:r>
      <w:r w:rsidR="001A4BA7">
        <w:t xml:space="preserve">approach given the </w:t>
      </w:r>
      <w:r w:rsidR="003E109C">
        <w:t>in</w:t>
      </w:r>
      <w:r w:rsidR="00C95221">
        <w:t xml:space="preserve">troduction of </w:t>
      </w:r>
      <w:r w:rsidR="00534069">
        <w:t>WBB into</w:t>
      </w:r>
      <w:r w:rsidR="00C95221">
        <w:t xml:space="preserve"> the band</w:t>
      </w:r>
      <w:r w:rsidR="008312B9">
        <w:t xml:space="preserve"> and the potential for earth receive stations to deny large amounts of </w:t>
      </w:r>
      <w:r w:rsidR="008312B9" w:rsidRPr="00466F3B">
        <w:t>spectrum</w:t>
      </w:r>
      <w:r w:rsidR="00AA4EBB">
        <w:t xml:space="preserve"> space</w:t>
      </w:r>
      <w:r w:rsidR="008312B9" w:rsidRPr="00466F3B">
        <w:t>.</w:t>
      </w:r>
    </w:p>
    <w:p w14:paraId="57AE2832" w14:textId="156A52EC" w:rsidR="00A6439E" w:rsidRDefault="000B2530" w:rsidP="00B7350D">
      <w:pPr>
        <w:spacing w:after="80"/>
        <w:ind w:right="992"/>
      </w:pPr>
      <w:r>
        <w:t xml:space="preserve">The TLG paper had asked for views on </w:t>
      </w:r>
      <w:r w:rsidR="00174614">
        <w:t xml:space="preserve">coordination with earth station receivers </w:t>
      </w:r>
      <w:r w:rsidR="00AE568B">
        <w:t xml:space="preserve">concerning the application of the RF filter </w:t>
      </w:r>
      <w:r w:rsidR="00942D74">
        <w:t xml:space="preserve">on either the </w:t>
      </w:r>
      <w:r w:rsidR="00944132">
        <w:t xml:space="preserve">lower frequency </w:t>
      </w:r>
      <w:r w:rsidR="00836EF1">
        <w:t xml:space="preserve">only </w:t>
      </w:r>
      <w:r w:rsidR="00944132">
        <w:t xml:space="preserve">of the earth station licence or on both </w:t>
      </w:r>
      <w:r w:rsidR="003F5006">
        <w:t xml:space="preserve">lower and upper </w:t>
      </w:r>
      <w:r w:rsidR="00706CB5">
        <w:t>frequencie</w:t>
      </w:r>
      <w:r w:rsidR="006E392F">
        <w:t>s</w:t>
      </w:r>
      <w:r w:rsidR="00944132">
        <w:t xml:space="preserve">. The TLG paper proposed a number of scenarios </w:t>
      </w:r>
      <w:r w:rsidR="00132C3F">
        <w:t xml:space="preserve">related to the reallocation period and </w:t>
      </w:r>
      <w:r w:rsidR="00415A6A">
        <w:t xml:space="preserve">whether the earth station was </w:t>
      </w:r>
      <w:r w:rsidR="002951D9">
        <w:t xml:space="preserve">registered </w:t>
      </w:r>
      <w:r w:rsidR="00945010">
        <w:t>i</w:t>
      </w:r>
      <w:r w:rsidR="002951D9">
        <w:t>n the Register of Radiocommunications Licences before the re-allocation declaration was made. After considering the outcomes of the TLG, the ACMA proposes that:</w:t>
      </w:r>
    </w:p>
    <w:p w14:paraId="6EF93811" w14:textId="3A853C9B" w:rsidR="00B410A8" w:rsidRPr="00B410A8" w:rsidRDefault="00102BC3" w:rsidP="00B7350D">
      <w:pPr>
        <w:pStyle w:val="ListParagraph"/>
        <w:numPr>
          <w:ilvl w:val="0"/>
          <w:numId w:val="117"/>
        </w:numPr>
        <w:ind w:right="992"/>
      </w:pPr>
      <w:r>
        <w:t>For coordination of spectrum licen</w:t>
      </w:r>
      <w:r w:rsidR="00572789">
        <w:t>s</w:t>
      </w:r>
      <w:r>
        <w:t>ed transmitter</w:t>
      </w:r>
      <w:r w:rsidR="00855DEE">
        <w:t>s</w:t>
      </w:r>
      <w:r>
        <w:t xml:space="preserve"> </w:t>
      </w:r>
      <w:r w:rsidR="00CA6859">
        <w:t xml:space="preserve">occurring </w:t>
      </w:r>
      <w:r>
        <w:t xml:space="preserve">before the end of the reallocation period, </w:t>
      </w:r>
      <w:r w:rsidR="00CA6859">
        <w:t xml:space="preserve">with </w:t>
      </w:r>
      <w:r>
        <w:t xml:space="preserve">earth </w:t>
      </w:r>
      <w:r w:rsidR="004D4A0F">
        <w:t xml:space="preserve">receive </w:t>
      </w:r>
      <w:r>
        <w:t>stations first registered before the start of the reallocation period, then filtering at the lower edge only is to be assumed</w:t>
      </w:r>
      <w:r w:rsidR="009564EB">
        <w:t>,</w:t>
      </w:r>
      <w:r>
        <w:t xml:space="preserve"> </w:t>
      </w:r>
      <w:r w:rsidR="00B410A8" w:rsidRPr="00B410A8">
        <w:t xml:space="preserve">and when there are multiple earth receive licences operating on the </w:t>
      </w:r>
      <w:r w:rsidR="00B410A8" w:rsidRPr="00B410A8">
        <w:lastRenderedPageBreak/>
        <w:t>same antenna, the RF filter should only be applied from the lower edge of the lowest frequency licence.</w:t>
      </w:r>
      <w:r w:rsidR="0028298F">
        <w:t xml:space="preserve"> This is the provision in the extant </w:t>
      </w:r>
      <w:r w:rsidR="00855DEE">
        <w:t>framework.</w:t>
      </w:r>
    </w:p>
    <w:p w14:paraId="5B7C0A47" w14:textId="2C78E5D3" w:rsidR="00B02AFA" w:rsidRPr="00466F3B" w:rsidRDefault="006513D2" w:rsidP="00B7350D">
      <w:pPr>
        <w:pStyle w:val="ListParagraph"/>
        <w:numPr>
          <w:ilvl w:val="0"/>
          <w:numId w:val="117"/>
        </w:numPr>
        <w:ind w:right="992"/>
      </w:pPr>
      <w:r>
        <w:t xml:space="preserve">For </w:t>
      </w:r>
      <w:r w:rsidR="004E2289">
        <w:t>all other cases</w:t>
      </w:r>
      <w:r>
        <w:t xml:space="preserve">, filtering at </w:t>
      </w:r>
      <w:r w:rsidR="00772D22">
        <w:t xml:space="preserve">both </w:t>
      </w:r>
      <w:r w:rsidR="00FD1BD3">
        <w:t xml:space="preserve">lower and upper </w:t>
      </w:r>
      <w:r w:rsidR="00772D22">
        <w:t>edges</w:t>
      </w:r>
      <w:r>
        <w:t xml:space="preserve"> is to be assumed</w:t>
      </w:r>
      <w:r w:rsidR="00772D22">
        <w:t>.</w:t>
      </w:r>
    </w:p>
    <w:p w14:paraId="292D283A" w14:textId="1CE741D4" w:rsidR="00772D22" w:rsidRPr="00466F3B" w:rsidRDefault="00670948" w:rsidP="00B7350D">
      <w:pPr>
        <w:ind w:right="992"/>
      </w:pPr>
      <w:r>
        <w:t xml:space="preserve">These provisions will allow a reasonable period of time for </w:t>
      </w:r>
      <w:r w:rsidR="00FA485F">
        <w:t xml:space="preserve">incumbent </w:t>
      </w:r>
      <w:r>
        <w:t>earth station</w:t>
      </w:r>
      <w:r w:rsidR="00B63BEF">
        <w:t xml:space="preserve"> licensees to fit new RF filters and </w:t>
      </w:r>
      <w:r w:rsidR="00C43E1D">
        <w:t xml:space="preserve">obtain new licences that reflect the </w:t>
      </w:r>
      <w:r w:rsidR="00314DE8">
        <w:t>filtering, should they wish.</w:t>
      </w:r>
    </w:p>
    <w:p w14:paraId="55078E8F" w14:textId="4FDB8C74" w:rsidR="000D297C" w:rsidRPr="00466F3B" w:rsidRDefault="00E4110A" w:rsidP="00B7350D">
      <w:pPr>
        <w:ind w:right="992"/>
      </w:pPr>
      <w:r w:rsidRPr="00466F3B">
        <w:t xml:space="preserve">The ACMA had proposed to extend </w:t>
      </w:r>
      <w:r w:rsidR="005425DF">
        <w:t>sections</w:t>
      </w:r>
      <w:r w:rsidR="005425DF" w:rsidRPr="00466F3B">
        <w:t xml:space="preserve"> </w:t>
      </w:r>
      <w:r w:rsidRPr="00466F3B">
        <w:t xml:space="preserve">8.1 and 8.2 </w:t>
      </w:r>
      <w:r w:rsidR="005425DF">
        <w:t xml:space="preserve">of the RAG Tx </w:t>
      </w:r>
      <w:r w:rsidR="00526EAF" w:rsidRPr="00466F3B">
        <w:t xml:space="preserve">to both AWLs and </w:t>
      </w:r>
      <w:r w:rsidR="0075387A">
        <w:t>spectrum licences</w:t>
      </w:r>
      <w:r w:rsidR="0075387A" w:rsidRPr="00466F3B">
        <w:t xml:space="preserve"> </w:t>
      </w:r>
      <w:r w:rsidR="00526EAF" w:rsidRPr="00466F3B">
        <w:t xml:space="preserve">rather than </w:t>
      </w:r>
      <w:r w:rsidR="0075387A">
        <w:t>spectrum licences</w:t>
      </w:r>
      <w:r w:rsidR="0075387A" w:rsidRPr="00466F3B">
        <w:t xml:space="preserve"> </w:t>
      </w:r>
      <w:r w:rsidR="00CF7693" w:rsidRPr="00466F3B">
        <w:t>alone.</w:t>
      </w:r>
      <w:r w:rsidR="00F55473" w:rsidRPr="00466F3B">
        <w:t xml:space="preserve"> </w:t>
      </w:r>
      <w:r w:rsidR="0075387A">
        <w:t>Telecommunications</w:t>
      </w:r>
      <w:r w:rsidR="0075387A" w:rsidRPr="00466F3B">
        <w:t xml:space="preserve"> </w:t>
      </w:r>
      <w:r w:rsidR="008C3015" w:rsidRPr="00466F3B">
        <w:t>TLG member views w</w:t>
      </w:r>
      <w:r w:rsidR="006D7F5F">
        <w:t>er</w:t>
      </w:r>
      <w:r w:rsidR="00DC14FC">
        <w:t>e</w:t>
      </w:r>
      <w:r w:rsidR="008C3015" w:rsidRPr="00466F3B">
        <w:t xml:space="preserve"> that doing so </w:t>
      </w:r>
      <w:r w:rsidR="0075387A">
        <w:t>would be</w:t>
      </w:r>
      <w:r w:rsidR="0075387A" w:rsidRPr="00466F3B">
        <w:t xml:space="preserve"> </w:t>
      </w:r>
      <w:r w:rsidR="008C3015" w:rsidRPr="00466F3B">
        <w:t xml:space="preserve">both </w:t>
      </w:r>
      <w:r w:rsidR="001E038C" w:rsidRPr="00466F3B">
        <w:t xml:space="preserve">unnecessary and </w:t>
      </w:r>
      <w:r w:rsidR="00B84B80" w:rsidRPr="00466F3B">
        <w:t>burdensome</w:t>
      </w:r>
      <w:r w:rsidR="00D2068D" w:rsidRPr="00466F3B">
        <w:t xml:space="preserve">, given AWLs </w:t>
      </w:r>
      <w:r w:rsidR="0018628F" w:rsidRPr="00466F3B">
        <w:t xml:space="preserve">have a stricter </w:t>
      </w:r>
      <w:r w:rsidR="0075387A">
        <w:t>d</w:t>
      </w:r>
      <w:r w:rsidR="00FC3C3D" w:rsidRPr="00466F3B">
        <w:t xml:space="preserve">evice </w:t>
      </w:r>
      <w:r w:rsidR="0075387A">
        <w:t>b</w:t>
      </w:r>
      <w:r w:rsidR="00FC3C3D" w:rsidRPr="00466F3B">
        <w:t xml:space="preserve">oundary </w:t>
      </w:r>
      <w:r w:rsidR="0075387A">
        <w:t>criterion</w:t>
      </w:r>
      <w:r w:rsidR="0075387A" w:rsidRPr="00466F3B">
        <w:t xml:space="preserve"> </w:t>
      </w:r>
      <w:r w:rsidR="00FC3C3D" w:rsidRPr="00466F3B">
        <w:t>(</w:t>
      </w:r>
      <w:r w:rsidR="00F54B4C">
        <w:t>‘</w:t>
      </w:r>
      <w:r w:rsidR="009C08CA">
        <w:t xml:space="preserve">strict </w:t>
      </w:r>
      <w:r w:rsidR="00FC3C3D" w:rsidRPr="00466F3B">
        <w:t>DBC</w:t>
      </w:r>
      <w:r w:rsidR="00F54B4C">
        <w:t>’</w:t>
      </w:r>
      <w:r w:rsidR="00FC3C3D" w:rsidRPr="00466F3B">
        <w:t xml:space="preserve">) applying </w:t>
      </w:r>
      <w:r w:rsidR="00AA3234">
        <w:t>for coor</w:t>
      </w:r>
      <w:r w:rsidR="008B194B">
        <w:t>dination with</w:t>
      </w:r>
      <w:r w:rsidR="00FC3C3D" w:rsidRPr="00466F3B">
        <w:t xml:space="preserve"> </w:t>
      </w:r>
      <w:r w:rsidR="0075387A">
        <w:t xml:space="preserve">spectrum licences compared to </w:t>
      </w:r>
      <w:r w:rsidR="008B194B">
        <w:t>the DBC applicable</w:t>
      </w:r>
      <w:r w:rsidR="0075387A">
        <w:t xml:space="preserve"> </w:t>
      </w:r>
      <w:r w:rsidR="009702A1">
        <w:t>to</w:t>
      </w:r>
      <w:r w:rsidR="00FC3C3D" w:rsidRPr="00466F3B">
        <w:t xml:space="preserve"> AWLs under </w:t>
      </w:r>
      <w:r w:rsidR="008B194B">
        <w:t xml:space="preserve">draft </w:t>
      </w:r>
      <w:r w:rsidR="00731141">
        <w:t xml:space="preserve">RALI </w:t>
      </w:r>
      <w:r w:rsidR="00FC3C3D" w:rsidRPr="00466F3B">
        <w:t>MS47</w:t>
      </w:r>
      <w:r w:rsidR="00B84B80" w:rsidRPr="00466F3B">
        <w:t>.</w:t>
      </w:r>
      <w:r w:rsidR="00FC3C3D" w:rsidRPr="00466F3B">
        <w:t xml:space="preserve"> Given that the coordination method under</w:t>
      </w:r>
      <w:r w:rsidR="00217825">
        <w:t xml:space="preserve"> section</w:t>
      </w:r>
      <w:r w:rsidR="00FC3C3D" w:rsidRPr="00466F3B">
        <w:t xml:space="preserve"> 8.2 is based on the less strict DBC</w:t>
      </w:r>
      <w:r w:rsidR="00217825">
        <w:t xml:space="preserve"> </w:t>
      </w:r>
      <w:r w:rsidR="009C08CA">
        <w:t>(</w:t>
      </w:r>
      <w:r w:rsidR="00F54B4C">
        <w:t>‘</w:t>
      </w:r>
      <w:r w:rsidR="009C08CA">
        <w:t>normal DBC</w:t>
      </w:r>
      <w:r w:rsidR="00F54B4C">
        <w:t>’</w:t>
      </w:r>
      <w:r w:rsidR="009C08CA">
        <w:t xml:space="preserve">) </w:t>
      </w:r>
      <w:r w:rsidR="00217825">
        <w:t xml:space="preserve">in </w:t>
      </w:r>
      <w:r w:rsidR="008B194B">
        <w:t>draft</w:t>
      </w:r>
      <w:r w:rsidR="00217825">
        <w:t xml:space="preserve"> RALI MS47</w:t>
      </w:r>
      <w:r w:rsidR="00FC3C3D" w:rsidRPr="00466F3B">
        <w:t xml:space="preserve">, </w:t>
      </w:r>
      <w:r w:rsidR="00BB59C2" w:rsidRPr="00466F3B">
        <w:t>it is unlikely to fail for</w:t>
      </w:r>
      <w:r w:rsidR="00217825">
        <w:t xml:space="preserve"> receivers used in relation to</w:t>
      </w:r>
      <w:r w:rsidR="00BB59C2" w:rsidRPr="00466F3B">
        <w:t xml:space="preserve"> AWL</w:t>
      </w:r>
      <w:r w:rsidR="00217825">
        <w:t>s</w:t>
      </w:r>
      <w:r w:rsidR="00BB59C2" w:rsidRPr="00466F3B">
        <w:t xml:space="preserve"> and, consequently, the </w:t>
      </w:r>
      <w:r w:rsidR="004F0DF2" w:rsidRPr="00466F3B">
        <w:t>burden</w:t>
      </w:r>
      <w:r w:rsidR="00905F40" w:rsidRPr="00466F3B">
        <w:t xml:space="preserve"> to conduct </w:t>
      </w:r>
      <w:r w:rsidR="00E10E61" w:rsidRPr="00466F3B">
        <w:t xml:space="preserve">coordination for every </w:t>
      </w:r>
      <w:r w:rsidR="00217825">
        <w:t>spectrum licence</w:t>
      </w:r>
      <w:r w:rsidR="00217825" w:rsidRPr="00466F3B">
        <w:t xml:space="preserve"> </w:t>
      </w:r>
      <w:r w:rsidR="00E10E61" w:rsidRPr="00466F3B">
        <w:t xml:space="preserve">to </w:t>
      </w:r>
      <w:r w:rsidR="00217825">
        <w:t>such</w:t>
      </w:r>
      <w:r w:rsidR="00E10E61" w:rsidRPr="00466F3B">
        <w:t xml:space="preserve"> receiver</w:t>
      </w:r>
      <w:r w:rsidR="009D7951">
        <w:t>s</w:t>
      </w:r>
      <w:r w:rsidR="00E10E61" w:rsidRPr="00466F3B">
        <w:t xml:space="preserve"> is </w:t>
      </w:r>
      <w:r w:rsidR="00446766" w:rsidRPr="00466F3B">
        <w:t>unnecessary.</w:t>
      </w:r>
    </w:p>
    <w:p w14:paraId="5EE8E0DB" w14:textId="644E95F6" w:rsidR="00412D8F" w:rsidRPr="00012250" w:rsidRDefault="00446766" w:rsidP="00B7350D">
      <w:pPr>
        <w:ind w:right="992"/>
      </w:pPr>
      <w:r w:rsidRPr="00466F3B">
        <w:t xml:space="preserve">Upon review, the ACMA </w:t>
      </w:r>
      <w:r w:rsidR="00B94432" w:rsidRPr="00466F3B">
        <w:t xml:space="preserve">agrees that under most circumstances </w:t>
      </w:r>
      <w:r w:rsidR="0038261E" w:rsidRPr="00466F3B">
        <w:t xml:space="preserve">the </w:t>
      </w:r>
      <w:r w:rsidR="00156260" w:rsidRPr="00B24A15">
        <w:t>risk</w:t>
      </w:r>
      <w:r w:rsidR="009D7951">
        <w:t xml:space="preserve"> is low</w:t>
      </w:r>
      <w:r w:rsidR="00156260" w:rsidRPr="00B24A15">
        <w:t xml:space="preserve"> if this coordination check </w:t>
      </w:r>
      <w:r w:rsidR="008B3D2E">
        <w:t>i</w:t>
      </w:r>
      <w:r w:rsidR="00156260" w:rsidRPr="00B24A15">
        <w:t>s not done</w:t>
      </w:r>
      <w:r w:rsidR="00004AA6" w:rsidRPr="00466F3B">
        <w:t>. Consequently</w:t>
      </w:r>
      <w:r w:rsidR="00684548" w:rsidRPr="00B24A15">
        <w:t>,</w:t>
      </w:r>
      <w:r w:rsidR="00004AA6" w:rsidRPr="00466F3B">
        <w:t xml:space="preserve"> we </w:t>
      </w:r>
      <w:r w:rsidR="00EC0A6E" w:rsidRPr="00466F3B">
        <w:t xml:space="preserve">now </w:t>
      </w:r>
      <w:r w:rsidR="00004AA6" w:rsidRPr="00466F3B">
        <w:t xml:space="preserve">do not propose for </w:t>
      </w:r>
      <w:r w:rsidR="00161270">
        <w:t xml:space="preserve">sections </w:t>
      </w:r>
      <w:r w:rsidR="00004AA6" w:rsidRPr="00466F3B">
        <w:t>8.1 and 8.2 to apply to</w:t>
      </w:r>
      <w:r w:rsidR="00161270">
        <w:t xml:space="preserve"> receivers used in relation to</w:t>
      </w:r>
      <w:r w:rsidR="00004AA6" w:rsidRPr="00466F3B">
        <w:t xml:space="preserve"> AWL (but </w:t>
      </w:r>
      <w:r w:rsidR="00161270">
        <w:t xml:space="preserve">section </w:t>
      </w:r>
      <w:r w:rsidR="00004AA6" w:rsidRPr="00466F3B">
        <w:t xml:space="preserve">8.2 will still apply to </w:t>
      </w:r>
      <w:r w:rsidR="00161270">
        <w:t>receivers</w:t>
      </w:r>
      <w:r w:rsidR="00161270" w:rsidRPr="00B24A15">
        <w:t xml:space="preserve"> </w:t>
      </w:r>
      <w:r w:rsidR="00BC354E" w:rsidRPr="00B24A15">
        <w:t>registered under a spectrum licence</w:t>
      </w:r>
      <w:r w:rsidR="00C37C5F" w:rsidRPr="00466F3B">
        <w:t xml:space="preserve">) in the framework. </w:t>
      </w:r>
      <w:r w:rsidR="008A3777">
        <w:t>Instead, a</w:t>
      </w:r>
      <w:r w:rsidR="00412D8F" w:rsidRPr="00466F3B">
        <w:t xml:space="preserve"> new </w:t>
      </w:r>
      <w:r w:rsidR="00161270">
        <w:t>Pa</w:t>
      </w:r>
      <w:r w:rsidR="00412D8F" w:rsidRPr="00466F3B">
        <w:t>rt 1</w:t>
      </w:r>
      <w:r w:rsidR="00474D46">
        <w:t>2</w:t>
      </w:r>
      <w:r w:rsidR="00412D8F" w:rsidRPr="00466F3B">
        <w:t xml:space="preserve"> has been proposed in the </w:t>
      </w:r>
      <w:r w:rsidR="00C17B08" w:rsidRPr="00466F3B">
        <w:t>RAG Tx</w:t>
      </w:r>
      <w:r w:rsidR="00670C64">
        <w:t>. This part</w:t>
      </w:r>
      <w:r w:rsidR="00132C65">
        <w:t xml:space="preserve"> </w:t>
      </w:r>
      <w:r w:rsidR="00DC38FE">
        <w:t>define</w:t>
      </w:r>
      <w:r w:rsidR="00132C65">
        <w:t>s</w:t>
      </w:r>
      <w:r w:rsidR="00DC38FE">
        <w:t xml:space="preserve"> </w:t>
      </w:r>
      <w:r w:rsidR="00132C65">
        <w:t xml:space="preserve">the </w:t>
      </w:r>
      <w:r w:rsidR="00FA2002">
        <w:t>in-band</w:t>
      </w:r>
      <w:r w:rsidR="00A01F2D">
        <w:t xml:space="preserve"> </w:t>
      </w:r>
      <w:r w:rsidR="004B014B">
        <w:t>protection r</w:t>
      </w:r>
      <w:r w:rsidR="000E232E">
        <w:t>eq</w:t>
      </w:r>
      <w:r w:rsidR="004B014B">
        <w:t>ui</w:t>
      </w:r>
      <w:r w:rsidR="000E232E">
        <w:t>re</w:t>
      </w:r>
      <w:r w:rsidR="004B014B">
        <w:t>ments f</w:t>
      </w:r>
      <w:r w:rsidR="00E1329A">
        <w:t>rom</w:t>
      </w:r>
      <w:r w:rsidR="004B014B">
        <w:t xml:space="preserve"> </w:t>
      </w:r>
      <w:r w:rsidR="001A7FD2">
        <w:t xml:space="preserve">transmitters operating under </w:t>
      </w:r>
      <w:r w:rsidR="00132C65">
        <w:t xml:space="preserve">a </w:t>
      </w:r>
      <w:r w:rsidR="00311453">
        <w:t xml:space="preserve">spectrum licence </w:t>
      </w:r>
      <w:r w:rsidR="00132C65">
        <w:t xml:space="preserve">into </w:t>
      </w:r>
      <w:r w:rsidR="003B2EEC">
        <w:t xml:space="preserve">geographically adjacent </w:t>
      </w:r>
      <w:r w:rsidR="0013575C">
        <w:t>AWLs</w:t>
      </w:r>
      <w:r w:rsidR="00311453">
        <w:t>.</w:t>
      </w:r>
      <w:r w:rsidR="00CA109B">
        <w:t xml:space="preserve"> It</w:t>
      </w:r>
      <w:r w:rsidR="000334D6">
        <w:t xml:space="preserve"> is noted that criteria for transmitters operating </w:t>
      </w:r>
      <w:r w:rsidR="003B2EEC">
        <w:t>under an AWL</w:t>
      </w:r>
      <w:r w:rsidR="0040026A">
        <w:t xml:space="preserve"> (and other apparatus licences)</w:t>
      </w:r>
      <w:r w:rsidR="003B2EEC">
        <w:t xml:space="preserve"> </w:t>
      </w:r>
      <w:r w:rsidR="005B0A71">
        <w:t xml:space="preserve">into </w:t>
      </w:r>
      <w:r w:rsidR="00D25EEC">
        <w:t xml:space="preserve">a geographically adjacent spectrum </w:t>
      </w:r>
      <w:r w:rsidR="00522A51">
        <w:t xml:space="preserve">licence </w:t>
      </w:r>
      <w:r w:rsidR="00D25EEC">
        <w:t xml:space="preserve">are </w:t>
      </w:r>
      <w:r w:rsidR="006B2D88">
        <w:t xml:space="preserve">contained in the </w:t>
      </w:r>
      <w:r w:rsidR="00930279">
        <w:t>proposed amendment to the RAG Rx</w:t>
      </w:r>
      <w:r w:rsidR="00D44B5B">
        <w:t>.</w:t>
      </w:r>
    </w:p>
    <w:p w14:paraId="22331664" w14:textId="2E5B0C38" w:rsidR="00633B23" w:rsidRPr="007D627F" w:rsidRDefault="007D627F" w:rsidP="00B7350D">
      <w:pPr>
        <w:ind w:right="992"/>
      </w:pPr>
      <w:r>
        <w:t>Refer to the later</w:t>
      </w:r>
      <w:r w:rsidR="000C2701">
        <w:t xml:space="preserve"> section</w:t>
      </w:r>
      <w:r>
        <w:t xml:space="preserve"> </w:t>
      </w:r>
      <w:r w:rsidR="000346EC">
        <w:t>‘</w:t>
      </w:r>
      <w:r w:rsidR="00C73EAB" w:rsidRPr="00B7350D">
        <w:t>Coexistence</w:t>
      </w:r>
      <w:r w:rsidRPr="00B7350D">
        <w:t xml:space="preserve"> with radio altimeters</w:t>
      </w:r>
      <w:r w:rsidR="000346EC">
        <w:t>’</w:t>
      </w:r>
      <w:r>
        <w:t xml:space="preserve"> for proposed changes to the RAG Tx </w:t>
      </w:r>
      <w:r w:rsidR="006D4AF7">
        <w:t xml:space="preserve">to manage </w:t>
      </w:r>
      <w:r w:rsidR="009917E0">
        <w:t xml:space="preserve">that </w:t>
      </w:r>
      <w:r w:rsidR="00C73EAB">
        <w:t>issue.</w:t>
      </w:r>
    </w:p>
    <w:p w14:paraId="4197CF66" w14:textId="015AC333" w:rsidR="00012250" w:rsidRPr="000C74BA" w:rsidRDefault="00012250" w:rsidP="00B7350D">
      <w:pPr>
        <w:pStyle w:val="Heading3"/>
        <w:ind w:right="992"/>
      </w:pPr>
      <w:bookmarkStart w:id="72" w:name="_Toc328403874"/>
      <w:bookmarkStart w:id="73" w:name="_Toc367692838"/>
      <w:bookmarkStart w:id="74" w:name="_Toc367693442"/>
      <w:bookmarkStart w:id="75" w:name="_Toc367881974"/>
      <w:bookmarkStart w:id="76" w:name="_Toc403740556"/>
      <w:bookmarkStart w:id="77" w:name="_Toc404333451"/>
      <w:bookmarkStart w:id="78" w:name="_Toc513143747"/>
      <w:bookmarkStart w:id="79" w:name="_Toc514146659"/>
      <w:r w:rsidRPr="0021571E">
        <w:t>Managing interference to s</w:t>
      </w:r>
      <w:r w:rsidRPr="000C74BA">
        <w:t>pectrum-licensed receivers</w:t>
      </w:r>
      <w:bookmarkEnd w:id="72"/>
      <w:bookmarkEnd w:id="73"/>
      <w:bookmarkEnd w:id="74"/>
      <w:bookmarkEnd w:id="75"/>
      <w:bookmarkEnd w:id="76"/>
      <w:bookmarkEnd w:id="77"/>
      <w:bookmarkEnd w:id="78"/>
      <w:bookmarkEnd w:id="79"/>
      <w:r w:rsidR="00826326">
        <w:t xml:space="preserve"> (RAG Rx)</w:t>
      </w:r>
    </w:p>
    <w:p w14:paraId="77FC591D" w14:textId="77777777" w:rsidR="00012250" w:rsidRPr="00012250" w:rsidRDefault="00012250" w:rsidP="00B7350D">
      <w:pPr>
        <w:spacing w:after="80"/>
        <w:ind w:right="992"/>
      </w:pPr>
      <w:r w:rsidRPr="00012250">
        <w:t>The RAG Rx provides guidance on the management of interference into receivers operating under a spectrum licence. Key changes proposed to the RAG Rx include:</w:t>
      </w:r>
    </w:p>
    <w:p w14:paraId="26F39E4E" w14:textId="113EEDF3" w:rsidR="00012250" w:rsidRPr="00012250" w:rsidRDefault="00012250" w:rsidP="00B7350D">
      <w:pPr>
        <w:pStyle w:val="Bulletlevel1"/>
        <w:ind w:right="992"/>
      </w:pPr>
      <w:r w:rsidRPr="00012250">
        <w:t>Amending the definition of the 3.4 GHz band to cover the 3400</w:t>
      </w:r>
      <w:r w:rsidR="0096488B">
        <w:t>–</w:t>
      </w:r>
      <w:r w:rsidRPr="00012250">
        <w:t>3800 MH</w:t>
      </w:r>
      <w:r w:rsidR="0075423E">
        <w:t>z</w:t>
      </w:r>
      <w:r w:rsidRPr="00012250">
        <w:t xml:space="preserve"> frequency range</w:t>
      </w:r>
      <w:r w:rsidR="000346EC">
        <w:t>.</w:t>
      </w:r>
    </w:p>
    <w:p w14:paraId="6B0CD80C" w14:textId="1F2D711B" w:rsidR="00012250" w:rsidRPr="00012250" w:rsidRDefault="00012250" w:rsidP="00B7350D">
      <w:pPr>
        <w:pStyle w:val="Bulletlevel1"/>
        <w:ind w:right="992"/>
      </w:pPr>
      <w:r w:rsidRPr="00012250">
        <w:t xml:space="preserve">Removing the definition of and any reference to RALI MS39 </w:t>
      </w:r>
      <w:r w:rsidR="000346EC">
        <w:t>‘</w:t>
      </w:r>
      <w:r w:rsidRPr="00B7350D">
        <w:t>Frequency Coordination and Licensing Procedures for Apparatus Licensed Public Telecommunications Services in the 3.5 GHz band</w:t>
      </w:r>
      <w:r w:rsidR="0006708F">
        <w:t>’</w:t>
      </w:r>
      <w:r w:rsidRPr="00012250">
        <w:t xml:space="preserve"> as it has been retired. </w:t>
      </w:r>
    </w:p>
    <w:p w14:paraId="66C929A9" w14:textId="69A9794A" w:rsidR="00012250" w:rsidRPr="00012250" w:rsidRDefault="008D0B45" w:rsidP="00B7350D">
      <w:pPr>
        <w:pStyle w:val="Bulletlevel1"/>
        <w:ind w:right="992"/>
      </w:pPr>
      <w:r>
        <w:t>Including a reference to</w:t>
      </w:r>
      <w:r w:rsidR="004055EE">
        <w:t xml:space="preserve"> the</w:t>
      </w:r>
      <w:r w:rsidR="00012250" w:rsidRPr="00012250">
        <w:t xml:space="preserve"> RALI MS47</w:t>
      </w:r>
      <w:r w:rsidR="004055EE">
        <w:t xml:space="preserve"> DBC</w:t>
      </w:r>
      <w:r w:rsidR="00012250" w:rsidRPr="00012250">
        <w:t xml:space="preserve"> for the management of in-band interference from apparatus licences issued after specified date in different frequency ranges. The specified </w:t>
      </w:r>
      <w:r w:rsidR="00A7213C" w:rsidRPr="00012250">
        <w:t xml:space="preserve">date </w:t>
      </w:r>
      <w:r w:rsidR="00012250" w:rsidRPr="00012250">
        <w:t xml:space="preserve">for the </w:t>
      </w:r>
      <w:r w:rsidR="00263F74">
        <w:t>3.4/3.7 GHz</w:t>
      </w:r>
      <w:r w:rsidR="00012250" w:rsidRPr="00012250">
        <w:t xml:space="preserve"> bands is the day the </w:t>
      </w:r>
      <w:r w:rsidR="0006708F">
        <w:br/>
      </w:r>
      <w:r w:rsidR="00012250" w:rsidRPr="00012250">
        <w:t>re-allocation declaration commenced. The specified date for the 3575</w:t>
      </w:r>
      <w:r w:rsidR="0096488B">
        <w:t>–</w:t>
      </w:r>
      <w:r w:rsidR="00012250" w:rsidRPr="00012250">
        <w:t>3700 MHz band is the day</w:t>
      </w:r>
      <w:r w:rsidR="00263F74">
        <w:t xml:space="preserve"> any other</w:t>
      </w:r>
      <w:r w:rsidR="00012250" w:rsidRPr="00012250">
        <w:t xml:space="preserve"> re-allocation declarations for the 3.6 GHz band commenced.  </w:t>
      </w:r>
    </w:p>
    <w:p w14:paraId="4E502869" w14:textId="367A7DDA" w:rsidR="00012250" w:rsidRPr="00012250" w:rsidRDefault="00012250" w:rsidP="00B7350D">
      <w:pPr>
        <w:pStyle w:val="Bulletlevel1"/>
        <w:ind w:right="992"/>
      </w:pPr>
      <w:r w:rsidRPr="00012250">
        <w:t>It is intended that apparatus licence</w:t>
      </w:r>
      <w:r w:rsidR="003A35D2">
        <w:t>s</w:t>
      </w:r>
      <w:r w:rsidRPr="00012250">
        <w:t xml:space="preserve"> issued after the specified date that </w:t>
      </w:r>
      <w:r w:rsidR="005245E9">
        <w:t>authorise the operation of transmitters in</w:t>
      </w:r>
      <w:r w:rsidR="005245E9" w:rsidRPr="00012250">
        <w:t xml:space="preserve"> </w:t>
      </w:r>
      <w:r w:rsidRPr="00012250">
        <w:t xml:space="preserve">any part of the associated defined frequency range, adhere to </w:t>
      </w:r>
      <w:r w:rsidR="005245E9">
        <w:t xml:space="preserve">meet </w:t>
      </w:r>
      <w:r w:rsidRPr="00012250">
        <w:t>the DBC defined in RALI MS47. It is intended that spectrum licensees are not afforded protection from apparatus licence</w:t>
      </w:r>
      <w:r w:rsidR="003A35D2">
        <w:t>s</w:t>
      </w:r>
      <w:r w:rsidRPr="00012250">
        <w:t xml:space="preserve"> that were issued before the specified date and that encompass any part of the associated defined frequency ranges.</w:t>
      </w:r>
    </w:p>
    <w:p w14:paraId="742B332F" w14:textId="3434FC28" w:rsidR="00012250" w:rsidRPr="00012250" w:rsidRDefault="00012250" w:rsidP="00B7350D">
      <w:pPr>
        <w:pStyle w:val="Bulletlevel1last"/>
        <w:keepNext/>
        <w:keepLines/>
        <w:ind w:left="425" w:right="992" w:hanging="425"/>
      </w:pPr>
      <w:r w:rsidRPr="00012250">
        <w:lastRenderedPageBreak/>
        <w:t xml:space="preserve">Amending the frequency range </w:t>
      </w:r>
      <w:r w:rsidR="003A2C46">
        <w:t>for</w:t>
      </w:r>
      <w:r w:rsidR="003A2C46" w:rsidRPr="00012250">
        <w:t xml:space="preserve"> </w:t>
      </w:r>
      <w:r w:rsidRPr="00012250">
        <w:t>the receiver blocking requirement of the notional receiver. The applicable range has been expanded to cover the frequencies encompassed in the re-allocation declaration and align</w:t>
      </w:r>
      <w:r w:rsidR="003A2C46">
        <w:t>s</w:t>
      </w:r>
      <w:r w:rsidRPr="00012250">
        <w:t xml:space="preserve"> with international standards for 4G and 5G equipment (this includes </w:t>
      </w:r>
      <w:hyperlink r:id="rId84" w:history="1">
        <w:r w:rsidRPr="00012250">
          <w:rPr>
            <w:rStyle w:val="Hyperlink"/>
          </w:rPr>
          <w:t>3GPP TS 36.104</w:t>
        </w:r>
      </w:hyperlink>
      <w:r w:rsidRPr="00012250">
        <w:t xml:space="preserve"> and </w:t>
      </w:r>
      <w:hyperlink r:id="rId85" w:history="1">
        <w:r w:rsidRPr="00012250">
          <w:rPr>
            <w:rStyle w:val="Hyperlink"/>
          </w:rPr>
          <w:t>3GPP TS 38.104</w:t>
        </w:r>
      </w:hyperlink>
      <w:r w:rsidRPr="00012250">
        <w:t xml:space="preserve">. </w:t>
      </w:r>
    </w:p>
    <w:p w14:paraId="5ABC3549" w14:textId="11CD31E0" w:rsidR="00386EE1" w:rsidRPr="000C74BA" w:rsidRDefault="0031664A" w:rsidP="00B7350D">
      <w:pPr>
        <w:pStyle w:val="Heading3"/>
        <w:ind w:right="992"/>
      </w:pPr>
      <w:r>
        <w:t xml:space="preserve">Draft </w:t>
      </w:r>
      <w:r w:rsidR="00386EE1">
        <w:t>RALI MS47</w:t>
      </w:r>
    </w:p>
    <w:p w14:paraId="5984A91F" w14:textId="1461E02E" w:rsidR="005A6B9E" w:rsidRDefault="0031664A" w:rsidP="00B7350D">
      <w:pPr>
        <w:ind w:right="992"/>
      </w:pPr>
      <w:r>
        <w:t xml:space="preserve">The draft </w:t>
      </w:r>
      <w:r w:rsidR="00386EE1">
        <w:t xml:space="preserve">RALI MS47 provides </w:t>
      </w:r>
      <w:r w:rsidR="006C44CC">
        <w:t xml:space="preserve">the assignment and licensing requirements for </w:t>
      </w:r>
      <w:r w:rsidR="00CA631E">
        <w:t xml:space="preserve">AWL </w:t>
      </w:r>
      <w:r w:rsidR="00E316E8">
        <w:t>services in remote areas in the band.</w:t>
      </w:r>
      <w:r w:rsidR="00E75E85">
        <w:t xml:space="preserve"> It includes </w:t>
      </w:r>
      <w:r w:rsidR="00EF2C6C">
        <w:t xml:space="preserve">aspects of coordination of AWLs with </w:t>
      </w:r>
      <w:r w:rsidR="00E929E7">
        <w:t>spectrum licences in the 3400–4000 MHz range and, consequently, forms part of the framework.</w:t>
      </w:r>
      <w:r w:rsidR="00A46E07">
        <w:t xml:space="preserve"> Also, </w:t>
      </w:r>
      <w:r w:rsidR="00061352">
        <w:t xml:space="preserve">additional </w:t>
      </w:r>
      <w:r w:rsidR="005C4951">
        <w:t xml:space="preserve">coordination requirements for apparatus licenced earth receive stations </w:t>
      </w:r>
      <w:r w:rsidR="00061352">
        <w:t xml:space="preserve">with </w:t>
      </w:r>
      <w:r w:rsidR="00640B69">
        <w:t>spectrum licences are contained in</w:t>
      </w:r>
      <w:r w:rsidR="003A2C46">
        <w:t xml:space="preserve"> RALI</w:t>
      </w:r>
      <w:r w:rsidR="00640B69">
        <w:t xml:space="preserve"> MS47.</w:t>
      </w:r>
    </w:p>
    <w:p w14:paraId="6089FC83" w14:textId="35DBE326" w:rsidR="005A6B9E" w:rsidRDefault="005A6B9E" w:rsidP="00B7350D">
      <w:pPr>
        <w:ind w:right="992"/>
      </w:pPr>
      <w:r>
        <w:t xml:space="preserve">Some TLG members commented about the </w:t>
      </w:r>
      <w:r w:rsidR="008B3E9C">
        <w:t xml:space="preserve">limitation of the scope of </w:t>
      </w:r>
      <w:r w:rsidR="003A2C46">
        <w:t xml:space="preserve">RALI </w:t>
      </w:r>
      <w:r w:rsidR="008B3E9C">
        <w:t xml:space="preserve">MS47 to remote areas only. </w:t>
      </w:r>
      <w:r w:rsidR="00EC5B38">
        <w:t xml:space="preserve">As </w:t>
      </w:r>
      <w:r w:rsidR="009A57AE">
        <w:t xml:space="preserve">decisions on any AWL allocations in areas other than remote </w:t>
      </w:r>
      <w:r w:rsidR="003A2C46">
        <w:t xml:space="preserve">areas </w:t>
      </w:r>
      <w:r w:rsidR="009A57AE">
        <w:t xml:space="preserve">have not yet been </w:t>
      </w:r>
      <w:r w:rsidR="003A2C46">
        <w:t>made</w:t>
      </w:r>
      <w:r w:rsidR="009A57AE">
        <w:t xml:space="preserve">, </w:t>
      </w:r>
      <w:r w:rsidR="003A2C46">
        <w:t xml:space="preserve">RALI </w:t>
      </w:r>
      <w:r w:rsidR="009A57AE">
        <w:t xml:space="preserve">MS47 </w:t>
      </w:r>
      <w:r w:rsidR="003A2C46">
        <w:t xml:space="preserve">is proposed </w:t>
      </w:r>
      <w:r w:rsidR="003124B4">
        <w:t>onl</w:t>
      </w:r>
      <w:r w:rsidR="00DA5AEA">
        <w:t xml:space="preserve">y </w:t>
      </w:r>
      <w:r w:rsidR="003A2C46">
        <w:t xml:space="preserve">to </w:t>
      </w:r>
      <w:r w:rsidR="00DA5AEA">
        <w:t xml:space="preserve">apply to remote areas at this </w:t>
      </w:r>
      <w:r w:rsidR="00EE51B5">
        <w:t>time</w:t>
      </w:r>
      <w:r w:rsidR="00DA5AEA">
        <w:t xml:space="preserve">. </w:t>
      </w:r>
      <w:r w:rsidR="002D070F">
        <w:t xml:space="preserve">We expect, however, that relevant aspects of </w:t>
      </w:r>
      <w:r w:rsidR="00CA655F">
        <w:t xml:space="preserve">the </w:t>
      </w:r>
      <w:r w:rsidR="003A2C46">
        <w:t xml:space="preserve">RALI </w:t>
      </w:r>
      <w:r w:rsidR="00EE51B5">
        <w:t>MS47</w:t>
      </w:r>
      <w:r w:rsidR="002D070F">
        <w:t xml:space="preserve"> </w:t>
      </w:r>
      <w:r w:rsidR="000759E5">
        <w:t xml:space="preserve">will apply </w:t>
      </w:r>
      <w:r w:rsidR="00246D4E">
        <w:t>to any AWL/</w:t>
      </w:r>
      <w:r w:rsidR="003A2C46">
        <w:t xml:space="preserve">spectrum licence </w:t>
      </w:r>
      <w:r w:rsidR="00246D4E">
        <w:t>geographic or frequency boundary</w:t>
      </w:r>
      <w:r w:rsidR="005B54D9">
        <w:t xml:space="preserve"> in future revisions of </w:t>
      </w:r>
      <w:r w:rsidR="003A2C46">
        <w:t xml:space="preserve">RALI </w:t>
      </w:r>
      <w:r w:rsidR="005B54D9">
        <w:t>MS47.</w:t>
      </w:r>
    </w:p>
    <w:p w14:paraId="432BBC37" w14:textId="22BAE469" w:rsidR="001546AF" w:rsidRDefault="00F74EE3" w:rsidP="00B7350D">
      <w:pPr>
        <w:ind w:right="992"/>
      </w:pPr>
      <w:r>
        <w:t xml:space="preserve">Pivotel commented in the TLG that they would like flexibility in application of the </w:t>
      </w:r>
      <w:r w:rsidR="00F54B4C">
        <w:t xml:space="preserve">2 </w:t>
      </w:r>
      <w:r>
        <w:t>different device boundary criteria</w:t>
      </w:r>
      <w:r w:rsidR="008F107B">
        <w:t xml:space="preserve"> </w:t>
      </w:r>
      <w:r>
        <w:t xml:space="preserve">in </w:t>
      </w:r>
      <w:r w:rsidR="001A37E6">
        <w:t xml:space="preserve">RALI </w:t>
      </w:r>
      <w:r>
        <w:t xml:space="preserve">MS47, one </w:t>
      </w:r>
      <w:r w:rsidR="00F54B4C">
        <w:t>‘</w:t>
      </w:r>
      <w:r w:rsidR="003E0F30">
        <w:t>normal DBC</w:t>
      </w:r>
      <w:r w:rsidR="00F54B4C">
        <w:t>’</w:t>
      </w:r>
      <w:r w:rsidR="003E0F30">
        <w:t xml:space="preserve"> </w:t>
      </w:r>
      <w:r>
        <w:t xml:space="preserve">applying between AWLs and a </w:t>
      </w:r>
      <w:r w:rsidR="008F107B">
        <w:t xml:space="preserve">more stringent DBC applying between AWLs and </w:t>
      </w:r>
      <w:r w:rsidR="00C506D2">
        <w:t>spectrum licences</w:t>
      </w:r>
      <w:r w:rsidR="001C630B">
        <w:t>.</w:t>
      </w:r>
    </w:p>
    <w:p w14:paraId="436053B6" w14:textId="2FA7D6EB" w:rsidR="003E0F30" w:rsidRDefault="00C506D2" w:rsidP="00B7350D">
      <w:pPr>
        <w:ind w:right="992"/>
      </w:pPr>
      <w:r>
        <w:t xml:space="preserve">Telecommunications </w:t>
      </w:r>
      <w:r w:rsidR="00B40E9A">
        <w:t xml:space="preserve">TLG members expressed the general view that </w:t>
      </w:r>
      <w:r w:rsidR="0098710E">
        <w:t xml:space="preserve">potential TDD synchronisation of AWLs with </w:t>
      </w:r>
      <w:r>
        <w:t xml:space="preserve">spectrum licences </w:t>
      </w:r>
      <w:r w:rsidR="0098710E">
        <w:t xml:space="preserve">could offer spectrum efficiencies and </w:t>
      </w:r>
      <w:r w:rsidR="00FA5203">
        <w:t>that they would be</w:t>
      </w:r>
      <w:r w:rsidR="0098710E">
        <w:t xml:space="preserve"> happy to </w:t>
      </w:r>
      <w:r w:rsidR="00494B7D">
        <w:t xml:space="preserve">assist in providing information to AWL licensees to allow them to </w:t>
      </w:r>
      <w:r w:rsidR="00EF4007">
        <w:t xml:space="preserve">synchronise if desired. However, </w:t>
      </w:r>
      <w:r>
        <w:t xml:space="preserve">they considered that </w:t>
      </w:r>
      <w:r w:rsidR="00EF4007">
        <w:t xml:space="preserve">a </w:t>
      </w:r>
      <w:r w:rsidR="003B6086">
        <w:t xml:space="preserve">formal agreement </w:t>
      </w:r>
      <w:r>
        <w:t xml:space="preserve">was </w:t>
      </w:r>
      <w:r w:rsidR="00370F30">
        <w:t>und</w:t>
      </w:r>
      <w:r w:rsidR="006A0578">
        <w:t>esirable</w:t>
      </w:r>
      <w:r w:rsidR="00D60BB4">
        <w:t xml:space="preserve">. Further, </w:t>
      </w:r>
      <w:r w:rsidR="00DB6555">
        <w:t xml:space="preserve">their view </w:t>
      </w:r>
      <w:r>
        <w:t xml:space="preserve">was </w:t>
      </w:r>
      <w:r w:rsidR="00DB6555">
        <w:t xml:space="preserve">that AWLs </w:t>
      </w:r>
      <w:r w:rsidR="008E5214">
        <w:t xml:space="preserve">should operate on an effective </w:t>
      </w:r>
      <w:r w:rsidR="00F54B4C">
        <w:t>‘</w:t>
      </w:r>
      <w:r w:rsidR="008E5214">
        <w:t>no interference, no protection</w:t>
      </w:r>
      <w:r w:rsidR="00F54B4C">
        <w:t>’</w:t>
      </w:r>
      <w:r w:rsidR="0079647C">
        <w:t xml:space="preserve"> (</w:t>
      </w:r>
      <w:r w:rsidR="00F54B4C">
        <w:t>‘</w:t>
      </w:r>
      <w:r w:rsidR="0079647C">
        <w:t>NINP</w:t>
      </w:r>
      <w:r w:rsidR="00F54B4C">
        <w:t>’</w:t>
      </w:r>
      <w:r w:rsidR="0079647C">
        <w:t xml:space="preserve">) </w:t>
      </w:r>
      <w:r w:rsidR="00367A66">
        <w:t xml:space="preserve">basis with </w:t>
      </w:r>
      <w:r>
        <w:t>spectrum licences</w:t>
      </w:r>
      <w:r w:rsidR="00367A66">
        <w:t>.</w:t>
      </w:r>
    </w:p>
    <w:p w14:paraId="2AD933A3" w14:textId="0A4F67A5" w:rsidR="00343AE4" w:rsidRDefault="008F3FC9" w:rsidP="00B7350D">
      <w:pPr>
        <w:ind w:right="992"/>
      </w:pPr>
      <w:r>
        <w:t>The</w:t>
      </w:r>
      <w:r w:rsidR="00343AE4">
        <w:t xml:space="preserve"> ACMA</w:t>
      </w:r>
      <w:r w:rsidR="00B4400A">
        <w:t>’s</w:t>
      </w:r>
      <w:r w:rsidR="00343AE4">
        <w:t xml:space="preserve"> current view is</w:t>
      </w:r>
      <w:r w:rsidR="002214F6">
        <w:t xml:space="preserve"> </w:t>
      </w:r>
      <w:r w:rsidR="00C73952">
        <w:t xml:space="preserve">that </w:t>
      </w:r>
      <w:r w:rsidR="00343AE4">
        <w:t xml:space="preserve">AWLs </w:t>
      </w:r>
      <w:r w:rsidR="00EB5B15">
        <w:t xml:space="preserve">will operate </w:t>
      </w:r>
      <w:r w:rsidR="00D00C32">
        <w:t xml:space="preserve">in the interference management basis described by the AWL and </w:t>
      </w:r>
      <w:r w:rsidR="00C506D2">
        <w:t xml:space="preserve">spectrum licences </w:t>
      </w:r>
      <w:r w:rsidR="00D00C32">
        <w:t>frameworks</w:t>
      </w:r>
      <w:r w:rsidR="00E244F4">
        <w:t xml:space="preserve"> (i.e</w:t>
      </w:r>
      <w:r w:rsidR="21EE1A9C">
        <w:t>.</w:t>
      </w:r>
      <w:r w:rsidR="250D2EE9">
        <w:t>,</w:t>
      </w:r>
      <w:r w:rsidR="00E244F4">
        <w:t xml:space="preserve"> </w:t>
      </w:r>
      <w:r w:rsidR="00EA60E4">
        <w:t xml:space="preserve">they do not operate entirely </w:t>
      </w:r>
      <w:r w:rsidR="0079647C">
        <w:t>NINP</w:t>
      </w:r>
      <w:r w:rsidR="00224E24">
        <w:t>)</w:t>
      </w:r>
      <w:r w:rsidR="002B101C">
        <w:t>.</w:t>
      </w:r>
    </w:p>
    <w:p w14:paraId="0E9D9D32" w14:textId="1B35A382" w:rsidR="001D1819" w:rsidRDefault="007D301D" w:rsidP="00B7350D">
      <w:pPr>
        <w:pStyle w:val="Paragraph"/>
        <w:ind w:right="992"/>
      </w:pPr>
      <w:r>
        <w:t xml:space="preserve">Concerning </w:t>
      </w:r>
      <w:r w:rsidR="00C506D2">
        <w:t xml:space="preserve">RALI MS47 </w:t>
      </w:r>
      <w:r w:rsidR="00A97135">
        <w:t xml:space="preserve">DBC flexibility and </w:t>
      </w:r>
      <w:r w:rsidR="003D4E99">
        <w:t xml:space="preserve">synchronisation generally, </w:t>
      </w:r>
      <w:r w:rsidR="009C6271">
        <w:t xml:space="preserve">our view is that existing mechanisms in the AWL and </w:t>
      </w:r>
      <w:r w:rsidR="00C506D2">
        <w:t xml:space="preserve">spectrum </w:t>
      </w:r>
      <w:r w:rsidR="001C630B">
        <w:t>licence</w:t>
      </w:r>
      <w:r w:rsidR="00C506D2">
        <w:t xml:space="preserve"> </w:t>
      </w:r>
      <w:r w:rsidR="009C6271">
        <w:t xml:space="preserve">frameworks do offer a path </w:t>
      </w:r>
      <w:r w:rsidR="00246DD4">
        <w:t>for flexibility, potentially without formal agreement between AWL</w:t>
      </w:r>
      <w:r w:rsidR="00C506D2">
        <w:t xml:space="preserve"> licensees</w:t>
      </w:r>
      <w:r w:rsidR="00246DD4">
        <w:t xml:space="preserve"> and </w:t>
      </w:r>
      <w:r w:rsidR="00C506D2">
        <w:t>spectrum licensees</w:t>
      </w:r>
      <w:r w:rsidR="00246DD4">
        <w:t>. For example, if an AWL</w:t>
      </w:r>
      <w:r w:rsidR="00C506D2">
        <w:t xml:space="preserve"> licensee</w:t>
      </w:r>
      <w:r w:rsidR="00246DD4">
        <w:t xml:space="preserve"> wanted to </w:t>
      </w:r>
      <w:r w:rsidR="00C506D2">
        <w:t xml:space="preserve">operate radiocommunications transmitters </w:t>
      </w:r>
      <w:r w:rsidR="00246DD4">
        <w:t xml:space="preserve">closer to a </w:t>
      </w:r>
      <w:r w:rsidR="00C506D2">
        <w:t xml:space="preserve">spectrum licence </w:t>
      </w:r>
      <w:r w:rsidR="00246DD4">
        <w:t xml:space="preserve">boundary that the normally specified </w:t>
      </w:r>
      <w:r w:rsidR="00C506D2">
        <w:t xml:space="preserve">RALI MS47 </w:t>
      </w:r>
      <w:r w:rsidR="00246DD4">
        <w:t>DBC allowed</w:t>
      </w:r>
      <w:r w:rsidR="001D1819">
        <w:t xml:space="preserve"> then under clause 4.1.2 of RALI MS47, the RALI MS47 DBC does not apply if there is an active agreement in place with the spectrum licensee.</w:t>
      </w:r>
    </w:p>
    <w:p w14:paraId="4FA44162" w14:textId="1710889D" w:rsidR="001D1819" w:rsidRPr="00012250" w:rsidRDefault="001D1819" w:rsidP="00B7350D">
      <w:pPr>
        <w:ind w:right="992"/>
      </w:pPr>
      <w:r>
        <w:t xml:space="preserve">Also, it is intended that the ACMA consult on amendments to the </w:t>
      </w:r>
      <w:r w:rsidRPr="00B7350D">
        <w:t xml:space="preserve">Radiocommunications Licence Conditions (Area-Wide Licence) Determination </w:t>
      </w:r>
      <w:r w:rsidRPr="0006708F">
        <w:t xml:space="preserve">2020 </w:t>
      </w:r>
      <w:r>
        <w:t>(AWL LCD), to impose conditions on all AWLs that may be issued in remote areas which affect spectrum licences in the 3.4/3.7 GHz bands. The ACMA is considering whether such conditions would require the operation of an AWL transmitter in accordance with RALI MS47, and whether there would be a mechanism to allow a particular licensee to operate the transmitter otherwise than in accordance with RALI MS47. The ACMA may have regard to the potential for interference, efficient spectrum management and any other relevant matters in considering whether to use that mechanism. This power, if included, could potentially be used to facilitate flexibility in the application of the RALI MS47 DBC, without formal agreement between licensees, subject to satisfying the ACMA.</w:t>
      </w:r>
    </w:p>
    <w:p w14:paraId="213447F8" w14:textId="562EE5CC" w:rsidR="00557420" w:rsidRPr="000C74BA" w:rsidRDefault="00557420" w:rsidP="00B7350D">
      <w:pPr>
        <w:pStyle w:val="Heading3"/>
        <w:ind w:right="992"/>
      </w:pPr>
      <w:r>
        <w:lastRenderedPageBreak/>
        <w:t>Other aspects relevant to the framework</w:t>
      </w:r>
    </w:p>
    <w:p w14:paraId="66F4B0B4" w14:textId="5338500A" w:rsidR="008D4E19" w:rsidRDefault="00557420" w:rsidP="00B7350D">
      <w:pPr>
        <w:ind w:right="992"/>
      </w:pPr>
      <w:r>
        <w:t xml:space="preserve">Some TLG members </w:t>
      </w:r>
      <w:r w:rsidR="00457775">
        <w:t xml:space="preserve">identified concerns </w:t>
      </w:r>
      <w:r w:rsidR="00667D3E">
        <w:t xml:space="preserve">with </w:t>
      </w:r>
      <w:r w:rsidR="00704491">
        <w:t xml:space="preserve">date fields in the </w:t>
      </w:r>
      <w:r w:rsidR="00667D3E">
        <w:t>ACMA’s R</w:t>
      </w:r>
      <w:r w:rsidR="00AA6DDC">
        <w:t xml:space="preserve">egister of </w:t>
      </w:r>
      <w:r w:rsidR="00667D3E">
        <w:t>R</w:t>
      </w:r>
      <w:r w:rsidR="00704491">
        <w:t xml:space="preserve">adiocommunications </w:t>
      </w:r>
      <w:r w:rsidR="00B1414D">
        <w:t>Licences</w:t>
      </w:r>
      <w:r w:rsidR="00704491">
        <w:t xml:space="preserve"> (</w:t>
      </w:r>
      <w:hyperlink r:id="rId86">
        <w:r w:rsidR="30B80230" w:rsidRPr="32A0C0BD">
          <w:rPr>
            <w:rStyle w:val="Hyperlink"/>
          </w:rPr>
          <w:t>RRL</w:t>
        </w:r>
      </w:hyperlink>
      <w:r w:rsidR="30B80230">
        <w:t>).</w:t>
      </w:r>
      <w:r w:rsidR="00DD7FFB">
        <w:t xml:space="preserve"> </w:t>
      </w:r>
      <w:r w:rsidR="00A20B44">
        <w:t>Specific</w:t>
      </w:r>
      <w:r w:rsidR="00C73952">
        <w:t>ally</w:t>
      </w:r>
      <w:r w:rsidR="005C2579">
        <w:t>, it was noted</w:t>
      </w:r>
      <w:r w:rsidR="00DD7FFB">
        <w:t xml:space="preserve"> </w:t>
      </w:r>
      <w:r w:rsidR="002D54D3">
        <w:t xml:space="preserve">that the date fields in the RRL </w:t>
      </w:r>
      <w:r w:rsidR="005C2579">
        <w:t xml:space="preserve">may </w:t>
      </w:r>
      <w:r w:rsidR="00363CF6">
        <w:t xml:space="preserve">not </w:t>
      </w:r>
      <w:r w:rsidR="6FD95CCE">
        <w:t xml:space="preserve">be </w:t>
      </w:r>
      <w:r w:rsidR="55458C99">
        <w:t>able</w:t>
      </w:r>
      <w:r w:rsidR="00363CF6">
        <w:t xml:space="preserve"> to indicate </w:t>
      </w:r>
      <w:r w:rsidR="005C2579">
        <w:t xml:space="preserve">accurately </w:t>
      </w:r>
      <w:r w:rsidR="00363CF6">
        <w:t xml:space="preserve">when a </w:t>
      </w:r>
      <w:r w:rsidR="00A20B44">
        <w:t xml:space="preserve">particular </w:t>
      </w:r>
      <w:r w:rsidR="00363CF6">
        <w:t xml:space="preserve">station </w:t>
      </w:r>
      <w:r w:rsidR="00B16036">
        <w:t xml:space="preserve">was first registered. </w:t>
      </w:r>
      <w:r w:rsidR="00E816E2">
        <w:t xml:space="preserve">It was asserted that the </w:t>
      </w:r>
      <w:r w:rsidR="00C9458D">
        <w:t>inaccuracy</w:t>
      </w:r>
      <w:r w:rsidR="00E816E2">
        <w:t xml:space="preserve"> of such date fields </w:t>
      </w:r>
      <w:r w:rsidR="00995145">
        <w:t xml:space="preserve">may have implications for date-based </w:t>
      </w:r>
      <w:r w:rsidR="004D42C4">
        <w:t>coordination</w:t>
      </w:r>
      <w:r w:rsidR="00995145">
        <w:t xml:space="preserve"> conditions and/or </w:t>
      </w:r>
      <w:r w:rsidR="004D42C4">
        <w:t>first-in-time based coordination.</w:t>
      </w:r>
    </w:p>
    <w:p w14:paraId="253EEAF3" w14:textId="77E84492" w:rsidR="004D42C4" w:rsidRDefault="00CA4785" w:rsidP="00B7350D">
      <w:pPr>
        <w:spacing w:after="80"/>
        <w:ind w:right="992"/>
      </w:pPr>
      <w:r>
        <w:t>The ACMA acknowledges the issue with the RRL and notes that:</w:t>
      </w:r>
    </w:p>
    <w:p w14:paraId="7F69E55C" w14:textId="0FE21534" w:rsidR="00323FF7" w:rsidRDefault="00323FF7" w:rsidP="00B7350D">
      <w:pPr>
        <w:pStyle w:val="Bulletlevel1"/>
        <w:ind w:right="992"/>
      </w:pPr>
      <w:r>
        <w:t xml:space="preserve">The issue is mainly limited to when an apparatus licence </w:t>
      </w:r>
      <w:r w:rsidR="004C4D1B">
        <w:t>is renewed in the 60</w:t>
      </w:r>
      <w:r w:rsidR="0096488B">
        <w:t>-</w:t>
      </w:r>
      <w:r w:rsidR="004C4D1B">
        <w:t>day period after it expired.</w:t>
      </w:r>
    </w:p>
    <w:p w14:paraId="5A5ACD0A" w14:textId="4E7CA0AB" w:rsidR="00167EE0" w:rsidRDefault="00167EE0" w:rsidP="00B7350D">
      <w:pPr>
        <w:pStyle w:val="Bulletlevel1"/>
        <w:ind w:right="992"/>
      </w:pPr>
      <w:r>
        <w:t>The issue will not affect first-in-time determination as that check can still be carried out accurately by a prospective licensee. i.e</w:t>
      </w:r>
      <w:r w:rsidR="0FC7244D">
        <w:t>.</w:t>
      </w:r>
      <w:r w:rsidR="6A5B2A0F">
        <w:t>,</w:t>
      </w:r>
      <w:r>
        <w:t xml:space="preserve"> the existing, first-in-time station will still be in the RRL to observe that it is </w:t>
      </w:r>
      <w:r w:rsidR="00F54B4C">
        <w:t>‘</w:t>
      </w:r>
      <w:r>
        <w:t>first</w:t>
      </w:r>
      <w:r w:rsidR="00F54B4C">
        <w:t>’</w:t>
      </w:r>
      <w:r>
        <w:t>, regardless as to whether its dates are accurate.</w:t>
      </w:r>
    </w:p>
    <w:p w14:paraId="00980D1F" w14:textId="4DA05A84" w:rsidR="009A1396" w:rsidRDefault="00C011F4" w:rsidP="00B7350D">
      <w:pPr>
        <w:pStyle w:val="Bulletlevel1"/>
        <w:ind w:right="992"/>
      </w:pPr>
      <w:r>
        <w:t>In relation to t</w:t>
      </w:r>
      <w:r w:rsidR="009A1396">
        <w:t xml:space="preserve">ime-based </w:t>
      </w:r>
      <w:r w:rsidR="004C4D1B">
        <w:t>provisions of</w:t>
      </w:r>
      <w:r w:rsidR="009A1396">
        <w:t xml:space="preserve"> the </w:t>
      </w:r>
      <w:r w:rsidR="00EA16C8">
        <w:t xml:space="preserve">RAG Rx, RAG Tx and </w:t>
      </w:r>
      <w:r w:rsidR="004C4D1B">
        <w:t xml:space="preserve">RALI </w:t>
      </w:r>
      <w:r w:rsidR="00B364DB">
        <w:t>MS47</w:t>
      </w:r>
      <w:r>
        <w:t>, and n</w:t>
      </w:r>
      <w:r w:rsidR="00B71194">
        <w:t xml:space="preserve">oting that </w:t>
      </w:r>
      <w:r w:rsidR="005045CA">
        <w:t xml:space="preserve">the RRL </w:t>
      </w:r>
      <w:r w:rsidR="00A436AC">
        <w:t xml:space="preserve">may not accurately identify the date of registration of an individual station, </w:t>
      </w:r>
      <w:r w:rsidR="0017541C">
        <w:t xml:space="preserve">we </w:t>
      </w:r>
      <w:r w:rsidR="006F2AF2">
        <w:t>propose</w:t>
      </w:r>
      <w:r w:rsidR="0017541C">
        <w:t xml:space="preserve"> </w:t>
      </w:r>
      <w:r w:rsidR="00F54B4C">
        <w:t xml:space="preserve">2 </w:t>
      </w:r>
      <w:r w:rsidR="00A436AC">
        <w:t>options</w:t>
      </w:r>
      <w:r w:rsidR="00BF0D6E">
        <w:t>:</w:t>
      </w:r>
    </w:p>
    <w:p w14:paraId="5FCD73D1" w14:textId="7D2A70B0" w:rsidR="00BF0D6E" w:rsidRDefault="00921A40" w:rsidP="00B7350D">
      <w:pPr>
        <w:pStyle w:val="ListParagraph"/>
        <w:numPr>
          <w:ilvl w:val="1"/>
          <w:numId w:val="106"/>
        </w:numPr>
        <w:spacing w:after="80"/>
        <w:ind w:left="924" w:right="992" w:hanging="357"/>
        <w:contextualSpacing w:val="0"/>
      </w:pPr>
      <w:r>
        <w:t>Accredited Persons (</w:t>
      </w:r>
      <w:r w:rsidRPr="00921A40">
        <w:t>APs</w:t>
      </w:r>
      <w:r>
        <w:t>)</w:t>
      </w:r>
      <w:r w:rsidRPr="00921A40">
        <w:t xml:space="preserve"> </w:t>
      </w:r>
      <w:r>
        <w:t>can</w:t>
      </w:r>
      <w:r w:rsidRPr="00921A40">
        <w:t xml:space="preserve"> contact the ACMA to establish the initial </w:t>
      </w:r>
      <w:r w:rsidR="006325F4">
        <w:t xml:space="preserve">registration </w:t>
      </w:r>
      <w:r w:rsidRPr="00921A40">
        <w:t>date</w:t>
      </w:r>
      <w:r w:rsidR="006325F4">
        <w:t xml:space="preserve"> for the relevant station</w:t>
      </w:r>
      <w:r>
        <w:t>.</w:t>
      </w:r>
    </w:p>
    <w:p w14:paraId="256F8437" w14:textId="69503A36" w:rsidR="00921A40" w:rsidRDefault="002A49A1" w:rsidP="00B7350D">
      <w:pPr>
        <w:pStyle w:val="ListParagraph"/>
        <w:numPr>
          <w:ilvl w:val="1"/>
          <w:numId w:val="106"/>
        </w:numPr>
        <w:ind w:left="924" w:right="992" w:hanging="357"/>
      </w:pPr>
      <w:r>
        <w:t>T</w:t>
      </w:r>
      <w:r w:rsidR="006B174A">
        <w:t>he ACMA</w:t>
      </w:r>
      <w:r w:rsidR="00570486">
        <w:t xml:space="preserve"> </w:t>
      </w:r>
      <w:r w:rsidR="00C6316B">
        <w:t xml:space="preserve">may </w:t>
      </w:r>
      <w:r w:rsidR="006272B0">
        <w:t xml:space="preserve">publish </w:t>
      </w:r>
      <w:r w:rsidR="00FE19A2">
        <w:t xml:space="preserve">lists of applicable </w:t>
      </w:r>
      <w:r w:rsidR="77F84DA2">
        <w:t>stations</w:t>
      </w:r>
      <w:r w:rsidR="00FE19A2">
        <w:t xml:space="preserve"> </w:t>
      </w:r>
      <w:r w:rsidR="00A079C3">
        <w:t xml:space="preserve">that </w:t>
      </w:r>
      <w:r w:rsidR="4F493FDD">
        <w:t xml:space="preserve">are likely to be affected by the relevant </w:t>
      </w:r>
      <w:r w:rsidR="004903DD">
        <w:t>provisions</w:t>
      </w:r>
      <w:r w:rsidR="00FD5F8B">
        <w:t xml:space="preserve">. </w:t>
      </w:r>
      <w:r w:rsidR="006B174A">
        <w:t>This list could be updated periodically</w:t>
      </w:r>
      <w:r w:rsidR="006E66F8">
        <w:t>, to capture licences that have been surrendered</w:t>
      </w:r>
      <w:r w:rsidR="00CC264C">
        <w:t xml:space="preserve"> </w:t>
      </w:r>
      <w:r w:rsidR="004903DD">
        <w:t xml:space="preserve">or that have expired, </w:t>
      </w:r>
      <w:r w:rsidR="00CC264C">
        <w:t>or stations that have been removed from a licence or deregistered</w:t>
      </w:r>
      <w:r w:rsidR="006E66F8">
        <w:t>.</w:t>
      </w:r>
    </w:p>
    <w:p w14:paraId="72B39C2D" w14:textId="3207C586" w:rsidR="002A49A1" w:rsidRDefault="002A49A1" w:rsidP="00B7350D">
      <w:pPr>
        <w:ind w:right="992"/>
      </w:pPr>
      <w:r>
        <w:t>In relation to option (b), we have conducted an initial audit and are of the view that the number of stations that may need to be considered is in the order of &gt;1</w:t>
      </w:r>
      <w:r w:rsidR="00DB7223">
        <w:t>,</w:t>
      </w:r>
      <w:r>
        <w:t>000.</w:t>
      </w:r>
    </w:p>
    <w:p w14:paraId="7186B50D" w14:textId="798EB60B" w:rsidR="00A079C3" w:rsidRDefault="00A079C3" w:rsidP="00B7350D">
      <w:pPr>
        <w:ind w:right="992"/>
      </w:pPr>
      <w:r>
        <w:t xml:space="preserve">The ACMA welcomes views on the practicality of these </w:t>
      </w:r>
      <w:r w:rsidR="002A49A1">
        <w:t>option</w:t>
      </w:r>
      <w:r>
        <w:t>s</w:t>
      </w:r>
      <w:r w:rsidR="004A483B">
        <w:t xml:space="preserve">, </w:t>
      </w:r>
      <w:r w:rsidR="00A731B7">
        <w:t xml:space="preserve">while </w:t>
      </w:r>
      <w:r w:rsidR="004A483B">
        <w:t xml:space="preserve">noting a </w:t>
      </w:r>
      <w:r w:rsidR="001A0E2A">
        <w:t>project to replace the existing SPECTRA spectrum management system has commenced</w:t>
      </w:r>
      <w:r>
        <w:t>.</w:t>
      </w:r>
    </w:p>
    <w:p w14:paraId="706E2595" w14:textId="78A434E2" w:rsidR="00477740" w:rsidRDefault="00B02D49" w:rsidP="00B7350D">
      <w:pPr>
        <w:ind w:right="992"/>
      </w:pPr>
      <w:r>
        <w:t xml:space="preserve">Telecommunications </w:t>
      </w:r>
      <w:r w:rsidR="0BD05D78">
        <w:t>T</w:t>
      </w:r>
      <w:r w:rsidR="566ED74D">
        <w:t>L</w:t>
      </w:r>
      <w:r w:rsidR="0BD05D78">
        <w:t>G</w:t>
      </w:r>
      <w:r w:rsidR="001E35E9">
        <w:t xml:space="preserve"> members </w:t>
      </w:r>
      <w:r w:rsidR="00D163FF">
        <w:t xml:space="preserve">did not agree with </w:t>
      </w:r>
      <w:r w:rsidR="001E35E9">
        <w:t xml:space="preserve">the addition of a new </w:t>
      </w:r>
      <w:r w:rsidR="00747FB7">
        <w:t>requirement for AWL</w:t>
      </w:r>
      <w:r w:rsidR="0056058C">
        <w:t xml:space="preserve">s to not overlap </w:t>
      </w:r>
      <w:r w:rsidR="00C35040">
        <w:t>existing point-to-multipoint</w:t>
      </w:r>
      <w:r w:rsidR="000A15E9">
        <w:t xml:space="preserve"> (PMP)</w:t>
      </w:r>
      <w:r w:rsidR="001D3DA6">
        <w:t xml:space="preserve"> </w:t>
      </w:r>
      <w:r w:rsidR="000A15E9">
        <w:t>licences</w:t>
      </w:r>
      <w:r w:rsidR="00647313">
        <w:t xml:space="preserve"> (now contained at </w:t>
      </w:r>
      <w:r w:rsidR="000A15E9">
        <w:t xml:space="preserve">clause </w:t>
      </w:r>
      <w:r w:rsidR="00647313">
        <w:t xml:space="preserve">3.3.1 of </w:t>
      </w:r>
      <w:r w:rsidR="000A15E9">
        <w:t xml:space="preserve">RALI </w:t>
      </w:r>
      <w:r w:rsidR="00647313">
        <w:t xml:space="preserve">MS47). </w:t>
      </w:r>
      <w:r w:rsidR="00642FF7">
        <w:t>This clause</w:t>
      </w:r>
      <w:r w:rsidR="00C855F9">
        <w:t xml:space="preserve"> was added to </w:t>
      </w:r>
      <w:r w:rsidR="00E63B92">
        <w:t xml:space="preserve">respond to an issue raised in </w:t>
      </w:r>
      <w:r w:rsidR="002700F2">
        <w:t xml:space="preserve">response to the public exposure of </w:t>
      </w:r>
      <w:r w:rsidR="003B45C9">
        <w:t xml:space="preserve">draft RALI </w:t>
      </w:r>
      <w:r w:rsidR="002700F2">
        <w:t>MS47 to allow a transition path for incumbent PMP</w:t>
      </w:r>
      <w:r w:rsidR="003B45C9">
        <w:t xml:space="preserve"> licence</w:t>
      </w:r>
      <w:r w:rsidR="002700F2">
        <w:t>s to</w:t>
      </w:r>
      <w:r w:rsidR="003B45C9">
        <w:t xml:space="preserve"> be replaced by</w:t>
      </w:r>
      <w:r w:rsidR="002700F2">
        <w:t xml:space="preserve"> AWLs.</w:t>
      </w:r>
      <w:r w:rsidR="00181D95">
        <w:t xml:space="preserve"> If AWLs were allowed to overlap with PMP</w:t>
      </w:r>
      <w:r w:rsidR="003B45C9">
        <w:t xml:space="preserve"> licence</w:t>
      </w:r>
      <w:r w:rsidR="00181D95">
        <w:t>s</w:t>
      </w:r>
      <w:r w:rsidR="002842AF">
        <w:t xml:space="preserve">, then there is no opportunity </w:t>
      </w:r>
      <w:r w:rsidR="00082727">
        <w:t xml:space="preserve">for a PMP licensee to acquire </w:t>
      </w:r>
      <w:r w:rsidR="00863A41">
        <w:t>an</w:t>
      </w:r>
      <w:r w:rsidR="00082727">
        <w:t xml:space="preserve"> AWL </w:t>
      </w:r>
      <w:r w:rsidR="00246B0A">
        <w:t>at its location.</w:t>
      </w:r>
    </w:p>
    <w:p w14:paraId="634286AB" w14:textId="698531E3" w:rsidR="00F374E1" w:rsidRDefault="00DA5178" w:rsidP="00B7350D">
      <w:pPr>
        <w:ind w:right="992"/>
      </w:pPr>
      <w:r>
        <w:t>We note the concerns</w:t>
      </w:r>
      <w:r w:rsidR="00942C37">
        <w:t xml:space="preserve"> and that </w:t>
      </w:r>
      <w:r w:rsidR="00361861">
        <w:t xml:space="preserve">this may result in a </w:t>
      </w:r>
      <w:r w:rsidR="00F54B4C">
        <w:t>‘</w:t>
      </w:r>
      <w:r w:rsidR="00A350E0">
        <w:t>Swiss</w:t>
      </w:r>
      <w:r w:rsidR="00361861">
        <w:t xml:space="preserve"> cheese</w:t>
      </w:r>
      <w:r w:rsidR="00F54B4C">
        <w:t>’</w:t>
      </w:r>
      <w:r w:rsidR="00361861">
        <w:t xml:space="preserve"> of AWL </w:t>
      </w:r>
      <w:r w:rsidR="00A350E0">
        <w:t>holdings.</w:t>
      </w:r>
      <w:r w:rsidR="00766083">
        <w:t xml:space="preserve"> </w:t>
      </w:r>
      <w:r w:rsidR="004F0354">
        <w:t>We remain of the view that a transition path for PMP</w:t>
      </w:r>
      <w:r w:rsidR="003B45C9">
        <w:t xml:space="preserve"> licence</w:t>
      </w:r>
      <w:r w:rsidR="004F0354">
        <w:t xml:space="preserve">s to AWLs is </w:t>
      </w:r>
      <w:r w:rsidR="002D75D9">
        <w:t xml:space="preserve">desirable. </w:t>
      </w:r>
      <w:r w:rsidR="00233EF8">
        <w:t xml:space="preserve">However, </w:t>
      </w:r>
      <w:r w:rsidR="00155647">
        <w:t xml:space="preserve">we also recognise </w:t>
      </w:r>
      <w:r w:rsidR="00A058AE">
        <w:t xml:space="preserve">our preference long term is to </w:t>
      </w:r>
      <w:r w:rsidR="00BC2944">
        <w:t xml:space="preserve">have </w:t>
      </w:r>
      <w:r w:rsidR="005B2297">
        <w:t xml:space="preserve">only </w:t>
      </w:r>
      <w:r w:rsidR="007E55D1">
        <w:t>AWL,</w:t>
      </w:r>
      <w:r w:rsidR="005B2297">
        <w:t xml:space="preserve"> and</w:t>
      </w:r>
      <w:r w:rsidR="007E55D1">
        <w:t xml:space="preserve"> no PMP</w:t>
      </w:r>
      <w:r w:rsidR="005B2297">
        <w:t xml:space="preserve"> </w:t>
      </w:r>
      <w:r w:rsidR="006F561C">
        <w:t>licences</w:t>
      </w:r>
      <w:r w:rsidR="007E3577">
        <w:t xml:space="preserve"> in relevant spectrum spaces. Consequently, we </w:t>
      </w:r>
      <w:r w:rsidR="00495894">
        <w:t xml:space="preserve">intend to review this </w:t>
      </w:r>
      <w:r w:rsidR="008D6573">
        <w:t>provision in RALI MS47 over time</w:t>
      </w:r>
      <w:r w:rsidR="00F666E2">
        <w:t>.</w:t>
      </w:r>
    </w:p>
    <w:p w14:paraId="7C16B4BA" w14:textId="60A5CE57" w:rsidR="00A54C80" w:rsidRDefault="00A54C80" w:rsidP="00B7350D">
      <w:pPr>
        <w:pStyle w:val="Heading2"/>
        <w:ind w:right="992"/>
      </w:pPr>
      <w:bookmarkStart w:id="80" w:name="_Toc126917782"/>
      <w:r>
        <w:t>Coexistence with radio altimeters</w:t>
      </w:r>
      <w:bookmarkEnd w:id="80"/>
    </w:p>
    <w:p w14:paraId="65FEEF1B" w14:textId="2B1BA230" w:rsidR="007672FD" w:rsidRDefault="007672FD" w:rsidP="00B7350D">
      <w:pPr>
        <w:pStyle w:val="Heading3"/>
        <w:ind w:right="992"/>
      </w:pPr>
      <w:r>
        <w:t>Introduction</w:t>
      </w:r>
    </w:p>
    <w:p w14:paraId="4547F54E" w14:textId="77777777" w:rsidR="005347BD" w:rsidRDefault="0064630B" w:rsidP="00B7350D">
      <w:pPr>
        <w:pStyle w:val="Paragraph"/>
        <w:ind w:right="992"/>
      </w:pPr>
      <w:r>
        <w:t>In developing spectrum licence technical frameworks</w:t>
      </w:r>
      <w:r w:rsidR="009968C9">
        <w:t>,</w:t>
      </w:r>
      <w:r>
        <w:t xml:space="preserve"> coexistence between future </w:t>
      </w:r>
      <w:r w:rsidR="00CB783F">
        <w:t>and existing uses</w:t>
      </w:r>
      <w:r w:rsidR="00B15F80">
        <w:t xml:space="preserve"> (</w:t>
      </w:r>
      <w:r w:rsidR="00260157">
        <w:t>in the same band in different geographic areas and in spectrally nearby bands)</w:t>
      </w:r>
      <w:r w:rsidR="00CB783F">
        <w:t xml:space="preserve"> is </w:t>
      </w:r>
      <w:r w:rsidR="00D10F7E">
        <w:t xml:space="preserve">routinely </w:t>
      </w:r>
      <w:r w:rsidR="00CB783F">
        <w:t xml:space="preserve">considered. </w:t>
      </w:r>
      <w:r w:rsidR="006A7B25">
        <w:t xml:space="preserve">In the </w:t>
      </w:r>
      <w:r w:rsidR="007C0046">
        <w:t>review</w:t>
      </w:r>
      <w:r w:rsidR="00BA31EF">
        <w:t xml:space="preserve"> of</w:t>
      </w:r>
      <w:r w:rsidR="007C0046">
        <w:t xml:space="preserve"> the existing spectrum licence technical framework to include bands to support this allocation process, coexistence between WBB and radio </w:t>
      </w:r>
      <w:r w:rsidR="003971EB">
        <w:t>altimeters</w:t>
      </w:r>
      <w:r w:rsidR="009968C9">
        <w:t xml:space="preserve"> </w:t>
      </w:r>
      <w:r w:rsidR="00D408A0">
        <w:t>was</w:t>
      </w:r>
      <w:r w:rsidR="00BA31EF">
        <w:t xml:space="preserve"> identified as </w:t>
      </w:r>
      <w:r w:rsidR="009968C9">
        <w:t xml:space="preserve">a key coexistence consideration. </w:t>
      </w:r>
    </w:p>
    <w:p w14:paraId="110AC0EA" w14:textId="2E3513DE" w:rsidR="008C2571" w:rsidRDefault="00E978BD" w:rsidP="00B7350D">
      <w:pPr>
        <w:pStyle w:val="Paragraph"/>
        <w:ind w:right="992"/>
      </w:pPr>
      <w:r>
        <w:lastRenderedPageBreak/>
        <w:t xml:space="preserve">This coexistence scenario is also relevant to </w:t>
      </w:r>
      <w:hyperlink r:id="rId87" w:history="1">
        <w:r w:rsidR="3E327AFE">
          <w:t xml:space="preserve">other allocation processes </w:t>
        </w:r>
        <w:r w:rsidR="3E327AFE" w:rsidRPr="79486142">
          <w:rPr>
            <w:rStyle w:val="Hyperlink"/>
          </w:rPr>
          <w:t xml:space="preserve">in the broader </w:t>
        </w:r>
        <w:r w:rsidR="000B746E">
          <w:rPr>
            <w:rStyle w:val="Hyperlink"/>
          </w:rPr>
          <w:br/>
        </w:r>
        <w:r w:rsidR="3E327AFE" w:rsidRPr="79486142">
          <w:rPr>
            <w:rStyle w:val="Hyperlink"/>
          </w:rPr>
          <w:t>3.4</w:t>
        </w:r>
        <w:r w:rsidR="0096488B">
          <w:rPr>
            <w:rStyle w:val="Hyperlink"/>
          </w:rPr>
          <w:t>–</w:t>
        </w:r>
        <w:r w:rsidR="3E327AFE" w:rsidRPr="79486142">
          <w:rPr>
            <w:rStyle w:val="Hyperlink"/>
          </w:rPr>
          <w:t>4.0 GHz band</w:t>
        </w:r>
      </w:hyperlink>
      <w:r>
        <w:t xml:space="preserve"> that the ACMA is undertaking</w:t>
      </w:r>
      <w:r w:rsidR="00BB4156">
        <w:t>,</w:t>
      </w:r>
      <w:r w:rsidR="00273334" w:rsidRPr="00273334">
        <w:t xml:space="preserve"> </w:t>
      </w:r>
      <w:r w:rsidR="00BB4156">
        <w:t xml:space="preserve">so </w:t>
      </w:r>
      <w:r w:rsidR="00273334">
        <w:t>comments in this section are applicable to all technical frameworks.</w:t>
      </w:r>
    </w:p>
    <w:p w14:paraId="45BBD11E" w14:textId="5EF2B120" w:rsidR="00976BE2" w:rsidRPr="007F0172" w:rsidRDefault="00976BE2" w:rsidP="00B7350D">
      <w:pPr>
        <w:pStyle w:val="Paragraph"/>
        <w:ind w:right="992"/>
      </w:pPr>
      <w:r w:rsidRPr="007F0172">
        <w:t xml:space="preserve">Coexistence between aircraft radio altimeters operating above 4200 MHz and WBB is being considered globally with information and the associated evidence base for decision making evolving. </w:t>
      </w:r>
    </w:p>
    <w:p w14:paraId="58FF0257" w14:textId="14A9720E" w:rsidR="000D68E1" w:rsidRDefault="00DD5CC1" w:rsidP="00B7350D">
      <w:pPr>
        <w:ind w:right="992"/>
      </w:pPr>
      <w:r>
        <w:t xml:space="preserve">The ACMA has been carefully considering </w:t>
      </w:r>
      <w:r w:rsidR="00EA4373">
        <w:t>this issue and closely f</w:t>
      </w:r>
      <w:r w:rsidR="00E252D3">
        <w:t>ol</w:t>
      </w:r>
      <w:r w:rsidR="00EA4373">
        <w:t xml:space="preserve">lowing global developments. </w:t>
      </w:r>
      <w:r w:rsidR="0044596C">
        <w:t>Domestically</w:t>
      </w:r>
      <w:r w:rsidR="00C9707D">
        <w:t>, the ACM</w:t>
      </w:r>
      <w:r w:rsidR="0044596C">
        <w:t>A has engaged the</w:t>
      </w:r>
      <w:r w:rsidR="005B4155">
        <w:t xml:space="preserve"> </w:t>
      </w:r>
      <w:r w:rsidR="650EC994">
        <w:t xml:space="preserve">TLG </w:t>
      </w:r>
      <w:r w:rsidR="0044596C">
        <w:t>on radio altimeter coexistence</w:t>
      </w:r>
      <w:r w:rsidR="00174114">
        <w:t xml:space="preserve"> as well as </w:t>
      </w:r>
      <w:r w:rsidR="00084799">
        <w:t>engaging</w:t>
      </w:r>
      <w:r w:rsidR="00C747B0">
        <w:t xml:space="preserve"> </w:t>
      </w:r>
      <w:r w:rsidR="00174114">
        <w:t>directly with a range of stakeholders – most importantly the Civil Aviation Safety Authority (CASA)</w:t>
      </w:r>
      <w:r w:rsidR="10C8BD06">
        <w:t>.</w:t>
      </w:r>
      <w:r w:rsidR="0127632F">
        <w:t xml:space="preserve"> </w:t>
      </w:r>
      <w:r w:rsidR="597F82FF">
        <w:t>As part of that process</w:t>
      </w:r>
      <w:r w:rsidR="00084799">
        <w:t>,</w:t>
      </w:r>
      <w:r w:rsidR="597F82FF">
        <w:t xml:space="preserve"> the ACMA developed a </w:t>
      </w:r>
      <w:r w:rsidR="2C70A88A">
        <w:t xml:space="preserve">report on </w:t>
      </w:r>
      <w:r w:rsidR="2C70A88A" w:rsidRPr="7D6C722F">
        <w:rPr>
          <w:i/>
          <w:iCs/>
        </w:rPr>
        <w:t>Coexistence between Radio Altimeters operating in 4200</w:t>
      </w:r>
      <w:r w:rsidR="0096488B">
        <w:rPr>
          <w:i/>
          <w:iCs/>
        </w:rPr>
        <w:t>–</w:t>
      </w:r>
      <w:r w:rsidR="2C70A88A" w:rsidRPr="7D6C722F">
        <w:rPr>
          <w:i/>
          <w:iCs/>
        </w:rPr>
        <w:t>4400 MHz and Wireless Broadband systems in 3400</w:t>
      </w:r>
      <w:r w:rsidR="0096488B">
        <w:rPr>
          <w:i/>
          <w:iCs/>
        </w:rPr>
        <w:t>–</w:t>
      </w:r>
      <w:r w:rsidR="2C70A88A" w:rsidRPr="7D6C722F">
        <w:rPr>
          <w:i/>
          <w:iCs/>
        </w:rPr>
        <w:t>4000 MHz</w:t>
      </w:r>
      <w:r w:rsidR="2C70A88A">
        <w:t xml:space="preserve"> </w:t>
      </w:r>
      <w:r w:rsidR="000E564D">
        <w:t>(the report on coexis</w:t>
      </w:r>
      <w:r w:rsidR="00140802">
        <w:t xml:space="preserve">tence between </w:t>
      </w:r>
      <w:r w:rsidR="00FD5C04">
        <w:t>RAs a</w:t>
      </w:r>
      <w:r w:rsidR="009224A1">
        <w:t xml:space="preserve">nd WBB) </w:t>
      </w:r>
      <w:r w:rsidR="4807B268">
        <w:t xml:space="preserve">which </w:t>
      </w:r>
      <w:r w:rsidR="00C42876">
        <w:t>was published alongside this consultation paper</w:t>
      </w:r>
      <w:r w:rsidR="4807B268">
        <w:t xml:space="preserve">. </w:t>
      </w:r>
      <w:r w:rsidR="000D68E1">
        <w:t>This report</w:t>
      </w:r>
      <w:r w:rsidR="00B21042">
        <w:t xml:space="preserve">, a draft </w:t>
      </w:r>
      <w:r w:rsidR="006C427C">
        <w:t>o</w:t>
      </w:r>
      <w:r w:rsidR="00B21042">
        <w:t xml:space="preserve">f which was shared with the TLG in October </w:t>
      </w:r>
      <w:r w:rsidR="00547DBD">
        <w:t>2022, consolidates</w:t>
      </w:r>
      <w:r w:rsidR="0071420E">
        <w:t xml:space="preserve"> the extensive information available </w:t>
      </w:r>
      <w:r w:rsidR="007B21E5">
        <w:t>to assist consideration of the matter by interested parties</w:t>
      </w:r>
      <w:r w:rsidR="0071420E">
        <w:t xml:space="preserve">, </w:t>
      </w:r>
      <w:r w:rsidR="001B746E">
        <w:t xml:space="preserve">and outlines </w:t>
      </w:r>
      <w:r w:rsidR="009B63DA">
        <w:t>the ACMA’s</w:t>
      </w:r>
      <w:r w:rsidR="001B746E">
        <w:t xml:space="preserve"> proposed approach </w:t>
      </w:r>
      <w:r w:rsidR="000E1A26">
        <w:t xml:space="preserve">for coexistence. </w:t>
      </w:r>
      <w:r w:rsidR="0071420E">
        <w:t xml:space="preserve"> </w:t>
      </w:r>
    </w:p>
    <w:p w14:paraId="78CD798D" w14:textId="3CA40429" w:rsidR="00443420" w:rsidRDefault="00A66997" w:rsidP="00B7350D">
      <w:pPr>
        <w:ind w:right="992"/>
      </w:pPr>
      <w:r>
        <w:t>An overview of the issue, the ACMA’s considerations and proposed approach are provided below.</w:t>
      </w:r>
      <w:r w:rsidR="00C94C81">
        <w:t xml:space="preserve"> Questions regarding this issue are at </w:t>
      </w:r>
      <w:r w:rsidR="00C94C81" w:rsidRPr="005347BD">
        <w:rPr>
          <w:b/>
          <w:bCs/>
        </w:rPr>
        <w:t>Appendix A</w:t>
      </w:r>
      <w:r w:rsidR="00C94C81">
        <w:t xml:space="preserve"> to this consultation paper.</w:t>
      </w:r>
      <w:r>
        <w:t xml:space="preserve"> Feedback to this </w:t>
      </w:r>
      <w:r w:rsidR="00E64B0D">
        <w:t>consultation</w:t>
      </w:r>
      <w:r>
        <w:t xml:space="preserve"> process </w:t>
      </w:r>
      <w:r w:rsidR="000F227A">
        <w:t xml:space="preserve">will </w:t>
      </w:r>
      <w:r w:rsidR="00E64B0D">
        <w:t>assist the ACMA in f</w:t>
      </w:r>
      <w:r w:rsidR="00AF3FAB">
        <w:t>inalising its</w:t>
      </w:r>
      <w:r w:rsidR="00E64B0D">
        <w:t xml:space="preserve"> decisions on </w:t>
      </w:r>
      <w:r w:rsidR="001E77A4">
        <w:t>coexistence</w:t>
      </w:r>
      <w:r w:rsidR="00E64B0D">
        <w:t xml:space="preserve"> </w:t>
      </w:r>
      <w:r w:rsidR="001E77A4">
        <w:t>arrangements</w:t>
      </w:r>
      <w:r w:rsidR="00E64B0D">
        <w:t xml:space="preserve"> </w:t>
      </w:r>
      <w:r w:rsidR="00CB7FE8">
        <w:t xml:space="preserve">applicable for </w:t>
      </w:r>
      <w:r w:rsidR="00E64B0D">
        <w:t xml:space="preserve">the spectrum </w:t>
      </w:r>
      <w:r w:rsidR="001E77A4">
        <w:t>licence</w:t>
      </w:r>
      <w:r w:rsidR="00E64B0D">
        <w:t xml:space="preserve"> technical </w:t>
      </w:r>
      <w:r w:rsidR="004B0443">
        <w:t>framework</w:t>
      </w:r>
      <w:r w:rsidR="00E64B0D">
        <w:t xml:space="preserve"> </w:t>
      </w:r>
      <w:r w:rsidR="00CB7FE8">
        <w:t xml:space="preserve">and also </w:t>
      </w:r>
      <w:r w:rsidR="00202C21">
        <w:t xml:space="preserve">relevant to AWL </w:t>
      </w:r>
      <w:r w:rsidR="001E77A4">
        <w:t>allocation</w:t>
      </w:r>
      <w:r w:rsidR="00E64B0D">
        <w:t xml:space="preserve"> processes </w:t>
      </w:r>
      <w:r w:rsidR="00321A8A">
        <w:t xml:space="preserve">in </w:t>
      </w:r>
      <w:r w:rsidR="000F227A">
        <w:t>the 3.4</w:t>
      </w:r>
      <w:r w:rsidR="0096488B">
        <w:t>–</w:t>
      </w:r>
      <w:r w:rsidR="000F227A">
        <w:t>4.0 GHz frequency range</w:t>
      </w:r>
      <w:r w:rsidR="001E77A4">
        <w:t xml:space="preserve">. </w:t>
      </w:r>
    </w:p>
    <w:p w14:paraId="09B27C58" w14:textId="77777777" w:rsidR="00273334" w:rsidRDefault="00273334" w:rsidP="00B7350D">
      <w:pPr>
        <w:pStyle w:val="Heading3"/>
        <w:ind w:right="992"/>
      </w:pPr>
      <w:r>
        <w:t>Discussion</w:t>
      </w:r>
    </w:p>
    <w:p w14:paraId="1E1DB7FD" w14:textId="36CEFE3B" w:rsidR="009F6946" w:rsidRDefault="009F6946" w:rsidP="00B7350D">
      <w:pPr>
        <w:ind w:right="992"/>
      </w:pPr>
      <w:r>
        <w:t>The object of the Act is to promote the long-term public interest derived from the use of the spectrum, by providing for the management of the spectrum in a manner that, among other things, facilitates its efficient planning, allocation and use, and facilitates the use of the spectrum for both commercial and other purposes.</w:t>
      </w:r>
      <w:r>
        <w:rPr>
          <w:rStyle w:val="FootnoteReference"/>
        </w:rPr>
        <w:footnoteReference w:id="31"/>
      </w:r>
      <w:r>
        <w:t xml:space="preserve">   </w:t>
      </w:r>
    </w:p>
    <w:p w14:paraId="0F6F2E82" w14:textId="053BD643" w:rsidR="00B97B0C" w:rsidRDefault="0045067E" w:rsidP="00B7350D">
      <w:pPr>
        <w:ind w:right="992"/>
      </w:pPr>
      <w:r>
        <w:t>In this context, t</w:t>
      </w:r>
      <w:r w:rsidR="00B97B0C">
        <w:t xml:space="preserve">he ACMA acknowledges </w:t>
      </w:r>
      <w:r w:rsidR="00B77CAC">
        <w:t>that radio altimeters</w:t>
      </w:r>
      <w:r w:rsidR="00B97B0C">
        <w:t xml:space="preserve"> </w:t>
      </w:r>
      <w:r w:rsidR="00B77CAC" w:rsidRPr="00B77CAC">
        <w:t>are critical sensors that provide high integrity, accurate measurements of aircraft (</w:t>
      </w:r>
      <w:r w:rsidR="00B35D70">
        <w:t xml:space="preserve">whether </w:t>
      </w:r>
      <w:r w:rsidR="00B77CAC" w:rsidRPr="00B77CAC">
        <w:t xml:space="preserve">commercial, civil </w:t>
      </w:r>
      <w:r w:rsidR="00B35D70">
        <w:t>or</w:t>
      </w:r>
      <w:r w:rsidR="00B35D70" w:rsidRPr="00B77CAC">
        <w:t xml:space="preserve"> </w:t>
      </w:r>
      <w:r w:rsidR="00B77CAC" w:rsidRPr="00B77CAC">
        <w:t>military) height above terrain and obstacles</w:t>
      </w:r>
      <w:r w:rsidR="00F808CB">
        <w:t xml:space="preserve"> and these are used </w:t>
      </w:r>
      <w:r w:rsidR="00B77CAC" w:rsidRPr="00B77CAC">
        <w:t xml:space="preserve">by many aircraft (both fixed and rotary wing) to enable and enhance flight safety and operations. </w:t>
      </w:r>
      <w:r w:rsidR="009E6768">
        <w:t xml:space="preserve">Ensuring coexistence </w:t>
      </w:r>
      <w:r w:rsidR="00621089">
        <w:t xml:space="preserve">between radio </w:t>
      </w:r>
      <w:r w:rsidR="00DD5CC1">
        <w:t>altimeters</w:t>
      </w:r>
      <w:r w:rsidR="009E6768">
        <w:t xml:space="preserve"> with uses of the spectrum such as WBB </w:t>
      </w:r>
      <w:r w:rsidR="00621089">
        <w:t xml:space="preserve">is a </w:t>
      </w:r>
      <w:r w:rsidR="008B48E1">
        <w:t xml:space="preserve">therefore </w:t>
      </w:r>
      <w:r w:rsidR="00621089">
        <w:t xml:space="preserve">key </w:t>
      </w:r>
      <w:r w:rsidR="00DD5CC1">
        <w:t>requirement of the ACMA.</w:t>
      </w:r>
    </w:p>
    <w:p w14:paraId="57B3CB96" w14:textId="2915FFA1" w:rsidR="00D97390" w:rsidRDefault="003162C6" w:rsidP="00B7350D">
      <w:pPr>
        <w:ind w:right="992"/>
      </w:pPr>
      <w:r>
        <w:t>Similarly, the ACMA</w:t>
      </w:r>
      <w:r w:rsidR="008B48E1">
        <w:t xml:space="preserve"> must consider </w:t>
      </w:r>
      <w:r w:rsidR="00D97390">
        <w:t>opportunities</w:t>
      </w:r>
      <w:r w:rsidR="008B48E1">
        <w:t xml:space="preserve"> to </w:t>
      </w:r>
      <w:r w:rsidR="00D97390">
        <w:t>facilitate</w:t>
      </w:r>
      <w:r w:rsidR="008B48E1">
        <w:t xml:space="preserve"> new uses of the spectrum such as WBB</w:t>
      </w:r>
      <w:r w:rsidR="00D97390">
        <w:t>. Spectrum in the 3400</w:t>
      </w:r>
      <w:r w:rsidR="0096488B">
        <w:t>–</w:t>
      </w:r>
      <w:r w:rsidR="00D97390">
        <w:t xml:space="preserve">4200 MHz range is of particular interest </w:t>
      </w:r>
      <w:r w:rsidR="009261E2">
        <w:t xml:space="preserve">for WBB </w:t>
      </w:r>
      <w:r w:rsidR="00D97390">
        <w:t xml:space="preserve">globally as an early band for 5G WBB (in addition to 4G and earlier broadband services in parts of the range) with extensive deployments worldwide in </w:t>
      </w:r>
      <w:r w:rsidR="00C84C12">
        <w:t xml:space="preserve">different </w:t>
      </w:r>
      <w:r w:rsidR="00D97390">
        <w:t xml:space="preserve">parts of the band. </w:t>
      </w:r>
      <w:r w:rsidR="009261E2">
        <w:t xml:space="preserve">The ACMA </w:t>
      </w:r>
      <w:r w:rsidR="00EB3095">
        <w:t>consider</w:t>
      </w:r>
      <w:r w:rsidR="00840E1C">
        <w:t>s</w:t>
      </w:r>
      <w:r w:rsidR="009261E2">
        <w:t xml:space="preserve"> that the efficient use of this spectrum </w:t>
      </w:r>
      <w:r w:rsidR="00016AFE">
        <w:t xml:space="preserve">that </w:t>
      </w:r>
      <w:r w:rsidR="009261E2">
        <w:t>support</w:t>
      </w:r>
      <w:r w:rsidR="00016AFE">
        <w:t>s</w:t>
      </w:r>
      <w:r w:rsidR="009261E2">
        <w:t xml:space="preserve"> both radio altimeters and WBB w</w:t>
      </w:r>
      <w:r w:rsidR="00840E1C">
        <w:t xml:space="preserve">ill </w:t>
      </w:r>
      <w:r w:rsidR="008B08D2">
        <w:t>contribute to the long-term public interest</w:t>
      </w:r>
      <w:r w:rsidR="009261E2">
        <w:t>.</w:t>
      </w:r>
    </w:p>
    <w:p w14:paraId="36E70636" w14:textId="36A3E742" w:rsidR="00D678B1" w:rsidRDefault="00D678B1" w:rsidP="00B7350D">
      <w:pPr>
        <w:ind w:right="992"/>
      </w:pPr>
      <w:r>
        <w:t>The theoretical studies</w:t>
      </w:r>
      <w:r w:rsidR="00A97ACF">
        <w:t>, controlled trials</w:t>
      </w:r>
      <w:r>
        <w:t xml:space="preserve"> and empirical evidence from real world deployments regarding the coexistence of radio </w:t>
      </w:r>
      <w:r w:rsidR="009B0FB1">
        <w:t>altimeters</w:t>
      </w:r>
      <w:r>
        <w:t xml:space="preserve"> and WBB do not provide a </w:t>
      </w:r>
      <w:r w:rsidR="00907988">
        <w:t xml:space="preserve">conclusive view </w:t>
      </w:r>
      <w:r>
        <w:t xml:space="preserve">of the </w:t>
      </w:r>
      <w:r w:rsidR="00907988">
        <w:t>actual</w:t>
      </w:r>
      <w:r>
        <w:t xml:space="preserve"> likelihood of interference to </w:t>
      </w:r>
      <w:r w:rsidR="008F7361">
        <w:t xml:space="preserve">radio </w:t>
      </w:r>
      <w:r w:rsidR="00960688">
        <w:t>altimeters</w:t>
      </w:r>
      <w:r>
        <w:t xml:space="preserve">. Some lack of certainty and consensus on spectrum coexistence matters is not unusual, given the differing perspectives of stakeholders, </w:t>
      </w:r>
      <w:r w:rsidR="00BF5EDF">
        <w:t>h</w:t>
      </w:r>
      <w:r>
        <w:t xml:space="preserve">owever, the critical nature of </w:t>
      </w:r>
      <w:r w:rsidR="009B0FB1">
        <w:t>radio altimeters</w:t>
      </w:r>
      <w:r>
        <w:t xml:space="preserve"> in some use cases, makes this lack of definitive evidence more challenging </w:t>
      </w:r>
      <w:r w:rsidR="000B746E">
        <w:br/>
      </w:r>
      <w:r>
        <w:t xml:space="preserve">than usual. </w:t>
      </w:r>
    </w:p>
    <w:p w14:paraId="57E612CB" w14:textId="0B3EB79C" w:rsidR="00D678B1" w:rsidRDefault="00D678B1" w:rsidP="00B7350D">
      <w:pPr>
        <w:ind w:right="992"/>
      </w:pPr>
      <w:r>
        <w:lastRenderedPageBreak/>
        <w:t>Given these circumstances, the ACMA considers it appropriate to adopt a precautionary approach to the implementation of new WBB uses into this environment. This is based on the concept that the absence of definitive data to accurately determine risk likelihood and consequence (in this</w:t>
      </w:r>
      <w:r w:rsidR="00906FF9">
        <w:t xml:space="preserve"> case</w:t>
      </w:r>
      <w:r>
        <w:t xml:space="preserve"> risk of interference to </w:t>
      </w:r>
      <w:r w:rsidR="00FC287D">
        <w:t xml:space="preserve">radio </w:t>
      </w:r>
      <w:r w:rsidR="00875F82">
        <w:t>altimeters</w:t>
      </w:r>
      <w:r>
        <w:t xml:space="preserve">) should not preclude action to mitigate the possible risk through the adoption of prudent controls (i.e., regulatory measures). The consequences of excessive or unnecessary regulatory restrictions on WBB systems may, however, reduce the long-term benefits that these services can provide to the Australian community. </w:t>
      </w:r>
    </w:p>
    <w:p w14:paraId="1D58BBF5" w14:textId="715F26DC" w:rsidR="00F64046" w:rsidRDefault="00F64046" w:rsidP="00B7350D">
      <w:pPr>
        <w:ind w:right="992"/>
      </w:pPr>
      <w:r>
        <w:t>A</w:t>
      </w:r>
      <w:r w:rsidR="00CF5AAF">
        <w:t xml:space="preserve">n important </w:t>
      </w:r>
      <w:r>
        <w:t>consideration in determining this proposed approach is that t</w:t>
      </w:r>
      <w:r w:rsidRPr="00ED2641">
        <w:t>he spectrum management coexistence performance of some</w:t>
      </w:r>
      <w:r w:rsidRPr="00ED2641">
        <w:rPr>
          <w:vertAlign w:val="superscript"/>
        </w:rPr>
        <w:footnoteReference w:id="32"/>
      </w:r>
      <w:r w:rsidRPr="00ED2641">
        <w:t xml:space="preserve"> current </w:t>
      </w:r>
      <w:r>
        <w:t>radio altimeters</w:t>
      </w:r>
      <w:r w:rsidRPr="00ED2641">
        <w:t xml:space="preserve"> </w:t>
      </w:r>
      <w:r w:rsidR="004576EE" w:rsidRPr="00ED2641">
        <w:t>appear</w:t>
      </w:r>
      <w:r w:rsidR="002B6B00">
        <w:t>s</w:t>
      </w:r>
      <w:r w:rsidRPr="00ED2641">
        <w:t xml:space="preserve"> to be generally poor and not conducive to good spectrum management outcomes. This is characterised by industry testing</w:t>
      </w:r>
      <w:r w:rsidRPr="00ED2641">
        <w:rPr>
          <w:vertAlign w:val="superscript"/>
        </w:rPr>
        <w:footnoteReference w:id="33"/>
      </w:r>
      <w:r w:rsidRPr="00ED2641">
        <w:t xml:space="preserve"> that indicates apparent susceptibility of </w:t>
      </w:r>
      <w:r w:rsidR="00175BC4">
        <w:t xml:space="preserve">some </w:t>
      </w:r>
      <w:r>
        <w:t>radio altimeters</w:t>
      </w:r>
      <w:r w:rsidR="008347E7">
        <w:t>, in some circumstances,</w:t>
      </w:r>
      <w:r>
        <w:t xml:space="preserve"> </w:t>
      </w:r>
      <w:r w:rsidRPr="00ED2641">
        <w:t xml:space="preserve">to operation of WBB devices far from the </w:t>
      </w:r>
      <w:r>
        <w:t>radio altime</w:t>
      </w:r>
      <w:r w:rsidR="008347E7">
        <w:t>te</w:t>
      </w:r>
      <w:r>
        <w:t>rs</w:t>
      </w:r>
      <w:r w:rsidRPr="00ED2641">
        <w:t xml:space="preserve"> operating band</w:t>
      </w:r>
      <w:r w:rsidR="00906FF9">
        <w:t xml:space="preserve"> (some multiples of 100 MHz)</w:t>
      </w:r>
      <w:r w:rsidR="008347E7">
        <w:t xml:space="preserve">. This occurs </w:t>
      </w:r>
      <w:r w:rsidRPr="00ED2641">
        <w:t xml:space="preserve">via a mechanism whereby fundamental </w:t>
      </w:r>
      <w:r w:rsidR="002B673D">
        <w:t>(or ‘wanted’)</w:t>
      </w:r>
      <w:r w:rsidRPr="00ED2641">
        <w:t xml:space="preserve"> WBB emissions interact with </w:t>
      </w:r>
      <w:r w:rsidR="008347E7">
        <w:t>radio altimeter</w:t>
      </w:r>
      <w:r w:rsidRPr="00ED2641">
        <w:t xml:space="preserve"> operation due to poor </w:t>
      </w:r>
      <w:r w:rsidR="008347E7">
        <w:t xml:space="preserve">radio altimeter </w:t>
      </w:r>
      <w:r w:rsidRPr="00ED2641">
        <w:t>filter performance.</w:t>
      </w:r>
    </w:p>
    <w:p w14:paraId="2858798B" w14:textId="1453CC26" w:rsidR="004576EE" w:rsidRDefault="004A66EA" w:rsidP="00B7350D">
      <w:pPr>
        <w:ind w:right="992"/>
      </w:pPr>
      <w:r>
        <w:t>Notwithstanding</w:t>
      </w:r>
      <w:r w:rsidR="008347E7">
        <w:t xml:space="preserve"> the </w:t>
      </w:r>
      <w:r>
        <w:t>necessity</w:t>
      </w:r>
      <w:r w:rsidR="008347E7">
        <w:t xml:space="preserve"> of </w:t>
      </w:r>
      <w:r>
        <w:t>continuing</w:t>
      </w:r>
      <w:r w:rsidR="008347E7">
        <w:t xml:space="preserve"> to ensure the </w:t>
      </w:r>
      <w:r>
        <w:t xml:space="preserve">spectrum management environment is conducive to the </w:t>
      </w:r>
      <w:r w:rsidR="008347E7">
        <w:t xml:space="preserve">safe operation of radio </w:t>
      </w:r>
      <w:r>
        <w:t>altimeters</w:t>
      </w:r>
      <w:r w:rsidR="008347E7">
        <w:t xml:space="preserve">, </w:t>
      </w:r>
      <w:r>
        <w:t>the</w:t>
      </w:r>
      <w:r w:rsidR="00D64DCE">
        <w:t xml:space="preserve"> ACMA is of the view that the</w:t>
      </w:r>
      <w:r>
        <w:t xml:space="preserve"> performance of some current radio </w:t>
      </w:r>
      <w:r w:rsidR="004576EE">
        <w:t>altimeters</w:t>
      </w:r>
      <w:r w:rsidR="008347E7">
        <w:t xml:space="preserve"> </w:t>
      </w:r>
      <w:r w:rsidR="00025284">
        <w:t xml:space="preserve">does not support the </w:t>
      </w:r>
      <w:r>
        <w:t>efficient</w:t>
      </w:r>
      <w:r w:rsidR="00025284">
        <w:t xml:space="preserve"> planning, </w:t>
      </w:r>
      <w:r>
        <w:t>allocation</w:t>
      </w:r>
      <w:r w:rsidR="00025284">
        <w:t xml:space="preserve"> and use of the </w:t>
      </w:r>
      <w:r>
        <w:t>spectrum</w:t>
      </w:r>
      <w:r w:rsidR="00A77D09">
        <w:t xml:space="preserve">. This is due to the need </w:t>
      </w:r>
      <w:r>
        <w:t>to adopt a</w:t>
      </w:r>
      <w:r w:rsidR="00A77D09">
        <w:t xml:space="preserve"> precautionary</w:t>
      </w:r>
      <w:r>
        <w:t xml:space="preserve"> approach </w:t>
      </w:r>
      <w:r w:rsidR="004576EE">
        <w:t xml:space="preserve">to WBB </w:t>
      </w:r>
      <w:r w:rsidR="00A77D09">
        <w:t>technical frameworks</w:t>
      </w:r>
      <w:r w:rsidR="00C7038E">
        <w:t xml:space="preserve"> for</w:t>
      </w:r>
      <w:r w:rsidR="00D64DCE">
        <w:t xml:space="preserve"> operating in spectrum well away from the radio altimeter band</w:t>
      </w:r>
      <w:r w:rsidR="004576EE">
        <w:t xml:space="preserve"> that impact on the </w:t>
      </w:r>
      <w:r w:rsidR="00A77D09">
        <w:t>utility</w:t>
      </w:r>
      <w:r w:rsidR="004576EE">
        <w:t xml:space="preserve"> of the spectrum for </w:t>
      </w:r>
      <w:r w:rsidR="00123D83">
        <w:br/>
      </w:r>
      <w:r w:rsidR="004576EE">
        <w:t xml:space="preserve">WBB use. </w:t>
      </w:r>
      <w:r w:rsidR="00025284">
        <w:t xml:space="preserve"> </w:t>
      </w:r>
    </w:p>
    <w:p w14:paraId="522BC772" w14:textId="7A289160" w:rsidR="00510EFE" w:rsidRDefault="00510EFE" w:rsidP="00B7350D">
      <w:pPr>
        <w:pStyle w:val="Heading4"/>
        <w:ind w:right="992"/>
      </w:pPr>
      <w:r>
        <w:t xml:space="preserve">Interim mitigations </w:t>
      </w:r>
      <w:r w:rsidR="00D67CC8">
        <w:t xml:space="preserve">combined </w:t>
      </w:r>
      <w:r>
        <w:t xml:space="preserve">with radio altimeters retrofits </w:t>
      </w:r>
      <w:r w:rsidR="00F76D07">
        <w:t xml:space="preserve">of </w:t>
      </w:r>
      <w:r w:rsidR="005E0C4C">
        <w:t xml:space="preserve">a </w:t>
      </w:r>
      <w:r w:rsidR="00B16A9E">
        <w:t>defined</w:t>
      </w:r>
      <w:r w:rsidR="00F76D07">
        <w:t xml:space="preserve"> timeframe</w:t>
      </w:r>
    </w:p>
    <w:p w14:paraId="1FD3AFC4" w14:textId="6AC0B2B2" w:rsidR="009847DF" w:rsidRDefault="00F76A87" w:rsidP="00B7350D">
      <w:pPr>
        <w:ind w:right="992"/>
      </w:pPr>
      <w:r>
        <w:t xml:space="preserve">The coexistence </w:t>
      </w:r>
      <w:r w:rsidR="00F37C8A">
        <w:t>issues outlined above</w:t>
      </w:r>
      <w:r w:rsidR="0019538D">
        <w:t xml:space="preserve"> can be </w:t>
      </w:r>
      <w:r w:rsidR="00A9086D">
        <w:t>resolved</w:t>
      </w:r>
      <w:r w:rsidR="0019538D">
        <w:t xml:space="preserve"> through improved radio </w:t>
      </w:r>
      <w:r w:rsidR="00DE0919">
        <w:t>altimeter</w:t>
      </w:r>
      <w:r w:rsidR="0019538D">
        <w:t xml:space="preserve"> </w:t>
      </w:r>
      <w:r w:rsidR="00DE0919">
        <w:t>performance</w:t>
      </w:r>
      <w:r w:rsidR="0019538D">
        <w:t xml:space="preserve"> </w:t>
      </w:r>
      <w:r w:rsidR="0038720C">
        <w:t>by</w:t>
      </w:r>
      <w:r w:rsidR="0019538D">
        <w:t xml:space="preserve"> </w:t>
      </w:r>
      <w:r w:rsidR="00DE0919">
        <w:t>retrofitting</w:t>
      </w:r>
      <w:r w:rsidR="0019538D">
        <w:t xml:space="preserve"> filters </w:t>
      </w:r>
      <w:r w:rsidR="0038720C">
        <w:t>to susceptible</w:t>
      </w:r>
      <w:r w:rsidR="0019538D">
        <w:t xml:space="preserve"> existing </w:t>
      </w:r>
      <w:r w:rsidR="00DE0919">
        <w:t xml:space="preserve">deployed </w:t>
      </w:r>
      <w:r w:rsidR="0019538D">
        <w:t xml:space="preserve">radio </w:t>
      </w:r>
      <w:r w:rsidR="00AD06B5">
        <w:t>altimeters</w:t>
      </w:r>
      <w:r w:rsidR="0019538D">
        <w:t xml:space="preserve"> and</w:t>
      </w:r>
      <w:r w:rsidR="00DE0919">
        <w:t xml:space="preserve">, ultimately, </w:t>
      </w:r>
      <w:r w:rsidR="0019538D">
        <w:t>throu</w:t>
      </w:r>
      <w:r w:rsidR="00DE0919">
        <w:t>g</w:t>
      </w:r>
      <w:r w:rsidR="0019538D">
        <w:t xml:space="preserve">h the </w:t>
      </w:r>
      <w:r w:rsidR="00DE0919">
        <w:t>adoption</w:t>
      </w:r>
      <w:r w:rsidR="0019538D">
        <w:t xml:space="preserve"> o</w:t>
      </w:r>
      <w:r w:rsidR="00DE0919">
        <w:t>f</w:t>
      </w:r>
      <w:r w:rsidR="0019538D">
        <w:t xml:space="preserve"> new radio </w:t>
      </w:r>
      <w:r w:rsidR="00DE0919">
        <w:t>altimeter</w:t>
      </w:r>
      <w:r w:rsidR="0019538D">
        <w:t xml:space="preserve"> standards. </w:t>
      </w:r>
      <w:r w:rsidR="004A66EA">
        <w:t>The U</w:t>
      </w:r>
      <w:r w:rsidR="00D22AF3">
        <w:t xml:space="preserve">nited </w:t>
      </w:r>
      <w:r w:rsidR="004A66EA">
        <w:t>S</w:t>
      </w:r>
      <w:r w:rsidR="008A19BB">
        <w:t>tates (</w:t>
      </w:r>
      <w:r w:rsidR="004A66EA">
        <w:t>US</w:t>
      </w:r>
      <w:r w:rsidR="008A19BB">
        <w:t>)</w:t>
      </w:r>
      <w:r w:rsidR="004A66EA">
        <w:t xml:space="preserve"> for example has adopted </w:t>
      </w:r>
      <w:r w:rsidR="000C5F1D">
        <w:t>the</w:t>
      </w:r>
      <w:r w:rsidR="004A66EA">
        <w:t xml:space="preserve"> approach of </w:t>
      </w:r>
      <w:r w:rsidR="00DE0919">
        <w:t>requiring retrofitting</w:t>
      </w:r>
      <w:r w:rsidR="004A66EA">
        <w:t xml:space="preserve"> </w:t>
      </w:r>
      <w:r w:rsidR="00DE0919">
        <w:t xml:space="preserve">radio </w:t>
      </w:r>
      <w:r w:rsidR="009847DF">
        <w:t xml:space="preserve">altimeters </w:t>
      </w:r>
      <w:r w:rsidR="00E4072C">
        <w:t>in</w:t>
      </w:r>
      <w:r w:rsidR="000C2721">
        <w:t xml:space="preserve"> a</w:t>
      </w:r>
      <w:r w:rsidR="009847DF">
        <w:t xml:space="preserve"> defined period during which additional constraints are imposed on WBB deployments to support coexistence. </w:t>
      </w:r>
      <w:r w:rsidR="00250A5A">
        <w:t xml:space="preserve">Canada is considering a similar approach. </w:t>
      </w:r>
    </w:p>
    <w:p w14:paraId="1173B1C0" w14:textId="2FF45642" w:rsidR="008347E7" w:rsidRDefault="009847DF" w:rsidP="00B7350D">
      <w:pPr>
        <w:ind w:right="992"/>
      </w:pPr>
      <w:r>
        <w:t xml:space="preserve">The ACMA’s proposed approached </w:t>
      </w:r>
      <w:r w:rsidR="005E113E">
        <w:t>is</w:t>
      </w:r>
      <w:r w:rsidR="00520F57">
        <w:t>,</w:t>
      </w:r>
      <w:r>
        <w:t xml:space="preserve"> in</w:t>
      </w:r>
      <w:r w:rsidR="00FB4EB6">
        <w:t xml:space="preserve"> </w:t>
      </w:r>
      <w:r>
        <w:t>prin</w:t>
      </w:r>
      <w:r w:rsidR="00FB4EB6">
        <w:t>ci</w:t>
      </w:r>
      <w:r>
        <w:t>ple</w:t>
      </w:r>
      <w:r w:rsidR="00520F57">
        <w:t>,</w:t>
      </w:r>
      <w:r>
        <w:t xml:space="preserve"> sim</w:t>
      </w:r>
      <w:r w:rsidR="00FB4EB6">
        <w:t>ila</w:t>
      </w:r>
      <w:r>
        <w:t xml:space="preserve">r to </w:t>
      </w:r>
      <w:r w:rsidR="0077387A">
        <w:t>that a</w:t>
      </w:r>
      <w:r w:rsidR="005E113E">
        <w:t xml:space="preserve">dopted in the </w:t>
      </w:r>
      <w:r>
        <w:t>US</w:t>
      </w:r>
      <w:r w:rsidR="00F00FA3">
        <w:t xml:space="preserve"> (</w:t>
      </w:r>
      <w:r w:rsidR="005E113E">
        <w:t>and proposed in Canada</w:t>
      </w:r>
      <w:r w:rsidR="00F00FA3">
        <w:t>)</w:t>
      </w:r>
      <w:r>
        <w:t xml:space="preserve"> </w:t>
      </w:r>
      <w:r w:rsidR="00F00FA3">
        <w:t>and</w:t>
      </w:r>
      <w:r>
        <w:t xml:space="preserve"> is </w:t>
      </w:r>
      <w:r w:rsidR="00755F96">
        <w:t xml:space="preserve">based </w:t>
      </w:r>
      <w:r>
        <w:t xml:space="preserve">on dual </w:t>
      </w:r>
      <w:r w:rsidR="00D64DCE">
        <w:t xml:space="preserve">obligations on the </w:t>
      </w:r>
      <w:r w:rsidR="00C34948">
        <w:t>aviation</w:t>
      </w:r>
      <w:r w:rsidR="00D64DCE">
        <w:t xml:space="preserve"> and </w:t>
      </w:r>
      <w:r w:rsidR="003F4B02">
        <w:t xml:space="preserve">telecommunications </w:t>
      </w:r>
      <w:r w:rsidR="00D64DCE">
        <w:t>sectors</w:t>
      </w:r>
      <w:r w:rsidR="001925DE">
        <w:t>. That is</w:t>
      </w:r>
      <w:r w:rsidR="00F21981">
        <w:t>,</w:t>
      </w:r>
      <w:r w:rsidR="003F4B02">
        <w:t xml:space="preserve"> the approach involves</w:t>
      </w:r>
      <w:r>
        <w:t xml:space="preserve"> the</w:t>
      </w:r>
      <w:r w:rsidR="00FB4EB6">
        <w:t xml:space="preserve"> </w:t>
      </w:r>
      <w:r w:rsidR="00A04D4D">
        <w:t xml:space="preserve">use </w:t>
      </w:r>
      <w:r>
        <w:t>o</w:t>
      </w:r>
      <w:r w:rsidR="0021207F">
        <w:t>f</w:t>
      </w:r>
      <w:r>
        <w:t xml:space="preserve"> interim </w:t>
      </w:r>
      <w:r w:rsidR="0021207F">
        <w:t>constraints</w:t>
      </w:r>
      <w:r>
        <w:t xml:space="preserve"> on WBB </w:t>
      </w:r>
      <w:r w:rsidR="000B68C4">
        <w:t xml:space="preserve">for </w:t>
      </w:r>
      <w:r>
        <w:t xml:space="preserve">a clearly defined </w:t>
      </w:r>
      <w:r w:rsidR="00B039D2">
        <w:t>period</w:t>
      </w:r>
      <w:r>
        <w:t xml:space="preserve"> </w:t>
      </w:r>
      <w:r w:rsidR="00A045E0">
        <w:t xml:space="preserve">to enable the </w:t>
      </w:r>
      <w:r w:rsidR="00F21981">
        <w:t xml:space="preserve">necessary </w:t>
      </w:r>
      <w:r>
        <w:t xml:space="preserve">radio </w:t>
      </w:r>
      <w:r w:rsidR="0021207F">
        <w:t>altimeters</w:t>
      </w:r>
      <w:r>
        <w:t xml:space="preserve"> to be </w:t>
      </w:r>
      <w:r w:rsidR="0021207F">
        <w:t>retrofitted</w:t>
      </w:r>
      <w:r>
        <w:t xml:space="preserve">. At the end </w:t>
      </w:r>
      <w:r w:rsidR="0021207F">
        <w:t>of</w:t>
      </w:r>
      <w:r>
        <w:t xml:space="preserve"> th</w:t>
      </w:r>
      <w:r w:rsidR="0021207F">
        <w:t xml:space="preserve">is </w:t>
      </w:r>
      <w:r>
        <w:t xml:space="preserve">period </w:t>
      </w:r>
      <w:r w:rsidR="0021207F">
        <w:t>interim</w:t>
      </w:r>
      <w:r>
        <w:t xml:space="preserve"> </w:t>
      </w:r>
      <w:r w:rsidR="0021207F">
        <w:t>mitigations</w:t>
      </w:r>
      <w:r>
        <w:t xml:space="preserve"> would be </w:t>
      </w:r>
      <w:r w:rsidR="006A5543">
        <w:t>removed</w:t>
      </w:r>
      <w:r w:rsidR="0021207F">
        <w:t>, leaving ongoing mitigations only</w:t>
      </w:r>
      <w:r>
        <w:t>.</w:t>
      </w:r>
    </w:p>
    <w:p w14:paraId="160D3BF1" w14:textId="3A3DF3E6" w:rsidR="00FB4EB6" w:rsidRPr="00BD28B6" w:rsidRDefault="00FB4EB6" w:rsidP="00B7350D">
      <w:pPr>
        <w:ind w:right="992"/>
      </w:pPr>
      <w:r w:rsidRPr="000F0202">
        <w:t>The</w:t>
      </w:r>
      <w:r w:rsidRPr="00BD28B6">
        <w:t xml:space="preserve"> ACMA is of the view </w:t>
      </w:r>
      <w:r>
        <w:t xml:space="preserve">that </w:t>
      </w:r>
      <w:r w:rsidRPr="00BD28B6">
        <w:t xml:space="preserve">it is </w:t>
      </w:r>
      <w:r w:rsidR="004C1EC1">
        <w:t>important</w:t>
      </w:r>
      <w:r w:rsidR="004C1EC1" w:rsidRPr="00BD28B6">
        <w:t xml:space="preserve"> </w:t>
      </w:r>
      <w:r w:rsidRPr="00BD28B6">
        <w:t xml:space="preserve">that </w:t>
      </w:r>
      <w:r w:rsidRPr="00BD28B6" w:rsidDel="00043434">
        <w:t xml:space="preserve">these </w:t>
      </w:r>
      <w:r w:rsidRPr="00BD28B6">
        <w:t xml:space="preserve">interim mitigations are </w:t>
      </w:r>
      <w:r>
        <w:t xml:space="preserve">explicitly </w:t>
      </w:r>
      <w:r w:rsidRPr="00BD28B6">
        <w:t>time limited</w:t>
      </w:r>
      <w:r w:rsidR="00A970B4">
        <w:t xml:space="preserve"> with a clear end date</w:t>
      </w:r>
      <w:r w:rsidR="003A1C8A">
        <w:t xml:space="preserve"> – proposed to be the end of </w:t>
      </w:r>
      <w:r w:rsidR="0061748D">
        <w:t>March 2025</w:t>
      </w:r>
      <w:r w:rsidRPr="00BD28B6">
        <w:t xml:space="preserve">. This is to ensure that the impacts of these mitigations on WBB (and the benefits they provide) are </w:t>
      </w:r>
      <w:r>
        <w:t>limited</w:t>
      </w:r>
      <w:r w:rsidRPr="00BD28B6">
        <w:t xml:space="preserve"> to the extent compatible with providing a reasonable opportunity for improved </w:t>
      </w:r>
      <w:r w:rsidR="0021207F">
        <w:t xml:space="preserve">radio </w:t>
      </w:r>
      <w:r w:rsidR="00A970B4">
        <w:t>altimeters</w:t>
      </w:r>
      <w:r w:rsidRPr="00BD28B6">
        <w:t xml:space="preserve"> devices to be implemented in Australia. </w:t>
      </w:r>
      <w:r>
        <w:t>T</w:t>
      </w:r>
      <w:r w:rsidRPr="00BD28B6">
        <w:t xml:space="preserve">here is an expectation that </w:t>
      </w:r>
      <w:r>
        <w:t xml:space="preserve">the coexistence environment between </w:t>
      </w:r>
      <w:r w:rsidR="00C34948">
        <w:t xml:space="preserve">radio </w:t>
      </w:r>
      <w:r w:rsidR="0063238F">
        <w:t>altimeters</w:t>
      </w:r>
      <w:r>
        <w:t xml:space="preserve"> and WBB will be significantly improved through the deployment of improved performing RAs. </w:t>
      </w:r>
      <w:r w:rsidR="000E0518">
        <w:t>The current expectation is that t</w:t>
      </w:r>
      <w:r>
        <w:t>his would enable interim</w:t>
      </w:r>
      <w:r w:rsidRPr="00BD28B6">
        <w:t xml:space="preserve"> mitigations to be removed </w:t>
      </w:r>
      <w:r>
        <w:t>entirely</w:t>
      </w:r>
      <w:r w:rsidRPr="00BD28B6">
        <w:t>.</w:t>
      </w:r>
    </w:p>
    <w:p w14:paraId="05861D32" w14:textId="4463179D" w:rsidR="000E0518" w:rsidRDefault="00FB4EB6" w:rsidP="00B7350D">
      <w:pPr>
        <w:ind w:right="992"/>
      </w:pPr>
      <w:r>
        <w:lastRenderedPageBreak/>
        <w:t>It will be a matter for CASA to determine what</w:t>
      </w:r>
      <w:r w:rsidR="001E4D48">
        <w:t>, if any,</w:t>
      </w:r>
      <w:r>
        <w:t xml:space="preserve"> restrictions would be placed on aircraft operations </w:t>
      </w:r>
      <w:r w:rsidR="003F4B02">
        <w:t>after the end of the</w:t>
      </w:r>
      <w:r w:rsidR="00DB5763">
        <w:t xml:space="preserve"> interim mitigations</w:t>
      </w:r>
      <w:r>
        <w:t xml:space="preserve">. </w:t>
      </w:r>
    </w:p>
    <w:p w14:paraId="3424B288" w14:textId="40FFB599" w:rsidR="008E1AB9" w:rsidRDefault="008E1AB9" w:rsidP="00AC5FFE">
      <w:pPr>
        <w:ind w:right="992"/>
      </w:pPr>
      <w:bookmarkStart w:id="81" w:name="_Hlk126827824"/>
      <w:r>
        <w:t xml:space="preserve">This approach has been formed by the ACMA based on the currently available evidence. While the ACMA will consider the information before it at the time and may contemplate retention of modest ongoing additional mitigations after this date, or to modestly extend the date of interim mitigations, the currently available evidence </w:t>
      </w:r>
      <w:r w:rsidR="009464D2" w:rsidRPr="009464D2">
        <w:t xml:space="preserve">does not suggest that </w:t>
      </w:r>
      <w:r>
        <w:t xml:space="preserve">this </w:t>
      </w:r>
      <w:r w:rsidR="009464D2" w:rsidRPr="009464D2">
        <w:t>will</w:t>
      </w:r>
      <w:r>
        <w:t xml:space="preserve"> be necessary. Consequently, the ACMA recommends industry work on the basis that all the interim mitigations will be removed in their entirety within the proposed time.  </w:t>
      </w:r>
    </w:p>
    <w:bookmarkEnd w:id="81"/>
    <w:p w14:paraId="47757B12" w14:textId="0E151CC9" w:rsidR="0019140B" w:rsidRPr="0019140B" w:rsidRDefault="0019140B" w:rsidP="00B7350D">
      <w:pPr>
        <w:pStyle w:val="Heading3"/>
        <w:ind w:right="992"/>
      </w:pPr>
      <w:r w:rsidRPr="0019140B">
        <w:t>Proposed approach</w:t>
      </w:r>
    </w:p>
    <w:p w14:paraId="268DAF77" w14:textId="2F8FF4A0" w:rsidR="00193206" w:rsidRDefault="000962C2" w:rsidP="00B7350D">
      <w:pPr>
        <w:ind w:right="992"/>
      </w:pPr>
      <w:r>
        <w:t>The</w:t>
      </w:r>
      <w:r w:rsidR="00875F82">
        <w:t xml:space="preserve"> proposed approach to managing coexistence between radio altimeters and WBB is </w:t>
      </w:r>
      <w:r>
        <w:t xml:space="preserve">based on dual obligations on the aviation and telco sectors where interim mitigations on WBB are imposed while providing a clearly defined period for necessary radio altimeters to be retrofitted. </w:t>
      </w:r>
      <w:r w:rsidR="00875F82">
        <w:t>An outline of the</w:t>
      </w:r>
      <w:r w:rsidR="00BE387A" w:rsidRPr="00BE387A">
        <w:t xml:space="preserve"> ACMA</w:t>
      </w:r>
      <w:r w:rsidR="00875F82">
        <w:t>’s proposed approach is summarised below and outlined in detail (along with supporting discuss</w:t>
      </w:r>
      <w:r w:rsidR="00074890">
        <w:t>ion</w:t>
      </w:r>
      <w:r w:rsidR="00875F82">
        <w:t>) in the</w:t>
      </w:r>
      <w:r w:rsidR="00BE387A" w:rsidRPr="00BE387A">
        <w:t xml:space="preserve"> </w:t>
      </w:r>
      <w:r w:rsidR="00E752C4">
        <w:t>report on coexistence between RAs and WBB</w:t>
      </w:r>
      <w:r w:rsidR="00E752C4" w:rsidDel="005A1669">
        <w:t xml:space="preserve"> </w:t>
      </w:r>
      <w:r w:rsidR="001A35E0">
        <w:t>(</w:t>
      </w:r>
      <w:r w:rsidR="00E93857">
        <w:t>published alongside this paper</w:t>
      </w:r>
      <w:r w:rsidR="001A35E0">
        <w:t>)</w:t>
      </w:r>
      <w:r w:rsidR="003D4BAE">
        <w:t xml:space="preserve">. </w:t>
      </w:r>
    </w:p>
    <w:p w14:paraId="6A307264" w14:textId="2F124B39" w:rsidR="00823075" w:rsidRPr="00B7350D" w:rsidRDefault="00823075" w:rsidP="00B7350D">
      <w:pPr>
        <w:pStyle w:val="ListParagraph"/>
        <w:spacing w:after="120"/>
        <w:ind w:left="0" w:right="992"/>
        <w:contextualSpacing w:val="0"/>
        <w:rPr>
          <w:b/>
          <w:bCs/>
        </w:rPr>
      </w:pPr>
      <w:r w:rsidRPr="00B7350D">
        <w:rPr>
          <w:b/>
          <w:bCs/>
          <w:i/>
        </w:rPr>
        <w:t>Ongoing</w:t>
      </w:r>
      <w:r w:rsidRPr="00B7350D">
        <w:rPr>
          <w:b/>
          <w:bCs/>
          <w:i/>
          <w:iCs/>
        </w:rPr>
        <w:t xml:space="preserve"> WBB</w:t>
      </w:r>
      <w:r w:rsidRPr="00B7350D">
        <w:rPr>
          <w:b/>
          <w:bCs/>
          <w:i/>
        </w:rPr>
        <w:t xml:space="preserve"> mitigations</w:t>
      </w:r>
      <w:r w:rsidRPr="00B7350D">
        <w:rPr>
          <w:b/>
          <w:bCs/>
        </w:rPr>
        <w:t xml:space="preserve"> </w:t>
      </w:r>
    </w:p>
    <w:p w14:paraId="5FA15153" w14:textId="77777777" w:rsidR="00823075" w:rsidRDefault="00823075" w:rsidP="00B7350D">
      <w:pPr>
        <w:spacing w:after="120"/>
        <w:ind w:right="992"/>
      </w:pPr>
      <w:r>
        <w:t>These mitigation strategies are intended to be long term:</w:t>
      </w:r>
    </w:p>
    <w:p w14:paraId="4AB9C5AD" w14:textId="510D70D6" w:rsidR="00823075" w:rsidRDefault="00823075" w:rsidP="00B7350D">
      <w:pPr>
        <w:pStyle w:val="ListParagraph"/>
        <w:numPr>
          <w:ilvl w:val="0"/>
          <w:numId w:val="144"/>
        </w:numPr>
        <w:spacing w:after="120"/>
        <w:ind w:left="284" w:right="992" w:hanging="284"/>
        <w:contextualSpacing w:val="0"/>
      </w:pPr>
      <w:r>
        <w:t>A 200 MHz guard band (4000</w:t>
      </w:r>
      <w:r w:rsidRPr="00B728C9">
        <w:t>–</w:t>
      </w:r>
      <w:r>
        <w:t>4200 MHz) where no WBB deployments will be permitted</w:t>
      </w:r>
      <w:r w:rsidR="000B746E">
        <w:t>.</w:t>
      </w:r>
      <w:r>
        <w:rPr>
          <w:rStyle w:val="FootnoteReference"/>
        </w:rPr>
        <w:footnoteReference w:id="34"/>
      </w:r>
    </w:p>
    <w:p w14:paraId="53E16699" w14:textId="47BD2602" w:rsidR="00823075" w:rsidRDefault="00823075" w:rsidP="00B7350D">
      <w:pPr>
        <w:pStyle w:val="ListParagraph"/>
        <w:numPr>
          <w:ilvl w:val="0"/>
          <w:numId w:val="144"/>
        </w:numPr>
        <w:spacing w:after="120"/>
        <w:ind w:left="284" w:right="992" w:hanging="284"/>
        <w:contextualSpacing w:val="0"/>
      </w:pPr>
      <w:r>
        <w:t xml:space="preserve">In-band radiated power limits </w:t>
      </w:r>
      <w:r w:rsidR="000B746E">
        <w:t xml:space="preserve">– </w:t>
      </w:r>
      <w:r>
        <w:t>in the form of a Total Radiated Power (TRP)</w:t>
      </w:r>
      <w:r w:rsidR="000B746E">
        <w:t xml:space="preserve"> –</w:t>
      </w:r>
      <w:r>
        <w:t xml:space="preserve"> for all WBB transmitters operating in the 3400</w:t>
      </w:r>
      <w:r w:rsidRPr="00BC6D77">
        <w:t>–</w:t>
      </w:r>
      <w:r>
        <w:t>4000 MHz band.</w:t>
      </w:r>
    </w:p>
    <w:p w14:paraId="0929D2E1" w14:textId="570D6E0B" w:rsidR="00823075" w:rsidRDefault="00823075" w:rsidP="00AC5FFE">
      <w:pPr>
        <w:pStyle w:val="ListParagraph"/>
        <w:numPr>
          <w:ilvl w:val="0"/>
          <w:numId w:val="144"/>
        </w:numPr>
        <w:ind w:left="284" w:right="992" w:hanging="284"/>
        <w:contextualSpacing w:val="0"/>
      </w:pPr>
      <w:r>
        <w:t>Unwanted emissions limits (in the form of a TRP or conducted power per antenna port) for all WBB transmitter operating in the 3400</w:t>
      </w:r>
      <w:r w:rsidRPr="00BC6D77">
        <w:t>–</w:t>
      </w:r>
      <w:r>
        <w:t>4000 MHz band. These apply broadly, including in the 4200</w:t>
      </w:r>
      <w:r w:rsidRPr="00BC6D77">
        <w:t>–</w:t>
      </w:r>
      <w:r>
        <w:t>4400 MHz radio altimeter band.</w:t>
      </w:r>
    </w:p>
    <w:p w14:paraId="248BA64E" w14:textId="2F008FF0" w:rsidR="00823075" w:rsidRPr="00B7350D" w:rsidRDefault="00823075" w:rsidP="00AC5FFE">
      <w:pPr>
        <w:pStyle w:val="ListParagraph"/>
        <w:spacing w:after="60"/>
        <w:ind w:left="0" w:right="992"/>
        <w:contextualSpacing w:val="0"/>
        <w:rPr>
          <w:b/>
          <w:bCs/>
          <w:i/>
          <w:iCs/>
        </w:rPr>
      </w:pPr>
      <w:r w:rsidRPr="00B7350D">
        <w:rPr>
          <w:b/>
          <w:bCs/>
          <w:i/>
        </w:rPr>
        <w:t xml:space="preserve">Interim WBB mitigations </w:t>
      </w:r>
    </w:p>
    <w:p w14:paraId="1C77CA64" w14:textId="033D233D" w:rsidR="00823075" w:rsidRDefault="00823075" w:rsidP="00B7350D">
      <w:pPr>
        <w:spacing w:after="120"/>
        <w:ind w:right="992"/>
      </w:pPr>
      <w:r>
        <w:t xml:space="preserve">These mitigation strategies are intended to be </w:t>
      </w:r>
      <w:r w:rsidR="00954ED6">
        <w:t>i</w:t>
      </w:r>
      <w:r>
        <w:t xml:space="preserve">n place until the end of </w:t>
      </w:r>
      <w:r w:rsidR="003C1729">
        <w:t xml:space="preserve">March 2025 </w:t>
      </w:r>
      <w:r>
        <w:t>(a timeframe to enable radio altimeter retrofits to occur), and to be imposed on WBB deployments above 3800 MHz:</w:t>
      </w:r>
    </w:p>
    <w:p w14:paraId="3A9C1FD1" w14:textId="77777777" w:rsidR="00823075" w:rsidRDefault="00823075" w:rsidP="00B7350D">
      <w:pPr>
        <w:spacing w:after="120"/>
        <w:ind w:right="992"/>
      </w:pPr>
      <w:r>
        <w:t>a. For WBB deployments around runways identified in consultation with CASA:</w:t>
      </w:r>
    </w:p>
    <w:p w14:paraId="127D6554" w14:textId="77777777" w:rsidR="00823075" w:rsidRDefault="00823075" w:rsidP="00B7350D">
      <w:pPr>
        <w:pStyle w:val="Numberedparagraph"/>
        <w:numPr>
          <w:ilvl w:val="5"/>
          <w:numId w:val="128"/>
        </w:numPr>
        <w:spacing w:after="120"/>
        <w:ind w:left="709" w:right="992" w:hanging="425"/>
      </w:pPr>
      <w:r>
        <w:t>Exclusion zones, where no WBB base stations are permitted to deployed.</w:t>
      </w:r>
    </w:p>
    <w:p w14:paraId="6FA4F72B" w14:textId="5DA73997" w:rsidR="00823075" w:rsidRDefault="00823075" w:rsidP="00B7350D">
      <w:pPr>
        <w:pStyle w:val="Numberedparagraph"/>
        <w:numPr>
          <w:ilvl w:val="5"/>
          <w:numId w:val="128"/>
        </w:numPr>
        <w:spacing w:after="120"/>
        <w:ind w:left="709" w:right="992" w:hanging="425"/>
      </w:pPr>
      <w:r>
        <w:t xml:space="preserve">Restricted zones, </w:t>
      </w:r>
      <w:r w:rsidRPr="00BC6D77">
        <w:t>except in metro</w:t>
      </w:r>
      <w:r>
        <w:t>politan</w:t>
      </w:r>
      <w:r w:rsidRPr="00BC6D77">
        <w:t xml:space="preserve"> and regional restricted cell areas in </w:t>
      </w:r>
      <w:r w:rsidR="0096488B">
        <w:br/>
      </w:r>
      <w:r w:rsidRPr="00BC6D77">
        <w:t>3950–4000 MHz</w:t>
      </w:r>
      <w:r>
        <w:t>, where WBB base station deployments are permitted but with obligations to meet a specified power flux density (PFD) limit.</w:t>
      </w:r>
    </w:p>
    <w:p w14:paraId="26AB1A8B" w14:textId="77777777" w:rsidR="00823075" w:rsidRDefault="00823075" w:rsidP="00B7350D">
      <w:pPr>
        <w:spacing w:after="120"/>
        <w:ind w:right="992"/>
      </w:pPr>
      <w:r>
        <w:t>b. For WBB deployments everywhere:</w:t>
      </w:r>
    </w:p>
    <w:p w14:paraId="0D260BF5" w14:textId="0FAB07B1" w:rsidR="00823075" w:rsidRDefault="00823075" w:rsidP="00B7350D">
      <w:pPr>
        <w:pStyle w:val="Numberedparagraph"/>
        <w:numPr>
          <w:ilvl w:val="5"/>
          <w:numId w:val="130"/>
        </w:numPr>
        <w:spacing w:after="120"/>
        <w:ind w:left="851" w:right="992" w:hanging="567"/>
      </w:pPr>
      <w:r>
        <w:t>Additional WBB base station unwanted emission limits in 4200</w:t>
      </w:r>
      <w:r w:rsidRPr="00BC6D77">
        <w:t>–</w:t>
      </w:r>
      <w:r>
        <w:t>4400 MHz based on effective isotropic radiated power (EIRP) spectral density rather than TRP or conducted power per antenna port.</w:t>
      </w:r>
    </w:p>
    <w:p w14:paraId="07A57818" w14:textId="77777777" w:rsidR="00823075" w:rsidRDefault="00823075" w:rsidP="00B7350D">
      <w:pPr>
        <w:pStyle w:val="Numberedparagraph"/>
        <w:numPr>
          <w:ilvl w:val="5"/>
          <w:numId w:val="128"/>
        </w:numPr>
        <w:spacing w:after="120"/>
        <w:ind w:left="851" w:right="992" w:hanging="567"/>
      </w:pPr>
      <w:r>
        <w:t>Maximum WBB base station power limits in the form of EIRP density limits.</w:t>
      </w:r>
    </w:p>
    <w:p w14:paraId="71FCEC22" w14:textId="77777777" w:rsidR="00823075" w:rsidRDefault="00823075" w:rsidP="00B7350D">
      <w:pPr>
        <w:pStyle w:val="Numberedparagraph"/>
        <w:numPr>
          <w:ilvl w:val="5"/>
          <w:numId w:val="128"/>
        </w:numPr>
        <w:spacing w:after="120"/>
        <w:ind w:left="851" w:right="992" w:hanging="567"/>
      </w:pPr>
      <w:r>
        <w:t>Requiring WBB base station antennas to only point or scan below the horizon.</w:t>
      </w:r>
    </w:p>
    <w:p w14:paraId="0EFBD621" w14:textId="77777777" w:rsidR="00823075" w:rsidRDefault="00823075" w:rsidP="00B7350D">
      <w:pPr>
        <w:pStyle w:val="Numberedparagraph"/>
        <w:numPr>
          <w:ilvl w:val="5"/>
          <w:numId w:val="128"/>
        </w:numPr>
        <w:ind w:left="851" w:right="992" w:hanging="567"/>
      </w:pPr>
      <w:r>
        <w:lastRenderedPageBreak/>
        <w:t>A requirement for WBB base station antennas to minimise grating lobes as much as practicable.</w:t>
      </w:r>
    </w:p>
    <w:p w14:paraId="4BB50927" w14:textId="528EAA68" w:rsidR="00DC5993" w:rsidRDefault="0038482C" w:rsidP="00B7350D">
      <w:pPr>
        <w:ind w:right="992"/>
      </w:pPr>
      <w:r>
        <w:t xml:space="preserve">The approach </w:t>
      </w:r>
      <w:r w:rsidR="00502828">
        <w:t xml:space="preserve">in the current version of </w:t>
      </w:r>
      <w:r w:rsidR="00677179">
        <w:t>the report on coexistence between RAs and WBB</w:t>
      </w:r>
      <w:r w:rsidR="00677179" w:rsidDel="00677179">
        <w:t xml:space="preserve"> </w:t>
      </w:r>
      <w:r w:rsidR="00DD3826">
        <w:t xml:space="preserve">is consistent </w:t>
      </w:r>
      <w:r>
        <w:t xml:space="preserve">with the approach included in the draft report provide to the TLG in October 2022. </w:t>
      </w:r>
      <w:r w:rsidR="00E340BF">
        <w:t xml:space="preserve">The interim mitigation end date is </w:t>
      </w:r>
      <w:r w:rsidR="00F65869">
        <w:t>being</w:t>
      </w:r>
      <w:r w:rsidR="00E340BF">
        <w:t xml:space="preserve"> proposed to change to </w:t>
      </w:r>
      <w:r w:rsidR="00AA5534">
        <w:t xml:space="preserve">31 March 2025, based on feedback to avoid the holiday period and to align with </w:t>
      </w:r>
      <w:r w:rsidR="00DC5993">
        <w:t xml:space="preserve">a similar end date that Canada </w:t>
      </w:r>
      <w:r w:rsidR="00D6303C">
        <w:t xml:space="preserve">is </w:t>
      </w:r>
      <w:r w:rsidR="00DC5993">
        <w:t xml:space="preserve">proposing. </w:t>
      </w:r>
    </w:p>
    <w:p w14:paraId="33CA1610" w14:textId="2A17C9DD" w:rsidR="00E211FF" w:rsidRPr="0019140B" w:rsidRDefault="00DC5993" w:rsidP="00B7350D">
      <w:pPr>
        <w:ind w:right="992"/>
      </w:pPr>
      <w:r>
        <w:t>T</w:t>
      </w:r>
      <w:r w:rsidR="00356391">
        <w:t xml:space="preserve">he </w:t>
      </w:r>
      <w:r w:rsidR="00085AB3">
        <w:t>summary above</w:t>
      </w:r>
      <w:r>
        <w:t xml:space="preserve"> also</w:t>
      </w:r>
      <w:r w:rsidR="00085AB3">
        <w:t xml:space="preserve"> omits </w:t>
      </w:r>
      <w:r w:rsidR="0057313E">
        <w:t>one</w:t>
      </w:r>
      <w:r w:rsidR="00BE17EF">
        <w:t xml:space="preserve"> ongoing</w:t>
      </w:r>
      <w:r w:rsidR="00085AB3">
        <w:t xml:space="preserve"> mitigation </w:t>
      </w:r>
      <w:r w:rsidR="006452FB">
        <w:t xml:space="preserve">that </w:t>
      </w:r>
      <w:r w:rsidR="003C128E">
        <w:t>was</w:t>
      </w:r>
      <w:r w:rsidR="006452FB">
        <w:t xml:space="preserve"> </w:t>
      </w:r>
      <w:r w:rsidR="00F768BE">
        <w:t xml:space="preserve">initially </w:t>
      </w:r>
      <w:r w:rsidR="006452FB">
        <w:t>identified</w:t>
      </w:r>
      <w:r w:rsidR="0057313E">
        <w:t xml:space="preserve"> in </w:t>
      </w:r>
      <w:r w:rsidR="002F3706">
        <w:t>earlier TLG consultations</w:t>
      </w:r>
      <w:r w:rsidR="00214EAE">
        <w:t xml:space="preserve">. This </w:t>
      </w:r>
      <w:r w:rsidR="00957654">
        <w:t>wa</w:t>
      </w:r>
      <w:r w:rsidR="00D562DF">
        <w:t xml:space="preserve">s </w:t>
      </w:r>
      <w:r w:rsidR="00356391">
        <w:t xml:space="preserve">a </w:t>
      </w:r>
      <w:r w:rsidR="00AE3768">
        <w:t xml:space="preserve">general guidance </w:t>
      </w:r>
      <w:r w:rsidR="00356391">
        <w:t>clause that request</w:t>
      </w:r>
      <w:r w:rsidR="0024062B">
        <w:t>ed</w:t>
      </w:r>
      <w:r w:rsidR="00356391">
        <w:t xml:space="preserve"> spectrum licensees deploying WBB deployments to </w:t>
      </w:r>
      <w:r w:rsidR="008E5377">
        <w:t>consider</w:t>
      </w:r>
      <w:r w:rsidR="00356391">
        <w:t xml:space="preserve"> radio altimeter services when planning around airports and heliports.</w:t>
      </w:r>
      <w:r w:rsidR="00AD6582">
        <w:t xml:space="preserve"> This was proposed to be implemented using clauses in the RAG Tx, referenced by the sample licence. </w:t>
      </w:r>
      <w:r w:rsidR="00356391">
        <w:t>This clause was not supported by any sector</w:t>
      </w:r>
      <w:r w:rsidR="00AE3768">
        <w:t xml:space="preserve"> as it was seen to be both vague in operation and ineffectual</w:t>
      </w:r>
      <w:r w:rsidR="002711B1">
        <w:t>. While</w:t>
      </w:r>
      <w:r w:rsidR="00356391">
        <w:t xml:space="preserve"> it remains in the draft framework</w:t>
      </w:r>
      <w:r w:rsidR="00AD6582">
        <w:t xml:space="preserve"> for consultation</w:t>
      </w:r>
      <w:r w:rsidR="00356391">
        <w:t xml:space="preserve">, the ACMA does not currently intend to proceed with this </w:t>
      </w:r>
      <w:r w:rsidR="006452FB">
        <w:t>clause</w:t>
      </w:r>
      <w:r w:rsidR="002D0D73">
        <w:t xml:space="preserve"> and instead is of the view that </w:t>
      </w:r>
      <w:r w:rsidR="00AE3768">
        <w:t>explicit mitigations should be the focus</w:t>
      </w:r>
      <w:r w:rsidR="00356391">
        <w:t>.</w:t>
      </w:r>
      <w:r w:rsidR="00675466">
        <w:t xml:space="preserve"> </w:t>
      </w:r>
      <w:r w:rsidR="007E6C32">
        <w:t xml:space="preserve">The draft technical framework, however, includes the original </w:t>
      </w:r>
      <w:r w:rsidR="00D6303C">
        <w:t xml:space="preserve">clause </w:t>
      </w:r>
      <w:r w:rsidR="00B30DAA">
        <w:t xml:space="preserve">to indicate how a framework could implement any mitigation required </w:t>
      </w:r>
      <w:r w:rsidR="00466B34">
        <w:t>for spectrum licences.</w:t>
      </w:r>
    </w:p>
    <w:p w14:paraId="66DD55DF" w14:textId="1FD5EA33" w:rsidR="00B40438" w:rsidRDefault="00381B6D" w:rsidP="00B7350D">
      <w:pPr>
        <w:pStyle w:val="Heading3"/>
        <w:ind w:right="992"/>
      </w:pPr>
      <w:r>
        <w:t>F</w:t>
      </w:r>
      <w:r w:rsidR="00B40438">
        <w:t xml:space="preserve">eedback on draft </w:t>
      </w:r>
      <w:r w:rsidR="002B4BC1">
        <w:t>approach</w:t>
      </w:r>
      <w:r w:rsidR="00E647A7">
        <w:t xml:space="preserve"> shared with the TLG</w:t>
      </w:r>
    </w:p>
    <w:p w14:paraId="023E40BA" w14:textId="2B395EF8" w:rsidR="00F049A0" w:rsidRDefault="004769DD" w:rsidP="00B7350D">
      <w:pPr>
        <w:ind w:right="992"/>
      </w:pPr>
      <w:r>
        <w:t xml:space="preserve">The ACMA has considered feedback received from the exposure of the original version of the radio </w:t>
      </w:r>
      <w:r w:rsidR="002C0B86">
        <w:t>altimeter</w:t>
      </w:r>
      <w:r>
        <w:t xml:space="preserve"> report to the TLG</w:t>
      </w:r>
      <w:r w:rsidR="004F01FA">
        <w:t xml:space="preserve"> and</w:t>
      </w:r>
      <w:r w:rsidR="00BC44B7">
        <w:t xml:space="preserve"> </w:t>
      </w:r>
      <w:r w:rsidR="004F01FA">
        <w:t xml:space="preserve">has </w:t>
      </w:r>
      <w:r w:rsidR="00285AD8">
        <w:t xml:space="preserve">decided </w:t>
      </w:r>
      <w:r w:rsidR="00967AEF">
        <w:t xml:space="preserve">to </w:t>
      </w:r>
      <w:r w:rsidR="004F01FA">
        <w:t>releas</w:t>
      </w:r>
      <w:r w:rsidR="00285AD8">
        <w:t>e</w:t>
      </w:r>
      <w:r w:rsidR="004F01FA">
        <w:t xml:space="preserve"> the </w:t>
      </w:r>
      <w:r w:rsidR="00747F7E">
        <w:t xml:space="preserve">report </w:t>
      </w:r>
      <w:r w:rsidR="002C0B86">
        <w:t>publicly without change</w:t>
      </w:r>
      <w:r w:rsidR="00285AD8">
        <w:t xml:space="preserve"> to substantive proposals</w:t>
      </w:r>
      <w:r w:rsidR="00F049A0">
        <w:t xml:space="preserve">. However, </w:t>
      </w:r>
      <w:r w:rsidR="00BC44B7">
        <w:t xml:space="preserve">updates </w:t>
      </w:r>
      <w:r w:rsidR="00F049A0">
        <w:t xml:space="preserve">were made </w:t>
      </w:r>
      <w:r w:rsidR="00BC44B7">
        <w:t>to reflect new information now available</w:t>
      </w:r>
      <w:r w:rsidR="00F24971">
        <w:rPr>
          <w:rStyle w:val="FootnoteReference"/>
        </w:rPr>
        <w:footnoteReference w:id="35"/>
      </w:r>
      <w:r w:rsidR="00BC44B7">
        <w:t xml:space="preserve">, corrections, clarifications and general improvements to presentation. </w:t>
      </w:r>
      <w:r w:rsidR="00285AD8">
        <w:t>F</w:t>
      </w:r>
      <w:r w:rsidR="00437E2E">
        <w:t>eedback received fr</w:t>
      </w:r>
      <w:r w:rsidR="00285AD8">
        <w:t>o</w:t>
      </w:r>
      <w:r w:rsidR="00437E2E">
        <w:t xml:space="preserve">m the TLG has </w:t>
      </w:r>
      <w:r w:rsidR="002B3C8D">
        <w:t xml:space="preserve">also </w:t>
      </w:r>
      <w:r w:rsidR="00437E2E">
        <w:t>assisted the ACMA in developing a set of specific questions we are seeking industry input on.</w:t>
      </w:r>
      <w:r w:rsidR="00F25EF5">
        <w:t xml:space="preserve"> </w:t>
      </w:r>
    </w:p>
    <w:p w14:paraId="3F2B85C6" w14:textId="707AF145" w:rsidR="002C0B86" w:rsidRDefault="00C96A81" w:rsidP="00B7350D">
      <w:pPr>
        <w:ind w:right="992"/>
      </w:pPr>
      <w:r>
        <w:t xml:space="preserve">TLG </w:t>
      </w:r>
      <w:r w:rsidR="00E277B6">
        <w:t>feedback</w:t>
      </w:r>
      <w:r w:rsidR="008051D6">
        <w:t xml:space="preserve"> confirm</w:t>
      </w:r>
      <w:r w:rsidR="008631AB">
        <w:t>ed</w:t>
      </w:r>
      <w:r w:rsidR="008051D6">
        <w:t xml:space="preserve"> </w:t>
      </w:r>
      <w:r w:rsidR="00F049A0">
        <w:t xml:space="preserve">that the </w:t>
      </w:r>
      <w:r w:rsidR="008051D6">
        <w:t xml:space="preserve">key issues are 1) the frequency boundary above </w:t>
      </w:r>
      <w:r w:rsidR="00857AC2">
        <w:t>which</w:t>
      </w:r>
      <w:r w:rsidR="008051D6">
        <w:t xml:space="preserve"> interim mitigations </w:t>
      </w:r>
      <w:r w:rsidR="00857AC2">
        <w:t xml:space="preserve">would </w:t>
      </w:r>
      <w:r w:rsidR="008051D6">
        <w:t xml:space="preserve">apply and 2) </w:t>
      </w:r>
      <w:r w:rsidR="00F049A0">
        <w:t>the approach</w:t>
      </w:r>
      <w:r w:rsidR="00857AC2" w:rsidRPr="00857AC2">
        <w:t xml:space="preserve"> </w:t>
      </w:r>
      <w:r w:rsidR="00857AC2">
        <w:t>of retrofitting radio altimeters</w:t>
      </w:r>
      <w:r w:rsidR="00857AC2" w:rsidRPr="00857AC2">
        <w:t xml:space="preserve"> </w:t>
      </w:r>
      <w:r w:rsidR="00857AC2">
        <w:t>to improve performance</w:t>
      </w:r>
      <w:r w:rsidR="00F049A0">
        <w:t xml:space="preserve">, </w:t>
      </w:r>
      <w:r w:rsidR="00BC6635">
        <w:t>including</w:t>
      </w:r>
      <w:r w:rsidR="00F049A0">
        <w:t xml:space="preserve"> timing</w:t>
      </w:r>
      <w:r w:rsidR="00BC6635">
        <w:t xml:space="preserve"> for these retrofits</w:t>
      </w:r>
      <w:r w:rsidR="00F049A0">
        <w:t xml:space="preserve">. </w:t>
      </w:r>
      <w:r w:rsidR="008051D6">
        <w:t>These issues are briefly discussed below</w:t>
      </w:r>
      <w:r w:rsidR="008234EA">
        <w:t>. F</w:t>
      </w:r>
      <w:r w:rsidR="00E277B6">
        <w:t xml:space="preserve">urther </w:t>
      </w:r>
      <w:r w:rsidR="00BC6635">
        <w:t xml:space="preserve">industry </w:t>
      </w:r>
      <w:r w:rsidR="00E277B6">
        <w:t>comments on the first draft of the RA Report can be found in the TLG package released concurrently with this paper.</w:t>
      </w:r>
    </w:p>
    <w:p w14:paraId="282B6A3A" w14:textId="1EB6B34B" w:rsidR="00B26F02" w:rsidRDefault="00B26F02" w:rsidP="00B7350D">
      <w:pPr>
        <w:pStyle w:val="Heading4"/>
        <w:ind w:right="992"/>
      </w:pPr>
      <w:r>
        <w:t>Frequency boundary</w:t>
      </w:r>
    </w:p>
    <w:p w14:paraId="51361F8F" w14:textId="7C3CE397" w:rsidR="00B26F02" w:rsidRPr="007F0172" w:rsidRDefault="00B26F02" w:rsidP="00B7350D">
      <w:pPr>
        <w:ind w:right="992"/>
      </w:pPr>
      <w:r w:rsidRPr="007F0172">
        <w:t xml:space="preserve">Aviation stakeholders were generally of the view that </w:t>
      </w:r>
      <w:r w:rsidR="008234EA">
        <w:t>interim</w:t>
      </w:r>
      <w:r w:rsidRPr="007F0172">
        <w:t xml:space="preserve"> mitigations should extend down to 3700 MHz, and that additional permanent mitigations should be adopted (such as effective isotropic radiated power (EIRP) and </w:t>
      </w:r>
      <w:r w:rsidR="00715112">
        <w:t>more stringent</w:t>
      </w:r>
      <w:r w:rsidR="00715112" w:rsidRPr="007F0172">
        <w:t xml:space="preserve"> </w:t>
      </w:r>
      <w:r w:rsidRPr="007F0172">
        <w:t xml:space="preserve">unwanted emissions limits). </w:t>
      </w:r>
      <w:r w:rsidR="009F611B">
        <w:t>Telecommunications</w:t>
      </w:r>
      <w:r w:rsidR="009F611B" w:rsidRPr="007F0172">
        <w:t xml:space="preserve"> </w:t>
      </w:r>
      <w:r w:rsidR="00FD0F89" w:rsidRPr="007F0172">
        <w:t xml:space="preserve">stakeholders remained of the view that a </w:t>
      </w:r>
      <w:r w:rsidR="000B746E">
        <w:br/>
      </w:r>
      <w:r w:rsidR="00FD0F89" w:rsidRPr="007F0172">
        <w:t>200 MHz guard band (from 4000</w:t>
      </w:r>
      <w:r w:rsidR="0096488B">
        <w:t>–</w:t>
      </w:r>
      <w:r w:rsidR="00FD0F89" w:rsidRPr="007F0172">
        <w:t xml:space="preserve">4200 MHz) alone was sufficient </w:t>
      </w:r>
      <w:r w:rsidR="00437E2E" w:rsidRPr="00437E2E">
        <w:t>mitigation but</w:t>
      </w:r>
      <w:r w:rsidR="00FD0F89" w:rsidRPr="007F0172">
        <w:t xml:space="preserve"> accepted temporary mitigations above 3800 MHz to progress the issue.</w:t>
      </w:r>
    </w:p>
    <w:p w14:paraId="3817A732" w14:textId="5D6C7B3C" w:rsidR="003C4294" w:rsidRDefault="00437E2E" w:rsidP="00B7350D">
      <w:pPr>
        <w:ind w:right="992"/>
      </w:pPr>
      <w:r>
        <w:t>While</w:t>
      </w:r>
      <w:r w:rsidR="003C4294">
        <w:t xml:space="preserve"> we received significant feedback </w:t>
      </w:r>
      <w:r w:rsidR="00214D69">
        <w:t>advocating that</w:t>
      </w:r>
      <w:r w:rsidR="003C4294">
        <w:t xml:space="preserve"> the </w:t>
      </w:r>
      <w:r w:rsidR="00EF7F64">
        <w:t xml:space="preserve">proposed </w:t>
      </w:r>
      <w:r w:rsidR="00214D69">
        <w:t>interim</w:t>
      </w:r>
      <w:r w:rsidR="003C4294">
        <w:t xml:space="preserve"> mitigations be extended to below 3800 MHz, none of the submissions or new evidence provided at that time was sufficiently compelling to </w:t>
      </w:r>
      <w:r w:rsidR="00EC2D25">
        <w:t xml:space="preserve">the ACMA to </w:t>
      </w:r>
      <w:r w:rsidR="003C4294">
        <w:t>make change</w:t>
      </w:r>
      <w:r w:rsidR="00E401E1">
        <w:t>s</w:t>
      </w:r>
      <w:r w:rsidR="003C4294">
        <w:t xml:space="preserve"> </w:t>
      </w:r>
      <w:r w:rsidR="00EC2D25">
        <w:t xml:space="preserve">to the proposals </w:t>
      </w:r>
      <w:r w:rsidR="00D25B58">
        <w:t>presented</w:t>
      </w:r>
      <w:r w:rsidR="00EC2D25">
        <w:t xml:space="preserve"> here</w:t>
      </w:r>
      <w:r w:rsidR="003C4294">
        <w:t xml:space="preserve">. </w:t>
      </w:r>
      <w:r w:rsidR="00143FFE">
        <w:t>W</w:t>
      </w:r>
      <w:r w:rsidR="003C4294">
        <w:t xml:space="preserve">e remain of the view that there is not sufficient evidence to require </w:t>
      </w:r>
      <w:r w:rsidR="00143FFE">
        <w:t>interim</w:t>
      </w:r>
      <w:r w:rsidR="003C4294">
        <w:t xml:space="preserve"> mitigations below 3800 MHz. Consequently, specific </w:t>
      </w:r>
      <w:r w:rsidR="005253C7">
        <w:t xml:space="preserve">radio altimeter coexistence </w:t>
      </w:r>
      <w:r w:rsidR="003C4294">
        <w:t xml:space="preserve">mitigations are not currently proposed for the </w:t>
      </w:r>
      <w:r w:rsidR="00AE1BF6">
        <w:t xml:space="preserve">spectrum </w:t>
      </w:r>
      <w:r w:rsidR="00C212D8">
        <w:t>licen</w:t>
      </w:r>
      <w:r w:rsidR="009D41FF">
        <w:t>s</w:t>
      </w:r>
      <w:r w:rsidR="00C212D8">
        <w:t xml:space="preserve">ing </w:t>
      </w:r>
      <w:r w:rsidR="007732A4">
        <w:t>technical</w:t>
      </w:r>
      <w:r w:rsidR="00C212D8">
        <w:t xml:space="preserve"> </w:t>
      </w:r>
      <w:r w:rsidR="003C4294">
        <w:t xml:space="preserve">framework. </w:t>
      </w:r>
    </w:p>
    <w:p w14:paraId="43132431" w14:textId="598D1E0D" w:rsidR="00437E2E" w:rsidRDefault="004300B9" w:rsidP="00B7350D">
      <w:pPr>
        <w:ind w:right="992"/>
      </w:pPr>
      <w:r>
        <w:t>Outside the context of</w:t>
      </w:r>
      <w:r w:rsidR="00437E2E">
        <w:t xml:space="preserve"> the spectrum licensing technical framework, some aviation stakeholders suggested that the restricted cell (low power) arrangements being </w:t>
      </w:r>
      <w:r w:rsidR="00437E2E">
        <w:lastRenderedPageBreak/>
        <w:t>considered by the ACMA in the 3950</w:t>
      </w:r>
      <w:r w:rsidR="0096488B">
        <w:t>–</w:t>
      </w:r>
      <w:r w:rsidR="00437E2E">
        <w:t xml:space="preserve">4000 MHz range in metropolitan and regional areas be extended to the whole of Australia as that may reduce the risk of RA issues. </w:t>
      </w:r>
      <w:r w:rsidR="005253C7">
        <w:t>The ACMA is</w:t>
      </w:r>
      <w:r w:rsidR="00437E2E">
        <w:t xml:space="preserve"> of the view that, as we are proposing common mitigations to manage the issue Australia-wide, it is not necessary to exten</w:t>
      </w:r>
      <w:r w:rsidR="007C6230">
        <w:t>d</w:t>
      </w:r>
      <w:r w:rsidR="00437E2E">
        <w:t xml:space="preserve"> the geographic scope of the use of restricted cells. </w:t>
      </w:r>
    </w:p>
    <w:p w14:paraId="668FF8CB" w14:textId="25C08836" w:rsidR="00B26F02" w:rsidRPr="007F0172" w:rsidRDefault="00B26F02" w:rsidP="00B7350D">
      <w:pPr>
        <w:pStyle w:val="Heading4"/>
        <w:ind w:right="992"/>
      </w:pPr>
      <w:r w:rsidRPr="007F0172">
        <w:t xml:space="preserve">Timeframe for radio altimeter retrofits and </w:t>
      </w:r>
      <w:r w:rsidR="0090654C">
        <w:t>interim</w:t>
      </w:r>
      <w:r w:rsidRPr="007F0172">
        <w:t xml:space="preserve"> mitigations</w:t>
      </w:r>
    </w:p>
    <w:p w14:paraId="43AD61F3" w14:textId="426F0552" w:rsidR="00B26F02" w:rsidRPr="007F0172" w:rsidRDefault="009F611B" w:rsidP="00B7350D">
      <w:pPr>
        <w:ind w:right="992"/>
      </w:pPr>
      <w:r>
        <w:t>Telecommunications</w:t>
      </w:r>
      <w:r w:rsidRPr="007F0172">
        <w:t xml:space="preserve"> </w:t>
      </w:r>
      <w:r w:rsidR="00B26F02" w:rsidRPr="007F0172">
        <w:t xml:space="preserve">stakeholders were of the view that the proposed end date to </w:t>
      </w:r>
      <w:r w:rsidR="0090654C">
        <w:t>interim</w:t>
      </w:r>
      <w:r w:rsidR="00B26F02" w:rsidRPr="007F0172">
        <w:t xml:space="preserve"> mitigations should be shorter</w:t>
      </w:r>
      <w:r w:rsidR="00FD0F89" w:rsidRPr="007F0172">
        <w:t xml:space="preserve">. </w:t>
      </w:r>
      <w:r w:rsidR="00B26F02" w:rsidRPr="007F0172">
        <w:t xml:space="preserve">Aviation stakeholders were of the view that an interim radio altimeter retrofit was not practical and hence did not support any specific timeframe. There </w:t>
      </w:r>
      <w:r w:rsidR="000E788A">
        <w:t>were</w:t>
      </w:r>
      <w:r w:rsidR="00B26F02" w:rsidRPr="007F0172">
        <w:t xml:space="preserve"> some views expressed that the </w:t>
      </w:r>
      <w:r w:rsidR="00FF718E">
        <w:t>interim</w:t>
      </w:r>
      <w:r w:rsidR="00B26F02" w:rsidRPr="007F0172">
        <w:t xml:space="preserve"> mitigations should apply until a long-term retrofit/replacement program was complete (potentially </w:t>
      </w:r>
      <w:r w:rsidR="000B746E">
        <w:br/>
      </w:r>
      <w:r w:rsidR="00B26F02" w:rsidRPr="007F0172">
        <w:t>5</w:t>
      </w:r>
      <w:r w:rsidR="0096488B">
        <w:t>–</w:t>
      </w:r>
      <w:r w:rsidR="00B26F02" w:rsidRPr="007F0172">
        <w:t xml:space="preserve">8 years) after the revised radio altimeter standard </w:t>
      </w:r>
      <w:r w:rsidR="00BD1404">
        <w:t>i</w:t>
      </w:r>
      <w:r w:rsidR="00B26F02" w:rsidRPr="00446817">
        <w:t>s finished (</w:t>
      </w:r>
      <w:r w:rsidR="00BD1404">
        <w:t xml:space="preserve">this is currently expected to occur by the </w:t>
      </w:r>
      <w:r w:rsidR="00B26F02" w:rsidRPr="00446817">
        <w:t xml:space="preserve">end </w:t>
      </w:r>
      <w:r w:rsidR="00BD1404">
        <w:t xml:space="preserve">of </w:t>
      </w:r>
      <w:r w:rsidR="00B26F02" w:rsidRPr="007F0172">
        <w:t>2023).</w:t>
      </w:r>
    </w:p>
    <w:p w14:paraId="74AFCCFE" w14:textId="6C59A03F" w:rsidR="003C4294" w:rsidRDefault="003C4294" w:rsidP="00B7350D">
      <w:pPr>
        <w:ind w:right="992"/>
      </w:pPr>
      <w:r>
        <w:t xml:space="preserve">We note feedback from CASA that the timing of the end of any period of possible mitigations should not coincide with a major travel period, such as the end of year period or Easter. </w:t>
      </w:r>
      <w:r w:rsidR="006F2A62">
        <w:t>The consultation now proposes a 31 March 2025 end date, which also aligns with a similar end date proposed by Canada.</w:t>
      </w:r>
    </w:p>
    <w:p w14:paraId="17583180" w14:textId="2F635D46" w:rsidR="003C4294" w:rsidRDefault="003C4294" w:rsidP="00B7350D">
      <w:pPr>
        <w:ind w:right="992"/>
      </w:pPr>
      <w:r>
        <w:t xml:space="preserve">The </w:t>
      </w:r>
      <w:r w:rsidR="00CD48FA">
        <w:t>radio altimeter</w:t>
      </w:r>
      <w:r>
        <w:t xml:space="preserve"> report and targeted questions</w:t>
      </w:r>
      <w:r w:rsidR="00CD48FA">
        <w:t xml:space="preserve"> (see below)</w:t>
      </w:r>
      <w:r>
        <w:t xml:space="preserve"> discuss the interim retrofit program and a future state where a new </w:t>
      </w:r>
      <w:r w:rsidR="00CD48FA">
        <w:t>radio</w:t>
      </w:r>
      <w:r w:rsidR="001729DA">
        <w:t xml:space="preserve"> </w:t>
      </w:r>
      <w:r w:rsidR="00CD48FA">
        <w:t>altim</w:t>
      </w:r>
      <w:r w:rsidR="001729DA">
        <w:t>e</w:t>
      </w:r>
      <w:r w:rsidR="00CD48FA">
        <w:t>ter</w:t>
      </w:r>
      <w:r>
        <w:t xml:space="preserve"> standard is developed, and new equipment based on that standard rolled out. Our proposal is that the time frame for the interim mitigations is tied to an interim retrofit rather than a future program based on the future standard. </w:t>
      </w:r>
    </w:p>
    <w:p w14:paraId="22D388EB" w14:textId="20BD4324" w:rsidR="001C3A6E" w:rsidRDefault="00381B6D" w:rsidP="00B7350D">
      <w:pPr>
        <w:pStyle w:val="Heading3"/>
        <w:ind w:right="992"/>
      </w:pPr>
      <w:r>
        <w:t>Consultation questions</w:t>
      </w:r>
    </w:p>
    <w:p w14:paraId="7C9B47CD" w14:textId="34C5B7E2" w:rsidR="00493FD3" w:rsidRPr="00EE6387" w:rsidRDefault="002E34C2" w:rsidP="00B7350D">
      <w:pPr>
        <w:ind w:right="992"/>
      </w:pPr>
      <w:r>
        <w:t xml:space="preserve">Published </w:t>
      </w:r>
      <w:r w:rsidR="007D69D0">
        <w:t>with</w:t>
      </w:r>
      <w:r w:rsidR="00F0442A">
        <w:t xml:space="preserve"> </w:t>
      </w:r>
      <w:r w:rsidR="00493FD3">
        <w:t>this paper</w:t>
      </w:r>
      <w:r w:rsidR="007C4465">
        <w:t xml:space="preserve"> </w:t>
      </w:r>
      <w:r w:rsidR="00EB3E71">
        <w:t>is a list of</w:t>
      </w:r>
      <w:r w:rsidR="00493FD3">
        <w:t xml:space="preserve"> targeted questions</w:t>
      </w:r>
      <w:r w:rsidR="00136CA7">
        <w:t>, (</w:t>
      </w:r>
      <w:r w:rsidR="00113BCB">
        <w:t>Appendix A</w:t>
      </w:r>
      <w:r w:rsidR="008424E4">
        <w:t>)</w:t>
      </w:r>
      <w:r w:rsidR="00493FD3">
        <w:t xml:space="preserve"> aimed at eliciting evidence to assist us in making final decisions. We seek informed, evidence-based responses to those questions</w:t>
      </w:r>
      <w:r w:rsidR="00EB3E71">
        <w:t>, the proposals in general</w:t>
      </w:r>
      <w:r w:rsidR="00493FD3">
        <w:t xml:space="preserve"> and the </w:t>
      </w:r>
      <w:r w:rsidR="004E67F1">
        <w:t>radio altimeter r</w:t>
      </w:r>
      <w:r w:rsidR="00493FD3">
        <w:t>eport as a whole</w:t>
      </w:r>
      <w:r w:rsidR="00EB3E71">
        <w:t>.</w:t>
      </w:r>
      <w:r w:rsidR="00C64C8E">
        <w:t xml:space="preserve"> Specific feedback that can be used by the ACMA in its decision making</w:t>
      </w:r>
      <w:r w:rsidR="00493FD3">
        <w:t>, rather than general positional or policy statements</w:t>
      </w:r>
      <w:r w:rsidR="00C64C8E">
        <w:t>, is requested</w:t>
      </w:r>
      <w:r w:rsidR="00493FD3">
        <w:t xml:space="preserve">. </w:t>
      </w:r>
      <w:r w:rsidR="009E65FB">
        <w:t xml:space="preserve">This includes </w:t>
      </w:r>
      <w:r w:rsidR="00670D37">
        <w:t>estimated costs for potential RA retrofits, but noting that the</w:t>
      </w:r>
      <w:r w:rsidR="00670D37" w:rsidRPr="00670D37">
        <w:t xml:space="preserve"> </w:t>
      </w:r>
      <w:hyperlink r:id="rId88" w:history="1">
        <w:r w:rsidR="00DC763A">
          <w:rPr>
            <w:rStyle w:val="Hyperlink"/>
          </w:rPr>
          <w:t>FAA estimated costs</w:t>
        </w:r>
      </w:hyperlink>
      <w:r w:rsidR="00670D37" w:rsidRPr="00670D37">
        <w:t xml:space="preserve"> </w:t>
      </w:r>
      <w:r w:rsidR="00C26985">
        <w:t xml:space="preserve">is not provided for the whole affected fleet </w:t>
      </w:r>
      <w:r w:rsidR="00A73212">
        <w:t xml:space="preserve">(7993) </w:t>
      </w:r>
      <w:r w:rsidR="00C26985">
        <w:t>but is approximately US$25</w:t>
      </w:r>
      <w:r w:rsidR="00087F40">
        <w:t>,</w:t>
      </w:r>
      <w:r w:rsidR="00C26985">
        <w:t>000 per affected aircraft on aver</w:t>
      </w:r>
      <w:r w:rsidR="006D3610">
        <w:t>age</w:t>
      </w:r>
      <w:r w:rsidR="00B0123E">
        <w:t xml:space="preserve"> for the remain fleet of 1</w:t>
      </w:r>
      <w:r w:rsidR="00087F40">
        <w:t>,</w:t>
      </w:r>
      <w:r w:rsidR="00B0123E">
        <w:t>000 aircraft</w:t>
      </w:r>
      <w:r w:rsidR="006D3610">
        <w:t>. Total cost</w:t>
      </w:r>
      <w:r w:rsidR="00A73212">
        <w:t xml:space="preserve"> </w:t>
      </w:r>
      <w:r w:rsidR="00670D37" w:rsidRPr="00670D37">
        <w:t xml:space="preserve">is likely to be significantly less in Australia due to having a smaller fleet and </w:t>
      </w:r>
      <w:r w:rsidR="00A07373">
        <w:t>fewer</w:t>
      </w:r>
      <w:r w:rsidR="00A07373" w:rsidRPr="00670D37">
        <w:t xml:space="preserve"> </w:t>
      </w:r>
      <w:r w:rsidR="00670D37" w:rsidRPr="00670D37">
        <w:t>affected aircraft.</w:t>
      </w:r>
      <w:r w:rsidR="00670D37">
        <w:t xml:space="preserve"> </w:t>
      </w:r>
    </w:p>
    <w:p w14:paraId="6B380031" w14:textId="6C1E871F" w:rsidR="00381B6D" w:rsidRPr="00381B6D" w:rsidRDefault="00381B6D" w:rsidP="00B7350D">
      <w:pPr>
        <w:ind w:right="992"/>
      </w:pPr>
    </w:p>
    <w:p w14:paraId="1871610E" w14:textId="77777777" w:rsidR="006C1631" w:rsidRPr="00E162C4" w:rsidRDefault="006C1631" w:rsidP="00B7350D">
      <w:pPr>
        <w:pStyle w:val="Heading1"/>
        <w:ind w:right="992"/>
      </w:pPr>
      <w:bookmarkStart w:id="82" w:name="_Toc126917783"/>
      <w:r w:rsidRPr="00E162C4">
        <w:lastRenderedPageBreak/>
        <w:t>Invitation to comment</w:t>
      </w:r>
      <w:bookmarkEnd w:id="82"/>
    </w:p>
    <w:p w14:paraId="50A52044" w14:textId="77777777" w:rsidR="006C1631" w:rsidRPr="00E162C4" w:rsidRDefault="006C1631" w:rsidP="00B7350D">
      <w:pPr>
        <w:pStyle w:val="Heading2"/>
        <w:ind w:right="992"/>
      </w:pPr>
      <w:bookmarkStart w:id="83" w:name="_Toc433122131"/>
      <w:bookmarkStart w:id="84" w:name="_Toc348105637"/>
      <w:bookmarkStart w:id="85" w:name="_Toc300909556"/>
      <w:bookmarkStart w:id="86" w:name="_Toc298924673"/>
      <w:bookmarkStart w:id="87" w:name="_Toc126917784"/>
      <w:bookmarkStart w:id="88" w:name="_Toc348105638"/>
      <w:bookmarkStart w:id="89" w:name="_Toc300909557"/>
      <w:bookmarkStart w:id="90" w:name="_Toc298924674"/>
      <w:bookmarkStart w:id="91" w:name="_Toc274296357"/>
      <w:r w:rsidRPr="00E162C4">
        <w:t>Making a submission</w:t>
      </w:r>
      <w:bookmarkEnd w:id="83"/>
      <w:bookmarkEnd w:id="84"/>
      <w:bookmarkEnd w:id="85"/>
      <w:bookmarkEnd w:id="86"/>
      <w:bookmarkEnd w:id="87"/>
    </w:p>
    <w:p w14:paraId="69D3A3CC" w14:textId="051DA485" w:rsidR="006C1631" w:rsidRPr="00E162C4" w:rsidRDefault="006C5FD4" w:rsidP="00B7350D">
      <w:pPr>
        <w:ind w:right="992"/>
      </w:pPr>
      <w:r w:rsidRPr="00E162C4">
        <w:t>We</w:t>
      </w:r>
      <w:r w:rsidR="006C1631" w:rsidRPr="00E162C4">
        <w:t xml:space="preserve"> invite comments on the issues set out in this </w:t>
      </w:r>
      <w:r w:rsidR="001179DA">
        <w:t>consultation</w:t>
      </w:r>
      <w:r w:rsidR="001179DA" w:rsidRPr="00E162C4">
        <w:t xml:space="preserve"> </w:t>
      </w:r>
      <w:r w:rsidR="006C1631" w:rsidRPr="00E162C4">
        <w:t xml:space="preserve">paper. </w:t>
      </w:r>
    </w:p>
    <w:p w14:paraId="773FB3CE" w14:textId="77777777" w:rsidR="0070133D" w:rsidRPr="00E162C4" w:rsidRDefault="00FC4B89" w:rsidP="00B7350D">
      <w:pPr>
        <w:pStyle w:val="Bulletlevel1"/>
        <w:ind w:right="992"/>
      </w:pPr>
      <w:hyperlink r:id="rId89">
        <w:r w:rsidR="00001981" w:rsidRPr="7D6C722F">
          <w:rPr>
            <w:rStyle w:val="Hyperlink"/>
          </w:rPr>
          <w:t>Online submissions</w:t>
        </w:r>
      </w:hyperlink>
      <w:r w:rsidR="00001981">
        <w:t xml:space="preserve"> can be made by uploading a document. Submissions in</w:t>
      </w:r>
      <w:r w:rsidR="6585E5DE">
        <w:t xml:space="preserve"> PDF, </w:t>
      </w:r>
      <w:r w:rsidR="00001981">
        <w:t>Microsoft Word or Rich Text Format are preferred.</w:t>
      </w:r>
    </w:p>
    <w:p w14:paraId="61E1D8D9" w14:textId="77777777" w:rsidR="006C1631" w:rsidRPr="00E162C4" w:rsidRDefault="2BE5EDB7" w:rsidP="00B7350D">
      <w:pPr>
        <w:pStyle w:val="Bulletlevel1"/>
        <w:ind w:right="992"/>
      </w:pPr>
      <w:r>
        <w:t xml:space="preserve">Submissions by post can be sent to: </w:t>
      </w:r>
    </w:p>
    <w:p w14:paraId="3048F624" w14:textId="77777777" w:rsidR="006C1631" w:rsidRPr="00CB0613" w:rsidRDefault="006C1631" w:rsidP="00AC5FFE">
      <w:pPr>
        <w:tabs>
          <w:tab w:val="num" w:pos="295"/>
        </w:tabs>
        <w:spacing w:after="0"/>
        <w:ind w:left="908" w:right="992"/>
        <w:rPr>
          <w:szCs w:val="20"/>
        </w:rPr>
      </w:pPr>
      <w:r w:rsidRPr="00CB0613">
        <w:rPr>
          <w:szCs w:val="20"/>
        </w:rPr>
        <w:t>The Manager</w:t>
      </w:r>
    </w:p>
    <w:p w14:paraId="7A179FD6" w14:textId="2AE0136F" w:rsidR="006C1631" w:rsidRPr="00CB0613" w:rsidRDefault="00C31CA7" w:rsidP="00AC5FFE">
      <w:pPr>
        <w:spacing w:after="0"/>
        <w:ind w:left="908" w:right="992"/>
        <w:rPr>
          <w:szCs w:val="20"/>
        </w:rPr>
      </w:pPr>
      <w:r w:rsidRPr="00CB0613">
        <w:rPr>
          <w:szCs w:val="20"/>
        </w:rPr>
        <w:t>Major Spectrum Allocations Section</w:t>
      </w:r>
    </w:p>
    <w:p w14:paraId="775BCFFF" w14:textId="77777777" w:rsidR="006C1631" w:rsidRPr="00CB0613" w:rsidRDefault="006C1631" w:rsidP="00AC5FFE">
      <w:pPr>
        <w:spacing w:after="0"/>
        <w:ind w:left="908" w:right="992"/>
        <w:rPr>
          <w:szCs w:val="20"/>
        </w:rPr>
      </w:pPr>
      <w:r w:rsidRPr="00CB0613">
        <w:rPr>
          <w:szCs w:val="20"/>
        </w:rPr>
        <w:t>Australian Communications and Media Authority</w:t>
      </w:r>
    </w:p>
    <w:p w14:paraId="18476233" w14:textId="71565C44" w:rsidR="006C1631" w:rsidRPr="00CB0613" w:rsidRDefault="006C1631" w:rsidP="00AC5FFE">
      <w:pPr>
        <w:spacing w:after="0"/>
        <w:ind w:left="908" w:right="992"/>
        <w:rPr>
          <w:szCs w:val="20"/>
        </w:rPr>
      </w:pPr>
      <w:r w:rsidRPr="00CB0613">
        <w:rPr>
          <w:szCs w:val="20"/>
        </w:rPr>
        <w:t xml:space="preserve">PO Box </w:t>
      </w:r>
      <w:r w:rsidR="009F20E8" w:rsidRPr="00CB0613">
        <w:rPr>
          <w:szCs w:val="20"/>
        </w:rPr>
        <w:t>13112</w:t>
      </w:r>
    </w:p>
    <w:p w14:paraId="058EFC0C" w14:textId="0E8CE883" w:rsidR="006C1631" w:rsidRPr="00E162C4" w:rsidRDefault="009F20E8" w:rsidP="00AC5FFE">
      <w:pPr>
        <w:ind w:left="908" w:right="992"/>
        <w:rPr>
          <w:szCs w:val="20"/>
        </w:rPr>
      </w:pPr>
      <w:r w:rsidRPr="00CB0613">
        <w:rPr>
          <w:szCs w:val="20"/>
        </w:rPr>
        <w:t>Law Courts Melbourne VIC 8010</w:t>
      </w:r>
    </w:p>
    <w:p w14:paraId="596810B4" w14:textId="28C6B0BD" w:rsidR="006C1631" w:rsidRPr="00E162C4" w:rsidRDefault="006C1631" w:rsidP="00B7350D">
      <w:pPr>
        <w:ind w:right="992"/>
      </w:pPr>
      <w:r w:rsidRPr="00E162C4">
        <w:t xml:space="preserve">The closing date for submissions is </w:t>
      </w:r>
      <w:r w:rsidRPr="00AC5FFE">
        <w:rPr>
          <w:b/>
          <w:bCs/>
        </w:rPr>
        <w:t>COB,</w:t>
      </w:r>
      <w:r w:rsidRPr="00E162C4">
        <w:t xml:space="preserve"> </w:t>
      </w:r>
      <w:r w:rsidR="001D077A" w:rsidRPr="00CB0613">
        <w:rPr>
          <w:b/>
          <w:bCs/>
        </w:rPr>
        <w:t>29 March</w:t>
      </w:r>
      <w:r w:rsidR="00A72BDF" w:rsidRPr="00CB0613">
        <w:rPr>
          <w:b/>
          <w:bCs/>
        </w:rPr>
        <w:t xml:space="preserve"> </w:t>
      </w:r>
      <w:r w:rsidRPr="00CB0613">
        <w:rPr>
          <w:b/>
          <w:bCs/>
        </w:rPr>
        <w:t>2</w:t>
      </w:r>
      <w:r w:rsidR="00A72BDF" w:rsidRPr="005101CA">
        <w:rPr>
          <w:b/>
          <w:bCs/>
        </w:rPr>
        <w:t>023</w:t>
      </w:r>
      <w:r w:rsidRPr="00E162C4">
        <w:t>.</w:t>
      </w:r>
    </w:p>
    <w:p w14:paraId="0855BA03" w14:textId="196EBF89" w:rsidR="006C1631" w:rsidRDefault="006C1631" w:rsidP="00B7350D">
      <w:pPr>
        <w:ind w:right="992"/>
        <w:rPr>
          <w:szCs w:val="20"/>
        </w:rPr>
      </w:pPr>
      <w:r w:rsidRPr="00E162C4">
        <w:t xml:space="preserve">Consultation enquiries can be emailed </w:t>
      </w:r>
      <w:r w:rsidRPr="00E162C4">
        <w:rPr>
          <w:szCs w:val="20"/>
        </w:rPr>
        <w:t xml:space="preserve">to </w:t>
      </w:r>
      <w:hyperlink r:id="rId90" w:history="1">
        <w:r w:rsidR="0026057B" w:rsidRPr="00CB0613">
          <w:rPr>
            <w:rStyle w:val="Hyperlink"/>
            <w:szCs w:val="20"/>
          </w:rPr>
          <w:t>SpectrumAllocations@acma.gov.au</w:t>
        </w:r>
      </w:hyperlink>
      <w:r w:rsidRPr="009B2944">
        <w:rPr>
          <w:szCs w:val="20"/>
        </w:rPr>
        <w:t>.</w:t>
      </w:r>
    </w:p>
    <w:p w14:paraId="49B5F41F" w14:textId="037F5D7F" w:rsidR="00B561B2" w:rsidRPr="00D723A3" w:rsidRDefault="00B561B2" w:rsidP="00B7350D">
      <w:pPr>
        <w:ind w:right="992"/>
        <w:rPr>
          <w:szCs w:val="20"/>
        </w:rPr>
      </w:pPr>
      <w:r>
        <w:rPr>
          <w:szCs w:val="20"/>
        </w:rPr>
        <w:t xml:space="preserve">A tune-up </w:t>
      </w:r>
      <w:r w:rsidR="00D723A3">
        <w:rPr>
          <w:szCs w:val="20"/>
        </w:rPr>
        <w:t>regarding this consultation paper wil</w:t>
      </w:r>
      <w:r w:rsidR="00A86E30">
        <w:rPr>
          <w:szCs w:val="20"/>
        </w:rPr>
        <w:t>l</w:t>
      </w:r>
      <w:r w:rsidR="00D723A3">
        <w:rPr>
          <w:szCs w:val="20"/>
        </w:rPr>
        <w:t xml:space="preserve"> be held on </w:t>
      </w:r>
      <w:r w:rsidR="00D723A3">
        <w:rPr>
          <w:b/>
          <w:bCs/>
          <w:szCs w:val="20"/>
        </w:rPr>
        <w:t>24 February 2023</w:t>
      </w:r>
      <w:r w:rsidR="00D723A3">
        <w:rPr>
          <w:szCs w:val="20"/>
        </w:rPr>
        <w:t xml:space="preserve">. </w:t>
      </w:r>
      <w:r w:rsidR="00E44A08">
        <w:rPr>
          <w:szCs w:val="20"/>
        </w:rPr>
        <w:t xml:space="preserve">More information is available on </w:t>
      </w:r>
      <w:hyperlink r:id="rId91" w:history="1">
        <w:r w:rsidR="00E44A08" w:rsidRPr="00E651A6">
          <w:rPr>
            <w:rStyle w:val="Hyperlink"/>
            <w:szCs w:val="20"/>
          </w:rPr>
          <w:t>the ACMA’s website</w:t>
        </w:r>
      </w:hyperlink>
      <w:r w:rsidR="00E44A08">
        <w:rPr>
          <w:szCs w:val="20"/>
        </w:rPr>
        <w:t>.</w:t>
      </w:r>
    </w:p>
    <w:p w14:paraId="5BCDB8CA" w14:textId="77777777" w:rsidR="006C1631" w:rsidRPr="00E162C4" w:rsidRDefault="006C1631" w:rsidP="00B7350D">
      <w:pPr>
        <w:pStyle w:val="Heading4"/>
        <w:ind w:right="992"/>
      </w:pPr>
      <w:bookmarkStart w:id="92" w:name="_Toc348105639"/>
      <w:bookmarkStart w:id="93" w:name="_Toc300909558"/>
      <w:bookmarkStart w:id="94" w:name="_Hlk59627494"/>
      <w:bookmarkEnd w:id="88"/>
      <w:bookmarkEnd w:id="89"/>
      <w:r w:rsidRPr="00E162C4">
        <w:t>Publication of submissions</w:t>
      </w:r>
      <w:bookmarkEnd w:id="90"/>
      <w:bookmarkEnd w:id="91"/>
      <w:bookmarkEnd w:id="92"/>
      <w:bookmarkEnd w:id="93"/>
    </w:p>
    <w:p w14:paraId="7E3703F5" w14:textId="21AFD352" w:rsidR="006C1631" w:rsidRPr="00E162C4" w:rsidRDefault="006C5FD4" w:rsidP="00B7350D">
      <w:pPr>
        <w:ind w:right="992"/>
      </w:pPr>
      <w:bookmarkStart w:id="95" w:name="_Toc348105640"/>
      <w:bookmarkStart w:id="96" w:name="_Toc300909559"/>
      <w:bookmarkStart w:id="97" w:name="_Toc265246234"/>
      <w:r w:rsidRPr="00E162C4">
        <w:t>We</w:t>
      </w:r>
      <w:r w:rsidR="006C1631" w:rsidRPr="00E162C4">
        <w:t xml:space="preserve"> publish submissions on our website</w:t>
      </w:r>
      <w:r w:rsidR="006C1631" w:rsidRPr="00E162C4">
        <w:rPr>
          <w:rFonts w:cs="Arial"/>
        </w:rPr>
        <w:t>, including personal information (such as names and contact details)</w:t>
      </w:r>
      <w:r w:rsidR="006C1631" w:rsidRPr="00E162C4">
        <w:t xml:space="preserve">, except for information that you have claimed (and we have accepted) is confidential. </w:t>
      </w:r>
    </w:p>
    <w:p w14:paraId="1F9FC165" w14:textId="77777777" w:rsidR="006C1631" w:rsidRPr="00E162C4" w:rsidRDefault="006C1631" w:rsidP="00B7350D">
      <w:pPr>
        <w:ind w:right="992"/>
      </w:pPr>
      <w:r w:rsidRPr="00E162C4">
        <w:t>Confidential information will not be published or otherwise released unless required or authorised by law.</w:t>
      </w:r>
    </w:p>
    <w:p w14:paraId="4ECB0F0A" w14:textId="77777777" w:rsidR="006C1631" w:rsidRPr="00E162C4" w:rsidRDefault="006C1631" w:rsidP="00B7350D">
      <w:pPr>
        <w:pStyle w:val="Heading4"/>
        <w:ind w:right="992"/>
      </w:pPr>
      <w:r w:rsidRPr="00E162C4">
        <w:t>Privacy</w:t>
      </w:r>
    </w:p>
    <w:p w14:paraId="5F0CDA2F" w14:textId="1472DFF2" w:rsidR="006C1631" w:rsidRPr="00E162C4" w:rsidRDefault="00E21056" w:rsidP="00B7350D">
      <w:pPr>
        <w:pStyle w:val="Paragraph"/>
        <w:ind w:right="992"/>
      </w:pPr>
      <w:r w:rsidRPr="00E162C4">
        <w:t>View</w:t>
      </w:r>
      <w:r w:rsidR="006C1631" w:rsidRPr="00E162C4">
        <w:t xml:space="preserve"> information about </w:t>
      </w:r>
      <w:r w:rsidRPr="00E162C4">
        <w:t xml:space="preserve">our policy on the </w:t>
      </w:r>
      <w:hyperlink r:id="rId92" w:history="1">
        <w:r w:rsidRPr="00E162C4">
          <w:rPr>
            <w:rStyle w:val="Hyperlink"/>
          </w:rPr>
          <w:t>publication of submissions</w:t>
        </w:r>
      </w:hyperlink>
      <w:r w:rsidRPr="00E162C4">
        <w:t xml:space="preserve">, including </w:t>
      </w:r>
      <w:r w:rsidR="006C1631" w:rsidRPr="00E162C4">
        <w:t>collection of personal information during consultation and how we handle that information</w:t>
      </w:r>
      <w:r w:rsidRPr="00E162C4">
        <w:t>.</w:t>
      </w:r>
    </w:p>
    <w:bookmarkEnd w:id="95"/>
    <w:bookmarkEnd w:id="96"/>
    <w:bookmarkEnd w:id="97"/>
    <w:p w14:paraId="40A5E102" w14:textId="4CA89392" w:rsidR="008A320A" w:rsidRDefault="006C1631" w:rsidP="00B7350D">
      <w:pPr>
        <w:pStyle w:val="Paragraph"/>
        <w:ind w:right="992"/>
      </w:pPr>
      <w:r w:rsidRPr="00E162C4">
        <w:t xml:space="preserve">Information on the </w:t>
      </w:r>
      <w:r w:rsidRPr="00E162C4">
        <w:rPr>
          <w:i/>
        </w:rPr>
        <w:t>Privacy Act 1988</w:t>
      </w:r>
      <w:r w:rsidR="006A4CCA" w:rsidRPr="00E162C4">
        <w:rPr>
          <w:i/>
        </w:rPr>
        <w:t xml:space="preserve">, </w:t>
      </w:r>
      <w:r w:rsidRPr="00E162C4">
        <w:t xml:space="preserve">how to access or correct personal information, how to make a privacy complaint and how we will deal with </w:t>
      </w:r>
      <w:r w:rsidR="006C5FD4" w:rsidRPr="00E162C4">
        <w:t xml:space="preserve">any </w:t>
      </w:r>
      <w:r w:rsidRPr="00E162C4">
        <w:t>complaint</w:t>
      </w:r>
      <w:r w:rsidR="006C5FD4" w:rsidRPr="00E162C4">
        <w:t>s</w:t>
      </w:r>
      <w:r w:rsidR="00BB6335" w:rsidRPr="00E162C4">
        <w:t>,</w:t>
      </w:r>
      <w:r w:rsidR="00CF0BFE" w:rsidRPr="00E162C4">
        <w:t xml:space="preserve"> </w:t>
      </w:r>
      <w:r w:rsidRPr="00E162C4">
        <w:t xml:space="preserve">is available </w:t>
      </w:r>
      <w:r w:rsidR="00E21056" w:rsidRPr="00E162C4">
        <w:t xml:space="preserve">in our </w:t>
      </w:r>
      <w:hyperlink r:id="rId93" w:history="1">
        <w:r w:rsidR="00E21056" w:rsidRPr="00E162C4">
          <w:rPr>
            <w:rStyle w:val="Hyperlink"/>
          </w:rPr>
          <w:t>privacy policy</w:t>
        </w:r>
      </w:hyperlink>
      <w:r w:rsidRPr="00E162C4">
        <w:t>.</w:t>
      </w:r>
      <w:r w:rsidR="00A4193E" w:rsidRPr="00E162C4">
        <w:t xml:space="preserve"> </w:t>
      </w:r>
      <w:bookmarkEnd w:id="94"/>
    </w:p>
    <w:p w14:paraId="01042F28" w14:textId="77777777" w:rsidR="008A320A" w:rsidRDefault="008A320A">
      <w:pPr>
        <w:spacing w:after="0" w:line="240" w:lineRule="auto"/>
        <w:rPr>
          <w:rFonts w:cs="Arial"/>
        </w:rPr>
      </w:pPr>
      <w:r>
        <w:br w:type="page"/>
      </w:r>
    </w:p>
    <w:p w14:paraId="6CA2DE43" w14:textId="77777777" w:rsidR="009B1C32" w:rsidRPr="00E162C4" w:rsidRDefault="008A320A" w:rsidP="007C26E3">
      <w:pPr>
        <w:pStyle w:val="Heading1"/>
        <w:numPr>
          <w:ilvl w:val="0"/>
          <w:numId w:val="0"/>
        </w:numPr>
        <w:ind w:right="992"/>
      </w:pPr>
      <w:bookmarkStart w:id="98" w:name="_Toc126917785"/>
      <w:r>
        <w:lastRenderedPageBreak/>
        <w:t xml:space="preserve">Appendix A: </w:t>
      </w:r>
      <w:bookmarkStart w:id="99" w:name="_Toc298924672"/>
      <w:bookmarkStart w:id="100" w:name="_Toc300909555"/>
      <w:bookmarkStart w:id="101" w:name="_Toc348105636"/>
      <w:r w:rsidR="009B1C32">
        <w:t>Questions for comment on wireless broadband and radio altimeter coexistence</w:t>
      </w:r>
      <w:bookmarkEnd w:id="98"/>
    </w:p>
    <w:p w14:paraId="3F358E9A" w14:textId="77777777" w:rsidR="009B1C32" w:rsidRPr="00D45F35" w:rsidRDefault="009B1C32" w:rsidP="00AC5FFE">
      <w:pPr>
        <w:pStyle w:val="ACMANumberedList"/>
        <w:numPr>
          <w:ilvl w:val="0"/>
          <w:numId w:val="0"/>
        </w:numPr>
        <w:spacing w:after="120"/>
        <w:ind w:right="992"/>
        <w:rPr>
          <w:rFonts w:ascii="Arial" w:hAnsi="Arial" w:cs="Arial"/>
          <w:sz w:val="20"/>
        </w:rPr>
      </w:pPr>
      <w:r w:rsidRPr="00D45F35">
        <w:rPr>
          <w:rFonts w:ascii="Arial" w:hAnsi="Arial" w:cs="Arial"/>
          <w:sz w:val="20"/>
        </w:rPr>
        <w:t xml:space="preserve">The radio altimeter (RA) report, found in the key documents section of this consultation, presents our proposals to manage radio altimeter and wireless broadband (WBB) coexistence. We seek general feedback on these proposals and the RA report as a whole. In addition to the general feedback, we have identified a series of specific questions where extra information and supporting evidence will assist us in making final decisions. </w:t>
      </w:r>
    </w:p>
    <w:p w14:paraId="04AC70E8" w14:textId="77777777" w:rsidR="009B1C32" w:rsidRPr="00D45F35" w:rsidRDefault="009B1C32" w:rsidP="00AC5FFE">
      <w:pPr>
        <w:pStyle w:val="Paragraph"/>
        <w:ind w:right="992"/>
        <w:rPr>
          <w:szCs w:val="20"/>
        </w:rPr>
      </w:pPr>
      <w:r w:rsidRPr="00D45F35">
        <w:rPr>
          <w:szCs w:val="20"/>
        </w:rPr>
        <w:t>Many of these questions are informed by feedback received from Technical Liaison Group (TLG) members on the original RA report, and from recent global developments (such as in the US and Canada). Some of these questions are technical in nature, necessitating a detailed, technically informed response. In some cases, additional context to the question is provided to assist in interpreting and responding to the question.</w:t>
      </w:r>
    </w:p>
    <w:p w14:paraId="66742848" w14:textId="77777777" w:rsidR="009B1C32" w:rsidRPr="006A72EF" w:rsidRDefault="009B1C32" w:rsidP="00AC5FFE">
      <w:pPr>
        <w:pStyle w:val="Heading2"/>
        <w:spacing w:after="240"/>
        <w:ind w:right="992"/>
      </w:pPr>
      <w:bookmarkStart w:id="102" w:name="_Toc126917786"/>
      <w:r>
        <w:t>General questions</w:t>
      </w:r>
      <w:bookmarkEnd w:id="102"/>
    </w:p>
    <w:bookmarkEnd w:id="99"/>
    <w:bookmarkEnd w:id="100"/>
    <w:bookmarkEnd w:id="101"/>
    <w:p w14:paraId="113A2E3F" w14:textId="77777777" w:rsidR="009B1C32" w:rsidRPr="00D45F35" w:rsidRDefault="009B1C32" w:rsidP="00AC5FF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Question 1</w:t>
      </w:r>
    </w:p>
    <w:p w14:paraId="000CE36F" w14:textId="77777777" w:rsidR="009B1C32" w:rsidRPr="00D45F35" w:rsidRDefault="009B1C3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Are there current or potential future industry coordination mechanisms where WBB operators and the aviation community can coordinate and communicate regarding WBB deployments?</w:t>
      </w:r>
      <w:r w:rsidRPr="00D45F35">
        <w:rPr>
          <w:szCs w:val="20"/>
        </w:rPr>
        <w:br/>
      </w:r>
      <w:r w:rsidRPr="00D45F35">
        <w:rPr>
          <w:szCs w:val="20"/>
        </w:rPr>
        <w:br/>
        <w:t>(</w:t>
      </w:r>
      <w:r w:rsidRPr="000B1BF5">
        <w:rPr>
          <w:szCs w:val="20"/>
        </w:rPr>
        <w:t>TLG members did not support the inclusion of general guidance to WBB licensees to consider radio altimeters issues in their deployments</w:t>
      </w:r>
      <w:r w:rsidRPr="00D45F35">
        <w:rPr>
          <w:szCs w:val="20"/>
        </w:rPr>
        <w:t>.</w:t>
      </w:r>
      <w:r w:rsidRPr="000B1BF5">
        <w:rPr>
          <w:szCs w:val="20"/>
          <w:vertAlign w:val="superscript"/>
        </w:rPr>
        <w:footnoteReference w:id="36"/>
      </w:r>
      <w:r w:rsidRPr="000B1BF5">
        <w:rPr>
          <w:szCs w:val="20"/>
        </w:rPr>
        <w:t xml:space="preserve"> </w:t>
      </w:r>
      <w:r w:rsidRPr="00D45F35">
        <w:rPr>
          <w:szCs w:val="20"/>
        </w:rPr>
        <w:t xml:space="preserve">We are </w:t>
      </w:r>
      <w:r w:rsidRPr="000B1BF5">
        <w:rPr>
          <w:szCs w:val="20"/>
        </w:rPr>
        <w:t>not inclined to proceed with such a measure, but seek information on possible alternative mechanisms that may deliver similar outcomes.</w:t>
      </w:r>
      <w:r w:rsidRPr="00D45F35">
        <w:rPr>
          <w:szCs w:val="20"/>
        </w:rPr>
        <w:t>)</w:t>
      </w:r>
    </w:p>
    <w:p w14:paraId="097DC3D0" w14:textId="77777777" w:rsidR="009B1C32" w:rsidRDefault="009B1C32" w:rsidP="00AC5FFE">
      <w:pPr>
        <w:spacing w:after="0"/>
        <w:ind w:right="992"/>
      </w:pPr>
    </w:p>
    <w:p w14:paraId="38CDB5AA" w14:textId="77777777" w:rsidR="009B1C32" w:rsidRPr="00D45F35" w:rsidRDefault="009B1C32" w:rsidP="00AC5FF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Question 2</w:t>
      </w:r>
    </w:p>
    <w:p w14:paraId="46BF1D9B" w14:textId="034484BF" w:rsidR="009B1C32" w:rsidRPr="00D45F35" w:rsidRDefault="009B1C3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 xml:space="preserve">What are your views on any or all aspects of the </w:t>
      </w:r>
      <w:hyperlink r:id="rId94" w:history="1">
        <w:r w:rsidRPr="00D45F35">
          <w:rPr>
            <w:rStyle w:val="Hyperlink"/>
            <w:szCs w:val="20"/>
          </w:rPr>
          <w:t>recent Canadian consultation</w:t>
        </w:r>
      </w:hyperlink>
      <w:r w:rsidRPr="00D45F35">
        <w:rPr>
          <w:szCs w:val="20"/>
        </w:rPr>
        <w:t xml:space="preserve"> that would be relevant in the Australian context. What, if any, aspects of the revised mitigations should be adapted for use in Australia, and why?</w:t>
      </w:r>
      <w:r w:rsidRPr="00D45F35">
        <w:rPr>
          <w:szCs w:val="20"/>
        </w:rPr>
        <w:br/>
      </w:r>
      <w:r w:rsidRPr="00D45F35">
        <w:rPr>
          <w:szCs w:val="20"/>
        </w:rPr>
        <w:br/>
      </w:r>
      <w:r w:rsidRPr="00D45F35">
        <w:rPr>
          <w:iCs/>
          <w:szCs w:val="20"/>
        </w:rPr>
        <w:t>(</w:t>
      </w:r>
      <w:r w:rsidRPr="000B1BF5">
        <w:rPr>
          <w:iCs/>
          <w:szCs w:val="20"/>
        </w:rPr>
        <w:t xml:space="preserve">The Canadian regulator ISED has released a new </w:t>
      </w:r>
      <w:hyperlink r:id="rId95" w:history="1">
        <w:r w:rsidRPr="000B1BF5">
          <w:rPr>
            <w:rStyle w:val="Hyperlink"/>
            <w:iCs/>
            <w:szCs w:val="20"/>
          </w:rPr>
          <w:t>consultation</w:t>
        </w:r>
      </w:hyperlink>
      <w:r w:rsidRPr="000B1BF5">
        <w:rPr>
          <w:iCs/>
          <w:szCs w:val="20"/>
        </w:rPr>
        <w:t xml:space="preserve"> with revised proposed mitigations </w:t>
      </w:r>
      <w:r w:rsidRPr="00D45F35">
        <w:rPr>
          <w:iCs/>
          <w:szCs w:val="20"/>
        </w:rPr>
        <w:t xml:space="preserve">– </w:t>
      </w:r>
      <w:r w:rsidRPr="000B1BF5">
        <w:rPr>
          <w:iCs/>
          <w:szCs w:val="20"/>
        </w:rPr>
        <w:t>RA Report Appendix C paragraph 7.</w:t>
      </w:r>
      <w:r w:rsidR="00EA4786">
        <w:rPr>
          <w:iCs/>
          <w:szCs w:val="20"/>
        </w:rPr>
        <w:t>66</w:t>
      </w:r>
      <w:r w:rsidR="00EA4786" w:rsidRPr="000B1BF5">
        <w:rPr>
          <w:iCs/>
          <w:szCs w:val="20"/>
        </w:rPr>
        <w:t xml:space="preserve"> </w:t>
      </w:r>
      <w:r w:rsidRPr="000B1BF5">
        <w:rPr>
          <w:iCs/>
          <w:szCs w:val="20"/>
        </w:rPr>
        <w:t>onwards. These revisions have been based on a comprehensive body of laboratory and over</w:t>
      </w:r>
      <w:r w:rsidRPr="00D45F35">
        <w:rPr>
          <w:iCs/>
          <w:szCs w:val="20"/>
        </w:rPr>
        <w:t>-</w:t>
      </w:r>
      <w:r w:rsidRPr="000B1BF5">
        <w:rPr>
          <w:iCs/>
          <w:szCs w:val="20"/>
        </w:rPr>
        <w:t>the</w:t>
      </w:r>
      <w:r w:rsidRPr="00D45F35">
        <w:rPr>
          <w:iCs/>
          <w:szCs w:val="20"/>
        </w:rPr>
        <w:t>-</w:t>
      </w:r>
      <w:r w:rsidRPr="000B1BF5">
        <w:rPr>
          <w:iCs/>
          <w:szCs w:val="20"/>
        </w:rPr>
        <w:t>air testing work, as well as other considerations. While a full derivation of quantitative values proposed is not provided, this work contains additional insights relevant to Australian considerations.</w:t>
      </w:r>
      <w:r w:rsidRPr="00D45F35">
        <w:rPr>
          <w:iCs/>
          <w:szCs w:val="20"/>
        </w:rPr>
        <w:t>)</w:t>
      </w:r>
    </w:p>
    <w:p w14:paraId="2CDFABAF" w14:textId="77777777" w:rsidR="009B1C32" w:rsidRDefault="009B1C32" w:rsidP="00AC5FFE">
      <w:pPr>
        <w:pStyle w:val="Heading2"/>
        <w:spacing w:after="240"/>
        <w:ind w:right="992"/>
      </w:pPr>
      <w:bookmarkStart w:id="103" w:name="_Toc126917787"/>
      <w:r>
        <w:lastRenderedPageBreak/>
        <w:t>WBB deployment questions</w:t>
      </w:r>
      <w:bookmarkEnd w:id="103"/>
    </w:p>
    <w:p w14:paraId="1BCA3364" w14:textId="77777777" w:rsidR="009B1C32" w:rsidRPr="00D45F35" w:rsidRDefault="009B1C32" w:rsidP="00AC5FF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Question 3</w:t>
      </w:r>
    </w:p>
    <w:p w14:paraId="37223C80" w14:textId="4F50F7B7" w:rsidR="009B1C32" w:rsidRPr="00D45F35" w:rsidRDefault="009B1C3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 xml:space="preserve">Are the findings from the </w:t>
      </w:r>
      <w:hyperlink r:id="rId96" w:history="1">
        <w:r w:rsidRPr="00D45F35">
          <w:rPr>
            <w:rStyle w:val="Hyperlink"/>
            <w:szCs w:val="20"/>
          </w:rPr>
          <w:t>NTIA ITS report</w:t>
        </w:r>
      </w:hyperlink>
      <w:r w:rsidRPr="00D45F35">
        <w:rPr>
          <w:rStyle w:val="FootnoteReference"/>
          <w:szCs w:val="20"/>
        </w:rPr>
        <w:footnoteReference w:id="37"/>
      </w:r>
      <w:r w:rsidRPr="00D45F35">
        <w:rPr>
          <w:szCs w:val="20"/>
        </w:rPr>
        <w:t xml:space="preserve"> regarding 5G base station emission levels and pattern measurements applicable to Australian WBB deployments? If not, on what basis would equipment deployed in Australia have </w:t>
      </w:r>
      <w:r w:rsidRPr="00D45F35" w:rsidDel="003F4E93">
        <w:rPr>
          <w:szCs w:val="20"/>
        </w:rPr>
        <w:t xml:space="preserve">a materially </w:t>
      </w:r>
      <w:r w:rsidRPr="00D45F35">
        <w:rPr>
          <w:szCs w:val="20"/>
        </w:rPr>
        <w:t>different performance than the emission levels and pattern measurements outlined in the NTIA study? What are the implications and costs of using equipment that does meet the measurements observed by the NTIA study?</w:t>
      </w:r>
    </w:p>
    <w:p w14:paraId="08C11A4F" w14:textId="77777777" w:rsidR="009B1C32" w:rsidRDefault="009B1C32" w:rsidP="00AC5FFE">
      <w:pPr>
        <w:spacing w:after="0"/>
        <w:ind w:right="992"/>
      </w:pPr>
    </w:p>
    <w:p w14:paraId="731B0D08" w14:textId="77777777" w:rsidR="009B1C32" w:rsidRPr="00D45F35" w:rsidRDefault="009B1C32" w:rsidP="00AC5FF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Question 4</w:t>
      </w:r>
    </w:p>
    <w:p w14:paraId="6FCFDEEB" w14:textId="703C1207" w:rsidR="009B1C32" w:rsidRPr="00D45F35" w:rsidRDefault="009B1C3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D45F35">
        <w:rPr>
          <w:szCs w:val="20"/>
        </w:rPr>
        <w:t xml:space="preserve">What are the effects on WBB deployments if all WBB deployments were restricted to an EIRP of 62 dBm/MHz (rather than a TRP limit) on an ongoing basis (other than those in restricted cell segments with lower powers)? If </w:t>
      </w:r>
      <w:r>
        <w:rPr>
          <w:szCs w:val="20"/>
        </w:rPr>
        <w:t>any</w:t>
      </w:r>
      <w:r w:rsidRPr="00D45F35">
        <w:rPr>
          <w:szCs w:val="20"/>
        </w:rPr>
        <w:t>, what are the implications and costs of being restricted to this EIRP value, and is there an alternative that would be practicable and appropriate?</w:t>
      </w:r>
      <w:r w:rsidRPr="00D45F35">
        <w:rPr>
          <w:szCs w:val="20"/>
        </w:rPr>
        <w:br/>
      </w:r>
      <w:r w:rsidRPr="00D45F35">
        <w:rPr>
          <w:szCs w:val="20"/>
        </w:rPr>
        <w:br/>
      </w:r>
      <w:r w:rsidRPr="000B1BF5">
        <w:rPr>
          <w:szCs w:val="20"/>
        </w:rPr>
        <w:t xml:space="preserve">(The </w:t>
      </w:r>
      <w:hyperlink r:id="rId97" w:history="1">
        <w:r w:rsidRPr="000B1BF5">
          <w:rPr>
            <w:szCs w:val="20"/>
          </w:rPr>
          <w:t>NTIA ITS report</w:t>
        </w:r>
      </w:hyperlink>
      <w:r w:rsidRPr="000B1BF5">
        <w:rPr>
          <w:szCs w:val="20"/>
        </w:rPr>
        <w:t xml:space="preserve"> notes practical limitations on current equipment limiting operation to an EIRP of 62 dBm/MHz for most bandwidths</w:t>
      </w:r>
      <w:r>
        <w:rPr>
          <w:szCs w:val="20"/>
        </w:rPr>
        <w:t>. T</w:t>
      </w:r>
      <w:r w:rsidRPr="000B1BF5">
        <w:rPr>
          <w:szCs w:val="20"/>
        </w:rPr>
        <w:t>he majority of current Australia deployments operate below this figure</w:t>
      </w:r>
      <w:r>
        <w:rPr>
          <w:szCs w:val="20"/>
        </w:rPr>
        <w:t>,</w:t>
      </w:r>
      <w:r w:rsidRPr="000B1BF5">
        <w:rPr>
          <w:szCs w:val="20"/>
        </w:rPr>
        <w:t xml:space="preserve"> as per the RA report Appendix.)</w:t>
      </w:r>
    </w:p>
    <w:p w14:paraId="14A7D6AF" w14:textId="77777777" w:rsidR="009B1C32" w:rsidRDefault="009B1C32" w:rsidP="00AC5FFE">
      <w:pPr>
        <w:spacing w:after="0"/>
        <w:ind w:right="992"/>
      </w:pPr>
    </w:p>
    <w:p w14:paraId="05E3AE0D" w14:textId="77777777" w:rsidR="009B1C32" w:rsidRPr="00E162C4" w:rsidRDefault="009B1C32" w:rsidP="00AC5FF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 xml:space="preserve">Question </w:t>
      </w:r>
      <w:r>
        <w:t>5</w:t>
      </w:r>
    </w:p>
    <w:p w14:paraId="521220C7" w14:textId="3E9D6DCD" w:rsidR="007C7190" w:rsidRDefault="009B1C3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40085D">
        <w:rPr>
          <w:szCs w:val="20"/>
        </w:rPr>
        <w:t xml:space="preserve">What, if any, are the implications </w:t>
      </w:r>
      <w:r>
        <w:rPr>
          <w:szCs w:val="20"/>
        </w:rPr>
        <w:t xml:space="preserve">if </w:t>
      </w:r>
      <w:r w:rsidRPr="0040085D">
        <w:rPr>
          <w:szCs w:val="20"/>
        </w:rPr>
        <w:t xml:space="preserve">conducted unwanted emission levels </w:t>
      </w:r>
      <w:r>
        <w:rPr>
          <w:szCs w:val="20"/>
        </w:rPr>
        <w:t>are</w:t>
      </w:r>
      <w:r w:rsidRPr="0040085D">
        <w:rPr>
          <w:szCs w:val="20"/>
        </w:rPr>
        <w:t xml:space="preserve"> specified lower than the 3GPP TS.38.104</w:t>
      </w:r>
      <w:r w:rsidRPr="0040085D">
        <w:rPr>
          <w:rStyle w:val="FootnoteReference"/>
          <w:szCs w:val="20"/>
        </w:rPr>
        <w:footnoteReference w:id="38"/>
      </w:r>
      <w:r w:rsidRPr="0040085D">
        <w:rPr>
          <w:szCs w:val="20"/>
        </w:rPr>
        <w:t xml:space="preserve"> spurious domain Category B limits of -30 dBm/MHz (or a TRP equivalent) specifically considering possible ongoing limits of </w:t>
      </w:r>
      <w:r w:rsidRPr="0040085D">
        <w:rPr>
          <w:szCs w:val="20"/>
        </w:rPr>
        <w:noBreakHyphen/>
        <w:t xml:space="preserve">33 dBm/MHz, </w:t>
      </w:r>
      <w:r w:rsidRPr="0040085D">
        <w:rPr>
          <w:szCs w:val="20"/>
        </w:rPr>
        <w:noBreakHyphen/>
        <w:t xml:space="preserve">35 dBm/MHz, </w:t>
      </w:r>
      <w:r w:rsidRPr="0040085D">
        <w:rPr>
          <w:szCs w:val="20"/>
        </w:rPr>
        <w:noBreakHyphen/>
        <w:t xml:space="preserve">40 dBm/MHz or </w:t>
      </w:r>
      <w:r w:rsidRPr="0040085D">
        <w:rPr>
          <w:szCs w:val="20"/>
        </w:rPr>
        <w:noBreakHyphen/>
        <w:t xml:space="preserve">48 dBm/MHz? Where applicable, both </w:t>
      </w:r>
      <w:r w:rsidR="00816F17">
        <w:rPr>
          <w:szCs w:val="20"/>
        </w:rPr>
        <w:t xml:space="preserve">equipment nominally designed for both band </w:t>
      </w:r>
      <w:r w:rsidRPr="0040085D">
        <w:rPr>
          <w:szCs w:val="20"/>
        </w:rPr>
        <w:t xml:space="preserve">n77 and n78 band equipment </w:t>
      </w:r>
      <w:r w:rsidR="00816F17">
        <w:rPr>
          <w:szCs w:val="20"/>
        </w:rPr>
        <w:t xml:space="preserve">should </w:t>
      </w:r>
      <w:r w:rsidRPr="0040085D">
        <w:rPr>
          <w:szCs w:val="20"/>
        </w:rPr>
        <w:t>be considered, with spectrum allocations up to 3800 MHz for n78 equipment and 4000 MHz for n77 equipment assumed</w:t>
      </w:r>
      <w:r w:rsidR="007C7190">
        <w:rPr>
          <w:szCs w:val="20"/>
        </w:rPr>
        <w:t>.</w:t>
      </w:r>
    </w:p>
    <w:p w14:paraId="009A5478" w14:textId="2957BB17" w:rsidR="000F3BA5" w:rsidRDefault="009B1C3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 xml:space="preserve">(The </w:t>
      </w:r>
      <w:hyperlink r:id="rId98" w:history="1">
        <w:r w:rsidRPr="00981862">
          <w:rPr>
            <w:rStyle w:val="Hyperlink"/>
            <w:szCs w:val="20"/>
          </w:rPr>
          <w:t>NTIA ITS report</w:t>
        </w:r>
      </w:hyperlink>
      <w:r w:rsidRPr="00981862">
        <w:rPr>
          <w:szCs w:val="20"/>
        </w:rPr>
        <w:t xml:space="preserve"> </w:t>
      </w:r>
      <w:r>
        <w:rPr>
          <w:szCs w:val="20"/>
        </w:rPr>
        <w:t xml:space="preserve">indicates that, </w:t>
      </w:r>
      <w:r w:rsidRPr="00981862">
        <w:rPr>
          <w:szCs w:val="20"/>
        </w:rPr>
        <w:t>in practice</w:t>
      </w:r>
      <w:r>
        <w:rPr>
          <w:szCs w:val="20"/>
        </w:rPr>
        <w:t>,</w:t>
      </w:r>
      <w:r w:rsidRPr="00981862">
        <w:rPr>
          <w:szCs w:val="20"/>
        </w:rPr>
        <w:t xml:space="preserve"> 5G base stations have better unwanted emissions levels </w:t>
      </w:r>
      <w:r>
        <w:rPr>
          <w:szCs w:val="20"/>
        </w:rPr>
        <w:t xml:space="preserve">– </w:t>
      </w:r>
      <w:r w:rsidRPr="00981862">
        <w:rPr>
          <w:szCs w:val="20"/>
        </w:rPr>
        <w:t>i.e.</w:t>
      </w:r>
      <w:r>
        <w:rPr>
          <w:szCs w:val="20"/>
        </w:rPr>
        <w:t>,</w:t>
      </w:r>
      <w:r w:rsidRPr="00981862">
        <w:rPr>
          <w:szCs w:val="20"/>
        </w:rPr>
        <w:t xml:space="preserve"> have lower emissions</w:t>
      </w:r>
      <w:r>
        <w:rPr>
          <w:szCs w:val="20"/>
        </w:rPr>
        <w:t xml:space="preserve"> –</w:t>
      </w:r>
      <w:r w:rsidRPr="00981862">
        <w:rPr>
          <w:szCs w:val="20"/>
        </w:rPr>
        <w:t xml:space="preserve"> than included in 3GPP specifications.)</w:t>
      </w:r>
    </w:p>
    <w:p w14:paraId="2B556BA0" w14:textId="77777777" w:rsidR="000F3BA5" w:rsidRPr="0040085D" w:rsidRDefault="000F3BA5" w:rsidP="00AC5FFE">
      <w:pPr>
        <w:pStyle w:val="Paragraph"/>
        <w:spacing w:after="0"/>
        <w:ind w:right="992"/>
        <w:rPr>
          <w:szCs w:val="20"/>
        </w:rPr>
      </w:pPr>
    </w:p>
    <w:p w14:paraId="75ED31AD" w14:textId="13096421" w:rsidR="00B06CA4" w:rsidRPr="00E162C4" w:rsidRDefault="00B06CA4" w:rsidP="00AC5FFE">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 xml:space="preserve">Question </w:t>
      </w:r>
      <w:r>
        <w:t>6</w:t>
      </w:r>
    </w:p>
    <w:p w14:paraId="77ADDC5E" w14:textId="23B03698" w:rsidR="000F3BA5" w:rsidRDefault="000961F2" w:rsidP="00AC5FFE">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0961F2">
        <w:rPr>
          <w:szCs w:val="20"/>
        </w:rPr>
        <w:t>Can WBB equipment comply with the ACMA proposed interim unwanted emission EIRP limits proposed in the RA report main body and Appendix D, in addition to the TRP and conducted per port limits proposed in the sample spectrum licence contained in the marketing plan? What, if any, are the implications if unwanted emissions are specified as an EIRP rather than a TRP or conducted limit on an ongoing basis?</w:t>
      </w:r>
    </w:p>
    <w:p w14:paraId="1DE10930" w14:textId="77777777" w:rsidR="000F3BA5" w:rsidRPr="000F3BA5" w:rsidRDefault="000F3BA5" w:rsidP="00AC5FFE">
      <w:pPr>
        <w:pStyle w:val="Paragraph"/>
        <w:spacing w:after="0"/>
        <w:ind w:right="992"/>
        <w:rPr>
          <w:szCs w:val="20"/>
        </w:rPr>
      </w:pPr>
    </w:p>
    <w:p w14:paraId="5B9FA749" w14:textId="77777777" w:rsidR="009B1C32" w:rsidRPr="00E162C4" w:rsidRDefault="009B1C32" w:rsidP="00AC5FFE">
      <w:pPr>
        <w:pStyle w:val="Heading3"/>
        <w:keepLines/>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lastRenderedPageBreak/>
        <w:t xml:space="preserve">Question </w:t>
      </w:r>
      <w:r>
        <w:t>7</w:t>
      </w:r>
    </w:p>
    <w:p w14:paraId="16E187B8" w14:textId="77777777" w:rsidR="009B1C32" w:rsidRPr="00B63056" w:rsidRDefault="009B1C32" w:rsidP="00AC5FFE">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ind w:right="992"/>
        <w:rPr>
          <w:iCs/>
          <w:szCs w:val="20"/>
        </w:rPr>
      </w:pPr>
      <w:r w:rsidRPr="00B63056">
        <w:rPr>
          <w:szCs w:val="20"/>
        </w:rPr>
        <w:t>What evidence is there for using lower maximum side-lobe gains</w:t>
      </w:r>
      <w:r>
        <w:rPr>
          <w:szCs w:val="20"/>
        </w:rPr>
        <w:t>,</w:t>
      </w:r>
      <w:r w:rsidRPr="00B63056">
        <w:rPr>
          <w:szCs w:val="20"/>
        </w:rPr>
        <w:t xml:space="preserve"> and what alternative value could be used? What would be a practical elevation pattern envelope that both non-AAS and AAS WBB base stations could reasonably implement and commit to, </w:t>
      </w:r>
      <w:r>
        <w:rPr>
          <w:szCs w:val="20"/>
        </w:rPr>
        <w:t xml:space="preserve">in order </w:t>
      </w:r>
      <w:r w:rsidRPr="00B63056">
        <w:rPr>
          <w:szCs w:val="20"/>
        </w:rPr>
        <w:t>to manage grating lobes and beam pointing?</w:t>
      </w:r>
      <w:r>
        <w:rPr>
          <w:szCs w:val="20"/>
        </w:rPr>
        <w:br/>
      </w:r>
      <w:r>
        <w:rPr>
          <w:szCs w:val="20"/>
        </w:rPr>
        <w:br/>
      </w:r>
      <w:r w:rsidRPr="00981862">
        <w:rPr>
          <w:iCs/>
          <w:szCs w:val="20"/>
        </w:rPr>
        <w:t>(The interim mitigation zone calculations use an assumed WBB antenna side-lobe gain level of 18 dBi</w:t>
      </w:r>
      <w:r>
        <w:rPr>
          <w:iCs/>
          <w:szCs w:val="20"/>
        </w:rPr>
        <w:t>,</w:t>
      </w:r>
      <w:r w:rsidRPr="00981862">
        <w:rPr>
          <w:iCs/>
          <w:szCs w:val="20"/>
        </w:rPr>
        <w:t xml:space="preserve"> as per RA report Appendix D. We note feedback from some TLG members that suggest</w:t>
      </w:r>
      <w:r>
        <w:rPr>
          <w:iCs/>
          <w:szCs w:val="20"/>
        </w:rPr>
        <w:t>s</w:t>
      </w:r>
      <w:r w:rsidRPr="00981862">
        <w:rPr>
          <w:iCs/>
          <w:szCs w:val="20"/>
        </w:rPr>
        <w:t xml:space="preserve"> this value is significantly too high.)</w:t>
      </w:r>
    </w:p>
    <w:p w14:paraId="65205C68" w14:textId="77777777" w:rsidR="009B1C32" w:rsidRDefault="009B1C32" w:rsidP="00AC5FFE">
      <w:pPr>
        <w:keepNext/>
        <w:keepLines/>
        <w:spacing w:after="0"/>
        <w:ind w:right="992"/>
      </w:pPr>
    </w:p>
    <w:p w14:paraId="2585F553" w14:textId="77777777" w:rsidR="009B1C32" w:rsidRPr="00E162C4" w:rsidRDefault="009B1C32" w:rsidP="00AC5FFE">
      <w:pPr>
        <w:pStyle w:val="Heading3"/>
        <w:keepLines/>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 xml:space="preserve">Question </w:t>
      </w:r>
      <w:r>
        <w:t>8</w:t>
      </w:r>
    </w:p>
    <w:p w14:paraId="1F212814" w14:textId="74220743" w:rsidR="009B1C32" w:rsidRPr="00B504E5" w:rsidRDefault="009B1C32" w:rsidP="00AC5FFE">
      <w:pPr>
        <w:pStyle w:val="Paragraph"/>
        <w:keepNext/>
        <w:keepLines/>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B504E5">
        <w:rPr>
          <w:szCs w:val="20"/>
        </w:rPr>
        <w:t>Are there any technical limitations for WBB AAS base station systems that would make compliance with a requirement to not scan or point the main beam above the horizon impracticable to implement?</w:t>
      </w:r>
    </w:p>
    <w:p w14:paraId="560B4036" w14:textId="77777777" w:rsidR="009B1C32" w:rsidRDefault="009B1C32" w:rsidP="006E56FB">
      <w:pPr>
        <w:pStyle w:val="Heading2"/>
        <w:spacing w:after="240"/>
        <w:ind w:right="992"/>
      </w:pPr>
      <w:bookmarkStart w:id="104" w:name="_Toc126917788"/>
      <w:r>
        <w:t>Aviation spectrum use questions</w:t>
      </w:r>
      <w:bookmarkEnd w:id="104"/>
    </w:p>
    <w:p w14:paraId="08AB3342"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 xml:space="preserve">Question </w:t>
      </w:r>
      <w:r>
        <w:t>9</w:t>
      </w:r>
    </w:p>
    <w:p w14:paraId="2ADA2413" w14:textId="77777777" w:rsidR="009B1C32" w:rsidRPr="00117498"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117498">
        <w:rPr>
          <w:szCs w:val="20"/>
        </w:rPr>
        <w:t>Given that the proposed interim mitigations were determined using a single take</w:t>
      </w:r>
      <w:r>
        <w:rPr>
          <w:szCs w:val="20"/>
        </w:rPr>
        <w:t>-</w:t>
      </w:r>
      <w:r w:rsidRPr="00117498">
        <w:rPr>
          <w:szCs w:val="20"/>
        </w:rPr>
        <w:t>off/landing scenario, what evidence is there for other critical scenarios (such as deviation from normal flight paths beyond the margin already applied to the glideslope angle) around airports that would require consideration? If there are such scenarios, based on the same methodologies currently used, what would the required zone shapes and sizes</w:t>
      </w:r>
      <w:r>
        <w:rPr>
          <w:szCs w:val="20"/>
        </w:rPr>
        <w:t xml:space="preserve"> be</w:t>
      </w:r>
      <w:r w:rsidRPr="00117498">
        <w:rPr>
          <w:szCs w:val="20"/>
        </w:rPr>
        <w:t>?</w:t>
      </w:r>
    </w:p>
    <w:p w14:paraId="0DA6B01E" w14:textId="77777777" w:rsidR="009B1C32" w:rsidRDefault="009B1C32" w:rsidP="006E56FB">
      <w:pPr>
        <w:spacing w:after="0"/>
        <w:ind w:right="992"/>
      </w:pPr>
    </w:p>
    <w:p w14:paraId="4EBF1FC0"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0</w:t>
      </w:r>
    </w:p>
    <w:p w14:paraId="1531F314" w14:textId="77777777" w:rsidR="009B1C32" w:rsidRPr="00E162C4"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DC31D2">
        <w:rPr>
          <w:sz w:val="22"/>
          <w:szCs w:val="22"/>
        </w:rPr>
        <w:t xml:space="preserve">What is a practicable and demonstrable timeframe for the </w:t>
      </w:r>
      <w:r w:rsidRPr="00981862">
        <w:rPr>
          <w:sz w:val="22"/>
          <w:szCs w:val="22"/>
        </w:rPr>
        <w:t>replacement</w:t>
      </w:r>
      <w:r w:rsidRPr="00981862">
        <w:rPr>
          <w:rStyle w:val="FootnoteReference"/>
          <w:sz w:val="22"/>
          <w:szCs w:val="22"/>
        </w:rPr>
        <w:footnoteReference w:id="39"/>
      </w:r>
      <w:r w:rsidRPr="00814111">
        <w:rPr>
          <w:sz w:val="22"/>
          <w:szCs w:val="22"/>
        </w:rPr>
        <w:t xml:space="preserve"> </w:t>
      </w:r>
      <w:r w:rsidRPr="00DC31D2">
        <w:rPr>
          <w:sz w:val="22"/>
          <w:szCs w:val="22"/>
        </w:rPr>
        <w:t>of the affected aircraft radio altimeters fleet to meet the proposed revised DO-155A/MOPS and the expected subsequent FAA technical standard order (TSO)</w:t>
      </w:r>
      <w:r>
        <w:rPr>
          <w:sz w:val="22"/>
          <w:szCs w:val="22"/>
        </w:rPr>
        <w:t>,</w:t>
      </w:r>
      <w:r w:rsidRPr="00DC31D2">
        <w:rPr>
          <w:sz w:val="22"/>
          <w:szCs w:val="22"/>
        </w:rPr>
        <w:t xml:space="preserve"> which would be expected to be adopted globally?</w:t>
      </w:r>
    </w:p>
    <w:p w14:paraId="3846F014" w14:textId="77777777" w:rsidR="009B1C32" w:rsidRDefault="009B1C32" w:rsidP="006E56FB">
      <w:pPr>
        <w:spacing w:after="0"/>
        <w:ind w:right="992"/>
      </w:pPr>
    </w:p>
    <w:p w14:paraId="1474F062"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1</w:t>
      </w:r>
    </w:p>
    <w:p w14:paraId="65368D28" w14:textId="77777777" w:rsidR="009B1C32" w:rsidRPr="00476542"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 xml:space="preserve">If the draft RTCA DO-399 is adopted to form the new DO-155A/MOPS standard, what evidence is there for any ongoing mitigations after a </w:t>
      </w:r>
      <w:r w:rsidRPr="00981862">
        <w:rPr>
          <w:szCs w:val="20"/>
        </w:rPr>
        <w:br/>
        <w:t>MOPS- based replacement and what should they be, based on similar methodologies to the ACMA methods?</w:t>
      </w:r>
    </w:p>
    <w:p w14:paraId="78D22227" w14:textId="77777777" w:rsidR="009B1C32" w:rsidRDefault="009B1C32" w:rsidP="006E56FB">
      <w:pPr>
        <w:spacing w:after="0"/>
        <w:ind w:right="992"/>
      </w:pPr>
    </w:p>
    <w:p w14:paraId="30751E37"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2</w:t>
      </w:r>
    </w:p>
    <w:p w14:paraId="1814FB20" w14:textId="77777777" w:rsidR="009B1C32" w:rsidRPr="00476542"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What are suggested processes for the consideration of adding new approaches to the identified runways list in areas where WBB has already been deployed, during the period of interim mitigations?</w:t>
      </w:r>
    </w:p>
    <w:p w14:paraId="77F2B79D" w14:textId="77777777" w:rsidR="009B1C32" w:rsidRPr="00433FEA" w:rsidRDefault="009B1C32" w:rsidP="006E56FB">
      <w:pPr>
        <w:pStyle w:val="Heading2"/>
        <w:spacing w:after="240"/>
        <w:ind w:right="992"/>
      </w:pPr>
      <w:bookmarkStart w:id="105" w:name="_Toc126917789"/>
      <w:r w:rsidRPr="00981862">
        <w:lastRenderedPageBreak/>
        <w:t>Interim radio altimeter retrofit questions, including cost implications</w:t>
      </w:r>
      <w:bookmarkEnd w:id="105"/>
    </w:p>
    <w:p w14:paraId="357AFCB2"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3</w:t>
      </w:r>
    </w:p>
    <w:p w14:paraId="4A3CF97A" w14:textId="4B8C7B9F" w:rsidR="009B1C32" w:rsidRPr="00476542"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What are the costs and operational implications to complete an interim retrofit of filters (or make other changes as necessary) to radio altimeters on affected aircraft operated in Australia by 31 March 2025?</w:t>
      </w:r>
      <w:r w:rsidRPr="00981862">
        <w:rPr>
          <w:szCs w:val="20"/>
        </w:rPr>
        <w:br/>
      </w:r>
      <w:r w:rsidRPr="00981862">
        <w:rPr>
          <w:szCs w:val="20"/>
        </w:rPr>
        <w:br/>
        <w:t xml:space="preserve">(This would be in a similar manner to the US interim retrofit to the performance level of a ‘radio altimeter tolerant airplane’, as described in the FAA </w:t>
      </w:r>
      <w:hyperlink r:id="rId99" w:history="1">
        <w:r w:rsidRPr="00981862">
          <w:rPr>
            <w:rStyle w:val="Hyperlink"/>
            <w:szCs w:val="20"/>
          </w:rPr>
          <w:t>proposed revised Airworthiness Directive</w:t>
        </w:r>
      </w:hyperlink>
      <w:r w:rsidRPr="00981862">
        <w:rPr>
          <w:szCs w:val="20"/>
        </w:rPr>
        <w:t>.)</w:t>
      </w:r>
    </w:p>
    <w:p w14:paraId="203B9BBB" w14:textId="77777777" w:rsidR="009B1C32" w:rsidRDefault="009B1C32" w:rsidP="006E56FB">
      <w:pPr>
        <w:spacing w:after="0"/>
        <w:ind w:right="992"/>
      </w:pPr>
    </w:p>
    <w:p w14:paraId="29D229AE"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4</w:t>
      </w:r>
    </w:p>
    <w:p w14:paraId="7E95BC64" w14:textId="77777777" w:rsidR="009B1C32" w:rsidRPr="00476542"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To support an answer to question 13, what evidence is there to determine the size of the Australian aircraft fleet required to undergo an interim retrofit?</w:t>
      </w:r>
    </w:p>
    <w:p w14:paraId="516953C5" w14:textId="77777777" w:rsidR="009B1C32" w:rsidRDefault="009B1C32" w:rsidP="006E56FB">
      <w:pPr>
        <w:spacing w:after="0"/>
        <w:ind w:right="992"/>
      </w:pPr>
    </w:p>
    <w:p w14:paraId="50BF87C1"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5</w:t>
      </w:r>
    </w:p>
    <w:p w14:paraId="5EC7D320" w14:textId="77777777" w:rsidR="009B1C32" w:rsidRPr="00476542"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What are your views of the costs referenced by the FAA in the proposed revised AD, if they were to be used to estimate costs for an interim retrofit for aircraft in Australia?</w:t>
      </w:r>
    </w:p>
    <w:p w14:paraId="32FB4E90" w14:textId="77777777" w:rsidR="009B1C32" w:rsidRDefault="009B1C32" w:rsidP="006E56FB">
      <w:pPr>
        <w:spacing w:after="0"/>
        <w:ind w:right="992"/>
      </w:pPr>
    </w:p>
    <w:p w14:paraId="6E01BF47"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6</w:t>
      </w:r>
    </w:p>
    <w:p w14:paraId="5414063F" w14:textId="0549768C" w:rsidR="009B1C32" w:rsidRPr="00476542"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rPr>
          <w:szCs w:val="20"/>
        </w:rPr>
      </w:pPr>
      <w:r w:rsidRPr="00981862">
        <w:rPr>
          <w:szCs w:val="20"/>
        </w:rPr>
        <w:t xml:space="preserve">What are the cost and operational implications for the aviation sector if the interim mitigation period is extended from the proposed 31 March 2025 date? </w:t>
      </w:r>
      <w:r w:rsidRPr="00981862">
        <w:rPr>
          <w:szCs w:val="20"/>
        </w:rPr>
        <w:br/>
      </w:r>
      <w:r w:rsidRPr="00981862">
        <w:rPr>
          <w:szCs w:val="20"/>
        </w:rPr>
        <w:br/>
        <w:t xml:space="preserve">(Data on a possible yearly extension </w:t>
      </w:r>
      <w:r w:rsidR="00341974">
        <w:rPr>
          <w:szCs w:val="20"/>
        </w:rPr>
        <w:t xml:space="preserve">of the end of interim mitigations </w:t>
      </w:r>
      <w:r w:rsidRPr="00981862">
        <w:rPr>
          <w:szCs w:val="20"/>
        </w:rPr>
        <w:t xml:space="preserve">is </w:t>
      </w:r>
      <w:r w:rsidR="00341974">
        <w:rPr>
          <w:szCs w:val="20"/>
        </w:rPr>
        <w:t>also</w:t>
      </w:r>
      <w:r w:rsidRPr="00981862">
        <w:rPr>
          <w:szCs w:val="20"/>
        </w:rPr>
        <w:t xml:space="preserve"> requested; i.e., </w:t>
      </w:r>
      <w:r w:rsidR="00F14202">
        <w:rPr>
          <w:szCs w:val="20"/>
        </w:rPr>
        <w:t xml:space="preserve">separate cost and operational implications also provided for </w:t>
      </w:r>
      <w:r w:rsidRPr="00981862">
        <w:rPr>
          <w:szCs w:val="20"/>
        </w:rPr>
        <w:t>31</w:t>
      </w:r>
      <w:r w:rsidRPr="00981862" w:rsidDel="00C41112">
        <w:rPr>
          <w:szCs w:val="20"/>
        </w:rPr>
        <w:t xml:space="preserve"> </w:t>
      </w:r>
      <w:r w:rsidRPr="00981862">
        <w:rPr>
          <w:szCs w:val="20"/>
        </w:rPr>
        <w:t>March 2026, 2027, etc</w:t>
      </w:r>
      <w:r w:rsidR="00613F27">
        <w:rPr>
          <w:szCs w:val="20"/>
        </w:rPr>
        <w:t xml:space="preserve"> </w:t>
      </w:r>
      <w:r w:rsidR="006E56FB">
        <w:rPr>
          <w:szCs w:val="20"/>
        </w:rPr>
        <w:t xml:space="preserve">– </w:t>
      </w:r>
      <w:r w:rsidR="00613F27">
        <w:rPr>
          <w:szCs w:val="20"/>
        </w:rPr>
        <w:t>interim mitigation end dat</w:t>
      </w:r>
      <w:r w:rsidR="00EB24DC">
        <w:rPr>
          <w:szCs w:val="20"/>
        </w:rPr>
        <w:t>es</w:t>
      </w:r>
      <w:r w:rsidRPr="00981862">
        <w:rPr>
          <w:szCs w:val="20"/>
        </w:rPr>
        <w:t>).</w:t>
      </w:r>
    </w:p>
    <w:p w14:paraId="1F4077AE" w14:textId="77777777" w:rsidR="009B1C32" w:rsidRDefault="009B1C32" w:rsidP="006E56FB">
      <w:pPr>
        <w:spacing w:after="0"/>
        <w:ind w:right="992"/>
      </w:pPr>
    </w:p>
    <w:p w14:paraId="073C0B0E" w14:textId="77777777" w:rsidR="009B1C32" w:rsidRPr="00E162C4" w:rsidRDefault="009B1C32" w:rsidP="006E56FB">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E162C4">
        <w:t>Question 1</w:t>
      </w:r>
      <w:r>
        <w:t>7</w:t>
      </w:r>
    </w:p>
    <w:p w14:paraId="7FA85CF4" w14:textId="173C1A8A" w:rsidR="00FF3C69" w:rsidRPr="00E162C4" w:rsidRDefault="009B1C32" w:rsidP="006E56FB">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ind w:right="992"/>
      </w:pPr>
      <w:r w:rsidRPr="00981862">
        <w:rPr>
          <w:szCs w:val="20"/>
        </w:rPr>
        <w:t xml:space="preserve">What are the expected impacts on WBB deployment plans, costs and business cases if interim mitigations cease on 31 March 2025? What are they if the interim mitigations period is extended? </w:t>
      </w:r>
      <w:r w:rsidRPr="00981862">
        <w:rPr>
          <w:szCs w:val="20"/>
        </w:rPr>
        <w:br/>
      </w:r>
      <w:r w:rsidRPr="00981862">
        <w:rPr>
          <w:szCs w:val="20"/>
        </w:rPr>
        <w:br/>
        <w:t xml:space="preserve">(Data on a possible yearly extension </w:t>
      </w:r>
      <w:r w:rsidR="00077B2A">
        <w:rPr>
          <w:szCs w:val="20"/>
        </w:rPr>
        <w:t xml:space="preserve">of the end of interim mitigations </w:t>
      </w:r>
      <w:r w:rsidR="00077B2A" w:rsidRPr="00981862">
        <w:rPr>
          <w:szCs w:val="20"/>
        </w:rPr>
        <w:t xml:space="preserve">is </w:t>
      </w:r>
      <w:r w:rsidR="00077B2A">
        <w:rPr>
          <w:szCs w:val="20"/>
        </w:rPr>
        <w:t xml:space="preserve">also </w:t>
      </w:r>
      <w:r w:rsidR="00077B2A" w:rsidRPr="00981862">
        <w:rPr>
          <w:szCs w:val="20"/>
        </w:rPr>
        <w:t xml:space="preserve">requested; i.e., </w:t>
      </w:r>
      <w:r w:rsidR="00077B2A">
        <w:rPr>
          <w:szCs w:val="20"/>
        </w:rPr>
        <w:t xml:space="preserve">separate </w:t>
      </w:r>
      <w:r w:rsidR="00077B2A" w:rsidRPr="00981862">
        <w:rPr>
          <w:szCs w:val="20"/>
        </w:rPr>
        <w:t xml:space="preserve">impacts on WBB deployment plans, costs and business cases </w:t>
      </w:r>
      <w:r w:rsidR="00077B2A">
        <w:rPr>
          <w:szCs w:val="20"/>
        </w:rPr>
        <w:t xml:space="preserve">also provided for </w:t>
      </w:r>
      <w:r w:rsidR="00077B2A" w:rsidRPr="00981862">
        <w:rPr>
          <w:szCs w:val="20"/>
        </w:rPr>
        <w:t>31</w:t>
      </w:r>
      <w:r w:rsidR="00077B2A" w:rsidRPr="00981862" w:rsidDel="00C41112">
        <w:rPr>
          <w:szCs w:val="20"/>
        </w:rPr>
        <w:t xml:space="preserve"> </w:t>
      </w:r>
      <w:r w:rsidR="00077B2A" w:rsidRPr="00981862">
        <w:rPr>
          <w:szCs w:val="20"/>
        </w:rPr>
        <w:t>March 2026, 2027, etc</w:t>
      </w:r>
      <w:r w:rsidR="00077B2A">
        <w:rPr>
          <w:szCs w:val="20"/>
        </w:rPr>
        <w:t xml:space="preserve"> </w:t>
      </w:r>
      <w:r w:rsidR="006E56FB">
        <w:rPr>
          <w:szCs w:val="20"/>
        </w:rPr>
        <w:t xml:space="preserve">– </w:t>
      </w:r>
      <w:r w:rsidR="00077B2A">
        <w:rPr>
          <w:szCs w:val="20"/>
        </w:rPr>
        <w:t>interim mitigation end dates</w:t>
      </w:r>
      <w:r w:rsidR="00077B2A" w:rsidRPr="00981862">
        <w:rPr>
          <w:szCs w:val="20"/>
        </w:rPr>
        <w:t>).</w:t>
      </w:r>
      <w:r w:rsidR="00077B2A" w:rsidRPr="00981862" w:rsidDel="00077B2A">
        <w:rPr>
          <w:szCs w:val="20"/>
        </w:rPr>
        <w:t xml:space="preserve"> </w:t>
      </w:r>
    </w:p>
    <w:sectPr w:rsidR="00FF3C69" w:rsidRPr="00E162C4" w:rsidSect="00DB1393">
      <w:pgSz w:w="11906" w:h="16838" w:code="9"/>
      <w:pgMar w:top="1945" w:right="2125"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72D98" w14:textId="77777777" w:rsidR="00E6695B" w:rsidRDefault="00E6695B">
      <w:r>
        <w:separator/>
      </w:r>
    </w:p>
  </w:endnote>
  <w:endnote w:type="continuationSeparator" w:id="0">
    <w:p w14:paraId="054D87F7" w14:textId="77777777" w:rsidR="00E6695B" w:rsidRDefault="00E6695B">
      <w:r>
        <w:continuationSeparator/>
      </w:r>
    </w:p>
  </w:endnote>
  <w:endnote w:type="continuationNotice" w:id="1">
    <w:p w14:paraId="7F50A078" w14:textId="77777777" w:rsidR="00E6695B" w:rsidRDefault="00E669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Montserrat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60"/>
      <w:gridCol w:w="3260"/>
      <w:gridCol w:w="3260"/>
    </w:tblGrid>
    <w:tr w:rsidR="034A6DC3" w14:paraId="3125BA29" w14:textId="77777777" w:rsidTr="00AC5FFE">
      <w:trPr>
        <w:trHeight w:val="300"/>
      </w:trPr>
      <w:tc>
        <w:tcPr>
          <w:tcW w:w="3260" w:type="dxa"/>
        </w:tcPr>
        <w:p w14:paraId="16257FF6" w14:textId="6915049C" w:rsidR="034A6DC3" w:rsidRDefault="034A6DC3" w:rsidP="00AC5FFE">
          <w:pPr>
            <w:pStyle w:val="Header"/>
            <w:ind w:left="-115"/>
          </w:pPr>
        </w:p>
      </w:tc>
      <w:tc>
        <w:tcPr>
          <w:tcW w:w="3260" w:type="dxa"/>
        </w:tcPr>
        <w:p w14:paraId="25A5E02E" w14:textId="0D8B87E5" w:rsidR="034A6DC3" w:rsidRDefault="034A6DC3" w:rsidP="00AC5FFE">
          <w:pPr>
            <w:pStyle w:val="Header"/>
            <w:jc w:val="center"/>
          </w:pPr>
        </w:p>
      </w:tc>
      <w:tc>
        <w:tcPr>
          <w:tcW w:w="3260" w:type="dxa"/>
        </w:tcPr>
        <w:p w14:paraId="01AD7710" w14:textId="3272B470" w:rsidR="034A6DC3" w:rsidRDefault="034A6DC3" w:rsidP="00AC5FFE">
          <w:pPr>
            <w:pStyle w:val="Header"/>
            <w:ind w:right="-115"/>
            <w:jc w:val="right"/>
          </w:pPr>
        </w:p>
      </w:tc>
    </w:tr>
  </w:tbl>
  <w:p w14:paraId="65E2167F" w14:textId="121A5140" w:rsidR="00AA36DA" w:rsidRDefault="00AA36D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99E56" w14:textId="211056BE"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FC4B89">
      <w:rPr>
        <w:noProof/>
        <w:color w:val="505050"/>
      </w:rPr>
      <w:t>1</w:t>
    </w:r>
    <w:r w:rsidRPr="00575AC5">
      <w:rPr>
        <w:color w:val="505050"/>
      </w:rPr>
      <w:fldChar w:fldCharType="end"/>
    </w:r>
  </w:p>
  <w:p w14:paraId="3D3C088F" w14:textId="77777777" w:rsidR="00C053A1" w:rsidRPr="00A5474E" w:rsidRDefault="00C053A1" w:rsidP="00A54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CD3B4" w14:textId="77777777" w:rsidR="005E250B" w:rsidRDefault="005E250B" w:rsidP="005E250B">
    <w:pPr>
      <w:pStyle w:val="Footer"/>
      <w:jc w:val="right"/>
    </w:pPr>
    <w:r w:rsidRPr="005E250B">
      <w:rPr>
        <w:noProof/>
        <w:vertAlign w:val="subscript"/>
      </w:rPr>
      <w:drawing>
        <wp:inline distT="0" distB="0" distL="0" distR="0" wp14:anchorId="3C2D84D1" wp14:editId="394D14E7">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141D4" w14:textId="77777777" w:rsidR="00FC4B89" w:rsidRDefault="00FC4B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3609" w14:textId="77777777" w:rsidR="00C053A1" w:rsidRDefault="00C05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F3D6" w14:textId="77777777" w:rsidR="00C053A1" w:rsidRDefault="00C053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6ACD" w14:textId="4B056FC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FC4B89">
      <w:rPr>
        <w:noProof/>
        <w:color w:val="505050"/>
      </w:rPr>
      <w:t>iv</w:t>
    </w:r>
    <w:r w:rsidRPr="002E4DDC">
      <w:rPr>
        <w:color w:val="505050"/>
      </w:rPr>
      <w:fldChar w:fldCharType="end"/>
    </w:r>
  </w:p>
  <w:p w14:paraId="0C093B47"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E86B4"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4972747E"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741C9" w14:textId="0F5F6E85"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FC4B89">
      <w:rPr>
        <w:noProof/>
        <w:color w:val="505050"/>
      </w:rPr>
      <w:t>iii</w:t>
    </w:r>
    <w:r w:rsidRPr="002E4DDC">
      <w:rPr>
        <w:color w:val="505050"/>
      </w:rPr>
      <w:fldChar w:fldCharType="end"/>
    </w:r>
  </w:p>
  <w:p w14:paraId="51539748" w14:textId="77777777" w:rsidR="00C053A1" w:rsidRPr="00A5474E" w:rsidRDefault="00C053A1"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5ADBD" w14:textId="71B9F077" w:rsidR="00C053A1" w:rsidRPr="00622A3B" w:rsidRDefault="00C053A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FC4B89">
      <w:rPr>
        <w:noProof/>
      </w:rPr>
      <w:t>2</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0D3711DE" w14:textId="77777777" w:rsidR="00C053A1" w:rsidRPr="00A5474E" w:rsidRDefault="00C053A1"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5A3E8" w14:textId="77777777" w:rsidR="00E6695B" w:rsidRDefault="00E6695B" w:rsidP="00EA0969">
      <w:pPr>
        <w:spacing w:after="0"/>
      </w:pPr>
      <w:r>
        <w:separator/>
      </w:r>
    </w:p>
  </w:footnote>
  <w:footnote w:type="continuationSeparator" w:id="0">
    <w:p w14:paraId="15E9AC50" w14:textId="77777777" w:rsidR="00E6695B" w:rsidRDefault="00E6695B">
      <w:r>
        <w:continuationSeparator/>
      </w:r>
    </w:p>
  </w:footnote>
  <w:footnote w:type="continuationNotice" w:id="1">
    <w:p w14:paraId="2C84BB16" w14:textId="77777777" w:rsidR="00E6695B" w:rsidRDefault="00E6695B">
      <w:pPr>
        <w:spacing w:after="0" w:line="240" w:lineRule="auto"/>
      </w:pPr>
    </w:p>
  </w:footnote>
  <w:footnote w:id="2">
    <w:p w14:paraId="7C64DA6A" w14:textId="49E77411" w:rsidR="00B1197F" w:rsidRDefault="00B1197F" w:rsidP="003545EE">
      <w:pPr>
        <w:pStyle w:val="FootnoteText"/>
        <w:ind w:right="992"/>
      </w:pPr>
      <w:r>
        <w:rPr>
          <w:rStyle w:val="FootnoteReference"/>
        </w:rPr>
        <w:footnoteRef/>
      </w:r>
      <w:r>
        <w:t xml:space="preserve"> This coexistence scenario is also relevant to </w:t>
      </w:r>
      <w:hyperlink r:id="rId1" w:history="1">
        <w:r>
          <w:t xml:space="preserve">other allocation processes </w:t>
        </w:r>
        <w:r w:rsidRPr="79486142">
          <w:rPr>
            <w:rStyle w:val="Hyperlink"/>
          </w:rPr>
          <w:t>in the broader 3.4</w:t>
        </w:r>
        <w:r w:rsidR="00571092">
          <w:rPr>
            <w:rStyle w:val="Hyperlink"/>
          </w:rPr>
          <w:t>–</w:t>
        </w:r>
        <w:r w:rsidRPr="79486142">
          <w:rPr>
            <w:rStyle w:val="Hyperlink"/>
          </w:rPr>
          <w:t>4.0 GHz band</w:t>
        </w:r>
      </w:hyperlink>
      <w:r>
        <w:t xml:space="preserve"> that the ACMA is undertaking</w:t>
      </w:r>
      <w:r w:rsidRPr="00273334">
        <w:t xml:space="preserve"> </w:t>
      </w:r>
      <w:r>
        <w:t>and comments in this section are applicable to all technical frameworks.</w:t>
      </w:r>
    </w:p>
  </w:footnote>
  <w:footnote w:id="3">
    <w:p w14:paraId="45EB5304" w14:textId="2B53618D" w:rsidR="005E0723" w:rsidRDefault="005E0723">
      <w:pPr>
        <w:pStyle w:val="FootnoteText"/>
      </w:pPr>
      <w:r>
        <w:rPr>
          <w:rStyle w:val="FootnoteReference"/>
        </w:rPr>
        <w:footnoteRef/>
      </w:r>
      <w:r>
        <w:t xml:space="preserve"> While there is no radiodetermination service allocation in the band, several radiodetermination licences have been issued in accordance with </w:t>
      </w:r>
      <w:r w:rsidR="00223E02">
        <w:t>sub</w:t>
      </w:r>
      <w:r>
        <w:t>section 10(7) of the Australian Radiofrequency Spectrum Plan 2021 (or its predecessor instruments).</w:t>
      </w:r>
    </w:p>
  </w:footnote>
  <w:footnote w:id="4">
    <w:p w14:paraId="52BCC991" w14:textId="30124856" w:rsidR="00FC309B" w:rsidRPr="005A2106" w:rsidRDefault="00FC309B" w:rsidP="00FC309B">
      <w:pPr>
        <w:pStyle w:val="FootnoteText"/>
      </w:pPr>
      <w:r>
        <w:rPr>
          <w:rStyle w:val="FootnoteReference"/>
        </w:rPr>
        <w:footnoteRef/>
      </w:r>
      <w:r>
        <w:t xml:space="preserve"> For these purposes, the draft marketing plan refers to </w:t>
      </w:r>
      <w:r w:rsidR="00944835">
        <w:t>2</w:t>
      </w:r>
      <w:r>
        <w:t xml:space="preserve"> legislative instruments that, at the time this paper was published, ha</w:t>
      </w:r>
      <w:r w:rsidR="00944835">
        <w:t>d</w:t>
      </w:r>
      <w:r>
        <w:t xml:space="preserve"> not yet been made: the </w:t>
      </w:r>
      <w:r w:rsidRPr="00944835">
        <w:t>Radiocommunications (Australian Radio Quiet Zone Western Australia) Frequency Band Plan 2023</w:t>
      </w:r>
      <w:r>
        <w:t xml:space="preserve"> and the </w:t>
      </w:r>
      <w:r w:rsidRPr="00944835">
        <w:t>Radiocommunications (Trading Rules for Spectrum Licences) Determination 2023</w:t>
      </w:r>
      <w:r>
        <w:t>.</w:t>
      </w:r>
    </w:p>
  </w:footnote>
  <w:footnote w:id="5">
    <w:p w14:paraId="07519E2D" w14:textId="77777777" w:rsidR="00142565" w:rsidRDefault="00142565" w:rsidP="00142565">
      <w:pPr>
        <w:pStyle w:val="FootnoteText"/>
      </w:pPr>
      <w:r>
        <w:rPr>
          <w:rStyle w:val="FootnoteReference"/>
        </w:rPr>
        <w:footnoteRef/>
      </w:r>
      <w:r>
        <w:t xml:space="preserve"> The ACMA may make rules about third-party use of spectrum licences under section 68 of the Act.</w:t>
      </w:r>
    </w:p>
  </w:footnote>
  <w:footnote w:id="6">
    <w:p w14:paraId="612DC7C9" w14:textId="77777777" w:rsidR="00142565" w:rsidRDefault="00142565" w:rsidP="00142565">
      <w:pPr>
        <w:pStyle w:val="FootnoteText"/>
      </w:pPr>
      <w:r>
        <w:rPr>
          <w:rStyle w:val="FootnoteReference"/>
        </w:rPr>
        <w:footnoteRef/>
      </w:r>
      <w:r>
        <w:t xml:space="preserve"> Under section 69 of the Act, a spectrum licence must include a condition that transmitters not be operated under the licence unless the requirements of Part 3.5 of the Act (relating to registration of devices) have been met.</w:t>
      </w:r>
    </w:p>
  </w:footnote>
  <w:footnote w:id="7">
    <w:p w14:paraId="55B63A06" w14:textId="25622A61" w:rsidR="00FD13DD" w:rsidRDefault="00FD13DD">
      <w:pPr>
        <w:pStyle w:val="FootnoteText"/>
      </w:pPr>
      <w:r>
        <w:rPr>
          <w:rStyle w:val="FootnoteReference"/>
        </w:rPr>
        <w:footnoteRef/>
      </w:r>
      <w:r>
        <w:t xml:space="preserve"> </w:t>
      </w:r>
      <w:r w:rsidR="00834E0F">
        <w:t>S</w:t>
      </w:r>
      <w:r>
        <w:t>ubsection 65A(1) of the Act</w:t>
      </w:r>
      <w:r w:rsidR="00225000">
        <w:t>.</w:t>
      </w:r>
    </w:p>
  </w:footnote>
  <w:footnote w:id="8">
    <w:p w14:paraId="66E07A0E" w14:textId="23D66912" w:rsidR="005C5358" w:rsidRDefault="005C5358" w:rsidP="005C5358">
      <w:pPr>
        <w:pStyle w:val="FootnoteText"/>
      </w:pPr>
      <w:r>
        <w:rPr>
          <w:rStyle w:val="FootnoteReference"/>
        </w:rPr>
        <w:footnoteRef/>
      </w:r>
      <w:r>
        <w:t xml:space="preserve"> </w:t>
      </w:r>
      <w:r w:rsidR="00834E0F">
        <w:t>S</w:t>
      </w:r>
      <w:r>
        <w:t>ubsection 65A(1</w:t>
      </w:r>
      <w:r w:rsidR="00C753CA">
        <w:t>0</w:t>
      </w:r>
      <w:r>
        <w:t>) of the Act</w:t>
      </w:r>
      <w:r w:rsidR="00225000">
        <w:t>.</w:t>
      </w:r>
    </w:p>
  </w:footnote>
  <w:footnote w:id="9">
    <w:p w14:paraId="4CB7564F" w14:textId="290D835A" w:rsidR="005C5358" w:rsidRDefault="005C5358" w:rsidP="005C5358">
      <w:pPr>
        <w:pStyle w:val="FootnoteText"/>
      </w:pPr>
      <w:r>
        <w:rPr>
          <w:rStyle w:val="FootnoteReference"/>
        </w:rPr>
        <w:footnoteRef/>
      </w:r>
      <w:r>
        <w:t xml:space="preserve"> </w:t>
      </w:r>
      <w:r w:rsidR="00834E0F">
        <w:t>S</w:t>
      </w:r>
      <w:r>
        <w:t>ubsection 65A(13) of the Act</w:t>
      </w:r>
      <w:r w:rsidR="00225000">
        <w:t>.</w:t>
      </w:r>
    </w:p>
  </w:footnote>
  <w:footnote w:id="10">
    <w:p w14:paraId="577841DC" w14:textId="22A57D39" w:rsidR="00834E0F" w:rsidRDefault="00834E0F">
      <w:pPr>
        <w:pStyle w:val="FootnoteText"/>
      </w:pPr>
      <w:r>
        <w:rPr>
          <w:rStyle w:val="FootnoteReference"/>
        </w:rPr>
        <w:footnoteRef/>
      </w:r>
      <w:r>
        <w:t xml:space="preserve"> </w:t>
      </w:r>
      <w:r w:rsidR="00193CD4">
        <w:t>Subsection 77A(3) of the Act</w:t>
      </w:r>
      <w:r w:rsidR="00225000">
        <w:t>.</w:t>
      </w:r>
    </w:p>
  </w:footnote>
  <w:footnote w:id="11">
    <w:p w14:paraId="3076EBC4" w14:textId="1C8EBC6C" w:rsidR="005C5358" w:rsidRDefault="005C5358" w:rsidP="005C5358">
      <w:pPr>
        <w:pStyle w:val="FootnoteText"/>
      </w:pPr>
      <w:r>
        <w:rPr>
          <w:rStyle w:val="FootnoteReference"/>
        </w:rPr>
        <w:footnoteRef/>
      </w:r>
      <w:r>
        <w:t xml:space="preserve"> </w:t>
      </w:r>
      <w:r w:rsidR="009A21CB">
        <w:t>S</w:t>
      </w:r>
      <w:r>
        <w:t>ubsection 65A(15) of the Act</w:t>
      </w:r>
      <w:r w:rsidR="000D417F">
        <w:t>.</w:t>
      </w:r>
    </w:p>
  </w:footnote>
  <w:footnote w:id="12">
    <w:p w14:paraId="6C1A6B45" w14:textId="77777777" w:rsidR="005C5358" w:rsidRDefault="005C5358" w:rsidP="005C5358">
      <w:pPr>
        <w:pStyle w:val="FootnoteText"/>
      </w:pPr>
      <w:r>
        <w:rPr>
          <w:rStyle w:val="FootnoteReference"/>
        </w:rPr>
        <w:footnoteRef/>
      </w:r>
      <w:r>
        <w:t xml:space="preserve"> See section 77B of the Act as amended.</w:t>
      </w:r>
    </w:p>
  </w:footnote>
  <w:footnote w:id="13">
    <w:p w14:paraId="32BE63D1" w14:textId="1191658E" w:rsidR="001A1AB8" w:rsidRDefault="001A1AB8">
      <w:pPr>
        <w:pStyle w:val="FootnoteText"/>
      </w:pPr>
      <w:r>
        <w:rPr>
          <w:rStyle w:val="FootnoteReference"/>
        </w:rPr>
        <w:footnoteRef/>
      </w:r>
      <w:r>
        <w:t xml:space="preserve"> Subsection 286(6) of the Act</w:t>
      </w:r>
      <w:r w:rsidR="00225000">
        <w:t>.</w:t>
      </w:r>
    </w:p>
  </w:footnote>
  <w:footnote w:id="14">
    <w:p w14:paraId="2658CA10" w14:textId="5FCF1494" w:rsidR="00E958F3" w:rsidRDefault="00E958F3">
      <w:pPr>
        <w:pStyle w:val="FootnoteText"/>
      </w:pPr>
      <w:r>
        <w:rPr>
          <w:rStyle w:val="FootnoteReference"/>
        </w:rPr>
        <w:footnoteRef/>
      </w:r>
      <w:r>
        <w:t xml:space="preserve"> Subsection</w:t>
      </w:r>
      <w:r w:rsidR="00F75536">
        <w:t>s</w:t>
      </w:r>
      <w:r>
        <w:t xml:space="preserve"> 65A(17) </w:t>
      </w:r>
      <w:r w:rsidR="00F75536">
        <w:t xml:space="preserve">and 77C(6) </w:t>
      </w:r>
      <w:r>
        <w:t>of the Act</w:t>
      </w:r>
      <w:r w:rsidR="00225000">
        <w:t>.</w:t>
      </w:r>
    </w:p>
  </w:footnote>
  <w:footnote w:id="15">
    <w:p w14:paraId="1EFB922F" w14:textId="19C38779" w:rsidR="00B008FC" w:rsidRDefault="00B008FC">
      <w:pPr>
        <w:pStyle w:val="FootnoteText"/>
      </w:pPr>
      <w:r>
        <w:rPr>
          <w:rStyle w:val="FootnoteReference"/>
        </w:rPr>
        <w:footnoteRef/>
      </w:r>
      <w:r>
        <w:t xml:space="preserve"> Subsection 77C(5) of the Act</w:t>
      </w:r>
      <w:r w:rsidR="00225000">
        <w:t>.</w:t>
      </w:r>
    </w:p>
  </w:footnote>
  <w:footnote w:id="16">
    <w:p w14:paraId="0743527D" w14:textId="15F4D76D" w:rsidR="00A673C2" w:rsidRPr="00FB3EA1" w:rsidRDefault="00A673C2">
      <w:pPr>
        <w:pStyle w:val="FootnoteText"/>
        <w:rPr>
          <w:i/>
          <w:iCs/>
        </w:rPr>
      </w:pPr>
      <w:r>
        <w:rPr>
          <w:rStyle w:val="FootnoteReference"/>
        </w:rPr>
        <w:footnoteRef/>
      </w:r>
      <w:r>
        <w:t xml:space="preserve"> These geographic areas are defined</w:t>
      </w:r>
      <w:r w:rsidR="00FB3EA1">
        <w:t xml:space="preserve"> in our consultation paper </w:t>
      </w:r>
      <w:hyperlink r:id="rId2" w:history="1">
        <w:r w:rsidR="00FB3EA1" w:rsidRPr="00FB3EA1">
          <w:rPr>
            <w:rStyle w:val="Hyperlink"/>
            <w:i/>
            <w:iCs/>
          </w:rPr>
          <w:t>Proposed spectrum re-allocation declaration for 3.4 GHz and 3.7 GHz bands</w:t>
        </w:r>
      </w:hyperlink>
      <w:r w:rsidR="00FB3EA1">
        <w:rPr>
          <w:i/>
          <w:iCs/>
        </w:rPr>
        <w:t>.</w:t>
      </w:r>
    </w:p>
  </w:footnote>
  <w:footnote w:id="17">
    <w:p w14:paraId="282D77EA" w14:textId="4BB4C271" w:rsidR="0051652F" w:rsidRDefault="0051652F" w:rsidP="003545EE">
      <w:pPr>
        <w:pStyle w:val="FootnoteText"/>
        <w:ind w:right="992"/>
      </w:pPr>
      <w:r>
        <w:rPr>
          <w:rStyle w:val="FootnoteReference"/>
        </w:rPr>
        <w:footnoteRef/>
      </w:r>
      <w:r>
        <w:t xml:space="preserve"> </w:t>
      </w:r>
      <w:r w:rsidRPr="0051652F">
        <w:t>‘Utility loss zones’ occur where there are restrictions on deploying systems near geographic boundaries, due to technical sharing constraints for spectrum licensing. Restricted deployment along geographic boundaries affects the utility of the spectrum and the provision of services for the population within those areas.</w:t>
      </w:r>
    </w:p>
  </w:footnote>
  <w:footnote w:id="18">
    <w:p w14:paraId="2D39471E" w14:textId="531EB4F5" w:rsidR="00D56FE1" w:rsidRDefault="00D56FE1" w:rsidP="003545EE">
      <w:pPr>
        <w:pStyle w:val="FootnoteText"/>
        <w:ind w:right="992"/>
      </w:pPr>
      <w:r>
        <w:rPr>
          <w:rStyle w:val="FootnoteReference"/>
        </w:rPr>
        <w:footnoteRef/>
      </w:r>
      <w:r>
        <w:t xml:space="preserve"> </w:t>
      </w:r>
      <w:r w:rsidR="00AF246B">
        <w:t>The policy environment in which we are conducting this allocation is outlined in more detail under the ‘Legislative context and policy environment’ section of this paper.</w:t>
      </w:r>
    </w:p>
  </w:footnote>
  <w:footnote w:id="19">
    <w:p w14:paraId="7F5CE3AB" w14:textId="5C10F358" w:rsidR="00EE7620" w:rsidRDefault="00EE7620" w:rsidP="003545EE">
      <w:pPr>
        <w:pStyle w:val="FootnoteText"/>
        <w:ind w:right="992"/>
      </w:pPr>
      <w:r>
        <w:rPr>
          <w:rStyle w:val="FootnoteReference"/>
        </w:rPr>
        <w:footnoteRef/>
      </w:r>
      <w:r>
        <w:t xml:space="preserve"> </w:t>
      </w:r>
      <w:r w:rsidR="00AF246B" w:rsidRPr="00A1548D">
        <w:t>Pursuant to subsection 60(13A) of the Act, the ACMA must consult the ACCC about whether allocation limits should be implemented, and if so, the nature of those limits.</w:t>
      </w:r>
    </w:p>
  </w:footnote>
  <w:footnote w:id="20">
    <w:p w14:paraId="4F0548EE" w14:textId="77777777" w:rsidR="00044F9F" w:rsidRDefault="00044F9F" w:rsidP="003545EE">
      <w:pPr>
        <w:pStyle w:val="FootnoteText"/>
        <w:ind w:right="992"/>
      </w:pPr>
      <w:r>
        <w:rPr>
          <w:rStyle w:val="FootnoteReference"/>
        </w:rPr>
        <w:footnoteRef/>
      </w:r>
      <w:r>
        <w:t xml:space="preserve"> ACCC advice, p. 6.</w:t>
      </w:r>
    </w:p>
  </w:footnote>
  <w:footnote w:id="21">
    <w:p w14:paraId="28EBE3BB" w14:textId="05BE08DE" w:rsidR="00136237" w:rsidRDefault="00136237" w:rsidP="003545EE">
      <w:pPr>
        <w:pStyle w:val="FootnoteText"/>
        <w:ind w:right="992"/>
      </w:pPr>
      <w:r>
        <w:rPr>
          <w:rStyle w:val="FootnoteReference"/>
        </w:rPr>
        <w:footnoteRef/>
      </w:r>
      <w:r>
        <w:t xml:space="preserve"> </w:t>
      </w:r>
      <w:r w:rsidR="0022072C">
        <w:t>ACCC advice, p. 3.</w:t>
      </w:r>
    </w:p>
  </w:footnote>
  <w:footnote w:id="22">
    <w:p w14:paraId="129F5931" w14:textId="14E76F55" w:rsidR="00136237" w:rsidRDefault="00136237" w:rsidP="003545EE">
      <w:pPr>
        <w:pStyle w:val="FootnoteText"/>
        <w:ind w:right="992"/>
      </w:pPr>
      <w:r>
        <w:rPr>
          <w:rStyle w:val="FootnoteReference"/>
        </w:rPr>
        <w:footnoteRef/>
      </w:r>
      <w:r w:rsidR="00707527">
        <w:t xml:space="preserve"> ACCC advice, p. 17.</w:t>
      </w:r>
    </w:p>
  </w:footnote>
  <w:footnote w:id="23">
    <w:p w14:paraId="221A9522" w14:textId="2902C3E3" w:rsidR="00D95F90" w:rsidRDefault="00D95F90">
      <w:pPr>
        <w:pStyle w:val="FootnoteText"/>
      </w:pPr>
      <w:r>
        <w:rPr>
          <w:rStyle w:val="FootnoteReference"/>
        </w:rPr>
        <w:footnoteRef/>
      </w:r>
      <w:r w:rsidR="00FF4770">
        <w:t xml:space="preserve"> ACCC advice, p. 17.</w:t>
      </w:r>
    </w:p>
  </w:footnote>
  <w:footnote w:id="24">
    <w:p w14:paraId="2833E824" w14:textId="5359D7B4" w:rsidR="00BE3964" w:rsidRDefault="00BE3964">
      <w:pPr>
        <w:pStyle w:val="FootnoteText"/>
      </w:pPr>
      <w:r>
        <w:rPr>
          <w:rStyle w:val="FootnoteReference"/>
        </w:rPr>
        <w:footnoteRef/>
      </w:r>
      <w:r>
        <w:t xml:space="preserve"> ACCC advice, p. 17.</w:t>
      </w:r>
    </w:p>
  </w:footnote>
  <w:footnote w:id="25">
    <w:p w14:paraId="49E99F20" w14:textId="16D65BD1" w:rsidR="00CA792E" w:rsidRDefault="00CA792E" w:rsidP="00CA792E">
      <w:pPr>
        <w:pStyle w:val="FootnoteText"/>
        <w:ind w:right="992"/>
      </w:pPr>
      <w:r>
        <w:rPr>
          <w:rStyle w:val="FootnoteReference"/>
        </w:rPr>
        <w:footnoteRef/>
      </w:r>
      <w:r>
        <w:t xml:space="preserve"> We note that spectrum-licensed holdings in the 3.4</w:t>
      </w:r>
      <w:r w:rsidR="001726ED">
        <w:t>–</w:t>
      </w:r>
      <w:r>
        <w:t>3.8 GHz frequency range are equivalent to those in the 3.4</w:t>
      </w:r>
      <w:r w:rsidR="001726ED">
        <w:t>–</w:t>
      </w:r>
      <w:r>
        <w:t>4.0 GHz frequency range as there are no spectrum-licensed holdings in the 3.8</w:t>
      </w:r>
      <w:r w:rsidR="001726ED">
        <w:t>–</w:t>
      </w:r>
      <w:r>
        <w:t xml:space="preserve">4.0 GHz </w:t>
      </w:r>
      <w:r w:rsidR="001726ED">
        <w:br/>
      </w:r>
      <w:r>
        <w:t>frequency range.</w:t>
      </w:r>
    </w:p>
  </w:footnote>
  <w:footnote w:id="26">
    <w:p w14:paraId="69FFEFB1" w14:textId="19459B21" w:rsidR="00745328" w:rsidRDefault="00745328" w:rsidP="003545EE">
      <w:pPr>
        <w:pStyle w:val="FootnoteText"/>
        <w:ind w:right="992"/>
      </w:pPr>
      <w:r>
        <w:rPr>
          <w:rStyle w:val="FootnoteReference"/>
        </w:rPr>
        <w:footnoteRef/>
      </w:r>
      <w:r>
        <w:t xml:space="preserve"> </w:t>
      </w:r>
      <w:hyperlink r:id="rId3" w:history="1">
        <w:r w:rsidR="006C2CC3" w:rsidRPr="00A43730">
          <w:rPr>
            <w:rStyle w:val="Hyperlink"/>
          </w:rPr>
          <w:t>Coleago report on 2300 MH</w:t>
        </w:r>
        <w:r w:rsidR="00D078E1">
          <w:rPr>
            <w:rStyle w:val="Hyperlink"/>
          </w:rPr>
          <w:t>z</w:t>
        </w:r>
        <w:r w:rsidR="006C2CC3" w:rsidRPr="00A43730">
          <w:rPr>
            <w:rStyle w:val="Hyperlink"/>
          </w:rPr>
          <w:t xml:space="preserve"> spectrum</w:t>
        </w:r>
      </w:hyperlink>
      <w:r w:rsidR="006C2CC3">
        <w:t>, 30 July 2020</w:t>
      </w:r>
      <w:r w:rsidR="00806397">
        <w:t>.</w:t>
      </w:r>
    </w:p>
  </w:footnote>
  <w:footnote w:id="27">
    <w:p w14:paraId="53879DC8" w14:textId="595B48D4" w:rsidR="00C334C7" w:rsidRDefault="00C334C7" w:rsidP="003545EE">
      <w:pPr>
        <w:pStyle w:val="FootnoteText"/>
        <w:ind w:right="992"/>
      </w:pPr>
      <w:r>
        <w:rPr>
          <w:rStyle w:val="FootnoteReference"/>
        </w:rPr>
        <w:footnoteRef/>
      </w:r>
      <w:r>
        <w:t xml:space="preserve"> </w:t>
      </w:r>
      <w:r w:rsidR="000C3363">
        <w:t xml:space="preserve">3GPP supports both </w:t>
      </w:r>
      <w:r w:rsidR="00DE0FE6">
        <w:t>band n77 and n78 for 5G deployment. At WRC-15, the 3400</w:t>
      </w:r>
      <w:r w:rsidR="00AF1EC3">
        <w:t>–</w:t>
      </w:r>
      <w:r w:rsidR="00DE0FE6">
        <w:t xml:space="preserve">3600 MHz frequency range was identified for international mobile telecommunications in Europe, Africa, parts of the Middle East, the Americas, and parts of the Pacific Islands. </w:t>
      </w:r>
      <w:r w:rsidR="00227798">
        <w:t xml:space="preserve">Since then, the </w:t>
      </w:r>
      <w:r w:rsidR="000F06CA">
        <w:rPr>
          <w:u w:color="0000FF"/>
        </w:rPr>
        <w:t>GSA</w:t>
      </w:r>
      <w:r w:rsidR="00227798">
        <w:t xml:space="preserve"> has </w:t>
      </w:r>
      <w:hyperlink r:id="rId4" w:history="1">
        <w:r w:rsidR="00227798" w:rsidRPr="00CC699D">
          <w:rPr>
            <w:rStyle w:val="Hyperlink"/>
          </w:rPr>
          <w:t>identified</w:t>
        </w:r>
      </w:hyperlink>
      <w:r w:rsidR="00227798">
        <w:t xml:space="preserve"> </w:t>
      </w:r>
      <w:r w:rsidR="00837105">
        <w:t>84</w:t>
      </w:r>
      <w:r w:rsidR="00227798">
        <w:t xml:space="preserve"> countries</w:t>
      </w:r>
      <w:r w:rsidR="00DB7AC1">
        <w:t xml:space="preserve"> </w:t>
      </w:r>
      <w:r w:rsidR="00711912">
        <w:t>that ha</w:t>
      </w:r>
      <w:r w:rsidR="002524CB">
        <w:t>ve</w:t>
      </w:r>
      <w:r w:rsidR="00711912">
        <w:t xml:space="preserve"> issued licences in </w:t>
      </w:r>
      <w:r w:rsidR="001D6451">
        <w:t>the 3300-4200 MHz</w:t>
      </w:r>
      <w:r w:rsidR="006C003E">
        <w:t xml:space="preserve"> frequency range</w:t>
      </w:r>
      <w:r w:rsidR="00DF4B0C">
        <w:t xml:space="preserve"> </w:t>
      </w:r>
      <w:r w:rsidR="001D6451">
        <w:t xml:space="preserve">for </w:t>
      </w:r>
      <w:r w:rsidR="005B5DF9">
        <w:t>WBB</w:t>
      </w:r>
      <w:r w:rsidR="001D6451">
        <w:t xml:space="preserve"> use.</w:t>
      </w:r>
      <w:r w:rsidR="00227798">
        <w:t xml:space="preserve"> </w:t>
      </w:r>
    </w:p>
  </w:footnote>
  <w:footnote w:id="28">
    <w:p w14:paraId="163DD878" w14:textId="77777777" w:rsidR="005A4524" w:rsidRDefault="005A4524" w:rsidP="005A4524">
      <w:pPr>
        <w:pStyle w:val="FootnoteText"/>
        <w:ind w:right="992"/>
      </w:pPr>
      <w:r>
        <w:rPr>
          <w:rStyle w:val="FootnoteReference"/>
        </w:rPr>
        <w:footnoteRef/>
      </w:r>
      <w:r>
        <w:t xml:space="preserve"> ACCC advice, p. 15.</w:t>
      </w:r>
    </w:p>
  </w:footnote>
  <w:footnote w:id="29">
    <w:p w14:paraId="0A75A737" w14:textId="2F0B7BD2" w:rsidR="005C79C4" w:rsidRDefault="005C79C4" w:rsidP="003545EE">
      <w:pPr>
        <w:pStyle w:val="FootnoteText"/>
        <w:ind w:right="992"/>
      </w:pPr>
      <w:r>
        <w:rPr>
          <w:rStyle w:val="FootnoteReference"/>
        </w:rPr>
        <w:footnoteRef/>
      </w:r>
      <w:r>
        <w:t xml:space="preserve"> Leftover lots are not proposed to be available for bidding</w:t>
      </w:r>
      <w:r w:rsidR="005D10D4">
        <w:t xml:space="preserve"> in the primary stage of the 3.4 GHz band auction</w:t>
      </w:r>
      <w:r>
        <w:t>, therefore, will not have a lot rating.</w:t>
      </w:r>
    </w:p>
  </w:footnote>
  <w:footnote w:id="30">
    <w:p w14:paraId="32152486" w14:textId="64476CC4" w:rsidR="0046374C" w:rsidRDefault="0046374C">
      <w:pPr>
        <w:pStyle w:val="FootnoteText"/>
      </w:pPr>
      <w:r>
        <w:rPr>
          <w:rStyle w:val="FootnoteReference"/>
        </w:rPr>
        <w:footnoteRef/>
      </w:r>
      <w:r>
        <w:t xml:space="preserve"> The actual RF </w:t>
      </w:r>
      <w:r w:rsidR="00ED7658">
        <w:t xml:space="preserve">filters licensees </w:t>
      </w:r>
      <w:r>
        <w:t>used would be indicated by licence special conditions</w:t>
      </w:r>
    </w:p>
  </w:footnote>
  <w:footnote w:id="31">
    <w:p w14:paraId="75281DED" w14:textId="7084609E" w:rsidR="009F6946" w:rsidRDefault="009F6946">
      <w:pPr>
        <w:pStyle w:val="FootnoteText"/>
      </w:pPr>
      <w:r>
        <w:rPr>
          <w:rStyle w:val="FootnoteReference"/>
        </w:rPr>
        <w:footnoteRef/>
      </w:r>
      <w:r>
        <w:t xml:space="preserve"> This description is paraphrased from paragraph 3 of the </w:t>
      </w:r>
      <w:r w:rsidR="00F44BCB">
        <w:t>Act</w:t>
      </w:r>
      <w:r>
        <w:t>.</w:t>
      </w:r>
    </w:p>
  </w:footnote>
  <w:footnote w:id="32">
    <w:p w14:paraId="702F65FD" w14:textId="16C143BE" w:rsidR="00F64046" w:rsidRDefault="00F64046" w:rsidP="003545EE">
      <w:pPr>
        <w:pStyle w:val="FootnoteText"/>
        <w:ind w:right="992"/>
      </w:pPr>
      <w:r>
        <w:rPr>
          <w:rStyle w:val="FootnoteReference"/>
        </w:rPr>
        <w:footnoteRef/>
      </w:r>
      <w:r>
        <w:t xml:space="preserve"> Given the lack of availability of detailed RA device data and being able to associate them to specific aircraft, it is not possible to be more definitive on the scale of the extent of poorer performing RAs</w:t>
      </w:r>
      <w:r w:rsidR="00E4358E">
        <w:t xml:space="preserve"> applicable in Australia</w:t>
      </w:r>
      <w:r>
        <w:t xml:space="preserve">. </w:t>
      </w:r>
    </w:p>
  </w:footnote>
  <w:footnote w:id="33">
    <w:p w14:paraId="65689FC2" w14:textId="09E808B8" w:rsidR="00F64046" w:rsidRDefault="00F64046" w:rsidP="003545EE">
      <w:pPr>
        <w:pStyle w:val="FootnoteText"/>
        <w:ind w:right="992"/>
      </w:pPr>
      <w:r>
        <w:rPr>
          <w:rStyle w:val="FootnoteReference"/>
        </w:rPr>
        <w:footnoteRef/>
      </w:r>
      <w:r>
        <w:t xml:space="preserve"> See the RTCA, AVSI</w:t>
      </w:r>
      <w:r w:rsidR="00E4358E">
        <w:t xml:space="preserve">, </w:t>
      </w:r>
      <w:r>
        <w:t xml:space="preserve">Japanese </w:t>
      </w:r>
      <w:r w:rsidR="00E4358E">
        <w:t xml:space="preserve">and Canadian </w:t>
      </w:r>
      <w:r>
        <w:t>‘blackbox’ testing in Appendices B and C</w:t>
      </w:r>
      <w:r w:rsidR="009F0C5E">
        <w:t xml:space="preserve"> of the RA report</w:t>
      </w:r>
      <w:r>
        <w:t xml:space="preserve">. </w:t>
      </w:r>
    </w:p>
  </w:footnote>
  <w:footnote w:id="34">
    <w:p w14:paraId="7D73E6C7" w14:textId="77777777" w:rsidR="00823075" w:rsidRDefault="00823075" w:rsidP="00823075">
      <w:pPr>
        <w:pStyle w:val="FootnoteText"/>
      </w:pPr>
      <w:r>
        <w:rPr>
          <w:rStyle w:val="FootnoteReference"/>
        </w:rPr>
        <w:footnoteRef/>
      </w:r>
      <w:r>
        <w:t xml:space="preserve"> Previously determined as part of the planning outcomes for the band. </w:t>
      </w:r>
    </w:p>
  </w:footnote>
  <w:footnote w:id="35">
    <w:p w14:paraId="5BA5DDDC" w14:textId="4C3C6462" w:rsidR="00F24971" w:rsidRDefault="00F24971" w:rsidP="003545EE">
      <w:pPr>
        <w:pStyle w:val="FootnoteText"/>
        <w:ind w:right="992"/>
      </w:pPr>
      <w:r>
        <w:rPr>
          <w:rStyle w:val="FootnoteReference"/>
        </w:rPr>
        <w:footnoteRef/>
      </w:r>
      <w:r>
        <w:t xml:space="preserve"> </w:t>
      </w:r>
      <w:r w:rsidR="00872EC3">
        <w:t xml:space="preserve">Key </w:t>
      </w:r>
      <w:r w:rsidR="00DA1B3A">
        <w:t>examples</w:t>
      </w:r>
      <w:r w:rsidR="00872EC3">
        <w:t xml:space="preserve"> of </w:t>
      </w:r>
      <w:r w:rsidR="00DA1B3A">
        <w:t xml:space="preserve">the </w:t>
      </w:r>
      <w:r w:rsidR="00872EC3">
        <w:t>new</w:t>
      </w:r>
      <w:r w:rsidR="00DA1B3A">
        <w:t xml:space="preserve"> information</w:t>
      </w:r>
      <w:r w:rsidR="00872EC3">
        <w:t xml:space="preserve"> that has become ava</w:t>
      </w:r>
      <w:r w:rsidR="00DA1B3A">
        <w:t>ilable</w:t>
      </w:r>
      <w:r w:rsidR="00872EC3">
        <w:t xml:space="preserve"> include</w:t>
      </w:r>
      <w:r w:rsidR="00B0288B">
        <w:t xml:space="preserve"> that from Can</w:t>
      </w:r>
      <w:r w:rsidR="008B4FF5">
        <w:t>a</w:t>
      </w:r>
      <w:r w:rsidR="00B0288B">
        <w:t>da (</w:t>
      </w:r>
      <w:r w:rsidR="008B4FF5">
        <w:t xml:space="preserve">Industry Canada </w:t>
      </w:r>
      <w:hyperlink r:id="rId5" w:history="1">
        <w:r w:rsidR="006A7A03">
          <w:rPr>
            <w:rStyle w:val="Hyperlink"/>
            <w:lang w:val="en-CA"/>
          </w:rPr>
          <w:t>ISED consultation-srsp-520-issue-3</w:t>
        </w:r>
      </w:hyperlink>
      <w:r w:rsidR="00B0288B">
        <w:rPr>
          <w:lang w:val="en-CA"/>
        </w:rPr>
        <w:t xml:space="preserve"> </w:t>
      </w:r>
      <w:r w:rsidR="008B4FF5">
        <w:rPr>
          <w:lang w:val="en-CA"/>
        </w:rPr>
        <w:t xml:space="preserve">and the US (FAA </w:t>
      </w:r>
      <w:hyperlink r:id="rId6" w:history="1">
        <w:r w:rsidR="008B4FF5">
          <w:rPr>
            <w:rStyle w:val="Hyperlink"/>
          </w:rPr>
          <w:t>https://public-inspection.federalregister.gov/2023-00420.pdf</w:t>
        </w:r>
      </w:hyperlink>
      <w:r w:rsidR="008B4FF5">
        <w:t xml:space="preserve">). </w:t>
      </w:r>
    </w:p>
  </w:footnote>
  <w:footnote w:id="36">
    <w:p w14:paraId="250BF01B" w14:textId="03397BE6" w:rsidR="009B1C32" w:rsidRDefault="009B1C32" w:rsidP="009B1C32">
      <w:pPr>
        <w:pStyle w:val="FootnoteText"/>
      </w:pPr>
      <w:r>
        <w:rPr>
          <w:rStyle w:val="FootnoteReference"/>
        </w:rPr>
        <w:footnoteRef/>
      </w:r>
      <w:r>
        <w:t xml:space="preserve"> As </w:t>
      </w:r>
      <w:r w:rsidR="00C264F9">
        <w:t xml:space="preserve">discussed </w:t>
      </w:r>
      <w:r>
        <w:t>in 1.</w:t>
      </w:r>
      <w:r w:rsidR="00D84C66">
        <w:t>15</w:t>
      </w:r>
      <w:r>
        <w:t xml:space="preserve"> and 4.</w:t>
      </w:r>
      <w:r w:rsidR="00356CC8">
        <w:t>25</w:t>
      </w:r>
      <w:r>
        <w:t xml:space="preserve"> of the RA Report and discussed in </w:t>
      </w:r>
      <w:r w:rsidR="00AB46EB">
        <w:t>this consultation paper</w:t>
      </w:r>
      <w:r>
        <w:t>.</w:t>
      </w:r>
    </w:p>
  </w:footnote>
  <w:footnote w:id="37">
    <w:p w14:paraId="5606F2BB" w14:textId="4D5386E8" w:rsidR="009B1C32" w:rsidRDefault="009B1C32" w:rsidP="0020213D">
      <w:pPr>
        <w:pStyle w:val="FootnoteText"/>
        <w:ind w:right="992"/>
      </w:pPr>
      <w:r>
        <w:rPr>
          <w:rStyle w:val="FootnoteReference"/>
        </w:rPr>
        <w:footnoteRef/>
      </w:r>
      <w:r>
        <w:t xml:space="preserve"> </w:t>
      </w:r>
      <w:r w:rsidRPr="008B2EC3">
        <w:rPr>
          <w:i/>
          <w:iCs/>
        </w:rPr>
        <w:t xml:space="preserve">Measurements of 5G New Radio Spectral and Spatial Power Emissions for Radar Altimeter Interference </w:t>
      </w:r>
      <w:r w:rsidRPr="00181BE7">
        <w:t>Analysis</w:t>
      </w:r>
      <w:r>
        <w:t>. S</w:t>
      </w:r>
      <w:r w:rsidRPr="00181BE7">
        <w:t>ee</w:t>
      </w:r>
      <w:r>
        <w:t xml:space="preserve"> paragraph 3.</w:t>
      </w:r>
      <w:r w:rsidR="00F04213">
        <w:t xml:space="preserve">79 </w:t>
      </w:r>
      <w:r>
        <w:t>of the ACMA RA report.</w:t>
      </w:r>
    </w:p>
  </w:footnote>
  <w:footnote w:id="38">
    <w:p w14:paraId="639ACF3E" w14:textId="51031A10" w:rsidR="009B1C32" w:rsidRDefault="009B1C32" w:rsidP="0020213D">
      <w:pPr>
        <w:pStyle w:val="FootnoteText"/>
        <w:ind w:right="992"/>
      </w:pPr>
      <w:r>
        <w:rPr>
          <w:rStyle w:val="FootnoteReference"/>
        </w:rPr>
        <w:footnoteRef/>
      </w:r>
      <w:r>
        <w:t xml:space="preserve"> E.g. see </w:t>
      </w:r>
      <w:hyperlink r:id="rId7" w:history="1">
        <w:r w:rsidRPr="00C840F2">
          <w:rPr>
            <w:rStyle w:val="Hyperlink"/>
          </w:rPr>
          <w:t>ETSI TS 38.104 version 16.4.0</w:t>
        </w:r>
      </w:hyperlink>
      <w:r>
        <w:t xml:space="preserve"> Release 16 </w:t>
      </w:r>
      <w:r w:rsidRPr="007410E6">
        <w:t>Table 6.6.5.2.1-2: General BS transmitter spurious emission limits in FR1, Category B</w:t>
      </w:r>
    </w:p>
  </w:footnote>
  <w:footnote w:id="39">
    <w:p w14:paraId="450D5929" w14:textId="77777777" w:rsidR="009B1C32" w:rsidRPr="00EF1E2A" w:rsidRDefault="009B1C32" w:rsidP="00AC5FFE">
      <w:pPr>
        <w:pStyle w:val="FootnoteText"/>
        <w:ind w:right="992"/>
      </w:pPr>
      <w:r>
        <w:rPr>
          <w:rStyle w:val="FootnoteReference"/>
        </w:rPr>
        <w:footnoteRef/>
      </w:r>
      <w:r>
        <w:t xml:space="preserve"> We recognise that it may not be necessary to undertake additional work other than simply adding a filter to some radio altimeters to meet new standards. However, for simplicity the term radio altimeter ‘</w:t>
      </w:r>
      <w:r w:rsidRPr="00981862">
        <w:t>replacement</w:t>
      </w:r>
      <w:r>
        <w:t xml:space="preserve">’ is used here.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60"/>
      <w:gridCol w:w="3260"/>
      <w:gridCol w:w="3260"/>
    </w:tblGrid>
    <w:tr w:rsidR="034A6DC3" w14:paraId="7DA2352C" w14:textId="77777777" w:rsidTr="006E56FB">
      <w:trPr>
        <w:trHeight w:val="300"/>
      </w:trPr>
      <w:tc>
        <w:tcPr>
          <w:tcW w:w="3260" w:type="dxa"/>
        </w:tcPr>
        <w:p w14:paraId="5F78E4AF" w14:textId="5A90B8F0" w:rsidR="034A6DC3" w:rsidRDefault="034A6DC3" w:rsidP="006E56FB">
          <w:pPr>
            <w:pStyle w:val="Header"/>
            <w:ind w:left="-115"/>
          </w:pPr>
        </w:p>
      </w:tc>
      <w:tc>
        <w:tcPr>
          <w:tcW w:w="3260" w:type="dxa"/>
        </w:tcPr>
        <w:p w14:paraId="7F023995" w14:textId="42AC82A6" w:rsidR="034A6DC3" w:rsidRDefault="034A6DC3" w:rsidP="00AC5FFE">
          <w:pPr>
            <w:pStyle w:val="Header"/>
            <w:jc w:val="center"/>
          </w:pPr>
        </w:p>
      </w:tc>
      <w:tc>
        <w:tcPr>
          <w:tcW w:w="3260" w:type="dxa"/>
        </w:tcPr>
        <w:p w14:paraId="6E5D25FA" w14:textId="6464D0B4" w:rsidR="034A6DC3" w:rsidRDefault="034A6DC3" w:rsidP="00AC5FFE">
          <w:pPr>
            <w:pStyle w:val="Header"/>
            <w:ind w:right="-115"/>
            <w:jc w:val="right"/>
          </w:pPr>
        </w:p>
      </w:tc>
    </w:tr>
  </w:tbl>
  <w:p w14:paraId="76A0DB15" w14:textId="7864D02D" w:rsidR="00AA36DA" w:rsidRDefault="00AA3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8C537" w14:textId="77777777" w:rsidR="00C053A1" w:rsidRPr="00A5474E" w:rsidRDefault="0021426C" w:rsidP="00A5474E">
    <w:pPr>
      <w:pStyle w:val="Header"/>
    </w:pPr>
    <w:r>
      <w:rPr>
        <w:noProof/>
      </w:rPr>
      <w:drawing>
        <wp:inline distT="0" distB="0" distL="0" distR="0" wp14:anchorId="5DFCE387" wp14:editId="49B191A7">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A0353" w14:textId="77777777" w:rsidR="00C053A1" w:rsidRPr="00A5474E" w:rsidRDefault="00C053A1"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347B2" w14:textId="3F6AEB8E"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929B9" w14:textId="77777777" w:rsidR="00C053A1" w:rsidRDefault="00C053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51A68191" w14:textId="77777777" w:rsidTr="006630D7">
      <w:trPr>
        <w:trHeight w:hRule="exact" w:val="988"/>
      </w:trPr>
      <w:tc>
        <w:tcPr>
          <w:tcW w:w="7678" w:type="dxa"/>
          <w:shd w:val="clear" w:color="auto" w:fill="auto"/>
        </w:tcPr>
        <w:p w14:paraId="6405E81D" w14:textId="77777777" w:rsidR="00971914" w:rsidRDefault="00971914" w:rsidP="00971914">
          <w:pPr>
            <w:pStyle w:val="Header"/>
          </w:pPr>
        </w:p>
      </w:tc>
    </w:tr>
    <w:tr w:rsidR="00971914" w14:paraId="61EB37C0" w14:textId="77777777" w:rsidTr="006630D7">
      <w:tc>
        <w:tcPr>
          <w:tcW w:w="7678" w:type="dxa"/>
          <w:shd w:val="clear" w:color="auto" w:fill="auto"/>
        </w:tcPr>
        <w:p w14:paraId="7BC57A21" w14:textId="77777777" w:rsidR="00971914" w:rsidRDefault="00971914" w:rsidP="00971914">
          <w:pPr>
            <w:pStyle w:val="GridTable31"/>
          </w:pPr>
          <w:r>
            <w:t xml:space="preserve">Contents </w:t>
          </w:r>
          <w:r w:rsidRPr="00915B1C">
            <w:rPr>
              <w:b w:val="0"/>
              <w:spacing w:val="0"/>
              <w:sz w:val="28"/>
              <w:szCs w:val="28"/>
            </w:rPr>
            <w:t>(Continued)</w:t>
          </w:r>
        </w:p>
      </w:tc>
    </w:tr>
    <w:tr w:rsidR="00971914" w14:paraId="3CCE7A5E" w14:textId="77777777" w:rsidTr="006630D7">
      <w:trPr>
        <w:trHeight w:val="1220"/>
      </w:trPr>
      <w:tc>
        <w:tcPr>
          <w:tcW w:w="7678" w:type="dxa"/>
          <w:shd w:val="clear" w:color="auto" w:fill="auto"/>
        </w:tcPr>
        <w:p w14:paraId="17C6B305" w14:textId="77777777" w:rsidR="00971914" w:rsidRDefault="00971914" w:rsidP="00971914"/>
      </w:tc>
    </w:tr>
  </w:tbl>
  <w:p w14:paraId="583940CA" w14:textId="77777777" w:rsidR="00971914" w:rsidRDefault="00971914"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559B2A4C" w14:textId="77777777" w:rsidTr="006630D7">
      <w:trPr>
        <w:trHeight w:hRule="exact" w:val="988"/>
      </w:trPr>
      <w:tc>
        <w:tcPr>
          <w:tcW w:w="7678" w:type="dxa"/>
          <w:shd w:val="clear" w:color="auto" w:fill="auto"/>
        </w:tcPr>
        <w:p w14:paraId="28DD8745" w14:textId="77777777" w:rsidR="00971914" w:rsidRDefault="00971914" w:rsidP="00971914">
          <w:pPr>
            <w:pStyle w:val="Header"/>
          </w:pPr>
        </w:p>
      </w:tc>
    </w:tr>
    <w:tr w:rsidR="00971914" w14:paraId="2765A9BA" w14:textId="77777777" w:rsidTr="006630D7">
      <w:tc>
        <w:tcPr>
          <w:tcW w:w="7678" w:type="dxa"/>
          <w:shd w:val="clear" w:color="auto" w:fill="auto"/>
        </w:tcPr>
        <w:p w14:paraId="3CB28358" w14:textId="77777777" w:rsidR="00971914" w:rsidRDefault="00971914" w:rsidP="00971914">
          <w:pPr>
            <w:pStyle w:val="GridTable31"/>
          </w:pPr>
          <w:r>
            <w:t xml:space="preserve">Contents </w:t>
          </w:r>
          <w:r w:rsidRPr="00915B1C">
            <w:rPr>
              <w:b w:val="0"/>
              <w:spacing w:val="0"/>
              <w:sz w:val="28"/>
              <w:szCs w:val="28"/>
            </w:rPr>
            <w:t>(Continued)</w:t>
          </w:r>
        </w:p>
      </w:tc>
    </w:tr>
    <w:tr w:rsidR="00971914" w14:paraId="1484DB65" w14:textId="77777777" w:rsidTr="006630D7">
      <w:trPr>
        <w:trHeight w:val="1220"/>
      </w:trPr>
      <w:tc>
        <w:tcPr>
          <w:tcW w:w="7678" w:type="dxa"/>
          <w:shd w:val="clear" w:color="auto" w:fill="auto"/>
        </w:tcPr>
        <w:p w14:paraId="022D077C" w14:textId="77777777" w:rsidR="00971914" w:rsidRDefault="00971914" w:rsidP="00971914"/>
      </w:tc>
    </w:tr>
  </w:tbl>
  <w:p w14:paraId="47E15FC6" w14:textId="77777777" w:rsidR="00C053A1" w:rsidRPr="00A5474E" w:rsidRDefault="00C053A1"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67E88" w14:textId="77777777" w:rsidR="00C053A1" w:rsidRDefault="00C053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2751"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6F8AF6A"/>
    <w:lvl w:ilvl="0">
      <w:start w:val="1"/>
      <w:numFmt w:val="lowerRoman"/>
      <w:lvlText w:val="%1."/>
      <w:lvlJc w:val="right"/>
      <w:pPr>
        <w:ind w:left="1350"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B3A16C2"/>
    <w:lvl w:ilvl="0">
      <w:start w:val="1"/>
      <w:numFmt w:val="decimal"/>
      <w:lvlText w:val="%1."/>
      <w:lvlJc w:val="left"/>
      <w:pPr>
        <w:ind w:left="360" w:hanging="360"/>
      </w:pPr>
      <w:rPr>
        <w:rFonts w:hint="default"/>
        <w:b w:val="0"/>
        <w:bCs/>
        <w:caps/>
        <w:sz w:val="20"/>
      </w:rPr>
    </w:lvl>
  </w:abstractNum>
  <w:abstractNum w:abstractNumId="3" w15:restartNumberingAfterBreak="0">
    <w:nsid w:val="FFFFFF89"/>
    <w:multiLevelType w:val="singleLevel"/>
    <w:tmpl w:val="0C09000F"/>
    <w:lvl w:ilvl="0">
      <w:start w:val="1"/>
      <w:numFmt w:val="decimal"/>
      <w:lvlText w:val="%1."/>
      <w:lvlJc w:val="left"/>
      <w:pPr>
        <w:ind w:left="360" w:hanging="360"/>
      </w:pPr>
      <w:rPr>
        <w:rFonts w:hint="default"/>
        <w:sz w:val="20"/>
      </w:rPr>
    </w:lvl>
  </w:abstractNum>
  <w:abstractNum w:abstractNumId="4" w15:restartNumberingAfterBreak="0">
    <w:nsid w:val="00335D02"/>
    <w:multiLevelType w:val="multilevel"/>
    <w:tmpl w:val="AE58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CD5758"/>
    <w:multiLevelType w:val="hybridMultilevel"/>
    <w:tmpl w:val="0E2AC94C"/>
    <w:lvl w:ilvl="0" w:tplc="BCC2F95C">
      <w:start w:val="1"/>
      <w:numFmt w:val="decimal"/>
      <w:lvlText w:val="%1)"/>
      <w:lvlJc w:val="left"/>
      <w:pPr>
        <w:ind w:left="360" w:hanging="360"/>
      </w:pPr>
      <w:rPr>
        <w:rFonts w:hint="default"/>
      </w:rPr>
    </w:lvl>
    <w:lvl w:ilvl="1" w:tplc="1F7C288C">
      <w:start w:val="1"/>
      <w:numFmt w:val="lowerLetter"/>
      <w:lvlText w:val="%2)"/>
      <w:lvlJc w:val="left"/>
      <w:pPr>
        <w:ind w:left="1080" w:hanging="360"/>
      </w:pPr>
      <w:rPr>
        <w:rFonts w:hint="default"/>
      </w:rPr>
    </w:lvl>
    <w:lvl w:ilvl="2" w:tplc="0854D534">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E57047"/>
    <w:multiLevelType w:val="hybridMultilevel"/>
    <w:tmpl w:val="5CD02302"/>
    <w:lvl w:ilvl="0" w:tplc="2BFE3A0C">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0E73A3C"/>
    <w:multiLevelType w:val="multilevel"/>
    <w:tmpl w:val="7E4A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7277A9"/>
    <w:multiLevelType w:val="hybridMultilevel"/>
    <w:tmpl w:val="DA1CFCC2"/>
    <w:lvl w:ilvl="0" w:tplc="F2BA8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983D4B"/>
    <w:multiLevelType w:val="hybridMultilevel"/>
    <w:tmpl w:val="655CF986"/>
    <w:lvl w:ilvl="0" w:tplc="46E893CE">
      <w:start w:val="1"/>
      <w:numFmt w:val="bullet"/>
      <w:lvlText w:val=""/>
      <w:lvlJc w:val="left"/>
      <w:pPr>
        <w:ind w:left="1041" w:hanging="360"/>
      </w:pPr>
      <w:rPr>
        <w:rFonts w:ascii="Symbol" w:hAnsi="Symbol"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10"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D3069D"/>
    <w:multiLevelType w:val="hybridMultilevel"/>
    <w:tmpl w:val="D55A56C8"/>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5B5AD7"/>
    <w:multiLevelType w:val="hybridMultilevel"/>
    <w:tmpl w:val="7F64C432"/>
    <w:lvl w:ilvl="0" w:tplc="2850DEA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046945"/>
    <w:multiLevelType w:val="hybridMultilevel"/>
    <w:tmpl w:val="9F1EA9D4"/>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 w15:restartNumberingAfterBreak="0">
    <w:nsid w:val="06550851"/>
    <w:multiLevelType w:val="hybridMultilevel"/>
    <w:tmpl w:val="66AE8D16"/>
    <w:lvl w:ilvl="0" w:tplc="46E893CE">
      <w:start w:val="1"/>
      <w:numFmt w:val="bullet"/>
      <w:lvlText w:val=""/>
      <w:lvlJc w:val="left"/>
      <w:pPr>
        <w:ind w:left="1041" w:hanging="360"/>
      </w:pPr>
      <w:rPr>
        <w:rFonts w:ascii="Symbol" w:hAnsi="Symbol"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15" w15:restartNumberingAfterBreak="0">
    <w:nsid w:val="06E824CA"/>
    <w:multiLevelType w:val="multilevel"/>
    <w:tmpl w:val="3CE8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F17ABD"/>
    <w:multiLevelType w:val="hybridMultilevel"/>
    <w:tmpl w:val="016CC6C0"/>
    <w:lvl w:ilvl="0" w:tplc="0804E3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094B5B"/>
    <w:multiLevelType w:val="hybridMultilevel"/>
    <w:tmpl w:val="485C65A2"/>
    <w:lvl w:ilvl="0" w:tplc="0C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95402FA"/>
    <w:multiLevelType w:val="hybridMultilevel"/>
    <w:tmpl w:val="5B88D98C"/>
    <w:lvl w:ilvl="0" w:tplc="2BFE3A0C">
      <w:start w:val="1"/>
      <w:numFmt w:val="lowerRoman"/>
      <w:lvlText w:val="(%1)"/>
      <w:lvlJc w:val="righ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AE227D7"/>
    <w:multiLevelType w:val="hybridMultilevel"/>
    <w:tmpl w:val="A2D2D222"/>
    <w:lvl w:ilvl="0" w:tplc="F2BA872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D3B4180"/>
    <w:multiLevelType w:val="hybridMultilevel"/>
    <w:tmpl w:val="3DBE113A"/>
    <w:lvl w:ilvl="0" w:tplc="F2BA872A">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E5043A5"/>
    <w:multiLevelType w:val="multilevel"/>
    <w:tmpl w:val="89924A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EBA1521"/>
    <w:multiLevelType w:val="hybridMultilevel"/>
    <w:tmpl w:val="98F0C0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F0F75DA"/>
    <w:multiLevelType w:val="hybridMultilevel"/>
    <w:tmpl w:val="B29481B8"/>
    <w:lvl w:ilvl="0" w:tplc="F2BA8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F4B6B16"/>
    <w:multiLevelType w:val="hybridMultilevel"/>
    <w:tmpl w:val="15F0FB78"/>
    <w:lvl w:ilvl="0" w:tplc="118A36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07D3802"/>
    <w:multiLevelType w:val="hybridMultilevel"/>
    <w:tmpl w:val="C16E3F10"/>
    <w:lvl w:ilvl="0" w:tplc="0804E31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1494A7B"/>
    <w:multiLevelType w:val="hybridMultilevel"/>
    <w:tmpl w:val="DBE0BE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16F7376"/>
    <w:multiLevelType w:val="hybridMultilevel"/>
    <w:tmpl w:val="8EC0DE62"/>
    <w:lvl w:ilvl="0" w:tplc="856E6310">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1BF0726"/>
    <w:multiLevelType w:val="hybridMultilevel"/>
    <w:tmpl w:val="B14667DC"/>
    <w:lvl w:ilvl="0" w:tplc="FFFFFFFF">
      <w:start w:val="1"/>
      <w:numFmt w:val="bullet"/>
      <w:lvlText w:val=""/>
      <w:lvlJc w:val="left"/>
      <w:pPr>
        <w:ind w:left="1400" w:hanging="360"/>
      </w:pPr>
      <w:rPr>
        <w:rFonts w:ascii="Symbol" w:hAnsi="Symbol" w:hint="default"/>
      </w:rPr>
    </w:lvl>
    <w:lvl w:ilvl="1" w:tplc="F2BA872A">
      <w:start w:val="1"/>
      <w:numFmt w:val="bullet"/>
      <w:lvlText w:val=""/>
      <w:lvlJc w:val="left"/>
      <w:pPr>
        <w:ind w:left="2120" w:hanging="360"/>
      </w:pPr>
      <w:rPr>
        <w:rFonts w:ascii="Symbol" w:hAnsi="Symbol" w:hint="default"/>
      </w:rPr>
    </w:lvl>
    <w:lvl w:ilvl="2" w:tplc="FFFFFFFF">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30" w15:restartNumberingAfterBreak="0">
    <w:nsid w:val="13027936"/>
    <w:multiLevelType w:val="hybridMultilevel"/>
    <w:tmpl w:val="9A90FA6E"/>
    <w:lvl w:ilvl="0" w:tplc="2850DEA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44A7CAB"/>
    <w:multiLevelType w:val="hybridMultilevel"/>
    <w:tmpl w:val="E9DC415A"/>
    <w:lvl w:ilvl="0" w:tplc="2850DEA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4651E97"/>
    <w:multiLevelType w:val="hybridMultilevel"/>
    <w:tmpl w:val="66AEBF1C"/>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48013C0"/>
    <w:multiLevelType w:val="hybridMultilevel"/>
    <w:tmpl w:val="A358DC76"/>
    <w:lvl w:ilvl="0" w:tplc="31CCE2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693414D"/>
    <w:multiLevelType w:val="hybridMultilevel"/>
    <w:tmpl w:val="C5366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8430976"/>
    <w:multiLevelType w:val="multilevel"/>
    <w:tmpl w:val="4D9CB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D82FD5"/>
    <w:multiLevelType w:val="hybridMultilevel"/>
    <w:tmpl w:val="8A80C8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B5C57EB"/>
    <w:multiLevelType w:val="hybridMultilevel"/>
    <w:tmpl w:val="19B48A7E"/>
    <w:lvl w:ilvl="0" w:tplc="46E893C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E026A7C"/>
    <w:multiLevelType w:val="hybridMultilevel"/>
    <w:tmpl w:val="D72EA40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E3465B5"/>
    <w:multiLevelType w:val="hybridMultilevel"/>
    <w:tmpl w:val="6316DBC8"/>
    <w:lvl w:ilvl="0" w:tplc="FFFFFFFF">
      <w:start w:val="1"/>
      <w:numFmt w:val="bullet"/>
      <w:lvlText w:val=""/>
      <w:lvlJc w:val="left"/>
      <w:pPr>
        <w:ind w:left="2120" w:hanging="360"/>
      </w:pPr>
      <w:rPr>
        <w:rFonts w:ascii="Symbol" w:hAnsi="Symbol" w:hint="default"/>
      </w:rPr>
    </w:lvl>
    <w:lvl w:ilvl="1" w:tplc="F2BA872A">
      <w:start w:val="1"/>
      <w:numFmt w:val="bullet"/>
      <w:lvlText w:val=""/>
      <w:lvlJc w:val="left"/>
      <w:pPr>
        <w:ind w:left="2120" w:hanging="360"/>
      </w:pPr>
      <w:rPr>
        <w:rFonts w:ascii="Symbol" w:hAnsi="Symbol" w:hint="default"/>
      </w:rPr>
    </w:lvl>
    <w:lvl w:ilvl="2" w:tplc="FFFFFFFF">
      <w:start w:val="1"/>
      <w:numFmt w:val="bullet"/>
      <w:lvlText w:val=""/>
      <w:lvlJc w:val="left"/>
      <w:pPr>
        <w:ind w:left="3560" w:hanging="360"/>
      </w:pPr>
      <w:rPr>
        <w:rFonts w:ascii="Wingdings" w:hAnsi="Wingdings" w:hint="default"/>
      </w:rPr>
    </w:lvl>
    <w:lvl w:ilvl="3" w:tplc="FFFFFFFF" w:tentative="1">
      <w:start w:val="1"/>
      <w:numFmt w:val="bullet"/>
      <w:lvlText w:val=""/>
      <w:lvlJc w:val="left"/>
      <w:pPr>
        <w:ind w:left="4280" w:hanging="360"/>
      </w:pPr>
      <w:rPr>
        <w:rFonts w:ascii="Symbol" w:hAnsi="Symbol" w:hint="default"/>
      </w:rPr>
    </w:lvl>
    <w:lvl w:ilvl="4" w:tplc="FFFFFFFF" w:tentative="1">
      <w:start w:val="1"/>
      <w:numFmt w:val="bullet"/>
      <w:lvlText w:val="o"/>
      <w:lvlJc w:val="left"/>
      <w:pPr>
        <w:ind w:left="5000" w:hanging="360"/>
      </w:pPr>
      <w:rPr>
        <w:rFonts w:ascii="Courier New" w:hAnsi="Courier New" w:cs="Courier New" w:hint="default"/>
      </w:rPr>
    </w:lvl>
    <w:lvl w:ilvl="5" w:tplc="FFFFFFFF" w:tentative="1">
      <w:start w:val="1"/>
      <w:numFmt w:val="bullet"/>
      <w:lvlText w:val=""/>
      <w:lvlJc w:val="left"/>
      <w:pPr>
        <w:ind w:left="5720" w:hanging="360"/>
      </w:pPr>
      <w:rPr>
        <w:rFonts w:ascii="Wingdings" w:hAnsi="Wingdings" w:hint="default"/>
      </w:rPr>
    </w:lvl>
    <w:lvl w:ilvl="6" w:tplc="FFFFFFFF" w:tentative="1">
      <w:start w:val="1"/>
      <w:numFmt w:val="bullet"/>
      <w:lvlText w:val=""/>
      <w:lvlJc w:val="left"/>
      <w:pPr>
        <w:ind w:left="6440" w:hanging="360"/>
      </w:pPr>
      <w:rPr>
        <w:rFonts w:ascii="Symbol" w:hAnsi="Symbol" w:hint="default"/>
      </w:rPr>
    </w:lvl>
    <w:lvl w:ilvl="7" w:tplc="FFFFFFFF" w:tentative="1">
      <w:start w:val="1"/>
      <w:numFmt w:val="bullet"/>
      <w:lvlText w:val="o"/>
      <w:lvlJc w:val="left"/>
      <w:pPr>
        <w:ind w:left="7160" w:hanging="360"/>
      </w:pPr>
      <w:rPr>
        <w:rFonts w:ascii="Courier New" w:hAnsi="Courier New" w:cs="Courier New" w:hint="default"/>
      </w:rPr>
    </w:lvl>
    <w:lvl w:ilvl="8" w:tplc="FFFFFFFF" w:tentative="1">
      <w:start w:val="1"/>
      <w:numFmt w:val="bullet"/>
      <w:lvlText w:val=""/>
      <w:lvlJc w:val="left"/>
      <w:pPr>
        <w:ind w:left="7880" w:hanging="360"/>
      </w:pPr>
      <w:rPr>
        <w:rFonts w:ascii="Wingdings" w:hAnsi="Wingdings" w:hint="default"/>
      </w:rPr>
    </w:lvl>
  </w:abstractNum>
  <w:abstractNum w:abstractNumId="40" w15:restartNumberingAfterBreak="0">
    <w:nsid w:val="1EA66D37"/>
    <w:multiLevelType w:val="hybridMultilevel"/>
    <w:tmpl w:val="34F2A4B6"/>
    <w:lvl w:ilvl="0" w:tplc="FE9EAA6A">
      <w:start w:val="1"/>
      <w:numFmt w:val="bullet"/>
      <w:lvlText w:val="&gt;"/>
      <w:lvlJc w:val="left"/>
      <w:pPr>
        <w:ind w:left="720" w:hanging="360"/>
      </w:pPr>
      <w:rPr>
        <w:rFonts w:ascii="Vrinda" w:hAnsi="Vrinda" w:hint="default"/>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245610"/>
    <w:multiLevelType w:val="hybridMultilevel"/>
    <w:tmpl w:val="DE98E916"/>
    <w:lvl w:ilvl="0" w:tplc="0C090017">
      <w:start w:val="1"/>
      <w:numFmt w:val="lowerLetter"/>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2" w15:restartNumberingAfterBreak="0">
    <w:nsid w:val="2062106B"/>
    <w:multiLevelType w:val="hybridMultilevel"/>
    <w:tmpl w:val="E0B069D6"/>
    <w:lvl w:ilvl="0" w:tplc="E1609DEE">
      <w:start w:val="1"/>
      <w:numFmt w:val="lowerRoman"/>
      <w:lvlText w:val="%1."/>
      <w:lvlJc w:val="right"/>
      <w:pPr>
        <w:ind w:left="135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0C84761"/>
    <w:multiLevelType w:val="multilevel"/>
    <w:tmpl w:val="6C3EF1E8"/>
    <w:lvl w:ilvl="0">
      <w:start w:val="1"/>
      <w:numFmt w:val="decimal"/>
      <w:lvlText w:val="%1."/>
      <w:lvlJc w:val="left"/>
      <w:pPr>
        <w:ind w:left="360" w:hanging="360"/>
      </w:pPr>
    </w:lvl>
    <w:lvl w:ilvl="1">
      <w:start w:val="1"/>
      <w:numFmt w:val="bullet"/>
      <w:lvlText w:val="&gt;"/>
      <w:lvlJc w:val="left"/>
      <w:pPr>
        <w:ind w:left="360" w:hanging="360"/>
      </w:pPr>
      <w:rPr>
        <w:rFonts w:ascii="Vrinda" w:hAnsi="Vrinda" w:hint="default"/>
        <w:b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216C5318"/>
    <w:multiLevelType w:val="hybridMultilevel"/>
    <w:tmpl w:val="A5D0B442"/>
    <w:lvl w:ilvl="0" w:tplc="0C09000F">
      <w:start w:val="1"/>
      <w:numFmt w:val="decimal"/>
      <w:lvlText w:val="%1."/>
      <w:lvlJc w:val="left"/>
      <w:pPr>
        <w:ind w:left="775" w:hanging="360"/>
      </w:pPr>
      <w:rPr>
        <w:rFonts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5" w15:restartNumberingAfterBreak="0">
    <w:nsid w:val="231E605D"/>
    <w:multiLevelType w:val="hybridMultilevel"/>
    <w:tmpl w:val="46A8E6C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43A7B34"/>
    <w:multiLevelType w:val="hybridMultilevel"/>
    <w:tmpl w:val="8DD223EE"/>
    <w:lvl w:ilvl="0" w:tplc="0C09001B">
      <w:start w:val="1"/>
      <w:numFmt w:val="lowerRoman"/>
      <w:lvlText w:val="%1."/>
      <w:lvlJc w:val="righ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7" w15:restartNumberingAfterBreak="0">
    <w:nsid w:val="24672B77"/>
    <w:multiLevelType w:val="hybridMultilevel"/>
    <w:tmpl w:val="6FFED468"/>
    <w:lvl w:ilvl="0" w:tplc="F2BA8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8C37546"/>
    <w:multiLevelType w:val="hybridMultilevel"/>
    <w:tmpl w:val="A05A3D0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B470D61"/>
    <w:multiLevelType w:val="multilevel"/>
    <w:tmpl w:val="AE72FD20"/>
    <w:lvl w:ilvl="0">
      <w:start w:val="1"/>
      <w:numFmt w:val="decimal"/>
      <w:lvlText w:val="%1)"/>
      <w:lvlJc w:val="left"/>
      <w:pPr>
        <w:ind w:left="360" w:hanging="360"/>
      </w:pPr>
      <w:rPr>
        <w:rFonts w:hint="default"/>
        <w:b w:val="0"/>
        <w:bCs/>
        <w:caps/>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B9705B3"/>
    <w:multiLevelType w:val="hybridMultilevel"/>
    <w:tmpl w:val="A9A4A048"/>
    <w:lvl w:ilvl="0" w:tplc="0C090017">
      <w:start w:val="1"/>
      <w:numFmt w:val="lowerLetter"/>
      <w:lvlText w:val="%1)"/>
      <w:lvlJc w:val="left"/>
      <w:pPr>
        <w:ind w:left="1191" w:hanging="360"/>
      </w:pPr>
      <w:rPr>
        <w:rFonts w:hint="default"/>
      </w:rPr>
    </w:lvl>
    <w:lvl w:ilvl="1" w:tplc="FFFFFFFF" w:tentative="1">
      <w:start w:val="1"/>
      <w:numFmt w:val="lowerLetter"/>
      <w:lvlText w:val="%2."/>
      <w:lvlJc w:val="left"/>
      <w:pPr>
        <w:ind w:left="1911" w:hanging="360"/>
      </w:pPr>
    </w:lvl>
    <w:lvl w:ilvl="2" w:tplc="FFFFFFFF" w:tentative="1">
      <w:start w:val="1"/>
      <w:numFmt w:val="lowerRoman"/>
      <w:lvlText w:val="%3."/>
      <w:lvlJc w:val="right"/>
      <w:pPr>
        <w:ind w:left="2631" w:hanging="180"/>
      </w:pPr>
    </w:lvl>
    <w:lvl w:ilvl="3" w:tplc="FFFFFFFF" w:tentative="1">
      <w:start w:val="1"/>
      <w:numFmt w:val="decimal"/>
      <w:lvlText w:val="%4."/>
      <w:lvlJc w:val="left"/>
      <w:pPr>
        <w:ind w:left="3351" w:hanging="360"/>
      </w:pPr>
    </w:lvl>
    <w:lvl w:ilvl="4" w:tplc="FFFFFFFF" w:tentative="1">
      <w:start w:val="1"/>
      <w:numFmt w:val="lowerLetter"/>
      <w:lvlText w:val="%5."/>
      <w:lvlJc w:val="left"/>
      <w:pPr>
        <w:ind w:left="4071" w:hanging="360"/>
      </w:pPr>
    </w:lvl>
    <w:lvl w:ilvl="5" w:tplc="FFFFFFFF" w:tentative="1">
      <w:start w:val="1"/>
      <w:numFmt w:val="lowerRoman"/>
      <w:lvlText w:val="%6."/>
      <w:lvlJc w:val="right"/>
      <w:pPr>
        <w:ind w:left="4791" w:hanging="180"/>
      </w:pPr>
    </w:lvl>
    <w:lvl w:ilvl="6" w:tplc="FFFFFFFF" w:tentative="1">
      <w:start w:val="1"/>
      <w:numFmt w:val="decimal"/>
      <w:lvlText w:val="%7."/>
      <w:lvlJc w:val="left"/>
      <w:pPr>
        <w:ind w:left="5511" w:hanging="360"/>
      </w:pPr>
    </w:lvl>
    <w:lvl w:ilvl="7" w:tplc="FFFFFFFF" w:tentative="1">
      <w:start w:val="1"/>
      <w:numFmt w:val="lowerLetter"/>
      <w:lvlText w:val="%8."/>
      <w:lvlJc w:val="left"/>
      <w:pPr>
        <w:ind w:left="6231" w:hanging="360"/>
      </w:pPr>
    </w:lvl>
    <w:lvl w:ilvl="8" w:tplc="FFFFFFFF" w:tentative="1">
      <w:start w:val="1"/>
      <w:numFmt w:val="lowerRoman"/>
      <w:lvlText w:val="%9."/>
      <w:lvlJc w:val="right"/>
      <w:pPr>
        <w:ind w:left="6951" w:hanging="180"/>
      </w:pPr>
    </w:lvl>
  </w:abstractNum>
  <w:abstractNum w:abstractNumId="52" w15:restartNumberingAfterBreak="0">
    <w:nsid w:val="2C3766EA"/>
    <w:multiLevelType w:val="hybridMultilevel"/>
    <w:tmpl w:val="BC84A08E"/>
    <w:lvl w:ilvl="0" w:tplc="F2BA8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C7422F5"/>
    <w:multiLevelType w:val="hybridMultilevel"/>
    <w:tmpl w:val="80224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5" w15:restartNumberingAfterBreak="0">
    <w:nsid w:val="2F5A5080"/>
    <w:multiLevelType w:val="hybridMultilevel"/>
    <w:tmpl w:val="BE2AF6CE"/>
    <w:lvl w:ilvl="0" w:tplc="D05E2434">
      <w:start w:val="1"/>
      <w:numFmt w:val="bullet"/>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56" w15:restartNumberingAfterBreak="0">
    <w:nsid w:val="30AA174E"/>
    <w:multiLevelType w:val="hybridMultilevel"/>
    <w:tmpl w:val="6BA03B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13B5015"/>
    <w:multiLevelType w:val="hybridMultilevel"/>
    <w:tmpl w:val="E9BED8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15:restartNumberingAfterBreak="0">
    <w:nsid w:val="324A6C41"/>
    <w:multiLevelType w:val="hybridMultilevel"/>
    <w:tmpl w:val="6FD25CF6"/>
    <w:lvl w:ilvl="0" w:tplc="856E6310">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3DB0C6A"/>
    <w:multiLevelType w:val="hybridMultilevel"/>
    <w:tmpl w:val="E4F2D7D6"/>
    <w:lvl w:ilvl="0" w:tplc="856E6310">
      <w:start w:val="1"/>
      <w:numFmt w:val="bullet"/>
      <w:lvlText w:val="&gt;"/>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3424174E"/>
    <w:multiLevelType w:val="hybridMultilevel"/>
    <w:tmpl w:val="79A0659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4D476C7"/>
    <w:multiLevelType w:val="multilevel"/>
    <w:tmpl w:val="103E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60224A5"/>
    <w:multiLevelType w:val="hybridMultilevel"/>
    <w:tmpl w:val="0960084E"/>
    <w:lvl w:ilvl="0" w:tplc="856E6310">
      <w:start w:val="1"/>
      <w:numFmt w:val="bullet"/>
      <w:lvlText w:val="&gt;"/>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36773F52"/>
    <w:multiLevelType w:val="hybridMultilevel"/>
    <w:tmpl w:val="D8EC7118"/>
    <w:lvl w:ilvl="0" w:tplc="46E893C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6F05B50"/>
    <w:multiLevelType w:val="hybridMultilevel"/>
    <w:tmpl w:val="85349BE2"/>
    <w:lvl w:ilvl="0" w:tplc="FFFFFFFF">
      <w:start w:val="1"/>
      <w:numFmt w:val="bullet"/>
      <w:lvlText w:val=""/>
      <w:lvlJc w:val="left"/>
      <w:pPr>
        <w:ind w:left="2120" w:hanging="360"/>
      </w:pPr>
      <w:rPr>
        <w:rFonts w:ascii="Symbol" w:hAnsi="Symbol" w:hint="default"/>
      </w:rPr>
    </w:lvl>
    <w:lvl w:ilvl="1" w:tplc="FFFFFFFF">
      <w:start w:val="1"/>
      <w:numFmt w:val="bullet"/>
      <w:lvlText w:val="o"/>
      <w:lvlJc w:val="left"/>
      <w:pPr>
        <w:ind w:left="2840" w:hanging="360"/>
      </w:pPr>
      <w:rPr>
        <w:rFonts w:ascii="Courier New" w:hAnsi="Courier New" w:cs="Courier New" w:hint="default"/>
      </w:rPr>
    </w:lvl>
    <w:lvl w:ilvl="2" w:tplc="F2BA872A">
      <w:start w:val="1"/>
      <w:numFmt w:val="bullet"/>
      <w:lvlText w:val=""/>
      <w:lvlJc w:val="left"/>
      <w:pPr>
        <w:ind w:left="2120" w:hanging="360"/>
      </w:pPr>
      <w:rPr>
        <w:rFonts w:ascii="Symbol" w:hAnsi="Symbol" w:hint="default"/>
      </w:rPr>
    </w:lvl>
    <w:lvl w:ilvl="3" w:tplc="FFFFFFFF" w:tentative="1">
      <w:start w:val="1"/>
      <w:numFmt w:val="bullet"/>
      <w:lvlText w:val=""/>
      <w:lvlJc w:val="left"/>
      <w:pPr>
        <w:ind w:left="4280" w:hanging="360"/>
      </w:pPr>
      <w:rPr>
        <w:rFonts w:ascii="Symbol" w:hAnsi="Symbol" w:hint="default"/>
      </w:rPr>
    </w:lvl>
    <w:lvl w:ilvl="4" w:tplc="FFFFFFFF" w:tentative="1">
      <w:start w:val="1"/>
      <w:numFmt w:val="bullet"/>
      <w:lvlText w:val="o"/>
      <w:lvlJc w:val="left"/>
      <w:pPr>
        <w:ind w:left="5000" w:hanging="360"/>
      </w:pPr>
      <w:rPr>
        <w:rFonts w:ascii="Courier New" w:hAnsi="Courier New" w:cs="Courier New" w:hint="default"/>
      </w:rPr>
    </w:lvl>
    <w:lvl w:ilvl="5" w:tplc="FFFFFFFF" w:tentative="1">
      <w:start w:val="1"/>
      <w:numFmt w:val="bullet"/>
      <w:lvlText w:val=""/>
      <w:lvlJc w:val="left"/>
      <w:pPr>
        <w:ind w:left="5720" w:hanging="360"/>
      </w:pPr>
      <w:rPr>
        <w:rFonts w:ascii="Wingdings" w:hAnsi="Wingdings" w:hint="default"/>
      </w:rPr>
    </w:lvl>
    <w:lvl w:ilvl="6" w:tplc="FFFFFFFF" w:tentative="1">
      <w:start w:val="1"/>
      <w:numFmt w:val="bullet"/>
      <w:lvlText w:val=""/>
      <w:lvlJc w:val="left"/>
      <w:pPr>
        <w:ind w:left="6440" w:hanging="360"/>
      </w:pPr>
      <w:rPr>
        <w:rFonts w:ascii="Symbol" w:hAnsi="Symbol" w:hint="default"/>
      </w:rPr>
    </w:lvl>
    <w:lvl w:ilvl="7" w:tplc="FFFFFFFF" w:tentative="1">
      <w:start w:val="1"/>
      <w:numFmt w:val="bullet"/>
      <w:lvlText w:val="o"/>
      <w:lvlJc w:val="left"/>
      <w:pPr>
        <w:ind w:left="7160" w:hanging="360"/>
      </w:pPr>
      <w:rPr>
        <w:rFonts w:ascii="Courier New" w:hAnsi="Courier New" w:cs="Courier New" w:hint="default"/>
      </w:rPr>
    </w:lvl>
    <w:lvl w:ilvl="8" w:tplc="FFFFFFFF" w:tentative="1">
      <w:start w:val="1"/>
      <w:numFmt w:val="bullet"/>
      <w:lvlText w:val=""/>
      <w:lvlJc w:val="left"/>
      <w:pPr>
        <w:ind w:left="7880" w:hanging="360"/>
      </w:pPr>
      <w:rPr>
        <w:rFonts w:ascii="Wingdings" w:hAnsi="Wingdings" w:hint="default"/>
      </w:rPr>
    </w:lvl>
  </w:abstractNum>
  <w:abstractNum w:abstractNumId="65" w15:restartNumberingAfterBreak="0">
    <w:nsid w:val="37020905"/>
    <w:multiLevelType w:val="hybridMultilevel"/>
    <w:tmpl w:val="6A8632F0"/>
    <w:lvl w:ilvl="0" w:tplc="A3A68944">
      <w:start w:val="1"/>
      <w:numFmt w:val="decimal"/>
      <w:lvlText w:val="%1."/>
      <w:lvlJc w:val="left"/>
      <w:pPr>
        <w:ind w:left="360" w:hanging="360"/>
      </w:pPr>
      <w:rPr>
        <w:rFonts w:ascii="Arial" w:hAnsi="Arial" w:cs="Arial" w:hint="default"/>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7520F21"/>
    <w:multiLevelType w:val="multilevel"/>
    <w:tmpl w:val="224C0C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3A145446"/>
    <w:multiLevelType w:val="multilevel"/>
    <w:tmpl w:val="9FBA0C9E"/>
    <w:lvl w:ilvl="0">
      <w:start w:val="1"/>
      <w:numFmt w:val="decimal"/>
      <w:lvlText w:val="%1."/>
      <w:lvlJc w:val="left"/>
      <w:pPr>
        <w:ind w:left="360" w:hanging="360"/>
      </w:pPr>
      <w:rPr>
        <w:b/>
        <w:bCs/>
      </w:r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3A8709E0"/>
    <w:multiLevelType w:val="hybridMultilevel"/>
    <w:tmpl w:val="EEDA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B381B34"/>
    <w:multiLevelType w:val="multilevel"/>
    <w:tmpl w:val="7E5623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C18250C"/>
    <w:multiLevelType w:val="hybridMultilevel"/>
    <w:tmpl w:val="05282D64"/>
    <w:lvl w:ilvl="0" w:tplc="C0F88968">
      <w:numFmt w:val="bullet"/>
      <w:lvlText w:val="-"/>
      <w:lvlJc w:val="left"/>
      <w:pPr>
        <w:ind w:left="720" w:hanging="360"/>
      </w:pPr>
      <w:rPr>
        <w:rFonts w:ascii="MontserratLight" w:eastAsia="Times New Roman" w:hAnsi="Montserrat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F026DD1"/>
    <w:multiLevelType w:val="hybridMultilevel"/>
    <w:tmpl w:val="8F3EB552"/>
    <w:lvl w:ilvl="0" w:tplc="856E6310">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040165F"/>
    <w:multiLevelType w:val="hybridMultilevel"/>
    <w:tmpl w:val="68F4EC18"/>
    <w:lvl w:ilvl="0" w:tplc="C4F47B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09E23F4"/>
    <w:multiLevelType w:val="hybridMultilevel"/>
    <w:tmpl w:val="E5522AD6"/>
    <w:lvl w:ilvl="0" w:tplc="F2BA872A">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40D456D5"/>
    <w:multiLevelType w:val="multilevel"/>
    <w:tmpl w:val="0710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2091855"/>
    <w:multiLevelType w:val="hybridMultilevel"/>
    <w:tmpl w:val="52D40922"/>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2B01248"/>
    <w:multiLevelType w:val="hybridMultilevel"/>
    <w:tmpl w:val="2F3220AA"/>
    <w:lvl w:ilvl="0" w:tplc="856E6310">
      <w:start w:val="1"/>
      <w:numFmt w:val="bullet"/>
      <w:lvlText w:val="&gt;"/>
      <w:lvlJc w:val="left"/>
      <w:pPr>
        <w:ind w:left="3240" w:hanging="360"/>
      </w:pPr>
      <w:rPr>
        <w:rFonts w:ascii="Arial" w:hAnsi="Arial" w:hint="default"/>
      </w:rPr>
    </w:lvl>
    <w:lvl w:ilvl="1" w:tplc="0C090017">
      <w:start w:val="1"/>
      <w:numFmt w:val="lowerLetter"/>
      <w:lvlText w:val="%2)"/>
      <w:lvlJc w:val="left"/>
      <w:pPr>
        <w:ind w:left="3960" w:hanging="360"/>
      </w:pPr>
      <w:rPr>
        <w:rFonts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77" w15:restartNumberingAfterBreak="0">
    <w:nsid w:val="4398624C"/>
    <w:multiLevelType w:val="hybridMultilevel"/>
    <w:tmpl w:val="75EC7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50E60D6"/>
    <w:multiLevelType w:val="hybridMultilevel"/>
    <w:tmpl w:val="5896DB70"/>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6C40F71"/>
    <w:multiLevelType w:val="hybridMultilevel"/>
    <w:tmpl w:val="32903A38"/>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6FF5E1E"/>
    <w:multiLevelType w:val="hybridMultilevel"/>
    <w:tmpl w:val="F9D4D8F0"/>
    <w:lvl w:ilvl="0" w:tplc="F2BA872A">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476649FA"/>
    <w:multiLevelType w:val="hybridMultilevel"/>
    <w:tmpl w:val="FCACEFD4"/>
    <w:lvl w:ilvl="0" w:tplc="F2BA8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89A094B"/>
    <w:multiLevelType w:val="hybridMultilevel"/>
    <w:tmpl w:val="A5D0B442"/>
    <w:lvl w:ilvl="0" w:tplc="FFFFFFFF">
      <w:start w:val="1"/>
      <w:numFmt w:val="decimal"/>
      <w:lvlText w:val="%1."/>
      <w:lvlJc w:val="left"/>
      <w:pPr>
        <w:ind w:left="775" w:hanging="360"/>
      </w:pPr>
      <w:rPr>
        <w:rFonts w:hint="default"/>
      </w:rPr>
    </w:lvl>
    <w:lvl w:ilvl="1" w:tplc="FFFFFFFF">
      <w:start w:val="1"/>
      <w:numFmt w:val="bullet"/>
      <w:lvlText w:val="o"/>
      <w:lvlJc w:val="left"/>
      <w:pPr>
        <w:ind w:left="1495" w:hanging="360"/>
      </w:pPr>
      <w:rPr>
        <w:rFonts w:ascii="Courier New" w:hAnsi="Courier New" w:cs="Courier New" w:hint="default"/>
      </w:rPr>
    </w:lvl>
    <w:lvl w:ilvl="2" w:tplc="FFFFFFFF">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83" w15:restartNumberingAfterBreak="0">
    <w:nsid w:val="49656A32"/>
    <w:multiLevelType w:val="multilevel"/>
    <w:tmpl w:val="EB06E91E"/>
    <w:lvl w:ilvl="0">
      <w:start w:val="1"/>
      <w:numFmt w:val="decimal"/>
      <w:lvlText w:val="%1."/>
      <w:lvlJc w:val="left"/>
      <w:pPr>
        <w:ind w:left="397" w:hanging="397"/>
      </w:pPr>
    </w:lvl>
    <w:lvl w:ilvl="1">
      <w:start w:val="1"/>
      <w:numFmt w:val="lowerLetter"/>
      <w:lvlText w:val="%2."/>
      <w:lvlJc w:val="left"/>
      <w:pPr>
        <w:ind w:left="794" w:hanging="397"/>
      </w:pPr>
      <w:rPr>
        <w:rFonts w:hint="default"/>
      </w:rPr>
    </w:lvl>
    <w:lvl w:ilvl="2">
      <w:start w:val="1"/>
      <w:numFmt w:val="lowerRoman"/>
      <w:lvlText w:val="%3."/>
      <w:lvlJc w:val="right"/>
      <w:pPr>
        <w:ind w:left="1304"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497262ED"/>
    <w:multiLevelType w:val="hybridMultilevel"/>
    <w:tmpl w:val="F3BE8B2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A432FB2"/>
    <w:multiLevelType w:val="hybridMultilevel"/>
    <w:tmpl w:val="4A2CFA2C"/>
    <w:lvl w:ilvl="0" w:tplc="1706C00E">
      <w:start w:val="1"/>
      <w:numFmt w:val="bullet"/>
      <w:pStyle w:val="Bulletlevel1"/>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86" w15:restartNumberingAfterBreak="0">
    <w:nsid w:val="4BC76631"/>
    <w:multiLevelType w:val="hybridMultilevel"/>
    <w:tmpl w:val="17B0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DB97758"/>
    <w:multiLevelType w:val="hybridMultilevel"/>
    <w:tmpl w:val="24B20A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F134AAF"/>
    <w:multiLevelType w:val="hybridMultilevel"/>
    <w:tmpl w:val="ABB866C8"/>
    <w:lvl w:ilvl="0" w:tplc="2BFE3A0C">
      <w:start w:val="1"/>
      <w:numFmt w:val="lowerRoman"/>
      <w:lvlText w:val="(%1)"/>
      <w:lvlJc w:val="right"/>
      <w:pPr>
        <w:ind w:left="1191" w:hanging="360"/>
      </w:pPr>
      <w:rPr>
        <w:rFonts w:hint="default"/>
      </w:rPr>
    </w:lvl>
    <w:lvl w:ilvl="1" w:tplc="0C090019" w:tentative="1">
      <w:start w:val="1"/>
      <w:numFmt w:val="lowerLetter"/>
      <w:lvlText w:val="%2."/>
      <w:lvlJc w:val="left"/>
      <w:pPr>
        <w:ind w:left="1911" w:hanging="360"/>
      </w:pPr>
    </w:lvl>
    <w:lvl w:ilvl="2" w:tplc="0C09001B" w:tentative="1">
      <w:start w:val="1"/>
      <w:numFmt w:val="lowerRoman"/>
      <w:lvlText w:val="%3."/>
      <w:lvlJc w:val="right"/>
      <w:pPr>
        <w:ind w:left="2631" w:hanging="180"/>
      </w:pPr>
    </w:lvl>
    <w:lvl w:ilvl="3" w:tplc="0C09000F" w:tentative="1">
      <w:start w:val="1"/>
      <w:numFmt w:val="decimal"/>
      <w:lvlText w:val="%4."/>
      <w:lvlJc w:val="left"/>
      <w:pPr>
        <w:ind w:left="3351" w:hanging="360"/>
      </w:pPr>
    </w:lvl>
    <w:lvl w:ilvl="4" w:tplc="0C090019" w:tentative="1">
      <w:start w:val="1"/>
      <w:numFmt w:val="lowerLetter"/>
      <w:lvlText w:val="%5."/>
      <w:lvlJc w:val="left"/>
      <w:pPr>
        <w:ind w:left="4071" w:hanging="360"/>
      </w:pPr>
    </w:lvl>
    <w:lvl w:ilvl="5" w:tplc="0C09001B" w:tentative="1">
      <w:start w:val="1"/>
      <w:numFmt w:val="lowerRoman"/>
      <w:lvlText w:val="%6."/>
      <w:lvlJc w:val="right"/>
      <w:pPr>
        <w:ind w:left="4791" w:hanging="180"/>
      </w:pPr>
    </w:lvl>
    <w:lvl w:ilvl="6" w:tplc="0C09000F" w:tentative="1">
      <w:start w:val="1"/>
      <w:numFmt w:val="decimal"/>
      <w:lvlText w:val="%7."/>
      <w:lvlJc w:val="left"/>
      <w:pPr>
        <w:ind w:left="5511" w:hanging="360"/>
      </w:pPr>
    </w:lvl>
    <w:lvl w:ilvl="7" w:tplc="0C090019" w:tentative="1">
      <w:start w:val="1"/>
      <w:numFmt w:val="lowerLetter"/>
      <w:lvlText w:val="%8."/>
      <w:lvlJc w:val="left"/>
      <w:pPr>
        <w:ind w:left="6231" w:hanging="360"/>
      </w:pPr>
    </w:lvl>
    <w:lvl w:ilvl="8" w:tplc="0C09001B" w:tentative="1">
      <w:start w:val="1"/>
      <w:numFmt w:val="lowerRoman"/>
      <w:lvlText w:val="%9."/>
      <w:lvlJc w:val="right"/>
      <w:pPr>
        <w:ind w:left="6951" w:hanging="180"/>
      </w:pPr>
    </w:lvl>
  </w:abstractNum>
  <w:abstractNum w:abstractNumId="89" w15:restartNumberingAfterBreak="0">
    <w:nsid w:val="4F75024D"/>
    <w:multiLevelType w:val="multilevel"/>
    <w:tmpl w:val="BF9EA8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F774B69"/>
    <w:multiLevelType w:val="hybridMultilevel"/>
    <w:tmpl w:val="34502BAC"/>
    <w:lvl w:ilvl="0" w:tplc="F2BA87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0C150B7"/>
    <w:multiLevelType w:val="hybridMultilevel"/>
    <w:tmpl w:val="9CF4C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11430EC"/>
    <w:multiLevelType w:val="hybridMultilevel"/>
    <w:tmpl w:val="5238BFE2"/>
    <w:lvl w:ilvl="0" w:tplc="F8522A58">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1AD2DA6"/>
    <w:multiLevelType w:val="multilevel"/>
    <w:tmpl w:val="EF2AD264"/>
    <w:lvl w:ilvl="0">
      <w:start w:val="1"/>
      <w:numFmt w:val="lowerLetter"/>
      <w:lvlText w:val="%1)"/>
      <w:lvlJc w:val="left"/>
      <w:pPr>
        <w:ind w:left="814" w:hanging="360"/>
      </w:pPr>
    </w:lvl>
    <w:lvl w:ilvl="1">
      <w:start w:val="7"/>
      <w:numFmt w:val="decimal"/>
      <w:isLgl/>
      <w:lvlText w:val="%1.%2"/>
      <w:lvlJc w:val="left"/>
      <w:pPr>
        <w:ind w:left="814"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94" w15:restartNumberingAfterBreak="0">
    <w:nsid w:val="54811B76"/>
    <w:multiLevelType w:val="hybridMultilevel"/>
    <w:tmpl w:val="61BA7D8C"/>
    <w:lvl w:ilvl="0" w:tplc="60F86470">
      <w:start w:val="1"/>
      <w:numFmt w:val="lowerRoman"/>
      <w:lvlText w:val="%1."/>
      <w:lvlJc w:val="right"/>
      <w:pPr>
        <w:ind w:left="13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58E6550"/>
    <w:multiLevelType w:val="hybridMultilevel"/>
    <w:tmpl w:val="E21E4C6E"/>
    <w:lvl w:ilvl="0" w:tplc="0C09000F">
      <w:start w:val="1"/>
      <w:numFmt w:val="decimal"/>
      <w:lvlText w:val="%1."/>
      <w:lvlJc w:val="left"/>
      <w:pPr>
        <w:ind w:left="947" w:hanging="360"/>
      </w:pPr>
      <w:rPr>
        <w:rFonts w:hint="default"/>
      </w:rPr>
    </w:lvl>
    <w:lvl w:ilvl="1" w:tplc="FFFFFFFF">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96" w15:restartNumberingAfterBreak="0">
    <w:nsid w:val="55AA21F0"/>
    <w:multiLevelType w:val="hybridMultilevel"/>
    <w:tmpl w:val="D3C825F0"/>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782542E"/>
    <w:multiLevelType w:val="hybridMultilevel"/>
    <w:tmpl w:val="49C2F2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8F1511E"/>
    <w:multiLevelType w:val="hybridMultilevel"/>
    <w:tmpl w:val="6A0A8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9153DC0"/>
    <w:multiLevelType w:val="hybridMultilevel"/>
    <w:tmpl w:val="E7623992"/>
    <w:lvl w:ilvl="0" w:tplc="FFFFFFFF">
      <w:start w:val="1"/>
      <w:numFmt w:val="bullet"/>
      <w:lvlText w:val=""/>
      <w:lvlJc w:val="left"/>
      <w:pPr>
        <w:ind w:left="1400" w:hanging="360"/>
      </w:pPr>
      <w:rPr>
        <w:rFonts w:ascii="Symbol" w:hAnsi="Symbol" w:hint="default"/>
      </w:rPr>
    </w:lvl>
    <w:lvl w:ilvl="1" w:tplc="F2BA872A">
      <w:start w:val="1"/>
      <w:numFmt w:val="bullet"/>
      <w:lvlText w:val=""/>
      <w:lvlJc w:val="left"/>
      <w:pPr>
        <w:ind w:left="2120" w:hanging="360"/>
      </w:pPr>
      <w:rPr>
        <w:rFonts w:ascii="Symbol" w:hAnsi="Symbol" w:hint="default"/>
      </w:rPr>
    </w:lvl>
    <w:lvl w:ilvl="2" w:tplc="FFFFFFFF">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00" w15:restartNumberingAfterBreak="0">
    <w:nsid w:val="5BF05E4D"/>
    <w:multiLevelType w:val="multilevel"/>
    <w:tmpl w:val="FAE4A2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5BF91AF2"/>
    <w:multiLevelType w:val="hybridMultilevel"/>
    <w:tmpl w:val="D5DA87B2"/>
    <w:lvl w:ilvl="0" w:tplc="46E893CE">
      <w:start w:val="1"/>
      <w:numFmt w:val="bullet"/>
      <w:lvlText w:val=""/>
      <w:lvlJc w:val="left"/>
      <w:pPr>
        <w:ind w:left="1041" w:hanging="360"/>
      </w:pPr>
      <w:rPr>
        <w:rFonts w:ascii="Symbol" w:hAnsi="Symbol"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102" w15:restartNumberingAfterBreak="0">
    <w:nsid w:val="5E6C2FF1"/>
    <w:multiLevelType w:val="hybridMultilevel"/>
    <w:tmpl w:val="CFA23806"/>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ED9765E"/>
    <w:multiLevelType w:val="hybridMultilevel"/>
    <w:tmpl w:val="9E4EC3DA"/>
    <w:lvl w:ilvl="0" w:tplc="F2BA872A">
      <w:start w:val="1"/>
      <w:numFmt w:val="bullet"/>
      <w:lvlText w:val=""/>
      <w:lvlJc w:val="left"/>
      <w:pPr>
        <w:ind w:left="2120" w:hanging="360"/>
      </w:pPr>
      <w:rPr>
        <w:rFonts w:ascii="Symbol" w:hAnsi="Symbol" w:hint="default"/>
      </w:rPr>
    </w:lvl>
    <w:lvl w:ilvl="1" w:tplc="0C090003">
      <w:start w:val="1"/>
      <w:numFmt w:val="bullet"/>
      <w:lvlText w:val="o"/>
      <w:lvlJc w:val="left"/>
      <w:pPr>
        <w:ind w:left="2840" w:hanging="360"/>
      </w:pPr>
      <w:rPr>
        <w:rFonts w:ascii="Courier New" w:hAnsi="Courier New" w:cs="Courier New" w:hint="default"/>
      </w:rPr>
    </w:lvl>
    <w:lvl w:ilvl="2" w:tplc="0C090005">
      <w:start w:val="1"/>
      <w:numFmt w:val="bullet"/>
      <w:lvlText w:val=""/>
      <w:lvlJc w:val="left"/>
      <w:pPr>
        <w:ind w:left="3560" w:hanging="360"/>
      </w:pPr>
      <w:rPr>
        <w:rFonts w:ascii="Wingdings" w:hAnsi="Wingdings" w:hint="default"/>
      </w:rPr>
    </w:lvl>
    <w:lvl w:ilvl="3" w:tplc="0C090001" w:tentative="1">
      <w:start w:val="1"/>
      <w:numFmt w:val="bullet"/>
      <w:lvlText w:val=""/>
      <w:lvlJc w:val="left"/>
      <w:pPr>
        <w:ind w:left="4280" w:hanging="360"/>
      </w:pPr>
      <w:rPr>
        <w:rFonts w:ascii="Symbol" w:hAnsi="Symbol" w:hint="default"/>
      </w:rPr>
    </w:lvl>
    <w:lvl w:ilvl="4" w:tplc="0C090003" w:tentative="1">
      <w:start w:val="1"/>
      <w:numFmt w:val="bullet"/>
      <w:lvlText w:val="o"/>
      <w:lvlJc w:val="left"/>
      <w:pPr>
        <w:ind w:left="5000" w:hanging="360"/>
      </w:pPr>
      <w:rPr>
        <w:rFonts w:ascii="Courier New" w:hAnsi="Courier New" w:cs="Courier New" w:hint="default"/>
      </w:rPr>
    </w:lvl>
    <w:lvl w:ilvl="5" w:tplc="0C090005" w:tentative="1">
      <w:start w:val="1"/>
      <w:numFmt w:val="bullet"/>
      <w:lvlText w:val=""/>
      <w:lvlJc w:val="left"/>
      <w:pPr>
        <w:ind w:left="5720" w:hanging="360"/>
      </w:pPr>
      <w:rPr>
        <w:rFonts w:ascii="Wingdings" w:hAnsi="Wingdings" w:hint="default"/>
      </w:rPr>
    </w:lvl>
    <w:lvl w:ilvl="6" w:tplc="0C090001" w:tentative="1">
      <w:start w:val="1"/>
      <w:numFmt w:val="bullet"/>
      <w:lvlText w:val=""/>
      <w:lvlJc w:val="left"/>
      <w:pPr>
        <w:ind w:left="6440" w:hanging="360"/>
      </w:pPr>
      <w:rPr>
        <w:rFonts w:ascii="Symbol" w:hAnsi="Symbol" w:hint="default"/>
      </w:rPr>
    </w:lvl>
    <w:lvl w:ilvl="7" w:tplc="0C090003" w:tentative="1">
      <w:start w:val="1"/>
      <w:numFmt w:val="bullet"/>
      <w:lvlText w:val="o"/>
      <w:lvlJc w:val="left"/>
      <w:pPr>
        <w:ind w:left="7160" w:hanging="360"/>
      </w:pPr>
      <w:rPr>
        <w:rFonts w:ascii="Courier New" w:hAnsi="Courier New" w:cs="Courier New" w:hint="default"/>
      </w:rPr>
    </w:lvl>
    <w:lvl w:ilvl="8" w:tplc="0C090005" w:tentative="1">
      <w:start w:val="1"/>
      <w:numFmt w:val="bullet"/>
      <w:lvlText w:val=""/>
      <w:lvlJc w:val="left"/>
      <w:pPr>
        <w:ind w:left="7880" w:hanging="360"/>
      </w:pPr>
      <w:rPr>
        <w:rFonts w:ascii="Wingdings" w:hAnsi="Wingdings" w:hint="default"/>
      </w:rPr>
    </w:lvl>
  </w:abstractNum>
  <w:abstractNum w:abstractNumId="104" w15:restartNumberingAfterBreak="0">
    <w:nsid w:val="5EFA6351"/>
    <w:multiLevelType w:val="hybridMultilevel"/>
    <w:tmpl w:val="E45C32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FD12B36"/>
    <w:multiLevelType w:val="hybridMultilevel"/>
    <w:tmpl w:val="0608B5AA"/>
    <w:lvl w:ilvl="0" w:tplc="856E6310">
      <w:start w:val="1"/>
      <w:numFmt w:val="bullet"/>
      <w:lvlText w:val="&gt;"/>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5FF4549D"/>
    <w:multiLevelType w:val="hybridMultilevel"/>
    <w:tmpl w:val="CB6A3A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0304F29"/>
    <w:multiLevelType w:val="hybridMultilevel"/>
    <w:tmpl w:val="204682B6"/>
    <w:lvl w:ilvl="0" w:tplc="66A8D32C">
      <w:start w:val="1"/>
      <w:numFmt w:val="bullet"/>
      <w:pStyle w:val="Bulletlevel2"/>
      <w:lvlText w:val=""/>
      <w:lvlJc w:val="left"/>
      <w:pPr>
        <w:ind w:left="1400" w:hanging="360"/>
      </w:pPr>
      <w:rPr>
        <w:rFonts w:ascii="Symbol" w:hAnsi="Symbol" w:hint="default"/>
      </w:rPr>
    </w:lvl>
    <w:lvl w:ilvl="1" w:tplc="0C090003">
      <w:start w:val="1"/>
      <w:numFmt w:val="bullet"/>
      <w:lvlText w:val="o"/>
      <w:lvlJc w:val="left"/>
      <w:pPr>
        <w:ind w:left="2120" w:hanging="360"/>
      </w:pPr>
      <w:rPr>
        <w:rFonts w:ascii="Courier New" w:hAnsi="Courier New" w:cs="Courier New" w:hint="default"/>
      </w:rPr>
    </w:lvl>
    <w:lvl w:ilvl="2" w:tplc="0C090005">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08" w15:restartNumberingAfterBreak="0">
    <w:nsid w:val="60463A48"/>
    <w:multiLevelType w:val="hybridMultilevel"/>
    <w:tmpl w:val="1D744A8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073550D"/>
    <w:multiLevelType w:val="hybridMultilevel"/>
    <w:tmpl w:val="4AE00994"/>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1611DC4"/>
    <w:multiLevelType w:val="hybridMultilevel"/>
    <w:tmpl w:val="5A2EFC74"/>
    <w:lvl w:ilvl="0" w:tplc="0C090001">
      <w:start w:val="1"/>
      <w:numFmt w:val="bullet"/>
      <w:lvlText w:val=""/>
      <w:lvlJc w:val="left"/>
      <w:pPr>
        <w:ind w:left="1268" w:hanging="360"/>
      </w:pPr>
      <w:rPr>
        <w:rFonts w:ascii="Symbol" w:hAnsi="Symbol" w:hint="default"/>
      </w:rPr>
    </w:lvl>
    <w:lvl w:ilvl="1" w:tplc="0C090003" w:tentative="1">
      <w:start w:val="1"/>
      <w:numFmt w:val="bullet"/>
      <w:lvlText w:val="o"/>
      <w:lvlJc w:val="left"/>
      <w:pPr>
        <w:ind w:left="1988" w:hanging="360"/>
      </w:pPr>
      <w:rPr>
        <w:rFonts w:ascii="Courier New" w:hAnsi="Courier New" w:cs="Courier New" w:hint="default"/>
      </w:rPr>
    </w:lvl>
    <w:lvl w:ilvl="2" w:tplc="0C090005" w:tentative="1">
      <w:start w:val="1"/>
      <w:numFmt w:val="bullet"/>
      <w:lvlText w:val=""/>
      <w:lvlJc w:val="left"/>
      <w:pPr>
        <w:ind w:left="2708" w:hanging="360"/>
      </w:pPr>
      <w:rPr>
        <w:rFonts w:ascii="Wingdings" w:hAnsi="Wingdings" w:hint="default"/>
      </w:rPr>
    </w:lvl>
    <w:lvl w:ilvl="3" w:tplc="0C090001" w:tentative="1">
      <w:start w:val="1"/>
      <w:numFmt w:val="bullet"/>
      <w:lvlText w:val=""/>
      <w:lvlJc w:val="left"/>
      <w:pPr>
        <w:ind w:left="3428" w:hanging="360"/>
      </w:pPr>
      <w:rPr>
        <w:rFonts w:ascii="Symbol" w:hAnsi="Symbol" w:hint="default"/>
      </w:rPr>
    </w:lvl>
    <w:lvl w:ilvl="4" w:tplc="0C090003" w:tentative="1">
      <w:start w:val="1"/>
      <w:numFmt w:val="bullet"/>
      <w:lvlText w:val="o"/>
      <w:lvlJc w:val="left"/>
      <w:pPr>
        <w:ind w:left="4148" w:hanging="360"/>
      </w:pPr>
      <w:rPr>
        <w:rFonts w:ascii="Courier New" w:hAnsi="Courier New" w:cs="Courier New" w:hint="default"/>
      </w:rPr>
    </w:lvl>
    <w:lvl w:ilvl="5" w:tplc="0C090005" w:tentative="1">
      <w:start w:val="1"/>
      <w:numFmt w:val="bullet"/>
      <w:lvlText w:val=""/>
      <w:lvlJc w:val="left"/>
      <w:pPr>
        <w:ind w:left="4868" w:hanging="360"/>
      </w:pPr>
      <w:rPr>
        <w:rFonts w:ascii="Wingdings" w:hAnsi="Wingdings" w:hint="default"/>
      </w:rPr>
    </w:lvl>
    <w:lvl w:ilvl="6" w:tplc="0C090001" w:tentative="1">
      <w:start w:val="1"/>
      <w:numFmt w:val="bullet"/>
      <w:lvlText w:val=""/>
      <w:lvlJc w:val="left"/>
      <w:pPr>
        <w:ind w:left="5588" w:hanging="360"/>
      </w:pPr>
      <w:rPr>
        <w:rFonts w:ascii="Symbol" w:hAnsi="Symbol" w:hint="default"/>
      </w:rPr>
    </w:lvl>
    <w:lvl w:ilvl="7" w:tplc="0C090003" w:tentative="1">
      <w:start w:val="1"/>
      <w:numFmt w:val="bullet"/>
      <w:lvlText w:val="o"/>
      <w:lvlJc w:val="left"/>
      <w:pPr>
        <w:ind w:left="6308" w:hanging="360"/>
      </w:pPr>
      <w:rPr>
        <w:rFonts w:ascii="Courier New" w:hAnsi="Courier New" w:cs="Courier New" w:hint="default"/>
      </w:rPr>
    </w:lvl>
    <w:lvl w:ilvl="8" w:tplc="0C090005" w:tentative="1">
      <w:start w:val="1"/>
      <w:numFmt w:val="bullet"/>
      <w:lvlText w:val=""/>
      <w:lvlJc w:val="left"/>
      <w:pPr>
        <w:ind w:left="7028" w:hanging="360"/>
      </w:pPr>
      <w:rPr>
        <w:rFonts w:ascii="Wingdings" w:hAnsi="Wingdings" w:hint="default"/>
      </w:rPr>
    </w:lvl>
  </w:abstractNum>
  <w:abstractNum w:abstractNumId="111" w15:restartNumberingAfterBreak="0">
    <w:nsid w:val="616F1AD3"/>
    <w:multiLevelType w:val="multilevel"/>
    <w:tmpl w:val="0DB677CA"/>
    <w:lvl w:ilvl="0">
      <w:start w:val="1"/>
      <w:numFmt w:val="decimal"/>
      <w:pStyle w:val="Heading1"/>
      <w:lvlText w:val="%1."/>
      <w:lvlJc w:val="left"/>
      <w:pPr>
        <w:ind w:left="0" w:hanging="567"/>
      </w:pPr>
      <w:rPr>
        <w:rFonts w:hint="default"/>
      </w:rPr>
    </w:lvl>
    <w:lvl w:ilvl="1">
      <w:start w:val="1"/>
      <w:numFmt w:val="decimal"/>
      <w:pStyle w:val="FooterLeft"/>
      <w:lvlText w:val="%1.%2"/>
      <w:lvlJc w:val="left"/>
      <w:pPr>
        <w:tabs>
          <w:tab w:val="num" w:pos="567"/>
        </w:tabs>
        <w:ind w:left="0" w:hanging="567"/>
      </w:pPr>
      <w:rPr>
        <w:rFonts w:hint="default"/>
        <w:b w:val="0"/>
        <w:bCs/>
        <w:i w:val="0"/>
        <w:i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2BB62A3"/>
    <w:multiLevelType w:val="hybridMultilevel"/>
    <w:tmpl w:val="CC0C723E"/>
    <w:lvl w:ilvl="0" w:tplc="0C09001B">
      <w:start w:val="1"/>
      <w:numFmt w:val="lowerRoman"/>
      <w:lvlText w:val="%1."/>
      <w:lvlJc w:val="right"/>
      <w:pPr>
        <w:ind w:left="947" w:hanging="360"/>
      </w:pPr>
      <w:rPr>
        <w:rFonts w:hint="default"/>
      </w:rPr>
    </w:lvl>
    <w:lvl w:ilvl="1" w:tplc="FFFFFFFF">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1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D93333"/>
    <w:multiLevelType w:val="hybridMultilevel"/>
    <w:tmpl w:val="854886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65071478"/>
    <w:multiLevelType w:val="hybridMultilevel"/>
    <w:tmpl w:val="9B2C7756"/>
    <w:lvl w:ilvl="0" w:tplc="B6D2153E">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51C2209"/>
    <w:multiLevelType w:val="multilevel"/>
    <w:tmpl w:val="F6EC5D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670F77B0"/>
    <w:multiLevelType w:val="hybridMultilevel"/>
    <w:tmpl w:val="F256636E"/>
    <w:lvl w:ilvl="0" w:tplc="236086D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689F7273"/>
    <w:multiLevelType w:val="hybridMultilevel"/>
    <w:tmpl w:val="53A2C7F8"/>
    <w:lvl w:ilvl="0" w:tplc="1286F824">
      <w:start w:val="1"/>
      <w:numFmt w:val="decimal"/>
      <w:lvlText w:val="%1."/>
      <w:lvlJc w:val="left"/>
      <w:pPr>
        <w:ind w:left="360" w:hanging="360"/>
      </w:pPr>
      <w:rPr>
        <w:rFonts w:hint="default"/>
        <w:b w:val="0"/>
        <w:bCs/>
        <w:caps/>
        <w:sz w:val="20"/>
      </w:rPr>
    </w:lvl>
    <w:lvl w:ilvl="1" w:tplc="2BFE3A0C">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92C7AC2"/>
    <w:multiLevelType w:val="hybridMultilevel"/>
    <w:tmpl w:val="7B04B466"/>
    <w:lvl w:ilvl="0" w:tplc="856E6310">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99A7786"/>
    <w:multiLevelType w:val="hybridMultilevel"/>
    <w:tmpl w:val="3F6C5F7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99D0B23"/>
    <w:multiLevelType w:val="hybridMultilevel"/>
    <w:tmpl w:val="BCC0A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9E66AB5"/>
    <w:multiLevelType w:val="hybridMultilevel"/>
    <w:tmpl w:val="DF60E6FC"/>
    <w:lvl w:ilvl="0" w:tplc="F2BA872A">
      <w:start w:val="1"/>
      <w:numFmt w:val="bullet"/>
      <w:lvlText w:val=""/>
      <w:lvlJc w:val="left"/>
      <w:pPr>
        <w:ind w:left="2120" w:hanging="360"/>
      </w:pPr>
      <w:rPr>
        <w:rFonts w:ascii="Symbol" w:hAnsi="Symbol" w:hint="default"/>
      </w:rPr>
    </w:lvl>
    <w:lvl w:ilvl="1" w:tplc="0C090003">
      <w:start w:val="1"/>
      <w:numFmt w:val="bullet"/>
      <w:lvlText w:val="o"/>
      <w:lvlJc w:val="left"/>
      <w:pPr>
        <w:ind w:left="2840" w:hanging="360"/>
      </w:pPr>
      <w:rPr>
        <w:rFonts w:ascii="Courier New" w:hAnsi="Courier New" w:cs="Courier New" w:hint="default"/>
      </w:rPr>
    </w:lvl>
    <w:lvl w:ilvl="2" w:tplc="0C090005">
      <w:start w:val="1"/>
      <w:numFmt w:val="bullet"/>
      <w:lvlText w:val=""/>
      <w:lvlJc w:val="left"/>
      <w:pPr>
        <w:ind w:left="3560" w:hanging="360"/>
      </w:pPr>
      <w:rPr>
        <w:rFonts w:ascii="Wingdings" w:hAnsi="Wingdings" w:hint="default"/>
      </w:rPr>
    </w:lvl>
    <w:lvl w:ilvl="3" w:tplc="0C090001" w:tentative="1">
      <w:start w:val="1"/>
      <w:numFmt w:val="bullet"/>
      <w:lvlText w:val=""/>
      <w:lvlJc w:val="left"/>
      <w:pPr>
        <w:ind w:left="4280" w:hanging="360"/>
      </w:pPr>
      <w:rPr>
        <w:rFonts w:ascii="Symbol" w:hAnsi="Symbol" w:hint="default"/>
      </w:rPr>
    </w:lvl>
    <w:lvl w:ilvl="4" w:tplc="0C090003" w:tentative="1">
      <w:start w:val="1"/>
      <w:numFmt w:val="bullet"/>
      <w:lvlText w:val="o"/>
      <w:lvlJc w:val="left"/>
      <w:pPr>
        <w:ind w:left="5000" w:hanging="360"/>
      </w:pPr>
      <w:rPr>
        <w:rFonts w:ascii="Courier New" w:hAnsi="Courier New" w:cs="Courier New" w:hint="default"/>
      </w:rPr>
    </w:lvl>
    <w:lvl w:ilvl="5" w:tplc="0C090005" w:tentative="1">
      <w:start w:val="1"/>
      <w:numFmt w:val="bullet"/>
      <w:lvlText w:val=""/>
      <w:lvlJc w:val="left"/>
      <w:pPr>
        <w:ind w:left="5720" w:hanging="360"/>
      </w:pPr>
      <w:rPr>
        <w:rFonts w:ascii="Wingdings" w:hAnsi="Wingdings" w:hint="default"/>
      </w:rPr>
    </w:lvl>
    <w:lvl w:ilvl="6" w:tplc="0C090001" w:tentative="1">
      <w:start w:val="1"/>
      <w:numFmt w:val="bullet"/>
      <w:lvlText w:val=""/>
      <w:lvlJc w:val="left"/>
      <w:pPr>
        <w:ind w:left="6440" w:hanging="360"/>
      </w:pPr>
      <w:rPr>
        <w:rFonts w:ascii="Symbol" w:hAnsi="Symbol" w:hint="default"/>
      </w:rPr>
    </w:lvl>
    <w:lvl w:ilvl="7" w:tplc="0C090003" w:tentative="1">
      <w:start w:val="1"/>
      <w:numFmt w:val="bullet"/>
      <w:lvlText w:val="o"/>
      <w:lvlJc w:val="left"/>
      <w:pPr>
        <w:ind w:left="7160" w:hanging="360"/>
      </w:pPr>
      <w:rPr>
        <w:rFonts w:ascii="Courier New" w:hAnsi="Courier New" w:cs="Courier New" w:hint="default"/>
      </w:rPr>
    </w:lvl>
    <w:lvl w:ilvl="8" w:tplc="0C090005" w:tentative="1">
      <w:start w:val="1"/>
      <w:numFmt w:val="bullet"/>
      <w:lvlText w:val=""/>
      <w:lvlJc w:val="left"/>
      <w:pPr>
        <w:ind w:left="7880" w:hanging="360"/>
      </w:pPr>
      <w:rPr>
        <w:rFonts w:ascii="Wingdings" w:hAnsi="Wingdings" w:hint="default"/>
      </w:rPr>
    </w:lvl>
  </w:abstractNum>
  <w:abstractNum w:abstractNumId="123" w15:restartNumberingAfterBreak="0">
    <w:nsid w:val="6A7C598A"/>
    <w:multiLevelType w:val="hybridMultilevel"/>
    <w:tmpl w:val="AA82D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B4A5124"/>
    <w:multiLevelType w:val="hybridMultilevel"/>
    <w:tmpl w:val="DBE0BE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C39172C"/>
    <w:multiLevelType w:val="multilevel"/>
    <w:tmpl w:val="74B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FF53A3"/>
    <w:multiLevelType w:val="hybridMultilevel"/>
    <w:tmpl w:val="CDEA1C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D9B3549"/>
    <w:multiLevelType w:val="hybridMultilevel"/>
    <w:tmpl w:val="E8E675E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6FD463BE"/>
    <w:multiLevelType w:val="hybridMultilevel"/>
    <w:tmpl w:val="7EFC1FBA"/>
    <w:lvl w:ilvl="0" w:tplc="F2BA872A">
      <w:start w:val="1"/>
      <w:numFmt w:val="bullet"/>
      <w:lvlText w:val=""/>
      <w:lvlJc w:val="left"/>
      <w:pPr>
        <w:ind w:left="1041" w:hanging="360"/>
      </w:pPr>
      <w:rPr>
        <w:rFonts w:ascii="Symbol" w:hAnsi="Symbol" w:hint="default"/>
      </w:rPr>
    </w:lvl>
    <w:lvl w:ilvl="1" w:tplc="FFFFFFFF" w:tentative="1">
      <w:start w:val="1"/>
      <w:numFmt w:val="lowerLetter"/>
      <w:lvlText w:val="%2."/>
      <w:lvlJc w:val="left"/>
      <w:pPr>
        <w:ind w:left="1131" w:hanging="360"/>
      </w:pPr>
    </w:lvl>
    <w:lvl w:ilvl="2" w:tplc="FFFFFFFF" w:tentative="1">
      <w:start w:val="1"/>
      <w:numFmt w:val="lowerRoman"/>
      <w:lvlText w:val="%3."/>
      <w:lvlJc w:val="right"/>
      <w:pPr>
        <w:ind w:left="1851" w:hanging="180"/>
      </w:pPr>
    </w:lvl>
    <w:lvl w:ilvl="3" w:tplc="FFFFFFFF" w:tentative="1">
      <w:start w:val="1"/>
      <w:numFmt w:val="decimal"/>
      <w:lvlText w:val="%4."/>
      <w:lvlJc w:val="left"/>
      <w:pPr>
        <w:ind w:left="2571" w:hanging="360"/>
      </w:pPr>
    </w:lvl>
    <w:lvl w:ilvl="4" w:tplc="FFFFFFFF" w:tentative="1">
      <w:start w:val="1"/>
      <w:numFmt w:val="lowerLetter"/>
      <w:lvlText w:val="%5."/>
      <w:lvlJc w:val="left"/>
      <w:pPr>
        <w:ind w:left="3291" w:hanging="360"/>
      </w:pPr>
    </w:lvl>
    <w:lvl w:ilvl="5" w:tplc="FFFFFFFF" w:tentative="1">
      <w:start w:val="1"/>
      <w:numFmt w:val="lowerRoman"/>
      <w:lvlText w:val="%6."/>
      <w:lvlJc w:val="right"/>
      <w:pPr>
        <w:ind w:left="4011" w:hanging="180"/>
      </w:pPr>
    </w:lvl>
    <w:lvl w:ilvl="6" w:tplc="FFFFFFFF" w:tentative="1">
      <w:start w:val="1"/>
      <w:numFmt w:val="decimal"/>
      <w:lvlText w:val="%7."/>
      <w:lvlJc w:val="left"/>
      <w:pPr>
        <w:ind w:left="4731" w:hanging="360"/>
      </w:pPr>
    </w:lvl>
    <w:lvl w:ilvl="7" w:tplc="FFFFFFFF" w:tentative="1">
      <w:start w:val="1"/>
      <w:numFmt w:val="lowerLetter"/>
      <w:lvlText w:val="%8."/>
      <w:lvlJc w:val="left"/>
      <w:pPr>
        <w:ind w:left="5451" w:hanging="360"/>
      </w:pPr>
    </w:lvl>
    <w:lvl w:ilvl="8" w:tplc="FFFFFFFF" w:tentative="1">
      <w:start w:val="1"/>
      <w:numFmt w:val="lowerRoman"/>
      <w:lvlText w:val="%9."/>
      <w:lvlJc w:val="right"/>
      <w:pPr>
        <w:ind w:left="6171" w:hanging="180"/>
      </w:pPr>
    </w:lvl>
  </w:abstractNum>
  <w:abstractNum w:abstractNumId="130" w15:restartNumberingAfterBreak="0">
    <w:nsid w:val="702B02F5"/>
    <w:multiLevelType w:val="multilevel"/>
    <w:tmpl w:val="533E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08732EB"/>
    <w:multiLevelType w:val="multilevel"/>
    <w:tmpl w:val="58AE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2144B2D"/>
    <w:multiLevelType w:val="hybridMultilevel"/>
    <w:tmpl w:val="9334BBF2"/>
    <w:lvl w:ilvl="0" w:tplc="2BFE3A0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24F1B9E"/>
    <w:multiLevelType w:val="hybridMultilevel"/>
    <w:tmpl w:val="3BE2A050"/>
    <w:lvl w:ilvl="0" w:tplc="2B4A369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2CB1565"/>
    <w:multiLevelType w:val="hybridMultilevel"/>
    <w:tmpl w:val="DF904034"/>
    <w:lvl w:ilvl="0" w:tplc="F2BA872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3C652AC"/>
    <w:multiLevelType w:val="hybridMultilevel"/>
    <w:tmpl w:val="BFA81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3D86975"/>
    <w:multiLevelType w:val="hybridMultilevel"/>
    <w:tmpl w:val="198EB81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37" w15:restartNumberingAfterBreak="0">
    <w:nsid w:val="76E20331"/>
    <w:multiLevelType w:val="multilevel"/>
    <w:tmpl w:val="1792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7D0418E"/>
    <w:multiLevelType w:val="hybridMultilevel"/>
    <w:tmpl w:val="5100EC88"/>
    <w:lvl w:ilvl="0" w:tplc="46E893C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9946A0"/>
    <w:multiLevelType w:val="hybridMultilevel"/>
    <w:tmpl w:val="40928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9C37787"/>
    <w:multiLevelType w:val="hybridMultilevel"/>
    <w:tmpl w:val="76F61B82"/>
    <w:lvl w:ilvl="0" w:tplc="2850DEA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A4F006E"/>
    <w:multiLevelType w:val="hybridMultilevel"/>
    <w:tmpl w:val="A0FC50E0"/>
    <w:lvl w:ilvl="0" w:tplc="3AAEA3D4">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AA134A9"/>
    <w:multiLevelType w:val="hybridMultilevel"/>
    <w:tmpl w:val="E87093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B6B13C8"/>
    <w:multiLevelType w:val="hybridMultilevel"/>
    <w:tmpl w:val="56D47A4A"/>
    <w:lvl w:ilvl="0" w:tplc="EBB63A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C35618F"/>
    <w:multiLevelType w:val="hybridMultilevel"/>
    <w:tmpl w:val="1E26E9A2"/>
    <w:lvl w:ilvl="0" w:tplc="FFFFFFFF">
      <w:start w:val="1"/>
      <w:numFmt w:val="lowerLetter"/>
      <w:lvlText w:val="%1)"/>
      <w:lvlJc w:val="left"/>
      <w:pPr>
        <w:ind w:left="720" w:hanging="360"/>
      </w:pPr>
    </w:lvl>
    <w:lvl w:ilvl="1" w:tplc="2BFE3A0C">
      <w:start w:val="1"/>
      <w:numFmt w:val="lowerRoman"/>
      <w:lvlText w:val="(%2)"/>
      <w:lvlJc w:val="right"/>
      <w:pPr>
        <w:ind w:left="1440" w:hanging="360"/>
      </w:pPr>
      <w:rPr>
        <w:rFonts w:hint="default"/>
      </w:r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E6EA2C1C">
      <w:numFmt w:val="bullet"/>
      <w:lvlText w:val=""/>
      <w:lvlJc w:val="left"/>
      <w:pPr>
        <w:ind w:left="3600" w:hanging="360"/>
      </w:pPr>
      <w:rPr>
        <w:rFonts w:ascii="Wingdings" w:eastAsia="Times New Roman" w:hAnsi="Wingdings" w:cs="Arial" w:hint="default"/>
      </w:rPr>
    </w:lvl>
    <w:lvl w:ilvl="5" w:tplc="2D846CB6">
      <w:start w:val="1"/>
      <w:numFmt w:val="lowerLetter"/>
      <w:lvlText w:val="(%6)"/>
      <w:lvlJc w:val="left"/>
      <w:pPr>
        <w:ind w:left="4500" w:hanging="360"/>
      </w:pPr>
      <w:rPr>
        <w:rFonts w:hint="default"/>
      </w:rPr>
    </w:lvl>
    <w:lvl w:ilvl="6" w:tplc="A5C0627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D4E6F00"/>
    <w:multiLevelType w:val="hybridMultilevel"/>
    <w:tmpl w:val="20B2C1AA"/>
    <w:lvl w:ilvl="0" w:tplc="F2BA872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DD0598D"/>
    <w:multiLevelType w:val="hybridMultilevel"/>
    <w:tmpl w:val="CB3E7D6E"/>
    <w:lvl w:ilvl="0" w:tplc="FFFFFFFF">
      <w:start w:val="1"/>
      <w:numFmt w:val="bullet"/>
      <w:lvlText w:val=""/>
      <w:lvlJc w:val="left"/>
      <w:pPr>
        <w:ind w:left="1400" w:hanging="360"/>
      </w:pPr>
      <w:rPr>
        <w:rFonts w:ascii="Symbol" w:hAnsi="Symbol" w:hint="default"/>
      </w:rPr>
    </w:lvl>
    <w:lvl w:ilvl="1" w:tplc="F2BA872A">
      <w:start w:val="1"/>
      <w:numFmt w:val="bullet"/>
      <w:lvlText w:val=""/>
      <w:lvlJc w:val="left"/>
      <w:pPr>
        <w:ind w:left="2120" w:hanging="360"/>
      </w:pPr>
      <w:rPr>
        <w:rFonts w:ascii="Symbol" w:hAnsi="Symbol" w:hint="default"/>
      </w:rPr>
    </w:lvl>
    <w:lvl w:ilvl="2" w:tplc="FFFFFFFF">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num w:numId="1">
    <w:abstractNumId w:val="3"/>
  </w:num>
  <w:num w:numId="2">
    <w:abstractNumId w:val="1"/>
  </w:num>
  <w:num w:numId="3">
    <w:abstractNumId w:val="0"/>
  </w:num>
  <w:num w:numId="4">
    <w:abstractNumId w:val="54"/>
  </w:num>
  <w:num w:numId="5">
    <w:abstractNumId w:val="115"/>
  </w:num>
  <w:num w:numId="6">
    <w:abstractNumId w:val="96"/>
  </w:num>
  <w:num w:numId="7">
    <w:abstractNumId w:val="113"/>
  </w:num>
  <w:num w:numId="8">
    <w:abstractNumId w:val="127"/>
  </w:num>
  <w:num w:numId="9">
    <w:abstractNumId w:val="2"/>
    <w:lvlOverride w:ilvl="0">
      <w:startOverride w:val="1"/>
    </w:lvlOverride>
  </w:num>
  <w:num w:numId="10">
    <w:abstractNumId w:val="2"/>
    <w:lvlOverride w:ilvl="0">
      <w:startOverride w:val="1"/>
    </w:lvlOverride>
  </w:num>
  <w:num w:numId="11">
    <w:abstractNumId w:val="84"/>
  </w:num>
  <w:num w:numId="12">
    <w:abstractNumId w:val="144"/>
  </w:num>
  <w:num w:numId="13">
    <w:abstractNumId w:val="124"/>
  </w:num>
  <w:num w:numId="14">
    <w:abstractNumId w:val="23"/>
  </w:num>
  <w:num w:numId="15">
    <w:abstractNumId w:val="108"/>
  </w:num>
  <w:num w:numId="16">
    <w:abstractNumId w:val="136"/>
  </w:num>
  <w:num w:numId="17">
    <w:abstractNumId w:val="40"/>
  </w:num>
  <w:num w:numId="18">
    <w:abstractNumId w:val="52"/>
  </w:num>
  <w:num w:numId="19">
    <w:abstractNumId w:val="145"/>
  </w:num>
  <w:num w:numId="20">
    <w:abstractNumId w:val="80"/>
  </w:num>
  <w:num w:numId="21">
    <w:abstractNumId w:val="20"/>
  </w:num>
  <w:num w:numId="22">
    <w:abstractNumId w:val="102"/>
  </w:num>
  <w:num w:numId="23">
    <w:abstractNumId w:val="46"/>
  </w:num>
  <w:num w:numId="24">
    <w:abstractNumId w:val="41"/>
  </w:num>
  <w:num w:numId="25">
    <w:abstractNumId w:val="73"/>
  </w:num>
  <w:num w:numId="26">
    <w:abstractNumId w:val="118"/>
    <w:lvlOverride w:ilvl="0">
      <w:startOverride w:val="1"/>
    </w:lvlOverride>
  </w:num>
  <w:num w:numId="27">
    <w:abstractNumId w:val="18"/>
  </w:num>
  <w:num w:numId="28">
    <w:abstractNumId w:val="117"/>
  </w:num>
  <w:num w:numId="29">
    <w:abstractNumId w:val="128"/>
  </w:num>
  <w:num w:numId="30">
    <w:abstractNumId w:val="5"/>
  </w:num>
  <w:num w:numId="31">
    <w:abstractNumId w:val="3"/>
  </w:num>
  <w:num w:numId="32">
    <w:abstractNumId w:val="19"/>
  </w:num>
  <w:num w:numId="33">
    <w:abstractNumId w:val="6"/>
  </w:num>
  <w:num w:numId="34">
    <w:abstractNumId w:val="72"/>
  </w:num>
  <w:num w:numId="35">
    <w:abstractNumId w:val="33"/>
  </w:num>
  <w:num w:numId="36">
    <w:abstractNumId w:val="133"/>
  </w:num>
  <w:num w:numId="37">
    <w:abstractNumId w:val="25"/>
  </w:num>
  <w:num w:numId="38">
    <w:abstractNumId w:val="143"/>
  </w:num>
  <w:num w:numId="39">
    <w:abstractNumId w:val="118"/>
  </w:num>
  <w:num w:numId="40">
    <w:abstractNumId w:val="75"/>
  </w:num>
  <w:num w:numId="41">
    <w:abstractNumId w:val="32"/>
  </w:num>
  <w:num w:numId="42">
    <w:abstractNumId w:val="132"/>
  </w:num>
  <w:num w:numId="43">
    <w:abstractNumId w:val="109"/>
  </w:num>
  <w:num w:numId="44">
    <w:abstractNumId w:val="11"/>
  </w:num>
  <w:num w:numId="45">
    <w:abstractNumId w:val="79"/>
  </w:num>
  <w:num w:numId="46">
    <w:abstractNumId w:val="78"/>
  </w:num>
  <w:num w:numId="47">
    <w:abstractNumId w:val="67"/>
  </w:num>
  <w:num w:numId="48">
    <w:abstractNumId w:val="93"/>
  </w:num>
  <w:num w:numId="49">
    <w:abstractNumId w:val="42"/>
  </w:num>
  <w:num w:numId="50">
    <w:abstractNumId w:val="94"/>
  </w:num>
  <w:num w:numId="51">
    <w:abstractNumId w:val="129"/>
  </w:num>
  <w:num w:numId="52">
    <w:abstractNumId w:val="21"/>
  </w:num>
  <w:num w:numId="53">
    <w:abstractNumId w:val="2"/>
  </w:num>
  <w:num w:numId="54">
    <w:abstractNumId w:val="134"/>
  </w:num>
  <w:num w:numId="55">
    <w:abstractNumId w:val="17"/>
  </w:num>
  <w:num w:numId="56">
    <w:abstractNumId w:val="10"/>
  </w:num>
  <w:num w:numId="57">
    <w:abstractNumId w:val="2"/>
    <w:lvlOverride w:ilvl="0">
      <w:startOverride w:val="1"/>
    </w:lvlOverride>
  </w:num>
  <w:num w:numId="58">
    <w:abstractNumId w:val="55"/>
  </w:num>
  <w:num w:numId="59">
    <w:abstractNumId w:val="2"/>
    <w:lvlOverride w:ilvl="0">
      <w:startOverride w:val="1"/>
    </w:lvlOverride>
  </w:num>
  <w:num w:numId="60">
    <w:abstractNumId w:val="61"/>
  </w:num>
  <w:num w:numId="61">
    <w:abstractNumId w:val="4"/>
  </w:num>
  <w:num w:numId="62">
    <w:abstractNumId w:val="89"/>
  </w:num>
  <w:num w:numId="63">
    <w:abstractNumId w:val="130"/>
  </w:num>
  <w:num w:numId="64">
    <w:abstractNumId w:val="7"/>
  </w:num>
  <w:num w:numId="65">
    <w:abstractNumId w:val="15"/>
  </w:num>
  <w:num w:numId="66">
    <w:abstractNumId w:val="22"/>
  </w:num>
  <w:num w:numId="67">
    <w:abstractNumId w:val="100"/>
  </w:num>
  <w:num w:numId="68">
    <w:abstractNumId w:val="116"/>
  </w:num>
  <w:num w:numId="69">
    <w:abstractNumId w:val="66"/>
  </w:num>
  <w:num w:numId="70">
    <w:abstractNumId w:val="69"/>
  </w:num>
  <w:num w:numId="71">
    <w:abstractNumId w:val="125"/>
  </w:num>
  <w:num w:numId="72">
    <w:abstractNumId w:val="131"/>
  </w:num>
  <w:num w:numId="73">
    <w:abstractNumId w:val="74"/>
  </w:num>
  <w:num w:numId="74">
    <w:abstractNumId w:val="50"/>
  </w:num>
  <w:num w:numId="75">
    <w:abstractNumId w:val="87"/>
  </w:num>
  <w:num w:numId="76">
    <w:abstractNumId w:val="12"/>
  </w:num>
  <w:num w:numId="77">
    <w:abstractNumId w:val="65"/>
  </w:num>
  <w:num w:numId="78">
    <w:abstractNumId w:val="26"/>
  </w:num>
  <w:num w:numId="79">
    <w:abstractNumId w:val="16"/>
  </w:num>
  <w:num w:numId="80">
    <w:abstractNumId w:val="140"/>
  </w:num>
  <w:num w:numId="81">
    <w:abstractNumId w:val="31"/>
  </w:num>
  <w:num w:numId="82">
    <w:abstractNumId w:val="30"/>
  </w:num>
  <w:num w:numId="83">
    <w:abstractNumId w:val="120"/>
  </w:num>
  <w:num w:numId="84">
    <w:abstractNumId w:val="24"/>
  </w:num>
  <w:num w:numId="85">
    <w:abstractNumId w:val="97"/>
  </w:num>
  <w:num w:numId="86">
    <w:abstractNumId w:val="38"/>
  </w:num>
  <w:num w:numId="87">
    <w:abstractNumId w:val="35"/>
  </w:num>
  <w:num w:numId="88">
    <w:abstractNumId w:val="49"/>
  </w:num>
  <w:num w:numId="89">
    <w:abstractNumId w:val="60"/>
  </w:num>
  <w:num w:numId="90">
    <w:abstractNumId w:val="114"/>
  </w:num>
  <w:num w:numId="91">
    <w:abstractNumId w:val="91"/>
  </w:num>
  <w:num w:numId="92">
    <w:abstractNumId w:val="92"/>
  </w:num>
  <w:num w:numId="93">
    <w:abstractNumId w:val="47"/>
  </w:num>
  <w:num w:numId="94">
    <w:abstractNumId w:val="81"/>
  </w:num>
  <w:num w:numId="95">
    <w:abstractNumId w:val="85"/>
  </w:num>
  <w:num w:numId="96">
    <w:abstractNumId w:val="138"/>
  </w:num>
  <w:num w:numId="97">
    <w:abstractNumId w:val="63"/>
  </w:num>
  <w:num w:numId="98">
    <w:abstractNumId w:val="37"/>
  </w:num>
  <w:num w:numId="99">
    <w:abstractNumId w:val="141"/>
  </w:num>
  <w:num w:numId="100">
    <w:abstractNumId w:val="53"/>
  </w:num>
  <w:num w:numId="101">
    <w:abstractNumId w:val="86"/>
  </w:num>
  <w:num w:numId="102">
    <w:abstractNumId w:val="135"/>
  </w:num>
  <w:num w:numId="103">
    <w:abstractNumId w:val="139"/>
  </w:num>
  <w:num w:numId="104">
    <w:abstractNumId w:val="121"/>
  </w:num>
  <w:num w:numId="105">
    <w:abstractNumId w:val="98"/>
  </w:num>
  <w:num w:numId="106">
    <w:abstractNumId w:val="76"/>
  </w:num>
  <w:num w:numId="107">
    <w:abstractNumId w:val="27"/>
  </w:num>
  <w:num w:numId="108">
    <w:abstractNumId w:val="28"/>
  </w:num>
  <w:num w:numId="109">
    <w:abstractNumId w:val="70"/>
  </w:num>
  <w:num w:numId="110">
    <w:abstractNumId w:val="88"/>
  </w:num>
  <w:num w:numId="111">
    <w:abstractNumId w:val="51"/>
  </w:num>
  <w:num w:numId="112">
    <w:abstractNumId w:val="104"/>
  </w:num>
  <w:num w:numId="113">
    <w:abstractNumId w:val="107"/>
  </w:num>
  <w:num w:numId="114">
    <w:abstractNumId w:val="101"/>
  </w:num>
  <w:num w:numId="115">
    <w:abstractNumId w:val="9"/>
  </w:num>
  <w:num w:numId="116">
    <w:abstractNumId w:val="14"/>
  </w:num>
  <w:num w:numId="117">
    <w:abstractNumId w:val="56"/>
  </w:num>
  <w:num w:numId="118">
    <w:abstractNumId w:val="90"/>
  </w:num>
  <w:num w:numId="119">
    <w:abstractNumId w:val="83"/>
  </w:num>
  <w:num w:numId="120">
    <w:abstractNumId w:val="59"/>
  </w:num>
  <w:num w:numId="121">
    <w:abstractNumId w:val="62"/>
  </w:num>
  <w:num w:numId="122">
    <w:abstractNumId w:val="105"/>
  </w:num>
  <w:num w:numId="123">
    <w:abstractNumId w:val="58"/>
  </w:num>
  <w:num w:numId="124">
    <w:abstractNumId w:val="71"/>
  </w:num>
  <w:num w:numId="125">
    <w:abstractNumId w:val="8"/>
  </w:num>
  <w:num w:numId="126">
    <w:abstractNumId w:val="119"/>
  </w:num>
  <w:num w:numId="127">
    <w:abstractNumId w:val="137"/>
  </w:num>
  <w:num w:numId="128">
    <w:abstractNumId w:val="111"/>
  </w:num>
  <w:num w:numId="129">
    <w:abstractNumId w:val="44"/>
  </w:num>
  <w:num w:numId="13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0"/>
  </w:num>
  <w:num w:numId="132">
    <w:abstractNumId w:val="123"/>
  </w:num>
  <w:num w:numId="133">
    <w:abstractNumId w:val="68"/>
  </w:num>
  <w:num w:numId="134">
    <w:abstractNumId w:val="95"/>
  </w:num>
  <w:num w:numId="135">
    <w:abstractNumId w:val="126"/>
  </w:num>
  <w:num w:numId="136">
    <w:abstractNumId w:val="36"/>
  </w:num>
  <w:num w:numId="137">
    <w:abstractNumId w:val="142"/>
  </w:num>
  <w:num w:numId="138">
    <w:abstractNumId w:val="57"/>
  </w:num>
  <w:num w:numId="13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3"/>
  </w:num>
  <w:num w:numId="141">
    <w:abstractNumId w:val="107"/>
  </w:num>
  <w:num w:numId="142">
    <w:abstractNumId w:val="107"/>
  </w:num>
  <w:num w:numId="143">
    <w:abstractNumId w:val="82"/>
  </w:num>
  <w:num w:numId="144">
    <w:abstractNumId w:val="13"/>
  </w:num>
  <w:num w:numId="145">
    <w:abstractNumId w:val="107"/>
  </w:num>
  <w:num w:numId="146">
    <w:abstractNumId w:val="77"/>
  </w:num>
  <w:num w:numId="147">
    <w:abstractNumId w:val="34"/>
  </w:num>
  <w:num w:numId="148">
    <w:abstractNumId w:val="106"/>
  </w:num>
  <w:num w:numId="149">
    <w:abstractNumId w:val="141"/>
  </w:num>
  <w:num w:numId="150">
    <w:abstractNumId w:val="141"/>
  </w:num>
  <w:num w:numId="151">
    <w:abstractNumId w:val="112"/>
  </w:num>
  <w:num w:numId="152">
    <w:abstractNumId w:val="45"/>
  </w:num>
  <w:num w:numId="153">
    <w:abstractNumId w:val="99"/>
  </w:num>
  <w:num w:numId="154">
    <w:abstractNumId w:val="146"/>
  </w:num>
  <w:num w:numId="155">
    <w:abstractNumId w:val="103"/>
  </w:num>
  <w:num w:numId="156">
    <w:abstractNumId w:val="122"/>
  </w:num>
  <w:num w:numId="157">
    <w:abstractNumId w:val="39"/>
  </w:num>
  <w:num w:numId="158">
    <w:abstractNumId w:val="64"/>
  </w:num>
  <w:num w:numId="159">
    <w:abstractNumId w:val="29"/>
  </w:num>
  <w:num w:numId="160">
    <w:abstractNumId w:val="107"/>
  </w:num>
  <w:num w:numId="161">
    <w:abstractNumId w:val="107"/>
  </w:num>
  <w:num w:numId="162">
    <w:abstractNumId w:val="48"/>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27"/>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7DF"/>
    <w:rsid w:val="00000362"/>
    <w:rsid w:val="0000039C"/>
    <w:rsid w:val="000006DC"/>
    <w:rsid w:val="00000844"/>
    <w:rsid w:val="000009AF"/>
    <w:rsid w:val="000009B4"/>
    <w:rsid w:val="00000AC3"/>
    <w:rsid w:val="00000B49"/>
    <w:rsid w:val="00000D37"/>
    <w:rsid w:val="00000D82"/>
    <w:rsid w:val="00000EF1"/>
    <w:rsid w:val="0000136E"/>
    <w:rsid w:val="000014BA"/>
    <w:rsid w:val="00001981"/>
    <w:rsid w:val="000019D8"/>
    <w:rsid w:val="00001F4E"/>
    <w:rsid w:val="000023D8"/>
    <w:rsid w:val="000023E1"/>
    <w:rsid w:val="00002878"/>
    <w:rsid w:val="00002930"/>
    <w:rsid w:val="00003364"/>
    <w:rsid w:val="0000343C"/>
    <w:rsid w:val="00003582"/>
    <w:rsid w:val="00003593"/>
    <w:rsid w:val="00003773"/>
    <w:rsid w:val="000038AC"/>
    <w:rsid w:val="0000390E"/>
    <w:rsid w:val="00003949"/>
    <w:rsid w:val="0000397B"/>
    <w:rsid w:val="00003A5C"/>
    <w:rsid w:val="00003B47"/>
    <w:rsid w:val="00003CD9"/>
    <w:rsid w:val="00003DA0"/>
    <w:rsid w:val="00003E97"/>
    <w:rsid w:val="000040BC"/>
    <w:rsid w:val="00004141"/>
    <w:rsid w:val="000041F7"/>
    <w:rsid w:val="00004298"/>
    <w:rsid w:val="000042D3"/>
    <w:rsid w:val="00004348"/>
    <w:rsid w:val="000043B3"/>
    <w:rsid w:val="0000467E"/>
    <w:rsid w:val="0000473A"/>
    <w:rsid w:val="000048E7"/>
    <w:rsid w:val="00004A32"/>
    <w:rsid w:val="00004AA6"/>
    <w:rsid w:val="00004BF3"/>
    <w:rsid w:val="00004C05"/>
    <w:rsid w:val="00004CFB"/>
    <w:rsid w:val="00004ECE"/>
    <w:rsid w:val="00004FF6"/>
    <w:rsid w:val="00005343"/>
    <w:rsid w:val="00005938"/>
    <w:rsid w:val="000059DF"/>
    <w:rsid w:val="00005A70"/>
    <w:rsid w:val="00005A85"/>
    <w:rsid w:val="00005D00"/>
    <w:rsid w:val="00005D71"/>
    <w:rsid w:val="00005EAD"/>
    <w:rsid w:val="000061C4"/>
    <w:rsid w:val="00006578"/>
    <w:rsid w:val="000065A0"/>
    <w:rsid w:val="00006699"/>
    <w:rsid w:val="000069EE"/>
    <w:rsid w:val="00006BFB"/>
    <w:rsid w:val="00006C64"/>
    <w:rsid w:val="00007117"/>
    <w:rsid w:val="00007136"/>
    <w:rsid w:val="00007400"/>
    <w:rsid w:val="0000756F"/>
    <w:rsid w:val="00007795"/>
    <w:rsid w:val="000077DB"/>
    <w:rsid w:val="000077F5"/>
    <w:rsid w:val="000078BA"/>
    <w:rsid w:val="00007C62"/>
    <w:rsid w:val="00007D7D"/>
    <w:rsid w:val="00007EC2"/>
    <w:rsid w:val="00010041"/>
    <w:rsid w:val="00010172"/>
    <w:rsid w:val="000101BF"/>
    <w:rsid w:val="000101EB"/>
    <w:rsid w:val="000102F6"/>
    <w:rsid w:val="00010667"/>
    <w:rsid w:val="00010739"/>
    <w:rsid w:val="00010972"/>
    <w:rsid w:val="00010A8F"/>
    <w:rsid w:val="00010B99"/>
    <w:rsid w:val="00010CAF"/>
    <w:rsid w:val="00010D8F"/>
    <w:rsid w:val="00010F42"/>
    <w:rsid w:val="000110B9"/>
    <w:rsid w:val="00011153"/>
    <w:rsid w:val="000114ED"/>
    <w:rsid w:val="00011525"/>
    <w:rsid w:val="0001168B"/>
    <w:rsid w:val="000116B5"/>
    <w:rsid w:val="000118BC"/>
    <w:rsid w:val="00011924"/>
    <w:rsid w:val="00011955"/>
    <w:rsid w:val="00011AC1"/>
    <w:rsid w:val="00011E46"/>
    <w:rsid w:val="000121A4"/>
    <w:rsid w:val="00012250"/>
    <w:rsid w:val="0001236E"/>
    <w:rsid w:val="00012613"/>
    <w:rsid w:val="00012797"/>
    <w:rsid w:val="00012838"/>
    <w:rsid w:val="000128CA"/>
    <w:rsid w:val="000129BC"/>
    <w:rsid w:val="000129BD"/>
    <w:rsid w:val="000129D5"/>
    <w:rsid w:val="00012BCD"/>
    <w:rsid w:val="00012C77"/>
    <w:rsid w:val="00012E35"/>
    <w:rsid w:val="00012F21"/>
    <w:rsid w:val="00012FDA"/>
    <w:rsid w:val="00013065"/>
    <w:rsid w:val="00013318"/>
    <w:rsid w:val="000133B3"/>
    <w:rsid w:val="00013411"/>
    <w:rsid w:val="00013504"/>
    <w:rsid w:val="0001362E"/>
    <w:rsid w:val="00013765"/>
    <w:rsid w:val="00013767"/>
    <w:rsid w:val="0001387A"/>
    <w:rsid w:val="00013BE7"/>
    <w:rsid w:val="00013C53"/>
    <w:rsid w:val="00013D04"/>
    <w:rsid w:val="00013D1A"/>
    <w:rsid w:val="00013D58"/>
    <w:rsid w:val="00013E63"/>
    <w:rsid w:val="00013FA6"/>
    <w:rsid w:val="000141F7"/>
    <w:rsid w:val="000142BE"/>
    <w:rsid w:val="0001442C"/>
    <w:rsid w:val="00014511"/>
    <w:rsid w:val="00014889"/>
    <w:rsid w:val="00014C4A"/>
    <w:rsid w:val="00014D81"/>
    <w:rsid w:val="00014E77"/>
    <w:rsid w:val="00014ED8"/>
    <w:rsid w:val="0001514E"/>
    <w:rsid w:val="0001523A"/>
    <w:rsid w:val="00015364"/>
    <w:rsid w:val="000154C4"/>
    <w:rsid w:val="00015642"/>
    <w:rsid w:val="00015659"/>
    <w:rsid w:val="00015686"/>
    <w:rsid w:val="0001573A"/>
    <w:rsid w:val="000158F9"/>
    <w:rsid w:val="00015A38"/>
    <w:rsid w:val="00015A77"/>
    <w:rsid w:val="00015AC8"/>
    <w:rsid w:val="00015AE7"/>
    <w:rsid w:val="00015B3E"/>
    <w:rsid w:val="00015B51"/>
    <w:rsid w:val="00015C56"/>
    <w:rsid w:val="00015F0C"/>
    <w:rsid w:val="0001601C"/>
    <w:rsid w:val="000160B6"/>
    <w:rsid w:val="0001635A"/>
    <w:rsid w:val="00016556"/>
    <w:rsid w:val="000165A9"/>
    <w:rsid w:val="000165E9"/>
    <w:rsid w:val="00016614"/>
    <w:rsid w:val="0001672B"/>
    <w:rsid w:val="00016743"/>
    <w:rsid w:val="0001688E"/>
    <w:rsid w:val="00016A8A"/>
    <w:rsid w:val="00016AFE"/>
    <w:rsid w:val="00016BFE"/>
    <w:rsid w:val="00016D44"/>
    <w:rsid w:val="00016DFF"/>
    <w:rsid w:val="00016E21"/>
    <w:rsid w:val="00016E63"/>
    <w:rsid w:val="00016FF4"/>
    <w:rsid w:val="000170AF"/>
    <w:rsid w:val="000170E9"/>
    <w:rsid w:val="000170FB"/>
    <w:rsid w:val="00017137"/>
    <w:rsid w:val="00017145"/>
    <w:rsid w:val="0001715E"/>
    <w:rsid w:val="00017181"/>
    <w:rsid w:val="0001719C"/>
    <w:rsid w:val="000172C2"/>
    <w:rsid w:val="0001730F"/>
    <w:rsid w:val="00017470"/>
    <w:rsid w:val="00017703"/>
    <w:rsid w:val="00017BC9"/>
    <w:rsid w:val="00017CEE"/>
    <w:rsid w:val="00017E2F"/>
    <w:rsid w:val="00017E31"/>
    <w:rsid w:val="00020079"/>
    <w:rsid w:val="00020229"/>
    <w:rsid w:val="000202D9"/>
    <w:rsid w:val="00020355"/>
    <w:rsid w:val="000203A4"/>
    <w:rsid w:val="000207A9"/>
    <w:rsid w:val="00020802"/>
    <w:rsid w:val="00020859"/>
    <w:rsid w:val="0002094D"/>
    <w:rsid w:val="00020ACD"/>
    <w:rsid w:val="00020EB4"/>
    <w:rsid w:val="00020EBD"/>
    <w:rsid w:val="00020F80"/>
    <w:rsid w:val="00021264"/>
    <w:rsid w:val="000214A0"/>
    <w:rsid w:val="000216C1"/>
    <w:rsid w:val="0002190F"/>
    <w:rsid w:val="00021922"/>
    <w:rsid w:val="0002199A"/>
    <w:rsid w:val="000219D1"/>
    <w:rsid w:val="00021AAD"/>
    <w:rsid w:val="00021DF3"/>
    <w:rsid w:val="00021E70"/>
    <w:rsid w:val="00021F1A"/>
    <w:rsid w:val="00021FE8"/>
    <w:rsid w:val="0002217A"/>
    <w:rsid w:val="0002224E"/>
    <w:rsid w:val="0002262E"/>
    <w:rsid w:val="000226FA"/>
    <w:rsid w:val="00022747"/>
    <w:rsid w:val="000227C8"/>
    <w:rsid w:val="000228DB"/>
    <w:rsid w:val="00022AEC"/>
    <w:rsid w:val="00022BE3"/>
    <w:rsid w:val="00022D89"/>
    <w:rsid w:val="0002307C"/>
    <w:rsid w:val="00023161"/>
    <w:rsid w:val="0002322F"/>
    <w:rsid w:val="000236EF"/>
    <w:rsid w:val="00023847"/>
    <w:rsid w:val="00023A36"/>
    <w:rsid w:val="00023AE2"/>
    <w:rsid w:val="00023B63"/>
    <w:rsid w:val="00023C22"/>
    <w:rsid w:val="00023CEE"/>
    <w:rsid w:val="00023D30"/>
    <w:rsid w:val="00023D96"/>
    <w:rsid w:val="00023DBF"/>
    <w:rsid w:val="00023E4A"/>
    <w:rsid w:val="000240EC"/>
    <w:rsid w:val="00024131"/>
    <w:rsid w:val="00024190"/>
    <w:rsid w:val="000242C5"/>
    <w:rsid w:val="00024419"/>
    <w:rsid w:val="0002441F"/>
    <w:rsid w:val="0002442C"/>
    <w:rsid w:val="000245A0"/>
    <w:rsid w:val="000245E5"/>
    <w:rsid w:val="00024627"/>
    <w:rsid w:val="0002473A"/>
    <w:rsid w:val="0002482A"/>
    <w:rsid w:val="00024D43"/>
    <w:rsid w:val="00024D67"/>
    <w:rsid w:val="00024ED7"/>
    <w:rsid w:val="00025284"/>
    <w:rsid w:val="000253DD"/>
    <w:rsid w:val="000254E8"/>
    <w:rsid w:val="00025578"/>
    <w:rsid w:val="0002560E"/>
    <w:rsid w:val="00025850"/>
    <w:rsid w:val="00025AFF"/>
    <w:rsid w:val="00025C1C"/>
    <w:rsid w:val="00025DEB"/>
    <w:rsid w:val="00025E6C"/>
    <w:rsid w:val="0002601D"/>
    <w:rsid w:val="000260BD"/>
    <w:rsid w:val="0002637D"/>
    <w:rsid w:val="000265E9"/>
    <w:rsid w:val="00026747"/>
    <w:rsid w:val="00026748"/>
    <w:rsid w:val="000267A1"/>
    <w:rsid w:val="00026A71"/>
    <w:rsid w:val="00026BDB"/>
    <w:rsid w:val="00026CAC"/>
    <w:rsid w:val="00026D4B"/>
    <w:rsid w:val="00026E9A"/>
    <w:rsid w:val="00026EF5"/>
    <w:rsid w:val="00026F91"/>
    <w:rsid w:val="00026FB5"/>
    <w:rsid w:val="00026FFE"/>
    <w:rsid w:val="00027130"/>
    <w:rsid w:val="000271CD"/>
    <w:rsid w:val="000272FE"/>
    <w:rsid w:val="0002738E"/>
    <w:rsid w:val="0002752F"/>
    <w:rsid w:val="00027560"/>
    <w:rsid w:val="00027585"/>
    <w:rsid w:val="000275FE"/>
    <w:rsid w:val="00027B21"/>
    <w:rsid w:val="00027B26"/>
    <w:rsid w:val="00027D5E"/>
    <w:rsid w:val="000302F6"/>
    <w:rsid w:val="00030367"/>
    <w:rsid w:val="000303D4"/>
    <w:rsid w:val="00030908"/>
    <w:rsid w:val="0003096A"/>
    <w:rsid w:val="00030A48"/>
    <w:rsid w:val="00030D3A"/>
    <w:rsid w:val="00030D83"/>
    <w:rsid w:val="00030DBC"/>
    <w:rsid w:val="0003100A"/>
    <w:rsid w:val="000311C0"/>
    <w:rsid w:val="0003120B"/>
    <w:rsid w:val="00031320"/>
    <w:rsid w:val="0003135F"/>
    <w:rsid w:val="0003142B"/>
    <w:rsid w:val="000314A7"/>
    <w:rsid w:val="0003152B"/>
    <w:rsid w:val="00031747"/>
    <w:rsid w:val="0003194D"/>
    <w:rsid w:val="000319C7"/>
    <w:rsid w:val="000322B7"/>
    <w:rsid w:val="000323CD"/>
    <w:rsid w:val="0003256F"/>
    <w:rsid w:val="000325B5"/>
    <w:rsid w:val="00032621"/>
    <w:rsid w:val="000326BD"/>
    <w:rsid w:val="00032B52"/>
    <w:rsid w:val="00032BD7"/>
    <w:rsid w:val="00032BE5"/>
    <w:rsid w:val="00032C8E"/>
    <w:rsid w:val="00032D63"/>
    <w:rsid w:val="00032DFB"/>
    <w:rsid w:val="00032F10"/>
    <w:rsid w:val="00032FDE"/>
    <w:rsid w:val="000334B6"/>
    <w:rsid w:val="000334D6"/>
    <w:rsid w:val="0003373C"/>
    <w:rsid w:val="000339CD"/>
    <w:rsid w:val="00033A0D"/>
    <w:rsid w:val="00033C47"/>
    <w:rsid w:val="00033CD1"/>
    <w:rsid w:val="00033DE0"/>
    <w:rsid w:val="00033FC9"/>
    <w:rsid w:val="00034225"/>
    <w:rsid w:val="000346EC"/>
    <w:rsid w:val="000347DD"/>
    <w:rsid w:val="00034A36"/>
    <w:rsid w:val="00034AF6"/>
    <w:rsid w:val="00034B79"/>
    <w:rsid w:val="00034C57"/>
    <w:rsid w:val="00034E26"/>
    <w:rsid w:val="00034EBE"/>
    <w:rsid w:val="00035321"/>
    <w:rsid w:val="0003540E"/>
    <w:rsid w:val="0003552C"/>
    <w:rsid w:val="0003560E"/>
    <w:rsid w:val="0003578B"/>
    <w:rsid w:val="00035797"/>
    <w:rsid w:val="0003580A"/>
    <w:rsid w:val="0003586C"/>
    <w:rsid w:val="00035C10"/>
    <w:rsid w:val="00035C61"/>
    <w:rsid w:val="00035F3A"/>
    <w:rsid w:val="00036401"/>
    <w:rsid w:val="000366E0"/>
    <w:rsid w:val="000366F8"/>
    <w:rsid w:val="000367B1"/>
    <w:rsid w:val="000367DE"/>
    <w:rsid w:val="00036DED"/>
    <w:rsid w:val="00036E96"/>
    <w:rsid w:val="00036EC3"/>
    <w:rsid w:val="0003725F"/>
    <w:rsid w:val="00037296"/>
    <w:rsid w:val="0003760A"/>
    <w:rsid w:val="000377E5"/>
    <w:rsid w:val="00037B2F"/>
    <w:rsid w:val="00037B3B"/>
    <w:rsid w:val="00037DB5"/>
    <w:rsid w:val="00037FA1"/>
    <w:rsid w:val="0004031A"/>
    <w:rsid w:val="0004038F"/>
    <w:rsid w:val="0004052D"/>
    <w:rsid w:val="00040673"/>
    <w:rsid w:val="00040795"/>
    <w:rsid w:val="00040873"/>
    <w:rsid w:val="0004092B"/>
    <w:rsid w:val="0004099B"/>
    <w:rsid w:val="000409EB"/>
    <w:rsid w:val="00040AC7"/>
    <w:rsid w:val="00040B4C"/>
    <w:rsid w:val="00040BFF"/>
    <w:rsid w:val="00040DB8"/>
    <w:rsid w:val="00040F38"/>
    <w:rsid w:val="00041243"/>
    <w:rsid w:val="000416DB"/>
    <w:rsid w:val="00041873"/>
    <w:rsid w:val="000418F6"/>
    <w:rsid w:val="00041908"/>
    <w:rsid w:val="0004192F"/>
    <w:rsid w:val="000419A2"/>
    <w:rsid w:val="000419E6"/>
    <w:rsid w:val="00041BD2"/>
    <w:rsid w:val="00041CEA"/>
    <w:rsid w:val="00041ECA"/>
    <w:rsid w:val="00041F89"/>
    <w:rsid w:val="000420C1"/>
    <w:rsid w:val="00042133"/>
    <w:rsid w:val="000421F2"/>
    <w:rsid w:val="0004220F"/>
    <w:rsid w:val="000425AA"/>
    <w:rsid w:val="00042609"/>
    <w:rsid w:val="0004281F"/>
    <w:rsid w:val="00042B13"/>
    <w:rsid w:val="00042B14"/>
    <w:rsid w:val="00042B80"/>
    <w:rsid w:val="00042FB0"/>
    <w:rsid w:val="0004303B"/>
    <w:rsid w:val="00043151"/>
    <w:rsid w:val="000431A1"/>
    <w:rsid w:val="0004341D"/>
    <w:rsid w:val="000435D0"/>
    <w:rsid w:val="00043663"/>
    <w:rsid w:val="00043814"/>
    <w:rsid w:val="00043818"/>
    <w:rsid w:val="00043CC5"/>
    <w:rsid w:val="00043EFA"/>
    <w:rsid w:val="0004423A"/>
    <w:rsid w:val="00044437"/>
    <w:rsid w:val="000447AD"/>
    <w:rsid w:val="000449EC"/>
    <w:rsid w:val="00044AAC"/>
    <w:rsid w:val="00044C4F"/>
    <w:rsid w:val="00044DAA"/>
    <w:rsid w:val="00044DB5"/>
    <w:rsid w:val="00044DC1"/>
    <w:rsid w:val="00044F44"/>
    <w:rsid w:val="00044F9F"/>
    <w:rsid w:val="00045030"/>
    <w:rsid w:val="000450BA"/>
    <w:rsid w:val="0004518D"/>
    <w:rsid w:val="00045433"/>
    <w:rsid w:val="00045700"/>
    <w:rsid w:val="0004589E"/>
    <w:rsid w:val="00045AA0"/>
    <w:rsid w:val="00045CC6"/>
    <w:rsid w:val="00045E49"/>
    <w:rsid w:val="00045E5F"/>
    <w:rsid w:val="00045EDF"/>
    <w:rsid w:val="00046081"/>
    <w:rsid w:val="0004634F"/>
    <w:rsid w:val="00046421"/>
    <w:rsid w:val="0004667C"/>
    <w:rsid w:val="0004670C"/>
    <w:rsid w:val="00046734"/>
    <w:rsid w:val="0004673B"/>
    <w:rsid w:val="000468C5"/>
    <w:rsid w:val="00046CBD"/>
    <w:rsid w:val="00046FCF"/>
    <w:rsid w:val="00047170"/>
    <w:rsid w:val="000471A1"/>
    <w:rsid w:val="00047339"/>
    <w:rsid w:val="0004756A"/>
    <w:rsid w:val="0004762B"/>
    <w:rsid w:val="0004764C"/>
    <w:rsid w:val="00047784"/>
    <w:rsid w:val="00047792"/>
    <w:rsid w:val="0004779D"/>
    <w:rsid w:val="000477A4"/>
    <w:rsid w:val="0004789D"/>
    <w:rsid w:val="00047984"/>
    <w:rsid w:val="000479DC"/>
    <w:rsid w:val="00047A8A"/>
    <w:rsid w:val="0005001C"/>
    <w:rsid w:val="0005011A"/>
    <w:rsid w:val="0005045A"/>
    <w:rsid w:val="00050526"/>
    <w:rsid w:val="0005066B"/>
    <w:rsid w:val="00050AB0"/>
    <w:rsid w:val="00050AD2"/>
    <w:rsid w:val="00051266"/>
    <w:rsid w:val="0005145E"/>
    <w:rsid w:val="000514E8"/>
    <w:rsid w:val="00051736"/>
    <w:rsid w:val="00051888"/>
    <w:rsid w:val="00051938"/>
    <w:rsid w:val="00051974"/>
    <w:rsid w:val="0005197B"/>
    <w:rsid w:val="00051B8C"/>
    <w:rsid w:val="00051BC4"/>
    <w:rsid w:val="00051C1E"/>
    <w:rsid w:val="00051D9A"/>
    <w:rsid w:val="00051E00"/>
    <w:rsid w:val="00051E06"/>
    <w:rsid w:val="00051F22"/>
    <w:rsid w:val="00052150"/>
    <w:rsid w:val="000521C5"/>
    <w:rsid w:val="00052235"/>
    <w:rsid w:val="00052507"/>
    <w:rsid w:val="00052549"/>
    <w:rsid w:val="00052947"/>
    <w:rsid w:val="00052A82"/>
    <w:rsid w:val="00052AA4"/>
    <w:rsid w:val="00052FE1"/>
    <w:rsid w:val="0005303B"/>
    <w:rsid w:val="000530C4"/>
    <w:rsid w:val="00053382"/>
    <w:rsid w:val="000533B4"/>
    <w:rsid w:val="00053489"/>
    <w:rsid w:val="000538A7"/>
    <w:rsid w:val="000538ED"/>
    <w:rsid w:val="000538FD"/>
    <w:rsid w:val="0005392E"/>
    <w:rsid w:val="00053979"/>
    <w:rsid w:val="000539F9"/>
    <w:rsid w:val="00053B05"/>
    <w:rsid w:val="00053CCD"/>
    <w:rsid w:val="00053E7E"/>
    <w:rsid w:val="00053F3E"/>
    <w:rsid w:val="00054301"/>
    <w:rsid w:val="0005440D"/>
    <w:rsid w:val="0005469E"/>
    <w:rsid w:val="00054937"/>
    <w:rsid w:val="0005497A"/>
    <w:rsid w:val="00054B4A"/>
    <w:rsid w:val="00054B6D"/>
    <w:rsid w:val="00054B7B"/>
    <w:rsid w:val="00054C27"/>
    <w:rsid w:val="00054C3D"/>
    <w:rsid w:val="00054F07"/>
    <w:rsid w:val="000552D8"/>
    <w:rsid w:val="00055524"/>
    <w:rsid w:val="00055A2B"/>
    <w:rsid w:val="00055A86"/>
    <w:rsid w:val="00055C31"/>
    <w:rsid w:val="00055C4D"/>
    <w:rsid w:val="00055D49"/>
    <w:rsid w:val="00055DEA"/>
    <w:rsid w:val="00055EC3"/>
    <w:rsid w:val="00055ED2"/>
    <w:rsid w:val="00056031"/>
    <w:rsid w:val="00056080"/>
    <w:rsid w:val="000563B7"/>
    <w:rsid w:val="000563CE"/>
    <w:rsid w:val="00056A59"/>
    <w:rsid w:val="00056BDC"/>
    <w:rsid w:val="00056D43"/>
    <w:rsid w:val="00056D87"/>
    <w:rsid w:val="00056E73"/>
    <w:rsid w:val="00056F6D"/>
    <w:rsid w:val="00057106"/>
    <w:rsid w:val="0005724D"/>
    <w:rsid w:val="0005727F"/>
    <w:rsid w:val="00057468"/>
    <w:rsid w:val="000578EF"/>
    <w:rsid w:val="000579B2"/>
    <w:rsid w:val="00057B00"/>
    <w:rsid w:val="00057E38"/>
    <w:rsid w:val="00057E58"/>
    <w:rsid w:val="00057FE8"/>
    <w:rsid w:val="00060040"/>
    <w:rsid w:val="0006048E"/>
    <w:rsid w:val="0006054F"/>
    <w:rsid w:val="00060625"/>
    <w:rsid w:val="000606D3"/>
    <w:rsid w:val="00060742"/>
    <w:rsid w:val="0006088A"/>
    <w:rsid w:val="00060ABE"/>
    <w:rsid w:val="00060C76"/>
    <w:rsid w:val="00060F6C"/>
    <w:rsid w:val="0006105F"/>
    <w:rsid w:val="000610F7"/>
    <w:rsid w:val="00061352"/>
    <w:rsid w:val="00061527"/>
    <w:rsid w:val="000615E9"/>
    <w:rsid w:val="000616BF"/>
    <w:rsid w:val="000616FB"/>
    <w:rsid w:val="00061719"/>
    <w:rsid w:val="000618BA"/>
    <w:rsid w:val="000618F9"/>
    <w:rsid w:val="00061AA9"/>
    <w:rsid w:val="00061EE9"/>
    <w:rsid w:val="00061F6B"/>
    <w:rsid w:val="00061F73"/>
    <w:rsid w:val="00061F8C"/>
    <w:rsid w:val="00062041"/>
    <w:rsid w:val="00062063"/>
    <w:rsid w:val="0006207C"/>
    <w:rsid w:val="000620B4"/>
    <w:rsid w:val="000620CE"/>
    <w:rsid w:val="000620FB"/>
    <w:rsid w:val="0006210C"/>
    <w:rsid w:val="000621B4"/>
    <w:rsid w:val="00062340"/>
    <w:rsid w:val="000623B7"/>
    <w:rsid w:val="00062700"/>
    <w:rsid w:val="00062728"/>
    <w:rsid w:val="000627F9"/>
    <w:rsid w:val="000628B6"/>
    <w:rsid w:val="00062A55"/>
    <w:rsid w:val="00062BD0"/>
    <w:rsid w:val="00062F69"/>
    <w:rsid w:val="000630F6"/>
    <w:rsid w:val="000631EB"/>
    <w:rsid w:val="00063261"/>
    <w:rsid w:val="0006340C"/>
    <w:rsid w:val="0006350E"/>
    <w:rsid w:val="000635C8"/>
    <w:rsid w:val="0006363B"/>
    <w:rsid w:val="0006389D"/>
    <w:rsid w:val="00063903"/>
    <w:rsid w:val="00063C3E"/>
    <w:rsid w:val="00063F9B"/>
    <w:rsid w:val="000640C0"/>
    <w:rsid w:val="0006419C"/>
    <w:rsid w:val="000642C6"/>
    <w:rsid w:val="00064469"/>
    <w:rsid w:val="0006458B"/>
    <w:rsid w:val="000645D2"/>
    <w:rsid w:val="0006485A"/>
    <w:rsid w:val="000648D4"/>
    <w:rsid w:val="00064C50"/>
    <w:rsid w:val="00064D8E"/>
    <w:rsid w:val="00064FB3"/>
    <w:rsid w:val="0006504E"/>
    <w:rsid w:val="00065310"/>
    <w:rsid w:val="00065353"/>
    <w:rsid w:val="000654A5"/>
    <w:rsid w:val="000659B6"/>
    <w:rsid w:val="000659E0"/>
    <w:rsid w:val="00065B09"/>
    <w:rsid w:val="00065BB3"/>
    <w:rsid w:val="00065F0F"/>
    <w:rsid w:val="000660BD"/>
    <w:rsid w:val="000661A0"/>
    <w:rsid w:val="000663AD"/>
    <w:rsid w:val="00066481"/>
    <w:rsid w:val="000664C3"/>
    <w:rsid w:val="000664D3"/>
    <w:rsid w:val="000666FD"/>
    <w:rsid w:val="00066819"/>
    <w:rsid w:val="0006686F"/>
    <w:rsid w:val="00066988"/>
    <w:rsid w:val="00066A57"/>
    <w:rsid w:val="00066F09"/>
    <w:rsid w:val="00066F6F"/>
    <w:rsid w:val="0006707A"/>
    <w:rsid w:val="0006708F"/>
    <w:rsid w:val="0006709D"/>
    <w:rsid w:val="0006715B"/>
    <w:rsid w:val="000671A4"/>
    <w:rsid w:val="000671DB"/>
    <w:rsid w:val="0006722A"/>
    <w:rsid w:val="000674F8"/>
    <w:rsid w:val="0006759B"/>
    <w:rsid w:val="000675CB"/>
    <w:rsid w:val="000675D4"/>
    <w:rsid w:val="00067988"/>
    <w:rsid w:val="00067A66"/>
    <w:rsid w:val="00067B4C"/>
    <w:rsid w:val="00067B92"/>
    <w:rsid w:val="00067DAB"/>
    <w:rsid w:val="00067FAE"/>
    <w:rsid w:val="00070496"/>
    <w:rsid w:val="00070732"/>
    <w:rsid w:val="0007092B"/>
    <w:rsid w:val="000709E2"/>
    <w:rsid w:val="00070B64"/>
    <w:rsid w:val="00070BD8"/>
    <w:rsid w:val="00070EE3"/>
    <w:rsid w:val="00070EEB"/>
    <w:rsid w:val="000712B7"/>
    <w:rsid w:val="00071367"/>
    <w:rsid w:val="000713A8"/>
    <w:rsid w:val="0007140B"/>
    <w:rsid w:val="00071DA2"/>
    <w:rsid w:val="00071EF6"/>
    <w:rsid w:val="00072052"/>
    <w:rsid w:val="000720FB"/>
    <w:rsid w:val="000723AE"/>
    <w:rsid w:val="000724B2"/>
    <w:rsid w:val="0007258C"/>
    <w:rsid w:val="0007271E"/>
    <w:rsid w:val="00072A02"/>
    <w:rsid w:val="00072BE3"/>
    <w:rsid w:val="00072CC0"/>
    <w:rsid w:val="00072D30"/>
    <w:rsid w:val="00072EBD"/>
    <w:rsid w:val="0007310C"/>
    <w:rsid w:val="00073161"/>
    <w:rsid w:val="000732CF"/>
    <w:rsid w:val="0007332C"/>
    <w:rsid w:val="0007337A"/>
    <w:rsid w:val="0007360A"/>
    <w:rsid w:val="000737C8"/>
    <w:rsid w:val="00073B8D"/>
    <w:rsid w:val="00073C87"/>
    <w:rsid w:val="00073CB1"/>
    <w:rsid w:val="00073DB7"/>
    <w:rsid w:val="00073DEA"/>
    <w:rsid w:val="00073F3D"/>
    <w:rsid w:val="00074277"/>
    <w:rsid w:val="0007447A"/>
    <w:rsid w:val="00074501"/>
    <w:rsid w:val="00074836"/>
    <w:rsid w:val="00074890"/>
    <w:rsid w:val="000748AC"/>
    <w:rsid w:val="00074A13"/>
    <w:rsid w:val="00074AA8"/>
    <w:rsid w:val="00074B35"/>
    <w:rsid w:val="00074B52"/>
    <w:rsid w:val="00074BE1"/>
    <w:rsid w:val="00074CD1"/>
    <w:rsid w:val="00074CDC"/>
    <w:rsid w:val="00074E70"/>
    <w:rsid w:val="00075196"/>
    <w:rsid w:val="000751FF"/>
    <w:rsid w:val="00075234"/>
    <w:rsid w:val="00075374"/>
    <w:rsid w:val="000753A6"/>
    <w:rsid w:val="000753C8"/>
    <w:rsid w:val="00075578"/>
    <w:rsid w:val="000759E5"/>
    <w:rsid w:val="00075B96"/>
    <w:rsid w:val="00075BEC"/>
    <w:rsid w:val="00075D42"/>
    <w:rsid w:val="00075DEE"/>
    <w:rsid w:val="00075E75"/>
    <w:rsid w:val="00075F41"/>
    <w:rsid w:val="00075F65"/>
    <w:rsid w:val="00075FF0"/>
    <w:rsid w:val="0007617A"/>
    <w:rsid w:val="00076323"/>
    <w:rsid w:val="00076448"/>
    <w:rsid w:val="0007648F"/>
    <w:rsid w:val="000764AE"/>
    <w:rsid w:val="00076768"/>
    <w:rsid w:val="000767BF"/>
    <w:rsid w:val="00076D42"/>
    <w:rsid w:val="0007701A"/>
    <w:rsid w:val="000770F2"/>
    <w:rsid w:val="000771FA"/>
    <w:rsid w:val="00077271"/>
    <w:rsid w:val="00077397"/>
    <w:rsid w:val="000773A1"/>
    <w:rsid w:val="00077493"/>
    <w:rsid w:val="0007750A"/>
    <w:rsid w:val="00077733"/>
    <w:rsid w:val="00077A7D"/>
    <w:rsid w:val="00077B2A"/>
    <w:rsid w:val="00077B6A"/>
    <w:rsid w:val="00077BEB"/>
    <w:rsid w:val="00077C3C"/>
    <w:rsid w:val="00077CE7"/>
    <w:rsid w:val="00077EC5"/>
    <w:rsid w:val="00077EF2"/>
    <w:rsid w:val="00077F75"/>
    <w:rsid w:val="00080095"/>
    <w:rsid w:val="000800C8"/>
    <w:rsid w:val="00080265"/>
    <w:rsid w:val="000805F3"/>
    <w:rsid w:val="0008080F"/>
    <w:rsid w:val="000808E7"/>
    <w:rsid w:val="000809CF"/>
    <w:rsid w:val="00080A13"/>
    <w:rsid w:val="00080CA0"/>
    <w:rsid w:val="000810B5"/>
    <w:rsid w:val="00081127"/>
    <w:rsid w:val="00081156"/>
    <w:rsid w:val="00081276"/>
    <w:rsid w:val="0008140B"/>
    <w:rsid w:val="00081566"/>
    <w:rsid w:val="000815AB"/>
    <w:rsid w:val="00081636"/>
    <w:rsid w:val="00081692"/>
    <w:rsid w:val="000816A8"/>
    <w:rsid w:val="0008196A"/>
    <w:rsid w:val="00081B91"/>
    <w:rsid w:val="00081C04"/>
    <w:rsid w:val="00081DC6"/>
    <w:rsid w:val="00081E0B"/>
    <w:rsid w:val="00081EB3"/>
    <w:rsid w:val="00082137"/>
    <w:rsid w:val="00082175"/>
    <w:rsid w:val="000821A9"/>
    <w:rsid w:val="000821AB"/>
    <w:rsid w:val="00082275"/>
    <w:rsid w:val="0008231C"/>
    <w:rsid w:val="000823F0"/>
    <w:rsid w:val="0008244A"/>
    <w:rsid w:val="000824D3"/>
    <w:rsid w:val="000825D9"/>
    <w:rsid w:val="000826A3"/>
    <w:rsid w:val="00082727"/>
    <w:rsid w:val="00082735"/>
    <w:rsid w:val="000828B3"/>
    <w:rsid w:val="000828DA"/>
    <w:rsid w:val="00082973"/>
    <w:rsid w:val="00082A40"/>
    <w:rsid w:val="00082ACC"/>
    <w:rsid w:val="00082C7C"/>
    <w:rsid w:val="00082E35"/>
    <w:rsid w:val="00082F3A"/>
    <w:rsid w:val="00083271"/>
    <w:rsid w:val="00083306"/>
    <w:rsid w:val="0008338D"/>
    <w:rsid w:val="00083401"/>
    <w:rsid w:val="00083612"/>
    <w:rsid w:val="00083795"/>
    <w:rsid w:val="0008398C"/>
    <w:rsid w:val="00083A29"/>
    <w:rsid w:val="00083E46"/>
    <w:rsid w:val="00083F95"/>
    <w:rsid w:val="00084002"/>
    <w:rsid w:val="0008400B"/>
    <w:rsid w:val="00084799"/>
    <w:rsid w:val="000847EC"/>
    <w:rsid w:val="00084803"/>
    <w:rsid w:val="00084813"/>
    <w:rsid w:val="00084AD9"/>
    <w:rsid w:val="00084ADF"/>
    <w:rsid w:val="00084FDB"/>
    <w:rsid w:val="000851A7"/>
    <w:rsid w:val="000853AD"/>
    <w:rsid w:val="000853E6"/>
    <w:rsid w:val="00085511"/>
    <w:rsid w:val="00085541"/>
    <w:rsid w:val="000855D1"/>
    <w:rsid w:val="000855E8"/>
    <w:rsid w:val="00085A7E"/>
    <w:rsid w:val="00085AB3"/>
    <w:rsid w:val="00085BB2"/>
    <w:rsid w:val="00085C60"/>
    <w:rsid w:val="000860E0"/>
    <w:rsid w:val="000861A3"/>
    <w:rsid w:val="0008627E"/>
    <w:rsid w:val="0008652C"/>
    <w:rsid w:val="000866F1"/>
    <w:rsid w:val="0008679B"/>
    <w:rsid w:val="00086827"/>
    <w:rsid w:val="00086865"/>
    <w:rsid w:val="00086B0D"/>
    <w:rsid w:val="00086D5E"/>
    <w:rsid w:val="00086E6C"/>
    <w:rsid w:val="00087253"/>
    <w:rsid w:val="0008725D"/>
    <w:rsid w:val="0008729D"/>
    <w:rsid w:val="000878A3"/>
    <w:rsid w:val="000879CF"/>
    <w:rsid w:val="00087CCC"/>
    <w:rsid w:val="00087D42"/>
    <w:rsid w:val="00087DFB"/>
    <w:rsid w:val="00087EB0"/>
    <w:rsid w:val="00087F11"/>
    <w:rsid w:val="00087F40"/>
    <w:rsid w:val="00087F4E"/>
    <w:rsid w:val="00087FC0"/>
    <w:rsid w:val="000904CF"/>
    <w:rsid w:val="000905AE"/>
    <w:rsid w:val="0009074C"/>
    <w:rsid w:val="00090810"/>
    <w:rsid w:val="00090A47"/>
    <w:rsid w:val="00090ABE"/>
    <w:rsid w:val="00091319"/>
    <w:rsid w:val="0009132F"/>
    <w:rsid w:val="000913B6"/>
    <w:rsid w:val="000914A3"/>
    <w:rsid w:val="000915ED"/>
    <w:rsid w:val="00091628"/>
    <w:rsid w:val="000916A5"/>
    <w:rsid w:val="00091803"/>
    <w:rsid w:val="00091820"/>
    <w:rsid w:val="00091959"/>
    <w:rsid w:val="00091982"/>
    <w:rsid w:val="00091AC2"/>
    <w:rsid w:val="00091DC7"/>
    <w:rsid w:val="0009209D"/>
    <w:rsid w:val="0009209E"/>
    <w:rsid w:val="00092201"/>
    <w:rsid w:val="000924EE"/>
    <w:rsid w:val="0009254C"/>
    <w:rsid w:val="000925F3"/>
    <w:rsid w:val="00092723"/>
    <w:rsid w:val="0009276B"/>
    <w:rsid w:val="0009279F"/>
    <w:rsid w:val="00092B6D"/>
    <w:rsid w:val="00092F99"/>
    <w:rsid w:val="00093165"/>
    <w:rsid w:val="000939E6"/>
    <w:rsid w:val="00093CC5"/>
    <w:rsid w:val="00093CD5"/>
    <w:rsid w:val="00093DD0"/>
    <w:rsid w:val="00093EDE"/>
    <w:rsid w:val="000941E0"/>
    <w:rsid w:val="00094433"/>
    <w:rsid w:val="00094599"/>
    <w:rsid w:val="0009460A"/>
    <w:rsid w:val="00094616"/>
    <w:rsid w:val="0009463C"/>
    <w:rsid w:val="000946DB"/>
    <w:rsid w:val="0009479F"/>
    <w:rsid w:val="000947AC"/>
    <w:rsid w:val="000947B8"/>
    <w:rsid w:val="000947BF"/>
    <w:rsid w:val="000949A7"/>
    <w:rsid w:val="00094AF0"/>
    <w:rsid w:val="00094BA6"/>
    <w:rsid w:val="00094EC1"/>
    <w:rsid w:val="000951E6"/>
    <w:rsid w:val="00095226"/>
    <w:rsid w:val="000958CA"/>
    <w:rsid w:val="00095959"/>
    <w:rsid w:val="00095A71"/>
    <w:rsid w:val="00095A83"/>
    <w:rsid w:val="00095AB8"/>
    <w:rsid w:val="00095B55"/>
    <w:rsid w:val="00095F4C"/>
    <w:rsid w:val="000961F2"/>
    <w:rsid w:val="00096254"/>
    <w:rsid w:val="00096288"/>
    <w:rsid w:val="000962C2"/>
    <w:rsid w:val="00096624"/>
    <w:rsid w:val="000966CB"/>
    <w:rsid w:val="000968AE"/>
    <w:rsid w:val="000969BD"/>
    <w:rsid w:val="000969BF"/>
    <w:rsid w:val="00096AB5"/>
    <w:rsid w:val="00096C85"/>
    <w:rsid w:val="00096DD9"/>
    <w:rsid w:val="00096E23"/>
    <w:rsid w:val="00096E62"/>
    <w:rsid w:val="00097328"/>
    <w:rsid w:val="0009767E"/>
    <w:rsid w:val="0009770E"/>
    <w:rsid w:val="000977C1"/>
    <w:rsid w:val="00097A8B"/>
    <w:rsid w:val="00097AF5"/>
    <w:rsid w:val="00097B4B"/>
    <w:rsid w:val="00097CB4"/>
    <w:rsid w:val="00097D3F"/>
    <w:rsid w:val="00097EED"/>
    <w:rsid w:val="00097F62"/>
    <w:rsid w:val="000A0137"/>
    <w:rsid w:val="000A0230"/>
    <w:rsid w:val="000A03B8"/>
    <w:rsid w:val="000A0495"/>
    <w:rsid w:val="000A04B0"/>
    <w:rsid w:val="000A04C5"/>
    <w:rsid w:val="000A0528"/>
    <w:rsid w:val="000A05C7"/>
    <w:rsid w:val="000A0629"/>
    <w:rsid w:val="000A0C22"/>
    <w:rsid w:val="000A0E47"/>
    <w:rsid w:val="000A0E6B"/>
    <w:rsid w:val="000A1289"/>
    <w:rsid w:val="000A12AD"/>
    <w:rsid w:val="000A1400"/>
    <w:rsid w:val="000A1419"/>
    <w:rsid w:val="000A15E9"/>
    <w:rsid w:val="000A1717"/>
    <w:rsid w:val="000A1979"/>
    <w:rsid w:val="000A1C41"/>
    <w:rsid w:val="000A1D1F"/>
    <w:rsid w:val="000A1DAA"/>
    <w:rsid w:val="000A1E5D"/>
    <w:rsid w:val="000A203E"/>
    <w:rsid w:val="000A21CF"/>
    <w:rsid w:val="000A2328"/>
    <w:rsid w:val="000A23A0"/>
    <w:rsid w:val="000A23F2"/>
    <w:rsid w:val="000A2408"/>
    <w:rsid w:val="000A253A"/>
    <w:rsid w:val="000A26FD"/>
    <w:rsid w:val="000A27CB"/>
    <w:rsid w:val="000A28EB"/>
    <w:rsid w:val="000A2906"/>
    <w:rsid w:val="000A2BD7"/>
    <w:rsid w:val="000A2BD9"/>
    <w:rsid w:val="000A2FFD"/>
    <w:rsid w:val="000A31A9"/>
    <w:rsid w:val="000A3285"/>
    <w:rsid w:val="000A3296"/>
    <w:rsid w:val="000A3539"/>
    <w:rsid w:val="000A385E"/>
    <w:rsid w:val="000A3889"/>
    <w:rsid w:val="000A3A23"/>
    <w:rsid w:val="000A3A96"/>
    <w:rsid w:val="000A3B00"/>
    <w:rsid w:val="000A3C43"/>
    <w:rsid w:val="000A3E38"/>
    <w:rsid w:val="000A4147"/>
    <w:rsid w:val="000A4433"/>
    <w:rsid w:val="000A4455"/>
    <w:rsid w:val="000A44EF"/>
    <w:rsid w:val="000A46D9"/>
    <w:rsid w:val="000A4765"/>
    <w:rsid w:val="000A4A51"/>
    <w:rsid w:val="000A4AE2"/>
    <w:rsid w:val="000A4D12"/>
    <w:rsid w:val="000A5108"/>
    <w:rsid w:val="000A531E"/>
    <w:rsid w:val="000A53EB"/>
    <w:rsid w:val="000A5465"/>
    <w:rsid w:val="000A5528"/>
    <w:rsid w:val="000A55EC"/>
    <w:rsid w:val="000A57D8"/>
    <w:rsid w:val="000A5833"/>
    <w:rsid w:val="000A5863"/>
    <w:rsid w:val="000A593D"/>
    <w:rsid w:val="000A59DC"/>
    <w:rsid w:val="000A5B50"/>
    <w:rsid w:val="000A5D2B"/>
    <w:rsid w:val="000A5E7C"/>
    <w:rsid w:val="000A5F57"/>
    <w:rsid w:val="000A609F"/>
    <w:rsid w:val="000A650E"/>
    <w:rsid w:val="000A65CE"/>
    <w:rsid w:val="000A66A0"/>
    <w:rsid w:val="000A66D8"/>
    <w:rsid w:val="000A68DC"/>
    <w:rsid w:val="000A6BBB"/>
    <w:rsid w:val="000A6C2F"/>
    <w:rsid w:val="000A6D14"/>
    <w:rsid w:val="000A6F83"/>
    <w:rsid w:val="000A701B"/>
    <w:rsid w:val="000A70FE"/>
    <w:rsid w:val="000A72D9"/>
    <w:rsid w:val="000A73BD"/>
    <w:rsid w:val="000A7456"/>
    <w:rsid w:val="000A7826"/>
    <w:rsid w:val="000A7921"/>
    <w:rsid w:val="000A7A16"/>
    <w:rsid w:val="000A7A4A"/>
    <w:rsid w:val="000A7AFB"/>
    <w:rsid w:val="000A7F7E"/>
    <w:rsid w:val="000A7F9F"/>
    <w:rsid w:val="000A7FE6"/>
    <w:rsid w:val="000B0021"/>
    <w:rsid w:val="000B01D2"/>
    <w:rsid w:val="000B02E0"/>
    <w:rsid w:val="000B04B7"/>
    <w:rsid w:val="000B071E"/>
    <w:rsid w:val="000B080E"/>
    <w:rsid w:val="000B08F7"/>
    <w:rsid w:val="000B0E3D"/>
    <w:rsid w:val="000B1069"/>
    <w:rsid w:val="000B123B"/>
    <w:rsid w:val="000B13DA"/>
    <w:rsid w:val="000B1404"/>
    <w:rsid w:val="000B1539"/>
    <w:rsid w:val="000B1541"/>
    <w:rsid w:val="000B15F2"/>
    <w:rsid w:val="000B1790"/>
    <w:rsid w:val="000B1886"/>
    <w:rsid w:val="000B19C6"/>
    <w:rsid w:val="000B19EB"/>
    <w:rsid w:val="000B1CDA"/>
    <w:rsid w:val="000B1E80"/>
    <w:rsid w:val="000B1F81"/>
    <w:rsid w:val="000B20D7"/>
    <w:rsid w:val="000B2133"/>
    <w:rsid w:val="000B237B"/>
    <w:rsid w:val="000B23D1"/>
    <w:rsid w:val="000B2530"/>
    <w:rsid w:val="000B256C"/>
    <w:rsid w:val="000B290F"/>
    <w:rsid w:val="000B2C87"/>
    <w:rsid w:val="000B2D3D"/>
    <w:rsid w:val="000B2D6E"/>
    <w:rsid w:val="000B304D"/>
    <w:rsid w:val="000B3129"/>
    <w:rsid w:val="000B31C8"/>
    <w:rsid w:val="000B3346"/>
    <w:rsid w:val="000B3749"/>
    <w:rsid w:val="000B3813"/>
    <w:rsid w:val="000B38FF"/>
    <w:rsid w:val="000B39A8"/>
    <w:rsid w:val="000B3A69"/>
    <w:rsid w:val="000B3B59"/>
    <w:rsid w:val="000B3C79"/>
    <w:rsid w:val="000B3DBE"/>
    <w:rsid w:val="000B4041"/>
    <w:rsid w:val="000B409C"/>
    <w:rsid w:val="000B4239"/>
    <w:rsid w:val="000B4244"/>
    <w:rsid w:val="000B440C"/>
    <w:rsid w:val="000B4664"/>
    <w:rsid w:val="000B4698"/>
    <w:rsid w:val="000B4703"/>
    <w:rsid w:val="000B4A7F"/>
    <w:rsid w:val="000B4B2F"/>
    <w:rsid w:val="000B4C21"/>
    <w:rsid w:val="000B4FFF"/>
    <w:rsid w:val="000B5005"/>
    <w:rsid w:val="000B5177"/>
    <w:rsid w:val="000B519B"/>
    <w:rsid w:val="000B52E8"/>
    <w:rsid w:val="000B56C1"/>
    <w:rsid w:val="000B56F5"/>
    <w:rsid w:val="000B59F8"/>
    <w:rsid w:val="000B5AE3"/>
    <w:rsid w:val="000B5C28"/>
    <w:rsid w:val="000B5CB4"/>
    <w:rsid w:val="000B5DE3"/>
    <w:rsid w:val="000B5F14"/>
    <w:rsid w:val="000B609B"/>
    <w:rsid w:val="000B60A8"/>
    <w:rsid w:val="000B615D"/>
    <w:rsid w:val="000B61DF"/>
    <w:rsid w:val="000B62C4"/>
    <w:rsid w:val="000B634A"/>
    <w:rsid w:val="000B65D6"/>
    <w:rsid w:val="000B66E4"/>
    <w:rsid w:val="000B6809"/>
    <w:rsid w:val="000B68C4"/>
    <w:rsid w:val="000B6B2B"/>
    <w:rsid w:val="000B6DC4"/>
    <w:rsid w:val="000B6F35"/>
    <w:rsid w:val="000B7376"/>
    <w:rsid w:val="000B746E"/>
    <w:rsid w:val="000B7589"/>
    <w:rsid w:val="000B7594"/>
    <w:rsid w:val="000B7722"/>
    <w:rsid w:val="000B7940"/>
    <w:rsid w:val="000B797D"/>
    <w:rsid w:val="000B7A45"/>
    <w:rsid w:val="000B7AC4"/>
    <w:rsid w:val="000B7E01"/>
    <w:rsid w:val="000B7E47"/>
    <w:rsid w:val="000C00F3"/>
    <w:rsid w:val="000C01B1"/>
    <w:rsid w:val="000C0244"/>
    <w:rsid w:val="000C02BF"/>
    <w:rsid w:val="000C03FF"/>
    <w:rsid w:val="000C061E"/>
    <w:rsid w:val="000C07D3"/>
    <w:rsid w:val="000C09EF"/>
    <w:rsid w:val="000C0A57"/>
    <w:rsid w:val="000C0F02"/>
    <w:rsid w:val="000C0F29"/>
    <w:rsid w:val="000C10B6"/>
    <w:rsid w:val="000C10BD"/>
    <w:rsid w:val="000C141D"/>
    <w:rsid w:val="000C147A"/>
    <w:rsid w:val="000C15A5"/>
    <w:rsid w:val="000C15B5"/>
    <w:rsid w:val="000C1711"/>
    <w:rsid w:val="000C19CB"/>
    <w:rsid w:val="000C1A2A"/>
    <w:rsid w:val="000C1A42"/>
    <w:rsid w:val="000C1A58"/>
    <w:rsid w:val="000C1A64"/>
    <w:rsid w:val="000C1A8C"/>
    <w:rsid w:val="000C1B57"/>
    <w:rsid w:val="000C1D85"/>
    <w:rsid w:val="000C1D8B"/>
    <w:rsid w:val="000C1DD0"/>
    <w:rsid w:val="000C1E5E"/>
    <w:rsid w:val="000C1FE2"/>
    <w:rsid w:val="000C210F"/>
    <w:rsid w:val="000C230C"/>
    <w:rsid w:val="000C268C"/>
    <w:rsid w:val="000C26F3"/>
    <w:rsid w:val="000C2701"/>
    <w:rsid w:val="000C2721"/>
    <w:rsid w:val="000C27B5"/>
    <w:rsid w:val="000C28AF"/>
    <w:rsid w:val="000C2941"/>
    <w:rsid w:val="000C2FCB"/>
    <w:rsid w:val="000C3363"/>
    <w:rsid w:val="000C3983"/>
    <w:rsid w:val="000C3DD3"/>
    <w:rsid w:val="000C3E8C"/>
    <w:rsid w:val="000C3F97"/>
    <w:rsid w:val="000C3F99"/>
    <w:rsid w:val="000C4228"/>
    <w:rsid w:val="000C4251"/>
    <w:rsid w:val="000C4255"/>
    <w:rsid w:val="000C42A4"/>
    <w:rsid w:val="000C42E8"/>
    <w:rsid w:val="000C42EF"/>
    <w:rsid w:val="000C430E"/>
    <w:rsid w:val="000C431B"/>
    <w:rsid w:val="000C4336"/>
    <w:rsid w:val="000C43AA"/>
    <w:rsid w:val="000C44CE"/>
    <w:rsid w:val="000C4526"/>
    <w:rsid w:val="000C48CA"/>
    <w:rsid w:val="000C491F"/>
    <w:rsid w:val="000C4A16"/>
    <w:rsid w:val="000C4B9B"/>
    <w:rsid w:val="000C4C95"/>
    <w:rsid w:val="000C4CF7"/>
    <w:rsid w:val="000C4EAA"/>
    <w:rsid w:val="000C5148"/>
    <w:rsid w:val="000C524E"/>
    <w:rsid w:val="000C56A8"/>
    <w:rsid w:val="000C57C9"/>
    <w:rsid w:val="000C5AFF"/>
    <w:rsid w:val="000C5C04"/>
    <w:rsid w:val="000C5F1D"/>
    <w:rsid w:val="000C62BA"/>
    <w:rsid w:val="000C644F"/>
    <w:rsid w:val="000C65E2"/>
    <w:rsid w:val="000C6748"/>
    <w:rsid w:val="000C6935"/>
    <w:rsid w:val="000C6A6E"/>
    <w:rsid w:val="000C6AB4"/>
    <w:rsid w:val="000C6D44"/>
    <w:rsid w:val="000C6D6B"/>
    <w:rsid w:val="000C6DD3"/>
    <w:rsid w:val="000C6F12"/>
    <w:rsid w:val="000C701B"/>
    <w:rsid w:val="000C748A"/>
    <w:rsid w:val="000C74BA"/>
    <w:rsid w:val="000C7514"/>
    <w:rsid w:val="000C75ED"/>
    <w:rsid w:val="000C763E"/>
    <w:rsid w:val="000C76D2"/>
    <w:rsid w:val="000C7B00"/>
    <w:rsid w:val="000C7B8D"/>
    <w:rsid w:val="000C7BC1"/>
    <w:rsid w:val="000C7CC2"/>
    <w:rsid w:val="000C7D30"/>
    <w:rsid w:val="000C7D9E"/>
    <w:rsid w:val="000C7EBF"/>
    <w:rsid w:val="000C7EC8"/>
    <w:rsid w:val="000D015C"/>
    <w:rsid w:val="000D01D1"/>
    <w:rsid w:val="000D0657"/>
    <w:rsid w:val="000D0660"/>
    <w:rsid w:val="000D0D3D"/>
    <w:rsid w:val="000D0F2E"/>
    <w:rsid w:val="000D0F37"/>
    <w:rsid w:val="000D0F40"/>
    <w:rsid w:val="000D10D2"/>
    <w:rsid w:val="000D1255"/>
    <w:rsid w:val="000D1324"/>
    <w:rsid w:val="000D13C7"/>
    <w:rsid w:val="000D1499"/>
    <w:rsid w:val="000D16FE"/>
    <w:rsid w:val="000D197F"/>
    <w:rsid w:val="000D1989"/>
    <w:rsid w:val="000D1BF9"/>
    <w:rsid w:val="000D1D2F"/>
    <w:rsid w:val="000D1DCA"/>
    <w:rsid w:val="000D206E"/>
    <w:rsid w:val="000D21EE"/>
    <w:rsid w:val="000D2204"/>
    <w:rsid w:val="000D25B8"/>
    <w:rsid w:val="000D276A"/>
    <w:rsid w:val="000D297C"/>
    <w:rsid w:val="000D30BE"/>
    <w:rsid w:val="000D31D3"/>
    <w:rsid w:val="000D3292"/>
    <w:rsid w:val="000D3377"/>
    <w:rsid w:val="000D346D"/>
    <w:rsid w:val="000D35B4"/>
    <w:rsid w:val="000D36AD"/>
    <w:rsid w:val="000D37DB"/>
    <w:rsid w:val="000D387B"/>
    <w:rsid w:val="000D3B2B"/>
    <w:rsid w:val="000D3CF9"/>
    <w:rsid w:val="000D3E7E"/>
    <w:rsid w:val="000D4012"/>
    <w:rsid w:val="000D417F"/>
    <w:rsid w:val="000D422E"/>
    <w:rsid w:val="000D4269"/>
    <w:rsid w:val="000D4567"/>
    <w:rsid w:val="000D4AB2"/>
    <w:rsid w:val="000D4CA2"/>
    <w:rsid w:val="000D4E79"/>
    <w:rsid w:val="000D4FF6"/>
    <w:rsid w:val="000D5028"/>
    <w:rsid w:val="000D526E"/>
    <w:rsid w:val="000D52A1"/>
    <w:rsid w:val="000D53D5"/>
    <w:rsid w:val="000D53F9"/>
    <w:rsid w:val="000D554B"/>
    <w:rsid w:val="000D5652"/>
    <w:rsid w:val="000D5981"/>
    <w:rsid w:val="000D5A7C"/>
    <w:rsid w:val="000D5DE6"/>
    <w:rsid w:val="000D5F88"/>
    <w:rsid w:val="000D6014"/>
    <w:rsid w:val="000D60B3"/>
    <w:rsid w:val="000D60ED"/>
    <w:rsid w:val="000D62C2"/>
    <w:rsid w:val="000D62F8"/>
    <w:rsid w:val="000D6646"/>
    <w:rsid w:val="000D68E1"/>
    <w:rsid w:val="000D696C"/>
    <w:rsid w:val="000D6D32"/>
    <w:rsid w:val="000D6D4F"/>
    <w:rsid w:val="000D719A"/>
    <w:rsid w:val="000D71D9"/>
    <w:rsid w:val="000D75F1"/>
    <w:rsid w:val="000D76E0"/>
    <w:rsid w:val="000D7815"/>
    <w:rsid w:val="000D78A2"/>
    <w:rsid w:val="000D79EA"/>
    <w:rsid w:val="000D7A39"/>
    <w:rsid w:val="000D7A4A"/>
    <w:rsid w:val="000D7B95"/>
    <w:rsid w:val="000D7E8B"/>
    <w:rsid w:val="000E00A0"/>
    <w:rsid w:val="000E04D8"/>
    <w:rsid w:val="000E04E3"/>
    <w:rsid w:val="000E0518"/>
    <w:rsid w:val="000E0534"/>
    <w:rsid w:val="000E0856"/>
    <w:rsid w:val="000E096A"/>
    <w:rsid w:val="000E0AFC"/>
    <w:rsid w:val="000E0B25"/>
    <w:rsid w:val="000E0C0A"/>
    <w:rsid w:val="000E0C95"/>
    <w:rsid w:val="000E0D26"/>
    <w:rsid w:val="000E0DE6"/>
    <w:rsid w:val="000E0ED7"/>
    <w:rsid w:val="000E10D6"/>
    <w:rsid w:val="000E111C"/>
    <w:rsid w:val="000E120A"/>
    <w:rsid w:val="000E12A2"/>
    <w:rsid w:val="000E1468"/>
    <w:rsid w:val="000E16A3"/>
    <w:rsid w:val="000E188E"/>
    <w:rsid w:val="000E1A26"/>
    <w:rsid w:val="000E1A2B"/>
    <w:rsid w:val="000E1AD1"/>
    <w:rsid w:val="000E1BD8"/>
    <w:rsid w:val="000E1CB0"/>
    <w:rsid w:val="000E1D12"/>
    <w:rsid w:val="000E1E2A"/>
    <w:rsid w:val="000E2091"/>
    <w:rsid w:val="000E20C2"/>
    <w:rsid w:val="000E2259"/>
    <w:rsid w:val="000E226E"/>
    <w:rsid w:val="000E2275"/>
    <w:rsid w:val="000E2322"/>
    <w:rsid w:val="000E232E"/>
    <w:rsid w:val="000E25EE"/>
    <w:rsid w:val="000E2633"/>
    <w:rsid w:val="000E27AA"/>
    <w:rsid w:val="000E27BA"/>
    <w:rsid w:val="000E2911"/>
    <w:rsid w:val="000E296F"/>
    <w:rsid w:val="000E2A16"/>
    <w:rsid w:val="000E2A9D"/>
    <w:rsid w:val="000E2D3D"/>
    <w:rsid w:val="000E2FB0"/>
    <w:rsid w:val="000E2FC4"/>
    <w:rsid w:val="000E30FA"/>
    <w:rsid w:val="000E3269"/>
    <w:rsid w:val="000E3307"/>
    <w:rsid w:val="000E3511"/>
    <w:rsid w:val="000E36FD"/>
    <w:rsid w:val="000E3882"/>
    <w:rsid w:val="000E3981"/>
    <w:rsid w:val="000E3B66"/>
    <w:rsid w:val="000E3BC8"/>
    <w:rsid w:val="000E3D2C"/>
    <w:rsid w:val="000E3EC1"/>
    <w:rsid w:val="000E3F7E"/>
    <w:rsid w:val="000E4227"/>
    <w:rsid w:val="000E42DF"/>
    <w:rsid w:val="000E4395"/>
    <w:rsid w:val="000E4449"/>
    <w:rsid w:val="000E444F"/>
    <w:rsid w:val="000E45B0"/>
    <w:rsid w:val="000E46E5"/>
    <w:rsid w:val="000E485E"/>
    <w:rsid w:val="000E4923"/>
    <w:rsid w:val="000E4926"/>
    <w:rsid w:val="000E49AA"/>
    <w:rsid w:val="000E4ABA"/>
    <w:rsid w:val="000E4D8A"/>
    <w:rsid w:val="000E4E07"/>
    <w:rsid w:val="000E4E6D"/>
    <w:rsid w:val="000E5027"/>
    <w:rsid w:val="000E52D2"/>
    <w:rsid w:val="000E564D"/>
    <w:rsid w:val="000E56B7"/>
    <w:rsid w:val="000E5997"/>
    <w:rsid w:val="000E59BD"/>
    <w:rsid w:val="000E59FB"/>
    <w:rsid w:val="000E5A08"/>
    <w:rsid w:val="000E5A6D"/>
    <w:rsid w:val="000E5F09"/>
    <w:rsid w:val="000E5F69"/>
    <w:rsid w:val="000E6097"/>
    <w:rsid w:val="000E622E"/>
    <w:rsid w:val="000E6661"/>
    <w:rsid w:val="000E675A"/>
    <w:rsid w:val="000E6964"/>
    <w:rsid w:val="000E6B7A"/>
    <w:rsid w:val="000E6C52"/>
    <w:rsid w:val="000E6C66"/>
    <w:rsid w:val="000E6D97"/>
    <w:rsid w:val="000E70B2"/>
    <w:rsid w:val="000E72CB"/>
    <w:rsid w:val="000E788A"/>
    <w:rsid w:val="000E799F"/>
    <w:rsid w:val="000E7B8A"/>
    <w:rsid w:val="000E7C50"/>
    <w:rsid w:val="000E7E2B"/>
    <w:rsid w:val="000E7EF5"/>
    <w:rsid w:val="000F0087"/>
    <w:rsid w:val="000F00CE"/>
    <w:rsid w:val="000F0207"/>
    <w:rsid w:val="000F0254"/>
    <w:rsid w:val="000F04A8"/>
    <w:rsid w:val="000F0523"/>
    <w:rsid w:val="000F05B2"/>
    <w:rsid w:val="000F06CA"/>
    <w:rsid w:val="000F0F10"/>
    <w:rsid w:val="000F0F19"/>
    <w:rsid w:val="000F1157"/>
    <w:rsid w:val="000F12BA"/>
    <w:rsid w:val="000F1634"/>
    <w:rsid w:val="000F1BB8"/>
    <w:rsid w:val="000F1BD8"/>
    <w:rsid w:val="000F1CFF"/>
    <w:rsid w:val="000F1D03"/>
    <w:rsid w:val="000F1E6D"/>
    <w:rsid w:val="000F1FA6"/>
    <w:rsid w:val="000F227A"/>
    <w:rsid w:val="000F2441"/>
    <w:rsid w:val="000F2AC3"/>
    <w:rsid w:val="000F2CA2"/>
    <w:rsid w:val="000F2CD8"/>
    <w:rsid w:val="000F2EE7"/>
    <w:rsid w:val="000F3018"/>
    <w:rsid w:val="000F3102"/>
    <w:rsid w:val="000F3191"/>
    <w:rsid w:val="000F36EB"/>
    <w:rsid w:val="000F394C"/>
    <w:rsid w:val="000F3B40"/>
    <w:rsid w:val="000F3BA5"/>
    <w:rsid w:val="000F3BEA"/>
    <w:rsid w:val="000F3DC1"/>
    <w:rsid w:val="000F3E71"/>
    <w:rsid w:val="000F4378"/>
    <w:rsid w:val="000F4677"/>
    <w:rsid w:val="000F4779"/>
    <w:rsid w:val="000F47D3"/>
    <w:rsid w:val="000F4A94"/>
    <w:rsid w:val="000F4BE7"/>
    <w:rsid w:val="000F4D0D"/>
    <w:rsid w:val="000F4E41"/>
    <w:rsid w:val="000F4F38"/>
    <w:rsid w:val="000F4FC4"/>
    <w:rsid w:val="000F5150"/>
    <w:rsid w:val="000F5263"/>
    <w:rsid w:val="000F52D2"/>
    <w:rsid w:val="000F541B"/>
    <w:rsid w:val="000F5449"/>
    <w:rsid w:val="000F544E"/>
    <w:rsid w:val="000F5705"/>
    <w:rsid w:val="000F5B0F"/>
    <w:rsid w:val="000F5CD1"/>
    <w:rsid w:val="000F5CF7"/>
    <w:rsid w:val="000F6036"/>
    <w:rsid w:val="000F60F3"/>
    <w:rsid w:val="000F60FD"/>
    <w:rsid w:val="000F6358"/>
    <w:rsid w:val="000F642D"/>
    <w:rsid w:val="000F64D3"/>
    <w:rsid w:val="000F6539"/>
    <w:rsid w:val="000F6918"/>
    <w:rsid w:val="000F6A2D"/>
    <w:rsid w:val="000F6B49"/>
    <w:rsid w:val="000F6DEB"/>
    <w:rsid w:val="000F6E8A"/>
    <w:rsid w:val="000F6ECB"/>
    <w:rsid w:val="000F7036"/>
    <w:rsid w:val="000F72DB"/>
    <w:rsid w:val="000F736B"/>
    <w:rsid w:val="000F754E"/>
    <w:rsid w:val="000F7605"/>
    <w:rsid w:val="000F76A1"/>
    <w:rsid w:val="000F7845"/>
    <w:rsid w:val="000F78BF"/>
    <w:rsid w:val="000F7B26"/>
    <w:rsid w:val="000F7D4D"/>
    <w:rsid w:val="000F7DBE"/>
    <w:rsid w:val="000F7E6E"/>
    <w:rsid w:val="000F7EFF"/>
    <w:rsid w:val="000F7F49"/>
    <w:rsid w:val="000F7FFA"/>
    <w:rsid w:val="001002D3"/>
    <w:rsid w:val="00100508"/>
    <w:rsid w:val="001008E0"/>
    <w:rsid w:val="00100C02"/>
    <w:rsid w:val="00100C8E"/>
    <w:rsid w:val="00100CCD"/>
    <w:rsid w:val="00100D82"/>
    <w:rsid w:val="00100E7D"/>
    <w:rsid w:val="00100FAF"/>
    <w:rsid w:val="0010105A"/>
    <w:rsid w:val="001010E0"/>
    <w:rsid w:val="001010F3"/>
    <w:rsid w:val="00101182"/>
    <w:rsid w:val="001012DF"/>
    <w:rsid w:val="0010158C"/>
    <w:rsid w:val="001015C8"/>
    <w:rsid w:val="001018C3"/>
    <w:rsid w:val="00101A33"/>
    <w:rsid w:val="00101A43"/>
    <w:rsid w:val="00101A4E"/>
    <w:rsid w:val="00101A8A"/>
    <w:rsid w:val="00101B23"/>
    <w:rsid w:val="00101C5D"/>
    <w:rsid w:val="00101CFF"/>
    <w:rsid w:val="00101D8C"/>
    <w:rsid w:val="00101F35"/>
    <w:rsid w:val="00101FAF"/>
    <w:rsid w:val="00101FE9"/>
    <w:rsid w:val="001022C8"/>
    <w:rsid w:val="00102304"/>
    <w:rsid w:val="00102376"/>
    <w:rsid w:val="001024EF"/>
    <w:rsid w:val="001025D7"/>
    <w:rsid w:val="00102673"/>
    <w:rsid w:val="0010285B"/>
    <w:rsid w:val="001029D3"/>
    <w:rsid w:val="00102A41"/>
    <w:rsid w:val="00102A52"/>
    <w:rsid w:val="00102BC3"/>
    <w:rsid w:val="00102F63"/>
    <w:rsid w:val="00103134"/>
    <w:rsid w:val="0010315C"/>
    <w:rsid w:val="00103254"/>
    <w:rsid w:val="0010332F"/>
    <w:rsid w:val="0010333B"/>
    <w:rsid w:val="00103380"/>
    <w:rsid w:val="00103445"/>
    <w:rsid w:val="0010367E"/>
    <w:rsid w:val="001037AD"/>
    <w:rsid w:val="00103829"/>
    <w:rsid w:val="00103904"/>
    <w:rsid w:val="00103B8E"/>
    <w:rsid w:val="00103DF3"/>
    <w:rsid w:val="00103DF8"/>
    <w:rsid w:val="00103EA4"/>
    <w:rsid w:val="00103FFF"/>
    <w:rsid w:val="00104196"/>
    <w:rsid w:val="001041C4"/>
    <w:rsid w:val="001042DA"/>
    <w:rsid w:val="00104377"/>
    <w:rsid w:val="001044A3"/>
    <w:rsid w:val="001044BE"/>
    <w:rsid w:val="00104BA6"/>
    <w:rsid w:val="00104C05"/>
    <w:rsid w:val="00104C10"/>
    <w:rsid w:val="00104D93"/>
    <w:rsid w:val="00104DAB"/>
    <w:rsid w:val="0010508E"/>
    <w:rsid w:val="001050B9"/>
    <w:rsid w:val="0010538C"/>
    <w:rsid w:val="00105412"/>
    <w:rsid w:val="001055EC"/>
    <w:rsid w:val="0010565D"/>
    <w:rsid w:val="0010581A"/>
    <w:rsid w:val="00105920"/>
    <w:rsid w:val="0010597F"/>
    <w:rsid w:val="00105B08"/>
    <w:rsid w:val="00105B37"/>
    <w:rsid w:val="00105B4F"/>
    <w:rsid w:val="00105C6D"/>
    <w:rsid w:val="00105E98"/>
    <w:rsid w:val="00106088"/>
    <w:rsid w:val="00106369"/>
    <w:rsid w:val="001065C2"/>
    <w:rsid w:val="001065EC"/>
    <w:rsid w:val="0010667B"/>
    <w:rsid w:val="00106693"/>
    <w:rsid w:val="001066E8"/>
    <w:rsid w:val="00106777"/>
    <w:rsid w:val="0010677C"/>
    <w:rsid w:val="001069B2"/>
    <w:rsid w:val="00106BE6"/>
    <w:rsid w:val="00106C2B"/>
    <w:rsid w:val="00106EC2"/>
    <w:rsid w:val="00107341"/>
    <w:rsid w:val="001074F5"/>
    <w:rsid w:val="0010781A"/>
    <w:rsid w:val="001078A3"/>
    <w:rsid w:val="00107990"/>
    <w:rsid w:val="001079E3"/>
    <w:rsid w:val="00107B1C"/>
    <w:rsid w:val="00107B7D"/>
    <w:rsid w:val="00107BD5"/>
    <w:rsid w:val="00107E00"/>
    <w:rsid w:val="0011008C"/>
    <w:rsid w:val="00110091"/>
    <w:rsid w:val="001102B5"/>
    <w:rsid w:val="0011069F"/>
    <w:rsid w:val="00110796"/>
    <w:rsid w:val="00110B9B"/>
    <w:rsid w:val="00110C0B"/>
    <w:rsid w:val="00110CCF"/>
    <w:rsid w:val="00110DF0"/>
    <w:rsid w:val="00110F67"/>
    <w:rsid w:val="00110F80"/>
    <w:rsid w:val="00111306"/>
    <w:rsid w:val="0011139C"/>
    <w:rsid w:val="001113A5"/>
    <w:rsid w:val="001113B2"/>
    <w:rsid w:val="00111496"/>
    <w:rsid w:val="001115A5"/>
    <w:rsid w:val="001115FE"/>
    <w:rsid w:val="001116BA"/>
    <w:rsid w:val="001116D3"/>
    <w:rsid w:val="001117C1"/>
    <w:rsid w:val="00111A36"/>
    <w:rsid w:val="00111A81"/>
    <w:rsid w:val="00111C38"/>
    <w:rsid w:val="00111CD3"/>
    <w:rsid w:val="00111D55"/>
    <w:rsid w:val="00111FCE"/>
    <w:rsid w:val="00111FE2"/>
    <w:rsid w:val="0011202C"/>
    <w:rsid w:val="00112116"/>
    <w:rsid w:val="00112191"/>
    <w:rsid w:val="00112324"/>
    <w:rsid w:val="00112381"/>
    <w:rsid w:val="001123ED"/>
    <w:rsid w:val="00112910"/>
    <w:rsid w:val="001129C8"/>
    <w:rsid w:val="00112B86"/>
    <w:rsid w:val="00112C68"/>
    <w:rsid w:val="00112D42"/>
    <w:rsid w:val="00112EF4"/>
    <w:rsid w:val="00113220"/>
    <w:rsid w:val="00113396"/>
    <w:rsid w:val="00113474"/>
    <w:rsid w:val="0011351E"/>
    <w:rsid w:val="001136E9"/>
    <w:rsid w:val="0011371F"/>
    <w:rsid w:val="001137A4"/>
    <w:rsid w:val="001138F7"/>
    <w:rsid w:val="00113BCB"/>
    <w:rsid w:val="00113C68"/>
    <w:rsid w:val="00113C7C"/>
    <w:rsid w:val="00113D8A"/>
    <w:rsid w:val="00113DA0"/>
    <w:rsid w:val="001140E9"/>
    <w:rsid w:val="00114287"/>
    <w:rsid w:val="00114412"/>
    <w:rsid w:val="001144E2"/>
    <w:rsid w:val="0011468A"/>
    <w:rsid w:val="001147F2"/>
    <w:rsid w:val="00114880"/>
    <w:rsid w:val="0011492F"/>
    <w:rsid w:val="0011493E"/>
    <w:rsid w:val="0011498F"/>
    <w:rsid w:val="00114AE1"/>
    <w:rsid w:val="00114F7A"/>
    <w:rsid w:val="00115022"/>
    <w:rsid w:val="00115057"/>
    <w:rsid w:val="0011505D"/>
    <w:rsid w:val="0011517F"/>
    <w:rsid w:val="0011531C"/>
    <w:rsid w:val="00115618"/>
    <w:rsid w:val="00115713"/>
    <w:rsid w:val="001157FC"/>
    <w:rsid w:val="001158B6"/>
    <w:rsid w:val="001158BD"/>
    <w:rsid w:val="00115955"/>
    <w:rsid w:val="001159DD"/>
    <w:rsid w:val="00115B09"/>
    <w:rsid w:val="00115B2C"/>
    <w:rsid w:val="00115B4D"/>
    <w:rsid w:val="00115C04"/>
    <w:rsid w:val="00115C9A"/>
    <w:rsid w:val="00115CD1"/>
    <w:rsid w:val="00115F04"/>
    <w:rsid w:val="001160B4"/>
    <w:rsid w:val="001161B2"/>
    <w:rsid w:val="001161D9"/>
    <w:rsid w:val="001162A4"/>
    <w:rsid w:val="001163EB"/>
    <w:rsid w:val="0011676B"/>
    <w:rsid w:val="00116831"/>
    <w:rsid w:val="0011696A"/>
    <w:rsid w:val="00116B34"/>
    <w:rsid w:val="00116E26"/>
    <w:rsid w:val="00116F75"/>
    <w:rsid w:val="00117361"/>
    <w:rsid w:val="00117364"/>
    <w:rsid w:val="00117654"/>
    <w:rsid w:val="00117716"/>
    <w:rsid w:val="00117907"/>
    <w:rsid w:val="001179DA"/>
    <w:rsid w:val="001179E2"/>
    <w:rsid w:val="00117BEC"/>
    <w:rsid w:val="00117CFF"/>
    <w:rsid w:val="00120310"/>
    <w:rsid w:val="00120335"/>
    <w:rsid w:val="001207DD"/>
    <w:rsid w:val="00120802"/>
    <w:rsid w:val="0012088E"/>
    <w:rsid w:val="00120BF0"/>
    <w:rsid w:val="00120C04"/>
    <w:rsid w:val="0012106B"/>
    <w:rsid w:val="00121099"/>
    <w:rsid w:val="00121457"/>
    <w:rsid w:val="0012170A"/>
    <w:rsid w:val="00121852"/>
    <w:rsid w:val="00121A2C"/>
    <w:rsid w:val="00121B97"/>
    <w:rsid w:val="00121C3C"/>
    <w:rsid w:val="00121E8A"/>
    <w:rsid w:val="00121FA4"/>
    <w:rsid w:val="00122054"/>
    <w:rsid w:val="00122274"/>
    <w:rsid w:val="001222B1"/>
    <w:rsid w:val="0012233F"/>
    <w:rsid w:val="00122366"/>
    <w:rsid w:val="001223A4"/>
    <w:rsid w:val="0012269E"/>
    <w:rsid w:val="001227A2"/>
    <w:rsid w:val="001229A5"/>
    <w:rsid w:val="00122A83"/>
    <w:rsid w:val="00122C71"/>
    <w:rsid w:val="00122D95"/>
    <w:rsid w:val="00122F52"/>
    <w:rsid w:val="001230F8"/>
    <w:rsid w:val="0012316A"/>
    <w:rsid w:val="001232BB"/>
    <w:rsid w:val="001232F4"/>
    <w:rsid w:val="0012335E"/>
    <w:rsid w:val="0012344E"/>
    <w:rsid w:val="001234AF"/>
    <w:rsid w:val="001234E9"/>
    <w:rsid w:val="001235DA"/>
    <w:rsid w:val="00123627"/>
    <w:rsid w:val="00123843"/>
    <w:rsid w:val="00123867"/>
    <w:rsid w:val="00123C06"/>
    <w:rsid w:val="00123C0D"/>
    <w:rsid w:val="00123C65"/>
    <w:rsid w:val="00123D83"/>
    <w:rsid w:val="0012400B"/>
    <w:rsid w:val="001244C1"/>
    <w:rsid w:val="00124526"/>
    <w:rsid w:val="00124536"/>
    <w:rsid w:val="0012489B"/>
    <w:rsid w:val="0012489C"/>
    <w:rsid w:val="00124A30"/>
    <w:rsid w:val="00124A47"/>
    <w:rsid w:val="00124B13"/>
    <w:rsid w:val="00124B1F"/>
    <w:rsid w:val="00124E2D"/>
    <w:rsid w:val="00124FCF"/>
    <w:rsid w:val="0012513C"/>
    <w:rsid w:val="00125188"/>
    <w:rsid w:val="00125439"/>
    <w:rsid w:val="001254E6"/>
    <w:rsid w:val="001257B8"/>
    <w:rsid w:val="00125A1B"/>
    <w:rsid w:val="00125C0D"/>
    <w:rsid w:val="00126246"/>
    <w:rsid w:val="00126413"/>
    <w:rsid w:val="00126465"/>
    <w:rsid w:val="001264C2"/>
    <w:rsid w:val="001264EA"/>
    <w:rsid w:val="0012668D"/>
    <w:rsid w:val="00126980"/>
    <w:rsid w:val="00126C11"/>
    <w:rsid w:val="00126E7C"/>
    <w:rsid w:val="00126EB5"/>
    <w:rsid w:val="00126F59"/>
    <w:rsid w:val="00126FD9"/>
    <w:rsid w:val="001270BE"/>
    <w:rsid w:val="001271FB"/>
    <w:rsid w:val="00127244"/>
    <w:rsid w:val="00127249"/>
    <w:rsid w:val="00127289"/>
    <w:rsid w:val="001273B6"/>
    <w:rsid w:val="001273DC"/>
    <w:rsid w:val="001273EF"/>
    <w:rsid w:val="0012745D"/>
    <w:rsid w:val="00127639"/>
    <w:rsid w:val="00127A36"/>
    <w:rsid w:val="00127B33"/>
    <w:rsid w:val="00127E0B"/>
    <w:rsid w:val="00130017"/>
    <w:rsid w:val="0013014E"/>
    <w:rsid w:val="001302A6"/>
    <w:rsid w:val="00130387"/>
    <w:rsid w:val="001309E4"/>
    <w:rsid w:val="00130A69"/>
    <w:rsid w:val="00130CA1"/>
    <w:rsid w:val="00130F7A"/>
    <w:rsid w:val="00130F91"/>
    <w:rsid w:val="00130FC9"/>
    <w:rsid w:val="00131027"/>
    <w:rsid w:val="00131042"/>
    <w:rsid w:val="0013110D"/>
    <w:rsid w:val="0013127C"/>
    <w:rsid w:val="001318FC"/>
    <w:rsid w:val="00131B36"/>
    <w:rsid w:val="00131C7A"/>
    <w:rsid w:val="0013205F"/>
    <w:rsid w:val="00132179"/>
    <w:rsid w:val="00132542"/>
    <w:rsid w:val="0013278F"/>
    <w:rsid w:val="00132845"/>
    <w:rsid w:val="0013284B"/>
    <w:rsid w:val="00132C3F"/>
    <w:rsid w:val="00132C65"/>
    <w:rsid w:val="00132C95"/>
    <w:rsid w:val="00132D9B"/>
    <w:rsid w:val="00132E96"/>
    <w:rsid w:val="00133353"/>
    <w:rsid w:val="0013340B"/>
    <w:rsid w:val="0013365D"/>
    <w:rsid w:val="00133825"/>
    <w:rsid w:val="00133A5B"/>
    <w:rsid w:val="00133CFD"/>
    <w:rsid w:val="00133D27"/>
    <w:rsid w:val="00133D60"/>
    <w:rsid w:val="00133DC4"/>
    <w:rsid w:val="00133DE3"/>
    <w:rsid w:val="00133DF1"/>
    <w:rsid w:val="00133F4F"/>
    <w:rsid w:val="00133F75"/>
    <w:rsid w:val="00133F7D"/>
    <w:rsid w:val="0013400F"/>
    <w:rsid w:val="001342BE"/>
    <w:rsid w:val="00134339"/>
    <w:rsid w:val="00134572"/>
    <w:rsid w:val="00134867"/>
    <w:rsid w:val="001349ED"/>
    <w:rsid w:val="00134F89"/>
    <w:rsid w:val="00135349"/>
    <w:rsid w:val="00135522"/>
    <w:rsid w:val="00135572"/>
    <w:rsid w:val="001355AB"/>
    <w:rsid w:val="0013575C"/>
    <w:rsid w:val="00135783"/>
    <w:rsid w:val="0013589A"/>
    <w:rsid w:val="00135986"/>
    <w:rsid w:val="00135DF2"/>
    <w:rsid w:val="00135EA6"/>
    <w:rsid w:val="00136237"/>
    <w:rsid w:val="0013629F"/>
    <w:rsid w:val="0013643B"/>
    <w:rsid w:val="00136661"/>
    <w:rsid w:val="00136675"/>
    <w:rsid w:val="00136759"/>
    <w:rsid w:val="001367ED"/>
    <w:rsid w:val="00136855"/>
    <w:rsid w:val="00136CA7"/>
    <w:rsid w:val="00136D84"/>
    <w:rsid w:val="00137023"/>
    <w:rsid w:val="0013715B"/>
    <w:rsid w:val="00137281"/>
    <w:rsid w:val="00137424"/>
    <w:rsid w:val="001374AF"/>
    <w:rsid w:val="00137E0E"/>
    <w:rsid w:val="00137EB9"/>
    <w:rsid w:val="00137EBA"/>
    <w:rsid w:val="00137F07"/>
    <w:rsid w:val="001401B9"/>
    <w:rsid w:val="001401F8"/>
    <w:rsid w:val="0014030D"/>
    <w:rsid w:val="00140318"/>
    <w:rsid w:val="00140802"/>
    <w:rsid w:val="00140A58"/>
    <w:rsid w:val="00140E31"/>
    <w:rsid w:val="00140E68"/>
    <w:rsid w:val="00140F20"/>
    <w:rsid w:val="00140F78"/>
    <w:rsid w:val="00141040"/>
    <w:rsid w:val="001413B4"/>
    <w:rsid w:val="00141423"/>
    <w:rsid w:val="00141465"/>
    <w:rsid w:val="00141581"/>
    <w:rsid w:val="00141614"/>
    <w:rsid w:val="00141980"/>
    <w:rsid w:val="00141995"/>
    <w:rsid w:val="00141AD9"/>
    <w:rsid w:val="00141B61"/>
    <w:rsid w:val="00141B9F"/>
    <w:rsid w:val="00141ECD"/>
    <w:rsid w:val="00141FD8"/>
    <w:rsid w:val="00141FDB"/>
    <w:rsid w:val="00142077"/>
    <w:rsid w:val="00142137"/>
    <w:rsid w:val="00142286"/>
    <w:rsid w:val="0014234F"/>
    <w:rsid w:val="0014235A"/>
    <w:rsid w:val="001423CC"/>
    <w:rsid w:val="0014248D"/>
    <w:rsid w:val="00142565"/>
    <w:rsid w:val="001426CC"/>
    <w:rsid w:val="001428C2"/>
    <w:rsid w:val="0014294D"/>
    <w:rsid w:val="001429C8"/>
    <w:rsid w:val="00142AE5"/>
    <w:rsid w:val="00142DF8"/>
    <w:rsid w:val="00142E6D"/>
    <w:rsid w:val="00142EAF"/>
    <w:rsid w:val="001432E0"/>
    <w:rsid w:val="001433A6"/>
    <w:rsid w:val="001433B9"/>
    <w:rsid w:val="00143423"/>
    <w:rsid w:val="00143951"/>
    <w:rsid w:val="00143983"/>
    <w:rsid w:val="001439AA"/>
    <w:rsid w:val="00143B31"/>
    <w:rsid w:val="00143C81"/>
    <w:rsid w:val="00143C86"/>
    <w:rsid w:val="00143FCD"/>
    <w:rsid w:val="00143FFE"/>
    <w:rsid w:val="0014410A"/>
    <w:rsid w:val="001443BC"/>
    <w:rsid w:val="00144605"/>
    <w:rsid w:val="00144631"/>
    <w:rsid w:val="00144821"/>
    <w:rsid w:val="0014489E"/>
    <w:rsid w:val="00144A26"/>
    <w:rsid w:val="00144A92"/>
    <w:rsid w:val="00144BA0"/>
    <w:rsid w:val="00144BEC"/>
    <w:rsid w:val="00145127"/>
    <w:rsid w:val="0014514B"/>
    <w:rsid w:val="00145180"/>
    <w:rsid w:val="0014525A"/>
    <w:rsid w:val="001453F8"/>
    <w:rsid w:val="001456D2"/>
    <w:rsid w:val="001460EC"/>
    <w:rsid w:val="001462D6"/>
    <w:rsid w:val="001468A2"/>
    <w:rsid w:val="001468F3"/>
    <w:rsid w:val="00146C8F"/>
    <w:rsid w:val="00146C93"/>
    <w:rsid w:val="00146CE6"/>
    <w:rsid w:val="00146CF5"/>
    <w:rsid w:val="00146E28"/>
    <w:rsid w:val="00146F10"/>
    <w:rsid w:val="00146F9F"/>
    <w:rsid w:val="0014709C"/>
    <w:rsid w:val="001470F8"/>
    <w:rsid w:val="00147138"/>
    <w:rsid w:val="00147139"/>
    <w:rsid w:val="00147297"/>
    <w:rsid w:val="001472D8"/>
    <w:rsid w:val="00147327"/>
    <w:rsid w:val="00147451"/>
    <w:rsid w:val="0014753B"/>
    <w:rsid w:val="001478A4"/>
    <w:rsid w:val="001479E0"/>
    <w:rsid w:val="00147AB3"/>
    <w:rsid w:val="00147B9B"/>
    <w:rsid w:val="00147BE2"/>
    <w:rsid w:val="00147F96"/>
    <w:rsid w:val="00150094"/>
    <w:rsid w:val="00150227"/>
    <w:rsid w:val="00150263"/>
    <w:rsid w:val="001503C8"/>
    <w:rsid w:val="00150405"/>
    <w:rsid w:val="00150606"/>
    <w:rsid w:val="00150B56"/>
    <w:rsid w:val="00150BF4"/>
    <w:rsid w:val="00150F2C"/>
    <w:rsid w:val="00150F83"/>
    <w:rsid w:val="00151285"/>
    <w:rsid w:val="0015133E"/>
    <w:rsid w:val="0015169F"/>
    <w:rsid w:val="001516A5"/>
    <w:rsid w:val="001519C9"/>
    <w:rsid w:val="00151A76"/>
    <w:rsid w:val="00151A84"/>
    <w:rsid w:val="00151BBA"/>
    <w:rsid w:val="00151CFF"/>
    <w:rsid w:val="001520E2"/>
    <w:rsid w:val="0015213C"/>
    <w:rsid w:val="00152285"/>
    <w:rsid w:val="00152370"/>
    <w:rsid w:val="00152641"/>
    <w:rsid w:val="00152696"/>
    <w:rsid w:val="00152865"/>
    <w:rsid w:val="001528A0"/>
    <w:rsid w:val="00152903"/>
    <w:rsid w:val="00152A3E"/>
    <w:rsid w:val="00152A4A"/>
    <w:rsid w:val="00152A87"/>
    <w:rsid w:val="00152B40"/>
    <w:rsid w:val="00152CBF"/>
    <w:rsid w:val="00152EB5"/>
    <w:rsid w:val="00152F63"/>
    <w:rsid w:val="001530EB"/>
    <w:rsid w:val="001531A8"/>
    <w:rsid w:val="001535BC"/>
    <w:rsid w:val="001536AD"/>
    <w:rsid w:val="001536DD"/>
    <w:rsid w:val="00153763"/>
    <w:rsid w:val="00153850"/>
    <w:rsid w:val="00153B1C"/>
    <w:rsid w:val="00153BD3"/>
    <w:rsid w:val="00153BFC"/>
    <w:rsid w:val="00153D6D"/>
    <w:rsid w:val="00153F1E"/>
    <w:rsid w:val="00153F75"/>
    <w:rsid w:val="00153F88"/>
    <w:rsid w:val="00153F92"/>
    <w:rsid w:val="00153FD5"/>
    <w:rsid w:val="001541FB"/>
    <w:rsid w:val="00154386"/>
    <w:rsid w:val="001544D6"/>
    <w:rsid w:val="00154526"/>
    <w:rsid w:val="00154571"/>
    <w:rsid w:val="001546AF"/>
    <w:rsid w:val="0015482F"/>
    <w:rsid w:val="0015483B"/>
    <w:rsid w:val="00154C13"/>
    <w:rsid w:val="00154C7D"/>
    <w:rsid w:val="00154D31"/>
    <w:rsid w:val="00154D91"/>
    <w:rsid w:val="00154EA8"/>
    <w:rsid w:val="00154FF5"/>
    <w:rsid w:val="001550F0"/>
    <w:rsid w:val="00155117"/>
    <w:rsid w:val="0015522F"/>
    <w:rsid w:val="00155305"/>
    <w:rsid w:val="00155379"/>
    <w:rsid w:val="0015560C"/>
    <w:rsid w:val="00155647"/>
    <w:rsid w:val="0015575F"/>
    <w:rsid w:val="0015594D"/>
    <w:rsid w:val="0015599C"/>
    <w:rsid w:val="001559CA"/>
    <w:rsid w:val="00155A94"/>
    <w:rsid w:val="00155C0F"/>
    <w:rsid w:val="00155CDF"/>
    <w:rsid w:val="00155EB2"/>
    <w:rsid w:val="0015610B"/>
    <w:rsid w:val="0015614F"/>
    <w:rsid w:val="00156260"/>
    <w:rsid w:val="0015634F"/>
    <w:rsid w:val="00156520"/>
    <w:rsid w:val="00156530"/>
    <w:rsid w:val="00156599"/>
    <w:rsid w:val="00156B2A"/>
    <w:rsid w:val="00156BCF"/>
    <w:rsid w:val="00156C58"/>
    <w:rsid w:val="00156C79"/>
    <w:rsid w:val="00156C85"/>
    <w:rsid w:val="00156CF5"/>
    <w:rsid w:val="00156E2B"/>
    <w:rsid w:val="0015714A"/>
    <w:rsid w:val="00157249"/>
    <w:rsid w:val="0015730F"/>
    <w:rsid w:val="001577BF"/>
    <w:rsid w:val="001577C2"/>
    <w:rsid w:val="00157901"/>
    <w:rsid w:val="00157B33"/>
    <w:rsid w:val="00157D81"/>
    <w:rsid w:val="00157E11"/>
    <w:rsid w:val="00157FCE"/>
    <w:rsid w:val="0016017A"/>
    <w:rsid w:val="001601BC"/>
    <w:rsid w:val="001601FC"/>
    <w:rsid w:val="00160406"/>
    <w:rsid w:val="00160545"/>
    <w:rsid w:val="00160686"/>
    <w:rsid w:val="001607BF"/>
    <w:rsid w:val="00160B00"/>
    <w:rsid w:val="00160C38"/>
    <w:rsid w:val="00160E59"/>
    <w:rsid w:val="00160E7B"/>
    <w:rsid w:val="00160F8D"/>
    <w:rsid w:val="00160FAB"/>
    <w:rsid w:val="00161061"/>
    <w:rsid w:val="00161270"/>
    <w:rsid w:val="00161303"/>
    <w:rsid w:val="00161826"/>
    <w:rsid w:val="0016193B"/>
    <w:rsid w:val="00161AF2"/>
    <w:rsid w:val="00161C87"/>
    <w:rsid w:val="00161CAF"/>
    <w:rsid w:val="00161CE8"/>
    <w:rsid w:val="00161D49"/>
    <w:rsid w:val="0016224A"/>
    <w:rsid w:val="00162269"/>
    <w:rsid w:val="00162276"/>
    <w:rsid w:val="001622E6"/>
    <w:rsid w:val="001622F2"/>
    <w:rsid w:val="001623CD"/>
    <w:rsid w:val="00162557"/>
    <w:rsid w:val="00162568"/>
    <w:rsid w:val="00162587"/>
    <w:rsid w:val="001626D3"/>
    <w:rsid w:val="00162785"/>
    <w:rsid w:val="00162934"/>
    <w:rsid w:val="00162A88"/>
    <w:rsid w:val="00162C68"/>
    <w:rsid w:val="00162E45"/>
    <w:rsid w:val="001633C4"/>
    <w:rsid w:val="001633F1"/>
    <w:rsid w:val="00163403"/>
    <w:rsid w:val="0016381F"/>
    <w:rsid w:val="0016396F"/>
    <w:rsid w:val="00163AA6"/>
    <w:rsid w:val="00163BC4"/>
    <w:rsid w:val="001640A6"/>
    <w:rsid w:val="0016417B"/>
    <w:rsid w:val="001641CB"/>
    <w:rsid w:val="001644CC"/>
    <w:rsid w:val="00164638"/>
    <w:rsid w:val="00164709"/>
    <w:rsid w:val="0016477B"/>
    <w:rsid w:val="0016480F"/>
    <w:rsid w:val="0016488E"/>
    <w:rsid w:val="00164A1A"/>
    <w:rsid w:val="00164B23"/>
    <w:rsid w:val="00164B3E"/>
    <w:rsid w:val="00164ED2"/>
    <w:rsid w:val="00164EF4"/>
    <w:rsid w:val="00165064"/>
    <w:rsid w:val="001650A9"/>
    <w:rsid w:val="00165411"/>
    <w:rsid w:val="0016556C"/>
    <w:rsid w:val="00165736"/>
    <w:rsid w:val="00165A2D"/>
    <w:rsid w:val="00165BAF"/>
    <w:rsid w:val="00165BD9"/>
    <w:rsid w:val="00165D17"/>
    <w:rsid w:val="00165E89"/>
    <w:rsid w:val="00165F7C"/>
    <w:rsid w:val="001662DE"/>
    <w:rsid w:val="00166837"/>
    <w:rsid w:val="00166A6D"/>
    <w:rsid w:val="00166AA6"/>
    <w:rsid w:val="00166AF3"/>
    <w:rsid w:val="00166B0D"/>
    <w:rsid w:val="00166B4F"/>
    <w:rsid w:val="00166CA2"/>
    <w:rsid w:val="00166EA0"/>
    <w:rsid w:val="00166FB7"/>
    <w:rsid w:val="0016730D"/>
    <w:rsid w:val="00167404"/>
    <w:rsid w:val="0016741D"/>
    <w:rsid w:val="00167450"/>
    <w:rsid w:val="00167459"/>
    <w:rsid w:val="00167561"/>
    <w:rsid w:val="00167586"/>
    <w:rsid w:val="00167914"/>
    <w:rsid w:val="00167920"/>
    <w:rsid w:val="001679E4"/>
    <w:rsid w:val="00167D21"/>
    <w:rsid w:val="00167DBB"/>
    <w:rsid w:val="00167ECD"/>
    <w:rsid w:val="00167EE0"/>
    <w:rsid w:val="00167FDC"/>
    <w:rsid w:val="00167FE4"/>
    <w:rsid w:val="001702FA"/>
    <w:rsid w:val="0017038C"/>
    <w:rsid w:val="0017044E"/>
    <w:rsid w:val="001704D5"/>
    <w:rsid w:val="0017084C"/>
    <w:rsid w:val="00170B94"/>
    <w:rsid w:val="00170C25"/>
    <w:rsid w:val="00170C88"/>
    <w:rsid w:val="00170DA3"/>
    <w:rsid w:val="00170E1F"/>
    <w:rsid w:val="00170ED7"/>
    <w:rsid w:val="00170F62"/>
    <w:rsid w:val="00171018"/>
    <w:rsid w:val="001712D0"/>
    <w:rsid w:val="001714EE"/>
    <w:rsid w:val="00171591"/>
    <w:rsid w:val="00171820"/>
    <w:rsid w:val="0017190D"/>
    <w:rsid w:val="001719F5"/>
    <w:rsid w:val="00171AF1"/>
    <w:rsid w:val="00171B55"/>
    <w:rsid w:val="00171D6E"/>
    <w:rsid w:val="00171EEB"/>
    <w:rsid w:val="001726ED"/>
    <w:rsid w:val="001727BE"/>
    <w:rsid w:val="001729DA"/>
    <w:rsid w:val="00172B8A"/>
    <w:rsid w:val="00172F8B"/>
    <w:rsid w:val="00172FD0"/>
    <w:rsid w:val="0017332F"/>
    <w:rsid w:val="0017343A"/>
    <w:rsid w:val="0017372A"/>
    <w:rsid w:val="00173981"/>
    <w:rsid w:val="00173A51"/>
    <w:rsid w:val="00173BA4"/>
    <w:rsid w:val="00173C96"/>
    <w:rsid w:val="00173D71"/>
    <w:rsid w:val="0017407D"/>
    <w:rsid w:val="00174089"/>
    <w:rsid w:val="001740C9"/>
    <w:rsid w:val="00174114"/>
    <w:rsid w:val="00174120"/>
    <w:rsid w:val="001742C5"/>
    <w:rsid w:val="00174307"/>
    <w:rsid w:val="001743ED"/>
    <w:rsid w:val="00174551"/>
    <w:rsid w:val="00174614"/>
    <w:rsid w:val="0017463B"/>
    <w:rsid w:val="00174642"/>
    <w:rsid w:val="0017490E"/>
    <w:rsid w:val="00174FB8"/>
    <w:rsid w:val="0017502C"/>
    <w:rsid w:val="00175075"/>
    <w:rsid w:val="0017531D"/>
    <w:rsid w:val="001753B9"/>
    <w:rsid w:val="0017541C"/>
    <w:rsid w:val="00175658"/>
    <w:rsid w:val="00175BC4"/>
    <w:rsid w:val="00175C25"/>
    <w:rsid w:val="00175E12"/>
    <w:rsid w:val="00176173"/>
    <w:rsid w:val="001761B6"/>
    <w:rsid w:val="00176253"/>
    <w:rsid w:val="0017626B"/>
    <w:rsid w:val="001762E7"/>
    <w:rsid w:val="001763D1"/>
    <w:rsid w:val="001763EB"/>
    <w:rsid w:val="00176422"/>
    <w:rsid w:val="00176448"/>
    <w:rsid w:val="001764B2"/>
    <w:rsid w:val="0017655A"/>
    <w:rsid w:val="00176837"/>
    <w:rsid w:val="0017686E"/>
    <w:rsid w:val="0017687F"/>
    <w:rsid w:val="00176B15"/>
    <w:rsid w:val="00176F23"/>
    <w:rsid w:val="00176F48"/>
    <w:rsid w:val="00176F56"/>
    <w:rsid w:val="0017719D"/>
    <w:rsid w:val="00177200"/>
    <w:rsid w:val="00177248"/>
    <w:rsid w:val="00177268"/>
    <w:rsid w:val="00177395"/>
    <w:rsid w:val="00177574"/>
    <w:rsid w:val="001776F8"/>
    <w:rsid w:val="001776FA"/>
    <w:rsid w:val="001778CF"/>
    <w:rsid w:val="001779BF"/>
    <w:rsid w:val="00177AAE"/>
    <w:rsid w:val="00177B31"/>
    <w:rsid w:val="00177BB0"/>
    <w:rsid w:val="00177C8A"/>
    <w:rsid w:val="00177CD4"/>
    <w:rsid w:val="00177FD1"/>
    <w:rsid w:val="001800C3"/>
    <w:rsid w:val="001802DF"/>
    <w:rsid w:val="00180324"/>
    <w:rsid w:val="00180639"/>
    <w:rsid w:val="00180675"/>
    <w:rsid w:val="001807B6"/>
    <w:rsid w:val="001807D9"/>
    <w:rsid w:val="00180A66"/>
    <w:rsid w:val="00180B23"/>
    <w:rsid w:val="00180C05"/>
    <w:rsid w:val="00180C70"/>
    <w:rsid w:val="00180DE5"/>
    <w:rsid w:val="00181003"/>
    <w:rsid w:val="0018100F"/>
    <w:rsid w:val="00181025"/>
    <w:rsid w:val="00181391"/>
    <w:rsid w:val="001813F7"/>
    <w:rsid w:val="001814AE"/>
    <w:rsid w:val="001814D2"/>
    <w:rsid w:val="00181577"/>
    <w:rsid w:val="00181823"/>
    <w:rsid w:val="00181907"/>
    <w:rsid w:val="00181B8C"/>
    <w:rsid w:val="00181C8A"/>
    <w:rsid w:val="00181D95"/>
    <w:rsid w:val="00181DC0"/>
    <w:rsid w:val="00181EC5"/>
    <w:rsid w:val="00181F0B"/>
    <w:rsid w:val="00182134"/>
    <w:rsid w:val="00182261"/>
    <w:rsid w:val="001823A4"/>
    <w:rsid w:val="00182411"/>
    <w:rsid w:val="001824BB"/>
    <w:rsid w:val="00182647"/>
    <w:rsid w:val="00182772"/>
    <w:rsid w:val="001828DE"/>
    <w:rsid w:val="00182AB2"/>
    <w:rsid w:val="00182B41"/>
    <w:rsid w:val="00182D59"/>
    <w:rsid w:val="00182D9C"/>
    <w:rsid w:val="00182ED2"/>
    <w:rsid w:val="00182FC5"/>
    <w:rsid w:val="00183301"/>
    <w:rsid w:val="0018333D"/>
    <w:rsid w:val="00183638"/>
    <w:rsid w:val="0018372C"/>
    <w:rsid w:val="00183752"/>
    <w:rsid w:val="00183841"/>
    <w:rsid w:val="00183A3F"/>
    <w:rsid w:val="00183B54"/>
    <w:rsid w:val="00183B64"/>
    <w:rsid w:val="00183BD2"/>
    <w:rsid w:val="00183C93"/>
    <w:rsid w:val="00183FD7"/>
    <w:rsid w:val="0018414B"/>
    <w:rsid w:val="00184162"/>
    <w:rsid w:val="001842F7"/>
    <w:rsid w:val="0018452D"/>
    <w:rsid w:val="0018454B"/>
    <w:rsid w:val="001845A6"/>
    <w:rsid w:val="001845C9"/>
    <w:rsid w:val="00184971"/>
    <w:rsid w:val="00184A2E"/>
    <w:rsid w:val="00184A56"/>
    <w:rsid w:val="001852AA"/>
    <w:rsid w:val="0018578A"/>
    <w:rsid w:val="00185860"/>
    <w:rsid w:val="00185A5E"/>
    <w:rsid w:val="00185CAB"/>
    <w:rsid w:val="00185CB8"/>
    <w:rsid w:val="00185D26"/>
    <w:rsid w:val="00185E13"/>
    <w:rsid w:val="00186095"/>
    <w:rsid w:val="001860D8"/>
    <w:rsid w:val="001861FE"/>
    <w:rsid w:val="0018628F"/>
    <w:rsid w:val="00186390"/>
    <w:rsid w:val="001865CA"/>
    <w:rsid w:val="0018672A"/>
    <w:rsid w:val="00186806"/>
    <w:rsid w:val="00186938"/>
    <w:rsid w:val="00186B36"/>
    <w:rsid w:val="00186DB7"/>
    <w:rsid w:val="00187164"/>
    <w:rsid w:val="0018732D"/>
    <w:rsid w:val="001875AE"/>
    <w:rsid w:val="001875B7"/>
    <w:rsid w:val="0018781D"/>
    <w:rsid w:val="00187A08"/>
    <w:rsid w:val="00187CB3"/>
    <w:rsid w:val="00187E15"/>
    <w:rsid w:val="00187E86"/>
    <w:rsid w:val="00190014"/>
    <w:rsid w:val="0019050A"/>
    <w:rsid w:val="001906DE"/>
    <w:rsid w:val="001909E4"/>
    <w:rsid w:val="001909F6"/>
    <w:rsid w:val="00190C57"/>
    <w:rsid w:val="00190F10"/>
    <w:rsid w:val="001910D4"/>
    <w:rsid w:val="00191148"/>
    <w:rsid w:val="001911D1"/>
    <w:rsid w:val="001911EF"/>
    <w:rsid w:val="0019125C"/>
    <w:rsid w:val="001912EE"/>
    <w:rsid w:val="0019140B"/>
    <w:rsid w:val="0019155E"/>
    <w:rsid w:val="00191725"/>
    <w:rsid w:val="001917F0"/>
    <w:rsid w:val="0019180E"/>
    <w:rsid w:val="00191877"/>
    <w:rsid w:val="001918F6"/>
    <w:rsid w:val="00191AC8"/>
    <w:rsid w:val="00191BC5"/>
    <w:rsid w:val="00191E6A"/>
    <w:rsid w:val="00191EBF"/>
    <w:rsid w:val="001920CD"/>
    <w:rsid w:val="001920DB"/>
    <w:rsid w:val="0019255D"/>
    <w:rsid w:val="001925DE"/>
    <w:rsid w:val="00192876"/>
    <w:rsid w:val="00193206"/>
    <w:rsid w:val="0019320B"/>
    <w:rsid w:val="0019326F"/>
    <w:rsid w:val="00193343"/>
    <w:rsid w:val="00193365"/>
    <w:rsid w:val="00193685"/>
    <w:rsid w:val="00193914"/>
    <w:rsid w:val="00193AE4"/>
    <w:rsid w:val="00193B51"/>
    <w:rsid w:val="00193C0C"/>
    <w:rsid w:val="00193CBC"/>
    <w:rsid w:val="00193CD4"/>
    <w:rsid w:val="0019403E"/>
    <w:rsid w:val="0019413C"/>
    <w:rsid w:val="001943D7"/>
    <w:rsid w:val="001944FB"/>
    <w:rsid w:val="00194521"/>
    <w:rsid w:val="00194557"/>
    <w:rsid w:val="001946B9"/>
    <w:rsid w:val="0019488F"/>
    <w:rsid w:val="001949E5"/>
    <w:rsid w:val="00194E96"/>
    <w:rsid w:val="00194EFB"/>
    <w:rsid w:val="001951A7"/>
    <w:rsid w:val="00195269"/>
    <w:rsid w:val="0019538D"/>
    <w:rsid w:val="001954C2"/>
    <w:rsid w:val="00195532"/>
    <w:rsid w:val="00195604"/>
    <w:rsid w:val="00195938"/>
    <w:rsid w:val="00195B6C"/>
    <w:rsid w:val="00195C04"/>
    <w:rsid w:val="00195C6A"/>
    <w:rsid w:val="00195EF2"/>
    <w:rsid w:val="00195F98"/>
    <w:rsid w:val="0019612B"/>
    <w:rsid w:val="001963E5"/>
    <w:rsid w:val="001964CE"/>
    <w:rsid w:val="001964DD"/>
    <w:rsid w:val="00196799"/>
    <w:rsid w:val="00196AC7"/>
    <w:rsid w:val="00196CD2"/>
    <w:rsid w:val="00196D12"/>
    <w:rsid w:val="001970BE"/>
    <w:rsid w:val="00197269"/>
    <w:rsid w:val="001973DD"/>
    <w:rsid w:val="00197454"/>
    <w:rsid w:val="0019757B"/>
    <w:rsid w:val="001976E3"/>
    <w:rsid w:val="00197710"/>
    <w:rsid w:val="00197773"/>
    <w:rsid w:val="0019784C"/>
    <w:rsid w:val="00197984"/>
    <w:rsid w:val="001979F4"/>
    <w:rsid w:val="00197B7F"/>
    <w:rsid w:val="00197C06"/>
    <w:rsid w:val="00197C7C"/>
    <w:rsid w:val="00197D12"/>
    <w:rsid w:val="00197DD9"/>
    <w:rsid w:val="00197FBE"/>
    <w:rsid w:val="00197FC3"/>
    <w:rsid w:val="001A006D"/>
    <w:rsid w:val="001A01DE"/>
    <w:rsid w:val="001A02D4"/>
    <w:rsid w:val="001A0312"/>
    <w:rsid w:val="001A0382"/>
    <w:rsid w:val="001A04C6"/>
    <w:rsid w:val="001A05B3"/>
    <w:rsid w:val="001A05D5"/>
    <w:rsid w:val="001A06E2"/>
    <w:rsid w:val="001A07C4"/>
    <w:rsid w:val="001A0B23"/>
    <w:rsid w:val="001A0CEC"/>
    <w:rsid w:val="001A0E2A"/>
    <w:rsid w:val="001A0F6D"/>
    <w:rsid w:val="001A0FCA"/>
    <w:rsid w:val="001A1063"/>
    <w:rsid w:val="001A110C"/>
    <w:rsid w:val="001A114D"/>
    <w:rsid w:val="001A1177"/>
    <w:rsid w:val="001A1266"/>
    <w:rsid w:val="001A13E5"/>
    <w:rsid w:val="001A1AB8"/>
    <w:rsid w:val="001A1D1C"/>
    <w:rsid w:val="001A1D51"/>
    <w:rsid w:val="001A1EF5"/>
    <w:rsid w:val="001A1EFD"/>
    <w:rsid w:val="001A1F29"/>
    <w:rsid w:val="001A2069"/>
    <w:rsid w:val="001A2110"/>
    <w:rsid w:val="001A21EE"/>
    <w:rsid w:val="001A2250"/>
    <w:rsid w:val="001A22F6"/>
    <w:rsid w:val="001A2A2B"/>
    <w:rsid w:val="001A2AE3"/>
    <w:rsid w:val="001A2B17"/>
    <w:rsid w:val="001A2B9B"/>
    <w:rsid w:val="001A2CA3"/>
    <w:rsid w:val="001A2ECB"/>
    <w:rsid w:val="001A2ED3"/>
    <w:rsid w:val="001A3058"/>
    <w:rsid w:val="001A3090"/>
    <w:rsid w:val="001A3529"/>
    <w:rsid w:val="001A356D"/>
    <w:rsid w:val="001A357F"/>
    <w:rsid w:val="001A35E0"/>
    <w:rsid w:val="001A36A0"/>
    <w:rsid w:val="001A37E6"/>
    <w:rsid w:val="001A3826"/>
    <w:rsid w:val="001A382D"/>
    <w:rsid w:val="001A387D"/>
    <w:rsid w:val="001A3981"/>
    <w:rsid w:val="001A3AC2"/>
    <w:rsid w:val="001A3D81"/>
    <w:rsid w:val="001A4053"/>
    <w:rsid w:val="001A40DD"/>
    <w:rsid w:val="001A4202"/>
    <w:rsid w:val="001A4290"/>
    <w:rsid w:val="001A42B4"/>
    <w:rsid w:val="001A44EC"/>
    <w:rsid w:val="001A45E0"/>
    <w:rsid w:val="001A4774"/>
    <w:rsid w:val="001A4AD2"/>
    <w:rsid w:val="001A4BA7"/>
    <w:rsid w:val="001A51A2"/>
    <w:rsid w:val="001A520B"/>
    <w:rsid w:val="001A53AC"/>
    <w:rsid w:val="001A5594"/>
    <w:rsid w:val="001A5702"/>
    <w:rsid w:val="001A5899"/>
    <w:rsid w:val="001A5909"/>
    <w:rsid w:val="001A5AC2"/>
    <w:rsid w:val="001A5D93"/>
    <w:rsid w:val="001A5F69"/>
    <w:rsid w:val="001A6280"/>
    <w:rsid w:val="001A6473"/>
    <w:rsid w:val="001A66D3"/>
    <w:rsid w:val="001A6D6A"/>
    <w:rsid w:val="001A6F73"/>
    <w:rsid w:val="001A6FCE"/>
    <w:rsid w:val="001A7016"/>
    <w:rsid w:val="001A71B9"/>
    <w:rsid w:val="001A72DA"/>
    <w:rsid w:val="001A7401"/>
    <w:rsid w:val="001A7481"/>
    <w:rsid w:val="001A7769"/>
    <w:rsid w:val="001A7897"/>
    <w:rsid w:val="001A79F8"/>
    <w:rsid w:val="001A7A22"/>
    <w:rsid w:val="001A7E1B"/>
    <w:rsid w:val="001A7FD2"/>
    <w:rsid w:val="001B098F"/>
    <w:rsid w:val="001B0D67"/>
    <w:rsid w:val="001B0F0C"/>
    <w:rsid w:val="001B134D"/>
    <w:rsid w:val="001B1544"/>
    <w:rsid w:val="001B1CE5"/>
    <w:rsid w:val="001B2131"/>
    <w:rsid w:val="001B2157"/>
    <w:rsid w:val="001B21BD"/>
    <w:rsid w:val="001B21FF"/>
    <w:rsid w:val="001B2400"/>
    <w:rsid w:val="001B2434"/>
    <w:rsid w:val="001B24AE"/>
    <w:rsid w:val="001B24B5"/>
    <w:rsid w:val="001B252C"/>
    <w:rsid w:val="001B268E"/>
    <w:rsid w:val="001B2755"/>
    <w:rsid w:val="001B27FB"/>
    <w:rsid w:val="001B28C7"/>
    <w:rsid w:val="001B2935"/>
    <w:rsid w:val="001B2A5B"/>
    <w:rsid w:val="001B2DE6"/>
    <w:rsid w:val="001B305D"/>
    <w:rsid w:val="001B33C4"/>
    <w:rsid w:val="001B3492"/>
    <w:rsid w:val="001B35B6"/>
    <w:rsid w:val="001B35BA"/>
    <w:rsid w:val="001B3836"/>
    <w:rsid w:val="001B3AFE"/>
    <w:rsid w:val="001B3BF0"/>
    <w:rsid w:val="001B3CA3"/>
    <w:rsid w:val="001B3CAA"/>
    <w:rsid w:val="001B3DC1"/>
    <w:rsid w:val="001B3F8D"/>
    <w:rsid w:val="001B4204"/>
    <w:rsid w:val="001B4426"/>
    <w:rsid w:val="001B44BF"/>
    <w:rsid w:val="001B4615"/>
    <w:rsid w:val="001B4735"/>
    <w:rsid w:val="001B476C"/>
    <w:rsid w:val="001B47C2"/>
    <w:rsid w:val="001B4850"/>
    <w:rsid w:val="001B487A"/>
    <w:rsid w:val="001B4982"/>
    <w:rsid w:val="001B4B0E"/>
    <w:rsid w:val="001B4B99"/>
    <w:rsid w:val="001B4D42"/>
    <w:rsid w:val="001B519A"/>
    <w:rsid w:val="001B52EC"/>
    <w:rsid w:val="001B5749"/>
    <w:rsid w:val="001B57D0"/>
    <w:rsid w:val="001B5884"/>
    <w:rsid w:val="001B58AA"/>
    <w:rsid w:val="001B58E8"/>
    <w:rsid w:val="001B596F"/>
    <w:rsid w:val="001B5AA9"/>
    <w:rsid w:val="001B5B39"/>
    <w:rsid w:val="001B5BFB"/>
    <w:rsid w:val="001B5EAF"/>
    <w:rsid w:val="001B5EF7"/>
    <w:rsid w:val="001B605B"/>
    <w:rsid w:val="001B6247"/>
    <w:rsid w:val="001B62FF"/>
    <w:rsid w:val="001B63E1"/>
    <w:rsid w:val="001B6646"/>
    <w:rsid w:val="001B677A"/>
    <w:rsid w:val="001B6782"/>
    <w:rsid w:val="001B6790"/>
    <w:rsid w:val="001B6906"/>
    <w:rsid w:val="001B6A5C"/>
    <w:rsid w:val="001B6C3C"/>
    <w:rsid w:val="001B6E8D"/>
    <w:rsid w:val="001B6F20"/>
    <w:rsid w:val="001B6FAA"/>
    <w:rsid w:val="001B7010"/>
    <w:rsid w:val="001B7286"/>
    <w:rsid w:val="001B73FB"/>
    <w:rsid w:val="001B7466"/>
    <w:rsid w:val="001B746E"/>
    <w:rsid w:val="001B75A2"/>
    <w:rsid w:val="001B762F"/>
    <w:rsid w:val="001B7791"/>
    <w:rsid w:val="001B78B9"/>
    <w:rsid w:val="001B7943"/>
    <w:rsid w:val="001B7ACC"/>
    <w:rsid w:val="001B7CCF"/>
    <w:rsid w:val="001B7CE9"/>
    <w:rsid w:val="001B7D46"/>
    <w:rsid w:val="001B7E48"/>
    <w:rsid w:val="001B7EAE"/>
    <w:rsid w:val="001C008D"/>
    <w:rsid w:val="001C00A7"/>
    <w:rsid w:val="001C0130"/>
    <w:rsid w:val="001C0144"/>
    <w:rsid w:val="001C030B"/>
    <w:rsid w:val="001C0395"/>
    <w:rsid w:val="001C048A"/>
    <w:rsid w:val="001C052C"/>
    <w:rsid w:val="001C052E"/>
    <w:rsid w:val="001C0540"/>
    <w:rsid w:val="001C0674"/>
    <w:rsid w:val="001C0755"/>
    <w:rsid w:val="001C08C1"/>
    <w:rsid w:val="001C0956"/>
    <w:rsid w:val="001C09C3"/>
    <w:rsid w:val="001C0A50"/>
    <w:rsid w:val="001C0E89"/>
    <w:rsid w:val="001C1014"/>
    <w:rsid w:val="001C11A5"/>
    <w:rsid w:val="001C1236"/>
    <w:rsid w:val="001C1308"/>
    <w:rsid w:val="001C14C7"/>
    <w:rsid w:val="001C1748"/>
    <w:rsid w:val="001C17CE"/>
    <w:rsid w:val="001C18B9"/>
    <w:rsid w:val="001C1C24"/>
    <w:rsid w:val="001C1D4B"/>
    <w:rsid w:val="001C1D81"/>
    <w:rsid w:val="001C1E0A"/>
    <w:rsid w:val="001C1E6D"/>
    <w:rsid w:val="001C2063"/>
    <w:rsid w:val="001C2079"/>
    <w:rsid w:val="001C214F"/>
    <w:rsid w:val="001C221C"/>
    <w:rsid w:val="001C24AC"/>
    <w:rsid w:val="001C24E6"/>
    <w:rsid w:val="001C26F6"/>
    <w:rsid w:val="001C292B"/>
    <w:rsid w:val="001C2B5E"/>
    <w:rsid w:val="001C2C3F"/>
    <w:rsid w:val="001C2E58"/>
    <w:rsid w:val="001C2EC1"/>
    <w:rsid w:val="001C3078"/>
    <w:rsid w:val="001C32FE"/>
    <w:rsid w:val="001C3399"/>
    <w:rsid w:val="001C3495"/>
    <w:rsid w:val="001C3545"/>
    <w:rsid w:val="001C358B"/>
    <w:rsid w:val="001C36CA"/>
    <w:rsid w:val="001C3883"/>
    <w:rsid w:val="001C3A6E"/>
    <w:rsid w:val="001C3AE0"/>
    <w:rsid w:val="001C3D0F"/>
    <w:rsid w:val="001C44D1"/>
    <w:rsid w:val="001C45F7"/>
    <w:rsid w:val="001C464E"/>
    <w:rsid w:val="001C474A"/>
    <w:rsid w:val="001C47A4"/>
    <w:rsid w:val="001C486B"/>
    <w:rsid w:val="001C4944"/>
    <w:rsid w:val="001C4A77"/>
    <w:rsid w:val="001C4A94"/>
    <w:rsid w:val="001C5383"/>
    <w:rsid w:val="001C539C"/>
    <w:rsid w:val="001C53F7"/>
    <w:rsid w:val="001C5527"/>
    <w:rsid w:val="001C55BD"/>
    <w:rsid w:val="001C5773"/>
    <w:rsid w:val="001C5802"/>
    <w:rsid w:val="001C5824"/>
    <w:rsid w:val="001C5D20"/>
    <w:rsid w:val="001C5E8A"/>
    <w:rsid w:val="001C609D"/>
    <w:rsid w:val="001C630B"/>
    <w:rsid w:val="001C65FA"/>
    <w:rsid w:val="001C6712"/>
    <w:rsid w:val="001C679D"/>
    <w:rsid w:val="001C691E"/>
    <w:rsid w:val="001C6981"/>
    <w:rsid w:val="001C6AEE"/>
    <w:rsid w:val="001C6B05"/>
    <w:rsid w:val="001C6DF9"/>
    <w:rsid w:val="001C7248"/>
    <w:rsid w:val="001C72B1"/>
    <w:rsid w:val="001C7341"/>
    <w:rsid w:val="001C73D4"/>
    <w:rsid w:val="001C73E9"/>
    <w:rsid w:val="001C7403"/>
    <w:rsid w:val="001C74A3"/>
    <w:rsid w:val="001C753A"/>
    <w:rsid w:val="001C7630"/>
    <w:rsid w:val="001C77F9"/>
    <w:rsid w:val="001C79CF"/>
    <w:rsid w:val="001C7B55"/>
    <w:rsid w:val="001C7E24"/>
    <w:rsid w:val="001C7F92"/>
    <w:rsid w:val="001D002A"/>
    <w:rsid w:val="001D00B6"/>
    <w:rsid w:val="001D010B"/>
    <w:rsid w:val="001D014B"/>
    <w:rsid w:val="001D01DF"/>
    <w:rsid w:val="001D02BE"/>
    <w:rsid w:val="001D0318"/>
    <w:rsid w:val="001D03ED"/>
    <w:rsid w:val="001D04E9"/>
    <w:rsid w:val="001D0746"/>
    <w:rsid w:val="001D077A"/>
    <w:rsid w:val="001D087E"/>
    <w:rsid w:val="001D0A30"/>
    <w:rsid w:val="001D0A3B"/>
    <w:rsid w:val="001D0B4C"/>
    <w:rsid w:val="001D0E6B"/>
    <w:rsid w:val="001D1132"/>
    <w:rsid w:val="001D1544"/>
    <w:rsid w:val="001D156C"/>
    <w:rsid w:val="001D1645"/>
    <w:rsid w:val="001D1819"/>
    <w:rsid w:val="001D1839"/>
    <w:rsid w:val="001D18EA"/>
    <w:rsid w:val="001D1AD8"/>
    <w:rsid w:val="001D1DE6"/>
    <w:rsid w:val="001D1F4D"/>
    <w:rsid w:val="001D1FEA"/>
    <w:rsid w:val="001D2449"/>
    <w:rsid w:val="001D254D"/>
    <w:rsid w:val="001D2772"/>
    <w:rsid w:val="001D286F"/>
    <w:rsid w:val="001D2A25"/>
    <w:rsid w:val="001D2AAD"/>
    <w:rsid w:val="001D300E"/>
    <w:rsid w:val="001D3635"/>
    <w:rsid w:val="001D36B2"/>
    <w:rsid w:val="001D36B3"/>
    <w:rsid w:val="001D3704"/>
    <w:rsid w:val="001D3725"/>
    <w:rsid w:val="001D374D"/>
    <w:rsid w:val="001D3765"/>
    <w:rsid w:val="001D37FE"/>
    <w:rsid w:val="001D3B08"/>
    <w:rsid w:val="001D3DA6"/>
    <w:rsid w:val="001D408B"/>
    <w:rsid w:val="001D429A"/>
    <w:rsid w:val="001D42BF"/>
    <w:rsid w:val="001D471F"/>
    <w:rsid w:val="001D4720"/>
    <w:rsid w:val="001D477D"/>
    <w:rsid w:val="001D4927"/>
    <w:rsid w:val="001D49C7"/>
    <w:rsid w:val="001D4A97"/>
    <w:rsid w:val="001D4F01"/>
    <w:rsid w:val="001D4FC0"/>
    <w:rsid w:val="001D525D"/>
    <w:rsid w:val="001D53A2"/>
    <w:rsid w:val="001D54E5"/>
    <w:rsid w:val="001D5529"/>
    <w:rsid w:val="001D574D"/>
    <w:rsid w:val="001D58A2"/>
    <w:rsid w:val="001D5969"/>
    <w:rsid w:val="001D5E8F"/>
    <w:rsid w:val="001D60DD"/>
    <w:rsid w:val="001D6184"/>
    <w:rsid w:val="001D61BF"/>
    <w:rsid w:val="001D638F"/>
    <w:rsid w:val="001D644F"/>
    <w:rsid w:val="001D6451"/>
    <w:rsid w:val="001D695A"/>
    <w:rsid w:val="001D6C5F"/>
    <w:rsid w:val="001D6D15"/>
    <w:rsid w:val="001D6D36"/>
    <w:rsid w:val="001D7082"/>
    <w:rsid w:val="001D7146"/>
    <w:rsid w:val="001D73E8"/>
    <w:rsid w:val="001D7465"/>
    <w:rsid w:val="001D74F4"/>
    <w:rsid w:val="001D7502"/>
    <w:rsid w:val="001D75FF"/>
    <w:rsid w:val="001D77BC"/>
    <w:rsid w:val="001D77C1"/>
    <w:rsid w:val="001D7855"/>
    <w:rsid w:val="001D78E7"/>
    <w:rsid w:val="001D7992"/>
    <w:rsid w:val="001D7C59"/>
    <w:rsid w:val="001D7CC6"/>
    <w:rsid w:val="001E00FB"/>
    <w:rsid w:val="001E038C"/>
    <w:rsid w:val="001E03A8"/>
    <w:rsid w:val="001E05C2"/>
    <w:rsid w:val="001E0900"/>
    <w:rsid w:val="001E0BC0"/>
    <w:rsid w:val="001E0E81"/>
    <w:rsid w:val="001E0E9A"/>
    <w:rsid w:val="001E1084"/>
    <w:rsid w:val="001E1339"/>
    <w:rsid w:val="001E146D"/>
    <w:rsid w:val="001E14D3"/>
    <w:rsid w:val="001E15C3"/>
    <w:rsid w:val="001E17BE"/>
    <w:rsid w:val="001E1870"/>
    <w:rsid w:val="001E1BC3"/>
    <w:rsid w:val="001E1C27"/>
    <w:rsid w:val="001E1CDD"/>
    <w:rsid w:val="001E1D9F"/>
    <w:rsid w:val="001E1F20"/>
    <w:rsid w:val="001E20A7"/>
    <w:rsid w:val="001E20C3"/>
    <w:rsid w:val="001E22AE"/>
    <w:rsid w:val="001E22D9"/>
    <w:rsid w:val="001E23D4"/>
    <w:rsid w:val="001E248D"/>
    <w:rsid w:val="001E248F"/>
    <w:rsid w:val="001E28D1"/>
    <w:rsid w:val="001E29CC"/>
    <w:rsid w:val="001E2CE7"/>
    <w:rsid w:val="001E2D59"/>
    <w:rsid w:val="001E2F84"/>
    <w:rsid w:val="001E2F8E"/>
    <w:rsid w:val="001E2FEF"/>
    <w:rsid w:val="001E340C"/>
    <w:rsid w:val="001E3430"/>
    <w:rsid w:val="001E35AE"/>
    <w:rsid w:val="001E35E9"/>
    <w:rsid w:val="001E3C5E"/>
    <w:rsid w:val="001E3F73"/>
    <w:rsid w:val="001E3FE4"/>
    <w:rsid w:val="001E427A"/>
    <w:rsid w:val="001E4454"/>
    <w:rsid w:val="001E44F9"/>
    <w:rsid w:val="001E464D"/>
    <w:rsid w:val="001E49D8"/>
    <w:rsid w:val="001E4D48"/>
    <w:rsid w:val="001E4D97"/>
    <w:rsid w:val="001E4DCC"/>
    <w:rsid w:val="001E4E06"/>
    <w:rsid w:val="001E5006"/>
    <w:rsid w:val="001E5030"/>
    <w:rsid w:val="001E50CD"/>
    <w:rsid w:val="001E50E5"/>
    <w:rsid w:val="001E51FA"/>
    <w:rsid w:val="001E5547"/>
    <w:rsid w:val="001E5733"/>
    <w:rsid w:val="001E5839"/>
    <w:rsid w:val="001E590A"/>
    <w:rsid w:val="001E5998"/>
    <w:rsid w:val="001E5A86"/>
    <w:rsid w:val="001E5AE0"/>
    <w:rsid w:val="001E5C36"/>
    <w:rsid w:val="001E602F"/>
    <w:rsid w:val="001E6102"/>
    <w:rsid w:val="001E61B0"/>
    <w:rsid w:val="001E632A"/>
    <w:rsid w:val="001E64A5"/>
    <w:rsid w:val="001E65F3"/>
    <w:rsid w:val="001E66CF"/>
    <w:rsid w:val="001E6734"/>
    <w:rsid w:val="001E6AB3"/>
    <w:rsid w:val="001E6B3F"/>
    <w:rsid w:val="001E6D54"/>
    <w:rsid w:val="001E6DC4"/>
    <w:rsid w:val="001E6E28"/>
    <w:rsid w:val="001E6F91"/>
    <w:rsid w:val="001E6FDC"/>
    <w:rsid w:val="001E708D"/>
    <w:rsid w:val="001E71AD"/>
    <w:rsid w:val="001E72D5"/>
    <w:rsid w:val="001E7415"/>
    <w:rsid w:val="001E748E"/>
    <w:rsid w:val="001E754A"/>
    <w:rsid w:val="001E7717"/>
    <w:rsid w:val="001E77A4"/>
    <w:rsid w:val="001E7891"/>
    <w:rsid w:val="001E78E3"/>
    <w:rsid w:val="001E7C64"/>
    <w:rsid w:val="001E7E37"/>
    <w:rsid w:val="001F019C"/>
    <w:rsid w:val="001F0742"/>
    <w:rsid w:val="001F0838"/>
    <w:rsid w:val="001F0E1E"/>
    <w:rsid w:val="001F0F04"/>
    <w:rsid w:val="001F0F0E"/>
    <w:rsid w:val="001F1040"/>
    <w:rsid w:val="001F1126"/>
    <w:rsid w:val="001F124A"/>
    <w:rsid w:val="001F1443"/>
    <w:rsid w:val="001F15BC"/>
    <w:rsid w:val="001F1785"/>
    <w:rsid w:val="001F1BC8"/>
    <w:rsid w:val="001F1C39"/>
    <w:rsid w:val="001F1C50"/>
    <w:rsid w:val="001F1D54"/>
    <w:rsid w:val="001F1E31"/>
    <w:rsid w:val="001F2276"/>
    <w:rsid w:val="001F232F"/>
    <w:rsid w:val="001F26BC"/>
    <w:rsid w:val="001F2705"/>
    <w:rsid w:val="001F278F"/>
    <w:rsid w:val="001F27DC"/>
    <w:rsid w:val="001F2837"/>
    <w:rsid w:val="001F2ABA"/>
    <w:rsid w:val="001F2B07"/>
    <w:rsid w:val="001F2C04"/>
    <w:rsid w:val="001F2CC4"/>
    <w:rsid w:val="001F2CE4"/>
    <w:rsid w:val="001F2FB9"/>
    <w:rsid w:val="001F2FD2"/>
    <w:rsid w:val="001F2FDC"/>
    <w:rsid w:val="001F31E2"/>
    <w:rsid w:val="001F3217"/>
    <w:rsid w:val="001F32A4"/>
    <w:rsid w:val="001F32C7"/>
    <w:rsid w:val="001F3378"/>
    <w:rsid w:val="001F35DE"/>
    <w:rsid w:val="001F3623"/>
    <w:rsid w:val="001F36DE"/>
    <w:rsid w:val="001F3A8B"/>
    <w:rsid w:val="001F3BBC"/>
    <w:rsid w:val="001F3BF0"/>
    <w:rsid w:val="001F3C92"/>
    <w:rsid w:val="001F3EC8"/>
    <w:rsid w:val="001F4023"/>
    <w:rsid w:val="001F424B"/>
    <w:rsid w:val="001F46C0"/>
    <w:rsid w:val="001F4705"/>
    <w:rsid w:val="001F47A7"/>
    <w:rsid w:val="001F499C"/>
    <w:rsid w:val="001F4AE5"/>
    <w:rsid w:val="001F4B82"/>
    <w:rsid w:val="001F50F7"/>
    <w:rsid w:val="001F5177"/>
    <w:rsid w:val="001F5498"/>
    <w:rsid w:val="001F550B"/>
    <w:rsid w:val="001F55B0"/>
    <w:rsid w:val="001F5684"/>
    <w:rsid w:val="001F56CC"/>
    <w:rsid w:val="001F5723"/>
    <w:rsid w:val="001F573E"/>
    <w:rsid w:val="001F57BE"/>
    <w:rsid w:val="001F5CC3"/>
    <w:rsid w:val="001F5DC8"/>
    <w:rsid w:val="001F5EF7"/>
    <w:rsid w:val="001F5F12"/>
    <w:rsid w:val="001F61A8"/>
    <w:rsid w:val="001F63AF"/>
    <w:rsid w:val="001F66F8"/>
    <w:rsid w:val="001F677F"/>
    <w:rsid w:val="001F6B06"/>
    <w:rsid w:val="001F6D34"/>
    <w:rsid w:val="001F6ED0"/>
    <w:rsid w:val="001F7289"/>
    <w:rsid w:val="001F7292"/>
    <w:rsid w:val="001F73BA"/>
    <w:rsid w:val="001F7558"/>
    <w:rsid w:val="001F764F"/>
    <w:rsid w:val="001F780A"/>
    <w:rsid w:val="001F796D"/>
    <w:rsid w:val="001F7B09"/>
    <w:rsid w:val="001F7CA9"/>
    <w:rsid w:val="001F7E3E"/>
    <w:rsid w:val="001F7E3F"/>
    <w:rsid w:val="002000BC"/>
    <w:rsid w:val="00200323"/>
    <w:rsid w:val="00200370"/>
    <w:rsid w:val="0020044F"/>
    <w:rsid w:val="00200468"/>
    <w:rsid w:val="0020053A"/>
    <w:rsid w:val="002005E3"/>
    <w:rsid w:val="00200672"/>
    <w:rsid w:val="00200688"/>
    <w:rsid w:val="002008FB"/>
    <w:rsid w:val="0020099B"/>
    <w:rsid w:val="002009CD"/>
    <w:rsid w:val="00200B14"/>
    <w:rsid w:val="00200ECA"/>
    <w:rsid w:val="00200F37"/>
    <w:rsid w:val="00200F42"/>
    <w:rsid w:val="002010DA"/>
    <w:rsid w:val="00201364"/>
    <w:rsid w:val="00201379"/>
    <w:rsid w:val="002014D3"/>
    <w:rsid w:val="00201A4F"/>
    <w:rsid w:val="00201B1F"/>
    <w:rsid w:val="00201CA8"/>
    <w:rsid w:val="00201ED8"/>
    <w:rsid w:val="00201EE2"/>
    <w:rsid w:val="00201EFB"/>
    <w:rsid w:val="00201F59"/>
    <w:rsid w:val="0020213D"/>
    <w:rsid w:val="00202161"/>
    <w:rsid w:val="002021F4"/>
    <w:rsid w:val="00202312"/>
    <w:rsid w:val="00202406"/>
    <w:rsid w:val="00202411"/>
    <w:rsid w:val="002024E3"/>
    <w:rsid w:val="00202528"/>
    <w:rsid w:val="00202635"/>
    <w:rsid w:val="0020272B"/>
    <w:rsid w:val="00202B00"/>
    <w:rsid w:val="00202B01"/>
    <w:rsid w:val="00202B7F"/>
    <w:rsid w:val="00202B80"/>
    <w:rsid w:val="00202C21"/>
    <w:rsid w:val="00202DBA"/>
    <w:rsid w:val="002030E6"/>
    <w:rsid w:val="00203162"/>
    <w:rsid w:val="002033F6"/>
    <w:rsid w:val="002034CB"/>
    <w:rsid w:val="0020350A"/>
    <w:rsid w:val="0020356A"/>
    <w:rsid w:val="002035C8"/>
    <w:rsid w:val="00203601"/>
    <w:rsid w:val="00203690"/>
    <w:rsid w:val="0020377F"/>
    <w:rsid w:val="002037AA"/>
    <w:rsid w:val="0020384D"/>
    <w:rsid w:val="00203876"/>
    <w:rsid w:val="002039D3"/>
    <w:rsid w:val="002039F4"/>
    <w:rsid w:val="00203BEC"/>
    <w:rsid w:val="00203EE5"/>
    <w:rsid w:val="002040B7"/>
    <w:rsid w:val="00204338"/>
    <w:rsid w:val="00204343"/>
    <w:rsid w:val="00204377"/>
    <w:rsid w:val="0020467D"/>
    <w:rsid w:val="002046FB"/>
    <w:rsid w:val="0020478A"/>
    <w:rsid w:val="0020489A"/>
    <w:rsid w:val="00204C66"/>
    <w:rsid w:val="00204CE1"/>
    <w:rsid w:val="00204DC9"/>
    <w:rsid w:val="002050D2"/>
    <w:rsid w:val="0020532F"/>
    <w:rsid w:val="002053BF"/>
    <w:rsid w:val="0020563D"/>
    <w:rsid w:val="002057F7"/>
    <w:rsid w:val="00205AEC"/>
    <w:rsid w:val="00205B57"/>
    <w:rsid w:val="00205BB6"/>
    <w:rsid w:val="00205DB3"/>
    <w:rsid w:val="00205EE3"/>
    <w:rsid w:val="00206101"/>
    <w:rsid w:val="00206149"/>
    <w:rsid w:val="002063D3"/>
    <w:rsid w:val="002063FA"/>
    <w:rsid w:val="002064C4"/>
    <w:rsid w:val="0020688E"/>
    <w:rsid w:val="00206955"/>
    <w:rsid w:val="00206DEF"/>
    <w:rsid w:val="0020711E"/>
    <w:rsid w:val="00207209"/>
    <w:rsid w:val="00207224"/>
    <w:rsid w:val="002072F0"/>
    <w:rsid w:val="00207484"/>
    <w:rsid w:val="0020762E"/>
    <w:rsid w:val="0020765A"/>
    <w:rsid w:val="00207794"/>
    <w:rsid w:val="00207B16"/>
    <w:rsid w:val="00207B2B"/>
    <w:rsid w:val="00207BE4"/>
    <w:rsid w:val="00207CE4"/>
    <w:rsid w:val="0021021A"/>
    <w:rsid w:val="0021031E"/>
    <w:rsid w:val="002103ED"/>
    <w:rsid w:val="002104BC"/>
    <w:rsid w:val="00210502"/>
    <w:rsid w:val="0021051F"/>
    <w:rsid w:val="002105C5"/>
    <w:rsid w:val="00210644"/>
    <w:rsid w:val="00210B3F"/>
    <w:rsid w:val="00210B5A"/>
    <w:rsid w:val="00210B66"/>
    <w:rsid w:val="00210B8C"/>
    <w:rsid w:val="00210DC9"/>
    <w:rsid w:val="00211041"/>
    <w:rsid w:val="0021141A"/>
    <w:rsid w:val="00211434"/>
    <w:rsid w:val="00211679"/>
    <w:rsid w:val="00211725"/>
    <w:rsid w:val="002118B3"/>
    <w:rsid w:val="00211B12"/>
    <w:rsid w:val="00211D5F"/>
    <w:rsid w:val="00211EC5"/>
    <w:rsid w:val="00211F55"/>
    <w:rsid w:val="0021207F"/>
    <w:rsid w:val="0021227F"/>
    <w:rsid w:val="00212282"/>
    <w:rsid w:val="0021233E"/>
    <w:rsid w:val="002124BB"/>
    <w:rsid w:val="002126CC"/>
    <w:rsid w:val="002126FA"/>
    <w:rsid w:val="00212723"/>
    <w:rsid w:val="0021277E"/>
    <w:rsid w:val="00212805"/>
    <w:rsid w:val="0021293B"/>
    <w:rsid w:val="00212ACA"/>
    <w:rsid w:val="00212BCD"/>
    <w:rsid w:val="00212D3E"/>
    <w:rsid w:val="00212EBD"/>
    <w:rsid w:val="00213026"/>
    <w:rsid w:val="0021321E"/>
    <w:rsid w:val="00213250"/>
    <w:rsid w:val="002134B5"/>
    <w:rsid w:val="0021350C"/>
    <w:rsid w:val="00213549"/>
    <w:rsid w:val="0021359B"/>
    <w:rsid w:val="00213A78"/>
    <w:rsid w:val="00213CCF"/>
    <w:rsid w:val="00213CF7"/>
    <w:rsid w:val="00213DAC"/>
    <w:rsid w:val="00213FE9"/>
    <w:rsid w:val="00214197"/>
    <w:rsid w:val="00214246"/>
    <w:rsid w:val="0021426C"/>
    <w:rsid w:val="00214277"/>
    <w:rsid w:val="002143AF"/>
    <w:rsid w:val="00214692"/>
    <w:rsid w:val="002146F2"/>
    <w:rsid w:val="00214770"/>
    <w:rsid w:val="00214873"/>
    <w:rsid w:val="00214A35"/>
    <w:rsid w:val="00214AB9"/>
    <w:rsid w:val="00214B18"/>
    <w:rsid w:val="00214B94"/>
    <w:rsid w:val="00214D4D"/>
    <w:rsid w:val="00214D4E"/>
    <w:rsid w:val="00214D69"/>
    <w:rsid w:val="00214DE2"/>
    <w:rsid w:val="00214EAE"/>
    <w:rsid w:val="00214FA2"/>
    <w:rsid w:val="002150E8"/>
    <w:rsid w:val="00215342"/>
    <w:rsid w:val="0021548F"/>
    <w:rsid w:val="00215612"/>
    <w:rsid w:val="0021571E"/>
    <w:rsid w:val="002157E0"/>
    <w:rsid w:val="00215CB0"/>
    <w:rsid w:val="0021607F"/>
    <w:rsid w:val="002161D1"/>
    <w:rsid w:val="0021658E"/>
    <w:rsid w:val="002167AC"/>
    <w:rsid w:val="002167B9"/>
    <w:rsid w:val="00216A57"/>
    <w:rsid w:val="00216E0B"/>
    <w:rsid w:val="00216E53"/>
    <w:rsid w:val="002171D9"/>
    <w:rsid w:val="0021734C"/>
    <w:rsid w:val="002173D9"/>
    <w:rsid w:val="00217448"/>
    <w:rsid w:val="0021764C"/>
    <w:rsid w:val="00217652"/>
    <w:rsid w:val="002176F3"/>
    <w:rsid w:val="00217726"/>
    <w:rsid w:val="00217761"/>
    <w:rsid w:val="002177EE"/>
    <w:rsid w:val="00217825"/>
    <w:rsid w:val="00217B78"/>
    <w:rsid w:val="00217C05"/>
    <w:rsid w:val="00217E56"/>
    <w:rsid w:val="00217EAA"/>
    <w:rsid w:val="00220022"/>
    <w:rsid w:val="0022022D"/>
    <w:rsid w:val="002205CB"/>
    <w:rsid w:val="0022072C"/>
    <w:rsid w:val="0022077F"/>
    <w:rsid w:val="0022082F"/>
    <w:rsid w:val="002208EA"/>
    <w:rsid w:val="00220C92"/>
    <w:rsid w:val="00220CB1"/>
    <w:rsid w:val="00220ED8"/>
    <w:rsid w:val="00220EF6"/>
    <w:rsid w:val="0022139C"/>
    <w:rsid w:val="002213D1"/>
    <w:rsid w:val="002214F6"/>
    <w:rsid w:val="002216B6"/>
    <w:rsid w:val="00221943"/>
    <w:rsid w:val="002219E2"/>
    <w:rsid w:val="00221BFD"/>
    <w:rsid w:val="00221D04"/>
    <w:rsid w:val="00221E9C"/>
    <w:rsid w:val="00221F6F"/>
    <w:rsid w:val="00221F7D"/>
    <w:rsid w:val="00222011"/>
    <w:rsid w:val="002220A0"/>
    <w:rsid w:val="002222EB"/>
    <w:rsid w:val="00222630"/>
    <w:rsid w:val="00222D1C"/>
    <w:rsid w:val="00222DA6"/>
    <w:rsid w:val="00222EB9"/>
    <w:rsid w:val="0022303E"/>
    <w:rsid w:val="0022311D"/>
    <w:rsid w:val="002231EC"/>
    <w:rsid w:val="002232A4"/>
    <w:rsid w:val="0022334F"/>
    <w:rsid w:val="00223736"/>
    <w:rsid w:val="002238E5"/>
    <w:rsid w:val="00223B33"/>
    <w:rsid w:val="00223C6E"/>
    <w:rsid w:val="00223CBD"/>
    <w:rsid w:val="00223E02"/>
    <w:rsid w:val="00223E55"/>
    <w:rsid w:val="00223F17"/>
    <w:rsid w:val="0022406A"/>
    <w:rsid w:val="00224102"/>
    <w:rsid w:val="0022426F"/>
    <w:rsid w:val="002243E7"/>
    <w:rsid w:val="0022479E"/>
    <w:rsid w:val="00224801"/>
    <w:rsid w:val="0022481A"/>
    <w:rsid w:val="002248A5"/>
    <w:rsid w:val="00224C24"/>
    <w:rsid w:val="00224C61"/>
    <w:rsid w:val="00224D20"/>
    <w:rsid w:val="00224D96"/>
    <w:rsid w:val="00224E24"/>
    <w:rsid w:val="00224F73"/>
    <w:rsid w:val="00225000"/>
    <w:rsid w:val="00225039"/>
    <w:rsid w:val="00225098"/>
    <w:rsid w:val="00225252"/>
    <w:rsid w:val="00225393"/>
    <w:rsid w:val="002253A5"/>
    <w:rsid w:val="002254D6"/>
    <w:rsid w:val="00225567"/>
    <w:rsid w:val="002255A3"/>
    <w:rsid w:val="00225757"/>
    <w:rsid w:val="002258B1"/>
    <w:rsid w:val="00225B65"/>
    <w:rsid w:val="00225C46"/>
    <w:rsid w:val="00225F20"/>
    <w:rsid w:val="0022604A"/>
    <w:rsid w:val="00226176"/>
    <w:rsid w:val="002261FC"/>
    <w:rsid w:val="00226253"/>
    <w:rsid w:val="002262DF"/>
    <w:rsid w:val="00226345"/>
    <w:rsid w:val="002264F0"/>
    <w:rsid w:val="00226520"/>
    <w:rsid w:val="00226819"/>
    <w:rsid w:val="0022694E"/>
    <w:rsid w:val="0022696C"/>
    <w:rsid w:val="00226C55"/>
    <w:rsid w:val="00226F1F"/>
    <w:rsid w:val="00227107"/>
    <w:rsid w:val="002272C3"/>
    <w:rsid w:val="002273A0"/>
    <w:rsid w:val="00227400"/>
    <w:rsid w:val="00227401"/>
    <w:rsid w:val="00227798"/>
    <w:rsid w:val="00227856"/>
    <w:rsid w:val="00227CE1"/>
    <w:rsid w:val="00227E8B"/>
    <w:rsid w:val="00230358"/>
    <w:rsid w:val="002303CE"/>
    <w:rsid w:val="00230452"/>
    <w:rsid w:val="00230567"/>
    <w:rsid w:val="00230656"/>
    <w:rsid w:val="0023078A"/>
    <w:rsid w:val="00230879"/>
    <w:rsid w:val="00230BD5"/>
    <w:rsid w:val="00230CAE"/>
    <w:rsid w:val="00231093"/>
    <w:rsid w:val="00231178"/>
    <w:rsid w:val="00231196"/>
    <w:rsid w:val="002311DF"/>
    <w:rsid w:val="002312ED"/>
    <w:rsid w:val="002312F0"/>
    <w:rsid w:val="00231556"/>
    <w:rsid w:val="00231719"/>
    <w:rsid w:val="00231908"/>
    <w:rsid w:val="00231938"/>
    <w:rsid w:val="00231A5D"/>
    <w:rsid w:val="00231A68"/>
    <w:rsid w:val="00231A89"/>
    <w:rsid w:val="00231E40"/>
    <w:rsid w:val="00231E7B"/>
    <w:rsid w:val="00231EFC"/>
    <w:rsid w:val="00231F55"/>
    <w:rsid w:val="002320D9"/>
    <w:rsid w:val="00232232"/>
    <w:rsid w:val="00232282"/>
    <w:rsid w:val="00232366"/>
    <w:rsid w:val="0023238B"/>
    <w:rsid w:val="002323EE"/>
    <w:rsid w:val="00232535"/>
    <w:rsid w:val="002325A8"/>
    <w:rsid w:val="0023264F"/>
    <w:rsid w:val="0023281E"/>
    <w:rsid w:val="00232923"/>
    <w:rsid w:val="0023298F"/>
    <w:rsid w:val="00232E0C"/>
    <w:rsid w:val="00232F9C"/>
    <w:rsid w:val="002330BA"/>
    <w:rsid w:val="002330DB"/>
    <w:rsid w:val="00233101"/>
    <w:rsid w:val="0023310D"/>
    <w:rsid w:val="00233276"/>
    <w:rsid w:val="002332B9"/>
    <w:rsid w:val="002335A1"/>
    <w:rsid w:val="00233817"/>
    <w:rsid w:val="00233938"/>
    <w:rsid w:val="00233BD3"/>
    <w:rsid w:val="00233E5D"/>
    <w:rsid w:val="00233EF8"/>
    <w:rsid w:val="00233FCD"/>
    <w:rsid w:val="002340F3"/>
    <w:rsid w:val="002342D8"/>
    <w:rsid w:val="0023453E"/>
    <w:rsid w:val="00234707"/>
    <w:rsid w:val="00234848"/>
    <w:rsid w:val="00234A13"/>
    <w:rsid w:val="00234A73"/>
    <w:rsid w:val="00234DE9"/>
    <w:rsid w:val="00234FD2"/>
    <w:rsid w:val="00235100"/>
    <w:rsid w:val="00235278"/>
    <w:rsid w:val="002352EB"/>
    <w:rsid w:val="00235301"/>
    <w:rsid w:val="0023539A"/>
    <w:rsid w:val="00235406"/>
    <w:rsid w:val="002354D8"/>
    <w:rsid w:val="002355BE"/>
    <w:rsid w:val="0023585B"/>
    <w:rsid w:val="00235A60"/>
    <w:rsid w:val="00235A8B"/>
    <w:rsid w:val="00235AB7"/>
    <w:rsid w:val="00235BCA"/>
    <w:rsid w:val="00235CBF"/>
    <w:rsid w:val="00235DB1"/>
    <w:rsid w:val="00235E50"/>
    <w:rsid w:val="00235FB8"/>
    <w:rsid w:val="002360AF"/>
    <w:rsid w:val="0023635D"/>
    <w:rsid w:val="0023646D"/>
    <w:rsid w:val="0023652F"/>
    <w:rsid w:val="00236537"/>
    <w:rsid w:val="0023672B"/>
    <w:rsid w:val="002367B1"/>
    <w:rsid w:val="002367D7"/>
    <w:rsid w:val="002367FF"/>
    <w:rsid w:val="00236933"/>
    <w:rsid w:val="0023695F"/>
    <w:rsid w:val="00236974"/>
    <w:rsid w:val="00236AA3"/>
    <w:rsid w:val="00236B41"/>
    <w:rsid w:val="0023729D"/>
    <w:rsid w:val="00237505"/>
    <w:rsid w:val="0023788C"/>
    <w:rsid w:val="00237B62"/>
    <w:rsid w:val="00237D15"/>
    <w:rsid w:val="00237D97"/>
    <w:rsid w:val="00237DC3"/>
    <w:rsid w:val="00237FB8"/>
    <w:rsid w:val="002402F8"/>
    <w:rsid w:val="0024047D"/>
    <w:rsid w:val="0024062B"/>
    <w:rsid w:val="0024065B"/>
    <w:rsid w:val="002407D7"/>
    <w:rsid w:val="00240A14"/>
    <w:rsid w:val="00240AC5"/>
    <w:rsid w:val="00240AD5"/>
    <w:rsid w:val="00240CE9"/>
    <w:rsid w:val="00240D78"/>
    <w:rsid w:val="00240E91"/>
    <w:rsid w:val="00240EE1"/>
    <w:rsid w:val="00240FCD"/>
    <w:rsid w:val="00241093"/>
    <w:rsid w:val="00241172"/>
    <w:rsid w:val="002415B4"/>
    <w:rsid w:val="00241629"/>
    <w:rsid w:val="00241735"/>
    <w:rsid w:val="00241AEB"/>
    <w:rsid w:val="00241C55"/>
    <w:rsid w:val="00241F16"/>
    <w:rsid w:val="00242113"/>
    <w:rsid w:val="00242702"/>
    <w:rsid w:val="00242AA0"/>
    <w:rsid w:val="00242BA1"/>
    <w:rsid w:val="00242F88"/>
    <w:rsid w:val="00243059"/>
    <w:rsid w:val="0024311D"/>
    <w:rsid w:val="0024325F"/>
    <w:rsid w:val="00243419"/>
    <w:rsid w:val="002434BA"/>
    <w:rsid w:val="002437BF"/>
    <w:rsid w:val="002437CE"/>
    <w:rsid w:val="002437DE"/>
    <w:rsid w:val="002437E6"/>
    <w:rsid w:val="0024382B"/>
    <w:rsid w:val="002439D3"/>
    <w:rsid w:val="00243AEE"/>
    <w:rsid w:val="00243AFE"/>
    <w:rsid w:val="00243BA5"/>
    <w:rsid w:val="00243D35"/>
    <w:rsid w:val="00243D75"/>
    <w:rsid w:val="00243E65"/>
    <w:rsid w:val="00243FE1"/>
    <w:rsid w:val="00244469"/>
    <w:rsid w:val="00244541"/>
    <w:rsid w:val="0024456A"/>
    <w:rsid w:val="0024472B"/>
    <w:rsid w:val="00244807"/>
    <w:rsid w:val="00244BB3"/>
    <w:rsid w:val="00244C2B"/>
    <w:rsid w:val="00244D99"/>
    <w:rsid w:val="00244EA9"/>
    <w:rsid w:val="0024500C"/>
    <w:rsid w:val="00245312"/>
    <w:rsid w:val="002455DC"/>
    <w:rsid w:val="002457E6"/>
    <w:rsid w:val="0024580D"/>
    <w:rsid w:val="00245A87"/>
    <w:rsid w:val="00245CE3"/>
    <w:rsid w:val="00245D1F"/>
    <w:rsid w:val="00245F89"/>
    <w:rsid w:val="0024607B"/>
    <w:rsid w:val="00246089"/>
    <w:rsid w:val="00246093"/>
    <w:rsid w:val="00246566"/>
    <w:rsid w:val="002465EC"/>
    <w:rsid w:val="0024665B"/>
    <w:rsid w:val="00246702"/>
    <w:rsid w:val="00246A41"/>
    <w:rsid w:val="00246A50"/>
    <w:rsid w:val="00246A66"/>
    <w:rsid w:val="00246B0A"/>
    <w:rsid w:val="00246D44"/>
    <w:rsid w:val="00246D4E"/>
    <w:rsid w:val="00246DD4"/>
    <w:rsid w:val="00246EE1"/>
    <w:rsid w:val="0024724E"/>
    <w:rsid w:val="00247607"/>
    <w:rsid w:val="002476A5"/>
    <w:rsid w:val="00247710"/>
    <w:rsid w:val="0024775B"/>
    <w:rsid w:val="00247816"/>
    <w:rsid w:val="002479C6"/>
    <w:rsid w:val="00247A41"/>
    <w:rsid w:val="00247B4F"/>
    <w:rsid w:val="00247C59"/>
    <w:rsid w:val="00247CC4"/>
    <w:rsid w:val="00247D44"/>
    <w:rsid w:val="00247DCD"/>
    <w:rsid w:val="00247EA4"/>
    <w:rsid w:val="00247F2E"/>
    <w:rsid w:val="00250045"/>
    <w:rsid w:val="00250105"/>
    <w:rsid w:val="00250294"/>
    <w:rsid w:val="002502DD"/>
    <w:rsid w:val="00250556"/>
    <w:rsid w:val="00250695"/>
    <w:rsid w:val="002507EE"/>
    <w:rsid w:val="0025082E"/>
    <w:rsid w:val="0025091D"/>
    <w:rsid w:val="00250A5A"/>
    <w:rsid w:val="00250ADC"/>
    <w:rsid w:val="00250B07"/>
    <w:rsid w:val="00250B93"/>
    <w:rsid w:val="00250B9D"/>
    <w:rsid w:val="00250C33"/>
    <w:rsid w:val="00250C35"/>
    <w:rsid w:val="00250C38"/>
    <w:rsid w:val="00250C4C"/>
    <w:rsid w:val="00250C68"/>
    <w:rsid w:val="00250E87"/>
    <w:rsid w:val="00250FC9"/>
    <w:rsid w:val="00251606"/>
    <w:rsid w:val="002517E3"/>
    <w:rsid w:val="002518BB"/>
    <w:rsid w:val="00251935"/>
    <w:rsid w:val="00251C86"/>
    <w:rsid w:val="00251CD1"/>
    <w:rsid w:val="00251D71"/>
    <w:rsid w:val="00251E3A"/>
    <w:rsid w:val="00251E9E"/>
    <w:rsid w:val="00251EFC"/>
    <w:rsid w:val="0025208C"/>
    <w:rsid w:val="0025227B"/>
    <w:rsid w:val="002523E1"/>
    <w:rsid w:val="002524CB"/>
    <w:rsid w:val="00252687"/>
    <w:rsid w:val="00252735"/>
    <w:rsid w:val="0025275D"/>
    <w:rsid w:val="002527C7"/>
    <w:rsid w:val="0025289C"/>
    <w:rsid w:val="00252954"/>
    <w:rsid w:val="00252BC5"/>
    <w:rsid w:val="00252D2B"/>
    <w:rsid w:val="00253088"/>
    <w:rsid w:val="002530C1"/>
    <w:rsid w:val="00253187"/>
    <w:rsid w:val="0025350A"/>
    <w:rsid w:val="00253A57"/>
    <w:rsid w:val="00253B28"/>
    <w:rsid w:val="00253CF5"/>
    <w:rsid w:val="00254189"/>
    <w:rsid w:val="002543F4"/>
    <w:rsid w:val="0025471E"/>
    <w:rsid w:val="00254742"/>
    <w:rsid w:val="0025476B"/>
    <w:rsid w:val="0025479B"/>
    <w:rsid w:val="0025487B"/>
    <w:rsid w:val="0025487D"/>
    <w:rsid w:val="002548B9"/>
    <w:rsid w:val="002548F6"/>
    <w:rsid w:val="00254C56"/>
    <w:rsid w:val="0025502B"/>
    <w:rsid w:val="00255030"/>
    <w:rsid w:val="00255225"/>
    <w:rsid w:val="0025529D"/>
    <w:rsid w:val="0025529E"/>
    <w:rsid w:val="002555B1"/>
    <w:rsid w:val="00255635"/>
    <w:rsid w:val="00255B9E"/>
    <w:rsid w:val="00255D7B"/>
    <w:rsid w:val="0025605E"/>
    <w:rsid w:val="002561B4"/>
    <w:rsid w:val="002562FD"/>
    <w:rsid w:val="00256355"/>
    <w:rsid w:val="002564F8"/>
    <w:rsid w:val="002565CA"/>
    <w:rsid w:val="00256655"/>
    <w:rsid w:val="00256B4B"/>
    <w:rsid w:val="00256BE3"/>
    <w:rsid w:val="00256BF6"/>
    <w:rsid w:val="00256ECE"/>
    <w:rsid w:val="00257251"/>
    <w:rsid w:val="00257553"/>
    <w:rsid w:val="0025764A"/>
    <w:rsid w:val="00257747"/>
    <w:rsid w:val="00257794"/>
    <w:rsid w:val="00257855"/>
    <w:rsid w:val="0025786E"/>
    <w:rsid w:val="00257968"/>
    <w:rsid w:val="00257CCB"/>
    <w:rsid w:val="00257EEE"/>
    <w:rsid w:val="00257F30"/>
    <w:rsid w:val="00257F89"/>
    <w:rsid w:val="00257FB3"/>
    <w:rsid w:val="00260157"/>
    <w:rsid w:val="0026057B"/>
    <w:rsid w:val="002608D2"/>
    <w:rsid w:val="002609DC"/>
    <w:rsid w:val="00260A8E"/>
    <w:rsid w:val="00260EB1"/>
    <w:rsid w:val="00260F86"/>
    <w:rsid w:val="00260FB2"/>
    <w:rsid w:val="0026123B"/>
    <w:rsid w:val="00261386"/>
    <w:rsid w:val="00261423"/>
    <w:rsid w:val="00261448"/>
    <w:rsid w:val="00261B85"/>
    <w:rsid w:val="00261BD9"/>
    <w:rsid w:val="00261CB5"/>
    <w:rsid w:val="00262128"/>
    <w:rsid w:val="00262853"/>
    <w:rsid w:val="0026299A"/>
    <w:rsid w:val="002629DB"/>
    <w:rsid w:val="00262D64"/>
    <w:rsid w:val="00263084"/>
    <w:rsid w:val="002630EA"/>
    <w:rsid w:val="002634D8"/>
    <w:rsid w:val="0026362E"/>
    <w:rsid w:val="00263647"/>
    <w:rsid w:val="002636CC"/>
    <w:rsid w:val="002637F2"/>
    <w:rsid w:val="0026386C"/>
    <w:rsid w:val="00263A1B"/>
    <w:rsid w:val="00263B5F"/>
    <w:rsid w:val="00263BD6"/>
    <w:rsid w:val="00263BDD"/>
    <w:rsid w:val="00263BEA"/>
    <w:rsid w:val="00263C97"/>
    <w:rsid w:val="00263F1D"/>
    <w:rsid w:val="00263F74"/>
    <w:rsid w:val="00264046"/>
    <w:rsid w:val="0026414B"/>
    <w:rsid w:val="00264555"/>
    <w:rsid w:val="002648D1"/>
    <w:rsid w:val="0026498D"/>
    <w:rsid w:val="00264A90"/>
    <w:rsid w:val="00264B1C"/>
    <w:rsid w:val="00264D28"/>
    <w:rsid w:val="00264DF4"/>
    <w:rsid w:val="00264EF5"/>
    <w:rsid w:val="002653AB"/>
    <w:rsid w:val="002653ED"/>
    <w:rsid w:val="002654C9"/>
    <w:rsid w:val="00265866"/>
    <w:rsid w:val="0026594A"/>
    <w:rsid w:val="00266257"/>
    <w:rsid w:val="0026633B"/>
    <w:rsid w:val="0026652C"/>
    <w:rsid w:val="002665BC"/>
    <w:rsid w:val="002666C9"/>
    <w:rsid w:val="002666FF"/>
    <w:rsid w:val="00266AE9"/>
    <w:rsid w:val="00266AEC"/>
    <w:rsid w:val="00266EA0"/>
    <w:rsid w:val="00266F4F"/>
    <w:rsid w:val="00266F57"/>
    <w:rsid w:val="002671FF"/>
    <w:rsid w:val="00267513"/>
    <w:rsid w:val="00267994"/>
    <w:rsid w:val="002679A1"/>
    <w:rsid w:val="00267B70"/>
    <w:rsid w:val="00267E18"/>
    <w:rsid w:val="00267EE4"/>
    <w:rsid w:val="00270046"/>
    <w:rsid w:val="002700F2"/>
    <w:rsid w:val="00270233"/>
    <w:rsid w:val="002708B1"/>
    <w:rsid w:val="002709C8"/>
    <w:rsid w:val="00270C55"/>
    <w:rsid w:val="00270CC6"/>
    <w:rsid w:val="00270F11"/>
    <w:rsid w:val="00270FAE"/>
    <w:rsid w:val="002711B1"/>
    <w:rsid w:val="00271293"/>
    <w:rsid w:val="0027165D"/>
    <w:rsid w:val="00271719"/>
    <w:rsid w:val="002717BB"/>
    <w:rsid w:val="002718C3"/>
    <w:rsid w:val="00271B04"/>
    <w:rsid w:val="00271B24"/>
    <w:rsid w:val="00271BD2"/>
    <w:rsid w:val="00271C5D"/>
    <w:rsid w:val="0027258A"/>
    <w:rsid w:val="00272666"/>
    <w:rsid w:val="0027275C"/>
    <w:rsid w:val="002727DF"/>
    <w:rsid w:val="00272C73"/>
    <w:rsid w:val="00272D08"/>
    <w:rsid w:val="00272F9F"/>
    <w:rsid w:val="00273334"/>
    <w:rsid w:val="0027354B"/>
    <w:rsid w:val="002735A2"/>
    <w:rsid w:val="002735C0"/>
    <w:rsid w:val="00273757"/>
    <w:rsid w:val="00273861"/>
    <w:rsid w:val="00273894"/>
    <w:rsid w:val="002738A5"/>
    <w:rsid w:val="002738C6"/>
    <w:rsid w:val="00273A76"/>
    <w:rsid w:val="00273C9B"/>
    <w:rsid w:val="00273CAD"/>
    <w:rsid w:val="00273CEB"/>
    <w:rsid w:val="00273FCB"/>
    <w:rsid w:val="002744A9"/>
    <w:rsid w:val="0027457F"/>
    <w:rsid w:val="002745E8"/>
    <w:rsid w:val="0027462A"/>
    <w:rsid w:val="00274693"/>
    <w:rsid w:val="00274D2B"/>
    <w:rsid w:val="00274E5F"/>
    <w:rsid w:val="00274E8F"/>
    <w:rsid w:val="002756D5"/>
    <w:rsid w:val="002757FC"/>
    <w:rsid w:val="00275A94"/>
    <w:rsid w:val="00275CEA"/>
    <w:rsid w:val="00275D21"/>
    <w:rsid w:val="00275D2F"/>
    <w:rsid w:val="00275EDF"/>
    <w:rsid w:val="0027602B"/>
    <w:rsid w:val="00276048"/>
    <w:rsid w:val="00276055"/>
    <w:rsid w:val="0027608E"/>
    <w:rsid w:val="00276090"/>
    <w:rsid w:val="0027632A"/>
    <w:rsid w:val="002764D4"/>
    <w:rsid w:val="002766C5"/>
    <w:rsid w:val="002767B0"/>
    <w:rsid w:val="002767B2"/>
    <w:rsid w:val="0027698E"/>
    <w:rsid w:val="002769C2"/>
    <w:rsid w:val="00276AEC"/>
    <w:rsid w:val="00276FC6"/>
    <w:rsid w:val="00277200"/>
    <w:rsid w:val="002772A2"/>
    <w:rsid w:val="0027734B"/>
    <w:rsid w:val="0027742B"/>
    <w:rsid w:val="002774C9"/>
    <w:rsid w:val="00277685"/>
    <w:rsid w:val="00277705"/>
    <w:rsid w:val="0027778A"/>
    <w:rsid w:val="00277A25"/>
    <w:rsid w:val="00277C6E"/>
    <w:rsid w:val="00277C7A"/>
    <w:rsid w:val="00277D05"/>
    <w:rsid w:val="00277E5F"/>
    <w:rsid w:val="0028005C"/>
    <w:rsid w:val="002800F8"/>
    <w:rsid w:val="002801C2"/>
    <w:rsid w:val="002801EF"/>
    <w:rsid w:val="002803B8"/>
    <w:rsid w:val="00280528"/>
    <w:rsid w:val="00280890"/>
    <w:rsid w:val="00280A8C"/>
    <w:rsid w:val="00280B69"/>
    <w:rsid w:val="00280E53"/>
    <w:rsid w:val="00280F6A"/>
    <w:rsid w:val="00281158"/>
    <w:rsid w:val="002813AE"/>
    <w:rsid w:val="00281427"/>
    <w:rsid w:val="00281468"/>
    <w:rsid w:val="002814EF"/>
    <w:rsid w:val="00281640"/>
    <w:rsid w:val="00281664"/>
    <w:rsid w:val="00281746"/>
    <w:rsid w:val="00281A7D"/>
    <w:rsid w:val="00281C89"/>
    <w:rsid w:val="00281DA1"/>
    <w:rsid w:val="00281EF7"/>
    <w:rsid w:val="00281FAF"/>
    <w:rsid w:val="0028207D"/>
    <w:rsid w:val="00282195"/>
    <w:rsid w:val="0028282F"/>
    <w:rsid w:val="00282901"/>
    <w:rsid w:val="0028298F"/>
    <w:rsid w:val="00282BB9"/>
    <w:rsid w:val="00282BE5"/>
    <w:rsid w:val="00282D4E"/>
    <w:rsid w:val="00282F97"/>
    <w:rsid w:val="002833D1"/>
    <w:rsid w:val="0028362E"/>
    <w:rsid w:val="00283665"/>
    <w:rsid w:val="002836F8"/>
    <w:rsid w:val="002837E7"/>
    <w:rsid w:val="00283B76"/>
    <w:rsid w:val="00283C19"/>
    <w:rsid w:val="00283C29"/>
    <w:rsid w:val="00283DE6"/>
    <w:rsid w:val="00283E6B"/>
    <w:rsid w:val="002841DB"/>
    <w:rsid w:val="0028422D"/>
    <w:rsid w:val="00284293"/>
    <w:rsid w:val="002842AF"/>
    <w:rsid w:val="00284427"/>
    <w:rsid w:val="00284B70"/>
    <w:rsid w:val="00284B8B"/>
    <w:rsid w:val="00284CF2"/>
    <w:rsid w:val="00284D4E"/>
    <w:rsid w:val="00284F60"/>
    <w:rsid w:val="00284F85"/>
    <w:rsid w:val="0028518F"/>
    <w:rsid w:val="0028522C"/>
    <w:rsid w:val="00285245"/>
    <w:rsid w:val="002852B4"/>
    <w:rsid w:val="00285459"/>
    <w:rsid w:val="00285692"/>
    <w:rsid w:val="00285AD8"/>
    <w:rsid w:val="00285CD4"/>
    <w:rsid w:val="00285D96"/>
    <w:rsid w:val="00285E87"/>
    <w:rsid w:val="00286144"/>
    <w:rsid w:val="002863E7"/>
    <w:rsid w:val="0028654A"/>
    <w:rsid w:val="002865ED"/>
    <w:rsid w:val="00286853"/>
    <w:rsid w:val="00286C9E"/>
    <w:rsid w:val="00286F62"/>
    <w:rsid w:val="00287302"/>
    <w:rsid w:val="00287362"/>
    <w:rsid w:val="0028739F"/>
    <w:rsid w:val="00287468"/>
    <w:rsid w:val="002874AA"/>
    <w:rsid w:val="00287524"/>
    <w:rsid w:val="0028759A"/>
    <w:rsid w:val="00287806"/>
    <w:rsid w:val="00287E5A"/>
    <w:rsid w:val="00287E8B"/>
    <w:rsid w:val="00287FC1"/>
    <w:rsid w:val="00287FD3"/>
    <w:rsid w:val="00290227"/>
    <w:rsid w:val="002902DE"/>
    <w:rsid w:val="00290923"/>
    <w:rsid w:val="00290A01"/>
    <w:rsid w:val="00290B38"/>
    <w:rsid w:val="00290BE8"/>
    <w:rsid w:val="00290D47"/>
    <w:rsid w:val="002911DB"/>
    <w:rsid w:val="002912A8"/>
    <w:rsid w:val="002914BE"/>
    <w:rsid w:val="002914E9"/>
    <w:rsid w:val="002916C8"/>
    <w:rsid w:val="002917BA"/>
    <w:rsid w:val="00291D2A"/>
    <w:rsid w:val="00291DF3"/>
    <w:rsid w:val="00291ED7"/>
    <w:rsid w:val="002920FA"/>
    <w:rsid w:val="0029222D"/>
    <w:rsid w:val="002922FE"/>
    <w:rsid w:val="0029252E"/>
    <w:rsid w:val="0029279D"/>
    <w:rsid w:val="0029290B"/>
    <w:rsid w:val="0029293F"/>
    <w:rsid w:val="002929B8"/>
    <w:rsid w:val="00292E12"/>
    <w:rsid w:val="00293115"/>
    <w:rsid w:val="0029318A"/>
    <w:rsid w:val="0029337C"/>
    <w:rsid w:val="002936F7"/>
    <w:rsid w:val="002939C4"/>
    <w:rsid w:val="00293BC8"/>
    <w:rsid w:val="00293CC6"/>
    <w:rsid w:val="00293DBD"/>
    <w:rsid w:val="00293FF5"/>
    <w:rsid w:val="0029432C"/>
    <w:rsid w:val="00294994"/>
    <w:rsid w:val="002949A0"/>
    <w:rsid w:val="002949D9"/>
    <w:rsid w:val="00294F62"/>
    <w:rsid w:val="00295037"/>
    <w:rsid w:val="002951D9"/>
    <w:rsid w:val="00295320"/>
    <w:rsid w:val="0029547E"/>
    <w:rsid w:val="002954C8"/>
    <w:rsid w:val="002958B4"/>
    <w:rsid w:val="0029593B"/>
    <w:rsid w:val="00295964"/>
    <w:rsid w:val="00295C19"/>
    <w:rsid w:val="00295DBB"/>
    <w:rsid w:val="00295F3D"/>
    <w:rsid w:val="00295FE5"/>
    <w:rsid w:val="0029602E"/>
    <w:rsid w:val="0029609F"/>
    <w:rsid w:val="00296114"/>
    <w:rsid w:val="0029617E"/>
    <w:rsid w:val="0029620F"/>
    <w:rsid w:val="002962A6"/>
    <w:rsid w:val="002964C5"/>
    <w:rsid w:val="00296520"/>
    <w:rsid w:val="00296B4F"/>
    <w:rsid w:val="00296D14"/>
    <w:rsid w:val="00296F42"/>
    <w:rsid w:val="00297052"/>
    <w:rsid w:val="00297192"/>
    <w:rsid w:val="0029727A"/>
    <w:rsid w:val="0029752B"/>
    <w:rsid w:val="00297543"/>
    <w:rsid w:val="00297752"/>
    <w:rsid w:val="00297980"/>
    <w:rsid w:val="002979CE"/>
    <w:rsid w:val="00297C6C"/>
    <w:rsid w:val="00297FA8"/>
    <w:rsid w:val="00297FC5"/>
    <w:rsid w:val="002A006E"/>
    <w:rsid w:val="002A0081"/>
    <w:rsid w:val="002A00A1"/>
    <w:rsid w:val="002A03F2"/>
    <w:rsid w:val="002A0417"/>
    <w:rsid w:val="002A0449"/>
    <w:rsid w:val="002A069E"/>
    <w:rsid w:val="002A06F5"/>
    <w:rsid w:val="002A0A72"/>
    <w:rsid w:val="002A0C89"/>
    <w:rsid w:val="002A0F0D"/>
    <w:rsid w:val="002A1099"/>
    <w:rsid w:val="002A10D6"/>
    <w:rsid w:val="002A16D8"/>
    <w:rsid w:val="002A1BC8"/>
    <w:rsid w:val="002A1CC3"/>
    <w:rsid w:val="002A1D41"/>
    <w:rsid w:val="002A1EE5"/>
    <w:rsid w:val="002A1FB0"/>
    <w:rsid w:val="002A20C8"/>
    <w:rsid w:val="002A2168"/>
    <w:rsid w:val="002A218E"/>
    <w:rsid w:val="002A2302"/>
    <w:rsid w:val="002A2496"/>
    <w:rsid w:val="002A25F2"/>
    <w:rsid w:val="002A28DA"/>
    <w:rsid w:val="002A2BE1"/>
    <w:rsid w:val="002A2D4E"/>
    <w:rsid w:val="002A2F1C"/>
    <w:rsid w:val="002A2F53"/>
    <w:rsid w:val="002A30E2"/>
    <w:rsid w:val="002A311D"/>
    <w:rsid w:val="002A3325"/>
    <w:rsid w:val="002A3473"/>
    <w:rsid w:val="002A34B5"/>
    <w:rsid w:val="002A3B0D"/>
    <w:rsid w:val="002A3B60"/>
    <w:rsid w:val="002A3BE9"/>
    <w:rsid w:val="002A3D29"/>
    <w:rsid w:val="002A3EF2"/>
    <w:rsid w:val="002A404A"/>
    <w:rsid w:val="002A4127"/>
    <w:rsid w:val="002A447F"/>
    <w:rsid w:val="002A45CD"/>
    <w:rsid w:val="002A4613"/>
    <w:rsid w:val="002A4700"/>
    <w:rsid w:val="002A47A8"/>
    <w:rsid w:val="002A48C7"/>
    <w:rsid w:val="002A49A1"/>
    <w:rsid w:val="002A4A77"/>
    <w:rsid w:val="002A4ED0"/>
    <w:rsid w:val="002A4ED2"/>
    <w:rsid w:val="002A51BE"/>
    <w:rsid w:val="002A5400"/>
    <w:rsid w:val="002A5487"/>
    <w:rsid w:val="002A54F3"/>
    <w:rsid w:val="002A56F1"/>
    <w:rsid w:val="002A578C"/>
    <w:rsid w:val="002A5969"/>
    <w:rsid w:val="002A5D22"/>
    <w:rsid w:val="002A5DDA"/>
    <w:rsid w:val="002A6333"/>
    <w:rsid w:val="002A68DF"/>
    <w:rsid w:val="002A6956"/>
    <w:rsid w:val="002A6E0A"/>
    <w:rsid w:val="002A75A6"/>
    <w:rsid w:val="002A7660"/>
    <w:rsid w:val="002A76EF"/>
    <w:rsid w:val="002A76F1"/>
    <w:rsid w:val="002A7B78"/>
    <w:rsid w:val="002A7C67"/>
    <w:rsid w:val="002A7E8E"/>
    <w:rsid w:val="002B00FD"/>
    <w:rsid w:val="002B0237"/>
    <w:rsid w:val="002B053D"/>
    <w:rsid w:val="002B06AE"/>
    <w:rsid w:val="002B07FD"/>
    <w:rsid w:val="002B0858"/>
    <w:rsid w:val="002B092B"/>
    <w:rsid w:val="002B0946"/>
    <w:rsid w:val="002B0DED"/>
    <w:rsid w:val="002B0EF6"/>
    <w:rsid w:val="002B0FB1"/>
    <w:rsid w:val="002B101C"/>
    <w:rsid w:val="002B1245"/>
    <w:rsid w:val="002B1799"/>
    <w:rsid w:val="002B1842"/>
    <w:rsid w:val="002B184C"/>
    <w:rsid w:val="002B1876"/>
    <w:rsid w:val="002B19A2"/>
    <w:rsid w:val="002B19C8"/>
    <w:rsid w:val="002B1D26"/>
    <w:rsid w:val="002B1E05"/>
    <w:rsid w:val="002B222A"/>
    <w:rsid w:val="002B263B"/>
    <w:rsid w:val="002B26AB"/>
    <w:rsid w:val="002B26FC"/>
    <w:rsid w:val="002B27C0"/>
    <w:rsid w:val="002B28A6"/>
    <w:rsid w:val="002B2999"/>
    <w:rsid w:val="002B2A2C"/>
    <w:rsid w:val="002B2AD5"/>
    <w:rsid w:val="002B2CF7"/>
    <w:rsid w:val="002B2E5B"/>
    <w:rsid w:val="002B3180"/>
    <w:rsid w:val="002B35CF"/>
    <w:rsid w:val="002B3689"/>
    <w:rsid w:val="002B36E3"/>
    <w:rsid w:val="002B378F"/>
    <w:rsid w:val="002B381A"/>
    <w:rsid w:val="002B385A"/>
    <w:rsid w:val="002B398B"/>
    <w:rsid w:val="002B3A35"/>
    <w:rsid w:val="002B3C02"/>
    <w:rsid w:val="002B3C8D"/>
    <w:rsid w:val="002B3DA3"/>
    <w:rsid w:val="002B3E0C"/>
    <w:rsid w:val="002B3E7E"/>
    <w:rsid w:val="002B3F31"/>
    <w:rsid w:val="002B4007"/>
    <w:rsid w:val="002B4339"/>
    <w:rsid w:val="002B461A"/>
    <w:rsid w:val="002B49A5"/>
    <w:rsid w:val="002B4A5A"/>
    <w:rsid w:val="002B4BC1"/>
    <w:rsid w:val="002B4E05"/>
    <w:rsid w:val="002B4E7C"/>
    <w:rsid w:val="002B4FCC"/>
    <w:rsid w:val="002B523C"/>
    <w:rsid w:val="002B525F"/>
    <w:rsid w:val="002B52AE"/>
    <w:rsid w:val="002B52B6"/>
    <w:rsid w:val="002B54EB"/>
    <w:rsid w:val="002B5833"/>
    <w:rsid w:val="002B586B"/>
    <w:rsid w:val="002B5976"/>
    <w:rsid w:val="002B5A7C"/>
    <w:rsid w:val="002B5B34"/>
    <w:rsid w:val="002B5CC5"/>
    <w:rsid w:val="002B5D52"/>
    <w:rsid w:val="002B5DBF"/>
    <w:rsid w:val="002B5F5C"/>
    <w:rsid w:val="002B602A"/>
    <w:rsid w:val="002B6123"/>
    <w:rsid w:val="002B6256"/>
    <w:rsid w:val="002B6332"/>
    <w:rsid w:val="002B673D"/>
    <w:rsid w:val="002B68BC"/>
    <w:rsid w:val="002B6AE0"/>
    <w:rsid w:val="002B6B00"/>
    <w:rsid w:val="002B6B76"/>
    <w:rsid w:val="002B6CE6"/>
    <w:rsid w:val="002B6E87"/>
    <w:rsid w:val="002B6FD2"/>
    <w:rsid w:val="002B7071"/>
    <w:rsid w:val="002B71A0"/>
    <w:rsid w:val="002B7207"/>
    <w:rsid w:val="002B73C7"/>
    <w:rsid w:val="002B73F8"/>
    <w:rsid w:val="002B7408"/>
    <w:rsid w:val="002B7430"/>
    <w:rsid w:val="002B7933"/>
    <w:rsid w:val="002B7C36"/>
    <w:rsid w:val="002B7CFD"/>
    <w:rsid w:val="002B7E85"/>
    <w:rsid w:val="002C006D"/>
    <w:rsid w:val="002C0501"/>
    <w:rsid w:val="002C0510"/>
    <w:rsid w:val="002C0530"/>
    <w:rsid w:val="002C0692"/>
    <w:rsid w:val="002C0AFB"/>
    <w:rsid w:val="002C0B0B"/>
    <w:rsid w:val="002C0B56"/>
    <w:rsid w:val="002C0B86"/>
    <w:rsid w:val="002C0F1B"/>
    <w:rsid w:val="002C0F51"/>
    <w:rsid w:val="002C0FA6"/>
    <w:rsid w:val="002C1211"/>
    <w:rsid w:val="002C14EF"/>
    <w:rsid w:val="002C14FC"/>
    <w:rsid w:val="002C1746"/>
    <w:rsid w:val="002C1F42"/>
    <w:rsid w:val="002C205F"/>
    <w:rsid w:val="002C2089"/>
    <w:rsid w:val="002C210F"/>
    <w:rsid w:val="002C240C"/>
    <w:rsid w:val="002C24BF"/>
    <w:rsid w:val="002C26D1"/>
    <w:rsid w:val="002C2A0E"/>
    <w:rsid w:val="002C2AD9"/>
    <w:rsid w:val="002C2B9F"/>
    <w:rsid w:val="002C2C92"/>
    <w:rsid w:val="002C2E03"/>
    <w:rsid w:val="002C2F77"/>
    <w:rsid w:val="002C3264"/>
    <w:rsid w:val="002C3C09"/>
    <w:rsid w:val="002C3E8B"/>
    <w:rsid w:val="002C42C9"/>
    <w:rsid w:val="002C443B"/>
    <w:rsid w:val="002C45FB"/>
    <w:rsid w:val="002C45FF"/>
    <w:rsid w:val="002C4601"/>
    <w:rsid w:val="002C462B"/>
    <w:rsid w:val="002C4948"/>
    <w:rsid w:val="002C4982"/>
    <w:rsid w:val="002C49B9"/>
    <w:rsid w:val="002C4B55"/>
    <w:rsid w:val="002C4B59"/>
    <w:rsid w:val="002C5056"/>
    <w:rsid w:val="002C5074"/>
    <w:rsid w:val="002C5190"/>
    <w:rsid w:val="002C5208"/>
    <w:rsid w:val="002C5295"/>
    <w:rsid w:val="002C52DF"/>
    <w:rsid w:val="002C53D9"/>
    <w:rsid w:val="002C5409"/>
    <w:rsid w:val="002C5416"/>
    <w:rsid w:val="002C5593"/>
    <w:rsid w:val="002C56C4"/>
    <w:rsid w:val="002C5790"/>
    <w:rsid w:val="002C57F7"/>
    <w:rsid w:val="002C5A3A"/>
    <w:rsid w:val="002C5A57"/>
    <w:rsid w:val="002C6015"/>
    <w:rsid w:val="002C608F"/>
    <w:rsid w:val="002C6147"/>
    <w:rsid w:val="002C6322"/>
    <w:rsid w:val="002C656A"/>
    <w:rsid w:val="002C65F9"/>
    <w:rsid w:val="002C6898"/>
    <w:rsid w:val="002C68A0"/>
    <w:rsid w:val="002C68EB"/>
    <w:rsid w:val="002C6ADA"/>
    <w:rsid w:val="002C6CA1"/>
    <w:rsid w:val="002C6CF7"/>
    <w:rsid w:val="002C711A"/>
    <w:rsid w:val="002C72EA"/>
    <w:rsid w:val="002C7304"/>
    <w:rsid w:val="002C7427"/>
    <w:rsid w:val="002C7616"/>
    <w:rsid w:val="002C763A"/>
    <w:rsid w:val="002C778C"/>
    <w:rsid w:val="002C7909"/>
    <w:rsid w:val="002C7ACA"/>
    <w:rsid w:val="002C7C25"/>
    <w:rsid w:val="002C7C78"/>
    <w:rsid w:val="002D01F0"/>
    <w:rsid w:val="002D051A"/>
    <w:rsid w:val="002D0696"/>
    <w:rsid w:val="002D070F"/>
    <w:rsid w:val="002D0733"/>
    <w:rsid w:val="002D075A"/>
    <w:rsid w:val="002D076B"/>
    <w:rsid w:val="002D089F"/>
    <w:rsid w:val="002D0961"/>
    <w:rsid w:val="002D0C81"/>
    <w:rsid w:val="002D0D37"/>
    <w:rsid w:val="002D0D73"/>
    <w:rsid w:val="002D0DEB"/>
    <w:rsid w:val="002D129E"/>
    <w:rsid w:val="002D12D5"/>
    <w:rsid w:val="002D133A"/>
    <w:rsid w:val="002D13D2"/>
    <w:rsid w:val="002D174C"/>
    <w:rsid w:val="002D1873"/>
    <w:rsid w:val="002D1ACC"/>
    <w:rsid w:val="002D1E7A"/>
    <w:rsid w:val="002D1E7C"/>
    <w:rsid w:val="002D1EC1"/>
    <w:rsid w:val="002D2094"/>
    <w:rsid w:val="002D224E"/>
    <w:rsid w:val="002D2272"/>
    <w:rsid w:val="002D233A"/>
    <w:rsid w:val="002D2541"/>
    <w:rsid w:val="002D2651"/>
    <w:rsid w:val="002D271D"/>
    <w:rsid w:val="002D29AC"/>
    <w:rsid w:val="002D2A27"/>
    <w:rsid w:val="002D2A9B"/>
    <w:rsid w:val="002D2D5F"/>
    <w:rsid w:val="002D2E78"/>
    <w:rsid w:val="002D2E96"/>
    <w:rsid w:val="002D2EAF"/>
    <w:rsid w:val="002D30DC"/>
    <w:rsid w:val="002D32D0"/>
    <w:rsid w:val="002D3347"/>
    <w:rsid w:val="002D33A1"/>
    <w:rsid w:val="002D3418"/>
    <w:rsid w:val="002D3577"/>
    <w:rsid w:val="002D35B0"/>
    <w:rsid w:val="002D3600"/>
    <w:rsid w:val="002D3883"/>
    <w:rsid w:val="002D3945"/>
    <w:rsid w:val="002D3AF1"/>
    <w:rsid w:val="002D3C87"/>
    <w:rsid w:val="002D3D2E"/>
    <w:rsid w:val="002D4050"/>
    <w:rsid w:val="002D40C3"/>
    <w:rsid w:val="002D412C"/>
    <w:rsid w:val="002D4254"/>
    <w:rsid w:val="002D42AC"/>
    <w:rsid w:val="002D44E3"/>
    <w:rsid w:val="002D4582"/>
    <w:rsid w:val="002D47A3"/>
    <w:rsid w:val="002D4846"/>
    <w:rsid w:val="002D4867"/>
    <w:rsid w:val="002D4912"/>
    <w:rsid w:val="002D4A51"/>
    <w:rsid w:val="002D4C27"/>
    <w:rsid w:val="002D4DF2"/>
    <w:rsid w:val="002D5087"/>
    <w:rsid w:val="002D51B2"/>
    <w:rsid w:val="002D52D1"/>
    <w:rsid w:val="002D5399"/>
    <w:rsid w:val="002D53CB"/>
    <w:rsid w:val="002D54D3"/>
    <w:rsid w:val="002D55C7"/>
    <w:rsid w:val="002D570D"/>
    <w:rsid w:val="002D5BAC"/>
    <w:rsid w:val="002D5CF8"/>
    <w:rsid w:val="002D5D2C"/>
    <w:rsid w:val="002D5E0A"/>
    <w:rsid w:val="002D5E5F"/>
    <w:rsid w:val="002D63FF"/>
    <w:rsid w:val="002D659C"/>
    <w:rsid w:val="002D66A6"/>
    <w:rsid w:val="002D6C30"/>
    <w:rsid w:val="002D6E01"/>
    <w:rsid w:val="002D6E51"/>
    <w:rsid w:val="002D6E98"/>
    <w:rsid w:val="002D6EBD"/>
    <w:rsid w:val="002D71C5"/>
    <w:rsid w:val="002D726C"/>
    <w:rsid w:val="002D7390"/>
    <w:rsid w:val="002D7469"/>
    <w:rsid w:val="002D75D9"/>
    <w:rsid w:val="002D79DA"/>
    <w:rsid w:val="002D7AA2"/>
    <w:rsid w:val="002D7B26"/>
    <w:rsid w:val="002D7B89"/>
    <w:rsid w:val="002D7E60"/>
    <w:rsid w:val="002D7F73"/>
    <w:rsid w:val="002E0063"/>
    <w:rsid w:val="002E0163"/>
    <w:rsid w:val="002E0306"/>
    <w:rsid w:val="002E0354"/>
    <w:rsid w:val="002E0417"/>
    <w:rsid w:val="002E0492"/>
    <w:rsid w:val="002E04AD"/>
    <w:rsid w:val="002E0575"/>
    <w:rsid w:val="002E05B4"/>
    <w:rsid w:val="002E075A"/>
    <w:rsid w:val="002E075F"/>
    <w:rsid w:val="002E09D8"/>
    <w:rsid w:val="002E0A7C"/>
    <w:rsid w:val="002E0AA3"/>
    <w:rsid w:val="002E0B83"/>
    <w:rsid w:val="002E0C0F"/>
    <w:rsid w:val="002E0E84"/>
    <w:rsid w:val="002E0FAC"/>
    <w:rsid w:val="002E13E4"/>
    <w:rsid w:val="002E1A0B"/>
    <w:rsid w:val="002E1B1C"/>
    <w:rsid w:val="002E1B5E"/>
    <w:rsid w:val="002E1BCF"/>
    <w:rsid w:val="002E1C21"/>
    <w:rsid w:val="002E1C22"/>
    <w:rsid w:val="002E1CE6"/>
    <w:rsid w:val="002E1DFA"/>
    <w:rsid w:val="002E1F6E"/>
    <w:rsid w:val="002E255C"/>
    <w:rsid w:val="002E2841"/>
    <w:rsid w:val="002E2B0F"/>
    <w:rsid w:val="002E2EEC"/>
    <w:rsid w:val="002E32A2"/>
    <w:rsid w:val="002E33A3"/>
    <w:rsid w:val="002E34C2"/>
    <w:rsid w:val="002E35D4"/>
    <w:rsid w:val="002E3633"/>
    <w:rsid w:val="002E36C1"/>
    <w:rsid w:val="002E38BC"/>
    <w:rsid w:val="002E3BE5"/>
    <w:rsid w:val="002E3C33"/>
    <w:rsid w:val="002E3CE0"/>
    <w:rsid w:val="002E3E76"/>
    <w:rsid w:val="002E4013"/>
    <w:rsid w:val="002E41AE"/>
    <w:rsid w:val="002E43C5"/>
    <w:rsid w:val="002E43E0"/>
    <w:rsid w:val="002E45E4"/>
    <w:rsid w:val="002E46D0"/>
    <w:rsid w:val="002E47B8"/>
    <w:rsid w:val="002E4826"/>
    <w:rsid w:val="002E49A3"/>
    <w:rsid w:val="002E4B9F"/>
    <w:rsid w:val="002E4DDC"/>
    <w:rsid w:val="002E4E15"/>
    <w:rsid w:val="002E4F5F"/>
    <w:rsid w:val="002E4F96"/>
    <w:rsid w:val="002E5199"/>
    <w:rsid w:val="002E5349"/>
    <w:rsid w:val="002E5598"/>
    <w:rsid w:val="002E559A"/>
    <w:rsid w:val="002E58E7"/>
    <w:rsid w:val="002E59CB"/>
    <w:rsid w:val="002E5B53"/>
    <w:rsid w:val="002E5BA7"/>
    <w:rsid w:val="002E5C12"/>
    <w:rsid w:val="002E5D04"/>
    <w:rsid w:val="002E5D12"/>
    <w:rsid w:val="002E5E1A"/>
    <w:rsid w:val="002E5F7E"/>
    <w:rsid w:val="002E606A"/>
    <w:rsid w:val="002E611D"/>
    <w:rsid w:val="002E6238"/>
    <w:rsid w:val="002E628D"/>
    <w:rsid w:val="002E6467"/>
    <w:rsid w:val="002E64D5"/>
    <w:rsid w:val="002E64DD"/>
    <w:rsid w:val="002E65C5"/>
    <w:rsid w:val="002E6668"/>
    <w:rsid w:val="002E66D4"/>
    <w:rsid w:val="002E68EA"/>
    <w:rsid w:val="002E6A79"/>
    <w:rsid w:val="002E6B09"/>
    <w:rsid w:val="002E6E24"/>
    <w:rsid w:val="002E70B1"/>
    <w:rsid w:val="002E7171"/>
    <w:rsid w:val="002E7887"/>
    <w:rsid w:val="002E78EE"/>
    <w:rsid w:val="002E7A5C"/>
    <w:rsid w:val="002E7BB7"/>
    <w:rsid w:val="002E7BE9"/>
    <w:rsid w:val="002E7C21"/>
    <w:rsid w:val="002E7EDF"/>
    <w:rsid w:val="002F000D"/>
    <w:rsid w:val="002F00A7"/>
    <w:rsid w:val="002F00CA"/>
    <w:rsid w:val="002F0230"/>
    <w:rsid w:val="002F0614"/>
    <w:rsid w:val="002F079F"/>
    <w:rsid w:val="002F095F"/>
    <w:rsid w:val="002F0997"/>
    <w:rsid w:val="002F09C7"/>
    <w:rsid w:val="002F0CAA"/>
    <w:rsid w:val="002F0D95"/>
    <w:rsid w:val="002F0E90"/>
    <w:rsid w:val="002F0EA0"/>
    <w:rsid w:val="002F0FA4"/>
    <w:rsid w:val="002F11F9"/>
    <w:rsid w:val="002F1439"/>
    <w:rsid w:val="002F149C"/>
    <w:rsid w:val="002F1788"/>
    <w:rsid w:val="002F18E2"/>
    <w:rsid w:val="002F1B55"/>
    <w:rsid w:val="002F1C74"/>
    <w:rsid w:val="002F1C86"/>
    <w:rsid w:val="002F1D55"/>
    <w:rsid w:val="002F1DD1"/>
    <w:rsid w:val="002F1E70"/>
    <w:rsid w:val="002F1FB0"/>
    <w:rsid w:val="002F2325"/>
    <w:rsid w:val="002F23EF"/>
    <w:rsid w:val="002F274A"/>
    <w:rsid w:val="002F2910"/>
    <w:rsid w:val="002F299E"/>
    <w:rsid w:val="002F29C8"/>
    <w:rsid w:val="002F2ABD"/>
    <w:rsid w:val="002F2AF9"/>
    <w:rsid w:val="002F2C65"/>
    <w:rsid w:val="002F2C85"/>
    <w:rsid w:val="002F2E3E"/>
    <w:rsid w:val="002F2E95"/>
    <w:rsid w:val="002F2FAF"/>
    <w:rsid w:val="002F306E"/>
    <w:rsid w:val="002F319E"/>
    <w:rsid w:val="002F320C"/>
    <w:rsid w:val="002F3261"/>
    <w:rsid w:val="002F32D1"/>
    <w:rsid w:val="002F336C"/>
    <w:rsid w:val="002F34E4"/>
    <w:rsid w:val="002F356C"/>
    <w:rsid w:val="002F359B"/>
    <w:rsid w:val="002F35F2"/>
    <w:rsid w:val="002F3706"/>
    <w:rsid w:val="002F3737"/>
    <w:rsid w:val="002F373A"/>
    <w:rsid w:val="002F3761"/>
    <w:rsid w:val="002F3823"/>
    <w:rsid w:val="002F38CF"/>
    <w:rsid w:val="002F3984"/>
    <w:rsid w:val="002F3A16"/>
    <w:rsid w:val="002F3C3A"/>
    <w:rsid w:val="002F3D50"/>
    <w:rsid w:val="002F3EEA"/>
    <w:rsid w:val="002F3EF0"/>
    <w:rsid w:val="002F40DF"/>
    <w:rsid w:val="002F417A"/>
    <w:rsid w:val="002F41AD"/>
    <w:rsid w:val="002F4234"/>
    <w:rsid w:val="002F43DD"/>
    <w:rsid w:val="002F447B"/>
    <w:rsid w:val="002F45DA"/>
    <w:rsid w:val="002F4620"/>
    <w:rsid w:val="002F46A3"/>
    <w:rsid w:val="002F4816"/>
    <w:rsid w:val="002F484D"/>
    <w:rsid w:val="002F4A7A"/>
    <w:rsid w:val="002F4AF2"/>
    <w:rsid w:val="002F4CAE"/>
    <w:rsid w:val="002F4D68"/>
    <w:rsid w:val="002F5362"/>
    <w:rsid w:val="002F539C"/>
    <w:rsid w:val="002F5A22"/>
    <w:rsid w:val="002F5A90"/>
    <w:rsid w:val="002F5AB8"/>
    <w:rsid w:val="002F5AE6"/>
    <w:rsid w:val="002F5E5B"/>
    <w:rsid w:val="002F5F22"/>
    <w:rsid w:val="002F6422"/>
    <w:rsid w:val="002F6617"/>
    <w:rsid w:val="002F66C6"/>
    <w:rsid w:val="002F6768"/>
    <w:rsid w:val="002F6902"/>
    <w:rsid w:val="002F6A02"/>
    <w:rsid w:val="002F6AF8"/>
    <w:rsid w:val="002F6BE8"/>
    <w:rsid w:val="002F6C7F"/>
    <w:rsid w:val="002F6D97"/>
    <w:rsid w:val="002F709C"/>
    <w:rsid w:val="002F718F"/>
    <w:rsid w:val="002F7228"/>
    <w:rsid w:val="002F754E"/>
    <w:rsid w:val="002F7A69"/>
    <w:rsid w:val="002F7ABF"/>
    <w:rsid w:val="002F7ADB"/>
    <w:rsid w:val="002F7EDE"/>
    <w:rsid w:val="002F7F16"/>
    <w:rsid w:val="003000A5"/>
    <w:rsid w:val="00300102"/>
    <w:rsid w:val="00300332"/>
    <w:rsid w:val="00300416"/>
    <w:rsid w:val="0030041D"/>
    <w:rsid w:val="00300A71"/>
    <w:rsid w:val="00300B14"/>
    <w:rsid w:val="00300B52"/>
    <w:rsid w:val="00300C11"/>
    <w:rsid w:val="00300D02"/>
    <w:rsid w:val="00300D19"/>
    <w:rsid w:val="00300D53"/>
    <w:rsid w:val="00300DE9"/>
    <w:rsid w:val="00300DF2"/>
    <w:rsid w:val="00300EF8"/>
    <w:rsid w:val="00300F38"/>
    <w:rsid w:val="00300F66"/>
    <w:rsid w:val="00300FD0"/>
    <w:rsid w:val="003010B0"/>
    <w:rsid w:val="003011F1"/>
    <w:rsid w:val="00301587"/>
    <w:rsid w:val="00301590"/>
    <w:rsid w:val="00301821"/>
    <w:rsid w:val="003018DF"/>
    <w:rsid w:val="00301965"/>
    <w:rsid w:val="00301B5C"/>
    <w:rsid w:val="00301CD1"/>
    <w:rsid w:val="00302135"/>
    <w:rsid w:val="0030228A"/>
    <w:rsid w:val="00302480"/>
    <w:rsid w:val="003025B8"/>
    <w:rsid w:val="00302758"/>
    <w:rsid w:val="00302A5F"/>
    <w:rsid w:val="00302B72"/>
    <w:rsid w:val="00302BCF"/>
    <w:rsid w:val="00302E3B"/>
    <w:rsid w:val="00302E40"/>
    <w:rsid w:val="00302F86"/>
    <w:rsid w:val="003030A7"/>
    <w:rsid w:val="0030320F"/>
    <w:rsid w:val="0030383C"/>
    <w:rsid w:val="0030383D"/>
    <w:rsid w:val="00303987"/>
    <w:rsid w:val="00303B64"/>
    <w:rsid w:val="00303D2C"/>
    <w:rsid w:val="00303DEC"/>
    <w:rsid w:val="00304226"/>
    <w:rsid w:val="0030431A"/>
    <w:rsid w:val="00304826"/>
    <w:rsid w:val="0030486C"/>
    <w:rsid w:val="00304C8C"/>
    <w:rsid w:val="00304C9A"/>
    <w:rsid w:val="00304C9C"/>
    <w:rsid w:val="00304DEE"/>
    <w:rsid w:val="00304E49"/>
    <w:rsid w:val="0030506B"/>
    <w:rsid w:val="00305091"/>
    <w:rsid w:val="003050A7"/>
    <w:rsid w:val="003052FD"/>
    <w:rsid w:val="0030547E"/>
    <w:rsid w:val="00305650"/>
    <w:rsid w:val="00305682"/>
    <w:rsid w:val="00305AE0"/>
    <w:rsid w:val="00305BD8"/>
    <w:rsid w:val="00305CFC"/>
    <w:rsid w:val="00305F79"/>
    <w:rsid w:val="00305FC6"/>
    <w:rsid w:val="00306069"/>
    <w:rsid w:val="003060F7"/>
    <w:rsid w:val="0030622D"/>
    <w:rsid w:val="003062AB"/>
    <w:rsid w:val="00306372"/>
    <w:rsid w:val="003065C6"/>
    <w:rsid w:val="003067FB"/>
    <w:rsid w:val="00306A3C"/>
    <w:rsid w:val="00306D92"/>
    <w:rsid w:val="00307015"/>
    <w:rsid w:val="0030715F"/>
    <w:rsid w:val="003074E3"/>
    <w:rsid w:val="00307547"/>
    <w:rsid w:val="00307660"/>
    <w:rsid w:val="00307773"/>
    <w:rsid w:val="00307A6B"/>
    <w:rsid w:val="00307AEC"/>
    <w:rsid w:val="00307CE2"/>
    <w:rsid w:val="00307D25"/>
    <w:rsid w:val="0031006F"/>
    <w:rsid w:val="00310177"/>
    <w:rsid w:val="00310454"/>
    <w:rsid w:val="00310470"/>
    <w:rsid w:val="003104F8"/>
    <w:rsid w:val="003105E5"/>
    <w:rsid w:val="0031060F"/>
    <w:rsid w:val="00310836"/>
    <w:rsid w:val="00310E06"/>
    <w:rsid w:val="00310E43"/>
    <w:rsid w:val="00310E8F"/>
    <w:rsid w:val="00310ED6"/>
    <w:rsid w:val="00310F90"/>
    <w:rsid w:val="0031135E"/>
    <w:rsid w:val="0031138F"/>
    <w:rsid w:val="003113A2"/>
    <w:rsid w:val="00311453"/>
    <w:rsid w:val="003114C0"/>
    <w:rsid w:val="003116ED"/>
    <w:rsid w:val="00311745"/>
    <w:rsid w:val="0031198A"/>
    <w:rsid w:val="00311B5B"/>
    <w:rsid w:val="00311B61"/>
    <w:rsid w:val="00311C94"/>
    <w:rsid w:val="00312249"/>
    <w:rsid w:val="00312272"/>
    <w:rsid w:val="003122C4"/>
    <w:rsid w:val="0031230A"/>
    <w:rsid w:val="003124B4"/>
    <w:rsid w:val="00312683"/>
    <w:rsid w:val="00312708"/>
    <w:rsid w:val="003127C6"/>
    <w:rsid w:val="0031293B"/>
    <w:rsid w:val="003129DC"/>
    <w:rsid w:val="00312E44"/>
    <w:rsid w:val="003132E5"/>
    <w:rsid w:val="0031332B"/>
    <w:rsid w:val="003133C2"/>
    <w:rsid w:val="003134B8"/>
    <w:rsid w:val="00313638"/>
    <w:rsid w:val="00313719"/>
    <w:rsid w:val="00313871"/>
    <w:rsid w:val="0031389D"/>
    <w:rsid w:val="003138F5"/>
    <w:rsid w:val="00313A5A"/>
    <w:rsid w:val="00313B3C"/>
    <w:rsid w:val="00313B7E"/>
    <w:rsid w:val="00313C43"/>
    <w:rsid w:val="00313CE7"/>
    <w:rsid w:val="00313F3F"/>
    <w:rsid w:val="00314011"/>
    <w:rsid w:val="003140A7"/>
    <w:rsid w:val="0031424F"/>
    <w:rsid w:val="00314369"/>
    <w:rsid w:val="00314773"/>
    <w:rsid w:val="00314DE8"/>
    <w:rsid w:val="003150A6"/>
    <w:rsid w:val="003150DF"/>
    <w:rsid w:val="00315505"/>
    <w:rsid w:val="003155AE"/>
    <w:rsid w:val="003155C7"/>
    <w:rsid w:val="00315722"/>
    <w:rsid w:val="0031587C"/>
    <w:rsid w:val="00315A7F"/>
    <w:rsid w:val="00315C20"/>
    <w:rsid w:val="00315FFB"/>
    <w:rsid w:val="00316192"/>
    <w:rsid w:val="0031619A"/>
    <w:rsid w:val="003162C6"/>
    <w:rsid w:val="0031646C"/>
    <w:rsid w:val="003165E6"/>
    <w:rsid w:val="0031664A"/>
    <w:rsid w:val="003166EE"/>
    <w:rsid w:val="00316A40"/>
    <w:rsid w:val="00316B56"/>
    <w:rsid w:val="00316C93"/>
    <w:rsid w:val="00316ED8"/>
    <w:rsid w:val="00316FCC"/>
    <w:rsid w:val="003170EC"/>
    <w:rsid w:val="00317495"/>
    <w:rsid w:val="00317670"/>
    <w:rsid w:val="0031771E"/>
    <w:rsid w:val="00317BAD"/>
    <w:rsid w:val="00317BE8"/>
    <w:rsid w:val="00317C75"/>
    <w:rsid w:val="00317CED"/>
    <w:rsid w:val="00317D15"/>
    <w:rsid w:val="00317FD3"/>
    <w:rsid w:val="00317FDF"/>
    <w:rsid w:val="0032012F"/>
    <w:rsid w:val="003201F3"/>
    <w:rsid w:val="00320247"/>
    <w:rsid w:val="00320288"/>
    <w:rsid w:val="00320419"/>
    <w:rsid w:val="003207E4"/>
    <w:rsid w:val="00320A30"/>
    <w:rsid w:val="00320B8B"/>
    <w:rsid w:val="00320C87"/>
    <w:rsid w:val="00320F22"/>
    <w:rsid w:val="003210EF"/>
    <w:rsid w:val="0032131E"/>
    <w:rsid w:val="0032134C"/>
    <w:rsid w:val="0032146F"/>
    <w:rsid w:val="00321509"/>
    <w:rsid w:val="003215B5"/>
    <w:rsid w:val="0032187C"/>
    <w:rsid w:val="00321A8A"/>
    <w:rsid w:val="00321B1F"/>
    <w:rsid w:val="00321D25"/>
    <w:rsid w:val="00321DA5"/>
    <w:rsid w:val="00321DD3"/>
    <w:rsid w:val="003221CF"/>
    <w:rsid w:val="00322251"/>
    <w:rsid w:val="0032230E"/>
    <w:rsid w:val="003225BA"/>
    <w:rsid w:val="00322858"/>
    <w:rsid w:val="003228C2"/>
    <w:rsid w:val="003228F3"/>
    <w:rsid w:val="00322974"/>
    <w:rsid w:val="00322A39"/>
    <w:rsid w:val="00322CF4"/>
    <w:rsid w:val="00322D7B"/>
    <w:rsid w:val="00322E94"/>
    <w:rsid w:val="0032326D"/>
    <w:rsid w:val="00323281"/>
    <w:rsid w:val="003233CB"/>
    <w:rsid w:val="003233ED"/>
    <w:rsid w:val="00323441"/>
    <w:rsid w:val="00323A66"/>
    <w:rsid w:val="00323BBF"/>
    <w:rsid w:val="00323CE4"/>
    <w:rsid w:val="00323FF7"/>
    <w:rsid w:val="003240F0"/>
    <w:rsid w:val="003240FA"/>
    <w:rsid w:val="0032465C"/>
    <w:rsid w:val="0032492F"/>
    <w:rsid w:val="003249BD"/>
    <w:rsid w:val="00324D14"/>
    <w:rsid w:val="00324D9F"/>
    <w:rsid w:val="00325180"/>
    <w:rsid w:val="00325270"/>
    <w:rsid w:val="003253EE"/>
    <w:rsid w:val="00325468"/>
    <w:rsid w:val="003254DB"/>
    <w:rsid w:val="00325717"/>
    <w:rsid w:val="003259EA"/>
    <w:rsid w:val="00325BF6"/>
    <w:rsid w:val="00325E28"/>
    <w:rsid w:val="00325E56"/>
    <w:rsid w:val="00325F52"/>
    <w:rsid w:val="00325F97"/>
    <w:rsid w:val="00325FF9"/>
    <w:rsid w:val="00325FFD"/>
    <w:rsid w:val="003263F9"/>
    <w:rsid w:val="0032659F"/>
    <w:rsid w:val="003267D3"/>
    <w:rsid w:val="00326915"/>
    <w:rsid w:val="00326A47"/>
    <w:rsid w:val="00326B76"/>
    <w:rsid w:val="00326BFF"/>
    <w:rsid w:val="00326C4C"/>
    <w:rsid w:val="00326CDB"/>
    <w:rsid w:val="00327440"/>
    <w:rsid w:val="00327650"/>
    <w:rsid w:val="0032788B"/>
    <w:rsid w:val="00327898"/>
    <w:rsid w:val="00327948"/>
    <w:rsid w:val="00327982"/>
    <w:rsid w:val="003279CB"/>
    <w:rsid w:val="00327C68"/>
    <w:rsid w:val="00327DBA"/>
    <w:rsid w:val="00327ED5"/>
    <w:rsid w:val="00327F6C"/>
    <w:rsid w:val="00327F86"/>
    <w:rsid w:val="0033000F"/>
    <w:rsid w:val="00330393"/>
    <w:rsid w:val="0033052D"/>
    <w:rsid w:val="00330971"/>
    <w:rsid w:val="00330990"/>
    <w:rsid w:val="00330AD6"/>
    <w:rsid w:val="00330B03"/>
    <w:rsid w:val="00330C37"/>
    <w:rsid w:val="003317F6"/>
    <w:rsid w:val="0033185A"/>
    <w:rsid w:val="00331911"/>
    <w:rsid w:val="003319B9"/>
    <w:rsid w:val="00331D24"/>
    <w:rsid w:val="00331D4D"/>
    <w:rsid w:val="00332011"/>
    <w:rsid w:val="00332179"/>
    <w:rsid w:val="00332353"/>
    <w:rsid w:val="00332388"/>
    <w:rsid w:val="003323AA"/>
    <w:rsid w:val="00332518"/>
    <w:rsid w:val="003327A0"/>
    <w:rsid w:val="00332925"/>
    <w:rsid w:val="00332A45"/>
    <w:rsid w:val="00332A50"/>
    <w:rsid w:val="00332AD4"/>
    <w:rsid w:val="00332BA5"/>
    <w:rsid w:val="00332BED"/>
    <w:rsid w:val="00332E3F"/>
    <w:rsid w:val="00332EBD"/>
    <w:rsid w:val="003332ED"/>
    <w:rsid w:val="00333336"/>
    <w:rsid w:val="0033334B"/>
    <w:rsid w:val="00333498"/>
    <w:rsid w:val="00333550"/>
    <w:rsid w:val="0033362E"/>
    <w:rsid w:val="00333677"/>
    <w:rsid w:val="003336B5"/>
    <w:rsid w:val="00333AA6"/>
    <w:rsid w:val="00333B28"/>
    <w:rsid w:val="00333CE7"/>
    <w:rsid w:val="00333DEC"/>
    <w:rsid w:val="00333EF1"/>
    <w:rsid w:val="00334323"/>
    <w:rsid w:val="0033436D"/>
    <w:rsid w:val="0033490E"/>
    <w:rsid w:val="00334939"/>
    <w:rsid w:val="00334E06"/>
    <w:rsid w:val="00334E94"/>
    <w:rsid w:val="0033501E"/>
    <w:rsid w:val="00335048"/>
    <w:rsid w:val="003352B7"/>
    <w:rsid w:val="00335494"/>
    <w:rsid w:val="003354A0"/>
    <w:rsid w:val="003354D6"/>
    <w:rsid w:val="003359B3"/>
    <w:rsid w:val="003359DA"/>
    <w:rsid w:val="003359F7"/>
    <w:rsid w:val="00335A19"/>
    <w:rsid w:val="00335B88"/>
    <w:rsid w:val="00335DB0"/>
    <w:rsid w:val="00335F8F"/>
    <w:rsid w:val="0033626E"/>
    <w:rsid w:val="003366BF"/>
    <w:rsid w:val="003368CC"/>
    <w:rsid w:val="003368DC"/>
    <w:rsid w:val="00336A89"/>
    <w:rsid w:val="00336D62"/>
    <w:rsid w:val="00336E69"/>
    <w:rsid w:val="00336EAA"/>
    <w:rsid w:val="00336F21"/>
    <w:rsid w:val="00336FBE"/>
    <w:rsid w:val="0033701D"/>
    <w:rsid w:val="00337502"/>
    <w:rsid w:val="00337799"/>
    <w:rsid w:val="00337B2F"/>
    <w:rsid w:val="00337B5F"/>
    <w:rsid w:val="00337C5B"/>
    <w:rsid w:val="00337CFA"/>
    <w:rsid w:val="00337D89"/>
    <w:rsid w:val="00337E2C"/>
    <w:rsid w:val="00337EAC"/>
    <w:rsid w:val="003401B0"/>
    <w:rsid w:val="0034047D"/>
    <w:rsid w:val="0034052A"/>
    <w:rsid w:val="003405C0"/>
    <w:rsid w:val="003405D0"/>
    <w:rsid w:val="003405FB"/>
    <w:rsid w:val="00340642"/>
    <w:rsid w:val="003407B9"/>
    <w:rsid w:val="0034099E"/>
    <w:rsid w:val="003409BD"/>
    <w:rsid w:val="00340A6B"/>
    <w:rsid w:val="00340C43"/>
    <w:rsid w:val="003412BB"/>
    <w:rsid w:val="003414D9"/>
    <w:rsid w:val="00341549"/>
    <w:rsid w:val="003415DE"/>
    <w:rsid w:val="00341669"/>
    <w:rsid w:val="00341974"/>
    <w:rsid w:val="00341B97"/>
    <w:rsid w:val="00341D27"/>
    <w:rsid w:val="00341F86"/>
    <w:rsid w:val="00342290"/>
    <w:rsid w:val="00342312"/>
    <w:rsid w:val="0034238D"/>
    <w:rsid w:val="0034240F"/>
    <w:rsid w:val="0034245C"/>
    <w:rsid w:val="003424E8"/>
    <w:rsid w:val="00342620"/>
    <w:rsid w:val="003426A1"/>
    <w:rsid w:val="00342733"/>
    <w:rsid w:val="00342849"/>
    <w:rsid w:val="003429F6"/>
    <w:rsid w:val="00342A90"/>
    <w:rsid w:val="00342BF2"/>
    <w:rsid w:val="00342C0C"/>
    <w:rsid w:val="00342E4A"/>
    <w:rsid w:val="00342EB1"/>
    <w:rsid w:val="00343019"/>
    <w:rsid w:val="0034301D"/>
    <w:rsid w:val="00343041"/>
    <w:rsid w:val="003436BF"/>
    <w:rsid w:val="0034370B"/>
    <w:rsid w:val="003437B1"/>
    <w:rsid w:val="00343994"/>
    <w:rsid w:val="003439C3"/>
    <w:rsid w:val="00343A35"/>
    <w:rsid w:val="00343A6E"/>
    <w:rsid w:val="00343AE4"/>
    <w:rsid w:val="00343C6D"/>
    <w:rsid w:val="00343C8E"/>
    <w:rsid w:val="00343E57"/>
    <w:rsid w:val="003440B0"/>
    <w:rsid w:val="0034417C"/>
    <w:rsid w:val="00344441"/>
    <w:rsid w:val="0034463E"/>
    <w:rsid w:val="00344728"/>
    <w:rsid w:val="00344773"/>
    <w:rsid w:val="0034490B"/>
    <w:rsid w:val="0034498A"/>
    <w:rsid w:val="00344DA2"/>
    <w:rsid w:val="00344F40"/>
    <w:rsid w:val="00345066"/>
    <w:rsid w:val="00345099"/>
    <w:rsid w:val="003450DE"/>
    <w:rsid w:val="003453D3"/>
    <w:rsid w:val="003456AC"/>
    <w:rsid w:val="00345761"/>
    <w:rsid w:val="00345818"/>
    <w:rsid w:val="0034590F"/>
    <w:rsid w:val="00345927"/>
    <w:rsid w:val="00345ABA"/>
    <w:rsid w:val="00345CAF"/>
    <w:rsid w:val="00345DAD"/>
    <w:rsid w:val="00345F6F"/>
    <w:rsid w:val="003461B8"/>
    <w:rsid w:val="00346580"/>
    <w:rsid w:val="00346669"/>
    <w:rsid w:val="003467A1"/>
    <w:rsid w:val="00347198"/>
    <w:rsid w:val="003471C1"/>
    <w:rsid w:val="003472A5"/>
    <w:rsid w:val="0034754B"/>
    <w:rsid w:val="00347574"/>
    <w:rsid w:val="003477AF"/>
    <w:rsid w:val="003478B3"/>
    <w:rsid w:val="003478E4"/>
    <w:rsid w:val="00347CC8"/>
    <w:rsid w:val="00347E11"/>
    <w:rsid w:val="00347F2A"/>
    <w:rsid w:val="003500C5"/>
    <w:rsid w:val="003501D2"/>
    <w:rsid w:val="003501DD"/>
    <w:rsid w:val="003501F7"/>
    <w:rsid w:val="003502F3"/>
    <w:rsid w:val="00350584"/>
    <w:rsid w:val="003509C8"/>
    <w:rsid w:val="00350ACF"/>
    <w:rsid w:val="00350CA5"/>
    <w:rsid w:val="00350DD6"/>
    <w:rsid w:val="003511F4"/>
    <w:rsid w:val="003513E4"/>
    <w:rsid w:val="003516E7"/>
    <w:rsid w:val="00351857"/>
    <w:rsid w:val="003518F7"/>
    <w:rsid w:val="00351A80"/>
    <w:rsid w:val="00352156"/>
    <w:rsid w:val="00352167"/>
    <w:rsid w:val="0035258C"/>
    <w:rsid w:val="00352799"/>
    <w:rsid w:val="00352806"/>
    <w:rsid w:val="00352A3C"/>
    <w:rsid w:val="00352F05"/>
    <w:rsid w:val="00353066"/>
    <w:rsid w:val="003531F7"/>
    <w:rsid w:val="0035329A"/>
    <w:rsid w:val="003537AE"/>
    <w:rsid w:val="003538DA"/>
    <w:rsid w:val="00353D40"/>
    <w:rsid w:val="00353F48"/>
    <w:rsid w:val="003544C2"/>
    <w:rsid w:val="003544D8"/>
    <w:rsid w:val="0035456C"/>
    <w:rsid w:val="003545E8"/>
    <w:rsid w:val="003545EE"/>
    <w:rsid w:val="0035473E"/>
    <w:rsid w:val="0035487B"/>
    <w:rsid w:val="00354A3C"/>
    <w:rsid w:val="00354B3E"/>
    <w:rsid w:val="00354C01"/>
    <w:rsid w:val="00354C03"/>
    <w:rsid w:val="00354C92"/>
    <w:rsid w:val="00354DCF"/>
    <w:rsid w:val="00354E8A"/>
    <w:rsid w:val="00354F55"/>
    <w:rsid w:val="00354F8A"/>
    <w:rsid w:val="00354FA9"/>
    <w:rsid w:val="00354FBC"/>
    <w:rsid w:val="00355011"/>
    <w:rsid w:val="00355055"/>
    <w:rsid w:val="003554FC"/>
    <w:rsid w:val="003555B5"/>
    <w:rsid w:val="00355671"/>
    <w:rsid w:val="00355739"/>
    <w:rsid w:val="00355770"/>
    <w:rsid w:val="003558C6"/>
    <w:rsid w:val="00355C17"/>
    <w:rsid w:val="00355D24"/>
    <w:rsid w:val="00355DEC"/>
    <w:rsid w:val="00355E21"/>
    <w:rsid w:val="00355FF6"/>
    <w:rsid w:val="00356391"/>
    <w:rsid w:val="00356611"/>
    <w:rsid w:val="00356753"/>
    <w:rsid w:val="003569CB"/>
    <w:rsid w:val="003569FB"/>
    <w:rsid w:val="00356A4A"/>
    <w:rsid w:val="00356B1F"/>
    <w:rsid w:val="00356C15"/>
    <w:rsid w:val="00356C2A"/>
    <w:rsid w:val="00356CC8"/>
    <w:rsid w:val="00357163"/>
    <w:rsid w:val="0035751E"/>
    <w:rsid w:val="00357577"/>
    <w:rsid w:val="003575AA"/>
    <w:rsid w:val="00357681"/>
    <w:rsid w:val="003578BB"/>
    <w:rsid w:val="00357B0C"/>
    <w:rsid w:val="00357BB1"/>
    <w:rsid w:val="00357BDC"/>
    <w:rsid w:val="00357DAC"/>
    <w:rsid w:val="00357E35"/>
    <w:rsid w:val="00357E65"/>
    <w:rsid w:val="003604FB"/>
    <w:rsid w:val="0036055C"/>
    <w:rsid w:val="003606D0"/>
    <w:rsid w:val="0036079F"/>
    <w:rsid w:val="00360810"/>
    <w:rsid w:val="00360818"/>
    <w:rsid w:val="00360ADB"/>
    <w:rsid w:val="00360C20"/>
    <w:rsid w:val="00360C40"/>
    <w:rsid w:val="003610E1"/>
    <w:rsid w:val="003611A9"/>
    <w:rsid w:val="00361482"/>
    <w:rsid w:val="00361722"/>
    <w:rsid w:val="00361861"/>
    <w:rsid w:val="00361921"/>
    <w:rsid w:val="003619D1"/>
    <w:rsid w:val="00361B10"/>
    <w:rsid w:val="00361DF6"/>
    <w:rsid w:val="00361EC1"/>
    <w:rsid w:val="00361FAB"/>
    <w:rsid w:val="00361FB2"/>
    <w:rsid w:val="00362053"/>
    <w:rsid w:val="00362453"/>
    <w:rsid w:val="003624A0"/>
    <w:rsid w:val="003625A2"/>
    <w:rsid w:val="003625A9"/>
    <w:rsid w:val="00362687"/>
    <w:rsid w:val="00362688"/>
    <w:rsid w:val="00362798"/>
    <w:rsid w:val="003627EC"/>
    <w:rsid w:val="00362846"/>
    <w:rsid w:val="003628EE"/>
    <w:rsid w:val="00362934"/>
    <w:rsid w:val="00362ACE"/>
    <w:rsid w:val="00362C47"/>
    <w:rsid w:val="00362CDA"/>
    <w:rsid w:val="00362EA1"/>
    <w:rsid w:val="00363255"/>
    <w:rsid w:val="0036369C"/>
    <w:rsid w:val="00363836"/>
    <w:rsid w:val="0036399F"/>
    <w:rsid w:val="003639DF"/>
    <w:rsid w:val="003639E5"/>
    <w:rsid w:val="00363CF6"/>
    <w:rsid w:val="00363D2C"/>
    <w:rsid w:val="00363DDD"/>
    <w:rsid w:val="003641B8"/>
    <w:rsid w:val="0036426C"/>
    <w:rsid w:val="0036444E"/>
    <w:rsid w:val="00364584"/>
    <w:rsid w:val="00364588"/>
    <w:rsid w:val="003647B3"/>
    <w:rsid w:val="00364A74"/>
    <w:rsid w:val="00364F34"/>
    <w:rsid w:val="003651DE"/>
    <w:rsid w:val="00365489"/>
    <w:rsid w:val="003654B2"/>
    <w:rsid w:val="00365664"/>
    <w:rsid w:val="003656AF"/>
    <w:rsid w:val="003656BB"/>
    <w:rsid w:val="00365712"/>
    <w:rsid w:val="00365882"/>
    <w:rsid w:val="003658E4"/>
    <w:rsid w:val="00365A08"/>
    <w:rsid w:val="00365BA7"/>
    <w:rsid w:val="00365BE4"/>
    <w:rsid w:val="00365D3F"/>
    <w:rsid w:val="00366210"/>
    <w:rsid w:val="00366674"/>
    <w:rsid w:val="0036668A"/>
    <w:rsid w:val="00366698"/>
    <w:rsid w:val="00366734"/>
    <w:rsid w:val="00366844"/>
    <w:rsid w:val="003668D4"/>
    <w:rsid w:val="00366906"/>
    <w:rsid w:val="00366AA5"/>
    <w:rsid w:val="00367051"/>
    <w:rsid w:val="00367139"/>
    <w:rsid w:val="00367163"/>
    <w:rsid w:val="00367196"/>
    <w:rsid w:val="003671BE"/>
    <w:rsid w:val="00367338"/>
    <w:rsid w:val="003673A6"/>
    <w:rsid w:val="00367587"/>
    <w:rsid w:val="00367936"/>
    <w:rsid w:val="003679AE"/>
    <w:rsid w:val="00367A66"/>
    <w:rsid w:val="00367B06"/>
    <w:rsid w:val="00367D86"/>
    <w:rsid w:val="00370193"/>
    <w:rsid w:val="0037059A"/>
    <w:rsid w:val="00370699"/>
    <w:rsid w:val="00370706"/>
    <w:rsid w:val="003707BA"/>
    <w:rsid w:val="00370B97"/>
    <w:rsid w:val="00370B9E"/>
    <w:rsid w:val="00370DA5"/>
    <w:rsid w:val="00370E3E"/>
    <w:rsid w:val="00370F30"/>
    <w:rsid w:val="003710F2"/>
    <w:rsid w:val="00371576"/>
    <w:rsid w:val="00371605"/>
    <w:rsid w:val="003719A5"/>
    <w:rsid w:val="003719A6"/>
    <w:rsid w:val="003719B9"/>
    <w:rsid w:val="00371AF6"/>
    <w:rsid w:val="00371B8A"/>
    <w:rsid w:val="00371C66"/>
    <w:rsid w:val="00371D9D"/>
    <w:rsid w:val="00371EDD"/>
    <w:rsid w:val="00372078"/>
    <w:rsid w:val="003721D1"/>
    <w:rsid w:val="0037223E"/>
    <w:rsid w:val="00372485"/>
    <w:rsid w:val="003726AB"/>
    <w:rsid w:val="003726FF"/>
    <w:rsid w:val="0037270D"/>
    <w:rsid w:val="00372A3E"/>
    <w:rsid w:val="00372BD6"/>
    <w:rsid w:val="00372F52"/>
    <w:rsid w:val="00373031"/>
    <w:rsid w:val="00373175"/>
    <w:rsid w:val="00373200"/>
    <w:rsid w:val="0037374F"/>
    <w:rsid w:val="00373828"/>
    <w:rsid w:val="003739F6"/>
    <w:rsid w:val="00373A1F"/>
    <w:rsid w:val="0037417B"/>
    <w:rsid w:val="00374425"/>
    <w:rsid w:val="00374787"/>
    <w:rsid w:val="00374984"/>
    <w:rsid w:val="00374999"/>
    <w:rsid w:val="00374AF4"/>
    <w:rsid w:val="00374D68"/>
    <w:rsid w:val="00375030"/>
    <w:rsid w:val="0037508E"/>
    <w:rsid w:val="00375092"/>
    <w:rsid w:val="0037555B"/>
    <w:rsid w:val="003756EC"/>
    <w:rsid w:val="003757AD"/>
    <w:rsid w:val="0037599F"/>
    <w:rsid w:val="003759A2"/>
    <w:rsid w:val="003759D2"/>
    <w:rsid w:val="00375AAE"/>
    <w:rsid w:val="00375C27"/>
    <w:rsid w:val="00375CAD"/>
    <w:rsid w:val="00375DC7"/>
    <w:rsid w:val="00375EF5"/>
    <w:rsid w:val="00376042"/>
    <w:rsid w:val="00376043"/>
    <w:rsid w:val="003761E1"/>
    <w:rsid w:val="0037620C"/>
    <w:rsid w:val="00376530"/>
    <w:rsid w:val="003767A5"/>
    <w:rsid w:val="003767C9"/>
    <w:rsid w:val="003768F1"/>
    <w:rsid w:val="00376CA2"/>
    <w:rsid w:val="00376DE6"/>
    <w:rsid w:val="00376E5B"/>
    <w:rsid w:val="00376ECA"/>
    <w:rsid w:val="00377182"/>
    <w:rsid w:val="0037733A"/>
    <w:rsid w:val="003774CC"/>
    <w:rsid w:val="00377758"/>
    <w:rsid w:val="00377773"/>
    <w:rsid w:val="0037780B"/>
    <w:rsid w:val="00377924"/>
    <w:rsid w:val="003779AA"/>
    <w:rsid w:val="003779D5"/>
    <w:rsid w:val="00377EEA"/>
    <w:rsid w:val="00380015"/>
    <w:rsid w:val="00380016"/>
    <w:rsid w:val="00380140"/>
    <w:rsid w:val="003801A5"/>
    <w:rsid w:val="003803BD"/>
    <w:rsid w:val="00380A31"/>
    <w:rsid w:val="00380A5C"/>
    <w:rsid w:val="00380B4F"/>
    <w:rsid w:val="00380B81"/>
    <w:rsid w:val="00380D7E"/>
    <w:rsid w:val="00380D94"/>
    <w:rsid w:val="00381168"/>
    <w:rsid w:val="003811B6"/>
    <w:rsid w:val="0038123A"/>
    <w:rsid w:val="00381304"/>
    <w:rsid w:val="003813A6"/>
    <w:rsid w:val="003814F2"/>
    <w:rsid w:val="00381509"/>
    <w:rsid w:val="0038191B"/>
    <w:rsid w:val="00381A3C"/>
    <w:rsid w:val="00381B6D"/>
    <w:rsid w:val="00381D15"/>
    <w:rsid w:val="00381E17"/>
    <w:rsid w:val="00381E2A"/>
    <w:rsid w:val="00381E3B"/>
    <w:rsid w:val="00381EF4"/>
    <w:rsid w:val="00382076"/>
    <w:rsid w:val="00382152"/>
    <w:rsid w:val="003824B8"/>
    <w:rsid w:val="0038261E"/>
    <w:rsid w:val="0038264D"/>
    <w:rsid w:val="0038266C"/>
    <w:rsid w:val="00382780"/>
    <w:rsid w:val="003829C0"/>
    <w:rsid w:val="00382A33"/>
    <w:rsid w:val="00382B11"/>
    <w:rsid w:val="00382B46"/>
    <w:rsid w:val="00382C50"/>
    <w:rsid w:val="00382C6A"/>
    <w:rsid w:val="00383721"/>
    <w:rsid w:val="00383998"/>
    <w:rsid w:val="00383C52"/>
    <w:rsid w:val="00383C59"/>
    <w:rsid w:val="00383D9B"/>
    <w:rsid w:val="00383DF2"/>
    <w:rsid w:val="00384002"/>
    <w:rsid w:val="00384063"/>
    <w:rsid w:val="003844B9"/>
    <w:rsid w:val="003847CD"/>
    <w:rsid w:val="0038482C"/>
    <w:rsid w:val="003848DD"/>
    <w:rsid w:val="00384A8B"/>
    <w:rsid w:val="00384CED"/>
    <w:rsid w:val="00384DB3"/>
    <w:rsid w:val="00384E1A"/>
    <w:rsid w:val="00384F0A"/>
    <w:rsid w:val="00384F1C"/>
    <w:rsid w:val="003851F6"/>
    <w:rsid w:val="00385205"/>
    <w:rsid w:val="00385254"/>
    <w:rsid w:val="003855F2"/>
    <w:rsid w:val="00385666"/>
    <w:rsid w:val="003856A9"/>
    <w:rsid w:val="0038575F"/>
    <w:rsid w:val="00385790"/>
    <w:rsid w:val="00385806"/>
    <w:rsid w:val="00385831"/>
    <w:rsid w:val="0038583F"/>
    <w:rsid w:val="0038589A"/>
    <w:rsid w:val="003858DB"/>
    <w:rsid w:val="00385ADE"/>
    <w:rsid w:val="00385E25"/>
    <w:rsid w:val="00385E68"/>
    <w:rsid w:val="00385F23"/>
    <w:rsid w:val="00386118"/>
    <w:rsid w:val="00386261"/>
    <w:rsid w:val="003863BC"/>
    <w:rsid w:val="0038646E"/>
    <w:rsid w:val="00386A2C"/>
    <w:rsid w:val="00386BA6"/>
    <w:rsid w:val="00386C7B"/>
    <w:rsid w:val="00386CB4"/>
    <w:rsid w:val="00386EB1"/>
    <w:rsid w:val="00386EE1"/>
    <w:rsid w:val="00386F60"/>
    <w:rsid w:val="0038706B"/>
    <w:rsid w:val="003870AB"/>
    <w:rsid w:val="00387110"/>
    <w:rsid w:val="00387119"/>
    <w:rsid w:val="0038720C"/>
    <w:rsid w:val="00387278"/>
    <w:rsid w:val="003872D5"/>
    <w:rsid w:val="00387438"/>
    <w:rsid w:val="00387595"/>
    <w:rsid w:val="003878CA"/>
    <w:rsid w:val="00387951"/>
    <w:rsid w:val="00387B3D"/>
    <w:rsid w:val="00387EC7"/>
    <w:rsid w:val="00387F2C"/>
    <w:rsid w:val="00390025"/>
    <w:rsid w:val="00390089"/>
    <w:rsid w:val="003900F1"/>
    <w:rsid w:val="003901DC"/>
    <w:rsid w:val="003903B6"/>
    <w:rsid w:val="00390424"/>
    <w:rsid w:val="003904E7"/>
    <w:rsid w:val="00390518"/>
    <w:rsid w:val="003906F4"/>
    <w:rsid w:val="003906FA"/>
    <w:rsid w:val="0039072A"/>
    <w:rsid w:val="00390860"/>
    <w:rsid w:val="003908E0"/>
    <w:rsid w:val="00390995"/>
    <w:rsid w:val="00390B2E"/>
    <w:rsid w:val="00390BB8"/>
    <w:rsid w:val="00390CA7"/>
    <w:rsid w:val="00390CEE"/>
    <w:rsid w:val="00390D91"/>
    <w:rsid w:val="00390F34"/>
    <w:rsid w:val="003911A5"/>
    <w:rsid w:val="00391261"/>
    <w:rsid w:val="003912DF"/>
    <w:rsid w:val="003912E8"/>
    <w:rsid w:val="00391422"/>
    <w:rsid w:val="003916CE"/>
    <w:rsid w:val="00391905"/>
    <w:rsid w:val="0039195F"/>
    <w:rsid w:val="00391A7C"/>
    <w:rsid w:val="003923DE"/>
    <w:rsid w:val="00392424"/>
    <w:rsid w:val="00392537"/>
    <w:rsid w:val="00392544"/>
    <w:rsid w:val="003925DE"/>
    <w:rsid w:val="0039261C"/>
    <w:rsid w:val="003926AC"/>
    <w:rsid w:val="003926E2"/>
    <w:rsid w:val="00392728"/>
    <w:rsid w:val="00392822"/>
    <w:rsid w:val="00392836"/>
    <w:rsid w:val="0039297C"/>
    <w:rsid w:val="00392DA8"/>
    <w:rsid w:val="00392E98"/>
    <w:rsid w:val="0039300A"/>
    <w:rsid w:val="00393223"/>
    <w:rsid w:val="003932AD"/>
    <w:rsid w:val="00393339"/>
    <w:rsid w:val="003933E8"/>
    <w:rsid w:val="0039344F"/>
    <w:rsid w:val="00393554"/>
    <w:rsid w:val="00393560"/>
    <w:rsid w:val="00393C51"/>
    <w:rsid w:val="00393DF9"/>
    <w:rsid w:val="00393E0F"/>
    <w:rsid w:val="00393EFA"/>
    <w:rsid w:val="00394031"/>
    <w:rsid w:val="00394079"/>
    <w:rsid w:val="0039427F"/>
    <w:rsid w:val="0039453D"/>
    <w:rsid w:val="00394860"/>
    <w:rsid w:val="003948D7"/>
    <w:rsid w:val="003948E2"/>
    <w:rsid w:val="00394C12"/>
    <w:rsid w:val="00394E05"/>
    <w:rsid w:val="00394E7B"/>
    <w:rsid w:val="00394FBD"/>
    <w:rsid w:val="00394FC8"/>
    <w:rsid w:val="0039501B"/>
    <w:rsid w:val="00395191"/>
    <w:rsid w:val="00395273"/>
    <w:rsid w:val="00395442"/>
    <w:rsid w:val="00395467"/>
    <w:rsid w:val="00395490"/>
    <w:rsid w:val="003954E8"/>
    <w:rsid w:val="003954E9"/>
    <w:rsid w:val="00395537"/>
    <w:rsid w:val="003957FB"/>
    <w:rsid w:val="00395978"/>
    <w:rsid w:val="00395A0E"/>
    <w:rsid w:val="00395AA0"/>
    <w:rsid w:val="00395C3C"/>
    <w:rsid w:val="00395DDD"/>
    <w:rsid w:val="00395E2E"/>
    <w:rsid w:val="00395F67"/>
    <w:rsid w:val="00396023"/>
    <w:rsid w:val="00396567"/>
    <w:rsid w:val="00396582"/>
    <w:rsid w:val="0039667D"/>
    <w:rsid w:val="0039692F"/>
    <w:rsid w:val="00396B2C"/>
    <w:rsid w:val="00396B86"/>
    <w:rsid w:val="00396C0A"/>
    <w:rsid w:val="00396D54"/>
    <w:rsid w:val="00396D93"/>
    <w:rsid w:val="00396DC2"/>
    <w:rsid w:val="00396E7C"/>
    <w:rsid w:val="00396FD2"/>
    <w:rsid w:val="00397040"/>
    <w:rsid w:val="003970C2"/>
    <w:rsid w:val="003971EB"/>
    <w:rsid w:val="003971F3"/>
    <w:rsid w:val="00397272"/>
    <w:rsid w:val="00397341"/>
    <w:rsid w:val="003973D1"/>
    <w:rsid w:val="0039745F"/>
    <w:rsid w:val="00397461"/>
    <w:rsid w:val="00397496"/>
    <w:rsid w:val="003974CC"/>
    <w:rsid w:val="00397573"/>
    <w:rsid w:val="00397659"/>
    <w:rsid w:val="0039784F"/>
    <w:rsid w:val="00397968"/>
    <w:rsid w:val="003979C1"/>
    <w:rsid w:val="00397A18"/>
    <w:rsid w:val="00397AD5"/>
    <w:rsid w:val="00397B8A"/>
    <w:rsid w:val="00397BB7"/>
    <w:rsid w:val="00397CF3"/>
    <w:rsid w:val="00397EAF"/>
    <w:rsid w:val="00397F90"/>
    <w:rsid w:val="003A00F7"/>
    <w:rsid w:val="003A04DB"/>
    <w:rsid w:val="003A04E5"/>
    <w:rsid w:val="003A0532"/>
    <w:rsid w:val="003A0735"/>
    <w:rsid w:val="003A084E"/>
    <w:rsid w:val="003A09B3"/>
    <w:rsid w:val="003A12D3"/>
    <w:rsid w:val="003A13A7"/>
    <w:rsid w:val="003A143C"/>
    <w:rsid w:val="003A1572"/>
    <w:rsid w:val="003A1588"/>
    <w:rsid w:val="003A1670"/>
    <w:rsid w:val="003A17AB"/>
    <w:rsid w:val="003A17BB"/>
    <w:rsid w:val="003A19EA"/>
    <w:rsid w:val="003A1A01"/>
    <w:rsid w:val="003A1A2B"/>
    <w:rsid w:val="003A1C3C"/>
    <w:rsid w:val="003A1C8A"/>
    <w:rsid w:val="003A1CBB"/>
    <w:rsid w:val="003A2086"/>
    <w:rsid w:val="003A20B1"/>
    <w:rsid w:val="003A2305"/>
    <w:rsid w:val="003A23D4"/>
    <w:rsid w:val="003A26E5"/>
    <w:rsid w:val="003A288F"/>
    <w:rsid w:val="003A29F4"/>
    <w:rsid w:val="003A2AC1"/>
    <w:rsid w:val="003A2B21"/>
    <w:rsid w:val="003A2C46"/>
    <w:rsid w:val="003A2D41"/>
    <w:rsid w:val="003A2D88"/>
    <w:rsid w:val="003A2E8D"/>
    <w:rsid w:val="003A2E93"/>
    <w:rsid w:val="003A3101"/>
    <w:rsid w:val="003A323B"/>
    <w:rsid w:val="003A34BA"/>
    <w:rsid w:val="003A35D2"/>
    <w:rsid w:val="003A3BE8"/>
    <w:rsid w:val="003A3DBF"/>
    <w:rsid w:val="003A4022"/>
    <w:rsid w:val="003A406A"/>
    <w:rsid w:val="003A4270"/>
    <w:rsid w:val="003A42DD"/>
    <w:rsid w:val="003A440F"/>
    <w:rsid w:val="003A451A"/>
    <w:rsid w:val="003A48FE"/>
    <w:rsid w:val="003A4960"/>
    <w:rsid w:val="003A4A20"/>
    <w:rsid w:val="003A4AC8"/>
    <w:rsid w:val="003A4C78"/>
    <w:rsid w:val="003A4D53"/>
    <w:rsid w:val="003A4D55"/>
    <w:rsid w:val="003A4E4D"/>
    <w:rsid w:val="003A4F0F"/>
    <w:rsid w:val="003A5638"/>
    <w:rsid w:val="003A5700"/>
    <w:rsid w:val="003A58DC"/>
    <w:rsid w:val="003A5A27"/>
    <w:rsid w:val="003A5AEE"/>
    <w:rsid w:val="003A5AF3"/>
    <w:rsid w:val="003A5F5B"/>
    <w:rsid w:val="003A5FD0"/>
    <w:rsid w:val="003A60A7"/>
    <w:rsid w:val="003A6197"/>
    <w:rsid w:val="003A621F"/>
    <w:rsid w:val="003A62D6"/>
    <w:rsid w:val="003A66FE"/>
    <w:rsid w:val="003A6836"/>
    <w:rsid w:val="003A683A"/>
    <w:rsid w:val="003A6ACF"/>
    <w:rsid w:val="003A6ADB"/>
    <w:rsid w:val="003A6DCB"/>
    <w:rsid w:val="003A6E8B"/>
    <w:rsid w:val="003A7331"/>
    <w:rsid w:val="003A743D"/>
    <w:rsid w:val="003A74A7"/>
    <w:rsid w:val="003A77A3"/>
    <w:rsid w:val="003A789A"/>
    <w:rsid w:val="003A78DA"/>
    <w:rsid w:val="003A7946"/>
    <w:rsid w:val="003A7992"/>
    <w:rsid w:val="003A79E9"/>
    <w:rsid w:val="003A79F0"/>
    <w:rsid w:val="003A7C36"/>
    <w:rsid w:val="003A7C62"/>
    <w:rsid w:val="003A7EDC"/>
    <w:rsid w:val="003B0352"/>
    <w:rsid w:val="003B0375"/>
    <w:rsid w:val="003B03EA"/>
    <w:rsid w:val="003B05AE"/>
    <w:rsid w:val="003B081B"/>
    <w:rsid w:val="003B0EAD"/>
    <w:rsid w:val="003B101F"/>
    <w:rsid w:val="003B12EC"/>
    <w:rsid w:val="003B14F9"/>
    <w:rsid w:val="003B151A"/>
    <w:rsid w:val="003B1600"/>
    <w:rsid w:val="003B1748"/>
    <w:rsid w:val="003B187F"/>
    <w:rsid w:val="003B1C4F"/>
    <w:rsid w:val="003B1C71"/>
    <w:rsid w:val="003B1C8A"/>
    <w:rsid w:val="003B1DC3"/>
    <w:rsid w:val="003B205B"/>
    <w:rsid w:val="003B214D"/>
    <w:rsid w:val="003B2259"/>
    <w:rsid w:val="003B23B6"/>
    <w:rsid w:val="003B24B4"/>
    <w:rsid w:val="003B2933"/>
    <w:rsid w:val="003B2A75"/>
    <w:rsid w:val="003B2C53"/>
    <w:rsid w:val="003B2CEC"/>
    <w:rsid w:val="003B2D4A"/>
    <w:rsid w:val="003B2EEC"/>
    <w:rsid w:val="003B305C"/>
    <w:rsid w:val="003B3143"/>
    <w:rsid w:val="003B31B0"/>
    <w:rsid w:val="003B3617"/>
    <w:rsid w:val="003B3663"/>
    <w:rsid w:val="003B36C1"/>
    <w:rsid w:val="003B3773"/>
    <w:rsid w:val="003B393E"/>
    <w:rsid w:val="003B3992"/>
    <w:rsid w:val="003B3A06"/>
    <w:rsid w:val="003B3A13"/>
    <w:rsid w:val="003B3ACE"/>
    <w:rsid w:val="003B3AE1"/>
    <w:rsid w:val="003B3B00"/>
    <w:rsid w:val="003B3D69"/>
    <w:rsid w:val="003B3EFA"/>
    <w:rsid w:val="003B3FBC"/>
    <w:rsid w:val="003B404E"/>
    <w:rsid w:val="003B41D9"/>
    <w:rsid w:val="003B4266"/>
    <w:rsid w:val="003B426C"/>
    <w:rsid w:val="003B4283"/>
    <w:rsid w:val="003B42FD"/>
    <w:rsid w:val="003B4314"/>
    <w:rsid w:val="003B432D"/>
    <w:rsid w:val="003B43B9"/>
    <w:rsid w:val="003B45C9"/>
    <w:rsid w:val="003B46F1"/>
    <w:rsid w:val="003B4886"/>
    <w:rsid w:val="003B4890"/>
    <w:rsid w:val="003B494D"/>
    <w:rsid w:val="003B49D9"/>
    <w:rsid w:val="003B49FB"/>
    <w:rsid w:val="003B4A15"/>
    <w:rsid w:val="003B4A40"/>
    <w:rsid w:val="003B4B3D"/>
    <w:rsid w:val="003B4C27"/>
    <w:rsid w:val="003B51B4"/>
    <w:rsid w:val="003B53C3"/>
    <w:rsid w:val="003B5426"/>
    <w:rsid w:val="003B5765"/>
    <w:rsid w:val="003B5964"/>
    <w:rsid w:val="003B5F26"/>
    <w:rsid w:val="003B5F5C"/>
    <w:rsid w:val="003B6086"/>
    <w:rsid w:val="003B60FD"/>
    <w:rsid w:val="003B6100"/>
    <w:rsid w:val="003B61BB"/>
    <w:rsid w:val="003B63B4"/>
    <w:rsid w:val="003B657D"/>
    <w:rsid w:val="003B6757"/>
    <w:rsid w:val="003B6A96"/>
    <w:rsid w:val="003B6B11"/>
    <w:rsid w:val="003B6B5C"/>
    <w:rsid w:val="003B6B6E"/>
    <w:rsid w:val="003B6B9C"/>
    <w:rsid w:val="003B6BE1"/>
    <w:rsid w:val="003B6FFD"/>
    <w:rsid w:val="003B7039"/>
    <w:rsid w:val="003B7089"/>
    <w:rsid w:val="003B71F2"/>
    <w:rsid w:val="003B73B0"/>
    <w:rsid w:val="003B74FF"/>
    <w:rsid w:val="003B756E"/>
    <w:rsid w:val="003B75AD"/>
    <w:rsid w:val="003B7A3D"/>
    <w:rsid w:val="003B7BA3"/>
    <w:rsid w:val="003B7CFB"/>
    <w:rsid w:val="003B7F22"/>
    <w:rsid w:val="003B7F29"/>
    <w:rsid w:val="003B7F81"/>
    <w:rsid w:val="003C005C"/>
    <w:rsid w:val="003C0392"/>
    <w:rsid w:val="003C03B8"/>
    <w:rsid w:val="003C0777"/>
    <w:rsid w:val="003C08A0"/>
    <w:rsid w:val="003C0A8B"/>
    <w:rsid w:val="003C0AB0"/>
    <w:rsid w:val="003C0BAB"/>
    <w:rsid w:val="003C0BC2"/>
    <w:rsid w:val="003C0D27"/>
    <w:rsid w:val="003C0DB7"/>
    <w:rsid w:val="003C0EEA"/>
    <w:rsid w:val="003C0FBA"/>
    <w:rsid w:val="003C1072"/>
    <w:rsid w:val="003C1075"/>
    <w:rsid w:val="003C120D"/>
    <w:rsid w:val="003C128E"/>
    <w:rsid w:val="003C130F"/>
    <w:rsid w:val="003C14DF"/>
    <w:rsid w:val="003C1548"/>
    <w:rsid w:val="003C1729"/>
    <w:rsid w:val="003C1A35"/>
    <w:rsid w:val="003C1A43"/>
    <w:rsid w:val="003C203B"/>
    <w:rsid w:val="003C221A"/>
    <w:rsid w:val="003C2242"/>
    <w:rsid w:val="003C22A3"/>
    <w:rsid w:val="003C232B"/>
    <w:rsid w:val="003C26BE"/>
    <w:rsid w:val="003C27E0"/>
    <w:rsid w:val="003C28E0"/>
    <w:rsid w:val="003C2AD5"/>
    <w:rsid w:val="003C2C74"/>
    <w:rsid w:val="003C2D5A"/>
    <w:rsid w:val="003C3032"/>
    <w:rsid w:val="003C31B2"/>
    <w:rsid w:val="003C329F"/>
    <w:rsid w:val="003C35C0"/>
    <w:rsid w:val="003C370F"/>
    <w:rsid w:val="003C3713"/>
    <w:rsid w:val="003C37A3"/>
    <w:rsid w:val="003C3A8A"/>
    <w:rsid w:val="003C3BEB"/>
    <w:rsid w:val="003C3DB0"/>
    <w:rsid w:val="003C3EE2"/>
    <w:rsid w:val="003C406F"/>
    <w:rsid w:val="003C4294"/>
    <w:rsid w:val="003C4538"/>
    <w:rsid w:val="003C45B9"/>
    <w:rsid w:val="003C4679"/>
    <w:rsid w:val="003C495D"/>
    <w:rsid w:val="003C51AC"/>
    <w:rsid w:val="003C53EC"/>
    <w:rsid w:val="003C556A"/>
    <w:rsid w:val="003C55E6"/>
    <w:rsid w:val="003C56E6"/>
    <w:rsid w:val="003C596A"/>
    <w:rsid w:val="003C5984"/>
    <w:rsid w:val="003C5A30"/>
    <w:rsid w:val="003C5B5E"/>
    <w:rsid w:val="003C5BBE"/>
    <w:rsid w:val="003C5D80"/>
    <w:rsid w:val="003C6093"/>
    <w:rsid w:val="003C60FE"/>
    <w:rsid w:val="003C62FF"/>
    <w:rsid w:val="003C67CD"/>
    <w:rsid w:val="003C68B1"/>
    <w:rsid w:val="003C6D75"/>
    <w:rsid w:val="003C6E73"/>
    <w:rsid w:val="003C7055"/>
    <w:rsid w:val="003C71F6"/>
    <w:rsid w:val="003C7211"/>
    <w:rsid w:val="003C73C1"/>
    <w:rsid w:val="003C744E"/>
    <w:rsid w:val="003C7649"/>
    <w:rsid w:val="003C7779"/>
    <w:rsid w:val="003C77E0"/>
    <w:rsid w:val="003C7877"/>
    <w:rsid w:val="003C7AC6"/>
    <w:rsid w:val="003C7E42"/>
    <w:rsid w:val="003C7F91"/>
    <w:rsid w:val="003D0371"/>
    <w:rsid w:val="003D03DD"/>
    <w:rsid w:val="003D0494"/>
    <w:rsid w:val="003D0637"/>
    <w:rsid w:val="003D0695"/>
    <w:rsid w:val="003D07DF"/>
    <w:rsid w:val="003D0D28"/>
    <w:rsid w:val="003D0FD7"/>
    <w:rsid w:val="003D1029"/>
    <w:rsid w:val="003D1197"/>
    <w:rsid w:val="003D12F7"/>
    <w:rsid w:val="003D133E"/>
    <w:rsid w:val="003D14B2"/>
    <w:rsid w:val="003D16B6"/>
    <w:rsid w:val="003D17AB"/>
    <w:rsid w:val="003D17D7"/>
    <w:rsid w:val="003D17D9"/>
    <w:rsid w:val="003D17F9"/>
    <w:rsid w:val="003D19BE"/>
    <w:rsid w:val="003D1A6F"/>
    <w:rsid w:val="003D1ABA"/>
    <w:rsid w:val="003D1B8D"/>
    <w:rsid w:val="003D1C74"/>
    <w:rsid w:val="003D1CFD"/>
    <w:rsid w:val="003D1EB3"/>
    <w:rsid w:val="003D2018"/>
    <w:rsid w:val="003D2108"/>
    <w:rsid w:val="003D251B"/>
    <w:rsid w:val="003D25EE"/>
    <w:rsid w:val="003D2678"/>
    <w:rsid w:val="003D26C5"/>
    <w:rsid w:val="003D29F9"/>
    <w:rsid w:val="003D2A77"/>
    <w:rsid w:val="003D2BBF"/>
    <w:rsid w:val="003D2C1A"/>
    <w:rsid w:val="003D2C46"/>
    <w:rsid w:val="003D2E1D"/>
    <w:rsid w:val="003D310D"/>
    <w:rsid w:val="003D36A5"/>
    <w:rsid w:val="003D3887"/>
    <w:rsid w:val="003D39E7"/>
    <w:rsid w:val="003D3ED0"/>
    <w:rsid w:val="003D3FA6"/>
    <w:rsid w:val="003D3FE1"/>
    <w:rsid w:val="003D4268"/>
    <w:rsid w:val="003D4699"/>
    <w:rsid w:val="003D474A"/>
    <w:rsid w:val="003D4A43"/>
    <w:rsid w:val="003D4AD4"/>
    <w:rsid w:val="003D4BAE"/>
    <w:rsid w:val="003D4CFA"/>
    <w:rsid w:val="003D4D22"/>
    <w:rsid w:val="003D4E99"/>
    <w:rsid w:val="003D5059"/>
    <w:rsid w:val="003D50CE"/>
    <w:rsid w:val="003D5152"/>
    <w:rsid w:val="003D5256"/>
    <w:rsid w:val="003D5278"/>
    <w:rsid w:val="003D55B1"/>
    <w:rsid w:val="003D55C4"/>
    <w:rsid w:val="003D560B"/>
    <w:rsid w:val="003D594C"/>
    <w:rsid w:val="003D5BCF"/>
    <w:rsid w:val="003D5D34"/>
    <w:rsid w:val="003D5DAF"/>
    <w:rsid w:val="003D5EAA"/>
    <w:rsid w:val="003D5F9A"/>
    <w:rsid w:val="003D5FB3"/>
    <w:rsid w:val="003D6146"/>
    <w:rsid w:val="003D61E4"/>
    <w:rsid w:val="003D63C7"/>
    <w:rsid w:val="003D6703"/>
    <w:rsid w:val="003D6739"/>
    <w:rsid w:val="003D6C3B"/>
    <w:rsid w:val="003D6DF9"/>
    <w:rsid w:val="003D6F77"/>
    <w:rsid w:val="003D6F90"/>
    <w:rsid w:val="003D706D"/>
    <w:rsid w:val="003D70AC"/>
    <w:rsid w:val="003D71A3"/>
    <w:rsid w:val="003D728A"/>
    <w:rsid w:val="003D748C"/>
    <w:rsid w:val="003D7711"/>
    <w:rsid w:val="003D7A09"/>
    <w:rsid w:val="003D7A2A"/>
    <w:rsid w:val="003D7BB3"/>
    <w:rsid w:val="003E0184"/>
    <w:rsid w:val="003E0266"/>
    <w:rsid w:val="003E0368"/>
    <w:rsid w:val="003E04E7"/>
    <w:rsid w:val="003E0507"/>
    <w:rsid w:val="003E059A"/>
    <w:rsid w:val="003E05B7"/>
    <w:rsid w:val="003E06D6"/>
    <w:rsid w:val="003E07AB"/>
    <w:rsid w:val="003E0881"/>
    <w:rsid w:val="003E094D"/>
    <w:rsid w:val="003E0A1F"/>
    <w:rsid w:val="003E0DE0"/>
    <w:rsid w:val="003E0F01"/>
    <w:rsid w:val="003E0F30"/>
    <w:rsid w:val="003E0FDC"/>
    <w:rsid w:val="003E0FFD"/>
    <w:rsid w:val="003E1068"/>
    <w:rsid w:val="003E109C"/>
    <w:rsid w:val="003E1926"/>
    <w:rsid w:val="003E1AEC"/>
    <w:rsid w:val="003E1C9C"/>
    <w:rsid w:val="003E1D55"/>
    <w:rsid w:val="003E1E98"/>
    <w:rsid w:val="003E1F13"/>
    <w:rsid w:val="003E1F96"/>
    <w:rsid w:val="003E210B"/>
    <w:rsid w:val="003E22FC"/>
    <w:rsid w:val="003E2442"/>
    <w:rsid w:val="003E24A5"/>
    <w:rsid w:val="003E24E2"/>
    <w:rsid w:val="003E257A"/>
    <w:rsid w:val="003E259F"/>
    <w:rsid w:val="003E2629"/>
    <w:rsid w:val="003E271B"/>
    <w:rsid w:val="003E2900"/>
    <w:rsid w:val="003E2A70"/>
    <w:rsid w:val="003E2B8A"/>
    <w:rsid w:val="003E2BF3"/>
    <w:rsid w:val="003E2D1D"/>
    <w:rsid w:val="003E2F08"/>
    <w:rsid w:val="003E2F23"/>
    <w:rsid w:val="003E312F"/>
    <w:rsid w:val="003E3295"/>
    <w:rsid w:val="003E32B7"/>
    <w:rsid w:val="003E32D0"/>
    <w:rsid w:val="003E3397"/>
    <w:rsid w:val="003E34E1"/>
    <w:rsid w:val="003E3522"/>
    <w:rsid w:val="003E35B4"/>
    <w:rsid w:val="003E36DF"/>
    <w:rsid w:val="003E38F9"/>
    <w:rsid w:val="003E393B"/>
    <w:rsid w:val="003E39BC"/>
    <w:rsid w:val="003E3A76"/>
    <w:rsid w:val="003E3A84"/>
    <w:rsid w:val="003E3C12"/>
    <w:rsid w:val="003E3D42"/>
    <w:rsid w:val="003E3D94"/>
    <w:rsid w:val="003E3E3A"/>
    <w:rsid w:val="003E3E5B"/>
    <w:rsid w:val="003E4147"/>
    <w:rsid w:val="003E4500"/>
    <w:rsid w:val="003E456A"/>
    <w:rsid w:val="003E46C1"/>
    <w:rsid w:val="003E46E8"/>
    <w:rsid w:val="003E4918"/>
    <w:rsid w:val="003E4B5E"/>
    <w:rsid w:val="003E4BBD"/>
    <w:rsid w:val="003E4C58"/>
    <w:rsid w:val="003E4DCF"/>
    <w:rsid w:val="003E4E15"/>
    <w:rsid w:val="003E4F69"/>
    <w:rsid w:val="003E4F84"/>
    <w:rsid w:val="003E4FEB"/>
    <w:rsid w:val="003E51B8"/>
    <w:rsid w:val="003E52AD"/>
    <w:rsid w:val="003E55AA"/>
    <w:rsid w:val="003E55F7"/>
    <w:rsid w:val="003E5658"/>
    <w:rsid w:val="003E5753"/>
    <w:rsid w:val="003E578D"/>
    <w:rsid w:val="003E59EB"/>
    <w:rsid w:val="003E5FF0"/>
    <w:rsid w:val="003E6267"/>
    <w:rsid w:val="003E62A3"/>
    <w:rsid w:val="003E6388"/>
    <w:rsid w:val="003E68E4"/>
    <w:rsid w:val="003E695C"/>
    <w:rsid w:val="003E6A93"/>
    <w:rsid w:val="003E6CB6"/>
    <w:rsid w:val="003E6E60"/>
    <w:rsid w:val="003E6F33"/>
    <w:rsid w:val="003E7078"/>
    <w:rsid w:val="003E74BB"/>
    <w:rsid w:val="003E7545"/>
    <w:rsid w:val="003E780A"/>
    <w:rsid w:val="003E7810"/>
    <w:rsid w:val="003E78C2"/>
    <w:rsid w:val="003E7A56"/>
    <w:rsid w:val="003E7B0E"/>
    <w:rsid w:val="003E7B68"/>
    <w:rsid w:val="003E7D9C"/>
    <w:rsid w:val="003E7DD1"/>
    <w:rsid w:val="003F0224"/>
    <w:rsid w:val="003F0347"/>
    <w:rsid w:val="003F0392"/>
    <w:rsid w:val="003F04A2"/>
    <w:rsid w:val="003F054D"/>
    <w:rsid w:val="003F0601"/>
    <w:rsid w:val="003F0617"/>
    <w:rsid w:val="003F07C9"/>
    <w:rsid w:val="003F07D1"/>
    <w:rsid w:val="003F09F1"/>
    <w:rsid w:val="003F0A19"/>
    <w:rsid w:val="003F0C06"/>
    <w:rsid w:val="003F0D34"/>
    <w:rsid w:val="003F0E34"/>
    <w:rsid w:val="003F0F8E"/>
    <w:rsid w:val="003F1051"/>
    <w:rsid w:val="003F10D4"/>
    <w:rsid w:val="003F10EE"/>
    <w:rsid w:val="003F12D5"/>
    <w:rsid w:val="003F1365"/>
    <w:rsid w:val="003F13DD"/>
    <w:rsid w:val="003F147B"/>
    <w:rsid w:val="003F1681"/>
    <w:rsid w:val="003F16F6"/>
    <w:rsid w:val="003F17AE"/>
    <w:rsid w:val="003F1898"/>
    <w:rsid w:val="003F1A53"/>
    <w:rsid w:val="003F1B29"/>
    <w:rsid w:val="003F1B91"/>
    <w:rsid w:val="003F1DA3"/>
    <w:rsid w:val="003F21D5"/>
    <w:rsid w:val="003F2238"/>
    <w:rsid w:val="003F2606"/>
    <w:rsid w:val="003F29FC"/>
    <w:rsid w:val="003F2A04"/>
    <w:rsid w:val="003F2E55"/>
    <w:rsid w:val="003F2FC2"/>
    <w:rsid w:val="003F379D"/>
    <w:rsid w:val="003F381A"/>
    <w:rsid w:val="003F38A9"/>
    <w:rsid w:val="003F3AD2"/>
    <w:rsid w:val="003F3CB7"/>
    <w:rsid w:val="003F3CC8"/>
    <w:rsid w:val="003F3DA5"/>
    <w:rsid w:val="003F3EE0"/>
    <w:rsid w:val="003F3F47"/>
    <w:rsid w:val="003F3FA6"/>
    <w:rsid w:val="003F411F"/>
    <w:rsid w:val="003F4125"/>
    <w:rsid w:val="003F424A"/>
    <w:rsid w:val="003F431E"/>
    <w:rsid w:val="003F4325"/>
    <w:rsid w:val="003F43BD"/>
    <w:rsid w:val="003F49C8"/>
    <w:rsid w:val="003F4B02"/>
    <w:rsid w:val="003F4BDF"/>
    <w:rsid w:val="003F4D5D"/>
    <w:rsid w:val="003F4D97"/>
    <w:rsid w:val="003F4DC7"/>
    <w:rsid w:val="003F5006"/>
    <w:rsid w:val="003F5111"/>
    <w:rsid w:val="003F5235"/>
    <w:rsid w:val="003F5277"/>
    <w:rsid w:val="003F53C9"/>
    <w:rsid w:val="003F5444"/>
    <w:rsid w:val="003F54E6"/>
    <w:rsid w:val="003F566A"/>
    <w:rsid w:val="003F587F"/>
    <w:rsid w:val="003F58AE"/>
    <w:rsid w:val="003F5932"/>
    <w:rsid w:val="003F5952"/>
    <w:rsid w:val="003F5994"/>
    <w:rsid w:val="003F5A55"/>
    <w:rsid w:val="003F5F4D"/>
    <w:rsid w:val="003F61C9"/>
    <w:rsid w:val="003F6265"/>
    <w:rsid w:val="003F66BE"/>
    <w:rsid w:val="003F674D"/>
    <w:rsid w:val="003F6C8A"/>
    <w:rsid w:val="003F6DBD"/>
    <w:rsid w:val="003F78B2"/>
    <w:rsid w:val="003F7B40"/>
    <w:rsid w:val="00400047"/>
    <w:rsid w:val="0040009A"/>
    <w:rsid w:val="0040025A"/>
    <w:rsid w:val="0040026A"/>
    <w:rsid w:val="004003B7"/>
    <w:rsid w:val="004006D9"/>
    <w:rsid w:val="004009A6"/>
    <w:rsid w:val="0040101C"/>
    <w:rsid w:val="0040135D"/>
    <w:rsid w:val="00401588"/>
    <w:rsid w:val="0040169B"/>
    <w:rsid w:val="00401714"/>
    <w:rsid w:val="004017B6"/>
    <w:rsid w:val="00401833"/>
    <w:rsid w:val="004019D6"/>
    <w:rsid w:val="004019DC"/>
    <w:rsid w:val="00401D8D"/>
    <w:rsid w:val="00402130"/>
    <w:rsid w:val="004021C9"/>
    <w:rsid w:val="004023E5"/>
    <w:rsid w:val="00402708"/>
    <w:rsid w:val="004027E4"/>
    <w:rsid w:val="004027FB"/>
    <w:rsid w:val="004028B0"/>
    <w:rsid w:val="00402972"/>
    <w:rsid w:val="00402E2A"/>
    <w:rsid w:val="00402F14"/>
    <w:rsid w:val="004031C5"/>
    <w:rsid w:val="004031F3"/>
    <w:rsid w:val="0040323E"/>
    <w:rsid w:val="00403396"/>
    <w:rsid w:val="004033A2"/>
    <w:rsid w:val="004033E4"/>
    <w:rsid w:val="00403571"/>
    <w:rsid w:val="004037AC"/>
    <w:rsid w:val="0040386A"/>
    <w:rsid w:val="00403A07"/>
    <w:rsid w:val="00403A81"/>
    <w:rsid w:val="00403AAD"/>
    <w:rsid w:val="00403C4E"/>
    <w:rsid w:val="00403D94"/>
    <w:rsid w:val="00403ECF"/>
    <w:rsid w:val="00404045"/>
    <w:rsid w:val="0040420D"/>
    <w:rsid w:val="004042E8"/>
    <w:rsid w:val="004044B8"/>
    <w:rsid w:val="00404582"/>
    <w:rsid w:val="00404699"/>
    <w:rsid w:val="004046AD"/>
    <w:rsid w:val="004048D1"/>
    <w:rsid w:val="004048D9"/>
    <w:rsid w:val="004049B7"/>
    <w:rsid w:val="00404CD3"/>
    <w:rsid w:val="00404CD9"/>
    <w:rsid w:val="00404F74"/>
    <w:rsid w:val="0040509D"/>
    <w:rsid w:val="0040515B"/>
    <w:rsid w:val="00405239"/>
    <w:rsid w:val="00405529"/>
    <w:rsid w:val="004055EE"/>
    <w:rsid w:val="0040573A"/>
    <w:rsid w:val="004057F2"/>
    <w:rsid w:val="00405A0C"/>
    <w:rsid w:val="00405A61"/>
    <w:rsid w:val="00405AC9"/>
    <w:rsid w:val="00405C2B"/>
    <w:rsid w:val="00405FDA"/>
    <w:rsid w:val="004060E6"/>
    <w:rsid w:val="004062D7"/>
    <w:rsid w:val="004063DF"/>
    <w:rsid w:val="00406703"/>
    <w:rsid w:val="00406717"/>
    <w:rsid w:val="00406744"/>
    <w:rsid w:val="004069FE"/>
    <w:rsid w:val="00406C70"/>
    <w:rsid w:val="00406CE1"/>
    <w:rsid w:val="004071FA"/>
    <w:rsid w:val="004073E2"/>
    <w:rsid w:val="004075F2"/>
    <w:rsid w:val="0040782D"/>
    <w:rsid w:val="00407A9B"/>
    <w:rsid w:val="00407AC8"/>
    <w:rsid w:val="00407C2D"/>
    <w:rsid w:val="00407C80"/>
    <w:rsid w:val="00410084"/>
    <w:rsid w:val="00410094"/>
    <w:rsid w:val="00410187"/>
    <w:rsid w:val="00410234"/>
    <w:rsid w:val="0041026A"/>
    <w:rsid w:val="00410517"/>
    <w:rsid w:val="0041060C"/>
    <w:rsid w:val="00410658"/>
    <w:rsid w:val="0041071D"/>
    <w:rsid w:val="00410976"/>
    <w:rsid w:val="0041098E"/>
    <w:rsid w:val="004109FD"/>
    <w:rsid w:val="00410A59"/>
    <w:rsid w:val="00410A6B"/>
    <w:rsid w:val="00410A79"/>
    <w:rsid w:val="00410B1C"/>
    <w:rsid w:val="00410BAF"/>
    <w:rsid w:val="00410DC3"/>
    <w:rsid w:val="00410F76"/>
    <w:rsid w:val="0041102C"/>
    <w:rsid w:val="0041108C"/>
    <w:rsid w:val="004110DE"/>
    <w:rsid w:val="004112F3"/>
    <w:rsid w:val="00411364"/>
    <w:rsid w:val="00411509"/>
    <w:rsid w:val="00411706"/>
    <w:rsid w:val="00411858"/>
    <w:rsid w:val="00411886"/>
    <w:rsid w:val="00411A07"/>
    <w:rsid w:val="00411A15"/>
    <w:rsid w:val="00411D9A"/>
    <w:rsid w:val="00411EAC"/>
    <w:rsid w:val="00411EDC"/>
    <w:rsid w:val="0041203D"/>
    <w:rsid w:val="00412121"/>
    <w:rsid w:val="004122C7"/>
    <w:rsid w:val="004122E9"/>
    <w:rsid w:val="0041232F"/>
    <w:rsid w:val="004124DE"/>
    <w:rsid w:val="00412939"/>
    <w:rsid w:val="00412A65"/>
    <w:rsid w:val="00412AD9"/>
    <w:rsid w:val="00412B64"/>
    <w:rsid w:val="00412CBF"/>
    <w:rsid w:val="00412D8F"/>
    <w:rsid w:val="00412DDB"/>
    <w:rsid w:val="004131E5"/>
    <w:rsid w:val="0041334B"/>
    <w:rsid w:val="004134AC"/>
    <w:rsid w:val="0041356D"/>
    <w:rsid w:val="00413951"/>
    <w:rsid w:val="00413BEB"/>
    <w:rsid w:val="00413BEC"/>
    <w:rsid w:val="00413CB3"/>
    <w:rsid w:val="00413EA1"/>
    <w:rsid w:val="0041415F"/>
    <w:rsid w:val="004142C6"/>
    <w:rsid w:val="004142D2"/>
    <w:rsid w:val="004143EC"/>
    <w:rsid w:val="00414408"/>
    <w:rsid w:val="0041465D"/>
    <w:rsid w:val="0041468D"/>
    <w:rsid w:val="0041481C"/>
    <w:rsid w:val="004148DF"/>
    <w:rsid w:val="00414A4E"/>
    <w:rsid w:val="00414AC6"/>
    <w:rsid w:val="00414AFC"/>
    <w:rsid w:val="00414B22"/>
    <w:rsid w:val="00414B98"/>
    <w:rsid w:val="00414BA5"/>
    <w:rsid w:val="00414BFE"/>
    <w:rsid w:val="00414C09"/>
    <w:rsid w:val="00414EAE"/>
    <w:rsid w:val="00415036"/>
    <w:rsid w:val="00415085"/>
    <w:rsid w:val="00415130"/>
    <w:rsid w:val="004151A7"/>
    <w:rsid w:val="00415206"/>
    <w:rsid w:val="00415310"/>
    <w:rsid w:val="0041542F"/>
    <w:rsid w:val="0041564B"/>
    <w:rsid w:val="0041595E"/>
    <w:rsid w:val="004159CD"/>
    <w:rsid w:val="00415A35"/>
    <w:rsid w:val="00415A4D"/>
    <w:rsid w:val="00415A6A"/>
    <w:rsid w:val="00415CEF"/>
    <w:rsid w:val="00415FD4"/>
    <w:rsid w:val="004160FB"/>
    <w:rsid w:val="004161EF"/>
    <w:rsid w:val="0041654E"/>
    <w:rsid w:val="004168C7"/>
    <w:rsid w:val="004168EC"/>
    <w:rsid w:val="00416912"/>
    <w:rsid w:val="00416A45"/>
    <w:rsid w:val="00416AED"/>
    <w:rsid w:val="00416B54"/>
    <w:rsid w:val="00416E28"/>
    <w:rsid w:val="00416F70"/>
    <w:rsid w:val="00417108"/>
    <w:rsid w:val="0041712F"/>
    <w:rsid w:val="004171E9"/>
    <w:rsid w:val="004172DD"/>
    <w:rsid w:val="004175AE"/>
    <w:rsid w:val="004176BE"/>
    <w:rsid w:val="004177CF"/>
    <w:rsid w:val="004177F8"/>
    <w:rsid w:val="0041794D"/>
    <w:rsid w:val="00417996"/>
    <w:rsid w:val="00417B79"/>
    <w:rsid w:val="00417BA8"/>
    <w:rsid w:val="00417C74"/>
    <w:rsid w:val="00417F39"/>
    <w:rsid w:val="004200C1"/>
    <w:rsid w:val="00420345"/>
    <w:rsid w:val="0042050E"/>
    <w:rsid w:val="0042062B"/>
    <w:rsid w:val="00420A63"/>
    <w:rsid w:val="00420C56"/>
    <w:rsid w:val="00420DCF"/>
    <w:rsid w:val="00420E51"/>
    <w:rsid w:val="00420E76"/>
    <w:rsid w:val="00420EE9"/>
    <w:rsid w:val="00421401"/>
    <w:rsid w:val="00421709"/>
    <w:rsid w:val="00421790"/>
    <w:rsid w:val="0042189E"/>
    <w:rsid w:val="00421959"/>
    <w:rsid w:val="00421A15"/>
    <w:rsid w:val="00421BE7"/>
    <w:rsid w:val="00421C93"/>
    <w:rsid w:val="00421DAE"/>
    <w:rsid w:val="00421ED0"/>
    <w:rsid w:val="004221C8"/>
    <w:rsid w:val="00422431"/>
    <w:rsid w:val="004225A2"/>
    <w:rsid w:val="00422884"/>
    <w:rsid w:val="004228DF"/>
    <w:rsid w:val="00422A41"/>
    <w:rsid w:val="00422B7E"/>
    <w:rsid w:val="00422CBC"/>
    <w:rsid w:val="00422DCC"/>
    <w:rsid w:val="00422E50"/>
    <w:rsid w:val="0042306E"/>
    <w:rsid w:val="00423137"/>
    <w:rsid w:val="004232EE"/>
    <w:rsid w:val="00423321"/>
    <w:rsid w:val="00423621"/>
    <w:rsid w:val="00423726"/>
    <w:rsid w:val="00423763"/>
    <w:rsid w:val="00423814"/>
    <w:rsid w:val="004238F3"/>
    <w:rsid w:val="00423A04"/>
    <w:rsid w:val="00423AC9"/>
    <w:rsid w:val="00423D17"/>
    <w:rsid w:val="00424050"/>
    <w:rsid w:val="00424449"/>
    <w:rsid w:val="00424A52"/>
    <w:rsid w:val="00424BA0"/>
    <w:rsid w:val="00424BB9"/>
    <w:rsid w:val="00424C43"/>
    <w:rsid w:val="00424E82"/>
    <w:rsid w:val="004250D0"/>
    <w:rsid w:val="00425214"/>
    <w:rsid w:val="0042528C"/>
    <w:rsid w:val="0042544F"/>
    <w:rsid w:val="00425463"/>
    <w:rsid w:val="00425489"/>
    <w:rsid w:val="0042586D"/>
    <w:rsid w:val="0042592E"/>
    <w:rsid w:val="00425AC5"/>
    <w:rsid w:val="00425C64"/>
    <w:rsid w:val="00425CDB"/>
    <w:rsid w:val="00426025"/>
    <w:rsid w:val="00426431"/>
    <w:rsid w:val="0042669A"/>
    <w:rsid w:val="004266BC"/>
    <w:rsid w:val="00426895"/>
    <w:rsid w:val="0042692A"/>
    <w:rsid w:val="004269CA"/>
    <w:rsid w:val="00426CCF"/>
    <w:rsid w:val="00426D3A"/>
    <w:rsid w:val="0042707A"/>
    <w:rsid w:val="0042762F"/>
    <w:rsid w:val="0042767D"/>
    <w:rsid w:val="004277CE"/>
    <w:rsid w:val="00427834"/>
    <w:rsid w:val="00427AFB"/>
    <w:rsid w:val="00427C36"/>
    <w:rsid w:val="00427CBA"/>
    <w:rsid w:val="00427CE3"/>
    <w:rsid w:val="00427DC7"/>
    <w:rsid w:val="00427EB9"/>
    <w:rsid w:val="00427EC7"/>
    <w:rsid w:val="00427FBB"/>
    <w:rsid w:val="004300B9"/>
    <w:rsid w:val="004301FC"/>
    <w:rsid w:val="0043046C"/>
    <w:rsid w:val="00430675"/>
    <w:rsid w:val="0043084F"/>
    <w:rsid w:val="00430AED"/>
    <w:rsid w:val="00430D56"/>
    <w:rsid w:val="00430E59"/>
    <w:rsid w:val="00431613"/>
    <w:rsid w:val="00431638"/>
    <w:rsid w:val="00431792"/>
    <w:rsid w:val="004318CD"/>
    <w:rsid w:val="004318FD"/>
    <w:rsid w:val="004319B7"/>
    <w:rsid w:val="00431A36"/>
    <w:rsid w:val="00431ACE"/>
    <w:rsid w:val="00431D48"/>
    <w:rsid w:val="00431D72"/>
    <w:rsid w:val="00431F4E"/>
    <w:rsid w:val="00431FD2"/>
    <w:rsid w:val="00432019"/>
    <w:rsid w:val="0043242A"/>
    <w:rsid w:val="0043258B"/>
    <w:rsid w:val="0043297A"/>
    <w:rsid w:val="004329D8"/>
    <w:rsid w:val="00432B45"/>
    <w:rsid w:val="00432B75"/>
    <w:rsid w:val="00432CAC"/>
    <w:rsid w:val="00432D7F"/>
    <w:rsid w:val="00432EB2"/>
    <w:rsid w:val="004330CA"/>
    <w:rsid w:val="004332FD"/>
    <w:rsid w:val="00433439"/>
    <w:rsid w:val="004334C4"/>
    <w:rsid w:val="00433532"/>
    <w:rsid w:val="00433B6D"/>
    <w:rsid w:val="00433CD2"/>
    <w:rsid w:val="00433D90"/>
    <w:rsid w:val="00433EE5"/>
    <w:rsid w:val="00434061"/>
    <w:rsid w:val="00434237"/>
    <w:rsid w:val="00434384"/>
    <w:rsid w:val="00434550"/>
    <w:rsid w:val="0043486C"/>
    <w:rsid w:val="00434B18"/>
    <w:rsid w:val="00434EE1"/>
    <w:rsid w:val="004354D6"/>
    <w:rsid w:val="004356C7"/>
    <w:rsid w:val="00435B7D"/>
    <w:rsid w:val="00435D15"/>
    <w:rsid w:val="00435E1F"/>
    <w:rsid w:val="00435EB7"/>
    <w:rsid w:val="004360CE"/>
    <w:rsid w:val="004362AE"/>
    <w:rsid w:val="0043642D"/>
    <w:rsid w:val="0043669A"/>
    <w:rsid w:val="004366FB"/>
    <w:rsid w:val="00436899"/>
    <w:rsid w:val="00436936"/>
    <w:rsid w:val="004369B0"/>
    <w:rsid w:val="00436A9A"/>
    <w:rsid w:val="00436AED"/>
    <w:rsid w:val="00436F99"/>
    <w:rsid w:val="0043714F"/>
    <w:rsid w:val="00437586"/>
    <w:rsid w:val="00437634"/>
    <w:rsid w:val="00437636"/>
    <w:rsid w:val="004378C2"/>
    <w:rsid w:val="00437C2D"/>
    <w:rsid w:val="00437E2E"/>
    <w:rsid w:val="00437F5F"/>
    <w:rsid w:val="00440283"/>
    <w:rsid w:val="004402EA"/>
    <w:rsid w:val="00440658"/>
    <w:rsid w:val="00440718"/>
    <w:rsid w:val="00440777"/>
    <w:rsid w:val="0044080C"/>
    <w:rsid w:val="004409F6"/>
    <w:rsid w:val="00440AE1"/>
    <w:rsid w:val="00440BEE"/>
    <w:rsid w:val="0044137F"/>
    <w:rsid w:val="00441389"/>
    <w:rsid w:val="00441446"/>
    <w:rsid w:val="004415E2"/>
    <w:rsid w:val="00441728"/>
    <w:rsid w:val="00441809"/>
    <w:rsid w:val="0044184D"/>
    <w:rsid w:val="00441CF4"/>
    <w:rsid w:val="00441DE3"/>
    <w:rsid w:val="00441E44"/>
    <w:rsid w:val="00441EEC"/>
    <w:rsid w:val="00441F03"/>
    <w:rsid w:val="00441F26"/>
    <w:rsid w:val="00441F7D"/>
    <w:rsid w:val="0044216F"/>
    <w:rsid w:val="004421A3"/>
    <w:rsid w:val="004425F4"/>
    <w:rsid w:val="004427A1"/>
    <w:rsid w:val="0044285C"/>
    <w:rsid w:val="004428A2"/>
    <w:rsid w:val="004429F4"/>
    <w:rsid w:val="00442B6F"/>
    <w:rsid w:val="00442BCD"/>
    <w:rsid w:val="00442BF2"/>
    <w:rsid w:val="00442F7E"/>
    <w:rsid w:val="0044300E"/>
    <w:rsid w:val="00443150"/>
    <w:rsid w:val="00443420"/>
    <w:rsid w:val="00443439"/>
    <w:rsid w:val="00443470"/>
    <w:rsid w:val="004436EB"/>
    <w:rsid w:val="004438B5"/>
    <w:rsid w:val="00443AA7"/>
    <w:rsid w:val="00443B20"/>
    <w:rsid w:val="00443EFB"/>
    <w:rsid w:val="00443F09"/>
    <w:rsid w:val="00443F76"/>
    <w:rsid w:val="00444137"/>
    <w:rsid w:val="00444227"/>
    <w:rsid w:val="0044425A"/>
    <w:rsid w:val="004443E8"/>
    <w:rsid w:val="00444417"/>
    <w:rsid w:val="00444683"/>
    <w:rsid w:val="00444742"/>
    <w:rsid w:val="004447EF"/>
    <w:rsid w:val="00444828"/>
    <w:rsid w:val="00444AB3"/>
    <w:rsid w:val="00444BB8"/>
    <w:rsid w:val="00444CB9"/>
    <w:rsid w:val="00444CD5"/>
    <w:rsid w:val="00444CDF"/>
    <w:rsid w:val="00444E5D"/>
    <w:rsid w:val="00444EA8"/>
    <w:rsid w:val="00444EEB"/>
    <w:rsid w:val="00444EFB"/>
    <w:rsid w:val="00444FA8"/>
    <w:rsid w:val="00444FA9"/>
    <w:rsid w:val="00445090"/>
    <w:rsid w:val="00445120"/>
    <w:rsid w:val="00445174"/>
    <w:rsid w:val="004453F3"/>
    <w:rsid w:val="00445424"/>
    <w:rsid w:val="00445449"/>
    <w:rsid w:val="00445634"/>
    <w:rsid w:val="004456CE"/>
    <w:rsid w:val="0044577C"/>
    <w:rsid w:val="004457FE"/>
    <w:rsid w:val="00445813"/>
    <w:rsid w:val="0044596C"/>
    <w:rsid w:val="00445A67"/>
    <w:rsid w:val="00445AD8"/>
    <w:rsid w:val="00446121"/>
    <w:rsid w:val="004464E6"/>
    <w:rsid w:val="00446713"/>
    <w:rsid w:val="00446766"/>
    <w:rsid w:val="00446817"/>
    <w:rsid w:val="004469C3"/>
    <w:rsid w:val="00446AA3"/>
    <w:rsid w:val="00446C50"/>
    <w:rsid w:val="00446DB7"/>
    <w:rsid w:val="00447037"/>
    <w:rsid w:val="0044708B"/>
    <w:rsid w:val="00447370"/>
    <w:rsid w:val="004473C0"/>
    <w:rsid w:val="004474A8"/>
    <w:rsid w:val="00447995"/>
    <w:rsid w:val="00447AAA"/>
    <w:rsid w:val="00447AD6"/>
    <w:rsid w:val="00447CFA"/>
    <w:rsid w:val="00447F0D"/>
    <w:rsid w:val="0045013C"/>
    <w:rsid w:val="00450170"/>
    <w:rsid w:val="00450275"/>
    <w:rsid w:val="00450486"/>
    <w:rsid w:val="004504D3"/>
    <w:rsid w:val="0045055B"/>
    <w:rsid w:val="00450637"/>
    <w:rsid w:val="0045066A"/>
    <w:rsid w:val="0045067E"/>
    <w:rsid w:val="004506D1"/>
    <w:rsid w:val="00450844"/>
    <w:rsid w:val="00450A55"/>
    <w:rsid w:val="00450D29"/>
    <w:rsid w:val="00450E58"/>
    <w:rsid w:val="0045110D"/>
    <w:rsid w:val="0045124D"/>
    <w:rsid w:val="004513DF"/>
    <w:rsid w:val="004515DC"/>
    <w:rsid w:val="00451700"/>
    <w:rsid w:val="00451759"/>
    <w:rsid w:val="004517F5"/>
    <w:rsid w:val="004518D0"/>
    <w:rsid w:val="004519EB"/>
    <w:rsid w:val="00451B7F"/>
    <w:rsid w:val="00451B8D"/>
    <w:rsid w:val="00451C85"/>
    <w:rsid w:val="00451F56"/>
    <w:rsid w:val="00451FCA"/>
    <w:rsid w:val="004520D6"/>
    <w:rsid w:val="00452114"/>
    <w:rsid w:val="00452172"/>
    <w:rsid w:val="004521BF"/>
    <w:rsid w:val="00452399"/>
    <w:rsid w:val="004523BC"/>
    <w:rsid w:val="0045267B"/>
    <w:rsid w:val="00452755"/>
    <w:rsid w:val="00452A04"/>
    <w:rsid w:val="00452BC6"/>
    <w:rsid w:val="00452BCE"/>
    <w:rsid w:val="00452C3B"/>
    <w:rsid w:val="00452CEE"/>
    <w:rsid w:val="00452D0D"/>
    <w:rsid w:val="00452D88"/>
    <w:rsid w:val="00452F3C"/>
    <w:rsid w:val="004534C8"/>
    <w:rsid w:val="00453659"/>
    <w:rsid w:val="004536A4"/>
    <w:rsid w:val="0045373B"/>
    <w:rsid w:val="004538DF"/>
    <w:rsid w:val="00453998"/>
    <w:rsid w:val="004539DD"/>
    <w:rsid w:val="00453BDC"/>
    <w:rsid w:val="00453BE8"/>
    <w:rsid w:val="00453C28"/>
    <w:rsid w:val="00453DB6"/>
    <w:rsid w:val="004540B6"/>
    <w:rsid w:val="00454190"/>
    <w:rsid w:val="004542DC"/>
    <w:rsid w:val="00454596"/>
    <w:rsid w:val="00454852"/>
    <w:rsid w:val="0045488C"/>
    <w:rsid w:val="004548BC"/>
    <w:rsid w:val="004549FD"/>
    <w:rsid w:val="00454B1C"/>
    <w:rsid w:val="00454D56"/>
    <w:rsid w:val="00454F44"/>
    <w:rsid w:val="0045535F"/>
    <w:rsid w:val="004553A0"/>
    <w:rsid w:val="00455599"/>
    <w:rsid w:val="00455860"/>
    <w:rsid w:val="00455901"/>
    <w:rsid w:val="00455A41"/>
    <w:rsid w:val="00455BEA"/>
    <w:rsid w:val="00455EC7"/>
    <w:rsid w:val="00455F2A"/>
    <w:rsid w:val="00456045"/>
    <w:rsid w:val="0045605D"/>
    <w:rsid w:val="004563B4"/>
    <w:rsid w:val="0045645D"/>
    <w:rsid w:val="00456524"/>
    <w:rsid w:val="00456623"/>
    <w:rsid w:val="0045663C"/>
    <w:rsid w:val="004566C4"/>
    <w:rsid w:val="00456766"/>
    <w:rsid w:val="00456789"/>
    <w:rsid w:val="004568BE"/>
    <w:rsid w:val="00456AF4"/>
    <w:rsid w:val="00456B57"/>
    <w:rsid w:val="00456B66"/>
    <w:rsid w:val="00456CEE"/>
    <w:rsid w:val="00456DFD"/>
    <w:rsid w:val="0045708A"/>
    <w:rsid w:val="004570C2"/>
    <w:rsid w:val="00457151"/>
    <w:rsid w:val="00457249"/>
    <w:rsid w:val="004574D2"/>
    <w:rsid w:val="00457637"/>
    <w:rsid w:val="0045764A"/>
    <w:rsid w:val="00457662"/>
    <w:rsid w:val="004576B5"/>
    <w:rsid w:val="004576EE"/>
    <w:rsid w:val="00457775"/>
    <w:rsid w:val="0045778E"/>
    <w:rsid w:val="00457A4F"/>
    <w:rsid w:val="00457C84"/>
    <w:rsid w:val="00457CD8"/>
    <w:rsid w:val="00457D8B"/>
    <w:rsid w:val="00457E22"/>
    <w:rsid w:val="00457F9A"/>
    <w:rsid w:val="00460020"/>
    <w:rsid w:val="004604BE"/>
    <w:rsid w:val="004604EC"/>
    <w:rsid w:val="0046057A"/>
    <w:rsid w:val="0046058B"/>
    <w:rsid w:val="0046066B"/>
    <w:rsid w:val="00460773"/>
    <w:rsid w:val="004608C1"/>
    <w:rsid w:val="004609CE"/>
    <w:rsid w:val="00460BB4"/>
    <w:rsid w:val="00460EDE"/>
    <w:rsid w:val="0046100B"/>
    <w:rsid w:val="004611C1"/>
    <w:rsid w:val="00461353"/>
    <w:rsid w:val="0046135B"/>
    <w:rsid w:val="00461704"/>
    <w:rsid w:val="0046170D"/>
    <w:rsid w:val="0046172A"/>
    <w:rsid w:val="0046172D"/>
    <w:rsid w:val="00461AEB"/>
    <w:rsid w:val="00461B3D"/>
    <w:rsid w:val="00461BA2"/>
    <w:rsid w:val="00461BBE"/>
    <w:rsid w:val="00461C38"/>
    <w:rsid w:val="00461C8D"/>
    <w:rsid w:val="00461D47"/>
    <w:rsid w:val="00461F1A"/>
    <w:rsid w:val="00461F1C"/>
    <w:rsid w:val="00461F42"/>
    <w:rsid w:val="00461FF6"/>
    <w:rsid w:val="004620D5"/>
    <w:rsid w:val="0046214E"/>
    <w:rsid w:val="0046215B"/>
    <w:rsid w:val="00462245"/>
    <w:rsid w:val="00462523"/>
    <w:rsid w:val="004627A1"/>
    <w:rsid w:val="00462814"/>
    <w:rsid w:val="00462852"/>
    <w:rsid w:val="00462884"/>
    <w:rsid w:val="00462952"/>
    <w:rsid w:val="00462C88"/>
    <w:rsid w:val="00462DF6"/>
    <w:rsid w:val="00462EAB"/>
    <w:rsid w:val="00462EC7"/>
    <w:rsid w:val="00462F18"/>
    <w:rsid w:val="00462FCC"/>
    <w:rsid w:val="00463006"/>
    <w:rsid w:val="0046358F"/>
    <w:rsid w:val="00463741"/>
    <w:rsid w:val="0046374C"/>
    <w:rsid w:val="0046378B"/>
    <w:rsid w:val="004638E9"/>
    <w:rsid w:val="004639A0"/>
    <w:rsid w:val="0046409E"/>
    <w:rsid w:val="0046424C"/>
    <w:rsid w:val="00464274"/>
    <w:rsid w:val="004644B6"/>
    <w:rsid w:val="004645E5"/>
    <w:rsid w:val="004647A5"/>
    <w:rsid w:val="0046494C"/>
    <w:rsid w:val="00464BE5"/>
    <w:rsid w:val="00464E36"/>
    <w:rsid w:val="00465100"/>
    <w:rsid w:val="00465113"/>
    <w:rsid w:val="00465329"/>
    <w:rsid w:val="004656F8"/>
    <w:rsid w:val="00465B14"/>
    <w:rsid w:val="00465CE4"/>
    <w:rsid w:val="0046617D"/>
    <w:rsid w:val="00466357"/>
    <w:rsid w:val="004663ED"/>
    <w:rsid w:val="00466539"/>
    <w:rsid w:val="00466774"/>
    <w:rsid w:val="0046693F"/>
    <w:rsid w:val="00466948"/>
    <w:rsid w:val="00466987"/>
    <w:rsid w:val="00466B02"/>
    <w:rsid w:val="00466B34"/>
    <w:rsid w:val="00466C6C"/>
    <w:rsid w:val="00466E20"/>
    <w:rsid w:val="00466F3B"/>
    <w:rsid w:val="004674AA"/>
    <w:rsid w:val="004674F4"/>
    <w:rsid w:val="00467549"/>
    <w:rsid w:val="0046777E"/>
    <w:rsid w:val="00467842"/>
    <w:rsid w:val="00467876"/>
    <w:rsid w:val="004678C1"/>
    <w:rsid w:val="00467924"/>
    <w:rsid w:val="0046792F"/>
    <w:rsid w:val="00467994"/>
    <w:rsid w:val="0046799F"/>
    <w:rsid w:val="00467B35"/>
    <w:rsid w:val="00467E5C"/>
    <w:rsid w:val="004701EF"/>
    <w:rsid w:val="00470244"/>
    <w:rsid w:val="00470315"/>
    <w:rsid w:val="004703C4"/>
    <w:rsid w:val="004703D7"/>
    <w:rsid w:val="004705A6"/>
    <w:rsid w:val="00470627"/>
    <w:rsid w:val="00470671"/>
    <w:rsid w:val="0047073C"/>
    <w:rsid w:val="00470762"/>
    <w:rsid w:val="00470801"/>
    <w:rsid w:val="004708E8"/>
    <w:rsid w:val="004708EE"/>
    <w:rsid w:val="0047096B"/>
    <w:rsid w:val="00470ABB"/>
    <w:rsid w:val="00470F2C"/>
    <w:rsid w:val="00471093"/>
    <w:rsid w:val="0047109A"/>
    <w:rsid w:val="00471194"/>
    <w:rsid w:val="0047139F"/>
    <w:rsid w:val="004713C1"/>
    <w:rsid w:val="004714A5"/>
    <w:rsid w:val="0047155D"/>
    <w:rsid w:val="004716EA"/>
    <w:rsid w:val="004718CC"/>
    <w:rsid w:val="00471A28"/>
    <w:rsid w:val="00471D10"/>
    <w:rsid w:val="00471D36"/>
    <w:rsid w:val="00471DA9"/>
    <w:rsid w:val="00471ED3"/>
    <w:rsid w:val="004720D6"/>
    <w:rsid w:val="004720E0"/>
    <w:rsid w:val="00472358"/>
    <w:rsid w:val="004723A8"/>
    <w:rsid w:val="00472528"/>
    <w:rsid w:val="004726D5"/>
    <w:rsid w:val="00472703"/>
    <w:rsid w:val="004728FA"/>
    <w:rsid w:val="00472B84"/>
    <w:rsid w:val="00472DC2"/>
    <w:rsid w:val="00472E2C"/>
    <w:rsid w:val="00472FC7"/>
    <w:rsid w:val="00473124"/>
    <w:rsid w:val="0047330F"/>
    <w:rsid w:val="004733A7"/>
    <w:rsid w:val="00473501"/>
    <w:rsid w:val="00473826"/>
    <w:rsid w:val="00473901"/>
    <w:rsid w:val="00473959"/>
    <w:rsid w:val="00473B39"/>
    <w:rsid w:val="00473C1E"/>
    <w:rsid w:val="00473D85"/>
    <w:rsid w:val="00473E03"/>
    <w:rsid w:val="00474823"/>
    <w:rsid w:val="004749DE"/>
    <w:rsid w:val="00474A15"/>
    <w:rsid w:val="00474A9A"/>
    <w:rsid w:val="00474BF0"/>
    <w:rsid w:val="00474C69"/>
    <w:rsid w:val="00474D46"/>
    <w:rsid w:val="00474F18"/>
    <w:rsid w:val="0047535F"/>
    <w:rsid w:val="00475605"/>
    <w:rsid w:val="004757F6"/>
    <w:rsid w:val="00475856"/>
    <w:rsid w:val="004758DB"/>
    <w:rsid w:val="004759AF"/>
    <w:rsid w:val="00475B18"/>
    <w:rsid w:val="00475C09"/>
    <w:rsid w:val="00475C31"/>
    <w:rsid w:val="00475DA1"/>
    <w:rsid w:val="00475EE9"/>
    <w:rsid w:val="00475F44"/>
    <w:rsid w:val="0047690E"/>
    <w:rsid w:val="004769DD"/>
    <w:rsid w:val="00476AEA"/>
    <w:rsid w:val="00476DBE"/>
    <w:rsid w:val="00476F5D"/>
    <w:rsid w:val="004770A5"/>
    <w:rsid w:val="004770CE"/>
    <w:rsid w:val="004772CF"/>
    <w:rsid w:val="004772EC"/>
    <w:rsid w:val="00477374"/>
    <w:rsid w:val="00477593"/>
    <w:rsid w:val="00477681"/>
    <w:rsid w:val="004776A3"/>
    <w:rsid w:val="00477740"/>
    <w:rsid w:val="00477816"/>
    <w:rsid w:val="0047785B"/>
    <w:rsid w:val="00477889"/>
    <w:rsid w:val="00477996"/>
    <w:rsid w:val="00477A6D"/>
    <w:rsid w:val="00477AC8"/>
    <w:rsid w:val="00477CDA"/>
    <w:rsid w:val="00477E13"/>
    <w:rsid w:val="0048006D"/>
    <w:rsid w:val="0048028E"/>
    <w:rsid w:val="004804A2"/>
    <w:rsid w:val="004808D0"/>
    <w:rsid w:val="00480A37"/>
    <w:rsid w:val="00480A45"/>
    <w:rsid w:val="00480B5E"/>
    <w:rsid w:val="00480BF9"/>
    <w:rsid w:val="00480D22"/>
    <w:rsid w:val="00480EAF"/>
    <w:rsid w:val="004810A7"/>
    <w:rsid w:val="00481205"/>
    <w:rsid w:val="00481478"/>
    <w:rsid w:val="00481574"/>
    <w:rsid w:val="00481695"/>
    <w:rsid w:val="004818C4"/>
    <w:rsid w:val="00481BB5"/>
    <w:rsid w:val="00481C50"/>
    <w:rsid w:val="00481CEF"/>
    <w:rsid w:val="00481D9B"/>
    <w:rsid w:val="00481E4E"/>
    <w:rsid w:val="00481EE3"/>
    <w:rsid w:val="00481F9B"/>
    <w:rsid w:val="00481FFA"/>
    <w:rsid w:val="00482086"/>
    <w:rsid w:val="00482211"/>
    <w:rsid w:val="0048263D"/>
    <w:rsid w:val="00482932"/>
    <w:rsid w:val="00482AD4"/>
    <w:rsid w:val="00482E6C"/>
    <w:rsid w:val="00482F4E"/>
    <w:rsid w:val="00483400"/>
    <w:rsid w:val="00483468"/>
    <w:rsid w:val="00483575"/>
    <w:rsid w:val="0048361F"/>
    <w:rsid w:val="004836F8"/>
    <w:rsid w:val="004838C9"/>
    <w:rsid w:val="00483943"/>
    <w:rsid w:val="00483ACC"/>
    <w:rsid w:val="00483ADA"/>
    <w:rsid w:val="00483EF4"/>
    <w:rsid w:val="00483F43"/>
    <w:rsid w:val="0048438F"/>
    <w:rsid w:val="0048457E"/>
    <w:rsid w:val="0048468C"/>
    <w:rsid w:val="00484822"/>
    <w:rsid w:val="00484BB1"/>
    <w:rsid w:val="00484C03"/>
    <w:rsid w:val="00484C85"/>
    <w:rsid w:val="00484DDC"/>
    <w:rsid w:val="00484F70"/>
    <w:rsid w:val="00485202"/>
    <w:rsid w:val="00485340"/>
    <w:rsid w:val="004853F2"/>
    <w:rsid w:val="00485403"/>
    <w:rsid w:val="0048548C"/>
    <w:rsid w:val="0048564E"/>
    <w:rsid w:val="00485797"/>
    <w:rsid w:val="00485B5D"/>
    <w:rsid w:val="00485B6B"/>
    <w:rsid w:val="00485BE3"/>
    <w:rsid w:val="00485C98"/>
    <w:rsid w:val="00485D2D"/>
    <w:rsid w:val="00485DC0"/>
    <w:rsid w:val="00485E35"/>
    <w:rsid w:val="00485EF1"/>
    <w:rsid w:val="004861B5"/>
    <w:rsid w:val="00486349"/>
    <w:rsid w:val="004863DD"/>
    <w:rsid w:val="00486450"/>
    <w:rsid w:val="0048662C"/>
    <w:rsid w:val="0048666E"/>
    <w:rsid w:val="004867DC"/>
    <w:rsid w:val="004868B2"/>
    <w:rsid w:val="00486908"/>
    <w:rsid w:val="00486957"/>
    <w:rsid w:val="00486AC6"/>
    <w:rsid w:val="00486DD7"/>
    <w:rsid w:val="00486ECE"/>
    <w:rsid w:val="00486FF6"/>
    <w:rsid w:val="0048706B"/>
    <w:rsid w:val="00487553"/>
    <w:rsid w:val="004875D6"/>
    <w:rsid w:val="00487789"/>
    <w:rsid w:val="004877A5"/>
    <w:rsid w:val="00487A9C"/>
    <w:rsid w:val="00487B5E"/>
    <w:rsid w:val="00487C15"/>
    <w:rsid w:val="00487DA4"/>
    <w:rsid w:val="00487F13"/>
    <w:rsid w:val="00490253"/>
    <w:rsid w:val="004902D6"/>
    <w:rsid w:val="004903DD"/>
    <w:rsid w:val="004903F3"/>
    <w:rsid w:val="00490514"/>
    <w:rsid w:val="00490560"/>
    <w:rsid w:val="004906C3"/>
    <w:rsid w:val="00490732"/>
    <w:rsid w:val="00490858"/>
    <w:rsid w:val="004908D2"/>
    <w:rsid w:val="00490A6D"/>
    <w:rsid w:val="00490AFF"/>
    <w:rsid w:val="00490BFB"/>
    <w:rsid w:val="00490F7F"/>
    <w:rsid w:val="00490F9F"/>
    <w:rsid w:val="00491069"/>
    <w:rsid w:val="004910E8"/>
    <w:rsid w:val="00491339"/>
    <w:rsid w:val="00491652"/>
    <w:rsid w:val="0049183E"/>
    <w:rsid w:val="004918C0"/>
    <w:rsid w:val="00491FB0"/>
    <w:rsid w:val="00491FB9"/>
    <w:rsid w:val="0049205C"/>
    <w:rsid w:val="00492086"/>
    <w:rsid w:val="004920B7"/>
    <w:rsid w:val="004923DA"/>
    <w:rsid w:val="004924D2"/>
    <w:rsid w:val="004925EA"/>
    <w:rsid w:val="0049284F"/>
    <w:rsid w:val="00492936"/>
    <w:rsid w:val="00492AE1"/>
    <w:rsid w:val="00492B5B"/>
    <w:rsid w:val="00492E3F"/>
    <w:rsid w:val="00492EA8"/>
    <w:rsid w:val="00492F0D"/>
    <w:rsid w:val="00493003"/>
    <w:rsid w:val="0049326E"/>
    <w:rsid w:val="00493629"/>
    <w:rsid w:val="0049363A"/>
    <w:rsid w:val="0049364F"/>
    <w:rsid w:val="00493669"/>
    <w:rsid w:val="004939ED"/>
    <w:rsid w:val="00493A30"/>
    <w:rsid w:val="00493BCE"/>
    <w:rsid w:val="00493FD3"/>
    <w:rsid w:val="0049421D"/>
    <w:rsid w:val="00494354"/>
    <w:rsid w:val="004945FF"/>
    <w:rsid w:val="004946DA"/>
    <w:rsid w:val="004946E8"/>
    <w:rsid w:val="004947D0"/>
    <w:rsid w:val="00494B7D"/>
    <w:rsid w:val="00494C18"/>
    <w:rsid w:val="004950FE"/>
    <w:rsid w:val="0049515E"/>
    <w:rsid w:val="004954AA"/>
    <w:rsid w:val="00495618"/>
    <w:rsid w:val="00495759"/>
    <w:rsid w:val="00495894"/>
    <w:rsid w:val="0049597A"/>
    <w:rsid w:val="004959FE"/>
    <w:rsid w:val="00495A96"/>
    <w:rsid w:val="00495B24"/>
    <w:rsid w:val="00495BB3"/>
    <w:rsid w:val="00495F58"/>
    <w:rsid w:val="0049612E"/>
    <w:rsid w:val="00496415"/>
    <w:rsid w:val="0049649D"/>
    <w:rsid w:val="00496557"/>
    <w:rsid w:val="0049661D"/>
    <w:rsid w:val="004967C1"/>
    <w:rsid w:val="0049692E"/>
    <w:rsid w:val="00496D13"/>
    <w:rsid w:val="00496D78"/>
    <w:rsid w:val="00496EC4"/>
    <w:rsid w:val="00496F9A"/>
    <w:rsid w:val="00497050"/>
    <w:rsid w:val="004971C2"/>
    <w:rsid w:val="00497278"/>
    <w:rsid w:val="00497452"/>
    <w:rsid w:val="0049759F"/>
    <w:rsid w:val="00497638"/>
    <w:rsid w:val="00497716"/>
    <w:rsid w:val="0049784B"/>
    <w:rsid w:val="00497A39"/>
    <w:rsid w:val="00497B6A"/>
    <w:rsid w:val="00497BD3"/>
    <w:rsid w:val="00497BD8"/>
    <w:rsid w:val="00497BF9"/>
    <w:rsid w:val="00497BFF"/>
    <w:rsid w:val="00497D07"/>
    <w:rsid w:val="00497E0A"/>
    <w:rsid w:val="00497E2C"/>
    <w:rsid w:val="004A0265"/>
    <w:rsid w:val="004A0479"/>
    <w:rsid w:val="004A05CE"/>
    <w:rsid w:val="004A0606"/>
    <w:rsid w:val="004A0773"/>
    <w:rsid w:val="004A08A1"/>
    <w:rsid w:val="004A08E6"/>
    <w:rsid w:val="004A0AB5"/>
    <w:rsid w:val="004A0ACF"/>
    <w:rsid w:val="004A0FCF"/>
    <w:rsid w:val="004A1035"/>
    <w:rsid w:val="004A13C9"/>
    <w:rsid w:val="004A16DE"/>
    <w:rsid w:val="004A1EA4"/>
    <w:rsid w:val="004A2073"/>
    <w:rsid w:val="004A2079"/>
    <w:rsid w:val="004A20A7"/>
    <w:rsid w:val="004A2198"/>
    <w:rsid w:val="004A2391"/>
    <w:rsid w:val="004A23B9"/>
    <w:rsid w:val="004A2433"/>
    <w:rsid w:val="004A24AB"/>
    <w:rsid w:val="004A2544"/>
    <w:rsid w:val="004A25D0"/>
    <w:rsid w:val="004A2627"/>
    <w:rsid w:val="004A26C7"/>
    <w:rsid w:val="004A298B"/>
    <w:rsid w:val="004A2E42"/>
    <w:rsid w:val="004A2E88"/>
    <w:rsid w:val="004A3525"/>
    <w:rsid w:val="004A357E"/>
    <w:rsid w:val="004A35A4"/>
    <w:rsid w:val="004A3721"/>
    <w:rsid w:val="004A399B"/>
    <w:rsid w:val="004A3A6C"/>
    <w:rsid w:val="004A3CC4"/>
    <w:rsid w:val="004A3CE7"/>
    <w:rsid w:val="004A3F49"/>
    <w:rsid w:val="004A4048"/>
    <w:rsid w:val="004A4337"/>
    <w:rsid w:val="004A4676"/>
    <w:rsid w:val="004A483B"/>
    <w:rsid w:val="004A4840"/>
    <w:rsid w:val="004A4A61"/>
    <w:rsid w:val="004A4B72"/>
    <w:rsid w:val="004A4BF1"/>
    <w:rsid w:val="004A4CC8"/>
    <w:rsid w:val="004A5130"/>
    <w:rsid w:val="004A51F1"/>
    <w:rsid w:val="004A53A1"/>
    <w:rsid w:val="004A5443"/>
    <w:rsid w:val="004A54F5"/>
    <w:rsid w:val="004A55BD"/>
    <w:rsid w:val="004A55CA"/>
    <w:rsid w:val="004A56BB"/>
    <w:rsid w:val="004A575D"/>
    <w:rsid w:val="004A5938"/>
    <w:rsid w:val="004A5978"/>
    <w:rsid w:val="004A5AF0"/>
    <w:rsid w:val="004A5C60"/>
    <w:rsid w:val="004A5E5A"/>
    <w:rsid w:val="004A6026"/>
    <w:rsid w:val="004A60CA"/>
    <w:rsid w:val="004A6347"/>
    <w:rsid w:val="004A6406"/>
    <w:rsid w:val="004A66CF"/>
    <w:rsid w:val="004A66EA"/>
    <w:rsid w:val="004A687C"/>
    <w:rsid w:val="004A6A0F"/>
    <w:rsid w:val="004A6A50"/>
    <w:rsid w:val="004A6B04"/>
    <w:rsid w:val="004A6B17"/>
    <w:rsid w:val="004A6DE7"/>
    <w:rsid w:val="004A6EEC"/>
    <w:rsid w:val="004A7098"/>
    <w:rsid w:val="004A70D6"/>
    <w:rsid w:val="004A7250"/>
    <w:rsid w:val="004A73A6"/>
    <w:rsid w:val="004A7493"/>
    <w:rsid w:val="004A778E"/>
    <w:rsid w:val="004A79F3"/>
    <w:rsid w:val="004A7A0B"/>
    <w:rsid w:val="004A7AB5"/>
    <w:rsid w:val="004A7BC9"/>
    <w:rsid w:val="004A7E16"/>
    <w:rsid w:val="004B014B"/>
    <w:rsid w:val="004B01E5"/>
    <w:rsid w:val="004B0260"/>
    <w:rsid w:val="004B043D"/>
    <w:rsid w:val="004B0443"/>
    <w:rsid w:val="004B0474"/>
    <w:rsid w:val="004B04C3"/>
    <w:rsid w:val="004B0590"/>
    <w:rsid w:val="004B082B"/>
    <w:rsid w:val="004B08AA"/>
    <w:rsid w:val="004B0961"/>
    <w:rsid w:val="004B09A2"/>
    <w:rsid w:val="004B09F3"/>
    <w:rsid w:val="004B0BBE"/>
    <w:rsid w:val="004B0DA4"/>
    <w:rsid w:val="004B1353"/>
    <w:rsid w:val="004B160E"/>
    <w:rsid w:val="004B1718"/>
    <w:rsid w:val="004B1751"/>
    <w:rsid w:val="004B18A1"/>
    <w:rsid w:val="004B18A7"/>
    <w:rsid w:val="004B1DC4"/>
    <w:rsid w:val="004B1DE9"/>
    <w:rsid w:val="004B1EB0"/>
    <w:rsid w:val="004B1F44"/>
    <w:rsid w:val="004B21E2"/>
    <w:rsid w:val="004B22CF"/>
    <w:rsid w:val="004B2354"/>
    <w:rsid w:val="004B259A"/>
    <w:rsid w:val="004B27CD"/>
    <w:rsid w:val="004B2827"/>
    <w:rsid w:val="004B2B7F"/>
    <w:rsid w:val="004B2CC8"/>
    <w:rsid w:val="004B2EFB"/>
    <w:rsid w:val="004B2F48"/>
    <w:rsid w:val="004B2F52"/>
    <w:rsid w:val="004B2F9F"/>
    <w:rsid w:val="004B2FC3"/>
    <w:rsid w:val="004B3264"/>
    <w:rsid w:val="004B3392"/>
    <w:rsid w:val="004B34B5"/>
    <w:rsid w:val="004B3583"/>
    <w:rsid w:val="004B393B"/>
    <w:rsid w:val="004B3955"/>
    <w:rsid w:val="004B3EB7"/>
    <w:rsid w:val="004B3F5F"/>
    <w:rsid w:val="004B3FDB"/>
    <w:rsid w:val="004B4004"/>
    <w:rsid w:val="004B4451"/>
    <w:rsid w:val="004B455A"/>
    <w:rsid w:val="004B45C6"/>
    <w:rsid w:val="004B470D"/>
    <w:rsid w:val="004B496A"/>
    <w:rsid w:val="004B49A0"/>
    <w:rsid w:val="004B4B80"/>
    <w:rsid w:val="004B4C5D"/>
    <w:rsid w:val="004B4CD0"/>
    <w:rsid w:val="004B4F83"/>
    <w:rsid w:val="004B52B3"/>
    <w:rsid w:val="004B5469"/>
    <w:rsid w:val="004B54DC"/>
    <w:rsid w:val="004B552E"/>
    <w:rsid w:val="004B558B"/>
    <w:rsid w:val="004B55FE"/>
    <w:rsid w:val="004B56F1"/>
    <w:rsid w:val="004B57C9"/>
    <w:rsid w:val="004B5AE9"/>
    <w:rsid w:val="004B5C87"/>
    <w:rsid w:val="004B5D1C"/>
    <w:rsid w:val="004B5D82"/>
    <w:rsid w:val="004B5D9C"/>
    <w:rsid w:val="004B5E17"/>
    <w:rsid w:val="004B5E7B"/>
    <w:rsid w:val="004B5EAD"/>
    <w:rsid w:val="004B66E0"/>
    <w:rsid w:val="004B682A"/>
    <w:rsid w:val="004B6849"/>
    <w:rsid w:val="004B689A"/>
    <w:rsid w:val="004B6A69"/>
    <w:rsid w:val="004B6BA5"/>
    <w:rsid w:val="004B7017"/>
    <w:rsid w:val="004B7093"/>
    <w:rsid w:val="004B7302"/>
    <w:rsid w:val="004B75DF"/>
    <w:rsid w:val="004B77EA"/>
    <w:rsid w:val="004B7B67"/>
    <w:rsid w:val="004B7CCC"/>
    <w:rsid w:val="004B7EE5"/>
    <w:rsid w:val="004B7EFD"/>
    <w:rsid w:val="004C01D8"/>
    <w:rsid w:val="004C0253"/>
    <w:rsid w:val="004C038F"/>
    <w:rsid w:val="004C063E"/>
    <w:rsid w:val="004C06A5"/>
    <w:rsid w:val="004C0980"/>
    <w:rsid w:val="004C0AA0"/>
    <w:rsid w:val="004C0BDE"/>
    <w:rsid w:val="004C0C02"/>
    <w:rsid w:val="004C0CCF"/>
    <w:rsid w:val="004C12B2"/>
    <w:rsid w:val="004C1356"/>
    <w:rsid w:val="004C13B5"/>
    <w:rsid w:val="004C1475"/>
    <w:rsid w:val="004C15EE"/>
    <w:rsid w:val="004C16B3"/>
    <w:rsid w:val="004C17B1"/>
    <w:rsid w:val="004C1889"/>
    <w:rsid w:val="004C1EC1"/>
    <w:rsid w:val="004C1EF1"/>
    <w:rsid w:val="004C1EF6"/>
    <w:rsid w:val="004C1F6A"/>
    <w:rsid w:val="004C1FCF"/>
    <w:rsid w:val="004C216E"/>
    <w:rsid w:val="004C232A"/>
    <w:rsid w:val="004C235C"/>
    <w:rsid w:val="004C248B"/>
    <w:rsid w:val="004C273D"/>
    <w:rsid w:val="004C2A05"/>
    <w:rsid w:val="004C2EC2"/>
    <w:rsid w:val="004C31FF"/>
    <w:rsid w:val="004C3273"/>
    <w:rsid w:val="004C3382"/>
    <w:rsid w:val="004C35D7"/>
    <w:rsid w:val="004C3775"/>
    <w:rsid w:val="004C37A3"/>
    <w:rsid w:val="004C3839"/>
    <w:rsid w:val="004C3AD8"/>
    <w:rsid w:val="004C3D97"/>
    <w:rsid w:val="004C4029"/>
    <w:rsid w:val="004C4032"/>
    <w:rsid w:val="004C40CA"/>
    <w:rsid w:val="004C42CA"/>
    <w:rsid w:val="004C433C"/>
    <w:rsid w:val="004C44DA"/>
    <w:rsid w:val="004C451D"/>
    <w:rsid w:val="004C46C4"/>
    <w:rsid w:val="004C485C"/>
    <w:rsid w:val="004C49F0"/>
    <w:rsid w:val="004C4A2D"/>
    <w:rsid w:val="004C4BD4"/>
    <w:rsid w:val="004C4C4E"/>
    <w:rsid w:val="004C4D1B"/>
    <w:rsid w:val="004C4E0A"/>
    <w:rsid w:val="004C4E1E"/>
    <w:rsid w:val="004C5191"/>
    <w:rsid w:val="004C5260"/>
    <w:rsid w:val="004C52B4"/>
    <w:rsid w:val="004C52BD"/>
    <w:rsid w:val="004C542B"/>
    <w:rsid w:val="004C573A"/>
    <w:rsid w:val="004C5762"/>
    <w:rsid w:val="004C5867"/>
    <w:rsid w:val="004C5A63"/>
    <w:rsid w:val="004C5CA1"/>
    <w:rsid w:val="004C5D06"/>
    <w:rsid w:val="004C5D50"/>
    <w:rsid w:val="004C5E8B"/>
    <w:rsid w:val="004C62A2"/>
    <w:rsid w:val="004C63AB"/>
    <w:rsid w:val="004C6429"/>
    <w:rsid w:val="004C660D"/>
    <w:rsid w:val="004C68FC"/>
    <w:rsid w:val="004C6AB3"/>
    <w:rsid w:val="004C6BE6"/>
    <w:rsid w:val="004C6D7F"/>
    <w:rsid w:val="004C6DB0"/>
    <w:rsid w:val="004C6E4F"/>
    <w:rsid w:val="004C6F9A"/>
    <w:rsid w:val="004C6FAD"/>
    <w:rsid w:val="004C6FF3"/>
    <w:rsid w:val="004C7254"/>
    <w:rsid w:val="004C7408"/>
    <w:rsid w:val="004C74A9"/>
    <w:rsid w:val="004C7569"/>
    <w:rsid w:val="004C7712"/>
    <w:rsid w:val="004C788E"/>
    <w:rsid w:val="004C7CBB"/>
    <w:rsid w:val="004C7EFC"/>
    <w:rsid w:val="004D00E7"/>
    <w:rsid w:val="004D0476"/>
    <w:rsid w:val="004D05AE"/>
    <w:rsid w:val="004D07BE"/>
    <w:rsid w:val="004D0888"/>
    <w:rsid w:val="004D095C"/>
    <w:rsid w:val="004D0A50"/>
    <w:rsid w:val="004D0A5A"/>
    <w:rsid w:val="004D0B7D"/>
    <w:rsid w:val="004D0BBE"/>
    <w:rsid w:val="004D0DC2"/>
    <w:rsid w:val="004D0FAE"/>
    <w:rsid w:val="004D1025"/>
    <w:rsid w:val="004D117C"/>
    <w:rsid w:val="004D1181"/>
    <w:rsid w:val="004D1293"/>
    <w:rsid w:val="004D13B2"/>
    <w:rsid w:val="004D15EA"/>
    <w:rsid w:val="004D163B"/>
    <w:rsid w:val="004D1978"/>
    <w:rsid w:val="004D19D1"/>
    <w:rsid w:val="004D1BC2"/>
    <w:rsid w:val="004D1BFC"/>
    <w:rsid w:val="004D1C16"/>
    <w:rsid w:val="004D1CA8"/>
    <w:rsid w:val="004D1D8A"/>
    <w:rsid w:val="004D1EDE"/>
    <w:rsid w:val="004D1FF9"/>
    <w:rsid w:val="004D2366"/>
    <w:rsid w:val="004D271D"/>
    <w:rsid w:val="004D288D"/>
    <w:rsid w:val="004D28C6"/>
    <w:rsid w:val="004D2901"/>
    <w:rsid w:val="004D29C3"/>
    <w:rsid w:val="004D2EDD"/>
    <w:rsid w:val="004D2FB7"/>
    <w:rsid w:val="004D307D"/>
    <w:rsid w:val="004D3167"/>
    <w:rsid w:val="004D33C0"/>
    <w:rsid w:val="004D35F2"/>
    <w:rsid w:val="004D3615"/>
    <w:rsid w:val="004D38EE"/>
    <w:rsid w:val="004D3A03"/>
    <w:rsid w:val="004D3A12"/>
    <w:rsid w:val="004D3A74"/>
    <w:rsid w:val="004D3B92"/>
    <w:rsid w:val="004D3C91"/>
    <w:rsid w:val="004D3CD9"/>
    <w:rsid w:val="004D3D26"/>
    <w:rsid w:val="004D3DC8"/>
    <w:rsid w:val="004D3E8E"/>
    <w:rsid w:val="004D42C4"/>
    <w:rsid w:val="004D4517"/>
    <w:rsid w:val="004D48B7"/>
    <w:rsid w:val="004D4A0F"/>
    <w:rsid w:val="004D4C7B"/>
    <w:rsid w:val="004D4DCA"/>
    <w:rsid w:val="004D4DF6"/>
    <w:rsid w:val="004D4EBA"/>
    <w:rsid w:val="004D5398"/>
    <w:rsid w:val="004D5635"/>
    <w:rsid w:val="004D56FF"/>
    <w:rsid w:val="004D571A"/>
    <w:rsid w:val="004D598E"/>
    <w:rsid w:val="004D5992"/>
    <w:rsid w:val="004D5DC6"/>
    <w:rsid w:val="004D5ED6"/>
    <w:rsid w:val="004D64CE"/>
    <w:rsid w:val="004D6699"/>
    <w:rsid w:val="004D66B5"/>
    <w:rsid w:val="004D66B6"/>
    <w:rsid w:val="004D673C"/>
    <w:rsid w:val="004D6827"/>
    <w:rsid w:val="004D68F4"/>
    <w:rsid w:val="004D6B1E"/>
    <w:rsid w:val="004D6B97"/>
    <w:rsid w:val="004D6C60"/>
    <w:rsid w:val="004D6D13"/>
    <w:rsid w:val="004D6D82"/>
    <w:rsid w:val="004D7014"/>
    <w:rsid w:val="004D7076"/>
    <w:rsid w:val="004D710B"/>
    <w:rsid w:val="004D7130"/>
    <w:rsid w:val="004D7135"/>
    <w:rsid w:val="004D7184"/>
    <w:rsid w:val="004D7228"/>
    <w:rsid w:val="004D735F"/>
    <w:rsid w:val="004D767E"/>
    <w:rsid w:val="004D770A"/>
    <w:rsid w:val="004D77A2"/>
    <w:rsid w:val="004D77F5"/>
    <w:rsid w:val="004D7AD4"/>
    <w:rsid w:val="004D7C40"/>
    <w:rsid w:val="004D7EC5"/>
    <w:rsid w:val="004D7F46"/>
    <w:rsid w:val="004E03C7"/>
    <w:rsid w:val="004E0522"/>
    <w:rsid w:val="004E0584"/>
    <w:rsid w:val="004E0701"/>
    <w:rsid w:val="004E07E4"/>
    <w:rsid w:val="004E09D2"/>
    <w:rsid w:val="004E0A8A"/>
    <w:rsid w:val="004E0B1C"/>
    <w:rsid w:val="004E0BAC"/>
    <w:rsid w:val="004E0E17"/>
    <w:rsid w:val="004E0FEA"/>
    <w:rsid w:val="004E1035"/>
    <w:rsid w:val="004E10E6"/>
    <w:rsid w:val="004E13E6"/>
    <w:rsid w:val="004E15F9"/>
    <w:rsid w:val="004E1625"/>
    <w:rsid w:val="004E188B"/>
    <w:rsid w:val="004E18BF"/>
    <w:rsid w:val="004E1A80"/>
    <w:rsid w:val="004E1A96"/>
    <w:rsid w:val="004E1CF9"/>
    <w:rsid w:val="004E1E4E"/>
    <w:rsid w:val="004E20EB"/>
    <w:rsid w:val="004E2175"/>
    <w:rsid w:val="004E21CB"/>
    <w:rsid w:val="004E2236"/>
    <w:rsid w:val="004E2289"/>
    <w:rsid w:val="004E237E"/>
    <w:rsid w:val="004E26FB"/>
    <w:rsid w:val="004E2709"/>
    <w:rsid w:val="004E2920"/>
    <w:rsid w:val="004E2A0F"/>
    <w:rsid w:val="004E2B47"/>
    <w:rsid w:val="004E2C30"/>
    <w:rsid w:val="004E2D2D"/>
    <w:rsid w:val="004E2FD8"/>
    <w:rsid w:val="004E314B"/>
    <w:rsid w:val="004E31EA"/>
    <w:rsid w:val="004E3378"/>
    <w:rsid w:val="004E3420"/>
    <w:rsid w:val="004E387B"/>
    <w:rsid w:val="004E3880"/>
    <w:rsid w:val="004E38ED"/>
    <w:rsid w:val="004E393C"/>
    <w:rsid w:val="004E39D3"/>
    <w:rsid w:val="004E3BB3"/>
    <w:rsid w:val="004E3C39"/>
    <w:rsid w:val="004E3FCD"/>
    <w:rsid w:val="004E40F6"/>
    <w:rsid w:val="004E40FA"/>
    <w:rsid w:val="004E42CE"/>
    <w:rsid w:val="004E4309"/>
    <w:rsid w:val="004E437D"/>
    <w:rsid w:val="004E44FA"/>
    <w:rsid w:val="004E452B"/>
    <w:rsid w:val="004E4857"/>
    <w:rsid w:val="004E4936"/>
    <w:rsid w:val="004E4A23"/>
    <w:rsid w:val="004E4AEA"/>
    <w:rsid w:val="004E4E38"/>
    <w:rsid w:val="004E4FD0"/>
    <w:rsid w:val="004E508A"/>
    <w:rsid w:val="004E53E1"/>
    <w:rsid w:val="004E55E2"/>
    <w:rsid w:val="004E59CC"/>
    <w:rsid w:val="004E5B8A"/>
    <w:rsid w:val="004E5C12"/>
    <w:rsid w:val="004E5C3C"/>
    <w:rsid w:val="004E5CD8"/>
    <w:rsid w:val="004E5FAE"/>
    <w:rsid w:val="004E5FCE"/>
    <w:rsid w:val="004E6015"/>
    <w:rsid w:val="004E616D"/>
    <w:rsid w:val="004E6564"/>
    <w:rsid w:val="004E65D6"/>
    <w:rsid w:val="004E67F1"/>
    <w:rsid w:val="004E6903"/>
    <w:rsid w:val="004E6957"/>
    <w:rsid w:val="004E6975"/>
    <w:rsid w:val="004E6A47"/>
    <w:rsid w:val="004E6AAD"/>
    <w:rsid w:val="004E6AE0"/>
    <w:rsid w:val="004E6BB8"/>
    <w:rsid w:val="004E6D17"/>
    <w:rsid w:val="004E6D89"/>
    <w:rsid w:val="004E6DB6"/>
    <w:rsid w:val="004E6DB9"/>
    <w:rsid w:val="004E6E98"/>
    <w:rsid w:val="004E6E9B"/>
    <w:rsid w:val="004E6F02"/>
    <w:rsid w:val="004E7042"/>
    <w:rsid w:val="004E7100"/>
    <w:rsid w:val="004E728B"/>
    <w:rsid w:val="004E72B8"/>
    <w:rsid w:val="004E72FE"/>
    <w:rsid w:val="004E7302"/>
    <w:rsid w:val="004E7560"/>
    <w:rsid w:val="004E75CC"/>
    <w:rsid w:val="004E75F2"/>
    <w:rsid w:val="004E786E"/>
    <w:rsid w:val="004E788D"/>
    <w:rsid w:val="004E7919"/>
    <w:rsid w:val="004E7B1F"/>
    <w:rsid w:val="004E7C08"/>
    <w:rsid w:val="004E7C3C"/>
    <w:rsid w:val="004E7E39"/>
    <w:rsid w:val="004E7F34"/>
    <w:rsid w:val="004F0093"/>
    <w:rsid w:val="004F00CD"/>
    <w:rsid w:val="004F0183"/>
    <w:rsid w:val="004F01FA"/>
    <w:rsid w:val="004F02C3"/>
    <w:rsid w:val="004F0354"/>
    <w:rsid w:val="004F0574"/>
    <w:rsid w:val="004F0616"/>
    <w:rsid w:val="004F08FD"/>
    <w:rsid w:val="004F0961"/>
    <w:rsid w:val="004F09AB"/>
    <w:rsid w:val="004F09E5"/>
    <w:rsid w:val="004F0B57"/>
    <w:rsid w:val="004F0D96"/>
    <w:rsid w:val="004F0DF2"/>
    <w:rsid w:val="004F1190"/>
    <w:rsid w:val="004F1294"/>
    <w:rsid w:val="004F177B"/>
    <w:rsid w:val="004F1925"/>
    <w:rsid w:val="004F1952"/>
    <w:rsid w:val="004F1B67"/>
    <w:rsid w:val="004F1BDE"/>
    <w:rsid w:val="004F1D24"/>
    <w:rsid w:val="004F1F09"/>
    <w:rsid w:val="004F1F2A"/>
    <w:rsid w:val="004F2413"/>
    <w:rsid w:val="004F2432"/>
    <w:rsid w:val="004F2657"/>
    <w:rsid w:val="004F2832"/>
    <w:rsid w:val="004F29DF"/>
    <w:rsid w:val="004F2B41"/>
    <w:rsid w:val="004F2CEE"/>
    <w:rsid w:val="004F2D3D"/>
    <w:rsid w:val="004F2F7F"/>
    <w:rsid w:val="004F3097"/>
    <w:rsid w:val="004F30D5"/>
    <w:rsid w:val="004F3167"/>
    <w:rsid w:val="004F31A9"/>
    <w:rsid w:val="004F3396"/>
    <w:rsid w:val="004F3420"/>
    <w:rsid w:val="004F3473"/>
    <w:rsid w:val="004F3567"/>
    <w:rsid w:val="004F3730"/>
    <w:rsid w:val="004F375A"/>
    <w:rsid w:val="004F37F5"/>
    <w:rsid w:val="004F3989"/>
    <w:rsid w:val="004F3B52"/>
    <w:rsid w:val="004F3BFA"/>
    <w:rsid w:val="004F3C4C"/>
    <w:rsid w:val="004F3DE2"/>
    <w:rsid w:val="004F4361"/>
    <w:rsid w:val="004F43F3"/>
    <w:rsid w:val="004F452B"/>
    <w:rsid w:val="004F4614"/>
    <w:rsid w:val="004F468C"/>
    <w:rsid w:val="004F47C4"/>
    <w:rsid w:val="004F4D70"/>
    <w:rsid w:val="004F4DC5"/>
    <w:rsid w:val="004F4F30"/>
    <w:rsid w:val="004F4FB2"/>
    <w:rsid w:val="004F5303"/>
    <w:rsid w:val="004F5387"/>
    <w:rsid w:val="004F556E"/>
    <w:rsid w:val="004F5777"/>
    <w:rsid w:val="004F58C1"/>
    <w:rsid w:val="004F58FA"/>
    <w:rsid w:val="004F591C"/>
    <w:rsid w:val="004F5AD6"/>
    <w:rsid w:val="004F5B05"/>
    <w:rsid w:val="004F5EB6"/>
    <w:rsid w:val="004F61D3"/>
    <w:rsid w:val="004F62B1"/>
    <w:rsid w:val="004F668D"/>
    <w:rsid w:val="004F67D9"/>
    <w:rsid w:val="004F6877"/>
    <w:rsid w:val="004F68C5"/>
    <w:rsid w:val="004F697A"/>
    <w:rsid w:val="004F69A1"/>
    <w:rsid w:val="004F6C64"/>
    <w:rsid w:val="004F6DEA"/>
    <w:rsid w:val="004F7039"/>
    <w:rsid w:val="004F7179"/>
    <w:rsid w:val="004F78BA"/>
    <w:rsid w:val="004F7A75"/>
    <w:rsid w:val="004F7C11"/>
    <w:rsid w:val="004F7DEA"/>
    <w:rsid w:val="004F7E76"/>
    <w:rsid w:val="004F7F44"/>
    <w:rsid w:val="005000FC"/>
    <w:rsid w:val="005004ED"/>
    <w:rsid w:val="00500785"/>
    <w:rsid w:val="005007B9"/>
    <w:rsid w:val="00500894"/>
    <w:rsid w:val="005008C4"/>
    <w:rsid w:val="00500A98"/>
    <w:rsid w:val="00500ABC"/>
    <w:rsid w:val="00500CDA"/>
    <w:rsid w:val="00500D74"/>
    <w:rsid w:val="00500DCF"/>
    <w:rsid w:val="00500F1F"/>
    <w:rsid w:val="00500F73"/>
    <w:rsid w:val="00500F7B"/>
    <w:rsid w:val="00501006"/>
    <w:rsid w:val="005010FA"/>
    <w:rsid w:val="00501198"/>
    <w:rsid w:val="005012AF"/>
    <w:rsid w:val="005014BA"/>
    <w:rsid w:val="00501811"/>
    <w:rsid w:val="00501900"/>
    <w:rsid w:val="005019D5"/>
    <w:rsid w:val="005019FC"/>
    <w:rsid w:val="00501B2D"/>
    <w:rsid w:val="00501B80"/>
    <w:rsid w:val="00501C3D"/>
    <w:rsid w:val="00501D96"/>
    <w:rsid w:val="00501DC9"/>
    <w:rsid w:val="00501E84"/>
    <w:rsid w:val="00501FF4"/>
    <w:rsid w:val="0050212C"/>
    <w:rsid w:val="005023B4"/>
    <w:rsid w:val="005027D0"/>
    <w:rsid w:val="00502828"/>
    <w:rsid w:val="00502D0D"/>
    <w:rsid w:val="00502EDE"/>
    <w:rsid w:val="005030AF"/>
    <w:rsid w:val="0050319F"/>
    <w:rsid w:val="005037AD"/>
    <w:rsid w:val="005037B4"/>
    <w:rsid w:val="00503810"/>
    <w:rsid w:val="005038F6"/>
    <w:rsid w:val="00503BCE"/>
    <w:rsid w:val="00503D3C"/>
    <w:rsid w:val="0050451C"/>
    <w:rsid w:val="00504577"/>
    <w:rsid w:val="005045CA"/>
    <w:rsid w:val="0050480C"/>
    <w:rsid w:val="00504BD8"/>
    <w:rsid w:val="00504BE4"/>
    <w:rsid w:val="00504D1C"/>
    <w:rsid w:val="00504E56"/>
    <w:rsid w:val="0050523A"/>
    <w:rsid w:val="00505437"/>
    <w:rsid w:val="005054D4"/>
    <w:rsid w:val="005054E9"/>
    <w:rsid w:val="00505631"/>
    <w:rsid w:val="0050574A"/>
    <w:rsid w:val="00505863"/>
    <w:rsid w:val="0050586E"/>
    <w:rsid w:val="00505920"/>
    <w:rsid w:val="005059BA"/>
    <w:rsid w:val="00505DAE"/>
    <w:rsid w:val="00505FC4"/>
    <w:rsid w:val="0050601D"/>
    <w:rsid w:val="005060F6"/>
    <w:rsid w:val="005065D7"/>
    <w:rsid w:val="00506A08"/>
    <w:rsid w:val="00506B15"/>
    <w:rsid w:val="00506B47"/>
    <w:rsid w:val="00506BCC"/>
    <w:rsid w:val="00506C37"/>
    <w:rsid w:val="00506DE6"/>
    <w:rsid w:val="00506E47"/>
    <w:rsid w:val="00506EC5"/>
    <w:rsid w:val="00506F04"/>
    <w:rsid w:val="00507178"/>
    <w:rsid w:val="00507234"/>
    <w:rsid w:val="00507521"/>
    <w:rsid w:val="00507720"/>
    <w:rsid w:val="005077CC"/>
    <w:rsid w:val="00507928"/>
    <w:rsid w:val="005079BF"/>
    <w:rsid w:val="00507BA8"/>
    <w:rsid w:val="00507BE5"/>
    <w:rsid w:val="00510072"/>
    <w:rsid w:val="00510120"/>
    <w:rsid w:val="005101CA"/>
    <w:rsid w:val="00510310"/>
    <w:rsid w:val="0051078D"/>
    <w:rsid w:val="005107CA"/>
    <w:rsid w:val="00510818"/>
    <w:rsid w:val="0051089E"/>
    <w:rsid w:val="005109C9"/>
    <w:rsid w:val="00510A69"/>
    <w:rsid w:val="00510D34"/>
    <w:rsid w:val="00510D48"/>
    <w:rsid w:val="00510EEA"/>
    <w:rsid w:val="00510EFE"/>
    <w:rsid w:val="0051115E"/>
    <w:rsid w:val="00511226"/>
    <w:rsid w:val="005113C4"/>
    <w:rsid w:val="005113D5"/>
    <w:rsid w:val="005113EF"/>
    <w:rsid w:val="00511503"/>
    <w:rsid w:val="005115FB"/>
    <w:rsid w:val="00511A9C"/>
    <w:rsid w:val="00511ABB"/>
    <w:rsid w:val="00511AD4"/>
    <w:rsid w:val="00511C29"/>
    <w:rsid w:val="00511D27"/>
    <w:rsid w:val="00511E2A"/>
    <w:rsid w:val="005121AD"/>
    <w:rsid w:val="005122A1"/>
    <w:rsid w:val="0051269A"/>
    <w:rsid w:val="00512852"/>
    <w:rsid w:val="00512A9C"/>
    <w:rsid w:val="00512ACC"/>
    <w:rsid w:val="00512CBF"/>
    <w:rsid w:val="00512DBE"/>
    <w:rsid w:val="00512DF8"/>
    <w:rsid w:val="00512E75"/>
    <w:rsid w:val="00513013"/>
    <w:rsid w:val="00513122"/>
    <w:rsid w:val="00513589"/>
    <w:rsid w:val="0051366A"/>
    <w:rsid w:val="005137FC"/>
    <w:rsid w:val="0051386D"/>
    <w:rsid w:val="00513AB9"/>
    <w:rsid w:val="00513D4F"/>
    <w:rsid w:val="00513E33"/>
    <w:rsid w:val="005140CF"/>
    <w:rsid w:val="00514173"/>
    <w:rsid w:val="00514363"/>
    <w:rsid w:val="0051441F"/>
    <w:rsid w:val="005144F7"/>
    <w:rsid w:val="00514D51"/>
    <w:rsid w:val="00514D90"/>
    <w:rsid w:val="00514FAE"/>
    <w:rsid w:val="00515053"/>
    <w:rsid w:val="0051508D"/>
    <w:rsid w:val="005150C9"/>
    <w:rsid w:val="00515267"/>
    <w:rsid w:val="00515585"/>
    <w:rsid w:val="005155D2"/>
    <w:rsid w:val="005155DF"/>
    <w:rsid w:val="005157F0"/>
    <w:rsid w:val="00515866"/>
    <w:rsid w:val="0051587A"/>
    <w:rsid w:val="00515A7F"/>
    <w:rsid w:val="00515BC0"/>
    <w:rsid w:val="00515D96"/>
    <w:rsid w:val="00515DBB"/>
    <w:rsid w:val="00515E22"/>
    <w:rsid w:val="00515E7A"/>
    <w:rsid w:val="00515FA0"/>
    <w:rsid w:val="0051607C"/>
    <w:rsid w:val="00516148"/>
    <w:rsid w:val="0051618A"/>
    <w:rsid w:val="005162E2"/>
    <w:rsid w:val="0051633B"/>
    <w:rsid w:val="0051648D"/>
    <w:rsid w:val="005164BC"/>
    <w:rsid w:val="0051652F"/>
    <w:rsid w:val="00516850"/>
    <w:rsid w:val="00516882"/>
    <w:rsid w:val="00516933"/>
    <w:rsid w:val="00516E73"/>
    <w:rsid w:val="00516F82"/>
    <w:rsid w:val="00517049"/>
    <w:rsid w:val="005171B7"/>
    <w:rsid w:val="005172C8"/>
    <w:rsid w:val="00517309"/>
    <w:rsid w:val="0051733C"/>
    <w:rsid w:val="00517607"/>
    <w:rsid w:val="00517614"/>
    <w:rsid w:val="00517ADF"/>
    <w:rsid w:val="00520127"/>
    <w:rsid w:val="005201B4"/>
    <w:rsid w:val="00520232"/>
    <w:rsid w:val="00520857"/>
    <w:rsid w:val="00520AA1"/>
    <w:rsid w:val="00520AB1"/>
    <w:rsid w:val="00520CF4"/>
    <w:rsid w:val="00520D58"/>
    <w:rsid w:val="00520E9C"/>
    <w:rsid w:val="00520F57"/>
    <w:rsid w:val="005210A8"/>
    <w:rsid w:val="00521233"/>
    <w:rsid w:val="00521273"/>
    <w:rsid w:val="00521303"/>
    <w:rsid w:val="005213EA"/>
    <w:rsid w:val="0052140F"/>
    <w:rsid w:val="005214F5"/>
    <w:rsid w:val="00521657"/>
    <w:rsid w:val="005216C6"/>
    <w:rsid w:val="005216DC"/>
    <w:rsid w:val="005217CA"/>
    <w:rsid w:val="005218A5"/>
    <w:rsid w:val="005219E7"/>
    <w:rsid w:val="00521A54"/>
    <w:rsid w:val="00521B7D"/>
    <w:rsid w:val="00521BC4"/>
    <w:rsid w:val="00521BC9"/>
    <w:rsid w:val="00521CED"/>
    <w:rsid w:val="00521D4C"/>
    <w:rsid w:val="00521F4C"/>
    <w:rsid w:val="00521F52"/>
    <w:rsid w:val="00521F8B"/>
    <w:rsid w:val="00522187"/>
    <w:rsid w:val="0052252C"/>
    <w:rsid w:val="005225F9"/>
    <w:rsid w:val="0052273E"/>
    <w:rsid w:val="0052278B"/>
    <w:rsid w:val="005227C6"/>
    <w:rsid w:val="00522812"/>
    <w:rsid w:val="005229BE"/>
    <w:rsid w:val="005229D7"/>
    <w:rsid w:val="00522A51"/>
    <w:rsid w:val="00522B33"/>
    <w:rsid w:val="00522BAB"/>
    <w:rsid w:val="00522BC0"/>
    <w:rsid w:val="00522D6A"/>
    <w:rsid w:val="00522DD4"/>
    <w:rsid w:val="005230B5"/>
    <w:rsid w:val="00523240"/>
    <w:rsid w:val="00523376"/>
    <w:rsid w:val="00523698"/>
    <w:rsid w:val="00523922"/>
    <w:rsid w:val="0052399F"/>
    <w:rsid w:val="00523A30"/>
    <w:rsid w:val="00523A9C"/>
    <w:rsid w:val="00523ABE"/>
    <w:rsid w:val="00523B20"/>
    <w:rsid w:val="00523C2D"/>
    <w:rsid w:val="00523DA6"/>
    <w:rsid w:val="005241EB"/>
    <w:rsid w:val="005243C1"/>
    <w:rsid w:val="005245E9"/>
    <w:rsid w:val="0052466D"/>
    <w:rsid w:val="005247F2"/>
    <w:rsid w:val="00524875"/>
    <w:rsid w:val="00524AB0"/>
    <w:rsid w:val="00524B17"/>
    <w:rsid w:val="00524DF2"/>
    <w:rsid w:val="00524E1F"/>
    <w:rsid w:val="00524E31"/>
    <w:rsid w:val="005251D9"/>
    <w:rsid w:val="005253C7"/>
    <w:rsid w:val="0052548C"/>
    <w:rsid w:val="005254B6"/>
    <w:rsid w:val="00525C23"/>
    <w:rsid w:val="00525C89"/>
    <w:rsid w:val="00525E13"/>
    <w:rsid w:val="00525EAA"/>
    <w:rsid w:val="00525EB5"/>
    <w:rsid w:val="00525EB7"/>
    <w:rsid w:val="00525F16"/>
    <w:rsid w:val="005261DD"/>
    <w:rsid w:val="005265AF"/>
    <w:rsid w:val="005265F6"/>
    <w:rsid w:val="00526AA9"/>
    <w:rsid w:val="00526ADB"/>
    <w:rsid w:val="00526CBD"/>
    <w:rsid w:val="00526CDE"/>
    <w:rsid w:val="00526CEA"/>
    <w:rsid w:val="00526E1D"/>
    <w:rsid w:val="00526E32"/>
    <w:rsid w:val="00526EAF"/>
    <w:rsid w:val="00526F8A"/>
    <w:rsid w:val="005271B0"/>
    <w:rsid w:val="00527362"/>
    <w:rsid w:val="005273CD"/>
    <w:rsid w:val="0052765E"/>
    <w:rsid w:val="00527742"/>
    <w:rsid w:val="00530052"/>
    <w:rsid w:val="0053022C"/>
    <w:rsid w:val="00530369"/>
    <w:rsid w:val="005304AA"/>
    <w:rsid w:val="00530955"/>
    <w:rsid w:val="00531003"/>
    <w:rsid w:val="00531075"/>
    <w:rsid w:val="005310B7"/>
    <w:rsid w:val="005311E6"/>
    <w:rsid w:val="005312BE"/>
    <w:rsid w:val="005312CA"/>
    <w:rsid w:val="00531434"/>
    <w:rsid w:val="00531624"/>
    <w:rsid w:val="00531662"/>
    <w:rsid w:val="0053175A"/>
    <w:rsid w:val="00531A8B"/>
    <w:rsid w:val="00531A99"/>
    <w:rsid w:val="00531B9A"/>
    <w:rsid w:val="00531D15"/>
    <w:rsid w:val="00531F76"/>
    <w:rsid w:val="00532030"/>
    <w:rsid w:val="00532050"/>
    <w:rsid w:val="0053207A"/>
    <w:rsid w:val="0053212A"/>
    <w:rsid w:val="005321C7"/>
    <w:rsid w:val="00532755"/>
    <w:rsid w:val="0053279A"/>
    <w:rsid w:val="005328B1"/>
    <w:rsid w:val="005329AB"/>
    <w:rsid w:val="005329BD"/>
    <w:rsid w:val="00532A91"/>
    <w:rsid w:val="00532AD7"/>
    <w:rsid w:val="00532B0D"/>
    <w:rsid w:val="00532B8B"/>
    <w:rsid w:val="00532C1D"/>
    <w:rsid w:val="00532F5D"/>
    <w:rsid w:val="00532F6F"/>
    <w:rsid w:val="0053317B"/>
    <w:rsid w:val="0053320F"/>
    <w:rsid w:val="005333B3"/>
    <w:rsid w:val="00533402"/>
    <w:rsid w:val="0053387B"/>
    <w:rsid w:val="0053393A"/>
    <w:rsid w:val="00533995"/>
    <w:rsid w:val="00533BA3"/>
    <w:rsid w:val="00533F5F"/>
    <w:rsid w:val="00533F8D"/>
    <w:rsid w:val="00534069"/>
    <w:rsid w:val="00534237"/>
    <w:rsid w:val="0053434B"/>
    <w:rsid w:val="00534756"/>
    <w:rsid w:val="0053475D"/>
    <w:rsid w:val="005347BD"/>
    <w:rsid w:val="0053484D"/>
    <w:rsid w:val="00534975"/>
    <w:rsid w:val="00534980"/>
    <w:rsid w:val="005349C3"/>
    <w:rsid w:val="00534A11"/>
    <w:rsid w:val="00534B0A"/>
    <w:rsid w:val="00534BEC"/>
    <w:rsid w:val="00534CB3"/>
    <w:rsid w:val="00534F65"/>
    <w:rsid w:val="0053517A"/>
    <w:rsid w:val="005353AB"/>
    <w:rsid w:val="0053564D"/>
    <w:rsid w:val="0053569F"/>
    <w:rsid w:val="005356E1"/>
    <w:rsid w:val="005357AA"/>
    <w:rsid w:val="00535849"/>
    <w:rsid w:val="00535B34"/>
    <w:rsid w:val="00535E5B"/>
    <w:rsid w:val="0053603F"/>
    <w:rsid w:val="005360D3"/>
    <w:rsid w:val="00536120"/>
    <w:rsid w:val="00536177"/>
    <w:rsid w:val="005362DC"/>
    <w:rsid w:val="0053642F"/>
    <w:rsid w:val="00536460"/>
    <w:rsid w:val="005364AB"/>
    <w:rsid w:val="00536501"/>
    <w:rsid w:val="00536520"/>
    <w:rsid w:val="00536566"/>
    <w:rsid w:val="0053661A"/>
    <w:rsid w:val="0053663C"/>
    <w:rsid w:val="005366F4"/>
    <w:rsid w:val="00536798"/>
    <w:rsid w:val="0053695B"/>
    <w:rsid w:val="00536B3F"/>
    <w:rsid w:val="00536C07"/>
    <w:rsid w:val="00536CE9"/>
    <w:rsid w:val="00536D7B"/>
    <w:rsid w:val="00537092"/>
    <w:rsid w:val="005370F6"/>
    <w:rsid w:val="005373EF"/>
    <w:rsid w:val="005374E3"/>
    <w:rsid w:val="005375CF"/>
    <w:rsid w:val="00537604"/>
    <w:rsid w:val="00537739"/>
    <w:rsid w:val="005377D2"/>
    <w:rsid w:val="00537993"/>
    <w:rsid w:val="00537F87"/>
    <w:rsid w:val="00537FB7"/>
    <w:rsid w:val="00540217"/>
    <w:rsid w:val="00540334"/>
    <w:rsid w:val="005407B4"/>
    <w:rsid w:val="00540999"/>
    <w:rsid w:val="00540B8D"/>
    <w:rsid w:val="00540CB7"/>
    <w:rsid w:val="00540D21"/>
    <w:rsid w:val="00540E82"/>
    <w:rsid w:val="00540E94"/>
    <w:rsid w:val="00540E9C"/>
    <w:rsid w:val="00540F7B"/>
    <w:rsid w:val="0054100C"/>
    <w:rsid w:val="0054108C"/>
    <w:rsid w:val="00541092"/>
    <w:rsid w:val="00541154"/>
    <w:rsid w:val="00541238"/>
    <w:rsid w:val="0054136D"/>
    <w:rsid w:val="00541443"/>
    <w:rsid w:val="0054195D"/>
    <w:rsid w:val="00541A16"/>
    <w:rsid w:val="00541AB9"/>
    <w:rsid w:val="00541B6B"/>
    <w:rsid w:val="00541DFA"/>
    <w:rsid w:val="00541E4D"/>
    <w:rsid w:val="00542316"/>
    <w:rsid w:val="00542377"/>
    <w:rsid w:val="00542398"/>
    <w:rsid w:val="005425DA"/>
    <w:rsid w:val="005425DF"/>
    <w:rsid w:val="005426C1"/>
    <w:rsid w:val="00542A8C"/>
    <w:rsid w:val="00542AF0"/>
    <w:rsid w:val="00542CAE"/>
    <w:rsid w:val="00542CEF"/>
    <w:rsid w:val="00543110"/>
    <w:rsid w:val="00543115"/>
    <w:rsid w:val="0054322E"/>
    <w:rsid w:val="00543444"/>
    <w:rsid w:val="005434D7"/>
    <w:rsid w:val="00543708"/>
    <w:rsid w:val="00543954"/>
    <w:rsid w:val="005439A0"/>
    <w:rsid w:val="005439CA"/>
    <w:rsid w:val="00543B2F"/>
    <w:rsid w:val="00543C36"/>
    <w:rsid w:val="00543DA9"/>
    <w:rsid w:val="00543EC1"/>
    <w:rsid w:val="00543F17"/>
    <w:rsid w:val="00543F32"/>
    <w:rsid w:val="00543F93"/>
    <w:rsid w:val="00544325"/>
    <w:rsid w:val="0054436A"/>
    <w:rsid w:val="005445D9"/>
    <w:rsid w:val="005445F6"/>
    <w:rsid w:val="00544632"/>
    <w:rsid w:val="005446E3"/>
    <w:rsid w:val="00544729"/>
    <w:rsid w:val="00544737"/>
    <w:rsid w:val="005447B2"/>
    <w:rsid w:val="0054484D"/>
    <w:rsid w:val="005448B1"/>
    <w:rsid w:val="00544B7F"/>
    <w:rsid w:val="00544D1C"/>
    <w:rsid w:val="00544D65"/>
    <w:rsid w:val="00545020"/>
    <w:rsid w:val="00545431"/>
    <w:rsid w:val="005454DA"/>
    <w:rsid w:val="005454ED"/>
    <w:rsid w:val="00545A22"/>
    <w:rsid w:val="00545A37"/>
    <w:rsid w:val="00545ACC"/>
    <w:rsid w:val="00545CC8"/>
    <w:rsid w:val="00545CDA"/>
    <w:rsid w:val="00545DC6"/>
    <w:rsid w:val="005464D0"/>
    <w:rsid w:val="00546520"/>
    <w:rsid w:val="0054658C"/>
    <w:rsid w:val="00546709"/>
    <w:rsid w:val="00546795"/>
    <w:rsid w:val="00546A43"/>
    <w:rsid w:val="00546BB1"/>
    <w:rsid w:val="00546C91"/>
    <w:rsid w:val="00546E4C"/>
    <w:rsid w:val="00546E93"/>
    <w:rsid w:val="00546EBE"/>
    <w:rsid w:val="00546FA6"/>
    <w:rsid w:val="00546FB1"/>
    <w:rsid w:val="00546FC4"/>
    <w:rsid w:val="005476EB"/>
    <w:rsid w:val="00547894"/>
    <w:rsid w:val="00547943"/>
    <w:rsid w:val="0054796E"/>
    <w:rsid w:val="00547988"/>
    <w:rsid w:val="00547ADD"/>
    <w:rsid w:val="00547C9F"/>
    <w:rsid w:val="00547CF1"/>
    <w:rsid w:val="00547DBD"/>
    <w:rsid w:val="00547E4A"/>
    <w:rsid w:val="00550811"/>
    <w:rsid w:val="005509E1"/>
    <w:rsid w:val="00550A41"/>
    <w:rsid w:val="00550B9D"/>
    <w:rsid w:val="00550D2D"/>
    <w:rsid w:val="00550DA5"/>
    <w:rsid w:val="00550E3B"/>
    <w:rsid w:val="00550F49"/>
    <w:rsid w:val="005511B4"/>
    <w:rsid w:val="00551217"/>
    <w:rsid w:val="005514B8"/>
    <w:rsid w:val="005516E1"/>
    <w:rsid w:val="0055170D"/>
    <w:rsid w:val="00551782"/>
    <w:rsid w:val="00551AFC"/>
    <w:rsid w:val="00551E4E"/>
    <w:rsid w:val="00551E9A"/>
    <w:rsid w:val="00551EF4"/>
    <w:rsid w:val="00551F3C"/>
    <w:rsid w:val="0055211D"/>
    <w:rsid w:val="00552272"/>
    <w:rsid w:val="0055247F"/>
    <w:rsid w:val="00552849"/>
    <w:rsid w:val="00552B36"/>
    <w:rsid w:val="00552C43"/>
    <w:rsid w:val="00552C8C"/>
    <w:rsid w:val="00552E98"/>
    <w:rsid w:val="00553176"/>
    <w:rsid w:val="005532EF"/>
    <w:rsid w:val="00553304"/>
    <w:rsid w:val="00553332"/>
    <w:rsid w:val="00553393"/>
    <w:rsid w:val="005535FA"/>
    <w:rsid w:val="00553633"/>
    <w:rsid w:val="005536AE"/>
    <w:rsid w:val="00553892"/>
    <w:rsid w:val="005538E2"/>
    <w:rsid w:val="005539CB"/>
    <w:rsid w:val="00553A37"/>
    <w:rsid w:val="00553A73"/>
    <w:rsid w:val="00553BAF"/>
    <w:rsid w:val="00553FE4"/>
    <w:rsid w:val="00554050"/>
    <w:rsid w:val="005543DE"/>
    <w:rsid w:val="00554484"/>
    <w:rsid w:val="005544D8"/>
    <w:rsid w:val="005546C1"/>
    <w:rsid w:val="0055484F"/>
    <w:rsid w:val="005549FD"/>
    <w:rsid w:val="00554A8A"/>
    <w:rsid w:val="00554AB8"/>
    <w:rsid w:val="00554ACB"/>
    <w:rsid w:val="00554B46"/>
    <w:rsid w:val="00554E0A"/>
    <w:rsid w:val="00555040"/>
    <w:rsid w:val="005557C9"/>
    <w:rsid w:val="005557D7"/>
    <w:rsid w:val="005557EA"/>
    <w:rsid w:val="00555819"/>
    <w:rsid w:val="00555D48"/>
    <w:rsid w:val="00555E5E"/>
    <w:rsid w:val="00555E9D"/>
    <w:rsid w:val="0055623B"/>
    <w:rsid w:val="005563C1"/>
    <w:rsid w:val="00556459"/>
    <w:rsid w:val="005564DE"/>
    <w:rsid w:val="00556B62"/>
    <w:rsid w:val="00556C06"/>
    <w:rsid w:val="00556CC3"/>
    <w:rsid w:val="00556D6A"/>
    <w:rsid w:val="00556DF1"/>
    <w:rsid w:val="00556EBD"/>
    <w:rsid w:val="00556FCF"/>
    <w:rsid w:val="0055714D"/>
    <w:rsid w:val="005573EB"/>
    <w:rsid w:val="00557420"/>
    <w:rsid w:val="00557518"/>
    <w:rsid w:val="00557528"/>
    <w:rsid w:val="005575D5"/>
    <w:rsid w:val="0055790B"/>
    <w:rsid w:val="00557EDB"/>
    <w:rsid w:val="00557F13"/>
    <w:rsid w:val="0056015D"/>
    <w:rsid w:val="0056024A"/>
    <w:rsid w:val="005602EB"/>
    <w:rsid w:val="00560441"/>
    <w:rsid w:val="0056058C"/>
    <w:rsid w:val="0056067D"/>
    <w:rsid w:val="00560785"/>
    <w:rsid w:val="005607EB"/>
    <w:rsid w:val="00560A86"/>
    <w:rsid w:val="00560D6E"/>
    <w:rsid w:val="00560E91"/>
    <w:rsid w:val="00560EE6"/>
    <w:rsid w:val="00560F11"/>
    <w:rsid w:val="00560FDB"/>
    <w:rsid w:val="00561085"/>
    <w:rsid w:val="00561535"/>
    <w:rsid w:val="005615D7"/>
    <w:rsid w:val="005615E9"/>
    <w:rsid w:val="0056170E"/>
    <w:rsid w:val="00561788"/>
    <w:rsid w:val="00561BBD"/>
    <w:rsid w:val="00561DBD"/>
    <w:rsid w:val="00561E04"/>
    <w:rsid w:val="00561ECB"/>
    <w:rsid w:val="00561EDA"/>
    <w:rsid w:val="00561F7F"/>
    <w:rsid w:val="005621F0"/>
    <w:rsid w:val="00562438"/>
    <w:rsid w:val="005624C2"/>
    <w:rsid w:val="00562511"/>
    <w:rsid w:val="00562586"/>
    <w:rsid w:val="0056282A"/>
    <w:rsid w:val="0056284E"/>
    <w:rsid w:val="00562D42"/>
    <w:rsid w:val="00562F04"/>
    <w:rsid w:val="00562F3B"/>
    <w:rsid w:val="00563190"/>
    <w:rsid w:val="005637D3"/>
    <w:rsid w:val="005637DF"/>
    <w:rsid w:val="00563854"/>
    <w:rsid w:val="005639E8"/>
    <w:rsid w:val="00563C6C"/>
    <w:rsid w:val="00563D4C"/>
    <w:rsid w:val="00563EF1"/>
    <w:rsid w:val="00563EF4"/>
    <w:rsid w:val="00564388"/>
    <w:rsid w:val="0056453D"/>
    <w:rsid w:val="005645B6"/>
    <w:rsid w:val="00564A40"/>
    <w:rsid w:val="00564BD6"/>
    <w:rsid w:val="00564D72"/>
    <w:rsid w:val="005651AF"/>
    <w:rsid w:val="005651C8"/>
    <w:rsid w:val="0056546F"/>
    <w:rsid w:val="005655D7"/>
    <w:rsid w:val="005658E3"/>
    <w:rsid w:val="00565938"/>
    <w:rsid w:val="005659FF"/>
    <w:rsid w:val="00565A4F"/>
    <w:rsid w:val="00565A50"/>
    <w:rsid w:val="00565A58"/>
    <w:rsid w:val="00565AA5"/>
    <w:rsid w:val="00565D6D"/>
    <w:rsid w:val="00565E9B"/>
    <w:rsid w:val="00565EEF"/>
    <w:rsid w:val="005660B3"/>
    <w:rsid w:val="005661FB"/>
    <w:rsid w:val="0056641F"/>
    <w:rsid w:val="005668FD"/>
    <w:rsid w:val="00566AB4"/>
    <w:rsid w:val="00566BFB"/>
    <w:rsid w:val="00566D6D"/>
    <w:rsid w:val="00566EC6"/>
    <w:rsid w:val="00566EE8"/>
    <w:rsid w:val="00566FC6"/>
    <w:rsid w:val="00567030"/>
    <w:rsid w:val="00567032"/>
    <w:rsid w:val="00567176"/>
    <w:rsid w:val="00567284"/>
    <w:rsid w:val="00567359"/>
    <w:rsid w:val="00567641"/>
    <w:rsid w:val="0056799D"/>
    <w:rsid w:val="00567C60"/>
    <w:rsid w:val="00567D0E"/>
    <w:rsid w:val="00567DDF"/>
    <w:rsid w:val="00567FE0"/>
    <w:rsid w:val="00570231"/>
    <w:rsid w:val="00570486"/>
    <w:rsid w:val="005705D4"/>
    <w:rsid w:val="005706B9"/>
    <w:rsid w:val="005706E7"/>
    <w:rsid w:val="00570767"/>
    <w:rsid w:val="0057080A"/>
    <w:rsid w:val="005709A0"/>
    <w:rsid w:val="00570A8F"/>
    <w:rsid w:val="00570AA6"/>
    <w:rsid w:val="00570AEC"/>
    <w:rsid w:val="00570AF9"/>
    <w:rsid w:val="0057104F"/>
    <w:rsid w:val="00571085"/>
    <w:rsid w:val="00571092"/>
    <w:rsid w:val="0057111F"/>
    <w:rsid w:val="005715F2"/>
    <w:rsid w:val="00571871"/>
    <w:rsid w:val="00571982"/>
    <w:rsid w:val="00571A93"/>
    <w:rsid w:val="00571C82"/>
    <w:rsid w:val="00571E76"/>
    <w:rsid w:val="005721F0"/>
    <w:rsid w:val="00572283"/>
    <w:rsid w:val="00572341"/>
    <w:rsid w:val="005723E8"/>
    <w:rsid w:val="00572411"/>
    <w:rsid w:val="00572469"/>
    <w:rsid w:val="0057258E"/>
    <w:rsid w:val="00572607"/>
    <w:rsid w:val="00572608"/>
    <w:rsid w:val="0057270F"/>
    <w:rsid w:val="00572789"/>
    <w:rsid w:val="00572915"/>
    <w:rsid w:val="00572AEF"/>
    <w:rsid w:val="00572D13"/>
    <w:rsid w:val="00572D8D"/>
    <w:rsid w:val="00572F67"/>
    <w:rsid w:val="0057301A"/>
    <w:rsid w:val="005730FE"/>
    <w:rsid w:val="0057313E"/>
    <w:rsid w:val="005731DA"/>
    <w:rsid w:val="0057321C"/>
    <w:rsid w:val="005733EF"/>
    <w:rsid w:val="00573671"/>
    <w:rsid w:val="00573739"/>
    <w:rsid w:val="00573812"/>
    <w:rsid w:val="00573B2D"/>
    <w:rsid w:val="00573C67"/>
    <w:rsid w:val="00573CBC"/>
    <w:rsid w:val="00573CEB"/>
    <w:rsid w:val="00573DD4"/>
    <w:rsid w:val="00573E2C"/>
    <w:rsid w:val="00573E70"/>
    <w:rsid w:val="00574025"/>
    <w:rsid w:val="00574347"/>
    <w:rsid w:val="005746A5"/>
    <w:rsid w:val="005747E7"/>
    <w:rsid w:val="005749DF"/>
    <w:rsid w:val="00574A07"/>
    <w:rsid w:val="00574A30"/>
    <w:rsid w:val="00574CF5"/>
    <w:rsid w:val="00574CFA"/>
    <w:rsid w:val="00574D32"/>
    <w:rsid w:val="00574DB3"/>
    <w:rsid w:val="00574FF1"/>
    <w:rsid w:val="00575091"/>
    <w:rsid w:val="00575180"/>
    <w:rsid w:val="0057547D"/>
    <w:rsid w:val="005754B7"/>
    <w:rsid w:val="0057563D"/>
    <w:rsid w:val="005756BC"/>
    <w:rsid w:val="005756BE"/>
    <w:rsid w:val="005756E6"/>
    <w:rsid w:val="0057570A"/>
    <w:rsid w:val="005757EA"/>
    <w:rsid w:val="005759F3"/>
    <w:rsid w:val="00575AC5"/>
    <w:rsid w:val="00575AD0"/>
    <w:rsid w:val="00575BC6"/>
    <w:rsid w:val="00575F9E"/>
    <w:rsid w:val="0057605D"/>
    <w:rsid w:val="005760AC"/>
    <w:rsid w:val="005760E2"/>
    <w:rsid w:val="00576201"/>
    <w:rsid w:val="005762EA"/>
    <w:rsid w:val="0057633C"/>
    <w:rsid w:val="005764CF"/>
    <w:rsid w:val="005765F0"/>
    <w:rsid w:val="005768EA"/>
    <w:rsid w:val="00576C38"/>
    <w:rsid w:val="00576D16"/>
    <w:rsid w:val="00576DBC"/>
    <w:rsid w:val="00576F77"/>
    <w:rsid w:val="00577246"/>
    <w:rsid w:val="00577318"/>
    <w:rsid w:val="0057745F"/>
    <w:rsid w:val="0057746E"/>
    <w:rsid w:val="00577726"/>
    <w:rsid w:val="00577793"/>
    <w:rsid w:val="005777A8"/>
    <w:rsid w:val="00577891"/>
    <w:rsid w:val="005778ED"/>
    <w:rsid w:val="00577900"/>
    <w:rsid w:val="0057793F"/>
    <w:rsid w:val="00577AC9"/>
    <w:rsid w:val="00577C45"/>
    <w:rsid w:val="00577E1B"/>
    <w:rsid w:val="0058010D"/>
    <w:rsid w:val="00580254"/>
    <w:rsid w:val="00580350"/>
    <w:rsid w:val="00580672"/>
    <w:rsid w:val="0058093C"/>
    <w:rsid w:val="00580B64"/>
    <w:rsid w:val="00580B75"/>
    <w:rsid w:val="00580D80"/>
    <w:rsid w:val="00580D82"/>
    <w:rsid w:val="00580DC5"/>
    <w:rsid w:val="00580E80"/>
    <w:rsid w:val="00580F9B"/>
    <w:rsid w:val="005810AE"/>
    <w:rsid w:val="0058113F"/>
    <w:rsid w:val="0058128C"/>
    <w:rsid w:val="0058130F"/>
    <w:rsid w:val="00581347"/>
    <w:rsid w:val="005817BB"/>
    <w:rsid w:val="005818EB"/>
    <w:rsid w:val="00581AC9"/>
    <w:rsid w:val="00581B5D"/>
    <w:rsid w:val="00581C0E"/>
    <w:rsid w:val="00581CC5"/>
    <w:rsid w:val="00581DA2"/>
    <w:rsid w:val="00581E18"/>
    <w:rsid w:val="00581E31"/>
    <w:rsid w:val="00581FBE"/>
    <w:rsid w:val="00582036"/>
    <w:rsid w:val="0058237E"/>
    <w:rsid w:val="0058238C"/>
    <w:rsid w:val="0058242F"/>
    <w:rsid w:val="00582494"/>
    <w:rsid w:val="0058257F"/>
    <w:rsid w:val="00582600"/>
    <w:rsid w:val="005826F6"/>
    <w:rsid w:val="005827AC"/>
    <w:rsid w:val="005827E3"/>
    <w:rsid w:val="00582845"/>
    <w:rsid w:val="00582AA6"/>
    <w:rsid w:val="00582CD4"/>
    <w:rsid w:val="00583210"/>
    <w:rsid w:val="00583240"/>
    <w:rsid w:val="00583400"/>
    <w:rsid w:val="00583543"/>
    <w:rsid w:val="0058366C"/>
    <w:rsid w:val="0058387D"/>
    <w:rsid w:val="00583942"/>
    <w:rsid w:val="00583B24"/>
    <w:rsid w:val="00583B67"/>
    <w:rsid w:val="00583BA4"/>
    <w:rsid w:val="00583C80"/>
    <w:rsid w:val="00583D39"/>
    <w:rsid w:val="00583E79"/>
    <w:rsid w:val="00584107"/>
    <w:rsid w:val="0058415B"/>
    <w:rsid w:val="005841C3"/>
    <w:rsid w:val="005842B9"/>
    <w:rsid w:val="005842D1"/>
    <w:rsid w:val="00584442"/>
    <w:rsid w:val="0058461C"/>
    <w:rsid w:val="005848CA"/>
    <w:rsid w:val="005849F8"/>
    <w:rsid w:val="00584AFE"/>
    <w:rsid w:val="00584B51"/>
    <w:rsid w:val="00584E45"/>
    <w:rsid w:val="00584E74"/>
    <w:rsid w:val="00584F69"/>
    <w:rsid w:val="005850E5"/>
    <w:rsid w:val="00585262"/>
    <w:rsid w:val="0058550A"/>
    <w:rsid w:val="00585589"/>
    <w:rsid w:val="005855FD"/>
    <w:rsid w:val="0058568B"/>
    <w:rsid w:val="00585701"/>
    <w:rsid w:val="005857DB"/>
    <w:rsid w:val="0058590D"/>
    <w:rsid w:val="00585AFF"/>
    <w:rsid w:val="00585CCF"/>
    <w:rsid w:val="00585D30"/>
    <w:rsid w:val="00585FB0"/>
    <w:rsid w:val="00586083"/>
    <w:rsid w:val="005864C7"/>
    <w:rsid w:val="00586555"/>
    <w:rsid w:val="005865DC"/>
    <w:rsid w:val="00586697"/>
    <w:rsid w:val="00586730"/>
    <w:rsid w:val="0058673D"/>
    <w:rsid w:val="005869DB"/>
    <w:rsid w:val="00586A0E"/>
    <w:rsid w:val="00586AF1"/>
    <w:rsid w:val="00586CBC"/>
    <w:rsid w:val="00586D6A"/>
    <w:rsid w:val="00586ECD"/>
    <w:rsid w:val="00587058"/>
    <w:rsid w:val="0058707B"/>
    <w:rsid w:val="005871F9"/>
    <w:rsid w:val="005872F5"/>
    <w:rsid w:val="00587303"/>
    <w:rsid w:val="0058733B"/>
    <w:rsid w:val="005875CE"/>
    <w:rsid w:val="00587A93"/>
    <w:rsid w:val="00587ADD"/>
    <w:rsid w:val="00587B0B"/>
    <w:rsid w:val="00587B74"/>
    <w:rsid w:val="00587ED8"/>
    <w:rsid w:val="00587F60"/>
    <w:rsid w:val="00590144"/>
    <w:rsid w:val="0059035B"/>
    <w:rsid w:val="005903DC"/>
    <w:rsid w:val="005904A8"/>
    <w:rsid w:val="0059058C"/>
    <w:rsid w:val="0059059D"/>
    <w:rsid w:val="005906DE"/>
    <w:rsid w:val="005907B7"/>
    <w:rsid w:val="005907CB"/>
    <w:rsid w:val="00590855"/>
    <w:rsid w:val="005908D1"/>
    <w:rsid w:val="00590985"/>
    <w:rsid w:val="00590A3D"/>
    <w:rsid w:val="00590B6B"/>
    <w:rsid w:val="00590CE6"/>
    <w:rsid w:val="00590E0B"/>
    <w:rsid w:val="00590E65"/>
    <w:rsid w:val="00590F13"/>
    <w:rsid w:val="00590FE2"/>
    <w:rsid w:val="0059126B"/>
    <w:rsid w:val="00591471"/>
    <w:rsid w:val="005914B9"/>
    <w:rsid w:val="0059167A"/>
    <w:rsid w:val="00591848"/>
    <w:rsid w:val="00591ACF"/>
    <w:rsid w:val="00591BA8"/>
    <w:rsid w:val="00591CF2"/>
    <w:rsid w:val="00591E57"/>
    <w:rsid w:val="005921B3"/>
    <w:rsid w:val="00592595"/>
    <w:rsid w:val="0059264E"/>
    <w:rsid w:val="005926D5"/>
    <w:rsid w:val="0059270A"/>
    <w:rsid w:val="00592786"/>
    <w:rsid w:val="005929B8"/>
    <w:rsid w:val="00592AC5"/>
    <w:rsid w:val="00592C75"/>
    <w:rsid w:val="00592C85"/>
    <w:rsid w:val="00592CDA"/>
    <w:rsid w:val="00592D33"/>
    <w:rsid w:val="00592D99"/>
    <w:rsid w:val="00592E95"/>
    <w:rsid w:val="005930B7"/>
    <w:rsid w:val="0059319D"/>
    <w:rsid w:val="0059380F"/>
    <w:rsid w:val="005938DF"/>
    <w:rsid w:val="00593936"/>
    <w:rsid w:val="00593CA6"/>
    <w:rsid w:val="00593E6D"/>
    <w:rsid w:val="00593E75"/>
    <w:rsid w:val="00593EF5"/>
    <w:rsid w:val="00593FB2"/>
    <w:rsid w:val="00593FEF"/>
    <w:rsid w:val="0059410B"/>
    <w:rsid w:val="0059416F"/>
    <w:rsid w:val="005941A3"/>
    <w:rsid w:val="00594221"/>
    <w:rsid w:val="00594415"/>
    <w:rsid w:val="00594584"/>
    <w:rsid w:val="00594667"/>
    <w:rsid w:val="005946D7"/>
    <w:rsid w:val="005948AA"/>
    <w:rsid w:val="00594A37"/>
    <w:rsid w:val="00594ABB"/>
    <w:rsid w:val="00594C50"/>
    <w:rsid w:val="00594E49"/>
    <w:rsid w:val="00594E9C"/>
    <w:rsid w:val="00594F18"/>
    <w:rsid w:val="00594F37"/>
    <w:rsid w:val="00595342"/>
    <w:rsid w:val="005954F3"/>
    <w:rsid w:val="0059562E"/>
    <w:rsid w:val="00595650"/>
    <w:rsid w:val="00595880"/>
    <w:rsid w:val="005958A0"/>
    <w:rsid w:val="00595941"/>
    <w:rsid w:val="00595A2C"/>
    <w:rsid w:val="00595B0C"/>
    <w:rsid w:val="00595E44"/>
    <w:rsid w:val="00596442"/>
    <w:rsid w:val="005964C3"/>
    <w:rsid w:val="0059665D"/>
    <w:rsid w:val="00596707"/>
    <w:rsid w:val="005968EC"/>
    <w:rsid w:val="00596A0E"/>
    <w:rsid w:val="00596A30"/>
    <w:rsid w:val="00596A86"/>
    <w:rsid w:val="00596A9C"/>
    <w:rsid w:val="00596B10"/>
    <w:rsid w:val="00596B24"/>
    <w:rsid w:val="00596DB5"/>
    <w:rsid w:val="00596F37"/>
    <w:rsid w:val="00596FD4"/>
    <w:rsid w:val="00597090"/>
    <w:rsid w:val="005973F4"/>
    <w:rsid w:val="00597442"/>
    <w:rsid w:val="00597474"/>
    <w:rsid w:val="005975BF"/>
    <w:rsid w:val="00597635"/>
    <w:rsid w:val="00597863"/>
    <w:rsid w:val="00597938"/>
    <w:rsid w:val="00597BD5"/>
    <w:rsid w:val="005A0189"/>
    <w:rsid w:val="005A02C9"/>
    <w:rsid w:val="005A041E"/>
    <w:rsid w:val="005A04AC"/>
    <w:rsid w:val="005A04FA"/>
    <w:rsid w:val="005A092B"/>
    <w:rsid w:val="005A099B"/>
    <w:rsid w:val="005A0ACC"/>
    <w:rsid w:val="005A0B69"/>
    <w:rsid w:val="005A0C6D"/>
    <w:rsid w:val="005A0C72"/>
    <w:rsid w:val="005A0F0D"/>
    <w:rsid w:val="005A0FD9"/>
    <w:rsid w:val="005A11D1"/>
    <w:rsid w:val="005A1281"/>
    <w:rsid w:val="005A1290"/>
    <w:rsid w:val="005A1669"/>
    <w:rsid w:val="005A171B"/>
    <w:rsid w:val="005A195C"/>
    <w:rsid w:val="005A19E6"/>
    <w:rsid w:val="005A1A6A"/>
    <w:rsid w:val="005A1A86"/>
    <w:rsid w:val="005A1BEF"/>
    <w:rsid w:val="005A1C66"/>
    <w:rsid w:val="005A1CF3"/>
    <w:rsid w:val="005A1D5F"/>
    <w:rsid w:val="005A209C"/>
    <w:rsid w:val="005A20DC"/>
    <w:rsid w:val="005A21F1"/>
    <w:rsid w:val="005A2306"/>
    <w:rsid w:val="005A239E"/>
    <w:rsid w:val="005A23A0"/>
    <w:rsid w:val="005A2469"/>
    <w:rsid w:val="005A2732"/>
    <w:rsid w:val="005A298B"/>
    <w:rsid w:val="005A2A1A"/>
    <w:rsid w:val="005A2AB5"/>
    <w:rsid w:val="005A2BAF"/>
    <w:rsid w:val="005A2CC2"/>
    <w:rsid w:val="005A2CCB"/>
    <w:rsid w:val="005A2D34"/>
    <w:rsid w:val="005A2D9C"/>
    <w:rsid w:val="005A2DE2"/>
    <w:rsid w:val="005A307D"/>
    <w:rsid w:val="005A30CE"/>
    <w:rsid w:val="005A30F3"/>
    <w:rsid w:val="005A314C"/>
    <w:rsid w:val="005A3208"/>
    <w:rsid w:val="005A32AB"/>
    <w:rsid w:val="005A338A"/>
    <w:rsid w:val="005A341E"/>
    <w:rsid w:val="005A3437"/>
    <w:rsid w:val="005A357E"/>
    <w:rsid w:val="005A3939"/>
    <w:rsid w:val="005A3A32"/>
    <w:rsid w:val="005A3C4A"/>
    <w:rsid w:val="005A3CEC"/>
    <w:rsid w:val="005A3ED7"/>
    <w:rsid w:val="005A40FF"/>
    <w:rsid w:val="005A4202"/>
    <w:rsid w:val="005A451D"/>
    <w:rsid w:val="005A4524"/>
    <w:rsid w:val="005A4557"/>
    <w:rsid w:val="005A455F"/>
    <w:rsid w:val="005A45B5"/>
    <w:rsid w:val="005A476D"/>
    <w:rsid w:val="005A4BF6"/>
    <w:rsid w:val="005A4C8D"/>
    <w:rsid w:val="005A4D9D"/>
    <w:rsid w:val="005A4DEA"/>
    <w:rsid w:val="005A4E67"/>
    <w:rsid w:val="005A4FD0"/>
    <w:rsid w:val="005A52E2"/>
    <w:rsid w:val="005A53C2"/>
    <w:rsid w:val="005A5452"/>
    <w:rsid w:val="005A552A"/>
    <w:rsid w:val="005A5563"/>
    <w:rsid w:val="005A55FE"/>
    <w:rsid w:val="005A5694"/>
    <w:rsid w:val="005A57DE"/>
    <w:rsid w:val="005A5A4F"/>
    <w:rsid w:val="005A5C34"/>
    <w:rsid w:val="005A60B1"/>
    <w:rsid w:val="005A60F4"/>
    <w:rsid w:val="005A6245"/>
    <w:rsid w:val="005A641F"/>
    <w:rsid w:val="005A665E"/>
    <w:rsid w:val="005A6715"/>
    <w:rsid w:val="005A67F8"/>
    <w:rsid w:val="005A6999"/>
    <w:rsid w:val="005A6A11"/>
    <w:rsid w:val="005A6B9E"/>
    <w:rsid w:val="005A6BED"/>
    <w:rsid w:val="005A6C79"/>
    <w:rsid w:val="005A6CCA"/>
    <w:rsid w:val="005A6E88"/>
    <w:rsid w:val="005A6EA6"/>
    <w:rsid w:val="005A6EB5"/>
    <w:rsid w:val="005A6F3E"/>
    <w:rsid w:val="005A6FF8"/>
    <w:rsid w:val="005A7058"/>
    <w:rsid w:val="005A7214"/>
    <w:rsid w:val="005A725C"/>
    <w:rsid w:val="005A72B7"/>
    <w:rsid w:val="005A75F8"/>
    <w:rsid w:val="005A77A1"/>
    <w:rsid w:val="005A77C0"/>
    <w:rsid w:val="005A77EC"/>
    <w:rsid w:val="005A7B18"/>
    <w:rsid w:val="005A7DCD"/>
    <w:rsid w:val="005A7F41"/>
    <w:rsid w:val="005B01E8"/>
    <w:rsid w:val="005B02D2"/>
    <w:rsid w:val="005B03B9"/>
    <w:rsid w:val="005B04A7"/>
    <w:rsid w:val="005B04CE"/>
    <w:rsid w:val="005B0514"/>
    <w:rsid w:val="005B065F"/>
    <w:rsid w:val="005B06BF"/>
    <w:rsid w:val="005B077C"/>
    <w:rsid w:val="005B09B2"/>
    <w:rsid w:val="005B0A71"/>
    <w:rsid w:val="005B0AA3"/>
    <w:rsid w:val="005B0B7E"/>
    <w:rsid w:val="005B0E43"/>
    <w:rsid w:val="005B0F97"/>
    <w:rsid w:val="005B10D5"/>
    <w:rsid w:val="005B10F5"/>
    <w:rsid w:val="005B12AC"/>
    <w:rsid w:val="005B1611"/>
    <w:rsid w:val="005B19B1"/>
    <w:rsid w:val="005B1A23"/>
    <w:rsid w:val="005B1B01"/>
    <w:rsid w:val="005B1C6C"/>
    <w:rsid w:val="005B1D58"/>
    <w:rsid w:val="005B1D8E"/>
    <w:rsid w:val="005B21DF"/>
    <w:rsid w:val="005B2297"/>
    <w:rsid w:val="005B234F"/>
    <w:rsid w:val="005B24C5"/>
    <w:rsid w:val="005B27D2"/>
    <w:rsid w:val="005B2BB9"/>
    <w:rsid w:val="005B2BBC"/>
    <w:rsid w:val="005B2C26"/>
    <w:rsid w:val="005B2D50"/>
    <w:rsid w:val="005B2DEE"/>
    <w:rsid w:val="005B2E16"/>
    <w:rsid w:val="005B2F0D"/>
    <w:rsid w:val="005B30F8"/>
    <w:rsid w:val="005B321A"/>
    <w:rsid w:val="005B3676"/>
    <w:rsid w:val="005B3694"/>
    <w:rsid w:val="005B38EB"/>
    <w:rsid w:val="005B399B"/>
    <w:rsid w:val="005B3F2F"/>
    <w:rsid w:val="005B3FF8"/>
    <w:rsid w:val="005B4155"/>
    <w:rsid w:val="005B4273"/>
    <w:rsid w:val="005B42BA"/>
    <w:rsid w:val="005B42F8"/>
    <w:rsid w:val="005B4507"/>
    <w:rsid w:val="005B4AC3"/>
    <w:rsid w:val="005B4AED"/>
    <w:rsid w:val="005B4AF1"/>
    <w:rsid w:val="005B4F46"/>
    <w:rsid w:val="005B4FCE"/>
    <w:rsid w:val="005B5178"/>
    <w:rsid w:val="005B535B"/>
    <w:rsid w:val="005B5414"/>
    <w:rsid w:val="005B54D9"/>
    <w:rsid w:val="005B5701"/>
    <w:rsid w:val="005B594E"/>
    <w:rsid w:val="005B5A0B"/>
    <w:rsid w:val="005B5B28"/>
    <w:rsid w:val="005B5B60"/>
    <w:rsid w:val="005B5D4B"/>
    <w:rsid w:val="005B5DF2"/>
    <w:rsid w:val="005B5DF9"/>
    <w:rsid w:val="005B5EB3"/>
    <w:rsid w:val="005B6217"/>
    <w:rsid w:val="005B6224"/>
    <w:rsid w:val="005B637C"/>
    <w:rsid w:val="005B6489"/>
    <w:rsid w:val="005B6773"/>
    <w:rsid w:val="005B6C92"/>
    <w:rsid w:val="005B6D03"/>
    <w:rsid w:val="005B6D89"/>
    <w:rsid w:val="005B6EED"/>
    <w:rsid w:val="005B6F01"/>
    <w:rsid w:val="005B7062"/>
    <w:rsid w:val="005B7167"/>
    <w:rsid w:val="005B716B"/>
    <w:rsid w:val="005B7335"/>
    <w:rsid w:val="005B7351"/>
    <w:rsid w:val="005B753E"/>
    <w:rsid w:val="005B7636"/>
    <w:rsid w:val="005B764B"/>
    <w:rsid w:val="005B775D"/>
    <w:rsid w:val="005B78E2"/>
    <w:rsid w:val="005B7BCD"/>
    <w:rsid w:val="005B7C2E"/>
    <w:rsid w:val="005B7CB0"/>
    <w:rsid w:val="005B7CDB"/>
    <w:rsid w:val="005B7DA7"/>
    <w:rsid w:val="005C0010"/>
    <w:rsid w:val="005C001C"/>
    <w:rsid w:val="005C055D"/>
    <w:rsid w:val="005C0572"/>
    <w:rsid w:val="005C0745"/>
    <w:rsid w:val="005C0980"/>
    <w:rsid w:val="005C09D8"/>
    <w:rsid w:val="005C0C2C"/>
    <w:rsid w:val="005C0EBD"/>
    <w:rsid w:val="005C0F38"/>
    <w:rsid w:val="005C122E"/>
    <w:rsid w:val="005C1647"/>
    <w:rsid w:val="005C18B0"/>
    <w:rsid w:val="005C1950"/>
    <w:rsid w:val="005C1973"/>
    <w:rsid w:val="005C1A3D"/>
    <w:rsid w:val="005C1B2D"/>
    <w:rsid w:val="005C1CC5"/>
    <w:rsid w:val="005C1CDB"/>
    <w:rsid w:val="005C1D2A"/>
    <w:rsid w:val="005C1EDD"/>
    <w:rsid w:val="005C214F"/>
    <w:rsid w:val="005C2177"/>
    <w:rsid w:val="005C21FA"/>
    <w:rsid w:val="005C250E"/>
    <w:rsid w:val="005C2579"/>
    <w:rsid w:val="005C2713"/>
    <w:rsid w:val="005C281F"/>
    <w:rsid w:val="005C2936"/>
    <w:rsid w:val="005C2D0E"/>
    <w:rsid w:val="005C2D8B"/>
    <w:rsid w:val="005C2E03"/>
    <w:rsid w:val="005C2E52"/>
    <w:rsid w:val="005C2EE0"/>
    <w:rsid w:val="005C2F1A"/>
    <w:rsid w:val="005C2F5E"/>
    <w:rsid w:val="005C2F9A"/>
    <w:rsid w:val="005C311A"/>
    <w:rsid w:val="005C3355"/>
    <w:rsid w:val="005C33FF"/>
    <w:rsid w:val="005C34AB"/>
    <w:rsid w:val="005C34EF"/>
    <w:rsid w:val="005C35D9"/>
    <w:rsid w:val="005C35F1"/>
    <w:rsid w:val="005C369A"/>
    <w:rsid w:val="005C3B20"/>
    <w:rsid w:val="005C3C85"/>
    <w:rsid w:val="005C41D1"/>
    <w:rsid w:val="005C42BB"/>
    <w:rsid w:val="005C480E"/>
    <w:rsid w:val="005C4951"/>
    <w:rsid w:val="005C4BDD"/>
    <w:rsid w:val="005C4EBA"/>
    <w:rsid w:val="005C51AC"/>
    <w:rsid w:val="005C5254"/>
    <w:rsid w:val="005C5358"/>
    <w:rsid w:val="005C54CE"/>
    <w:rsid w:val="005C5670"/>
    <w:rsid w:val="005C58B2"/>
    <w:rsid w:val="005C58FC"/>
    <w:rsid w:val="005C5940"/>
    <w:rsid w:val="005C5A0F"/>
    <w:rsid w:val="005C5A47"/>
    <w:rsid w:val="005C5B8F"/>
    <w:rsid w:val="005C5BE0"/>
    <w:rsid w:val="005C5D83"/>
    <w:rsid w:val="005C5DF7"/>
    <w:rsid w:val="005C5E71"/>
    <w:rsid w:val="005C604E"/>
    <w:rsid w:val="005C60A3"/>
    <w:rsid w:val="005C632B"/>
    <w:rsid w:val="005C64A4"/>
    <w:rsid w:val="005C66E4"/>
    <w:rsid w:val="005C6764"/>
    <w:rsid w:val="005C6BD0"/>
    <w:rsid w:val="005C6DBC"/>
    <w:rsid w:val="005C6E09"/>
    <w:rsid w:val="005C6FCF"/>
    <w:rsid w:val="005C70A0"/>
    <w:rsid w:val="005C70E9"/>
    <w:rsid w:val="005C716C"/>
    <w:rsid w:val="005C73AC"/>
    <w:rsid w:val="005C7642"/>
    <w:rsid w:val="005C78B8"/>
    <w:rsid w:val="005C794A"/>
    <w:rsid w:val="005C79C4"/>
    <w:rsid w:val="005C7AFC"/>
    <w:rsid w:val="005C7E7D"/>
    <w:rsid w:val="005C7EF1"/>
    <w:rsid w:val="005C7EFF"/>
    <w:rsid w:val="005D00E1"/>
    <w:rsid w:val="005D0281"/>
    <w:rsid w:val="005D0448"/>
    <w:rsid w:val="005D044D"/>
    <w:rsid w:val="005D049F"/>
    <w:rsid w:val="005D04CA"/>
    <w:rsid w:val="005D0B31"/>
    <w:rsid w:val="005D0B5D"/>
    <w:rsid w:val="005D0F3B"/>
    <w:rsid w:val="005D10D4"/>
    <w:rsid w:val="005D11AA"/>
    <w:rsid w:val="005D1213"/>
    <w:rsid w:val="005D1263"/>
    <w:rsid w:val="005D1587"/>
    <w:rsid w:val="005D1761"/>
    <w:rsid w:val="005D18D6"/>
    <w:rsid w:val="005D1A33"/>
    <w:rsid w:val="005D1B43"/>
    <w:rsid w:val="005D1C7B"/>
    <w:rsid w:val="005D1D2B"/>
    <w:rsid w:val="005D1D45"/>
    <w:rsid w:val="005D1E42"/>
    <w:rsid w:val="005D1F96"/>
    <w:rsid w:val="005D1FAE"/>
    <w:rsid w:val="005D210B"/>
    <w:rsid w:val="005D2171"/>
    <w:rsid w:val="005D229D"/>
    <w:rsid w:val="005D22DB"/>
    <w:rsid w:val="005D248A"/>
    <w:rsid w:val="005D2502"/>
    <w:rsid w:val="005D265B"/>
    <w:rsid w:val="005D267B"/>
    <w:rsid w:val="005D26FB"/>
    <w:rsid w:val="005D2716"/>
    <w:rsid w:val="005D289B"/>
    <w:rsid w:val="005D2B05"/>
    <w:rsid w:val="005D2C77"/>
    <w:rsid w:val="005D2CDF"/>
    <w:rsid w:val="005D2E34"/>
    <w:rsid w:val="005D2EC1"/>
    <w:rsid w:val="005D3172"/>
    <w:rsid w:val="005D32A9"/>
    <w:rsid w:val="005D32E7"/>
    <w:rsid w:val="005D3322"/>
    <w:rsid w:val="005D332E"/>
    <w:rsid w:val="005D34DC"/>
    <w:rsid w:val="005D3608"/>
    <w:rsid w:val="005D3612"/>
    <w:rsid w:val="005D37AB"/>
    <w:rsid w:val="005D3A1C"/>
    <w:rsid w:val="005D3DA1"/>
    <w:rsid w:val="005D3EBC"/>
    <w:rsid w:val="005D40BB"/>
    <w:rsid w:val="005D43FA"/>
    <w:rsid w:val="005D4439"/>
    <w:rsid w:val="005D44C3"/>
    <w:rsid w:val="005D453E"/>
    <w:rsid w:val="005D4542"/>
    <w:rsid w:val="005D47F3"/>
    <w:rsid w:val="005D480E"/>
    <w:rsid w:val="005D49BF"/>
    <w:rsid w:val="005D4AA5"/>
    <w:rsid w:val="005D4AE2"/>
    <w:rsid w:val="005D4C69"/>
    <w:rsid w:val="005D501B"/>
    <w:rsid w:val="005D50AF"/>
    <w:rsid w:val="005D522D"/>
    <w:rsid w:val="005D52C5"/>
    <w:rsid w:val="005D55E3"/>
    <w:rsid w:val="005D56CC"/>
    <w:rsid w:val="005D582A"/>
    <w:rsid w:val="005D5842"/>
    <w:rsid w:val="005D5866"/>
    <w:rsid w:val="005D5938"/>
    <w:rsid w:val="005D5B97"/>
    <w:rsid w:val="005D5BB5"/>
    <w:rsid w:val="005D5BF0"/>
    <w:rsid w:val="005D5C29"/>
    <w:rsid w:val="005D5CB5"/>
    <w:rsid w:val="005D5EC2"/>
    <w:rsid w:val="005D5ECE"/>
    <w:rsid w:val="005D6065"/>
    <w:rsid w:val="005D61A8"/>
    <w:rsid w:val="005D62F8"/>
    <w:rsid w:val="005D63A0"/>
    <w:rsid w:val="005D657E"/>
    <w:rsid w:val="005D67B8"/>
    <w:rsid w:val="005D6C8D"/>
    <w:rsid w:val="005D6D99"/>
    <w:rsid w:val="005D6D9C"/>
    <w:rsid w:val="005D6F4E"/>
    <w:rsid w:val="005D70B0"/>
    <w:rsid w:val="005D7122"/>
    <w:rsid w:val="005D72A6"/>
    <w:rsid w:val="005D73C0"/>
    <w:rsid w:val="005D753E"/>
    <w:rsid w:val="005D7596"/>
    <w:rsid w:val="005D78BB"/>
    <w:rsid w:val="005D79CA"/>
    <w:rsid w:val="005D7C73"/>
    <w:rsid w:val="005E00B2"/>
    <w:rsid w:val="005E03E7"/>
    <w:rsid w:val="005E0458"/>
    <w:rsid w:val="005E0480"/>
    <w:rsid w:val="005E0723"/>
    <w:rsid w:val="005E07AF"/>
    <w:rsid w:val="005E0898"/>
    <w:rsid w:val="005E09A6"/>
    <w:rsid w:val="005E0AC8"/>
    <w:rsid w:val="005E0AF5"/>
    <w:rsid w:val="005E0AF8"/>
    <w:rsid w:val="005E0AFB"/>
    <w:rsid w:val="005E0C4C"/>
    <w:rsid w:val="005E0E59"/>
    <w:rsid w:val="005E113E"/>
    <w:rsid w:val="005E1234"/>
    <w:rsid w:val="005E131E"/>
    <w:rsid w:val="005E146C"/>
    <w:rsid w:val="005E172A"/>
    <w:rsid w:val="005E18D9"/>
    <w:rsid w:val="005E18ED"/>
    <w:rsid w:val="005E1912"/>
    <w:rsid w:val="005E1A27"/>
    <w:rsid w:val="005E1AF9"/>
    <w:rsid w:val="005E1E9A"/>
    <w:rsid w:val="005E1F74"/>
    <w:rsid w:val="005E2139"/>
    <w:rsid w:val="005E2449"/>
    <w:rsid w:val="005E24FD"/>
    <w:rsid w:val="005E250B"/>
    <w:rsid w:val="005E2552"/>
    <w:rsid w:val="005E2611"/>
    <w:rsid w:val="005E29B7"/>
    <w:rsid w:val="005E29EF"/>
    <w:rsid w:val="005E2C8C"/>
    <w:rsid w:val="005E2D39"/>
    <w:rsid w:val="005E2DB2"/>
    <w:rsid w:val="005E315E"/>
    <w:rsid w:val="005E31E0"/>
    <w:rsid w:val="005E36C9"/>
    <w:rsid w:val="005E39BE"/>
    <w:rsid w:val="005E39D8"/>
    <w:rsid w:val="005E3ACD"/>
    <w:rsid w:val="005E3AEA"/>
    <w:rsid w:val="005E3BD5"/>
    <w:rsid w:val="005E3C5B"/>
    <w:rsid w:val="005E3DC3"/>
    <w:rsid w:val="005E3E09"/>
    <w:rsid w:val="005E4003"/>
    <w:rsid w:val="005E4030"/>
    <w:rsid w:val="005E412D"/>
    <w:rsid w:val="005E41E5"/>
    <w:rsid w:val="005E42BF"/>
    <w:rsid w:val="005E4386"/>
    <w:rsid w:val="005E4483"/>
    <w:rsid w:val="005E455C"/>
    <w:rsid w:val="005E4678"/>
    <w:rsid w:val="005E493B"/>
    <w:rsid w:val="005E4A0D"/>
    <w:rsid w:val="005E4AA2"/>
    <w:rsid w:val="005E4D18"/>
    <w:rsid w:val="005E4DCC"/>
    <w:rsid w:val="005E4EA3"/>
    <w:rsid w:val="005E4FFB"/>
    <w:rsid w:val="005E5163"/>
    <w:rsid w:val="005E535C"/>
    <w:rsid w:val="005E548C"/>
    <w:rsid w:val="005E5693"/>
    <w:rsid w:val="005E56B2"/>
    <w:rsid w:val="005E5855"/>
    <w:rsid w:val="005E5880"/>
    <w:rsid w:val="005E58EE"/>
    <w:rsid w:val="005E595E"/>
    <w:rsid w:val="005E5A32"/>
    <w:rsid w:val="005E5B48"/>
    <w:rsid w:val="005E5CE1"/>
    <w:rsid w:val="005E5E81"/>
    <w:rsid w:val="005E5FD5"/>
    <w:rsid w:val="005E60B3"/>
    <w:rsid w:val="005E65AD"/>
    <w:rsid w:val="005E66DF"/>
    <w:rsid w:val="005E674A"/>
    <w:rsid w:val="005E690B"/>
    <w:rsid w:val="005E6A5C"/>
    <w:rsid w:val="005E6B57"/>
    <w:rsid w:val="005E6B7A"/>
    <w:rsid w:val="005E6C3C"/>
    <w:rsid w:val="005E6C89"/>
    <w:rsid w:val="005E6D11"/>
    <w:rsid w:val="005E711B"/>
    <w:rsid w:val="005E7226"/>
    <w:rsid w:val="005E7234"/>
    <w:rsid w:val="005E7259"/>
    <w:rsid w:val="005E7692"/>
    <w:rsid w:val="005E77EB"/>
    <w:rsid w:val="005E784F"/>
    <w:rsid w:val="005E78B2"/>
    <w:rsid w:val="005E7A57"/>
    <w:rsid w:val="005E7B75"/>
    <w:rsid w:val="005E7BE9"/>
    <w:rsid w:val="005E7CEC"/>
    <w:rsid w:val="005F00A7"/>
    <w:rsid w:val="005F00E1"/>
    <w:rsid w:val="005F0258"/>
    <w:rsid w:val="005F03B2"/>
    <w:rsid w:val="005F0526"/>
    <w:rsid w:val="005F0591"/>
    <w:rsid w:val="005F070B"/>
    <w:rsid w:val="005F07B5"/>
    <w:rsid w:val="005F08B8"/>
    <w:rsid w:val="005F0BF5"/>
    <w:rsid w:val="005F0C04"/>
    <w:rsid w:val="005F0C45"/>
    <w:rsid w:val="005F0C65"/>
    <w:rsid w:val="005F0D44"/>
    <w:rsid w:val="005F0DBE"/>
    <w:rsid w:val="005F0EDE"/>
    <w:rsid w:val="005F0F8D"/>
    <w:rsid w:val="005F0F8F"/>
    <w:rsid w:val="005F1089"/>
    <w:rsid w:val="005F156C"/>
    <w:rsid w:val="005F1767"/>
    <w:rsid w:val="005F1791"/>
    <w:rsid w:val="005F1867"/>
    <w:rsid w:val="005F18A9"/>
    <w:rsid w:val="005F19B7"/>
    <w:rsid w:val="005F1C2F"/>
    <w:rsid w:val="005F1D9A"/>
    <w:rsid w:val="005F1E2E"/>
    <w:rsid w:val="005F1E96"/>
    <w:rsid w:val="005F1ED7"/>
    <w:rsid w:val="005F21B1"/>
    <w:rsid w:val="005F21FE"/>
    <w:rsid w:val="005F22A1"/>
    <w:rsid w:val="005F22A7"/>
    <w:rsid w:val="005F2468"/>
    <w:rsid w:val="005F248F"/>
    <w:rsid w:val="005F24B0"/>
    <w:rsid w:val="005F2652"/>
    <w:rsid w:val="005F2DC3"/>
    <w:rsid w:val="005F2EA0"/>
    <w:rsid w:val="005F30C9"/>
    <w:rsid w:val="005F3195"/>
    <w:rsid w:val="005F3260"/>
    <w:rsid w:val="005F32AF"/>
    <w:rsid w:val="005F37CB"/>
    <w:rsid w:val="005F37FD"/>
    <w:rsid w:val="005F3802"/>
    <w:rsid w:val="005F3B54"/>
    <w:rsid w:val="005F3D2E"/>
    <w:rsid w:val="005F3E8D"/>
    <w:rsid w:val="005F4126"/>
    <w:rsid w:val="005F422F"/>
    <w:rsid w:val="005F43E8"/>
    <w:rsid w:val="005F443B"/>
    <w:rsid w:val="005F44F6"/>
    <w:rsid w:val="005F4D33"/>
    <w:rsid w:val="005F4D9E"/>
    <w:rsid w:val="005F50F0"/>
    <w:rsid w:val="005F5249"/>
    <w:rsid w:val="005F52D8"/>
    <w:rsid w:val="005F536A"/>
    <w:rsid w:val="005F539E"/>
    <w:rsid w:val="005F54A1"/>
    <w:rsid w:val="005F5701"/>
    <w:rsid w:val="005F57A7"/>
    <w:rsid w:val="005F5AD3"/>
    <w:rsid w:val="005F5C69"/>
    <w:rsid w:val="005F601C"/>
    <w:rsid w:val="005F6600"/>
    <w:rsid w:val="005F66B1"/>
    <w:rsid w:val="005F67E1"/>
    <w:rsid w:val="005F684E"/>
    <w:rsid w:val="005F6C46"/>
    <w:rsid w:val="005F6D92"/>
    <w:rsid w:val="005F6F40"/>
    <w:rsid w:val="005F71F5"/>
    <w:rsid w:val="005F724B"/>
    <w:rsid w:val="005F7282"/>
    <w:rsid w:val="005F765F"/>
    <w:rsid w:val="005F7967"/>
    <w:rsid w:val="005F7BD0"/>
    <w:rsid w:val="005F7BE9"/>
    <w:rsid w:val="005F7C02"/>
    <w:rsid w:val="00600034"/>
    <w:rsid w:val="006006C4"/>
    <w:rsid w:val="00600816"/>
    <w:rsid w:val="006009FE"/>
    <w:rsid w:val="00600D42"/>
    <w:rsid w:val="00600E58"/>
    <w:rsid w:val="006010A5"/>
    <w:rsid w:val="00601275"/>
    <w:rsid w:val="006015B4"/>
    <w:rsid w:val="00601804"/>
    <w:rsid w:val="0060197B"/>
    <w:rsid w:val="00601A23"/>
    <w:rsid w:val="00601DDC"/>
    <w:rsid w:val="00601E73"/>
    <w:rsid w:val="0060206A"/>
    <w:rsid w:val="006021C6"/>
    <w:rsid w:val="006022F2"/>
    <w:rsid w:val="006022F6"/>
    <w:rsid w:val="00602329"/>
    <w:rsid w:val="0060267C"/>
    <w:rsid w:val="00602752"/>
    <w:rsid w:val="00602B07"/>
    <w:rsid w:val="00602B29"/>
    <w:rsid w:val="00602B4E"/>
    <w:rsid w:val="00602D10"/>
    <w:rsid w:val="00602EEA"/>
    <w:rsid w:val="00602F46"/>
    <w:rsid w:val="00603048"/>
    <w:rsid w:val="00603084"/>
    <w:rsid w:val="006033FE"/>
    <w:rsid w:val="006034A4"/>
    <w:rsid w:val="00603BCA"/>
    <w:rsid w:val="00603D82"/>
    <w:rsid w:val="00603DF1"/>
    <w:rsid w:val="00603F1F"/>
    <w:rsid w:val="00604027"/>
    <w:rsid w:val="0060427B"/>
    <w:rsid w:val="00604315"/>
    <w:rsid w:val="006043EC"/>
    <w:rsid w:val="0060449C"/>
    <w:rsid w:val="00604637"/>
    <w:rsid w:val="006048C6"/>
    <w:rsid w:val="006048D4"/>
    <w:rsid w:val="00604A67"/>
    <w:rsid w:val="00604C97"/>
    <w:rsid w:val="00604D5F"/>
    <w:rsid w:val="00604DC1"/>
    <w:rsid w:val="00604E26"/>
    <w:rsid w:val="00604F06"/>
    <w:rsid w:val="006050DB"/>
    <w:rsid w:val="006051D7"/>
    <w:rsid w:val="0060523F"/>
    <w:rsid w:val="006052CF"/>
    <w:rsid w:val="006052D6"/>
    <w:rsid w:val="00605582"/>
    <w:rsid w:val="006057A7"/>
    <w:rsid w:val="0060587D"/>
    <w:rsid w:val="00605923"/>
    <w:rsid w:val="00605A9B"/>
    <w:rsid w:val="00605BA1"/>
    <w:rsid w:val="00605D47"/>
    <w:rsid w:val="006063DC"/>
    <w:rsid w:val="0060656A"/>
    <w:rsid w:val="0060660E"/>
    <w:rsid w:val="00606642"/>
    <w:rsid w:val="00606707"/>
    <w:rsid w:val="006067F3"/>
    <w:rsid w:val="00606835"/>
    <w:rsid w:val="006068BF"/>
    <w:rsid w:val="0060692C"/>
    <w:rsid w:val="006069D4"/>
    <w:rsid w:val="00606A8A"/>
    <w:rsid w:val="00606ACA"/>
    <w:rsid w:val="00606B04"/>
    <w:rsid w:val="00606C9E"/>
    <w:rsid w:val="00606D3F"/>
    <w:rsid w:val="00606D47"/>
    <w:rsid w:val="00606E1D"/>
    <w:rsid w:val="00606ED7"/>
    <w:rsid w:val="00606FE7"/>
    <w:rsid w:val="0060729E"/>
    <w:rsid w:val="006076CB"/>
    <w:rsid w:val="006077EB"/>
    <w:rsid w:val="006078AA"/>
    <w:rsid w:val="00607ABD"/>
    <w:rsid w:val="00607B4D"/>
    <w:rsid w:val="00607B8D"/>
    <w:rsid w:val="00607D38"/>
    <w:rsid w:val="00607E31"/>
    <w:rsid w:val="00610014"/>
    <w:rsid w:val="00610078"/>
    <w:rsid w:val="00610092"/>
    <w:rsid w:val="00610432"/>
    <w:rsid w:val="00610556"/>
    <w:rsid w:val="00610859"/>
    <w:rsid w:val="006108D2"/>
    <w:rsid w:val="00610D65"/>
    <w:rsid w:val="00611127"/>
    <w:rsid w:val="00611271"/>
    <w:rsid w:val="0061129F"/>
    <w:rsid w:val="006112B4"/>
    <w:rsid w:val="006112FF"/>
    <w:rsid w:val="00611331"/>
    <w:rsid w:val="006113B6"/>
    <w:rsid w:val="00611548"/>
    <w:rsid w:val="00611565"/>
    <w:rsid w:val="006119D5"/>
    <w:rsid w:val="00611B58"/>
    <w:rsid w:val="00611EF8"/>
    <w:rsid w:val="00611F5C"/>
    <w:rsid w:val="00612029"/>
    <w:rsid w:val="006121AF"/>
    <w:rsid w:val="006121E3"/>
    <w:rsid w:val="00612245"/>
    <w:rsid w:val="006122C2"/>
    <w:rsid w:val="006122E5"/>
    <w:rsid w:val="00612323"/>
    <w:rsid w:val="006124F7"/>
    <w:rsid w:val="006127E0"/>
    <w:rsid w:val="00612853"/>
    <w:rsid w:val="00612B54"/>
    <w:rsid w:val="00612D6C"/>
    <w:rsid w:val="00612E15"/>
    <w:rsid w:val="00612FE0"/>
    <w:rsid w:val="0061316A"/>
    <w:rsid w:val="006133C1"/>
    <w:rsid w:val="006134B9"/>
    <w:rsid w:val="006134DD"/>
    <w:rsid w:val="00613634"/>
    <w:rsid w:val="006136C8"/>
    <w:rsid w:val="00613900"/>
    <w:rsid w:val="00613BB7"/>
    <w:rsid w:val="00613D03"/>
    <w:rsid w:val="00613F27"/>
    <w:rsid w:val="006140C8"/>
    <w:rsid w:val="00614207"/>
    <w:rsid w:val="0061428B"/>
    <w:rsid w:val="006142CC"/>
    <w:rsid w:val="00614384"/>
    <w:rsid w:val="00614489"/>
    <w:rsid w:val="006145AE"/>
    <w:rsid w:val="006145B6"/>
    <w:rsid w:val="00614650"/>
    <w:rsid w:val="0061472B"/>
    <w:rsid w:val="006147AB"/>
    <w:rsid w:val="00614866"/>
    <w:rsid w:val="00614941"/>
    <w:rsid w:val="00614A68"/>
    <w:rsid w:val="00614B62"/>
    <w:rsid w:val="00614B77"/>
    <w:rsid w:val="006151A6"/>
    <w:rsid w:val="00615363"/>
    <w:rsid w:val="006156B8"/>
    <w:rsid w:val="006157C3"/>
    <w:rsid w:val="0061591F"/>
    <w:rsid w:val="006159FD"/>
    <w:rsid w:val="00615B1B"/>
    <w:rsid w:val="00615D6A"/>
    <w:rsid w:val="00615DC6"/>
    <w:rsid w:val="00615DEB"/>
    <w:rsid w:val="00615FE9"/>
    <w:rsid w:val="0061605B"/>
    <w:rsid w:val="006162CE"/>
    <w:rsid w:val="00616375"/>
    <w:rsid w:val="006163D4"/>
    <w:rsid w:val="006164A7"/>
    <w:rsid w:val="006165B9"/>
    <w:rsid w:val="0061679A"/>
    <w:rsid w:val="00616817"/>
    <w:rsid w:val="00616864"/>
    <w:rsid w:val="0061688E"/>
    <w:rsid w:val="00616B61"/>
    <w:rsid w:val="00616BD2"/>
    <w:rsid w:val="00616CC5"/>
    <w:rsid w:val="00616D31"/>
    <w:rsid w:val="00616E09"/>
    <w:rsid w:val="00616E89"/>
    <w:rsid w:val="0061706F"/>
    <w:rsid w:val="00617144"/>
    <w:rsid w:val="0061714B"/>
    <w:rsid w:val="00617385"/>
    <w:rsid w:val="00617386"/>
    <w:rsid w:val="0061748D"/>
    <w:rsid w:val="00617611"/>
    <w:rsid w:val="006176B9"/>
    <w:rsid w:val="006176C0"/>
    <w:rsid w:val="006177C8"/>
    <w:rsid w:val="0061786B"/>
    <w:rsid w:val="00617893"/>
    <w:rsid w:val="00617953"/>
    <w:rsid w:val="00617A4A"/>
    <w:rsid w:val="00617A5C"/>
    <w:rsid w:val="00617C0A"/>
    <w:rsid w:val="00617E31"/>
    <w:rsid w:val="00617FCD"/>
    <w:rsid w:val="0062008F"/>
    <w:rsid w:val="00620093"/>
    <w:rsid w:val="00620197"/>
    <w:rsid w:val="00620499"/>
    <w:rsid w:val="00620656"/>
    <w:rsid w:val="00620669"/>
    <w:rsid w:val="00620D7F"/>
    <w:rsid w:val="00620ED5"/>
    <w:rsid w:val="00621089"/>
    <w:rsid w:val="0062124A"/>
    <w:rsid w:val="006215EB"/>
    <w:rsid w:val="00621755"/>
    <w:rsid w:val="0062181B"/>
    <w:rsid w:val="00621833"/>
    <w:rsid w:val="00621CB7"/>
    <w:rsid w:val="00621CDA"/>
    <w:rsid w:val="00621E97"/>
    <w:rsid w:val="00622069"/>
    <w:rsid w:val="00622265"/>
    <w:rsid w:val="00622426"/>
    <w:rsid w:val="00622442"/>
    <w:rsid w:val="006227ED"/>
    <w:rsid w:val="00622A3B"/>
    <w:rsid w:val="00622A63"/>
    <w:rsid w:val="00622B61"/>
    <w:rsid w:val="00622C5E"/>
    <w:rsid w:val="00622CAB"/>
    <w:rsid w:val="00622DCE"/>
    <w:rsid w:val="00622EEA"/>
    <w:rsid w:val="00622F5D"/>
    <w:rsid w:val="0062306B"/>
    <w:rsid w:val="006231C1"/>
    <w:rsid w:val="006232DD"/>
    <w:rsid w:val="006237A7"/>
    <w:rsid w:val="006238E3"/>
    <w:rsid w:val="0062396C"/>
    <w:rsid w:val="006239B0"/>
    <w:rsid w:val="00623B3D"/>
    <w:rsid w:val="00623BA9"/>
    <w:rsid w:val="00623F0A"/>
    <w:rsid w:val="00623F78"/>
    <w:rsid w:val="00623FF9"/>
    <w:rsid w:val="006240B8"/>
    <w:rsid w:val="006240D6"/>
    <w:rsid w:val="0062436C"/>
    <w:rsid w:val="0062437D"/>
    <w:rsid w:val="006243B8"/>
    <w:rsid w:val="0062447F"/>
    <w:rsid w:val="006244AA"/>
    <w:rsid w:val="00624945"/>
    <w:rsid w:val="00624ACB"/>
    <w:rsid w:val="00624AFA"/>
    <w:rsid w:val="00624BD2"/>
    <w:rsid w:val="00624D10"/>
    <w:rsid w:val="00624D5A"/>
    <w:rsid w:val="00625164"/>
    <w:rsid w:val="006252F0"/>
    <w:rsid w:val="006252F9"/>
    <w:rsid w:val="00625566"/>
    <w:rsid w:val="006255FD"/>
    <w:rsid w:val="00625986"/>
    <w:rsid w:val="00625AC4"/>
    <w:rsid w:val="00625B1D"/>
    <w:rsid w:val="00625EE1"/>
    <w:rsid w:val="00625F17"/>
    <w:rsid w:val="006264C1"/>
    <w:rsid w:val="0062658E"/>
    <w:rsid w:val="006265CC"/>
    <w:rsid w:val="0062671B"/>
    <w:rsid w:val="0062671F"/>
    <w:rsid w:val="006269CA"/>
    <w:rsid w:val="006269D0"/>
    <w:rsid w:val="006269F6"/>
    <w:rsid w:val="00626A03"/>
    <w:rsid w:val="00626BAA"/>
    <w:rsid w:val="006271FD"/>
    <w:rsid w:val="006272AD"/>
    <w:rsid w:val="006272B0"/>
    <w:rsid w:val="006272C7"/>
    <w:rsid w:val="006278BF"/>
    <w:rsid w:val="00627928"/>
    <w:rsid w:val="00627D12"/>
    <w:rsid w:val="00627D4E"/>
    <w:rsid w:val="00627D52"/>
    <w:rsid w:val="006301A3"/>
    <w:rsid w:val="00630263"/>
    <w:rsid w:val="006304FD"/>
    <w:rsid w:val="0063056F"/>
    <w:rsid w:val="006305A4"/>
    <w:rsid w:val="006308D4"/>
    <w:rsid w:val="00630DEB"/>
    <w:rsid w:val="00631021"/>
    <w:rsid w:val="00631436"/>
    <w:rsid w:val="00631540"/>
    <w:rsid w:val="0063161B"/>
    <w:rsid w:val="0063173E"/>
    <w:rsid w:val="00631842"/>
    <w:rsid w:val="00631934"/>
    <w:rsid w:val="00631CDA"/>
    <w:rsid w:val="00632045"/>
    <w:rsid w:val="00632303"/>
    <w:rsid w:val="0063230C"/>
    <w:rsid w:val="0063238F"/>
    <w:rsid w:val="006325F4"/>
    <w:rsid w:val="0063275A"/>
    <w:rsid w:val="0063298B"/>
    <w:rsid w:val="00632AD0"/>
    <w:rsid w:val="00632AEE"/>
    <w:rsid w:val="00632B89"/>
    <w:rsid w:val="00632BF9"/>
    <w:rsid w:val="00632BFD"/>
    <w:rsid w:val="00632EA0"/>
    <w:rsid w:val="00632EB6"/>
    <w:rsid w:val="00632F3A"/>
    <w:rsid w:val="00632F69"/>
    <w:rsid w:val="00632FAF"/>
    <w:rsid w:val="0063301F"/>
    <w:rsid w:val="0063311B"/>
    <w:rsid w:val="0063327D"/>
    <w:rsid w:val="00633413"/>
    <w:rsid w:val="0063346D"/>
    <w:rsid w:val="006334B5"/>
    <w:rsid w:val="0063362D"/>
    <w:rsid w:val="00633807"/>
    <w:rsid w:val="00633865"/>
    <w:rsid w:val="00633B23"/>
    <w:rsid w:val="00633B27"/>
    <w:rsid w:val="00633BE1"/>
    <w:rsid w:val="00633C94"/>
    <w:rsid w:val="00633F49"/>
    <w:rsid w:val="00633FCA"/>
    <w:rsid w:val="00634308"/>
    <w:rsid w:val="006343B5"/>
    <w:rsid w:val="00634478"/>
    <w:rsid w:val="006344D9"/>
    <w:rsid w:val="0063455F"/>
    <w:rsid w:val="00634934"/>
    <w:rsid w:val="00634B19"/>
    <w:rsid w:val="00634C6C"/>
    <w:rsid w:val="00634D73"/>
    <w:rsid w:val="00634E27"/>
    <w:rsid w:val="006350D3"/>
    <w:rsid w:val="006350ED"/>
    <w:rsid w:val="006351F5"/>
    <w:rsid w:val="00635471"/>
    <w:rsid w:val="006355DC"/>
    <w:rsid w:val="006356DC"/>
    <w:rsid w:val="0063572D"/>
    <w:rsid w:val="006359CD"/>
    <w:rsid w:val="00635A03"/>
    <w:rsid w:val="00635BD4"/>
    <w:rsid w:val="00635CBD"/>
    <w:rsid w:val="00635D42"/>
    <w:rsid w:val="00635F47"/>
    <w:rsid w:val="00635F77"/>
    <w:rsid w:val="00636161"/>
    <w:rsid w:val="006363E9"/>
    <w:rsid w:val="006363FF"/>
    <w:rsid w:val="006365E0"/>
    <w:rsid w:val="00636661"/>
    <w:rsid w:val="0063666F"/>
    <w:rsid w:val="00636768"/>
    <w:rsid w:val="006367A4"/>
    <w:rsid w:val="0063691F"/>
    <w:rsid w:val="00636A9A"/>
    <w:rsid w:val="00636C32"/>
    <w:rsid w:val="00636C4B"/>
    <w:rsid w:val="00636E3E"/>
    <w:rsid w:val="00636F9E"/>
    <w:rsid w:val="00637537"/>
    <w:rsid w:val="0063757B"/>
    <w:rsid w:val="0063759F"/>
    <w:rsid w:val="00637751"/>
    <w:rsid w:val="00637975"/>
    <w:rsid w:val="00637C7F"/>
    <w:rsid w:val="00637E4C"/>
    <w:rsid w:val="00637FAB"/>
    <w:rsid w:val="006400A5"/>
    <w:rsid w:val="006400C8"/>
    <w:rsid w:val="0064018D"/>
    <w:rsid w:val="0064035D"/>
    <w:rsid w:val="006404D0"/>
    <w:rsid w:val="006406C5"/>
    <w:rsid w:val="00640831"/>
    <w:rsid w:val="00640AAD"/>
    <w:rsid w:val="00640B69"/>
    <w:rsid w:val="00640B6F"/>
    <w:rsid w:val="00640B8B"/>
    <w:rsid w:val="00640CAC"/>
    <w:rsid w:val="00640D5D"/>
    <w:rsid w:val="00640D9F"/>
    <w:rsid w:val="00640DA9"/>
    <w:rsid w:val="00640EAB"/>
    <w:rsid w:val="00640F3F"/>
    <w:rsid w:val="006412BF"/>
    <w:rsid w:val="00641322"/>
    <w:rsid w:val="006415BC"/>
    <w:rsid w:val="006419E6"/>
    <w:rsid w:val="00641A54"/>
    <w:rsid w:val="00641BF2"/>
    <w:rsid w:val="00641C5A"/>
    <w:rsid w:val="00641CD7"/>
    <w:rsid w:val="00641D33"/>
    <w:rsid w:val="00641EE8"/>
    <w:rsid w:val="006422F5"/>
    <w:rsid w:val="006429B4"/>
    <w:rsid w:val="006429ED"/>
    <w:rsid w:val="00642A12"/>
    <w:rsid w:val="00642AA6"/>
    <w:rsid w:val="00642C47"/>
    <w:rsid w:val="00642F34"/>
    <w:rsid w:val="00642F4D"/>
    <w:rsid w:val="00642FB3"/>
    <w:rsid w:val="00642FF7"/>
    <w:rsid w:val="006430C5"/>
    <w:rsid w:val="0064345F"/>
    <w:rsid w:val="0064346A"/>
    <w:rsid w:val="00643783"/>
    <w:rsid w:val="00643AF8"/>
    <w:rsid w:val="00643C37"/>
    <w:rsid w:val="00643D15"/>
    <w:rsid w:val="00643E01"/>
    <w:rsid w:val="006441AC"/>
    <w:rsid w:val="006441B8"/>
    <w:rsid w:val="006441DE"/>
    <w:rsid w:val="006442E5"/>
    <w:rsid w:val="00644373"/>
    <w:rsid w:val="00644410"/>
    <w:rsid w:val="006444F7"/>
    <w:rsid w:val="0064477C"/>
    <w:rsid w:val="006449C2"/>
    <w:rsid w:val="006449DB"/>
    <w:rsid w:val="00644A11"/>
    <w:rsid w:val="00644DF4"/>
    <w:rsid w:val="00644E53"/>
    <w:rsid w:val="0064507B"/>
    <w:rsid w:val="00645090"/>
    <w:rsid w:val="006452FB"/>
    <w:rsid w:val="006455D7"/>
    <w:rsid w:val="006456D9"/>
    <w:rsid w:val="006457E6"/>
    <w:rsid w:val="006458D1"/>
    <w:rsid w:val="00645915"/>
    <w:rsid w:val="00645A35"/>
    <w:rsid w:val="00645E18"/>
    <w:rsid w:val="00645EC8"/>
    <w:rsid w:val="0064624C"/>
    <w:rsid w:val="0064626F"/>
    <w:rsid w:val="0064630B"/>
    <w:rsid w:val="0064680B"/>
    <w:rsid w:val="006468C0"/>
    <w:rsid w:val="006468E7"/>
    <w:rsid w:val="0064692E"/>
    <w:rsid w:val="00646942"/>
    <w:rsid w:val="0064694A"/>
    <w:rsid w:val="006469A8"/>
    <w:rsid w:val="00646AE0"/>
    <w:rsid w:val="00646BBC"/>
    <w:rsid w:val="00646CC4"/>
    <w:rsid w:val="00646E7A"/>
    <w:rsid w:val="00647313"/>
    <w:rsid w:val="006477EA"/>
    <w:rsid w:val="006477F4"/>
    <w:rsid w:val="00647DDC"/>
    <w:rsid w:val="00647E9A"/>
    <w:rsid w:val="00647F8B"/>
    <w:rsid w:val="00650292"/>
    <w:rsid w:val="00650405"/>
    <w:rsid w:val="00650683"/>
    <w:rsid w:val="006506C6"/>
    <w:rsid w:val="006506CF"/>
    <w:rsid w:val="00650900"/>
    <w:rsid w:val="00650A20"/>
    <w:rsid w:val="00650A3C"/>
    <w:rsid w:val="00650C2E"/>
    <w:rsid w:val="00650F16"/>
    <w:rsid w:val="00651140"/>
    <w:rsid w:val="00651252"/>
    <w:rsid w:val="006513D2"/>
    <w:rsid w:val="0065143B"/>
    <w:rsid w:val="006514FD"/>
    <w:rsid w:val="0065154D"/>
    <w:rsid w:val="0065166E"/>
    <w:rsid w:val="00651852"/>
    <w:rsid w:val="006519C3"/>
    <w:rsid w:val="00651A21"/>
    <w:rsid w:val="00651AA7"/>
    <w:rsid w:val="00651BB7"/>
    <w:rsid w:val="00651DB7"/>
    <w:rsid w:val="00651DC1"/>
    <w:rsid w:val="006520CA"/>
    <w:rsid w:val="0065218E"/>
    <w:rsid w:val="0065254A"/>
    <w:rsid w:val="00652656"/>
    <w:rsid w:val="006529F6"/>
    <w:rsid w:val="00652B30"/>
    <w:rsid w:val="00652C25"/>
    <w:rsid w:val="00652D03"/>
    <w:rsid w:val="00652E6E"/>
    <w:rsid w:val="0065317F"/>
    <w:rsid w:val="006533B2"/>
    <w:rsid w:val="00653433"/>
    <w:rsid w:val="0065394C"/>
    <w:rsid w:val="00653963"/>
    <w:rsid w:val="00653A6D"/>
    <w:rsid w:val="00653F70"/>
    <w:rsid w:val="0065405E"/>
    <w:rsid w:val="00654144"/>
    <w:rsid w:val="00654415"/>
    <w:rsid w:val="00654633"/>
    <w:rsid w:val="006546FF"/>
    <w:rsid w:val="00654C19"/>
    <w:rsid w:val="00654C7C"/>
    <w:rsid w:val="00654C96"/>
    <w:rsid w:val="00654D19"/>
    <w:rsid w:val="0065537B"/>
    <w:rsid w:val="006553CA"/>
    <w:rsid w:val="0065551A"/>
    <w:rsid w:val="00655566"/>
    <w:rsid w:val="006555D1"/>
    <w:rsid w:val="0065595B"/>
    <w:rsid w:val="00655AB8"/>
    <w:rsid w:val="00655ADE"/>
    <w:rsid w:val="00655B28"/>
    <w:rsid w:val="00655DDD"/>
    <w:rsid w:val="00655F9B"/>
    <w:rsid w:val="00655F9D"/>
    <w:rsid w:val="0065606D"/>
    <w:rsid w:val="00656106"/>
    <w:rsid w:val="00656108"/>
    <w:rsid w:val="0065618F"/>
    <w:rsid w:val="006562A3"/>
    <w:rsid w:val="00656345"/>
    <w:rsid w:val="0065639A"/>
    <w:rsid w:val="00656624"/>
    <w:rsid w:val="00656713"/>
    <w:rsid w:val="00656740"/>
    <w:rsid w:val="006567CB"/>
    <w:rsid w:val="00656DC6"/>
    <w:rsid w:val="00656F1C"/>
    <w:rsid w:val="00657064"/>
    <w:rsid w:val="00657081"/>
    <w:rsid w:val="00657095"/>
    <w:rsid w:val="0065725E"/>
    <w:rsid w:val="006577A5"/>
    <w:rsid w:val="00657D77"/>
    <w:rsid w:val="00657FF9"/>
    <w:rsid w:val="0066063F"/>
    <w:rsid w:val="006608A1"/>
    <w:rsid w:val="00660C41"/>
    <w:rsid w:val="00660CF5"/>
    <w:rsid w:val="00660EC6"/>
    <w:rsid w:val="006610C0"/>
    <w:rsid w:val="006610DD"/>
    <w:rsid w:val="00661604"/>
    <w:rsid w:val="00661663"/>
    <w:rsid w:val="00661921"/>
    <w:rsid w:val="006619D7"/>
    <w:rsid w:val="006619DF"/>
    <w:rsid w:val="00661A4D"/>
    <w:rsid w:val="00661B17"/>
    <w:rsid w:val="00661D54"/>
    <w:rsid w:val="00661F77"/>
    <w:rsid w:val="00661FA9"/>
    <w:rsid w:val="00662088"/>
    <w:rsid w:val="006623DD"/>
    <w:rsid w:val="006624F0"/>
    <w:rsid w:val="00662A18"/>
    <w:rsid w:val="00662B3E"/>
    <w:rsid w:val="00662D9B"/>
    <w:rsid w:val="00662E61"/>
    <w:rsid w:val="00662FEF"/>
    <w:rsid w:val="00663055"/>
    <w:rsid w:val="00663073"/>
    <w:rsid w:val="006630D7"/>
    <w:rsid w:val="00663143"/>
    <w:rsid w:val="006631D3"/>
    <w:rsid w:val="00663257"/>
    <w:rsid w:val="0066360E"/>
    <w:rsid w:val="006638D2"/>
    <w:rsid w:val="00663B4E"/>
    <w:rsid w:val="00663C71"/>
    <w:rsid w:val="00663E9C"/>
    <w:rsid w:val="006640FD"/>
    <w:rsid w:val="00664110"/>
    <w:rsid w:val="00664115"/>
    <w:rsid w:val="006643D5"/>
    <w:rsid w:val="00664404"/>
    <w:rsid w:val="006647AF"/>
    <w:rsid w:val="006648CF"/>
    <w:rsid w:val="00664D17"/>
    <w:rsid w:val="00664E8F"/>
    <w:rsid w:val="00664EC5"/>
    <w:rsid w:val="0066526D"/>
    <w:rsid w:val="00665657"/>
    <w:rsid w:val="00665739"/>
    <w:rsid w:val="0066581F"/>
    <w:rsid w:val="00665A32"/>
    <w:rsid w:val="006663E3"/>
    <w:rsid w:val="00666520"/>
    <w:rsid w:val="00666566"/>
    <w:rsid w:val="00666AC7"/>
    <w:rsid w:val="00666D2E"/>
    <w:rsid w:val="00666D38"/>
    <w:rsid w:val="00666F01"/>
    <w:rsid w:val="00666FE8"/>
    <w:rsid w:val="0066706E"/>
    <w:rsid w:val="00667160"/>
    <w:rsid w:val="006671F8"/>
    <w:rsid w:val="00667290"/>
    <w:rsid w:val="00667322"/>
    <w:rsid w:val="0066743B"/>
    <w:rsid w:val="0066746F"/>
    <w:rsid w:val="0066760F"/>
    <w:rsid w:val="006677B7"/>
    <w:rsid w:val="00667B4D"/>
    <w:rsid w:val="00667BE7"/>
    <w:rsid w:val="00667C5B"/>
    <w:rsid w:val="00667CD3"/>
    <w:rsid w:val="00667D3E"/>
    <w:rsid w:val="00667D66"/>
    <w:rsid w:val="0067000D"/>
    <w:rsid w:val="00670033"/>
    <w:rsid w:val="00670081"/>
    <w:rsid w:val="006701CB"/>
    <w:rsid w:val="006702CE"/>
    <w:rsid w:val="00670485"/>
    <w:rsid w:val="0067054F"/>
    <w:rsid w:val="0067063E"/>
    <w:rsid w:val="0067067E"/>
    <w:rsid w:val="00670948"/>
    <w:rsid w:val="00670C64"/>
    <w:rsid w:val="00670C80"/>
    <w:rsid w:val="00670CD9"/>
    <w:rsid w:val="00670D37"/>
    <w:rsid w:val="00671051"/>
    <w:rsid w:val="00671081"/>
    <w:rsid w:val="006710C3"/>
    <w:rsid w:val="006712CB"/>
    <w:rsid w:val="006713C4"/>
    <w:rsid w:val="0067149F"/>
    <w:rsid w:val="0067189C"/>
    <w:rsid w:val="0067190F"/>
    <w:rsid w:val="00671B15"/>
    <w:rsid w:val="00671C26"/>
    <w:rsid w:val="00671F1D"/>
    <w:rsid w:val="0067236A"/>
    <w:rsid w:val="006727C5"/>
    <w:rsid w:val="006727D3"/>
    <w:rsid w:val="00672827"/>
    <w:rsid w:val="00672A84"/>
    <w:rsid w:val="00672C5F"/>
    <w:rsid w:val="00672D3E"/>
    <w:rsid w:val="00672DE0"/>
    <w:rsid w:val="006731D0"/>
    <w:rsid w:val="006733A0"/>
    <w:rsid w:val="00673790"/>
    <w:rsid w:val="006739C1"/>
    <w:rsid w:val="00673A0F"/>
    <w:rsid w:val="00673AFF"/>
    <w:rsid w:val="00673D25"/>
    <w:rsid w:val="00673E75"/>
    <w:rsid w:val="00673FA1"/>
    <w:rsid w:val="00673FFF"/>
    <w:rsid w:val="00674002"/>
    <w:rsid w:val="00674010"/>
    <w:rsid w:val="0067401D"/>
    <w:rsid w:val="00674175"/>
    <w:rsid w:val="006743DE"/>
    <w:rsid w:val="00674503"/>
    <w:rsid w:val="00674579"/>
    <w:rsid w:val="006745D0"/>
    <w:rsid w:val="00674718"/>
    <w:rsid w:val="00674B39"/>
    <w:rsid w:val="00674BA7"/>
    <w:rsid w:val="00674D15"/>
    <w:rsid w:val="0067527D"/>
    <w:rsid w:val="00675466"/>
    <w:rsid w:val="00675573"/>
    <w:rsid w:val="006758D3"/>
    <w:rsid w:val="00675D4C"/>
    <w:rsid w:val="00676177"/>
    <w:rsid w:val="006762CB"/>
    <w:rsid w:val="0067667D"/>
    <w:rsid w:val="0067680E"/>
    <w:rsid w:val="00676C7D"/>
    <w:rsid w:val="00676D06"/>
    <w:rsid w:val="00676E0F"/>
    <w:rsid w:val="00676EC7"/>
    <w:rsid w:val="00677179"/>
    <w:rsid w:val="006772FE"/>
    <w:rsid w:val="00677A01"/>
    <w:rsid w:val="00677A17"/>
    <w:rsid w:val="00677C91"/>
    <w:rsid w:val="00677CD2"/>
    <w:rsid w:val="00677E8E"/>
    <w:rsid w:val="00680139"/>
    <w:rsid w:val="0068015B"/>
    <w:rsid w:val="00680621"/>
    <w:rsid w:val="006808A2"/>
    <w:rsid w:val="00680B46"/>
    <w:rsid w:val="00680D56"/>
    <w:rsid w:val="006811E8"/>
    <w:rsid w:val="0068122F"/>
    <w:rsid w:val="00681246"/>
    <w:rsid w:val="00681582"/>
    <w:rsid w:val="00681711"/>
    <w:rsid w:val="0068178B"/>
    <w:rsid w:val="0068182D"/>
    <w:rsid w:val="00681DBD"/>
    <w:rsid w:val="00681FDD"/>
    <w:rsid w:val="00682365"/>
    <w:rsid w:val="00682448"/>
    <w:rsid w:val="00682491"/>
    <w:rsid w:val="006827F4"/>
    <w:rsid w:val="006827F5"/>
    <w:rsid w:val="00682865"/>
    <w:rsid w:val="0068291D"/>
    <w:rsid w:val="0068292A"/>
    <w:rsid w:val="00682DB8"/>
    <w:rsid w:val="00682E35"/>
    <w:rsid w:val="00682E78"/>
    <w:rsid w:val="00683223"/>
    <w:rsid w:val="0068323D"/>
    <w:rsid w:val="00683525"/>
    <w:rsid w:val="0068365A"/>
    <w:rsid w:val="0068368E"/>
    <w:rsid w:val="006836CF"/>
    <w:rsid w:val="00683704"/>
    <w:rsid w:val="0068374A"/>
    <w:rsid w:val="006838AC"/>
    <w:rsid w:val="0068398C"/>
    <w:rsid w:val="0068399E"/>
    <w:rsid w:val="00683D5D"/>
    <w:rsid w:val="00683F63"/>
    <w:rsid w:val="00684074"/>
    <w:rsid w:val="006840A3"/>
    <w:rsid w:val="00684266"/>
    <w:rsid w:val="006842D2"/>
    <w:rsid w:val="00684548"/>
    <w:rsid w:val="00684564"/>
    <w:rsid w:val="006845D4"/>
    <w:rsid w:val="00684791"/>
    <w:rsid w:val="0068493D"/>
    <w:rsid w:val="00684A80"/>
    <w:rsid w:val="00684EED"/>
    <w:rsid w:val="006850F8"/>
    <w:rsid w:val="006852EC"/>
    <w:rsid w:val="00685520"/>
    <w:rsid w:val="0068556D"/>
    <w:rsid w:val="0068589E"/>
    <w:rsid w:val="00685925"/>
    <w:rsid w:val="00685948"/>
    <w:rsid w:val="006859C8"/>
    <w:rsid w:val="00685B98"/>
    <w:rsid w:val="00685C5A"/>
    <w:rsid w:val="00685E82"/>
    <w:rsid w:val="00685E99"/>
    <w:rsid w:val="0068621A"/>
    <w:rsid w:val="00686234"/>
    <w:rsid w:val="0068635B"/>
    <w:rsid w:val="0068662E"/>
    <w:rsid w:val="006867EF"/>
    <w:rsid w:val="0068698F"/>
    <w:rsid w:val="00686A2B"/>
    <w:rsid w:val="00686D37"/>
    <w:rsid w:val="00686D91"/>
    <w:rsid w:val="00686DEA"/>
    <w:rsid w:val="00686E2F"/>
    <w:rsid w:val="00687087"/>
    <w:rsid w:val="006872C2"/>
    <w:rsid w:val="006872E0"/>
    <w:rsid w:val="006873D3"/>
    <w:rsid w:val="006873DC"/>
    <w:rsid w:val="0068769C"/>
    <w:rsid w:val="0068772B"/>
    <w:rsid w:val="00687751"/>
    <w:rsid w:val="006878B7"/>
    <w:rsid w:val="00687AAA"/>
    <w:rsid w:val="00687AB4"/>
    <w:rsid w:val="00687B02"/>
    <w:rsid w:val="00687D31"/>
    <w:rsid w:val="00687D35"/>
    <w:rsid w:val="00687D3A"/>
    <w:rsid w:val="00690063"/>
    <w:rsid w:val="0069012A"/>
    <w:rsid w:val="0069012E"/>
    <w:rsid w:val="006904AF"/>
    <w:rsid w:val="0069055E"/>
    <w:rsid w:val="006906FB"/>
    <w:rsid w:val="0069071D"/>
    <w:rsid w:val="0069077A"/>
    <w:rsid w:val="00690A4A"/>
    <w:rsid w:val="00690A69"/>
    <w:rsid w:val="00690A8E"/>
    <w:rsid w:val="00690C86"/>
    <w:rsid w:val="00690D4F"/>
    <w:rsid w:val="00690DAD"/>
    <w:rsid w:val="00691088"/>
    <w:rsid w:val="0069114B"/>
    <w:rsid w:val="0069118F"/>
    <w:rsid w:val="00691241"/>
    <w:rsid w:val="006913B4"/>
    <w:rsid w:val="00691533"/>
    <w:rsid w:val="00691830"/>
    <w:rsid w:val="00691913"/>
    <w:rsid w:val="0069199F"/>
    <w:rsid w:val="00691AF4"/>
    <w:rsid w:val="00691EB8"/>
    <w:rsid w:val="00692261"/>
    <w:rsid w:val="00692630"/>
    <w:rsid w:val="006929A7"/>
    <w:rsid w:val="00692B3D"/>
    <w:rsid w:val="00692BE0"/>
    <w:rsid w:val="00692C5D"/>
    <w:rsid w:val="00692C66"/>
    <w:rsid w:val="00692CA4"/>
    <w:rsid w:val="00692CDE"/>
    <w:rsid w:val="00692CE0"/>
    <w:rsid w:val="00692D0F"/>
    <w:rsid w:val="00692E2E"/>
    <w:rsid w:val="00692E8C"/>
    <w:rsid w:val="00692F6B"/>
    <w:rsid w:val="00692F76"/>
    <w:rsid w:val="00692FC1"/>
    <w:rsid w:val="00693073"/>
    <w:rsid w:val="006930AE"/>
    <w:rsid w:val="0069314C"/>
    <w:rsid w:val="006933D7"/>
    <w:rsid w:val="0069350C"/>
    <w:rsid w:val="00693642"/>
    <w:rsid w:val="00693682"/>
    <w:rsid w:val="0069380B"/>
    <w:rsid w:val="00693886"/>
    <w:rsid w:val="00693AB1"/>
    <w:rsid w:val="00693AF4"/>
    <w:rsid w:val="00693B0B"/>
    <w:rsid w:val="00693C16"/>
    <w:rsid w:val="00693DCD"/>
    <w:rsid w:val="00693E06"/>
    <w:rsid w:val="00693F81"/>
    <w:rsid w:val="00693F8C"/>
    <w:rsid w:val="00694005"/>
    <w:rsid w:val="00694195"/>
    <w:rsid w:val="006942FE"/>
    <w:rsid w:val="00694594"/>
    <w:rsid w:val="006946A2"/>
    <w:rsid w:val="006946CB"/>
    <w:rsid w:val="00694ACE"/>
    <w:rsid w:val="00694C77"/>
    <w:rsid w:val="00694D54"/>
    <w:rsid w:val="00694DC3"/>
    <w:rsid w:val="00694E19"/>
    <w:rsid w:val="00694F16"/>
    <w:rsid w:val="00694FCC"/>
    <w:rsid w:val="00695238"/>
    <w:rsid w:val="00695382"/>
    <w:rsid w:val="006953E4"/>
    <w:rsid w:val="00695684"/>
    <w:rsid w:val="00695740"/>
    <w:rsid w:val="006958C1"/>
    <w:rsid w:val="006959DC"/>
    <w:rsid w:val="00695C6E"/>
    <w:rsid w:val="00695D94"/>
    <w:rsid w:val="00695E91"/>
    <w:rsid w:val="00696139"/>
    <w:rsid w:val="00696184"/>
    <w:rsid w:val="00696189"/>
    <w:rsid w:val="00696273"/>
    <w:rsid w:val="00696417"/>
    <w:rsid w:val="0069649B"/>
    <w:rsid w:val="006968B8"/>
    <w:rsid w:val="00696A30"/>
    <w:rsid w:val="00696AB7"/>
    <w:rsid w:val="00696CCA"/>
    <w:rsid w:val="00696D5A"/>
    <w:rsid w:val="00696DA4"/>
    <w:rsid w:val="00696DD3"/>
    <w:rsid w:val="00696DD7"/>
    <w:rsid w:val="00696E69"/>
    <w:rsid w:val="00696EAF"/>
    <w:rsid w:val="00696F68"/>
    <w:rsid w:val="006970CE"/>
    <w:rsid w:val="00697332"/>
    <w:rsid w:val="00697562"/>
    <w:rsid w:val="006975FB"/>
    <w:rsid w:val="006976D9"/>
    <w:rsid w:val="006977FF"/>
    <w:rsid w:val="006978C1"/>
    <w:rsid w:val="00697A36"/>
    <w:rsid w:val="00697A86"/>
    <w:rsid w:val="00697ABA"/>
    <w:rsid w:val="00697ECF"/>
    <w:rsid w:val="00697F7E"/>
    <w:rsid w:val="00697FA3"/>
    <w:rsid w:val="00697FEC"/>
    <w:rsid w:val="006A0029"/>
    <w:rsid w:val="006A0121"/>
    <w:rsid w:val="006A01FA"/>
    <w:rsid w:val="006A0365"/>
    <w:rsid w:val="006A04ED"/>
    <w:rsid w:val="006A0578"/>
    <w:rsid w:val="006A08DA"/>
    <w:rsid w:val="006A0967"/>
    <w:rsid w:val="006A097E"/>
    <w:rsid w:val="006A0E4A"/>
    <w:rsid w:val="006A0E80"/>
    <w:rsid w:val="006A0E9E"/>
    <w:rsid w:val="006A103F"/>
    <w:rsid w:val="006A1231"/>
    <w:rsid w:val="006A1333"/>
    <w:rsid w:val="006A1381"/>
    <w:rsid w:val="006A1486"/>
    <w:rsid w:val="006A1541"/>
    <w:rsid w:val="006A1573"/>
    <w:rsid w:val="006A1633"/>
    <w:rsid w:val="006A1B6E"/>
    <w:rsid w:val="006A1CB6"/>
    <w:rsid w:val="006A1FD5"/>
    <w:rsid w:val="006A1FFD"/>
    <w:rsid w:val="006A2175"/>
    <w:rsid w:val="006A25C7"/>
    <w:rsid w:val="006A2607"/>
    <w:rsid w:val="006A2677"/>
    <w:rsid w:val="006A287E"/>
    <w:rsid w:val="006A2997"/>
    <w:rsid w:val="006A2E38"/>
    <w:rsid w:val="006A2EDD"/>
    <w:rsid w:val="006A3417"/>
    <w:rsid w:val="006A34A4"/>
    <w:rsid w:val="006A36CD"/>
    <w:rsid w:val="006A38F4"/>
    <w:rsid w:val="006A3CDA"/>
    <w:rsid w:val="006A3D85"/>
    <w:rsid w:val="006A3ECF"/>
    <w:rsid w:val="006A406E"/>
    <w:rsid w:val="006A43D7"/>
    <w:rsid w:val="006A4507"/>
    <w:rsid w:val="006A45EA"/>
    <w:rsid w:val="006A4748"/>
    <w:rsid w:val="006A493B"/>
    <w:rsid w:val="006A49C2"/>
    <w:rsid w:val="006A4A0C"/>
    <w:rsid w:val="006A4AAD"/>
    <w:rsid w:val="006A4B67"/>
    <w:rsid w:val="006A4B9C"/>
    <w:rsid w:val="006A4CCA"/>
    <w:rsid w:val="006A4E63"/>
    <w:rsid w:val="006A4F6B"/>
    <w:rsid w:val="006A50BB"/>
    <w:rsid w:val="006A517B"/>
    <w:rsid w:val="006A5274"/>
    <w:rsid w:val="006A5543"/>
    <w:rsid w:val="006A5CFD"/>
    <w:rsid w:val="006A5E74"/>
    <w:rsid w:val="006A5FA3"/>
    <w:rsid w:val="006A61B5"/>
    <w:rsid w:val="006A624F"/>
    <w:rsid w:val="006A6401"/>
    <w:rsid w:val="006A6586"/>
    <w:rsid w:val="006A66CD"/>
    <w:rsid w:val="006A67C7"/>
    <w:rsid w:val="006A6BB3"/>
    <w:rsid w:val="006A6DA2"/>
    <w:rsid w:val="006A6E58"/>
    <w:rsid w:val="006A6F91"/>
    <w:rsid w:val="006A6FE0"/>
    <w:rsid w:val="006A716E"/>
    <w:rsid w:val="006A7206"/>
    <w:rsid w:val="006A72A5"/>
    <w:rsid w:val="006A73B3"/>
    <w:rsid w:val="006A73E9"/>
    <w:rsid w:val="006A7500"/>
    <w:rsid w:val="006A7842"/>
    <w:rsid w:val="006A7A03"/>
    <w:rsid w:val="006A7A8B"/>
    <w:rsid w:val="006A7AB2"/>
    <w:rsid w:val="006A7B25"/>
    <w:rsid w:val="006A7B3D"/>
    <w:rsid w:val="006A7BC4"/>
    <w:rsid w:val="006A7BF7"/>
    <w:rsid w:val="006A7C1F"/>
    <w:rsid w:val="006A7C94"/>
    <w:rsid w:val="006A7DCB"/>
    <w:rsid w:val="006A7FA4"/>
    <w:rsid w:val="006B016C"/>
    <w:rsid w:val="006B0453"/>
    <w:rsid w:val="006B0657"/>
    <w:rsid w:val="006B0742"/>
    <w:rsid w:val="006B0765"/>
    <w:rsid w:val="006B07E8"/>
    <w:rsid w:val="006B0847"/>
    <w:rsid w:val="006B08F3"/>
    <w:rsid w:val="006B0912"/>
    <w:rsid w:val="006B09BB"/>
    <w:rsid w:val="006B0DB6"/>
    <w:rsid w:val="006B1321"/>
    <w:rsid w:val="006B1438"/>
    <w:rsid w:val="006B174A"/>
    <w:rsid w:val="006B1840"/>
    <w:rsid w:val="006B1862"/>
    <w:rsid w:val="006B1A6C"/>
    <w:rsid w:val="006B1B1E"/>
    <w:rsid w:val="006B1BA5"/>
    <w:rsid w:val="006B1C8C"/>
    <w:rsid w:val="006B2116"/>
    <w:rsid w:val="006B2187"/>
    <w:rsid w:val="006B2393"/>
    <w:rsid w:val="006B2431"/>
    <w:rsid w:val="006B281C"/>
    <w:rsid w:val="006B2838"/>
    <w:rsid w:val="006B2871"/>
    <w:rsid w:val="006B2896"/>
    <w:rsid w:val="006B2914"/>
    <w:rsid w:val="006B29F8"/>
    <w:rsid w:val="006B2C90"/>
    <w:rsid w:val="006B2D88"/>
    <w:rsid w:val="006B2FC0"/>
    <w:rsid w:val="006B3254"/>
    <w:rsid w:val="006B3378"/>
    <w:rsid w:val="006B3389"/>
    <w:rsid w:val="006B351B"/>
    <w:rsid w:val="006B3522"/>
    <w:rsid w:val="006B3794"/>
    <w:rsid w:val="006B38BC"/>
    <w:rsid w:val="006B38C4"/>
    <w:rsid w:val="006B3911"/>
    <w:rsid w:val="006B3A2D"/>
    <w:rsid w:val="006B3F3A"/>
    <w:rsid w:val="006B418D"/>
    <w:rsid w:val="006B419A"/>
    <w:rsid w:val="006B434B"/>
    <w:rsid w:val="006B4447"/>
    <w:rsid w:val="006B451B"/>
    <w:rsid w:val="006B4550"/>
    <w:rsid w:val="006B4561"/>
    <w:rsid w:val="006B45D1"/>
    <w:rsid w:val="006B4983"/>
    <w:rsid w:val="006B4993"/>
    <w:rsid w:val="006B4B6C"/>
    <w:rsid w:val="006B4B8D"/>
    <w:rsid w:val="006B4B93"/>
    <w:rsid w:val="006B4C87"/>
    <w:rsid w:val="006B4F87"/>
    <w:rsid w:val="006B5281"/>
    <w:rsid w:val="006B52DE"/>
    <w:rsid w:val="006B52E1"/>
    <w:rsid w:val="006B550F"/>
    <w:rsid w:val="006B5620"/>
    <w:rsid w:val="006B5717"/>
    <w:rsid w:val="006B5734"/>
    <w:rsid w:val="006B582F"/>
    <w:rsid w:val="006B5866"/>
    <w:rsid w:val="006B58B1"/>
    <w:rsid w:val="006B5929"/>
    <w:rsid w:val="006B596B"/>
    <w:rsid w:val="006B5D33"/>
    <w:rsid w:val="006B5D59"/>
    <w:rsid w:val="006B5D6D"/>
    <w:rsid w:val="006B5EB2"/>
    <w:rsid w:val="006B6094"/>
    <w:rsid w:val="006B613D"/>
    <w:rsid w:val="006B617D"/>
    <w:rsid w:val="006B62B8"/>
    <w:rsid w:val="006B63B7"/>
    <w:rsid w:val="006B642C"/>
    <w:rsid w:val="006B64A4"/>
    <w:rsid w:val="006B67CD"/>
    <w:rsid w:val="006B6A99"/>
    <w:rsid w:val="006B6B73"/>
    <w:rsid w:val="006B6B80"/>
    <w:rsid w:val="006B6C6E"/>
    <w:rsid w:val="006B6CA1"/>
    <w:rsid w:val="006B6F2F"/>
    <w:rsid w:val="006B6F4A"/>
    <w:rsid w:val="006B7419"/>
    <w:rsid w:val="006B7CDB"/>
    <w:rsid w:val="006B7D6D"/>
    <w:rsid w:val="006B7DE9"/>
    <w:rsid w:val="006C003E"/>
    <w:rsid w:val="006C0112"/>
    <w:rsid w:val="006C0609"/>
    <w:rsid w:val="006C064D"/>
    <w:rsid w:val="006C0697"/>
    <w:rsid w:val="006C06A8"/>
    <w:rsid w:val="006C07DA"/>
    <w:rsid w:val="006C080F"/>
    <w:rsid w:val="006C09DC"/>
    <w:rsid w:val="006C0CEB"/>
    <w:rsid w:val="006C0D0F"/>
    <w:rsid w:val="006C0E22"/>
    <w:rsid w:val="006C123F"/>
    <w:rsid w:val="006C133C"/>
    <w:rsid w:val="006C157A"/>
    <w:rsid w:val="006C1631"/>
    <w:rsid w:val="006C1BF7"/>
    <w:rsid w:val="006C1C61"/>
    <w:rsid w:val="006C1CCD"/>
    <w:rsid w:val="006C1D69"/>
    <w:rsid w:val="006C1E57"/>
    <w:rsid w:val="006C20A4"/>
    <w:rsid w:val="006C210A"/>
    <w:rsid w:val="006C215E"/>
    <w:rsid w:val="006C21FD"/>
    <w:rsid w:val="006C2332"/>
    <w:rsid w:val="006C2433"/>
    <w:rsid w:val="006C2C3A"/>
    <w:rsid w:val="006C2CC3"/>
    <w:rsid w:val="006C2D54"/>
    <w:rsid w:val="006C365A"/>
    <w:rsid w:val="006C36F0"/>
    <w:rsid w:val="006C3739"/>
    <w:rsid w:val="006C38F5"/>
    <w:rsid w:val="006C3B1E"/>
    <w:rsid w:val="006C3D6E"/>
    <w:rsid w:val="006C3DEB"/>
    <w:rsid w:val="006C4150"/>
    <w:rsid w:val="006C427C"/>
    <w:rsid w:val="006C4318"/>
    <w:rsid w:val="006C446E"/>
    <w:rsid w:val="006C44CC"/>
    <w:rsid w:val="006C455A"/>
    <w:rsid w:val="006C46D8"/>
    <w:rsid w:val="006C4722"/>
    <w:rsid w:val="006C47FD"/>
    <w:rsid w:val="006C4C08"/>
    <w:rsid w:val="006C4D80"/>
    <w:rsid w:val="006C4E94"/>
    <w:rsid w:val="006C4F4A"/>
    <w:rsid w:val="006C4F5C"/>
    <w:rsid w:val="006C4F6E"/>
    <w:rsid w:val="006C4FF0"/>
    <w:rsid w:val="006C50DD"/>
    <w:rsid w:val="006C511D"/>
    <w:rsid w:val="006C5139"/>
    <w:rsid w:val="006C527E"/>
    <w:rsid w:val="006C52A6"/>
    <w:rsid w:val="006C5473"/>
    <w:rsid w:val="006C5A0D"/>
    <w:rsid w:val="006C5B20"/>
    <w:rsid w:val="006C5B52"/>
    <w:rsid w:val="006C5C19"/>
    <w:rsid w:val="006C5C35"/>
    <w:rsid w:val="006C5D78"/>
    <w:rsid w:val="006C5D9D"/>
    <w:rsid w:val="006C5FD4"/>
    <w:rsid w:val="006C6089"/>
    <w:rsid w:val="006C61D2"/>
    <w:rsid w:val="006C6236"/>
    <w:rsid w:val="006C6541"/>
    <w:rsid w:val="006C66DA"/>
    <w:rsid w:val="006C6B05"/>
    <w:rsid w:val="006C6F8D"/>
    <w:rsid w:val="006C70A0"/>
    <w:rsid w:val="006C715D"/>
    <w:rsid w:val="006C72A0"/>
    <w:rsid w:val="006C7345"/>
    <w:rsid w:val="006C7475"/>
    <w:rsid w:val="006C74AD"/>
    <w:rsid w:val="006C760F"/>
    <w:rsid w:val="006C76F2"/>
    <w:rsid w:val="006C773C"/>
    <w:rsid w:val="006C7835"/>
    <w:rsid w:val="006C790C"/>
    <w:rsid w:val="006C7996"/>
    <w:rsid w:val="006C7E3F"/>
    <w:rsid w:val="006C7E92"/>
    <w:rsid w:val="006C7FA9"/>
    <w:rsid w:val="006D0062"/>
    <w:rsid w:val="006D03D3"/>
    <w:rsid w:val="006D0425"/>
    <w:rsid w:val="006D062A"/>
    <w:rsid w:val="006D067E"/>
    <w:rsid w:val="006D06DF"/>
    <w:rsid w:val="006D0728"/>
    <w:rsid w:val="006D07D8"/>
    <w:rsid w:val="006D0869"/>
    <w:rsid w:val="006D08BD"/>
    <w:rsid w:val="006D08EF"/>
    <w:rsid w:val="006D0E1D"/>
    <w:rsid w:val="006D0F5D"/>
    <w:rsid w:val="006D1152"/>
    <w:rsid w:val="006D12FD"/>
    <w:rsid w:val="006D1318"/>
    <w:rsid w:val="006D13A4"/>
    <w:rsid w:val="006D16C7"/>
    <w:rsid w:val="006D1740"/>
    <w:rsid w:val="006D1891"/>
    <w:rsid w:val="006D1A1C"/>
    <w:rsid w:val="006D1D5B"/>
    <w:rsid w:val="006D1DF5"/>
    <w:rsid w:val="006D20CB"/>
    <w:rsid w:val="006D20D0"/>
    <w:rsid w:val="006D2271"/>
    <w:rsid w:val="006D27CB"/>
    <w:rsid w:val="006D293D"/>
    <w:rsid w:val="006D2A60"/>
    <w:rsid w:val="006D2B06"/>
    <w:rsid w:val="006D2BA9"/>
    <w:rsid w:val="006D2F08"/>
    <w:rsid w:val="006D2F21"/>
    <w:rsid w:val="006D2FA1"/>
    <w:rsid w:val="006D3143"/>
    <w:rsid w:val="006D3153"/>
    <w:rsid w:val="006D31CC"/>
    <w:rsid w:val="006D3388"/>
    <w:rsid w:val="006D3610"/>
    <w:rsid w:val="006D3637"/>
    <w:rsid w:val="006D3662"/>
    <w:rsid w:val="006D3758"/>
    <w:rsid w:val="006D38F5"/>
    <w:rsid w:val="006D3AB4"/>
    <w:rsid w:val="006D3C54"/>
    <w:rsid w:val="006D3DE8"/>
    <w:rsid w:val="006D4322"/>
    <w:rsid w:val="006D43E1"/>
    <w:rsid w:val="006D448B"/>
    <w:rsid w:val="006D4A83"/>
    <w:rsid w:val="006D4AF7"/>
    <w:rsid w:val="006D4BD2"/>
    <w:rsid w:val="006D5478"/>
    <w:rsid w:val="006D56B4"/>
    <w:rsid w:val="006D576C"/>
    <w:rsid w:val="006D5865"/>
    <w:rsid w:val="006D5CD3"/>
    <w:rsid w:val="006D5D00"/>
    <w:rsid w:val="006D5D22"/>
    <w:rsid w:val="006D5D9A"/>
    <w:rsid w:val="006D5DA8"/>
    <w:rsid w:val="006D5E0B"/>
    <w:rsid w:val="006D60F9"/>
    <w:rsid w:val="006D6378"/>
    <w:rsid w:val="006D63B5"/>
    <w:rsid w:val="006D63C1"/>
    <w:rsid w:val="006D6481"/>
    <w:rsid w:val="006D674E"/>
    <w:rsid w:val="006D67D0"/>
    <w:rsid w:val="006D6DC8"/>
    <w:rsid w:val="006D6F2C"/>
    <w:rsid w:val="006D7528"/>
    <w:rsid w:val="006D76B0"/>
    <w:rsid w:val="006D780E"/>
    <w:rsid w:val="006D7CD7"/>
    <w:rsid w:val="006D7D08"/>
    <w:rsid w:val="006D7F5F"/>
    <w:rsid w:val="006D7FF5"/>
    <w:rsid w:val="006E004F"/>
    <w:rsid w:val="006E00CD"/>
    <w:rsid w:val="006E0288"/>
    <w:rsid w:val="006E0324"/>
    <w:rsid w:val="006E0377"/>
    <w:rsid w:val="006E054D"/>
    <w:rsid w:val="006E0588"/>
    <w:rsid w:val="006E068D"/>
    <w:rsid w:val="006E077D"/>
    <w:rsid w:val="006E0819"/>
    <w:rsid w:val="006E0D5F"/>
    <w:rsid w:val="006E1057"/>
    <w:rsid w:val="006E11B3"/>
    <w:rsid w:val="006E1232"/>
    <w:rsid w:val="006E14C9"/>
    <w:rsid w:val="006E18E2"/>
    <w:rsid w:val="006E1AAB"/>
    <w:rsid w:val="006E1BC4"/>
    <w:rsid w:val="006E1C69"/>
    <w:rsid w:val="006E1E3F"/>
    <w:rsid w:val="006E1F02"/>
    <w:rsid w:val="006E218A"/>
    <w:rsid w:val="006E2304"/>
    <w:rsid w:val="006E2408"/>
    <w:rsid w:val="006E256F"/>
    <w:rsid w:val="006E26EB"/>
    <w:rsid w:val="006E26FE"/>
    <w:rsid w:val="006E2838"/>
    <w:rsid w:val="006E2935"/>
    <w:rsid w:val="006E2AA7"/>
    <w:rsid w:val="006E2B4D"/>
    <w:rsid w:val="006E2E71"/>
    <w:rsid w:val="006E314B"/>
    <w:rsid w:val="006E3339"/>
    <w:rsid w:val="006E34C8"/>
    <w:rsid w:val="006E359F"/>
    <w:rsid w:val="006E3708"/>
    <w:rsid w:val="006E381E"/>
    <w:rsid w:val="006E392F"/>
    <w:rsid w:val="006E398D"/>
    <w:rsid w:val="006E3C9E"/>
    <w:rsid w:val="006E419C"/>
    <w:rsid w:val="006E4246"/>
    <w:rsid w:val="006E436B"/>
    <w:rsid w:val="006E44A9"/>
    <w:rsid w:val="006E47F7"/>
    <w:rsid w:val="006E4940"/>
    <w:rsid w:val="006E4B1B"/>
    <w:rsid w:val="006E4C12"/>
    <w:rsid w:val="006E4C81"/>
    <w:rsid w:val="006E4DBC"/>
    <w:rsid w:val="006E5254"/>
    <w:rsid w:val="006E5445"/>
    <w:rsid w:val="006E5526"/>
    <w:rsid w:val="006E5563"/>
    <w:rsid w:val="006E56FB"/>
    <w:rsid w:val="006E5772"/>
    <w:rsid w:val="006E57BA"/>
    <w:rsid w:val="006E5812"/>
    <w:rsid w:val="006E593A"/>
    <w:rsid w:val="006E59B0"/>
    <w:rsid w:val="006E5D62"/>
    <w:rsid w:val="006E60CF"/>
    <w:rsid w:val="006E6164"/>
    <w:rsid w:val="006E638B"/>
    <w:rsid w:val="006E63AC"/>
    <w:rsid w:val="006E657A"/>
    <w:rsid w:val="006E66F8"/>
    <w:rsid w:val="006E689B"/>
    <w:rsid w:val="006E6C43"/>
    <w:rsid w:val="006E6C46"/>
    <w:rsid w:val="006E6CF5"/>
    <w:rsid w:val="006E6F9B"/>
    <w:rsid w:val="006E705F"/>
    <w:rsid w:val="006E7105"/>
    <w:rsid w:val="006E7133"/>
    <w:rsid w:val="006E7349"/>
    <w:rsid w:val="006E7379"/>
    <w:rsid w:val="006E747D"/>
    <w:rsid w:val="006E7646"/>
    <w:rsid w:val="006E764B"/>
    <w:rsid w:val="006E79D9"/>
    <w:rsid w:val="006E7A39"/>
    <w:rsid w:val="006E7C86"/>
    <w:rsid w:val="006E7CD7"/>
    <w:rsid w:val="006E7D93"/>
    <w:rsid w:val="006E7D99"/>
    <w:rsid w:val="006E7DCE"/>
    <w:rsid w:val="006E7E59"/>
    <w:rsid w:val="006E7F19"/>
    <w:rsid w:val="006F0045"/>
    <w:rsid w:val="006F0186"/>
    <w:rsid w:val="006F023B"/>
    <w:rsid w:val="006F0354"/>
    <w:rsid w:val="006F03AA"/>
    <w:rsid w:val="006F0409"/>
    <w:rsid w:val="006F055B"/>
    <w:rsid w:val="006F0759"/>
    <w:rsid w:val="006F0CBD"/>
    <w:rsid w:val="006F0D71"/>
    <w:rsid w:val="006F0F42"/>
    <w:rsid w:val="006F114A"/>
    <w:rsid w:val="006F153F"/>
    <w:rsid w:val="006F18DF"/>
    <w:rsid w:val="006F1986"/>
    <w:rsid w:val="006F1AE9"/>
    <w:rsid w:val="006F1B17"/>
    <w:rsid w:val="006F1BA3"/>
    <w:rsid w:val="006F1CD6"/>
    <w:rsid w:val="006F1D41"/>
    <w:rsid w:val="006F1D7C"/>
    <w:rsid w:val="006F1F14"/>
    <w:rsid w:val="006F205C"/>
    <w:rsid w:val="006F26A8"/>
    <w:rsid w:val="006F272B"/>
    <w:rsid w:val="006F2A62"/>
    <w:rsid w:val="006F2AF2"/>
    <w:rsid w:val="006F2D2E"/>
    <w:rsid w:val="006F2D37"/>
    <w:rsid w:val="006F2E5E"/>
    <w:rsid w:val="006F3203"/>
    <w:rsid w:val="006F330A"/>
    <w:rsid w:val="006F3559"/>
    <w:rsid w:val="006F3702"/>
    <w:rsid w:val="006F3834"/>
    <w:rsid w:val="006F3BBD"/>
    <w:rsid w:val="006F3E3F"/>
    <w:rsid w:val="006F3E8C"/>
    <w:rsid w:val="006F41D8"/>
    <w:rsid w:val="006F41D9"/>
    <w:rsid w:val="006F43BF"/>
    <w:rsid w:val="006F46A3"/>
    <w:rsid w:val="006F4716"/>
    <w:rsid w:val="006F49AE"/>
    <w:rsid w:val="006F4B43"/>
    <w:rsid w:val="006F4D7D"/>
    <w:rsid w:val="006F4D8D"/>
    <w:rsid w:val="006F4E3A"/>
    <w:rsid w:val="006F4E45"/>
    <w:rsid w:val="006F4EB1"/>
    <w:rsid w:val="006F509E"/>
    <w:rsid w:val="006F52DE"/>
    <w:rsid w:val="006F534F"/>
    <w:rsid w:val="006F561C"/>
    <w:rsid w:val="006F5839"/>
    <w:rsid w:val="006F59B1"/>
    <w:rsid w:val="006F5AAB"/>
    <w:rsid w:val="006F5BB8"/>
    <w:rsid w:val="006F5E4E"/>
    <w:rsid w:val="006F5E56"/>
    <w:rsid w:val="006F5F22"/>
    <w:rsid w:val="006F6165"/>
    <w:rsid w:val="006F62F1"/>
    <w:rsid w:val="006F64AF"/>
    <w:rsid w:val="006F68B6"/>
    <w:rsid w:val="006F6968"/>
    <w:rsid w:val="006F69D9"/>
    <w:rsid w:val="006F6C65"/>
    <w:rsid w:val="006F6DEC"/>
    <w:rsid w:val="006F6E15"/>
    <w:rsid w:val="006F6ED0"/>
    <w:rsid w:val="006F7054"/>
    <w:rsid w:val="006F724F"/>
    <w:rsid w:val="006F76FB"/>
    <w:rsid w:val="006F780F"/>
    <w:rsid w:val="006F7ADA"/>
    <w:rsid w:val="006F7B0F"/>
    <w:rsid w:val="006F7C2F"/>
    <w:rsid w:val="006F7DC2"/>
    <w:rsid w:val="006F7E93"/>
    <w:rsid w:val="006F7F7C"/>
    <w:rsid w:val="006F7FFC"/>
    <w:rsid w:val="00700068"/>
    <w:rsid w:val="007000B6"/>
    <w:rsid w:val="007000FC"/>
    <w:rsid w:val="00700380"/>
    <w:rsid w:val="0070052E"/>
    <w:rsid w:val="007005AF"/>
    <w:rsid w:val="00700637"/>
    <w:rsid w:val="007006AF"/>
    <w:rsid w:val="007006FC"/>
    <w:rsid w:val="00700D1F"/>
    <w:rsid w:val="00700D82"/>
    <w:rsid w:val="00700F7C"/>
    <w:rsid w:val="0070100D"/>
    <w:rsid w:val="007010F0"/>
    <w:rsid w:val="00701257"/>
    <w:rsid w:val="0070133D"/>
    <w:rsid w:val="007013E4"/>
    <w:rsid w:val="007015CD"/>
    <w:rsid w:val="00701A0E"/>
    <w:rsid w:val="00701AD5"/>
    <w:rsid w:val="00701B48"/>
    <w:rsid w:val="00701CD9"/>
    <w:rsid w:val="00701D1D"/>
    <w:rsid w:val="00701D86"/>
    <w:rsid w:val="00701E6A"/>
    <w:rsid w:val="00701F50"/>
    <w:rsid w:val="007020D6"/>
    <w:rsid w:val="007021F4"/>
    <w:rsid w:val="00702201"/>
    <w:rsid w:val="0070222F"/>
    <w:rsid w:val="007022AD"/>
    <w:rsid w:val="00702459"/>
    <w:rsid w:val="00702492"/>
    <w:rsid w:val="00702675"/>
    <w:rsid w:val="007026B8"/>
    <w:rsid w:val="007026E4"/>
    <w:rsid w:val="007029A3"/>
    <w:rsid w:val="00702A77"/>
    <w:rsid w:val="00702B0A"/>
    <w:rsid w:val="00702BD4"/>
    <w:rsid w:val="00702F53"/>
    <w:rsid w:val="00703334"/>
    <w:rsid w:val="00703376"/>
    <w:rsid w:val="00703730"/>
    <w:rsid w:val="007039F5"/>
    <w:rsid w:val="00703A8E"/>
    <w:rsid w:val="00703A92"/>
    <w:rsid w:val="00703C90"/>
    <w:rsid w:val="00703EDF"/>
    <w:rsid w:val="00703F04"/>
    <w:rsid w:val="00704040"/>
    <w:rsid w:val="007040F0"/>
    <w:rsid w:val="00704491"/>
    <w:rsid w:val="0070481A"/>
    <w:rsid w:val="00704C71"/>
    <w:rsid w:val="00704D4A"/>
    <w:rsid w:val="00704DCF"/>
    <w:rsid w:val="00704EBC"/>
    <w:rsid w:val="00704F03"/>
    <w:rsid w:val="007053FF"/>
    <w:rsid w:val="0070549B"/>
    <w:rsid w:val="007054C2"/>
    <w:rsid w:val="007056A3"/>
    <w:rsid w:val="007056FA"/>
    <w:rsid w:val="00705732"/>
    <w:rsid w:val="007057C1"/>
    <w:rsid w:val="00705B04"/>
    <w:rsid w:val="00705B86"/>
    <w:rsid w:val="00705BC6"/>
    <w:rsid w:val="00705BE9"/>
    <w:rsid w:val="00705D5B"/>
    <w:rsid w:val="00705D83"/>
    <w:rsid w:val="00705DC8"/>
    <w:rsid w:val="00706143"/>
    <w:rsid w:val="007065BD"/>
    <w:rsid w:val="00706608"/>
    <w:rsid w:val="00706797"/>
    <w:rsid w:val="007067F1"/>
    <w:rsid w:val="00706CB5"/>
    <w:rsid w:val="00706CDE"/>
    <w:rsid w:val="00706CE0"/>
    <w:rsid w:val="00706E4E"/>
    <w:rsid w:val="00707282"/>
    <w:rsid w:val="00707368"/>
    <w:rsid w:val="007073EE"/>
    <w:rsid w:val="00707527"/>
    <w:rsid w:val="0070755A"/>
    <w:rsid w:val="00707628"/>
    <w:rsid w:val="00707825"/>
    <w:rsid w:val="007078A1"/>
    <w:rsid w:val="007078BE"/>
    <w:rsid w:val="0070791C"/>
    <w:rsid w:val="00707966"/>
    <w:rsid w:val="00707D72"/>
    <w:rsid w:val="00707DA9"/>
    <w:rsid w:val="00707F7D"/>
    <w:rsid w:val="007102C1"/>
    <w:rsid w:val="007106BA"/>
    <w:rsid w:val="007107DD"/>
    <w:rsid w:val="00710885"/>
    <w:rsid w:val="00710A25"/>
    <w:rsid w:val="00710A6C"/>
    <w:rsid w:val="00710B6D"/>
    <w:rsid w:val="00710C22"/>
    <w:rsid w:val="00710F82"/>
    <w:rsid w:val="007114F3"/>
    <w:rsid w:val="0071151E"/>
    <w:rsid w:val="007116CE"/>
    <w:rsid w:val="0071181B"/>
    <w:rsid w:val="00711826"/>
    <w:rsid w:val="00711829"/>
    <w:rsid w:val="00711912"/>
    <w:rsid w:val="00711A65"/>
    <w:rsid w:val="00711BA8"/>
    <w:rsid w:val="00711D55"/>
    <w:rsid w:val="00711EEB"/>
    <w:rsid w:val="00711F58"/>
    <w:rsid w:val="00712067"/>
    <w:rsid w:val="0071230A"/>
    <w:rsid w:val="00712425"/>
    <w:rsid w:val="007124A8"/>
    <w:rsid w:val="007125A3"/>
    <w:rsid w:val="00712801"/>
    <w:rsid w:val="00712807"/>
    <w:rsid w:val="007128CD"/>
    <w:rsid w:val="007129F3"/>
    <w:rsid w:val="00712BAF"/>
    <w:rsid w:val="00712C94"/>
    <w:rsid w:val="00712E0B"/>
    <w:rsid w:val="00712E55"/>
    <w:rsid w:val="0071302E"/>
    <w:rsid w:val="007130A9"/>
    <w:rsid w:val="00713117"/>
    <w:rsid w:val="007133D7"/>
    <w:rsid w:val="00713641"/>
    <w:rsid w:val="0071369F"/>
    <w:rsid w:val="0071383C"/>
    <w:rsid w:val="00713B55"/>
    <w:rsid w:val="00713B7C"/>
    <w:rsid w:val="00713DF9"/>
    <w:rsid w:val="00714181"/>
    <w:rsid w:val="007141A7"/>
    <w:rsid w:val="0071420E"/>
    <w:rsid w:val="00714252"/>
    <w:rsid w:val="0071456B"/>
    <w:rsid w:val="007146B5"/>
    <w:rsid w:val="007147E5"/>
    <w:rsid w:val="0071493E"/>
    <w:rsid w:val="00714975"/>
    <w:rsid w:val="00714B30"/>
    <w:rsid w:val="00714B89"/>
    <w:rsid w:val="00714CBA"/>
    <w:rsid w:val="00714E35"/>
    <w:rsid w:val="00714F5F"/>
    <w:rsid w:val="0071504B"/>
    <w:rsid w:val="00715082"/>
    <w:rsid w:val="00715112"/>
    <w:rsid w:val="0071513F"/>
    <w:rsid w:val="007152CE"/>
    <w:rsid w:val="007153D1"/>
    <w:rsid w:val="0071544C"/>
    <w:rsid w:val="00715542"/>
    <w:rsid w:val="007155E2"/>
    <w:rsid w:val="00715691"/>
    <w:rsid w:val="00715722"/>
    <w:rsid w:val="0071572C"/>
    <w:rsid w:val="007157E2"/>
    <w:rsid w:val="007158BC"/>
    <w:rsid w:val="00715BAF"/>
    <w:rsid w:val="00715C0A"/>
    <w:rsid w:val="00715CA4"/>
    <w:rsid w:val="00715D54"/>
    <w:rsid w:val="00715E2A"/>
    <w:rsid w:val="00715E8F"/>
    <w:rsid w:val="007160E5"/>
    <w:rsid w:val="0071660A"/>
    <w:rsid w:val="0071672D"/>
    <w:rsid w:val="00716CA5"/>
    <w:rsid w:val="00716D75"/>
    <w:rsid w:val="00716E08"/>
    <w:rsid w:val="00716E81"/>
    <w:rsid w:val="00716FC2"/>
    <w:rsid w:val="00717008"/>
    <w:rsid w:val="00717028"/>
    <w:rsid w:val="0071705D"/>
    <w:rsid w:val="0071722F"/>
    <w:rsid w:val="007173AA"/>
    <w:rsid w:val="007175F4"/>
    <w:rsid w:val="00717762"/>
    <w:rsid w:val="00717893"/>
    <w:rsid w:val="007178A1"/>
    <w:rsid w:val="00717D37"/>
    <w:rsid w:val="00720043"/>
    <w:rsid w:val="00720133"/>
    <w:rsid w:val="00720245"/>
    <w:rsid w:val="00720341"/>
    <w:rsid w:val="0072036D"/>
    <w:rsid w:val="0072050F"/>
    <w:rsid w:val="007205FD"/>
    <w:rsid w:val="00720637"/>
    <w:rsid w:val="00721032"/>
    <w:rsid w:val="00721375"/>
    <w:rsid w:val="007214B6"/>
    <w:rsid w:val="00721607"/>
    <w:rsid w:val="0072176F"/>
    <w:rsid w:val="007219E7"/>
    <w:rsid w:val="00721AF4"/>
    <w:rsid w:val="00721B55"/>
    <w:rsid w:val="00721BC2"/>
    <w:rsid w:val="00721DF8"/>
    <w:rsid w:val="00721E92"/>
    <w:rsid w:val="00721FE3"/>
    <w:rsid w:val="00722470"/>
    <w:rsid w:val="007224FF"/>
    <w:rsid w:val="00722659"/>
    <w:rsid w:val="00722771"/>
    <w:rsid w:val="007227A6"/>
    <w:rsid w:val="00722976"/>
    <w:rsid w:val="00722BD5"/>
    <w:rsid w:val="00722EAA"/>
    <w:rsid w:val="0072315B"/>
    <w:rsid w:val="0072339F"/>
    <w:rsid w:val="007234C2"/>
    <w:rsid w:val="00723574"/>
    <w:rsid w:val="007235BB"/>
    <w:rsid w:val="00723636"/>
    <w:rsid w:val="00723755"/>
    <w:rsid w:val="00723895"/>
    <w:rsid w:val="007238D4"/>
    <w:rsid w:val="00723980"/>
    <w:rsid w:val="00723CFF"/>
    <w:rsid w:val="00723E84"/>
    <w:rsid w:val="00723F4B"/>
    <w:rsid w:val="00724313"/>
    <w:rsid w:val="0072439E"/>
    <w:rsid w:val="007244BE"/>
    <w:rsid w:val="007245D8"/>
    <w:rsid w:val="007245F2"/>
    <w:rsid w:val="007246ED"/>
    <w:rsid w:val="0072475E"/>
    <w:rsid w:val="00724D3D"/>
    <w:rsid w:val="00724E69"/>
    <w:rsid w:val="00724EC2"/>
    <w:rsid w:val="00725191"/>
    <w:rsid w:val="00725237"/>
    <w:rsid w:val="00725654"/>
    <w:rsid w:val="00725657"/>
    <w:rsid w:val="00725994"/>
    <w:rsid w:val="007259B0"/>
    <w:rsid w:val="00725CFB"/>
    <w:rsid w:val="007263D1"/>
    <w:rsid w:val="007264B1"/>
    <w:rsid w:val="0072654D"/>
    <w:rsid w:val="007265A6"/>
    <w:rsid w:val="007267A1"/>
    <w:rsid w:val="00726C4B"/>
    <w:rsid w:val="00726CE4"/>
    <w:rsid w:val="00726DCC"/>
    <w:rsid w:val="00727037"/>
    <w:rsid w:val="007270FA"/>
    <w:rsid w:val="00727199"/>
    <w:rsid w:val="00727278"/>
    <w:rsid w:val="00727434"/>
    <w:rsid w:val="007274C8"/>
    <w:rsid w:val="00727574"/>
    <w:rsid w:val="007276D1"/>
    <w:rsid w:val="0072798F"/>
    <w:rsid w:val="00727B8E"/>
    <w:rsid w:val="00727DB4"/>
    <w:rsid w:val="00727DF8"/>
    <w:rsid w:val="00727E06"/>
    <w:rsid w:val="00727E3C"/>
    <w:rsid w:val="007305B1"/>
    <w:rsid w:val="007305B5"/>
    <w:rsid w:val="0073063D"/>
    <w:rsid w:val="007307B4"/>
    <w:rsid w:val="007307BF"/>
    <w:rsid w:val="007309DC"/>
    <w:rsid w:val="00730B51"/>
    <w:rsid w:val="00730BAC"/>
    <w:rsid w:val="00730FC3"/>
    <w:rsid w:val="00731127"/>
    <w:rsid w:val="00731141"/>
    <w:rsid w:val="007312B3"/>
    <w:rsid w:val="00731585"/>
    <w:rsid w:val="0073169A"/>
    <w:rsid w:val="00731736"/>
    <w:rsid w:val="0073193F"/>
    <w:rsid w:val="007319B1"/>
    <w:rsid w:val="00731BA7"/>
    <w:rsid w:val="007320F5"/>
    <w:rsid w:val="0073212C"/>
    <w:rsid w:val="007324EB"/>
    <w:rsid w:val="00732651"/>
    <w:rsid w:val="007327BE"/>
    <w:rsid w:val="00732BF8"/>
    <w:rsid w:val="00732D7D"/>
    <w:rsid w:val="00732E57"/>
    <w:rsid w:val="007330D3"/>
    <w:rsid w:val="007332CB"/>
    <w:rsid w:val="00733397"/>
    <w:rsid w:val="0073343D"/>
    <w:rsid w:val="0073347D"/>
    <w:rsid w:val="0073362F"/>
    <w:rsid w:val="0073368A"/>
    <w:rsid w:val="00733972"/>
    <w:rsid w:val="00733B19"/>
    <w:rsid w:val="00733B5E"/>
    <w:rsid w:val="00733D59"/>
    <w:rsid w:val="00733E00"/>
    <w:rsid w:val="00733F72"/>
    <w:rsid w:val="007340AA"/>
    <w:rsid w:val="007340FE"/>
    <w:rsid w:val="00734143"/>
    <w:rsid w:val="007345BF"/>
    <w:rsid w:val="00734684"/>
    <w:rsid w:val="007346DB"/>
    <w:rsid w:val="0073482C"/>
    <w:rsid w:val="007348AC"/>
    <w:rsid w:val="00734A20"/>
    <w:rsid w:val="00734A50"/>
    <w:rsid w:val="00734A67"/>
    <w:rsid w:val="00734D1A"/>
    <w:rsid w:val="00734FFE"/>
    <w:rsid w:val="0073504C"/>
    <w:rsid w:val="00735128"/>
    <w:rsid w:val="00735248"/>
    <w:rsid w:val="00735463"/>
    <w:rsid w:val="00735538"/>
    <w:rsid w:val="0073567E"/>
    <w:rsid w:val="00735992"/>
    <w:rsid w:val="00735C6E"/>
    <w:rsid w:val="00735DBA"/>
    <w:rsid w:val="00735E7A"/>
    <w:rsid w:val="00736084"/>
    <w:rsid w:val="0073615A"/>
    <w:rsid w:val="0073617C"/>
    <w:rsid w:val="007361F5"/>
    <w:rsid w:val="0073620B"/>
    <w:rsid w:val="007362D7"/>
    <w:rsid w:val="007368A9"/>
    <w:rsid w:val="00736BD7"/>
    <w:rsid w:val="00736BEB"/>
    <w:rsid w:val="007370D3"/>
    <w:rsid w:val="007370FB"/>
    <w:rsid w:val="007370FF"/>
    <w:rsid w:val="0073714D"/>
    <w:rsid w:val="007371F8"/>
    <w:rsid w:val="007372EA"/>
    <w:rsid w:val="00737386"/>
    <w:rsid w:val="007373B4"/>
    <w:rsid w:val="00737415"/>
    <w:rsid w:val="00737480"/>
    <w:rsid w:val="00737AE3"/>
    <w:rsid w:val="00737B2C"/>
    <w:rsid w:val="00737CA5"/>
    <w:rsid w:val="00737E47"/>
    <w:rsid w:val="00737F51"/>
    <w:rsid w:val="0074003A"/>
    <w:rsid w:val="0074010B"/>
    <w:rsid w:val="0074011A"/>
    <w:rsid w:val="007405A6"/>
    <w:rsid w:val="007405E7"/>
    <w:rsid w:val="0074073A"/>
    <w:rsid w:val="00740A2B"/>
    <w:rsid w:val="00740CD9"/>
    <w:rsid w:val="00740DDC"/>
    <w:rsid w:val="00740EAC"/>
    <w:rsid w:val="00741154"/>
    <w:rsid w:val="00741680"/>
    <w:rsid w:val="007418F4"/>
    <w:rsid w:val="007419D4"/>
    <w:rsid w:val="00741B85"/>
    <w:rsid w:val="00741B98"/>
    <w:rsid w:val="00741CED"/>
    <w:rsid w:val="00741CFB"/>
    <w:rsid w:val="00741DB3"/>
    <w:rsid w:val="00741DFF"/>
    <w:rsid w:val="00741EDF"/>
    <w:rsid w:val="00742096"/>
    <w:rsid w:val="007421FE"/>
    <w:rsid w:val="007425A7"/>
    <w:rsid w:val="00742A1E"/>
    <w:rsid w:val="00742BA2"/>
    <w:rsid w:val="00742CF8"/>
    <w:rsid w:val="00742E3D"/>
    <w:rsid w:val="007430E1"/>
    <w:rsid w:val="00743197"/>
    <w:rsid w:val="00743763"/>
    <w:rsid w:val="0074377E"/>
    <w:rsid w:val="0074386B"/>
    <w:rsid w:val="007438B5"/>
    <w:rsid w:val="00743907"/>
    <w:rsid w:val="00743951"/>
    <w:rsid w:val="00743AA2"/>
    <w:rsid w:val="00743C7F"/>
    <w:rsid w:val="00743CB8"/>
    <w:rsid w:val="00744015"/>
    <w:rsid w:val="0074445C"/>
    <w:rsid w:val="00744956"/>
    <w:rsid w:val="00744B72"/>
    <w:rsid w:val="00744F61"/>
    <w:rsid w:val="00745261"/>
    <w:rsid w:val="00745328"/>
    <w:rsid w:val="0074539F"/>
    <w:rsid w:val="0074561B"/>
    <w:rsid w:val="0074570A"/>
    <w:rsid w:val="0074571B"/>
    <w:rsid w:val="007458C0"/>
    <w:rsid w:val="00745A5C"/>
    <w:rsid w:val="00745AA0"/>
    <w:rsid w:val="00745AFB"/>
    <w:rsid w:val="00745B3E"/>
    <w:rsid w:val="00745B67"/>
    <w:rsid w:val="00745B81"/>
    <w:rsid w:val="00745BBE"/>
    <w:rsid w:val="00745C36"/>
    <w:rsid w:val="00745DC4"/>
    <w:rsid w:val="00746018"/>
    <w:rsid w:val="0074605F"/>
    <w:rsid w:val="00746318"/>
    <w:rsid w:val="00746454"/>
    <w:rsid w:val="007464B8"/>
    <w:rsid w:val="0074651B"/>
    <w:rsid w:val="0074653A"/>
    <w:rsid w:val="00746607"/>
    <w:rsid w:val="007466A0"/>
    <w:rsid w:val="00746919"/>
    <w:rsid w:val="00746D92"/>
    <w:rsid w:val="00746E22"/>
    <w:rsid w:val="00746EF6"/>
    <w:rsid w:val="0074713A"/>
    <w:rsid w:val="00747190"/>
    <w:rsid w:val="007472FC"/>
    <w:rsid w:val="00747BB8"/>
    <w:rsid w:val="00747C6C"/>
    <w:rsid w:val="00747CBE"/>
    <w:rsid w:val="00747D9C"/>
    <w:rsid w:val="00747E94"/>
    <w:rsid w:val="00747EBE"/>
    <w:rsid w:val="00747F7E"/>
    <w:rsid w:val="00747FB7"/>
    <w:rsid w:val="00747FC7"/>
    <w:rsid w:val="00750180"/>
    <w:rsid w:val="0075029D"/>
    <w:rsid w:val="00750642"/>
    <w:rsid w:val="00750993"/>
    <w:rsid w:val="007509CE"/>
    <w:rsid w:val="00750B5A"/>
    <w:rsid w:val="00750F12"/>
    <w:rsid w:val="00751059"/>
    <w:rsid w:val="0075138B"/>
    <w:rsid w:val="00751581"/>
    <w:rsid w:val="007516FD"/>
    <w:rsid w:val="0075180B"/>
    <w:rsid w:val="00751842"/>
    <w:rsid w:val="00751969"/>
    <w:rsid w:val="00751B2B"/>
    <w:rsid w:val="00751BA3"/>
    <w:rsid w:val="00751E62"/>
    <w:rsid w:val="00751E8B"/>
    <w:rsid w:val="00752199"/>
    <w:rsid w:val="00752233"/>
    <w:rsid w:val="007522DA"/>
    <w:rsid w:val="0075237C"/>
    <w:rsid w:val="007524F8"/>
    <w:rsid w:val="00752630"/>
    <w:rsid w:val="00752729"/>
    <w:rsid w:val="00752DFA"/>
    <w:rsid w:val="00753631"/>
    <w:rsid w:val="00753657"/>
    <w:rsid w:val="00753760"/>
    <w:rsid w:val="0075387A"/>
    <w:rsid w:val="0075391A"/>
    <w:rsid w:val="00753A46"/>
    <w:rsid w:val="00753E8F"/>
    <w:rsid w:val="00754003"/>
    <w:rsid w:val="0075423E"/>
    <w:rsid w:val="007543A4"/>
    <w:rsid w:val="0075443F"/>
    <w:rsid w:val="007544E0"/>
    <w:rsid w:val="00754503"/>
    <w:rsid w:val="0075483E"/>
    <w:rsid w:val="00754A92"/>
    <w:rsid w:val="00754B02"/>
    <w:rsid w:val="00754C83"/>
    <w:rsid w:val="00754C8A"/>
    <w:rsid w:val="00754CE0"/>
    <w:rsid w:val="00754E4D"/>
    <w:rsid w:val="0075500D"/>
    <w:rsid w:val="00755036"/>
    <w:rsid w:val="00755109"/>
    <w:rsid w:val="00755437"/>
    <w:rsid w:val="0075568C"/>
    <w:rsid w:val="007556A9"/>
    <w:rsid w:val="00755760"/>
    <w:rsid w:val="007557E8"/>
    <w:rsid w:val="0075582E"/>
    <w:rsid w:val="007559A0"/>
    <w:rsid w:val="00755A60"/>
    <w:rsid w:val="00755C7B"/>
    <w:rsid w:val="00755F50"/>
    <w:rsid w:val="00755F96"/>
    <w:rsid w:val="007562B7"/>
    <w:rsid w:val="0075654C"/>
    <w:rsid w:val="007565C5"/>
    <w:rsid w:val="0075679F"/>
    <w:rsid w:val="00756827"/>
    <w:rsid w:val="0075687D"/>
    <w:rsid w:val="00756B2B"/>
    <w:rsid w:val="00756D4B"/>
    <w:rsid w:val="00756F7F"/>
    <w:rsid w:val="0075722D"/>
    <w:rsid w:val="007572CE"/>
    <w:rsid w:val="00757310"/>
    <w:rsid w:val="007576DA"/>
    <w:rsid w:val="007577B0"/>
    <w:rsid w:val="00757811"/>
    <w:rsid w:val="00757C5A"/>
    <w:rsid w:val="00757E85"/>
    <w:rsid w:val="00757FB6"/>
    <w:rsid w:val="00760132"/>
    <w:rsid w:val="0076018C"/>
    <w:rsid w:val="0076024C"/>
    <w:rsid w:val="0076033A"/>
    <w:rsid w:val="00760782"/>
    <w:rsid w:val="00760866"/>
    <w:rsid w:val="0076093F"/>
    <w:rsid w:val="007609F0"/>
    <w:rsid w:val="00760A49"/>
    <w:rsid w:val="00760C0D"/>
    <w:rsid w:val="00760DCB"/>
    <w:rsid w:val="0076110B"/>
    <w:rsid w:val="0076135B"/>
    <w:rsid w:val="007613AC"/>
    <w:rsid w:val="0076145E"/>
    <w:rsid w:val="00761647"/>
    <w:rsid w:val="0076193B"/>
    <w:rsid w:val="0076199B"/>
    <w:rsid w:val="00761D17"/>
    <w:rsid w:val="00761D81"/>
    <w:rsid w:val="00761DC9"/>
    <w:rsid w:val="00761E5C"/>
    <w:rsid w:val="00761F1C"/>
    <w:rsid w:val="00761F74"/>
    <w:rsid w:val="00761FC8"/>
    <w:rsid w:val="007620AC"/>
    <w:rsid w:val="0076237E"/>
    <w:rsid w:val="00762483"/>
    <w:rsid w:val="00762582"/>
    <w:rsid w:val="007625BF"/>
    <w:rsid w:val="007625CF"/>
    <w:rsid w:val="00762641"/>
    <w:rsid w:val="007626CF"/>
    <w:rsid w:val="00762752"/>
    <w:rsid w:val="00762969"/>
    <w:rsid w:val="00762C22"/>
    <w:rsid w:val="00763120"/>
    <w:rsid w:val="00763169"/>
    <w:rsid w:val="0076354D"/>
    <w:rsid w:val="007635A7"/>
    <w:rsid w:val="00763694"/>
    <w:rsid w:val="00763764"/>
    <w:rsid w:val="00763785"/>
    <w:rsid w:val="007637AF"/>
    <w:rsid w:val="00763809"/>
    <w:rsid w:val="00763F0E"/>
    <w:rsid w:val="00763F75"/>
    <w:rsid w:val="00763F97"/>
    <w:rsid w:val="00764314"/>
    <w:rsid w:val="007643FD"/>
    <w:rsid w:val="00764428"/>
    <w:rsid w:val="00764442"/>
    <w:rsid w:val="007645E3"/>
    <w:rsid w:val="00764753"/>
    <w:rsid w:val="007648DC"/>
    <w:rsid w:val="00764A34"/>
    <w:rsid w:val="00764A7C"/>
    <w:rsid w:val="0076512D"/>
    <w:rsid w:val="00765275"/>
    <w:rsid w:val="0076536A"/>
    <w:rsid w:val="00765755"/>
    <w:rsid w:val="00765A5A"/>
    <w:rsid w:val="00765C15"/>
    <w:rsid w:val="00765DF8"/>
    <w:rsid w:val="00766083"/>
    <w:rsid w:val="00766254"/>
    <w:rsid w:val="007662BC"/>
    <w:rsid w:val="00766361"/>
    <w:rsid w:val="007665B3"/>
    <w:rsid w:val="007665F5"/>
    <w:rsid w:val="0076672A"/>
    <w:rsid w:val="00766749"/>
    <w:rsid w:val="00766B7E"/>
    <w:rsid w:val="00766EAB"/>
    <w:rsid w:val="00766F6E"/>
    <w:rsid w:val="007671BE"/>
    <w:rsid w:val="0076720D"/>
    <w:rsid w:val="00767223"/>
    <w:rsid w:val="007672FD"/>
    <w:rsid w:val="0076745E"/>
    <w:rsid w:val="007675D4"/>
    <w:rsid w:val="00767813"/>
    <w:rsid w:val="00767863"/>
    <w:rsid w:val="00767A1B"/>
    <w:rsid w:val="00767B9D"/>
    <w:rsid w:val="00767BAB"/>
    <w:rsid w:val="00767C1B"/>
    <w:rsid w:val="00767C86"/>
    <w:rsid w:val="00770024"/>
    <w:rsid w:val="0077009E"/>
    <w:rsid w:val="007701D3"/>
    <w:rsid w:val="0077029E"/>
    <w:rsid w:val="007703F8"/>
    <w:rsid w:val="007704BD"/>
    <w:rsid w:val="00770574"/>
    <w:rsid w:val="007709C4"/>
    <w:rsid w:val="00770B01"/>
    <w:rsid w:val="00770B3F"/>
    <w:rsid w:val="00770BC3"/>
    <w:rsid w:val="00770C58"/>
    <w:rsid w:val="00770C74"/>
    <w:rsid w:val="00770CA0"/>
    <w:rsid w:val="00770E2F"/>
    <w:rsid w:val="00770E84"/>
    <w:rsid w:val="00770ED8"/>
    <w:rsid w:val="0077102E"/>
    <w:rsid w:val="00771156"/>
    <w:rsid w:val="007714A9"/>
    <w:rsid w:val="00771662"/>
    <w:rsid w:val="00771809"/>
    <w:rsid w:val="00771B40"/>
    <w:rsid w:val="00771C51"/>
    <w:rsid w:val="00771C8B"/>
    <w:rsid w:val="00771D52"/>
    <w:rsid w:val="00771D65"/>
    <w:rsid w:val="00771EA8"/>
    <w:rsid w:val="00771F0A"/>
    <w:rsid w:val="007721C6"/>
    <w:rsid w:val="007721F5"/>
    <w:rsid w:val="00772667"/>
    <w:rsid w:val="007727BF"/>
    <w:rsid w:val="007728CD"/>
    <w:rsid w:val="00772C2F"/>
    <w:rsid w:val="00772D22"/>
    <w:rsid w:val="00772FD1"/>
    <w:rsid w:val="007732A4"/>
    <w:rsid w:val="007733EF"/>
    <w:rsid w:val="007735E6"/>
    <w:rsid w:val="0077387A"/>
    <w:rsid w:val="007739D9"/>
    <w:rsid w:val="00773AA2"/>
    <w:rsid w:val="00773AC1"/>
    <w:rsid w:val="00773B6C"/>
    <w:rsid w:val="00773B88"/>
    <w:rsid w:val="00773C0C"/>
    <w:rsid w:val="00773F2F"/>
    <w:rsid w:val="0077404A"/>
    <w:rsid w:val="0077423D"/>
    <w:rsid w:val="00774244"/>
    <w:rsid w:val="0077428E"/>
    <w:rsid w:val="007744A3"/>
    <w:rsid w:val="00774583"/>
    <w:rsid w:val="00774606"/>
    <w:rsid w:val="0077489D"/>
    <w:rsid w:val="00774912"/>
    <w:rsid w:val="00774949"/>
    <w:rsid w:val="00774F88"/>
    <w:rsid w:val="00774FDB"/>
    <w:rsid w:val="00775129"/>
    <w:rsid w:val="00775130"/>
    <w:rsid w:val="0077528C"/>
    <w:rsid w:val="007752AC"/>
    <w:rsid w:val="00775523"/>
    <w:rsid w:val="007755BC"/>
    <w:rsid w:val="00775687"/>
    <w:rsid w:val="0077568D"/>
    <w:rsid w:val="00775701"/>
    <w:rsid w:val="00775759"/>
    <w:rsid w:val="007758F6"/>
    <w:rsid w:val="00775E21"/>
    <w:rsid w:val="00775E73"/>
    <w:rsid w:val="00775F7E"/>
    <w:rsid w:val="0077610A"/>
    <w:rsid w:val="00776172"/>
    <w:rsid w:val="0077634B"/>
    <w:rsid w:val="007763CE"/>
    <w:rsid w:val="007763EA"/>
    <w:rsid w:val="007766CD"/>
    <w:rsid w:val="00776897"/>
    <w:rsid w:val="0077694D"/>
    <w:rsid w:val="00776BAA"/>
    <w:rsid w:val="00776CB8"/>
    <w:rsid w:val="00776D95"/>
    <w:rsid w:val="00776FBD"/>
    <w:rsid w:val="00776FF5"/>
    <w:rsid w:val="007771B1"/>
    <w:rsid w:val="007771C2"/>
    <w:rsid w:val="0077723B"/>
    <w:rsid w:val="0077754F"/>
    <w:rsid w:val="007775FC"/>
    <w:rsid w:val="00777A93"/>
    <w:rsid w:val="00777BA2"/>
    <w:rsid w:val="00777BD5"/>
    <w:rsid w:val="00777C30"/>
    <w:rsid w:val="00777E3B"/>
    <w:rsid w:val="00780090"/>
    <w:rsid w:val="007805C0"/>
    <w:rsid w:val="00780941"/>
    <w:rsid w:val="007809CF"/>
    <w:rsid w:val="00780B9A"/>
    <w:rsid w:val="00780BF1"/>
    <w:rsid w:val="00780D7F"/>
    <w:rsid w:val="00780E1F"/>
    <w:rsid w:val="00780EA7"/>
    <w:rsid w:val="00781080"/>
    <w:rsid w:val="0078113B"/>
    <w:rsid w:val="00781408"/>
    <w:rsid w:val="0078165D"/>
    <w:rsid w:val="0078187D"/>
    <w:rsid w:val="00781A9A"/>
    <w:rsid w:val="00781C00"/>
    <w:rsid w:val="00781C36"/>
    <w:rsid w:val="00781CCD"/>
    <w:rsid w:val="00781E76"/>
    <w:rsid w:val="00781FD6"/>
    <w:rsid w:val="00782436"/>
    <w:rsid w:val="0078278A"/>
    <w:rsid w:val="00782790"/>
    <w:rsid w:val="007827B6"/>
    <w:rsid w:val="0078284E"/>
    <w:rsid w:val="00782A3D"/>
    <w:rsid w:val="00782C20"/>
    <w:rsid w:val="00782E3E"/>
    <w:rsid w:val="0078325F"/>
    <w:rsid w:val="007837B3"/>
    <w:rsid w:val="00783837"/>
    <w:rsid w:val="00783CAB"/>
    <w:rsid w:val="00783F2D"/>
    <w:rsid w:val="00784396"/>
    <w:rsid w:val="00784504"/>
    <w:rsid w:val="0078455B"/>
    <w:rsid w:val="0078461E"/>
    <w:rsid w:val="007847E1"/>
    <w:rsid w:val="007847F3"/>
    <w:rsid w:val="00784A6F"/>
    <w:rsid w:val="00784B56"/>
    <w:rsid w:val="00784D57"/>
    <w:rsid w:val="00784F7F"/>
    <w:rsid w:val="007853F6"/>
    <w:rsid w:val="0078546E"/>
    <w:rsid w:val="00785561"/>
    <w:rsid w:val="007855A7"/>
    <w:rsid w:val="0078571C"/>
    <w:rsid w:val="00785835"/>
    <w:rsid w:val="00785CC1"/>
    <w:rsid w:val="00785CE2"/>
    <w:rsid w:val="00785E12"/>
    <w:rsid w:val="00785F88"/>
    <w:rsid w:val="00786018"/>
    <w:rsid w:val="007860EB"/>
    <w:rsid w:val="007861EE"/>
    <w:rsid w:val="00786365"/>
    <w:rsid w:val="00786582"/>
    <w:rsid w:val="007866E5"/>
    <w:rsid w:val="0078679C"/>
    <w:rsid w:val="007867CD"/>
    <w:rsid w:val="007868F4"/>
    <w:rsid w:val="00786958"/>
    <w:rsid w:val="00786AFC"/>
    <w:rsid w:val="00786E2D"/>
    <w:rsid w:val="00786E7B"/>
    <w:rsid w:val="00786E96"/>
    <w:rsid w:val="00786EA3"/>
    <w:rsid w:val="00787167"/>
    <w:rsid w:val="0078720D"/>
    <w:rsid w:val="00787329"/>
    <w:rsid w:val="00787371"/>
    <w:rsid w:val="0078757F"/>
    <w:rsid w:val="00787599"/>
    <w:rsid w:val="007878BD"/>
    <w:rsid w:val="00787B90"/>
    <w:rsid w:val="00787D02"/>
    <w:rsid w:val="00787E16"/>
    <w:rsid w:val="00787F1B"/>
    <w:rsid w:val="00787F61"/>
    <w:rsid w:val="00790064"/>
    <w:rsid w:val="00790169"/>
    <w:rsid w:val="007903AC"/>
    <w:rsid w:val="007907AF"/>
    <w:rsid w:val="007909DE"/>
    <w:rsid w:val="00790B4B"/>
    <w:rsid w:val="00790B72"/>
    <w:rsid w:val="00790B90"/>
    <w:rsid w:val="00790BBB"/>
    <w:rsid w:val="00790E2C"/>
    <w:rsid w:val="00790F18"/>
    <w:rsid w:val="00790FBC"/>
    <w:rsid w:val="00790FD4"/>
    <w:rsid w:val="007913B2"/>
    <w:rsid w:val="0079143C"/>
    <w:rsid w:val="00791484"/>
    <w:rsid w:val="0079156E"/>
    <w:rsid w:val="00791585"/>
    <w:rsid w:val="0079169E"/>
    <w:rsid w:val="0079181E"/>
    <w:rsid w:val="00791A46"/>
    <w:rsid w:val="00791B3E"/>
    <w:rsid w:val="00791C1C"/>
    <w:rsid w:val="00791D6F"/>
    <w:rsid w:val="00791F8A"/>
    <w:rsid w:val="00791F8F"/>
    <w:rsid w:val="00791FFC"/>
    <w:rsid w:val="007920A5"/>
    <w:rsid w:val="007920B8"/>
    <w:rsid w:val="00792200"/>
    <w:rsid w:val="00792201"/>
    <w:rsid w:val="00792445"/>
    <w:rsid w:val="0079266E"/>
    <w:rsid w:val="00792751"/>
    <w:rsid w:val="00792DAA"/>
    <w:rsid w:val="00792E15"/>
    <w:rsid w:val="00792E99"/>
    <w:rsid w:val="00793069"/>
    <w:rsid w:val="007931F6"/>
    <w:rsid w:val="007932C6"/>
    <w:rsid w:val="007932CC"/>
    <w:rsid w:val="007932DA"/>
    <w:rsid w:val="007934F7"/>
    <w:rsid w:val="00793616"/>
    <w:rsid w:val="0079368E"/>
    <w:rsid w:val="007937BC"/>
    <w:rsid w:val="007939DF"/>
    <w:rsid w:val="00793CE3"/>
    <w:rsid w:val="00793EE4"/>
    <w:rsid w:val="007940D8"/>
    <w:rsid w:val="0079410D"/>
    <w:rsid w:val="00794258"/>
    <w:rsid w:val="007944D3"/>
    <w:rsid w:val="007944F7"/>
    <w:rsid w:val="0079457A"/>
    <w:rsid w:val="00794708"/>
    <w:rsid w:val="0079479F"/>
    <w:rsid w:val="007947A8"/>
    <w:rsid w:val="007947B6"/>
    <w:rsid w:val="0079496A"/>
    <w:rsid w:val="00794B8F"/>
    <w:rsid w:val="00794BE8"/>
    <w:rsid w:val="00794C60"/>
    <w:rsid w:val="00794FEF"/>
    <w:rsid w:val="00795091"/>
    <w:rsid w:val="0079516F"/>
    <w:rsid w:val="0079548D"/>
    <w:rsid w:val="007956EE"/>
    <w:rsid w:val="007958A5"/>
    <w:rsid w:val="00795B62"/>
    <w:rsid w:val="00795C44"/>
    <w:rsid w:val="00795E34"/>
    <w:rsid w:val="00795ECD"/>
    <w:rsid w:val="0079614E"/>
    <w:rsid w:val="0079647C"/>
    <w:rsid w:val="00796611"/>
    <w:rsid w:val="00796625"/>
    <w:rsid w:val="007966C4"/>
    <w:rsid w:val="007968E1"/>
    <w:rsid w:val="007969C4"/>
    <w:rsid w:val="00796C0E"/>
    <w:rsid w:val="00796D07"/>
    <w:rsid w:val="00796E43"/>
    <w:rsid w:val="00796F25"/>
    <w:rsid w:val="00796F35"/>
    <w:rsid w:val="0079716F"/>
    <w:rsid w:val="00797596"/>
    <w:rsid w:val="0079769B"/>
    <w:rsid w:val="00797782"/>
    <w:rsid w:val="00797B57"/>
    <w:rsid w:val="00797CD1"/>
    <w:rsid w:val="007A01D0"/>
    <w:rsid w:val="007A0228"/>
    <w:rsid w:val="007A02E9"/>
    <w:rsid w:val="007A0414"/>
    <w:rsid w:val="007A0543"/>
    <w:rsid w:val="007A0550"/>
    <w:rsid w:val="007A07AA"/>
    <w:rsid w:val="007A07AD"/>
    <w:rsid w:val="007A0C31"/>
    <w:rsid w:val="007A0CCE"/>
    <w:rsid w:val="007A0D74"/>
    <w:rsid w:val="007A0D7F"/>
    <w:rsid w:val="007A0D8C"/>
    <w:rsid w:val="007A0E6A"/>
    <w:rsid w:val="007A10F6"/>
    <w:rsid w:val="007A126D"/>
    <w:rsid w:val="007A15AC"/>
    <w:rsid w:val="007A17CA"/>
    <w:rsid w:val="007A193B"/>
    <w:rsid w:val="007A1A96"/>
    <w:rsid w:val="007A1B2A"/>
    <w:rsid w:val="007A1C06"/>
    <w:rsid w:val="007A1CF4"/>
    <w:rsid w:val="007A1D3D"/>
    <w:rsid w:val="007A1F1D"/>
    <w:rsid w:val="007A208A"/>
    <w:rsid w:val="007A20F8"/>
    <w:rsid w:val="007A224B"/>
    <w:rsid w:val="007A230C"/>
    <w:rsid w:val="007A265C"/>
    <w:rsid w:val="007A2689"/>
    <w:rsid w:val="007A26C7"/>
    <w:rsid w:val="007A2811"/>
    <w:rsid w:val="007A28CB"/>
    <w:rsid w:val="007A2986"/>
    <w:rsid w:val="007A2A98"/>
    <w:rsid w:val="007A2E98"/>
    <w:rsid w:val="007A2EF6"/>
    <w:rsid w:val="007A2FAE"/>
    <w:rsid w:val="007A2FDD"/>
    <w:rsid w:val="007A319D"/>
    <w:rsid w:val="007A344F"/>
    <w:rsid w:val="007A34E4"/>
    <w:rsid w:val="007A35F0"/>
    <w:rsid w:val="007A3622"/>
    <w:rsid w:val="007A3843"/>
    <w:rsid w:val="007A3BA3"/>
    <w:rsid w:val="007A3BA4"/>
    <w:rsid w:val="007A3E3B"/>
    <w:rsid w:val="007A3EF6"/>
    <w:rsid w:val="007A3F61"/>
    <w:rsid w:val="007A40E3"/>
    <w:rsid w:val="007A4375"/>
    <w:rsid w:val="007A43B1"/>
    <w:rsid w:val="007A4443"/>
    <w:rsid w:val="007A451C"/>
    <w:rsid w:val="007A46A6"/>
    <w:rsid w:val="007A47FA"/>
    <w:rsid w:val="007A49CC"/>
    <w:rsid w:val="007A4B84"/>
    <w:rsid w:val="007A4C96"/>
    <w:rsid w:val="007A4CA5"/>
    <w:rsid w:val="007A4CE2"/>
    <w:rsid w:val="007A4D9C"/>
    <w:rsid w:val="007A4DAF"/>
    <w:rsid w:val="007A4E6A"/>
    <w:rsid w:val="007A4F62"/>
    <w:rsid w:val="007A580B"/>
    <w:rsid w:val="007A5B86"/>
    <w:rsid w:val="007A5C09"/>
    <w:rsid w:val="007A5F10"/>
    <w:rsid w:val="007A61CE"/>
    <w:rsid w:val="007A62F6"/>
    <w:rsid w:val="007A637E"/>
    <w:rsid w:val="007A64EB"/>
    <w:rsid w:val="007A6552"/>
    <w:rsid w:val="007A6863"/>
    <w:rsid w:val="007A6C8E"/>
    <w:rsid w:val="007A6C9E"/>
    <w:rsid w:val="007A6CC0"/>
    <w:rsid w:val="007A6F91"/>
    <w:rsid w:val="007A7007"/>
    <w:rsid w:val="007A707E"/>
    <w:rsid w:val="007A714A"/>
    <w:rsid w:val="007A73E4"/>
    <w:rsid w:val="007A7505"/>
    <w:rsid w:val="007A769F"/>
    <w:rsid w:val="007A7AAE"/>
    <w:rsid w:val="007A7C92"/>
    <w:rsid w:val="007A7DC8"/>
    <w:rsid w:val="007A7E5F"/>
    <w:rsid w:val="007A7EC8"/>
    <w:rsid w:val="007A7EFA"/>
    <w:rsid w:val="007A7FEC"/>
    <w:rsid w:val="007A7FF5"/>
    <w:rsid w:val="007B00B5"/>
    <w:rsid w:val="007B00D4"/>
    <w:rsid w:val="007B00FF"/>
    <w:rsid w:val="007B0513"/>
    <w:rsid w:val="007B0616"/>
    <w:rsid w:val="007B0705"/>
    <w:rsid w:val="007B0776"/>
    <w:rsid w:val="007B0843"/>
    <w:rsid w:val="007B08D1"/>
    <w:rsid w:val="007B0954"/>
    <w:rsid w:val="007B0B3E"/>
    <w:rsid w:val="007B0B6D"/>
    <w:rsid w:val="007B0D18"/>
    <w:rsid w:val="007B0E19"/>
    <w:rsid w:val="007B0E87"/>
    <w:rsid w:val="007B12D5"/>
    <w:rsid w:val="007B134D"/>
    <w:rsid w:val="007B13E9"/>
    <w:rsid w:val="007B1499"/>
    <w:rsid w:val="007B14FE"/>
    <w:rsid w:val="007B157B"/>
    <w:rsid w:val="007B15BC"/>
    <w:rsid w:val="007B172E"/>
    <w:rsid w:val="007B17AC"/>
    <w:rsid w:val="007B1A5A"/>
    <w:rsid w:val="007B1BB0"/>
    <w:rsid w:val="007B1BBF"/>
    <w:rsid w:val="007B1CC3"/>
    <w:rsid w:val="007B1DD8"/>
    <w:rsid w:val="007B21E5"/>
    <w:rsid w:val="007B222E"/>
    <w:rsid w:val="007B2408"/>
    <w:rsid w:val="007B27A5"/>
    <w:rsid w:val="007B283A"/>
    <w:rsid w:val="007B2960"/>
    <w:rsid w:val="007B2A3C"/>
    <w:rsid w:val="007B2A8C"/>
    <w:rsid w:val="007B2FC0"/>
    <w:rsid w:val="007B2FD6"/>
    <w:rsid w:val="007B30E3"/>
    <w:rsid w:val="007B3114"/>
    <w:rsid w:val="007B311C"/>
    <w:rsid w:val="007B3473"/>
    <w:rsid w:val="007B355D"/>
    <w:rsid w:val="007B361C"/>
    <w:rsid w:val="007B37AE"/>
    <w:rsid w:val="007B3A28"/>
    <w:rsid w:val="007B3A2B"/>
    <w:rsid w:val="007B3C0D"/>
    <w:rsid w:val="007B3DE2"/>
    <w:rsid w:val="007B3FA5"/>
    <w:rsid w:val="007B4002"/>
    <w:rsid w:val="007B4208"/>
    <w:rsid w:val="007B4299"/>
    <w:rsid w:val="007B4629"/>
    <w:rsid w:val="007B4635"/>
    <w:rsid w:val="007B47E3"/>
    <w:rsid w:val="007B4A68"/>
    <w:rsid w:val="007B4B3A"/>
    <w:rsid w:val="007B4CBA"/>
    <w:rsid w:val="007B4D06"/>
    <w:rsid w:val="007B4F0C"/>
    <w:rsid w:val="007B512A"/>
    <w:rsid w:val="007B5285"/>
    <w:rsid w:val="007B559C"/>
    <w:rsid w:val="007B56AD"/>
    <w:rsid w:val="007B580B"/>
    <w:rsid w:val="007B59D4"/>
    <w:rsid w:val="007B5BB9"/>
    <w:rsid w:val="007B5E3B"/>
    <w:rsid w:val="007B60F3"/>
    <w:rsid w:val="007B6100"/>
    <w:rsid w:val="007B61BA"/>
    <w:rsid w:val="007B62AD"/>
    <w:rsid w:val="007B6588"/>
    <w:rsid w:val="007B6917"/>
    <w:rsid w:val="007B6CDD"/>
    <w:rsid w:val="007B6D21"/>
    <w:rsid w:val="007B6DEC"/>
    <w:rsid w:val="007B7164"/>
    <w:rsid w:val="007B72BD"/>
    <w:rsid w:val="007B7381"/>
    <w:rsid w:val="007B738B"/>
    <w:rsid w:val="007B742B"/>
    <w:rsid w:val="007B74C6"/>
    <w:rsid w:val="007B7838"/>
    <w:rsid w:val="007B7861"/>
    <w:rsid w:val="007B7980"/>
    <w:rsid w:val="007B79B5"/>
    <w:rsid w:val="007B7E32"/>
    <w:rsid w:val="007C0046"/>
    <w:rsid w:val="007C0064"/>
    <w:rsid w:val="007C00BD"/>
    <w:rsid w:val="007C011D"/>
    <w:rsid w:val="007C01D5"/>
    <w:rsid w:val="007C0205"/>
    <w:rsid w:val="007C0279"/>
    <w:rsid w:val="007C02AD"/>
    <w:rsid w:val="007C054D"/>
    <w:rsid w:val="007C0681"/>
    <w:rsid w:val="007C07D0"/>
    <w:rsid w:val="007C0809"/>
    <w:rsid w:val="007C091D"/>
    <w:rsid w:val="007C09FC"/>
    <w:rsid w:val="007C0AFB"/>
    <w:rsid w:val="007C0B15"/>
    <w:rsid w:val="007C0B9D"/>
    <w:rsid w:val="007C0C9D"/>
    <w:rsid w:val="007C0DEF"/>
    <w:rsid w:val="007C0E06"/>
    <w:rsid w:val="007C0E46"/>
    <w:rsid w:val="007C0EA9"/>
    <w:rsid w:val="007C0EFB"/>
    <w:rsid w:val="007C1288"/>
    <w:rsid w:val="007C1473"/>
    <w:rsid w:val="007C14AB"/>
    <w:rsid w:val="007C15DA"/>
    <w:rsid w:val="007C15E5"/>
    <w:rsid w:val="007C160E"/>
    <w:rsid w:val="007C173C"/>
    <w:rsid w:val="007C1789"/>
    <w:rsid w:val="007C187A"/>
    <w:rsid w:val="007C1A63"/>
    <w:rsid w:val="007C1BDE"/>
    <w:rsid w:val="007C1C26"/>
    <w:rsid w:val="007C1DF4"/>
    <w:rsid w:val="007C1F49"/>
    <w:rsid w:val="007C1FB5"/>
    <w:rsid w:val="007C2143"/>
    <w:rsid w:val="007C2145"/>
    <w:rsid w:val="007C21CE"/>
    <w:rsid w:val="007C2330"/>
    <w:rsid w:val="007C248B"/>
    <w:rsid w:val="007C24AF"/>
    <w:rsid w:val="007C25B1"/>
    <w:rsid w:val="007C25DD"/>
    <w:rsid w:val="007C26E3"/>
    <w:rsid w:val="007C27B5"/>
    <w:rsid w:val="007C27F4"/>
    <w:rsid w:val="007C281F"/>
    <w:rsid w:val="007C298F"/>
    <w:rsid w:val="007C2A52"/>
    <w:rsid w:val="007C2B94"/>
    <w:rsid w:val="007C2BBA"/>
    <w:rsid w:val="007C2C18"/>
    <w:rsid w:val="007C2CFC"/>
    <w:rsid w:val="007C2E42"/>
    <w:rsid w:val="007C2F35"/>
    <w:rsid w:val="007C30AF"/>
    <w:rsid w:val="007C30CD"/>
    <w:rsid w:val="007C3217"/>
    <w:rsid w:val="007C32D8"/>
    <w:rsid w:val="007C32E0"/>
    <w:rsid w:val="007C3880"/>
    <w:rsid w:val="007C3A2C"/>
    <w:rsid w:val="007C3C93"/>
    <w:rsid w:val="007C3DF7"/>
    <w:rsid w:val="007C3F49"/>
    <w:rsid w:val="007C3FA7"/>
    <w:rsid w:val="007C43C2"/>
    <w:rsid w:val="007C4465"/>
    <w:rsid w:val="007C449F"/>
    <w:rsid w:val="007C46E7"/>
    <w:rsid w:val="007C485C"/>
    <w:rsid w:val="007C49A8"/>
    <w:rsid w:val="007C4AB0"/>
    <w:rsid w:val="007C4B88"/>
    <w:rsid w:val="007C4C4E"/>
    <w:rsid w:val="007C4CDA"/>
    <w:rsid w:val="007C4CF6"/>
    <w:rsid w:val="007C4DC1"/>
    <w:rsid w:val="007C4F41"/>
    <w:rsid w:val="007C4F79"/>
    <w:rsid w:val="007C559A"/>
    <w:rsid w:val="007C5602"/>
    <w:rsid w:val="007C567A"/>
    <w:rsid w:val="007C5916"/>
    <w:rsid w:val="007C59ED"/>
    <w:rsid w:val="007C5B23"/>
    <w:rsid w:val="007C5B67"/>
    <w:rsid w:val="007C5CD3"/>
    <w:rsid w:val="007C5D03"/>
    <w:rsid w:val="007C5D5A"/>
    <w:rsid w:val="007C5F0C"/>
    <w:rsid w:val="007C5FBE"/>
    <w:rsid w:val="007C607F"/>
    <w:rsid w:val="007C61DF"/>
    <w:rsid w:val="007C6206"/>
    <w:rsid w:val="007C6230"/>
    <w:rsid w:val="007C6242"/>
    <w:rsid w:val="007C6266"/>
    <w:rsid w:val="007C62E6"/>
    <w:rsid w:val="007C6722"/>
    <w:rsid w:val="007C674F"/>
    <w:rsid w:val="007C67A3"/>
    <w:rsid w:val="007C67AF"/>
    <w:rsid w:val="007C6877"/>
    <w:rsid w:val="007C6CEA"/>
    <w:rsid w:val="007C6E99"/>
    <w:rsid w:val="007C7047"/>
    <w:rsid w:val="007C70D4"/>
    <w:rsid w:val="007C7190"/>
    <w:rsid w:val="007C73F3"/>
    <w:rsid w:val="007C7784"/>
    <w:rsid w:val="007C77B4"/>
    <w:rsid w:val="007C79DD"/>
    <w:rsid w:val="007C7A87"/>
    <w:rsid w:val="007C7B15"/>
    <w:rsid w:val="007D00B6"/>
    <w:rsid w:val="007D01B0"/>
    <w:rsid w:val="007D0263"/>
    <w:rsid w:val="007D04DF"/>
    <w:rsid w:val="007D071A"/>
    <w:rsid w:val="007D0852"/>
    <w:rsid w:val="007D08A5"/>
    <w:rsid w:val="007D08D0"/>
    <w:rsid w:val="007D0947"/>
    <w:rsid w:val="007D09B0"/>
    <w:rsid w:val="007D0A52"/>
    <w:rsid w:val="007D0DAA"/>
    <w:rsid w:val="007D0FB8"/>
    <w:rsid w:val="007D10EC"/>
    <w:rsid w:val="007D11A6"/>
    <w:rsid w:val="007D121A"/>
    <w:rsid w:val="007D13F3"/>
    <w:rsid w:val="007D15C8"/>
    <w:rsid w:val="007D185D"/>
    <w:rsid w:val="007D19DD"/>
    <w:rsid w:val="007D1A97"/>
    <w:rsid w:val="007D1AD2"/>
    <w:rsid w:val="007D1BEA"/>
    <w:rsid w:val="007D1BFF"/>
    <w:rsid w:val="007D1CC2"/>
    <w:rsid w:val="007D1CCF"/>
    <w:rsid w:val="007D1EDB"/>
    <w:rsid w:val="007D200D"/>
    <w:rsid w:val="007D2286"/>
    <w:rsid w:val="007D22E5"/>
    <w:rsid w:val="007D232B"/>
    <w:rsid w:val="007D2387"/>
    <w:rsid w:val="007D249A"/>
    <w:rsid w:val="007D2790"/>
    <w:rsid w:val="007D2911"/>
    <w:rsid w:val="007D2BDC"/>
    <w:rsid w:val="007D2CD6"/>
    <w:rsid w:val="007D2CF1"/>
    <w:rsid w:val="007D2D3B"/>
    <w:rsid w:val="007D301D"/>
    <w:rsid w:val="007D3063"/>
    <w:rsid w:val="007D31D1"/>
    <w:rsid w:val="007D35B6"/>
    <w:rsid w:val="007D35DB"/>
    <w:rsid w:val="007D3617"/>
    <w:rsid w:val="007D3637"/>
    <w:rsid w:val="007D3672"/>
    <w:rsid w:val="007D36E4"/>
    <w:rsid w:val="007D3806"/>
    <w:rsid w:val="007D381A"/>
    <w:rsid w:val="007D3C65"/>
    <w:rsid w:val="007D3CEB"/>
    <w:rsid w:val="007D3D5F"/>
    <w:rsid w:val="007D3EBD"/>
    <w:rsid w:val="007D3FFF"/>
    <w:rsid w:val="007D424D"/>
    <w:rsid w:val="007D4323"/>
    <w:rsid w:val="007D434F"/>
    <w:rsid w:val="007D4396"/>
    <w:rsid w:val="007D43F0"/>
    <w:rsid w:val="007D4494"/>
    <w:rsid w:val="007D4642"/>
    <w:rsid w:val="007D4A08"/>
    <w:rsid w:val="007D4A48"/>
    <w:rsid w:val="007D4C45"/>
    <w:rsid w:val="007D4C51"/>
    <w:rsid w:val="007D4E09"/>
    <w:rsid w:val="007D51BA"/>
    <w:rsid w:val="007D51C0"/>
    <w:rsid w:val="007D5270"/>
    <w:rsid w:val="007D5918"/>
    <w:rsid w:val="007D59C7"/>
    <w:rsid w:val="007D5B1D"/>
    <w:rsid w:val="007D5C29"/>
    <w:rsid w:val="007D5D56"/>
    <w:rsid w:val="007D6061"/>
    <w:rsid w:val="007D60AE"/>
    <w:rsid w:val="007D627F"/>
    <w:rsid w:val="007D6286"/>
    <w:rsid w:val="007D63ED"/>
    <w:rsid w:val="007D6468"/>
    <w:rsid w:val="007D65F4"/>
    <w:rsid w:val="007D665A"/>
    <w:rsid w:val="007D67AB"/>
    <w:rsid w:val="007D69D0"/>
    <w:rsid w:val="007D6DD2"/>
    <w:rsid w:val="007D6EDC"/>
    <w:rsid w:val="007D70CC"/>
    <w:rsid w:val="007D7210"/>
    <w:rsid w:val="007D76FD"/>
    <w:rsid w:val="007D775B"/>
    <w:rsid w:val="007D7B0A"/>
    <w:rsid w:val="007D7C1E"/>
    <w:rsid w:val="007D7F1C"/>
    <w:rsid w:val="007E00A3"/>
    <w:rsid w:val="007E0155"/>
    <w:rsid w:val="007E0404"/>
    <w:rsid w:val="007E0764"/>
    <w:rsid w:val="007E08CD"/>
    <w:rsid w:val="007E09F5"/>
    <w:rsid w:val="007E0B26"/>
    <w:rsid w:val="007E0B97"/>
    <w:rsid w:val="007E0CA5"/>
    <w:rsid w:val="007E0DED"/>
    <w:rsid w:val="007E0FDE"/>
    <w:rsid w:val="007E0FEA"/>
    <w:rsid w:val="007E1124"/>
    <w:rsid w:val="007E1317"/>
    <w:rsid w:val="007E131A"/>
    <w:rsid w:val="007E144F"/>
    <w:rsid w:val="007E148D"/>
    <w:rsid w:val="007E1505"/>
    <w:rsid w:val="007E15D5"/>
    <w:rsid w:val="007E168E"/>
    <w:rsid w:val="007E190C"/>
    <w:rsid w:val="007E1A22"/>
    <w:rsid w:val="007E1F8B"/>
    <w:rsid w:val="007E22D1"/>
    <w:rsid w:val="007E246B"/>
    <w:rsid w:val="007E2514"/>
    <w:rsid w:val="007E268E"/>
    <w:rsid w:val="007E27AB"/>
    <w:rsid w:val="007E28BF"/>
    <w:rsid w:val="007E2A8B"/>
    <w:rsid w:val="007E2AF0"/>
    <w:rsid w:val="007E2B8C"/>
    <w:rsid w:val="007E3080"/>
    <w:rsid w:val="007E3113"/>
    <w:rsid w:val="007E317A"/>
    <w:rsid w:val="007E3223"/>
    <w:rsid w:val="007E33F8"/>
    <w:rsid w:val="007E3458"/>
    <w:rsid w:val="007E34E8"/>
    <w:rsid w:val="007E3539"/>
    <w:rsid w:val="007E3577"/>
    <w:rsid w:val="007E39D3"/>
    <w:rsid w:val="007E39FD"/>
    <w:rsid w:val="007E3AC7"/>
    <w:rsid w:val="007E3C0D"/>
    <w:rsid w:val="007E3E7B"/>
    <w:rsid w:val="007E3FD9"/>
    <w:rsid w:val="007E41D5"/>
    <w:rsid w:val="007E41EC"/>
    <w:rsid w:val="007E421F"/>
    <w:rsid w:val="007E4270"/>
    <w:rsid w:val="007E42B0"/>
    <w:rsid w:val="007E438D"/>
    <w:rsid w:val="007E45BF"/>
    <w:rsid w:val="007E4641"/>
    <w:rsid w:val="007E4734"/>
    <w:rsid w:val="007E48EF"/>
    <w:rsid w:val="007E4963"/>
    <w:rsid w:val="007E496D"/>
    <w:rsid w:val="007E4C06"/>
    <w:rsid w:val="007E4FBE"/>
    <w:rsid w:val="007E4FE0"/>
    <w:rsid w:val="007E5094"/>
    <w:rsid w:val="007E50ED"/>
    <w:rsid w:val="007E52D7"/>
    <w:rsid w:val="007E53DD"/>
    <w:rsid w:val="007E5421"/>
    <w:rsid w:val="007E543E"/>
    <w:rsid w:val="007E55D1"/>
    <w:rsid w:val="007E56BF"/>
    <w:rsid w:val="007E584C"/>
    <w:rsid w:val="007E599E"/>
    <w:rsid w:val="007E5C25"/>
    <w:rsid w:val="007E5C95"/>
    <w:rsid w:val="007E5E8C"/>
    <w:rsid w:val="007E5FB3"/>
    <w:rsid w:val="007E6189"/>
    <w:rsid w:val="007E61A2"/>
    <w:rsid w:val="007E63B2"/>
    <w:rsid w:val="007E63E8"/>
    <w:rsid w:val="007E6531"/>
    <w:rsid w:val="007E66A3"/>
    <w:rsid w:val="007E6904"/>
    <w:rsid w:val="007E6C32"/>
    <w:rsid w:val="007E6C7E"/>
    <w:rsid w:val="007E6D2A"/>
    <w:rsid w:val="007E6E7B"/>
    <w:rsid w:val="007E6F0F"/>
    <w:rsid w:val="007E708F"/>
    <w:rsid w:val="007E7137"/>
    <w:rsid w:val="007E738A"/>
    <w:rsid w:val="007E740C"/>
    <w:rsid w:val="007E7620"/>
    <w:rsid w:val="007E7683"/>
    <w:rsid w:val="007E77D5"/>
    <w:rsid w:val="007E77EE"/>
    <w:rsid w:val="007E7913"/>
    <w:rsid w:val="007E799F"/>
    <w:rsid w:val="007E7C99"/>
    <w:rsid w:val="007E7E55"/>
    <w:rsid w:val="007E7F35"/>
    <w:rsid w:val="007E7F42"/>
    <w:rsid w:val="007E7F5C"/>
    <w:rsid w:val="007F0056"/>
    <w:rsid w:val="007F0172"/>
    <w:rsid w:val="007F034C"/>
    <w:rsid w:val="007F0453"/>
    <w:rsid w:val="007F06D1"/>
    <w:rsid w:val="007F070C"/>
    <w:rsid w:val="007F0972"/>
    <w:rsid w:val="007F0B8C"/>
    <w:rsid w:val="007F0F24"/>
    <w:rsid w:val="007F11C2"/>
    <w:rsid w:val="007F13B6"/>
    <w:rsid w:val="007F1561"/>
    <w:rsid w:val="007F15E1"/>
    <w:rsid w:val="007F1680"/>
    <w:rsid w:val="007F1861"/>
    <w:rsid w:val="007F18E4"/>
    <w:rsid w:val="007F1A53"/>
    <w:rsid w:val="007F1BB3"/>
    <w:rsid w:val="007F21CC"/>
    <w:rsid w:val="007F228A"/>
    <w:rsid w:val="007F22C6"/>
    <w:rsid w:val="007F2679"/>
    <w:rsid w:val="007F28CC"/>
    <w:rsid w:val="007F29FB"/>
    <w:rsid w:val="007F2A8F"/>
    <w:rsid w:val="007F2A99"/>
    <w:rsid w:val="007F2BA8"/>
    <w:rsid w:val="007F2CE9"/>
    <w:rsid w:val="007F2DC1"/>
    <w:rsid w:val="007F2E5B"/>
    <w:rsid w:val="007F30FD"/>
    <w:rsid w:val="007F33C8"/>
    <w:rsid w:val="007F4200"/>
    <w:rsid w:val="007F4210"/>
    <w:rsid w:val="007F430D"/>
    <w:rsid w:val="007F4653"/>
    <w:rsid w:val="007F4672"/>
    <w:rsid w:val="007F487D"/>
    <w:rsid w:val="007F48B0"/>
    <w:rsid w:val="007F48E1"/>
    <w:rsid w:val="007F4902"/>
    <w:rsid w:val="007F4976"/>
    <w:rsid w:val="007F49FA"/>
    <w:rsid w:val="007F4A8B"/>
    <w:rsid w:val="007F4D73"/>
    <w:rsid w:val="007F4E02"/>
    <w:rsid w:val="007F4E9A"/>
    <w:rsid w:val="007F4FB6"/>
    <w:rsid w:val="007F5019"/>
    <w:rsid w:val="007F5258"/>
    <w:rsid w:val="007F52B2"/>
    <w:rsid w:val="007F5475"/>
    <w:rsid w:val="007F54C4"/>
    <w:rsid w:val="007F5554"/>
    <w:rsid w:val="007F563B"/>
    <w:rsid w:val="007F567C"/>
    <w:rsid w:val="007F578C"/>
    <w:rsid w:val="007F5A2E"/>
    <w:rsid w:val="007F5A9E"/>
    <w:rsid w:val="007F5EA5"/>
    <w:rsid w:val="007F5F7B"/>
    <w:rsid w:val="007F60BE"/>
    <w:rsid w:val="007F631E"/>
    <w:rsid w:val="007F63E8"/>
    <w:rsid w:val="007F66B8"/>
    <w:rsid w:val="007F698C"/>
    <w:rsid w:val="007F6AED"/>
    <w:rsid w:val="007F6E9A"/>
    <w:rsid w:val="007F6F61"/>
    <w:rsid w:val="007F766F"/>
    <w:rsid w:val="007F77C3"/>
    <w:rsid w:val="007F77CE"/>
    <w:rsid w:val="007F795F"/>
    <w:rsid w:val="007F7C23"/>
    <w:rsid w:val="007F7CCF"/>
    <w:rsid w:val="007F7DDF"/>
    <w:rsid w:val="007F7E97"/>
    <w:rsid w:val="007F7EAE"/>
    <w:rsid w:val="008001DA"/>
    <w:rsid w:val="008001EB"/>
    <w:rsid w:val="008002E4"/>
    <w:rsid w:val="008003BC"/>
    <w:rsid w:val="008004A0"/>
    <w:rsid w:val="00800C05"/>
    <w:rsid w:val="00800CCD"/>
    <w:rsid w:val="00800DB3"/>
    <w:rsid w:val="00800E46"/>
    <w:rsid w:val="00800EC4"/>
    <w:rsid w:val="00800F5F"/>
    <w:rsid w:val="008010ED"/>
    <w:rsid w:val="00801274"/>
    <w:rsid w:val="0080128B"/>
    <w:rsid w:val="00801594"/>
    <w:rsid w:val="008015EC"/>
    <w:rsid w:val="0080168C"/>
    <w:rsid w:val="008016E5"/>
    <w:rsid w:val="0080177C"/>
    <w:rsid w:val="00801902"/>
    <w:rsid w:val="00801D75"/>
    <w:rsid w:val="00801E3E"/>
    <w:rsid w:val="00801EA7"/>
    <w:rsid w:val="00801FDB"/>
    <w:rsid w:val="00801FEB"/>
    <w:rsid w:val="00802006"/>
    <w:rsid w:val="0080206B"/>
    <w:rsid w:val="0080228A"/>
    <w:rsid w:val="00802533"/>
    <w:rsid w:val="00802641"/>
    <w:rsid w:val="00802716"/>
    <w:rsid w:val="00802904"/>
    <w:rsid w:val="00802A92"/>
    <w:rsid w:val="00802C9A"/>
    <w:rsid w:val="00802CB5"/>
    <w:rsid w:val="00802D44"/>
    <w:rsid w:val="00802E07"/>
    <w:rsid w:val="00802FCA"/>
    <w:rsid w:val="00803127"/>
    <w:rsid w:val="00803221"/>
    <w:rsid w:val="00803284"/>
    <w:rsid w:val="00803314"/>
    <w:rsid w:val="00803386"/>
    <w:rsid w:val="00803514"/>
    <w:rsid w:val="008036AA"/>
    <w:rsid w:val="008037C1"/>
    <w:rsid w:val="0080399C"/>
    <w:rsid w:val="00803BD1"/>
    <w:rsid w:val="00803EC3"/>
    <w:rsid w:val="00803F5A"/>
    <w:rsid w:val="008041C2"/>
    <w:rsid w:val="008044D4"/>
    <w:rsid w:val="008046D9"/>
    <w:rsid w:val="00804858"/>
    <w:rsid w:val="00804B96"/>
    <w:rsid w:val="00805065"/>
    <w:rsid w:val="0080507E"/>
    <w:rsid w:val="008050D0"/>
    <w:rsid w:val="008051D6"/>
    <w:rsid w:val="008053F0"/>
    <w:rsid w:val="0080599C"/>
    <w:rsid w:val="00805C37"/>
    <w:rsid w:val="008062AE"/>
    <w:rsid w:val="008062F7"/>
    <w:rsid w:val="0080636E"/>
    <w:rsid w:val="00806397"/>
    <w:rsid w:val="008063D3"/>
    <w:rsid w:val="008065BD"/>
    <w:rsid w:val="0080662A"/>
    <w:rsid w:val="008067FB"/>
    <w:rsid w:val="00806844"/>
    <w:rsid w:val="00806886"/>
    <w:rsid w:val="008068F6"/>
    <w:rsid w:val="00806962"/>
    <w:rsid w:val="00806F76"/>
    <w:rsid w:val="00807109"/>
    <w:rsid w:val="008075BD"/>
    <w:rsid w:val="00807625"/>
    <w:rsid w:val="0080772F"/>
    <w:rsid w:val="00807779"/>
    <w:rsid w:val="008077B2"/>
    <w:rsid w:val="008079CC"/>
    <w:rsid w:val="00807AA4"/>
    <w:rsid w:val="00807B0A"/>
    <w:rsid w:val="00807C1C"/>
    <w:rsid w:val="00807C8B"/>
    <w:rsid w:val="00807CAD"/>
    <w:rsid w:val="008101D7"/>
    <w:rsid w:val="0081054D"/>
    <w:rsid w:val="008105CC"/>
    <w:rsid w:val="008105F7"/>
    <w:rsid w:val="0081082D"/>
    <w:rsid w:val="00810842"/>
    <w:rsid w:val="00810935"/>
    <w:rsid w:val="008109A4"/>
    <w:rsid w:val="00810A9E"/>
    <w:rsid w:val="00810AB4"/>
    <w:rsid w:val="00810AEB"/>
    <w:rsid w:val="00810BAD"/>
    <w:rsid w:val="00810BF4"/>
    <w:rsid w:val="00810CC0"/>
    <w:rsid w:val="00811063"/>
    <w:rsid w:val="00811127"/>
    <w:rsid w:val="008112C7"/>
    <w:rsid w:val="00811589"/>
    <w:rsid w:val="008118CF"/>
    <w:rsid w:val="00811990"/>
    <w:rsid w:val="00811C04"/>
    <w:rsid w:val="00811DE5"/>
    <w:rsid w:val="00811DE7"/>
    <w:rsid w:val="00811E49"/>
    <w:rsid w:val="00812366"/>
    <w:rsid w:val="008123C7"/>
    <w:rsid w:val="00812559"/>
    <w:rsid w:val="008125DA"/>
    <w:rsid w:val="0081274B"/>
    <w:rsid w:val="00812CBC"/>
    <w:rsid w:val="00812CC2"/>
    <w:rsid w:val="0081301E"/>
    <w:rsid w:val="008130C7"/>
    <w:rsid w:val="0081326D"/>
    <w:rsid w:val="008132B0"/>
    <w:rsid w:val="00813359"/>
    <w:rsid w:val="0081337C"/>
    <w:rsid w:val="0081372C"/>
    <w:rsid w:val="008138FC"/>
    <w:rsid w:val="00813BC1"/>
    <w:rsid w:val="00813D16"/>
    <w:rsid w:val="0081400A"/>
    <w:rsid w:val="00814038"/>
    <w:rsid w:val="008140DE"/>
    <w:rsid w:val="008140E7"/>
    <w:rsid w:val="008141E3"/>
    <w:rsid w:val="008143D2"/>
    <w:rsid w:val="00814468"/>
    <w:rsid w:val="008144EC"/>
    <w:rsid w:val="00814506"/>
    <w:rsid w:val="00814509"/>
    <w:rsid w:val="008145B5"/>
    <w:rsid w:val="008146A5"/>
    <w:rsid w:val="00814763"/>
    <w:rsid w:val="00814853"/>
    <w:rsid w:val="0081498E"/>
    <w:rsid w:val="00814B71"/>
    <w:rsid w:val="00814DAB"/>
    <w:rsid w:val="00814FE6"/>
    <w:rsid w:val="008150CD"/>
    <w:rsid w:val="008151C0"/>
    <w:rsid w:val="00815239"/>
    <w:rsid w:val="00815254"/>
    <w:rsid w:val="00815334"/>
    <w:rsid w:val="0081551B"/>
    <w:rsid w:val="00815606"/>
    <w:rsid w:val="008158C2"/>
    <w:rsid w:val="00815C4E"/>
    <w:rsid w:val="00815D48"/>
    <w:rsid w:val="00815FA8"/>
    <w:rsid w:val="00815FEC"/>
    <w:rsid w:val="00815FFF"/>
    <w:rsid w:val="008161D2"/>
    <w:rsid w:val="0081628C"/>
    <w:rsid w:val="00816298"/>
    <w:rsid w:val="00816533"/>
    <w:rsid w:val="008165EA"/>
    <w:rsid w:val="00816747"/>
    <w:rsid w:val="00816861"/>
    <w:rsid w:val="008168FD"/>
    <w:rsid w:val="00816980"/>
    <w:rsid w:val="008169F5"/>
    <w:rsid w:val="00816B0F"/>
    <w:rsid w:val="00816F17"/>
    <w:rsid w:val="0081700E"/>
    <w:rsid w:val="0081703C"/>
    <w:rsid w:val="0081724A"/>
    <w:rsid w:val="008174AC"/>
    <w:rsid w:val="00817569"/>
    <w:rsid w:val="0081771D"/>
    <w:rsid w:val="00817915"/>
    <w:rsid w:val="00817B56"/>
    <w:rsid w:val="00817C4B"/>
    <w:rsid w:val="00817C96"/>
    <w:rsid w:val="00817CFC"/>
    <w:rsid w:val="00817DF1"/>
    <w:rsid w:val="00817E6A"/>
    <w:rsid w:val="008200C2"/>
    <w:rsid w:val="0082051A"/>
    <w:rsid w:val="00820551"/>
    <w:rsid w:val="0082066F"/>
    <w:rsid w:val="0082078C"/>
    <w:rsid w:val="008209AA"/>
    <w:rsid w:val="00820CA9"/>
    <w:rsid w:val="00820E18"/>
    <w:rsid w:val="00820FC6"/>
    <w:rsid w:val="0082108C"/>
    <w:rsid w:val="0082179B"/>
    <w:rsid w:val="0082193B"/>
    <w:rsid w:val="00821A88"/>
    <w:rsid w:val="00821B01"/>
    <w:rsid w:val="00821BAB"/>
    <w:rsid w:val="00821C0A"/>
    <w:rsid w:val="00821D06"/>
    <w:rsid w:val="00821D38"/>
    <w:rsid w:val="00821E70"/>
    <w:rsid w:val="00821ED7"/>
    <w:rsid w:val="008221C8"/>
    <w:rsid w:val="00822259"/>
    <w:rsid w:val="0082254C"/>
    <w:rsid w:val="00822C69"/>
    <w:rsid w:val="00822D2D"/>
    <w:rsid w:val="00822DD4"/>
    <w:rsid w:val="00823075"/>
    <w:rsid w:val="0082319F"/>
    <w:rsid w:val="0082322E"/>
    <w:rsid w:val="008234EA"/>
    <w:rsid w:val="00823513"/>
    <w:rsid w:val="00823561"/>
    <w:rsid w:val="0082376D"/>
    <w:rsid w:val="00823805"/>
    <w:rsid w:val="00823BD7"/>
    <w:rsid w:val="00823D2C"/>
    <w:rsid w:val="00823F62"/>
    <w:rsid w:val="00824060"/>
    <w:rsid w:val="00824134"/>
    <w:rsid w:val="008241A8"/>
    <w:rsid w:val="0082422D"/>
    <w:rsid w:val="0082487E"/>
    <w:rsid w:val="0082491C"/>
    <w:rsid w:val="0082495D"/>
    <w:rsid w:val="00824A4A"/>
    <w:rsid w:val="00824A8C"/>
    <w:rsid w:val="00824AE4"/>
    <w:rsid w:val="00824BC8"/>
    <w:rsid w:val="00824CE8"/>
    <w:rsid w:val="00824E78"/>
    <w:rsid w:val="00824F0E"/>
    <w:rsid w:val="00825081"/>
    <w:rsid w:val="008250D5"/>
    <w:rsid w:val="00825489"/>
    <w:rsid w:val="00825927"/>
    <w:rsid w:val="00825AB8"/>
    <w:rsid w:val="00825B81"/>
    <w:rsid w:val="00825CE5"/>
    <w:rsid w:val="00825DF6"/>
    <w:rsid w:val="00825E09"/>
    <w:rsid w:val="00825ECF"/>
    <w:rsid w:val="00826326"/>
    <w:rsid w:val="008263C7"/>
    <w:rsid w:val="0082688C"/>
    <w:rsid w:val="00826B35"/>
    <w:rsid w:val="00826B72"/>
    <w:rsid w:val="00826CF0"/>
    <w:rsid w:val="00826F88"/>
    <w:rsid w:val="00826FF5"/>
    <w:rsid w:val="008275E3"/>
    <w:rsid w:val="00827649"/>
    <w:rsid w:val="0082768C"/>
    <w:rsid w:val="008278BD"/>
    <w:rsid w:val="008279F3"/>
    <w:rsid w:val="00827A67"/>
    <w:rsid w:val="00827BF3"/>
    <w:rsid w:val="00827BF5"/>
    <w:rsid w:val="00830013"/>
    <w:rsid w:val="00830240"/>
    <w:rsid w:val="008302A8"/>
    <w:rsid w:val="00830455"/>
    <w:rsid w:val="0083057D"/>
    <w:rsid w:val="0083093C"/>
    <w:rsid w:val="00830D14"/>
    <w:rsid w:val="008312B9"/>
    <w:rsid w:val="008312CF"/>
    <w:rsid w:val="00831312"/>
    <w:rsid w:val="0083138E"/>
    <w:rsid w:val="0083151E"/>
    <w:rsid w:val="00831549"/>
    <w:rsid w:val="008316B9"/>
    <w:rsid w:val="008319D3"/>
    <w:rsid w:val="00831AC3"/>
    <w:rsid w:val="00831C51"/>
    <w:rsid w:val="00831CED"/>
    <w:rsid w:val="00831D16"/>
    <w:rsid w:val="00831D3F"/>
    <w:rsid w:val="00831FA6"/>
    <w:rsid w:val="00832045"/>
    <w:rsid w:val="00832206"/>
    <w:rsid w:val="00832220"/>
    <w:rsid w:val="0083230A"/>
    <w:rsid w:val="008323B9"/>
    <w:rsid w:val="008325CB"/>
    <w:rsid w:val="00832644"/>
    <w:rsid w:val="0083265F"/>
    <w:rsid w:val="008328E8"/>
    <w:rsid w:val="008328EB"/>
    <w:rsid w:val="008329E2"/>
    <w:rsid w:val="00832C4A"/>
    <w:rsid w:val="00832C68"/>
    <w:rsid w:val="00832CD5"/>
    <w:rsid w:val="00832D7C"/>
    <w:rsid w:val="00832FBD"/>
    <w:rsid w:val="008330B2"/>
    <w:rsid w:val="0083338A"/>
    <w:rsid w:val="0083351B"/>
    <w:rsid w:val="0083351C"/>
    <w:rsid w:val="008335A5"/>
    <w:rsid w:val="00833990"/>
    <w:rsid w:val="00833AF9"/>
    <w:rsid w:val="00833E35"/>
    <w:rsid w:val="00833E8E"/>
    <w:rsid w:val="00833F35"/>
    <w:rsid w:val="008340FD"/>
    <w:rsid w:val="008342D6"/>
    <w:rsid w:val="008343C4"/>
    <w:rsid w:val="0083441A"/>
    <w:rsid w:val="00834619"/>
    <w:rsid w:val="008347AD"/>
    <w:rsid w:val="008347E7"/>
    <w:rsid w:val="00834981"/>
    <w:rsid w:val="008349C8"/>
    <w:rsid w:val="00834BF3"/>
    <w:rsid w:val="00834C4A"/>
    <w:rsid w:val="00834E0F"/>
    <w:rsid w:val="00835088"/>
    <w:rsid w:val="00835091"/>
    <w:rsid w:val="008355A4"/>
    <w:rsid w:val="00835996"/>
    <w:rsid w:val="008359F3"/>
    <w:rsid w:val="00835A7A"/>
    <w:rsid w:val="00835C81"/>
    <w:rsid w:val="00835D1E"/>
    <w:rsid w:val="00835D7D"/>
    <w:rsid w:val="008362D4"/>
    <w:rsid w:val="00836508"/>
    <w:rsid w:val="0083660D"/>
    <w:rsid w:val="008366F7"/>
    <w:rsid w:val="008367DC"/>
    <w:rsid w:val="008369B3"/>
    <w:rsid w:val="008369B7"/>
    <w:rsid w:val="00836AC9"/>
    <w:rsid w:val="00836B41"/>
    <w:rsid w:val="00836D3F"/>
    <w:rsid w:val="00836D40"/>
    <w:rsid w:val="00836EB1"/>
    <w:rsid w:val="00836EF1"/>
    <w:rsid w:val="00836EF5"/>
    <w:rsid w:val="00836FCE"/>
    <w:rsid w:val="00837105"/>
    <w:rsid w:val="008371EE"/>
    <w:rsid w:val="00837404"/>
    <w:rsid w:val="00837405"/>
    <w:rsid w:val="008375A0"/>
    <w:rsid w:val="00837752"/>
    <w:rsid w:val="00837775"/>
    <w:rsid w:val="0083782E"/>
    <w:rsid w:val="00837841"/>
    <w:rsid w:val="008378A4"/>
    <w:rsid w:val="008379FB"/>
    <w:rsid w:val="00837ACA"/>
    <w:rsid w:val="00837B8E"/>
    <w:rsid w:val="00837C19"/>
    <w:rsid w:val="00837DA9"/>
    <w:rsid w:val="008400BA"/>
    <w:rsid w:val="0084027A"/>
    <w:rsid w:val="00840293"/>
    <w:rsid w:val="00840381"/>
    <w:rsid w:val="008404B5"/>
    <w:rsid w:val="00840515"/>
    <w:rsid w:val="008406D8"/>
    <w:rsid w:val="00840892"/>
    <w:rsid w:val="008408FF"/>
    <w:rsid w:val="00840AAA"/>
    <w:rsid w:val="00840D69"/>
    <w:rsid w:val="00840E1C"/>
    <w:rsid w:val="00841056"/>
    <w:rsid w:val="0084143A"/>
    <w:rsid w:val="008414C8"/>
    <w:rsid w:val="0084168B"/>
    <w:rsid w:val="00841CFD"/>
    <w:rsid w:val="00841D03"/>
    <w:rsid w:val="00841F1E"/>
    <w:rsid w:val="00841F21"/>
    <w:rsid w:val="008420C9"/>
    <w:rsid w:val="008420DF"/>
    <w:rsid w:val="008421D6"/>
    <w:rsid w:val="0084230F"/>
    <w:rsid w:val="00842372"/>
    <w:rsid w:val="008424E4"/>
    <w:rsid w:val="00842510"/>
    <w:rsid w:val="00842538"/>
    <w:rsid w:val="00842541"/>
    <w:rsid w:val="008425E5"/>
    <w:rsid w:val="00842611"/>
    <w:rsid w:val="0084288E"/>
    <w:rsid w:val="00842985"/>
    <w:rsid w:val="0084299C"/>
    <w:rsid w:val="00842ABA"/>
    <w:rsid w:val="00842D62"/>
    <w:rsid w:val="00842D8F"/>
    <w:rsid w:val="00843192"/>
    <w:rsid w:val="00843196"/>
    <w:rsid w:val="00843263"/>
    <w:rsid w:val="00843279"/>
    <w:rsid w:val="00843370"/>
    <w:rsid w:val="008433A9"/>
    <w:rsid w:val="008436BA"/>
    <w:rsid w:val="00843886"/>
    <w:rsid w:val="008438E5"/>
    <w:rsid w:val="008439B9"/>
    <w:rsid w:val="00843F27"/>
    <w:rsid w:val="008440E5"/>
    <w:rsid w:val="008440E7"/>
    <w:rsid w:val="008441DB"/>
    <w:rsid w:val="00844205"/>
    <w:rsid w:val="008444E9"/>
    <w:rsid w:val="00844531"/>
    <w:rsid w:val="0084462F"/>
    <w:rsid w:val="00844C07"/>
    <w:rsid w:val="00844D51"/>
    <w:rsid w:val="00844DD2"/>
    <w:rsid w:val="00844E11"/>
    <w:rsid w:val="00844E7B"/>
    <w:rsid w:val="008450F8"/>
    <w:rsid w:val="00845312"/>
    <w:rsid w:val="00845467"/>
    <w:rsid w:val="0084554C"/>
    <w:rsid w:val="00845572"/>
    <w:rsid w:val="0084585C"/>
    <w:rsid w:val="0084588B"/>
    <w:rsid w:val="0084596B"/>
    <w:rsid w:val="00845C56"/>
    <w:rsid w:val="00845DA2"/>
    <w:rsid w:val="00845F87"/>
    <w:rsid w:val="008462AA"/>
    <w:rsid w:val="00846309"/>
    <w:rsid w:val="008465AE"/>
    <w:rsid w:val="0084675D"/>
    <w:rsid w:val="008468EC"/>
    <w:rsid w:val="00846907"/>
    <w:rsid w:val="0084690F"/>
    <w:rsid w:val="008469D0"/>
    <w:rsid w:val="008469E3"/>
    <w:rsid w:val="00846CAE"/>
    <w:rsid w:val="00846EBF"/>
    <w:rsid w:val="00846FC8"/>
    <w:rsid w:val="00847050"/>
    <w:rsid w:val="008477F1"/>
    <w:rsid w:val="008478DE"/>
    <w:rsid w:val="008479C5"/>
    <w:rsid w:val="00847BC7"/>
    <w:rsid w:val="00847DB3"/>
    <w:rsid w:val="00847F3E"/>
    <w:rsid w:val="0085002A"/>
    <w:rsid w:val="00850241"/>
    <w:rsid w:val="008503B0"/>
    <w:rsid w:val="00850633"/>
    <w:rsid w:val="00850661"/>
    <w:rsid w:val="00850AD4"/>
    <w:rsid w:val="00850B42"/>
    <w:rsid w:val="00850C91"/>
    <w:rsid w:val="00850F55"/>
    <w:rsid w:val="0085124C"/>
    <w:rsid w:val="0085129E"/>
    <w:rsid w:val="00851635"/>
    <w:rsid w:val="00851785"/>
    <w:rsid w:val="008517FD"/>
    <w:rsid w:val="00851952"/>
    <w:rsid w:val="008519E4"/>
    <w:rsid w:val="00851AF8"/>
    <w:rsid w:val="00851B75"/>
    <w:rsid w:val="00851BAD"/>
    <w:rsid w:val="00851CA6"/>
    <w:rsid w:val="00851D64"/>
    <w:rsid w:val="00851F3F"/>
    <w:rsid w:val="00851F4B"/>
    <w:rsid w:val="00852386"/>
    <w:rsid w:val="008525CA"/>
    <w:rsid w:val="0085274E"/>
    <w:rsid w:val="008529A7"/>
    <w:rsid w:val="00852CD9"/>
    <w:rsid w:val="00852D73"/>
    <w:rsid w:val="00852DD8"/>
    <w:rsid w:val="0085319F"/>
    <w:rsid w:val="008531BF"/>
    <w:rsid w:val="008532E2"/>
    <w:rsid w:val="00853478"/>
    <w:rsid w:val="008534CB"/>
    <w:rsid w:val="008534F3"/>
    <w:rsid w:val="008537CC"/>
    <w:rsid w:val="00853C02"/>
    <w:rsid w:val="00853D01"/>
    <w:rsid w:val="00853E1D"/>
    <w:rsid w:val="008542E4"/>
    <w:rsid w:val="008543AB"/>
    <w:rsid w:val="008544CB"/>
    <w:rsid w:val="00854532"/>
    <w:rsid w:val="0085454B"/>
    <w:rsid w:val="008545FA"/>
    <w:rsid w:val="008546F5"/>
    <w:rsid w:val="00854953"/>
    <w:rsid w:val="00854992"/>
    <w:rsid w:val="00854A55"/>
    <w:rsid w:val="00854E03"/>
    <w:rsid w:val="00854E17"/>
    <w:rsid w:val="00854E67"/>
    <w:rsid w:val="0085544E"/>
    <w:rsid w:val="008557E6"/>
    <w:rsid w:val="008559C7"/>
    <w:rsid w:val="00855A9B"/>
    <w:rsid w:val="00855AF1"/>
    <w:rsid w:val="00855BA3"/>
    <w:rsid w:val="00855D3A"/>
    <w:rsid w:val="00855DEE"/>
    <w:rsid w:val="00855EA1"/>
    <w:rsid w:val="00855ED8"/>
    <w:rsid w:val="00855FE8"/>
    <w:rsid w:val="00856093"/>
    <w:rsid w:val="0085638D"/>
    <w:rsid w:val="00856430"/>
    <w:rsid w:val="0085643A"/>
    <w:rsid w:val="00856552"/>
    <w:rsid w:val="00856700"/>
    <w:rsid w:val="00856731"/>
    <w:rsid w:val="00856766"/>
    <w:rsid w:val="008567D5"/>
    <w:rsid w:val="008567EB"/>
    <w:rsid w:val="0085680D"/>
    <w:rsid w:val="00856C89"/>
    <w:rsid w:val="00856CB8"/>
    <w:rsid w:val="00856D9F"/>
    <w:rsid w:val="00856E19"/>
    <w:rsid w:val="00856E64"/>
    <w:rsid w:val="00856ECD"/>
    <w:rsid w:val="00856EDC"/>
    <w:rsid w:val="00856FAB"/>
    <w:rsid w:val="00857256"/>
    <w:rsid w:val="008572A4"/>
    <w:rsid w:val="008572D4"/>
    <w:rsid w:val="008573EE"/>
    <w:rsid w:val="0085749C"/>
    <w:rsid w:val="008576F8"/>
    <w:rsid w:val="00857765"/>
    <w:rsid w:val="00857912"/>
    <w:rsid w:val="00857AC2"/>
    <w:rsid w:val="00857B5F"/>
    <w:rsid w:val="00857D12"/>
    <w:rsid w:val="00857D23"/>
    <w:rsid w:val="00857D65"/>
    <w:rsid w:val="00857DEC"/>
    <w:rsid w:val="008600E7"/>
    <w:rsid w:val="00860379"/>
    <w:rsid w:val="00860450"/>
    <w:rsid w:val="008604C3"/>
    <w:rsid w:val="00860687"/>
    <w:rsid w:val="00860690"/>
    <w:rsid w:val="00860772"/>
    <w:rsid w:val="00860813"/>
    <w:rsid w:val="008608FA"/>
    <w:rsid w:val="0086091E"/>
    <w:rsid w:val="008609CA"/>
    <w:rsid w:val="00860C0C"/>
    <w:rsid w:val="00860C4F"/>
    <w:rsid w:val="00860C7C"/>
    <w:rsid w:val="00860C99"/>
    <w:rsid w:val="00861147"/>
    <w:rsid w:val="0086138D"/>
    <w:rsid w:val="008613CB"/>
    <w:rsid w:val="0086154C"/>
    <w:rsid w:val="00861552"/>
    <w:rsid w:val="0086178B"/>
    <w:rsid w:val="008617E2"/>
    <w:rsid w:val="00861908"/>
    <w:rsid w:val="008619D7"/>
    <w:rsid w:val="00861B57"/>
    <w:rsid w:val="00861BF8"/>
    <w:rsid w:val="00861C1D"/>
    <w:rsid w:val="00861CAE"/>
    <w:rsid w:val="0086213F"/>
    <w:rsid w:val="008621A1"/>
    <w:rsid w:val="0086221B"/>
    <w:rsid w:val="008622E0"/>
    <w:rsid w:val="008623B5"/>
    <w:rsid w:val="00862749"/>
    <w:rsid w:val="0086278E"/>
    <w:rsid w:val="008627AE"/>
    <w:rsid w:val="0086287D"/>
    <w:rsid w:val="008629DC"/>
    <w:rsid w:val="00862B7E"/>
    <w:rsid w:val="00862C97"/>
    <w:rsid w:val="00862CCB"/>
    <w:rsid w:val="00862D23"/>
    <w:rsid w:val="00862EA8"/>
    <w:rsid w:val="00863193"/>
    <w:rsid w:val="008631AB"/>
    <w:rsid w:val="0086344C"/>
    <w:rsid w:val="00863510"/>
    <w:rsid w:val="00863A41"/>
    <w:rsid w:val="00863B7F"/>
    <w:rsid w:val="00864127"/>
    <w:rsid w:val="00864272"/>
    <w:rsid w:val="00864298"/>
    <w:rsid w:val="008642C5"/>
    <w:rsid w:val="00864344"/>
    <w:rsid w:val="008643D4"/>
    <w:rsid w:val="00864823"/>
    <w:rsid w:val="00864A03"/>
    <w:rsid w:val="00864A43"/>
    <w:rsid w:val="00864EEB"/>
    <w:rsid w:val="0086500B"/>
    <w:rsid w:val="0086554D"/>
    <w:rsid w:val="008655E0"/>
    <w:rsid w:val="008656EF"/>
    <w:rsid w:val="0086575B"/>
    <w:rsid w:val="00865BD7"/>
    <w:rsid w:val="00865EB8"/>
    <w:rsid w:val="00866190"/>
    <w:rsid w:val="008662B1"/>
    <w:rsid w:val="00866308"/>
    <w:rsid w:val="0086631B"/>
    <w:rsid w:val="008666FF"/>
    <w:rsid w:val="00866DCB"/>
    <w:rsid w:val="00866F28"/>
    <w:rsid w:val="00866F56"/>
    <w:rsid w:val="008673DA"/>
    <w:rsid w:val="0086743E"/>
    <w:rsid w:val="00867623"/>
    <w:rsid w:val="00867939"/>
    <w:rsid w:val="008679F9"/>
    <w:rsid w:val="00867DCA"/>
    <w:rsid w:val="00867F6B"/>
    <w:rsid w:val="008700C8"/>
    <w:rsid w:val="00870216"/>
    <w:rsid w:val="0087039D"/>
    <w:rsid w:val="0087067A"/>
    <w:rsid w:val="008709E8"/>
    <w:rsid w:val="00870AB5"/>
    <w:rsid w:val="00870ABA"/>
    <w:rsid w:val="00870B1A"/>
    <w:rsid w:val="00870D8B"/>
    <w:rsid w:val="008710E1"/>
    <w:rsid w:val="0087111F"/>
    <w:rsid w:val="008711CA"/>
    <w:rsid w:val="0087139B"/>
    <w:rsid w:val="00871522"/>
    <w:rsid w:val="008716E5"/>
    <w:rsid w:val="0087183E"/>
    <w:rsid w:val="00871874"/>
    <w:rsid w:val="00871CDB"/>
    <w:rsid w:val="00871D1D"/>
    <w:rsid w:val="00871D3E"/>
    <w:rsid w:val="0087221A"/>
    <w:rsid w:val="008725D3"/>
    <w:rsid w:val="00872912"/>
    <w:rsid w:val="0087297F"/>
    <w:rsid w:val="00872B49"/>
    <w:rsid w:val="00872B52"/>
    <w:rsid w:val="00872D3A"/>
    <w:rsid w:val="00872EC3"/>
    <w:rsid w:val="0087301A"/>
    <w:rsid w:val="0087301C"/>
    <w:rsid w:val="00873036"/>
    <w:rsid w:val="00873263"/>
    <w:rsid w:val="008732E4"/>
    <w:rsid w:val="0087334A"/>
    <w:rsid w:val="00873398"/>
    <w:rsid w:val="008733BB"/>
    <w:rsid w:val="00873663"/>
    <w:rsid w:val="0087384A"/>
    <w:rsid w:val="00873D81"/>
    <w:rsid w:val="00874033"/>
    <w:rsid w:val="00874220"/>
    <w:rsid w:val="00874326"/>
    <w:rsid w:val="0087442A"/>
    <w:rsid w:val="00874544"/>
    <w:rsid w:val="008745BD"/>
    <w:rsid w:val="0087467D"/>
    <w:rsid w:val="00874894"/>
    <w:rsid w:val="008748DF"/>
    <w:rsid w:val="008749CD"/>
    <w:rsid w:val="00874A60"/>
    <w:rsid w:val="00874AFC"/>
    <w:rsid w:val="00874BB6"/>
    <w:rsid w:val="00874BE0"/>
    <w:rsid w:val="00874CB1"/>
    <w:rsid w:val="00874CB5"/>
    <w:rsid w:val="00874CDC"/>
    <w:rsid w:val="00875089"/>
    <w:rsid w:val="008752DE"/>
    <w:rsid w:val="00875417"/>
    <w:rsid w:val="008754AB"/>
    <w:rsid w:val="00875765"/>
    <w:rsid w:val="008759B6"/>
    <w:rsid w:val="008759D5"/>
    <w:rsid w:val="00875B6B"/>
    <w:rsid w:val="00875E84"/>
    <w:rsid w:val="00875F7A"/>
    <w:rsid w:val="00875F82"/>
    <w:rsid w:val="008761F3"/>
    <w:rsid w:val="00876434"/>
    <w:rsid w:val="00876557"/>
    <w:rsid w:val="008767EC"/>
    <w:rsid w:val="0087685C"/>
    <w:rsid w:val="00876A08"/>
    <w:rsid w:val="00876C98"/>
    <w:rsid w:val="00877210"/>
    <w:rsid w:val="00877380"/>
    <w:rsid w:val="0087749E"/>
    <w:rsid w:val="0087755C"/>
    <w:rsid w:val="00877567"/>
    <w:rsid w:val="00877671"/>
    <w:rsid w:val="008777E9"/>
    <w:rsid w:val="00877844"/>
    <w:rsid w:val="00877847"/>
    <w:rsid w:val="00877A3F"/>
    <w:rsid w:val="00877A90"/>
    <w:rsid w:val="00877B62"/>
    <w:rsid w:val="00880271"/>
    <w:rsid w:val="00880611"/>
    <w:rsid w:val="00880690"/>
    <w:rsid w:val="0088073B"/>
    <w:rsid w:val="0088074C"/>
    <w:rsid w:val="008807A1"/>
    <w:rsid w:val="0088088A"/>
    <w:rsid w:val="00880929"/>
    <w:rsid w:val="00880AF1"/>
    <w:rsid w:val="00880B4C"/>
    <w:rsid w:val="00880D77"/>
    <w:rsid w:val="00880D9D"/>
    <w:rsid w:val="00880F6F"/>
    <w:rsid w:val="00881363"/>
    <w:rsid w:val="0088143E"/>
    <w:rsid w:val="0088150F"/>
    <w:rsid w:val="008817F7"/>
    <w:rsid w:val="00881960"/>
    <w:rsid w:val="00881CA9"/>
    <w:rsid w:val="00881D9C"/>
    <w:rsid w:val="00881DA7"/>
    <w:rsid w:val="00881E16"/>
    <w:rsid w:val="00881E36"/>
    <w:rsid w:val="00881E8F"/>
    <w:rsid w:val="00881EBD"/>
    <w:rsid w:val="00881F8E"/>
    <w:rsid w:val="0088215E"/>
    <w:rsid w:val="008821E9"/>
    <w:rsid w:val="008824FC"/>
    <w:rsid w:val="00882650"/>
    <w:rsid w:val="008827B4"/>
    <w:rsid w:val="008828BB"/>
    <w:rsid w:val="008828BE"/>
    <w:rsid w:val="00882957"/>
    <w:rsid w:val="00882B5E"/>
    <w:rsid w:val="00882D25"/>
    <w:rsid w:val="00882E0F"/>
    <w:rsid w:val="00882E75"/>
    <w:rsid w:val="00883091"/>
    <w:rsid w:val="008830C4"/>
    <w:rsid w:val="0088336B"/>
    <w:rsid w:val="00883628"/>
    <w:rsid w:val="008836BE"/>
    <w:rsid w:val="008836FC"/>
    <w:rsid w:val="0088389F"/>
    <w:rsid w:val="008839FA"/>
    <w:rsid w:val="00883BB7"/>
    <w:rsid w:val="00883E9E"/>
    <w:rsid w:val="00883FBE"/>
    <w:rsid w:val="0088416D"/>
    <w:rsid w:val="008841BD"/>
    <w:rsid w:val="0088489D"/>
    <w:rsid w:val="00884970"/>
    <w:rsid w:val="00884AB4"/>
    <w:rsid w:val="00884C38"/>
    <w:rsid w:val="00884DF9"/>
    <w:rsid w:val="00885071"/>
    <w:rsid w:val="00885413"/>
    <w:rsid w:val="00885544"/>
    <w:rsid w:val="0088583C"/>
    <w:rsid w:val="00885980"/>
    <w:rsid w:val="00885B57"/>
    <w:rsid w:val="00885C6F"/>
    <w:rsid w:val="00885C73"/>
    <w:rsid w:val="00885DC3"/>
    <w:rsid w:val="00885DE2"/>
    <w:rsid w:val="00885E56"/>
    <w:rsid w:val="00885F1E"/>
    <w:rsid w:val="0088610C"/>
    <w:rsid w:val="00886132"/>
    <w:rsid w:val="0088634E"/>
    <w:rsid w:val="0088641F"/>
    <w:rsid w:val="008866DB"/>
    <w:rsid w:val="008867CC"/>
    <w:rsid w:val="008869B1"/>
    <w:rsid w:val="00886C59"/>
    <w:rsid w:val="00886F98"/>
    <w:rsid w:val="0088712F"/>
    <w:rsid w:val="00887204"/>
    <w:rsid w:val="00887241"/>
    <w:rsid w:val="008875D9"/>
    <w:rsid w:val="0088782E"/>
    <w:rsid w:val="00887A6A"/>
    <w:rsid w:val="00887A8E"/>
    <w:rsid w:val="00887D05"/>
    <w:rsid w:val="00887D26"/>
    <w:rsid w:val="00887DD8"/>
    <w:rsid w:val="00887FA8"/>
    <w:rsid w:val="00890052"/>
    <w:rsid w:val="0089010F"/>
    <w:rsid w:val="00890443"/>
    <w:rsid w:val="008904D9"/>
    <w:rsid w:val="008905DA"/>
    <w:rsid w:val="00890856"/>
    <w:rsid w:val="008908A3"/>
    <w:rsid w:val="00890B6B"/>
    <w:rsid w:val="00890D91"/>
    <w:rsid w:val="00890EAF"/>
    <w:rsid w:val="00890F83"/>
    <w:rsid w:val="0089105A"/>
    <w:rsid w:val="00891225"/>
    <w:rsid w:val="00891369"/>
    <w:rsid w:val="0089138A"/>
    <w:rsid w:val="008913EB"/>
    <w:rsid w:val="008915A0"/>
    <w:rsid w:val="008915D1"/>
    <w:rsid w:val="00891692"/>
    <w:rsid w:val="008919F3"/>
    <w:rsid w:val="00891B39"/>
    <w:rsid w:val="00891CE0"/>
    <w:rsid w:val="00891D55"/>
    <w:rsid w:val="00891E64"/>
    <w:rsid w:val="00891F11"/>
    <w:rsid w:val="00891FDD"/>
    <w:rsid w:val="00892102"/>
    <w:rsid w:val="0089252A"/>
    <w:rsid w:val="008927D1"/>
    <w:rsid w:val="008927E8"/>
    <w:rsid w:val="00892898"/>
    <w:rsid w:val="00892899"/>
    <w:rsid w:val="00892AC1"/>
    <w:rsid w:val="00892B03"/>
    <w:rsid w:val="00892EED"/>
    <w:rsid w:val="0089327D"/>
    <w:rsid w:val="008934F5"/>
    <w:rsid w:val="00893707"/>
    <w:rsid w:val="00893975"/>
    <w:rsid w:val="00893AB8"/>
    <w:rsid w:val="00893B0C"/>
    <w:rsid w:val="00893BCB"/>
    <w:rsid w:val="00893CA2"/>
    <w:rsid w:val="00893E82"/>
    <w:rsid w:val="00893F11"/>
    <w:rsid w:val="00893FE2"/>
    <w:rsid w:val="00893FF6"/>
    <w:rsid w:val="00894164"/>
    <w:rsid w:val="0089435D"/>
    <w:rsid w:val="0089451D"/>
    <w:rsid w:val="00894534"/>
    <w:rsid w:val="008945A9"/>
    <w:rsid w:val="00894684"/>
    <w:rsid w:val="008946F7"/>
    <w:rsid w:val="00894985"/>
    <w:rsid w:val="008949C2"/>
    <w:rsid w:val="00894ACE"/>
    <w:rsid w:val="00894AE9"/>
    <w:rsid w:val="00894AF5"/>
    <w:rsid w:val="00894CFA"/>
    <w:rsid w:val="00894DBC"/>
    <w:rsid w:val="00894DCB"/>
    <w:rsid w:val="00894E90"/>
    <w:rsid w:val="00895029"/>
    <w:rsid w:val="00895345"/>
    <w:rsid w:val="00895464"/>
    <w:rsid w:val="00895671"/>
    <w:rsid w:val="00895961"/>
    <w:rsid w:val="00895EC1"/>
    <w:rsid w:val="00895F89"/>
    <w:rsid w:val="00896201"/>
    <w:rsid w:val="0089625C"/>
    <w:rsid w:val="008963E1"/>
    <w:rsid w:val="008965F9"/>
    <w:rsid w:val="00896621"/>
    <w:rsid w:val="008967F5"/>
    <w:rsid w:val="00896BCE"/>
    <w:rsid w:val="00896CA7"/>
    <w:rsid w:val="00896D95"/>
    <w:rsid w:val="00896DD9"/>
    <w:rsid w:val="00896F2B"/>
    <w:rsid w:val="00896FEC"/>
    <w:rsid w:val="008970E0"/>
    <w:rsid w:val="0089713F"/>
    <w:rsid w:val="00897312"/>
    <w:rsid w:val="00897355"/>
    <w:rsid w:val="00897654"/>
    <w:rsid w:val="00897686"/>
    <w:rsid w:val="00897799"/>
    <w:rsid w:val="008978FA"/>
    <w:rsid w:val="008979E1"/>
    <w:rsid w:val="00897B0D"/>
    <w:rsid w:val="00897EA6"/>
    <w:rsid w:val="008A0089"/>
    <w:rsid w:val="008A0317"/>
    <w:rsid w:val="008A04C8"/>
    <w:rsid w:val="008A058A"/>
    <w:rsid w:val="008A05DE"/>
    <w:rsid w:val="008A0684"/>
    <w:rsid w:val="008A07CC"/>
    <w:rsid w:val="008A098C"/>
    <w:rsid w:val="008A0A98"/>
    <w:rsid w:val="008A0D21"/>
    <w:rsid w:val="008A0D36"/>
    <w:rsid w:val="008A0DEB"/>
    <w:rsid w:val="008A0E03"/>
    <w:rsid w:val="008A0FC3"/>
    <w:rsid w:val="008A1362"/>
    <w:rsid w:val="008A1378"/>
    <w:rsid w:val="008A19BB"/>
    <w:rsid w:val="008A1B5A"/>
    <w:rsid w:val="008A1BD8"/>
    <w:rsid w:val="008A1BEB"/>
    <w:rsid w:val="008A1C0E"/>
    <w:rsid w:val="008A1D84"/>
    <w:rsid w:val="008A204A"/>
    <w:rsid w:val="008A2189"/>
    <w:rsid w:val="008A2272"/>
    <w:rsid w:val="008A26B6"/>
    <w:rsid w:val="008A26C6"/>
    <w:rsid w:val="008A2825"/>
    <w:rsid w:val="008A2C7A"/>
    <w:rsid w:val="008A31FE"/>
    <w:rsid w:val="008A320A"/>
    <w:rsid w:val="008A3221"/>
    <w:rsid w:val="008A3336"/>
    <w:rsid w:val="008A33A0"/>
    <w:rsid w:val="008A353B"/>
    <w:rsid w:val="008A35D2"/>
    <w:rsid w:val="008A369B"/>
    <w:rsid w:val="008A3777"/>
    <w:rsid w:val="008A3A6E"/>
    <w:rsid w:val="008A3BCF"/>
    <w:rsid w:val="008A3C4C"/>
    <w:rsid w:val="008A3D3B"/>
    <w:rsid w:val="008A3F55"/>
    <w:rsid w:val="008A3FC2"/>
    <w:rsid w:val="008A4066"/>
    <w:rsid w:val="008A4253"/>
    <w:rsid w:val="008A4491"/>
    <w:rsid w:val="008A4606"/>
    <w:rsid w:val="008A46AD"/>
    <w:rsid w:val="008A46CE"/>
    <w:rsid w:val="008A4784"/>
    <w:rsid w:val="008A478F"/>
    <w:rsid w:val="008A4878"/>
    <w:rsid w:val="008A495E"/>
    <w:rsid w:val="008A4A45"/>
    <w:rsid w:val="008A4C1D"/>
    <w:rsid w:val="008A4C30"/>
    <w:rsid w:val="008A4DAB"/>
    <w:rsid w:val="008A4E12"/>
    <w:rsid w:val="008A4ECE"/>
    <w:rsid w:val="008A4FF7"/>
    <w:rsid w:val="008A51EF"/>
    <w:rsid w:val="008A53BB"/>
    <w:rsid w:val="008A53D4"/>
    <w:rsid w:val="008A585A"/>
    <w:rsid w:val="008A58B6"/>
    <w:rsid w:val="008A5925"/>
    <w:rsid w:val="008A596D"/>
    <w:rsid w:val="008A59AF"/>
    <w:rsid w:val="008A59CC"/>
    <w:rsid w:val="008A5D53"/>
    <w:rsid w:val="008A5FAD"/>
    <w:rsid w:val="008A60D8"/>
    <w:rsid w:val="008A6102"/>
    <w:rsid w:val="008A657B"/>
    <w:rsid w:val="008A659C"/>
    <w:rsid w:val="008A6824"/>
    <w:rsid w:val="008A6913"/>
    <w:rsid w:val="008A6920"/>
    <w:rsid w:val="008A6D8F"/>
    <w:rsid w:val="008A6DFA"/>
    <w:rsid w:val="008A6E84"/>
    <w:rsid w:val="008A74FA"/>
    <w:rsid w:val="008A758E"/>
    <w:rsid w:val="008A7784"/>
    <w:rsid w:val="008A77AE"/>
    <w:rsid w:val="008A7D97"/>
    <w:rsid w:val="008A7E4D"/>
    <w:rsid w:val="008A7F39"/>
    <w:rsid w:val="008B035E"/>
    <w:rsid w:val="008B04FF"/>
    <w:rsid w:val="008B05B0"/>
    <w:rsid w:val="008B070F"/>
    <w:rsid w:val="008B08D2"/>
    <w:rsid w:val="008B09EF"/>
    <w:rsid w:val="008B0B7A"/>
    <w:rsid w:val="008B0B85"/>
    <w:rsid w:val="008B0BE0"/>
    <w:rsid w:val="008B0C41"/>
    <w:rsid w:val="008B0C5D"/>
    <w:rsid w:val="008B0CDC"/>
    <w:rsid w:val="008B0DB1"/>
    <w:rsid w:val="008B0F46"/>
    <w:rsid w:val="008B0F5B"/>
    <w:rsid w:val="008B10AC"/>
    <w:rsid w:val="008B10E9"/>
    <w:rsid w:val="008B1582"/>
    <w:rsid w:val="008B16AA"/>
    <w:rsid w:val="008B18A8"/>
    <w:rsid w:val="008B194B"/>
    <w:rsid w:val="008B1A30"/>
    <w:rsid w:val="008B1AA1"/>
    <w:rsid w:val="008B1B81"/>
    <w:rsid w:val="008B1B86"/>
    <w:rsid w:val="008B1BD8"/>
    <w:rsid w:val="008B1CA6"/>
    <w:rsid w:val="008B1D15"/>
    <w:rsid w:val="008B1E7F"/>
    <w:rsid w:val="008B1FD3"/>
    <w:rsid w:val="008B2149"/>
    <w:rsid w:val="008B21AC"/>
    <w:rsid w:val="008B230C"/>
    <w:rsid w:val="008B2324"/>
    <w:rsid w:val="008B2379"/>
    <w:rsid w:val="008B241D"/>
    <w:rsid w:val="008B24FF"/>
    <w:rsid w:val="008B252B"/>
    <w:rsid w:val="008B25CB"/>
    <w:rsid w:val="008B270F"/>
    <w:rsid w:val="008B2865"/>
    <w:rsid w:val="008B2882"/>
    <w:rsid w:val="008B28F9"/>
    <w:rsid w:val="008B299C"/>
    <w:rsid w:val="008B2CEA"/>
    <w:rsid w:val="008B3013"/>
    <w:rsid w:val="008B30F9"/>
    <w:rsid w:val="008B332B"/>
    <w:rsid w:val="008B3356"/>
    <w:rsid w:val="008B363A"/>
    <w:rsid w:val="008B37D4"/>
    <w:rsid w:val="008B3946"/>
    <w:rsid w:val="008B3A4A"/>
    <w:rsid w:val="008B3AB7"/>
    <w:rsid w:val="008B3D2E"/>
    <w:rsid w:val="008B3E04"/>
    <w:rsid w:val="008B3E31"/>
    <w:rsid w:val="008B3E9C"/>
    <w:rsid w:val="008B3F72"/>
    <w:rsid w:val="008B40E2"/>
    <w:rsid w:val="008B4143"/>
    <w:rsid w:val="008B4216"/>
    <w:rsid w:val="008B43B9"/>
    <w:rsid w:val="008B43BF"/>
    <w:rsid w:val="008B453C"/>
    <w:rsid w:val="008B47C0"/>
    <w:rsid w:val="008B48CD"/>
    <w:rsid w:val="008B48E1"/>
    <w:rsid w:val="008B49C3"/>
    <w:rsid w:val="008B4A4D"/>
    <w:rsid w:val="008B4BBD"/>
    <w:rsid w:val="008B4DB0"/>
    <w:rsid w:val="008B4DB1"/>
    <w:rsid w:val="008B4E7E"/>
    <w:rsid w:val="008B4FF5"/>
    <w:rsid w:val="008B5078"/>
    <w:rsid w:val="008B50A5"/>
    <w:rsid w:val="008B51DD"/>
    <w:rsid w:val="008B5365"/>
    <w:rsid w:val="008B5490"/>
    <w:rsid w:val="008B5783"/>
    <w:rsid w:val="008B578B"/>
    <w:rsid w:val="008B5975"/>
    <w:rsid w:val="008B5B5C"/>
    <w:rsid w:val="008B5C4C"/>
    <w:rsid w:val="008B5E1E"/>
    <w:rsid w:val="008B5E35"/>
    <w:rsid w:val="008B5EF7"/>
    <w:rsid w:val="008B60DC"/>
    <w:rsid w:val="008B61B1"/>
    <w:rsid w:val="008B621D"/>
    <w:rsid w:val="008B637E"/>
    <w:rsid w:val="008B640B"/>
    <w:rsid w:val="008B6819"/>
    <w:rsid w:val="008B697F"/>
    <w:rsid w:val="008B6A9E"/>
    <w:rsid w:val="008B6ADC"/>
    <w:rsid w:val="008B6B03"/>
    <w:rsid w:val="008B6DB0"/>
    <w:rsid w:val="008B6E56"/>
    <w:rsid w:val="008B6E58"/>
    <w:rsid w:val="008B6E6B"/>
    <w:rsid w:val="008B6FCC"/>
    <w:rsid w:val="008B70F3"/>
    <w:rsid w:val="008B7139"/>
    <w:rsid w:val="008B71C4"/>
    <w:rsid w:val="008B71F2"/>
    <w:rsid w:val="008B725D"/>
    <w:rsid w:val="008B7286"/>
    <w:rsid w:val="008B72A0"/>
    <w:rsid w:val="008B73A2"/>
    <w:rsid w:val="008B762E"/>
    <w:rsid w:val="008B76DF"/>
    <w:rsid w:val="008B770B"/>
    <w:rsid w:val="008B7753"/>
    <w:rsid w:val="008B7826"/>
    <w:rsid w:val="008B7918"/>
    <w:rsid w:val="008B7A9D"/>
    <w:rsid w:val="008B7B88"/>
    <w:rsid w:val="008B7C00"/>
    <w:rsid w:val="008B7C6D"/>
    <w:rsid w:val="008B7EC9"/>
    <w:rsid w:val="008B7FD1"/>
    <w:rsid w:val="008C00CC"/>
    <w:rsid w:val="008C00FB"/>
    <w:rsid w:val="008C0202"/>
    <w:rsid w:val="008C0293"/>
    <w:rsid w:val="008C03B4"/>
    <w:rsid w:val="008C0441"/>
    <w:rsid w:val="008C04CE"/>
    <w:rsid w:val="008C09FA"/>
    <w:rsid w:val="008C0B99"/>
    <w:rsid w:val="008C0BEF"/>
    <w:rsid w:val="008C0C87"/>
    <w:rsid w:val="008C0D5E"/>
    <w:rsid w:val="008C0D81"/>
    <w:rsid w:val="008C10B6"/>
    <w:rsid w:val="008C10F4"/>
    <w:rsid w:val="008C11CB"/>
    <w:rsid w:val="008C11FE"/>
    <w:rsid w:val="008C130D"/>
    <w:rsid w:val="008C1588"/>
    <w:rsid w:val="008C15E6"/>
    <w:rsid w:val="008C1C4A"/>
    <w:rsid w:val="008C1D07"/>
    <w:rsid w:val="008C1E87"/>
    <w:rsid w:val="008C1FB7"/>
    <w:rsid w:val="008C211A"/>
    <w:rsid w:val="008C2140"/>
    <w:rsid w:val="008C21E1"/>
    <w:rsid w:val="008C236F"/>
    <w:rsid w:val="008C2563"/>
    <w:rsid w:val="008C2571"/>
    <w:rsid w:val="008C2851"/>
    <w:rsid w:val="008C2B0E"/>
    <w:rsid w:val="008C2BCE"/>
    <w:rsid w:val="008C2BDE"/>
    <w:rsid w:val="008C2CC9"/>
    <w:rsid w:val="008C2D71"/>
    <w:rsid w:val="008C2ED5"/>
    <w:rsid w:val="008C3015"/>
    <w:rsid w:val="008C31EF"/>
    <w:rsid w:val="008C32B2"/>
    <w:rsid w:val="008C3314"/>
    <w:rsid w:val="008C38E8"/>
    <w:rsid w:val="008C3948"/>
    <w:rsid w:val="008C3BA9"/>
    <w:rsid w:val="008C3CB6"/>
    <w:rsid w:val="008C40CB"/>
    <w:rsid w:val="008C4174"/>
    <w:rsid w:val="008C4390"/>
    <w:rsid w:val="008C4399"/>
    <w:rsid w:val="008C44EC"/>
    <w:rsid w:val="008C4670"/>
    <w:rsid w:val="008C4703"/>
    <w:rsid w:val="008C4858"/>
    <w:rsid w:val="008C48A5"/>
    <w:rsid w:val="008C49BF"/>
    <w:rsid w:val="008C49E7"/>
    <w:rsid w:val="008C4A39"/>
    <w:rsid w:val="008C4D03"/>
    <w:rsid w:val="008C504F"/>
    <w:rsid w:val="008C5172"/>
    <w:rsid w:val="008C53F7"/>
    <w:rsid w:val="008C5444"/>
    <w:rsid w:val="008C552B"/>
    <w:rsid w:val="008C5810"/>
    <w:rsid w:val="008C5850"/>
    <w:rsid w:val="008C5A14"/>
    <w:rsid w:val="008C5A18"/>
    <w:rsid w:val="008C5B91"/>
    <w:rsid w:val="008C5BA9"/>
    <w:rsid w:val="008C5F61"/>
    <w:rsid w:val="008C5FA2"/>
    <w:rsid w:val="008C60C8"/>
    <w:rsid w:val="008C61D8"/>
    <w:rsid w:val="008C6222"/>
    <w:rsid w:val="008C6278"/>
    <w:rsid w:val="008C62BB"/>
    <w:rsid w:val="008C632E"/>
    <w:rsid w:val="008C655A"/>
    <w:rsid w:val="008C65C1"/>
    <w:rsid w:val="008C65F7"/>
    <w:rsid w:val="008C661B"/>
    <w:rsid w:val="008C672B"/>
    <w:rsid w:val="008C687F"/>
    <w:rsid w:val="008C6BB9"/>
    <w:rsid w:val="008C6D46"/>
    <w:rsid w:val="008C6E99"/>
    <w:rsid w:val="008C6F84"/>
    <w:rsid w:val="008C73C2"/>
    <w:rsid w:val="008C7625"/>
    <w:rsid w:val="008C7692"/>
    <w:rsid w:val="008C77B2"/>
    <w:rsid w:val="008C77BC"/>
    <w:rsid w:val="008C7844"/>
    <w:rsid w:val="008C7847"/>
    <w:rsid w:val="008C7909"/>
    <w:rsid w:val="008C7A63"/>
    <w:rsid w:val="008C7ABD"/>
    <w:rsid w:val="008C7B84"/>
    <w:rsid w:val="008D00F7"/>
    <w:rsid w:val="008D011A"/>
    <w:rsid w:val="008D0637"/>
    <w:rsid w:val="008D06C5"/>
    <w:rsid w:val="008D075A"/>
    <w:rsid w:val="008D0B05"/>
    <w:rsid w:val="008D0B45"/>
    <w:rsid w:val="008D0BD0"/>
    <w:rsid w:val="008D0C31"/>
    <w:rsid w:val="008D0E5D"/>
    <w:rsid w:val="008D0FE7"/>
    <w:rsid w:val="008D1044"/>
    <w:rsid w:val="008D1080"/>
    <w:rsid w:val="008D109E"/>
    <w:rsid w:val="008D117F"/>
    <w:rsid w:val="008D12AC"/>
    <w:rsid w:val="008D131B"/>
    <w:rsid w:val="008D1498"/>
    <w:rsid w:val="008D14C4"/>
    <w:rsid w:val="008D150D"/>
    <w:rsid w:val="008D1783"/>
    <w:rsid w:val="008D19EF"/>
    <w:rsid w:val="008D1AA5"/>
    <w:rsid w:val="008D1AFF"/>
    <w:rsid w:val="008D1B6D"/>
    <w:rsid w:val="008D1BD7"/>
    <w:rsid w:val="008D1CFB"/>
    <w:rsid w:val="008D1D33"/>
    <w:rsid w:val="008D1D49"/>
    <w:rsid w:val="008D208B"/>
    <w:rsid w:val="008D21CF"/>
    <w:rsid w:val="008D255C"/>
    <w:rsid w:val="008D27ED"/>
    <w:rsid w:val="008D280B"/>
    <w:rsid w:val="008D2C22"/>
    <w:rsid w:val="008D2DE0"/>
    <w:rsid w:val="008D2F02"/>
    <w:rsid w:val="008D3176"/>
    <w:rsid w:val="008D3451"/>
    <w:rsid w:val="008D3550"/>
    <w:rsid w:val="008D3562"/>
    <w:rsid w:val="008D3762"/>
    <w:rsid w:val="008D394F"/>
    <w:rsid w:val="008D3ADD"/>
    <w:rsid w:val="008D3B32"/>
    <w:rsid w:val="008D3B83"/>
    <w:rsid w:val="008D3C57"/>
    <w:rsid w:val="008D3F4F"/>
    <w:rsid w:val="008D40E0"/>
    <w:rsid w:val="008D427B"/>
    <w:rsid w:val="008D43D5"/>
    <w:rsid w:val="008D4696"/>
    <w:rsid w:val="008D493A"/>
    <w:rsid w:val="008D4D0A"/>
    <w:rsid w:val="008D4D86"/>
    <w:rsid w:val="008D4E19"/>
    <w:rsid w:val="008D4E98"/>
    <w:rsid w:val="008D5066"/>
    <w:rsid w:val="008D5111"/>
    <w:rsid w:val="008D5319"/>
    <w:rsid w:val="008D53F2"/>
    <w:rsid w:val="008D57C1"/>
    <w:rsid w:val="008D5D57"/>
    <w:rsid w:val="008D5DC2"/>
    <w:rsid w:val="008D5E25"/>
    <w:rsid w:val="008D6182"/>
    <w:rsid w:val="008D61F7"/>
    <w:rsid w:val="008D62AC"/>
    <w:rsid w:val="008D652B"/>
    <w:rsid w:val="008D6573"/>
    <w:rsid w:val="008D66CE"/>
    <w:rsid w:val="008D6A5A"/>
    <w:rsid w:val="008D6B0E"/>
    <w:rsid w:val="008D6D23"/>
    <w:rsid w:val="008D6EBB"/>
    <w:rsid w:val="008D7058"/>
    <w:rsid w:val="008D7201"/>
    <w:rsid w:val="008D72F8"/>
    <w:rsid w:val="008D7372"/>
    <w:rsid w:val="008D74A9"/>
    <w:rsid w:val="008D74DB"/>
    <w:rsid w:val="008D7579"/>
    <w:rsid w:val="008D774F"/>
    <w:rsid w:val="008D78BF"/>
    <w:rsid w:val="008D7F83"/>
    <w:rsid w:val="008D7FA9"/>
    <w:rsid w:val="008DA4C0"/>
    <w:rsid w:val="008E00C2"/>
    <w:rsid w:val="008E036A"/>
    <w:rsid w:val="008E038F"/>
    <w:rsid w:val="008E03BE"/>
    <w:rsid w:val="008E0402"/>
    <w:rsid w:val="008E0428"/>
    <w:rsid w:val="008E04FE"/>
    <w:rsid w:val="008E07D4"/>
    <w:rsid w:val="008E0B24"/>
    <w:rsid w:val="008E0B32"/>
    <w:rsid w:val="008E0DA3"/>
    <w:rsid w:val="008E0E52"/>
    <w:rsid w:val="008E0F0E"/>
    <w:rsid w:val="008E10B1"/>
    <w:rsid w:val="008E1394"/>
    <w:rsid w:val="008E1602"/>
    <w:rsid w:val="008E1A91"/>
    <w:rsid w:val="008E1AB9"/>
    <w:rsid w:val="008E1BD5"/>
    <w:rsid w:val="008E1D79"/>
    <w:rsid w:val="008E1E43"/>
    <w:rsid w:val="008E1EB2"/>
    <w:rsid w:val="008E1F99"/>
    <w:rsid w:val="008E1FFC"/>
    <w:rsid w:val="008E2068"/>
    <w:rsid w:val="008E2168"/>
    <w:rsid w:val="008E21B8"/>
    <w:rsid w:val="008E21E4"/>
    <w:rsid w:val="008E2400"/>
    <w:rsid w:val="008E26EE"/>
    <w:rsid w:val="008E2779"/>
    <w:rsid w:val="008E2860"/>
    <w:rsid w:val="008E28A5"/>
    <w:rsid w:val="008E28B7"/>
    <w:rsid w:val="008E2BCB"/>
    <w:rsid w:val="008E2C04"/>
    <w:rsid w:val="008E2C53"/>
    <w:rsid w:val="008E2CBF"/>
    <w:rsid w:val="008E305F"/>
    <w:rsid w:val="008E3362"/>
    <w:rsid w:val="008E361B"/>
    <w:rsid w:val="008E377A"/>
    <w:rsid w:val="008E38E1"/>
    <w:rsid w:val="008E3923"/>
    <w:rsid w:val="008E392A"/>
    <w:rsid w:val="008E3981"/>
    <w:rsid w:val="008E3B3A"/>
    <w:rsid w:val="008E3C0C"/>
    <w:rsid w:val="008E3C38"/>
    <w:rsid w:val="008E3CAA"/>
    <w:rsid w:val="008E3D21"/>
    <w:rsid w:val="008E408C"/>
    <w:rsid w:val="008E40F5"/>
    <w:rsid w:val="008E4248"/>
    <w:rsid w:val="008E42DD"/>
    <w:rsid w:val="008E4531"/>
    <w:rsid w:val="008E46A7"/>
    <w:rsid w:val="008E4767"/>
    <w:rsid w:val="008E4A86"/>
    <w:rsid w:val="008E4AA7"/>
    <w:rsid w:val="008E4C88"/>
    <w:rsid w:val="008E4CA7"/>
    <w:rsid w:val="008E4E69"/>
    <w:rsid w:val="008E510A"/>
    <w:rsid w:val="008E5134"/>
    <w:rsid w:val="008E5214"/>
    <w:rsid w:val="008E527F"/>
    <w:rsid w:val="008E5377"/>
    <w:rsid w:val="008E5459"/>
    <w:rsid w:val="008E54EB"/>
    <w:rsid w:val="008E584F"/>
    <w:rsid w:val="008E59ED"/>
    <w:rsid w:val="008E5F61"/>
    <w:rsid w:val="008E602F"/>
    <w:rsid w:val="008E6199"/>
    <w:rsid w:val="008E61BE"/>
    <w:rsid w:val="008E6201"/>
    <w:rsid w:val="008E62A5"/>
    <w:rsid w:val="008E65BA"/>
    <w:rsid w:val="008E66B6"/>
    <w:rsid w:val="008E6720"/>
    <w:rsid w:val="008E6726"/>
    <w:rsid w:val="008E6889"/>
    <w:rsid w:val="008E6B8F"/>
    <w:rsid w:val="008E6C2A"/>
    <w:rsid w:val="008E6EFE"/>
    <w:rsid w:val="008E7154"/>
    <w:rsid w:val="008E71A9"/>
    <w:rsid w:val="008E7303"/>
    <w:rsid w:val="008E73B5"/>
    <w:rsid w:val="008E73DD"/>
    <w:rsid w:val="008E7433"/>
    <w:rsid w:val="008E7444"/>
    <w:rsid w:val="008E776A"/>
    <w:rsid w:val="008E781E"/>
    <w:rsid w:val="008E7859"/>
    <w:rsid w:val="008E795B"/>
    <w:rsid w:val="008E7964"/>
    <w:rsid w:val="008E7A17"/>
    <w:rsid w:val="008E7A8C"/>
    <w:rsid w:val="008E7B24"/>
    <w:rsid w:val="008E7D1C"/>
    <w:rsid w:val="008E7F2E"/>
    <w:rsid w:val="008EFD22"/>
    <w:rsid w:val="008F0030"/>
    <w:rsid w:val="008F00C7"/>
    <w:rsid w:val="008F01AF"/>
    <w:rsid w:val="008F0292"/>
    <w:rsid w:val="008F0456"/>
    <w:rsid w:val="008F06D2"/>
    <w:rsid w:val="008F0886"/>
    <w:rsid w:val="008F0960"/>
    <w:rsid w:val="008F101E"/>
    <w:rsid w:val="008F1067"/>
    <w:rsid w:val="008F107B"/>
    <w:rsid w:val="008F117F"/>
    <w:rsid w:val="008F11ED"/>
    <w:rsid w:val="008F13CF"/>
    <w:rsid w:val="008F14DE"/>
    <w:rsid w:val="008F1574"/>
    <w:rsid w:val="008F1968"/>
    <w:rsid w:val="008F19E8"/>
    <w:rsid w:val="008F1B32"/>
    <w:rsid w:val="008F1B82"/>
    <w:rsid w:val="008F1CE6"/>
    <w:rsid w:val="008F1F9E"/>
    <w:rsid w:val="008F2213"/>
    <w:rsid w:val="008F22F2"/>
    <w:rsid w:val="008F2499"/>
    <w:rsid w:val="008F24BB"/>
    <w:rsid w:val="008F255A"/>
    <w:rsid w:val="008F2785"/>
    <w:rsid w:val="008F2882"/>
    <w:rsid w:val="008F2886"/>
    <w:rsid w:val="008F2A72"/>
    <w:rsid w:val="008F2BBB"/>
    <w:rsid w:val="008F342B"/>
    <w:rsid w:val="008F354C"/>
    <w:rsid w:val="008F36D6"/>
    <w:rsid w:val="008F3A99"/>
    <w:rsid w:val="008F3B0E"/>
    <w:rsid w:val="008F3F0C"/>
    <w:rsid w:val="008F3F52"/>
    <w:rsid w:val="008F3FC9"/>
    <w:rsid w:val="008F4122"/>
    <w:rsid w:val="008F430C"/>
    <w:rsid w:val="008F44F2"/>
    <w:rsid w:val="008F4586"/>
    <w:rsid w:val="008F4751"/>
    <w:rsid w:val="008F4A05"/>
    <w:rsid w:val="008F5336"/>
    <w:rsid w:val="008F5441"/>
    <w:rsid w:val="008F554E"/>
    <w:rsid w:val="008F56B6"/>
    <w:rsid w:val="008F58C7"/>
    <w:rsid w:val="008F5D1C"/>
    <w:rsid w:val="008F5F50"/>
    <w:rsid w:val="008F5F59"/>
    <w:rsid w:val="008F5FCC"/>
    <w:rsid w:val="008F6014"/>
    <w:rsid w:val="008F6092"/>
    <w:rsid w:val="008F60FE"/>
    <w:rsid w:val="008F6162"/>
    <w:rsid w:val="008F62F1"/>
    <w:rsid w:val="008F6328"/>
    <w:rsid w:val="008F6380"/>
    <w:rsid w:val="008F646E"/>
    <w:rsid w:val="008F6471"/>
    <w:rsid w:val="008F64DC"/>
    <w:rsid w:val="008F64FE"/>
    <w:rsid w:val="008F6A86"/>
    <w:rsid w:val="008F6E64"/>
    <w:rsid w:val="008F6F8B"/>
    <w:rsid w:val="008F70DF"/>
    <w:rsid w:val="008F7361"/>
    <w:rsid w:val="008F79C5"/>
    <w:rsid w:val="008F7ABA"/>
    <w:rsid w:val="008F7B4E"/>
    <w:rsid w:val="008F7F41"/>
    <w:rsid w:val="008F7F4A"/>
    <w:rsid w:val="0090015C"/>
    <w:rsid w:val="00900623"/>
    <w:rsid w:val="0090071D"/>
    <w:rsid w:val="0090074D"/>
    <w:rsid w:val="0090074F"/>
    <w:rsid w:val="009008A6"/>
    <w:rsid w:val="009009BE"/>
    <w:rsid w:val="00900BA2"/>
    <w:rsid w:val="00900CD1"/>
    <w:rsid w:val="00900CF5"/>
    <w:rsid w:val="00900DCF"/>
    <w:rsid w:val="00901009"/>
    <w:rsid w:val="0090107B"/>
    <w:rsid w:val="009012DB"/>
    <w:rsid w:val="0090135B"/>
    <w:rsid w:val="00901542"/>
    <w:rsid w:val="0090176A"/>
    <w:rsid w:val="00901892"/>
    <w:rsid w:val="00901CCD"/>
    <w:rsid w:val="00901D8F"/>
    <w:rsid w:val="00901E4D"/>
    <w:rsid w:val="00901E85"/>
    <w:rsid w:val="00902028"/>
    <w:rsid w:val="0090203B"/>
    <w:rsid w:val="00902471"/>
    <w:rsid w:val="0090266B"/>
    <w:rsid w:val="0090276F"/>
    <w:rsid w:val="00902788"/>
    <w:rsid w:val="009027D1"/>
    <w:rsid w:val="00902BB4"/>
    <w:rsid w:val="00902F04"/>
    <w:rsid w:val="00902F69"/>
    <w:rsid w:val="0090316D"/>
    <w:rsid w:val="00903208"/>
    <w:rsid w:val="00903285"/>
    <w:rsid w:val="0090358A"/>
    <w:rsid w:val="0090365D"/>
    <w:rsid w:val="009036B5"/>
    <w:rsid w:val="009036E6"/>
    <w:rsid w:val="009036EF"/>
    <w:rsid w:val="00903879"/>
    <w:rsid w:val="00903C6E"/>
    <w:rsid w:val="00903C74"/>
    <w:rsid w:val="00903EC5"/>
    <w:rsid w:val="00903F4F"/>
    <w:rsid w:val="00903F9F"/>
    <w:rsid w:val="00904028"/>
    <w:rsid w:val="009040A3"/>
    <w:rsid w:val="009041DD"/>
    <w:rsid w:val="009042E4"/>
    <w:rsid w:val="009045AB"/>
    <w:rsid w:val="009048AD"/>
    <w:rsid w:val="00904927"/>
    <w:rsid w:val="00904954"/>
    <w:rsid w:val="009049EA"/>
    <w:rsid w:val="00904D60"/>
    <w:rsid w:val="00904F17"/>
    <w:rsid w:val="00905324"/>
    <w:rsid w:val="00905337"/>
    <w:rsid w:val="0090541B"/>
    <w:rsid w:val="00905458"/>
    <w:rsid w:val="009055FA"/>
    <w:rsid w:val="009056E7"/>
    <w:rsid w:val="00905944"/>
    <w:rsid w:val="009059D9"/>
    <w:rsid w:val="00905AC4"/>
    <w:rsid w:val="00905F40"/>
    <w:rsid w:val="00905FCA"/>
    <w:rsid w:val="009060F4"/>
    <w:rsid w:val="00906347"/>
    <w:rsid w:val="00906401"/>
    <w:rsid w:val="0090645E"/>
    <w:rsid w:val="009064E5"/>
    <w:rsid w:val="0090654C"/>
    <w:rsid w:val="009065EA"/>
    <w:rsid w:val="0090678F"/>
    <w:rsid w:val="009067FF"/>
    <w:rsid w:val="0090683F"/>
    <w:rsid w:val="00906869"/>
    <w:rsid w:val="0090687D"/>
    <w:rsid w:val="009069A8"/>
    <w:rsid w:val="009069EB"/>
    <w:rsid w:val="00906F40"/>
    <w:rsid w:val="00906FF9"/>
    <w:rsid w:val="00907074"/>
    <w:rsid w:val="009070DA"/>
    <w:rsid w:val="00907107"/>
    <w:rsid w:val="0090711F"/>
    <w:rsid w:val="00907287"/>
    <w:rsid w:val="0090731E"/>
    <w:rsid w:val="00907497"/>
    <w:rsid w:val="009074E4"/>
    <w:rsid w:val="009074E6"/>
    <w:rsid w:val="009075C5"/>
    <w:rsid w:val="009076FC"/>
    <w:rsid w:val="00907850"/>
    <w:rsid w:val="0090797A"/>
    <w:rsid w:val="00907988"/>
    <w:rsid w:val="00907B36"/>
    <w:rsid w:val="00907C70"/>
    <w:rsid w:val="00907D1A"/>
    <w:rsid w:val="00907D3B"/>
    <w:rsid w:val="00910110"/>
    <w:rsid w:val="00910382"/>
    <w:rsid w:val="009103FC"/>
    <w:rsid w:val="00910405"/>
    <w:rsid w:val="0091041F"/>
    <w:rsid w:val="00910742"/>
    <w:rsid w:val="00910881"/>
    <w:rsid w:val="00910898"/>
    <w:rsid w:val="00910B27"/>
    <w:rsid w:val="00910C98"/>
    <w:rsid w:val="00910CA3"/>
    <w:rsid w:val="00910DC8"/>
    <w:rsid w:val="00910FD7"/>
    <w:rsid w:val="009110BC"/>
    <w:rsid w:val="00911162"/>
    <w:rsid w:val="009112F9"/>
    <w:rsid w:val="0091146F"/>
    <w:rsid w:val="00911620"/>
    <w:rsid w:val="0091162F"/>
    <w:rsid w:val="0091185F"/>
    <w:rsid w:val="00911908"/>
    <w:rsid w:val="00911FA5"/>
    <w:rsid w:val="009121EA"/>
    <w:rsid w:val="009121F9"/>
    <w:rsid w:val="0091239C"/>
    <w:rsid w:val="009127E5"/>
    <w:rsid w:val="00912976"/>
    <w:rsid w:val="0091299C"/>
    <w:rsid w:val="00912C00"/>
    <w:rsid w:val="00912F23"/>
    <w:rsid w:val="00913128"/>
    <w:rsid w:val="00913335"/>
    <w:rsid w:val="009134F7"/>
    <w:rsid w:val="009137F9"/>
    <w:rsid w:val="0091389C"/>
    <w:rsid w:val="00913B64"/>
    <w:rsid w:val="00913C45"/>
    <w:rsid w:val="00913E71"/>
    <w:rsid w:val="009140C2"/>
    <w:rsid w:val="00914387"/>
    <w:rsid w:val="009143F1"/>
    <w:rsid w:val="0091448A"/>
    <w:rsid w:val="00914603"/>
    <w:rsid w:val="009146DA"/>
    <w:rsid w:val="009148F5"/>
    <w:rsid w:val="009149EF"/>
    <w:rsid w:val="00914AB8"/>
    <w:rsid w:val="00914CC3"/>
    <w:rsid w:val="00914CED"/>
    <w:rsid w:val="00914CFB"/>
    <w:rsid w:val="00914D76"/>
    <w:rsid w:val="00914E97"/>
    <w:rsid w:val="00914EFD"/>
    <w:rsid w:val="00914F57"/>
    <w:rsid w:val="0091538E"/>
    <w:rsid w:val="0091544E"/>
    <w:rsid w:val="009155AE"/>
    <w:rsid w:val="0091596C"/>
    <w:rsid w:val="00915B1C"/>
    <w:rsid w:val="00915B52"/>
    <w:rsid w:val="00915B81"/>
    <w:rsid w:val="00915DE5"/>
    <w:rsid w:val="00915F62"/>
    <w:rsid w:val="009160C7"/>
    <w:rsid w:val="00916363"/>
    <w:rsid w:val="00916792"/>
    <w:rsid w:val="00916AA4"/>
    <w:rsid w:val="00916B26"/>
    <w:rsid w:val="00916DF2"/>
    <w:rsid w:val="00917037"/>
    <w:rsid w:val="00917175"/>
    <w:rsid w:val="00917363"/>
    <w:rsid w:val="009174EF"/>
    <w:rsid w:val="009174F3"/>
    <w:rsid w:val="00917659"/>
    <w:rsid w:val="00917753"/>
    <w:rsid w:val="0091797D"/>
    <w:rsid w:val="00917A4E"/>
    <w:rsid w:val="00917A67"/>
    <w:rsid w:val="00917BE0"/>
    <w:rsid w:val="00917FBF"/>
    <w:rsid w:val="00920038"/>
    <w:rsid w:val="0092012B"/>
    <w:rsid w:val="00920200"/>
    <w:rsid w:val="009202D5"/>
    <w:rsid w:val="00920389"/>
    <w:rsid w:val="009203F1"/>
    <w:rsid w:val="009206DB"/>
    <w:rsid w:val="00920804"/>
    <w:rsid w:val="009208DF"/>
    <w:rsid w:val="009209F7"/>
    <w:rsid w:val="00920B11"/>
    <w:rsid w:val="00920D52"/>
    <w:rsid w:val="00920DB8"/>
    <w:rsid w:val="00920F1D"/>
    <w:rsid w:val="00920FB9"/>
    <w:rsid w:val="0092119B"/>
    <w:rsid w:val="00921760"/>
    <w:rsid w:val="00921857"/>
    <w:rsid w:val="00921893"/>
    <w:rsid w:val="00921898"/>
    <w:rsid w:val="00921A40"/>
    <w:rsid w:val="00921BF1"/>
    <w:rsid w:val="00921C06"/>
    <w:rsid w:val="0092244C"/>
    <w:rsid w:val="009224A1"/>
    <w:rsid w:val="0092266D"/>
    <w:rsid w:val="009227F7"/>
    <w:rsid w:val="00922802"/>
    <w:rsid w:val="0092291B"/>
    <w:rsid w:val="009229B2"/>
    <w:rsid w:val="00922A4B"/>
    <w:rsid w:val="00922BC2"/>
    <w:rsid w:val="00922F6E"/>
    <w:rsid w:val="009230B3"/>
    <w:rsid w:val="0092396D"/>
    <w:rsid w:val="00923A7E"/>
    <w:rsid w:val="00923AB8"/>
    <w:rsid w:val="00923B8B"/>
    <w:rsid w:val="00923CBA"/>
    <w:rsid w:val="00923F52"/>
    <w:rsid w:val="0092406D"/>
    <w:rsid w:val="009242C2"/>
    <w:rsid w:val="009244A0"/>
    <w:rsid w:val="009245F6"/>
    <w:rsid w:val="0092460B"/>
    <w:rsid w:val="009246D6"/>
    <w:rsid w:val="00924A3E"/>
    <w:rsid w:val="00924ABC"/>
    <w:rsid w:val="00924C01"/>
    <w:rsid w:val="00924C08"/>
    <w:rsid w:val="009250E9"/>
    <w:rsid w:val="009252A3"/>
    <w:rsid w:val="00925522"/>
    <w:rsid w:val="00925617"/>
    <w:rsid w:val="0092568C"/>
    <w:rsid w:val="00925825"/>
    <w:rsid w:val="00925879"/>
    <w:rsid w:val="00925A0A"/>
    <w:rsid w:val="00925AD8"/>
    <w:rsid w:val="00925BBE"/>
    <w:rsid w:val="00925D6B"/>
    <w:rsid w:val="00925F08"/>
    <w:rsid w:val="00925F52"/>
    <w:rsid w:val="00926025"/>
    <w:rsid w:val="0092617F"/>
    <w:rsid w:val="00926186"/>
    <w:rsid w:val="009261E2"/>
    <w:rsid w:val="009262FC"/>
    <w:rsid w:val="009263BE"/>
    <w:rsid w:val="00926473"/>
    <w:rsid w:val="00926540"/>
    <w:rsid w:val="00926703"/>
    <w:rsid w:val="009269B2"/>
    <w:rsid w:val="009269EA"/>
    <w:rsid w:val="00926A2F"/>
    <w:rsid w:val="00926A9E"/>
    <w:rsid w:val="00926D28"/>
    <w:rsid w:val="0092719D"/>
    <w:rsid w:val="009271CD"/>
    <w:rsid w:val="00927283"/>
    <w:rsid w:val="00927691"/>
    <w:rsid w:val="009276F8"/>
    <w:rsid w:val="00927925"/>
    <w:rsid w:val="00927A5F"/>
    <w:rsid w:val="00927AFD"/>
    <w:rsid w:val="00927C4A"/>
    <w:rsid w:val="00927C7F"/>
    <w:rsid w:val="00927F0F"/>
    <w:rsid w:val="009300EA"/>
    <w:rsid w:val="0093015D"/>
    <w:rsid w:val="0093019F"/>
    <w:rsid w:val="009301CA"/>
    <w:rsid w:val="00930279"/>
    <w:rsid w:val="009303DE"/>
    <w:rsid w:val="00930510"/>
    <w:rsid w:val="00930A5F"/>
    <w:rsid w:val="00930AFD"/>
    <w:rsid w:val="00930CE2"/>
    <w:rsid w:val="00930D2A"/>
    <w:rsid w:val="00931066"/>
    <w:rsid w:val="009310E5"/>
    <w:rsid w:val="00931103"/>
    <w:rsid w:val="00931199"/>
    <w:rsid w:val="0093126B"/>
    <w:rsid w:val="00931636"/>
    <w:rsid w:val="00931668"/>
    <w:rsid w:val="009317AF"/>
    <w:rsid w:val="00931A43"/>
    <w:rsid w:val="00931A9F"/>
    <w:rsid w:val="00931B13"/>
    <w:rsid w:val="00931BFB"/>
    <w:rsid w:val="00931D46"/>
    <w:rsid w:val="00931FE7"/>
    <w:rsid w:val="0093208D"/>
    <w:rsid w:val="00932302"/>
    <w:rsid w:val="009323C1"/>
    <w:rsid w:val="009324D0"/>
    <w:rsid w:val="009329F0"/>
    <w:rsid w:val="00932B66"/>
    <w:rsid w:val="00932EC4"/>
    <w:rsid w:val="00932ED0"/>
    <w:rsid w:val="00932F41"/>
    <w:rsid w:val="009331FC"/>
    <w:rsid w:val="009332B0"/>
    <w:rsid w:val="009333C1"/>
    <w:rsid w:val="009333EA"/>
    <w:rsid w:val="00933710"/>
    <w:rsid w:val="00933C5B"/>
    <w:rsid w:val="00933CDD"/>
    <w:rsid w:val="00933DD2"/>
    <w:rsid w:val="00934115"/>
    <w:rsid w:val="009341FE"/>
    <w:rsid w:val="00934388"/>
    <w:rsid w:val="009343A6"/>
    <w:rsid w:val="00934532"/>
    <w:rsid w:val="00934776"/>
    <w:rsid w:val="0093479D"/>
    <w:rsid w:val="009347C5"/>
    <w:rsid w:val="009347CE"/>
    <w:rsid w:val="00934B93"/>
    <w:rsid w:val="00935187"/>
    <w:rsid w:val="00935675"/>
    <w:rsid w:val="00935A03"/>
    <w:rsid w:val="00935A9C"/>
    <w:rsid w:val="00935AA5"/>
    <w:rsid w:val="00935B63"/>
    <w:rsid w:val="00935F22"/>
    <w:rsid w:val="00935F7C"/>
    <w:rsid w:val="00935FA6"/>
    <w:rsid w:val="00935FEE"/>
    <w:rsid w:val="00936074"/>
    <w:rsid w:val="009363D4"/>
    <w:rsid w:val="009364B8"/>
    <w:rsid w:val="009365B0"/>
    <w:rsid w:val="00936B71"/>
    <w:rsid w:val="00936D0A"/>
    <w:rsid w:val="00936E47"/>
    <w:rsid w:val="00936E95"/>
    <w:rsid w:val="00936FE1"/>
    <w:rsid w:val="00937263"/>
    <w:rsid w:val="009372D5"/>
    <w:rsid w:val="009372E3"/>
    <w:rsid w:val="009374EA"/>
    <w:rsid w:val="0093758A"/>
    <w:rsid w:val="0093760D"/>
    <w:rsid w:val="00937877"/>
    <w:rsid w:val="009378BD"/>
    <w:rsid w:val="009378F7"/>
    <w:rsid w:val="00937922"/>
    <w:rsid w:val="00937A9B"/>
    <w:rsid w:val="00937AFE"/>
    <w:rsid w:val="00937BDE"/>
    <w:rsid w:val="00937CCD"/>
    <w:rsid w:val="00937CDE"/>
    <w:rsid w:val="00940035"/>
    <w:rsid w:val="009400E3"/>
    <w:rsid w:val="00940327"/>
    <w:rsid w:val="00940475"/>
    <w:rsid w:val="0094055C"/>
    <w:rsid w:val="009405A9"/>
    <w:rsid w:val="009405F9"/>
    <w:rsid w:val="00940621"/>
    <w:rsid w:val="0094078F"/>
    <w:rsid w:val="009407E7"/>
    <w:rsid w:val="009408AA"/>
    <w:rsid w:val="009409AE"/>
    <w:rsid w:val="009409E9"/>
    <w:rsid w:val="00940B0A"/>
    <w:rsid w:val="00940B8A"/>
    <w:rsid w:val="00940D37"/>
    <w:rsid w:val="00940FA3"/>
    <w:rsid w:val="0094116B"/>
    <w:rsid w:val="00941685"/>
    <w:rsid w:val="009416D5"/>
    <w:rsid w:val="00941733"/>
    <w:rsid w:val="009417D2"/>
    <w:rsid w:val="00941B6E"/>
    <w:rsid w:val="00941FB0"/>
    <w:rsid w:val="009420B0"/>
    <w:rsid w:val="009421CC"/>
    <w:rsid w:val="00942494"/>
    <w:rsid w:val="009426D4"/>
    <w:rsid w:val="009426EC"/>
    <w:rsid w:val="00942A3F"/>
    <w:rsid w:val="00942A6D"/>
    <w:rsid w:val="00942AE9"/>
    <w:rsid w:val="00942C37"/>
    <w:rsid w:val="00942D74"/>
    <w:rsid w:val="00942E86"/>
    <w:rsid w:val="00942F14"/>
    <w:rsid w:val="00943154"/>
    <w:rsid w:val="009431D9"/>
    <w:rsid w:val="00943202"/>
    <w:rsid w:val="009433A6"/>
    <w:rsid w:val="00943447"/>
    <w:rsid w:val="0094347F"/>
    <w:rsid w:val="00943493"/>
    <w:rsid w:val="009434B2"/>
    <w:rsid w:val="0094369D"/>
    <w:rsid w:val="009437C5"/>
    <w:rsid w:val="00943834"/>
    <w:rsid w:val="0094394D"/>
    <w:rsid w:val="0094399B"/>
    <w:rsid w:val="009439D2"/>
    <w:rsid w:val="00943AC6"/>
    <w:rsid w:val="009440AA"/>
    <w:rsid w:val="009440DC"/>
    <w:rsid w:val="00944132"/>
    <w:rsid w:val="00944181"/>
    <w:rsid w:val="00944332"/>
    <w:rsid w:val="00944427"/>
    <w:rsid w:val="009447D0"/>
    <w:rsid w:val="00944835"/>
    <w:rsid w:val="009448CF"/>
    <w:rsid w:val="00944A4D"/>
    <w:rsid w:val="00944C5E"/>
    <w:rsid w:val="00944F7D"/>
    <w:rsid w:val="00945010"/>
    <w:rsid w:val="00945035"/>
    <w:rsid w:val="00945565"/>
    <w:rsid w:val="00945581"/>
    <w:rsid w:val="00945717"/>
    <w:rsid w:val="0094588B"/>
    <w:rsid w:val="00945B5C"/>
    <w:rsid w:val="00945B5F"/>
    <w:rsid w:val="00945D9B"/>
    <w:rsid w:val="00946249"/>
    <w:rsid w:val="009462D2"/>
    <w:rsid w:val="00946378"/>
    <w:rsid w:val="00946384"/>
    <w:rsid w:val="0094643E"/>
    <w:rsid w:val="009464C1"/>
    <w:rsid w:val="009464D2"/>
    <w:rsid w:val="00946553"/>
    <w:rsid w:val="009466A6"/>
    <w:rsid w:val="0094671B"/>
    <w:rsid w:val="009469E0"/>
    <w:rsid w:val="00946BA5"/>
    <w:rsid w:val="00946CCF"/>
    <w:rsid w:val="00947354"/>
    <w:rsid w:val="00947377"/>
    <w:rsid w:val="0094738B"/>
    <w:rsid w:val="00947466"/>
    <w:rsid w:val="009475B5"/>
    <w:rsid w:val="009475EA"/>
    <w:rsid w:val="00947605"/>
    <w:rsid w:val="00947627"/>
    <w:rsid w:val="009476DA"/>
    <w:rsid w:val="009477C8"/>
    <w:rsid w:val="00947973"/>
    <w:rsid w:val="00947993"/>
    <w:rsid w:val="00947A37"/>
    <w:rsid w:val="00947A58"/>
    <w:rsid w:val="00947A77"/>
    <w:rsid w:val="00947B7B"/>
    <w:rsid w:val="00947BBE"/>
    <w:rsid w:val="00947E0C"/>
    <w:rsid w:val="00947E49"/>
    <w:rsid w:val="00947F25"/>
    <w:rsid w:val="00950150"/>
    <w:rsid w:val="00950159"/>
    <w:rsid w:val="00950172"/>
    <w:rsid w:val="00950342"/>
    <w:rsid w:val="00950479"/>
    <w:rsid w:val="00950735"/>
    <w:rsid w:val="00950882"/>
    <w:rsid w:val="0095088E"/>
    <w:rsid w:val="00950ADB"/>
    <w:rsid w:val="00951187"/>
    <w:rsid w:val="00951213"/>
    <w:rsid w:val="009512A0"/>
    <w:rsid w:val="009512C4"/>
    <w:rsid w:val="0095133E"/>
    <w:rsid w:val="00951424"/>
    <w:rsid w:val="00951649"/>
    <w:rsid w:val="00951877"/>
    <w:rsid w:val="00951A8D"/>
    <w:rsid w:val="00951C18"/>
    <w:rsid w:val="00951C80"/>
    <w:rsid w:val="00951EAE"/>
    <w:rsid w:val="00951FEB"/>
    <w:rsid w:val="0095202A"/>
    <w:rsid w:val="0095208A"/>
    <w:rsid w:val="00952465"/>
    <w:rsid w:val="00952741"/>
    <w:rsid w:val="0095282F"/>
    <w:rsid w:val="009528DC"/>
    <w:rsid w:val="00952AD2"/>
    <w:rsid w:val="00952D33"/>
    <w:rsid w:val="00952D34"/>
    <w:rsid w:val="00952D46"/>
    <w:rsid w:val="00952FC9"/>
    <w:rsid w:val="00952FD8"/>
    <w:rsid w:val="00953016"/>
    <w:rsid w:val="0095322F"/>
    <w:rsid w:val="009532B9"/>
    <w:rsid w:val="009532EE"/>
    <w:rsid w:val="009533A3"/>
    <w:rsid w:val="0095348D"/>
    <w:rsid w:val="00953539"/>
    <w:rsid w:val="00953635"/>
    <w:rsid w:val="009536B3"/>
    <w:rsid w:val="009538F6"/>
    <w:rsid w:val="00953B28"/>
    <w:rsid w:val="00953C77"/>
    <w:rsid w:val="00953C9D"/>
    <w:rsid w:val="00953F61"/>
    <w:rsid w:val="00953FAF"/>
    <w:rsid w:val="0095429F"/>
    <w:rsid w:val="0095436E"/>
    <w:rsid w:val="00954379"/>
    <w:rsid w:val="009543E9"/>
    <w:rsid w:val="00954794"/>
    <w:rsid w:val="009547B7"/>
    <w:rsid w:val="00954825"/>
    <w:rsid w:val="0095490B"/>
    <w:rsid w:val="00954AF3"/>
    <w:rsid w:val="00954CF0"/>
    <w:rsid w:val="00954DEA"/>
    <w:rsid w:val="00954ED6"/>
    <w:rsid w:val="0095505C"/>
    <w:rsid w:val="0095512E"/>
    <w:rsid w:val="0095530F"/>
    <w:rsid w:val="00955482"/>
    <w:rsid w:val="009556C4"/>
    <w:rsid w:val="0095571B"/>
    <w:rsid w:val="0095576C"/>
    <w:rsid w:val="00955808"/>
    <w:rsid w:val="00955960"/>
    <w:rsid w:val="0095599B"/>
    <w:rsid w:val="00955A99"/>
    <w:rsid w:val="00955D6F"/>
    <w:rsid w:val="00955DC4"/>
    <w:rsid w:val="00955E04"/>
    <w:rsid w:val="00956045"/>
    <w:rsid w:val="009560F7"/>
    <w:rsid w:val="009564BF"/>
    <w:rsid w:val="009564EB"/>
    <w:rsid w:val="009569FA"/>
    <w:rsid w:val="00956AC0"/>
    <w:rsid w:val="00956AED"/>
    <w:rsid w:val="00956DDF"/>
    <w:rsid w:val="00956FBA"/>
    <w:rsid w:val="00957075"/>
    <w:rsid w:val="009571E7"/>
    <w:rsid w:val="0095759F"/>
    <w:rsid w:val="009575C3"/>
    <w:rsid w:val="00957654"/>
    <w:rsid w:val="00957718"/>
    <w:rsid w:val="00957976"/>
    <w:rsid w:val="0095797F"/>
    <w:rsid w:val="00957C1D"/>
    <w:rsid w:val="00957EAD"/>
    <w:rsid w:val="00957FF7"/>
    <w:rsid w:val="0096028B"/>
    <w:rsid w:val="00960433"/>
    <w:rsid w:val="009604C6"/>
    <w:rsid w:val="0096050F"/>
    <w:rsid w:val="00960525"/>
    <w:rsid w:val="009605D8"/>
    <w:rsid w:val="00960688"/>
    <w:rsid w:val="009607E0"/>
    <w:rsid w:val="00960960"/>
    <w:rsid w:val="00960A33"/>
    <w:rsid w:val="00960CC1"/>
    <w:rsid w:val="00960D5C"/>
    <w:rsid w:val="0096112E"/>
    <w:rsid w:val="00961155"/>
    <w:rsid w:val="009615D7"/>
    <w:rsid w:val="0096178E"/>
    <w:rsid w:val="00961A70"/>
    <w:rsid w:val="00961A8B"/>
    <w:rsid w:val="00961DC0"/>
    <w:rsid w:val="00961E73"/>
    <w:rsid w:val="009623BE"/>
    <w:rsid w:val="009624F5"/>
    <w:rsid w:val="009625CC"/>
    <w:rsid w:val="00962699"/>
    <w:rsid w:val="0096278A"/>
    <w:rsid w:val="00962978"/>
    <w:rsid w:val="00962A83"/>
    <w:rsid w:val="00962AEC"/>
    <w:rsid w:val="00962B94"/>
    <w:rsid w:val="00962D02"/>
    <w:rsid w:val="00962E0E"/>
    <w:rsid w:val="00962E24"/>
    <w:rsid w:val="00962EAD"/>
    <w:rsid w:val="0096337B"/>
    <w:rsid w:val="009634AE"/>
    <w:rsid w:val="00963695"/>
    <w:rsid w:val="009639C4"/>
    <w:rsid w:val="00963B83"/>
    <w:rsid w:val="00964096"/>
    <w:rsid w:val="0096488B"/>
    <w:rsid w:val="009648E1"/>
    <w:rsid w:val="00964AED"/>
    <w:rsid w:val="00964B8B"/>
    <w:rsid w:val="00964C83"/>
    <w:rsid w:val="00964F33"/>
    <w:rsid w:val="0096548B"/>
    <w:rsid w:val="009654D4"/>
    <w:rsid w:val="00965577"/>
    <w:rsid w:val="009655C0"/>
    <w:rsid w:val="009655EC"/>
    <w:rsid w:val="0096574C"/>
    <w:rsid w:val="00965A1F"/>
    <w:rsid w:val="00965CAF"/>
    <w:rsid w:val="00965CCD"/>
    <w:rsid w:val="00965D2C"/>
    <w:rsid w:val="00965D42"/>
    <w:rsid w:val="00965D45"/>
    <w:rsid w:val="00966142"/>
    <w:rsid w:val="00966347"/>
    <w:rsid w:val="009666BE"/>
    <w:rsid w:val="00966753"/>
    <w:rsid w:val="009667B5"/>
    <w:rsid w:val="00966914"/>
    <w:rsid w:val="00966B9E"/>
    <w:rsid w:val="00966C39"/>
    <w:rsid w:val="00966CB4"/>
    <w:rsid w:val="00966E70"/>
    <w:rsid w:val="00966F30"/>
    <w:rsid w:val="009670CD"/>
    <w:rsid w:val="009671AD"/>
    <w:rsid w:val="0096732D"/>
    <w:rsid w:val="009673E6"/>
    <w:rsid w:val="0096749E"/>
    <w:rsid w:val="0096769A"/>
    <w:rsid w:val="009676B4"/>
    <w:rsid w:val="00967868"/>
    <w:rsid w:val="00967870"/>
    <w:rsid w:val="00967AEF"/>
    <w:rsid w:val="00967E2A"/>
    <w:rsid w:val="00967F0A"/>
    <w:rsid w:val="0097005F"/>
    <w:rsid w:val="009701D7"/>
    <w:rsid w:val="009702A1"/>
    <w:rsid w:val="00970337"/>
    <w:rsid w:val="009703A5"/>
    <w:rsid w:val="00970425"/>
    <w:rsid w:val="00970549"/>
    <w:rsid w:val="009705BD"/>
    <w:rsid w:val="00970698"/>
    <w:rsid w:val="00970AF2"/>
    <w:rsid w:val="00971338"/>
    <w:rsid w:val="009713FD"/>
    <w:rsid w:val="009718CD"/>
    <w:rsid w:val="0097190E"/>
    <w:rsid w:val="00971914"/>
    <w:rsid w:val="009719C5"/>
    <w:rsid w:val="00971AAD"/>
    <w:rsid w:val="00971B98"/>
    <w:rsid w:val="00971E2A"/>
    <w:rsid w:val="00971ED6"/>
    <w:rsid w:val="00972211"/>
    <w:rsid w:val="00972239"/>
    <w:rsid w:val="0097224B"/>
    <w:rsid w:val="009725BA"/>
    <w:rsid w:val="009726E3"/>
    <w:rsid w:val="009726F3"/>
    <w:rsid w:val="009727E2"/>
    <w:rsid w:val="0097280A"/>
    <w:rsid w:val="009728D4"/>
    <w:rsid w:val="00972B10"/>
    <w:rsid w:val="00972B9E"/>
    <w:rsid w:val="00972D16"/>
    <w:rsid w:val="00972DFB"/>
    <w:rsid w:val="00972E4D"/>
    <w:rsid w:val="0097308E"/>
    <w:rsid w:val="00973204"/>
    <w:rsid w:val="00973235"/>
    <w:rsid w:val="009733B1"/>
    <w:rsid w:val="00973487"/>
    <w:rsid w:val="0097374B"/>
    <w:rsid w:val="00973758"/>
    <w:rsid w:val="00973CF2"/>
    <w:rsid w:val="00974050"/>
    <w:rsid w:val="00974363"/>
    <w:rsid w:val="009743DC"/>
    <w:rsid w:val="009743F0"/>
    <w:rsid w:val="0097448B"/>
    <w:rsid w:val="00974A6A"/>
    <w:rsid w:val="00974AD7"/>
    <w:rsid w:val="00974C41"/>
    <w:rsid w:val="00974DA2"/>
    <w:rsid w:val="0097502D"/>
    <w:rsid w:val="009752C0"/>
    <w:rsid w:val="0097545C"/>
    <w:rsid w:val="009756AF"/>
    <w:rsid w:val="00975837"/>
    <w:rsid w:val="009758F7"/>
    <w:rsid w:val="0097590D"/>
    <w:rsid w:val="0097590E"/>
    <w:rsid w:val="00975A4E"/>
    <w:rsid w:val="00975CF7"/>
    <w:rsid w:val="00975EDC"/>
    <w:rsid w:val="00975FAA"/>
    <w:rsid w:val="00976235"/>
    <w:rsid w:val="009763B3"/>
    <w:rsid w:val="00976445"/>
    <w:rsid w:val="0097688B"/>
    <w:rsid w:val="00976A0C"/>
    <w:rsid w:val="00976B9F"/>
    <w:rsid w:val="00976BE2"/>
    <w:rsid w:val="00976C60"/>
    <w:rsid w:val="00976C80"/>
    <w:rsid w:val="00976CF9"/>
    <w:rsid w:val="00976F32"/>
    <w:rsid w:val="0097711A"/>
    <w:rsid w:val="0097732C"/>
    <w:rsid w:val="009774EE"/>
    <w:rsid w:val="009777C0"/>
    <w:rsid w:val="009779D8"/>
    <w:rsid w:val="00977A55"/>
    <w:rsid w:val="00977D25"/>
    <w:rsid w:val="00977D47"/>
    <w:rsid w:val="00977EA8"/>
    <w:rsid w:val="00977EF3"/>
    <w:rsid w:val="00977F2A"/>
    <w:rsid w:val="009802FA"/>
    <w:rsid w:val="0098054C"/>
    <w:rsid w:val="00980581"/>
    <w:rsid w:val="009807FF"/>
    <w:rsid w:val="00980969"/>
    <w:rsid w:val="00980A4B"/>
    <w:rsid w:val="00980B54"/>
    <w:rsid w:val="00980C7F"/>
    <w:rsid w:val="00980CB9"/>
    <w:rsid w:val="00980D84"/>
    <w:rsid w:val="00981123"/>
    <w:rsid w:val="00981269"/>
    <w:rsid w:val="009813E3"/>
    <w:rsid w:val="009814E9"/>
    <w:rsid w:val="009815B2"/>
    <w:rsid w:val="00981898"/>
    <w:rsid w:val="00981BF8"/>
    <w:rsid w:val="00981C50"/>
    <w:rsid w:val="00981D5B"/>
    <w:rsid w:val="00981DED"/>
    <w:rsid w:val="00981E86"/>
    <w:rsid w:val="00981ED7"/>
    <w:rsid w:val="00981F1A"/>
    <w:rsid w:val="00981FC1"/>
    <w:rsid w:val="009820F5"/>
    <w:rsid w:val="00982138"/>
    <w:rsid w:val="00982649"/>
    <w:rsid w:val="009829DC"/>
    <w:rsid w:val="00982A31"/>
    <w:rsid w:val="00982B9C"/>
    <w:rsid w:val="00982E02"/>
    <w:rsid w:val="00982E73"/>
    <w:rsid w:val="00982ECB"/>
    <w:rsid w:val="00982EE7"/>
    <w:rsid w:val="00982EFA"/>
    <w:rsid w:val="0098308D"/>
    <w:rsid w:val="00983112"/>
    <w:rsid w:val="00983208"/>
    <w:rsid w:val="0098332C"/>
    <w:rsid w:val="00983426"/>
    <w:rsid w:val="00983950"/>
    <w:rsid w:val="00983984"/>
    <w:rsid w:val="00983D87"/>
    <w:rsid w:val="00984065"/>
    <w:rsid w:val="00984393"/>
    <w:rsid w:val="00984597"/>
    <w:rsid w:val="0098468B"/>
    <w:rsid w:val="009847DF"/>
    <w:rsid w:val="00984852"/>
    <w:rsid w:val="00984889"/>
    <w:rsid w:val="009849A6"/>
    <w:rsid w:val="00984F12"/>
    <w:rsid w:val="0098523C"/>
    <w:rsid w:val="00985483"/>
    <w:rsid w:val="0098549C"/>
    <w:rsid w:val="0098555A"/>
    <w:rsid w:val="009855EA"/>
    <w:rsid w:val="009858C4"/>
    <w:rsid w:val="00985E9A"/>
    <w:rsid w:val="00985F65"/>
    <w:rsid w:val="00986071"/>
    <w:rsid w:val="00986151"/>
    <w:rsid w:val="00986162"/>
    <w:rsid w:val="00986209"/>
    <w:rsid w:val="00986219"/>
    <w:rsid w:val="00986461"/>
    <w:rsid w:val="00986510"/>
    <w:rsid w:val="00986558"/>
    <w:rsid w:val="009866DD"/>
    <w:rsid w:val="009866FE"/>
    <w:rsid w:val="009868B0"/>
    <w:rsid w:val="00986B5F"/>
    <w:rsid w:val="00986CEA"/>
    <w:rsid w:val="00986D71"/>
    <w:rsid w:val="0098710E"/>
    <w:rsid w:val="0098715A"/>
    <w:rsid w:val="0098725B"/>
    <w:rsid w:val="00987339"/>
    <w:rsid w:val="009874E5"/>
    <w:rsid w:val="00987514"/>
    <w:rsid w:val="00987549"/>
    <w:rsid w:val="00987589"/>
    <w:rsid w:val="0098787A"/>
    <w:rsid w:val="00987888"/>
    <w:rsid w:val="00987998"/>
    <w:rsid w:val="00987A24"/>
    <w:rsid w:val="00987BF8"/>
    <w:rsid w:val="00987D0F"/>
    <w:rsid w:val="00987E08"/>
    <w:rsid w:val="00990074"/>
    <w:rsid w:val="009901D2"/>
    <w:rsid w:val="009904B8"/>
    <w:rsid w:val="009904D1"/>
    <w:rsid w:val="00990707"/>
    <w:rsid w:val="0099073A"/>
    <w:rsid w:val="009908B7"/>
    <w:rsid w:val="009908C6"/>
    <w:rsid w:val="009909BD"/>
    <w:rsid w:val="00990C62"/>
    <w:rsid w:val="00990D02"/>
    <w:rsid w:val="00990FEB"/>
    <w:rsid w:val="00991013"/>
    <w:rsid w:val="0099118A"/>
    <w:rsid w:val="009911FF"/>
    <w:rsid w:val="00991399"/>
    <w:rsid w:val="009916A6"/>
    <w:rsid w:val="009917E0"/>
    <w:rsid w:val="00991965"/>
    <w:rsid w:val="00991C09"/>
    <w:rsid w:val="00991E4E"/>
    <w:rsid w:val="00991ED0"/>
    <w:rsid w:val="009921DB"/>
    <w:rsid w:val="00992299"/>
    <w:rsid w:val="00992410"/>
    <w:rsid w:val="009924EA"/>
    <w:rsid w:val="009925BE"/>
    <w:rsid w:val="009927C4"/>
    <w:rsid w:val="009928B3"/>
    <w:rsid w:val="00992AC4"/>
    <w:rsid w:val="00992AF6"/>
    <w:rsid w:val="00992C7C"/>
    <w:rsid w:val="00992E86"/>
    <w:rsid w:val="00992FFC"/>
    <w:rsid w:val="00993097"/>
    <w:rsid w:val="0099311E"/>
    <w:rsid w:val="00993289"/>
    <w:rsid w:val="009932FC"/>
    <w:rsid w:val="00993338"/>
    <w:rsid w:val="009933B2"/>
    <w:rsid w:val="009933B8"/>
    <w:rsid w:val="00993490"/>
    <w:rsid w:val="009935C6"/>
    <w:rsid w:val="0099364A"/>
    <w:rsid w:val="009936D2"/>
    <w:rsid w:val="00993721"/>
    <w:rsid w:val="009937C9"/>
    <w:rsid w:val="009937DE"/>
    <w:rsid w:val="00993862"/>
    <w:rsid w:val="00993879"/>
    <w:rsid w:val="0099390B"/>
    <w:rsid w:val="00993985"/>
    <w:rsid w:val="00993A46"/>
    <w:rsid w:val="00993BE8"/>
    <w:rsid w:val="00993C9C"/>
    <w:rsid w:val="00993CCE"/>
    <w:rsid w:val="00993E10"/>
    <w:rsid w:val="00993F9C"/>
    <w:rsid w:val="00993FDF"/>
    <w:rsid w:val="0099439E"/>
    <w:rsid w:val="00994419"/>
    <w:rsid w:val="00994436"/>
    <w:rsid w:val="0099451B"/>
    <w:rsid w:val="009945EF"/>
    <w:rsid w:val="009945FC"/>
    <w:rsid w:val="0099463B"/>
    <w:rsid w:val="0099465C"/>
    <w:rsid w:val="00994800"/>
    <w:rsid w:val="00994822"/>
    <w:rsid w:val="00994BEE"/>
    <w:rsid w:val="00994CC0"/>
    <w:rsid w:val="00994D63"/>
    <w:rsid w:val="00994EC5"/>
    <w:rsid w:val="00994F1A"/>
    <w:rsid w:val="00994F8A"/>
    <w:rsid w:val="00995102"/>
    <w:rsid w:val="00995145"/>
    <w:rsid w:val="00995279"/>
    <w:rsid w:val="009952D8"/>
    <w:rsid w:val="00995437"/>
    <w:rsid w:val="00995442"/>
    <w:rsid w:val="00995494"/>
    <w:rsid w:val="009954A4"/>
    <w:rsid w:val="009954BD"/>
    <w:rsid w:val="00995697"/>
    <w:rsid w:val="00995750"/>
    <w:rsid w:val="0099577C"/>
    <w:rsid w:val="00995908"/>
    <w:rsid w:val="0099596A"/>
    <w:rsid w:val="00995A05"/>
    <w:rsid w:val="00995B94"/>
    <w:rsid w:val="00995D11"/>
    <w:rsid w:val="00995DB2"/>
    <w:rsid w:val="00996007"/>
    <w:rsid w:val="009960A2"/>
    <w:rsid w:val="009960D0"/>
    <w:rsid w:val="0099611E"/>
    <w:rsid w:val="0099614A"/>
    <w:rsid w:val="009962E5"/>
    <w:rsid w:val="0099644A"/>
    <w:rsid w:val="009965A3"/>
    <w:rsid w:val="009968C9"/>
    <w:rsid w:val="009969F6"/>
    <w:rsid w:val="00996AD0"/>
    <w:rsid w:val="00996B1F"/>
    <w:rsid w:val="00996B63"/>
    <w:rsid w:val="00996C0D"/>
    <w:rsid w:val="00996F7E"/>
    <w:rsid w:val="00997023"/>
    <w:rsid w:val="0099703A"/>
    <w:rsid w:val="0099719F"/>
    <w:rsid w:val="009972B0"/>
    <w:rsid w:val="009974B4"/>
    <w:rsid w:val="00997794"/>
    <w:rsid w:val="009977C8"/>
    <w:rsid w:val="009978B6"/>
    <w:rsid w:val="0099796B"/>
    <w:rsid w:val="00997BA4"/>
    <w:rsid w:val="00997BDF"/>
    <w:rsid w:val="00997FF6"/>
    <w:rsid w:val="009A000E"/>
    <w:rsid w:val="009A021C"/>
    <w:rsid w:val="009A022F"/>
    <w:rsid w:val="009A02D5"/>
    <w:rsid w:val="009A04FB"/>
    <w:rsid w:val="009A0583"/>
    <w:rsid w:val="009A074A"/>
    <w:rsid w:val="009A07A3"/>
    <w:rsid w:val="009A09EE"/>
    <w:rsid w:val="009A0B29"/>
    <w:rsid w:val="009A0DFB"/>
    <w:rsid w:val="009A0F03"/>
    <w:rsid w:val="009A1069"/>
    <w:rsid w:val="009A10F4"/>
    <w:rsid w:val="009A1282"/>
    <w:rsid w:val="009A1307"/>
    <w:rsid w:val="009A1396"/>
    <w:rsid w:val="009A1672"/>
    <w:rsid w:val="009A16BF"/>
    <w:rsid w:val="009A1707"/>
    <w:rsid w:val="009A1727"/>
    <w:rsid w:val="009A1735"/>
    <w:rsid w:val="009A1765"/>
    <w:rsid w:val="009A18AF"/>
    <w:rsid w:val="009A1923"/>
    <w:rsid w:val="009A192F"/>
    <w:rsid w:val="009A1BEF"/>
    <w:rsid w:val="009A1C21"/>
    <w:rsid w:val="009A1CE6"/>
    <w:rsid w:val="009A1D0A"/>
    <w:rsid w:val="009A1F40"/>
    <w:rsid w:val="009A2001"/>
    <w:rsid w:val="009A2195"/>
    <w:rsid w:val="009A21CB"/>
    <w:rsid w:val="009A2209"/>
    <w:rsid w:val="009A227A"/>
    <w:rsid w:val="009A2368"/>
    <w:rsid w:val="009A2431"/>
    <w:rsid w:val="009A24F7"/>
    <w:rsid w:val="009A252C"/>
    <w:rsid w:val="009A25A9"/>
    <w:rsid w:val="009A25CC"/>
    <w:rsid w:val="009A2851"/>
    <w:rsid w:val="009A297B"/>
    <w:rsid w:val="009A29CD"/>
    <w:rsid w:val="009A29D9"/>
    <w:rsid w:val="009A29FD"/>
    <w:rsid w:val="009A2B70"/>
    <w:rsid w:val="009A2C72"/>
    <w:rsid w:val="009A2DA4"/>
    <w:rsid w:val="009A2F85"/>
    <w:rsid w:val="009A2F90"/>
    <w:rsid w:val="009A30C2"/>
    <w:rsid w:val="009A30CB"/>
    <w:rsid w:val="009A310D"/>
    <w:rsid w:val="009A3273"/>
    <w:rsid w:val="009A32C1"/>
    <w:rsid w:val="009A3390"/>
    <w:rsid w:val="009A3431"/>
    <w:rsid w:val="009A3624"/>
    <w:rsid w:val="009A3CED"/>
    <w:rsid w:val="009A3DA7"/>
    <w:rsid w:val="009A406E"/>
    <w:rsid w:val="009A4202"/>
    <w:rsid w:val="009A44BB"/>
    <w:rsid w:val="009A4857"/>
    <w:rsid w:val="009A48D2"/>
    <w:rsid w:val="009A4D1B"/>
    <w:rsid w:val="009A4E1D"/>
    <w:rsid w:val="009A4EA1"/>
    <w:rsid w:val="009A4EAA"/>
    <w:rsid w:val="009A503B"/>
    <w:rsid w:val="009A503D"/>
    <w:rsid w:val="009A532C"/>
    <w:rsid w:val="009A5595"/>
    <w:rsid w:val="009A5632"/>
    <w:rsid w:val="009A5647"/>
    <w:rsid w:val="009A579E"/>
    <w:rsid w:val="009A57AE"/>
    <w:rsid w:val="009A5A6A"/>
    <w:rsid w:val="009A5C92"/>
    <w:rsid w:val="009A5D4A"/>
    <w:rsid w:val="009A5D95"/>
    <w:rsid w:val="009A5E56"/>
    <w:rsid w:val="009A5EA7"/>
    <w:rsid w:val="009A5FDF"/>
    <w:rsid w:val="009A61D6"/>
    <w:rsid w:val="009A61E9"/>
    <w:rsid w:val="009A6256"/>
    <w:rsid w:val="009A62BB"/>
    <w:rsid w:val="009A6392"/>
    <w:rsid w:val="009A655C"/>
    <w:rsid w:val="009A6867"/>
    <w:rsid w:val="009A68EA"/>
    <w:rsid w:val="009A6C33"/>
    <w:rsid w:val="009A6D1F"/>
    <w:rsid w:val="009A6DC6"/>
    <w:rsid w:val="009A6FE4"/>
    <w:rsid w:val="009A7088"/>
    <w:rsid w:val="009A70A9"/>
    <w:rsid w:val="009A7330"/>
    <w:rsid w:val="009A747E"/>
    <w:rsid w:val="009A74EA"/>
    <w:rsid w:val="009A764F"/>
    <w:rsid w:val="009A7732"/>
    <w:rsid w:val="009A781A"/>
    <w:rsid w:val="009A78EA"/>
    <w:rsid w:val="009A7A73"/>
    <w:rsid w:val="009A7A74"/>
    <w:rsid w:val="009A7AB0"/>
    <w:rsid w:val="009A7AFC"/>
    <w:rsid w:val="009A7CCB"/>
    <w:rsid w:val="009B0296"/>
    <w:rsid w:val="009B0497"/>
    <w:rsid w:val="009B04AC"/>
    <w:rsid w:val="009B05D9"/>
    <w:rsid w:val="009B067B"/>
    <w:rsid w:val="009B0C6F"/>
    <w:rsid w:val="009B0DF1"/>
    <w:rsid w:val="009B0E50"/>
    <w:rsid w:val="009B0EBF"/>
    <w:rsid w:val="009B0F47"/>
    <w:rsid w:val="009B0FB1"/>
    <w:rsid w:val="009B12A8"/>
    <w:rsid w:val="009B14A6"/>
    <w:rsid w:val="009B14ED"/>
    <w:rsid w:val="009B1524"/>
    <w:rsid w:val="009B1964"/>
    <w:rsid w:val="009B19CA"/>
    <w:rsid w:val="009B1A50"/>
    <w:rsid w:val="009B1BB6"/>
    <w:rsid w:val="009B1C32"/>
    <w:rsid w:val="009B21B8"/>
    <w:rsid w:val="009B21C7"/>
    <w:rsid w:val="009B21EE"/>
    <w:rsid w:val="009B21F2"/>
    <w:rsid w:val="009B22A2"/>
    <w:rsid w:val="009B2325"/>
    <w:rsid w:val="009B244A"/>
    <w:rsid w:val="009B24A5"/>
    <w:rsid w:val="009B2601"/>
    <w:rsid w:val="009B28E8"/>
    <w:rsid w:val="009B2944"/>
    <w:rsid w:val="009B2DB0"/>
    <w:rsid w:val="009B2F4E"/>
    <w:rsid w:val="009B2F6F"/>
    <w:rsid w:val="009B3138"/>
    <w:rsid w:val="009B3297"/>
    <w:rsid w:val="009B3484"/>
    <w:rsid w:val="009B3608"/>
    <w:rsid w:val="009B369B"/>
    <w:rsid w:val="009B390A"/>
    <w:rsid w:val="009B3B1E"/>
    <w:rsid w:val="009B3B9D"/>
    <w:rsid w:val="009B3D61"/>
    <w:rsid w:val="009B3DCF"/>
    <w:rsid w:val="009B3DEE"/>
    <w:rsid w:val="009B3E43"/>
    <w:rsid w:val="009B3E85"/>
    <w:rsid w:val="009B3E94"/>
    <w:rsid w:val="009B3F3F"/>
    <w:rsid w:val="009B409D"/>
    <w:rsid w:val="009B424D"/>
    <w:rsid w:val="009B4B57"/>
    <w:rsid w:val="009B4C54"/>
    <w:rsid w:val="009B4E9E"/>
    <w:rsid w:val="009B5016"/>
    <w:rsid w:val="009B5203"/>
    <w:rsid w:val="009B53F4"/>
    <w:rsid w:val="009B546D"/>
    <w:rsid w:val="009B54BC"/>
    <w:rsid w:val="009B54CE"/>
    <w:rsid w:val="009B556D"/>
    <w:rsid w:val="009B56AD"/>
    <w:rsid w:val="009B56D1"/>
    <w:rsid w:val="009B57F2"/>
    <w:rsid w:val="009B5A0D"/>
    <w:rsid w:val="009B5BF9"/>
    <w:rsid w:val="009B5C74"/>
    <w:rsid w:val="009B5C83"/>
    <w:rsid w:val="009B5E3D"/>
    <w:rsid w:val="009B60A1"/>
    <w:rsid w:val="009B6177"/>
    <w:rsid w:val="009B62A6"/>
    <w:rsid w:val="009B6329"/>
    <w:rsid w:val="009B63DA"/>
    <w:rsid w:val="009B64E5"/>
    <w:rsid w:val="009B64E7"/>
    <w:rsid w:val="009B6621"/>
    <w:rsid w:val="009B68EB"/>
    <w:rsid w:val="009B6AF1"/>
    <w:rsid w:val="009B6BAF"/>
    <w:rsid w:val="009B6BF2"/>
    <w:rsid w:val="009B6C31"/>
    <w:rsid w:val="009B6D15"/>
    <w:rsid w:val="009B7396"/>
    <w:rsid w:val="009B7542"/>
    <w:rsid w:val="009B7559"/>
    <w:rsid w:val="009B75C6"/>
    <w:rsid w:val="009B75EA"/>
    <w:rsid w:val="009B767C"/>
    <w:rsid w:val="009B7690"/>
    <w:rsid w:val="009B76CD"/>
    <w:rsid w:val="009B7811"/>
    <w:rsid w:val="009B7920"/>
    <w:rsid w:val="009B7A90"/>
    <w:rsid w:val="009B7BCE"/>
    <w:rsid w:val="009B7BDE"/>
    <w:rsid w:val="009B7C70"/>
    <w:rsid w:val="009B7C95"/>
    <w:rsid w:val="009B7D5F"/>
    <w:rsid w:val="009B7D6C"/>
    <w:rsid w:val="009B7E93"/>
    <w:rsid w:val="009C0363"/>
    <w:rsid w:val="009C03C7"/>
    <w:rsid w:val="009C0498"/>
    <w:rsid w:val="009C05D1"/>
    <w:rsid w:val="009C074D"/>
    <w:rsid w:val="009C07E6"/>
    <w:rsid w:val="009C089F"/>
    <w:rsid w:val="009C08CA"/>
    <w:rsid w:val="009C0AF8"/>
    <w:rsid w:val="009C0D0D"/>
    <w:rsid w:val="009C104F"/>
    <w:rsid w:val="009C1135"/>
    <w:rsid w:val="009C114A"/>
    <w:rsid w:val="009C11B7"/>
    <w:rsid w:val="009C120C"/>
    <w:rsid w:val="009C127E"/>
    <w:rsid w:val="009C12CF"/>
    <w:rsid w:val="009C140B"/>
    <w:rsid w:val="009C1427"/>
    <w:rsid w:val="009C148F"/>
    <w:rsid w:val="009C15D0"/>
    <w:rsid w:val="009C1690"/>
    <w:rsid w:val="009C1DC8"/>
    <w:rsid w:val="009C2206"/>
    <w:rsid w:val="009C22E8"/>
    <w:rsid w:val="009C233A"/>
    <w:rsid w:val="009C236A"/>
    <w:rsid w:val="009C247A"/>
    <w:rsid w:val="009C2630"/>
    <w:rsid w:val="009C2670"/>
    <w:rsid w:val="009C299C"/>
    <w:rsid w:val="009C2B77"/>
    <w:rsid w:val="009C2C5A"/>
    <w:rsid w:val="009C2D12"/>
    <w:rsid w:val="009C3325"/>
    <w:rsid w:val="009C3421"/>
    <w:rsid w:val="009C352F"/>
    <w:rsid w:val="009C35F4"/>
    <w:rsid w:val="009C372F"/>
    <w:rsid w:val="009C373E"/>
    <w:rsid w:val="009C38D8"/>
    <w:rsid w:val="009C38E7"/>
    <w:rsid w:val="009C3E85"/>
    <w:rsid w:val="009C4101"/>
    <w:rsid w:val="009C4279"/>
    <w:rsid w:val="009C42B3"/>
    <w:rsid w:val="009C4477"/>
    <w:rsid w:val="009C45B1"/>
    <w:rsid w:val="009C46AC"/>
    <w:rsid w:val="009C498E"/>
    <w:rsid w:val="009C49FE"/>
    <w:rsid w:val="009C4B52"/>
    <w:rsid w:val="009C4B9B"/>
    <w:rsid w:val="009C4D7E"/>
    <w:rsid w:val="009C4DC1"/>
    <w:rsid w:val="009C4FB0"/>
    <w:rsid w:val="009C4FB9"/>
    <w:rsid w:val="009C50DA"/>
    <w:rsid w:val="009C550F"/>
    <w:rsid w:val="009C55A1"/>
    <w:rsid w:val="009C571C"/>
    <w:rsid w:val="009C58B4"/>
    <w:rsid w:val="009C5B5E"/>
    <w:rsid w:val="009C60A5"/>
    <w:rsid w:val="009C6271"/>
    <w:rsid w:val="009C6356"/>
    <w:rsid w:val="009C641F"/>
    <w:rsid w:val="009C64A7"/>
    <w:rsid w:val="009C66B6"/>
    <w:rsid w:val="009C66CA"/>
    <w:rsid w:val="009C670E"/>
    <w:rsid w:val="009C681B"/>
    <w:rsid w:val="009C6881"/>
    <w:rsid w:val="009C68F1"/>
    <w:rsid w:val="009C6968"/>
    <w:rsid w:val="009C6B20"/>
    <w:rsid w:val="009C6B36"/>
    <w:rsid w:val="009C6D5A"/>
    <w:rsid w:val="009C6DEC"/>
    <w:rsid w:val="009C6F8F"/>
    <w:rsid w:val="009C6FED"/>
    <w:rsid w:val="009C7085"/>
    <w:rsid w:val="009C7504"/>
    <w:rsid w:val="009C75A1"/>
    <w:rsid w:val="009C7734"/>
    <w:rsid w:val="009C7759"/>
    <w:rsid w:val="009C77BB"/>
    <w:rsid w:val="009C77F6"/>
    <w:rsid w:val="009C7816"/>
    <w:rsid w:val="009C7848"/>
    <w:rsid w:val="009C7AC4"/>
    <w:rsid w:val="009C7BAE"/>
    <w:rsid w:val="009C7CB0"/>
    <w:rsid w:val="009C7D34"/>
    <w:rsid w:val="009C7FDB"/>
    <w:rsid w:val="009D0124"/>
    <w:rsid w:val="009D0294"/>
    <w:rsid w:val="009D03DE"/>
    <w:rsid w:val="009D043D"/>
    <w:rsid w:val="009D053D"/>
    <w:rsid w:val="009D07C8"/>
    <w:rsid w:val="009D081D"/>
    <w:rsid w:val="009D099E"/>
    <w:rsid w:val="009D0D23"/>
    <w:rsid w:val="009D0E90"/>
    <w:rsid w:val="009D0ED1"/>
    <w:rsid w:val="009D0F06"/>
    <w:rsid w:val="009D12C3"/>
    <w:rsid w:val="009D13B9"/>
    <w:rsid w:val="009D1792"/>
    <w:rsid w:val="009D1C3C"/>
    <w:rsid w:val="009D1C89"/>
    <w:rsid w:val="009D1CAD"/>
    <w:rsid w:val="009D1CF4"/>
    <w:rsid w:val="009D1D78"/>
    <w:rsid w:val="009D1DC9"/>
    <w:rsid w:val="009D201E"/>
    <w:rsid w:val="009D2093"/>
    <w:rsid w:val="009D20E7"/>
    <w:rsid w:val="009D2135"/>
    <w:rsid w:val="009D21B8"/>
    <w:rsid w:val="009D2264"/>
    <w:rsid w:val="009D22E4"/>
    <w:rsid w:val="009D240A"/>
    <w:rsid w:val="009D27A4"/>
    <w:rsid w:val="009D287C"/>
    <w:rsid w:val="009D2A06"/>
    <w:rsid w:val="009D2AAA"/>
    <w:rsid w:val="009D2BF9"/>
    <w:rsid w:val="009D2C91"/>
    <w:rsid w:val="009D2EBF"/>
    <w:rsid w:val="009D3002"/>
    <w:rsid w:val="009D309A"/>
    <w:rsid w:val="009D3186"/>
    <w:rsid w:val="009D31C0"/>
    <w:rsid w:val="009D33DD"/>
    <w:rsid w:val="009D36F0"/>
    <w:rsid w:val="009D380B"/>
    <w:rsid w:val="009D38FC"/>
    <w:rsid w:val="009D3B4E"/>
    <w:rsid w:val="009D3BEF"/>
    <w:rsid w:val="009D3C78"/>
    <w:rsid w:val="009D3D54"/>
    <w:rsid w:val="009D3DC5"/>
    <w:rsid w:val="009D4106"/>
    <w:rsid w:val="009D4131"/>
    <w:rsid w:val="009D41FF"/>
    <w:rsid w:val="009D4C50"/>
    <w:rsid w:val="009D4C85"/>
    <w:rsid w:val="009D4D19"/>
    <w:rsid w:val="009D4E94"/>
    <w:rsid w:val="009D50F0"/>
    <w:rsid w:val="009D52E1"/>
    <w:rsid w:val="009D59FA"/>
    <w:rsid w:val="009D5A57"/>
    <w:rsid w:val="009D5B35"/>
    <w:rsid w:val="009D5BC2"/>
    <w:rsid w:val="009D5C32"/>
    <w:rsid w:val="009D5C68"/>
    <w:rsid w:val="009D5DEE"/>
    <w:rsid w:val="009D5F29"/>
    <w:rsid w:val="009D5F42"/>
    <w:rsid w:val="009D6035"/>
    <w:rsid w:val="009D613F"/>
    <w:rsid w:val="009D62AA"/>
    <w:rsid w:val="009D631A"/>
    <w:rsid w:val="009D6338"/>
    <w:rsid w:val="009D6414"/>
    <w:rsid w:val="009D64A7"/>
    <w:rsid w:val="009D6533"/>
    <w:rsid w:val="009D65E9"/>
    <w:rsid w:val="009D67A1"/>
    <w:rsid w:val="009D6944"/>
    <w:rsid w:val="009D6BEA"/>
    <w:rsid w:val="009D6C71"/>
    <w:rsid w:val="009D7073"/>
    <w:rsid w:val="009D74F2"/>
    <w:rsid w:val="009D75D7"/>
    <w:rsid w:val="009D765A"/>
    <w:rsid w:val="009D769A"/>
    <w:rsid w:val="009D7852"/>
    <w:rsid w:val="009D7898"/>
    <w:rsid w:val="009D78E2"/>
    <w:rsid w:val="009D7951"/>
    <w:rsid w:val="009D7978"/>
    <w:rsid w:val="009D7A6A"/>
    <w:rsid w:val="009D7C6D"/>
    <w:rsid w:val="009D7DA0"/>
    <w:rsid w:val="009D7EA8"/>
    <w:rsid w:val="009D7EB9"/>
    <w:rsid w:val="009E00C1"/>
    <w:rsid w:val="009E011F"/>
    <w:rsid w:val="009E01BB"/>
    <w:rsid w:val="009E01D2"/>
    <w:rsid w:val="009E01D5"/>
    <w:rsid w:val="009E023F"/>
    <w:rsid w:val="009E0309"/>
    <w:rsid w:val="009E0420"/>
    <w:rsid w:val="009E04D9"/>
    <w:rsid w:val="009E05F5"/>
    <w:rsid w:val="009E0631"/>
    <w:rsid w:val="009E0680"/>
    <w:rsid w:val="009E086C"/>
    <w:rsid w:val="009E0AA4"/>
    <w:rsid w:val="009E0AFB"/>
    <w:rsid w:val="009E0F94"/>
    <w:rsid w:val="009E10A1"/>
    <w:rsid w:val="009E1101"/>
    <w:rsid w:val="009E1130"/>
    <w:rsid w:val="009E1152"/>
    <w:rsid w:val="009E11E5"/>
    <w:rsid w:val="009E1474"/>
    <w:rsid w:val="009E16D0"/>
    <w:rsid w:val="009E1A0E"/>
    <w:rsid w:val="009E1C7B"/>
    <w:rsid w:val="009E1E47"/>
    <w:rsid w:val="009E1EBB"/>
    <w:rsid w:val="009E1FAE"/>
    <w:rsid w:val="009E2051"/>
    <w:rsid w:val="009E2234"/>
    <w:rsid w:val="009E22EC"/>
    <w:rsid w:val="009E23F8"/>
    <w:rsid w:val="009E25B2"/>
    <w:rsid w:val="009E2714"/>
    <w:rsid w:val="009E28C3"/>
    <w:rsid w:val="009E2988"/>
    <w:rsid w:val="009E29E1"/>
    <w:rsid w:val="009E2BFF"/>
    <w:rsid w:val="009E2D22"/>
    <w:rsid w:val="009E30A8"/>
    <w:rsid w:val="009E314B"/>
    <w:rsid w:val="009E319F"/>
    <w:rsid w:val="009E31C0"/>
    <w:rsid w:val="009E31C7"/>
    <w:rsid w:val="009E32FD"/>
    <w:rsid w:val="009E37D5"/>
    <w:rsid w:val="009E38FD"/>
    <w:rsid w:val="009E3B63"/>
    <w:rsid w:val="009E3C80"/>
    <w:rsid w:val="009E3DA4"/>
    <w:rsid w:val="009E3DD0"/>
    <w:rsid w:val="009E3DDE"/>
    <w:rsid w:val="009E3E37"/>
    <w:rsid w:val="009E3FE5"/>
    <w:rsid w:val="009E4147"/>
    <w:rsid w:val="009E47D6"/>
    <w:rsid w:val="009E481E"/>
    <w:rsid w:val="009E48C1"/>
    <w:rsid w:val="009E4AF2"/>
    <w:rsid w:val="009E4C41"/>
    <w:rsid w:val="009E5191"/>
    <w:rsid w:val="009E525A"/>
    <w:rsid w:val="009E534B"/>
    <w:rsid w:val="009E54CA"/>
    <w:rsid w:val="009E55C6"/>
    <w:rsid w:val="009E58B3"/>
    <w:rsid w:val="009E5E30"/>
    <w:rsid w:val="009E5FA5"/>
    <w:rsid w:val="009E6079"/>
    <w:rsid w:val="009E60D3"/>
    <w:rsid w:val="009E61BC"/>
    <w:rsid w:val="009E6268"/>
    <w:rsid w:val="009E62AA"/>
    <w:rsid w:val="009E65FB"/>
    <w:rsid w:val="009E662B"/>
    <w:rsid w:val="009E6718"/>
    <w:rsid w:val="009E675E"/>
    <w:rsid w:val="009E6768"/>
    <w:rsid w:val="009E6808"/>
    <w:rsid w:val="009E68E8"/>
    <w:rsid w:val="009E69DC"/>
    <w:rsid w:val="009E6A21"/>
    <w:rsid w:val="009E6ADC"/>
    <w:rsid w:val="009E6AE2"/>
    <w:rsid w:val="009E6B1B"/>
    <w:rsid w:val="009E6C1D"/>
    <w:rsid w:val="009E6D30"/>
    <w:rsid w:val="009E6E80"/>
    <w:rsid w:val="009E713E"/>
    <w:rsid w:val="009E7201"/>
    <w:rsid w:val="009E723B"/>
    <w:rsid w:val="009E7429"/>
    <w:rsid w:val="009E744E"/>
    <w:rsid w:val="009E74DE"/>
    <w:rsid w:val="009E7553"/>
    <w:rsid w:val="009E7625"/>
    <w:rsid w:val="009E7AC1"/>
    <w:rsid w:val="009E7BD4"/>
    <w:rsid w:val="009E7BDC"/>
    <w:rsid w:val="009E7EF6"/>
    <w:rsid w:val="009E7F6C"/>
    <w:rsid w:val="009F00F3"/>
    <w:rsid w:val="009F0276"/>
    <w:rsid w:val="009F02DD"/>
    <w:rsid w:val="009F02F4"/>
    <w:rsid w:val="009F032A"/>
    <w:rsid w:val="009F03BA"/>
    <w:rsid w:val="009F0468"/>
    <w:rsid w:val="009F0480"/>
    <w:rsid w:val="009F067E"/>
    <w:rsid w:val="009F092D"/>
    <w:rsid w:val="009F09DE"/>
    <w:rsid w:val="009F0A5D"/>
    <w:rsid w:val="009F0AA6"/>
    <w:rsid w:val="009F0BCE"/>
    <w:rsid w:val="009F0C5E"/>
    <w:rsid w:val="009F0D7C"/>
    <w:rsid w:val="009F0E08"/>
    <w:rsid w:val="009F0F88"/>
    <w:rsid w:val="009F0F9B"/>
    <w:rsid w:val="009F10CA"/>
    <w:rsid w:val="009F1264"/>
    <w:rsid w:val="009F1381"/>
    <w:rsid w:val="009F13D6"/>
    <w:rsid w:val="009F142A"/>
    <w:rsid w:val="009F14AD"/>
    <w:rsid w:val="009F15CB"/>
    <w:rsid w:val="009F18EB"/>
    <w:rsid w:val="009F1A6E"/>
    <w:rsid w:val="009F1AA5"/>
    <w:rsid w:val="009F1AC7"/>
    <w:rsid w:val="009F1B90"/>
    <w:rsid w:val="009F1BBC"/>
    <w:rsid w:val="009F1E03"/>
    <w:rsid w:val="009F1E66"/>
    <w:rsid w:val="009F1F0E"/>
    <w:rsid w:val="009F1F15"/>
    <w:rsid w:val="009F20E8"/>
    <w:rsid w:val="009F23CD"/>
    <w:rsid w:val="009F25E6"/>
    <w:rsid w:val="009F272E"/>
    <w:rsid w:val="009F29D2"/>
    <w:rsid w:val="009F2A72"/>
    <w:rsid w:val="009F2B92"/>
    <w:rsid w:val="009F2C17"/>
    <w:rsid w:val="009F2CB5"/>
    <w:rsid w:val="009F2CF4"/>
    <w:rsid w:val="009F2D86"/>
    <w:rsid w:val="009F2DB6"/>
    <w:rsid w:val="009F30E9"/>
    <w:rsid w:val="009F30FB"/>
    <w:rsid w:val="009F31B4"/>
    <w:rsid w:val="009F31FE"/>
    <w:rsid w:val="009F3746"/>
    <w:rsid w:val="009F37F0"/>
    <w:rsid w:val="009F3956"/>
    <w:rsid w:val="009F3970"/>
    <w:rsid w:val="009F3A0C"/>
    <w:rsid w:val="009F3A3C"/>
    <w:rsid w:val="009F3A4D"/>
    <w:rsid w:val="009F3A84"/>
    <w:rsid w:val="009F3B02"/>
    <w:rsid w:val="009F3B6E"/>
    <w:rsid w:val="009F3B70"/>
    <w:rsid w:val="009F3E8F"/>
    <w:rsid w:val="009F41A4"/>
    <w:rsid w:val="009F41AC"/>
    <w:rsid w:val="009F41CF"/>
    <w:rsid w:val="009F421F"/>
    <w:rsid w:val="009F4786"/>
    <w:rsid w:val="009F4927"/>
    <w:rsid w:val="009F4AB7"/>
    <w:rsid w:val="009F4BBC"/>
    <w:rsid w:val="009F4C2A"/>
    <w:rsid w:val="009F4C6B"/>
    <w:rsid w:val="009F4EF7"/>
    <w:rsid w:val="009F4FC8"/>
    <w:rsid w:val="009F510A"/>
    <w:rsid w:val="009F531D"/>
    <w:rsid w:val="009F5583"/>
    <w:rsid w:val="009F5843"/>
    <w:rsid w:val="009F592F"/>
    <w:rsid w:val="009F5C6A"/>
    <w:rsid w:val="009F5D41"/>
    <w:rsid w:val="009F60DA"/>
    <w:rsid w:val="009F611B"/>
    <w:rsid w:val="009F6481"/>
    <w:rsid w:val="009F6602"/>
    <w:rsid w:val="009F6631"/>
    <w:rsid w:val="009F6835"/>
    <w:rsid w:val="009F683E"/>
    <w:rsid w:val="009F6862"/>
    <w:rsid w:val="009F6946"/>
    <w:rsid w:val="009F69D2"/>
    <w:rsid w:val="009F69DC"/>
    <w:rsid w:val="009F6C0A"/>
    <w:rsid w:val="009F70BA"/>
    <w:rsid w:val="009F70DA"/>
    <w:rsid w:val="009F71C3"/>
    <w:rsid w:val="009F7314"/>
    <w:rsid w:val="009F73C4"/>
    <w:rsid w:val="009F74E4"/>
    <w:rsid w:val="009F7613"/>
    <w:rsid w:val="009F7684"/>
    <w:rsid w:val="009F76AD"/>
    <w:rsid w:val="009F78A8"/>
    <w:rsid w:val="009F7BE8"/>
    <w:rsid w:val="009F7E52"/>
    <w:rsid w:val="00A001D1"/>
    <w:rsid w:val="00A00288"/>
    <w:rsid w:val="00A00319"/>
    <w:rsid w:val="00A003A3"/>
    <w:rsid w:val="00A00559"/>
    <w:rsid w:val="00A00778"/>
    <w:rsid w:val="00A0089C"/>
    <w:rsid w:val="00A008FF"/>
    <w:rsid w:val="00A01034"/>
    <w:rsid w:val="00A011CF"/>
    <w:rsid w:val="00A013E2"/>
    <w:rsid w:val="00A013E5"/>
    <w:rsid w:val="00A01426"/>
    <w:rsid w:val="00A014DE"/>
    <w:rsid w:val="00A01597"/>
    <w:rsid w:val="00A015FF"/>
    <w:rsid w:val="00A016B5"/>
    <w:rsid w:val="00A016B9"/>
    <w:rsid w:val="00A0175B"/>
    <w:rsid w:val="00A017E0"/>
    <w:rsid w:val="00A018EC"/>
    <w:rsid w:val="00A01913"/>
    <w:rsid w:val="00A01961"/>
    <w:rsid w:val="00A01986"/>
    <w:rsid w:val="00A01B95"/>
    <w:rsid w:val="00A01D28"/>
    <w:rsid w:val="00A01EEE"/>
    <w:rsid w:val="00A01F2D"/>
    <w:rsid w:val="00A01FAC"/>
    <w:rsid w:val="00A01FCA"/>
    <w:rsid w:val="00A020CB"/>
    <w:rsid w:val="00A020DA"/>
    <w:rsid w:val="00A02566"/>
    <w:rsid w:val="00A025FD"/>
    <w:rsid w:val="00A02871"/>
    <w:rsid w:val="00A02AD6"/>
    <w:rsid w:val="00A02CE7"/>
    <w:rsid w:val="00A02CF1"/>
    <w:rsid w:val="00A0332F"/>
    <w:rsid w:val="00A033E6"/>
    <w:rsid w:val="00A036C6"/>
    <w:rsid w:val="00A036F0"/>
    <w:rsid w:val="00A03726"/>
    <w:rsid w:val="00A03B06"/>
    <w:rsid w:val="00A03CD7"/>
    <w:rsid w:val="00A03CDD"/>
    <w:rsid w:val="00A03FD3"/>
    <w:rsid w:val="00A0406A"/>
    <w:rsid w:val="00A0420A"/>
    <w:rsid w:val="00A04258"/>
    <w:rsid w:val="00A0448E"/>
    <w:rsid w:val="00A044C2"/>
    <w:rsid w:val="00A045D5"/>
    <w:rsid w:val="00A045E0"/>
    <w:rsid w:val="00A0471B"/>
    <w:rsid w:val="00A04AF9"/>
    <w:rsid w:val="00A04D31"/>
    <w:rsid w:val="00A04D4D"/>
    <w:rsid w:val="00A05009"/>
    <w:rsid w:val="00A05132"/>
    <w:rsid w:val="00A05181"/>
    <w:rsid w:val="00A05504"/>
    <w:rsid w:val="00A05869"/>
    <w:rsid w:val="00A05880"/>
    <w:rsid w:val="00A058AE"/>
    <w:rsid w:val="00A05941"/>
    <w:rsid w:val="00A05A1A"/>
    <w:rsid w:val="00A05BD1"/>
    <w:rsid w:val="00A05EAA"/>
    <w:rsid w:val="00A05FED"/>
    <w:rsid w:val="00A06600"/>
    <w:rsid w:val="00A06AE8"/>
    <w:rsid w:val="00A06BE3"/>
    <w:rsid w:val="00A06E6D"/>
    <w:rsid w:val="00A07096"/>
    <w:rsid w:val="00A07098"/>
    <w:rsid w:val="00A07169"/>
    <w:rsid w:val="00A07318"/>
    <w:rsid w:val="00A07373"/>
    <w:rsid w:val="00A073BC"/>
    <w:rsid w:val="00A0751E"/>
    <w:rsid w:val="00A078F5"/>
    <w:rsid w:val="00A079C3"/>
    <w:rsid w:val="00A079FB"/>
    <w:rsid w:val="00A07D91"/>
    <w:rsid w:val="00A07F17"/>
    <w:rsid w:val="00A10061"/>
    <w:rsid w:val="00A100B1"/>
    <w:rsid w:val="00A1025E"/>
    <w:rsid w:val="00A10534"/>
    <w:rsid w:val="00A10628"/>
    <w:rsid w:val="00A107B3"/>
    <w:rsid w:val="00A10817"/>
    <w:rsid w:val="00A1081A"/>
    <w:rsid w:val="00A108D5"/>
    <w:rsid w:val="00A10A90"/>
    <w:rsid w:val="00A111BA"/>
    <w:rsid w:val="00A11370"/>
    <w:rsid w:val="00A1146E"/>
    <w:rsid w:val="00A11499"/>
    <w:rsid w:val="00A11540"/>
    <w:rsid w:val="00A11806"/>
    <w:rsid w:val="00A118A0"/>
    <w:rsid w:val="00A118AA"/>
    <w:rsid w:val="00A11A12"/>
    <w:rsid w:val="00A11A3B"/>
    <w:rsid w:val="00A11A9F"/>
    <w:rsid w:val="00A11BE1"/>
    <w:rsid w:val="00A11C07"/>
    <w:rsid w:val="00A11C96"/>
    <w:rsid w:val="00A11F38"/>
    <w:rsid w:val="00A1217F"/>
    <w:rsid w:val="00A1220A"/>
    <w:rsid w:val="00A125D9"/>
    <w:rsid w:val="00A12A34"/>
    <w:rsid w:val="00A12C4D"/>
    <w:rsid w:val="00A12D34"/>
    <w:rsid w:val="00A12DA6"/>
    <w:rsid w:val="00A130B8"/>
    <w:rsid w:val="00A131FC"/>
    <w:rsid w:val="00A13205"/>
    <w:rsid w:val="00A135C2"/>
    <w:rsid w:val="00A13732"/>
    <w:rsid w:val="00A139B6"/>
    <w:rsid w:val="00A139F6"/>
    <w:rsid w:val="00A13AAC"/>
    <w:rsid w:val="00A13B74"/>
    <w:rsid w:val="00A13BAC"/>
    <w:rsid w:val="00A13CAB"/>
    <w:rsid w:val="00A13CB1"/>
    <w:rsid w:val="00A13E32"/>
    <w:rsid w:val="00A1402A"/>
    <w:rsid w:val="00A14314"/>
    <w:rsid w:val="00A14435"/>
    <w:rsid w:val="00A144FD"/>
    <w:rsid w:val="00A147DC"/>
    <w:rsid w:val="00A14878"/>
    <w:rsid w:val="00A14975"/>
    <w:rsid w:val="00A14979"/>
    <w:rsid w:val="00A14A36"/>
    <w:rsid w:val="00A14C52"/>
    <w:rsid w:val="00A1548D"/>
    <w:rsid w:val="00A154E3"/>
    <w:rsid w:val="00A155F9"/>
    <w:rsid w:val="00A15AFD"/>
    <w:rsid w:val="00A15F00"/>
    <w:rsid w:val="00A16167"/>
    <w:rsid w:val="00A161E8"/>
    <w:rsid w:val="00A16438"/>
    <w:rsid w:val="00A166CB"/>
    <w:rsid w:val="00A1684F"/>
    <w:rsid w:val="00A168C2"/>
    <w:rsid w:val="00A16FE6"/>
    <w:rsid w:val="00A16FEF"/>
    <w:rsid w:val="00A17023"/>
    <w:rsid w:val="00A1702A"/>
    <w:rsid w:val="00A17436"/>
    <w:rsid w:val="00A1749C"/>
    <w:rsid w:val="00A174E3"/>
    <w:rsid w:val="00A177B9"/>
    <w:rsid w:val="00A1780E"/>
    <w:rsid w:val="00A1781D"/>
    <w:rsid w:val="00A1789E"/>
    <w:rsid w:val="00A17983"/>
    <w:rsid w:val="00A17A21"/>
    <w:rsid w:val="00A17B28"/>
    <w:rsid w:val="00A17CC8"/>
    <w:rsid w:val="00A17EE7"/>
    <w:rsid w:val="00A201DF"/>
    <w:rsid w:val="00A20439"/>
    <w:rsid w:val="00A20454"/>
    <w:rsid w:val="00A20692"/>
    <w:rsid w:val="00A20A34"/>
    <w:rsid w:val="00A20B44"/>
    <w:rsid w:val="00A20D25"/>
    <w:rsid w:val="00A20EDD"/>
    <w:rsid w:val="00A21017"/>
    <w:rsid w:val="00A2102B"/>
    <w:rsid w:val="00A215EE"/>
    <w:rsid w:val="00A2168D"/>
    <w:rsid w:val="00A2181D"/>
    <w:rsid w:val="00A21A0F"/>
    <w:rsid w:val="00A21A2D"/>
    <w:rsid w:val="00A21B0F"/>
    <w:rsid w:val="00A21B4E"/>
    <w:rsid w:val="00A21C33"/>
    <w:rsid w:val="00A21CFB"/>
    <w:rsid w:val="00A21F43"/>
    <w:rsid w:val="00A220E7"/>
    <w:rsid w:val="00A22221"/>
    <w:rsid w:val="00A224CE"/>
    <w:rsid w:val="00A22522"/>
    <w:rsid w:val="00A22CC0"/>
    <w:rsid w:val="00A22DE9"/>
    <w:rsid w:val="00A22E97"/>
    <w:rsid w:val="00A22ECE"/>
    <w:rsid w:val="00A22F78"/>
    <w:rsid w:val="00A23086"/>
    <w:rsid w:val="00A23123"/>
    <w:rsid w:val="00A23305"/>
    <w:rsid w:val="00A23368"/>
    <w:rsid w:val="00A23496"/>
    <w:rsid w:val="00A2389F"/>
    <w:rsid w:val="00A2395D"/>
    <w:rsid w:val="00A23A12"/>
    <w:rsid w:val="00A23A28"/>
    <w:rsid w:val="00A23AC6"/>
    <w:rsid w:val="00A23C9C"/>
    <w:rsid w:val="00A24066"/>
    <w:rsid w:val="00A24106"/>
    <w:rsid w:val="00A2430C"/>
    <w:rsid w:val="00A24373"/>
    <w:rsid w:val="00A24602"/>
    <w:rsid w:val="00A246CE"/>
    <w:rsid w:val="00A247F9"/>
    <w:rsid w:val="00A24A53"/>
    <w:rsid w:val="00A24AFD"/>
    <w:rsid w:val="00A24BFE"/>
    <w:rsid w:val="00A24E1F"/>
    <w:rsid w:val="00A24F5C"/>
    <w:rsid w:val="00A24FED"/>
    <w:rsid w:val="00A2500C"/>
    <w:rsid w:val="00A250C9"/>
    <w:rsid w:val="00A2523F"/>
    <w:rsid w:val="00A254C5"/>
    <w:rsid w:val="00A256F7"/>
    <w:rsid w:val="00A257D5"/>
    <w:rsid w:val="00A258DA"/>
    <w:rsid w:val="00A25A6E"/>
    <w:rsid w:val="00A25B28"/>
    <w:rsid w:val="00A25CD8"/>
    <w:rsid w:val="00A25D56"/>
    <w:rsid w:val="00A25DDF"/>
    <w:rsid w:val="00A25EE0"/>
    <w:rsid w:val="00A25EE3"/>
    <w:rsid w:val="00A25F30"/>
    <w:rsid w:val="00A2608D"/>
    <w:rsid w:val="00A2610E"/>
    <w:rsid w:val="00A26548"/>
    <w:rsid w:val="00A2668A"/>
    <w:rsid w:val="00A266DE"/>
    <w:rsid w:val="00A268F6"/>
    <w:rsid w:val="00A26989"/>
    <w:rsid w:val="00A2698C"/>
    <w:rsid w:val="00A26A43"/>
    <w:rsid w:val="00A26D02"/>
    <w:rsid w:val="00A27010"/>
    <w:rsid w:val="00A27150"/>
    <w:rsid w:val="00A271C5"/>
    <w:rsid w:val="00A271ED"/>
    <w:rsid w:val="00A27528"/>
    <w:rsid w:val="00A2758E"/>
    <w:rsid w:val="00A275EB"/>
    <w:rsid w:val="00A27784"/>
    <w:rsid w:val="00A278F4"/>
    <w:rsid w:val="00A278F9"/>
    <w:rsid w:val="00A27CEB"/>
    <w:rsid w:val="00A27EBA"/>
    <w:rsid w:val="00A301F9"/>
    <w:rsid w:val="00A30205"/>
    <w:rsid w:val="00A30295"/>
    <w:rsid w:val="00A302EB"/>
    <w:rsid w:val="00A3044F"/>
    <w:rsid w:val="00A30611"/>
    <w:rsid w:val="00A3083C"/>
    <w:rsid w:val="00A30975"/>
    <w:rsid w:val="00A30988"/>
    <w:rsid w:val="00A30B1B"/>
    <w:rsid w:val="00A30CA3"/>
    <w:rsid w:val="00A30D08"/>
    <w:rsid w:val="00A30F5B"/>
    <w:rsid w:val="00A310B0"/>
    <w:rsid w:val="00A31277"/>
    <w:rsid w:val="00A312DB"/>
    <w:rsid w:val="00A313F4"/>
    <w:rsid w:val="00A315FE"/>
    <w:rsid w:val="00A31846"/>
    <w:rsid w:val="00A3192F"/>
    <w:rsid w:val="00A31A2C"/>
    <w:rsid w:val="00A31AFB"/>
    <w:rsid w:val="00A323F4"/>
    <w:rsid w:val="00A32427"/>
    <w:rsid w:val="00A32712"/>
    <w:rsid w:val="00A327BF"/>
    <w:rsid w:val="00A32848"/>
    <w:rsid w:val="00A3287E"/>
    <w:rsid w:val="00A32B32"/>
    <w:rsid w:val="00A32CD0"/>
    <w:rsid w:val="00A32D67"/>
    <w:rsid w:val="00A32E10"/>
    <w:rsid w:val="00A32E60"/>
    <w:rsid w:val="00A32F96"/>
    <w:rsid w:val="00A33198"/>
    <w:rsid w:val="00A332E6"/>
    <w:rsid w:val="00A333BF"/>
    <w:rsid w:val="00A333D5"/>
    <w:rsid w:val="00A33921"/>
    <w:rsid w:val="00A33AC3"/>
    <w:rsid w:val="00A33ACD"/>
    <w:rsid w:val="00A33CA4"/>
    <w:rsid w:val="00A33DF4"/>
    <w:rsid w:val="00A33F07"/>
    <w:rsid w:val="00A33FF1"/>
    <w:rsid w:val="00A341D0"/>
    <w:rsid w:val="00A342F5"/>
    <w:rsid w:val="00A343EC"/>
    <w:rsid w:val="00A34422"/>
    <w:rsid w:val="00A344E1"/>
    <w:rsid w:val="00A34525"/>
    <w:rsid w:val="00A347DB"/>
    <w:rsid w:val="00A348AF"/>
    <w:rsid w:val="00A348FB"/>
    <w:rsid w:val="00A34BC6"/>
    <w:rsid w:val="00A34DD8"/>
    <w:rsid w:val="00A350E0"/>
    <w:rsid w:val="00A3559D"/>
    <w:rsid w:val="00A35817"/>
    <w:rsid w:val="00A35AB3"/>
    <w:rsid w:val="00A36101"/>
    <w:rsid w:val="00A362CD"/>
    <w:rsid w:val="00A362E8"/>
    <w:rsid w:val="00A36321"/>
    <w:rsid w:val="00A36555"/>
    <w:rsid w:val="00A36626"/>
    <w:rsid w:val="00A36BE8"/>
    <w:rsid w:val="00A36C01"/>
    <w:rsid w:val="00A36CBC"/>
    <w:rsid w:val="00A370C3"/>
    <w:rsid w:val="00A37166"/>
    <w:rsid w:val="00A374A0"/>
    <w:rsid w:val="00A376FC"/>
    <w:rsid w:val="00A37A9F"/>
    <w:rsid w:val="00A37AD4"/>
    <w:rsid w:val="00A37B3C"/>
    <w:rsid w:val="00A37B75"/>
    <w:rsid w:val="00A40098"/>
    <w:rsid w:val="00A400DC"/>
    <w:rsid w:val="00A40199"/>
    <w:rsid w:val="00A40203"/>
    <w:rsid w:val="00A402BF"/>
    <w:rsid w:val="00A4040C"/>
    <w:rsid w:val="00A40547"/>
    <w:rsid w:val="00A405EA"/>
    <w:rsid w:val="00A40871"/>
    <w:rsid w:val="00A4090F"/>
    <w:rsid w:val="00A40B0A"/>
    <w:rsid w:val="00A40D50"/>
    <w:rsid w:val="00A40D69"/>
    <w:rsid w:val="00A40DA6"/>
    <w:rsid w:val="00A40EB4"/>
    <w:rsid w:val="00A4113D"/>
    <w:rsid w:val="00A411BA"/>
    <w:rsid w:val="00A4123C"/>
    <w:rsid w:val="00A412AB"/>
    <w:rsid w:val="00A412FB"/>
    <w:rsid w:val="00A4136E"/>
    <w:rsid w:val="00A413EB"/>
    <w:rsid w:val="00A4148C"/>
    <w:rsid w:val="00A414BE"/>
    <w:rsid w:val="00A4153C"/>
    <w:rsid w:val="00A4181D"/>
    <w:rsid w:val="00A4193E"/>
    <w:rsid w:val="00A41960"/>
    <w:rsid w:val="00A41ACA"/>
    <w:rsid w:val="00A41AF6"/>
    <w:rsid w:val="00A41CCA"/>
    <w:rsid w:val="00A41E13"/>
    <w:rsid w:val="00A41F83"/>
    <w:rsid w:val="00A423B0"/>
    <w:rsid w:val="00A425D7"/>
    <w:rsid w:val="00A42738"/>
    <w:rsid w:val="00A42815"/>
    <w:rsid w:val="00A42C91"/>
    <w:rsid w:val="00A42D19"/>
    <w:rsid w:val="00A42DD6"/>
    <w:rsid w:val="00A42EE1"/>
    <w:rsid w:val="00A42F2C"/>
    <w:rsid w:val="00A4305E"/>
    <w:rsid w:val="00A430FE"/>
    <w:rsid w:val="00A431FE"/>
    <w:rsid w:val="00A43356"/>
    <w:rsid w:val="00A43494"/>
    <w:rsid w:val="00A435C7"/>
    <w:rsid w:val="00A436AC"/>
    <w:rsid w:val="00A43730"/>
    <w:rsid w:val="00A439AF"/>
    <w:rsid w:val="00A43A5B"/>
    <w:rsid w:val="00A43AA4"/>
    <w:rsid w:val="00A43AC0"/>
    <w:rsid w:val="00A43B4A"/>
    <w:rsid w:val="00A43EEB"/>
    <w:rsid w:val="00A440E0"/>
    <w:rsid w:val="00A4412F"/>
    <w:rsid w:val="00A441D8"/>
    <w:rsid w:val="00A442EF"/>
    <w:rsid w:val="00A44470"/>
    <w:rsid w:val="00A44515"/>
    <w:rsid w:val="00A445C9"/>
    <w:rsid w:val="00A44756"/>
    <w:rsid w:val="00A44931"/>
    <w:rsid w:val="00A4498E"/>
    <w:rsid w:val="00A44C2A"/>
    <w:rsid w:val="00A451C1"/>
    <w:rsid w:val="00A45362"/>
    <w:rsid w:val="00A45486"/>
    <w:rsid w:val="00A4564D"/>
    <w:rsid w:val="00A45863"/>
    <w:rsid w:val="00A45867"/>
    <w:rsid w:val="00A45B77"/>
    <w:rsid w:val="00A45B8B"/>
    <w:rsid w:val="00A45C64"/>
    <w:rsid w:val="00A45D78"/>
    <w:rsid w:val="00A45E1B"/>
    <w:rsid w:val="00A45ED8"/>
    <w:rsid w:val="00A45F28"/>
    <w:rsid w:val="00A46026"/>
    <w:rsid w:val="00A460C7"/>
    <w:rsid w:val="00A46466"/>
    <w:rsid w:val="00A464AC"/>
    <w:rsid w:val="00A46C13"/>
    <w:rsid w:val="00A46CB0"/>
    <w:rsid w:val="00A46E07"/>
    <w:rsid w:val="00A46F47"/>
    <w:rsid w:val="00A47434"/>
    <w:rsid w:val="00A47533"/>
    <w:rsid w:val="00A47539"/>
    <w:rsid w:val="00A475E6"/>
    <w:rsid w:val="00A4761B"/>
    <w:rsid w:val="00A4768F"/>
    <w:rsid w:val="00A47905"/>
    <w:rsid w:val="00A479B7"/>
    <w:rsid w:val="00A47D81"/>
    <w:rsid w:val="00A47E55"/>
    <w:rsid w:val="00A47E91"/>
    <w:rsid w:val="00A47F5A"/>
    <w:rsid w:val="00A47FFD"/>
    <w:rsid w:val="00A5059B"/>
    <w:rsid w:val="00A50619"/>
    <w:rsid w:val="00A5073B"/>
    <w:rsid w:val="00A50809"/>
    <w:rsid w:val="00A50871"/>
    <w:rsid w:val="00A50943"/>
    <w:rsid w:val="00A509B6"/>
    <w:rsid w:val="00A509C8"/>
    <w:rsid w:val="00A50A38"/>
    <w:rsid w:val="00A50A49"/>
    <w:rsid w:val="00A50B41"/>
    <w:rsid w:val="00A50B55"/>
    <w:rsid w:val="00A50C39"/>
    <w:rsid w:val="00A50C51"/>
    <w:rsid w:val="00A50CD8"/>
    <w:rsid w:val="00A50D14"/>
    <w:rsid w:val="00A50FBA"/>
    <w:rsid w:val="00A510C6"/>
    <w:rsid w:val="00A5119D"/>
    <w:rsid w:val="00A51265"/>
    <w:rsid w:val="00A512A0"/>
    <w:rsid w:val="00A51837"/>
    <w:rsid w:val="00A51862"/>
    <w:rsid w:val="00A519DE"/>
    <w:rsid w:val="00A51D1A"/>
    <w:rsid w:val="00A51DDF"/>
    <w:rsid w:val="00A520B1"/>
    <w:rsid w:val="00A5212F"/>
    <w:rsid w:val="00A52180"/>
    <w:rsid w:val="00A5223F"/>
    <w:rsid w:val="00A5246F"/>
    <w:rsid w:val="00A52521"/>
    <w:rsid w:val="00A528DB"/>
    <w:rsid w:val="00A5292F"/>
    <w:rsid w:val="00A52A8F"/>
    <w:rsid w:val="00A52B1C"/>
    <w:rsid w:val="00A52B8B"/>
    <w:rsid w:val="00A52D2F"/>
    <w:rsid w:val="00A52D75"/>
    <w:rsid w:val="00A5306A"/>
    <w:rsid w:val="00A53142"/>
    <w:rsid w:val="00A5369A"/>
    <w:rsid w:val="00A536A9"/>
    <w:rsid w:val="00A537A2"/>
    <w:rsid w:val="00A53862"/>
    <w:rsid w:val="00A53997"/>
    <w:rsid w:val="00A539D3"/>
    <w:rsid w:val="00A53AE7"/>
    <w:rsid w:val="00A53E93"/>
    <w:rsid w:val="00A53EAE"/>
    <w:rsid w:val="00A53F98"/>
    <w:rsid w:val="00A54096"/>
    <w:rsid w:val="00A5418D"/>
    <w:rsid w:val="00A5419B"/>
    <w:rsid w:val="00A541FA"/>
    <w:rsid w:val="00A542F0"/>
    <w:rsid w:val="00A54330"/>
    <w:rsid w:val="00A545DC"/>
    <w:rsid w:val="00A5474E"/>
    <w:rsid w:val="00A54B05"/>
    <w:rsid w:val="00A54C80"/>
    <w:rsid w:val="00A54D4D"/>
    <w:rsid w:val="00A54DAE"/>
    <w:rsid w:val="00A54DE8"/>
    <w:rsid w:val="00A54F04"/>
    <w:rsid w:val="00A55214"/>
    <w:rsid w:val="00A5551E"/>
    <w:rsid w:val="00A55E83"/>
    <w:rsid w:val="00A55FD6"/>
    <w:rsid w:val="00A5600C"/>
    <w:rsid w:val="00A56416"/>
    <w:rsid w:val="00A564B8"/>
    <w:rsid w:val="00A566E3"/>
    <w:rsid w:val="00A5676E"/>
    <w:rsid w:val="00A56857"/>
    <w:rsid w:val="00A56942"/>
    <w:rsid w:val="00A56948"/>
    <w:rsid w:val="00A569A8"/>
    <w:rsid w:val="00A56D4C"/>
    <w:rsid w:val="00A56DE1"/>
    <w:rsid w:val="00A5708B"/>
    <w:rsid w:val="00A57098"/>
    <w:rsid w:val="00A570F3"/>
    <w:rsid w:val="00A571CB"/>
    <w:rsid w:val="00A572E3"/>
    <w:rsid w:val="00A5745A"/>
    <w:rsid w:val="00A57507"/>
    <w:rsid w:val="00A57645"/>
    <w:rsid w:val="00A5778D"/>
    <w:rsid w:val="00A57A8C"/>
    <w:rsid w:val="00A57D7D"/>
    <w:rsid w:val="00A57F18"/>
    <w:rsid w:val="00A57F36"/>
    <w:rsid w:val="00A60148"/>
    <w:rsid w:val="00A60188"/>
    <w:rsid w:val="00A6022C"/>
    <w:rsid w:val="00A60492"/>
    <w:rsid w:val="00A607FA"/>
    <w:rsid w:val="00A6080C"/>
    <w:rsid w:val="00A60AC5"/>
    <w:rsid w:val="00A60B74"/>
    <w:rsid w:val="00A60BCE"/>
    <w:rsid w:val="00A60C72"/>
    <w:rsid w:val="00A60C89"/>
    <w:rsid w:val="00A60DA1"/>
    <w:rsid w:val="00A60E11"/>
    <w:rsid w:val="00A6100B"/>
    <w:rsid w:val="00A6105C"/>
    <w:rsid w:val="00A612B5"/>
    <w:rsid w:val="00A61473"/>
    <w:rsid w:val="00A6150F"/>
    <w:rsid w:val="00A6163F"/>
    <w:rsid w:val="00A6178F"/>
    <w:rsid w:val="00A61804"/>
    <w:rsid w:val="00A618A1"/>
    <w:rsid w:val="00A61A54"/>
    <w:rsid w:val="00A61B60"/>
    <w:rsid w:val="00A61CFA"/>
    <w:rsid w:val="00A61EC8"/>
    <w:rsid w:val="00A61EE5"/>
    <w:rsid w:val="00A62068"/>
    <w:rsid w:val="00A62184"/>
    <w:rsid w:val="00A622A7"/>
    <w:rsid w:val="00A625E6"/>
    <w:rsid w:val="00A626F0"/>
    <w:rsid w:val="00A626F3"/>
    <w:rsid w:val="00A62712"/>
    <w:rsid w:val="00A6274E"/>
    <w:rsid w:val="00A628AF"/>
    <w:rsid w:val="00A62A9F"/>
    <w:rsid w:val="00A62BF2"/>
    <w:rsid w:val="00A62E05"/>
    <w:rsid w:val="00A63119"/>
    <w:rsid w:val="00A631E9"/>
    <w:rsid w:val="00A63507"/>
    <w:rsid w:val="00A6368A"/>
    <w:rsid w:val="00A6378B"/>
    <w:rsid w:val="00A639D0"/>
    <w:rsid w:val="00A63A2B"/>
    <w:rsid w:val="00A63AB7"/>
    <w:rsid w:val="00A63AF5"/>
    <w:rsid w:val="00A63D31"/>
    <w:rsid w:val="00A63D66"/>
    <w:rsid w:val="00A63E01"/>
    <w:rsid w:val="00A63EFF"/>
    <w:rsid w:val="00A63FF2"/>
    <w:rsid w:val="00A63FF7"/>
    <w:rsid w:val="00A64234"/>
    <w:rsid w:val="00A64374"/>
    <w:rsid w:val="00A6439E"/>
    <w:rsid w:val="00A647CD"/>
    <w:rsid w:val="00A64981"/>
    <w:rsid w:val="00A64AB7"/>
    <w:rsid w:val="00A64DC4"/>
    <w:rsid w:val="00A64E2A"/>
    <w:rsid w:val="00A65357"/>
    <w:rsid w:val="00A654BE"/>
    <w:rsid w:val="00A65642"/>
    <w:rsid w:val="00A65643"/>
    <w:rsid w:val="00A659D5"/>
    <w:rsid w:val="00A659EF"/>
    <w:rsid w:val="00A65B0E"/>
    <w:rsid w:val="00A65B45"/>
    <w:rsid w:val="00A65DBF"/>
    <w:rsid w:val="00A65E95"/>
    <w:rsid w:val="00A65F34"/>
    <w:rsid w:val="00A65F45"/>
    <w:rsid w:val="00A65FCA"/>
    <w:rsid w:val="00A661E7"/>
    <w:rsid w:val="00A663C0"/>
    <w:rsid w:val="00A664E7"/>
    <w:rsid w:val="00A665D8"/>
    <w:rsid w:val="00A66997"/>
    <w:rsid w:val="00A66C1B"/>
    <w:rsid w:val="00A66C3C"/>
    <w:rsid w:val="00A66E7F"/>
    <w:rsid w:val="00A66FA7"/>
    <w:rsid w:val="00A66FB6"/>
    <w:rsid w:val="00A66FDF"/>
    <w:rsid w:val="00A6709B"/>
    <w:rsid w:val="00A6719F"/>
    <w:rsid w:val="00A67203"/>
    <w:rsid w:val="00A6723E"/>
    <w:rsid w:val="00A67359"/>
    <w:rsid w:val="00A673C2"/>
    <w:rsid w:val="00A6783F"/>
    <w:rsid w:val="00A679B2"/>
    <w:rsid w:val="00A67AD2"/>
    <w:rsid w:val="00A67D61"/>
    <w:rsid w:val="00A67DB2"/>
    <w:rsid w:val="00A67EE6"/>
    <w:rsid w:val="00A67FD0"/>
    <w:rsid w:val="00A70038"/>
    <w:rsid w:val="00A70205"/>
    <w:rsid w:val="00A7024D"/>
    <w:rsid w:val="00A702FE"/>
    <w:rsid w:val="00A7037F"/>
    <w:rsid w:val="00A70562"/>
    <w:rsid w:val="00A70629"/>
    <w:rsid w:val="00A70ADF"/>
    <w:rsid w:val="00A70B31"/>
    <w:rsid w:val="00A70B54"/>
    <w:rsid w:val="00A70BB2"/>
    <w:rsid w:val="00A70E75"/>
    <w:rsid w:val="00A7101E"/>
    <w:rsid w:val="00A71067"/>
    <w:rsid w:val="00A710A1"/>
    <w:rsid w:val="00A710DC"/>
    <w:rsid w:val="00A71216"/>
    <w:rsid w:val="00A7123F"/>
    <w:rsid w:val="00A712E3"/>
    <w:rsid w:val="00A7141F"/>
    <w:rsid w:val="00A71466"/>
    <w:rsid w:val="00A714D4"/>
    <w:rsid w:val="00A7159D"/>
    <w:rsid w:val="00A7171F"/>
    <w:rsid w:val="00A7198D"/>
    <w:rsid w:val="00A71A35"/>
    <w:rsid w:val="00A71AA5"/>
    <w:rsid w:val="00A71E33"/>
    <w:rsid w:val="00A7213C"/>
    <w:rsid w:val="00A72313"/>
    <w:rsid w:val="00A7253A"/>
    <w:rsid w:val="00A726F5"/>
    <w:rsid w:val="00A72712"/>
    <w:rsid w:val="00A72802"/>
    <w:rsid w:val="00A72946"/>
    <w:rsid w:val="00A729C6"/>
    <w:rsid w:val="00A729D6"/>
    <w:rsid w:val="00A72ACE"/>
    <w:rsid w:val="00A72B81"/>
    <w:rsid w:val="00A72BC6"/>
    <w:rsid w:val="00A72BDF"/>
    <w:rsid w:val="00A72CE0"/>
    <w:rsid w:val="00A72DA1"/>
    <w:rsid w:val="00A73003"/>
    <w:rsid w:val="00A73069"/>
    <w:rsid w:val="00A731B7"/>
    <w:rsid w:val="00A73212"/>
    <w:rsid w:val="00A73255"/>
    <w:rsid w:val="00A73267"/>
    <w:rsid w:val="00A732B5"/>
    <w:rsid w:val="00A73560"/>
    <w:rsid w:val="00A7357D"/>
    <w:rsid w:val="00A7390C"/>
    <w:rsid w:val="00A73A03"/>
    <w:rsid w:val="00A73A93"/>
    <w:rsid w:val="00A73CA1"/>
    <w:rsid w:val="00A73CDA"/>
    <w:rsid w:val="00A73E06"/>
    <w:rsid w:val="00A73E91"/>
    <w:rsid w:val="00A73F1D"/>
    <w:rsid w:val="00A73FC1"/>
    <w:rsid w:val="00A74049"/>
    <w:rsid w:val="00A7407D"/>
    <w:rsid w:val="00A7437F"/>
    <w:rsid w:val="00A74454"/>
    <w:rsid w:val="00A746D3"/>
    <w:rsid w:val="00A746FE"/>
    <w:rsid w:val="00A74A4D"/>
    <w:rsid w:val="00A74AF7"/>
    <w:rsid w:val="00A74B5E"/>
    <w:rsid w:val="00A74BCB"/>
    <w:rsid w:val="00A74C21"/>
    <w:rsid w:val="00A74D4A"/>
    <w:rsid w:val="00A74EF5"/>
    <w:rsid w:val="00A74FA8"/>
    <w:rsid w:val="00A74FD7"/>
    <w:rsid w:val="00A750FC"/>
    <w:rsid w:val="00A751C1"/>
    <w:rsid w:val="00A751FE"/>
    <w:rsid w:val="00A7528F"/>
    <w:rsid w:val="00A7539F"/>
    <w:rsid w:val="00A754BE"/>
    <w:rsid w:val="00A75662"/>
    <w:rsid w:val="00A757AD"/>
    <w:rsid w:val="00A75995"/>
    <w:rsid w:val="00A75A3B"/>
    <w:rsid w:val="00A75C05"/>
    <w:rsid w:val="00A75DFB"/>
    <w:rsid w:val="00A76044"/>
    <w:rsid w:val="00A76082"/>
    <w:rsid w:val="00A762A6"/>
    <w:rsid w:val="00A7635F"/>
    <w:rsid w:val="00A7653C"/>
    <w:rsid w:val="00A7662D"/>
    <w:rsid w:val="00A76706"/>
    <w:rsid w:val="00A76856"/>
    <w:rsid w:val="00A768C3"/>
    <w:rsid w:val="00A769CC"/>
    <w:rsid w:val="00A76B11"/>
    <w:rsid w:val="00A76E0E"/>
    <w:rsid w:val="00A76EA3"/>
    <w:rsid w:val="00A77003"/>
    <w:rsid w:val="00A770B5"/>
    <w:rsid w:val="00A77140"/>
    <w:rsid w:val="00A7736A"/>
    <w:rsid w:val="00A77466"/>
    <w:rsid w:val="00A7749B"/>
    <w:rsid w:val="00A7784A"/>
    <w:rsid w:val="00A77B5F"/>
    <w:rsid w:val="00A77BCF"/>
    <w:rsid w:val="00A77D09"/>
    <w:rsid w:val="00A77D82"/>
    <w:rsid w:val="00A77DDA"/>
    <w:rsid w:val="00A77EA9"/>
    <w:rsid w:val="00A80118"/>
    <w:rsid w:val="00A802F2"/>
    <w:rsid w:val="00A80359"/>
    <w:rsid w:val="00A804C7"/>
    <w:rsid w:val="00A8052F"/>
    <w:rsid w:val="00A805D1"/>
    <w:rsid w:val="00A80948"/>
    <w:rsid w:val="00A8094C"/>
    <w:rsid w:val="00A80A16"/>
    <w:rsid w:val="00A80B0B"/>
    <w:rsid w:val="00A80D9A"/>
    <w:rsid w:val="00A80FC3"/>
    <w:rsid w:val="00A81123"/>
    <w:rsid w:val="00A811EC"/>
    <w:rsid w:val="00A81296"/>
    <w:rsid w:val="00A812C1"/>
    <w:rsid w:val="00A81418"/>
    <w:rsid w:val="00A81436"/>
    <w:rsid w:val="00A81450"/>
    <w:rsid w:val="00A814DA"/>
    <w:rsid w:val="00A81661"/>
    <w:rsid w:val="00A81BED"/>
    <w:rsid w:val="00A81C87"/>
    <w:rsid w:val="00A81EC4"/>
    <w:rsid w:val="00A820BF"/>
    <w:rsid w:val="00A82135"/>
    <w:rsid w:val="00A824E8"/>
    <w:rsid w:val="00A8265B"/>
    <w:rsid w:val="00A82661"/>
    <w:rsid w:val="00A82B4A"/>
    <w:rsid w:val="00A82D47"/>
    <w:rsid w:val="00A8302E"/>
    <w:rsid w:val="00A8303C"/>
    <w:rsid w:val="00A8311A"/>
    <w:rsid w:val="00A83281"/>
    <w:rsid w:val="00A832DF"/>
    <w:rsid w:val="00A83856"/>
    <w:rsid w:val="00A83889"/>
    <w:rsid w:val="00A838E7"/>
    <w:rsid w:val="00A83BD6"/>
    <w:rsid w:val="00A83C56"/>
    <w:rsid w:val="00A83D3B"/>
    <w:rsid w:val="00A83FCD"/>
    <w:rsid w:val="00A840C9"/>
    <w:rsid w:val="00A841A1"/>
    <w:rsid w:val="00A8439E"/>
    <w:rsid w:val="00A843BE"/>
    <w:rsid w:val="00A846AF"/>
    <w:rsid w:val="00A8474B"/>
    <w:rsid w:val="00A84774"/>
    <w:rsid w:val="00A8477B"/>
    <w:rsid w:val="00A847DA"/>
    <w:rsid w:val="00A84891"/>
    <w:rsid w:val="00A848F8"/>
    <w:rsid w:val="00A84C8B"/>
    <w:rsid w:val="00A84D4F"/>
    <w:rsid w:val="00A84F1A"/>
    <w:rsid w:val="00A84FF1"/>
    <w:rsid w:val="00A852F6"/>
    <w:rsid w:val="00A854CE"/>
    <w:rsid w:val="00A854FD"/>
    <w:rsid w:val="00A855D5"/>
    <w:rsid w:val="00A855DE"/>
    <w:rsid w:val="00A85610"/>
    <w:rsid w:val="00A85795"/>
    <w:rsid w:val="00A8583F"/>
    <w:rsid w:val="00A85930"/>
    <w:rsid w:val="00A85A53"/>
    <w:rsid w:val="00A85C35"/>
    <w:rsid w:val="00A85DF5"/>
    <w:rsid w:val="00A86277"/>
    <w:rsid w:val="00A862F5"/>
    <w:rsid w:val="00A86367"/>
    <w:rsid w:val="00A863C6"/>
    <w:rsid w:val="00A8645A"/>
    <w:rsid w:val="00A86520"/>
    <w:rsid w:val="00A8669A"/>
    <w:rsid w:val="00A866CD"/>
    <w:rsid w:val="00A8699B"/>
    <w:rsid w:val="00A86A48"/>
    <w:rsid w:val="00A86A4A"/>
    <w:rsid w:val="00A86A87"/>
    <w:rsid w:val="00A86BC3"/>
    <w:rsid w:val="00A86C8F"/>
    <w:rsid w:val="00A86CE8"/>
    <w:rsid w:val="00A86E30"/>
    <w:rsid w:val="00A86E3B"/>
    <w:rsid w:val="00A86E87"/>
    <w:rsid w:val="00A86F38"/>
    <w:rsid w:val="00A86F98"/>
    <w:rsid w:val="00A87136"/>
    <w:rsid w:val="00A871B2"/>
    <w:rsid w:val="00A871C0"/>
    <w:rsid w:val="00A874FA"/>
    <w:rsid w:val="00A87664"/>
    <w:rsid w:val="00A876A9"/>
    <w:rsid w:val="00A878EE"/>
    <w:rsid w:val="00A87AB9"/>
    <w:rsid w:val="00A87B89"/>
    <w:rsid w:val="00A87B9E"/>
    <w:rsid w:val="00A87C65"/>
    <w:rsid w:val="00A87CC6"/>
    <w:rsid w:val="00A87D52"/>
    <w:rsid w:val="00A87DE8"/>
    <w:rsid w:val="00A87F21"/>
    <w:rsid w:val="00A900A9"/>
    <w:rsid w:val="00A900C0"/>
    <w:rsid w:val="00A90114"/>
    <w:rsid w:val="00A901E1"/>
    <w:rsid w:val="00A9041B"/>
    <w:rsid w:val="00A9043C"/>
    <w:rsid w:val="00A907C3"/>
    <w:rsid w:val="00A9086D"/>
    <w:rsid w:val="00A908AA"/>
    <w:rsid w:val="00A90AEF"/>
    <w:rsid w:val="00A90F9D"/>
    <w:rsid w:val="00A9112D"/>
    <w:rsid w:val="00A911B6"/>
    <w:rsid w:val="00A911E6"/>
    <w:rsid w:val="00A9122B"/>
    <w:rsid w:val="00A912F2"/>
    <w:rsid w:val="00A914F2"/>
    <w:rsid w:val="00A91555"/>
    <w:rsid w:val="00A91901"/>
    <w:rsid w:val="00A91CCB"/>
    <w:rsid w:val="00A91D9D"/>
    <w:rsid w:val="00A9221F"/>
    <w:rsid w:val="00A92380"/>
    <w:rsid w:val="00A92471"/>
    <w:rsid w:val="00A925DD"/>
    <w:rsid w:val="00A926FF"/>
    <w:rsid w:val="00A92720"/>
    <w:rsid w:val="00A9282E"/>
    <w:rsid w:val="00A9292C"/>
    <w:rsid w:val="00A92954"/>
    <w:rsid w:val="00A929B6"/>
    <w:rsid w:val="00A92ADF"/>
    <w:rsid w:val="00A92B1A"/>
    <w:rsid w:val="00A92BF3"/>
    <w:rsid w:val="00A93050"/>
    <w:rsid w:val="00A93579"/>
    <w:rsid w:val="00A935AD"/>
    <w:rsid w:val="00A935E9"/>
    <w:rsid w:val="00A936D0"/>
    <w:rsid w:val="00A938C2"/>
    <w:rsid w:val="00A93AA1"/>
    <w:rsid w:val="00A93AF0"/>
    <w:rsid w:val="00A93DD8"/>
    <w:rsid w:val="00A94101"/>
    <w:rsid w:val="00A941A9"/>
    <w:rsid w:val="00A9436B"/>
    <w:rsid w:val="00A943C5"/>
    <w:rsid w:val="00A943E2"/>
    <w:rsid w:val="00A94473"/>
    <w:rsid w:val="00A94499"/>
    <w:rsid w:val="00A9466A"/>
    <w:rsid w:val="00A94763"/>
    <w:rsid w:val="00A94B74"/>
    <w:rsid w:val="00A94E87"/>
    <w:rsid w:val="00A94E96"/>
    <w:rsid w:val="00A950CE"/>
    <w:rsid w:val="00A951B0"/>
    <w:rsid w:val="00A9526C"/>
    <w:rsid w:val="00A95317"/>
    <w:rsid w:val="00A95374"/>
    <w:rsid w:val="00A955CC"/>
    <w:rsid w:val="00A95698"/>
    <w:rsid w:val="00A95773"/>
    <w:rsid w:val="00A958CB"/>
    <w:rsid w:val="00A95918"/>
    <w:rsid w:val="00A9591D"/>
    <w:rsid w:val="00A95F46"/>
    <w:rsid w:val="00A96313"/>
    <w:rsid w:val="00A96328"/>
    <w:rsid w:val="00A9642A"/>
    <w:rsid w:val="00A964A7"/>
    <w:rsid w:val="00A967FD"/>
    <w:rsid w:val="00A9683B"/>
    <w:rsid w:val="00A96986"/>
    <w:rsid w:val="00A970B4"/>
    <w:rsid w:val="00A97135"/>
    <w:rsid w:val="00A971CD"/>
    <w:rsid w:val="00A97270"/>
    <w:rsid w:val="00A97277"/>
    <w:rsid w:val="00A9729A"/>
    <w:rsid w:val="00A974D3"/>
    <w:rsid w:val="00A975E8"/>
    <w:rsid w:val="00A976B7"/>
    <w:rsid w:val="00A977E5"/>
    <w:rsid w:val="00A97A6B"/>
    <w:rsid w:val="00A97ACF"/>
    <w:rsid w:val="00A97B26"/>
    <w:rsid w:val="00A97B4B"/>
    <w:rsid w:val="00A97C38"/>
    <w:rsid w:val="00A97CB0"/>
    <w:rsid w:val="00A97F21"/>
    <w:rsid w:val="00A9CB47"/>
    <w:rsid w:val="00AA0230"/>
    <w:rsid w:val="00AA0348"/>
    <w:rsid w:val="00AA0399"/>
    <w:rsid w:val="00AA06C8"/>
    <w:rsid w:val="00AA072B"/>
    <w:rsid w:val="00AA07F2"/>
    <w:rsid w:val="00AA0815"/>
    <w:rsid w:val="00AA0F4F"/>
    <w:rsid w:val="00AA0FDF"/>
    <w:rsid w:val="00AA14AF"/>
    <w:rsid w:val="00AA14C1"/>
    <w:rsid w:val="00AA160C"/>
    <w:rsid w:val="00AA16F1"/>
    <w:rsid w:val="00AA183B"/>
    <w:rsid w:val="00AA1C69"/>
    <w:rsid w:val="00AA1D3D"/>
    <w:rsid w:val="00AA1FAF"/>
    <w:rsid w:val="00AA1FB0"/>
    <w:rsid w:val="00AA22E9"/>
    <w:rsid w:val="00AA2355"/>
    <w:rsid w:val="00AA24C3"/>
    <w:rsid w:val="00AA25B7"/>
    <w:rsid w:val="00AA2648"/>
    <w:rsid w:val="00AA2894"/>
    <w:rsid w:val="00AA29D2"/>
    <w:rsid w:val="00AA2C9E"/>
    <w:rsid w:val="00AA2DE5"/>
    <w:rsid w:val="00AA2ED7"/>
    <w:rsid w:val="00AA2FCC"/>
    <w:rsid w:val="00AA3234"/>
    <w:rsid w:val="00AA34BD"/>
    <w:rsid w:val="00AA35DE"/>
    <w:rsid w:val="00AA36DA"/>
    <w:rsid w:val="00AA3A78"/>
    <w:rsid w:val="00AA3AAF"/>
    <w:rsid w:val="00AA3B91"/>
    <w:rsid w:val="00AA3DE2"/>
    <w:rsid w:val="00AA3E27"/>
    <w:rsid w:val="00AA404A"/>
    <w:rsid w:val="00AA4181"/>
    <w:rsid w:val="00AA4219"/>
    <w:rsid w:val="00AA443D"/>
    <w:rsid w:val="00AA462C"/>
    <w:rsid w:val="00AA4837"/>
    <w:rsid w:val="00AA4844"/>
    <w:rsid w:val="00AA4BCC"/>
    <w:rsid w:val="00AA4C6C"/>
    <w:rsid w:val="00AA4EBB"/>
    <w:rsid w:val="00AA52B0"/>
    <w:rsid w:val="00AA5335"/>
    <w:rsid w:val="00AA541D"/>
    <w:rsid w:val="00AA5534"/>
    <w:rsid w:val="00AA55EA"/>
    <w:rsid w:val="00AA567D"/>
    <w:rsid w:val="00AA5701"/>
    <w:rsid w:val="00AA5842"/>
    <w:rsid w:val="00AA584E"/>
    <w:rsid w:val="00AA5992"/>
    <w:rsid w:val="00AA5B0C"/>
    <w:rsid w:val="00AA5C7A"/>
    <w:rsid w:val="00AA5E7D"/>
    <w:rsid w:val="00AA6213"/>
    <w:rsid w:val="00AA6284"/>
    <w:rsid w:val="00AA6718"/>
    <w:rsid w:val="00AA697A"/>
    <w:rsid w:val="00AA6BD5"/>
    <w:rsid w:val="00AA6BE0"/>
    <w:rsid w:val="00AA6BF0"/>
    <w:rsid w:val="00AA6C12"/>
    <w:rsid w:val="00AA6C14"/>
    <w:rsid w:val="00AA6DDC"/>
    <w:rsid w:val="00AA6F6D"/>
    <w:rsid w:val="00AA6FF0"/>
    <w:rsid w:val="00AA720F"/>
    <w:rsid w:val="00AA725F"/>
    <w:rsid w:val="00AA7414"/>
    <w:rsid w:val="00AA7950"/>
    <w:rsid w:val="00AA7AA5"/>
    <w:rsid w:val="00AA7CAD"/>
    <w:rsid w:val="00AA7DAE"/>
    <w:rsid w:val="00AA7E35"/>
    <w:rsid w:val="00AB0144"/>
    <w:rsid w:val="00AB0255"/>
    <w:rsid w:val="00AB02F9"/>
    <w:rsid w:val="00AB03C4"/>
    <w:rsid w:val="00AB046D"/>
    <w:rsid w:val="00AB0642"/>
    <w:rsid w:val="00AB0869"/>
    <w:rsid w:val="00AB0950"/>
    <w:rsid w:val="00AB0A8E"/>
    <w:rsid w:val="00AB0C06"/>
    <w:rsid w:val="00AB0D86"/>
    <w:rsid w:val="00AB0E9E"/>
    <w:rsid w:val="00AB0EC2"/>
    <w:rsid w:val="00AB1058"/>
    <w:rsid w:val="00AB10F3"/>
    <w:rsid w:val="00AB1221"/>
    <w:rsid w:val="00AB13C6"/>
    <w:rsid w:val="00AB1486"/>
    <w:rsid w:val="00AB14DA"/>
    <w:rsid w:val="00AB156C"/>
    <w:rsid w:val="00AB15EC"/>
    <w:rsid w:val="00AB162A"/>
    <w:rsid w:val="00AB1A5C"/>
    <w:rsid w:val="00AB1B12"/>
    <w:rsid w:val="00AB208D"/>
    <w:rsid w:val="00AB209B"/>
    <w:rsid w:val="00AB210E"/>
    <w:rsid w:val="00AB216E"/>
    <w:rsid w:val="00AB266E"/>
    <w:rsid w:val="00AB27C0"/>
    <w:rsid w:val="00AB2AD9"/>
    <w:rsid w:val="00AB2B25"/>
    <w:rsid w:val="00AB2E7D"/>
    <w:rsid w:val="00AB30B6"/>
    <w:rsid w:val="00AB30B7"/>
    <w:rsid w:val="00AB319E"/>
    <w:rsid w:val="00AB31F6"/>
    <w:rsid w:val="00AB3485"/>
    <w:rsid w:val="00AB3604"/>
    <w:rsid w:val="00AB36DA"/>
    <w:rsid w:val="00AB3D37"/>
    <w:rsid w:val="00AB3FF0"/>
    <w:rsid w:val="00AB4142"/>
    <w:rsid w:val="00AB44F2"/>
    <w:rsid w:val="00AB45E3"/>
    <w:rsid w:val="00AB46EB"/>
    <w:rsid w:val="00AB499C"/>
    <w:rsid w:val="00AB49D2"/>
    <w:rsid w:val="00AB4A3F"/>
    <w:rsid w:val="00AB4ADA"/>
    <w:rsid w:val="00AB4B30"/>
    <w:rsid w:val="00AB4B40"/>
    <w:rsid w:val="00AB4D9E"/>
    <w:rsid w:val="00AB5145"/>
    <w:rsid w:val="00AB517E"/>
    <w:rsid w:val="00AB5190"/>
    <w:rsid w:val="00AB532B"/>
    <w:rsid w:val="00AB5517"/>
    <w:rsid w:val="00AB555C"/>
    <w:rsid w:val="00AB5A6F"/>
    <w:rsid w:val="00AB5AE3"/>
    <w:rsid w:val="00AB5BF2"/>
    <w:rsid w:val="00AB5CD7"/>
    <w:rsid w:val="00AB5CD9"/>
    <w:rsid w:val="00AB5D00"/>
    <w:rsid w:val="00AB5FD4"/>
    <w:rsid w:val="00AB5FFE"/>
    <w:rsid w:val="00AB6093"/>
    <w:rsid w:val="00AB639B"/>
    <w:rsid w:val="00AB65AB"/>
    <w:rsid w:val="00AB6814"/>
    <w:rsid w:val="00AB6859"/>
    <w:rsid w:val="00AB6A14"/>
    <w:rsid w:val="00AB6C89"/>
    <w:rsid w:val="00AB6CAD"/>
    <w:rsid w:val="00AB6DBA"/>
    <w:rsid w:val="00AB6E4C"/>
    <w:rsid w:val="00AB6FF7"/>
    <w:rsid w:val="00AB7039"/>
    <w:rsid w:val="00AB708F"/>
    <w:rsid w:val="00AB70A1"/>
    <w:rsid w:val="00AB73B8"/>
    <w:rsid w:val="00AB74D2"/>
    <w:rsid w:val="00AB7814"/>
    <w:rsid w:val="00AB7A72"/>
    <w:rsid w:val="00AB7BAB"/>
    <w:rsid w:val="00AB7BAD"/>
    <w:rsid w:val="00AB7D29"/>
    <w:rsid w:val="00AB7D6C"/>
    <w:rsid w:val="00AB7DF7"/>
    <w:rsid w:val="00AC0459"/>
    <w:rsid w:val="00AC04BA"/>
    <w:rsid w:val="00AC04FD"/>
    <w:rsid w:val="00AC0522"/>
    <w:rsid w:val="00AC0659"/>
    <w:rsid w:val="00AC09FC"/>
    <w:rsid w:val="00AC0C73"/>
    <w:rsid w:val="00AC0E39"/>
    <w:rsid w:val="00AC0E91"/>
    <w:rsid w:val="00AC0F4E"/>
    <w:rsid w:val="00AC146C"/>
    <w:rsid w:val="00AC14A1"/>
    <w:rsid w:val="00AC1538"/>
    <w:rsid w:val="00AC15DD"/>
    <w:rsid w:val="00AC163C"/>
    <w:rsid w:val="00AC1890"/>
    <w:rsid w:val="00AC19D0"/>
    <w:rsid w:val="00AC1BFE"/>
    <w:rsid w:val="00AC1D78"/>
    <w:rsid w:val="00AC1F66"/>
    <w:rsid w:val="00AC21A0"/>
    <w:rsid w:val="00AC2213"/>
    <w:rsid w:val="00AC22BC"/>
    <w:rsid w:val="00AC23C4"/>
    <w:rsid w:val="00AC254F"/>
    <w:rsid w:val="00AC25A3"/>
    <w:rsid w:val="00AC2832"/>
    <w:rsid w:val="00AC2ACC"/>
    <w:rsid w:val="00AC2C8E"/>
    <w:rsid w:val="00AC2D11"/>
    <w:rsid w:val="00AC2D88"/>
    <w:rsid w:val="00AC2D8F"/>
    <w:rsid w:val="00AC2F34"/>
    <w:rsid w:val="00AC31FA"/>
    <w:rsid w:val="00AC3460"/>
    <w:rsid w:val="00AC352C"/>
    <w:rsid w:val="00AC358F"/>
    <w:rsid w:val="00AC3977"/>
    <w:rsid w:val="00AC3ADE"/>
    <w:rsid w:val="00AC3B25"/>
    <w:rsid w:val="00AC3C8D"/>
    <w:rsid w:val="00AC3CCB"/>
    <w:rsid w:val="00AC3DD1"/>
    <w:rsid w:val="00AC3EDA"/>
    <w:rsid w:val="00AC4219"/>
    <w:rsid w:val="00AC435A"/>
    <w:rsid w:val="00AC436A"/>
    <w:rsid w:val="00AC451F"/>
    <w:rsid w:val="00AC489A"/>
    <w:rsid w:val="00AC496E"/>
    <w:rsid w:val="00AC4A56"/>
    <w:rsid w:val="00AC4C15"/>
    <w:rsid w:val="00AC4D62"/>
    <w:rsid w:val="00AC4F16"/>
    <w:rsid w:val="00AC500C"/>
    <w:rsid w:val="00AC5039"/>
    <w:rsid w:val="00AC514C"/>
    <w:rsid w:val="00AC5321"/>
    <w:rsid w:val="00AC5477"/>
    <w:rsid w:val="00AC5660"/>
    <w:rsid w:val="00AC5713"/>
    <w:rsid w:val="00AC5748"/>
    <w:rsid w:val="00AC57CE"/>
    <w:rsid w:val="00AC5910"/>
    <w:rsid w:val="00AC591D"/>
    <w:rsid w:val="00AC5D58"/>
    <w:rsid w:val="00AC5E5E"/>
    <w:rsid w:val="00AC5FFE"/>
    <w:rsid w:val="00AC6B71"/>
    <w:rsid w:val="00AC6BD1"/>
    <w:rsid w:val="00AC6C1C"/>
    <w:rsid w:val="00AC6D44"/>
    <w:rsid w:val="00AC6D61"/>
    <w:rsid w:val="00AC6DE6"/>
    <w:rsid w:val="00AC6E69"/>
    <w:rsid w:val="00AC6F04"/>
    <w:rsid w:val="00AC6F21"/>
    <w:rsid w:val="00AC706B"/>
    <w:rsid w:val="00AC72AB"/>
    <w:rsid w:val="00AC72FD"/>
    <w:rsid w:val="00AC74F4"/>
    <w:rsid w:val="00AC7A3F"/>
    <w:rsid w:val="00AC7A78"/>
    <w:rsid w:val="00AC7D47"/>
    <w:rsid w:val="00AC7E09"/>
    <w:rsid w:val="00AC7E45"/>
    <w:rsid w:val="00AC7F3E"/>
    <w:rsid w:val="00AD00B5"/>
    <w:rsid w:val="00AD00F0"/>
    <w:rsid w:val="00AD01FF"/>
    <w:rsid w:val="00AD03C4"/>
    <w:rsid w:val="00AD03CD"/>
    <w:rsid w:val="00AD06B5"/>
    <w:rsid w:val="00AD082D"/>
    <w:rsid w:val="00AD09C0"/>
    <w:rsid w:val="00AD0A0F"/>
    <w:rsid w:val="00AD0C62"/>
    <w:rsid w:val="00AD0E65"/>
    <w:rsid w:val="00AD1049"/>
    <w:rsid w:val="00AD11A5"/>
    <w:rsid w:val="00AD122C"/>
    <w:rsid w:val="00AD12A3"/>
    <w:rsid w:val="00AD149A"/>
    <w:rsid w:val="00AD156F"/>
    <w:rsid w:val="00AD1610"/>
    <w:rsid w:val="00AD16B8"/>
    <w:rsid w:val="00AD1966"/>
    <w:rsid w:val="00AD19C8"/>
    <w:rsid w:val="00AD1AF3"/>
    <w:rsid w:val="00AD1DC1"/>
    <w:rsid w:val="00AD1E3B"/>
    <w:rsid w:val="00AD1FC2"/>
    <w:rsid w:val="00AD212F"/>
    <w:rsid w:val="00AD218B"/>
    <w:rsid w:val="00AD220E"/>
    <w:rsid w:val="00AD24A6"/>
    <w:rsid w:val="00AD24F6"/>
    <w:rsid w:val="00AD2551"/>
    <w:rsid w:val="00AD258A"/>
    <w:rsid w:val="00AD2595"/>
    <w:rsid w:val="00AD2637"/>
    <w:rsid w:val="00AD2850"/>
    <w:rsid w:val="00AD29A8"/>
    <w:rsid w:val="00AD29B7"/>
    <w:rsid w:val="00AD2A0E"/>
    <w:rsid w:val="00AD2B1E"/>
    <w:rsid w:val="00AD2CA5"/>
    <w:rsid w:val="00AD2CC9"/>
    <w:rsid w:val="00AD2CFB"/>
    <w:rsid w:val="00AD2DA2"/>
    <w:rsid w:val="00AD2DC2"/>
    <w:rsid w:val="00AD2E87"/>
    <w:rsid w:val="00AD3082"/>
    <w:rsid w:val="00AD32B4"/>
    <w:rsid w:val="00AD32D7"/>
    <w:rsid w:val="00AD33EA"/>
    <w:rsid w:val="00AD35D8"/>
    <w:rsid w:val="00AD3603"/>
    <w:rsid w:val="00AD3922"/>
    <w:rsid w:val="00AD3928"/>
    <w:rsid w:val="00AD3D70"/>
    <w:rsid w:val="00AD3E92"/>
    <w:rsid w:val="00AD3FF1"/>
    <w:rsid w:val="00AD421F"/>
    <w:rsid w:val="00AD460A"/>
    <w:rsid w:val="00AD460C"/>
    <w:rsid w:val="00AD4A1B"/>
    <w:rsid w:val="00AD4A2C"/>
    <w:rsid w:val="00AD4A88"/>
    <w:rsid w:val="00AD4AD0"/>
    <w:rsid w:val="00AD4B3E"/>
    <w:rsid w:val="00AD4B92"/>
    <w:rsid w:val="00AD4CA1"/>
    <w:rsid w:val="00AD4CCC"/>
    <w:rsid w:val="00AD4CE8"/>
    <w:rsid w:val="00AD4F06"/>
    <w:rsid w:val="00AD4FD3"/>
    <w:rsid w:val="00AD5209"/>
    <w:rsid w:val="00AD5342"/>
    <w:rsid w:val="00AD5436"/>
    <w:rsid w:val="00AD5458"/>
    <w:rsid w:val="00AD548A"/>
    <w:rsid w:val="00AD5756"/>
    <w:rsid w:val="00AD57E1"/>
    <w:rsid w:val="00AD5C78"/>
    <w:rsid w:val="00AD5CEC"/>
    <w:rsid w:val="00AD5D81"/>
    <w:rsid w:val="00AD5DE3"/>
    <w:rsid w:val="00AD5ED8"/>
    <w:rsid w:val="00AD60CD"/>
    <w:rsid w:val="00AD636A"/>
    <w:rsid w:val="00AD63DE"/>
    <w:rsid w:val="00AD63F0"/>
    <w:rsid w:val="00AD6582"/>
    <w:rsid w:val="00AD666D"/>
    <w:rsid w:val="00AD6672"/>
    <w:rsid w:val="00AD69CC"/>
    <w:rsid w:val="00AD6AAD"/>
    <w:rsid w:val="00AD6C8C"/>
    <w:rsid w:val="00AD6D26"/>
    <w:rsid w:val="00AD6D2F"/>
    <w:rsid w:val="00AD6E15"/>
    <w:rsid w:val="00AD6E9F"/>
    <w:rsid w:val="00AD7417"/>
    <w:rsid w:val="00AD7610"/>
    <w:rsid w:val="00AD775F"/>
    <w:rsid w:val="00AD799F"/>
    <w:rsid w:val="00AD7BF9"/>
    <w:rsid w:val="00AD7C92"/>
    <w:rsid w:val="00AD7D48"/>
    <w:rsid w:val="00AD7D5B"/>
    <w:rsid w:val="00AD7E41"/>
    <w:rsid w:val="00AE0055"/>
    <w:rsid w:val="00AE00AD"/>
    <w:rsid w:val="00AE0656"/>
    <w:rsid w:val="00AE06B8"/>
    <w:rsid w:val="00AE091D"/>
    <w:rsid w:val="00AE0990"/>
    <w:rsid w:val="00AE12DF"/>
    <w:rsid w:val="00AE1439"/>
    <w:rsid w:val="00AE15FC"/>
    <w:rsid w:val="00AE1632"/>
    <w:rsid w:val="00AE1BF6"/>
    <w:rsid w:val="00AE1DA8"/>
    <w:rsid w:val="00AE1F7E"/>
    <w:rsid w:val="00AE1FCB"/>
    <w:rsid w:val="00AE204E"/>
    <w:rsid w:val="00AE209D"/>
    <w:rsid w:val="00AE21D7"/>
    <w:rsid w:val="00AE21E0"/>
    <w:rsid w:val="00AE2333"/>
    <w:rsid w:val="00AE2344"/>
    <w:rsid w:val="00AE23DE"/>
    <w:rsid w:val="00AE246E"/>
    <w:rsid w:val="00AE263E"/>
    <w:rsid w:val="00AE263F"/>
    <w:rsid w:val="00AE275B"/>
    <w:rsid w:val="00AE28A9"/>
    <w:rsid w:val="00AE2D41"/>
    <w:rsid w:val="00AE2F0C"/>
    <w:rsid w:val="00AE3147"/>
    <w:rsid w:val="00AE3382"/>
    <w:rsid w:val="00AE3768"/>
    <w:rsid w:val="00AE3771"/>
    <w:rsid w:val="00AE3B60"/>
    <w:rsid w:val="00AE3B8C"/>
    <w:rsid w:val="00AE3BF7"/>
    <w:rsid w:val="00AE3C99"/>
    <w:rsid w:val="00AE3E2E"/>
    <w:rsid w:val="00AE3E62"/>
    <w:rsid w:val="00AE3E8C"/>
    <w:rsid w:val="00AE3F14"/>
    <w:rsid w:val="00AE3F1C"/>
    <w:rsid w:val="00AE3F51"/>
    <w:rsid w:val="00AE3F84"/>
    <w:rsid w:val="00AE3FEB"/>
    <w:rsid w:val="00AE42C8"/>
    <w:rsid w:val="00AE46DE"/>
    <w:rsid w:val="00AE4703"/>
    <w:rsid w:val="00AE4769"/>
    <w:rsid w:val="00AE488A"/>
    <w:rsid w:val="00AE49C0"/>
    <w:rsid w:val="00AE49EC"/>
    <w:rsid w:val="00AE4A6B"/>
    <w:rsid w:val="00AE4BF2"/>
    <w:rsid w:val="00AE4E16"/>
    <w:rsid w:val="00AE4F3B"/>
    <w:rsid w:val="00AE4F4D"/>
    <w:rsid w:val="00AE52C3"/>
    <w:rsid w:val="00AE53A1"/>
    <w:rsid w:val="00AE5426"/>
    <w:rsid w:val="00AE5484"/>
    <w:rsid w:val="00AE55D1"/>
    <w:rsid w:val="00AE5662"/>
    <w:rsid w:val="00AE566C"/>
    <w:rsid w:val="00AE568B"/>
    <w:rsid w:val="00AE56B9"/>
    <w:rsid w:val="00AE572E"/>
    <w:rsid w:val="00AE578A"/>
    <w:rsid w:val="00AE5A5F"/>
    <w:rsid w:val="00AE5FF3"/>
    <w:rsid w:val="00AE6079"/>
    <w:rsid w:val="00AE623F"/>
    <w:rsid w:val="00AE62BB"/>
    <w:rsid w:val="00AE62D0"/>
    <w:rsid w:val="00AE631C"/>
    <w:rsid w:val="00AE6339"/>
    <w:rsid w:val="00AE6442"/>
    <w:rsid w:val="00AE6588"/>
    <w:rsid w:val="00AE674D"/>
    <w:rsid w:val="00AE67C1"/>
    <w:rsid w:val="00AE6979"/>
    <w:rsid w:val="00AE6A17"/>
    <w:rsid w:val="00AE6ADE"/>
    <w:rsid w:val="00AE6D56"/>
    <w:rsid w:val="00AE709A"/>
    <w:rsid w:val="00AE70F7"/>
    <w:rsid w:val="00AE73EA"/>
    <w:rsid w:val="00AE73EB"/>
    <w:rsid w:val="00AE75F2"/>
    <w:rsid w:val="00AE7659"/>
    <w:rsid w:val="00AE7834"/>
    <w:rsid w:val="00AE7AFB"/>
    <w:rsid w:val="00AE7B3F"/>
    <w:rsid w:val="00AE7C9A"/>
    <w:rsid w:val="00AE7E46"/>
    <w:rsid w:val="00AF0069"/>
    <w:rsid w:val="00AF03CB"/>
    <w:rsid w:val="00AF049F"/>
    <w:rsid w:val="00AF0668"/>
    <w:rsid w:val="00AF086C"/>
    <w:rsid w:val="00AF091F"/>
    <w:rsid w:val="00AF0B27"/>
    <w:rsid w:val="00AF0EBE"/>
    <w:rsid w:val="00AF0F61"/>
    <w:rsid w:val="00AF0FC7"/>
    <w:rsid w:val="00AF10A7"/>
    <w:rsid w:val="00AF12E6"/>
    <w:rsid w:val="00AF12F7"/>
    <w:rsid w:val="00AF1464"/>
    <w:rsid w:val="00AF14E4"/>
    <w:rsid w:val="00AF151D"/>
    <w:rsid w:val="00AF1524"/>
    <w:rsid w:val="00AF15AE"/>
    <w:rsid w:val="00AF1CC3"/>
    <w:rsid w:val="00AF1E6B"/>
    <w:rsid w:val="00AF1E71"/>
    <w:rsid w:val="00AF1EB8"/>
    <w:rsid w:val="00AF1EC3"/>
    <w:rsid w:val="00AF20DB"/>
    <w:rsid w:val="00AF246B"/>
    <w:rsid w:val="00AF2484"/>
    <w:rsid w:val="00AF254B"/>
    <w:rsid w:val="00AF25DE"/>
    <w:rsid w:val="00AF2629"/>
    <w:rsid w:val="00AF267A"/>
    <w:rsid w:val="00AF278B"/>
    <w:rsid w:val="00AF2835"/>
    <w:rsid w:val="00AF2BFD"/>
    <w:rsid w:val="00AF2D89"/>
    <w:rsid w:val="00AF2FE2"/>
    <w:rsid w:val="00AF30CB"/>
    <w:rsid w:val="00AF31F3"/>
    <w:rsid w:val="00AF3284"/>
    <w:rsid w:val="00AF34B5"/>
    <w:rsid w:val="00AF3958"/>
    <w:rsid w:val="00AF39DA"/>
    <w:rsid w:val="00AF3D3F"/>
    <w:rsid w:val="00AF3FAB"/>
    <w:rsid w:val="00AF40AD"/>
    <w:rsid w:val="00AF40B0"/>
    <w:rsid w:val="00AF40D5"/>
    <w:rsid w:val="00AF437E"/>
    <w:rsid w:val="00AF4493"/>
    <w:rsid w:val="00AF44A0"/>
    <w:rsid w:val="00AF459D"/>
    <w:rsid w:val="00AF4825"/>
    <w:rsid w:val="00AF48F3"/>
    <w:rsid w:val="00AF4D6E"/>
    <w:rsid w:val="00AF4E0A"/>
    <w:rsid w:val="00AF4F13"/>
    <w:rsid w:val="00AF548A"/>
    <w:rsid w:val="00AF5503"/>
    <w:rsid w:val="00AF5556"/>
    <w:rsid w:val="00AF57BD"/>
    <w:rsid w:val="00AF57BE"/>
    <w:rsid w:val="00AF586A"/>
    <w:rsid w:val="00AF5B0F"/>
    <w:rsid w:val="00AF5D13"/>
    <w:rsid w:val="00AF5D4B"/>
    <w:rsid w:val="00AF5EB6"/>
    <w:rsid w:val="00AF629A"/>
    <w:rsid w:val="00AF63E7"/>
    <w:rsid w:val="00AF6668"/>
    <w:rsid w:val="00AF68B9"/>
    <w:rsid w:val="00AF6AF3"/>
    <w:rsid w:val="00AF6BFF"/>
    <w:rsid w:val="00AF6CA9"/>
    <w:rsid w:val="00AF6D77"/>
    <w:rsid w:val="00AF6E17"/>
    <w:rsid w:val="00AF7123"/>
    <w:rsid w:val="00AF71C5"/>
    <w:rsid w:val="00AF720D"/>
    <w:rsid w:val="00AF72F1"/>
    <w:rsid w:val="00AF7387"/>
    <w:rsid w:val="00AF7615"/>
    <w:rsid w:val="00AF785E"/>
    <w:rsid w:val="00AF7A4A"/>
    <w:rsid w:val="00AF7A5E"/>
    <w:rsid w:val="00AF7AEB"/>
    <w:rsid w:val="00AF7C58"/>
    <w:rsid w:val="00AF7D03"/>
    <w:rsid w:val="00AF7E16"/>
    <w:rsid w:val="00AF7EE5"/>
    <w:rsid w:val="00B000AC"/>
    <w:rsid w:val="00B000E4"/>
    <w:rsid w:val="00B0029A"/>
    <w:rsid w:val="00B0038A"/>
    <w:rsid w:val="00B003D7"/>
    <w:rsid w:val="00B00517"/>
    <w:rsid w:val="00B005BC"/>
    <w:rsid w:val="00B007FF"/>
    <w:rsid w:val="00B008AA"/>
    <w:rsid w:val="00B008F9"/>
    <w:rsid w:val="00B008FC"/>
    <w:rsid w:val="00B00C91"/>
    <w:rsid w:val="00B00D78"/>
    <w:rsid w:val="00B00D96"/>
    <w:rsid w:val="00B00DB1"/>
    <w:rsid w:val="00B01160"/>
    <w:rsid w:val="00B0123E"/>
    <w:rsid w:val="00B01383"/>
    <w:rsid w:val="00B01524"/>
    <w:rsid w:val="00B0157A"/>
    <w:rsid w:val="00B015AB"/>
    <w:rsid w:val="00B015E0"/>
    <w:rsid w:val="00B0165D"/>
    <w:rsid w:val="00B01763"/>
    <w:rsid w:val="00B01B60"/>
    <w:rsid w:val="00B01CA5"/>
    <w:rsid w:val="00B01CC5"/>
    <w:rsid w:val="00B01D41"/>
    <w:rsid w:val="00B0200D"/>
    <w:rsid w:val="00B02059"/>
    <w:rsid w:val="00B021E1"/>
    <w:rsid w:val="00B0225C"/>
    <w:rsid w:val="00B02268"/>
    <w:rsid w:val="00B0246A"/>
    <w:rsid w:val="00B027CA"/>
    <w:rsid w:val="00B02811"/>
    <w:rsid w:val="00B02853"/>
    <w:rsid w:val="00B02871"/>
    <w:rsid w:val="00B0288B"/>
    <w:rsid w:val="00B02AFA"/>
    <w:rsid w:val="00B02C55"/>
    <w:rsid w:val="00B02D49"/>
    <w:rsid w:val="00B02D80"/>
    <w:rsid w:val="00B02F36"/>
    <w:rsid w:val="00B031F3"/>
    <w:rsid w:val="00B03973"/>
    <w:rsid w:val="00B03996"/>
    <w:rsid w:val="00B039D2"/>
    <w:rsid w:val="00B03A1A"/>
    <w:rsid w:val="00B03ACC"/>
    <w:rsid w:val="00B03BE2"/>
    <w:rsid w:val="00B03C29"/>
    <w:rsid w:val="00B03E1C"/>
    <w:rsid w:val="00B03E9F"/>
    <w:rsid w:val="00B04448"/>
    <w:rsid w:val="00B044B1"/>
    <w:rsid w:val="00B046AB"/>
    <w:rsid w:val="00B04D51"/>
    <w:rsid w:val="00B0503A"/>
    <w:rsid w:val="00B05079"/>
    <w:rsid w:val="00B051E3"/>
    <w:rsid w:val="00B052A4"/>
    <w:rsid w:val="00B053A2"/>
    <w:rsid w:val="00B053C9"/>
    <w:rsid w:val="00B056C4"/>
    <w:rsid w:val="00B056E3"/>
    <w:rsid w:val="00B0589A"/>
    <w:rsid w:val="00B058CE"/>
    <w:rsid w:val="00B05A04"/>
    <w:rsid w:val="00B05E86"/>
    <w:rsid w:val="00B06292"/>
    <w:rsid w:val="00B0643C"/>
    <w:rsid w:val="00B064BD"/>
    <w:rsid w:val="00B0666A"/>
    <w:rsid w:val="00B06CA4"/>
    <w:rsid w:val="00B06E2E"/>
    <w:rsid w:val="00B06FC7"/>
    <w:rsid w:val="00B07093"/>
    <w:rsid w:val="00B070AE"/>
    <w:rsid w:val="00B07183"/>
    <w:rsid w:val="00B0726E"/>
    <w:rsid w:val="00B0748C"/>
    <w:rsid w:val="00B074A8"/>
    <w:rsid w:val="00B0752E"/>
    <w:rsid w:val="00B075EC"/>
    <w:rsid w:val="00B07899"/>
    <w:rsid w:val="00B07B69"/>
    <w:rsid w:val="00B07CCD"/>
    <w:rsid w:val="00B07F5A"/>
    <w:rsid w:val="00B07FB6"/>
    <w:rsid w:val="00B1012B"/>
    <w:rsid w:val="00B1013D"/>
    <w:rsid w:val="00B101A8"/>
    <w:rsid w:val="00B105CC"/>
    <w:rsid w:val="00B105DC"/>
    <w:rsid w:val="00B106E2"/>
    <w:rsid w:val="00B10928"/>
    <w:rsid w:val="00B10A04"/>
    <w:rsid w:val="00B10A68"/>
    <w:rsid w:val="00B10C77"/>
    <w:rsid w:val="00B10CAF"/>
    <w:rsid w:val="00B10CFB"/>
    <w:rsid w:val="00B10D1F"/>
    <w:rsid w:val="00B10DEC"/>
    <w:rsid w:val="00B10FAD"/>
    <w:rsid w:val="00B11099"/>
    <w:rsid w:val="00B111A9"/>
    <w:rsid w:val="00B11439"/>
    <w:rsid w:val="00B11609"/>
    <w:rsid w:val="00B116B2"/>
    <w:rsid w:val="00B1197F"/>
    <w:rsid w:val="00B1199B"/>
    <w:rsid w:val="00B11A01"/>
    <w:rsid w:val="00B11B60"/>
    <w:rsid w:val="00B11DA4"/>
    <w:rsid w:val="00B1201E"/>
    <w:rsid w:val="00B1203E"/>
    <w:rsid w:val="00B12452"/>
    <w:rsid w:val="00B125DE"/>
    <w:rsid w:val="00B126A6"/>
    <w:rsid w:val="00B1271E"/>
    <w:rsid w:val="00B1282B"/>
    <w:rsid w:val="00B1283A"/>
    <w:rsid w:val="00B12BF3"/>
    <w:rsid w:val="00B130BD"/>
    <w:rsid w:val="00B1311D"/>
    <w:rsid w:val="00B131F6"/>
    <w:rsid w:val="00B1320F"/>
    <w:rsid w:val="00B132BA"/>
    <w:rsid w:val="00B132FE"/>
    <w:rsid w:val="00B13BEA"/>
    <w:rsid w:val="00B13D4F"/>
    <w:rsid w:val="00B13E8F"/>
    <w:rsid w:val="00B13EC2"/>
    <w:rsid w:val="00B13FC1"/>
    <w:rsid w:val="00B13FDD"/>
    <w:rsid w:val="00B1414D"/>
    <w:rsid w:val="00B141AA"/>
    <w:rsid w:val="00B14214"/>
    <w:rsid w:val="00B142D0"/>
    <w:rsid w:val="00B14406"/>
    <w:rsid w:val="00B14418"/>
    <w:rsid w:val="00B144F7"/>
    <w:rsid w:val="00B1459A"/>
    <w:rsid w:val="00B146CD"/>
    <w:rsid w:val="00B1492E"/>
    <w:rsid w:val="00B14AFD"/>
    <w:rsid w:val="00B14E6D"/>
    <w:rsid w:val="00B1515B"/>
    <w:rsid w:val="00B15236"/>
    <w:rsid w:val="00B153F4"/>
    <w:rsid w:val="00B155A7"/>
    <w:rsid w:val="00B15648"/>
    <w:rsid w:val="00B156DC"/>
    <w:rsid w:val="00B157E4"/>
    <w:rsid w:val="00B15881"/>
    <w:rsid w:val="00B15A05"/>
    <w:rsid w:val="00B15AC5"/>
    <w:rsid w:val="00B15B3A"/>
    <w:rsid w:val="00B15CDF"/>
    <w:rsid w:val="00B15F80"/>
    <w:rsid w:val="00B16036"/>
    <w:rsid w:val="00B16104"/>
    <w:rsid w:val="00B1618B"/>
    <w:rsid w:val="00B1619B"/>
    <w:rsid w:val="00B161D7"/>
    <w:rsid w:val="00B16583"/>
    <w:rsid w:val="00B165F7"/>
    <w:rsid w:val="00B166F0"/>
    <w:rsid w:val="00B16939"/>
    <w:rsid w:val="00B169E0"/>
    <w:rsid w:val="00B169EA"/>
    <w:rsid w:val="00B16A9E"/>
    <w:rsid w:val="00B170E6"/>
    <w:rsid w:val="00B170ED"/>
    <w:rsid w:val="00B17198"/>
    <w:rsid w:val="00B17698"/>
    <w:rsid w:val="00B177C2"/>
    <w:rsid w:val="00B1796A"/>
    <w:rsid w:val="00B17A07"/>
    <w:rsid w:val="00B17AB5"/>
    <w:rsid w:val="00B17ADE"/>
    <w:rsid w:val="00B17AE8"/>
    <w:rsid w:val="00B17C06"/>
    <w:rsid w:val="00B17E70"/>
    <w:rsid w:val="00B1BFC5"/>
    <w:rsid w:val="00B20063"/>
    <w:rsid w:val="00B200DD"/>
    <w:rsid w:val="00B20121"/>
    <w:rsid w:val="00B20132"/>
    <w:rsid w:val="00B204A3"/>
    <w:rsid w:val="00B205B2"/>
    <w:rsid w:val="00B20814"/>
    <w:rsid w:val="00B21042"/>
    <w:rsid w:val="00B213C1"/>
    <w:rsid w:val="00B214B9"/>
    <w:rsid w:val="00B215A2"/>
    <w:rsid w:val="00B21659"/>
    <w:rsid w:val="00B21727"/>
    <w:rsid w:val="00B217B6"/>
    <w:rsid w:val="00B217BA"/>
    <w:rsid w:val="00B21800"/>
    <w:rsid w:val="00B218CD"/>
    <w:rsid w:val="00B219BB"/>
    <w:rsid w:val="00B21AD0"/>
    <w:rsid w:val="00B21B0E"/>
    <w:rsid w:val="00B21BA2"/>
    <w:rsid w:val="00B21BFB"/>
    <w:rsid w:val="00B21C98"/>
    <w:rsid w:val="00B21CF2"/>
    <w:rsid w:val="00B21E1A"/>
    <w:rsid w:val="00B21E33"/>
    <w:rsid w:val="00B21F99"/>
    <w:rsid w:val="00B220D3"/>
    <w:rsid w:val="00B22181"/>
    <w:rsid w:val="00B22338"/>
    <w:rsid w:val="00B22418"/>
    <w:rsid w:val="00B22421"/>
    <w:rsid w:val="00B224A2"/>
    <w:rsid w:val="00B2293E"/>
    <w:rsid w:val="00B229DA"/>
    <w:rsid w:val="00B22AED"/>
    <w:rsid w:val="00B22B5C"/>
    <w:rsid w:val="00B22B7C"/>
    <w:rsid w:val="00B22BF9"/>
    <w:rsid w:val="00B22D38"/>
    <w:rsid w:val="00B22D77"/>
    <w:rsid w:val="00B22EB2"/>
    <w:rsid w:val="00B22EFC"/>
    <w:rsid w:val="00B2300D"/>
    <w:rsid w:val="00B23188"/>
    <w:rsid w:val="00B2349C"/>
    <w:rsid w:val="00B23532"/>
    <w:rsid w:val="00B236E7"/>
    <w:rsid w:val="00B23715"/>
    <w:rsid w:val="00B238A2"/>
    <w:rsid w:val="00B23C8F"/>
    <w:rsid w:val="00B23CD5"/>
    <w:rsid w:val="00B24231"/>
    <w:rsid w:val="00B242C1"/>
    <w:rsid w:val="00B24304"/>
    <w:rsid w:val="00B248C4"/>
    <w:rsid w:val="00B24A15"/>
    <w:rsid w:val="00B24B70"/>
    <w:rsid w:val="00B24C2E"/>
    <w:rsid w:val="00B24C9A"/>
    <w:rsid w:val="00B24E31"/>
    <w:rsid w:val="00B25148"/>
    <w:rsid w:val="00B2522E"/>
    <w:rsid w:val="00B25288"/>
    <w:rsid w:val="00B25591"/>
    <w:rsid w:val="00B2562C"/>
    <w:rsid w:val="00B25705"/>
    <w:rsid w:val="00B2582E"/>
    <w:rsid w:val="00B2590F"/>
    <w:rsid w:val="00B25E96"/>
    <w:rsid w:val="00B25EE1"/>
    <w:rsid w:val="00B25EE3"/>
    <w:rsid w:val="00B25FD3"/>
    <w:rsid w:val="00B26076"/>
    <w:rsid w:val="00B262BF"/>
    <w:rsid w:val="00B262EC"/>
    <w:rsid w:val="00B264FE"/>
    <w:rsid w:val="00B267C1"/>
    <w:rsid w:val="00B268BC"/>
    <w:rsid w:val="00B26953"/>
    <w:rsid w:val="00B26AC9"/>
    <w:rsid w:val="00B26B91"/>
    <w:rsid w:val="00B26E10"/>
    <w:rsid w:val="00B26EC4"/>
    <w:rsid w:val="00B26F02"/>
    <w:rsid w:val="00B27055"/>
    <w:rsid w:val="00B27081"/>
    <w:rsid w:val="00B27124"/>
    <w:rsid w:val="00B27442"/>
    <w:rsid w:val="00B274E9"/>
    <w:rsid w:val="00B27568"/>
    <w:rsid w:val="00B277DA"/>
    <w:rsid w:val="00B27938"/>
    <w:rsid w:val="00B27D37"/>
    <w:rsid w:val="00B27D3D"/>
    <w:rsid w:val="00B30140"/>
    <w:rsid w:val="00B301D5"/>
    <w:rsid w:val="00B30269"/>
    <w:rsid w:val="00B306BE"/>
    <w:rsid w:val="00B306E0"/>
    <w:rsid w:val="00B30738"/>
    <w:rsid w:val="00B30741"/>
    <w:rsid w:val="00B30AB3"/>
    <w:rsid w:val="00B30C8E"/>
    <w:rsid w:val="00B30D08"/>
    <w:rsid w:val="00B30DAA"/>
    <w:rsid w:val="00B30F6A"/>
    <w:rsid w:val="00B3106D"/>
    <w:rsid w:val="00B31122"/>
    <w:rsid w:val="00B31167"/>
    <w:rsid w:val="00B31174"/>
    <w:rsid w:val="00B31275"/>
    <w:rsid w:val="00B3133B"/>
    <w:rsid w:val="00B3135A"/>
    <w:rsid w:val="00B31607"/>
    <w:rsid w:val="00B31783"/>
    <w:rsid w:val="00B31823"/>
    <w:rsid w:val="00B31C16"/>
    <w:rsid w:val="00B31CF4"/>
    <w:rsid w:val="00B31D15"/>
    <w:rsid w:val="00B31D3B"/>
    <w:rsid w:val="00B31D64"/>
    <w:rsid w:val="00B32073"/>
    <w:rsid w:val="00B320B3"/>
    <w:rsid w:val="00B32172"/>
    <w:rsid w:val="00B322FB"/>
    <w:rsid w:val="00B3245C"/>
    <w:rsid w:val="00B32617"/>
    <w:rsid w:val="00B329D8"/>
    <w:rsid w:val="00B32AC9"/>
    <w:rsid w:val="00B32B18"/>
    <w:rsid w:val="00B32BB9"/>
    <w:rsid w:val="00B331E0"/>
    <w:rsid w:val="00B3349C"/>
    <w:rsid w:val="00B3372B"/>
    <w:rsid w:val="00B33813"/>
    <w:rsid w:val="00B3382C"/>
    <w:rsid w:val="00B33A7B"/>
    <w:rsid w:val="00B33A91"/>
    <w:rsid w:val="00B33AE1"/>
    <w:rsid w:val="00B33B23"/>
    <w:rsid w:val="00B33B39"/>
    <w:rsid w:val="00B33C9E"/>
    <w:rsid w:val="00B33F37"/>
    <w:rsid w:val="00B33FF9"/>
    <w:rsid w:val="00B341CB"/>
    <w:rsid w:val="00B34458"/>
    <w:rsid w:val="00B34660"/>
    <w:rsid w:val="00B34740"/>
    <w:rsid w:val="00B347C8"/>
    <w:rsid w:val="00B348CE"/>
    <w:rsid w:val="00B349D8"/>
    <w:rsid w:val="00B34AF0"/>
    <w:rsid w:val="00B34EE1"/>
    <w:rsid w:val="00B353B4"/>
    <w:rsid w:val="00B3559A"/>
    <w:rsid w:val="00B35705"/>
    <w:rsid w:val="00B35832"/>
    <w:rsid w:val="00B3591D"/>
    <w:rsid w:val="00B35D17"/>
    <w:rsid w:val="00B35D70"/>
    <w:rsid w:val="00B35F6C"/>
    <w:rsid w:val="00B35FCC"/>
    <w:rsid w:val="00B36029"/>
    <w:rsid w:val="00B36052"/>
    <w:rsid w:val="00B36294"/>
    <w:rsid w:val="00B36317"/>
    <w:rsid w:val="00B36372"/>
    <w:rsid w:val="00B364DB"/>
    <w:rsid w:val="00B364E6"/>
    <w:rsid w:val="00B36547"/>
    <w:rsid w:val="00B36652"/>
    <w:rsid w:val="00B36660"/>
    <w:rsid w:val="00B3688C"/>
    <w:rsid w:val="00B368B0"/>
    <w:rsid w:val="00B36A6E"/>
    <w:rsid w:val="00B36B04"/>
    <w:rsid w:val="00B36B5D"/>
    <w:rsid w:val="00B36B7C"/>
    <w:rsid w:val="00B36EDB"/>
    <w:rsid w:val="00B36FFC"/>
    <w:rsid w:val="00B37207"/>
    <w:rsid w:val="00B3761F"/>
    <w:rsid w:val="00B37632"/>
    <w:rsid w:val="00B37808"/>
    <w:rsid w:val="00B37830"/>
    <w:rsid w:val="00B3796B"/>
    <w:rsid w:val="00B37C38"/>
    <w:rsid w:val="00B37CD3"/>
    <w:rsid w:val="00B37E8D"/>
    <w:rsid w:val="00B37F47"/>
    <w:rsid w:val="00B40066"/>
    <w:rsid w:val="00B400B7"/>
    <w:rsid w:val="00B402B3"/>
    <w:rsid w:val="00B403E1"/>
    <w:rsid w:val="00B40405"/>
    <w:rsid w:val="00B40438"/>
    <w:rsid w:val="00B4048C"/>
    <w:rsid w:val="00B40561"/>
    <w:rsid w:val="00B406FE"/>
    <w:rsid w:val="00B407D7"/>
    <w:rsid w:val="00B40A36"/>
    <w:rsid w:val="00B40B11"/>
    <w:rsid w:val="00B40E9A"/>
    <w:rsid w:val="00B410A8"/>
    <w:rsid w:val="00B410D7"/>
    <w:rsid w:val="00B4119A"/>
    <w:rsid w:val="00B411BA"/>
    <w:rsid w:val="00B412CB"/>
    <w:rsid w:val="00B412E1"/>
    <w:rsid w:val="00B4165E"/>
    <w:rsid w:val="00B4169D"/>
    <w:rsid w:val="00B417FA"/>
    <w:rsid w:val="00B4193E"/>
    <w:rsid w:val="00B41BCD"/>
    <w:rsid w:val="00B41C12"/>
    <w:rsid w:val="00B41C23"/>
    <w:rsid w:val="00B41CC5"/>
    <w:rsid w:val="00B41DAA"/>
    <w:rsid w:val="00B41E6B"/>
    <w:rsid w:val="00B42212"/>
    <w:rsid w:val="00B422A0"/>
    <w:rsid w:val="00B4251F"/>
    <w:rsid w:val="00B42591"/>
    <w:rsid w:val="00B4267C"/>
    <w:rsid w:val="00B426D0"/>
    <w:rsid w:val="00B42781"/>
    <w:rsid w:val="00B4288C"/>
    <w:rsid w:val="00B42A77"/>
    <w:rsid w:val="00B42B6B"/>
    <w:rsid w:val="00B42C2F"/>
    <w:rsid w:val="00B42C98"/>
    <w:rsid w:val="00B42D48"/>
    <w:rsid w:val="00B42D93"/>
    <w:rsid w:val="00B42E81"/>
    <w:rsid w:val="00B43104"/>
    <w:rsid w:val="00B43184"/>
    <w:rsid w:val="00B43191"/>
    <w:rsid w:val="00B43262"/>
    <w:rsid w:val="00B438A6"/>
    <w:rsid w:val="00B43BC5"/>
    <w:rsid w:val="00B43C06"/>
    <w:rsid w:val="00B43D89"/>
    <w:rsid w:val="00B43F1B"/>
    <w:rsid w:val="00B4400A"/>
    <w:rsid w:val="00B44100"/>
    <w:rsid w:val="00B44129"/>
    <w:rsid w:val="00B441B1"/>
    <w:rsid w:val="00B44416"/>
    <w:rsid w:val="00B44658"/>
    <w:rsid w:val="00B44698"/>
    <w:rsid w:val="00B44745"/>
    <w:rsid w:val="00B44764"/>
    <w:rsid w:val="00B44AB4"/>
    <w:rsid w:val="00B44C8F"/>
    <w:rsid w:val="00B44CE5"/>
    <w:rsid w:val="00B44EF1"/>
    <w:rsid w:val="00B4549B"/>
    <w:rsid w:val="00B45567"/>
    <w:rsid w:val="00B4585B"/>
    <w:rsid w:val="00B45A3D"/>
    <w:rsid w:val="00B45C1A"/>
    <w:rsid w:val="00B4602C"/>
    <w:rsid w:val="00B4631D"/>
    <w:rsid w:val="00B465E3"/>
    <w:rsid w:val="00B46664"/>
    <w:rsid w:val="00B4692A"/>
    <w:rsid w:val="00B46AAC"/>
    <w:rsid w:val="00B46CBA"/>
    <w:rsid w:val="00B46CCA"/>
    <w:rsid w:val="00B46EC5"/>
    <w:rsid w:val="00B46F90"/>
    <w:rsid w:val="00B46F94"/>
    <w:rsid w:val="00B46FB4"/>
    <w:rsid w:val="00B47041"/>
    <w:rsid w:val="00B471C5"/>
    <w:rsid w:val="00B4722A"/>
    <w:rsid w:val="00B47596"/>
    <w:rsid w:val="00B4770F"/>
    <w:rsid w:val="00B4793B"/>
    <w:rsid w:val="00B47F19"/>
    <w:rsid w:val="00B501F7"/>
    <w:rsid w:val="00B50211"/>
    <w:rsid w:val="00B502AD"/>
    <w:rsid w:val="00B50378"/>
    <w:rsid w:val="00B503CC"/>
    <w:rsid w:val="00B505C0"/>
    <w:rsid w:val="00B50626"/>
    <w:rsid w:val="00B5073B"/>
    <w:rsid w:val="00B50849"/>
    <w:rsid w:val="00B5085A"/>
    <w:rsid w:val="00B50894"/>
    <w:rsid w:val="00B50AEB"/>
    <w:rsid w:val="00B50B43"/>
    <w:rsid w:val="00B50C58"/>
    <w:rsid w:val="00B50CF4"/>
    <w:rsid w:val="00B50F7F"/>
    <w:rsid w:val="00B5116B"/>
    <w:rsid w:val="00B5151B"/>
    <w:rsid w:val="00B515C4"/>
    <w:rsid w:val="00B51715"/>
    <w:rsid w:val="00B5173B"/>
    <w:rsid w:val="00B51751"/>
    <w:rsid w:val="00B517D9"/>
    <w:rsid w:val="00B518AD"/>
    <w:rsid w:val="00B5192D"/>
    <w:rsid w:val="00B51B4F"/>
    <w:rsid w:val="00B51B59"/>
    <w:rsid w:val="00B51C88"/>
    <w:rsid w:val="00B51D19"/>
    <w:rsid w:val="00B52072"/>
    <w:rsid w:val="00B5233A"/>
    <w:rsid w:val="00B52651"/>
    <w:rsid w:val="00B52B41"/>
    <w:rsid w:val="00B52C7E"/>
    <w:rsid w:val="00B52DB8"/>
    <w:rsid w:val="00B52E80"/>
    <w:rsid w:val="00B52F5C"/>
    <w:rsid w:val="00B52FE0"/>
    <w:rsid w:val="00B531DC"/>
    <w:rsid w:val="00B53240"/>
    <w:rsid w:val="00B533E0"/>
    <w:rsid w:val="00B5345F"/>
    <w:rsid w:val="00B537A8"/>
    <w:rsid w:val="00B537B4"/>
    <w:rsid w:val="00B53850"/>
    <w:rsid w:val="00B53B10"/>
    <w:rsid w:val="00B53B7D"/>
    <w:rsid w:val="00B5423E"/>
    <w:rsid w:val="00B54298"/>
    <w:rsid w:val="00B542AE"/>
    <w:rsid w:val="00B5495F"/>
    <w:rsid w:val="00B54B12"/>
    <w:rsid w:val="00B54F96"/>
    <w:rsid w:val="00B54FD2"/>
    <w:rsid w:val="00B5528A"/>
    <w:rsid w:val="00B5541A"/>
    <w:rsid w:val="00B556AE"/>
    <w:rsid w:val="00B556D7"/>
    <w:rsid w:val="00B55950"/>
    <w:rsid w:val="00B55B2F"/>
    <w:rsid w:val="00B55E0D"/>
    <w:rsid w:val="00B55EFE"/>
    <w:rsid w:val="00B55F11"/>
    <w:rsid w:val="00B561B1"/>
    <w:rsid w:val="00B561B2"/>
    <w:rsid w:val="00B56356"/>
    <w:rsid w:val="00B56B68"/>
    <w:rsid w:val="00B56BE1"/>
    <w:rsid w:val="00B56C50"/>
    <w:rsid w:val="00B56DC5"/>
    <w:rsid w:val="00B56DE2"/>
    <w:rsid w:val="00B56E0E"/>
    <w:rsid w:val="00B5726C"/>
    <w:rsid w:val="00B57496"/>
    <w:rsid w:val="00B57603"/>
    <w:rsid w:val="00B57D25"/>
    <w:rsid w:val="00B6003C"/>
    <w:rsid w:val="00B6040F"/>
    <w:rsid w:val="00B604A2"/>
    <w:rsid w:val="00B604D3"/>
    <w:rsid w:val="00B604EA"/>
    <w:rsid w:val="00B60532"/>
    <w:rsid w:val="00B60DD6"/>
    <w:rsid w:val="00B60E69"/>
    <w:rsid w:val="00B60FB6"/>
    <w:rsid w:val="00B612DE"/>
    <w:rsid w:val="00B61334"/>
    <w:rsid w:val="00B6134A"/>
    <w:rsid w:val="00B61374"/>
    <w:rsid w:val="00B615DC"/>
    <w:rsid w:val="00B61629"/>
    <w:rsid w:val="00B61877"/>
    <w:rsid w:val="00B6189F"/>
    <w:rsid w:val="00B618EC"/>
    <w:rsid w:val="00B61A57"/>
    <w:rsid w:val="00B61C11"/>
    <w:rsid w:val="00B61D45"/>
    <w:rsid w:val="00B61F03"/>
    <w:rsid w:val="00B624C1"/>
    <w:rsid w:val="00B62560"/>
    <w:rsid w:val="00B626E4"/>
    <w:rsid w:val="00B6279F"/>
    <w:rsid w:val="00B6281B"/>
    <w:rsid w:val="00B62925"/>
    <w:rsid w:val="00B62A09"/>
    <w:rsid w:val="00B62B3B"/>
    <w:rsid w:val="00B62E37"/>
    <w:rsid w:val="00B62ECC"/>
    <w:rsid w:val="00B6341F"/>
    <w:rsid w:val="00B6344E"/>
    <w:rsid w:val="00B6354F"/>
    <w:rsid w:val="00B639AD"/>
    <w:rsid w:val="00B63B70"/>
    <w:rsid w:val="00B63BEF"/>
    <w:rsid w:val="00B63CFC"/>
    <w:rsid w:val="00B63DB6"/>
    <w:rsid w:val="00B63F5A"/>
    <w:rsid w:val="00B642E2"/>
    <w:rsid w:val="00B64483"/>
    <w:rsid w:val="00B648FD"/>
    <w:rsid w:val="00B64915"/>
    <w:rsid w:val="00B64B07"/>
    <w:rsid w:val="00B64CFA"/>
    <w:rsid w:val="00B64FB0"/>
    <w:rsid w:val="00B653F9"/>
    <w:rsid w:val="00B654DA"/>
    <w:rsid w:val="00B65953"/>
    <w:rsid w:val="00B6597C"/>
    <w:rsid w:val="00B65CA3"/>
    <w:rsid w:val="00B65E9A"/>
    <w:rsid w:val="00B65FA2"/>
    <w:rsid w:val="00B65FBB"/>
    <w:rsid w:val="00B66053"/>
    <w:rsid w:val="00B660CF"/>
    <w:rsid w:val="00B6629B"/>
    <w:rsid w:val="00B665F7"/>
    <w:rsid w:val="00B66701"/>
    <w:rsid w:val="00B66724"/>
    <w:rsid w:val="00B66780"/>
    <w:rsid w:val="00B66AED"/>
    <w:rsid w:val="00B66D98"/>
    <w:rsid w:val="00B66DA4"/>
    <w:rsid w:val="00B66FF8"/>
    <w:rsid w:val="00B67056"/>
    <w:rsid w:val="00B67286"/>
    <w:rsid w:val="00B6749D"/>
    <w:rsid w:val="00B674C1"/>
    <w:rsid w:val="00B6764A"/>
    <w:rsid w:val="00B679A4"/>
    <w:rsid w:val="00B679A8"/>
    <w:rsid w:val="00B679FC"/>
    <w:rsid w:val="00B67D0D"/>
    <w:rsid w:val="00B67F36"/>
    <w:rsid w:val="00B67FE0"/>
    <w:rsid w:val="00B70006"/>
    <w:rsid w:val="00B70020"/>
    <w:rsid w:val="00B702C1"/>
    <w:rsid w:val="00B704AE"/>
    <w:rsid w:val="00B705EB"/>
    <w:rsid w:val="00B70C43"/>
    <w:rsid w:val="00B70C9B"/>
    <w:rsid w:val="00B70CA8"/>
    <w:rsid w:val="00B70E9F"/>
    <w:rsid w:val="00B70ED1"/>
    <w:rsid w:val="00B70EE7"/>
    <w:rsid w:val="00B70F78"/>
    <w:rsid w:val="00B71194"/>
    <w:rsid w:val="00B71307"/>
    <w:rsid w:val="00B713F7"/>
    <w:rsid w:val="00B71420"/>
    <w:rsid w:val="00B7143F"/>
    <w:rsid w:val="00B7169E"/>
    <w:rsid w:val="00B716B1"/>
    <w:rsid w:val="00B719D7"/>
    <w:rsid w:val="00B71A51"/>
    <w:rsid w:val="00B71B3B"/>
    <w:rsid w:val="00B71B98"/>
    <w:rsid w:val="00B71BBA"/>
    <w:rsid w:val="00B71EDC"/>
    <w:rsid w:val="00B72030"/>
    <w:rsid w:val="00B7205D"/>
    <w:rsid w:val="00B721D7"/>
    <w:rsid w:val="00B721F6"/>
    <w:rsid w:val="00B724C0"/>
    <w:rsid w:val="00B727CD"/>
    <w:rsid w:val="00B729C4"/>
    <w:rsid w:val="00B72A3D"/>
    <w:rsid w:val="00B72AFA"/>
    <w:rsid w:val="00B72B4A"/>
    <w:rsid w:val="00B72D50"/>
    <w:rsid w:val="00B72E77"/>
    <w:rsid w:val="00B72E7C"/>
    <w:rsid w:val="00B72F15"/>
    <w:rsid w:val="00B72F21"/>
    <w:rsid w:val="00B72F4A"/>
    <w:rsid w:val="00B72FC9"/>
    <w:rsid w:val="00B730A6"/>
    <w:rsid w:val="00B73369"/>
    <w:rsid w:val="00B7350D"/>
    <w:rsid w:val="00B73782"/>
    <w:rsid w:val="00B737A1"/>
    <w:rsid w:val="00B73834"/>
    <w:rsid w:val="00B73A7C"/>
    <w:rsid w:val="00B73E23"/>
    <w:rsid w:val="00B73EAF"/>
    <w:rsid w:val="00B73ED2"/>
    <w:rsid w:val="00B7415E"/>
    <w:rsid w:val="00B743C8"/>
    <w:rsid w:val="00B744BF"/>
    <w:rsid w:val="00B7453C"/>
    <w:rsid w:val="00B747E4"/>
    <w:rsid w:val="00B7489D"/>
    <w:rsid w:val="00B74991"/>
    <w:rsid w:val="00B74ACA"/>
    <w:rsid w:val="00B74CA1"/>
    <w:rsid w:val="00B74CB0"/>
    <w:rsid w:val="00B74CBA"/>
    <w:rsid w:val="00B74F11"/>
    <w:rsid w:val="00B74FAC"/>
    <w:rsid w:val="00B7518F"/>
    <w:rsid w:val="00B751D7"/>
    <w:rsid w:val="00B7521B"/>
    <w:rsid w:val="00B75299"/>
    <w:rsid w:val="00B752F4"/>
    <w:rsid w:val="00B7535A"/>
    <w:rsid w:val="00B75466"/>
    <w:rsid w:val="00B7548C"/>
    <w:rsid w:val="00B754E4"/>
    <w:rsid w:val="00B75755"/>
    <w:rsid w:val="00B75AC5"/>
    <w:rsid w:val="00B75AEA"/>
    <w:rsid w:val="00B75C52"/>
    <w:rsid w:val="00B75D95"/>
    <w:rsid w:val="00B75EF2"/>
    <w:rsid w:val="00B762F5"/>
    <w:rsid w:val="00B76569"/>
    <w:rsid w:val="00B76571"/>
    <w:rsid w:val="00B765FC"/>
    <w:rsid w:val="00B7670F"/>
    <w:rsid w:val="00B7673D"/>
    <w:rsid w:val="00B767AB"/>
    <w:rsid w:val="00B767FC"/>
    <w:rsid w:val="00B768E7"/>
    <w:rsid w:val="00B76B92"/>
    <w:rsid w:val="00B76D04"/>
    <w:rsid w:val="00B77067"/>
    <w:rsid w:val="00B772CA"/>
    <w:rsid w:val="00B772EF"/>
    <w:rsid w:val="00B77386"/>
    <w:rsid w:val="00B77570"/>
    <w:rsid w:val="00B77742"/>
    <w:rsid w:val="00B777EE"/>
    <w:rsid w:val="00B77890"/>
    <w:rsid w:val="00B778E1"/>
    <w:rsid w:val="00B77932"/>
    <w:rsid w:val="00B779C3"/>
    <w:rsid w:val="00B77A19"/>
    <w:rsid w:val="00B77CAC"/>
    <w:rsid w:val="00B77DFC"/>
    <w:rsid w:val="00B80219"/>
    <w:rsid w:val="00B8022E"/>
    <w:rsid w:val="00B802B4"/>
    <w:rsid w:val="00B80367"/>
    <w:rsid w:val="00B804C6"/>
    <w:rsid w:val="00B80625"/>
    <w:rsid w:val="00B80C88"/>
    <w:rsid w:val="00B814C1"/>
    <w:rsid w:val="00B81559"/>
    <w:rsid w:val="00B817E8"/>
    <w:rsid w:val="00B81A2D"/>
    <w:rsid w:val="00B81C47"/>
    <w:rsid w:val="00B81D15"/>
    <w:rsid w:val="00B81D8E"/>
    <w:rsid w:val="00B81E78"/>
    <w:rsid w:val="00B81FD8"/>
    <w:rsid w:val="00B822D1"/>
    <w:rsid w:val="00B824F5"/>
    <w:rsid w:val="00B824F6"/>
    <w:rsid w:val="00B827F2"/>
    <w:rsid w:val="00B82809"/>
    <w:rsid w:val="00B8281D"/>
    <w:rsid w:val="00B828D1"/>
    <w:rsid w:val="00B82A7F"/>
    <w:rsid w:val="00B82F03"/>
    <w:rsid w:val="00B83116"/>
    <w:rsid w:val="00B831BC"/>
    <w:rsid w:val="00B8341A"/>
    <w:rsid w:val="00B83658"/>
    <w:rsid w:val="00B8373A"/>
    <w:rsid w:val="00B83744"/>
    <w:rsid w:val="00B8385E"/>
    <w:rsid w:val="00B83C27"/>
    <w:rsid w:val="00B83C59"/>
    <w:rsid w:val="00B83CDE"/>
    <w:rsid w:val="00B83CEE"/>
    <w:rsid w:val="00B840DC"/>
    <w:rsid w:val="00B842DE"/>
    <w:rsid w:val="00B842FB"/>
    <w:rsid w:val="00B84514"/>
    <w:rsid w:val="00B845A6"/>
    <w:rsid w:val="00B846B2"/>
    <w:rsid w:val="00B846D6"/>
    <w:rsid w:val="00B84AA2"/>
    <w:rsid w:val="00B84B80"/>
    <w:rsid w:val="00B84BC3"/>
    <w:rsid w:val="00B84BDD"/>
    <w:rsid w:val="00B84E76"/>
    <w:rsid w:val="00B84FA9"/>
    <w:rsid w:val="00B85170"/>
    <w:rsid w:val="00B852E3"/>
    <w:rsid w:val="00B85411"/>
    <w:rsid w:val="00B8541A"/>
    <w:rsid w:val="00B855D2"/>
    <w:rsid w:val="00B856E2"/>
    <w:rsid w:val="00B856E3"/>
    <w:rsid w:val="00B85861"/>
    <w:rsid w:val="00B858D6"/>
    <w:rsid w:val="00B85900"/>
    <w:rsid w:val="00B85B40"/>
    <w:rsid w:val="00B85BD9"/>
    <w:rsid w:val="00B85C20"/>
    <w:rsid w:val="00B85CB3"/>
    <w:rsid w:val="00B85D7B"/>
    <w:rsid w:val="00B85F7D"/>
    <w:rsid w:val="00B86015"/>
    <w:rsid w:val="00B8607B"/>
    <w:rsid w:val="00B8621D"/>
    <w:rsid w:val="00B862FB"/>
    <w:rsid w:val="00B86427"/>
    <w:rsid w:val="00B86462"/>
    <w:rsid w:val="00B8655B"/>
    <w:rsid w:val="00B865C5"/>
    <w:rsid w:val="00B869FC"/>
    <w:rsid w:val="00B86DCC"/>
    <w:rsid w:val="00B871E9"/>
    <w:rsid w:val="00B872FB"/>
    <w:rsid w:val="00B874F0"/>
    <w:rsid w:val="00B87618"/>
    <w:rsid w:val="00B87625"/>
    <w:rsid w:val="00B876AD"/>
    <w:rsid w:val="00B8785A"/>
    <w:rsid w:val="00B87ABE"/>
    <w:rsid w:val="00B87B09"/>
    <w:rsid w:val="00B87BEB"/>
    <w:rsid w:val="00B87C0D"/>
    <w:rsid w:val="00B87F4D"/>
    <w:rsid w:val="00B90011"/>
    <w:rsid w:val="00B900A6"/>
    <w:rsid w:val="00B90151"/>
    <w:rsid w:val="00B90183"/>
    <w:rsid w:val="00B90353"/>
    <w:rsid w:val="00B903BF"/>
    <w:rsid w:val="00B903CE"/>
    <w:rsid w:val="00B904D2"/>
    <w:rsid w:val="00B905A7"/>
    <w:rsid w:val="00B90D0B"/>
    <w:rsid w:val="00B90D55"/>
    <w:rsid w:val="00B90E43"/>
    <w:rsid w:val="00B90E96"/>
    <w:rsid w:val="00B9104E"/>
    <w:rsid w:val="00B9112A"/>
    <w:rsid w:val="00B9116E"/>
    <w:rsid w:val="00B91176"/>
    <w:rsid w:val="00B91260"/>
    <w:rsid w:val="00B913A3"/>
    <w:rsid w:val="00B91B19"/>
    <w:rsid w:val="00B91F50"/>
    <w:rsid w:val="00B92438"/>
    <w:rsid w:val="00B92528"/>
    <w:rsid w:val="00B925A2"/>
    <w:rsid w:val="00B9261B"/>
    <w:rsid w:val="00B92812"/>
    <w:rsid w:val="00B92A83"/>
    <w:rsid w:val="00B92ADB"/>
    <w:rsid w:val="00B92E42"/>
    <w:rsid w:val="00B9300A"/>
    <w:rsid w:val="00B930D0"/>
    <w:rsid w:val="00B9311C"/>
    <w:rsid w:val="00B9323D"/>
    <w:rsid w:val="00B9326F"/>
    <w:rsid w:val="00B933F4"/>
    <w:rsid w:val="00B934B5"/>
    <w:rsid w:val="00B934E7"/>
    <w:rsid w:val="00B9367C"/>
    <w:rsid w:val="00B93958"/>
    <w:rsid w:val="00B939A8"/>
    <w:rsid w:val="00B93B42"/>
    <w:rsid w:val="00B93B44"/>
    <w:rsid w:val="00B93C5B"/>
    <w:rsid w:val="00B93E46"/>
    <w:rsid w:val="00B93EDF"/>
    <w:rsid w:val="00B940C5"/>
    <w:rsid w:val="00B94266"/>
    <w:rsid w:val="00B94432"/>
    <w:rsid w:val="00B94711"/>
    <w:rsid w:val="00B948E3"/>
    <w:rsid w:val="00B9495A"/>
    <w:rsid w:val="00B94983"/>
    <w:rsid w:val="00B949F8"/>
    <w:rsid w:val="00B94ABD"/>
    <w:rsid w:val="00B94AF0"/>
    <w:rsid w:val="00B94BB2"/>
    <w:rsid w:val="00B94BBF"/>
    <w:rsid w:val="00B94E59"/>
    <w:rsid w:val="00B94EFC"/>
    <w:rsid w:val="00B9509C"/>
    <w:rsid w:val="00B9513B"/>
    <w:rsid w:val="00B955FD"/>
    <w:rsid w:val="00B9576D"/>
    <w:rsid w:val="00B958D6"/>
    <w:rsid w:val="00B95984"/>
    <w:rsid w:val="00B95C54"/>
    <w:rsid w:val="00B95DBD"/>
    <w:rsid w:val="00B95E5C"/>
    <w:rsid w:val="00B960BD"/>
    <w:rsid w:val="00B96260"/>
    <w:rsid w:val="00B9632C"/>
    <w:rsid w:val="00B9634F"/>
    <w:rsid w:val="00B963C7"/>
    <w:rsid w:val="00B96528"/>
    <w:rsid w:val="00B965B4"/>
    <w:rsid w:val="00B968A6"/>
    <w:rsid w:val="00B96A75"/>
    <w:rsid w:val="00B96B1A"/>
    <w:rsid w:val="00B96F80"/>
    <w:rsid w:val="00B97100"/>
    <w:rsid w:val="00B972DC"/>
    <w:rsid w:val="00B972E0"/>
    <w:rsid w:val="00B97343"/>
    <w:rsid w:val="00B97484"/>
    <w:rsid w:val="00B976ED"/>
    <w:rsid w:val="00B976F3"/>
    <w:rsid w:val="00B97988"/>
    <w:rsid w:val="00B97B0C"/>
    <w:rsid w:val="00B97BB2"/>
    <w:rsid w:val="00B97C53"/>
    <w:rsid w:val="00B97EE6"/>
    <w:rsid w:val="00BA008E"/>
    <w:rsid w:val="00BA0149"/>
    <w:rsid w:val="00BA034B"/>
    <w:rsid w:val="00BA03D4"/>
    <w:rsid w:val="00BA04C2"/>
    <w:rsid w:val="00BA04CB"/>
    <w:rsid w:val="00BA059C"/>
    <w:rsid w:val="00BA0643"/>
    <w:rsid w:val="00BA079B"/>
    <w:rsid w:val="00BA08C4"/>
    <w:rsid w:val="00BA08D0"/>
    <w:rsid w:val="00BA08E9"/>
    <w:rsid w:val="00BA0A3E"/>
    <w:rsid w:val="00BA0AB4"/>
    <w:rsid w:val="00BA0BDB"/>
    <w:rsid w:val="00BA0EF5"/>
    <w:rsid w:val="00BA0FD7"/>
    <w:rsid w:val="00BA10BE"/>
    <w:rsid w:val="00BA111A"/>
    <w:rsid w:val="00BA11A2"/>
    <w:rsid w:val="00BA1517"/>
    <w:rsid w:val="00BA1597"/>
    <w:rsid w:val="00BA1602"/>
    <w:rsid w:val="00BA1701"/>
    <w:rsid w:val="00BA1B75"/>
    <w:rsid w:val="00BA1D01"/>
    <w:rsid w:val="00BA20A6"/>
    <w:rsid w:val="00BA20BF"/>
    <w:rsid w:val="00BA22CA"/>
    <w:rsid w:val="00BA242B"/>
    <w:rsid w:val="00BA2454"/>
    <w:rsid w:val="00BA294B"/>
    <w:rsid w:val="00BA29DA"/>
    <w:rsid w:val="00BA2D07"/>
    <w:rsid w:val="00BA2DC4"/>
    <w:rsid w:val="00BA2FA9"/>
    <w:rsid w:val="00BA31EF"/>
    <w:rsid w:val="00BA3226"/>
    <w:rsid w:val="00BA3321"/>
    <w:rsid w:val="00BA34A1"/>
    <w:rsid w:val="00BA34F9"/>
    <w:rsid w:val="00BA3537"/>
    <w:rsid w:val="00BA3754"/>
    <w:rsid w:val="00BA3844"/>
    <w:rsid w:val="00BA3A83"/>
    <w:rsid w:val="00BA3ADA"/>
    <w:rsid w:val="00BA3B3C"/>
    <w:rsid w:val="00BA3D34"/>
    <w:rsid w:val="00BA415B"/>
    <w:rsid w:val="00BA4450"/>
    <w:rsid w:val="00BA48C4"/>
    <w:rsid w:val="00BA49BF"/>
    <w:rsid w:val="00BA4CCA"/>
    <w:rsid w:val="00BA4DF8"/>
    <w:rsid w:val="00BA4E9F"/>
    <w:rsid w:val="00BA4F79"/>
    <w:rsid w:val="00BA505B"/>
    <w:rsid w:val="00BA5103"/>
    <w:rsid w:val="00BA53BE"/>
    <w:rsid w:val="00BA54DA"/>
    <w:rsid w:val="00BA5504"/>
    <w:rsid w:val="00BA556A"/>
    <w:rsid w:val="00BA5988"/>
    <w:rsid w:val="00BA5A80"/>
    <w:rsid w:val="00BA5B6B"/>
    <w:rsid w:val="00BA5BD6"/>
    <w:rsid w:val="00BA5CE8"/>
    <w:rsid w:val="00BA5E67"/>
    <w:rsid w:val="00BA5E7A"/>
    <w:rsid w:val="00BA5F46"/>
    <w:rsid w:val="00BA6026"/>
    <w:rsid w:val="00BA60BC"/>
    <w:rsid w:val="00BA622C"/>
    <w:rsid w:val="00BA6315"/>
    <w:rsid w:val="00BA6327"/>
    <w:rsid w:val="00BA6452"/>
    <w:rsid w:val="00BA655B"/>
    <w:rsid w:val="00BA66BC"/>
    <w:rsid w:val="00BA6713"/>
    <w:rsid w:val="00BA6967"/>
    <w:rsid w:val="00BA6A22"/>
    <w:rsid w:val="00BA6A2F"/>
    <w:rsid w:val="00BA6AF5"/>
    <w:rsid w:val="00BA6B57"/>
    <w:rsid w:val="00BA6C4A"/>
    <w:rsid w:val="00BA6C5C"/>
    <w:rsid w:val="00BA6CE7"/>
    <w:rsid w:val="00BA6D47"/>
    <w:rsid w:val="00BA6D83"/>
    <w:rsid w:val="00BA6D9A"/>
    <w:rsid w:val="00BA6E06"/>
    <w:rsid w:val="00BA6E79"/>
    <w:rsid w:val="00BA7455"/>
    <w:rsid w:val="00BA74EC"/>
    <w:rsid w:val="00BA7668"/>
    <w:rsid w:val="00BA7864"/>
    <w:rsid w:val="00BA79B2"/>
    <w:rsid w:val="00BA7E27"/>
    <w:rsid w:val="00BB021C"/>
    <w:rsid w:val="00BB0304"/>
    <w:rsid w:val="00BB031B"/>
    <w:rsid w:val="00BB040C"/>
    <w:rsid w:val="00BB040F"/>
    <w:rsid w:val="00BB048A"/>
    <w:rsid w:val="00BB096D"/>
    <w:rsid w:val="00BB0A6E"/>
    <w:rsid w:val="00BB0B8E"/>
    <w:rsid w:val="00BB10BC"/>
    <w:rsid w:val="00BB10E5"/>
    <w:rsid w:val="00BB12A5"/>
    <w:rsid w:val="00BB141F"/>
    <w:rsid w:val="00BB169D"/>
    <w:rsid w:val="00BB1739"/>
    <w:rsid w:val="00BB1926"/>
    <w:rsid w:val="00BB1939"/>
    <w:rsid w:val="00BB19E2"/>
    <w:rsid w:val="00BB1D65"/>
    <w:rsid w:val="00BB1ED2"/>
    <w:rsid w:val="00BB2120"/>
    <w:rsid w:val="00BB2272"/>
    <w:rsid w:val="00BB23CF"/>
    <w:rsid w:val="00BB24F6"/>
    <w:rsid w:val="00BB2551"/>
    <w:rsid w:val="00BB2753"/>
    <w:rsid w:val="00BB28E2"/>
    <w:rsid w:val="00BB2974"/>
    <w:rsid w:val="00BB2B38"/>
    <w:rsid w:val="00BB2D70"/>
    <w:rsid w:val="00BB2EED"/>
    <w:rsid w:val="00BB30BC"/>
    <w:rsid w:val="00BB3148"/>
    <w:rsid w:val="00BB31BD"/>
    <w:rsid w:val="00BB3486"/>
    <w:rsid w:val="00BB35A2"/>
    <w:rsid w:val="00BB372A"/>
    <w:rsid w:val="00BB3804"/>
    <w:rsid w:val="00BB390E"/>
    <w:rsid w:val="00BB3AC8"/>
    <w:rsid w:val="00BB3BBC"/>
    <w:rsid w:val="00BB3FBB"/>
    <w:rsid w:val="00BB3FF5"/>
    <w:rsid w:val="00BB4156"/>
    <w:rsid w:val="00BB43CB"/>
    <w:rsid w:val="00BB45A1"/>
    <w:rsid w:val="00BB4804"/>
    <w:rsid w:val="00BB4822"/>
    <w:rsid w:val="00BB484B"/>
    <w:rsid w:val="00BB4861"/>
    <w:rsid w:val="00BB4BFE"/>
    <w:rsid w:val="00BB4C51"/>
    <w:rsid w:val="00BB4E06"/>
    <w:rsid w:val="00BB4F14"/>
    <w:rsid w:val="00BB4FD7"/>
    <w:rsid w:val="00BB56B2"/>
    <w:rsid w:val="00BB56F5"/>
    <w:rsid w:val="00BB591C"/>
    <w:rsid w:val="00BB595F"/>
    <w:rsid w:val="00BB59C2"/>
    <w:rsid w:val="00BB5F07"/>
    <w:rsid w:val="00BB604D"/>
    <w:rsid w:val="00BB60F6"/>
    <w:rsid w:val="00BB62CA"/>
    <w:rsid w:val="00BB6335"/>
    <w:rsid w:val="00BB6372"/>
    <w:rsid w:val="00BB67E8"/>
    <w:rsid w:val="00BB6A1D"/>
    <w:rsid w:val="00BB6B82"/>
    <w:rsid w:val="00BB6D42"/>
    <w:rsid w:val="00BB6E0A"/>
    <w:rsid w:val="00BB6F1A"/>
    <w:rsid w:val="00BB6F9E"/>
    <w:rsid w:val="00BB6FFC"/>
    <w:rsid w:val="00BB6FFD"/>
    <w:rsid w:val="00BB7250"/>
    <w:rsid w:val="00BB7686"/>
    <w:rsid w:val="00BB7802"/>
    <w:rsid w:val="00BB7805"/>
    <w:rsid w:val="00BB7C8D"/>
    <w:rsid w:val="00BB7FF3"/>
    <w:rsid w:val="00BC02A0"/>
    <w:rsid w:val="00BC0780"/>
    <w:rsid w:val="00BC0AAF"/>
    <w:rsid w:val="00BC0BBD"/>
    <w:rsid w:val="00BC0E40"/>
    <w:rsid w:val="00BC143A"/>
    <w:rsid w:val="00BC16D0"/>
    <w:rsid w:val="00BC1D5B"/>
    <w:rsid w:val="00BC1E6C"/>
    <w:rsid w:val="00BC1EF6"/>
    <w:rsid w:val="00BC1F2A"/>
    <w:rsid w:val="00BC227A"/>
    <w:rsid w:val="00BC23F9"/>
    <w:rsid w:val="00BC2548"/>
    <w:rsid w:val="00BC279C"/>
    <w:rsid w:val="00BC2944"/>
    <w:rsid w:val="00BC29B4"/>
    <w:rsid w:val="00BC2BDF"/>
    <w:rsid w:val="00BC2D12"/>
    <w:rsid w:val="00BC2E9E"/>
    <w:rsid w:val="00BC2F2C"/>
    <w:rsid w:val="00BC2FE6"/>
    <w:rsid w:val="00BC312E"/>
    <w:rsid w:val="00BC338C"/>
    <w:rsid w:val="00BC3421"/>
    <w:rsid w:val="00BC344C"/>
    <w:rsid w:val="00BC34B8"/>
    <w:rsid w:val="00BC354E"/>
    <w:rsid w:val="00BC3729"/>
    <w:rsid w:val="00BC397F"/>
    <w:rsid w:val="00BC39D0"/>
    <w:rsid w:val="00BC3B2A"/>
    <w:rsid w:val="00BC3CF7"/>
    <w:rsid w:val="00BC3E97"/>
    <w:rsid w:val="00BC3FAE"/>
    <w:rsid w:val="00BC418E"/>
    <w:rsid w:val="00BC4384"/>
    <w:rsid w:val="00BC44B7"/>
    <w:rsid w:val="00BC44DA"/>
    <w:rsid w:val="00BC4569"/>
    <w:rsid w:val="00BC45FC"/>
    <w:rsid w:val="00BC46CF"/>
    <w:rsid w:val="00BC47FD"/>
    <w:rsid w:val="00BC4A2A"/>
    <w:rsid w:val="00BC4A37"/>
    <w:rsid w:val="00BC4D17"/>
    <w:rsid w:val="00BC4FD0"/>
    <w:rsid w:val="00BC5068"/>
    <w:rsid w:val="00BC52A3"/>
    <w:rsid w:val="00BC535C"/>
    <w:rsid w:val="00BC5596"/>
    <w:rsid w:val="00BC563C"/>
    <w:rsid w:val="00BC57F7"/>
    <w:rsid w:val="00BC595E"/>
    <w:rsid w:val="00BC5AD6"/>
    <w:rsid w:val="00BC5C4C"/>
    <w:rsid w:val="00BC5CEF"/>
    <w:rsid w:val="00BC6071"/>
    <w:rsid w:val="00BC6199"/>
    <w:rsid w:val="00BC6223"/>
    <w:rsid w:val="00BC65AE"/>
    <w:rsid w:val="00BC6635"/>
    <w:rsid w:val="00BC68E3"/>
    <w:rsid w:val="00BC6B50"/>
    <w:rsid w:val="00BC6C8D"/>
    <w:rsid w:val="00BC6CE2"/>
    <w:rsid w:val="00BC6F17"/>
    <w:rsid w:val="00BC7236"/>
    <w:rsid w:val="00BC7288"/>
    <w:rsid w:val="00BC732C"/>
    <w:rsid w:val="00BC733B"/>
    <w:rsid w:val="00BC73B9"/>
    <w:rsid w:val="00BC77F8"/>
    <w:rsid w:val="00BC7B3A"/>
    <w:rsid w:val="00BC7E2F"/>
    <w:rsid w:val="00BD0158"/>
    <w:rsid w:val="00BD0391"/>
    <w:rsid w:val="00BD0774"/>
    <w:rsid w:val="00BD0826"/>
    <w:rsid w:val="00BD0909"/>
    <w:rsid w:val="00BD0B0E"/>
    <w:rsid w:val="00BD0BBD"/>
    <w:rsid w:val="00BD0DCA"/>
    <w:rsid w:val="00BD0EBB"/>
    <w:rsid w:val="00BD135B"/>
    <w:rsid w:val="00BD1404"/>
    <w:rsid w:val="00BD14FA"/>
    <w:rsid w:val="00BD15C8"/>
    <w:rsid w:val="00BD16AB"/>
    <w:rsid w:val="00BD1899"/>
    <w:rsid w:val="00BD189E"/>
    <w:rsid w:val="00BD1F77"/>
    <w:rsid w:val="00BD20F4"/>
    <w:rsid w:val="00BD2107"/>
    <w:rsid w:val="00BD2177"/>
    <w:rsid w:val="00BD2277"/>
    <w:rsid w:val="00BD22A8"/>
    <w:rsid w:val="00BD27FA"/>
    <w:rsid w:val="00BD2B05"/>
    <w:rsid w:val="00BD2B12"/>
    <w:rsid w:val="00BD2BD1"/>
    <w:rsid w:val="00BD2E3A"/>
    <w:rsid w:val="00BD2F41"/>
    <w:rsid w:val="00BD33D4"/>
    <w:rsid w:val="00BD3800"/>
    <w:rsid w:val="00BD3865"/>
    <w:rsid w:val="00BD3925"/>
    <w:rsid w:val="00BD39E6"/>
    <w:rsid w:val="00BD3A14"/>
    <w:rsid w:val="00BD3AAF"/>
    <w:rsid w:val="00BD3FA8"/>
    <w:rsid w:val="00BD421C"/>
    <w:rsid w:val="00BD4305"/>
    <w:rsid w:val="00BD4421"/>
    <w:rsid w:val="00BD4507"/>
    <w:rsid w:val="00BD45E0"/>
    <w:rsid w:val="00BD46BF"/>
    <w:rsid w:val="00BD4D48"/>
    <w:rsid w:val="00BD502E"/>
    <w:rsid w:val="00BD50BA"/>
    <w:rsid w:val="00BD5189"/>
    <w:rsid w:val="00BD52C4"/>
    <w:rsid w:val="00BD538F"/>
    <w:rsid w:val="00BD53CB"/>
    <w:rsid w:val="00BD54DB"/>
    <w:rsid w:val="00BD56B5"/>
    <w:rsid w:val="00BD5925"/>
    <w:rsid w:val="00BD5C2B"/>
    <w:rsid w:val="00BD5C69"/>
    <w:rsid w:val="00BD5C70"/>
    <w:rsid w:val="00BD5EE2"/>
    <w:rsid w:val="00BD61C8"/>
    <w:rsid w:val="00BD62A9"/>
    <w:rsid w:val="00BD6655"/>
    <w:rsid w:val="00BD66A4"/>
    <w:rsid w:val="00BD6806"/>
    <w:rsid w:val="00BD6BBA"/>
    <w:rsid w:val="00BD7245"/>
    <w:rsid w:val="00BD7295"/>
    <w:rsid w:val="00BD73DB"/>
    <w:rsid w:val="00BD7630"/>
    <w:rsid w:val="00BD7647"/>
    <w:rsid w:val="00BD7975"/>
    <w:rsid w:val="00BD7A1D"/>
    <w:rsid w:val="00BD7ABA"/>
    <w:rsid w:val="00BD7D39"/>
    <w:rsid w:val="00BD7D43"/>
    <w:rsid w:val="00BD7DD3"/>
    <w:rsid w:val="00BD7E41"/>
    <w:rsid w:val="00BE0059"/>
    <w:rsid w:val="00BE0070"/>
    <w:rsid w:val="00BE008D"/>
    <w:rsid w:val="00BE0234"/>
    <w:rsid w:val="00BE027D"/>
    <w:rsid w:val="00BE03F6"/>
    <w:rsid w:val="00BE052F"/>
    <w:rsid w:val="00BE069D"/>
    <w:rsid w:val="00BE0885"/>
    <w:rsid w:val="00BE0925"/>
    <w:rsid w:val="00BE0AAB"/>
    <w:rsid w:val="00BE0B41"/>
    <w:rsid w:val="00BE0B71"/>
    <w:rsid w:val="00BE0BFA"/>
    <w:rsid w:val="00BE0F57"/>
    <w:rsid w:val="00BE1135"/>
    <w:rsid w:val="00BE1160"/>
    <w:rsid w:val="00BE16D8"/>
    <w:rsid w:val="00BE1792"/>
    <w:rsid w:val="00BE17EF"/>
    <w:rsid w:val="00BE1A52"/>
    <w:rsid w:val="00BE1B83"/>
    <w:rsid w:val="00BE1CE1"/>
    <w:rsid w:val="00BE1DA6"/>
    <w:rsid w:val="00BE2321"/>
    <w:rsid w:val="00BE238F"/>
    <w:rsid w:val="00BE2580"/>
    <w:rsid w:val="00BE266D"/>
    <w:rsid w:val="00BE2799"/>
    <w:rsid w:val="00BE2A43"/>
    <w:rsid w:val="00BE2C09"/>
    <w:rsid w:val="00BE2CB4"/>
    <w:rsid w:val="00BE2D10"/>
    <w:rsid w:val="00BE2DCC"/>
    <w:rsid w:val="00BE2E27"/>
    <w:rsid w:val="00BE3213"/>
    <w:rsid w:val="00BE3270"/>
    <w:rsid w:val="00BE33F2"/>
    <w:rsid w:val="00BE3421"/>
    <w:rsid w:val="00BE387A"/>
    <w:rsid w:val="00BE3938"/>
    <w:rsid w:val="00BE3964"/>
    <w:rsid w:val="00BE3AD5"/>
    <w:rsid w:val="00BE3ADA"/>
    <w:rsid w:val="00BE3B8A"/>
    <w:rsid w:val="00BE3BE4"/>
    <w:rsid w:val="00BE3BF4"/>
    <w:rsid w:val="00BE3CB1"/>
    <w:rsid w:val="00BE3D0A"/>
    <w:rsid w:val="00BE3F50"/>
    <w:rsid w:val="00BE4256"/>
    <w:rsid w:val="00BE438A"/>
    <w:rsid w:val="00BE477E"/>
    <w:rsid w:val="00BE4800"/>
    <w:rsid w:val="00BE4828"/>
    <w:rsid w:val="00BE4A06"/>
    <w:rsid w:val="00BE4B76"/>
    <w:rsid w:val="00BE4C11"/>
    <w:rsid w:val="00BE4C55"/>
    <w:rsid w:val="00BE4EA3"/>
    <w:rsid w:val="00BE5163"/>
    <w:rsid w:val="00BE51B7"/>
    <w:rsid w:val="00BE5374"/>
    <w:rsid w:val="00BE54E0"/>
    <w:rsid w:val="00BE5587"/>
    <w:rsid w:val="00BE55E4"/>
    <w:rsid w:val="00BE5771"/>
    <w:rsid w:val="00BE57A0"/>
    <w:rsid w:val="00BE5810"/>
    <w:rsid w:val="00BE58C9"/>
    <w:rsid w:val="00BE5BBF"/>
    <w:rsid w:val="00BE5ED2"/>
    <w:rsid w:val="00BE6016"/>
    <w:rsid w:val="00BE60C0"/>
    <w:rsid w:val="00BE60F7"/>
    <w:rsid w:val="00BE6255"/>
    <w:rsid w:val="00BE6368"/>
    <w:rsid w:val="00BE640C"/>
    <w:rsid w:val="00BE6576"/>
    <w:rsid w:val="00BE68C7"/>
    <w:rsid w:val="00BE691E"/>
    <w:rsid w:val="00BE6E05"/>
    <w:rsid w:val="00BE71C0"/>
    <w:rsid w:val="00BE7673"/>
    <w:rsid w:val="00BE76C9"/>
    <w:rsid w:val="00BE7726"/>
    <w:rsid w:val="00BE7795"/>
    <w:rsid w:val="00BE7932"/>
    <w:rsid w:val="00BE7934"/>
    <w:rsid w:val="00BE7980"/>
    <w:rsid w:val="00BE7985"/>
    <w:rsid w:val="00BE7A5E"/>
    <w:rsid w:val="00BE7AA9"/>
    <w:rsid w:val="00BF0358"/>
    <w:rsid w:val="00BF05AD"/>
    <w:rsid w:val="00BF05B8"/>
    <w:rsid w:val="00BF071E"/>
    <w:rsid w:val="00BF08F7"/>
    <w:rsid w:val="00BF0923"/>
    <w:rsid w:val="00BF0967"/>
    <w:rsid w:val="00BF0A30"/>
    <w:rsid w:val="00BF0D3B"/>
    <w:rsid w:val="00BF0D6E"/>
    <w:rsid w:val="00BF0DFB"/>
    <w:rsid w:val="00BF1175"/>
    <w:rsid w:val="00BF129A"/>
    <w:rsid w:val="00BF1312"/>
    <w:rsid w:val="00BF1317"/>
    <w:rsid w:val="00BF14D7"/>
    <w:rsid w:val="00BF155E"/>
    <w:rsid w:val="00BF1693"/>
    <w:rsid w:val="00BF19CE"/>
    <w:rsid w:val="00BF1A26"/>
    <w:rsid w:val="00BF1B7A"/>
    <w:rsid w:val="00BF1EE5"/>
    <w:rsid w:val="00BF2144"/>
    <w:rsid w:val="00BF2360"/>
    <w:rsid w:val="00BF23C8"/>
    <w:rsid w:val="00BF25F8"/>
    <w:rsid w:val="00BF286B"/>
    <w:rsid w:val="00BF28BD"/>
    <w:rsid w:val="00BF2935"/>
    <w:rsid w:val="00BF2974"/>
    <w:rsid w:val="00BF29E2"/>
    <w:rsid w:val="00BF2C20"/>
    <w:rsid w:val="00BF2E8C"/>
    <w:rsid w:val="00BF2FAA"/>
    <w:rsid w:val="00BF34DF"/>
    <w:rsid w:val="00BF34FF"/>
    <w:rsid w:val="00BF36EC"/>
    <w:rsid w:val="00BF3A88"/>
    <w:rsid w:val="00BF3A93"/>
    <w:rsid w:val="00BF3ABE"/>
    <w:rsid w:val="00BF3AD2"/>
    <w:rsid w:val="00BF3C0E"/>
    <w:rsid w:val="00BF3CA2"/>
    <w:rsid w:val="00BF3CC5"/>
    <w:rsid w:val="00BF3FBE"/>
    <w:rsid w:val="00BF3FE3"/>
    <w:rsid w:val="00BF40D2"/>
    <w:rsid w:val="00BF42A0"/>
    <w:rsid w:val="00BF44BC"/>
    <w:rsid w:val="00BF477A"/>
    <w:rsid w:val="00BF4AC6"/>
    <w:rsid w:val="00BF4DA1"/>
    <w:rsid w:val="00BF4FDB"/>
    <w:rsid w:val="00BF5275"/>
    <w:rsid w:val="00BF5477"/>
    <w:rsid w:val="00BF54DD"/>
    <w:rsid w:val="00BF55FC"/>
    <w:rsid w:val="00BF584E"/>
    <w:rsid w:val="00BF598E"/>
    <w:rsid w:val="00BF5C86"/>
    <w:rsid w:val="00BF5EDF"/>
    <w:rsid w:val="00BF5F04"/>
    <w:rsid w:val="00BF5FD4"/>
    <w:rsid w:val="00BF610C"/>
    <w:rsid w:val="00BF629F"/>
    <w:rsid w:val="00BF63DF"/>
    <w:rsid w:val="00BF64EC"/>
    <w:rsid w:val="00BF6866"/>
    <w:rsid w:val="00BF6878"/>
    <w:rsid w:val="00BF6BB8"/>
    <w:rsid w:val="00BF6C10"/>
    <w:rsid w:val="00BF6C92"/>
    <w:rsid w:val="00BF6C9E"/>
    <w:rsid w:val="00BF6D9C"/>
    <w:rsid w:val="00BF7043"/>
    <w:rsid w:val="00BF70C3"/>
    <w:rsid w:val="00BF7189"/>
    <w:rsid w:val="00BF761B"/>
    <w:rsid w:val="00BF7786"/>
    <w:rsid w:val="00BF7831"/>
    <w:rsid w:val="00BF79F9"/>
    <w:rsid w:val="00BF7B29"/>
    <w:rsid w:val="00BF7B43"/>
    <w:rsid w:val="00BF7DA2"/>
    <w:rsid w:val="00BF7EB6"/>
    <w:rsid w:val="00BF7F4E"/>
    <w:rsid w:val="00C001CE"/>
    <w:rsid w:val="00C002A6"/>
    <w:rsid w:val="00C004AB"/>
    <w:rsid w:val="00C00519"/>
    <w:rsid w:val="00C0060B"/>
    <w:rsid w:val="00C00658"/>
    <w:rsid w:val="00C0071A"/>
    <w:rsid w:val="00C007D0"/>
    <w:rsid w:val="00C009DC"/>
    <w:rsid w:val="00C00B35"/>
    <w:rsid w:val="00C00E40"/>
    <w:rsid w:val="00C011F4"/>
    <w:rsid w:val="00C0122B"/>
    <w:rsid w:val="00C01338"/>
    <w:rsid w:val="00C01405"/>
    <w:rsid w:val="00C01564"/>
    <w:rsid w:val="00C0164A"/>
    <w:rsid w:val="00C0179B"/>
    <w:rsid w:val="00C017F3"/>
    <w:rsid w:val="00C01910"/>
    <w:rsid w:val="00C019FB"/>
    <w:rsid w:val="00C01A6C"/>
    <w:rsid w:val="00C01A9C"/>
    <w:rsid w:val="00C01BC6"/>
    <w:rsid w:val="00C01C05"/>
    <w:rsid w:val="00C01C13"/>
    <w:rsid w:val="00C01D13"/>
    <w:rsid w:val="00C01DFA"/>
    <w:rsid w:val="00C01F9C"/>
    <w:rsid w:val="00C020D1"/>
    <w:rsid w:val="00C022C8"/>
    <w:rsid w:val="00C023F3"/>
    <w:rsid w:val="00C02571"/>
    <w:rsid w:val="00C02579"/>
    <w:rsid w:val="00C02651"/>
    <w:rsid w:val="00C026F5"/>
    <w:rsid w:val="00C0271C"/>
    <w:rsid w:val="00C0277D"/>
    <w:rsid w:val="00C02ABB"/>
    <w:rsid w:val="00C02ADD"/>
    <w:rsid w:val="00C02D89"/>
    <w:rsid w:val="00C02EDB"/>
    <w:rsid w:val="00C02F26"/>
    <w:rsid w:val="00C033D5"/>
    <w:rsid w:val="00C03414"/>
    <w:rsid w:val="00C0341E"/>
    <w:rsid w:val="00C0348E"/>
    <w:rsid w:val="00C034F6"/>
    <w:rsid w:val="00C03710"/>
    <w:rsid w:val="00C03781"/>
    <w:rsid w:val="00C03854"/>
    <w:rsid w:val="00C0385A"/>
    <w:rsid w:val="00C0385B"/>
    <w:rsid w:val="00C03FDF"/>
    <w:rsid w:val="00C04034"/>
    <w:rsid w:val="00C04614"/>
    <w:rsid w:val="00C04673"/>
    <w:rsid w:val="00C04C58"/>
    <w:rsid w:val="00C04E55"/>
    <w:rsid w:val="00C04F17"/>
    <w:rsid w:val="00C04F5C"/>
    <w:rsid w:val="00C05169"/>
    <w:rsid w:val="00C053A1"/>
    <w:rsid w:val="00C054EC"/>
    <w:rsid w:val="00C05503"/>
    <w:rsid w:val="00C0576E"/>
    <w:rsid w:val="00C057DE"/>
    <w:rsid w:val="00C05B19"/>
    <w:rsid w:val="00C05B6A"/>
    <w:rsid w:val="00C05BB1"/>
    <w:rsid w:val="00C05C80"/>
    <w:rsid w:val="00C05EEC"/>
    <w:rsid w:val="00C05F11"/>
    <w:rsid w:val="00C06078"/>
    <w:rsid w:val="00C0611F"/>
    <w:rsid w:val="00C061B4"/>
    <w:rsid w:val="00C06305"/>
    <w:rsid w:val="00C0630A"/>
    <w:rsid w:val="00C0653F"/>
    <w:rsid w:val="00C06841"/>
    <w:rsid w:val="00C06879"/>
    <w:rsid w:val="00C06CDB"/>
    <w:rsid w:val="00C071DA"/>
    <w:rsid w:val="00C073B3"/>
    <w:rsid w:val="00C07595"/>
    <w:rsid w:val="00C07958"/>
    <w:rsid w:val="00C07B63"/>
    <w:rsid w:val="00C07BC2"/>
    <w:rsid w:val="00C07C3B"/>
    <w:rsid w:val="00C07C79"/>
    <w:rsid w:val="00C1022C"/>
    <w:rsid w:val="00C1069C"/>
    <w:rsid w:val="00C10790"/>
    <w:rsid w:val="00C10908"/>
    <w:rsid w:val="00C10B3D"/>
    <w:rsid w:val="00C10F82"/>
    <w:rsid w:val="00C10FD0"/>
    <w:rsid w:val="00C11016"/>
    <w:rsid w:val="00C11096"/>
    <w:rsid w:val="00C112B6"/>
    <w:rsid w:val="00C11406"/>
    <w:rsid w:val="00C114B8"/>
    <w:rsid w:val="00C11613"/>
    <w:rsid w:val="00C11BD2"/>
    <w:rsid w:val="00C11C76"/>
    <w:rsid w:val="00C11CF8"/>
    <w:rsid w:val="00C11D0F"/>
    <w:rsid w:val="00C11D87"/>
    <w:rsid w:val="00C11E1A"/>
    <w:rsid w:val="00C11E1F"/>
    <w:rsid w:val="00C12040"/>
    <w:rsid w:val="00C12052"/>
    <w:rsid w:val="00C12070"/>
    <w:rsid w:val="00C121CE"/>
    <w:rsid w:val="00C123CA"/>
    <w:rsid w:val="00C12658"/>
    <w:rsid w:val="00C12689"/>
    <w:rsid w:val="00C12794"/>
    <w:rsid w:val="00C12BC4"/>
    <w:rsid w:val="00C12BE9"/>
    <w:rsid w:val="00C12CEE"/>
    <w:rsid w:val="00C13148"/>
    <w:rsid w:val="00C1331E"/>
    <w:rsid w:val="00C1335E"/>
    <w:rsid w:val="00C133CF"/>
    <w:rsid w:val="00C133F8"/>
    <w:rsid w:val="00C1344D"/>
    <w:rsid w:val="00C13961"/>
    <w:rsid w:val="00C13AAC"/>
    <w:rsid w:val="00C13B99"/>
    <w:rsid w:val="00C13BA9"/>
    <w:rsid w:val="00C13ED8"/>
    <w:rsid w:val="00C14170"/>
    <w:rsid w:val="00C143B2"/>
    <w:rsid w:val="00C1452D"/>
    <w:rsid w:val="00C14536"/>
    <w:rsid w:val="00C14623"/>
    <w:rsid w:val="00C146D1"/>
    <w:rsid w:val="00C14A2B"/>
    <w:rsid w:val="00C14A4A"/>
    <w:rsid w:val="00C14AAA"/>
    <w:rsid w:val="00C14C1F"/>
    <w:rsid w:val="00C14DD7"/>
    <w:rsid w:val="00C14EFA"/>
    <w:rsid w:val="00C14F4B"/>
    <w:rsid w:val="00C14F5F"/>
    <w:rsid w:val="00C15063"/>
    <w:rsid w:val="00C153D6"/>
    <w:rsid w:val="00C155C4"/>
    <w:rsid w:val="00C1576E"/>
    <w:rsid w:val="00C1579A"/>
    <w:rsid w:val="00C15937"/>
    <w:rsid w:val="00C15B28"/>
    <w:rsid w:val="00C15B91"/>
    <w:rsid w:val="00C15BFF"/>
    <w:rsid w:val="00C15C16"/>
    <w:rsid w:val="00C15CA9"/>
    <w:rsid w:val="00C15DE9"/>
    <w:rsid w:val="00C160C9"/>
    <w:rsid w:val="00C160ED"/>
    <w:rsid w:val="00C16174"/>
    <w:rsid w:val="00C16198"/>
    <w:rsid w:val="00C162AC"/>
    <w:rsid w:val="00C16338"/>
    <w:rsid w:val="00C164A1"/>
    <w:rsid w:val="00C167A9"/>
    <w:rsid w:val="00C168A9"/>
    <w:rsid w:val="00C16980"/>
    <w:rsid w:val="00C169D4"/>
    <w:rsid w:val="00C16C2D"/>
    <w:rsid w:val="00C174E3"/>
    <w:rsid w:val="00C1778D"/>
    <w:rsid w:val="00C1792B"/>
    <w:rsid w:val="00C1797E"/>
    <w:rsid w:val="00C17B08"/>
    <w:rsid w:val="00C17BA4"/>
    <w:rsid w:val="00C17C2D"/>
    <w:rsid w:val="00C17F6A"/>
    <w:rsid w:val="00C17FB8"/>
    <w:rsid w:val="00C201EC"/>
    <w:rsid w:val="00C20288"/>
    <w:rsid w:val="00C2028B"/>
    <w:rsid w:val="00C20406"/>
    <w:rsid w:val="00C204AE"/>
    <w:rsid w:val="00C2072E"/>
    <w:rsid w:val="00C2083D"/>
    <w:rsid w:val="00C209FF"/>
    <w:rsid w:val="00C20AC0"/>
    <w:rsid w:val="00C20C2A"/>
    <w:rsid w:val="00C20C37"/>
    <w:rsid w:val="00C20D67"/>
    <w:rsid w:val="00C20E63"/>
    <w:rsid w:val="00C20E8C"/>
    <w:rsid w:val="00C21197"/>
    <w:rsid w:val="00C2123A"/>
    <w:rsid w:val="00C212D8"/>
    <w:rsid w:val="00C2135D"/>
    <w:rsid w:val="00C2181C"/>
    <w:rsid w:val="00C21B54"/>
    <w:rsid w:val="00C2237C"/>
    <w:rsid w:val="00C228B1"/>
    <w:rsid w:val="00C22969"/>
    <w:rsid w:val="00C229CA"/>
    <w:rsid w:val="00C22A03"/>
    <w:rsid w:val="00C22D02"/>
    <w:rsid w:val="00C22D36"/>
    <w:rsid w:val="00C22F87"/>
    <w:rsid w:val="00C23072"/>
    <w:rsid w:val="00C2310C"/>
    <w:rsid w:val="00C23130"/>
    <w:rsid w:val="00C23290"/>
    <w:rsid w:val="00C2344C"/>
    <w:rsid w:val="00C239EA"/>
    <w:rsid w:val="00C23CBF"/>
    <w:rsid w:val="00C23DFC"/>
    <w:rsid w:val="00C23E71"/>
    <w:rsid w:val="00C23EA0"/>
    <w:rsid w:val="00C240F2"/>
    <w:rsid w:val="00C24260"/>
    <w:rsid w:val="00C242BC"/>
    <w:rsid w:val="00C242FE"/>
    <w:rsid w:val="00C24466"/>
    <w:rsid w:val="00C24690"/>
    <w:rsid w:val="00C246B9"/>
    <w:rsid w:val="00C247EE"/>
    <w:rsid w:val="00C2485E"/>
    <w:rsid w:val="00C249FC"/>
    <w:rsid w:val="00C24A53"/>
    <w:rsid w:val="00C24AC4"/>
    <w:rsid w:val="00C24B65"/>
    <w:rsid w:val="00C24EA6"/>
    <w:rsid w:val="00C24EBC"/>
    <w:rsid w:val="00C24F3A"/>
    <w:rsid w:val="00C2518A"/>
    <w:rsid w:val="00C251B6"/>
    <w:rsid w:val="00C254B1"/>
    <w:rsid w:val="00C25755"/>
    <w:rsid w:val="00C25A5A"/>
    <w:rsid w:val="00C25B46"/>
    <w:rsid w:val="00C25D39"/>
    <w:rsid w:val="00C25F65"/>
    <w:rsid w:val="00C25F84"/>
    <w:rsid w:val="00C25FFB"/>
    <w:rsid w:val="00C260DC"/>
    <w:rsid w:val="00C2625F"/>
    <w:rsid w:val="00C263C1"/>
    <w:rsid w:val="00C263CC"/>
    <w:rsid w:val="00C264DE"/>
    <w:rsid w:val="00C264F9"/>
    <w:rsid w:val="00C2679D"/>
    <w:rsid w:val="00C26985"/>
    <w:rsid w:val="00C26A4F"/>
    <w:rsid w:val="00C26A75"/>
    <w:rsid w:val="00C26AB6"/>
    <w:rsid w:val="00C26C71"/>
    <w:rsid w:val="00C26E33"/>
    <w:rsid w:val="00C270BE"/>
    <w:rsid w:val="00C27157"/>
    <w:rsid w:val="00C272CF"/>
    <w:rsid w:val="00C2734C"/>
    <w:rsid w:val="00C2737C"/>
    <w:rsid w:val="00C275A4"/>
    <w:rsid w:val="00C277BD"/>
    <w:rsid w:val="00C27916"/>
    <w:rsid w:val="00C279D7"/>
    <w:rsid w:val="00C27A88"/>
    <w:rsid w:val="00C27DAD"/>
    <w:rsid w:val="00C30037"/>
    <w:rsid w:val="00C303B6"/>
    <w:rsid w:val="00C303DF"/>
    <w:rsid w:val="00C30651"/>
    <w:rsid w:val="00C3092C"/>
    <w:rsid w:val="00C30C5E"/>
    <w:rsid w:val="00C30D90"/>
    <w:rsid w:val="00C30D9E"/>
    <w:rsid w:val="00C30F95"/>
    <w:rsid w:val="00C310EB"/>
    <w:rsid w:val="00C31270"/>
    <w:rsid w:val="00C312C6"/>
    <w:rsid w:val="00C316E3"/>
    <w:rsid w:val="00C3187E"/>
    <w:rsid w:val="00C3191A"/>
    <w:rsid w:val="00C31927"/>
    <w:rsid w:val="00C31CA7"/>
    <w:rsid w:val="00C31E65"/>
    <w:rsid w:val="00C32117"/>
    <w:rsid w:val="00C322EB"/>
    <w:rsid w:val="00C326EA"/>
    <w:rsid w:val="00C327C5"/>
    <w:rsid w:val="00C32932"/>
    <w:rsid w:val="00C32C59"/>
    <w:rsid w:val="00C32D1E"/>
    <w:rsid w:val="00C330CE"/>
    <w:rsid w:val="00C331E0"/>
    <w:rsid w:val="00C332B5"/>
    <w:rsid w:val="00C332CD"/>
    <w:rsid w:val="00C33302"/>
    <w:rsid w:val="00C334C7"/>
    <w:rsid w:val="00C33587"/>
    <w:rsid w:val="00C33799"/>
    <w:rsid w:val="00C33EC8"/>
    <w:rsid w:val="00C340D7"/>
    <w:rsid w:val="00C34277"/>
    <w:rsid w:val="00C347C1"/>
    <w:rsid w:val="00C347FA"/>
    <w:rsid w:val="00C34948"/>
    <w:rsid w:val="00C349B6"/>
    <w:rsid w:val="00C34A05"/>
    <w:rsid w:val="00C34B20"/>
    <w:rsid w:val="00C34E3D"/>
    <w:rsid w:val="00C34F75"/>
    <w:rsid w:val="00C3501F"/>
    <w:rsid w:val="00C35040"/>
    <w:rsid w:val="00C35302"/>
    <w:rsid w:val="00C35483"/>
    <w:rsid w:val="00C3561A"/>
    <w:rsid w:val="00C35663"/>
    <w:rsid w:val="00C356C2"/>
    <w:rsid w:val="00C3570A"/>
    <w:rsid w:val="00C3581F"/>
    <w:rsid w:val="00C35CCE"/>
    <w:rsid w:val="00C35CF7"/>
    <w:rsid w:val="00C35EB7"/>
    <w:rsid w:val="00C36583"/>
    <w:rsid w:val="00C365EC"/>
    <w:rsid w:val="00C36774"/>
    <w:rsid w:val="00C36BF8"/>
    <w:rsid w:val="00C36F3E"/>
    <w:rsid w:val="00C3702D"/>
    <w:rsid w:val="00C370FE"/>
    <w:rsid w:val="00C37210"/>
    <w:rsid w:val="00C37286"/>
    <w:rsid w:val="00C374B4"/>
    <w:rsid w:val="00C37549"/>
    <w:rsid w:val="00C37555"/>
    <w:rsid w:val="00C37653"/>
    <w:rsid w:val="00C37666"/>
    <w:rsid w:val="00C37679"/>
    <w:rsid w:val="00C37818"/>
    <w:rsid w:val="00C3790D"/>
    <w:rsid w:val="00C37C5C"/>
    <w:rsid w:val="00C37C5F"/>
    <w:rsid w:val="00C4008D"/>
    <w:rsid w:val="00C4014C"/>
    <w:rsid w:val="00C401B5"/>
    <w:rsid w:val="00C4032F"/>
    <w:rsid w:val="00C404DD"/>
    <w:rsid w:val="00C405DC"/>
    <w:rsid w:val="00C40622"/>
    <w:rsid w:val="00C406C2"/>
    <w:rsid w:val="00C40701"/>
    <w:rsid w:val="00C40944"/>
    <w:rsid w:val="00C409C3"/>
    <w:rsid w:val="00C409C5"/>
    <w:rsid w:val="00C40AB4"/>
    <w:rsid w:val="00C40AB8"/>
    <w:rsid w:val="00C40AB9"/>
    <w:rsid w:val="00C40F0F"/>
    <w:rsid w:val="00C40F50"/>
    <w:rsid w:val="00C40FA1"/>
    <w:rsid w:val="00C41039"/>
    <w:rsid w:val="00C413B6"/>
    <w:rsid w:val="00C413C3"/>
    <w:rsid w:val="00C413E9"/>
    <w:rsid w:val="00C41419"/>
    <w:rsid w:val="00C41831"/>
    <w:rsid w:val="00C41ADD"/>
    <w:rsid w:val="00C41C25"/>
    <w:rsid w:val="00C41DC0"/>
    <w:rsid w:val="00C41E34"/>
    <w:rsid w:val="00C41F21"/>
    <w:rsid w:val="00C420C6"/>
    <w:rsid w:val="00C420D5"/>
    <w:rsid w:val="00C421C3"/>
    <w:rsid w:val="00C42205"/>
    <w:rsid w:val="00C422E0"/>
    <w:rsid w:val="00C422E4"/>
    <w:rsid w:val="00C4234E"/>
    <w:rsid w:val="00C424A0"/>
    <w:rsid w:val="00C424BC"/>
    <w:rsid w:val="00C4252F"/>
    <w:rsid w:val="00C42600"/>
    <w:rsid w:val="00C42876"/>
    <w:rsid w:val="00C42A0C"/>
    <w:rsid w:val="00C42A62"/>
    <w:rsid w:val="00C42BF0"/>
    <w:rsid w:val="00C42C28"/>
    <w:rsid w:val="00C42E85"/>
    <w:rsid w:val="00C42F92"/>
    <w:rsid w:val="00C430BF"/>
    <w:rsid w:val="00C430C8"/>
    <w:rsid w:val="00C4326A"/>
    <w:rsid w:val="00C43275"/>
    <w:rsid w:val="00C43456"/>
    <w:rsid w:val="00C434D8"/>
    <w:rsid w:val="00C4363F"/>
    <w:rsid w:val="00C436D1"/>
    <w:rsid w:val="00C436D3"/>
    <w:rsid w:val="00C4378E"/>
    <w:rsid w:val="00C437EC"/>
    <w:rsid w:val="00C438A3"/>
    <w:rsid w:val="00C438E4"/>
    <w:rsid w:val="00C43AB0"/>
    <w:rsid w:val="00C43C94"/>
    <w:rsid w:val="00C43D19"/>
    <w:rsid w:val="00C43D37"/>
    <w:rsid w:val="00C43E1D"/>
    <w:rsid w:val="00C43E4C"/>
    <w:rsid w:val="00C44047"/>
    <w:rsid w:val="00C44095"/>
    <w:rsid w:val="00C44200"/>
    <w:rsid w:val="00C44344"/>
    <w:rsid w:val="00C443E6"/>
    <w:rsid w:val="00C44461"/>
    <w:rsid w:val="00C446E7"/>
    <w:rsid w:val="00C449E4"/>
    <w:rsid w:val="00C44A4B"/>
    <w:rsid w:val="00C4505A"/>
    <w:rsid w:val="00C4507E"/>
    <w:rsid w:val="00C450CA"/>
    <w:rsid w:val="00C4513B"/>
    <w:rsid w:val="00C45155"/>
    <w:rsid w:val="00C45261"/>
    <w:rsid w:val="00C453F1"/>
    <w:rsid w:val="00C4545C"/>
    <w:rsid w:val="00C45500"/>
    <w:rsid w:val="00C45705"/>
    <w:rsid w:val="00C45768"/>
    <w:rsid w:val="00C45A70"/>
    <w:rsid w:val="00C45D98"/>
    <w:rsid w:val="00C45DA1"/>
    <w:rsid w:val="00C45EF3"/>
    <w:rsid w:val="00C460E7"/>
    <w:rsid w:val="00C46329"/>
    <w:rsid w:val="00C463CF"/>
    <w:rsid w:val="00C46466"/>
    <w:rsid w:val="00C46A6F"/>
    <w:rsid w:val="00C46B00"/>
    <w:rsid w:val="00C46BBA"/>
    <w:rsid w:val="00C46D2F"/>
    <w:rsid w:val="00C46D75"/>
    <w:rsid w:val="00C46E2A"/>
    <w:rsid w:val="00C46EDB"/>
    <w:rsid w:val="00C46F34"/>
    <w:rsid w:val="00C47093"/>
    <w:rsid w:val="00C47151"/>
    <w:rsid w:val="00C473A6"/>
    <w:rsid w:val="00C4745C"/>
    <w:rsid w:val="00C474CE"/>
    <w:rsid w:val="00C475E1"/>
    <w:rsid w:val="00C47948"/>
    <w:rsid w:val="00C47AA9"/>
    <w:rsid w:val="00C47AAB"/>
    <w:rsid w:val="00C47B14"/>
    <w:rsid w:val="00C47CDF"/>
    <w:rsid w:val="00C47D56"/>
    <w:rsid w:val="00C47E40"/>
    <w:rsid w:val="00C47F44"/>
    <w:rsid w:val="00C47F72"/>
    <w:rsid w:val="00C50054"/>
    <w:rsid w:val="00C501AB"/>
    <w:rsid w:val="00C501B9"/>
    <w:rsid w:val="00C502E0"/>
    <w:rsid w:val="00C50343"/>
    <w:rsid w:val="00C506D2"/>
    <w:rsid w:val="00C507B8"/>
    <w:rsid w:val="00C50967"/>
    <w:rsid w:val="00C50B73"/>
    <w:rsid w:val="00C50B7A"/>
    <w:rsid w:val="00C50CEF"/>
    <w:rsid w:val="00C50F70"/>
    <w:rsid w:val="00C5114B"/>
    <w:rsid w:val="00C51210"/>
    <w:rsid w:val="00C512FD"/>
    <w:rsid w:val="00C5138C"/>
    <w:rsid w:val="00C5153D"/>
    <w:rsid w:val="00C51646"/>
    <w:rsid w:val="00C516A4"/>
    <w:rsid w:val="00C516EA"/>
    <w:rsid w:val="00C51719"/>
    <w:rsid w:val="00C51774"/>
    <w:rsid w:val="00C51985"/>
    <w:rsid w:val="00C51A69"/>
    <w:rsid w:val="00C51B92"/>
    <w:rsid w:val="00C51E53"/>
    <w:rsid w:val="00C51F51"/>
    <w:rsid w:val="00C51F60"/>
    <w:rsid w:val="00C52122"/>
    <w:rsid w:val="00C52123"/>
    <w:rsid w:val="00C52422"/>
    <w:rsid w:val="00C5274E"/>
    <w:rsid w:val="00C527FE"/>
    <w:rsid w:val="00C52947"/>
    <w:rsid w:val="00C52B8F"/>
    <w:rsid w:val="00C52D57"/>
    <w:rsid w:val="00C52E73"/>
    <w:rsid w:val="00C532A3"/>
    <w:rsid w:val="00C535BF"/>
    <w:rsid w:val="00C53689"/>
    <w:rsid w:val="00C5375C"/>
    <w:rsid w:val="00C5389D"/>
    <w:rsid w:val="00C53BD2"/>
    <w:rsid w:val="00C53C66"/>
    <w:rsid w:val="00C53C88"/>
    <w:rsid w:val="00C53CAA"/>
    <w:rsid w:val="00C53CC4"/>
    <w:rsid w:val="00C53D72"/>
    <w:rsid w:val="00C53F1A"/>
    <w:rsid w:val="00C5413A"/>
    <w:rsid w:val="00C5413F"/>
    <w:rsid w:val="00C54375"/>
    <w:rsid w:val="00C54472"/>
    <w:rsid w:val="00C54669"/>
    <w:rsid w:val="00C5498F"/>
    <w:rsid w:val="00C54AAF"/>
    <w:rsid w:val="00C54CCF"/>
    <w:rsid w:val="00C54CFA"/>
    <w:rsid w:val="00C54D59"/>
    <w:rsid w:val="00C54F0C"/>
    <w:rsid w:val="00C54F79"/>
    <w:rsid w:val="00C54FE5"/>
    <w:rsid w:val="00C55054"/>
    <w:rsid w:val="00C55235"/>
    <w:rsid w:val="00C553FE"/>
    <w:rsid w:val="00C55667"/>
    <w:rsid w:val="00C557A0"/>
    <w:rsid w:val="00C5596F"/>
    <w:rsid w:val="00C559CB"/>
    <w:rsid w:val="00C559DF"/>
    <w:rsid w:val="00C55A48"/>
    <w:rsid w:val="00C55ABB"/>
    <w:rsid w:val="00C55C13"/>
    <w:rsid w:val="00C55CAF"/>
    <w:rsid w:val="00C55D7B"/>
    <w:rsid w:val="00C55F61"/>
    <w:rsid w:val="00C56015"/>
    <w:rsid w:val="00C56029"/>
    <w:rsid w:val="00C560FA"/>
    <w:rsid w:val="00C56356"/>
    <w:rsid w:val="00C5643E"/>
    <w:rsid w:val="00C564FA"/>
    <w:rsid w:val="00C56802"/>
    <w:rsid w:val="00C568D0"/>
    <w:rsid w:val="00C5698B"/>
    <w:rsid w:val="00C56A0F"/>
    <w:rsid w:val="00C56D53"/>
    <w:rsid w:val="00C5700F"/>
    <w:rsid w:val="00C570D3"/>
    <w:rsid w:val="00C57194"/>
    <w:rsid w:val="00C571C3"/>
    <w:rsid w:val="00C57249"/>
    <w:rsid w:val="00C573A7"/>
    <w:rsid w:val="00C57582"/>
    <w:rsid w:val="00C57718"/>
    <w:rsid w:val="00C577A9"/>
    <w:rsid w:val="00C57909"/>
    <w:rsid w:val="00C57975"/>
    <w:rsid w:val="00C5799F"/>
    <w:rsid w:val="00C57AE8"/>
    <w:rsid w:val="00C57B61"/>
    <w:rsid w:val="00C57C2F"/>
    <w:rsid w:val="00C57C4D"/>
    <w:rsid w:val="00C57DC0"/>
    <w:rsid w:val="00C606E4"/>
    <w:rsid w:val="00C6087F"/>
    <w:rsid w:val="00C60A6E"/>
    <w:rsid w:val="00C60A7F"/>
    <w:rsid w:val="00C60EA0"/>
    <w:rsid w:val="00C60ED1"/>
    <w:rsid w:val="00C60F76"/>
    <w:rsid w:val="00C60FF9"/>
    <w:rsid w:val="00C61038"/>
    <w:rsid w:val="00C61532"/>
    <w:rsid w:val="00C61565"/>
    <w:rsid w:val="00C616CF"/>
    <w:rsid w:val="00C6173D"/>
    <w:rsid w:val="00C6178C"/>
    <w:rsid w:val="00C617B6"/>
    <w:rsid w:val="00C617BC"/>
    <w:rsid w:val="00C61A5D"/>
    <w:rsid w:val="00C61B4C"/>
    <w:rsid w:val="00C61C60"/>
    <w:rsid w:val="00C61CDD"/>
    <w:rsid w:val="00C61DE6"/>
    <w:rsid w:val="00C61DE8"/>
    <w:rsid w:val="00C61E7E"/>
    <w:rsid w:val="00C6257A"/>
    <w:rsid w:val="00C62599"/>
    <w:rsid w:val="00C62789"/>
    <w:rsid w:val="00C62A33"/>
    <w:rsid w:val="00C62AFE"/>
    <w:rsid w:val="00C62B47"/>
    <w:rsid w:val="00C62B69"/>
    <w:rsid w:val="00C62B95"/>
    <w:rsid w:val="00C62C53"/>
    <w:rsid w:val="00C62D9F"/>
    <w:rsid w:val="00C630DC"/>
    <w:rsid w:val="00C630F0"/>
    <w:rsid w:val="00C6313B"/>
    <w:rsid w:val="00C6316B"/>
    <w:rsid w:val="00C6361E"/>
    <w:rsid w:val="00C636B0"/>
    <w:rsid w:val="00C636F9"/>
    <w:rsid w:val="00C638E3"/>
    <w:rsid w:val="00C638F8"/>
    <w:rsid w:val="00C639EE"/>
    <w:rsid w:val="00C639F8"/>
    <w:rsid w:val="00C63E44"/>
    <w:rsid w:val="00C63ED2"/>
    <w:rsid w:val="00C640FB"/>
    <w:rsid w:val="00C64267"/>
    <w:rsid w:val="00C64346"/>
    <w:rsid w:val="00C643D4"/>
    <w:rsid w:val="00C6442B"/>
    <w:rsid w:val="00C644AE"/>
    <w:rsid w:val="00C646D3"/>
    <w:rsid w:val="00C64872"/>
    <w:rsid w:val="00C649CA"/>
    <w:rsid w:val="00C64AA5"/>
    <w:rsid w:val="00C64C7F"/>
    <w:rsid w:val="00C64C8E"/>
    <w:rsid w:val="00C64CD0"/>
    <w:rsid w:val="00C64D18"/>
    <w:rsid w:val="00C64D35"/>
    <w:rsid w:val="00C64D56"/>
    <w:rsid w:val="00C64D7F"/>
    <w:rsid w:val="00C65212"/>
    <w:rsid w:val="00C65388"/>
    <w:rsid w:val="00C65475"/>
    <w:rsid w:val="00C65553"/>
    <w:rsid w:val="00C65572"/>
    <w:rsid w:val="00C6593E"/>
    <w:rsid w:val="00C65C6A"/>
    <w:rsid w:val="00C65CEA"/>
    <w:rsid w:val="00C65D5A"/>
    <w:rsid w:val="00C65F61"/>
    <w:rsid w:val="00C6610D"/>
    <w:rsid w:val="00C662BC"/>
    <w:rsid w:val="00C66448"/>
    <w:rsid w:val="00C66473"/>
    <w:rsid w:val="00C667F2"/>
    <w:rsid w:val="00C6684F"/>
    <w:rsid w:val="00C66881"/>
    <w:rsid w:val="00C669E6"/>
    <w:rsid w:val="00C66ABD"/>
    <w:rsid w:val="00C66B3B"/>
    <w:rsid w:val="00C66E36"/>
    <w:rsid w:val="00C66EC8"/>
    <w:rsid w:val="00C66FA0"/>
    <w:rsid w:val="00C6701A"/>
    <w:rsid w:val="00C672AD"/>
    <w:rsid w:val="00C674F1"/>
    <w:rsid w:val="00C67524"/>
    <w:rsid w:val="00C67883"/>
    <w:rsid w:val="00C67D7D"/>
    <w:rsid w:val="00C67E2F"/>
    <w:rsid w:val="00C70339"/>
    <w:rsid w:val="00C70376"/>
    <w:rsid w:val="00C7038E"/>
    <w:rsid w:val="00C70C25"/>
    <w:rsid w:val="00C70E70"/>
    <w:rsid w:val="00C70FA3"/>
    <w:rsid w:val="00C7116E"/>
    <w:rsid w:val="00C711D2"/>
    <w:rsid w:val="00C7148E"/>
    <w:rsid w:val="00C714E1"/>
    <w:rsid w:val="00C716CE"/>
    <w:rsid w:val="00C71757"/>
    <w:rsid w:val="00C718C4"/>
    <w:rsid w:val="00C71A2F"/>
    <w:rsid w:val="00C71A4B"/>
    <w:rsid w:val="00C71A77"/>
    <w:rsid w:val="00C71AEB"/>
    <w:rsid w:val="00C71BC3"/>
    <w:rsid w:val="00C71DC6"/>
    <w:rsid w:val="00C71E9B"/>
    <w:rsid w:val="00C720AD"/>
    <w:rsid w:val="00C72204"/>
    <w:rsid w:val="00C722DB"/>
    <w:rsid w:val="00C7234A"/>
    <w:rsid w:val="00C72567"/>
    <w:rsid w:val="00C72653"/>
    <w:rsid w:val="00C727A7"/>
    <w:rsid w:val="00C7296E"/>
    <w:rsid w:val="00C72AEE"/>
    <w:rsid w:val="00C72E6E"/>
    <w:rsid w:val="00C72EBC"/>
    <w:rsid w:val="00C734B7"/>
    <w:rsid w:val="00C7355E"/>
    <w:rsid w:val="00C73645"/>
    <w:rsid w:val="00C736EA"/>
    <w:rsid w:val="00C7386B"/>
    <w:rsid w:val="00C73952"/>
    <w:rsid w:val="00C73EAB"/>
    <w:rsid w:val="00C742C8"/>
    <w:rsid w:val="00C74346"/>
    <w:rsid w:val="00C74443"/>
    <w:rsid w:val="00C7468D"/>
    <w:rsid w:val="00C746D6"/>
    <w:rsid w:val="00C747B0"/>
    <w:rsid w:val="00C74820"/>
    <w:rsid w:val="00C74A78"/>
    <w:rsid w:val="00C74B47"/>
    <w:rsid w:val="00C74C36"/>
    <w:rsid w:val="00C74D64"/>
    <w:rsid w:val="00C74EED"/>
    <w:rsid w:val="00C74F71"/>
    <w:rsid w:val="00C74FA3"/>
    <w:rsid w:val="00C75052"/>
    <w:rsid w:val="00C75247"/>
    <w:rsid w:val="00C7527E"/>
    <w:rsid w:val="00C753CA"/>
    <w:rsid w:val="00C75537"/>
    <w:rsid w:val="00C7557E"/>
    <w:rsid w:val="00C756FE"/>
    <w:rsid w:val="00C75758"/>
    <w:rsid w:val="00C7582D"/>
    <w:rsid w:val="00C759E1"/>
    <w:rsid w:val="00C75BE1"/>
    <w:rsid w:val="00C75D27"/>
    <w:rsid w:val="00C75F47"/>
    <w:rsid w:val="00C75F8D"/>
    <w:rsid w:val="00C75FFE"/>
    <w:rsid w:val="00C760AB"/>
    <w:rsid w:val="00C761A8"/>
    <w:rsid w:val="00C762BB"/>
    <w:rsid w:val="00C762D4"/>
    <w:rsid w:val="00C762EF"/>
    <w:rsid w:val="00C7644C"/>
    <w:rsid w:val="00C7661D"/>
    <w:rsid w:val="00C76759"/>
    <w:rsid w:val="00C7676B"/>
    <w:rsid w:val="00C76802"/>
    <w:rsid w:val="00C769A6"/>
    <w:rsid w:val="00C76C65"/>
    <w:rsid w:val="00C7726E"/>
    <w:rsid w:val="00C77328"/>
    <w:rsid w:val="00C77380"/>
    <w:rsid w:val="00C774D1"/>
    <w:rsid w:val="00C775DB"/>
    <w:rsid w:val="00C7765E"/>
    <w:rsid w:val="00C77A08"/>
    <w:rsid w:val="00C77B6F"/>
    <w:rsid w:val="00C77C19"/>
    <w:rsid w:val="00C77C22"/>
    <w:rsid w:val="00C77C5B"/>
    <w:rsid w:val="00C77CA7"/>
    <w:rsid w:val="00C77CD8"/>
    <w:rsid w:val="00C77EB4"/>
    <w:rsid w:val="00C77FA2"/>
    <w:rsid w:val="00C80207"/>
    <w:rsid w:val="00C8032F"/>
    <w:rsid w:val="00C80502"/>
    <w:rsid w:val="00C8066C"/>
    <w:rsid w:val="00C80747"/>
    <w:rsid w:val="00C807FE"/>
    <w:rsid w:val="00C80C8F"/>
    <w:rsid w:val="00C80D15"/>
    <w:rsid w:val="00C80E56"/>
    <w:rsid w:val="00C80EFD"/>
    <w:rsid w:val="00C810DF"/>
    <w:rsid w:val="00C8115B"/>
    <w:rsid w:val="00C812C1"/>
    <w:rsid w:val="00C813D2"/>
    <w:rsid w:val="00C81672"/>
    <w:rsid w:val="00C81724"/>
    <w:rsid w:val="00C817E4"/>
    <w:rsid w:val="00C81869"/>
    <w:rsid w:val="00C818B6"/>
    <w:rsid w:val="00C81B38"/>
    <w:rsid w:val="00C81EB1"/>
    <w:rsid w:val="00C82028"/>
    <w:rsid w:val="00C8221B"/>
    <w:rsid w:val="00C8248D"/>
    <w:rsid w:val="00C8266D"/>
    <w:rsid w:val="00C8295F"/>
    <w:rsid w:val="00C829D3"/>
    <w:rsid w:val="00C82AC6"/>
    <w:rsid w:val="00C82B83"/>
    <w:rsid w:val="00C82B99"/>
    <w:rsid w:val="00C82C86"/>
    <w:rsid w:val="00C82DA2"/>
    <w:rsid w:val="00C82DC9"/>
    <w:rsid w:val="00C82E73"/>
    <w:rsid w:val="00C82EC5"/>
    <w:rsid w:val="00C82F1E"/>
    <w:rsid w:val="00C82F39"/>
    <w:rsid w:val="00C8305A"/>
    <w:rsid w:val="00C8308F"/>
    <w:rsid w:val="00C8309A"/>
    <w:rsid w:val="00C83147"/>
    <w:rsid w:val="00C831D3"/>
    <w:rsid w:val="00C83645"/>
    <w:rsid w:val="00C8370F"/>
    <w:rsid w:val="00C83937"/>
    <w:rsid w:val="00C83ADA"/>
    <w:rsid w:val="00C83BC3"/>
    <w:rsid w:val="00C83C95"/>
    <w:rsid w:val="00C8400E"/>
    <w:rsid w:val="00C840A5"/>
    <w:rsid w:val="00C841BE"/>
    <w:rsid w:val="00C845E2"/>
    <w:rsid w:val="00C846C6"/>
    <w:rsid w:val="00C84714"/>
    <w:rsid w:val="00C84728"/>
    <w:rsid w:val="00C847A7"/>
    <w:rsid w:val="00C849AD"/>
    <w:rsid w:val="00C84B5C"/>
    <w:rsid w:val="00C84BD2"/>
    <w:rsid w:val="00C84C12"/>
    <w:rsid w:val="00C84E5F"/>
    <w:rsid w:val="00C84EDC"/>
    <w:rsid w:val="00C84F4F"/>
    <w:rsid w:val="00C8512D"/>
    <w:rsid w:val="00C85151"/>
    <w:rsid w:val="00C852A3"/>
    <w:rsid w:val="00C85326"/>
    <w:rsid w:val="00C8548B"/>
    <w:rsid w:val="00C854BF"/>
    <w:rsid w:val="00C854E9"/>
    <w:rsid w:val="00C855F9"/>
    <w:rsid w:val="00C856AD"/>
    <w:rsid w:val="00C85919"/>
    <w:rsid w:val="00C85BB7"/>
    <w:rsid w:val="00C85D15"/>
    <w:rsid w:val="00C85DAE"/>
    <w:rsid w:val="00C85EEE"/>
    <w:rsid w:val="00C865D2"/>
    <w:rsid w:val="00C867C3"/>
    <w:rsid w:val="00C86878"/>
    <w:rsid w:val="00C86B0C"/>
    <w:rsid w:val="00C86C8E"/>
    <w:rsid w:val="00C86D67"/>
    <w:rsid w:val="00C86DD7"/>
    <w:rsid w:val="00C86DED"/>
    <w:rsid w:val="00C86F7B"/>
    <w:rsid w:val="00C86FA5"/>
    <w:rsid w:val="00C87082"/>
    <w:rsid w:val="00C8710D"/>
    <w:rsid w:val="00C8715D"/>
    <w:rsid w:val="00C875F3"/>
    <w:rsid w:val="00C8772E"/>
    <w:rsid w:val="00C877BF"/>
    <w:rsid w:val="00C87903"/>
    <w:rsid w:val="00C87946"/>
    <w:rsid w:val="00C879F3"/>
    <w:rsid w:val="00C87B61"/>
    <w:rsid w:val="00C87D50"/>
    <w:rsid w:val="00C87E8A"/>
    <w:rsid w:val="00C90077"/>
    <w:rsid w:val="00C904B9"/>
    <w:rsid w:val="00C90658"/>
    <w:rsid w:val="00C907F7"/>
    <w:rsid w:val="00C908AA"/>
    <w:rsid w:val="00C90915"/>
    <w:rsid w:val="00C90AE4"/>
    <w:rsid w:val="00C90B14"/>
    <w:rsid w:val="00C90C96"/>
    <w:rsid w:val="00C90E3E"/>
    <w:rsid w:val="00C90EEF"/>
    <w:rsid w:val="00C9121F"/>
    <w:rsid w:val="00C91396"/>
    <w:rsid w:val="00C913D6"/>
    <w:rsid w:val="00C91506"/>
    <w:rsid w:val="00C915DC"/>
    <w:rsid w:val="00C91721"/>
    <w:rsid w:val="00C917E3"/>
    <w:rsid w:val="00C9185B"/>
    <w:rsid w:val="00C91A72"/>
    <w:rsid w:val="00C91ACB"/>
    <w:rsid w:val="00C91AE4"/>
    <w:rsid w:val="00C91B3E"/>
    <w:rsid w:val="00C91C8E"/>
    <w:rsid w:val="00C91EB6"/>
    <w:rsid w:val="00C9207A"/>
    <w:rsid w:val="00C9220A"/>
    <w:rsid w:val="00C922D0"/>
    <w:rsid w:val="00C9248C"/>
    <w:rsid w:val="00C92556"/>
    <w:rsid w:val="00C92776"/>
    <w:rsid w:val="00C92A8B"/>
    <w:rsid w:val="00C92CD9"/>
    <w:rsid w:val="00C92EF8"/>
    <w:rsid w:val="00C92FD4"/>
    <w:rsid w:val="00C933C5"/>
    <w:rsid w:val="00C9351C"/>
    <w:rsid w:val="00C936BF"/>
    <w:rsid w:val="00C936D6"/>
    <w:rsid w:val="00C93715"/>
    <w:rsid w:val="00C93738"/>
    <w:rsid w:val="00C93778"/>
    <w:rsid w:val="00C9378A"/>
    <w:rsid w:val="00C9385A"/>
    <w:rsid w:val="00C93956"/>
    <w:rsid w:val="00C93E7D"/>
    <w:rsid w:val="00C94055"/>
    <w:rsid w:val="00C940B5"/>
    <w:rsid w:val="00C942A6"/>
    <w:rsid w:val="00C9455A"/>
    <w:rsid w:val="00C9458D"/>
    <w:rsid w:val="00C94812"/>
    <w:rsid w:val="00C948DA"/>
    <w:rsid w:val="00C94B15"/>
    <w:rsid w:val="00C94C81"/>
    <w:rsid w:val="00C94D1C"/>
    <w:rsid w:val="00C94D9C"/>
    <w:rsid w:val="00C94FF6"/>
    <w:rsid w:val="00C9520A"/>
    <w:rsid w:val="00C95221"/>
    <w:rsid w:val="00C952B0"/>
    <w:rsid w:val="00C95349"/>
    <w:rsid w:val="00C95383"/>
    <w:rsid w:val="00C954EF"/>
    <w:rsid w:val="00C95A90"/>
    <w:rsid w:val="00C95AB2"/>
    <w:rsid w:val="00C95ABF"/>
    <w:rsid w:val="00C95AE4"/>
    <w:rsid w:val="00C961AB"/>
    <w:rsid w:val="00C961C2"/>
    <w:rsid w:val="00C96259"/>
    <w:rsid w:val="00C96316"/>
    <w:rsid w:val="00C9633A"/>
    <w:rsid w:val="00C967E7"/>
    <w:rsid w:val="00C9684B"/>
    <w:rsid w:val="00C968D7"/>
    <w:rsid w:val="00C9692E"/>
    <w:rsid w:val="00C969E2"/>
    <w:rsid w:val="00C96A0F"/>
    <w:rsid w:val="00C96A81"/>
    <w:rsid w:val="00C96B9F"/>
    <w:rsid w:val="00C96D1C"/>
    <w:rsid w:val="00C96D7C"/>
    <w:rsid w:val="00C96F8D"/>
    <w:rsid w:val="00C9707D"/>
    <w:rsid w:val="00C97189"/>
    <w:rsid w:val="00C971C2"/>
    <w:rsid w:val="00C97348"/>
    <w:rsid w:val="00C97736"/>
    <w:rsid w:val="00C9781E"/>
    <w:rsid w:val="00C97823"/>
    <w:rsid w:val="00C97964"/>
    <w:rsid w:val="00C97AB1"/>
    <w:rsid w:val="00C97ADA"/>
    <w:rsid w:val="00C97B01"/>
    <w:rsid w:val="00C97F4C"/>
    <w:rsid w:val="00C97F74"/>
    <w:rsid w:val="00CA0023"/>
    <w:rsid w:val="00CA00CC"/>
    <w:rsid w:val="00CA0158"/>
    <w:rsid w:val="00CA0287"/>
    <w:rsid w:val="00CA043C"/>
    <w:rsid w:val="00CA0789"/>
    <w:rsid w:val="00CA07BF"/>
    <w:rsid w:val="00CA0A2E"/>
    <w:rsid w:val="00CA0CDD"/>
    <w:rsid w:val="00CA0D41"/>
    <w:rsid w:val="00CA0D5C"/>
    <w:rsid w:val="00CA0E16"/>
    <w:rsid w:val="00CA0ECC"/>
    <w:rsid w:val="00CA0FCD"/>
    <w:rsid w:val="00CA109B"/>
    <w:rsid w:val="00CA12EF"/>
    <w:rsid w:val="00CA1672"/>
    <w:rsid w:val="00CA16CA"/>
    <w:rsid w:val="00CA1713"/>
    <w:rsid w:val="00CA17DD"/>
    <w:rsid w:val="00CA18C8"/>
    <w:rsid w:val="00CA18FF"/>
    <w:rsid w:val="00CA198A"/>
    <w:rsid w:val="00CA1BC0"/>
    <w:rsid w:val="00CA1C1E"/>
    <w:rsid w:val="00CA1D94"/>
    <w:rsid w:val="00CA1EF5"/>
    <w:rsid w:val="00CA2023"/>
    <w:rsid w:val="00CA21DE"/>
    <w:rsid w:val="00CA22F3"/>
    <w:rsid w:val="00CA22FE"/>
    <w:rsid w:val="00CA244E"/>
    <w:rsid w:val="00CA25CD"/>
    <w:rsid w:val="00CA2704"/>
    <w:rsid w:val="00CA275B"/>
    <w:rsid w:val="00CA28E7"/>
    <w:rsid w:val="00CA293B"/>
    <w:rsid w:val="00CA2954"/>
    <w:rsid w:val="00CA2B04"/>
    <w:rsid w:val="00CA2B88"/>
    <w:rsid w:val="00CA2D27"/>
    <w:rsid w:val="00CA2D79"/>
    <w:rsid w:val="00CA2E4A"/>
    <w:rsid w:val="00CA2E78"/>
    <w:rsid w:val="00CA2EB1"/>
    <w:rsid w:val="00CA2F9C"/>
    <w:rsid w:val="00CA2FA1"/>
    <w:rsid w:val="00CA3155"/>
    <w:rsid w:val="00CA342F"/>
    <w:rsid w:val="00CA343F"/>
    <w:rsid w:val="00CA345A"/>
    <w:rsid w:val="00CA348E"/>
    <w:rsid w:val="00CA34A3"/>
    <w:rsid w:val="00CA34AE"/>
    <w:rsid w:val="00CA3AE0"/>
    <w:rsid w:val="00CA3B3B"/>
    <w:rsid w:val="00CA3C0E"/>
    <w:rsid w:val="00CA3D83"/>
    <w:rsid w:val="00CA3DC6"/>
    <w:rsid w:val="00CA3E08"/>
    <w:rsid w:val="00CA3E26"/>
    <w:rsid w:val="00CA3F99"/>
    <w:rsid w:val="00CA403D"/>
    <w:rsid w:val="00CA4096"/>
    <w:rsid w:val="00CA43B4"/>
    <w:rsid w:val="00CA45C7"/>
    <w:rsid w:val="00CA4785"/>
    <w:rsid w:val="00CA4A3C"/>
    <w:rsid w:val="00CA4AB6"/>
    <w:rsid w:val="00CA4D44"/>
    <w:rsid w:val="00CA4DFB"/>
    <w:rsid w:val="00CA4E57"/>
    <w:rsid w:val="00CA5038"/>
    <w:rsid w:val="00CA54E6"/>
    <w:rsid w:val="00CA57DA"/>
    <w:rsid w:val="00CA5918"/>
    <w:rsid w:val="00CA5BDA"/>
    <w:rsid w:val="00CA5E61"/>
    <w:rsid w:val="00CA5F04"/>
    <w:rsid w:val="00CA6033"/>
    <w:rsid w:val="00CA609B"/>
    <w:rsid w:val="00CA631E"/>
    <w:rsid w:val="00CA6383"/>
    <w:rsid w:val="00CA63C9"/>
    <w:rsid w:val="00CA643C"/>
    <w:rsid w:val="00CA6498"/>
    <w:rsid w:val="00CA655F"/>
    <w:rsid w:val="00CA661D"/>
    <w:rsid w:val="00CA662A"/>
    <w:rsid w:val="00CA6737"/>
    <w:rsid w:val="00CA6818"/>
    <w:rsid w:val="00CA6859"/>
    <w:rsid w:val="00CA6A56"/>
    <w:rsid w:val="00CA6A87"/>
    <w:rsid w:val="00CA6DEC"/>
    <w:rsid w:val="00CA6F0F"/>
    <w:rsid w:val="00CA6F66"/>
    <w:rsid w:val="00CA7027"/>
    <w:rsid w:val="00CA7118"/>
    <w:rsid w:val="00CA71B5"/>
    <w:rsid w:val="00CA71D4"/>
    <w:rsid w:val="00CA723A"/>
    <w:rsid w:val="00CA762F"/>
    <w:rsid w:val="00CA7734"/>
    <w:rsid w:val="00CA77F7"/>
    <w:rsid w:val="00CA7925"/>
    <w:rsid w:val="00CA792E"/>
    <w:rsid w:val="00CA7C15"/>
    <w:rsid w:val="00CA7E7D"/>
    <w:rsid w:val="00CA83DD"/>
    <w:rsid w:val="00CB0264"/>
    <w:rsid w:val="00CB0347"/>
    <w:rsid w:val="00CB057E"/>
    <w:rsid w:val="00CB0613"/>
    <w:rsid w:val="00CB088C"/>
    <w:rsid w:val="00CB0995"/>
    <w:rsid w:val="00CB0BAE"/>
    <w:rsid w:val="00CB0C1A"/>
    <w:rsid w:val="00CB0E2F"/>
    <w:rsid w:val="00CB10CC"/>
    <w:rsid w:val="00CB1414"/>
    <w:rsid w:val="00CB1534"/>
    <w:rsid w:val="00CB157B"/>
    <w:rsid w:val="00CB18DC"/>
    <w:rsid w:val="00CB1A3B"/>
    <w:rsid w:val="00CB1AFF"/>
    <w:rsid w:val="00CB1C70"/>
    <w:rsid w:val="00CB1E65"/>
    <w:rsid w:val="00CB1E7A"/>
    <w:rsid w:val="00CB1E82"/>
    <w:rsid w:val="00CB2271"/>
    <w:rsid w:val="00CB2478"/>
    <w:rsid w:val="00CB2490"/>
    <w:rsid w:val="00CB2506"/>
    <w:rsid w:val="00CB26A0"/>
    <w:rsid w:val="00CB28BD"/>
    <w:rsid w:val="00CB2BC7"/>
    <w:rsid w:val="00CB2F43"/>
    <w:rsid w:val="00CB2F5B"/>
    <w:rsid w:val="00CB306D"/>
    <w:rsid w:val="00CB320F"/>
    <w:rsid w:val="00CB3303"/>
    <w:rsid w:val="00CB34E7"/>
    <w:rsid w:val="00CB352E"/>
    <w:rsid w:val="00CB3593"/>
    <w:rsid w:val="00CB3676"/>
    <w:rsid w:val="00CB3694"/>
    <w:rsid w:val="00CB373B"/>
    <w:rsid w:val="00CB37AF"/>
    <w:rsid w:val="00CB3891"/>
    <w:rsid w:val="00CB3A1B"/>
    <w:rsid w:val="00CB3D15"/>
    <w:rsid w:val="00CB3E8A"/>
    <w:rsid w:val="00CB4048"/>
    <w:rsid w:val="00CB4081"/>
    <w:rsid w:val="00CB40F0"/>
    <w:rsid w:val="00CB440D"/>
    <w:rsid w:val="00CB44DD"/>
    <w:rsid w:val="00CB455D"/>
    <w:rsid w:val="00CB45AE"/>
    <w:rsid w:val="00CB465F"/>
    <w:rsid w:val="00CB4830"/>
    <w:rsid w:val="00CB4A2F"/>
    <w:rsid w:val="00CB4BA8"/>
    <w:rsid w:val="00CB4BD1"/>
    <w:rsid w:val="00CB4C02"/>
    <w:rsid w:val="00CB4CDC"/>
    <w:rsid w:val="00CB4D6D"/>
    <w:rsid w:val="00CB4F36"/>
    <w:rsid w:val="00CB5064"/>
    <w:rsid w:val="00CB50BC"/>
    <w:rsid w:val="00CB52D7"/>
    <w:rsid w:val="00CB541A"/>
    <w:rsid w:val="00CB5464"/>
    <w:rsid w:val="00CB550D"/>
    <w:rsid w:val="00CB596B"/>
    <w:rsid w:val="00CB59B2"/>
    <w:rsid w:val="00CB5B53"/>
    <w:rsid w:val="00CB5B92"/>
    <w:rsid w:val="00CB5E2F"/>
    <w:rsid w:val="00CB6015"/>
    <w:rsid w:val="00CB6107"/>
    <w:rsid w:val="00CB6150"/>
    <w:rsid w:val="00CB6514"/>
    <w:rsid w:val="00CB6584"/>
    <w:rsid w:val="00CB66A8"/>
    <w:rsid w:val="00CB67E6"/>
    <w:rsid w:val="00CB6941"/>
    <w:rsid w:val="00CB6B5E"/>
    <w:rsid w:val="00CB6B87"/>
    <w:rsid w:val="00CB6BEE"/>
    <w:rsid w:val="00CB6C7F"/>
    <w:rsid w:val="00CB6F5B"/>
    <w:rsid w:val="00CB7095"/>
    <w:rsid w:val="00CB7350"/>
    <w:rsid w:val="00CB7394"/>
    <w:rsid w:val="00CB7411"/>
    <w:rsid w:val="00CB756D"/>
    <w:rsid w:val="00CB76C0"/>
    <w:rsid w:val="00CB7726"/>
    <w:rsid w:val="00CB783F"/>
    <w:rsid w:val="00CB7B34"/>
    <w:rsid w:val="00CB7B4F"/>
    <w:rsid w:val="00CB7C3E"/>
    <w:rsid w:val="00CB7D77"/>
    <w:rsid w:val="00CB7FE8"/>
    <w:rsid w:val="00CC0159"/>
    <w:rsid w:val="00CC01F9"/>
    <w:rsid w:val="00CC0520"/>
    <w:rsid w:val="00CC0593"/>
    <w:rsid w:val="00CC0691"/>
    <w:rsid w:val="00CC07AA"/>
    <w:rsid w:val="00CC0930"/>
    <w:rsid w:val="00CC09E9"/>
    <w:rsid w:val="00CC09F6"/>
    <w:rsid w:val="00CC0D87"/>
    <w:rsid w:val="00CC0DE2"/>
    <w:rsid w:val="00CC0F6E"/>
    <w:rsid w:val="00CC101E"/>
    <w:rsid w:val="00CC1091"/>
    <w:rsid w:val="00CC10B6"/>
    <w:rsid w:val="00CC126B"/>
    <w:rsid w:val="00CC143C"/>
    <w:rsid w:val="00CC1497"/>
    <w:rsid w:val="00CC14A6"/>
    <w:rsid w:val="00CC1675"/>
    <w:rsid w:val="00CC1866"/>
    <w:rsid w:val="00CC1AEB"/>
    <w:rsid w:val="00CC1B92"/>
    <w:rsid w:val="00CC1C21"/>
    <w:rsid w:val="00CC1D1C"/>
    <w:rsid w:val="00CC1D1F"/>
    <w:rsid w:val="00CC1D30"/>
    <w:rsid w:val="00CC1E25"/>
    <w:rsid w:val="00CC1EAC"/>
    <w:rsid w:val="00CC2020"/>
    <w:rsid w:val="00CC2111"/>
    <w:rsid w:val="00CC220E"/>
    <w:rsid w:val="00CC22E5"/>
    <w:rsid w:val="00CC2435"/>
    <w:rsid w:val="00CC264C"/>
    <w:rsid w:val="00CC2663"/>
    <w:rsid w:val="00CC27D9"/>
    <w:rsid w:val="00CC2894"/>
    <w:rsid w:val="00CC294C"/>
    <w:rsid w:val="00CC2CAD"/>
    <w:rsid w:val="00CC2D28"/>
    <w:rsid w:val="00CC2DDC"/>
    <w:rsid w:val="00CC2E00"/>
    <w:rsid w:val="00CC2E13"/>
    <w:rsid w:val="00CC2EB3"/>
    <w:rsid w:val="00CC320A"/>
    <w:rsid w:val="00CC3302"/>
    <w:rsid w:val="00CC3330"/>
    <w:rsid w:val="00CC34F7"/>
    <w:rsid w:val="00CC350D"/>
    <w:rsid w:val="00CC3535"/>
    <w:rsid w:val="00CC3752"/>
    <w:rsid w:val="00CC3833"/>
    <w:rsid w:val="00CC391F"/>
    <w:rsid w:val="00CC3999"/>
    <w:rsid w:val="00CC3A4C"/>
    <w:rsid w:val="00CC3EE3"/>
    <w:rsid w:val="00CC3FCB"/>
    <w:rsid w:val="00CC4101"/>
    <w:rsid w:val="00CC41A4"/>
    <w:rsid w:val="00CC42CA"/>
    <w:rsid w:val="00CC4363"/>
    <w:rsid w:val="00CC439E"/>
    <w:rsid w:val="00CC4826"/>
    <w:rsid w:val="00CC4921"/>
    <w:rsid w:val="00CC4C15"/>
    <w:rsid w:val="00CC4CC3"/>
    <w:rsid w:val="00CC4CD1"/>
    <w:rsid w:val="00CC4E88"/>
    <w:rsid w:val="00CC4F16"/>
    <w:rsid w:val="00CC4F66"/>
    <w:rsid w:val="00CC521C"/>
    <w:rsid w:val="00CC54DE"/>
    <w:rsid w:val="00CC54ED"/>
    <w:rsid w:val="00CC560A"/>
    <w:rsid w:val="00CC566B"/>
    <w:rsid w:val="00CC58DC"/>
    <w:rsid w:val="00CC5C67"/>
    <w:rsid w:val="00CC5D5E"/>
    <w:rsid w:val="00CC5D97"/>
    <w:rsid w:val="00CC5EBB"/>
    <w:rsid w:val="00CC606F"/>
    <w:rsid w:val="00CC60C6"/>
    <w:rsid w:val="00CC6201"/>
    <w:rsid w:val="00CC63D2"/>
    <w:rsid w:val="00CC63FF"/>
    <w:rsid w:val="00CC6405"/>
    <w:rsid w:val="00CC6732"/>
    <w:rsid w:val="00CC6740"/>
    <w:rsid w:val="00CC687D"/>
    <w:rsid w:val="00CC699D"/>
    <w:rsid w:val="00CC6B40"/>
    <w:rsid w:val="00CC6DBD"/>
    <w:rsid w:val="00CC6ECB"/>
    <w:rsid w:val="00CC6FD5"/>
    <w:rsid w:val="00CC7167"/>
    <w:rsid w:val="00CC7354"/>
    <w:rsid w:val="00CC75FA"/>
    <w:rsid w:val="00CC7722"/>
    <w:rsid w:val="00CC78AD"/>
    <w:rsid w:val="00CC78D1"/>
    <w:rsid w:val="00CC7C95"/>
    <w:rsid w:val="00CD0012"/>
    <w:rsid w:val="00CD009F"/>
    <w:rsid w:val="00CD00CC"/>
    <w:rsid w:val="00CD01A0"/>
    <w:rsid w:val="00CD0420"/>
    <w:rsid w:val="00CD04BB"/>
    <w:rsid w:val="00CD06CE"/>
    <w:rsid w:val="00CD06EF"/>
    <w:rsid w:val="00CD093D"/>
    <w:rsid w:val="00CD0AAF"/>
    <w:rsid w:val="00CD0B0B"/>
    <w:rsid w:val="00CD0D60"/>
    <w:rsid w:val="00CD0DA0"/>
    <w:rsid w:val="00CD0FFA"/>
    <w:rsid w:val="00CD1044"/>
    <w:rsid w:val="00CD10EB"/>
    <w:rsid w:val="00CD11C2"/>
    <w:rsid w:val="00CD1260"/>
    <w:rsid w:val="00CD1350"/>
    <w:rsid w:val="00CD13DA"/>
    <w:rsid w:val="00CD14ED"/>
    <w:rsid w:val="00CD2166"/>
    <w:rsid w:val="00CD21F4"/>
    <w:rsid w:val="00CD2425"/>
    <w:rsid w:val="00CD2598"/>
    <w:rsid w:val="00CD290B"/>
    <w:rsid w:val="00CD2939"/>
    <w:rsid w:val="00CD297C"/>
    <w:rsid w:val="00CD2B06"/>
    <w:rsid w:val="00CD2BFD"/>
    <w:rsid w:val="00CD2F1F"/>
    <w:rsid w:val="00CD306A"/>
    <w:rsid w:val="00CD311E"/>
    <w:rsid w:val="00CD3718"/>
    <w:rsid w:val="00CD379D"/>
    <w:rsid w:val="00CD3809"/>
    <w:rsid w:val="00CD3A47"/>
    <w:rsid w:val="00CD3C2F"/>
    <w:rsid w:val="00CD3D44"/>
    <w:rsid w:val="00CD3FF0"/>
    <w:rsid w:val="00CD4134"/>
    <w:rsid w:val="00CD41D2"/>
    <w:rsid w:val="00CD4285"/>
    <w:rsid w:val="00CD42F1"/>
    <w:rsid w:val="00CD4629"/>
    <w:rsid w:val="00CD48FA"/>
    <w:rsid w:val="00CD4A4E"/>
    <w:rsid w:val="00CD4BE6"/>
    <w:rsid w:val="00CD4ED7"/>
    <w:rsid w:val="00CD51D7"/>
    <w:rsid w:val="00CD539C"/>
    <w:rsid w:val="00CD54DD"/>
    <w:rsid w:val="00CD5B76"/>
    <w:rsid w:val="00CD5D88"/>
    <w:rsid w:val="00CD5F41"/>
    <w:rsid w:val="00CD5FAF"/>
    <w:rsid w:val="00CD6097"/>
    <w:rsid w:val="00CD60BA"/>
    <w:rsid w:val="00CD6219"/>
    <w:rsid w:val="00CD623D"/>
    <w:rsid w:val="00CD629F"/>
    <w:rsid w:val="00CD62BD"/>
    <w:rsid w:val="00CD62CC"/>
    <w:rsid w:val="00CD65FF"/>
    <w:rsid w:val="00CD66F1"/>
    <w:rsid w:val="00CD6ACF"/>
    <w:rsid w:val="00CD6BB2"/>
    <w:rsid w:val="00CD6C81"/>
    <w:rsid w:val="00CD6E09"/>
    <w:rsid w:val="00CD6F2F"/>
    <w:rsid w:val="00CD6F44"/>
    <w:rsid w:val="00CD705A"/>
    <w:rsid w:val="00CD710D"/>
    <w:rsid w:val="00CD71DA"/>
    <w:rsid w:val="00CD72BC"/>
    <w:rsid w:val="00CD740A"/>
    <w:rsid w:val="00CD7568"/>
    <w:rsid w:val="00CD7598"/>
    <w:rsid w:val="00CD75FD"/>
    <w:rsid w:val="00CD76E4"/>
    <w:rsid w:val="00CD778D"/>
    <w:rsid w:val="00CD77F8"/>
    <w:rsid w:val="00CD7899"/>
    <w:rsid w:val="00CD7AC3"/>
    <w:rsid w:val="00CD7C99"/>
    <w:rsid w:val="00CD7CAA"/>
    <w:rsid w:val="00CD7D11"/>
    <w:rsid w:val="00CD7EE5"/>
    <w:rsid w:val="00CE004C"/>
    <w:rsid w:val="00CE0376"/>
    <w:rsid w:val="00CE043B"/>
    <w:rsid w:val="00CE056F"/>
    <w:rsid w:val="00CE0746"/>
    <w:rsid w:val="00CE075E"/>
    <w:rsid w:val="00CE079E"/>
    <w:rsid w:val="00CE0893"/>
    <w:rsid w:val="00CE098A"/>
    <w:rsid w:val="00CE0B08"/>
    <w:rsid w:val="00CE0F6C"/>
    <w:rsid w:val="00CE10F2"/>
    <w:rsid w:val="00CE124D"/>
    <w:rsid w:val="00CE1436"/>
    <w:rsid w:val="00CE1581"/>
    <w:rsid w:val="00CE1686"/>
    <w:rsid w:val="00CE1817"/>
    <w:rsid w:val="00CE18A8"/>
    <w:rsid w:val="00CE1927"/>
    <w:rsid w:val="00CE1B2C"/>
    <w:rsid w:val="00CE1C81"/>
    <w:rsid w:val="00CE1E64"/>
    <w:rsid w:val="00CE2724"/>
    <w:rsid w:val="00CE2BFD"/>
    <w:rsid w:val="00CE2CB3"/>
    <w:rsid w:val="00CE2EC1"/>
    <w:rsid w:val="00CE3049"/>
    <w:rsid w:val="00CE3110"/>
    <w:rsid w:val="00CE3278"/>
    <w:rsid w:val="00CE350C"/>
    <w:rsid w:val="00CE3780"/>
    <w:rsid w:val="00CE3911"/>
    <w:rsid w:val="00CE3C96"/>
    <w:rsid w:val="00CE403D"/>
    <w:rsid w:val="00CE4047"/>
    <w:rsid w:val="00CE40AD"/>
    <w:rsid w:val="00CE4409"/>
    <w:rsid w:val="00CE4752"/>
    <w:rsid w:val="00CE4B5D"/>
    <w:rsid w:val="00CE4C75"/>
    <w:rsid w:val="00CE4CF9"/>
    <w:rsid w:val="00CE4EF1"/>
    <w:rsid w:val="00CE51A8"/>
    <w:rsid w:val="00CE5238"/>
    <w:rsid w:val="00CE526C"/>
    <w:rsid w:val="00CE54F5"/>
    <w:rsid w:val="00CE560F"/>
    <w:rsid w:val="00CE564D"/>
    <w:rsid w:val="00CE5659"/>
    <w:rsid w:val="00CE56BD"/>
    <w:rsid w:val="00CE585C"/>
    <w:rsid w:val="00CE59FB"/>
    <w:rsid w:val="00CE5A89"/>
    <w:rsid w:val="00CE5AD5"/>
    <w:rsid w:val="00CE5B65"/>
    <w:rsid w:val="00CE5F79"/>
    <w:rsid w:val="00CE5FE8"/>
    <w:rsid w:val="00CE625B"/>
    <w:rsid w:val="00CE632E"/>
    <w:rsid w:val="00CE672B"/>
    <w:rsid w:val="00CE6B42"/>
    <w:rsid w:val="00CE6B8C"/>
    <w:rsid w:val="00CE6D4F"/>
    <w:rsid w:val="00CE6EED"/>
    <w:rsid w:val="00CE72A4"/>
    <w:rsid w:val="00CE731B"/>
    <w:rsid w:val="00CE749E"/>
    <w:rsid w:val="00CE7819"/>
    <w:rsid w:val="00CE78AC"/>
    <w:rsid w:val="00CE795C"/>
    <w:rsid w:val="00CE79A6"/>
    <w:rsid w:val="00CE79BA"/>
    <w:rsid w:val="00CE7A7A"/>
    <w:rsid w:val="00CE7DCC"/>
    <w:rsid w:val="00CE7E48"/>
    <w:rsid w:val="00CF01FF"/>
    <w:rsid w:val="00CF042B"/>
    <w:rsid w:val="00CF055A"/>
    <w:rsid w:val="00CF0702"/>
    <w:rsid w:val="00CF09BE"/>
    <w:rsid w:val="00CF0BFE"/>
    <w:rsid w:val="00CF0C0E"/>
    <w:rsid w:val="00CF0F2C"/>
    <w:rsid w:val="00CF0FF0"/>
    <w:rsid w:val="00CF1011"/>
    <w:rsid w:val="00CF10FD"/>
    <w:rsid w:val="00CF1503"/>
    <w:rsid w:val="00CF1727"/>
    <w:rsid w:val="00CF1865"/>
    <w:rsid w:val="00CF19E6"/>
    <w:rsid w:val="00CF1ACA"/>
    <w:rsid w:val="00CF1BD6"/>
    <w:rsid w:val="00CF1D00"/>
    <w:rsid w:val="00CF1DB9"/>
    <w:rsid w:val="00CF1E22"/>
    <w:rsid w:val="00CF1E2E"/>
    <w:rsid w:val="00CF1EB7"/>
    <w:rsid w:val="00CF1FFE"/>
    <w:rsid w:val="00CF214F"/>
    <w:rsid w:val="00CF21B3"/>
    <w:rsid w:val="00CF2285"/>
    <w:rsid w:val="00CF2444"/>
    <w:rsid w:val="00CF253B"/>
    <w:rsid w:val="00CF2564"/>
    <w:rsid w:val="00CF2A52"/>
    <w:rsid w:val="00CF2BC6"/>
    <w:rsid w:val="00CF314D"/>
    <w:rsid w:val="00CF31F1"/>
    <w:rsid w:val="00CF3257"/>
    <w:rsid w:val="00CF33BE"/>
    <w:rsid w:val="00CF3481"/>
    <w:rsid w:val="00CF34AE"/>
    <w:rsid w:val="00CF351A"/>
    <w:rsid w:val="00CF352A"/>
    <w:rsid w:val="00CF35F6"/>
    <w:rsid w:val="00CF369B"/>
    <w:rsid w:val="00CF393F"/>
    <w:rsid w:val="00CF3973"/>
    <w:rsid w:val="00CF39F9"/>
    <w:rsid w:val="00CF3B46"/>
    <w:rsid w:val="00CF3BCB"/>
    <w:rsid w:val="00CF3BD0"/>
    <w:rsid w:val="00CF3C1A"/>
    <w:rsid w:val="00CF3DBF"/>
    <w:rsid w:val="00CF3F3A"/>
    <w:rsid w:val="00CF3F47"/>
    <w:rsid w:val="00CF3F62"/>
    <w:rsid w:val="00CF42D4"/>
    <w:rsid w:val="00CF4374"/>
    <w:rsid w:val="00CF4499"/>
    <w:rsid w:val="00CF4740"/>
    <w:rsid w:val="00CF4AB8"/>
    <w:rsid w:val="00CF4AD7"/>
    <w:rsid w:val="00CF4B99"/>
    <w:rsid w:val="00CF4E03"/>
    <w:rsid w:val="00CF4E2D"/>
    <w:rsid w:val="00CF4EEB"/>
    <w:rsid w:val="00CF5043"/>
    <w:rsid w:val="00CF5046"/>
    <w:rsid w:val="00CF52FF"/>
    <w:rsid w:val="00CF536A"/>
    <w:rsid w:val="00CF5411"/>
    <w:rsid w:val="00CF54A6"/>
    <w:rsid w:val="00CF5598"/>
    <w:rsid w:val="00CF5839"/>
    <w:rsid w:val="00CF589F"/>
    <w:rsid w:val="00CF58DC"/>
    <w:rsid w:val="00CF5AAF"/>
    <w:rsid w:val="00CF5E71"/>
    <w:rsid w:val="00CF616B"/>
    <w:rsid w:val="00CF6516"/>
    <w:rsid w:val="00CF6544"/>
    <w:rsid w:val="00CF65B2"/>
    <w:rsid w:val="00CF65F0"/>
    <w:rsid w:val="00CF678D"/>
    <w:rsid w:val="00CF6871"/>
    <w:rsid w:val="00CF6910"/>
    <w:rsid w:val="00CF69B9"/>
    <w:rsid w:val="00CF69E0"/>
    <w:rsid w:val="00CF6A2D"/>
    <w:rsid w:val="00CF6A3D"/>
    <w:rsid w:val="00CF6E31"/>
    <w:rsid w:val="00CF6F95"/>
    <w:rsid w:val="00CF6FE4"/>
    <w:rsid w:val="00CF70D3"/>
    <w:rsid w:val="00CF717E"/>
    <w:rsid w:val="00CF7199"/>
    <w:rsid w:val="00CF71AD"/>
    <w:rsid w:val="00CF75C9"/>
    <w:rsid w:val="00CF75EF"/>
    <w:rsid w:val="00CF7693"/>
    <w:rsid w:val="00CF7938"/>
    <w:rsid w:val="00CF7996"/>
    <w:rsid w:val="00CF79D8"/>
    <w:rsid w:val="00CF7D17"/>
    <w:rsid w:val="00CF7DA4"/>
    <w:rsid w:val="00CF7F70"/>
    <w:rsid w:val="00D00021"/>
    <w:rsid w:val="00D000D3"/>
    <w:rsid w:val="00D0022F"/>
    <w:rsid w:val="00D0029E"/>
    <w:rsid w:val="00D002C0"/>
    <w:rsid w:val="00D003E7"/>
    <w:rsid w:val="00D00404"/>
    <w:rsid w:val="00D0049E"/>
    <w:rsid w:val="00D00572"/>
    <w:rsid w:val="00D00577"/>
    <w:rsid w:val="00D007CB"/>
    <w:rsid w:val="00D008AE"/>
    <w:rsid w:val="00D008DB"/>
    <w:rsid w:val="00D00AA7"/>
    <w:rsid w:val="00D00B83"/>
    <w:rsid w:val="00D00C02"/>
    <w:rsid w:val="00D00C32"/>
    <w:rsid w:val="00D00C5D"/>
    <w:rsid w:val="00D00DDF"/>
    <w:rsid w:val="00D00DFB"/>
    <w:rsid w:val="00D00E28"/>
    <w:rsid w:val="00D01009"/>
    <w:rsid w:val="00D013A8"/>
    <w:rsid w:val="00D013F8"/>
    <w:rsid w:val="00D01992"/>
    <w:rsid w:val="00D01A63"/>
    <w:rsid w:val="00D01B79"/>
    <w:rsid w:val="00D01DB2"/>
    <w:rsid w:val="00D01FCE"/>
    <w:rsid w:val="00D024E0"/>
    <w:rsid w:val="00D0255B"/>
    <w:rsid w:val="00D0263E"/>
    <w:rsid w:val="00D0269E"/>
    <w:rsid w:val="00D02737"/>
    <w:rsid w:val="00D02742"/>
    <w:rsid w:val="00D02786"/>
    <w:rsid w:val="00D027E0"/>
    <w:rsid w:val="00D029DC"/>
    <w:rsid w:val="00D02C6D"/>
    <w:rsid w:val="00D02D4F"/>
    <w:rsid w:val="00D0304F"/>
    <w:rsid w:val="00D0309B"/>
    <w:rsid w:val="00D0311B"/>
    <w:rsid w:val="00D0316F"/>
    <w:rsid w:val="00D0319B"/>
    <w:rsid w:val="00D03276"/>
    <w:rsid w:val="00D0335C"/>
    <w:rsid w:val="00D03802"/>
    <w:rsid w:val="00D03854"/>
    <w:rsid w:val="00D03B5E"/>
    <w:rsid w:val="00D03B84"/>
    <w:rsid w:val="00D03CCD"/>
    <w:rsid w:val="00D03D39"/>
    <w:rsid w:val="00D03DCC"/>
    <w:rsid w:val="00D03F3B"/>
    <w:rsid w:val="00D041E3"/>
    <w:rsid w:val="00D045C6"/>
    <w:rsid w:val="00D04613"/>
    <w:rsid w:val="00D0472E"/>
    <w:rsid w:val="00D04848"/>
    <w:rsid w:val="00D048E7"/>
    <w:rsid w:val="00D04965"/>
    <w:rsid w:val="00D049CC"/>
    <w:rsid w:val="00D04C10"/>
    <w:rsid w:val="00D04DAB"/>
    <w:rsid w:val="00D04EB6"/>
    <w:rsid w:val="00D05101"/>
    <w:rsid w:val="00D05186"/>
    <w:rsid w:val="00D05255"/>
    <w:rsid w:val="00D054DE"/>
    <w:rsid w:val="00D0562D"/>
    <w:rsid w:val="00D059B7"/>
    <w:rsid w:val="00D05B9D"/>
    <w:rsid w:val="00D05D6C"/>
    <w:rsid w:val="00D05D8C"/>
    <w:rsid w:val="00D05F18"/>
    <w:rsid w:val="00D06060"/>
    <w:rsid w:val="00D063FB"/>
    <w:rsid w:val="00D06566"/>
    <w:rsid w:val="00D065CF"/>
    <w:rsid w:val="00D0672D"/>
    <w:rsid w:val="00D06824"/>
    <w:rsid w:val="00D06852"/>
    <w:rsid w:val="00D0695D"/>
    <w:rsid w:val="00D06A9C"/>
    <w:rsid w:val="00D06B4C"/>
    <w:rsid w:val="00D06B5D"/>
    <w:rsid w:val="00D06D87"/>
    <w:rsid w:val="00D06DB3"/>
    <w:rsid w:val="00D06F07"/>
    <w:rsid w:val="00D06FD5"/>
    <w:rsid w:val="00D0724C"/>
    <w:rsid w:val="00D072E5"/>
    <w:rsid w:val="00D0745C"/>
    <w:rsid w:val="00D07710"/>
    <w:rsid w:val="00D078A3"/>
    <w:rsid w:val="00D078E1"/>
    <w:rsid w:val="00D07AAB"/>
    <w:rsid w:val="00D07BE3"/>
    <w:rsid w:val="00D07C5E"/>
    <w:rsid w:val="00D07D1E"/>
    <w:rsid w:val="00D07DBA"/>
    <w:rsid w:val="00D1009D"/>
    <w:rsid w:val="00D1041F"/>
    <w:rsid w:val="00D107CD"/>
    <w:rsid w:val="00D107FA"/>
    <w:rsid w:val="00D10826"/>
    <w:rsid w:val="00D10875"/>
    <w:rsid w:val="00D108D8"/>
    <w:rsid w:val="00D10A74"/>
    <w:rsid w:val="00D10AB1"/>
    <w:rsid w:val="00D10C08"/>
    <w:rsid w:val="00D10CF8"/>
    <w:rsid w:val="00D10F7E"/>
    <w:rsid w:val="00D11031"/>
    <w:rsid w:val="00D11145"/>
    <w:rsid w:val="00D11303"/>
    <w:rsid w:val="00D114FF"/>
    <w:rsid w:val="00D1175A"/>
    <w:rsid w:val="00D11A0C"/>
    <w:rsid w:val="00D11F89"/>
    <w:rsid w:val="00D11FB2"/>
    <w:rsid w:val="00D11FE5"/>
    <w:rsid w:val="00D1243A"/>
    <w:rsid w:val="00D12461"/>
    <w:rsid w:val="00D125BE"/>
    <w:rsid w:val="00D125D2"/>
    <w:rsid w:val="00D12689"/>
    <w:rsid w:val="00D12754"/>
    <w:rsid w:val="00D1280E"/>
    <w:rsid w:val="00D128AD"/>
    <w:rsid w:val="00D12996"/>
    <w:rsid w:val="00D12A6D"/>
    <w:rsid w:val="00D12F74"/>
    <w:rsid w:val="00D13138"/>
    <w:rsid w:val="00D133A8"/>
    <w:rsid w:val="00D133E8"/>
    <w:rsid w:val="00D1370F"/>
    <w:rsid w:val="00D13BEA"/>
    <w:rsid w:val="00D13C2B"/>
    <w:rsid w:val="00D13CA4"/>
    <w:rsid w:val="00D13CBC"/>
    <w:rsid w:val="00D13EA8"/>
    <w:rsid w:val="00D1421E"/>
    <w:rsid w:val="00D14584"/>
    <w:rsid w:val="00D145CF"/>
    <w:rsid w:val="00D14623"/>
    <w:rsid w:val="00D1498E"/>
    <w:rsid w:val="00D14C5C"/>
    <w:rsid w:val="00D14EB5"/>
    <w:rsid w:val="00D1502D"/>
    <w:rsid w:val="00D15100"/>
    <w:rsid w:val="00D151C1"/>
    <w:rsid w:val="00D152F7"/>
    <w:rsid w:val="00D15370"/>
    <w:rsid w:val="00D154CA"/>
    <w:rsid w:val="00D1576B"/>
    <w:rsid w:val="00D157F5"/>
    <w:rsid w:val="00D15810"/>
    <w:rsid w:val="00D15925"/>
    <w:rsid w:val="00D15B16"/>
    <w:rsid w:val="00D15B31"/>
    <w:rsid w:val="00D15F59"/>
    <w:rsid w:val="00D161B9"/>
    <w:rsid w:val="00D1629C"/>
    <w:rsid w:val="00D163FF"/>
    <w:rsid w:val="00D165AA"/>
    <w:rsid w:val="00D1697A"/>
    <w:rsid w:val="00D16B92"/>
    <w:rsid w:val="00D16D4E"/>
    <w:rsid w:val="00D16E28"/>
    <w:rsid w:val="00D16F00"/>
    <w:rsid w:val="00D16FE3"/>
    <w:rsid w:val="00D17114"/>
    <w:rsid w:val="00D177DC"/>
    <w:rsid w:val="00D1796D"/>
    <w:rsid w:val="00D17CCF"/>
    <w:rsid w:val="00D20034"/>
    <w:rsid w:val="00D205D3"/>
    <w:rsid w:val="00D2068D"/>
    <w:rsid w:val="00D20881"/>
    <w:rsid w:val="00D209FE"/>
    <w:rsid w:val="00D20AD2"/>
    <w:rsid w:val="00D20C8A"/>
    <w:rsid w:val="00D20D74"/>
    <w:rsid w:val="00D20F78"/>
    <w:rsid w:val="00D2118F"/>
    <w:rsid w:val="00D211FB"/>
    <w:rsid w:val="00D212AC"/>
    <w:rsid w:val="00D212B8"/>
    <w:rsid w:val="00D212EA"/>
    <w:rsid w:val="00D21771"/>
    <w:rsid w:val="00D21D37"/>
    <w:rsid w:val="00D21F24"/>
    <w:rsid w:val="00D222C6"/>
    <w:rsid w:val="00D22320"/>
    <w:rsid w:val="00D2247B"/>
    <w:rsid w:val="00D2248A"/>
    <w:rsid w:val="00D227D4"/>
    <w:rsid w:val="00D22865"/>
    <w:rsid w:val="00D22ABA"/>
    <w:rsid w:val="00D22AF3"/>
    <w:rsid w:val="00D22B4E"/>
    <w:rsid w:val="00D22BA1"/>
    <w:rsid w:val="00D22D81"/>
    <w:rsid w:val="00D22DE4"/>
    <w:rsid w:val="00D23095"/>
    <w:rsid w:val="00D234D9"/>
    <w:rsid w:val="00D23616"/>
    <w:rsid w:val="00D23618"/>
    <w:rsid w:val="00D236CB"/>
    <w:rsid w:val="00D237EF"/>
    <w:rsid w:val="00D23915"/>
    <w:rsid w:val="00D23A49"/>
    <w:rsid w:val="00D23BDC"/>
    <w:rsid w:val="00D23E5A"/>
    <w:rsid w:val="00D23EBB"/>
    <w:rsid w:val="00D2401D"/>
    <w:rsid w:val="00D24071"/>
    <w:rsid w:val="00D240AA"/>
    <w:rsid w:val="00D2431D"/>
    <w:rsid w:val="00D24323"/>
    <w:rsid w:val="00D2451F"/>
    <w:rsid w:val="00D24798"/>
    <w:rsid w:val="00D24966"/>
    <w:rsid w:val="00D24A48"/>
    <w:rsid w:val="00D24AEA"/>
    <w:rsid w:val="00D24C2A"/>
    <w:rsid w:val="00D24F19"/>
    <w:rsid w:val="00D25082"/>
    <w:rsid w:val="00D252FE"/>
    <w:rsid w:val="00D25351"/>
    <w:rsid w:val="00D2536C"/>
    <w:rsid w:val="00D2546E"/>
    <w:rsid w:val="00D254CB"/>
    <w:rsid w:val="00D254EA"/>
    <w:rsid w:val="00D255F1"/>
    <w:rsid w:val="00D2576D"/>
    <w:rsid w:val="00D25771"/>
    <w:rsid w:val="00D25AB1"/>
    <w:rsid w:val="00D25B58"/>
    <w:rsid w:val="00D25D42"/>
    <w:rsid w:val="00D25EEC"/>
    <w:rsid w:val="00D2616E"/>
    <w:rsid w:val="00D262AE"/>
    <w:rsid w:val="00D264A4"/>
    <w:rsid w:val="00D264CA"/>
    <w:rsid w:val="00D264E8"/>
    <w:rsid w:val="00D2654B"/>
    <w:rsid w:val="00D26563"/>
    <w:rsid w:val="00D2656F"/>
    <w:rsid w:val="00D267C7"/>
    <w:rsid w:val="00D26874"/>
    <w:rsid w:val="00D26A3D"/>
    <w:rsid w:val="00D26BC0"/>
    <w:rsid w:val="00D26F5E"/>
    <w:rsid w:val="00D2721C"/>
    <w:rsid w:val="00D2744A"/>
    <w:rsid w:val="00D2764F"/>
    <w:rsid w:val="00D2765F"/>
    <w:rsid w:val="00D27764"/>
    <w:rsid w:val="00D277B1"/>
    <w:rsid w:val="00D278A7"/>
    <w:rsid w:val="00D27F41"/>
    <w:rsid w:val="00D30166"/>
    <w:rsid w:val="00D3028C"/>
    <w:rsid w:val="00D30681"/>
    <w:rsid w:val="00D30940"/>
    <w:rsid w:val="00D30B45"/>
    <w:rsid w:val="00D30C9D"/>
    <w:rsid w:val="00D3114E"/>
    <w:rsid w:val="00D311B8"/>
    <w:rsid w:val="00D311FE"/>
    <w:rsid w:val="00D3165A"/>
    <w:rsid w:val="00D31903"/>
    <w:rsid w:val="00D3197A"/>
    <w:rsid w:val="00D31CC5"/>
    <w:rsid w:val="00D321EA"/>
    <w:rsid w:val="00D32439"/>
    <w:rsid w:val="00D32479"/>
    <w:rsid w:val="00D32620"/>
    <w:rsid w:val="00D3279D"/>
    <w:rsid w:val="00D32ACA"/>
    <w:rsid w:val="00D32AF2"/>
    <w:rsid w:val="00D32C74"/>
    <w:rsid w:val="00D32C81"/>
    <w:rsid w:val="00D32ECC"/>
    <w:rsid w:val="00D332EB"/>
    <w:rsid w:val="00D333BE"/>
    <w:rsid w:val="00D339C0"/>
    <w:rsid w:val="00D33A35"/>
    <w:rsid w:val="00D33B0F"/>
    <w:rsid w:val="00D33B3B"/>
    <w:rsid w:val="00D33C62"/>
    <w:rsid w:val="00D33C85"/>
    <w:rsid w:val="00D33E0B"/>
    <w:rsid w:val="00D33F8D"/>
    <w:rsid w:val="00D34221"/>
    <w:rsid w:val="00D342CF"/>
    <w:rsid w:val="00D342F1"/>
    <w:rsid w:val="00D34653"/>
    <w:rsid w:val="00D34745"/>
    <w:rsid w:val="00D347A5"/>
    <w:rsid w:val="00D348FE"/>
    <w:rsid w:val="00D349A3"/>
    <w:rsid w:val="00D34A0A"/>
    <w:rsid w:val="00D34B57"/>
    <w:rsid w:val="00D34D7F"/>
    <w:rsid w:val="00D34F0C"/>
    <w:rsid w:val="00D351E3"/>
    <w:rsid w:val="00D353F0"/>
    <w:rsid w:val="00D35406"/>
    <w:rsid w:val="00D35495"/>
    <w:rsid w:val="00D35649"/>
    <w:rsid w:val="00D3581C"/>
    <w:rsid w:val="00D358BC"/>
    <w:rsid w:val="00D3598D"/>
    <w:rsid w:val="00D35B22"/>
    <w:rsid w:val="00D35DC5"/>
    <w:rsid w:val="00D35E90"/>
    <w:rsid w:val="00D35F25"/>
    <w:rsid w:val="00D35F7C"/>
    <w:rsid w:val="00D35FA0"/>
    <w:rsid w:val="00D36126"/>
    <w:rsid w:val="00D36181"/>
    <w:rsid w:val="00D361EF"/>
    <w:rsid w:val="00D36441"/>
    <w:rsid w:val="00D3661D"/>
    <w:rsid w:val="00D36747"/>
    <w:rsid w:val="00D36749"/>
    <w:rsid w:val="00D367AB"/>
    <w:rsid w:val="00D36DCC"/>
    <w:rsid w:val="00D36EB9"/>
    <w:rsid w:val="00D36EC0"/>
    <w:rsid w:val="00D37180"/>
    <w:rsid w:val="00D372C8"/>
    <w:rsid w:val="00D37705"/>
    <w:rsid w:val="00D37B4B"/>
    <w:rsid w:val="00D37CA3"/>
    <w:rsid w:val="00D37CC2"/>
    <w:rsid w:val="00D37ECD"/>
    <w:rsid w:val="00D37EE8"/>
    <w:rsid w:val="00D37EE9"/>
    <w:rsid w:val="00D4003B"/>
    <w:rsid w:val="00D4016B"/>
    <w:rsid w:val="00D401A4"/>
    <w:rsid w:val="00D4026F"/>
    <w:rsid w:val="00D40384"/>
    <w:rsid w:val="00D4056B"/>
    <w:rsid w:val="00D4064E"/>
    <w:rsid w:val="00D40675"/>
    <w:rsid w:val="00D40740"/>
    <w:rsid w:val="00D407AE"/>
    <w:rsid w:val="00D408A0"/>
    <w:rsid w:val="00D40E15"/>
    <w:rsid w:val="00D40E8D"/>
    <w:rsid w:val="00D40F25"/>
    <w:rsid w:val="00D40F97"/>
    <w:rsid w:val="00D40FC8"/>
    <w:rsid w:val="00D411A7"/>
    <w:rsid w:val="00D413A5"/>
    <w:rsid w:val="00D41519"/>
    <w:rsid w:val="00D415CD"/>
    <w:rsid w:val="00D41659"/>
    <w:rsid w:val="00D416CE"/>
    <w:rsid w:val="00D41789"/>
    <w:rsid w:val="00D41938"/>
    <w:rsid w:val="00D41E9A"/>
    <w:rsid w:val="00D42133"/>
    <w:rsid w:val="00D42206"/>
    <w:rsid w:val="00D422F0"/>
    <w:rsid w:val="00D429C0"/>
    <w:rsid w:val="00D42AF8"/>
    <w:rsid w:val="00D42B9D"/>
    <w:rsid w:val="00D42C43"/>
    <w:rsid w:val="00D42C55"/>
    <w:rsid w:val="00D42CB9"/>
    <w:rsid w:val="00D43103"/>
    <w:rsid w:val="00D431C7"/>
    <w:rsid w:val="00D432FC"/>
    <w:rsid w:val="00D43524"/>
    <w:rsid w:val="00D43A33"/>
    <w:rsid w:val="00D43B47"/>
    <w:rsid w:val="00D43D2B"/>
    <w:rsid w:val="00D43FD1"/>
    <w:rsid w:val="00D440D2"/>
    <w:rsid w:val="00D4417B"/>
    <w:rsid w:val="00D4435D"/>
    <w:rsid w:val="00D44574"/>
    <w:rsid w:val="00D4460E"/>
    <w:rsid w:val="00D44671"/>
    <w:rsid w:val="00D44692"/>
    <w:rsid w:val="00D446B7"/>
    <w:rsid w:val="00D447B7"/>
    <w:rsid w:val="00D44B5B"/>
    <w:rsid w:val="00D44C3A"/>
    <w:rsid w:val="00D44DC5"/>
    <w:rsid w:val="00D44E9B"/>
    <w:rsid w:val="00D44EA4"/>
    <w:rsid w:val="00D44FB8"/>
    <w:rsid w:val="00D44FF2"/>
    <w:rsid w:val="00D45193"/>
    <w:rsid w:val="00D451CA"/>
    <w:rsid w:val="00D45390"/>
    <w:rsid w:val="00D45669"/>
    <w:rsid w:val="00D4567C"/>
    <w:rsid w:val="00D4570E"/>
    <w:rsid w:val="00D457F3"/>
    <w:rsid w:val="00D458AC"/>
    <w:rsid w:val="00D45A6F"/>
    <w:rsid w:val="00D45AC0"/>
    <w:rsid w:val="00D45CA1"/>
    <w:rsid w:val="00D45D28"/>
    <w:rsid w:val="00D45D7F"/>
    <w:rsid w:val="00D45DD0"/>
    <w:rsid w:val="00D461AA"/>
    <w:rsid w:val="00D461D9"/>
    <w:rsid w:val="00D46798"/>
    <w:rsid w:val="00D467ED"/>
    <w:rsid w:val="00D4681C"/>
    <w:rsid w:val="00D46BB4"/>
    <w:rsid w:val="00D46CD8"/>
    <w:rsid w:val="00D47010"/>
    <w:rsid w:val="00D47061"/>
    <w:rsid w:val="00D47110"/>
    <w:rsid w:val="00D4716C"/>
    <w:rsid w:val="00D47513"/>
    <w:rsid w:val="00D475D5"/>
    <w:rsid w:val="00D477BB"/>
    <w:rsid w:val="00D47AEB"/>
    <w:rsid w:val="00D47D55"/>
    <w:rsid w:val="00D47E14"/>
    <w:rsid w:val="00D47E4D"/>
    <w:rsid w:val="00D47F17"/>
    <w:rsid w:val="00D50588"/>
    <w:rsid w:val="00D5084C"/>
    <w:rsid w:val="00D508E9"/>
    <w:rsid w:val="00D50DB9"/>
    <w:rsid w:val="00D50DC2"/>
    <w:rsid w:val="00D50EB5"/>
    <w:rsid w:val="00D50F37"/>
    <w:rsid w:val="00D51137"/>
    <w:rsid w:val="00D5129E"/>
    <w:rsid w:val="00D512F1"/>
    <w:rsid w:val="00D51302"/>
    <w:rsid w:val="00D51622"/>
    <w:rsid w:val="00D51967"/>
    <w:rsid w:val="00D519B3"/>
    <w:rsid w:val="00D519CB"/>
    <w:rsid w:val="00D51CE6"/>
    <w:rsid w:val="00D51CF4"/>
    <w:rsid w:val="00D51DC5"/>
    <w:rsid w:val="00D5207B"/>
    <w:rsid w:val="00D5232E"/>
    <w:rsid w:val="00D52338"/>
    <w:rsid w:val="00D52414"/>
    <w:rsid w:val="00D52571"/>
    <w:rsid w:val="00D525CD"/>
    <w:rsid w:val="00D526E8"/>
    <w:rsid w:val="00D5279D"/>
    <w:rsid w:val="00D52808"/>
    <w:rsid w:val="00D52848"/>
    <w:rsid w:val="00D52A4F"/>
    <w:rsid w:val="00D52AC8"/>
    <w:rsid w:val="00D52C43"/>
    <w:rsid w:val="00D52D11"/>
    <w:rsid w:val="00D52DC4"/>
    <w:rsid w:val="00D52E4F"/>
    <w:rsid w:val="00D52E55"/>
    <w:rsid w:val="00D52F64"/>
    <w:rsid w:val="00D53010"/>
    <w:rsid w:val="00D530FE"/>
    <w:rsid w:val="00D530FF"/>
    <w:rsid w:val="00D53139"/>
    <w:rsid w:val="00D5355B"/>
    <w:rsid w:val="00D53582"/>
    <w:rsid w:val="00D535BB"/>
    <w:rsid w:val="00D539D0"/>
    <w:rsid w:val="00D53AF4"/>
    <w:rsid w:val="00D53B4C"/>
    <w:rsid w:val="00D53C6E"/>
    <w:rsid w:val="00D53CD3"/>
    <w:rsid w:val="00D53E01"/>
    <w:rsid w:val="00D53E68"/>
    <w:rsid w:val="00D53ED3"/>
    <w:rsid w:val="00D53F32"/>
    <w:rsid w:val="00D53F56"/>
    <w:rsid w:val="00D5407F"/>
    <w:rsid w:val="00D5439A"/>
    <w:rsid w:val="00D545B3"/>
    <w:rsid w:val="00D545E8"/>
    <w:rsid w:val="00D546E5"/>
    <w:rsid w:val="00D546EC"/>
    <w:rsid w:val="00D54898"/>
    <w:rsid w:val="00D54A07"/>
    <w:rsid w:val="00D54D76"/>
    <w:rsid w:val="00D54E45"/>
    <w:rsid w:val="00D54F04"/>
    <w:rsid w:val="00D5512F"/>
    <w:rsid w:val="00D5528B"/>
    <w:rsid w:val="00D55495"/>
    <w:rsid w:val="00D55524"/>
    <w:rsid w:val="00D5570C"/>
    <w:rsid w:val="00D5586F"/>
    <w:rsid w:val="00D55911"/>
    <w:rsid w:val="00D55BE1"/>
    <w:rsid w:val="00D55DE3"/>
    <w:rsid w:val="00D55F39"/>
    <w:rsid w:val="00D56034"/>
    <w:rsid w:val="00D56079"/>
    <w:rsid w:val="00D560AE"/>
    <w:rsid w:val="00D56272"/>
    <w:rsid w:val="00D562AD"/>
    <w:rsid w:val="00D562DF"/>
    <w:rsid w:val="00D56622"/>
    <w:rsid w:val="00D56640"/>
    <w:rsid w:val="00D5665E"/>
    <w:rsid w:val="00D56744"/>
    <w:rsid w:val="00D56A20"/>
    <w:rsid w:val="00D56C43"/>
    <w:rsid w:val="00D56FE1"/>
    <w:rsid w:val="00D5704A"/>
    <w:rsid w:val="00D57184"/>
    <w:rsid w:val="00D5730C"/>
    <w:rsid w:val="00D573EA"/>
    <w:rsid w:val="00D57470"/>
    <w:rsid w:val="00D574E5"/>
    <w:rsid w:val="00D57533"/>
    <w:rsid w:val="00D57571"/>
    <w:rsid w:val="00D57726"/>
    <w:rsid w:val="00D578D0"/>
    <w:rsid w:val="00D579BA"/>
    <w:rsid w:val="00D57D98"/>
    <w:rsid w:val="00D60002"/>
    <w:rsid w:val="00D6021D"/>
    <w:rsid w:val="00D60251"/>
    <w:rsid w:val="00D60574"/>
    <w:rsid w:val="00D6081C"/>
    <w:rsid w:val="00D60832"/>
    <w:rsid w:val="00D608BB"/>
    <w:rsid w:val="00D608F4"/>
    <w:rsid w:val="00D609AA"/>
    <w:rsid w:val="00D60BB4"/>
    <w:rsid w:val="00D60DFB"/>
    <w:rsid w:val="00D60E9C"/>
    <w:rsid w:val="00D6122B"/>
    <w:rsid w:val="00D61243"/>
    <w:rsid w:val="00D61263"/>
    <w:rsid w:val="00D61352"/>
    <w:rsid w:val="00D61411"/>
    <w:rsid w:val="00D61628"/>
    <w:rsid w:val="00D61A20"/>
    <w:rsid w:val="00D61CA8"/>
    <w:rsid w:val="00D61CDA"/>
    <w:rsid w:val="00D61DC6"/>
    <w:rsid w:val="00D61F61"/>
    <w:rsid w:val="00D62178"/>
    <w:rsid w:val="00D62308"/>
    <w:rsid w:val="00D626A1"/>
    <w:rsid w:val="00D626E3"/>
    <w:rsid w:val="00D62830"/>
    <w:rsid w:val="00D629F4"/>
    <w:rsid w:val="00D62D50"/>
    <w:rsid w:val="00D62E03"/>
    <w:rsid w:val="00D62F49"/>
    <w:rsid w:val="00D6303C"/>
    <w:rsid w:val="00D630DF"/>
    <w:rsid w:val="00D631F7"/>
    <w:rsid w:val="00D632F3"/>
    <w:rsid w:val="00D6330D"/>
    <w:rsid w:val="00D633C6"/>
    <w:rsid w:val="00D634E7"/>
    <w:rsid w:val="00D63563"/>
    <w:rsid w:val="00D6361C"/>
    <w:rsid w:val="00D63815"/>
    <w:rsid w:val="00D63848"/>
    <w:rsid w:val="00D638A9"/>
    <w:rsid w:val="00D63B55"/>
    <w:rsid w:val="00D63D91"/>
    <w:rsid w:val="00D642DD"/>
    <w:rsid w:val="00D64333"/>
    <w:rsid w:val="00D64369"/>
    <w:rsid w:val="00D644D6"/>
    <w:rsid w:val="00D6464D"/>
    <w:rsid w:val="00D6496A"/>
    <w:rsid w:val="00D64A45"/>
    <w:rsid w:val="00D64B38"/>
    <w:rsid w:val="00D64CFA"/>
    <w:rsid w:val="00D64D96"/>
    <w:rsid w:val="00D64DCE"/>
    <w:rsid w:val="00D65041"/>
    <w:rsid w:val="00D6507F"/>
    <w:rsid w:val="00D65163"/>
    <w:rsid w:val="00D6525C"/>
    <w:rsid w:val="00D6528F"/>
    <w:rsid w:val="00D654FE"/>
    <w:rsid w:val="00D65548"/>
    <w:rsid w:val="00D655B8"/>
    <w:rsid w:val="00D65C71"/>
    <w:rsid w:val="00D65DE5"/>
    <w:rsid w:val="00D6626B"/>
    <w:rsid w:val="00D663BC"/>
    <w:rsid w:val="00D663FF"/>
    <w:rsid w:val="00D6661C"/>
    <w:rsid w:val="00D6674A"/>
    <w:rsid w:val="00D667E3"/>
    <w:rsid w:val="00D66AA1"/>
    <w:rsid w:val="00D66FCC"/>
    <w:rsid w:val="00D6706F"/>
    <w:rsid w:val="00D6719D"/>
    <w:rsid w:val="00D6741E"/>
    <w:rsid w:val="00D67439"/>
    <w:rsid w:val="00D67446"/>
    <w:rsid w:val="00D678B1"/>
    <w:rsid w:val="00D678D5"/>
    <w:rsid w:val="00D67941"/>
    <w:rsid w:val="00D67CC8"/>
    <w:rsid w:val="00D67F65"/>
    <w:rsid w:val="00D67FAA"/>
    <w:rsid w:val="00D70054"/>
    <w:rsid w:val="00D700F6"/>
    <w:rsid w:val="00D70182"/>
    <w:rsid w:val="00D701BC"/>
    <w:rsid w:val="00D7045B"/>
    <w:rsid w:val="00D70478"/>
    <w:rsid w:val="00D707AC"/>
    <w:rsid w:val="00D707FE"/>
    <w:rsid w:val="00D70A3B"/>
    <w:rsid w:val="00D70B16"/>
    <w:rsid w:val="00D70C42"/>
    <w:rsid w:val="00D70D35"/>
    <w:rsid w:val="00D70FE6"/>
    <w:rsid w:val="00D710E7"/>
    <w:rsid w:val="00D71103"/>
    <w:rsid w:val="00D7128A"/>
    <w:rsid w:val="00D7150D"/>
    <w:rsid w:val="00D71611"/>
    <w:rsid w:val="00D7162D"/>
    <w:rsid w:val="00D717B8"/>
    <w:rsid w:val="00D71AF9"/>
    <w:rsid w:val="00D71BC9"/>
    <w:rsid w:val="00D71D70"/>
    <w:rsid w:val="00D71E34"/>
    <w:rsid w:val="00D71F41"/>
    <w:rsid w:val="00D71F7F"/>
    <w:rsid w:val="00D72156"/>
    <w:rsid w:val="00D72229"/>
    <w:rsid w:val="00D722E9"/>
    <w:rsid w:val="00D723A3"/>
    <w:rsid w:val="00D7247E"/>
    <w:rsid w:val="00D725B3"/>
    <w:rsid w:val="00D7261C"/>
    <w:rsid w:val="00D7261F"/>
    <w:rsid w:val="00D72693"/>
    <w:rsid w:val="00D72725"/>
    <w:rsid w:val="00D728CB"/>
    <w:rsid w:val="00D72C34"/>
    <w:rsid w:val="00D72EC3"/>
    <w:rsid w:val="00D73081"/>
    <w:rsid w:val="00D730BC"/>
    <w:rsid w:val="00D732AF"/>
    <w:rsid w:val="00D735B5"/>
    <w:rsid w:val="00D73617"/>
    <w:rsid w:val="00D73715"/>
    <w:rsid w:val="00D73912"/>
    <w:rsid w:val="00D739E6"/>
    <w:rsid w:val="00D73A05"/>
    <w:rsid w:val="00D73B1D"/>
    <w:rsid w:val="00D73C88"/>
    <w:rsid w:val="00D73F8D"/>
    <w:rsid w:val="00D740B6"/>
    <w:rsid w:val="00D740C5"/>
    <w:rsid w:val="00D744B6"/>
    <w:rsid w:val="00D74AAE"/>
    <w:rsid w:val="00D74B63"/>
    <w:rsid w:val="00D74BA0"/>
    <w:rsid w:val="00D74E17"/>
    <w:rsid w:val="00D74E35"/>
    <w:rsid w:val="00D74F17"/>
    <w:rsid w:val="00D74FF3"/>
    <w:rsid w:val="00D75008"/>
    <w:rsid w:val="00D75299"/>
    <w:rsid w:val="00D75433"/>
    <w:rsid w:val="00D754E9"/>
    <w:rsid w:val="00D75742"/>
    <w:rsid w:val="00D75990"/>
    <w:rsid w:val="00D75A6E"/>
    <w:rsid w:val="00D75A82"/>
    <w:rsid w:val="00D75CD9"/>
    <w:rsid w:val="00D75D17"/>
    <w:rsid w:val="00D75D2C"/>
    <w:rsid w:val="00D75D4F"/>
    <w:rsid w:val="00D75DE9"/>
    <w:rsid w:val="00D75E7E"/>
    <w:rsid w:val="00D75FC2"/>
    <w:rsid w:val="00D75FFD"/>
    <w:rsid w:val="00D761D4"/>
    <w:rsid w:val="00D76350"/>
    <w:rsid w:val="00D763F5"/>
    <w:rsid w:val="00D7640D"/>
    <w:rsid w:val="00D76584"/>
    <w:rsid w:val="00D765E4"/>
    <w:rsid w:val="00D76B5B"/>
    <w:rsid w:val="00D7710F"/>
    <w:rsid w:val="00D77208"/>
    <w:rsid w:val="00D772C4"/>
    <w:rsid w:val="00D772E3"/>
    <w:rsid w:val="00D77352"/>
    <w:rsid w:val="00D7752B"/>
    <w:rsid w:val="00D77550"/>
    <w:rsid w:val="00D77616"/>
    <w:rsid w:val="00D776EC"/>
    <w:rsid w:val="00D777C4"/>
    <w:rsid w:val="00D77B44"/>
    <w:rsid w:val="00D77B94"/>
    <w:rsid w:val="00D77D65"/>
    <w:rsid w:val="00D77E36"/>
    <w:rsid w:val="00D8008F"/>
    <w:rsid w:val="00D804D4"/>
    <w:rsid w:val="00D8053E"/>
    <w:rsid w:val="00D80583"/>
    <w:rsid w:val="00D80719"/>
    <w:rsid w:val="00D80736"/>
    <w:rsid w:val="00D80AFC"/>
    <w:rsid w:val="00D80B39"/>
    <w:rsid w:val="00D810A4"/>
    <w:rsid w:val="00D81393"/>
    <w:rsid w:val="00D81454"/>
    <w:rsid w:val="00D814FE"/>
    <w:rsid w:val="00D816C8"/>
    <w:rsid w:val="00D81828"/>
    <w:rsid w:val="00D81852"/>
    <w:rsid w:val="00D8197E"/>
    <w:rsid w:val="00D819FF"/>
    <w:rsid w:val="00D81EDA"/>
    <w:rsid w:val="00D8203C"/>
    <w:rsid w:val="00D821CF"/>
    <w:rsid w:val="00D82231"/>
    <w:rsid w:val="00D825EB"/>
    <w:rsid w:val="00D82774"/>
    <w:rsid w:val="00D827AB"/>
    <w:rsid w:val="00D82A1C"/>
    <w:rsid w:val="00D82A6D"/>
    <w:rsid w:val="00D82E36"/>
    <w:rsid w:val="00D82F0C"/>
    <w:rsid w:val="00D82FFE"/>
    <w:rsid w:val="00D831F8"/>
    <w:rsid w:val="00D8323C"/>
    <w:rsid w:val="00D832F4"/>
    <w:rsid w:val="00D8339A"/>
    <w:rsid w:val="00D83556"/>
    <w:rsid w:val="00D83768"/>
    <w:rsid w:val="00D837AB"/>
    <w:rsid w:val="00D838A3"/>
    <w:rsid w:val="00D838B0"/>
    <w:rsid w:val="00D838F5"/>
    <w:rsid w:val="00D83C6A"/>
    <w:rsid w:val="00D83F7F"/>
    <w:rsid w:val="00D84067"/>
    <w:rsid w:val="00D848F9"/>
    <w:rsid w:val="00D84BAC"/>
    <w:rsid w:val="00D84BB2"/>
    <w:rsid w:val="00D84C66"/>
    <w:rsid w:val="00D84DD8"/>
    <w:rsid w:val="00D84EC3"/>
    <w:rsid w:val="00D84F23"/>
    <w:rsid w:val="00D8501D"/>
    <w:rsid w:val="00D85226"/>
    <w:rsid w:val="00D85356"/>
    <w:rsid w:val="00D853F6"/>
    <w:rsid w:val="00D8572E"/>
    <w:rsid w:val="00D85A8C"/>
    <w:rsid w:val="00D85B28"/>
    <w:rsid w:val="00D85B64"/>
    <w:rsid w:val="00D85C81"/>
    <w:rsid w:val="00D85D71"/>
    <w:rsid w:val="00D8602C"/>
    <w:rsid w:val="00D86071"/>
    <w:rsid w:val="00D86268"/>
    <w:rsid w:val="00D863D0"/>
    <w:rsid w:val="00D86497"/>
    <w:rsid w:val="00D865E4"/>
    <w:rsid w:val="00D866A4"/>
    <w:rsid w:val="00D867EE"/>
    <w:rsid w:val="00D8691F"/>
    <w:rsid w:val="00D86B6A"/>
    <w:rsid w:val="00D86C4D"/>
    <w:rsid w:val="00D86CAF"/>
    <w:rsid w:val="00D86D11"/>
    <w:rsid w:val="00D86EDB"/>
    <w:rsid w:val="00D86EF5"/>
    <w:rsid w:val="00D8707B"/>
    <w:rsid w:val="00D87401"/>
    <w:rsid w:val="00D874A6"/>
    <w:rsid w:val="00D875AB"/>
    <w:rsid w:val="00D87709"/>
    <w:rsid w:val="00D87AE0"/>
    <w:rsid w:val="00D87B94"/>
    <w:rsid w:val="00D87D23"/>
    <w:rsid w:val="00D87D89"/>
    <w:rsid w:val="00D87DCC"/>
    <w:rsid w:val="00D87FD4"/>
    <w:rsid w:val="00D9004D"/>
    <w:rsid w:val="00D904A5"/>
    <w:rsid w:val="00D906CD"/>
    <w:rsid w:val="00D907A4"/>
    <w:rsid w:val="00D90E18"/>
    <w:rsid w:val="00D90FD8"/>
    <w:rsid w:val="00D91028"/>
    <w:rsid w:val="00D91079"/>
    <w:rsid w:val="00D91271"/>
    <w:rsid w:val="00D9130D"/>
    <w:rsid w:val="00D91446"/>
    <w:rsid w:val="00D91644"/>
    <w:rsid w:val="00D91776"/>
    <w:rsid w:val="00D91926"/>
    <w:rsid w:val="00D91963"/>
    <w:rsid w:val="00D91A7E"/>
    <w:rsid w:val="00D91C59"/>
    <w:rsid w:val="00D91D8D"/>
    <w:rsid w:val="00D91F1B"/>
    <w:rsid w:val="00D9217D"/>
    <w:rsid w:val="00D922F5"/>
    <w:rsid w:val="00D9250C"/>
    <w:rsid w:val="00D92602"/>
    <w:rsid w:val="00D92641"/>
    <w:rsid w:val="00D926D0"/>
    <w:rsid w:val="00D9299B"/>
    <w:rsid w:val="00D92A17"/>
    <w:rsid w:val="00D92BA9"/>
    <w:rsid w:val="00D92BED"/>
    <w:rsid w:val="00D92C91"/>
    <w:rsid w:val="00D92CEE"/>
    <w:rsid w:val="00D92D2B"/>
    <w:rsid w:val="00D92D49"/>
    <w:rsid w:val="00D92EC1"/>
    <w:rsid w:val="00D92F3F"/>
    <w:rsid w:val="00D92F63"/>
    <w:rsid w:val="00D92FC5"/>
    <w:rsid w:val="00D9319C"/>
    <w:rsid w:val="00D93387"/>
    <w:rsid w:val="00D93527"/>
    <w:rsid w:val="00D9368F"/>
    <w:rsid w:val="00D93702"/>
    <w:rsid w:val="00D93722"/>
    <w:rsid w:val="00D9377F"/>
    <w:rsid w:val="00D938DE"/>
    <w:rsid w:val="00D93C6E"/>
    <w:rsid w:val="00D93D01"/>
    <w:rsid w:val="00D93D87"/>
    <w:rsid w:val="00D93DD9"/>
    <w:rsid w:val="00D93EA9"/>
    <w:rsid w:val="00D93F6D"/>
    <w:rsid w:val="00D941AB"/>
    <w:rsid w:val="00D941C3"/>
    <w:rsid w:val="00D94227"/>
    <w:rsid w:val="00D94348"/>
    <w:rsid w:val="00D9438C"/>
    <w:rsid w:val="00D94406"/>
    <w:rsid w:val="00D94582"/>
    <w:rsid w:val="00D945A0"/>
    <w:rsid w:val="00D946CB"/>
    <w:rsid w:val="00D94ABE"/>
    <w:rsid w:val="00D94AC3"/>
    <w:rsid w:val="00D94E06"/>
    <w:rsid w:val="00D94FA4"/>
    <w:rsid w:val="00D9507D"/>
    <w:rsid w:val="00D952BE"/>
    <w:rsid w:val="00D953FC"/>
    <w:rsid w:val="00D955D3"/>
    <w:rsid w:val="00D95661"/>
    <w:rsid w:val="00D956AC"/>
    <w:rsid w:val="00D95BEE"/>
    <w:rsid w:val="00D95C6B"/>
    <w:rsid w:val="00D95C80"/>
    <w:rsid w:val="00D95E21"/>
    <w:rsid w:val="00D95F90"/>
    <w:rsid w:val="00D96123"/>
    <w:rsid w:val="00D96433"/>
    <w:rsid w:val="00D9653D"/>
    <w:rsid w:val="00D966E9"/>
    <w:rsid w:val="00D96909"/>
    <w:rsid w:val="00D96971"/>
    <w:rsid w:val="00D96B1A"/>
    <w:rsid w:val="00D96D6E"/>
    <w:rsid w:val="00D96DEA"/>
    <w:rsid w:val="00D9726B"/>
    <w:rsid w:val="00D97390"/>
    <w:rsid w:val="00D9755B"/>
    <w:rsid w:val="00D97589"/>
    <w:rsid w:val="00D975FE"/>
    <w:rsid w:val="00D976BB"/>
    <w:rsid w:val="00D97869"/>
    <w:rsid w:val="00D97909"/>
    <w:rsid w:val="00D97AAF"/>
    <w:rsid w:val="00D97B62"/>
    <w:rsid w:val="00D97C6D"/>
    <w:rsid w:val="00D97C7A"/>
    <w:rsid w:val="00D97CEE"/>
    <w:rsid w:val="00D97EB3"/>
    <w:rsid w:val="00DA0394"/>
    <w:rsid w:val="00DA049C"/>
    <w:rsid w:val="00DA0586"/>
    <w:rsid w:val="00DA058F"/>
    <w:rsid w:val="00DA06D8"/>
    <w:rsid w:val="00DA0829"/>
    <w:rsid w:val="00DA08A5"/>
    <w:rsid w:val="00DA0909"/>
    <w:rsid w:val="00DA0C7A"/>
    <w:rsid w:val="00DA0D5A"/>
    <w:rsid w:val="00DA0E42"/>
    <w:rsid w:val="00DA0E73"/>
    <w:rsid w:val="00DA0F79"/>
    <w:rsid w:val="00DA108E"/>
    <w:rsid w:val="00DA1470"/>
    <w:rsid w:val="00DA147F"/>
    <w:rsid w:val="00DA148F"/>
    <w:rsid w:val="00DA163D"/>
    <w:rsid w:val="00DA165A"/>
    <w:rsid w:val="00DA1787"/>
    <w:rsid w:val="00DA17B2"/>
    <w:rsid w:val="00DA17E1"/>
    <w:rsid w:val="00DA1882"/>
    <w:rsid w:val="00DA1A3D"/>
    <w:rsid w:val="00DA1B3A"/>
    <w:rsid w:val="00DA1B87"/>
    <w:rsid w:val="00DA1BA8"/>
    <w:rsid w:val="00DA1C01"/>
    <w:rsid w:val="00DA1CD3"/>
    <w:rsid w:val="00DA1DCB"/>
    <w:rsid w:val="00DA1FE9"/>
    <w:rsid w:val="00DA2202"/>
    <w:rsid w:val="00DA233E"/>
    <w:rsid w:val="00DA25BF"/>
    <w:rsid w:val="00DA278C"/>
    <w:rsid w:val="00DA286B"/>
    <w:rsid w:val="00DA2A31"/>
    <w:rsid w:val="00DA2AA8"/>
    <w:rsid w:val="00DA2CEC"/>
    <w:rsid w:val="00DA30C7"/>
    <w:rsid w:val="00DA33CF"/>
    <w:rsid w:val="00DA356C"/>
    <w:rsid w:val="00DA37C6"/>
    <w:rsid w:val="00DA3B41"/>
    <w:rsid w:val="00DA3C72"/>
    <w:rsid w:val="00DA4319"/>
    <w:rsid w:val="00DA45B3"/>
    <w:rsid w:val="00DA46F5"/>
    <w:rsid w:val="00DA4CA2"/>
    <w:rsid w:val="00DA4D65"/>
    <w:rsid w:val="00DA4DFE"/>
    <w:rsid w:val="00DA4E31"/>
    <w:rsid w:val="00DA4E41"/>
    <w:rsid w:val="00DA4FB3"/>
    <w:rsid w:val="00DA5178"/>
    <w:rsid w:val="00DA539C"/>
    <w:rsid w:val="00DA53D3"/>
    <w:rsid w:val="00DA5407"/>
    <w:rsid w:val="00DA54D5"/>
    <w:rsid w:val="00DA555B"/>
    <w:rsid w:val="00DA573D"/>
    <w:rsid w:val="00DA5807"/>
    <w:rsid w:val="00DA5AEA"/>
    <w:rsid w:val="00DA5CB6"/>
    <w:rsid w:val="00DA5F2B"/>
    <w:rsid w:val="00DA6041"/>
    <w:rsid w:val="00DA60F1"/>
    <w:rsid w:val="00DA610D"/>
    <w:rsid w:val="00DA611E"/>
    <w:rsid w:val="00DA6195"/>
    <w:rsid w:val="00DA6256"/>
    <w:rsid w:val="00DA634A"/>
    <w:rsid w:val="00DA6912"/>
    <w:rsid w:val="00DA69B7"/>
    <w:rsid w:val="00DA69F8"/>
    <w:rsid w:val="00DA6A1B"/>
    <w:rsid w:val="00DA6ABB"/>
    <w:rsid w:val="00DA6D22"/>
    <w:rsid w:val="00DA7228"/>
    <w:rsid w:val="00DA7350"/>
    <w:rsid w:val="00DA76AF"/>
    <w:rsid w:val="00DA7707"/>
    <w:rsid w:val="00DA7899"/>
    <w:rsid w:val="00DA7923"/>
    <w:rsid w:val="00DA792C"/>
    <w:rsid w:val="00DA7D4B"/>
    <w:rsid w:val="00DB0114"/>
    <w:rsid w:val="00DB02A1"/>
    <w:rsid w:val="00DB0318"/>
    <w:rsid w:val="00DB0324"/>
    <w:rsid w:val="00DB0FFF"/>
    <w:rsid w:val="00DB10FA"/>
    <w:rsid w:val="00DB1122"/>
    <w:rsid w:val="00DB117A"/>
    <w:rsid w:val="00DB130E"/>
    <w:rsid w:val="00DB1393"/>
    <w:rsid w:val="00DB1431"/>
    <w:rsid w:val="00DB14FA"/>
    <w:rsid w:val="00DB1759"/>
    <w:rsid w:val="00DB177D"/>
    <w:rsid w:val="00DB1809"/>
    <w:rsid w:val="00DB1A50"/>
    <w:rsid w:val="00DB1B13"/>
    <w:rsid w:val="00DB1C89"/>
    <w:rsid w:val="00DB1D4A"/>
    <w:rsid w:val="00DB1EFB"/>
    <w:rsid w:val="00DB1FD3"/>
    <w:rsid w:val="00DB1FFB"/>
    <w:rsid w:val="00DB2009"/>
    <w:rsid w:val="00DB209A"/>
    <w:rsid w:val="00DB21FB"/>
    <w:rsid w:val="00DB220A"/>
    <w:rsid w:val="00DB2451"/>
    <w:rsid w:val="00DB25F7"/>
    <w:rsid w:val="00DB26C0"/>
    <w:rsid w:val="00DB2EC7"/>
    <w:rsid w:val="00DB2EEA"/>
    <w:rsid w:val="00DB2F2F"/>
    <w:rsid w:val="00DB310E"/>
    <w:rsid w:val="00DB3292"/>
    <w:rsid w:val="00DB34B4"/>
    <w:rsid w:val="00DB39C0"/>
    <w:rsid w:val="00DB3D1A"/>
    <w:rsid w:val="00DB3DA0"/>
    <w:rsid w:val="00DB3E69"/>
    <w:rsid w:val="00DB4356"/>
    <w:rsid w:val="00DB4442"/>
    <w:rsid w:val="00DB4A0D"/>
    <w:rsid w:val="00DB4D6B"/>
    <w:rsid w:val="00DB4DA8"/>
    <w:rsid w:val="00DB5025"/>
    <w:rsid w:val="00DB50B7"/>
    <w:rsid w:val="00DB5173"/>
    <w:rsid w:val="00DB56E7"/>
    <w:rsid w:val="00DB5763"/>
    <w:rsid w:val="00DB5788"/>
    <w:rsid w:val="00DB5ACF"/>
    <w:rsid w:val="00DB5B42"/>
    <w:rsid w:val="00DB5B92"/>
    <w:rsid w:val="00DB5D4F"/>
    <w:rsid w:val="00DB5D9F"/>
    <w:rsid w:val="00DB5E82"/>
    <w:rsid w:val="00DB5EE5"/>
    <w:rsid w:val="00DB5F7E"/>
    <w:rsid w:val="00DB6001"/>
    <w:rsid w:val="00DB6272"/>
    <w:rsid w:val="00DB62C5"/>
    <w:rsid w:val="00DB6415"/>
    <w:rsid w:val="00DB6555"/>
    <w:rsid w:val="00DB65E0"/>
    <w:rsid w:val="00DB66C7"/>
    <w:rsid w:val="00DB6798"/>
    <w:rsid w:val="00DB687A"/>
    <w:rsid w:val="00DB69AB"/>
    <w:rsid w:val="00DB6C93"/>
    <w:rsid w:val="00DB7223"/>
    <w:rsid w:val="00DB7379"/>
    <w:rsid w:val="00DB73CA"/>
    <w:rsid w:val="00DB74CC"/>
    <w:rsid w:val="00DB75A2"/>
    <w:rsid w:val="00DB762A"/>
    <w:rsid w:val="00DB77E5"/>
    <w:rsid w:val="00DB7873"/>
    <w:rsid w:val="00DB7ABA"/>
    <w:rsid w:val="00DB7AC1"/>
    <w:rsid w:val="00DB7AFD"/>
    <w:rsid w:val="00DB7B33"/>
    <w:rsid w:val="00DB7BFB"/>
    <w:rsid w:val="00DB7DD0"/>
    <w:rsid w:val="00DB7FFA"/>
    <w:rsid w:val="00DC07DE"/>
    <w:rsid w:val="00DC081B"/>
    <w:rsid w:val="00DC085F"/>
    <w:rsid w:val="00DC08DD"/>
    <w:rsid w:val="00DC0966"/>
    <w:rsid w:val="00DC0A78"/>
    <w:rsid w:val="00DC0A96"/>
    <w:rsid w:val="00DC0C7B"/>
    <w:rsid w:val="00DC0D1D"/>
    <w:rsid w:val="00DC108B"/>
    <w:rsid w:val="00DC11BA"/>
    <w:rsid w:val="00DC13E2"/>
    <w:rsid w:val="00DC14F0"/>
    <w:rsid w:val="00DC14FC"/>
    <w:rsid w:val="00DC1726"/>
    <w:rsid w:val="00DC177E"/>
    <w:rsid w:val="00DC187B"/>
    <w:rsid w:val="00DC19EE"/>
    <w:rsid w:val="00DC19FF"/>
    <w:rsid w:val="00DC1B3A"/>
    <w:rsid w:val="00DC1C47"/>
    <w:rsid w:val="00DC1D0A"/>
    <w:rsid w:val="00DC2055"/>
    <w:rsid w:val="00DC224F"/>
    <w:rsid w:val="00DC2251"/>
    <w:rsid w:val="00DC2270"/>
    <w:rsid w:val="00DC23D4"/>
    <w:rsid w:val="00DC2554"/>
    <w:rsid w:val="00DC2592"/>
    <w:rsid w:val="00DC2649"/>
    <w:rsid w:val="00DC277D"/>
    <w:rsid w:val="00DC279F"/>
    <w:rsid w:val="00DC2900"/>
    <w:rsid w:val="00DC331E"/>
    <w:rsid w:val="00DC33C6"/>
    <w:rsid w:val="00DC35A1"/>
    <w:rsid w:val="00DC362C"/>
    <w:rsid w:val="00DC3709"/>
    <w:rsid w:val="00DC38FE"/>
    <w:rsid w:val="00DC39D5"/>
    <w:rsid w:val="00DC39D6"/>
    <w:rsid w:val="00DC3B57"/>
    <w:rsid w:val="00DC3C16"/>
    <w:rsid w:val="00DC3F48"/>
    <w:rsid w:val="00DC3FEC"/>
    <w:rsid w:val="00DC4001"/>
    <w:rsid w:val="00DC40EC"/>
    <w:rsid w:val="00DC42D5"/>
    <w:rsid w:val="00DC443F"/>
    <w:rsid w:val="00DC446E"/>
    <w:rsid w:val="00DC44FC"/>
    <w:rsid w:val="00DC45D2"/>
    <w:rsid w:val="00DC4650"/>
    <w:rsid w:val="00DC4679"/>
    <w:rsid w:val="00DC468D"/>
    <w:rsid w:val="00DC4B00"/>
    <w:rsid w:val="00DC4C16"/>
    <w:rsid w:val="00DC4F95"/>
    <w:rsid w:val="00DC5037"/>
    <w:rsid w:val="00DC536E"/>
    <w:rsid w:val="00DC55B7"/>
    <w:rsid w:val="00DC5766"/>
    <w:rsid w:val="00DC578D"/>
    <w:rsid w:val="00DC595B"/>
    <w:rsid w:val="00DC5993"/>
    <w:rsid w:val="00DC5A5B"/>
    <w:rsid w:val="00DC5A8D"/>
    <w:rsid w:val="00DC5A90"/>
    <w:rsid w:val="00DC5B6E"/>
    <w:rsid w:val="00DC5BC1"/>
    <w:rsid w:val="00DC5C93"/>
    <w:rsid w:val="00DC5CCA"/>
    <w:rsid w:val="00DC61E5"/>
    <w:rsid w:val="00DC61FC"/>
    <w:rsid w:val="00DC6271"/>
    <w:rsid w:val="00DC6275"/>
    <w:rsid w:val="00DC62D8"/>
    <w:rsid w:val="00DC646F"/>
    <w:rsid w:val="00DC6495"/>
    <w:rsid w:val="00DC64E2"/>
    <w:rsid w:val="00DC668B"/>
    <w:rsid w:val="00DC6748"/>
    <w:rsid w:val="00DC6994"/>
    <w:rsid w:val="00DC6AA4"/>
    <w:rsid w:val="00DC6EBC"/>
    <w:rsid w:val="00DC6EFB"/>
    <w:rsid w:val="00DC71AF"/>
    <w:rsid w:val="00DC738C"/>
    <w:rsid w:val="00DC763A"/>
    <w:rsid w:val="00DC7683"/>
    <w:rsid w:val="00DC76FE"/>
    <w:rsid w:val="00DC7926"/>
    <w:rsid w:val="00DC7939"/>
    <w:rsid w:val="00DC7A7B"/>
    <w:rsid w:val="00DC7F64"/>
    <w:rsid w:val="00DD009A"/>
    <w:rsid w:val="00DD00A6"/>
    <w:rsid w:val="00DD015B"/>
    <w:rsid w:val="00DD020B"/>
    <w:rsid w:val="00DD0331"/>
    <w:rsid w:val="00DD0A84"/>
    <w:rsid w:val="00DD0BAE"/>
    <w:rsid w:val="00DD0C7F"/>
    <w:rsid w:val="00DD0FB6"/>
    <w:rsid w:val="00DD12A4"/>
    <w:rsid w:val="00DD190F"/>
    <w:rsid w:val="00DD1A43"/>
    <w:rsid w:val="00DD1B86"/>
    <w:rsid w:val="00DD1DCC"/>
    <w:rsid w:val="00DD2024"/>
    <w:rsid w:val="00DD20B5"/>
    <w:rsid w:val="00DD2123"/>
    <w:rsid w:val="00DD2178"/>
    <w:rsid w:val="00DD2187"/>
    <w:rsid w:val="00DD2239"/>
    <w:rsid w:val="00DD23CD"/>
    <w:rsid w:val="00DD2477"/>
    <w:rsid w:val="00DD25BF"/>
    <w:rsid w:val="00DD26AD"/>
    <w:rsid w:val="00DD2712"/>
    <w:rsid w:val="00DD2BE6"/>
    <w:rsid w:val="00DD2FE4"/>
    <w:rsid w:val="00DD30F5"/>
    <w:rsid w:val="00DD31C7"/>
    <w:rsid w:val="00DD3396"/>
    <w:rsid w:val="00DD33B9"/>
    <w:rsid w:val="00DD34AC"/>
    <w:rsid w:val="00DD356A"/>
    <w:rsid w:val="00DD36FE"/>
    <w:rsid w:val="00DD3826"/>
    <w:rsid w:val="00DD3905"/>
    <w:rsid w:val="00DD3A3C"/>
    <w:rsid w:val="00DD3D6A"/>
    <w:rsid w:val="00DD3DE9"/>
    <w:rsid w:val="00DD3E68"/>
    <w:rsid w:val="00DD3E85"/>
    <w:rsid w:val="00DD3F17"/>
    <w:rsid w:val="00DD4787"/>
    <w:rsid w:val="00DD480C"/>
    <w:rsid w:val="00DD4A4A"/>
    <w:rsid w:val="00DD4B71"/>
    <w:rsid w:val="00DD4D57"/>
    <w:rsid w:val="00DD4FE5"/>
    <w:rsid w:val="00DD50A7"/>
    <w:rsid w:val="00DD5234"/>
    <w:rsid w:val="00DD53D3"/>
    <w:rsid w:val="00DD5CC1"/>
    <w:rsid w:val="00DD5D6B"/>
    <w:rsid w:val="00DD5E41"/>
    <w:rsid w:val="00DD5EB7"/>
    <w:rsid w:val="00DD5FF2"/>
    <w:rsid w:val="00DD61BC"/>
    <w:rsid w:val="00DD63AF"/>
    <w:rsid w:val="00DD648D"/>
    <w:rsid w:val="00DD6575"/>
    <w:rsid w:val="00DD6AA7"/>
    <w:rsid w:val="00DD6E67"/>
    <w:rsid w:val="00DD714F"/>
    <w:rsid w:val="00DD738D"/>
    <w:rsid w:val="00DD73C2"/>
    <w:rsid w:val="00DD760A"/>
    <w:rsid w:val="00DD760D"/>
    <w:rsid w:val="00DD783B"/>
    <w:rsid w:val="00DD78AA"/>
    <w:rsid w:val="00DD7D0A"/>
    <w:rsid w:val="00DD7E5B"/>
    <w:rsid w:val="00DD7E76"/>
    <w:rsid w:val="00DD7E80"/>
    <w:rsid w:val="00DD7EDD"/>
    <w:rsid w:val="00DD7F2F"/>
    <w:rsid w:val="00DD7FFB"/>
    <w:rsid w:val="00DE0000"/>
    <w:rsid w:val="00DE01AA"/>
    <w:rsid w:val="00DE03FE"/>
    <w:rsid w:val="00DE07AD"/>
    <w:rsid w:val="00DE0919"/>
    <w:rsid w:val="00DE0A65"/>
    <w:rsid w:val="00DE0D8B"/>
    <w:rsid w:val="00DE0FE6"/>
    <w:rsid w:val="00DE106D"/>
    <w:rsid w:val="00DE1256"/>
    <w:rsid w:val="00DE131C"/>
    <w:rsid w:val="00DE15A7"/>
    <w:rsid w:val="00DE1949"/>
    <w:rsid w:val="00DE1A36"/>
    <w:rsid w:val="00DE1E37"/>
    <w:rsid w:val="00DE1F7F"/>
    <w:rsid w:val="00DE1FDB"/>
    <w:rsid w:val="00DE1FE0"/>
    <w:rsid w:val="00DE2108"/>
    <w:rsid w:val="00DE2204"/>
    <w:rsid w:val="00DE2464"/>
    <w:rsid w:val="00DE2546"/>
    <w:rsid w:val="00DE25F6"/>
    <w:rsid w:val="00DE270D"/>
    <w:rsid w:val="00DE27E4"/>
    <w:rsid w:val="00DE2837"/>
    <w:rsid w:val="00DE287D"/>
    <w:rsid w:val="00DE29FB"/>
    <w:rsid w:val="00DE2A65"/>
    <w:rsid w:val="00DE2B3F"/>
    <w:rsid w:val="00DE2CA4"/>
    <w:rsid w:val="00DE2DD6"/>
    <w:rsid w:val="00DE2F42"/>
    <w:rsid w:val="00DE30A7"/>
    <w:rsid w:val="00DE3194"/>
    <w:rsid w:val="00DE319B"/>
    <w:rsid w:val="00DE3306"/>
    <w:rsid w:val="00DE3501"/>
    <w:rsid w:val="00DE35FD"/>
    <w:rsid w:val="00DE3693"/>
    <w:rsid w:val="00DE3A9E"/>
    <w:rsid w:val="00DE3C96"/>
    <w:rsid w:val="00DE3E04"/>
    <w:rsid w:val="00DE42B1"/>
    <w:rsid w:val="00DE4390"/>
    <w:rsid w:val="00DE458B"/>
    <w:rsid w:val="00DE45B1"/>
    <w:rsid w:val="00DE45C0"/>
    <w:rsid w:val="00DE45F3"/>
    <w:rsid w:val="00DE479D"/>
    <w:rsid w:val="00DE47BA"/>
    <w:rsid w:val="00DE47CF"/>
    <w:rsid w:val="00DE4971"/>
    <w:rsid w:val="00DE497E"/>
    <w:rsid w:val="00DE49E1"/>
    <w:rsid w:val="00DE4A71"/>
    <w:rsid w:val="00DE4C7E"/>
    <w:rsid w:val="00DE4D07"/>
    <w:rsid w:val="00DE4DE4"/>
    <w:rsid w:val="00DE4E1F"/>
    <w:rsid w:val="00DE538A"/>
    <w:rsid w:val="00DE55A9"/>
    <w:rsid w:val="00DE57C9"/>
    <w:rsid w:val="00DE57E8"/>
    <w:rsid w:val="00DE59EB"/>
    <w:rsid w:val="00DE5A28"/>
    <w:rsid w:val="00DE5A39"/>
    <w:rsid w:val="00DE5B0A"/>
    <w:rsid w:val="00DE5C23"/>
    <w:rsid w:val="00DE5C95"/>
    <w:rsid w:val="00DE5CAB"/>
    <w:rsid w:val="00DE607D"/>
    <w:rsid w:val="00DE626D"/>
    <w:rsid w:val="00DE631A"/>
    <w:rsid w:val="00DE65A4"/>
    <w:rsid w:val="00DE65FF"/>
    <w:rsid w:val="00DE66F5"/>
    <w:rsid w:val="00DE6821"/>
    <w:rsid w:val="00DE6A13"/>
    <w:rsid w:val="00DE6C45"/>
    <w:rsid w:val="00DE6DE8"/>
    <w:rsid w:val="00DE6FAD"/>
    <w:rsid w:val="00DE6FBB"/>
    <w:rsid w:val="00DE701E"/>
    <w:rsid w:val="00DE74E4"/>
    <w:rsid w:val="00DE7780"/>
    <w:rsid w:val="00DE7C62"/>
    <w:rsid w:val="00DE7ECF"/>
    <w:rsid w:val="00DE7F65"/>
    <w:rsid w:val="00DE7FBE"/>
    <w:rsid w:val="00DE7FC5"/>
    <w:rsid w:val="00DF0203"/>
    <w:rsid w:val="00DF03D3"/>
    <w:rsid w:val="00DF03F2"/>
    <w:rsid w:val="00DF040D"/>
    <w:rsid w:val="00DF0593"/>
    <w:rsid w:val="00DF07AF"/>
    <w:rsid w:val="00DF0A1B"/>
    <w:rsid w:val="00DF0ABB"/>
    <w:rsid w:val="00DF0CAE"/>
    <w:rsid w:val="00DF0CCF"/>
    <w:rsid w:val="00DF0EB4"/>
    <w:rsid w:val="00DF13DB"/>
    <w:rsid w:val="00DF1629"/>
    <w:rsid w:val="00DF1639"/>
    <w:rsid w:val="00DF164A"/>
    <w:rsid w:val="00DF16E6"/>
    <w:rsid w:val="00DF171E"/>
    <w:rsid w:val="00DF1A31"/>
    <w:rsid w:val="00DF1B50"/>
    <w:rsid w:val="00DF1CEA"/>
    <w:rsid w:val="00DF1FE8"/>
    <w:rsid w:val="00DF225F"/>
    <w:rsid w:val="00DF22B1"/>
    <w:rsid w:val="00DF23DB"/>
    <w:rsid w:val="00DF2449"/>
    <w:rsid w:val="00DF2542"/>
    <w:rsid w:val="00DF2A5D"/>
    <w:rsid w:val="00DF2B0F"/>
    <w:rsid w:val="00DF2B68"/>
    <w:rsid w:val="00DF2D30"/>
    <w:rsid w:val="00DF3125"/>
    <w:rsid w:val="00DF31B9"/>
    <w:rsid w:val="00DF3277"/>
    <w:rsid w:val="00DF3334"/>
    <w:rsid w:val="00DF3419"/>
    <w:rsid w:val="00DF3437"/>
    <w:rsid w:val="00DF34FE"/>
    <w:rsid w:val="00DF359C"/>
    <w:rsid w:val="00DF365B"/>
    <w:rsid w:val="00DF3743"/>
    <w:rsid w:val="00DF3919"/>
    <w:rsid w:val="00DF3ADE"/>
    <w:rsid w:val="00DF3B24"/>
    <w:rsid w:val="00DF3B4A"/>
    <w:rsid w:val="00DF3C0B"/>
    <w:rsid w:val="00DF3C29"/>
    <w:rsid w:val="00DF3C48"/>
    <w:rsid w:val="00DF4020"/>
    <w:rsid w:val="00DF4156"/>
    <w:rsid w:val="00DF41E8"/>
    <w:rsid w:val="00DF426E"/>
    <w:rsid w:val="00DF4ABE"/>
    <w:rsid w:val="00DF4AFA"/>
    <w:rsid w:val="00DF4B0C"/>
    <w:rsid w:val="00DF4C98"/>
    <w:rsid w:val="00DF4E3F"/>
    <w:rsid w:val="00DF4EB6"/>
    <w:rsid w:val="00DF5128"/>
    <w:rsid w:val="00DF52DD"/>
    <w:rsid w:val="00DF53A8"/>
    <w:rsid w:val="00DF55D4"/>
    <w:rsid w:val="00DF56AA"/>
    <w:rsid w:val="00DF56AF"/>
    <w:rsid w:val="00DF584B"/>
    <w:rsid w:val="00DF58BA"/>
    <w:rsid w:val="00DF5C3A"/>
    <w:rsid w:val="00DF5CD7"/>
    <w:rsid w:val="00DF5F73"/>
    <w:rsid w:val="00DF603F"/>
    <w:rsid w:val="00DF6068"/>
    <w:rsid w:val="00DF64A0"/>
    <w:rsid w:val="00DF6853"/>
    <w:rsid w:val="00DF68B2"/>
    <w:rsid w:val="00DF68C2"/>
    <w:rsid w:val="00DF6987"/>
    <w:rsid w:val="00DF6AF4"/>
    <w:rsid w:val="00DF6B88"/>
    <w:rsid w:val="00DF6E29"/>
    <w:rsid w:val="00DF6E91"/>
    <w:rsid w:val="00DF6EC9"/>
    <w:rsid w:val="00DF7049"/>
    <w:rsid w:val="00DF707A"/>
    <w:rsid w:val="00DF71AC"/>
    <w:rsid w:val="00DF7326"/>
    <w:rsid w:val="00DF73F3"/>
    <w:rsid w:val="00DF7537"/>
    <w:rsid w:val="00DF75EC"/>
    <w:rsid w:val="00DF765E"/>
    <w:rsid w:val="00DF7692"/>
    <w:rsid w:val="00DF7798"/>
    <w:rsid w:val="00DF78E7"/>
    <w:rsid w:val="00DF7AE0"/>
    <w:rsid w:val="00DF7D96"/>
    <w:rsid w:val="00DF7E47"/>
    <w:rsid w:val="00DF7E63"/>
    <w:rsid w:val="00DF7F1D"/>
    <w:rsid w:val="00E00175"/>
    <w:rsid w:val="00E0038A"/>
    <w:rsid w:val="00E003A8"/>
    <w:rsid w:val="00E0053E"/>
    <w:rsid w:val="00E0076A"/>
    <w:rsid w:val="00E009CF"/>
    <w:rsid w:val="00E00A5F"/>
    <w:rsid w:val="00E00C37"/>
    <w:rsid w:val="00E00C76"/>
    <w:rsid w:val="00E00F93"/>
    <w:rsid w:val="00E00FC9"/>
    <w:rsid w:val="00E0110D"/>
    <w:rsid w:val="00E01363"/>
    <w:rsid w:val="00E01413"/>
    <w:rsid w:val="00E018A1"/>
    <w:rsid w:val="00E01C76"/>
    <w:rsid w:val="00E01D89"/>
    <w:rsid w:val="00E01DBB"/>
    <w:rsid w:val="00E02000"/>
    <w:rsid w:val="00E02135"/>
    <w:rsid w:val="00E02278"/>
    <w:rsid w:val="00E02505"/>
    <w:rsid w:val="00E0262E"/>
    <w:rsid w:val="00E0265F"/>
    <w:rsid w:val="00E027E6"/>
    <w:rsid w:val="00E02992"/>
    <w:rsid w:val="00E02A0C"/>
    <w:rsid w:val="00E02B56"/>
    <w:rsid w:val="00E02B66"/>
    <w:rsid w:val="00E02D92"/>
    <w:rsid w:val="00E02E5B"/>
    <w:rsid w:val="00E03020"/>
    <w:rsid w:val="00E031B8"/>
    <w:rsid w:val="00E03250"/>
    <w:rsid w:val="00E0334C"/>
    <w:rsid w:val="00E035AB"/>
    <w:rsid w:val="00E036BD"/>
    <w:rsid w:val="00E03707"/>
    <w:rsid w:val="00E03785"/>
    <w:rsid w:val="00E0391C"/>
    <w:rsid w:val="00E03956"/>
    <w:rsid w:val="00E03969"/>
    <w:rsid w:val="00E03A09"/>
    <w:rsid w:val="00E03B23"/>
    <w:rsid w:val="00E03CF9"/>
    <w:rsid w:val="00E03DC0"/>
    <w:rsid w:val="00E03E83"/>
    <w:rsid w:val="00E03EB7"/>
    <w:rsid w:val="00E0425A"/>
    <w:rsid w:val="00E0433B"/>
    <w:rsid w:val="00E04492"/>
    <w:rsid w:val="00E04824"/>
    <w:rsid w:val="00E04AC5"/>
    <w:rsid w:val="00E04B79"/>
    <w:rsid w:val="00E04E5B"/>
    <w:rsid w:val="00E04E8A"/>
    <w:rsid w:val="00E04FD6"/>
    <w:rsid w:val="00E0514E"/>
    <w:rsid w:val="00E05360"/>
    <w:rsid w:val="00E0543E"/>
    <w:rsid w:val="00E0546F"/>
    <w:rsid w:val="00E05590"/>
    <w:rsid w:val="00E05B22"/>
    <w:rsid w:val="00E05BAF"/>
    <w:rsid w:val="00E05C2D"/>
    <w:rsid w:val="00E05DBD"/>
    <w:rsid w:val="00E05DED"/>
    <w:rsid w:val="00E061AC"/>
    <w:rsid w:val="00E0643A"/>
    <w:rsid w:val="00E06477"/>
    <w:rsid w:val="00E06726"/>
    <w:rsid w:val="00E068AE"/>
    <w:rsid w:val="00E068C7"/>
    <w:rsid w:val="00E06C4F"/>
    <w:rsid w:val="00E06E3C"/>
    <w:rsid w:val="00E0705C"/>
    <w:rsid w:val="00E07212"/>
    <w:rsid w:val="00E0723B"/>
    <w:rsid w:val="00E07577"/>
    <w:rsid w:val="00E07759"/>
    <w:rsid w:val="00E0789A"/>
    <w:rsid w:val="00E07D53"/>
    <w:rsid w:val="00E07D9C"/>
    <w:rsid w:val="00E07EA3"/>
    <w:rsid w:val="00E10012"/>
    <w:rsid w:val="00E1002D"/>
    <w:rsid w:val="00E100DC"/>
    <w:rsid w:val="00E1017E"/>
    <w:rsid w:val="00E102E1"/>
    <w:rsid w:val="00E10519"/>
    <w:rsid w:val="00E10549"/>
    <w:rsid w:val="00E106BC"/>
    <w:rsid w:val="00E107EC"/>
    <w:rsid w:val="00E107F8"/>
    <w:rsid w:val="00E10849"/>
    <w:rsid w:val="00E1086A"/>
    <w:rsid w:val="00E10878"/>
    <w:rsid w:val="00E1087E"/>
    <w:rsid w:val="00E10C1D"/>
    <w:rsid w:val="00E10CC6"/>
    <w:rsid w:val="00E10D91"/>
    <w:rsid w:val="00E10E61"/>
    <w:rsid w:val="00E10E7B"/>
    <w:rsid w:val="00E10ED8"/>
    <w:rsid w:val="00E10F8E"/>
    <w:rsid w:val="00E110E0"/>
    <w:rsid w:val="00E112EE"/>
    <w:rsid w:val="00E11387"/>
    <w:rsid w:val="00E11667"/>
    <w:rsid w:val="00E1169E"/>
    <w:rsid w:val="00E116AC"/>
    <w:rsid w:val="00E116F5"/>
    <w:rsid w:val="00E11772"/>
    <w:rsid w:val="00E11AD9"/>
    <w:rsid w:val="00E11BF7"/>
    <w:rsid w:val="00E11E83"/>
    <w:rsid w:val="00E11F18"/>
    <w:rsid w:val="00E11FC0"/>
    <w:rsid w:val="00E12456"/>
    <w:rsid w:val="00E124AB"/>
    <w:rsid w:val="00E125DA"/>
    <w:rsid w:val="00E127BE"/>
    <w:rsid w:val="00E12919"/>
    <w:rsid w:val="00E12958"/>
    <w:rsid w:val="00E12C14"/>
    <w:rsid w:val="00E12CD1"/>
    <w:rsid w:val="00E12CD3"/>
    <w:rsid w:val="00E12D52"/>
    <w:rsid w:val="00E12EE2"/>
    <w:rsid w:val="00E130E6"/>
    <w:rsid w:val="00E1329A"/>
    <w:rsid w:val="00E1332C"/>
    <w:rsid w:val="00E133EC"/>
    <w:rsid w:val="00E136B7"/>
    <w:rsid w:val="00E136E5"/>
    <w:rsid w:val="00E137DC"/>
    <w:rsid w:val="00E13931"/>
    <w:rsid w:val="00E13AE0"/>
    <w:rsid w:val="00E13AF5"/>
    <w:rsid w:val="00E13B2F"/>
    <w:rsid w:val="00E13C11"/>
    <w:rsid w:val="00E13D5D"/>
    <w:rsid w:val="00E13F21"/>
    <w:rsid w:val="00E14067"/>
    <w:rsid w:val="00E14087"/>
    <w:rsid w:val="00E14270"/>
    <w:rsid w:val="00E14400"/>
    <w:rsid w:val="00E144F4"/>
    <w:rsid w:val="00E14536"/>
    <w:rsid w:val="00E14810"/>
    <w:rsid w:val="00E14AE6"/>
    <w:rsid w:val="00E14B86"/>
    <w:rsid w:val="00E14BC1"/>
    <w:rsid w:val="00E14F91"/>
    <w:rsid w:val="00E14FC1"/>
    <w:rsid w:val="00E15371"/>
    <w:rsid w:val="00E1545A"/>
    <w:rsid w:val="00E154D2"/>
    <w:rsid w:val="00E155F4"/>
    <w:rsid w:val="00E15658"/>
    <w:rsid w:val="00E15696"/>
    <w:rsid w:val="00E156C7"/>
    <w:rsid w:val="00E15734"/>
    <w:rsid w:val="00E158E1"/>
    <w:rsid w:val="00E158EF"/>
    <w:rsid w:val="00E15904"/>
    <w:rsid w:val="00E15A5A"/>
    <w:rsid w:val="00E15A77"/>
    <w:rsid w:val="00E15BB5"/>
    <w:rsid w:val="00E15C5B"/>
    <w:rsid w:val="00E15CAF"/>
    <w:rsid w:val="00E15CB5"/>
    <w:rsid w:val="00E15D80"/>
    <w:rsid w:val="00E15E96"/>
    <w:rsid w:val="00E15F16"/>
    <w:rsid w:val="00E15F2B"/>
    <w:rsid w:val="00E160D5"/>
    <w:rsid w:val="00E162C4"/>
    <w:rsid w:val="00E162EC"/>
    <w:rsid w:val="00E165AB"/>
    <w:rsid w:val="00E165E1"/>
    <w:rsid w:val="00E1667F"/>
    <w:rsid w:val="00E16728"/>
    <w:rsid w:val="00E169BE"/>
    <w:rsid w:val="00E16C7E"/>
    <w:rsid w:val="00E16DFC"/>
    <w:rsid w:val="00E171E7"/>
    <w:rsid w:val="00E172D2"/>
    <w:rsid w:val="00E17308"/>
    <w:rsid w:val="00E17547"/>
    <w:rsid w:val="00E17733"/>
    <w:rsid w:val="00E17801"/>
    <w:rsid w:val="00E17917"/>
    <w:rsid w:val="00E17B71"/>
    <w:rsid w:val="00E17BAC"/>
    <w:rsid w:val="00E17BDB"/>
    <w:rsid w:val="00E20088"/>
    <w:rsid w:val="00E2042B"/>
    <w:rsid w:val="00E20506"/>
    <w:rsid w:val="00E206D8"/>
    <w:rsid w:val="00E207C9"/>
    <w:rsid w:val="00E2083D"/>
    <w:rsid w:val="00E20989"/>
    <w:rsid w:val="00E20DB4"/>
    <w:rsid w:val="00E20E9A"/>
    <w:rsid w:val="00E20EA1"/>
    <w:rsid w:val="00E20EB3"/>
    <w:rsid w:val="00E21056"/>
    <w:rsid w:val="00E210FB"/>
    <w:rsid w:val="00E21159"/>
    <w:rsid w:val="00E211FF"/>
    <w:rsid w:val="00E21398"/>
    <w:rsid w:val="00E21749"/>
    <w:rsid w:val="00E2174B"/>
    <w:rsid w:val="00E2197E"/>
    <w:rsid w:val="00E21C4E"/>
    <w:rsid w:val="00E21FAC"/>
    <w:rsid w:val="00E2201F"/>
    <w:rsid w:val="00E22043"/>
    <w:rsid w:val="00E22366"/>
    <w:rsid w:val="00E224A3"/>
    <w:rsid w:val="00E22593"/>
    <w:rsid w:val="00E22597"/>
    <w:rsid w:val="00E2269F"/>
    <w:rsid w:val="00E22903"/>
    <w:rsid w:val="00E22906"/>
    <w:rsid w:val="00E22A84"/>
    <w:rsid w:val="00E22A96"/>
    <w:rsid w:val="00E22B3F"/>
    <w:rsid w:val="00E22B7D"/>
    <w:rsid w:val="00E22D1D"/>
    <w:rsid w:val="00E22FC8"/>
    <w:rsid w:val="00E23158"/>
    <w:rsid w:val="00E232AF"/>
    <w:rsid w:val="00E235E5"/>
    <w:rsid w:val="00E2367F"/>
    <w:rsid w:val="00E23956"/>
    <w:rsid w:val="00E23983"/>
    <w:rsid w:val="00E23A1C"/>
    <w:rsid w:val="00E23D82"/>
    <w:rsid w:val="00E23EF8"/>
    <w:rsid w:val="00E240EA"/>
    <w:rsid w:val="00E24104"/>
    <w:rsid w:val="00E242DD"/>
    <w:rsid w:val="00E24493"/>
    <w:rsid w:val="00E24494"/>
    <w:rsid w:val="00E244C6"/>
    <w:rsid w:val="00E244F4"/>
    <w:rsid w:val="00E24670"/>
    <w:rsid w:val="00E24691"/>
    <w:rsid w:val="00E24792"/>
    <w:rsid w:val="00E24961"/>
    <w:rsid w:val="00E249F7"/>
    <w:rsid w:val="00E24BBC"/>
    <w:rsid w:val="00E24CFC"/>
    <w:rsid w:val="00E24FE0"/>
    <w:rsid w:val="00E252D3"/>
    <w:rsid w:val="00E252EF"/>
    <w:rsid w:val="00E2537A"/>
    <w:rsid w:val="00E25523"/>
    <w:rsid w:val="00E2561C"/>
    <w:rsid w:val="00E2563E"/>
    <w:rsid w:val="00E2567D"/>
    <w:rsid w:val="00E25993"/>
    <w:rsid w:val="00E25E2C"/>
    <w:rsid w:val="00E25F3B"/>
    <w:rsid w:val="00E26176"/>
    <w:rsid w:val="00E262EA"/>
    <w:rsid w:val="00E2645F"/>
    <w:rsid w:val="00E2648C"/>
    <w:rsid w:val="00E264F0"/>
    <w:rsid w:val="00E265F5"/>
    <w:rsid w:val="00E2694A"/>
    <w:rsid w:val="00E26DEE"/>
    <w:rsid w:val="00E26EDD"/>
    <w:rsid w:val="00E26FE9"/>
    <w:rsid w:val="00E2711A"/>
    <w:rsid w:val="00E2718A"/>
    <w:rsid w:val="00E271B4"/>
    <w:rsid w:val="00E2721D"/>
    <w:rsid w:val="00E2762B"/>
    <w:rsid w:val="00E2769E"/>
    <w:rsid w:val="00E277B6"/>
    <w:rsid w:val="00E27867"/>
    <w:rsid w:val="00E27891"/>
    <w:rsid w:val="00E27917"/>
    <w:rsid w:val="00E27A3E"/>
    <w:rsid w:val="00E27A50"/>
    <w:rsid w:val="00E27CDB"/>
    <w:rsid w:val="00E27D94"/>
    <w:rsid w:val="00E27F1B"/>
    <w:rsid w:val="00E30120"/>
    <w:rsid w:val="00E302D0"/>
    <w:rsid w:val="00E304DF"/>
    <w:rsid w:val="00E305AA"/>
    <w:rsid w:val="00E30634"/>
    <w:rsid w:val="00E306C2"/>
    <w:rsid w:val="00E30873"/>
    <w:rsid w:val="00E30ADC"/>
    <w:rsid w:val="00E30BF0"/>
    <w:rsid w:val="00E30DE2"/>
    <w:rsid w:val="00E312FA"/>
    <w:rsid w:val="00E314CA"/>
    <w:rsid w:val="00E31699"/>
    <w:rsid w:val="00E316E8"/>
    <w:rsid w:val="00E31854"/>
    <w:rsid w:val="00E31970"/>
    <w:rsid w:val="00E31A0F"/>
    <w:rsid w:val="00E31ACC"/>
    <w:rsid w:val="00E31B96"/>
    <w:rsid w:val="00E31C66"/>
    <w:rsid w:val="00E31C6A"/>
    <w:rsid w:val="00E31CD5"/>
    <w:rsid w:val="00E32069"/>
    <w:rsid w:val="00E32123"/>
    <w:rsid w:val="00E32B42"/>
    <w:rsid w:val="00E32B89"/>
    <w:rsid w:val="00E32CF6"/>
    <w:rsid w:val="00E32D88"/>
    <w:rsid w:val="00E33038"/>
    <w:rsid w:val="00E330AA"/>
    <w:rsid w:val="00E33312"/>
    <w:rsid w:val="00E3331F"/>
    <w:rsid w:val="00E333D2"/>
    <w:rsid w:val="00E3349E"/>
    <w:rsid w:val="00E33531"/>
    <w:rsid w:val="00E33626"/>
    <w:rsid w:val="00E338FC"/>
    <w:rsid w:val="00E33935"/>
    <w:rsid w:val="00E3398C"/>
    <w:rsid w:val="00E33A2C"/>
    <w:rsid w:val="00E33A55"/>
    <w:rsid w:val="00E33A60"/>
    <w:rsid w:val="00E33AA1"/>
    <w:rsid w:val="00E340BF"/>
    <w:rsid w:val="00E34165"/>
    <w:rsid w:val="00E34226"/>
    <w:rsid w:val="00E34308"/>
    <w:rsid w:val="00E34528"/>
    <w:rsid w:val="00E3465F"/>
    <w:rsid w:val="00E34A45"/>
    <w:rsid w:val="00E34D16"/>
    <w:rsid w:val="00E34E3A"/>
    <w:rsid w:val="00E35002"/>
    <w:rsid w:val="00E3500B"/>
    <w:rsid w:val="00E35248"/>
    <w:rsid w:val="00E35377"/>
    <w:rsid w:val="00E355D2"/>
    <w:rsid w:val="00E35707"/>
    <w:rsid w:val="00E35803"/>
    <w:rsid w:val="00E35857"/>
    <w:rsid w:val="00E35886"/>
    <w:rsid w:val="00E35C59"/>
    <w:rsid w:val="00E35D44"/>
    <w:rsid w:val="00E35ECF"/>
    <w:rsid w:val="00E360E8"/>
    <w:rsid w:val="00E3659C"/>
    <w:rsid w:val="00E3689C"/>
    <w:rsid w:val="00E368A1"/>
    <w:rsid w:val="00E369FF"/>
    <w:rsid w:val="00E36AA1"/>
    <w:rsid w:val="00E36B82"/>
    <w:rsid w:val="00E36E1E"/>
    <w:rsid w:val="00E370C2"/>
    <w:rsid w:val="00E37225"/>
    <w:rsid w:val="00E37319"/>
    <w:rsid w:val="00E37405"/>
    <w:rsid w:val="00E37458"/>
    <w:rsid w:val="00E37550"/>
    <w:rsid w:val="00E3757D"/>
    <w:rsid w:val="00E37715"/>
    <w:rsid w:val="00E37741"/>
    <w:rsid w:val="00E378AB"/>
    <w:rsid w:val="00E379F4"/>
    <w:rsid w:val="00E37CA4"/>
    <w:rsid w:val="00E37F87"/>
    <w:rsid w:val="00E4005C"/>
    <w:rsid w:val="00E401E1"/>
    <w:rsid w:val="00E40238"/>
    <w:rsid w:val="00E40310"/>
    <w:rsid w:val="00E4034F"/>
    <w:rsid w:val="00E4069B"/>
    <w:rsid w:val="00E4072C"/>
    <w:rsid w:val="00E40A4E"/>
    <w:rsid w:val="00E40C31"/>
    <w:rsid w:val="00E40C53"/>
    <w:rsid w:val="00E40DA7"/>
    <w:rsid w:val="00E40E6B"/>
    <w:rsid w:val="00E40EFA"/>
    <w:rsid w:val="00E40FF2"/>
    <w:rsid w:val="00E4110A"/>
    <w:rsid w:val="00E41299"/>
    <w:rsid w:val="00E4168C"/>
    <w:rsid w:val="00E41AF1"/>
    <w:rsid w:val="00E41ECB"/>
    <w:rsid w:val="00E41EED"/>
    <w:rsid w:val="00E42005"/>
    <w:rsid w:val="00E4215D"/>
    <w:rsid w:val="00E4241B"/>
    <w:rsid w:val="00E4248F"/>
    <w:rsid w:val="00E42619"/>
    <w:rsid w:val="00E42676"/>
    <w:rsid w:val="00E426DD"/>
    <w:rsid w:val="00E428B7"/>
    <w:rsid w:val="00E4294E"/>
    <w:rsid w:val="00E42E23"/>
    <w:rsid w:val="00E43108"/>
    <w:rsid w:val="00E4317A"/>
    <w:rsid w:val="00E431D1"/>
    <w:rsid w:val="00E4321A"/>
    <w:rsid w:val="00E432A9"/>
    <w:rsid w:val="00E4340E"/>
    <w:rsid w:val="00E4358E"/>
    <w:rsid w:val="00E43908"/>
    <w:rsid w:val="00E43958"/>
    <w:rsid w:val="00E43A8B"/>
    <w:rsid w:val="00E43C18"/>
    <w:rsid w:val="00E43EA1"/>
    <w:rsid w:val="00E44618"/>
    <w:rsid w:val="00E44663"/>
    <w:rsid w:val="00E44785"/>
    <w:rsid w:val="00E44928"/>
    <w:rsid w:val="00E44A08"/>
    <w:rsid w:val="00E44A5E"/>
    <w:rsid w:val="00E44B40"/>
    <w:rsid w:val="00E44C15"/>
    <w:rsid w:val="00E44F5F"/>
    <w:rsid w:val="00E44F8D"/>
    <w:rsid w:val="00E45087"/>
    <w:rsid w:val="00E45178"/>
    <w:rsid w:val="00E451E4"/>
    <w:rsid w:val="00E45295"/>
    <w:rsid w:val="00E4532F"/>
    <w:rsid w:val="00E453C2"/>
    <w:rsid w:val="00E453FF"/>
    <w:rsid w:val="00E45402"/>
    <w:rsid w:val="00E4541E"/>
    <w:rsid w:val="00E45501"/>
    <w:rsid w:val="00E4558F"/>
    <w:rsid w:val="00E4559F"/>
    <w:rsid w:val="00E4578C"/>
    <w:rsid w:val="00E45897"/>
    <w:rsid w:val="00E458BE"/>
    <w:rsid w:val="00E45A50"/>
    <w:rsid w:val="00E46022"/>
    <w:rsid w:val="00E46053"/>
    <w:rsid w:val="00E461AB"/>
    <w:rsid w:val="00E462D3"/>
    <w:rsid w:val="00E462F2"/>
    <w:rsid w:val="00E46354"/>
    <w:rsid w:val="00E46763"/>
    <w:rsid w:val="00E468E6"/>
    <w:rsid w:val="00E4690D"/>
    <w:rsid w:val="00E4696F"/>
    <w:rsid w:val="00E469B9"/>
    <w:rsid w:val="00E46A3B"/>
    <w:rsid w:val="00E46D9C"/>
    <w:rsid w:val="00E46DB6"/>
    <w:rsid w:val="00E47061"/>
    <w:rsid w:val="00E47096"/>
    <w:rsid w:val="00E47258"/>
    <w:rsid w:val="00E47872"/>
    <w:rsid w:val="00E478A6"/>
    <w:rsid w:val="00E478EE"/>
    <w:rsid w:val="00E479D9"/>
    <w:rsid w:val="00E47A11"/>
    <w:rsid w:val="00E47B74"/>
    <w:rsid w:val="00E5005F"/>
    <w:rsid w:val="00E50065"/>
    <w:rsid w:val="00E500AF"/>
    <w:rsid w:val="00E5017B"/>
    <w:rsid w:val="00E501DC"/>
    <w:rsid w:val="00E50282"/>
    <w:rsid w:val="00E505EA"/>
    <w:rsid w:val="00E506D9"/>
    <w:rsid w:val="00E50858"/>
    <w:rsid w:val="00E5085B"/>
    <w:rsid w:val="00E508BB"/>
    <w:rsid w:val="00E5098E"/>
    <w:rsid w:val="00E509A8"/>
    <w:rsid w:val="00E50A57"/>
    <w:rsid w:val="00E50B36"/>
    <w:rsid w:val="00E50CF1"/>
    <w:rsid w:val="00E50D3B"/>
    <w:rsid w:val="00E50D74"/>
    <w:rsid w:val="00E51050"/>
    <w:rsid w:val="00E5124D"/>
    <w:rsid w:val="00E5141C"/>
    <w:rsid w:val="00E5157B"/>
    <w:rsid w:val="00E515D8"/>
    <w:rsid w:val="00E51686"/>
    <w:rsid w:val="00E51AF4"/>
    <w:rsid w:val="00E51B63"/>
    <w:rsid w:val="00E51C50"/>
    <w:rsid w:val="00E522E6"/>
    <w:rsid w:val="00E52338"/>
    <w:rsid w:val="00E52397"/>
    <w:rsid w:val="00E5253E"/>
    <w:rsid w:val="00E529DD"/>
    <w:rsid w:val="00E52A80"/>
    <w:rsid w:val="00E52D43"/>
    <w:rsid w:val="00E52D76"/>
    <w:rsid w:val="00E52F74"/>
    <w:rsid w:val="00E5318D"/>
    <w:rsid w:val="00E531D2"/>
    <w:rsid w:val="00E533E0"/>
    <w:rsid w:val="00E533E8"/>
    <w:rsid w:val="00E5343B"/>
    <w:rsid w:val="00E53771"/>
    <w:rsid w:val="00E537D2"/>
    <w:rsid w:val="00E53927"/>
    <w:rsid w:val="00E53A17"/>
    <w:rsid w:val="00E53A43"/>
    <w:rsid w:val="00E53E61"/>
    <w:rsid w:val="00E53F88"/>
    <w:rsid w:val="00E53FFE"/>
    <w:rsid w:val="00E5426D"/>
    <w:rsid w:val="00E544CE"/>
    <w:rsid w:val="00E548BE"/>
    <w:rsid w:val="00E54932"/>
    <w:rsid w:val="00E54A43"/>
    <w:rsid w:val="00E54B71"/>
    <w:rsid w:val="00E54BD9"/>
    <w:rsid w:val="00E54CD7"/>
    <w:rsid w:val="00E54D26"/>
    <w:rsid w:val="00E54FDB"/>
    <w:rsid w:val="00E55006"/>
    <w:rsid w:val="00E55011"/>
    <w:rsid w:val="00E55043"/>
    <w:rsid w:val="00E551C5"/>
    <w:rsid w:val="00E55298"/>
    <w:rsid w:val="00E554A8"/>
    <w:rsid w:val="00E55750"/>
    <w:rsid w:val="00E5594B"/>
    <w:rsid w:val="00E559BD"/>
    <w:rsid w:val="00E55B65"/>
    <w:rsid w:val="00E55BC9"/>
    <w:rsid w:val="00E55C83"/>
    <w:rsid w:val="00E55ED6"/>
    <w:rsid w:val="00E5617D"/>
    <w:rsid w:val="00E5639C"/>
    <w:rsid w:val="00E563D7"/>
    <w:rsid w:val="00E5643F"/>
    <w:rsid w:val="00E5651A"/>
    <w:rsid w:val="00E566F1"/>
    <w:rsid w:val="00E568FE"/>
    <w:rsid w:val="00E56A19"/>
    <w:rsid w:val="00E56BFC"/>
    <w:rsid w:val="00E56D56"/>
    <w:rsid w:val="00E56E99"/>
    <w:rsid w:val="00E56FA3"/>
    <w:rsid w:val="00E56FC2"/>
    <w:rsid w:val="00E57221"/>
    <w:rsid w:val="00E57237"/>
    <w:rsid w:val="00E5729A"/>
    <w:rsid w:val="00E57361"/>
    <w:rsid w:val="00E574B0"/>
    <w:rsid w:val="00E57889"/>
    <w:rsid w:val="00E57A68"/>
    <w:rsid w:val="00E57AA3"/>
    <w:rsid w:val="00E57B10"/>
    <w:rsid w:val="00E57C02"/>
    <w:rsid w:val="00E57C91"/>
    <w:rsid w:val="00E57CC3"/>
    <w:rsid w:val="00E57D19"/>
    <w:rsid w:val="00E57ED7"/>
    <w:rsid w:val="00E6003B"/>
    <w:rsid w:val="00E601C8"/>
    <w:rsid w:val="00E60332"/>
    <w:rsid w:val="00E60501"/>
    <w:rsid w:val="00E6058C"/>
    <w:rsid w:val="00E605EE"/>
    <w:rsid w:val="00E60633"/>
    <w:rsid w:val="00E607C9"/>
    <w:rsid w:val="00E6081D"/>
    <w:rsid w:val="00E60856"/>
    <w:rsid w:val="00E60D2F"/>
    <w:rsid w:val="00E60ECF"/>
    <w:rsid w:val="00E60EFD"/>
    <w:rsid w:val="00E60F4E"/>
    <w:rsid w:val="00E610AF"/>
    <w:rsid w:val="00E61254"/>
    <w:rsid w:val="00E61761"/>
    <w:rsid w:val="00E61788"/>
    <w:rsid w:val="00E61819"/>
    <w:rsid w:val="00E618DA"/>
    <w:rsid w:val="00E6192E"/>
    <w:rsid w:val="00E619A2"/>
    <w:rsid w:val="00E61A3B"/>
    <w:rsid w:val="00E6211D"/>
    <w:rsid w:val="00E62198"/>
    <w:rsid w:val="00E621E9"/>
    <w:rsid w:val="00E622F4"/>
    <w:rsid w:val="00E6232A"/>
    <w:rsid w:val="00E6244E"/>
    <w:rsid w:val="00E62484"/>
    <w:rsid w:val="00E6255A"/>
    <w:rsid w:val="00E62662"/>
    <w:rsid w:val="00E62665"/>
    <w:rsid w:val="00E62762"/>
    <w:rsid w:val="00E62775"/>
    <w:rsid w:val="00E6279E"/>
    <w:rsid w:val="00E6287E"/>
    <w:rsid w:val="00E62989"/>
    <w:rsid w:val="00E62A56"/>
    <w:rsid w:val="00E62BBA"/>
    <w:rsid w:val="00E62DB4"/>
    <w:rsid w:val="00E62E17"/>
    <w:rsid w:val="00E62ED5"/>
    <w:rsid w:val="00E630E1"/>
    <w:rsid w:val="00E63135"/>
    <w:rsid w:val="00E6344B"/>
    <w:rsid w:val="00E636A7"/>
    <w:rsid w:val="00E637C8"/>
    <w:rsid w:val="00E638FC"/>
    <w:rsid w:val="00E63A3A"/>
    <w:rsid w:val="00E63A3D"/>
    <w:rsid w:val="00E63B92"/>
    <w:rsid w:val="00E63CAE"/>
    <w:rsid w:val="00E63E10"/>
    <w:rsid w:val="00E640A5"/>
    <w:rsid w:val="00E642A8"/>
    <w:rsid w:val="00E642EB"/>
    <w:rsid w:val="00E64351"/>
    <w:rsid w:val="00E6440D"/>
    <w:rsid w:val="00E646CE"/>
    <w:rsid w:val="00E647A7"/>
    <w:rsid w:val="00E64A0D"/>
    <w:rsid w:val="00E64AC0"/>
    <w:rsid w:val="00E64B0D"/>
    <w:rsid w:val="00E64B20"/>
    <w:rsid w:val="00E64C83"/>
    <w:rsid w:val="00E64D66"/>
    <w:rsid w:val="00E64EA4"/>
    <w:rsid w:val="00E64F38"/>
    <w:rsid w:val="00E64F95"/>
    <w:rsid w:val="00E64FD1"/>
    <w:rsid w:val="00E65075"/>
    <w:rsid w:val="00E650FC"/>
    <w:rsid w:val="00E65147"/>
    <w:rsid w:val="00E651A6"/>
    <w:rsid w:val="00E651E8"/>
    <w:rsid w:val="00E65202"/>
    <w:rsid w:val="00E6541C"/>
    <w:rsid w:val="00E65432"/>
    <w:rsid w:val="00E6546B"/>
    <w:rsid w:val="00E65517"/>
    <w:rsid w:val="00E6555E"/>
    <w:rsid w:val="00E6582E"/>
    <w:rsid w:val="00E65A92"/>
    <w:rsid w:val="00E65B89"/>
    <w:rsid w:val="00E65C90"/>
    <w:rsid w:val="00E65DA5"/>
    <w:rsid w:val="00E662D3"/>
    <w:rsid w:val="00E66382"/>
    <w:rsid w:val="00E663F4"/>
    <w:rsid w:val="00E6663B"/>
    <w:rsid w:val="00E666F2"/>
    <w:rsid w:val="00E666F3"/>
    <w:rsid w:val="00E667E3"/>
    <w:rsid w:val="00E6695B"/>
    <w:rsid w:val="00E669A2"/>
    <w:rsid w:val="00E66BFE"/>
    <w:rsid w:val="00E66C2F"/>
    <w:rsid w:val="00E66C58"/>
    <w:rsid w:val="00E66CD5"/>
    <w:rsid w:val="00E66D1E"/>
    <w:rsid w:val="00E66DD4"/>
    <w:rsid w:val="00E671C6"/>
    <w:rsid w:val="00E6742D"/>
    <w:rsid w:val="00E6754A"/>
    <w:rsid w:val="00E67BD4"/>
    <w:rsid w:val="00E67C4E"/>
    <w:rsid w:val="00E67CEB"/>
    <w:rsid w:val="00E67E9F"/>
    <w:rsid w:val="00E67F2E"/>
    <w:rsid w:val="00E67FE2"/>
    <w:rsid w:val="00E700B6"/>
    <w:rsid w:val="00E702A9"/>
    <w:rsid w:val="00E705B9"/>
    <w:rsid w:val="00E70657"/>
    <w:rsid w:val="00E70871"/>
    <w:rsid w:val="00E709C8"/>
    <w:rsid w:val="00E70AD8"/>
    <w:rsid w:val="00E70C77"/>
    <w:rsid w:val="00E70DB6"/>
    <w:rsid w:val="00E70DEB"/>
    <w:rsid w:val="00E7120F"/>
    <w:rsid w:val="00E712ED"/>
    <w:rsid w:val="00E71325"/>
    <w:rsid w:val="00E71444"/>
    <w:rsid w:val="00E715CD"/>
    <w:rsid w:val="00E71872"/>
    <w:rsid w:val="00E718FE"/>
    <w:rsid w:val="00E71981"/>
    <w:rsid w:val="00E71B95"/>
    <w:rsid w:val="00E71BF0"/>
    <w:rsid w:val="00E71D41"/>
    <w:rsid w:val="00E71ECB"/>
    <w:rsid w:val="00E72062"/>
    <w:rsid w:val="00E72294"/>
    <w:rsid w:val="00E72513"/>
    <w:rsid w:val="00E7295B"/>
    <w:rsid w:val="00E72FD9"/>
    <w:rsid w:val="00E73208"/>
    <w:rsid w:val="00E732DD"/>
    <w:rsid w:val="00E7330F"/>
    <w:rsid w:val="00E73358"/>
    <w:rsid w:val="00E7347C"/>
    <w:rsid w:val="00E73682"/>
    <w:rsid w:val="00E7370E"/>
    <w:rsid w:val="00E73734"/>
    <w:rsid w:val="00E73782"/>
    <w:rsid w:val="00E73BAE"/>
    <w:rsid w:val="00E73C4C"/>
    <w:rsid w:val="00E73C7A"/>
    <w:rsid w:val="00E73C8D"/>
    <w:rsid w:val="00E73D1D"/>
    <w:rsid w:val="00E73D55"/>
    <w:rsid w:val="00E746FC"/>
    <w:rsid w:val="00E748CC"/>
    <w:rsid w:val="00E74B67"/>
    <w:rsid w:val="00E74C9E"/>
    <w:rsid w:val="00E74EC7"/>
    <w:rsid w:val="00E74F15"/>
    <w:rsid w:val="00E7503A"/>
    <w:rsid w:val="00E7522B"/>
    <w:rsid w:val="00E752C4"/>
    <w:rsid w:val="00E752FF"/>
    <w:rsid w:val="00E75415"/>
    <w:rsid w:val="00E755EA"/>
    <w:rsid w:val="00E75778"/>
    <w:rsid w:val="00E75923"/>
    <w:rsid w:val="00E75BB6"/>
    <w:rsid w:val="00E75E85"/>
    <w:rsid w:val="00E75F40"/>
    <w:rsid w:val="00E761F0"/>
    <w:rsid w:val="00E76462"/>
    <w:rsid w:val="00E7650C"/>
    <w:rsid w:val="00E76624"/>
    <w:rsid w:val="00E76639"/>
    <w:rsid w:val="00E76681"/>
    <w:rsid w:val="00E767F0"/>
    <w:rsid w:val="00E768A9"/>
    <w:rsid w:val="00E7693D"/>
    <w:rsid w:val="00E769D8"/>
    <w:rsid w:val="00E769EC"/>
    <w:rsid w:val="00E76B82"/>
    <w:rsid w:val="00E76B97"/>
    <w:rsid w:val="00E76CFC"/>
    <w:rsid w:val="00E76ED2"/>
    <w:rsid w:val="00E76EEB"/>
    <w:rsid w:val="00E76FD3"/>
    <w:rsid w:val="00E77144"/>
    <w:rsid w:val="00E77203"/>
    <w:rsid w:val="00E77460"/>
    <w:rsid w:val="00E7747B"/>
    <w:rsid w:val="00E775B1"/>
    <w:rsid w:val="00E77682"/>
    <w:rsid w:val="00E77717"/>
    <w:rsid w:val="00E77A15"/>
    <w:rsid w:val="00E77E1F"/>
    <w:rsid w:val="00E77F90"/>
    <w:rsid w:val="00E801D5"/>
    <w:rsid w:val="00E80411"/>
    <w:rsid w:val="00E80467"/>
    <w:rsid w:val="00E804C0"/>
    <w:rsid w:val="00E805A0"/>
    <w:rsid w:val="00E80622"/>
    <w:rsid w:val="00E80839"/>
    <w:rsid w:val="00E80D25"/>
    <w:rsid w:val="00E810A7"/>
    <w:rsid w:val="00E810E3"/>
    <w:rsid w:val="00E8111E"/>
    <w:rsid w:val="00E814C6"/>
    <w:rsid w:val="00E8152A"/>
    <w:rsid w:val="00E816E2"/>
    <w:rsid w:val="00E817C1"/>
    <w:rsid w:val="00E818AA"/>
    <w:rsid w:val="00E818FE"/>
    <w:rsid w:val="00E81995"/>
    <w:rsid w:val="00E81A21"/>
    <w:rsid w:val="00E81CA3"/>
    <w:rsid w:val="00E81DD8"/>
    <w:rsid w:val="00E81E3A"/>
    <w:rsid w:val="00E81E44"/>
    <w:rsid w:val="00E823B1"/>
    <w:rsid w:val="00E82504"/>
    <w:rsid w:val="00E825A0"/>
    <w:rsid w:val="00E8279F"/>
    <w:rsid w:val="00E82945"/>
    <w:rsid w:val="00E82A8B"/>
    <w:rsid w:val="00E82C4E"/>
    <w:rsid w:val="00E82DB2"/>
    <w:rsid w:val="00E82DF0"/>
    <w:rsid w:val="00E8300C"/>
    <w:rsid w:val="00E83235"/>
    <w:rsid w:val="00E83358"/>
    <w:rsid w:val="00E836A4"/>
    <w:rsid w:val="00E836C9"/>
    <w:rsid w:val="00E83792"/>
    <w:rsid w:val="00E83C9A"/>
    <w:rsid w:val="00E83DD9"/>
    <w:rsid w:val="00E83E4A"/>
    <w:rsid w:val="00E83F01"/>
    <w:rsid w:val="00E8426E"/>
    <w:rsid w:val="00E842E0"/>
    <w:rsid w:val="00E84453"/>
    <w:rsid w:val="00E84675"/>
    <w:rsid w:val="00E8482C"/>
    <w:rsid w:val="00E84983"/>
    <w:rsid w:val="00E8498A"/>
    <w:rsid w:val="00E84AF7"/>
    <w:rsid w:val="00E84CB0"/>
    <w:rsid w:val="00E84E0F"/>
    <w:rsid w:val="00E84F68"/>
    <w:rsid w:val="00E84FC0"/>
    <w:rsid w:val="00E85142"/>
    <w:rsid w:val="00E85174"/>
    <w:rsid w:val="00E85311"/>
    <w:rsid w:val="00E8563E"/>
    <w:rsid w:val="00E85AAD"/>
    <w:rsid w:val="00E85C04"/>
    <w:rsid w:val="00E85E97"/>
    <w:rsid w:val="00E85F8C"/>
    <w:rsid w:val="00E860D5"/>
    <w:rsid w:val="00E8614F"/>
    <w:rsid w:val="00E861C6"/>
    <w:rsid w:val="00E86257"/>
    <w:rsid w:val="00E86521"/>
    <w:rsid w:val="00E8655A"/>
    <w:rsid w:val="00E8666A"/>
    <w:rsid w:val="00E86798"/>
    <w:rsid w:val="00E867AE"/>
    <w:rsid w:val="00E86991"/>
    <w:rsid w:val="00E86DCD"/>
    <w:rsid w:val="00E86DE7"/>
    <w:rsid w:val="00E86E24"/>
    <w:rsid w:val="00E8738F"/>
    <w:rsid w:val="00E87398"/>
    <w:rsid w:val="00E87626"/>
    <w:rsid w:val="00E87628"/>
    <w:rsid w:val="00E8790B"/>
    <w:rsid w:val="00E8794A"/>
    <w:rsid w:val="00E87955"/>
    <w:rsid w:val="00E879A4"/>
    <w:rsid w:val="00E87B81"/>
    <w:rsid w:val="00E87C54"/>
    <w:rsid w:val="00E87E13"/>
    <w:rsid w:val="00E87ED4"/>
    <w:rsid w:val="00E90028"/>
    <w:rsid w:val="00E9015B"/>
    <w:rsid w:val="00E90177"/>
    <w:rsid w:val="00E903B9"/>
    <w:rsid w:val="00E903F6"/>
    <w:rsid w:val="00E9052C"/>
    <w:rsid w:val="00E905DE"/>
    <w:rsid w:val="00E90860"/>
    <w:rsid w:val="00E90C39"/>
    <w:rsid w:val="00E90F68"/>
    <w:rsid w:val="00E9111D"/>
    <w:rsid w:val="00E913E1"/>
    <w:rsid w:val="00E915B3"/>
    <w:rsid w:val="00E91744"/>
    <w:rsid w:val="00E91815"/>
    <w:rsid w:val="00E918CC"/>
    <w:rsid w:val="00E91B7E"/>
    <w:rsid w:val="00E91CD1"/>
    <w:rsid w:val="00E91FF8"/>
    <w:rsid w:val="00E92033"/>
    <w:rsid w:val="00E9225F"/>
    <w:rsid w:val="00E92310"/>
    <w:rsid w:val="00E92461"/>
    <w:rsid w:val="00E926AB"/>
    <w:rsid w:val="00E92920"/>
    <w:rsid w:val="00E929E7"/>
    <w:rsid w:val="00E92A0E"/>
    <w:rsid w:val="00E92DC4"/>
    <w:rsid w:val="00E92E66"/>
    <w:rsid w:val="00E92E7C"/>
    <w:rsid w:val="00E930CB"/>
    <w:rsid w:val="00E9310D"/>
    <w:rsid w:val="00E93376"/>
    <w:rsid w:val="00E933E9"/>
    <w:rsid w:val="00E935C5"/>
    <w:rsid w:val="00E93629"/>
    <w:rsid w:val="00E936E7"/>
    <w:rsid w:val="00E93857"/>
    <w:rsid w:val="00E938C2"/>
    <w:rsid w:val="00E938EB"/>
    <w:rsid w:val="00E9399F"/>
    <w:rsid w:val="00E93ABF"/>
    <w:rsid w:val="00E93B5C"/>
    <w:rsid w:val="00E93C7B"/>
    <w:rsid w:val="00E93D5D"/>
    <w:rsid w:val="00E945D9"/>
    <w:rsid w:val="00E94B93"/>
    <w:rsid w:val="00E94C1E"/>
    <w:rsid w:val="00E94CEC"/>
    <w:rsid w:val="00E94D43"/>
    <w:rsid w:val="00E94E20"/>
    <w:rsid w:val="00E94E58"/>
    <w:rsid w:val="00E951DB"/>
    <w:rsid w:val="00E952B1"/>
    <w:rsid w:val="00E95514"/>
    <w:rsid w:val="00E955DA"/>
    <w:rsid w:val="00E956AD"/>
    <w:rsid w:val="00E9579A"/>
    <w:rsid w:val="00E958F3"/>
    <w:rsid w:val="00E959BE"/>
    <w:rsid w:val="00E95A04"/>
    <w:rsid w:val="00E95D3E"/>
    <w:rsid w:val="00E95E8B"/>
    <w:rsid w:val="00E95E9A"/>
    <w:rsid w:val="00E96401"/>
    <w:rsid w:val="00E96454"/>
    <w:rsid w:val="00E965CD"/>
    <w:rsid w:val="00E96633"/>
    <w:rsid w:val="00E96650"/>
    <w:rsid w:val="00E9680D"/>
    <w:rsid w:val="00E96835"/>
    <w:rsid w:val="00E968CD"/>
    <w:rsid w:val="00E96B06"/>
    <w:rsid w:val="00E96F85"/>
    <w:rsid w:val="00E970E0"/>
    <w:rsid w:val="00E9710B"/>
    <w:rsid w:val="00E97484"/>
    <w:rsid w:val="00E9766E"/>
    <w:rsid w:val="00E976FF"/>
    <w:rsid w:val="00E97884"/>
    <w:rsid w:val="00E978BD"/>
    <w:rsid w:val="00E979B0"/>
    <w:rsid w:val="00E97B89"/>
    <w:rsid w:val="00E97D3E"/>
    <w:rsid w:val="00E97EB0"/>
    <w:rsid w:val="00E97ECD"/>
    <w:rsid w:val="00EA007D"/>
    <w:rsid w:val="00EA039A"/>
    <w:rsid w:val="00EA041B"/>
    <w:rsid w:val="00EA048F"/>
    <w:rsid w:val="00EA04EF"/>
    <w:rsid w:val="00EA0752"/>
    <w:rsid w:val="00EA08EE"/>
    <w:rsid w:val="00EA0969"/>
    <w:rsid w:val="00EA09E7"/>
    <w:rsid w:val="00EA0A72"/>
    <w:rsid w:val="00EA0AD6"/>
    <w:rsid w:val="00EA0BEB"/>
    <w:rsid w:val="00EA0CDA"/>
    <w:rsid w:val="00EA0DF8"/>
    <w:rsid w:val="00EA115F"/>
    <w:rsid w:val="00EA125A"/>
    <w:rsid w:val="00EA13B1"/>
    <w:rsid w:val="00EA1452"/>
    <w:rsid w:val="00EA15E6"/>
    <w:rsid w:val="00EA1618"/>
    <w:rsid w:val="00EA16C8"/>
    <w:rsid w:val="00EA178D"/>
    <w:rsid w:val="00EA1A45"/>
    <w:rsid w:val="00EA1C83"/>
    <w:rsid w:val="00EA1F67"/>
    <w:rsid w:val="00EA2013"/>
    <w:rsid w:val="00EA20AE"/>
    <w:rsid w:val="00EA2405"/>
    <w:rsid w:val="00EA248D"/>
    <w:rsid w:val="00EA267A"/>
    <w:rsid w:val="00EA2708"/>
    <w:rsid w:val="00EA27FD"/>
    <w:rsid w:val="00EA2A52"/>
    <w:rsid w:val="00EA2C80"/>
    <w:rsid w:val="00EA2CBA"/>
    <w:rsid w:val="00EA2CF5"/>
    <w:rsid w:val="00EA2DEF"/>
    <w:rsid w:val="00EA2E33"/>
    <w:rsid w:val="00EA2E76"/>
    <w:rsid w:val="00EA2EF5"/>
    <w:rsid w:val="00EA3161"/>
    <w:rsid w:val="00EA33BB"/>
    <w:rsid w:val="00EA34A7"/>
    <w:rsid w:val="00EA34EB"/>
    <w:rsid w:val="00EA3716"/>
    <w:rsid w:val="00EA393F"/>
    <w:rsid w:val="00EA3C5E"/>
    <w:rsid w:val="00EA3F33"/>
    <w:rsid w:val="00EA3FDD"/>
    <w:rsid w:val="00EA4072"/>
    <w:rsid w:val="00EA423E"/>
    <w:rsid w:val="00EA4373"/>
    <w:rsid w:val="00EA4676"/>
    <w:rsid w:val="00EA469D"/>
    <w:rsid w:val="00EA4724"/>
    <w:rsid w:val="00EA4786"/>
    <w:rsid w:val="00EA48EE"/>
    <w:rsid w:val="00EA49A1"/>
    <w:rsid w:val="00EA4A61"/>
    <w:rsid w:val="00EA4A80"/>
    <w:rsid w:val="00EA4D01"/>
    <w:rsid w:val="00EA4F30"/>
    <w:rsid w:val="00EA5009"/>
    <w:rsid w:val="00EA514E"/>
    <w:rsid w:val="00EA51F5"/>
    <w:rsid w:val="00EA5250"/>
    <w:rsid w:val="00EA53C3"/>
    <w:rsid w:val="00EA55C0"/>
    <w:rsid w:val="00EA5625"/>
    <w:rsid w:val="00EA58C2"/>
    <w:rsid w:val="00EA5909"/>
    <w:rsid w:val="00EA5A24"/>
    <w:rsid w:val="00EA5BD0"/>
    <w:rsid w:val="00EA5BF4"/>
    <w:rsid w:val="00EA5C27"/>
    <w:rsid w:val="00EA5FA1"/>
    <w:rsid w:val="00EA60E4"/>
    <w:rsid w:val="00EA6130"/>
    <w:rsid w:val="00EA61AE"/>
    <w:rsid w:val="00EA61ED"/>
    <w:rsid w:val="00EA62C2"/>
    <w:rsid w:val="00EA657E"/>
    <w:rsid w:val="00EA66D5"/>
    <w:rsid w:val="00EA68A5"/>
    <w:rsid w:val="00EA6B32"/>
    <w:rsid w:val="00EA6C79"/>
    <w:rsid w:val="00EA6DE5"/>
    <w:rsid w:val="00EA6F19"/>
    <w:rsid w:val="00EA6F29"/>
    <w:rsid w:val="00EA6FCB"/>
    <w:rsid w:val="00EA6FF9"/>
    <w:rsid w:val="00EA714E"/>
    <w:rsid w:val="00EA7158"/>
    <w:rsid w:val="00EA7685"/>
    <w:rsid w:val="00EA7698"/>
    <w:rsid w:val="00EA7974"/>
    <w:rsid w:val="00EA79D0"/>
    <w:rsid w:val="00EA7B32"/>
    <w:rsid w:val="00EA7CEC"/>
    <w:rsid w:val="00EB0076"/>
    <w:rsid w:val="00EB00BE"/>
    <w:rsid w:val="00EB02A3"/>
    <w:rsid w:val="00EB04DB"/>
    <w:rsid w:val="00EB0509"/>
    <w:rsid w:val="00EB0878"/>
    <w:rsid w:val="00EB0AED"/>
    <w:rsid w:val="00EB0DAA"/>
    <w:rsid w:val="00EB0E0B"/>
    <w:rsid w:val="00EB0E72"/>
    <w:rsid w:val="00EB108D"/>
    <w:rsid w:val="00EB1296"/>
    <w:rsid w:val="00EB12D4"/>
    <w:rsid w:val="00EB134A"/>
    <w:rsid w:val="00EB13A1"/>
    <w:rsid w:val="00EB15B5"/>
    <w:rsid w:val="00EB1946"/>
    <w:rsid w:val="00EB1A1A"/>
    <w:rsid w:val="00EB1C59"/>
    <w:rsid w:val="00EB1C5A"/>
    <w:rsid w:val="00EB1CEF"/>
    <w:rsid w:val="00EB1E36"/>
    <w:rsid w:val="00EB1E8B"/>
    <w:rsid w:val="00EB2118"/>
    <w:rsid w:val="00EB21F5"/>
    <w:rsid w:val="00EB24DC"/>
    <w:rsid w:val="00EB285A"/>
    <w:rsid w:val="00EB2892"/>
    <w:rsid w:val="00EB2A6C"/>
    <w:rsid w:val="00EB2AD2"/>
    <w:rsid w:val="00EB2B7A"/>
    <w:rsid w:val="00EB2C2F"/>
    <w:rsid w:val="00EB2D59"/>
    <w:rsid w:val="00EB2F39"/>
    <w:rsid w:val="00EB3095"/>
    <w:rsid w:val="00EB3108"/>
    <w:rsid w:val="00EB319B"/>
    <w:rsid w:val="00EB32BB"/>
    <w:rsid w:val="00EB372E"/>
    <w:rsid w:val="00EB384D"/>
    <w:rsid w:val="00EB3CC1"/>
    <w:rsid w:val="00EB3E71"/>
    <w:rsid w:val="00EB3EE3"/>
    <w:rsid w:val="00EB416C"/>
    <w:rsid w:val="00EB4178"/>
    <w:rsid w:val="00EB4327"/>
    <w:rsid w:val="00EB437F"/>
    <w:rsid w:val="00EB441B"/>
    <w:rsid w:val="00EB45D5"/>
    <w:rsid w:val="00EB4637"/>
    <w:rsid w:val="00EB4724"/>
    <w:rsid w:val="00EB4849"/>
    <w:rsid w:val="00EB4871"/>
    <w:rsid w:val="00EB494F"/>
    <w:rsid w:val="00EB4952"/>
    <w:rsid w:val="00EB4A4A"/>
    <w:rsid w:val="00EB4A8A"/>
    <w:rsid w:val="00EB4B52"/>
    <w:rsid w:val="00EB4CE0"/>
    <w:rsid w:val="00EB5400"/>
    <w:rsid w:val="00EB583E"/>
    <w:rsid w:val="00EB5B15"/>
    <w:rsid w:val="00EB5BB3"/>
    <w:rsid w:val="00EB5FD8"/>
    <w:rsid w:val="00EB60B3"/>
    <w:rsid w:val="00EB60CC"/>
    <w:rsid w:val="00EB61F6"/>
    <w:rsid w:val="00EB6266"/>
    <w:rsid w:val="00EB629C"/>
    <w:rsid w:val="00EB6469"/>
    <w:rsid w:val="00EB64BF"/>
    <w:rsid w:val="00EB658C"/>
    <w:rsid w:val="00EB65A1"/>
    <w:rsid w:val="00EB67A2"/>
    <w:rsid w:val="00EB683C"/>
    <w:rsid w:val="00EB6BDD"/>
    <w:rsid w:val="00EB6CF6"/>
    <w:rsid w:val="00EB6D6F"/>
    <w:rsid w:val="00EB6FBC"/>
    <w:rsid w:val="00EB7090"/>
    <w:rsid w:val="00EB709E"/>
    <w:rsid w:val="00EB71F8"/>
    <w:rsid w:val="00EB727F"/>
    <w:rsid w:val="00EB752F"/>
    <w:rsid w:val="00EB762A"/>
    <w:rsid w:val="00EB77E3"/>
    <w:rsid w:val="00EB78B1"/>
    <w:rsid w:val="00EB7A3B"/>
    <w:rsid w:val="00EB7DB4"/>
    <w:rsid w:val="00EB7F17"/>
    <w:rsid w:val="00EC00F6"/>
    <w:rsid w:val="00EC0449"/>
    <w:rsid w:val="00EC0489"/>
    <w:rsid w:val="00EC04D2"/>
    <w:rsid w:val="00EC05CF"/>
    <w:rsid w:val="00EC06AC"/>
    <w:rsid w:val="00EC06EA"/>
    <w:rsid w:val="00EC0782"/>
    <w:rsid w:val="00EC08ED"/>
    <w:rsid w:val="00EC093C"/>
    <w:rsid w:val="00EC0961"/>
    <w:rsid w:val="00EC0A6E"/>
    <w:rsid w:val="00EC0BA5"/>
    <w:rsid w:val="00EC0E31"/>
    <w:rsid w:val="00EC1171"/>
    <w:rsid w:val="00EC15DA"/>
    <w:rsid w:val="00EC1994"/>
    <w:rsid w:val="00EC1B8F"/>
    <w:rsid w:val="00EC1BBE"/>
    <w:rsid w:val="00EC1BFE"/>
    <w:rsid w:val="00EC1CA8"/>
    <w:rsid w:val="00EC1CB0"/>
    <w:rsid w:val="00EC1F87"/>
    <w:rsid w:val="00EC203B"/>
    <w:rsid w:val="00EC2079"/>
    <w:rsid w:val="00EC20E1"/>
    <w:rsid w:val="00EC21F4"/>
    <w:rsid w:val="00EC223E"/>
    <w:rsid w:val="00EC2564"/>
    <w:rsid w:val="00EC2B23"/>
    <w:rsid w:val="00EC2B68"/>
    <w:rsid w:val="00EC2C99"/>
    <w:rsid w:val="00EC2CC2"/>
    <w:rsid w:val="00EC2D25"/>
    <w:rsid w:val="00EC2F76"/>
    <w:rsid w:val="00EC2F7F"/>
    <w:rsid w:val="00EC2F8B"/>
    <w:rsid w:val="00EC32CD"/>
    <w:rsid w:val="00EC331A"/>
    <w:rsid w:val="00EC35EC"/>
    <w:rsid w:val="00EC3872"/>
    <w:rsid w:val="00EC3AEF"/>
    <w:rsid w:val="00EC3B79"/>
    <w:rsid w:val="00EC3C29"/>
    <w:rsid w:val="00EC3C32"/>
    <w:rsid w:val="00EC3C6A"/>
    <w:rsid w:val="00EC3D1C"/>
    <w:rsid w:val="00EC3DBE"/>
    <w:rsid w:val="00EC4136"/>
    <w:rsid w:val="00EC42DE"/>
    <w:rsid w:val="00EC4646"/>
    <w:rsid w:val="00EC46AA"/>
    <w:rsid w:val="00EC46C3"/>
    <w:rsid w:val="00EC48CA"/>
    <w:rsid w:val="00EC49F2"/>
    <w:rsid w:val="00EC4A84"/>
    <w:rsid w:val="00EC4A93"/>
    <w:rsid w:val="00EC4C64"/>
    <w:rsid w:val="00EC4D60"/>
    <w:rsid w:val="00EC4D88"/>
    <w:rsid w:val="00EC50C6"/>
    <w:rsid w:val="00EC529C"/>
    <w:rsid w:val="00EC5447"/>
    <w:rsid w:val="00EC55BD"/>
    <w:rsid w:val="00EC5756"/>
    <w:rsid w:val="00EC57C4"/>
    <w:rsid w:val="00EC599A"/>
    <w:rsid w:val="00EC5A20"/>
    <w:rsid w:val="00EC5AF3"/>
    <w:rsid w:val="00EC5B38"/>
    <w:rsid w:val="00EC5B89"/>
    <w:rsid w:val="00EC5C75"/>
    <w:rsid w:val="00EC5CD7"/>
    <w:rsid w:val="00EC5F08"/>
    <w:rsid w:val="00EC5F98"/>
    <w:rsid w:val="00EC6150"/>
    <w:rsid w:val="00EC64E4"/>
    <w:rsid w:val="00EC6581"/>
    <w:rsid w:val="00EC6676"/>
    <w:rsid w:val="00EC6834"/>
    <w:rsid w:val="00EC68A0"/>
    <w:rsid w:val="00EC696A"/>
    <w:rsid w:val="00EC6A43"/>
    <w:rsid w:val="00EC6CD6"/>
    <w:rsid w:val="00EC6D89"/>
    <w:rsid w:val="00EC70E7"/>
    <w:rsid w:val="00EC717E"/>
    <w:rsid w:val="00EC71AD"/>
    <w:rsid w:val="00EC730E"/>
    <w:rsid w:val="00EC73DC"/>
    <w:rsid w:val="00EC76A8"/>
    <w:rsid w:val="00EC782F"/>
    <w:rsid w:val="00EC793F"/>
    <w:rsid w:val="00EC7A05"/>
    <w:rsid w:val="00EC7B8A"/>
    <w:rsid w:val="00EC7C77"/>
    <w:rsid w:val="00EC7D3B"/>
    <w:rsid w:val="00EC7DDA"/>
    <w:rsid w:val="00EC7EF4"/>
    <w:rsid w:val="00ED0053"/>
    <w:rsid w:val="00ED0083"/>
    <w:rsid w:val="00ED0152"/>
    <w:rsid w:val="00ED02DE"/>
    <w:rsid w:val="00ED0399"/>
    <w:rsid w:val="00ED048D"/>
    <w:rsid w:val="00ED07C1"/>
    <w:rsid w:val="00ED0840"/>
    <w:rsid w:val="00ED0952"/>
    <w:rsid w:val="00ED098D"/>
    <w:rsid w:val="00ED0A2F"/>
    <w:rsid w:val="00ED0D30"/>
    <w:rsid w:val="00ED0F3F"/>
    <w:rsid w:val="00ED10DA"/>
    <w:rsid w:val="00ED120D"/>
    <w:rsid w:val="00ED142D"/>
    <w:rsid w:val="00ED14B9"/>
    <w:rsid w:val="00ED194A"/>
    <w:rsid w:val="00ED1CCE"/>
    <w:rsid w:val="00ED1E30"/>
    <w:rsid w:val="00ED1ECD"/>
    <w:rsid w:val="00ED1FE3"/>
    <w:rsid w:val="00ED259D"/>
    <w:rsid w:val="00ED2641"/>
    <w:rsid w:val="00ED267A"/>
    <w:rsid w:val="00ED2835"/>
    <w:rsid w:val="00ED289D"/>
    <w:rsid w:val="00ED2AC4"/>
    <w:rsid w:val="00ED2BC4"/>
    <w:rsid w:val="00ED2BE4"/>
    <w:rsid w:val="00ED2DE9"/>
    <w:rsid w:val="00ED2E54"/>
    <w:rsid w:val="00ED314F"/>
    <w:rsid w:val="00ED325C"/>
    <w:rsid w:val="00ED34FF"/>
    <w:rsid w:val="00ED375A"/>
    <w:rsid w:val="00ED39E9"/>
    <w:rsid w:val="00ED3AF3"/>
    <w:rsid w:val="00ED3C4A"/>
    <w:rsid w:val="00ED3CF1"/>
    <w:rsid w:val="00ED4011"/>
    <w:rsid w:val="00ED402D"/>
    <w:rsid w:val="00ED40C1"/>
    <w:rsid w:val="00ED4104"/>
    <w:rsid w:val="00ED4214"/>
    <w:rsid w:val="00ED42DB"/>
    <w:rsid w:val="00ED43ED"/>
    <w:rsid w:val="00ED458F"/>
    <w:rsid w:val="00ED47A1"/>
    <w:rsid w:val="00ED48B4"/>
    <w:rsid w:val="00ED49BC"/>
    <w:rsid w:val="00ED4A11"/>
    <w:rsid w:val="00ED4A90"/>
    <w:rsid w:val="00ED4BBF"/>
    <w:rsid w:val="00ED4BEE"/>
    <w:rsid w:val="00ED4D77"/>
    <w:rsid w:val="00ED4E88"/>
    <w:rsid w:val="00ED4FCC"/>
    <w:rsid w:val="00ED516D"/>
    <w:rsid w:val="00ED51B1"/>
    <w:rsid w:val="00ED54F7"/>
    <w:rsid w:val="00ED5528"/>
    <w:rsid w:val="00ED56E8"/>
    <w:rsid w:val="00ED56EF"/>
    <w:rsid w:val="00ED583B"/>
    <w:rsid w:val="00ED5881"/>
    <w:rsid w:val="00ED5947"/>
    <w:rsid w:val="00ED59FD"/>
    <w:rsid w:val="00ED5B30"/>
    <w:rsid w:val="00ED5B49"/>
    <w:rsid w:val="00ED5BD3"/>
    <w:rsid w:val="00ED5DE1"/>
    <w:rsid w:val="00ED5E38"/>
    <w:rsid w:val="00ED5E6F"/>
    <w:rsid w:val="00ED60D0"/>
    <w:rsid w:val="00ED61DF"/>
    <w:rsid w:val="00ED6268"/>
    <w:rsid w:val="00ED6498"/>
    <w:rsid w:val="00ED6503"/>
    <w:rsid w:val="00ED6815"/>
    <w:rsid w:val="00ED6890"/>
    <w:rsid w:val="00ED68B7"/>
    <w:rsid w:val="00ED6A67"/>
    <w:rsid w:val="00ED6ACF"/>
    <w:rsid w:val="00ED6C5C"/>
    <w:rsid w:val="00ED6CE7"/>
    <w:rsid w:val="00ED6D71"/>
    <w:rsid w:val="00ED6EF7"/>
    <w:rsid w:val="00ED6F9F"/>
    <w:rsid w:val="00ED7146"/>
    <w:rsid w:val="00ED715D"/>
    <w:rsid w:val="00ED7211"/>
    <w:rsid w:val="00ED7293"/>
    <w:rsid w:val="00ED7658"/>
    <w:rsid w:val="00ED7790"/>
    <w:rsid w:val="00ED781C"/>
    <w:rsid w:val="00ED7A1A"/>
    <w:rsid w:val="00ED7A4D"/>
    <w:rsid w:val="00ED7AC7"/>
    <w:rsid w:val="00EE0337"/>
    <w:rsid w:val="00EE074E"/>
    <w:rsid w:val="00EE0B1C"/>
    <w:rsid w:val="00EE0B3A"/>
    <w:rsid w:val="00EE0B55"/>
    <w:rsid w:val="00EE0B84"/>
    <w:rsid w:val="00EE0C5B"/>
    <w:rsid w:val="00EE0D4A"/>
    <w:rsid w:val="00EE0E6D"/>
    <w:rsid w:val="00EE1335"/>
    <w:rsid w:val="00EE16ED"/>
    <w:rsid w:val="00EE193D"/>
    <w:rsid w:val="00EE1AB0"/>
    <w:rsid w:val="00EE1AFD"/>
    <w:rsid w:val="00EE1B5B"/>
    <w:rsid w:val="00EE1BDC"/>
    <w:rsid w:val="00EE1C8D"/>
    <w:rsid w:val="00EE1E50"/>
    <w:rsid w:val="00EE226E"/>
    <w:rsid w:val="00EE2624"/>
    <w:rsid w:val="00EE26EF"/>
    <w:rsid w:val="00EE2824"/>
    <w:rsid w:val="00EE293E"/>
    <w:rsid w:val="00EE2A7B"/>
    <w:rsid w:val="00EE2B29"/>
    <w:rsid w:val="00EE2C66"/>
    <w:rsid w:val="00EE2DC3"/>
    <w:rsid w:val="00EE2E67"/>
    <w:rsid w:val="00EE2FA2"/>
    <w:rsid w:val="00EE31A8"/>
    <w:rsid w:val="00EE32A5"/>
    <w:rsid w:val="00EE3526"/>
    <w:rsid w:val="00EE354A"/>
    <w:rsid w:val="00EE35F2"/>
    <w:rsid w:val="00EE38BD"/>
    <w:rsid w:val="00EE3A3F"/>
    <w:rsid w:val="00EE3AD7"/>
    <w:rsid w:val="00EE3DBA"/>
    <w:rsid w:val="00EE3DD6"/>
    <w:rsid w:val="00EE4282"/>
    <w:rsid w:val="00EE446F"/>
    <w:rsid w:val="00EE47D7"/>
    <w:rsid w:val="00EE48CF"/>
    <w:rsid w:val="00EE4AA7"/>
    <w:rsid w:val="00EE4E35"/>
    <w:rsid w:val="00EE50A3"/>
    <w:rsid w:val="00EE50ED"/>
    <w:rsid w:val="00EE51B5"/>
    <w:rsid w:val="00EE53CB"/>
    <w:rsid w:val="00EE5488"/>
    <w:rsid w:val="00EE59BF"/>
    <w:rsid w:val="00EE59EC"/>
    <w:rsid w:val="00EE5A80"/>
    <w:rsid w:val="00EE5AC2"/>
    <w:rsid w:val="00EE5B6B"/>
    <w:rsid w:val="00EE5BFC"/>
    <w:rsid w:val="00EE5DFE"/>
    <w:rsid w:val="00EE5EFF"/>
    <w:rsid w:val="00EE5F03"/>
    <w:rsid w:val="00EE5FB3"/>
    <w:rsid w:val="00EE603E"/>
    <w:rsid w:val="00EE6318"/>
    <w:rsid w:val="00EE6387"/>
    <w:rsid w:val="00EE64B7"/>
    <w:rsid w:val="00EE659D"/>
    <w:rsid w:val="00EE6936"/>
    <w:rsid w:val="00EE6A20"/>
    <w:rsid w:val="00EE6B5F"/>
    <w:rsid w:val="00EE6BC9"/>
    <w:rsid w:val="00EE6CC0"/>
    <w:rsid w:val="00EE7102"/>
    <w:rsid w:val="00EE7266"/>
    <w:rsid w:val="00EE72E5"/>
    <w:rsid w:val="00EE73A5"/>
    <w:rsid w:val="00EE75B7"/>
    <w:rsid w:val="00EE7620"/>
    <w:rsid w:val="00EE7A90"/>
    <w:rsid w:val="00EE7AB5"/>
    <w:rsid w:val="00EE7BF3"/>
    <w:rsid w:val="00EE7BFD"/>
    <w:rsid w:val="00EE7EF3"/>
    <w:rsid w:val="00EE7F79"/>
    <w:rsid w:val="00EF043D"/>
    <w:rsid w:val="00EF058E"/>
    <w:rsid w:val="00EF061D"/>
    <w:rsid w:val="00EF079E"/>
    <w:rsid w:val="00EF07F0"/>
    <w:rsid w:val="00EF0AA7"/>
    <w:rsid w:val="00EF0BFC"/>
    <w:rsid w:val="00EF0C84"/>
    <w:rsid w:val="00EF0C97"/>
    <w:rsid w:val="00EF0D03"/>
    <w:rsid w:val="00EF0E8E"/>
    <w:rsid w:val="00EF0F0C"/>
    <w:rsid w:val="00EF102F"/>
    <w:rsid w:val="00EF1044"/>
    <w:rsid w:val="00EF13B7"/>
    <w:rsid w:val="00EF14B0"/>
    <w:rsid w:val="00EF16E3"/>
    <w:rsid w:val="00EF184F"/>
    <w:rsid w:val="00EF1A63"/>
    <w:rsid w:val="00EF1AC0"/>
    <w:rsid w:val="00EF1AE1"/>
    <w:rsid w:val="00EF1D8B"/>
    <w:rsid w:val="00EF2333"/>
    <w:rsid w:val="00EF2396"/>
    <w:rsid w:val="00EF259D"/>
    <w:rsid w:val="00EF28B4"/>
    <w:rsid w:val="00EF29E9"/>
    <w:rsid w:val="00EF2A49"/>
    <w:rsid w:val="00EF2C6C"/>
    <w:rsid w:val="00EF2D79"/>
    <w:rsid w:val="00EF2EF5"/>
    <w:rsid w:val="00EF2FCA"/>
    <w:rsid w:val="00EF3104"/>
    <w:rsid w:val="00EF317D"/>
    <w:rsid w:val="00EF31BF"/>
    <w:rsid w:val="00EF3354"/>
    <w:rsid w:val="00EF346A"/>
    <w:rsid w:val="00EF348B"/>
    <w:rsid w:val="00EF3673"/>
    <w:rsid w:val="00EF367E"/>
    <w:rsid w:val="00EF3793"/>
    <w:rsid w:val="00EF37FA"/>
    <w:rsid w:val="00EF3A0B"/>
    <w:rsid w:val="00EF3BF9"/>
    <w:rsid w:val="00EF3C5F"/>
    <w:rsid w:val="00EF3DA0"/>
    <w:rsid w:val="00EF3DB2"/>
    <w:rsid w:val="00EF3DF3"/>
    <w:rsid w:val="00EF4007"/>
    <w:rsid w:val="00EF4103"/>
    <w:rsid w:val="00EF4228"/>
    <w:rsid w:val="00EF424D"/>
    <w:rsid w:val="00EF432D"/>
    <w:rsid w:val="00EF43D3"/>
    <w:rsid w:val="00EF4412"/>
    <w:rsid w:val="00EF464D"/>
    <w:rsid w:val="00EF48DE"/>
    <w:rsid w:val="00EF4A9A"/>
    <w:rsid w:val="00EF4DEA"/>
    <w:rsid w:val="00EF4DFB"/>
    <w:rsid w:val="00EF4FC2"/>
    <w:rsid w:val="00EF50FE"/>
    <w:rsid w:val="00EF534E"/>
    <w:rsid w:val="00EF5389"/>
    <w:rsid w:val="00EF54E7"/>
    <w:rsid w:val="00EF5746"/>
    <w:rsid w:val="00EF5830"/>
    <w:rsid w:val="00EF589E"/>
    <w:rsid w:val="00EF58D0"/>
    <w:rsid w:val="00EF5A24"/>
    <w:rsid w:val="00EF5BC7"/>
    <w:rsid w:val="00EF5BF2"/>
    <w:rsid w:val="00EF5C3A"/>
    <w:rsid w:val="00EF5DE0"/>
    <w:rsid w:val="00EF5F96"/>
    <w:rsid w:val="00EF60C9"/>
    <w:rsid w:val="00EF60D0"/>
    <w:rsid w:val="00EF61F1"/>
    <w:rsid w:val="00EF62C4"/>
    <w:rsid w:val="00EF68D4"/>
    <w:rsid w:val="00EF692B"/>
    <w:rsid w:val="00EF6973"/>
    <w:rsid w:val="00EF6AC7"/>
    <w:rsid w:val="00EF6D2F"/>
    <w:rsid w:val="00EF6E44"/>
    <w:rsid w:val="00EF6E5D"/>
    <w:rsid w:val="00EF6F5C"/>
    <w:rsid w:val="00EF6F8B"/>
    <w:rsid w:val="00EF709D"/>
    <w:rsid w:val="00EF715A"/>
    <w:rsid w:val="00EF71C9"/>
    <w:rsid w:val="00EF737F"/>
    <w:rsid w:val="00EF796E"/>
    <w:rsid w:val="00EF7A0B"/>
    <w:rsid w:val="00EF7AB8"/>
    <w:rsid w:val="00EF7EB3"/>
    <w:rsid w:val="00EF7EC2"/>
    <w:rsid w:val="00EF7F64"/>
    <w:rsid w:val="00EF7F9A"/>
    <w:rsid w:val="00F000DF"/>
    <w:rsid w:val="00F0013A"/>
    <w:rsid w:val="00F00369"/>
    <w:rsid w:val="00F00386"/>
    <w:rsid w:val="00F006AC"/>
    <w:rsid w:val="00F00714"/>
    <w:rsid w:val="00F00730"/>
    <w:rsid w:val="00F00939"/>
    <w:rsid w:val="00F00A2E"/>
    <w:rsid w:val="00F00ECC"/>
    <w:rsid w:val="00F00FA3"/>
    <w:rsid w:val="00F01060"/>
    <w:rsid w:val="00F01081"/>
    <w:rsid w:val="00F01202"/>
    <w:rsid w:val="00F013EC"/>
    <w:rsid w:val="00F0145F"/>
    <w:rsid w:val="00F015FC"/>
    <w:rsid w:val="00F01662"/>
    <w:rsid w:val="00F01817"/>
    <w:rsid w:val="00F0187C"/>
    <w:rsid w:val="00F01889"/>
    <w:rsid w:val="00F018AD"/>
    <w:rsid w:val="00F01A4B"/>
    <w:rsid w:val="00F01BB9"/>
    <w:rsid w:val="00F01CBC"/>
    <w:rsid w:val="00F01EB5"/>
    <w:rsid w:val="00F01F1C"/>
    <w:rsid w:val="00F02030"/>
    <w:rsid w:val="00F0216E"/>
    <w:rsid w:val="00F0220C"/>
    <w:rsid w:val="00F0225F"/>
    <w:rsid w:val="00F02288"/>
    <w:rsid w:val="00F023FD"/>
    <w:rsid w:val="00F02511"/>
    <w:rsid w:val="00F02574"/>
    <w:rsid w:val="00F02718"/>
    <w:rsid w:val="00F0271A"/>
    <w:rsid w:val="00F02822"/>
    <w:rsid w:val="00F02879"/>
    <w:rsid w:val="00F02A4E"/>
    <w:rsid w:val="00F02A67"/>
    <w:rsid w:val="00F02B9B"/>
    <w:rsid w:val="00F02F1C"/>
    <w:rsid w:val="00F03012"/>
    <w:rsid w:val="00F0317B"/>
    <w:rsid w:val="00F0317F"/>
    <w:rsid w:val="00F03329"/>
    <w:rsid w:val="00F03453"/>
    <w:rsid w:val="00F0357A"/>
    <w:rsid w:val="00F03677"/>
    <w:rsid w:val="00F036CA"/>
    <w:rsid w:val="00F03910"/>
    <w:rsid w:val="00F03C27"/>
    <w:rsid w:val="00F03E14"/>
    <w:rsid w:val="00F03E22"/>
    <w:rsid w:val="00F03F71"/>
    <w:rsid w:val="00F03FED"/>
    <w:rsid w:val="00F0409D"/>
    <w:rsid w:val="00F04181"/>
    <w:rsid w:val="00F04213"/>
    <w:rsid w:val="00F042D2"/>
    <w:rsid w:val="00F0433B"/>
    <w:rsid w:val="00F0442A"/>
    <w:rsid w:val="00F045CD"/>
    <w:rsid w:val="00F04656"/>
    <w:rsid w:val="00F0475F"/>
    <w:rsid w:val="00F049A0"/>
    <w:rsid w:val="00F049A7"/>
    <w:rsid w:val="00F04BC5"/>
    <w:rsid w:val="00F051B8"/>
    <w:rsid w:val="00F056DD"/>
    <w:rsid w:val="00F05758"/>
    <w:rsid w:val="00F05CE6"/>
    <w:rsid w:val="00F05D81"/>
    <w:rsid w:val="00F05E8C"/>
    <w:rsid w:val="00F06240"/>
    <w:rsid w:val="00F06569"/>
    <w:rsid w:val="00F065DA"/>
    <w:rsid w:val="00F06615"/>
    <w:rsid w:val="00F0679E"/>
    <w:rsid w:val="00F06875"/>
    <w:rsid w:val="00F06C52"/>
    <w:rsid w:val="00F06E14"/>
    <w:rsid w:val="00F06EB1"/>
    <w:rsid w:val="00F06F25"/>
    <w:rsid w:val="00F07132"/>
    <w:rsid w:val="00F074A7"/>
    <w:rsid w:val="00F074E4"/>
    <w:rsid w:val="00F07550"/>
    <w:rsid w:val="00F07CC7"/>
    <w:rsid w:val="00F07CFE"/>
    <w:rsid w:val="00F07F0C"/>
    <w:rsid w:val="00F07F66"/>
    <w:rsid w:val="00F07FCA"/>
    <w:rsid w:val="00F10012"/>
    <w:rsid w:val="00F100D2"/>
    <w:rsid w:val="00F10115"/>
    <w:rsid w:val="00F1011C"/>
    <w:rsid w:val="00F101B8"/>
    <w:rsid w:val="00F106F7"/>
    <w:rsid w:val="00F107BF"/>
    <w:rsid w:val="00F10A2F"/>
    <w:rsid w:val="00F10A39"/>
    <w:rsid w:val="00F10D4D"/>
    <w:rsid w:val="00F10E39"/>
    <w:rsid w:val="00F10EDD"/>
    <w:rsid w:val="00F111C9"/>
    <w:rsid w:val="00F11276"/>
    <w:rsid w:val="00F113BF"/>
    <w:rsid w:val="00F1142E"/>
    <w:rsid w:val="00F114A6"/>
    <w:rsid w:val="00F1157B"/>
    <w:rsid w:val="00F115D1"/>
    <w:rsid w:val="00F1164A"/>
    <w:rsid w:val="00F117AF"/>
    <w:rsid w:val="00F118A8"/>
    <w:rsid w:val="00F11E3A"/>
    <w:rsid w:val="00F121D1"/>
    <w:rsid w:val="00F12282"/>
    <w:rsid w:val="00F12351"/>
    <w:rsid w:val="00F12457"/>
    <w:rsid w:val="00F12603"/>
    <w:rsid w:val="00F12743"/>
    <w:rsid w:val="00F12A31"/>
    <w:rsid w:val="00F12BB0"/>
    <w:rsid w:val="00F12DCD"/>
    <w:rsid w:val="00F12F59"/>
    <w:rsid w:val="00F132B9"/>
    <w:rsid w:val="00F134F0"/>
    <w:rsid w:val="00F135CE"/>
    <w:rsid w:val="00F1377C"/>
    <w:rsid w:val="00F137B1"/>
    <w:rsid w:val="00F13862"/>
    <w:rsid w:val="00F13AD4"/>
    <w:rsid w:val="00F13DD6"/>
    <w:rsid w:val="00F13E6B"/>
    <w:rsid w:val="00F13EF3"/>
    <w:rsid w:val="00F14202"/>
    <w:rsid w:val="00F142A8"/>
    <w:rsid w:val="00F144E9"/>
    <w:rsid w:val="00F145EE"/>
    <w:rsid w:val="00F14774"/>
    <w:rsid w:val="00F14ACC"/>
    <w:rsid w:val="00F14B18"/>
    <w:rsid w:val="00F14B65"/>
    <w:rsid w:val="00F14C9C"/>
    <w:rsid w:val="00F14CAD"/>
    <w:rsid w:val="00F14CFE"/>
    <w:rsid w:val="00F14E25"/>
    <w:rsid w:val="00F15392"/>
    <w:rsid w:val="00F153B1"/>
    <w:rsid w:val="00F15729"/>
    <w:rsid w:val="00F158D4"/>
    <w:rsid w:val="00F158EA"/>
    <w:rsid w:val="00F15C5B"/>
    <w:rsid w:val="00F15C71"/>
    <w:rsid w:val="00F15D71"/>
    <w:rsid w:val="00F15E8F"/>
    <w:rsid w:val="00F16069"/>
    <w:rsid w:val="00F16104"/>
    <w:rsid w:val="00F161A3"/>
    <w:rsid w:val="00F163FF"/>
    <w:rsid w:val="00F16619"/>
    <w:rsid w:val="00F16634"/>
    <w:rsid w:val="00F167E1"/>
    <w:rsid w:val="00F167E6"/>
    <w:rsid w:val="00F1681D"/>
    <w:rsid w:val="00F168A6"/>
    <w:rsid w:val="00F168E8"/>
    <w:rsid w:val="00F16A62"/>
    <w:rsid w:val="00F16AC7"/>
    <w:rsid w:val="00F16DC9"/>
    <w:rsid w:val="00F16E3D"/>
    <w:rsid w:val="00F16ED2"/>
    <w:rsid w:val="00F16EF7"/>
    <w:rsid w:val="00F17041"/>
    <w:rsid w:val="00F17172"/>
    <w:rsid w:val="00F173D6"/>
    <w:rsid w:val="00F174CB"/>
    <w:rsid w:val="00F174E6"/>
    <w:rsid w:val="00F17558"/>
    <w:rsid w:val="00F175A2"/>
    <w:rsid w:val="00F175FE"/>
    <w:rsid w:val="00F17600"/>
    <w:rsid w:val="00F17673"/>
    <w:rsid w:val="00F17902"/>
    <w:rsid w:val="00F17925"/>
    <w:rsid w:val="00F179D4"/>
    <w:rsid w:val="00F17BB3"/>
    <w:rsid w:val="00F17C76"/>
    <w:rsid w:val="00F17CAA"/>
    <w:rsid w:val="00F17D89"/>
    <w:rsid w:val="00F20072"/>
    <w:rsid w:val="00F2024B"/>
    <w:rsid w:val="00F206D7"/>
    <w:rsid w:val="00F20ABA"/>
    <w:rsid w:val="00F20E88"/>
    <w:rsid w:val="00F21179"/>
    <w:rsid w:val="00F21352"/>
    <w:rsid w:val="00F215FF"/>
    <w:rsid w:val="00F21936"/>
    <w:rsid w:val="00F21981"/>
    <w:rsid w:val="00F21AD7"/>
    <w:rsid w:val="00F21D15"/>
    <w:rsid w:val="00F21D47"/>
    <w:rsid w:val="00F21DCD"/>
    <w:rsid w:val="00F220D2"/>
    <w:rsid w:val="00F22224"/>
    <w:rsid w:val="00F22251"/>
    <w:rsid w:val="00F22427"/>
    <w:rsid w:val="00F2254F"/>
    <w:rsid w:val="00F22A23"/>
    <w:rsid w:val="00F22B47"/>
    <w:rsid w:val="00F22E68"/>
    <w:rsid w:val="00F22ED4"/>
    <w:rsid w:val="00F2300A"/>
    <w:rsid w:val="00F23148"/>
    <w:rsid w:val="00F23186"/>
    <w:rsid w:val="00F2323C"/>
    <w:rsid w:val="00F23336"/>
    <w:rsid w:val="00F234C4"/>
    <w:rsid w:val="00F2357E"/>
    <w:rsid w:val="00F2358A"/>
    <w:rsid w:val="00F23614"/>
    <w:rsid w:val="00F23C69"/>
    <w:rsid w:val="00F23CB8"/>
    <w:rsid w:val="00F23CDA"/>
    <w:rsid w:val="00F23E64"/>
    <w:rsid w:val="00F23E93"/>
    <w:rsid w:val="00F24066"/>
    <w:rsid w:val="00F2407C"/>
    <w:rsid w:val="00F24358"/>
    <w:rsid w:val="00F2439C"/>
    <w:rsid w:val="00F243F9"/>
    <w:rsid w:val="00F244D9"/>
    <w:rsid w:val="00F24971"/>
    <w:rsid w:val="00F24A6B"/>
    <w:rsid w:val="00F24AB7"/>
    <w:rsid w:val="00F24B8C"/>
    <w:rsid w:val="00F24CF8"/>
    <w:rsid w:val="00F250B0"/>
    <w:rsid w:val="00F25569"/>
    <w:rsid w:val="00F2556D"/>
    <w:rsid w:val="00F2572A"/>
    <w:rsid w:val="00F25788"/>
    <w:rsid w:val="00F25811"/>
    <w:rsid w:val="00F2585B"/>
    <w:rsid w:val="00F258A6"/>
    <w:rsid w:val="00F25992"/>
    <w:rsid w:val="00F25A5B"/>
    <w:rsid w:val="00F25BAD"/>
    <w:rsid w:val="00F25C39"/>
    <w:rsid w:val="00F25EF5"/>
    <w:rsid w:val="00F2603A"/>
    <w:rsid w:val="00F2612C"/>
    <w:rsid w:val="00F2616C"/>
    <w:rsid w:val="00F26449"/>
    <w:rsid w:val="00F264EE"/>
    <w:rsid w:val="00F26512"/>
    <w:rsid w:val="00F265D5"/>
    <w:rsid w:val="00F266EF"/>
    <w:rsid w:val="00F26735"/>
    <w:rsid w:val="00F267C3"/>
    <w:rsid w:val="00F267C6"/>
    <w:rsid w:val="00F268C5"/>
    <w:rsid w:val="00F26A14"/>
    <w:rsid w:val="00F26ADA"/>
    <w:rsid w:val="00F26C7E"/>
    <w:rsid w:val="00F26DBB"/>
    <w:rsid w:val="00F26F37"/>
    <w:rsid w:val="00F26F76"/>
    <w:rsid w:val="00F27087"/>
    <w:rsid w:val="00F271E9"/>
    <w:rsid w:val="00F274F7"/>
    <w:rsid w:val="00F27614"/>
    <w:rsid w:val="00F27644"/>
    <w:rsid w:val="00F276E5"/>
    <w:rsid w:val="00F27AB3"/>
    <w:rsid w:val="00F27AD0"/>
    <w:rsid w:val="00F27CD7"/>
    <w:rsid w:val="00F27E52"/>
    <w:rsid w:val="00F27EE4"/>
    <w:rsid w:val="00F30262"/>
    <w:rsid w:val="00F3040F"/>
    <w:rsid w:val="00F30424"/>
    <w:rsid w:val="00F304A6"/>
    <w:rsid w:val="00F305B8"/>
    <w:rsid w:val="00F307A7"/>
    <w:rsid w:val="00F30979"/>
    <w:rsid w:val="00F3098C"/>
    <w:rsid w:val="00F30AAB"/>
    <w:rsid w:val="00F30B07"/>
    <w:rsid w:val="00F30C28"/>
    <w:rsid w:val="00F30F6F"/>
    <w:rsid w:val="00F311ED"/>
    <w:rsid w:val="00F31257"/>
    <w:rsid w:val="00F31572"/>
    <w:rsid w:val="00F3170E"/>
    <w:rsid w:val="00F3195B"/>
    <w:rsid w:val="00F31C7C"/>
    <w:rsid w:val="00F31D93"/>
    <w:rsid w:val="00F321BF"/>
    <w:rsid w:val="00F32476"/>
    <w:rsid w:val="00F324A7"/>
    <w:rsid w:val="00F3254D"/>
    <w:rsid w:val="00F32A14"/>
    <w:rsid w:val="00F32AEA"/>
    <w:rsid w:val="00F32C51"/>
    <w:rsid w:val="00F32C78"/>
    <w:rsid w:val="00F32CD7"/>
    <w:rsid w:val="00F32EC3"/>
    <w:rsid w:val="00F32F84"/>
    <w:rsid w:val="00F33086"/>
    <w:rsid w:val="00F330B5"/>
    <w:rsid w:val="00F331E2"/>
    <w:rsid w:val="00F334A2"/>
    <w:rsid w:val="00F335B2"/>
    <w:rsid w:val="00F336F7"/>
    <w:rsid w:val="00F33740"/>
    <w:rsid w:val="00F337D4"/>
    <w:rsid w:val="00F3387E"/>
    <w:rsid w:val="00F33B1A"/>
    <w:rsid w:val="00F33B29"/>
    <w:rsid w:val="00F33B76"/>
    <w:rsid w:val="00F33C56"/>
    <w:rsid w:val="00F33ED1"/>
    <w:rsid w:val="00F33F40"/>
    <w:rsid w:val="00F34082"/>
    <w:rsid w:val="00F3434D"/>
    <w:rsid w:val="00F3438E"/>
    <w:rsid w:val="00F343C5"/>
    <w:rsid w:val="00F34420"/>
    <w:rsid w:val="00F345D1"/>
    <w:rsid w:val="00F345E3"/>
    <w:rsid w:val="00F347C7"/>
    <w:rsid w:val="00F34848"/>
    <w:rsid w:val="00F34A79"/>
    <w:rsid w:val="00F34BE5"/>
    <w:rsid w:val="00F34D7C"/>
    <w:rsid w:val="00F34DD4"/>
    <w:rsid w:val="00F35162"/>
    <w:rsid w:val="00F35311"/>
    <w:rsid w:val="00F35403"/>
    <w:rsid w:val="00F35473"/>
    <w:rsid w:val="00F3561E"/>
    <w:rsid w:val="00F356C0"/>
    <w:rsid w:val="00F35904"/>
    <w:rsid w:val="00F359AE"/>
    <w:rsid w:val="00F359DC"/>
    <w:rsid w:val="00F35E5A"/>
    <w:rsid w:val="00F36049"/>
    <w:rsid w:val="00F361D7"/>
    <w:rsid w:val="00F36594"/>
    <w:rsid w:val="00F3667A"/>
    <w:rsid w:val="00F3671E"/>
    <w:rsid w:val="00F36C38"/>
    <w:rsid w:val="00F36C7E"/>
    <w:rsid w:val="00F36EA6"/>
    <w:rsid w:val="00F36F4A"/>
    <w:rsid w:val="00F370E5"/>
    <w:rsid w:val="00F37155"/>
    <w:rsid w:val="00F37207"/>
    <w:rsid w:val="00F3729B"/>
    <w:rsid w:val="00F372B0"/>
    <w:rsid w:val="00F37374"/>
    <w:rsid w:val="00F374E1"/>
    <w:rsid w:val="00F375D8"/>
    <w:rsid w:val="00F37812"/>
    <w:rsid w:val="00F3785E"/>
    <w:rsid w:val="00F378F2"/>
    <w:rsid w:val="00F37A07"/>
    <w:rsid w:val="00F37A53"/>
    <w:rsid w:val="00F37BFC"/>
    <w:rsid w:val="00F37C8A"/>
    <w:rsid w:val="00F37DDD"/>
    <w:rsid w:val="00F37E0F"/>
    <w:rsid w:val="00F40049"/>
    <w:rsid w:val="00F400A3"/>
    <w:rsid w:val="00F400C5"/>
    <w:rsid w:val="00F4020C"/>
    <w:rsid w:val="00F40213"/>
    <w:rsid w:val="00F403C1"/>
    <w:rsid w:val="00F40418"/>
    <w:rsid w:val="00F40676"/>
    <w:rsid w:val="00F40772"/>
    <w:rsid w:val="00F407B5"/>
    <w:rsid w:val="00F40A3B"/>
    <w:rsid w:val="00F40BB1"/>
    <w:rsid w:val="00F40DC4"/>
    <w:rsid w:val="00F40E35"/>
    <w:rsid w:val="00F4106B"/>
    <w:rsid w:val="00F41196"/>
    <w:rsid w:val="00F411B5"/>
    <w:rsid w:val="00F412B3"/>
    <w:rsid w:val="00F412E9"/>
    <w:rsid w:val="00F412F1"/>
    <w:rsid w:val="00F414A8"/>
    <w:rsid w:val="00F416E4"/>
    <w:rsid w:val="00F416FF"/>
    <w:rsid w:val="00F41898"/>
    <w:rsid w:val="00F4194C"/>
    <w:rsid w:val="00F41A14"/>
    <w:rsid w:val="00F41A3C"/>
    <w:rsid w:val="00F41D81"/>
    <w:rsid w:val="00F41DEA"/>
    <w:rsid w:val="00F41E06"/>
    <w:rsid w:val="00F41EB8"/>
    <w:rsid w:val="00F423B4"/>
    <w:rsid w:val="00F423D2"/>
    <w:rsid w:val="00F425E4"/>
    <w:rsid w:val="00F426BC"/>
    <w:rsid w:val="00F42705"/>
    <w:rsid w:val="00F429F8"/>
    <w:rsid w:val="00F42CB1"/>
    <w:rsid w:val="00F42D46"/>
    <w:rsid w:val="00F42DA7"/>
    <w:rsid w:val="00F4301D"/>
    <w:rsid w:val="00F4314E"/>
    <w:rsid w:val="00F432B1"/>
    <w:rsid w:val="00F4348C"/>
    <w:rsid w:val="00F43627"/>
    <w:rsid w:val="00F4377F"/>
    <w:rsid w:val="00F4388B"/>
    <w:rsid w:val="00F43A12"/>
    <w:rsid w:val="00F43E47"/>
    <w:rsid w:val="00F43FA2"/>
    <w:rsid w:val="00F4410A"/>
    <w:rsid w:val="00F444D1"/>
    <w:rsid w:val="00F44704"/>
    <w:rsid w:val="00F4471C"/>
    <w:rsid w:val="00F448F0"/>
    <w:rsid w:val="00F4493D"/>
    <w:rsid w:val="00F4494C"/>
    <w:rsid w:val="00F4496C"/>
    <w:rsid w:val="00F44B7C"/>
    <w:rsid w:val="00F44BCB"/>
    <w:rsid w:val="00F44D25"/>
    <w:rsid w:val="00F44E63"/>
    <w:rsid w:val="00F44F14"/>
    <w:rsid w:val="00F44F3A"/>
    <w:rsid w:val="00F44F98"/>
    <w:rsid w:val="00F45093"/>
    <w:rsid w:val="00F45304"/>
    <w:rsid w:val="00F45480"/>
    <w:rsid w:val="00F454C8"/>
    <w:rsid w:val="00F455F7"/>
    <w:rsid w:val="00F45632"/>
    <w:rsid w:val="00F4564A"/>
    <w:rsid w:val="00F456A2"/>
    <w:rsid w:val="00F45960"/>
    <w:rsid w:val="00F4597E"/>
    <w:rsid w:val="00F4599B"/>
    <w:rsid w:val="00F459DB"/>
    <w:rsid w:val="00F45A99"/>
    <w:rsid w:val="00F460C5"/>
    <w:rsid w:val="00F4615C"/>
    <w:rsid w:val="00F4636C"/>
    <w:rsid w:val="00F4645C"/>
    <w:rsid w:val="00F4659C"/>
    <w:rsid w:val="00F465EF"/>
    <w:rsid w:val="00F465FD"/>
    <w:rsid w:val="00F4685D"/>
    <w:rsid w:val="00F46AD4"/>
    <w:rsid w:val="00F46B82"/>
    <w:rsid w:val="00F46DD8"/>
    <w:rsid w:val="00F46FB1"/>
    <w:rsid w:val="00F472B1"/>
    <w:rsid w:val="00F47417"/>
    <w:rsid w:val="00F4756F"/>
    <w:rsid w:val="00F479DD"/>
    <w:rsid w:val="00F47A32"/>
    <w:rsid w:val="00F47A8B"/>
    <w:rsid w:val="00F47A8E"/>
    <w:rsid w:val="00F47B8F"/>
    <w:rsid w:val="00F47FEB"/>
    <w:rsid w:val="00F50102"/>
    <w:rsid w:val="00F502DB"/>
    <w:rsid w:val="00F505B4"/>
    <w:rsid w:val="00F505CD"/>
    <w:rsid w:val="00F50720"/>
    <w:rsid w:val="00F507FF"/>
    <w:rsid w:val="00F509F8"/>
    <w:rsid w:val="00F50A10"/>
    <w:rsid w:val="00F50BC3"/>
    <w:rsid w:val="00F50D05"/>
    <w:rsid w:val="00F50F65"/>
    <w:rsid w:val="00F5126D"/>
    <w:rsid w:val="00F51299"/>
    <w:rsid w:val="00F512BD"/>
    <w:rsid w:val="00F5170C"/>
    <w:rsid w:val="00F51920"/>
    <w:rsid w:val="00F51A6E"/>
    <w:rsid w:val="00F51C5A"/>
    <w:rsid w:val="00F51CF1"/>
    <w:rsid w:val="00F51DAD"/>
    <w:rsid w:val="00F51F10"/>
    <w:rsid w:val="00F522BB"/>
    <w:rsid w:val="00F526B2"/>
    <w:rsid w:val="00F527DF"/>
    <w:rsid w:val="00F527EB"/>
    <w:rsid w:val="00F5293D"/>
    <w:rsid w:val="00F529A5"/>
    <w:rsid w:val="00F52AEB"/>
    <w:rsid w:val="00F52BE3"/>
    <w:rsid w:val="00F52D52"/>
    <w:rsid w:val="00F52ED7"/>
    <w:rsid w:val="00F52F88"/>
    <w:rsid w:val="00F53040"/>
    <w:rsid w:val="00F53052"/>
    <w:rsid w:val="00F5310D"/>
    <w:rsid w:val="00F5327E"/>
    <w:rsid w:val="00F532BA"/>
    <w:rsid w:val="00F53564"/>
    <w:rsid w:val="00F535F8"/>
    <w:rsid w:val="00F53E99"/>
    <w:rsid w:val="00F54256"/>
    <w:rsid w:val="00F543AD"/>
    <w:rsid w:val="00F54471"/>
    <w:rsid w:val="00F544AB"/>
    <w:rsid w:val="00F545DE"/>
    <w:rsid w:val="00F5470A"/>
    <w:rsid w:val="00F547D6"/>
    <w:rsid w:val="00F54836"/>
    <w:rsid w:val="00F54B23"/>
    <w:rsid w:val="00F54B4C"/>
    <w:rsid w:val="00F54E8A"/>
    <w:rsid w:val="00F54FE2"/>
    <w:rsid w:val="00F550E3"/>
    <w:rsid w:val="00F550F5"/>
    <w:rsid w:val="00F550FE"/>
    <w:rsid w:val="00F55149"/>
    <w:rsid w:val="00F55190"/>
    <w:rsid w:val="00F55226"/>
    <w:rsid w:val="00F55473"/>
    <w:rsid w:val="00F556CB"/>
    <w:rsid w:val="00F5585C"/>
    <w:rsid w:val="00F55AAA"/>
    <w:rsid w:val="00F55B68"/>
    <w:rsid w:val="00F55CB4"/>
    <w:rsid w:val="00F55DDE"/>
    <w:rsid w:val="00F5631B"/>
    <w:rsid w:val="00F56336"/>
    <w:rsid w:val="00F5633C"/>
    <w:rsid w:val="00F5650B"/>
    <w:rsid w:val="00F56537"/>
    <w:rsid w:val="00F5659A"/>
    <w:rsid w:val="00F56724"/>
    <w:rsid w:val="00F569D0"/>
    <w:rsid w:val="00F56A95"/>
    <w:rsid w:val="00F56BD2"/>
    <w:rsid w:val="00F56BF0"/>
    <w:rsid w:val="00F56D4E"/>
    <w:rsid w:val="00F56EF2"/>
    <w:rsid w:val="00F5737A"/>
    <w:rsid w:val="00F574B2"/>
    <w:rsid w:val="00F57574"/>
    <w:rsid w:val="00F575E5"/>
    <w:rsid w:val="00F57602"/>
    <w:rsid w:val="00F5764B"/>
    <w:rsid w:val="00F578EE"/>
    <w:rsid w:val="00F579E6"/>
    <w:rsid w:val="00F57AEF"/>
    <w:rsid w:val="00F57E53"/>
    <w:rsid w:val="00F57E84"/>
    <w:rsid w:val="00F57EA7"/>
    <w:rsid w:val="00F57F23"/>
    <w:rsid w:val="00F587EE"/>
    <w:rsid w:val="00F60038"/>
    <w:rsid w:val="00F60055"/>
    <w:rsid w:val="00F60158"/>
    <w:rsid w:val="00F60221"/>
    <w:rsid w:val="00F60284"/>
    <w:rsid w:val="00F6056B"/>
    <w:rsid w:val="00F609FB"/>
    <w:rsid w:val="00F60BA5"/>
    <w:rsid w:val="00F60BC3"/>
    <w:rsid w:val="00F60D25"/>
    <w:rsid w:val="00F60DF4"/>
    <w:rsid w:val="00F60DF6"/>
    <w:rsid w:val="00F60F00"/>
    <w:rsid w:val="00F60F5D"/>
    <w:rsid w:val="00F60FA0"/>
    <w:rsid w:val="00F60FBE"/>
    <w:rsid w:val="00F611BE"/>
    <w:rsid w:val="00F61207"/>
    <w:rsid w:val="00F613F7"/>
    <w:rsid w:val="00F614C0"/>
    <w:rsid w:val="00F6173E"/>
    <w:rsid w:val="00F6180A"/>
    <w:rsid w:val="00F619FE"/>
    <w:rsid w:val="00F61C74"/>
    <w:rsid w:val="00F61CF0"/>
    <w:rsid w:val="00F6223A"/>
    <w:rsid w:val="00F622CD"/>
    <w:rsid w:val="00F622F3"/>
    <w:rsid w:val="00F6237F"/>
    <w:rsid w:val="00F628BE"/>
    <w:rsid w:val="00F6298E"/>
    <w:rsid w:val="00F62B7D"/>
    <w:rsid w:val="00F62BB1"/>
    <w:rsid w:val="00F62CE0"/>
    <w:rsid w:val="00F631AB"/>
    <w:rsid w:val="00F6330E"/>
    <w:rsid w:val="00F63431"/>
    <w:rsid w:val="00F6351F"/>
    <w:rsid w:val="00F63601"/>
    <w:rsid w:val="00F63608"/>
    <w:rsid w:val="00F636D5"/>
    <w:rsid w:val="00F63742"/>
    <w:rsid w:val="00F639E2"/>
    <w:rsid w:val="00F63A13"/>
    <w:rsid w:val="00F63BF0"/>
    <w:rsid w:val="00F63FE9"/>
    <w:rsid w:val="00F64046"/>
    <w:rsid w:val="00F640C9"/>
    <w:rsid w:val="00F641DC"/>
    <w:rsid w:val="00F64201"/>
    <w:rsid w:val="00F6439B"/>
    <w:rsid w:val="00F644D6"/>
    <w:rsid w:val="00F6470E"/>
    <w:rsid w:val="00F6492A"/>
    <w:rsid w:val="00F64E3F"/>
    <w:rsid w:val="00F656E9"/>
    <w:rsid w:val="00F657A3"/>
    <w:rsid w:val="00F65869"/>
    <w:rsid w:val="00F65A4D"/>
    <w:rsid w:val="00F65AFF"/>
    <w:rsid w:val="00F65CE1"/>
    <w:rsid w:val="00F65F35"/>
    <w:rsid w:val="00F65F9D"/>
    <w:rsid w:val="00F66306"/>
    <w:rsid w:val="00F666E2"/>
    <w:rsid w:val="00F66730"/>
    <w:rsid w:val="00F66900"/>
    <w:rsid w:val="00F66ABA"/>
    <w:rsid w:val="00F66BBC"/>
    <w:rsid w:val="00F66C11"/>
    <w:rsid w:val="00F66E56"/>
    <w:rsid w:val="00F66E8B"/>
    <w:rsid w:val="00F67152"/>
    <w:rsid w:val="00F67259"/>
    <w:rsid w:val="00F674D7"/>
    <w:rsid w:val="00F6751B"/>
    <w:rsid w:val="00F676DF"/>
    <w:rsid w:val="00F67781"/>
    <w:rsid w:val="00F677DC"/>
    <w:rsid w:val="00F67835"/>
    <w:rsid w:val="00F67842"/>
    <w:rsid w:val="00F678F7"/>
    <w:rsid w:val="00F67B69"/>
    <w:rsid w:val="00F70485"/>
    <w:rsid w:val="00F70602"/>
    <w:rsid w:val="00F70A76"/>
    <w:rsid w:val="00F70AF7"/>
    <w:rsid w:val="00F70B20"/>
    <w:rsid w:val="00F70C27"/>
    <w:rsid w:val="00F70C2B"/>
    <w:rsid w:val="00F7131E"/>
    <w:rsid w:val="00F71841"/>
    <w:rsid w:val="00F71894"/>
    <w:rsid w:val="00F719EE"/>
    <w:rsid w:val="00F71F4E"/>
    <w:rsid w:val="00F7214E"/>
    <w:rsid w:val="00F722DD"/>
    <w:rsid w:val="00F723DF"/>
    <w:rsid w:val="00F7240C"/>
    <w:rsid w:val="00F72831"/>
    <w:rsid w:val="00F728CB"/>
    <w:rsid w:val="00F72CF9"/>
    <w:rsid w:val="00F73124"/>
    <w:rsid w:val="00F73127"/>
    <w:rsid w:val="00F731F1"/>
    <w:rsid w:val="00F73294"/>
    <w:rsid w:val="00F737D0"/>
    <w:rsid w:val="00F73D86"/>
    <w:rsid w:val="00F73DEE"/>
    <w:rsid w:val="00F73EB9"/>
    <w:rsid w:val="00F73F12"/>
    <w:rsid w:val="00F73F34"/>
    <w:rsid w:val="00F73F52"/>
    <w:rsid w:val="00F73FA1"/>
    <w:rsid w:val="00F74003"/>
    <w:rsid w:val="00F741AC"/>
    <w:rsid w:val="00F747C7"/>
    <w:rsid w:val="00F7485F"/>
    <w:rsid w:val="00F74904"/>
    <w:rsid w:val="00F74BE3"/>
    <w:rsid w:val="00F74C19"/>
    <w:rsid w:val="00F74EE3"/>
    <w:rsid w:val="00F75014"/>
    <w:rsid w:val="00F75075"/>
    <w:rsid w:val="00F750BE"/>
    <w:rsid w:val="00F751FA"/>
    <w:rsid w:val="00F7538E"/>
    <w:rsid w:val="00F753D3"/>
    <w:rsid w:val="00F75409"/>
    <w:rsid w:val="00F75536"/>
    <w:rsid w:val="00F7574B"/>
    <w:rsid w:val="00F7580A"/>
    <w:rsid w:val="00F7586A"/>
    <w:rsid w:val="00F758B8"/>
    <w:rsid w:val="00F758C9"/>
    <w:rsid w:val="00F75CA1"/>
    <w:rsid w:val="00F75F5D"/>
    <w:rsid w:val="00F76169"/>
    <w:rsid w:val="00F76352"/>
    <w:rsid w:val="00F7652F"/>
    <w:rsid w:val="00F768BE"/>
    <w:rsid w:val="00F768CC"/>
    <w:rsid w:val="00F76A87"/>
    <w:rsid w:val="00F76AEC"/>
    <w:rsid w:val="00F76B78"/>
    <w:rsid w:val="00F76C19"/>
    <w:rsid w:val="00F76D07"/>
    <w:rsid w:val="00F771BE"/>
    <w:rsid w:val="00F772D2"/>
    <w:rsid w:val="00F77741"/>
    <w:rsid w:val="00F7787A"/>
    <w:rsid w:val="00F77966"/>
    <w:rsid w:val="00F779E0"/>
    <w:rsid w:val="00F77C7E"/>
    <w:rsid w:val="00F801A9"/>
    <w:rsid w:val="00F80330"/>
    <w:rsid w:val="00F8052D"/>
    <w:rsid w:val="00F808CB"/>
    <w:rsid w:val="00F80A75"/>
    <w:rsid w:val="00F80BFE"/>
    <w:rsid w:val="00F80DA5"/>
    <w:rsid w:val="00F80FD6"/>
    <w:rsid w:val="00F8101A"/>
    <w:rsid w:val="00F810B0"/>
    <w:rsid w:val="00F8111F"/>
    <w:rsid w:val="00F813A8"/>
    <w:rsid w:val="00F813BA"/>
    <w:rsid w:val="00F816A9"/>
    <w:rsid w:val="00F81784"/>
    <w:rsid w:val="00F81A74"/>
    <w:rsid w:val="00F81A99"/>
    <w:rsid w:val="00F81D8B"/>
    <w:rsid w:val="00F81DCF"/>
    <w:rsid w:val="00F81DF4"/>
    <w:rsid w:val="00F8256B"/>
    <w:rsid w:val="00F826E1"/>
    <w:rsid w:val="00F82CB8"/>
    <w:rsid w:val="00F82E01"/>
    <w:rsid w:val="00F83187"/>
    <w:rsid w:val="00F831D0"/>
    <w:rsid w:val="00F8347F"/>
    <w:rsid w:val="00F83691"/>
    <w:rsid w:val="00F83848"/>
    <w:rsid w:val="00F838AF"/>
    <w:rsid w:val="00F83975"/>
    <w:rsid w:val="00F83999"/>
    <w:rsid w:val="00F83B4E"/>
    <w:rsid w:val="00F83CAE"/>
    <w:rsid w:val="00F83D54"/>
    <w:rsid w:val="00F83E21"/>
    <w:rsid w:val="00F83FAC"/>
    <w:rsid w:val="00F840E3"/>
    <w:rsid w:val="00F842C0"/>
    <w:rsid w:val="00F84351"/>
    <w:rsid w:val="00F8438F"/>
    <w:rsid w:val="00F843C8"/>
    <w:rsid w:val="00F84757"/>
    <w:rsid w:val="00F84B06"/>
    <w:rsid w:val="00F84CDD"/>
    <w:rsid w:val="00F84D0F"/>
    <w:rsid w:val="00F84D99"/>
    <w:rsid w:val="00F84E9B"/>
    <w:rsid w:val="00F85251"/>
    <w:rsid w:val="00F85405"/>
    <w:rsid w:val="00F8542C"/>
    <w:rsid w:val="00F85456"/>
    <w:rsid w:val="00F854FA"/>
    <w:rsid w:val="00F855DA"/>
    <w:rsid w:val="00F8565F"/>
    <w:rsid w:val="00F8575B"/>
    <w:rsid w:val="00F85AA5"/>
    <w:rsid w:val="00F85E6C"/>
    <w:rsid w:val="00F85F73"/>
    <w:rsid w:val="00F86081"/>
    <w:rsid w:val="00F86127"/>
    <w:rsid w:val="00F862E8"/>
    <w:rsid w:val="00F8631A"/>
    <w:rsid w:val="00F86749"/>
    <w:rsid w:val="00F86E17"/>
    <w:rsid w:val="00F86F87"/>
    <w:rsid w:val="00F87169"/>
    <w:rsid w:val="00F8719B"/>
    <w:rsid w:val="00F871F5"/>
    <w:rsid w:val="00F8728A"/>
    <w:rsid w:val="00F8753B"/>
    <w:rsid w:val="00F87553"/>
    <w:rsid w:val="00F87578"/>
    <w:rsid w:val="00F87676"/>
    <w:rsid w:val="00F878E6"/>
    <w:rsid w:val="00F87BAE"/>
    <w:rsid w:val="00F87D09"/>
    <w:rsid w:val="00F87F8A"/>
    <w:rsid w:val="00F9040D"/>
    <w:rsid w:val="00F90607"/>
    <w:rsid w:val="00F9071B"/>
    <w:rsid w:val="00F909C1"/>
    <w:rsid w:val="00F909DB"/>
    <w:rsid w:val="00F90C41"/>
    <w:rsid w:val="00F90C61"/>
    <w:rsid w:val="00F90CF2"/>
    <w:rsid w:val="00F9122A"/>
    <w:rsid w:val="00F91436"/>
    <w:rsid w:val="00F914B8"/>
    <w:rsid w:val="00F9187D"/>
    <w:rsid w:val="00F91997"/>
    <w:rsid w:val="00F919AA"/>
    <w:rsid w:val="00F91A2B"/>
    <w:rsid w:val="00F91CDD"/>
    <w:rsid w:val="00F92252"/>
    <w:rsid w:val="00F9230C"/>
    <w:rsid w:val="00F92349"/>
    <w:rsid w:val="00F9241C"/>
    <w:rsid w:val="00F926C7"/>
    <w:rsid w:val="00F926E2"/>
    <w:rsid w:val="00F927F9"/>
    <w:rsid w:val="00F92896"/>
    <w:rsid w:val="00F9289A"/>
    <w:rsid w:val="00F928AC"/>
    <w:rsid w:val="00F928B0"/>
    <w:rsid w:val="00F92A49"/>
    <w:rsid w:val="00F92C66"/>
    <w:rsid w:val="00F92E56"/>
    <w:rsid w:val="00F92EE9"/>
    <w:rsid w:val="00F92F50"/>
    <w:rsid w:val="00F931CE"/>
    <w:rsid w:val="00F93485"/>
    <w:rsid w:val="00F935D3"/>
    <w:rsid w:val="00F93617"/>
    <w:rsid w:val="00F93775"/>
    <w:rsid w:val="00F93887"/>
    <w:rsid w:val="00F93999"/>
    <w:rsid w:val="00F93A64"/>
    <w:rsid w:val="00F93D42"/>
    <w:rsid w:val="00F940CC"/>
    <w:rsid w:val="00F940FC"/>
    <w:rsid w:val="00F94151"/>
    <w:rsid w:val="00F94327"/>
    <w:rsid w:val="00F9434B"/>
    <w:rsid w:val="00F94460"/>
    <w:rsid w:val="00F94535"/>
    <w:rsid w:val="00F94652"/>
    <w:rsid w:val="00F94984"/>
    <w:rsid w:val="00F94A24"/>
    <w:rsid w:val="00F94D48"/>
    <w:rsid w:val="00F94DB5"/>
    <w:rsid w:val="00F94FFC"/>
    <w:rsid w:val="00F950B8"/>
    <w:rsid w:val="00F951C4"/>
    <w:rsid w:val="00F951D8"/>
    <w:rsid w:val="00F95402"/>
    <w:rsid w:val="00F95432"/>
    <w:rsid w:val="00F95489"/>
    <w:rsid w:val="00F954EC"/>
    <w:rsid w:val="00F9562C"/>
    <w:rsid w:val="00F95733"/>
    <w:rsid w:val="00F9588F"/>
    <w:rsid w:val="00F9596C"/>
    <w:rsid w:val="00F9598F"/>
    <w:rsid w:val="00F95AC9"/>
    <w:rsid w:val="00F95CB6"/>
    <w:rsid w:val="00F96019"/>
    <w:rsid w:val="00F9606D"/>
    <w:rsid w:val="00F961C0"/>
    <w:rsid w:val="00F963F0"/>
    <w:rsid w:val="00F9653F"/>
    <w:rsid w:val="00F96582"/>
    <w:rsid w:val="00F96728"/>
    <w:rsid w:val="00F96871"/>
    <w:rsid w:val="00F968E0"/>
    <w:rsid w:val="00F969D2"/>
    <w:rsid w:val="00F96C6E"/>
    <w:rsid w:val="00F96D72"/>
    <w:rsid w:val="00F96F20"/>
    <w:rsid w:val="00F96FF1"/>
    <w:rsid w:val="00F970D0"/>
    <w:rsid w:val="00F97216"/>
    <w:rsid w:val="00F975E9"/>
    <w:rsid w:val="00F977F5"/>
    <w:rsid w:val="00F9790C"/>
    <w:rsid w:val="00F97AC9"/>
    <w:rsid w:val="00F97AF3"/>
    <w:rsid w:val="00F97B20"/>
    <w:rsid w:val="00F97C28"/>
    <w:rsid w:val="00FA0171"/>
    <w:rsid w:val="00FA031E"/>
    <w:rsid w:val="00FA0408"/>
    <w:rsid w:val="00FA044B"/>
    <w:rsid w:val="00FA0450"/>
    <w:rsid w:val="00FA049B"/>
    <w:rsid w:val="00FA0604"/>
    <w:rsid w:val="00FA084A"/>
    <w:rsid w:val="00FA097B"/>
    <w:rsid w:val="00FA0C20"/>
    <w:rsid w:val="00FA0C83"/>
    <w:rsid w:val="00FA0D73"/>
    <w:rsid w:val="00FA1013"/>
    <w:rsid w:val="00FA106E"/>
    <w:rsid w:val="00FA115E"/>
    <w:rsid w:val="00FA1363"/>
    <w:rsid w:val="00FA13DC"/>
    <w:rsid w:val="00FA1435"/>
    <w:rsid w:val="00FA14E2"/>
    <w:rsid w:val="00FA1543"/>
    <w:rsid w:val="00FA1671"/>
    <w:rsid w:val="00FA16A7"/>
    <w:rsid w:val="00FA16F6"/>
    <w:rsid w:val="00FA1722"/>
    <w:rsid w:val="00FA1856"/>
    <w:rsid w:val="00FA1AEA"/>
    <w:rsid w:val="00FA1B7D"/>
    <w:rsid w:val="00FA1C74"/>
    <w:rsid w:val="00FA1D08"/>
    <w:rsid w:val="00FA1E87"/>
    <w:rsid w:val="00FA1F71"/>
    <w:rsid w:val="00FA2002"/>
    <w:rsid w:val="00FA207C"/>
    <w:rsid w:val="00FA229F"/>
    <w:rsid w:val="00FA2535"/>
    <w:rsid w:val="00FA2AF1"/>
    <w:rsid w:val="00FA2BBF"/>
    <w:rsid w:val="00FA2BFA"/>
    <w:rsid w:val="00FA2C32"/>
    <w:rsid w:val="00FA318E"/>
    <w:rsid w:val="00FA327D"/>
    <w:rsid w:val="00FA332A"/>
    <w:rsid w:val="00FA344D"/>
    <w:rsid w:val="00FA3497"/>
    <w:rsid w:val="00FA363D"/>
    <w:rsid w:val="00FA36A1"/>
    <w:rsid w:val="00FA3A92"/>
    <w:rsid w:val="00FA3BE2"/>
    <w:rsid w:val="00FA3C36"/>
    <w:rsid w:val="00FA3D87"/>
    <w:rsid w:val="00FA3D9A"/>
    <w:rsid w:val="00FA4011"/>
    <w:rsid w:val="00FA47D3"/>
    <w:rsid w:val="00FA485F"/>
    <w:rsid w:val="00FA4BB6"/>
    <w:rsid w:val="00FA4EFE"/>
    <w:rsid w:val="00FA4FBF"/>
    <w:rsid w:val="00FA5203"/>
    <w:rsid w:val="00FA5264"/>
    <w:rsid w:val="00FA5392"/>
    <w:rsid w:val="00FA5410"/>
    <w:rsid w:val="00FA5471"/>
    <w:rsid w:val="00FA55A0"/>
    <w:rsid w:val="00FA56AF"/>
    <w:rsid w:val="00FA5936"/>
    <w:rsid w:val="00FA594A"/>
    <w:rsid w:val="00FA59BF"/>
    <w:rsid w:val="00FA5A46"/>
    <w:rsid w:val="00FA5C21"/>
    <w:rsid w:val="00FA5CF9"/>
    <w:rsid w:val="00FA5D04"/>
    <w:rsid w:val="00FA5D0B"/>
    <w:rsid w:val="00FA5D24"/>
    <w:rsid w:val="00FA621C"/>
    <w:rsid w:val="00FA63D5"/>
    <w:rsid w:val="00FA6452"/>
    <w:rsid w:val="00FA65DB"/>
    <w:rsid w:val="00FA65DD"/>
    <w:rsid w:val="00FA692C"/>
    <w:rsid w:val="00FA69CF"/>
    <w:rsid w:val="00FA6A7B"/>
    <w:rsid w:val="00FA6D07"/>
    <w:rsid w:val="00FA6D4C"/>
    <w:rsid w:val="00FA6DC8"/>
    <w:rsid w:val="00FA6FC6"/>
    <w:rsid w:val="00FA70A1"/>
    <w:rsid w:val="00FA75E8"/>
    <w:rsid w:val="00FA7632"/>
    <w:rsid w:val="00FA76CA"/>
    <w:rsid w:val="00FA788A"/>
    <w:rsid w:val="00FA78E0"/>
    <w:rsid w:val="00FA78F4"/>
    <w:rsid w:val="00FA79F0"/>
    <w:rsid w:val="00FA7D8A"/>
    <w:rsid w:val="00FB00D7"/>
    <w:rsid w:val="00FB01DF"/>
    <w:rsid w:val="00FB029E"/>
    <w:rsid w:val="00FB0390"/>
    <w:rsid w:val="00FB096C"/>
    <w:rsid w:val="00FB0B5D"/>
    <w:rsid w:val="00FB0C0E"/>
    <w:rsid w:val="00FB0C21"/>
    <w:rsid w:val="00FB0CB3"/>
    <w:rsid w:val="00FB1010"/>
    <w:rsid w:val="00FB1401"/>
    <w:rsid w:val="00FB1458"/>
    <w:rsid w:val="00FB1485"/>
    <w:rsid w:val="00FB152E"/>
    <w:rsid w:val="00FB158F"/>
    <w:rsid w:val="00FB1761"/>
    <w:rsid w:val="00FB1762"/>
    <w:rsid w:val="00FB1975"/>
    <w:rsid w:val="00FB1C83"/>
    <w:rsid w:val="00FB1D73"/>
    <w:rsid w:val="00FB1D8D"/>
    <w:rsid w:val="00FB1F34"/>
    <w:rsid w:val="00FB216B"/>
    <w:rsid w:val="00FB21F9"/>
    <w:rsid w:val="00FB23AA"/>
    <w:rsid w:val="00FB24AE"/>
    <w:rsid w:val="00FB2718"/>
    <w:rsid w:val="00FB27AD"/>
    <w:rsid w:val="00FB28E3"/>
    <w:rsid w:val="00FB2901"/>
    <w:rsid w:val="00FB29EE"/>
    <w:rsid w:val="00FB2D0B"/>
    <w:rsid w:val="00FB2D11"/>
    <w:rsid w:val="00FB2EEB"/>
    <w:rsid w:val="00FB2F04"/>
    <w:rsid w:val="00FB31A9"/>
    <w:rsid w:val="00FB3380"/>
    <w:rsid w:val="00FB34BC"/>
    <w:rsid w:val="00FB3696"/>
    <w:rsid w:val="00FB38AD"/>
    <w:rsid w:val="00FB3BCC"/>
    <w:rsid w:val="00FB3C9D"/>
    <w:rsid w:val="00FB3CD3"/>
    <w:rsid w:val="00FB3CFB"/>
    <w:rsid w:val="00FB3D74"/>
    <w:rsid w:val="00FB3EA1"/>
    <w:rsid w:val="00FB4040"/>
    <w:rsid w:val="00FB406B"/>
    <w:rsid w:val="00FB40F0"/>
    <w:rsid w:val="00FB4190"/>
    <w:rsid w:val="00FB4789"/>
    <w:rsid w:val="00FB47D2"/>
    <w:rsid w:val="00FB4807"/>
    <w:rsid w:val="00FB4885"/>
    <w:rsid w:val="00FB4970"/>
    <w:rsid w:val="00FB498E"/>
    <w:rsid w:val="00FB4BDD"/>
    <w:rsid w:val="00FB4C18"/>
    <w:rsid w:val="00FB4C50"/>
    <w:rsid w:val="00FB4EB6"/>
    <w:rsid w:val="00FB4F41"/>
    <w:rsid w:val="00FB4F93"/>
    <w:rsid w:val="00FB5088"/>
    <w:rsid w:val="00FB5131"/>
    <w:rsid w:val="00FB5337"/>
    <w:rsid w:val="00FB54D6"/>
    <w:rsid w:val="00FB54DD"/>
    <w:rsid w:val="00FB54F6"/>
    <w:rsid w:val="00FB55A7"/>
    <w:rsid w:val="00FB560B"/>
    <w:rsid w:val="00FB56E7"/>
    <w:rsid w:val="00FB58A9"/>
    <w:rsid w:val="00FB594B"/>
    <w:rsid w:val="00FB5955"/>
    <w:rsid w:val="00FB5A43"/>
    <w:rsid w:val="00FB5A52"/>
    <w:rsid w:val="00FB5E2A"/>
    <w:rsid w:val="00FB5F5F"/>
    <w:rsid w:val="00FB5FFF"/>
    <w:rsid w:val="00FB61A3"/>
    <w:rsid w:val="00FB61B4"/>
    <w:rsid w:val="00FB61E0"/>
    <w:rsid w:val="00FB6350"/>
    <w:rsid w:val="00FB63D9"/>
    <w:rsid w:val="00FB648B"/>
    <w:rsid w:val="00FB693F"/>
    <w:rsid w:val="00FB6D49"/>
    <w:rsid w:val="00FB6D7F"/>
    <w:rsid w:val="00FB6D86"/>
    <w:rsid w:val="00FB6EC0"/>
    <w:rsid w:val="00FB6F55"/>
    <w:rsid w:val="00FB6F5B"/>
    <w:rsid w:val="00FB7141"/>
    <w:rsid w:val="00FB7325"/>
    <w:rsid w:val="00FB74D4"/>
    <w:rsid w:val="00FB75B7"/>
    <w:rsid w:val="00FB78F6"/>
    <w:rsid w:val="00FB7987"/>
    <w:rsid w:val="00FB7B63"/>
    <w:rsid w:val="00FB7D09"/>
    <w:rsid w:val="00FB7DEB"/>
    <w:rsid w:val="00FB7FBE"/>
    <w:rsid w:val="00FC0033"/>
    <w:rsid w:val="00FC01BF"/>
    <w:rsid w:val="00FC02AD"/>
    <w:rsid w:val="00FC0399"/>
    <w:rsid w:val="00FC0663"/>
    <w:rsid w:val="00FC07B9"/>
    <w:rsid w:val="00FC0A5C"/>
    <w:rsid w:val="00FC0AC7"/>
    <w:rsid w:val="00FC0ADC"/>
    <w:rsid w:val="00FC0B03"/>
    <w:rsid w:val="00FC0B34"/>
    <w:rsid w:val="00FC0D44"/>
    <w:rsid w:val="00FC0D56"/>
    <w:rsid w:val="00FC0DD7"/>
    <w:rsid w:val="00FC0F8C"/>
    <w:rsid w:val="00FC0FB7"/>
    <w:rsid w:val="00FC1101"/>
    <w:rsid w:val="00FC150D"/>
    <w:rsid w:val="00FC16B1"/>
    <w:rsid w:val="00FC19FE"/>
    <w:rsid w:val="00FC1A81"/>
    <w:rsid w:val="00FC1B8D"/>
    <w:rsid w:val="00FC1CD5"/>
    <w:rsid w:val="00FC1CD9"/>
    <w:rsid w:val="00FC1E85"/>
    <w:rsid w:val="00FC1FE0"/>
    <w:rsid w:val="00FC2100"/>
    <w:rsid w:val="00FC2265"/>
    <w:rsid w:val="00FC226E"/>
    <w:rsid w:val="00FC229E"/>
    <w:rsid w:val="00FC238A"/>
    <w:rsid w:val="00FC251F"/>
    <w:rsid w:val="00FC280B"/>
    <w:rsid w:val="00FC287D"/>
    <w:rsid w:val="00FC2E10"/>
    <w:rsid w:val="00FC2F4B"/>
    <w:rsid w:val="00FC2F61"/>
    <w:rsid w:val="00FC300F"/>
    <w:rsid w:val="00FC309B"/>
    <w:rsid w:val="00FC3181"/>
    <w:rsid w:val="00FC319F"/>
    <w:rsid w:val="00FC325F"/>
    <w:rsid w:val="00FC32BB"/>
    <w:rsid w:val="00FC351E"/>
    <w:rsid w:val="00FC375D"/>
    <w:rsid w:val="00FC37CD"/>
    <w:rsid w:val="00FC3AAC"/>
    <w:rsid w:val="00FC3B8E"/>
    <w:rsid w:val="00FC3C3D"/>
    <w:rsid w:val="00FC3CB0"/>
    <w:rsid w:val="00FC3D52"/>
    <w:rsid w:val="00FC3EE2"/>
    <w:rsid w:val="00FC4027"/>
    <w:rsid w:val="00FC40E2"/>
    <w:rsid w:val="00FC4185"/>
    <w:rsid w:val="00FC4227"/>
    <w:rsid w:val="00FC4273"/>
    <w:rsid w:val="00FC4299"/>
    <w:rsid w:val="00FC4410"/>
    <w:rsid w:val="00FC4525"/>
    <w:rsid w:val="00FC45C8"/>
    <w:rsid w:val="00FC4637"/>
    <w:rsid w:val="00FC4825"/>
    <w:rsid w:val="00FC48FA"/>
    <w:rsid w:val="00FC4B89"/>
    <w:rsid w:val="00FC4E21"/>
    <w:rsid w:val="00FC51C5"/>
    <w:rsid w:val="00FC5443"/>
    <w:rsid w:val="00FC5844"/>
    <w:rsid w:val="00FC5CD2"/>
    <w:rsid w:val="00FC5D2D"/>
    <w:rsid w:val="00FC5F6D"/>
    <w:rsid w:val="00FC60F7"/>
    <w:rsid w:val="00FC644B"/>
    <w:rsid w:val="00FC66CA"/>
    <w:rsid w:val="00FC68F8"/>
    <w:rsid w:val="00FC6BAD"/>
    <w:rsid w:val="00FC6BCD"/>
    <w:rsid w:val="00FC6C39"/>
    <w:rsid w:val="00FC6EF5"/>
    <w:rsid w:val="00FC7150"/>
    <w:rsid w:val="00FC7186"/>
    <w:rsid w:val="00FC719B"/>
    <w:rsid w:val="00FC77FF"/>
    <w:rsid w:val="00FC780F"/>
    <w:rsid w:val="00FC7890"/>
    <w:rsid w:val="00FC7AEE"/>
    <w:rsid w:val="00FD002B"/>
    <w:rsid w:val="00FD0107"/>
    <w:rsid w:val="00FD0127"/>
    <w:rsid w:val="00FD01CC"/>
    <w:rsid w:val="00FD0423"/>
    <w:rsid w:val="00FD0480"/>
    <w:rsid w:val="00FD05D6"/>
    <w:rsid w:val="00FD075D"/>
    <w:rsid w:val="00FD07CF"/>
    <w:rsid w:val="00FD0843"/>
    <w:rsid w:val="00FD0864"/>
    <w:rsid w:val="00FD092C"/>
    <w:rsid w:val="00FD0BD6"/>
    <w:rsid w:val="00FD0C6E"/>
    <w:rsid w:val="00FD0DC3"/>
    <w:rsid w:val="00FD0E31"/>
    <w:rsid w:val="00FD0F05"/>
    <w:rsid w:val="00FD0F6A"/>
    <w:rsid w:val="00FD0F89"/>
    <w:rsid w:val="00FD1238"/>
    <w:rsid w:val="00FD1240"/>
    <w:rsid w:val="00FD132D"/>
    <w:rsid w:val="00FD13DD"/>
    <w:rsid w:val="00FD1AA4"/>
    <w:rsid w:val="00FD1BD3"/>
    <w:rsid w:val="00FD1C2A"/>
    <w:rsid w:val="00FD1C65"/>
    <w:rsid w:val="00FD1C92"/>
    <w:rsid w:val="00FD1D09"/>
    <w:rsid w:val="00FD1DE6"/>
    <w:rsid w:val="00FD1E8F"/>
    <w:rsid w:val="00FD2130"/>
    <w:rsid w:val="00FD2914"/>
    <w:rsid w:val="00FD2989"/>
    <w:rsid w:val="00FD29EC"/>
    <w:rsid w:val="00FD2A45"/>
    <w:rsid w:val="00FD2C2F"/>
    <w:rsid w:val="00FD2E02"/>
    <w:rsid w:val="00FD2ED3"/>
    <w:rsid w:val="00FD3075"/>
    <w:rsid w:val="00FD31AB"/>
    <w:rsid w:val="00FD3261"/>
    <w:rsid w:val="00FD33B0"/>
    <w:rsid w:val="00FD34E9"/>
    <w:rsid w:val="00FD3830"/>
    <w:rsid w:val="00FD3933"/>
    <w:rsid w:val="00FD3B31"/>
    <w:rsid w:val="00FD3C94"/>
    <w:rsid w:val="00FD3F3E"/>
    <w:rsid w:val="00FD40D2"/>
    <w:rsid w:val="00FD4D27"/>
    <w:rsid w:val="00FD4E53"/>
    <w:rsid w:val="00FD4FE4"/>
    <w:rsid w:val="00FD507C"/>
    <w:rsid w:val="00FD50C7"/>
    <w:rsid w:val="00FD52E8"/>
    <w:rsid w:val="00FD5392"/>
    <w:rsid w:val="00FD5485"/>
    <w:rsid w:val="00FD54E0"/>
    <w:rsid w:val="00FD5519"/>
    <w:rsid w:val="00FD5828"/>
    <w:rsid w:val="00FD58BE"/>
    <w:rsid w:val="00FD592D"/>
    <w:rsid w:val="00FD5B85"/>
    <w:rsid w:val="00FD5BFE"/>
    <w:rsid w:val="00FD5C04"/>
    <w:rsid w:val="00FD5CD7"/>
    <w:rsid w:val="00FD5D17"/>
    <w:rsid w:val="00FD5D95"/>
    <w:rsid w:val="00FD5DAF"/>
    <w:rsid w:val="00FD5E58"/>
    <w:rsid w:val="00FD5F8B"/>
    <w:rsid w:val="00FD60B5"/>
    <w:rsid w:val="00FD60C0"/>
    <w:rsid w:val="00FD613A"/>
    <w:rsid w:val="00FD616D"/>
    <w:rsid w:val="00FD61B2"/>
    <w:rsid w:val="00FD6A4C"/>
    <w:rsid w:val="00FD6A9D"/>
    <w:rsid w:val="00FD6AC5"/>
    <w:rsid w:val="00FD6B27"/>
    <w:rsid w:val="00FD6C72"/>
    <w:rsid w:val="00FD6F00"/>
    <w:rsid w:val="00FD71A3"/>
    <w:rsid w:val="00FD728A"/>
    <w:rsid w:val="00FD7366"/>
    <w:rsid w:val="00FD73E7"/>
    <w:rsid w:val="00FD74C4"/>
    <w:rsid w:val="00FD776E"/>
    <w:rsid w:val="00FD7E5B"/>
    <w:rsid w:val="00FD7EE8"/>
    <w:rsid w:val="00FE0034"/>
    <w:rsid w:val="00FE0046"/>
    <w:rsid w:val="00FE0185"/>
    <w:rsid w:val="00FE018E"/>
    <w:rsid w:val="00FE031E"/>
    <w:rsid w:val="00FE03AB"/>
    <w:rsid w:val="00FE04CE"/>
    <w:rsid w:val="00FE05A3"/>
    <w:rsid w:val="00FE0628"/>
    <w:rsid w:val="00FE063F"/>
    <w:rsid w:val="00FE07DE"/>
    <w:rsid w:val="00FE08E8"/>
    <w:rsid w:val="00FE0A06"/>
    <w:rsid w:val="00FE0A0F"/>
    <w:rsid w:val="00FE0B82"/>
    <w:rsid w:val="00FE0D4F"/>
    <w:rsid w:val="00FE0F1A"/>
    <w:rsid w:val="00FE0F4D"/>
    <w:rsid w:val="00FE0FA1"/>
    <w:rsid w:val="00FE1084"/>
    <w:rsid w:val="00FE113D"/>
    <w:rsid w:val="00FE11AC"/>
    <w:rsid w:val="00FE122E"/>
    <w:rsid w:val="00FE13AB"/>
    <w:rsid w:val="00FE162B"/>
    <w:rsid w:val="00FE1698"/>
    <w:rsid w:val="00FE16B0"/>
    <w:rsid w:val="00FE16E0"/>
    <w:rsid w:val="00FE1823"/>
    <w:rsid w:val="00FE1932"/>
    <w:rsid w:val="00FE19A2"/>
    <w:rsid w:val="00FE1D7C"/>
    <w:rsid w:val="00FE1D8A"/>
    <w:rsid w:val="00FE1F96"/>
    <w:rsid w:val="00FE23A4"/>
    <w:rsid w:val="00FE25BD"/>
    <w:rsid w:val="00FE2701"/>
    <w:rsid w:val="00FE2A5B"/>
    <w:rsid w:val="00FE2ADD"/>
    <w:rsid w:val="00FE2BE3"/>
    <w:rsid w:val="00FE2D44"/>
    <w:rsid w:val="00FE2FBC"/>
    <w:rsid w:val="00FE3000"/>
    <w:rsid w:val="00FE31C8"/>
    <w:rsid w:val="00FE31D9"/>
    <w:rsid w:val="00FE33C9"/>
    <w:rsid w:val="00FE3588"/>
    <w:rsid w:val="00FE3614"/>
    <w:rsid w:val="00FE3808"/>
    <w:rsid w:val="00FE3907"/>
    <w:rsid w:val="00FE3947"/>
    <w:rsid w:val="00FE398A"/>
    <w:rsid w:val="00FE3BE1"/>
    <w:rsid w:val="00FE3C2F"/>
    <w:rsid w:val="00FE3E43"/>
    <w:rsid w:val="00FE4157"/>
    <w:rsid w:val="00FE41A4"/>
    <w:rsid w:val="00FE44DD"/>
    <w:rsid w:val="00FE44FE"/>
    <w:rsid w:val="00FE484B"/>
    <w:rsid w:val="00FE487A"/>
    <w:rsid w:val="00FE4899"/>
    <w:rsid w:val="00FE4B7D"/>
    <w:rsid w:val="00FE4C4B"/>
    <w:rsid w:val="00FE5090"/>
    <w:rsid w:val="00FE52A3"/>
    <w:rsid w:val="00FE5497"/>
    <w:rsid w:val="00FE54A1"/>
    <w:rsid w:val="00FE55AB"/>
    <w:rsid w:val="00FE59E1"/>
    <w:rsid w:val="00FE5C6C"/>
    <w:rsid w:val="00FE5C74"/>
    <w:rsid w:val="00FE5E44"/>
    <w:rsid w:val="00FE5E5D"/>
    <w:rsid w:val="00FE5F69"/>
    <w:rsid w:val="00FE5FFD"/>
    <w:rsid w:val="00FE637D"/>
    <w:rsid w:val="00FE63B9"/>
    <w:rsid w:val="00FE6587"/>
    <w:rsid w:val="00FE6887"/>
    <w:rsid w:val="00FE6C65"/>
    <w:rsid w:val="00FE6EFD"/>
    <w:rsid w:val="00FE7152"/>
    <w:rsid w:val="00FE7159"/>
    <w:rsid w:val="00FE72AD"/>
    <w:rsid w:val="00FE7378"/>
    <w:rsid w:val="00FE7385"/>
    <w:rsid w:val="00FE74D0"/>
    <w:rsid w:val="00FE7502"/>
    <w:rsid w:val="00FE7552"/>
    <w:rsid w:val="00FE770E"/>
    <w:rsid w:val="00FE793B"/>
    <w:rsid w:val="00FF0187"/>
    <w:rsid w:val="00FF04A6"/>
    <w:rsid w:val="00FF0569"/>
    <w:rsid w:val="00FF0721"/>
    <w:rsid w:val="00FF077D"/>
    <w:rsid w:val="00FF0AB6"/>
    <w:rsid w:val="00FF0BFB"/>
    <w:rsid w:val="00FF0D85"/>
    <w:rsid w:val="00FF13FB"/>
    <w:rsid w:val="00FF18B3"/>
    <w:rsid w:val="00FF19EC"/>
    <w:rsid w:val="00FF1A4C"/>
    <w:rsid w:val="00FF1AE8"/>
    <w:rsid w:val="00FF1C2C"/>
    <w:rsid w:val="00FF1DA0"/>
    <w:rsid w:val="00FF1DA1"/>
    <w:rsid w:val="00FF2039"/>
    <w:rsid w:val="00FF206E"/>
    <w:rsid w:val="00FF2075"/>
    <w:rsid w:val="00FF2437"/>
    <w:rsid w:val="00FF2448"/>
    <w:rsid w:val="00FF24F4"/>
    <w:rsid w:val="00FF2755"/>
    <w:rsid w:val="00FF27B0"/>
    <w:rsid w:val="00FF29B6"/>
    <w:rsid w:val="00FF2B3B"/>
    <w:rsid w:val="00FF2B5E"/>
    <w:rsid w:val="00FF2C1C"/>
    <w:rsid w:val="00FF2D6E"/>
    <w:rsid w:val="00FF2E19"/>
    <w:rsid w:val="00FF2ECC"/>
    <w:rsid w:val="00FF2F72"/>
    <w:rsid w:val="00FF3007"/>
    <w:rsid w:val="00FF320E"/>
    <w:rsid w:val="00FF32C1"/>
    <w:rsid w:val="00FF32C6"/>
    <w:rsid w:val="00FF3388"/>
    <w:rsid w:val="00FF3402"/>
    <w:rsid w:val="00FF3456"/>
    <w:rsid w:val="00FF345A"/>
    <w:rsid w:val="00FF37FC"/>
    <w:rsid w:val="00FF394E"/>
    <w:rsid w:val="00FF3A85"/>
    <w:rsid w:val="00FF3B1C"/>
    <w:rsid w:val="00FF3C69"/>
    <w:rsid w:val="00FF3CB9"/>
    <w:rsid w:val="00FF3CD1"/>
    <w:rsid w:val="00FF3E04"/>
    <w:rsid w:val="00FF3F44"/>
    <w:rsid w:val="00FF40FD"/>
    <w:rsid w:val="00FF442C"/>
    <w:rsid w:val="00FF447E"/>
    <w:rsid w:val="00FF4654"/>
    <w:rsid w:val="00FF4770"/>
    <w:rsid w:val="00FF4798"/>
    <w:rsid w:val="00FF4882"/>
    <w:rsid w:val="00FF48AA"/>
    <w:rsid w:val="00FF4A59"/>
    <w:rsid w:val="00FF4C04"/>
    <w:rsid w:val="00FF4D51"/>
    <w:rsid w:val="00FF4EBD"/>
    <w:rsid w:val="00FF4FEC"/>
    <w:rsid w:val="00FF54A7"/>
    <w:rsid w:val="00FF56FE"/>
    <w:rsid w:val="00FF575C"/>
    <w:rsid w:val="00FF580B"/>
    <w:rsid w:val="00FF5950"/>
    <w:rsid w:val="00FF5C5C"/>
    <w:rsid w:val="00FF5CA6"/>
    <w:rsid w:val="00FF5D84"/>
    <w:rsid w:val="00FF5DD4"/>
    <w:rsid w:val="00FF5F4B"/>
    <w:rsid w:val="00FF6134"/>
    <w:rsid w:val="00FF62DC"/>
    <w:rsid w:val="00FF6342"/>
    <w:rsid w:val="00FF6479"/>
    <w:rsid w:val="00FF692D"/>
    <w:rsid w:val="00FF6A82"/>
    <w:rsid w:val="00FF6CD7"/>
    <w:rsid w:val="00FF6E0A"/>
    <w:rsid w:val="00FF6E5E"/>
    <w:rsid w:val="00FF70E1"/>
    <w:rsid w:val="00FF718E"/>
    <w:rsid w:val="00FF7210"/>
    <w:rsid w:val="00FF754E"/>
    <w:rsid w:val="00FF76B0"/>
    <w:rsid w:val="00FF7783"/>
    <w:rsid w:val="00FF79D1"/>
    <w:rsid w:val="00FF7A8C"/>
    <w:rsid w:val="00FF7BA3"/>
    <w:rsid w:val="00FF7BD3"/>
    <w:rsid w:val="00FF7CC4"/>
    <w:rsid w:val="00FF7D73"/>
    <w:rsid w:val="00FF7E68"/>
    <w:rsid w:val="0127632F"/>
    <w:rsid w:val="01766F81"/>
    <w:rsid w:val="01AA7704"/>
    <w:rsid w:val="01C0E696"/>
    <w:rsid w:val="01C58F54"/>
    <w:rsid w:val="021A66A3"/>
    <w:rsid w:val="025E0F2C"/>
    <w:rsid w:val="0281E795"/>
    <w:rsid w:val="02A1F10D"/>
    <w:rsid w:val="02DCD10E"/>
    <w:rsid w:val="02EB2B6D"/>
    <w:rsid w:val="02F0191C"/>
    <w:rsid w:val="03015C17"/>
    <w:rsid w:val="03434388"/>
    <w:rsid w:val="034A6DC3"/>
    <w:rsid w:val="0389EAB5"/>
    <w:rsid w:val="03CAE2E3"/>
    <w:rsid w:val="03DA8325"/>
    <w:rsid w:val="03E61ACB"/>
    <w:rsid w:val="04B2E447"/>
    <w:rsid w:val="04C61E57"/>
    <w:rsid w:val="05005CA2"/>
    <w:rsid w:val="051D306D"/>
    <w:rsid w:val="05628284"/>
    <w:rsid w:val="058583C4"/>
    <w:rsid w:val="05AA368D"/>
    <w:rsid w:val="05C34D03"/>
    <w:rsid w:val="05DE90D5"/>
    <w:rsid w:val="05E4BEC3"/>
    <w:rsid w:val="06474DB4"/>
    <w:rsid w:val="0650775D"/>
    <w:rsid w:val="0674EDC7"/>
    <w:rsid w:val="0676B19F"/>
    <w:rsid w:val="0685961A"/>
    <w:rsid w:val="06A93518"/>
    <w:rsid w:val="06AAB3A1"/>
    <w:rsid w:val="06AEF82E"/>
    <w:rsid w:val="06BF8872"/>
    <w:rsid w:val="06CA157F"/>
    <w:rsid w:val="073E0EB6"/>
    <w:rsid w:val="07546981"/>
    <w:rsid w:val="0765DCEB"/>
    <w:rsid w:val="07B196A2"/>
    <w:rsid w:val="07B49036"/>
    <w:rsid w:val="080F41C3"/>
    <w:rsid w:val="081C395A"/>
    <w:rsid w:val="08A065A3"/>
    <w:rsid w:val="08A77744"/>
    <w:rsid w:val="08C1335A"/>
    <w:rsid w:val="08E5E0D9"/>
    <w:rsid w:val="09356036"/>
    <w:rsid w:val="0959ED1F"/>
    <w:rsid w:val="098DCEA7"/>
    <w:rsid w:val="098E0832"/>
    <w:rsid w:val="0996D1C8"/>
    <w:rsid w:val="09A8ABAD"/>
    <w:rsid w:val="09AB7C97"/>
    <w:rsid w:val="09ABA407"/>
    <w:rsid w:val="09E8C05B"/>
    <w:rsid w:val="0AAC6850"/>
    <w:rsid w:val="0AE8F45F"/>
    <w:rsid w:val="0B249236"/>
    <w:rsid w:val="0B70B54C"/>
    <w:rsid w:val="0BD05D78"/>
    <w:rsid w:val="0BFB82E3"/>
    <w:rsid w:val="0C8C32CA"/>
    <w:rsid w:val="0CDB4839"/>
    <w:rsid w:val="0CF203B7"/>
    <w:rsid w:val="0D87FB62"/>
    <w:rsid w:val="0DAA0057"/>
    <w:rsid w:val="0DB0C9AD"/>
    <w:rsid w:val="0DCFB4D8"/>
    <w:rsid w:val="0DD43C68"/>
    <w:rsid w:val="0E21D801"/>
    <w:rsid w:val="0E6EBAC0"/>
    <w:rsid w:val="0E8D7417"/>
    <w:rsid w:val="0EA8C9F0"/>
    <w:rsid w:val="0EB1CF9D"/>
    <w:rsid w:val="0EBB0911"/>
    <w:rsid w:val="0EC692BB"/>
    <w:rsid w:val="0ED85CF9"/>
    <w:rsid w:val="0EDE5719"/>
    <w:rsid w:val="0EFFD9F7"/>
    <w:rsid w:val="0F2BBE30"/>
    <w:rsid w:val="0F48270B"/>
    <w:rsid w:val="0F4E2397"/>
    <w:rsid w:val="0FA2F51A"/>
    <w:rsid w:val="0FC330FC"/>
    <w:rsid w:val="0FC7244D"/>
    <w:rsid w:val="0FC96EA9"/>
    <w:rsid w:val="104F504F"/>
    <w:rsid w:val="10B4DE3B"/>
    <w:rsid w:val="10B66495"/>
    <w:rsid w:val="10B85B20"/>
    <w:rsid w:val="10C8BD06"/>
    <w:rsid w:val="11104DE0"/>
    <w:rsid w:val="1118A781"/>
    <w:rsid w:val="11C741F3"/>
    <w:rsid w:val="11D2D8FC"/>
    <w:rsid w:val="120C6B94"/>
    <w:rsid w:val="1267D3E6"/>
    <w:rsid w:val="12D88D4E"/>
    <w:rsid w:val="13299970"/>
    <w:rsid w:val="145B62E7"/>
    <w:rsid w:val="147AA8D1"/>
    <w:rsid w:val="14CCB61A"/>
    <w:rsid w:val="14EBB610"/>
    <w:rsid w:val="1561EBA3"/>
    <w:rsid w:val="15639E8D"/>
    <w:rsid w:val="15BDB809"/>
    <w:rsid w:val="15CD2557"/>
    <w:rsid w:val="15D34ACA"/>
    <w:rsid w:val="15DAC6BD"/>
    <w:rsid w:val="160DA8E9"/>
    <w:rsid w:val="1656193A"/>
    <w:rsid w:val="16C68A33"/>
    <w:rsid w:val="16D237A1"/>
    <w:rsid w:val="17056F15"/>
    <w:rsid w:val="1738CA19"/>
    <w:rsid w:val="175D863E"/>
    <w:rsid w:val="176ABCB0"/>
    <w:rsid w:val="17CE6A5A"/>
    <w:rsid w:val="1801A1B4"/>
    <w:rsid w:val="18372688"/>
    <w:rsid w:val="186984D4"/>
    <w:rsid w:val="187155F4"/>
    <w:rsid w:val="188ED9A6"/>
    <w:rsid w:val="189376CC"/>
    <w:rsid w:val="18D72C27"/>
    <w:rsid w:val="19046B3B"/>
    <w:rsid w:val="1910DB20"/>
    <w:rsid w:val="192D8D18"/>
    <w:rsid w:val="19C9A385"/>
    <w:rsid w:val="1A680361"/>
    <w:rsid w:val="1A70394D"/>
    <w:rsid w:val="1ACF71B4"/>
    <w:rsid w:val="1AE83F74"/>
    <w:rsid w:val="1AF0AC0F"/>
    <w:rsid w:val="1B356AA5"/>
    <w:rsid w:val="1B35C73D"/>
    <w:rsid w:val="1B472BA7"/>
    <w:rsid w:val="1B47B058"/>
    <w:rsid w:val="1B6A7095"/>
    <w:rsid w:val="1B81A9E6"/>
    <w:rsid w:val="1B9879B6"/>
    <w:rsid w:val="1BB627C4"/>
    <w:rsid w:val="1BBA1F31"/>
    <w:rsid w:val="1BBE99C4"/>
    <w:rsid w:val="1BFB3AFC"/>
    <w:rsid w:val="1C03E98A"/>
    <w:rsid w:val="1C0B808A"/>
    <w:rsid w:val="1C4F7E46"/>
    <w:rsid w:val="1C825E99"/>
    <w:rsid w:val="1C8C7C70"/>
    <w:rsid w:val="1C9C64C6"/>
    <w:rsid w:val="1C9E0097"/>
    <w:rsid w:val="1CDD3FE5"/>
    <w:rsid w:val="1CEDB07F"/>
    <w:rsid w:val="1D128D01"/>
    <w:rsid w:val="1D251C0B"/>
    <w:rsid w:val="1D75FB6E"/>
    <w:rsid w:val="1DAE7D64"/>
    <w:rsid w:val="1DDDB5FA"/>
    <w:rsid w:val="1DE550EB"/>
    <w:rsid w:val="1DF7945C"/>
    <w:rsid w:val="1E0B69DB"/>
    <w:rsid w:val="1EA9CE3B"/>
    <w:rsid w:val="1EF3D315"/>
    <w:rsid w:val="1F022939"/>
    <w:rsid w:val="1F1E583D"/>
    <w:rsid w:val="1F3F29AF"/>
    <w:rsid w:val="1F8CDD30"/>
    <w:rsid w:val="1FD5EABA"/>
    <w:rsid w:val="1FD6F0A4"/>
    <w:rsid w:val="2034538E"/>
    <w:rsid w:val="203AC5B2"/>
    <w:rsid w:val="20497D0B"/>
    <w:rsid w:val="205FF571"/>
    <w:rsid w:val="20A158CB"/>
    <w:rsid w:val="20A993A2"/>
    <w:rsid w:val="20ABD962"/>
    <w:rsid w:val="20B2F2EA"/>
    <w:rsid w:val="20B7A82E"/>
    <w:rsid w:val="20C5E5DD"/>
    <w:rsid w:val="20CB23B3"/>
    <w:rsid w:val="20CD960F"/>
    <w:rsid w:val="20DD2B45"/>
    <w:rsid w:val="2154C369"/>
    <w:rsid w:val="2180D045"/>
    <w:rsid w:val="218B75A2"/>
    <w:rsid w:val="219AE3DF"/>
    <w:rsid w:val="21D6A576"/>
    <w:rsid w:val="21EE1A9C"/>
    <w:rsid w:val="2214FEF1"/>
    <w:rsid w:val="228BA1EA"/>
    <w:rsid w:val="22AEB7A9"/>
    <w:rsid w:val="22B986CD"/>
    <w:rsid w:val="235A783C"/>
    <w:rsid w:val="2422C5CE"/>
    <w:rsid w:val="245C6909"/>
    <w:rsid w:val="24824DAE"/>
    <w:rsid w:val="249C0911"/>
    <w:rsid w:val="24D3D6AA"/>
    <w:rsid w:val="250D2EE9"/>
    <w:rsid w:val="256F50DB"/>
    <w:rsid w:val="257207E4"/>
    <w:rsid w:val="2597CD24"/>
    <w:rsid w:val="259BD778"/>
    <w:rsid w:val="259E0F96"/>
    <w:rsid w:val="25D5CA51"/>
    <w:rsid w:val="2655F4DF"/>
    <w:rsid w:val="26AFF4CB"/>
    <w:rsid w:val="26B68D1A"/>
    <w:rsid w:val="26BD511E"/>
    <w:rsid w:val="27168FC7"/>
    <w:rsid w:val="2745A767"/>
    <w:rsid w:val="27586223"/>
    <w:rsid w:val="278FD008"/>
    <w:rsid w:val="27ABB82B"/>
    <w:rsid w:val="27DFA7E8"/>
    <w:rsid w:val="27F307BC"/>
    <w:rsid w:val="28131492"/>
    <w:rsid w:val="2833D747"/>
    <w:rsid w:val="284DC034"/>
    <w:rsid w:val="2851693B"/>
    <w:rsid w:val="2852710C"/>
    <w:rsid w:val="28BAE177"/>
    <w:rsid w:val="28E0665D"/>
    <w:rsid w:val="28E7BC3F"/>
    <w:rsid w:val="28E8E7C4"/>
    <w:rsid w:val="28F521E3"/>
    <w:rsid w:val="2906DC4F"/>
    <w:rsid w:val="293F771D"/>
    <w:rsid w:val="294C5F2D"/>
    <w:rsid w:val="297C7025"/>
    <w:rsid w:val="298A72D8"/>
    <w:rsid w:val="29A6DE1B"/>
    <w:rsid w:val="29E58159"/>
    <w:rsid w:val="2A28728A"/>
    <w:rsid w:val="2A584F2C"/>
    <w:rsid w:val="2AC59F5A"/>
    <w:rsid w:val="2AD46370"/>
    <w:rsid w:val="2B3D123E"/>
    <w:rsid w:val="2B4B05B4"/>
    <w:rsid w:val="2B7D502D"/>
    <w:rsid w:val="2B7DBC56"/>
    <w:rsid w:val="2BA50C7A"/>
    <w:rsid w:val="2BAFC9F6"/>
    <w:rsid w:val="2BD46D00"/>
    <w:rsid w:val="2BE5EDB7"/>
    <w:rsid w:val="2C01D4AD"/>
    <w:rsid w:val="2C05D8BE"/>
    <w:rsid w:val="2C27B6DA"/>
    <w:rsid w:val="2C2D3451"/>
    <w:rsid w:val="2C53EC4B"/>
    <w:rsid w:val="2C55A232"/>
    <w:rsid w:val="2C70A88A"/>
    <w:rsid w:val="2C70C0D6"/>
    <w:rsid w:val="2CC8E898"/>
    <w:rsid w:val="2CD4B195"/>
    <w:rsid w:val="2D09FC6F"/>
    <w:rsid w:val="2D1B9D5A"/>
    <w:rsid w:val="2DC96ED7"/>
    <w:rsid w:val="2DDEC60B"/>
    <w:rsid w:val="2DE84728"/>
    <w:rsid w:val="2E075A51"/>
    <w:rsid w:val="2E13FC54"/>
    <w:rsid w:val="2E8C8364"/>
    <w:rsid w:val="2ECAA731"/>
    <w:rsid w:val="2EE0DFBE"/>
    <w:rsid w:val="2EFD72B0"/>
    <w:rsid w:val="2F134AA5"/>
    <w:rsid w:val="2F2AC2F2"/>
    <w:rsid w:val="2F2E7A86"/>
    <w:rsid w:val="2F38A0FE"/>
    <w:rsid w:val="2F46930B"/>
    <w:rsid w:val="2F532868"/>
    <w:rsid w:val="2F5B2BC7"/>
    <w:rsid w:val="2F7728B4"/>
    <w:rsid w:val="301162DE"/>
    <w:rsid w:val="304A3045"/>
    <w:rsid w:val="30848FBF"/>
    <w:rsid w:val="30B80230"/>
    <w:rsid w:val="31110402"/>
    <w:rsid w:val="317341E0"/>
    <w:rsid w:val="31978B3B"/>
    <w:rsid w:val="31A1FFE5"/>
    <w:rsid w:val="31ACCF32"/>
    <w:rsid w:val="31C1DF79"/>
    <w:rsid w:val="32570D3A"/>
    <w:rsid w:val="32A0C0BD"/>
    <w:rsid w:val="32BFA229"/>
    <w:rsid w:val="32E6C10E"/>
    <w:rsid w:val="32F3E5BC"/>
    <w:rsid w:val="32FEB734"/>
    <w:rsid w:val="331DA938"/>
    <w:rsid w:val="33561799"/>
    <w:rsid w:val="337374A5"/>
    <w:rsid w:val="339625C0"/>
    <w:rsid w:val="33CEDF53"/>
    <w:rsid w:val="33FE9DCE"/>
    <w:rsid w:val="3410A119"/>
    <w:rsid w:val="3416395E"/>
    <w:rsid w:val="34262CFC"/>
    <w:rsid w:val="349D0B1F"/>
    <w:rsid w:val="34C52E6B"/>
    <w:rsid w:val="34C6FF5C"/>
    <w:rsid w:val="34FC37DB"/>
    <w:rsid w:val="3537ACC2"/>
    <w:rsid w:val="356F7617"/>
    <w:rsid w:val="357D18AD"/>
    <w:rsid w:val="3585D137"/>
    <w:rsid w:val="35DF50FE"/>
    <w:rsid w:val="35EEB242"/>
    <w:rsid w:val="35FC5C79"/>
    <w:rsid w:val="36680E44"/>
    <w:rsid w:val="366B0EFA"/>
    <w:rsid w:val="36A8654C"/>
    <w:rsid w:val="371804D7"/>
    <w:rsid w:val="373E6361"/>
    <w:rsid w:val="37A41BCE"/>
    <w:rsid w:val="37B1D05A"/>
    <w:rsid w:val="3810605F"/>
    <w:rsid w:val="383AD25E"/>
    <w:rsid w:val="383C57F8"/>
    <w:rsid w:val="38508BD6"/>
    <w:rsid w:val="38837224"/>
    <w:rsid w:val="388ADB83"/>
    <w:rsid w:val="38A3B73B"/>
    <w:rsid w:val="38B4CAAD"/>
    <w:rsid w:val="38CAD51D"/>
    <w:rsid w:val="38EB4CA3"/>
    <w:rsid w:val="39001A50"/>
    <w:rsid w:val="3916F1C0"/>
    <w:rsid w:val="391ABFE9"/>
    <w:rsid w:val="3942CBA5"/>
    <w:rsid w:val="3958DCB2"/>
    <w:rsid w:val="396B4C55"/>
    <w:rsid w:val="39716283"/>
    <w:rsid w:val="39FA0D5B"/>
    <w:rsid w:val="3A079C93"/>
    <w:rsid w:val="3A0BBBC6"/>
    <w:rsid w:val="3A2DE4FA"/>
    <w:rsid w:val="3A33C407"/>
    <w:rsid w:val="3A4CD1AF"/>
    <w:rsid w:val="3A6DABC5"/>
    <w:rsid w:val="3A6EB426"/>
    <w:rsid w:val="3A813BC9"/>
    <w:rsid w:val="3A8E43C7"/>
    <w:rsid w:val="3AE6127E"/>
    <w:rsid w:val="3AF22EA3"/>
    <w:rsid w:val="3AF3F547"/>
    <w:rsid w:val="3B5AD32C"/>
    <w:rsid w:val="3B6E89EB"/>
    <w:rsid w:val="3B7635CD"/>
    <w:rsid w:val="3B7CAF9C"/>
    <w:rsid w:val="3B853EB1"/>
    <w:rsid w:val="3BBF35F3"/>
    <w:rsid w:val="3C030E05"/>
    <w:rsid w:val="3C0A4CA0"/>
    <w:rsid w:val="3C47D345"/>
    <w:rsid w:val="3C9165A6"/>
    <w:rsid w:val="3CBB9A0F"/>
    <w:rsid w:val="3CBE29DF"/>
    <w:rsid w:val="3CC666E5"/>
    <w:rsid w:val="3CE2D92B"/>
    <w:rsid w:val="3D2CF4AC"/>
    <w:rsid w:val="3D72BE20"/>
    <w:rsid w:val="3D960ABE"/>
    <w:rsid w:val="3DAC3F1A"/>
    <w:rsid w:val="3DD47C2B"/>
    <w:rsid w:val="3DE30404"/>
    <w:rsid w:val="3E0D2D6C"/>
    <w:rsid w:val="3E2B410C"/>
    <w:rsid w:val="3E327AFE"/>
    <w:rsid w:val="3E5751DE"/>
    <w:rsid w:val="3E820201"/>
    <w:rsid w:val="3ED89F37"/>
    <w:rsid w:val="3F042B39"/>
    <w:rsid w:val="3F0DD897"/>
    <w:rsid w:val="3F617669"/>
    <w:rsid w:val="3F6BC7A3"/>
    <w:rsid w:val="3FFEEE2B"/>
    <w:rsid w:val="40970326"/>
    <w:rsid w:val="409A7E8B"/>
    <w:rsid w:val="40D8EE27"/>
    <w:rsid w:val="418F3F38"/>
    <w:rsid w:val="41B3E8AD"/>
    <w:rsid w:val="420EBBF8"/>
    <w:rsid w:val="42623A6E"/>
    <w:rsid w:val="4268E43B"/>
    <w:rsid w:val="4273D2AB"/>
    <w:rsid w:val="4273EC2C"/>
    <w:rsid w:val="42C2548E"/>
    <w:rsid w:val="42C34273"/>
    <w:rsid w:val="42D67E84"/>
    <w:rsid w:val="42EC11A4"/>
    <w:rsid w:val="42F00E2C"/>
    <w:rsid w:val="4359CA8E"/>
    <w:rsid w:val="4367D51D"/>
    <w:rsid w:val="439F5880"/>
    <w:rsid w:val="43CDA812"/>
    <w:rsid w:val="43D8AE5A"/>
    <w:rsid w:val="441F027B"/>
    <w:rsid w:val="442BB3CF"/>
    <w:rsid w:val="44512EBB"/>
    <w:rsid w:val="44744C6E"/>
    <w:rsid w:val="44844ED8"/>
    <w:rsid w:val="44B0794B"/>
    <w:rsid w:val="44CA22E7"/>
    <w:rsid w:val="44FD108C"/>
    <w:rsid w:val="44FEA6E3"/>
    <w:rsid w:val="452AF0CA"/>
    <w:rsid w:val="4579ADC4"/>
    <w:rsid w:val="45D4BA07"/>
    <w:rsid w:val="469F7B99"/>
    <w:rsid w:val="46B4B799"/>
    <w:rsid w:val="46F488F6"/>
    <w:rsid w:val="475258D1"/>
    <w:rsid w:val="475478B5"/>
    <w:rsid w:val="477E9566"/>
    <w:rsid w:val="4785A2E2"/>
    <w:rsid w:val="47B48F74"/>
    <w:rsid w:val="47D1BEE6"/>
    <w:rsid w:val="47E783C0"/>
    <w:rsid w:val="47E84CA3"/>
    <w:rsid w:val="4807B268"/>
    <w:rsid w:val="480B6F40"/>
    <w:rsid w:val="4861F6E3"/>
    <w:rsid w:val="4864FEE8"/>
    <w:rsid w:val="488C5249"/>
    <w:rsid w:val="48C4890B"/>
    <w:rsid w:val="48FEB172"/>
    <w:rsid w:val="49035F1F"/>
    <w:rsid w:val="4946A23C"/>
    <w:rsid w:val="4977E0E2"/>
    <w:rsid w:val="498EA482"/>
    <w:rsid w:val="4A008D88"/>
    <w:rsid w:val="4A15E06F"/>
    <w:rsid w:val="4A323559"/>
    <w:rsid w:val="4A36CEA8"/>
    <w:rsid w:val="4A98EB1B"/>
    <w:rsid w:val="4AF59FB6"/>
    <w:rsid w:val="4B9672A0"/>
    <w:rsid w:val="4BFCFBC0"/>
    <w:rsid w:val="4C048FCE"/>
    <w:rsid w:val="4C10D2F6"/>
    <w:rsid w:val="4C4995CA"/>
    <w:rsid w:val="4C5595C4"/>
    <w:rsid w:val="4C7409D1"/>
    <w:rsid w:val="4CBA3E0A"/>
    <w:rsid w:val="4CE5F84A"/>
    <w:rsid w:val="4CFC3D02"/>
    <w:rsid w:val="4D2568A4"/>
    <w:rsid w:val="4D7F9184"/>
    <w:rsid w:val="4D81B834"/>
    <w:rsid w:val="4DD48FE2"/>
    <w:rsid w:val="4DEDB83F"/>
    <w:rsid w:val="4E1CCCB9"/>
    <w:rsid w:val="4E219B2D"/>
    <w:rsid w:val="4E4F1E84"/>
    <w:rsid w:val="4E8B0962"/>
    <w:rsid w:val="4F18EDE2"/>
    <w:rsid w:val="4F404998"/>
    <w:rsid w:val="4F4065F3"/>
    <w:rsid w:val="4F42E320"/>
    <w:rsid w:val="4F493FDD"/>
    <w:rsid w:val="4F5B2DB5"/>
    <w:rsid w:val="4F6335DF"/>
    <w:rsid w:val="4F64EC39"/>
    <w:rsid w:val="4F940523"/>
    <w:rsid w:val="4FBADB60"/>
    <w:rsid w:val="4FC5E237"/>
    <w:rsid w:val="5000E95E"/>
    <w:rsid w:val="5003A4DC"/>
    <w:rsid w:val="506497E9"/>
    <w:rsid w:val="5085C540"/>
    <w:rsid w:val="5086D8FE"/>
    <w:rsid w:val="512FF896"/>
    <w:rsid w:val="513ED043"/>
    <w:rsid w:val="514C4925"/>
    <w:rsid w:val="51507E7F"/>
    <w:rsid w:val="5159AEC3"/>
    <w:rsid w:val="51A70DF5"/>
    <w:rsid w:val="51E66AA4"/>
    <w:rsid w:val="51FA96E4"/>
    <w:rsid w:val="52A168C2"/>
    <w:rsid w:val="531A8DD0"/>
    <w:rsid w:val="53257615"/>
    <w:rsid w:val="5353BCCC"/>
    <w:rsid w:val="535FCDE2"/>
    <w:rsid w:val="536FBBFC"/>
    <w:rsid w:val="537A9B45"/>
    <w:rsid w:val="53835611"/>
    <w:rsid w:val="5414348C"/>
    <w:rsid w:val="545CF9C3"/>
    <w:rsid w:val="547798E1"/>
    <w:rsid w:val="54B190B8"/>
    <w:rsid w:val="54F417C5"/>
    <w:rsid w:val="54F6832F"/>
    <w:rsid w:val="552476B1"/>
    <w:rsid w:val="55458C99"/>
    <w:rsid w:val="5563F71E"/>
    <w:rsid w:val="5580B7D1"/>
    <w:rsid w:val="559BF496"/>
    <w:rsid w:val="55C02B12"/>
    <w:rsid w:val="55C27A21"/>
    <w:rsid w:val="55D56F6E"/>
    <w:rsid w:val="55E2CA68"/>
    <w:rsid w:val="566ED74D"/>
    <w:rsid w:val="56F7DED1"/>
    <w:rsid w:val="56F93F18"/>
    <w:rsid w:val="574C86C0"/>
    <w:rsid w:val="5769DABA"/>
    <w:rsid w:val="57A8EBFB"/>
    <w:rsid w:val="57CEC643"/>
    <w:rsid w:val="581DB97E"/>
    <w:rsid w:val="58282584"/>
    <w:rsid w:val="58369F7A"/>
    <w:rsid w:val="583B8038"/>
    <w:rsid w:val="58864540"/>
    <w:rsid w:val="58C56A53"/>
    <w:rsid w:val="58D7136F"/>
    <w:rsid w:val="5973F09D"/>
    <w:rsid w:val="597F82FF"/>
    <w:rsid w:val="5987C487"/>
    <w:rsid w:val="59A2F4D1"/>
    <w:rsid w:val="59C7EE71"/>
    <w:rsid w:val="59EB0959"/>
    <w:rsid w:val="59ECA131"/>
    <w:rsid w:val="59ED44EC"/>
    <w:rsid w:val="5A537B6F"/>
    <w:rsid w:val="5A9F68A2"/>
    <w:rsid w:val="5AB39BE2"/>
    <w:rsid w:val="5ABF481A"/>
    <w:rsid w:val="5ACDCEDE"/>
    <w:rsid w:val="5B14B091"/>
    <w:rsid w:val="5B4B00B1"/>
    <w:rsid w:val="5B58B4BE"/>
    <w:rsid w:val="5BC60E83"/>
    <w:rsid w:val="5C4EE34B"/>
    <w:rsid w:val="5CBF5D44"/>
    <w:rsid w:val="5CF1CBB4"/>
    <w:rsid w:val="5D09EE3B"/>
    <w:rsid w:val="5D2534D4"/>
    <w:rsid w:val="5D36D720"/>
    <w:rsid w:val="5D387147"/>
    <w:rsid w:val="5D7D40AB"/>
    <w:rsid w:val="5D876C90"/>
    <w:rsid w:val="5DA7FA7E"/>
    <w:rsid w:val="5DE09D86"/>
    <w:rsid w:val="5DEB285C"/>
    <w:rsid w:val="5E16CBF9"/>
    <w:rsid w:val="5E216605"/>
    <w:rsid w:val="5E3233EC"/>
    <w:rsid w:val="5E5D88ED"/>
    <w:rsid w:val="5EA79D41"/>
    <w:rsid w:val="5EADFC2C"/>
    <w:rsid w:val="5EAFFF6B"/>
    <w:rsid w:val="5EB32187"/>
    <w:rsid w:val="5ECB225E"/>
    <w:rsid w:val="5F68B7CF"/>
    <w:rsid w:val="600567B1"/>
    <w:rsid w:val="604ED2F0"/>
    <w:rsid w:val="608F54E4"/>
    <w:rsid w:val="612A41F4"/>
    <w:rsid w:val="614AA60F"/>
    <w:rsid w:val="61A1C529"/>
    <w:rsid w:val="61A8B595"/>
    <w:rsid w:val="61B3938F"/>
    <w:rsid w:val="61D665F8"/>
    <w:rsid w:val="6222BB1B"/>
    <w:rsid w:val="624A650E"/>
    <w:rsid w:val="629E46A2"/>
    <w:rsid w:val="62F09B35"/>
    <w:rsid w:val="63243CC9"/>
    <w:rsid w:val="63348DEE"/>
    <w:rsid w:val="6377A525"/>
    <w:rsid w:val="639B7A21"/>
    <w:rsid w:val="63EB2767"/>
    <w:rsid w:val="63F63054"/>
    <w:rsid w:val="641085ED"/>
    <w:rsid w:val="641E3351"/>
    <w:rsid w:val="645B3F7C"/>
    <w:rsid w:val="6460BB3D"/>
    <w:rsid w:val="6499567C"/>
    <w:rsid w:val="64AD2D28"/>
    <w:rsid w:val="64C4BB35"/>
    <w:rsid w:val="64E260E3"/>
    <w:rsid w:val="64FFD31C"/>
    <w:rsid w:val="650EC994"/>
    <w:rsid w:val="65270ACC"/>
    <w:rsid w:val="6555AF5F"/>
    <w:rsid w:val="6585E5DE"/>
    <w:rsid w:val="65AD98DA"/>
    <w:rsid w:val="65C127D5"/>
    <w:rsid w:val="65E62C5D"/>
    <w:rsid w:val="66020EE8"/>
    <w:rsid w:val="669094A0"/>
    <w:rsid w:val="66BF2E7F"/>
    <w:rsid w:val="66E2B02E"/>
    <w:rsid w:val="6701C12C"/>
    <w:rsid w:val="670264D4"/>
    <w:rsid w:val="672986FE"/>
    <w:rsid w:val="673CC7ED"/>
    <w:rsid w:val="675B2571"/>
    <w:rsid w:val="676A282F"/>
    <w:rsid w:val="678509E8"/>
    <w:rsid w:val="678CE0B2"/>
    <w:rsid w:val="67CB2594"/>
    <w:rsid w:val="683FF087"/>
    <w:rsid w:val="684190E6"/>
    <w:rsid w:val="690BD312"/>
    <w:rsid w:val="690E016B"/>
    <w:rsid w:val="69150562"/>
    <w:rsid w:val="691F6EDF"/>
    <w:rsid w:val="695ED6D3"/>
    <w:rsid w:val="6965EB31"/>
    <w:rsid w:val="69685EE3"/>
    <w:rsid w:val="69A87F3A"/>
    <w:rsid w:val="69ABF027"/>
    <w:rsid w:val="69B50976"/>
    <w:rsid w:val="69BCCEB1"/>
    <w:rsid w:val="69E2A989"/>
    <w:rsid w:val="6A0AD379"/>
    <w:rsid w:val="6A5B2A0F"/>
    <w:rsid w:val="6AA26BAC"/>
    <w:rsid w:val="6AADF57C"/>
    <w:rsid w:val="6AB216A5"/>
    <w:rsid w:val="6B0C5F01"/>
    <w:rsid w:val="6B0DAE37"/>
    <w:rsid w:val="6B75CDCD"/>
    <w:rsid w:val="6BB3BDBF"/>
    <w:rsid w:val="6BF41EB9"/>
    <w:rsid w:val="6BF43B0D"/>
    <w:rsid w:val="6BF79C3F"/>
    <w:rsid w:val="6C3801B7"/>
    <w:rsid w:val="6C3B4001"/>
    <w:rsid w:val="6C3FC4F9"/>
    <w:rsid w:val="6C4A6D72"/>
    <w:rsid w:val="6C83382F"/>
    <w:rsid w:val="6C9374CC"/>
    <w:rsid w:val="6D5BA797"/>
    <w:rsid w:val="6D8B2B27"/>
    <w:rsid w:val="6DFA7F48"/>
    <w:rsid w:val="6E3DA239"/>
    <w:rsid w:val="6E4D1C2F"/>
    <w:rsid w:val="6EDC7EF3"/>
    <w:rsid w:val="6EEE3754"/>
    <w:rsid w:val="6F726976"/>
    <w:rsid w:val="6F926856"/>
    <w:rsid w:val="6FD95CCE"/>
    <w:rsid w:val="6FFC572A"/>
    <w:rsid w:val="7098F3D4"/>
    <w:rsid w:val="70A40EC1"/>
    <w:rsid w:val="70F87931"/>
    <w:rsid w:val="71075A0E"/>
    <w:rsid w:val="7156E1A9"/>
    <w:rsid w:val="71A24D31"/>
    <w:rsid w:val="7217A6BE"/>
    <w:rsid w:val="72A03156"/>
    <w:rsid w:val="72CF2989"/>
    <w:rsid w:val="731E6DAD"/>
    <w:rsid w:val="736DE14D"/>
    <w:rsid w:val="7381C2E5"/>
    <w:rsid w:val="738C8194"/>
    <w:rsid w:val="73A19C75"/>
    <w:rsid w:val="73E5DD67"/>
    <w:rsid w:val="73EF0845"/>
    <w:rsid w:val="745950E8"/>
    <w:rsid w:val="74B1C07B"/>
    <w:rsid w:val="74BC43A8"/>
    <w:rsid w:val="74EE1551"/>
    <w:rsid w:val="74F6FEEA"/>
    <w:rsid w:val="74F9C15B"/>
    <w:rsid w:val="74FAF8AD"/>
    <w:rsid w:val="753D3DE9"/>
    <w:rsid w:val="75A6A2A7"/>
    <w:rsid w:val="7610E6A9"/>
    <w:rsid w:val="763B6387"/>
    <w:rsid w:val="764A0A7F"/>
    <w:rsid w:val="7668930F"/>
    <w:rsid w:val="7693BD34"/>
    <w:rsid w:val="77401A67"/>
    <w:rsid w:val="779146D7"/>
    <w:rsid w:val="77C31E29"/>
    <w:rsid w:val="77CA573B"/>
    <w:rsid w:val="77F2FE0E"/>
    <w:rsid w:val="77F84DA2"/>
    <w:rsid w:val="7800EE75"/>
    <w:rsid w:val="780E36A9"/>
    <w:rsid w:val="7822ED8B"/>
    <w:rsid w:val="78813E14"/>
    <w:rsid w:val="78C89FC3"/>
    <w:rsid w:val="78F35189"/>
    <w:rsid w:val="793FB9DB"/>
    <w:rsid w:val="79446A86"/>
    <w:rsid w:val="79486142"/>
    <w:rsid w:val="79513938"/>
    <w:rsid w:val="79775843"/>
    <w:rsid w:val="7A00413E"/>
    <w:rsid w:val="7A4CABE4"/>
    <w:rsid w:val="7A5C9D51"/>
    <w:rsid w:val="7A63A23E"/>
    <w:rsid w:val="7A79800F"/>
    <w:rsid w:val="7AF7940D"/>
    <w:rsid w:val="7B1EE16D"/>
    <w:rsid w:val="7B6FA325"/>
    <w:rsid w:val="7B94CBB2"/>
    <w:rsid w:val="7BC11EA0"/>
    <w:rsid w:val="7BC26EDE"/>
    <w:rsid w:val="7BCEF0D6"/>
    <w:rsid w:val="7C6B7F79"/>
    <w:rsid w:val="7C856CAF"/>
    <w:rsid w:val="7D005F47"/>
    <w:rsid w:val="7D1FCDAD"/>
    <w:rsid w:val="7D5BB9DB"/>
    <w:rsid w:val="7D6314F3"/>
    <w:rsid w:val="7D6C722F"/>
    <w:rsid w:val="7DA4CF4A"/>
    <w:rsid w:val="7DAF2BE6"/>
    <w:rsid w:val="7E53B098"/>
    <w:rsid w:val="7F03D947"/>
    <w:rsid w:val="7F0BBD2F"/>
    <w:rsid w:val="7F2BAC50"/>
    <w:rsid w:val="7F5E34C9"/>
    <w:rsid w:val="7F5EEBFE"/>
    <w:rsid w:val="7F8A6C29"/>
    <w:rsid w:val="7FA81684"/>
    <w:rsid w:val="7FD25FEC"/>
    <w:rsid w:val="7FE56A91"/>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6979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uiPriority="1" w:qFormat="1"/>
    <w:lsdException w:name="heading 3" w:qFormat="1"/>
    <w:lsdException w:name="heading 4" w:uiPriority="2"/>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FollowedHyperlink" w:uiPriority="99"/>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90D91"/>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numPr>
        <w:numId w:val="128"/>
      </w:numPr>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link w:val="Heading4Char"/>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4"/>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4"/>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paragraph" w:customStyle="1" w:styleId="Paragraph">
    <w:name w:val="Paragraph"/>
    <w:basedOn w:val="Normal"/>
    <w:link w:val="ParagraphChar"/>
    <w:qFormat/>
    <w:rsid w:val="00A824E8"/>
    <w:rPr>
      <w:rFonts w:cs="Arial"/>
    </w:rPr>
  </w:style>
  <w:style w:type="character" w:customStyle="1" w:styleId="ParagraphChar">
    <w:name w:val="Paragraph Char"/>
    <w:basedOn w:val="DefaultParagraphFont"/>
    <w:link w:val="Paragraph"/>
    <w:rsid w:val="004B66E0"/>
    <w:rPr>
      <w:rFonts w:ascii="Arial" w:hAnsi="Arial" w:cs="Arial"/>
      <w:sz w:val="20"/>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customStyle="1" w:styleId="Heading3Char">
    <w:name w:val="Heading 3 Char"/>
    <w:basedOn w:val="DefaultParagraphFont"/>
    <w:link w:val="Heading3"/>
    <w:uiPriority w:val="2"/>
    <w:rsid w:val="00390D91"/>
    <w:rPr>
      <w:rFonts w:ascii="Arial" w:hAnsi="Arial" w:cs="Arial"/>
      <w:b/>
      <w:bCs/>
      <w:sz w:val="20"/>
      <w:szCs w:val="26"/>
    </w:rPr>
  </w:style>
  <w:style w:type="paragraph" w:customStyle="1" w:styleId="BodySubHeader">
    <w:name w:val="BodySubHeader"/>
    <w:basedOn w:val="Normal"/>
    <w:next w:val="Normal"/>
    <w:semiHidden/>
    <w:rsid w:val="00146CE6"/>
    <w:pPr>
      <w:spacing w:before="240" w:after="0"/>
    </w:pPr>
    <w:rPr>
      <w:b/>
      <w:i/>
    </w:rPr>
  </w:style>
  <w:style w:type="character" w:customStyle="1" w:styleId="Heading4Char">
    <w:name w:val="Heading 4 Char"/>
    <w:basedOn w:val="DefaultParagraphFont"/>
    <w:link w:val="Heading4"/>
    <w:uiPriority w:val="2"/>
    <w:rsid w:val="00951A8D"/>
    <w:rPr>
      <w:rFonts w:ascii="Arial" w:hAnsi="Arial" w:cs="Arial"/>
      <w:b/>
      <w:i/>
      <w:sz w:val="20"/>
    </w:rPr>
  </w:style>
  <w:style w:type="paragraph" w:styleId="Header">
    <w:name w:val="header"/>
    <w:basedOn w:val="Normal"/>
    <w:link w:val="HeaderChar"/>
    <w:uiPriority w:val="99"/>
    <w:semiHidden/>
    <w:rsid w:val="0070791C"/>
    <w:pPr>
      <w:tabs>
        <w:tab w:val="center" w:pos="4153"/>
        <w:tab w:val="right" w:pos="8306"/>
      </w:tabs>
      <w:spacing w:line="240" w:lineRule="auto"/>
    </w:pPr>
    <w:rPr>
      <w:sz w:val="16"/>
    </w:rPr>
  </w:style>
  <w:style w:type="character" w:customStyle="1" w:styleId="HeaderChar">
    <w:name w:val="Header Char"/>
    <w:link w:val="Header"/>
    <w:uiPriority w:val="99"/>
    <w:semiHidden/>
    <w:rsid w:val="00971914"/>
    <w:rPr>
      <w:rFonts w:ascii="Arial" w:hAnsi="Arial"/>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8"/>
      </w:numPr>
      <w:spacing w:after="0"/>
    </w:pPr>
    <w:rPr>
      <w:b/>
      <w:bCs/>
      <w:color w:val="323232"/>
      <w:szCs w:val="20"/>
    </w:rPr>
  </w:style>
  <w:style w:type="paragraph" w:styleId="ListBullet">
    <w:name w:val="List Bullet"/>
    <w:aliases w:val="List Bullet 1"/>
    <w:basedOn w:val="Normal"/>
    <w:link w:val="ListBulletChar"/>
    <w:qFormat/>
    <w:rsid w:val="001C6AEE"/>
    <w:pPr>
      <w:spacing w:after="80"/>
    </w:pPr>
  </w:style>
  <w:style w:type="character" w:customStyle="1" w:styleId="ListBulletChar">
    <w:name w:val="List Bullet Char"/>
    <w:aliases w:val="List Bullet 1 Char"/>
    <w:basedOn w:val="DefaultParagraphFont"/>
    <w:link w:val="ListBullet"/>
    <w:rsid w:val="00B021E1"/>
    <w:rPr>
      <w:rFonts w:ascii="Arial" w:hAnsi="Arial"/>
      <w:sz w:val="20"/>
    </w:r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spacing w:after="80"/>
      <w:ind w:left="360" w:hanging="360"/>
    </w:pPr>
  </w:style>
  <w:style w:type="paragraph" w:styleId="ListNumber2">
    <w:name w:val="List Number 2"/>
    <w:basedOn w:val="Normal"/>
    <w:semiHidden/>
    <w:qFormat/>
    <w:rsid w:val="004A70D6"/>
    <w:pPr>
      <w:spacing w:after="80"/>
      <w:ind w:left="1350" w:hanging="360"/>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Appel note de bas de p1,Appel note de bas de p2,Appel note de bas de p3,Footnote Reference/,(NECG) Footnote Reference,(NECG) Footnote Reference1,o,Style 12"/>
    <w:basedOn w:val="DefaultParagraphFont"/>
    <w:uiPriority w:val="99"/>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uiPriority w:val="99"/>
    <w:qFormat/>
    <w:rsid w:val="00C24466"/>
    <w:pPr>
      <w:spacing w:after="0" w:line="200" w:lineRule="atLeast"/>
    </w:pPr>
    <w:rPr>
      <w:sz w:val="16"/>
      <w:szCs w:val="16"/>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uiPriority w:val="99"/>
    <w:qFormat/>
    <w:rsid w:val="00275A94"/>
    <w:rPr>
      <w:rFonts w:ascii="Arial" w:hAnsi="Arial"/>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uiPriority w:val="99"/>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C66473"/>
    <w:pPr>
      <w:numPr>
        <w:numId w:val="95"/>
      </w:numPr>
      <w:ind w:left="426" w:hanging="426"/>
    </w:pPr>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6"/>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numPr>
        <w:ilvl w:val="1"/>
        <w:numId w:val="128"/>
      </w:numPr>
      <w:pBdr>
        <w:top w:val="single" w:sz="4" w:space="1" w:color="auto"/>
      </w:pBdr>
    </w:pPr>
    <w:rPr>
      <w:rFonts w:cs="Arial"/>
    </w:rPr>
  </w:style>
  <w:style w:type="paragraph" w:customStyle="1" w:styleId="ACMAFigureHeader">
    <w:name w:val="ACMA_FigureHeader"/>
    <w:qFormat/>
    <w:rsid w:val="003F10EE"/>
    <w:pPr>
      <w:numPr>
        <w:numId w:val="5"/>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7"/>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UnresolvedMention">
    <w:name w:val="Unresolved Mention"/>
    <w:basedOn w:val="DefaultParagraphFont"/>
    <w:uiPriority w:val="99"/>
    <w:unhideWhenUsed/>
    <w:rsid w:val="006B52DE"/>
    <w:rPr>
      <w:color w:val="605E5C"/>
      <w:shd w:val="clear" w:color="auto" w:fill="E1DFDD"/>
    </w:rPr>
  </w:style>
  <w:style w:type="paragraph" w:customStyle="1" w:styleId="Bulletlevel2">
    <w:name w:val="Bullet level 2"/>
    <w:basedOn w:val="ListBullet2"/>
    <w:uiPriority w:val="7"/>
    <w:qFormat/>
    <w:rsid w:val="00D43B47"/>
    <w:pPr>
      <w:numPr>
        <w:numId w:val="113"/>
      </w:numPr>
    </w:pPr>
    <w:rPr>
      <w:rFonts w:cs="Arial"/>
    </w:rPr>
  </w:style>
  <w:style w:type="paragraph" w:customStyle="1" w:styleId="Bulletlevel1last">
    <w:name w:val="Bullet level 1 last"/>
    <w:basedOn w:val="ListBulletLast"/>
    <w:uiPriority w:val="6"/>
    <w:qFormat/>
    <w:rsid w:val="004D3E8E"/>
    <w:pPr>
      <w:numPr>
        <w:numId w:val="99"/>
      </w:numPr>
      <w:ind w:left="426" w:hanging="426"/>
    </w:pPr>
  </w:style>
  <w:style w:type="paragraph" w:customStyle="1" w:styleId="Numberlistlevel2">
    <w:name w:val="Number list level 2"/>
    <w:basedOn w:val="ListNumber2"/>
    <w:uiPriority w:val="11"/>
    <w:qFormat/>
    <w:rsid w:val="00801FEB"/>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3803B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Protectivemarking">
    <w:name w:val="Protective marking"/>
    <w:basedOn w:val="Normal"/>
    <w:uiPriority w:val="99"/>
    <w:qFormat/>
    <w:rsid w:val="00390D91"/>
    <w:pPr>
      <w:tabs>
        <w:tab w:val="left" w:pos="720"/>
      </w:tabs>
      <w:spacing w:after="0" w:line="240" w:lineRule="auto"/>
      <w:jc w:val="center"/>
    </w:pPr>
    <w:rPr>
      <w:rFonts w:cs="Arial"/>
      <w:b/>
      <w:bCs/>
      <w:color w:val="FF0000"/>
      <w:sz w:val="32"/>
      <w:lang w:eastAsia="en-US"/>
    </w:rPr>
  </w:style>
  <w:style w:type="paragraph" w:styleId="Revision">
    <w:name w:val="Revision"/>
    <w:hidden/>
    <w:semiHidden/>
    <w:rsid w:val="00023A36"/>
    <w:rPr>
      <w:rFonts w:ascii="Arial" w:hAnsi="Arial"/>
      <w:sz w:val="20"/>
    </w:rPr>
  </w:style>
  <w:style w:type="paragraph" w:customStyle="1" w:styleId="paragraph0">
    <w:name w:val="paragraph"/>
    <w:basedOn w:val="Normal"/>
    <w:rsid w:val="00241629"/>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241629"/>
  </w:style>
  <w:style w:type="character" w:customStyle="1" w:styleId="eop">
    <w:name w:val="eop"/>
    <w:basedOn w:val="DefaultParagraphFont"/>
    <w:rsid w:val="00241629"/>
  </w:style>
  <w:style w:type="paragraph" w:customStyle="1" w:styleId="TableHeading0">
    <w:name w:val="Table Heading"/>
    <w:basedOn w:val="Normal"/>
    <w:qFormat/>
    <w:rsid w:val="00AD636A"/>
    <w:pPr>
      <w:spacing w:after="0"/>
    </w:pPr>
    <w:rPr>
      <w:b/>
    </w:rPr>
  </w:style>
  <w:style w:type="character" w:customStyle="1" w:styleId="scxw43593690">
    <w:name w:val="scxw43593690"/>
    <w:basedOn w:val="DefaultParagraphFont"/>
    <w:rsid w:val="001207DD"/>
  </w:style>
  <w:style w:type="character" w:customStyle="1" w:styleId="superscript">
    <w:name w:val="superscript"/>
    <w:basedOn w:val="DefaultParagraphFont"/>
    <w:rsid w:val="004F78BA"/>
  </w:style>
  <w:style w:type="paragraph" w:customStyle="1" w:styleId="Issueforcomment">
    <w:name w:val="Issue for comment"/>
    <w:basedOn w:val="Paragraph"/>
    <w:link w:val="IssueforcommentChar"/>
    <w:qFormat/>
    <w:rsid w:val="005C5358"/>
    <w:pPr>
      <w:pBdr>
        <w:top w:val="single" w:sz="4" w:space="1" w:color="auto"/>
        <w:left w:val="single" w:sz="4" w:space="4" w:color="auto"/>
        <w:bottom w:val="single" w:sz="4" w:space="1" w:color="auto"/>
        <w:right w:val="single" w:sz="4" w:space="4" w:color="auto"/>
      </w:pBdr>
      <w:shd w:val="clear" w:color="auto" w:fill="F2F2F2" w:themeFill="background1" w:themeFillShade="F2"/>
      <w:spacing w:after="60"/>
    </w:pPr>
    <w:rPr>
      <w:b/>
      <w:bCs/>
    </w:rPr>
  </w:style>
  <w:style w:type="character" w:customStyle="1" w:styleId="IssueforcommentChar">
    <w:name w:val="Issue for comment Char"/>
    <w:basedOn w:val="ParagraphChar"/>
    <w:link w:val="Issueforcomment"/>
    <w:rsid w:val="005C5358"/>
    <w:rPr>
      <w:rFonts w:ascii="Arial" w:hAnsi="Arial" w:cs="Arial"/>
      <w:b/>
      <w:bCs/>
      <w:sz w:val="20"/>
      <w:shd w:val="clear" w:color="auto" w:fill="F2F2F2" w:themeFill="background1" w:themeFillShade="F2"/>
    </w:rPr>
  </w:style>
  <w:style w:type="paragraph" w:styleId="ListParagraph">
    <w:name w:val="List Paragraph"/>
    <w:basedOn w:val="Normal"/>
    <w:uiPriority w:val="34"/>
    <w:qFormat/>
    <w:rsid w:val="008C32B2"/>
    <w:pPr>
      <w:ind w:left="720"/>
      <w:contextualSpacing/>
    </w:pPr>
  </w:style>
  <w:style w:type="paragraph" w:customStyle="1" w:styleId="ACMABulletLevel1">
    <w:name w:val="ACMA Bullet Level 1"/>
    <w:rsid w:val="002B6AE0"/>
    <w:pPr>
      <w:tabs>
        <w:tab w:val="num" w:pos="-31680"/>
      </w:tabs>
      <w:spacing w:after="120"/>
      <w:ind w:left="357" w:hanging="357"/>
    </w:pPr>
    <w:rPr>
      <w:szCs w:val="20"/>
      <w:lang w:eastAsia="en-US"/>
    </w:rPr>
  </w:style>
  <w:style w:type="table" w:styleId="ListTable3">
    <w:name w:val="List Table 3"/>
    <w:basedOn w:val="TableNormal"/>
    <w:uiPriority w:val="48"/>
    <w:rsid w:val="003F0D3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tion">
    <w:name w:val="Mention"/>
    <w:basedOn w:val="DefaultParagraphFont"/>
    <w:uiPriority w:val="99"/>
    <w:unhideWhenUsed/>
    <w:rsid w:val="00477CDA"/>
    <w:rPr>
      <w:color w:val="2B579A"/>
      <w:shd w:val="clear" w:color="auto" w:fill="E1DFDD"/>
    </w:rPr>
  </w:style>
  <w:style w:type="paragraph" w:styleId="NormalWeb">
    <w:name w:val="Normal (Web)"/>
    <w:basedOn w:val="Normal"/>
    <w:uiPriority w:val="99"/>
    <w:semiHidden/>
    <w:unhideWhenUsed/>
    <w:rsid w:val="006A6586"/>
    <w:pPr>
      <w:spacing w:before="100" w:beforeAutospacing="1" w:after="100" w:afterAutospacing="1" w:line="240" w:lineRule="auto"/>
    </w:pPr>
    <w:rPr>
      <w:rFonts w:ascii="Times New Roman" w:hAnsi="Times New Roman"/>
      <w:sz w:val="24"/>
    </w:rPr>
  </w:style>
  <w:style w:type="paragraph" w:customStyle="1" w:styleId="boswellmediaheader">
    <w:name w:val="boswellmediaheader"/>
    <w:basedOn w:val="Normal"/>
    <w:rsid w:val="00466C6C"/>
    <w:pPr>
      <w:spacing w:before="100" w:beforeAutospacing="1" w:after="100" w:afterAutospacing="1" w:line="240" w:lineRule="auto"/>
    </w:pPr>
    <w:rPr>
      <w:rFonts w:ascii="Times New Roman" w:hAnsi="Times New Roman"/>
      <w:sz w:val="24"/>
    </w:rPr>
  </w:style>
  <w:style w:type="paragraph" w:customStyle="1" w:styleId="ACMABodyText">
    <w:name w:val="ACMA Body Text"/>
    <w:rsid w:val="00976BE2"/>
    <w:pPr>
      <w:suppressAutoHyphens/>
      <w:spacing w:before="80" w:after="120" w:line="280" w:lineRule="atLeast"/>
    </w:pPr>
    <w:rPr>
      <w:snapToGrid w:val="0"/>
      <w:szCs w:val="20"/>
      <w:lang w:eastAsia="en-US"/>
    </w:rPr>
  </w:style>
  <w:style w:type="paragraph" w:customStyle="1" w:styleId="Numberedparagraph">
    <w:name w:val="Numbered paragraph"/>
    <w:basedOn w:val="Normal"/>
    <w:qFormat/>
    <w:rsid w:val="00B77CAC"/>
    <w:pPr>
      <w:tabs>
        <w:tab w:val="num" w:pos="567"/>
      </w:tabs>
      <w:ind w:hanging="567"/>
    </w:pPr>
    <w:rPr>
      <w:rFonts w:cs="Arial"/>
    </w:rPr>
  </w:style>
  <w:style w:type="paragraph" w:customStyle="1" w:styleId="ACMANumberedList">
    <w:name w:val="ACMA Numbered List"/>
    <w:rsid w:val="0073343D"/>
    <w:pPr>
      <w:numPr>
        <w:numId w:val="162"/>
      </w:numPr>
      <w:spacing w:before="20" w:after="20"/>
    </w:pPr>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08192">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327632601">
      <w:bodyDiv w:val="1"/>
      <w:marLeft w:val="0"/>
      <w:marRight w:val="0"/>
      <w:marTop w:val="0"/>
      <w:marBottom w:val="0"/>
      <w:divBdr>
        <w:top w:val="none" w:sz="0" w:space="0" w:color="auto"/>
        <w:left w:val="none" w:sz="0" w:space="0" w:color="auto"/>
        <w:bottom w:val="none" w:sz="0" w:space="0" w:color="auto"/>
        <w:right w:val="none" w:sz="0" w:space="0" w:color="auto"/>
      </w:divBdr>
    </w:div>
    <w:div w:id="539897389">
      <w:bodyDiv w:val="1"/>
      <w:marLeft w:val="0"/>
      <w:marRight w:val="0"/>
      <w:marTop w:val="0"/>
      <w:marBottom w:val="0"/>
      <w:divBdr>
        <w:top w:val="none" w:sz="0" w:space="0" w:color="auto"/>
        <w:left w:val="none" w:sz="0" w:space="0" w:color="auto"/>
        <w:bottom w:val="none" w:sz="0" w:space="0" w:color="auto"/>
        <w:right w:val="none" w:sz="0" w:space="0" w:color="auto"/>
      </w:divBdr>
    </w:div>
    <w:div w:id="556627617">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81181989">
      <w:bodyDiv w:val="1"/>
      <w:marLeft w:val="0"/>
      <w:marRight w:val="0"/>
      <w:marTop w:val="0"/>
      <w:marBottom w:val="0"/>
      <w:divBdr>
        <w:top w:val="none" w:sz="0" w:space="0" w:color="auto"/>
        <w:left w:val="none" w:sz="0" w:space="0" w:color="auto"/>
        <w:bottom w:val="none" w:sz="0" w:space="0" w:color="auto"/>
        <w:right w:val="none" w:sz="0" w:space="0" w:color="auto"/>
      </w:divBdr>
      <w:divsChild>
        <w:div w:id="625086280">
          <w:marLeft w:val="0"/>
          <w:marRight w:val="0"/>
          <w:marTop w:val="0"/>
          <w:marBottom w:val="0"/>
          <w:divBdr>
            <w:top w:val="none" w:sz="0" w:space="0" w:color="auto"/>
            <w:left w:val="none" w:sz="0" w:space="0" w:color="auto"/>
            <w:bottom w:val="none" w:sz="0" w:space="0" w:color="auto"/>
            <w:right w:val="none" w:sz="0" w:space="0" w:color="auto"/>
          </w:divBdr>
          <w:divsChild>
            <w:div w:id="1024787237">
              <w:marLeft w:val="0"/>
              <w:marRight w:val="0"/>
              <w:marTop w:val="0"/>
              <w:marBottom w:val="0"/>
              <w:divBdr>
                <w:top w:val="none" w:sz="0" w:space="0" w:color="auto"/>
                <w:left w:val="none" w:sz="0" w:space="0" w:color="auto"/>
                <w:bottom w:val="none" w:sz="0" w:space="0" w:color="auto"/>
                <w:right w:val="none" w:sz="0" w:space="0" w:color="auto"/>
              </w:divBdr>
            </w:div>
            <w:div w:id="1326474218">
              <w:marLeft w:val="0"/>
              <w:marRight w:val="0"/>
              <w:marTop w:val="0"/>
              <w:marBottom w:val="0"/>
              <w:divBdr>
                <w:top w:val="none" w:sz="0" w:space="0" w:color="auto"/>
                <w:left w:val="none" w:sz="0" w:space="0" w:color="auto"/>
                <w:bottom w:val="none" w:sz="0" w:space="0" w:color="auto"/>
                <w:right w:val="none" w:sz="0" w:space="0" w:color="auto"/>
              </w:divBdr>
            </w:div>
            <w:div w:id="1967855990">
              <w:marLeft w:val="0"/>
              <w:marRight w:val="0"/>
              <w:marTop w:val="0"/>
              <w:marBottom w:val="0"/>
              <w:divBdr>
                <w:top w:val="none" w:sz="0" w:space="0" w:color="auto"/>
                <w:left w:val="none" w:sz="0" w:space="0" w:color="auto"/>
                <w:bottom w:val="none" w:sz="0" w:space="0" w:color="auto"/>
                <w:right w:val="none" w:sz="0" w:space="0" w:color="auto"/>
              </w:divBdr>
            </w:div>
          </w:divsChild>
        </w:div>
        <w:div w:id="646786290">
          <w:marLeft w:val="0"/>
          <w:marRight w:val="0"/>
          <w:marTop w:val="0"/>
          <w:marBottom w:val="0"/>
          <w:divBdr>
            <w:top w:val="none" w:sz="0" w:space="0" w:color="auto"/>
            <w:left w:val="none" w:sz="0" w:space="0" w:color="auto"/>
            <w:bottom w:val="none" w:sz="0" w:space="0" w:color="auto"/>
            <w:right w:val="none" w:sz="0" w:space="0" w:color="auto"/>
          </w:divBdr>
          <w:divsChild>
            <w:div w:id="31737341">
              <w:marLeft w:val="0"/>
              <w:marRight w:val="0"/>
              <w:marTop w:val="0"/>
              <w:marBottom w:val="0"/>
              <w:divBdr>
                <w:top w:val="none" w:sz="0" w:space="0" w:color="auto"/>
                <w:left w:val="none" w:sz="0" w:space="0" w:color="auto"/>
                <w:bottom w:val="none" w:sz="0" w:space="0" w:color="auto"/>
                <w:right w:val="none" w:sz="0" w:space="0" w:color="auto"/>
              </w:divBdr>
            </w:div>
            <w:div w:id="209222070">
              <w:marLeft w:val="0"/>
              <w:marRight w:val="0"/>
              <w:marTop w:val="0"/>
              <w:marBottom w:val="0"/>
              <w:divBdr>
                <w:top w:val="none" w:sz="0" w:space="0" w:color="auto"/>
                <w:left w:val="none" w:sz="0" w:space="0" w:color="auto"/>
                <w:bottom w:val="none" w:sz="0" w:space="0" w:color="auto"/>
                <w:right w:val="none" w:sz="0" w:space="0" w:color="auto"/>
              </w:divBdr>
            </w:div>
            <w:div w:id="1572036269">
              <w:marLeft w:val="0"/>
              <w:marRight w:val="0"/>
              <w:marTop w:val="0"/>
              <w:marBottom w:val="0"/>
              <w:divBdr>
                <w:top w:val="none" w:sz="0" w:space="0" w:color="auto"/>
                <w:left w:val="none" w:sz="0" w:space="0" w:color="auto"/>
                <w:bottom w:val="none" w:sz="0" w:space="0" w:color="auto"/>
                <w:right w:val="none" w:sz="0" w:space="0" w:color="auto"/>
              </w:divBdr>
            </w:div>
            <w:div w:id="1703944788">
              <w:marLeft w:val="0"/>
              <w:marRight w:val="0"/>
              <w:marTop w:val="0"/>
              <w:marBottom w:val="0"/>
              <w:divBdr>
                <w:top w:val="none" w:sz="0" w:space="0" w:color="auto"/>
                <w:left w:val="none" w:sz="0" w:space="0" w:color="auto"/>
                <w:bottom w:val="none" w:sz="0" w:space="0" w:color="auto"/>
                <w:right w:val="none" w:sz="0" w:space="0" w:color="auto"/>
              </w:divBdr>
            </w:div>
          </w:divsChild>
        </w:div>
        <w:div w:id="1017581423">
          <w:marLeft w:val="0"/>
          <w:marRight w:val="0"/>
          <w:marTop w:val="0"/>
          <w:marBottom w:val="0"/>
          <w:divBdr>
            <w:top w:val="none" w:sz="0" w:space="0" w:color="auto"/>
            <w:left w:val="none" w:sz="0" w:space="0" w:color="auto"/>
            <w:bottom w:val="none" w:sz="0" w:space="0" w:color="auto"/>
            <w:right w:val="none" w:sz="0" w:space="0" w:color="auto"/>
          </w:divBdr>
        </w:div>
      </w:divsChild>
    </w:div>
    <w:div w:id="587927705">
      <w:bodyDiv w:val="1"/>
      <w:marLeft w:val="0"/>
      <w:marRight w:val="0"/>
      <w:marTop w:val="0"/>
      <w:marBottom w:val="0"/>
      <w:divBdr>
        <w:top w:val="none" w:sz="0" w:space="0" w:color="auto"/>
        <w:left w:val="none" w:sz="0" w:space="0" w:color="auto"/>
        <w:bottom w:val="none" w:sz="0" w:space="0" w:color="auto"/>
        <w:right w:val="none" w:sz="0" w:space="0" w:color="auto"/>
      </w:divBdr>
    </w:div>
    <w:div w:id="713121270">
      <w:bodyDiv w:val="1"/>
      <w:marLeft w:val="0"/>
      <w:marRight w:val="0"/>
      <w:marTop w:val="0"/>
      <w:marBottom w:val="0"/>
      <w:divBdr>
        <w:top w:val="none" w:sz="0" w:space="0" w:color="auto"/>
        <w:left w:val="none" w:sz="0" w:space="0" w:color="auto"/>
        <w:bottom w:val="none" w:sz="0" w:space="0" w:color="auto"/>
        <w:right w:val="none" w:sz="0" w:space="0" w:color="auto"/>
      </w:divBdr>
    </w:div>
    <w:div w:id="811944561">
      <w:bodyDiv w:val="1"/>
      <w:marLeft w:val="0"/>
      <w:marRight w:val="0"/>
      <w:marTop w:val="0"/>
      <w:marBottom w:val="0"/>
      <w:divBdr>
        <w:top w:val="none" w:sz="0" w:space="0" w:color="auto"/>
        <w:left w:val="none" w:sz="0" w:space="0" w:color="auto"/>
        <w:bottom w:val="none" w:sz="0" w:space="0" w:color="auto"/>
        <w:right w:val="none" w:sz="0" w:space="0" w:color="auto"/>
      </w:divBdr>
    </w:div>
    <w:div w:id="819539755">
      <w:bodyDiv w:val="1"/>
      <w:marLeft w:val="0"/>
      <w:marRight w:val="0"/>
      <w:marTop w:val="0"/>
      <w:marBottom w:val="0"/>
      <w:divBdr>
        <w:top w:val="none" w:sz="0" w:space="0" w:color="auto"/>
        <w:left w:val="none" w:sz="0" w:space="0" w:color="auto"/>
        <w:bottom w:val="none" w:sz="0" w:space="0" w:color="auto"/>
        <w:right w:val="none" w:sz="0" w:space="0" w:color="auto"/>
      </w:divBdr>
      <w:divsChild>
        <w:div w:id="333804019">
          <w:marLeft w:val="0"/>
          <w:marRight w:val="0"/>
          <w:marTop w:val="0"/>
          <w:marBottom w:val="0"/>
          <w:divBdr>
            <w:top w:val="none" w:sz="0" w:space="0" w:color="auto"/>
            <w:left w:val="none" w:sz="0" w:space="0" w:color="auto"/>
            <w:bottom w:val="none" w:sz="0" w:space="0" w:color="auto"/>
            <w:right w:val="none" w:sz="0" w:space="0" w:color="auto"/>
          </w:divBdr>
        </w:div>
        <w:div w:id="1793396330">
          <w:marLeft w:val="0"/>
          <w:marRight w:val="0"/>
          <w:marTop w:val="0"/>
          <w:marBottom w:val="0"/>
          <w:divBdr>
            <w:top w:val="none" w:sz="0" w:space="0" w:color="auto"/>
            <w:left w:val="none" w:sz="0" w:space="0" w:color="auto"/>
            <w:bottom w:val="none" w:sz="0" w:space="0" w:color="auto"/>
            <w:right w:val="none" w:sz="0" w:space="0" w:color="auto"/>
          </w:divBdr>
        </w:div>
      </w:divsChild>
    </w:div>
    <w:div w:id="911937740">
      <w:bodyDiv w:val="1"/>
      <w:marLeft w:val="0"/>
      <w:marRight w:val="0"/>
      <w:marTop w:val="0"/>
      <w:marBottom w:val="0"/>
      <w:divBdr>
        <w:top w:val="none" w:sz="0" w:space="0" w:color="auto"/>
        <w:left w:val="none" w:sz="0" w:space="0" w:color="auto"/>
        <w:bottom w:val="none" w:sz="0" w:space="0" w:color="auto"/>
        <w:right w:val="none" w:sz="0" w:space="0" w:color="auto"/>
      </w:divBdr>
    </w:div>
    <w:div w:id="1112162931">
      <w:bodyDiv w:val="1"/>
      <w:marLeft w:val="0"/>
      <w:marRight w:val="0"/>
      <w:marTop w:val="0"/>
      <w:marBottom w:val="0"/>
      <w:divBdr>
        <w:top w:val="none" w:sz="0" w:space="0" w:color="auto"/>
        <w:left w:val="none" w:sz="0" w:space="0" w:color="auto"/>
        <w:bottom w:val="none" w:sz="0" w:space="0" w:color="auto"/>
        <w:right w:val="none" w:sz="0" w:space="0" w:color="auto"/>
      </w:divBdr>
      <w:divsChild>
        <w:div w:id="115879591">
          <w:marLeft w:val="0"/>
          <w:marRight w:val="0"/>
          <w:marTop w:val="300"/>
          <w:marBottom w:val="300"/>
          <w:divBdr>
            <w:top w:val="none" w:sz="0" w:space="0" w:color="auto"/>
            <w:left w:val="none" w:sz="0" w:space="0" w:color="auto"/>
            <w:bottom w:val="none" w:sz="0" w:space="0" w:color="auto"/>
            <w:right w:val="none" w:sz="0" w:space="0" w:color="auto"/>
          </w:divBdr>
          <w:divsChild>
            <w:div w:id="1783189349">
              <w:marLeft w:val="0"/>
              <w:marRight w:val="0"/>
              <w:marTop w:val="0"/>
              <w:marBottom w:val="0"/>
              <w:divBdr>
                <w:top w:val="none" w:sz="0" w:space="0" w:color="auto"/>
                <w:left w:val="none" w:sz="0" w:space="0" w:color="auto"/>
                <w:bottom w:val="none" w:sz="0" w:space="0" w:color="auto"/>
                <w:right w:val="none" w:sz="0" w:space="0" w:color="auto"/>
              </w:divBdr>
              <w:divsChild>
                <w:div w:id="872811130">
                  <w:marLeft w:val="0"/>
                  <w:marRight w:val="0"/>
                  <w:marTop w:val="0"/>
                  <w:marBottom w:val="0"/>
                  <w:divBdr>
                    <w:top w:val="none" w:sz="0" w:space="0" w:color="auto"/>
                    <w:left w:val="none" w:sz="0" w:space="0" w:color="auto"/>
                    <w:bottom w:val="none" w:sz="0" w:space="0" w:color="auto"/>
                    <w:right w:val="none" w:sz="0" w:space="0" w:color="auto"/>
                  </w:divBdr>
                  <w:divsChild>
                    <w:div w:id="858855917">
                      <w:marLeft w:val="0"/>
                      <w:marRight w:val="0"/>
                      <w:marTop w:val="0"/>
                      <w:marBottom w:val="0"/>
                      <w:divBdr>
                        <w:top w:val="none" w:sz="0" w:space="0" w:color="auto"/>
                        <w:left w:val="none" w:sz="0" w:space="0" w:color="auto"/>
                        <w:bottom w:val="none" w:sz="0" w:space="0" w:color="auto"/>
                        <w:right w:val="none" w:sz="0" w:space="0" w:color="auto"/>
                      </w:divBdr>
                      <w:divsChild>
                        <w:div w:id="454374071">
                          <w:marLeft w:val="0"/>
                          <w:marRight w:val="0"/>
                          <w:marTop w:val="0"/>
                          <w:marBottom w:val="0"/>
                          <w:divBdr>
                            <w:top w:val="none" w:sz="0" w:space="0" w:color="auto"/>
                            <w:left w:val="none" w:sz="0" w:space="0" w:color="auto"/>
                            <w:bottom w:val="none" w:sz="0" w:space="0" w:color="auto"/>
                            <w:right w:val="none" w:sz="0" w:space="0" w:color="auto"/>
                          </w:divBdr>
                          <w:divsChild>
                            <w:div w:id="2078896050">
                              <w:marLeft w:val="0"/>
                              <w:marRight w:val="0"/>
                              <w:marTop w:val="0"/>
                              <w:marBottom w:val="0"/>
                              <w:divBdr>
                                <w:top w:val="none" w:sz="0" w:space="0" w:color="auto"/>
                                <w:left w:val="none" w:sz="0" w:space="0" w:color="auto"/>
                                <w:bottom w:val="none" w:sz="0" w:space="0" w:color="auto"/>
                                <w:right w:val="none" w:sz="0" w:space="0" w:color="auto"/>
                              </w:divBdr>
                              <w:divsChild>
                                <w:div w:id="447941733">
                                  <w:marLeft w:val="0"/>
                                  <w:marRight w:val="0"/>
                                  <w:marTop w:val="0"/>
                                  <w:marBottom w:val="0"/>
                                  <w:divBdr>
                                    <w:top w:val="none" w:sz="0" w:space="0" w:color="auto"/>
                                    <w:left w:val="none" w:sz="0" w:space="0" w:color="auto"/>
                                    <w:bottom w:val="none" w:sz="0" w:space="0" w:color="auto"/>
                                    <w:right w:val="none" w:sz="0" w:space="0" w:color="auto"/>
                                  </w:divBdr>
                                  <w:divsChild>
                                    <w:div w:id="7232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027747">
          <w:marLeft w:val="0"/>
          <w:marRight w:val="0"/>
          <w:marTop w:val="0"/>
          <w:marBottom w:val="0"/>
          <w:divBdr>
            <w:top w:val="none" w:sz="0" w:space="0" w:color="auto"/>
            <w:left w:val="none" w:sz="0" w:space="0" w:color="auto"/>
            <w:bottom w:val="none" w:sz="0" w:space="0" w:color="auto"/>
            <w:right w:val="none" w:sz="0" w:space="0" w:color="auto"/>
          </w:divBdr>
          <w:divsChild>
            <w:div w:id="1809274829">
              <w:marLeft w:val="0"/>
              <w:marRight w:val="0"/>
              <w:marTop w:val="0"/>
              <w:marBottom w:val="0"/>
              <w:divBdr>
                <w:top w:val="none" w:sz="0" w:space="0" w:color="auto"/>
                <w:left w:val="none" w:sz="0" w:space="0" w:color="auto"/>
                <w:bottom w:val="none" w:sz="0" w:space="0" w:color="auto"/>
                <w:right w:val="none" w:sz="0" w:space="0" w:color="auto"/>
              </w:divBdr>
              <w:divsChild>
                <w:div w:id="502822596">
                  <w:marLeft w:val="0"/>
                  <w:marRight w:val="0"/>
                  <w:marTop w:val="1200"/>
                  <w:marBottom w:val="0"/>
                  <w:divBdr>
                    <w:top w:val="none" w:sz="0" w:space="0" w:color="auto"/>
                    <w:left w:val="none" w:sz="0" w:space="0" w:color="auto"/>
                    <w:bottom w:val="none" w:sz="0" w:space="0" w:color="auto"/>
                    <w:right w:val="none" w:sz="0" w:space="0" w:color="auto"/>
                  </w:divBdr>
                  <w:divsChild>
                    <w:div w:id="2066440940">
                      <w:marLeft w:val="0"/>
                      <w:marRight w:val="0"/>
                      <w:marTop w:val="0"/>
                      <w:marBottom w:val="0"/>
                      <w:divBdr>
                        <w:top w:val="none" w:sz="0" w:space="0" w:color="auto"/>
                        <w:left w:val="none" w:sz="0" w:space="0" w:color="auto"/>
                        <w:bottom w:val="none" w:sz="0" w:space="0" w:color="auto"/>
                        <w:right w:val="none" w:sz="0" w:space="0" w:color="auto"/>
                      </w:divBdr>
                      <w:divsChild>
                        <w:div w:id="2027712650">
                          <w:marLeft w:val="0"/>
                          <w:marRight w:val="0"/>
                          <w:marTop w:val="0"/>
                          <w:marBottom w:val="150"/>
                          <w:divBdr>
                            <w:top w:val="none" w:sz="0" w:space="0" w:color="auto"/>
                            <w:left w:val="none" w:sz="0" w:space="0" w:color="auto"/>
                            <w:bottom w:val="none" w:sz="0" w:space="0" w:color="auto"/>
                            <w:right w:val="none" w:sz="0" w:space="0" w:color="auto"/>
                          </w:divBdr>
                          <w:divsChild>
                            <w:div w:id="1164126566">
                              <w:marLeft w:val="0"/>
                              <w:marRight w:val="0"/>
                              <w:marTop w:val="0"/>
                              <w:marBottom w:val="0"/>
                              <w:divBdr>
                                <w:top w:val="none" w:sz="0" w:space="0" w:color="auto"/>
                                <w:left w:val="none" w:sz="0" w:space="0" w:color="auto"/>
                                <w:bottom w:val="none" w:sz="0" w:space="0" w:color="auto"/>
                                <w:right w:val="none" w:sz="0" w:space="0" w:color="auto"/>
                              </w:divBdr>
                            </w:div>
                            <w:div w:id="14110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41807">
      <w:bodyDiv w:val="1"/>
      <w:marLeft w:val="0"/>
      <w:marRight w:val="0"/>
      <w:marTop w:val="0"/>
      <w:marBottom w:val="0"/>
      <w:divBdr>
        <w:top w:val="none" w:sz="0" w:space="0" w:color="auto"/>
        <w:left w:val="none" w:sz="0" w:space="0" w:color="auto"/>
        <w:bottom w:val="none" w:sz="0" w:space="0" w:color="auto"/>
        <w:right w:val="none" w:sz="0" w:space="0" w:color="auto"/>
      </w:divBdr>
      <w:divsChild>
        <w:div w:id="1202942713">
          <w:marLeft w:val="0"/>
          <w:marRight w:val="0"/>
          <w:marTop w:val="0"/>
          <w:marBottom w:val="0"/>
          <w:divBdr>
            <w:top w:val="none" w:sz="0" w:space="0" w:color="auto"/>
            <w:left w:val="none" w:sz="0" w:space="0" w:color="auto"/>
            <w:bottom w:val="none" w:sz="0" w:space="0" w:color="auto"/>
            <w:right w:val="none" w:sz="0" w:space="0" w:color="auto"/>
          </w:divBdr>
        </w:div>
        <w:div w:id="1674725754">
          <w:marLeft w:val="0"/>
          <w:marRight w:val="0"/>
          <w:marTop w:val="0"/>
          <w:marBottom w:val="0"/>
          <w:divBdr>
            <w:top w:val="none" w:sz="0" w:space="0" w:color="auto"/>
            <w:left w:val="none" w:sz="0" w:space="0" w:color="auto"/>
            <w:bottom w:val="none" w:sz="0" w:space="0" w:color="auto"/>
            <w:right w:val="none" w:sz="0" w:space="0" w:color="auto"/>
          </w:divBdr>
        </w:div>
        <w:div w:id="1899122582">
          <w:marLeft w:val="0"/>
          <w:marRight w:val="0"/>
          <w:marTop w:val="0"/>
          <w:marBottom w:val="0"/>
          <w:divBdr>
            <w:top w:val="none" w:sz="0" w:space="0" w:color="auto"/>
            <w:left w:val="none" w:sz="0" w:space="0" w:color="auto"/>
            <w:bottom w:val="none" w:sz="0" w:space="0" w:color="auto"/>
            <w:right w:val="none" w:sz="0" w:space="0" w:color="auto"/>
          </w:divBdr>
        </w:div>
        <w:div w:id="1964194706">
          <w:marLeft w:val="0"/>
          <w:marRight w:val="0"/>
          <w:marTop w:val="0"/>
          <w:marBottom w:val="0"/>
          <w:divBdr>
            <w:top w:val="none" w:sz="0" w:space="0" w:color="auto"/>
            <w:left w:val="none" w:sz="0" w:space="0" w:color="auto"/>
            <w:bottom w:val="none" w:sz="0" w:space="0" w:color="auto"/>
            <w:right w:val="none" w:sz="0" w:space="0" w:color="auto"/>
          </w:divBdr>
        </w:div>
        <w:div w:id="2065522666">
          <w:marLeft w:val="0"/>
          <w:marRight w:val="0"/>
          <w:marTop w:val="0"/>
          <w:marBottom w:val="0"/>
          <w:divBdr>
            <w:top w:val="none" w:sz="0" w:space="0" w:color="auto"/>
            <w:left w:val="none" w:sz="0" w:space="0" w:color="auto"/>
            <w:bottom w:val="none" w:sz="0" w:space="0" w:color="auto"/>
            <w:right w:val="none" w:sz="0" w:space="0" w:color="auto"/>
          </w:divBdr>
        </w:div>
      </w:divsChild>
    </w:div>
    <w:div w:id="1383141559">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1015088">
      <w:bodyDiv w:val="1"/>
      <w:marLeft w:val="0"/>
      <w:marRight w:val="0"/>
      <w:marTop w:val="0"/>
      <w:marBottom w:val="0"/>
      <w:divBdr>
        <w:top w:val="none" w:sz="0" w:space="0" w:color="auto"/>
        <w:left w:val="none" w:sz="0" w:space="0" w:color="auto"/>
        <w:bottom w:val="none" w:sz="0" w:space="0" w:color="auto"/>
        <w:right w:val="none" w:sz="0" w:space="0" w:color="auto"/>
      </w:divBdr>
      <w:divsChild>
        <w:div w:id="763763086">
          <w:marLeft w:val="0"/>
          <w:marRight w:val="0"/>
          <w:marTop w:val="0"/>
          <w:marBottom w:val="0"/>
          <w:divBdr>
            <w:top w:val="none" w:sz="0" w:space="0" w:color="auto"/>
            <w:left w:val="none" w:sz="0" w:space="0" w:color="auto"/>
            <w:bottom w:val="none" w:sz="0" w:space="0" w:color="auto"/>
            <w:right w:val="none" w:sz="0" w:space="0" w:color="auto"/>
          </w:divBdr>
        </w:div>
        <w:div w:id="2054110156">
          <w:marLeft w:val="0"/>
          <w:marRight w:val="0"/>
          <w:marTop w:val="0"/>
          <w:marBottom w:val="0"/>
          <w:divBdr>
            <w:top w:val="none" w:sz="0" w:space="0" w:color="auto"/>
            <w:left w:val="none" w:sz="0" w:space="0" w:color="auto"/>
            <w:bottom w:val="none" w:sz="0" w:space="0" w:color="auto"/>
            <w:right w:val="none" w:sz="0" w:space="0" w:color="auto"/>
          </w:divBdr>
        </w:div>
      </w:divsChild>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52776050">
      <w:bodyDiv w:val="1"/>
      <w:marLeft w:val="0"/>
      <w:marRight w:val="0"/>
      <w:marTop w:val="0"/>
      <w:marBottom w:val="0"/>
      <w:divBdr>
        <w:top w:val="none" w:sz="0" w:space="0" w:color="auto"/>
        <w:left w:val="none" w:sz="0" w:space="0" w:color="auto"/>
        <w:bottom w:val="none" w:sz="0" w:space="0" w:color="auto"/>
        <w:right w:val="none" w:sz="0" w:space="0" w:color="auto"/>
      </w:divBdr>
    </w:div>
    <w:div w:id="1787507922">
      <w:bodyDiv w:val="1"/>
      <w:marLeft w:val="0"/>
      <w:marRight w:val="0"/>
      <w:marTop w:val="0"/>
      <w:marBottom w:val="0"/>
      <w:divBdr>
        <w:top w:val="none" w:sz="0" w:space="0" w:color="auto"/>
        <w:left w:val="none" w:sz="0" w:space="0" w:color="auto"/>
        <w:bottom w:val="none" w:sz="0" w:space="0" w:color="auto"/>
        <w:right w:val="none" w:sz="0" w:space="0" w:color="auto"/>
      </w:divBdr>
    </w:div>
    <w:div w:id="1878925391">
      <w:bodyDiv w:val="1"/>
      <w:marLeft w:val="0"/>
      <w:marRight w:val="0"/>
      <w:marTop w:val="0"/>
      <w:marBottom w:val="0"/>
      <w:divBdr>
        <w:top w:val="none" w:sz="0" w:space="0" w:color="auto"/>
        <w:left w:val="none" w:sz="0" w:space="0" w:color="auto"/>
        <w:bottom w:val="none" w:sz="0" w:space="0" w:color="auto"/>
        <w:right w:val="none" w:sz="0" w:space="0" w:color="auto"/>
      </w:divBdr>
      <w:divsChild>
        <w:div w:id="532811790">
          <w:marLeft w:val="0"/>
          <w:marRight w:val="0"/>
          <w:marTop w:val="0"/>
          <w:marBottom w:val="0"/>
          <w:divBdr>
            <w:top w:val="none" w:sz="0" w:space="0" w:color="auto"/>
            <w:left w:val="none" w:sz="0" w:space="0" w:color="auto"/>
            <w:bottom w:val="none" w:sz="0" w:space="0" w:color="auto"/>
            <w:right w:val="none" w:sz="0" w:space="0" w:color="auto"/>
          </w:divBdr>
        </w:div>
        <w:div w:id="1089037390">
          <w:marLeft w:val="0"/>
          <w:marRight w:val="0"/>
          <w:marTop w:val="0"/>
          <w:marBottom w:val="0"/>
          <w:divBdr>
            <w:top w:val="none" w:sz="0" w:space="0" w:color="auto"/>
            <w:left w:val="none" w:sz="0" w:space="0" w:color="auto"/>
            <w:bottom w:val="none" w:sz="0" w:space="0" w:color="auto"/>
            <w:right w:val="none" w:sz="0" w:space="0" w:color="auto"/>
          </w:divBdr>
          <w:divsChild>
            <w:div w:id="740712475">
              <w:marLeft w:val="0"/>
              <w:marRight w:val="0"/>
              <w:marTop w:val="0"/>
              <w:marBottom w:val="0"/>
              <w:divBdr>
                <w:top w:val="none" w:sz="0" w:space="0" w:color="auto"/>
                <w:left w:val="none" w:sz="0" w:space="0" w:color="auto"/>
                <w:bottom w:val="none" w:sz="0" w:space="0" w:color="auto"/>
                <w:right w:val="none" w:sz="0" w:space="0" w:color="auto"/>
              </w:divBdr>
            </w:div>
            <w:div w:id="1356614039">
              <w:marLeft w:val="0"/>
              <w:marRight w:val="0"/>
              <w:marTop w:val="0"/>
              <w:marBottom w:val="0"/>
              <w:divBdr>
                <w:top w:val="none" w:sz="0" w:space="0" w:color="auto"/>
                <w:left w:val="none" w:sz="0" w:space="0" w:color="auto"/>
                <w:bottom w:val="none" w:sz="0" w:space="0" w:color="auto"/>
                <w:right w:val="none" w:sz="0" w:space="0" w:color="auto"/>
              </w:divBdr>
            </w:div>
            <w:div w:id="2129472826">
              <w:marLeft w:val="0"/>
              <w:marRight w:val="0"/>
              <w:marTop w:val="0"/>
              <w:marBottom w:val="0"/>
              <w:divBdr>
                <w:top w:val="none" w:sz="0" w:space="0" w:color="auto"/>
                <w:left w:val="none" w:sz="0" w:space="0" w:color="auto"/>
                <w:bottom w:val="none" w:sz="0" w:space="0" w:color="auto"/>
                <w:right w:val="none" w:sz="0" w:space="0" w:color="auto"/>
              </w:divBdr>
            </w:div>
          </w:divsChild>
        </w:div>
        <w:div w:id="1197741431">
          <w:marLeft w:val="0"/>
          <w:marRight w:val="0"/>
          <w:marTop w:val="0"/>
          <w:marBottom w:val="0"/>
          <w:divBdr>
            <w:top w:val="none" w:sz="0" w:space="0" w:color="auto"/>
            <w:left w:val="none" w:sz="0" w:space="0" w:color="auto"/>
            <w:bottom w:val="none" w:sz="0" w:space="0" w:color="auto"/>
            <w:right w:val="none" w:sz="0" w:space="0" w:color="auto"/>
          </w:divBdr>
          <w:divsChild>
            <w:div w:id="446435621">
              <w:marLeft w:val="0"/>
              <w:marRight w:val="0"/>
              <w:marTop w:val="0"/>
              <w:marBottom w:val="0"/>
              <w:divBdr>
                <w:top w:val="none" w:sz="0" w:space="0" w:color="auto"/>
                <w:left w:val="none" w:sz="0" w:space="0" w:color="auto"/>
                <w:bottom w:val="none" w:sz="0" w:space="0" w:color="auto"/>
                <w:right w:val="none" w:sz="0" w:space="0" w:color="auto"/>
              </w:divBdr>
            </w:div>
            <w:div w:id="1446342820">
              <w:marLeft w:val="0"/>
              <w:marRight w:val="0"/>
              <w:marTop w:val="0"/>
              <w:marBottom w:val="0"/>
              <w:divBdr>
                <w:top w:val="none" w:sz="0" w:space="0" w:color="auto"/>
                <w:left w:val="none" w:sz="0" w:space="0" w:color="auto"/>
                <w:bottom w:val="none" w:sz="0" w:space="0" w:color="auto"/>
                <w:right w:val="none" w:sz="0" w:space="0" w:color="auto"/>
              </w:divBdr>
            </w:div>
            <w:div w:id="1697466342">
              <w:marLeft w:val="0"/>
              <w:marRight w:val="0"/>
              <w:marTop w:val="0"/>
              <w:marBottom w:val="0"/>
              <w:divBdr>
                <w:top w:val="none" w:sz="0" w:space="0" w:color="auto"/>
                <w:left w:val="none" w:sz="0" w:space="0" w:color="auto"/>
                <w:bottom w:val="none" w:sz="0" w:space="0" w:color="auto"/>
                <w:right w:val="none" w:sz="0" w:space="0" w:color="auto"/>
              </w:divBdr>
            </w:div>
            <w:div w:id="18698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50621556">
      <w:bodyDiv w:val="1"/>
      <w:marLeft w:val="0"/>
      <w:marRight w:val="0"/>
      <w:marTop w:val="0"/>
      <w:marBottom w:val="0"/>
      <w:divBdr>
        <w:top w:val="none" w:sz="0" w:space="0" w:color="auto"/>
        <w:left w:val="none" w:sz="0" w:space="0" w:color="auto"/>
        <w:bottom w:val="none" w:sz="0" w:space="0" w:color="auto"/>
        <w:right w:val="none" w:sz="0" w:space="0" w:color="auto"/>
      </w:divBdr>
    </w:div>
    <w:div w:id="1971980628">
      <w:bodyDiv w:val="1"/>
      <w:marLeft w:val="0"/>
      <w:marRight w:val="0"/>
      <w:marTop w:val="0"/>
      <w:marBottom w:val="0"/>
      <w:divBdr>
        <w:top w:val="none" w:sz="0" w:space="0" w:color="auto"/>
        <w:left w:val="none" w:sz="0" w:space="0" w:color="auto"/>
        <w:bottom w:val="none" w:sz="0" w:space="0" w:color="auto"/>
        <w:right w:val="none" w:sz="0" w:space="0" w:color="auto"/>
      </w:divBdr>
    </w:div>
    <w:div w:id="1974796305">
      <w:bodyDiv w:val="1"/>
      <w:marLeft w:val="0"/>
      <w:marRight w:val="0"/>
      <w:marTop w:val="0"/>
      <w:marBottom w:val="0"/>
      <w:divBdr>
        <w:top w:val="none" w:sz="0" w:space="0" w:color="auto"/>
        <w:left w:val="none" w:sz="0" w:space="0" w:color="auto"/>
        <w:bottom w:val="none" w:sz="0" w:space="0" w:color="auto"/>
        <w:right w:val="none" w:sz="0" w:space="0" w:color="auto"/>
      </w:divBdr>
    </w:div>
    <w:div w:id="2054032852">
      <w:bodyDiv w:val="1"/>
      <w:marLeft w:val="0"/>
      <w:marRight w:val="0"/>
      <w:marTop w:val="0"/>
      <w:marBottom w:val="0"/>
      <w:divBdr>
        <w:top w:val="none" w:sz="0" w:space="0" w:color="auto"/>
        <w:left w:val="none" w:sz="0" w:space="0" w:color="auto"/>
        <w:bottom w:val="none" w:sz="0" w:space="0" w:color="auto"/>
        <w:right w:val="none" w:sz="0" w:space="0" w:color="auto"/>
      </w:divBdr>
      <w:divsChild>
        <w:div w:id="1024865357">
          <w:marLeft w:val="0"/>
          <w:marRight w:val="0"/>
          <w:marTop w:val="0"/>
          <w:marBottom w:val="0"/>
          <w:divBdr>
            <w:top w:val="none" w:sz="0" w:space="0" w:color="auto"/>
            <w:left w:val="none" w:sz="0" w:space="0" w:color="auto"/>
            <w:bottom w:val="none" w:sz="0" w:space="0" w:color="auto"/>
            <w:right w:val="none" w:sz="0" w:space="0" w:color="auto"/>
          </w:divBdr>
        </w:div>
        <w:div w:id="1151679008">
          <w:marLeft w:val="0"/>
          <w:marRight w:val="0"/>
          <w:marTop w:val="0"/>
          <w:marBottom w:val="0"/>
          <w:divBdr>
            <w:top w:val="none" w:sz="0" w:space="0" w:color="auto"/>
            <w:left w:val="none" w:sz="0" w:space="0" w:color="auto"/>
            <w:bottom w:val="none" w:sz="0" w:space="0" w:color="auto"/>
            <w:right w:val="none" w:sz="0" w:space="0" w:color="auto"/>
          </w:divBdr>
          <w:divsChild>
            <w:div w:id="443890180">
              <w:marLeft w:val="0"/>
              <w:marRight w:val="0"/>
              <w:marTop w:val="0"/>
              <w:marBottom w:val="0"/>
              <w:divBdr>
                <w:top w:val="none" w:sz="0" w:space="0" w:color="auto"/>
                <w:left w:val="none" w:sz="0" w:space="0" w:color="auto"/>
                <w:bottom w:val="none" w:sz="0" w:space="0" w:color="auto"/>
                <w:right w:val="none" w:sz="0" w:space="0" w:color="auto"/>
              </w:divBdr>
            </w:div>
            <w:div w:id="1778788930">
              <w:marLeft w:val="0"/>
              <w:marRight w:val="0"/>
              <w:marTop w:val="0"/>
              <w:marBottom w:val="0"/>
              <w:divBdr>
                <w:top w:val="none" w:sz="0" w:space="0" w:color="auto"/>
                <w:left w:val="none" w:sz="0" w:space="0" w:color="auto"/>
                <w:bottom w:val="none" w:sz="0" w:space="0" w:color="auto"/>
                <w:right w:val="none" w:sz="0" w:space="0" w:color="auto"/>
              </w:divBdr>
            </w:div>
          </w:divsChild>
        </w:div>
        <w:div w:id="1398552234">
          <w:marLeft w:val="0"/>
          <w:marRight w:val="0"/>
          <w:marTop w:val="0"/>
          <w:marBottom w:val="0"/>
          <w:divBdr>
            <w:top w:val="none" w:sz="0" w:space="0" w:color="auto"/>
            <w:left w:val="none" w:sz="0" w:space="0" w:color="auto"/>
            <w:bottom w:val="none" w:sz="0" w:space="0" w:color="auto"/>
            <w:right w:val="none" w:sz="0" w:space="0" w:color="auto"/>
          </w:divBdr>
        </w:div>
        <w:div w:id="1406799028">
          <w:marLeft w:val="0"/>
          <w:marRight w:val="0"/>
          <w:marTop w:val="0"/>
          <w:marBottom w:val="0"/>
          <w:divBdr>
            <w:top w:val="none" w:sz="0" w:space="0" w:color="auto"/>
            <w:left w:val="none" w:sz="0" w:space="0" w:color="auto"/>
            <w:bottom w:val="none" w:sz="0" w:space="0" w:color="auto"/>
            <w:right w:val="none" w:sz="0" w:space="0" w:color="auto"/>
          </w:divBdr>
          <w:divsChild>
            <w:div w:id="59641517">
              <w:marLeft w:val="0"/>
              <w:marRight w:val="0"/>
              <w:marTop w:val="0"/>
              <w:marBottom w:val="0"/>
              <w:divBdr>
                <w:top w:val="none" w:sz="0" w:space="0" w:color="auto"/>
                <w:left w:val="none" w:sz="0" w:space="0" w:color="auto"/>
                <w:bottom w:val="none" w:sz="0" w:space="0" w:color="auto"/>
                <w:right w:val="none" w:sz="0" w:space="0" w:color="auto"/>
              </w:divBdr>
            </w:div>
            <w:div w:id="430398426">
              <w:marLeft w:val="0"/>
              <w:marRight w:val="0"/>
              <w:marTop w:val="0"/>
              <w:marBottom w:val="0"/>
              <w:divBdr>
                <w:top w:val="none" w:sz="0" w:space="0" w:color="auto"/>
                <w:left w:val="none" w:sz="0" w:space="0" w:color="auto"/>
                <w:bottom w:val="none" w:sz="0" w:space="0" w:color="auto"/>
                <w:right w:val="none" w:sz="0" w:space="0" w:color="auto"/>
              </w:divBdr>
            </w:div>
            <w:div w:id="554659019">
              <w:marLeft w:val="0"/>
              <w:marRight w:val="0"/>
              <w:marTop w:val="0"/>
              <w:marBottom w:val="0"/>
              <w:divBdr>
                <w:top w:val="none" w:sz="0" w:space="0" w:color="auto"/>
                <w:left w:val="none" w:sz="0" w:space="0" w:color="auto"/>
                <w:bottom w:val="none" w:sz="0" w:space="0" w:color="auto"/>
                <w:right w:val="none" w:sz="0" w:space="0" w:color="auto"/>
              </w:divBdr>
            </w:div>
            <w:div w:id="1630626903">
              <w:marLeft w:val="0"/>
              <w:marRight w:val="0"/>
              <w:marTop w:val="0"/>
              <w:marBottom w:val="0"/>
              <w:divBdr>
                <w:top w:val="none" w:sz="0" w:space="0" w:color="auto"/>
                <w:left w:val="none" w:sz="0" w:space="0" w:color="auto"/>
                <w:bottom w:val="none" w:sz="0" w:space="0" w:color="auto"/>
                <w:right w:val="none" w:sz="0" w:space="0" w:color="auto"/>
              </w:divBdr>
            </w:div>
          </w:divsChild>
        </w:div>
        <w:div w:id="1419860611">
          <w:marLeft w:val="0"/>
          <w:marRight w:val="0"/>
          <w:marTop w:val="0"/>
          <w:marBottom w:val="0"/>
          <w:divBdr>
            <w:top w:val="none" w:sz="0" w:space="0" w:color="auto"/>
            <w:left w:val="none" w:sz="0" w:space="0" w:color="auto"/>
            <w:bottom w:val="none" w:sz="0" w:space="0" w:color="auto"/>
            <w:right w:val="none" w:sz="0" w:space="0" w:color="auto"/>
          </w:divBdr>
        </w:div>
        <w:div w:id="1718163150">
          <w:marLeft w:val="0"/>
          <w:marRight w:val="0"/>
          <w:marTop w:val="0"/>
          <w:marBottom w:val="0"/>
          <w:divBdr>
            <w:top w:val="none" w:sz="0" w:space="0" w:color="auto"/>
            <w:left w:val="none" w:sz="0" w:space="0" w:color="auto"/>
            <w:bottom w:val="none" w:sz="0" w:space="0" w:color="auto"/>
            <w:right w:val="none" w:sz="0" w:space="0" w:color="auto"/>
          </w:divBdr>
          <w:divsChild>
            <w:div w:id="162009901">
              <w:marLeft w:val="0"/>
              <w:marRight w:val="0"/>
              <w:marTop w:val="0"/>
              <w:marBottom w:val="0"/>
              <w:divBdr>
                <w:top w:val="none" w:sz="0" w:space="0" w:color="auto"/>
                <w:left w:val="none" w:sz="0" w:space="0" w:color="auto"/>
                <w:bottom w:val="none" w:sz="0" w:space="0" w:color="auto"/>
                <w:right w:val="none" w:sz="0" w:space="0" w:color="auto"/>
              </w:divBdr>
            </w:div>
            <w:div w:id="764108298">
              <w:marLeft w:val="0"/>
              <w:marRight w:val="0"/>
              <w:marTop w:val="0"/>
              <w:marBottom w:val="0"/>
              <w:divBdr>
                <w:top w:val="none" w:sz="0" w:space="0" w:color="auto"/>
                <w:left w:val="none" w:sz="0" w:space="0" w:color="auto"/>
                <w:bottom w:val="none" w:sz="0" w:space="0" w:color="auto"/>
                <w:right w:val="none" w:sz="0" w:space="0" w:color="auto"/>
              </w:divBdr>
            </w:div>
            <w:div w:id="815999421">
              <w:marLeft w:val="0"/>
              <w:marRight w:val="0"/>
              <w:marTop w:val="0"/>
              <w:marBottom w:val="0"/>
              <w:divBdr>
                <w:top w:val="none" w:sz="0" w:space="0" w:color="auto"/>
                <w:left w:val="none" w:sz="0" w:space="0" w:color="auto"/>
                <w:bottom w:val="none" w:sz="0" w:space="0" w:color="auto"/>
                <w:right w:val="none" w:sz="0" w:space="0" w:color="auto"/>
              </w:divBdr>
            </w:div>
            <w:div w:id="1008796965">
              <w:marLeft w:val="0"/>
              <w:marRight w:val="0"/>
              <w:marTop w:val="0"/>
              <w:marBottom w:val="0"/>
              <w:divBdr>
                <w:top w:val="none" w:sz="0" w:space="0" w:color="auto"/>
                <w:left w:val="none" w:sz="0" w:space="0" w:color="auto"/>
                <w:bottom w:val="none" w:sz="0" w:space="0" w:color="auto"/>
                <w:right w:val="none" w:sz="0" w:space="0" w:color="auto"/>
              </w:divBdr>
            </w:div>
            <w:div w:id="1096248370">
              <w:marLeft w:val="0"/>
              <w:marRight w:val="0"/>
              <w:marTop w:val="0"/>
              <w:marBottom w:val="0"/>
              <w:divBdr>
                <w:top w:val="none" w:sz="0" w:space="0" w:color="auto"/>
                <w:left w:val="none" w:sz="0" w:space="0" w:color="auto"/>
                <w:bottom w:val="none" w:sz="0" w:space="0" w:color="auto"/>
                <w:right w:val="none" w:sz="0" w:space="0" w:color="auto"/>
              </w:divBdr>
            </w:div>
          </w:divsChild>
        </w:div>
        <w:div w:id="2015064706">
          <w:marLeft w:val="0"/>
          <w:marRight w:val="0"/>
          <w:marTop w:val="0"/>
          <w:marBottom w:val="0"/>
          <w:divBdr>
            <w:top w:val="none" w:sz="0" w:space="0" w:color="auto"/>
            <w:left w:val="none" w:sz="0" w:space="0" w:color="auto"/>
            <w:bottom w:val="none" w:sz="0" w:space="0" w:color="auto"/>
            <w:right w:val="none" w:sz="0" w:space="0" w:color="auto"/>
          </w:divBdr>
          <w:divsChild>
            <w:div w:id="431753349">
              <w:marLeft w:val="0"/>
              <w:marRight w:val="0"/>
              <w:marTop w:val="0"/>
              <w:marBottom w:val="0"/>
              <w:divBdr>
                <w:top w:val="none" w:sz="0" w:space="0" w:color="auto"/>
                <w:left w:val="none" w:sz="0" w:space="0" w:color="auto"/>
                <w:bottom w:val="none" w:sz="0" w:space="0" w:color="auto"/>
                <w:right w:val="none" w:sz="0" w:space="0" w:color="auto"/>
              </w:divBdr>
            </w:div>
            <w:div w:id="1215309797">
              <w:marLeft w:val="0"/>
              <w:marRight w:val="0"/>
              <w:marTop w:val="0"/>
              <w:marBottom w:val="0"/>
              <w:divBdr>
                <w:top w:val="none" w:sz="0" w:space="0" w:color="auto"/>
                <w:left w:val="none" w:sz="0" w:space="0" w:color="auto"/>
                <w:bottom w:val="none" w:sz="0" w:space="0" w:color="auto"/>
                <w:right w:val="none" w:sz="0" w:space="0" w:color="auto"/>
              </w:divBdr>
            </w:div>
            <w:div w:id="1381050447">
              <w:marLeft w:val="0"/>
              <w:marRight w:val="0"/>
              <w:marTop w:val="0"/>
              <w:marBottom w:val="0"/>
              <w:divBdr>
                <w:top w:val="none" w:sz="0" w:space="0" w:color="auto"/>
                <w:left w:val="none" w:sz="0" w:space="0" w:color="auto"/>
                <w:bottom w:val="none" w:sz="0" w:space="0" w:color="auto"/>
                <w:right w:val="none" w:sz="0" w:space="0" w:color="auto"/>
              </w:divBdr>
            </w:div>
            <w:div w:id="1796408160">
              <w:marLeft w:val="0"/>
              <w:marRight w:val="0"/>
              <w:marTop w:val="0"/>
              <w:marBottom w:val="0"/>
              <w:divBdr>
                <w:top w:val="none" w:sz="0" w:space="0" w:color="auto"/>
                <w:left w:val="none" w:sz="0" w:space="0" w:color="auto"/>
                <w:bottom w:val="none" w:sz="0" w:space="0" w:color="auto"/>
                <w:right w:val="none" w:sz="0" w:space="0" w:color="auto"/>
              </w:divBdr>
            </w:div>
          </w:divsChild>
        </w:div>
        <w:div w:id="202820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hyperlink" Target="https://www.legislation.gov.au/Series/F2022N00015" TargetMode="External"/><Relationship Id="rId47" Type="http://schemas.openxmlformats.org/officeDocument/2006/relationships/hyperlink" Target="https://www.acma.gov.au/publications/2021-03/rules/our-approach-radcomms-licensing-and-allocation" TargetMode="External"/><Relationship Id="rId63" Type="http://schemas.openxmlformats.org/officeDocument/2006/relationships/image" Target="media/image16.jpg"/><Relationship Id="rId68" Type="http://schemas.openxmlformats.org/officeDocument/2006/relationships/image" Target="media/image20.jpg"/><Relationship Id="rId84" Type="http://schemas.openxmlformats.org/officeDocument/2006/relationships/hyperlink" Target="https://portal.3gpp.org/Specifications.aspx?q=1&amp;series=30&amp;releases=all&amp;draft=False&amp;underCC=False&amp;withACC=False&amp;withBCC=False&amp;numberNYA=False" TargetMode="External"/><Relationship Id="rId89" Type="http://schemas.openxmlformats.org/officeDocument/2006/relationships/hyperlink" Target="https://www.acma.gov.au/have-your-say" TargetMode="External"/><Relationship Id="rId16" Type="http://schemas.openxmlformats.org/officeDocument/2006/relationships/hyperlink" Target="https://creativecommons.org/licenses/by/4.0/" TargetMode="External"/><Relationship Id="rId11" Type="http://schemas.openxmlformats.org/officeDocument/2006/relationships/footer" Target="footer2.xml"/><Relationship Id="rId32" Type="http://schemas.openxmlformats.org/officeDocument/2006/relationships/hyperlink" Target="https://www.acma.gov.au/allocating-34-40-ghz-band" TargetMode="External"/><Relationship Id="rId37" Type="http://schemas.openxmlformats.org/officeDocument/2006/relationships/hyperlink" Target="https://www.acma.gov.au/sites/default/files/2021-01/Replanning%20the%203700-4200%20MHz%20band_Outcomes%20paper.docx" TargetMode="External"/><Relationship Id="rId53" Type="http://schemas.openxmlformats.org/officeDocument/2006/relationships/footer" Target="footer9.xml"/><Relationship Id="rId58" Type="http://schemas.openxmlformats.org/officeDocument/2006/relationships/image" Target="media/image11.emf"/><Relationship Id="rId74" Type="http://schemas.openxmlformats.org/officeDocument/2006/relationships/hyperlink" Target="https://www.acma.gov.au/area-wide-apparatus-licensing-26-and-28-ghz-bands" TargetMode="External"/><Relationship Id="rId79" Type="http://schemas.openxmlformats.org/officeDocument/2006/relationships/hyperlink" Target="https://www.legislation.gov.au/Series/F2015L00727" TargetMode="Externa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mailto:SpectrumAllocations@acma.gov.au" TargetMode="External"/><Relationship Id="rId95" Type="http://schemas.openxmlformats.org/officeDocument/2006/relationships/hyperlink" Target="https://aus01.safelinks.protection.outlook.com/?url=https%3A%2F%2Fised-isde.canada.ca%2Fsite%2Fspectrum-management-telecommunications%2Fen%2Flearn-more%2Fkey-documents%2Fconsultations%2Fconsultation-srsp-520-issue-3-and-rss-192-issue-5&amp;data=05%7C01%7CDouglas.Iles%40acma.gov.au%7C8be63edbe2e5449d828108dae20dd8a5%7C0dac7f39d20c4e718af371ee7e268a2b%7C0%7C0%7C638070846338208108%7CUnknown%7CTWFpbGZsb3d8eyJWIjoiMC4wLjAwMDAiLCJQIjoiV2luMzIiLCJBTiI6Ik1haWwiLCJXVCI6Mn0%3D%7C3000%7C%7C%7C&amp;sdata=Ifa3%2FoIKKwKZ3Gr09FqqI2VkqWb%2FwE9%2FFEiuxPM1V3Y%3D&amp;reserved=0" TargetMode="External"/><Relationship Id="rId22" Type="http://schemas.openxmlformats.org/officeDocument/2006/relationships/header" Target="header6.xml"/><Relationship Id="rId27" Type="http://schemas.openxmlformats.org/officeDocument/2006/relationships/hyperlink" Target="https://www.legislation.gov.au/Details/F2022L00983" TargetMode="External"/><Relationship Id="rId43" Type="http://schemas.openxmlformats.org/officeDocument/2006/relationships/hyperlink" Target="https://minister.infrastructure.gov.au/rowland/media-release/albanese-government-better-connect-inform-and-empower-australians" TargetMode="External"/><Relationship Id="rId48" Type="http://schemas.openxmlformats.org/officeDocument/2006/relationships/image" Target="media/image5.emf"/><Relationship Id="rId64" Type="http://schemas.openxmlformats.org/officeDocument/2006/relationships/hyperlink" Target="https://www.acma.gov.au/convert-hcis-area-description-placemark" TargetMode="External"/><Relationship Id="rId69" Type="http://schemas.openxmlformats.org/officeDocument/2006/relationships/image" Target="media/image21.png"/><Relationship Id="rId80" Type="http://schemas.openxmlformats.org/officeDocument/2006/relationships/hyperlink" Target="https://www.legislation.gov.au/Series/F2015L00728" TargetMode="External"/><Relationship Id="rId85" Type="http://schemas.openxmlformats.org/officeDocument/2006/relationships/hyperlink" Target="https://portal.3gpp.org/Specifications.aspx?q=1&amp;series=45&amp;releases=all&amp;draft=False&amp;underCC=False&amp;withACC=False&amp;withBCC=False&amp;numberNYA=False" TargetMode="External"/><Relationship Id="rId12" Type="http://schemas.openxmlformats.org/officeDocument/2006/relationships/header" Target="header3.xml"/><Relationship Id="rId17" Type="http://schemas.openxmlformats.org/officeDocument/2006/relationships/hyperlink" Target="mailto:info@acma.gov.au" TargetMode="External"/><Relationship Id="rId33" Type="http://schemas.openxmlformats.org/officeDocument/2006/relationships/hyperlink" Target="https://www.acma.gov.au/consultations/2019-08/optimising-3400-3575-mhz-band-consultation-122019" TargetMode="External"/><Relationship Id="rId38" Type="http://schemas.openxmlformats.org/officeDocument/2006/relationships/hyperlink" Target="https://www.acma.gov.au/consultations/2022-03/proposed-spectrum-re-allocation-declaration-34-ghz-and-37-ghz-bands-consultation-102022" TargetMode="External"/><Relationship Id="rId59" Type="http://schemas.openxmlformats.org/officeDocument/2006/relationships/image" Target="media/image12.png"/><Relationship Id="rId103" Type="http://schemas.openxmlformats.org/officeDocument/2006/relationships/customXml" Target="../customXml/item3.xml"/><Relationship Id="rId20" Type="http://schemas.openxmlformats.org/officeDocument/2006/relationships/footer" Target="footer4.xml"/><Relationship Id="rId41" Type="http://schemas.openxmlformats.org/officeDocument/2006/relationships/image" Target="cid:image006.png@01D8D347.CE11C740" TargetMode="External"/><Relationship Id="rId54" Type="http://schemas.openxmlformats.org/officeDocument/2006/relationships/footer" Target="footer10.xml"/><Relationship Id="rId62" Type="http://schemas.openxmlformats.org/officeDocument/2006/relationships/image" Target="media/image15.jpeg"/><Relationship Id="rId70" Type="http://schemas.openxmlformats.org/officeDocument/2006/relationships/image" Target="media/image22.jpg"/><Relationship Id="rId75" Type="http://schemas.openxmlformats.org/officeDocument/2006/relationships/hyperlink" Target="https://www.acma.gov.au/publications/2012-12/guide/spectrum-licensees-know-your-obligations" TargetMode="External"/><Relationship Id="rId83" Type="http://schemas.openxmlformats.org/officeDocument/2006/relationships/hyperlink" Target="https://www.acma.gov.au/consultations/2022-10/remaking-radiocommunications-trading-rules-determination-consultation-332022" TargetMode="External"/><Relationship Id="rId88" Type="http://schemas.openxmlformats.org/officeDocument/2006/relationships/hyperlink" Target="https://www.federalregister.gov/documents/2023/01/11/2023-00420/airworthiness-directives-transport-and-commuter-category-airplanes" TargetMode="External"/><Relationship Id="rId91" Type="http://schemas.openxmlformats.org/officeDocument/2006/relationships/hyperlink" Target="https://www.acma.gov.au/allocating-34-40-ghz-band" TargetMode="External"/><Relationship Id="rId96" Type="http://schemas.openxmlformats.org/officeDocument/2006/relationships/hyperlink" Target="https://its.ntia.gov/umbraco/surface/download/publication?reportNumber=TR-22-56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hyperlink" Target="https://www.accc.gov.au/regulated-infrastructure/communications/mobile-services/spectrum-competition-limits/request-for-advice-34-ghz-and-37-ghz-spectrum-allocation" TargetMode="External"/><Relationship Id="rId36" Type="http://schemas.openxmlformats.org/officeDocument/2006/relationships/hyperlink" Target="https://www.acma.gov.au/consultations/2019-09/planning-3700-4200-mhz-band-consultation-272019" TargetMode="External"/><Relationship Id="rId49" Type="http://schemas.openxmlformats.org/officeDocument/2006/relationships/image" Target="media/image6.png"/><Relationship Id="rId57"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hyperlink" Target="https://www.legislation.gov.au/Details/C2021C00345" TargetMode="External"/><Relationship Id="rId44" Type="http://schemas.openxmlformats.org/officeDocument/2006/relationships/hyperlink" Target="https://minister.infrastructure.gov.au/rowland/speech/address-radcomms-2022-conference" TargetMode="External"/><Relationship Id="rId52" Type="http://schemas.openxmlformats.org/officeDocument/2006/relationships/header" Target="header9.xml"/><Relationship Id="rId60" Type="http://schemas.openxmlformats.org/officeDocument/2006/relationships/image" Target="media/image13.jpg"/><Relationship Id="rId65" Type="http://schemas.openxmlformats.org/officeDocument/2006/relationships/image" Target="media/image17.png"/><Relationship Id="rId73" Type="http://schemas.openxmlformats.org/officeDocument/2006/relationships/hyperlink" Target="https://gsacom.com/paper/5g-ecosystem-january-2023-member-report/" TargetMode="External"/><Relationship Id="rId78" Type="http://schemas.openxmlformats.org/officeDocument/2006/relationships/hyperlink" Target="https://web.acma.gov.au/rrl/licence_image.extract_pdf?pLICENCE_NO=10388334" TargetMode="External"/><Relationship Id="rId81" Type="http://schemas.openxmlformats.org/officeDocument/2006/relationships/hyperlink" Target="https://www.legislation.gov.au/Series/F2015L00729" TargetMode="External"/><Relationship Id="rId86" Type="http://schemas.openxmlformats.org/officeDocument/2006/relationships/hyperlink" Target="https://web.acma.gov.au/rrl/register_search.main_page" TargetMode="External"/><Relationship Id="rId94" Type="http://schemas.openxmlformats.org/officeDocument/2006/relationships/hyperlink" Target="https://aus01.safelinks.protection.outlook.com/?url=https%3A%2F%2Fised-isde.canada.ca%2Fsite%2Fspectrum-management-telecommunications%2Fen%2Flearn-more%2Fkey-documents%2Fconsultations%2Fconsultation-srsp-520-issue-3-and-rss-192-issue-5&amp;data=05%7C01%7CDouglas.Iles%40acma.gov.au%7C8be63edbe2e5449d828108dae20dd8a5%7C0dac7f39d20c4e718af371ee7e268a2b%7C0%7C0%7C638070846338208108%7CUnknown%7CTWFpbGZsb3d8eyJWIjoiMC4wLjAwMDAiLCJQIjoiV2luMzIiLCJBTiI6Ik1haWwiLCJXVCI6Mn0%3D%7C3000%7C%7C%7C&amp;sdata=Ifa3%2FoIKKwKZ3Gr09FqqI2VkqWb%2FwE9%2FFEiuxPM1V3Y%3D&amp;reserved=0" TargetMode="External"/><Relationship Id="rId99" Type="http://schemas.openxmlformats.org/officeDocument/2006/relationships/hyperlink" Target="https://www.federalregister.gov/documents/2023/01/11/2023-00420/airworthiness-directives-transport-and-commuter-category-airplanes"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yperlink" Target="https://www.acma.gov.au/sites/default/files/2022-07/Proposed%20spectrum%20re-allocation%20for%20the%203.4%20GHz%20and%203.7%20GHz%20bands_Outcomes%20paper.docx" TargetMode="External"/><Relationship Id="rId34" Type="http://schemas.openxmlformats.org/officeDocument/2006/relationships/hyperlink" Target="https://www.acma.gov.au/consultations/2019-08/optimising-3400-3575-mhz-band-consultation-122019" TargetMode="External"/><Relationship Id="rId50" Type="http://schemas.openxmlformats.org/officeDocument/2006/relationships/image" Target="media/image7.png"/><Relationship Id="rId55" Type="http://schemas.openxmlformats.org/officeDocument/2006/relationships/image" Target="media/image8.emf"/><Relationship Id="rId76" Type="http://schemas.openxmlformats.org/officeDocument/2006/relationships/hyperlink" Target="https://www.acma.gov.au/spectrum-licence-technical-liaison-groups" TargetMode="External"/><Relationship Id="rId97" Type="http://schemas.openxmlformats.org/officeDocument/2006/relationships/hyperlink" Target="https://its.ntia.gov/umbraco/surface/download/publication?reportNumber=TR-22-562.pdf" TargetMode="Externa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www.accc.gov.au/regulated-infrastructure/telecommunications-and-internet/mobile-services-regulation/spectrum-competition-limits/request-for-advice-34-ghz-and-37-ghz-spectrum-allocation" TargetMode="External"/><Relationship Id="rId92" Type="http://schemas.openxmlformats.org/officeDocument/2006/relationships/hyperlink" Target="https://www.acma.gov.au/publication-submissions" TargetMode="External"/><Relationship Id="rId2" Type="http://schemas.openxmlformats.org/officeDocument/2006/relationships/numbering" Target="numbering.xml"/><Relationship Id="rId29" Type="http://schemas.openxmlformats.org/officeDocument/2006/relationships/hyperlink" Target="https://www.legislation.gov.au/Series/C2004A04465" TargetMode="External"/><Relationship Id="rId24" Type="http://schemas.openxmlformats.org/officeDocument/2006/relationships/footer" Target="footer6.xml"/><Relationship Id="rId40" Type="http://schemas.openxmlformats.org/officeDocument/2006/relationships/image" Target="media/image4.png"/><Relationship Id="rId45" Type="http://schemas.openxmlformats.org/officeDocument/2006/relationships/hyperlink" Target="https://minister.infrastructure.gov.au/rowland/media-release/albanese-government-sets-expectations-two-key-communications-regulators" TargetMode="External"/><Relationship Id="rId66" Type="http://schemas.openxmlformats.org/officeDocument/2006/relationships/image" Target="media/image18.png"/><Relationship Id="rId87" Type="http://schemas.openxmlformats.org/officeDocument/2006/relationships/hyperlink" Target="https://www.acma.gov.au/allocating-34-40-ghz-band" TargetMode="External"/><Relationship Id="rId61" Type="http://schemas.openxmlformats.org/officeDocument/2006/relationships/image" Target="media/image14.jpg"/><Relationship Id="rId82" Type="http://schemas.openxmlformats.org/officeDocument/2006/relationships/hyperlink" Target="https://www.legislation.gov.au/Series/F2012L01718" TargetMode="External"/><Relationship Id="rId19" Type="http://schemas.openxmlformats.org/officeDocument/2006/relationships/header" Target="header5.xml"/><Relationship Id="rId14" Type="http://schemas.openxmlformats.org/officeDocument/2006/relationships/hyperlink" Target="http://i.creativecommons.org/l/by/3.0/88x31.png" TargetMode="External"/><Relationship Id="rId30" Type="http://schemas.openxmlformats.org/officeDocument/2006/relationships/hyperlink" Target="https://www.legislation.gov.au/Details/F2022L00983" TargetMode="External"/><Relationship Id="rId35" Type="http://schemas.openxmlformats.org/officeDocument/2006/relationships/hyperlink" Target="https://www.acma.gov.au/consultations/2020-07/planning-options-3700-4200-mhz-band-consultation-222020" TargetMode="External"/><Relationship Id="rId56" Type="http://schemas.openxmlformats.org/officeDocument/2006/relationships/image" Target="media/image9.emf"/><Relationship Id="rId77" Type="http://schemas.openxmlformats.org/officeDocument/2006/relationships/hyperlink" Target="https://www.acma.gov.au/spectrum-licence-technical-liaison-groups" TargetMode="External"/><Relationship Id="rId100" Type="http://schemas.openxmlformats.org/officeDocument/2006/relationships/fontTable" Target="fontTable.xml"/><Relationship Id="rId105" Type="http://schemas.openxmlformats.org/officeDocument/2006/relationships/customXml" Target="../customXml/item5.xml"/><Relationship Id="rId8" Type="http://schemas.openxmlformats.org/officeDocument/2006/relationships/header" Target="header1.xml"/><Relationship Id="rId51" Type="http://schemas.openxmlformats.org/officeDocument/2006/relationships/header" Target="header8.xml"/><Relationship Id="rId72" Type="http://schemas.openxmlformats.org/officeDocument/2006/relationships/hyperlink" Target="https://www.accc.gov.au/regulated-infrastructure/telecommunications-and-internet/mobile-services-regulation/spectrum-competition-limits/request-for-advice-34-ghz-and-37-ghz-spectrum-allocation" TargetMode="External"/><Relationship Id="rId93" Type="http://schemas.openxmlformats.org/officeDocument/2006/relationships/hyperlink" Target="https://www.acma.gov.au/privacy-policy" TargetMode="External"/><Relationship Id="rId98" Type="http://schemas.openxmlformats.org/officeDocument/2006/relationships/hyperlink" Target="https://its.ntia.gov/umbraco/surface/download/publication?reportNumber=TR-22-562.pdf"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yperlink" Target="https://www.legislation.gov.au/" TargetMode="External"/><Relationship Id="rId67"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leago.com/app/uploads/2020/09/2300MHz-spectrum-for-5G-30-July-2020.pdf" TargetMode="External"/><Relationship Id="rId7" Type="http://schemas.openxmlformats.org/officeDocument/2006/relationships/hyperlink" Target="https://www.etsi.org/deliver/etsi_ts/138100_138199/138104/16.04.00_60/ts_138104v160400p.pdf" TargetMode="External"/><Relationship Id="rId2" Type="http://schemas.openxmlformats.org/officeDocument/2006/relationships/hyperlink" Target="https://www.acma.gov.au/consultations/2022-03/proposed-spectrum-re-allocation-declaration-34-ghz-and-37-ghz-bands-consultation-102022" TargetMode="External"/><Relationship Id="rId1" Type="http://schemas.openxmlformats.org/officeDocument/2006/relationships/hyperlink" Target="https://www.acma.gov.au/allocating-34-40-ghz-band" TargetMode="External"/><Relationship Id="rId6" Type="http://schemas.openxmlformats.org/officeDocument/2006/relationships/hyperlink" Target="https://aus01.safelinks.protection.outlook.com/?url=https%3A%2F%2Fpublic-inspection.federalregister.gov%2F2023-00420.pdf&amp;data=05%7C01%7CChristopher.Hose%40acma.gov.au%7C60123ec525b54318240108daf296825c%7C0dac7f39d20c4e718af371ee7e268a2b%7C0%7C0%7C638089025487426138%7CUnknown%7CTWFpbGZsb3d8eyJWIjoiMC4wLjAwMDAiLCJQIjoiV2luMzIiLCJBTiI6Ik1haWwiLCJXVCI6Mn0%3D%7C3000%7C%7C%7C&amp;sdata=2Nzg7tvi3NaNCyaP0DbznPyTR%2FIKu6ihGvNXCNKQdEw%3D&amp;reserved=0" TargetMode="External"/><Relationship Id="rId5" Type="http://schemas.openxmlformats.org/officeDocument/2006/relationships/hyperlink" Target="https://ised-isde.canada.ca/site/spectrum-management-telecommunications/en/learn-more/key-documents/consultations/consultation-srsp-520-issue-3-and-rss-192-issue-5-annexes" TargetMode="External"/><Relationship Id="rId4" Type="http://schemas.openxmlformats.org/officeDocument/2006/relationships/hyperlink" Target="https://gsacom.com/paper/mid-band-spectrum-december-2022-member-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DOCID-322795542-34974</_dlc_DocId>
    <_dlc_DocIdUrl xmlns="4195ad5f-cdf2-4c4a-8d9b-b7944a108e98">
      <Url>https://pmc01.sharepoint.com/sites/CRMOBPR/_layouts/15/DocIdRedir.aspx?ID=DOCID-322795542-34974</Url>
      <Description>DOCID-322795542-34974</Description>
    </_dlc_DocIdUrl>
  </documentManagement>
</p:properties>
</file>

<file path=customXml/itemProps1.xml><?xml version="1.0" encoding="utf-8"?>
<ds:datastoreItem xmlns:ds="http://schemas.openxmlformats.org/officeDocument/2006/customXml" ds:itemID="{CC230716-1CE4-48F2-8C5D-8FE8D0D80DA8}">
  <ds:schemaRefs>
    <ds:schemaRef ds:uri="http://schemas.openxmlformats.org/officeDocument/2006/bibliography"/>
  </ds:schemaRefs>
</ds:datastoreItem>
</file>

<file path=customXml/itemProps2.xml><?xml version="1.0" encoding="utf-8"?>
<ds:datastoreItem xmlns:ds="http://schemas.openxmlformats.org/officeDocument/2006/customXml" ds:itemID="{25226A70-409D-4C60-A8F6-7F18B37C3B7A}"/>
</file>

<file path=customXml/itemProps3.xml><?xml version="1.0" encoding="utf-8"?>
<ds:datastoreItem xmlns:ds="http://schemas.openxmlformats.org/officeDocument/2006/customXml" ds:itemID="{CBE7FC90-85D1-4977-BE25-410D5A76DA89}"/>
</file>

<file path=customXml/itemProps4.xml><?xml version="1.0" encoding="utf-8"?>
<ds:datastoreItem xmlns:ds="http://schemas.openxmlformats.org/officeDocument/2006/customXml" ds:itemID="{A274E534-A714-4FF8-99F1-367759839607}"/>
</file>

<file path=customXml/itemProps5.xml><?xml version="1.0" encoding="utf-8"?>
<ds:datastoreItem xmlns:ds="http://schemas.openxmlformats.org/officeDocument/2006/customXml" ds:itemID="{19E26131-A3E4-41D4-AB2B-AA81FD61A4D4}"/>
</file>

<file path=docProps/app.xml><?xml version="1.0" encoding="utf-8"?>
<Properties xmlns="http://schemas.openxmlformats.org/officeDocument/2006/extended-properties" xmlns:vt="http://schemas.openxmlformats.org/officeDocument/2006/docPropsVTypes">
  <Template>Normal</Template>
  <TotalTime>0</TotalTime>
  <Pages>91</Pages>
  <Words>35300</Words>
  <Characters>201212</Characters>
  <Application>Microsoft Office Word</Application>
  <DocSecurity>0</DocSecurity>
  <Lines>1676</Lines>
  <Paragraphs>472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236040</CharactersWithSpaces>
  <SharedDoc>false</SharedDoc>
  <HyperlinkBase/>
  <HLinks>
    <vt:vector size="558" baseType="variant">
      <vt:variant>
        <vt:i4>4128866</vt:i4>
      </vt:variant>
      <vt:variant>
        <vt:i4>366</vt:i4>
      </vt:variant>
      <vt:variant>
        <vt:i4>0</vt:i4>
      </vt:variant>
      <vt:variant>
        <vt:i4>5</vt:i4>
      </vt:variant>
      <vt:variant>
        <vt:lpwstr>https://www.federalregister.gov/documents/2023/01/11/2023-00420/airworthiness-directives-transport-and-commuter-category-airplanes</vt:lpwstr>
      </vt:variant>
      <vt:variant>
        <vt:lpwstr/>
      </vt:variant>
      <vt:variant>
        <vt:i4>6094866</vt:i4>
      </vt:variant>
      <vt:variant>
        <vt:i4>363</vt:i4>
      </vt:variant>
      <vt:variant>
        <vt:i4>0</vt:i4>
      </vt:variant>
      <vt:variant>
        <vt:i4>5</vt:i4>
      </vt:variant>
      <vt:variant>
        <vt:lpwstr>https://its.ntia.gov/umbraco/surface/download/publication?reportNumber=TR-22-562.pdf</vt:lpwstr>
      </vt:variant>
      <vt:variant>
        <vt:lpwstr/>
      </vt:variant>
      <vt:variant>
        <vt:i4>6094866</vt:i4>
      </vt:variant>
      <vt:variant>
        <vt:i4>360</vt:i4>
      </vt:variant>
      <vt:variant>
        <vt:i4>0</vt:i4>
      </vt:variant>
      <vt:variant>
        <vt:i4>5</vt:i4>
      </vt:variant>
      <vt:variant>
        <vt:lpwstr>https://its.ntia.gov/umbraco/surface/download/publication?reportNumber=TR-22-562.pdf</vt:lpwstr>
      </vt:variant>
      <vt:variant>
        <vt:lpwstr/>
      </vt:variant>
      <vt:variant>
        <vt:i4>6094866</vt:i4>
      </vt:variant>
      <vt:variant>
        <vt:i4>357</vt:i4>
      </vt:variant>
      <vt:variant>
        <vt:i4>0</vt:i4>
      </vt:variant>
      <vt:variant>
        <vt:i4>5</vt:i4>
      </vt:variant>
      <vt:variant>
        <vt:lpwstr>https://its.ntia.gov/umbraco/surface/download/publication?reportNumber=TR-22-562.pdf</vt:lpwstr>
      </vt:variant>
      <vt:variant>
        <vt:lpwstr/>
      </vt:variant>
      <vt:variant>
        <vt:i4>3866687</vt:i4>
      </vt:variant>
      <vt:variant>
        <vt:i4>354</vt:i4>
      </vt:variant>
      <vt:variant>
        <vt:i4>0</vt:i4>
      </vt:variant>
      <vt:variant>
        <vt:i4>5</vt:i4>
      </vt:variant>
      <vt:variant>
        <vt:lpwstr>https://aus01.safelinks.protection.outlook.com/?url=https%3A%2F%2Fised-isde.canada.ca%2Fsite%2Fspectrum-management-telecommunications%2Fen%2Flearn-more%2Fkey-documents%2Fconsultations%2Fconsultation-srsp-520-issue-3-and-rss-192-issue-5&amp;data=05%7C01%7CDouglas.Iles%40acma.gov.au%7C8be63edbe2e5449d828108dae20dd8a5%7C0dac7f39d20c4e718af371ee7e268a2b%7C0%7C0%7C638070846338208108%7CUnknown%7CTWFpbGZsb3d8eyJWIjoiMC4wLjAwMDAiLCJQIjoiV2luMzIiLCJBTiI6Ik1haWwiLCJXVCI6Mn0%3D%7C3000%7C%7C%7C&amp;sdata=Ifa3%2FoIKKwKZ3Gr09FqqI2VkqWb%2FwE9%2FFEiuxPM1V3Y%3D&amp;reserved=0</vt:lpwstr>
      </vt:variant>
      <vt:variant>
        <vt:lpwstr/>
      </vt:variant>
      <vt:variant>
        <vt:i4>3866687</vt:i4>
      </vt:variant>
      <vt:variant>
        <vt:i4>351</vt:i4>
      </vt:variant>
      <vt:variant>
        <vt:i4>0</vt:i4>
      </vt:variant>
      <vt:variant>
        <vt:i4>5</vt:i4>
      </vt:variant>
      <vt:variant>
        <vt:lpwstr>https://aus01.safelinks.protection.outlook.com/?url=https%3A%2F%2Fised-isde.canada.ca%2Fsite%2Fspectrum-management-telecommunications%2Fen%2Flearn-more%2Fkey-documents%2Fconsultations%2Fconsultation-srsp-520-issue-3-and-rss-192-issue-5&amp;data=05%7C01%7CDouglas.Iles%40acma.gov.au%7C8be63edbe2e5449d828108dae20dd8a5%7C0dac7f39d20c4e718af371ee7e268a2b%7C0%7C0%7C638070846338208108%7CUnknown%7CTWFpbGZsb3d8eyJWIjoiMC4wLjAwMDAiLCJQIjoiV2luMzIiLCJBTiI6Ik1haWwiLCJXVCI6Mn0%3D%7C3000%7C%7C%7C&amp;sdata=Ifa3%2FoIKKwKZ3Gr09FqqI2VkqWb%2FwE9%2FFEiuxPM1V3Y%3D&amp;reserved=0</vt:lpwstr>
      </vt:variant>
      <vt:variant>
        <vt:lpwstr/>
      </vt:variant>
      <vt:variant>
        <vt:i4>2097192</vt:i4>
      </vt:variant>
      <vt:variant>
        <vt:i4>348</vt:i4>
      </vt:variant>
      <vt:variant>
        <vt:i4>0</vt:i4>
      </vt:variant>
      <vt:variant>
        <vt:i4>5</vt:i4>
      </vt:variant>
      <vt:variant>
        <vt:lpwstr>https://www.acma.gov.au/privacy-policy</vt:lpwstr>
      </vt:variant>
      <vt:variant>
        <vt:lpwstr/>
      </vt:variant>
      <vt:variant>
        <vt:i4>3473455</vt:i4>
      </vt:variant>
      <vt:variant>
        <vt:i4>345</vt:i4>
      </vt:variant>
      <vt:variant>
        <vt:i4>0</vt:i4>
      </vt:variant>
      <vt:variant>
        <vt:i4>5</vt:i4>
      </vt:variant>
      <vt:variant>
        <vt:lpwstr>https://www.acma.gov.au/publication-submissions</vt:lpwstr>
      </vt:variant>
      <vt:variant>
        <vt:lpwstr/>
      </vt:variant>
      <vt:variant>
        <vt:i4>4587526</vt:i4>
      </vt:variant>
      <vt:variant>
        <vt:i4>342</vt:i4>
      </vt:variant>
      <vt:variant>
        <vt:i4>0</vt:i4>
      </vt:variant>
      <vt:variant>
        <vt:i4>5</vt:i4>
      </vt:variant>
      <vt:variant>
        <vt:lpwstr>https://www.acma.gov.au/allocating-34-40-ghz-band</vt:lpwstr>
      </vt:variant>
      <vt:variant>
        <vt:lpwstr/>
      </vt:variant>
      <vt:variant>
        <vt:i4>6619153</vt:i4>
      </vt:variant>
      <vt:variant>
        <vt:i4>339</vt:i4>
      </vt:variant>
      <vt:variant>
        <vt:i4>0</vt:i4>
      </vt:variant>
      <vt:variant>
        <vt:i4>5</vt:i4>
      </vt:variant>
      <vt:variant>
        <vt:lpwstr>mailto:SpectrumAllocations@acma.gov.au</vt:lpwstr>
      </vt:variant>
      <vt:variant>
        <vt:lpwstr/>
      </vt:variant>
      <vt:variant>
        <vt:i4>5308427</vt:i4>
      </vt:variant>
      <vt:variant>
        <vt:i4>336</vt:i4>
      </vt:variant>
      <vt:variant>
        <vt:i4>0</vt:i4>
      </vt:variant>
      <vt:variant>
        <vt:i4>5</vt:i4>
      </vt:variant>
      <vt:variant>
        <vt:lpwstr>https://www.acma.gov.au/have-your-say</vt:lpwstr>
      </vt:variant>
      <vt:variant>
        <vt:lpwstr/>
      </vt:variant>
      <vt:variant>
        <vt:i4>4128866</vt:i4>
      </vt:variant>
      <vt:variant>
        <vt:i4>333</vt:i4>
      </vt:variant>
      <vt:variant>
        <vt:i4>0</vt:i4>
      </vt:variant>
      <vt:variant>
        <vt:i4>5</vt:i4>
      </vt:variant>
      <vt:variant>
        <vt:lpwstr>https://www.federalregister.gov/documents/2023/01/11/2023-00420/airworthiness-directives-transport-and-commuter-category-airplanes</vt:lpwstr>
      </vt:variant>
      <vt:variant>
        <vt:lpwstr/>
      </vt:variant>
      <vt:variant>
        <vt:i4>4587526</vt:i4>
      </vt:variant>
      <vt:variant>
        <vt:i4>330</vt:i4>
      </vt:variant>
      <vt:variant>
        <vt:i4>0</vt:i4>
      </vt:variant>
      <vt:variant>
        <vt:i4>5</vt:i4>
      </vt:variant>
      <vt:variant>
        <vt:lpwstr>https://www.acma.gov.au/allocating-34-40-ghz-band</vt:lpwstr>
      </vt:variant>
      <vt:variant>
        <vt:lpwstr/>
      </vt:variant>
      <vt:variant>
        <vt:i4>1507396</vt:i4>
      </vt:variant>
      <vt:variant>
        <vt:i4>327</vt:i4>
      </vt:variant>
      <vt:variant>
        <vt:i4>0</vt:i4>
      </vt:variant>
      <vt:variant>
        <vt:i4>5</vt:i4>
      </vt:variant>
      <vt:variant>
        <vt:lpwstr>https://web.acma.gov.au/rrl/register_search.main_page</vt:lpwstr>
      </vt:variant>
      <vt:variant>
        <vt:lpwstr/>
      </vt:variant>
      <vt:variant>
        <vt:i4>589897</vt:i4>
      </vt:variant>
      <vt:variant>
        <vt:i4>324</vt:i4>
      </vt:variant>
      <vt:variant>
        <vt:i4>0</vt:i4>
      </vt:variant>
      <vt:variant>
        <vt:i4>5</vt:i4>
      </vt:variant>
      <vt:variant>
        <vt:lpwstr>https://portal.3gpp.org/Specifications.aspx?q=1&amp;series=45&amp;releases=all&amp;draft=False&amp;underCC=False&amp;withACC=False&amp;withBCC=False&amp;numberNYA=False</vt:lpwstr>
      </vt:variant>
      <vt:variant>
        <vt:lpwstr/>
      </vt:variant>
      <vt:variant>
        <vt:i4>917580</vt:i4>
      </vt:variant>
      <vt:variant>
        <vt:i4>321</vt:i4>
      </vt:variant>
      <vt:variant>
        <vt:i4>0</vt:i4>
      </vt:variant>
      <vt:variant>
        <vt:i4>5</vt:i4>
      </vt:variant>
      <vt:variant>
        <vt:lpwstr>https://portal.3gpp.org/Specifications.aspx?q=1&amp;series=30&amp;releases=all&amp;draft=False&amp;underCC=False&amp;withACC=False&amp;withBCC=False&amp;numberNYA=False</vt:lpwstr>
      </vt:variant>
      <vt:variant>
        <vt:lpwstr/>
      </vt:variant>
      <vt:variant>
        <vt:i4>3407921</vt:i4>
      </vt:variant>
      <vt:variant>
        <vt:i4>318</vt:i4>
      </vt:variant>
      <vt:variant>
        <vt:i4>0</vt:i4>
      </vt:variant>
      <vt:variant>
        <vt:i4>5</vt:i4>
      </vt:variant>
      <vt:variant>
        <vt:lpwstr>https://www.acma.gov.au/consultations/2022-10/remaking-radiocommunications-trading-rules-determination-consultation-332022</vt:lpwstr>
      </vt:variant>
      <vt:variant>
        <vt:lpwstr/>
      </vt:variant>
      <vt:variant>
        <vt:i4>851997</vt:i4>
      </vt:variant>
      <vt:variant>
        <vt:i4>315</vt:i4>
      </vt:variant>
      <vt:variant>
        <vt:i4>0</vt:i4>
      </vt:variant>
      <vt:variant>
        <vt:i4>5</vt:i4>
      </vt:variant>
      <vt:variant>
        <vt:lpwstr>https://www.legislation.gov.au/Series/F2012L01718</vt:lpwstr>
      </vt:variant>
      <vt:variant>
        <vt:lpwstr/>
      </vt:variant>
      <vt:variant>
        <vt:i4>983066</vt:i4>
      </vt:variant>
      <vt:variant>
        <vt:i4>312</vt:i4>
      </vt:variant>
      <vt:variant>
        <vt:i4>0</vt:i4>
      </vt:variant>
      <vt:variant>
        <vt:i4>5</vt:i4>
      </vt:variant>
      <vt:variant>
        <vt:lpwstr>https://www.legislation.gov.au/Series/F2015L00729</vt:lpwstr>
      </vt:variant>
      <vt:variant>
        <vt:lpwstr/>
      </vt:variant>
      <vt:variant>
        <vt:i4>983066</vt:i4>
      </vt:variant>
      <vt:variant>
        <vt:i4>309</vt:i4>
      </vt:variant>
      <vt:variant>
        <vt:i4>0</vt:i4>
      </vt:variant>
      <vt:variant>
        <vt:i4>5</vt:i4>
      </vt:variant>
      <vt:variant>
        <vt:lpwstr>https://www.legislation.gov.au/Series/F2015L00728</vt:lpwstr>
      </vt:variant>
      <vt:variant>
        <vt:lpwstr/>
      </vt:variant>
      <vt:variant>
        <vt:i4>983066</vt:i4>
      </vt:variant>
      <vt:variant>
        <vt:i4>306</vt:i4>
      </vt:variant>
      <vt:variant>
        <vt:i4>0</vt:i4>
      </vt:variant>
      <vt:variant>
        <vt:i4>5</vt:i4>
      </vt:variant>
      <vt:variant>
        <vt:lpwstr>https://www.legislation.gov.au/Series/F2015L00727</vt:lpwstr>
      </vt:variant>
      <vt:variant>
        <vt:lpwstr/>
      </vt:variant>
      <vt:variant>
        <vt:i4>8060928</vt:i4>
      </vt:variant>
      <vt:variant>
        <vt:i4>303</vt:i4>
      </vt:variant>
      <vt:variant>
        <vt:i4>0</vt:i4>
      </vt:variant>
      <vt:variant>
        <vt:i4>5</vt:i4>
      </vt:variant>
      <vt:variant>
        <vt:lpwstr>https://web.acma.gov.au/rrl/licence_image.extract_pdf?pLICENCE_NO=10388334</vt:lpwstr>
      </vt:variant>
      <vt:variant>
        <vt:lpwstr/>
      </vt:variant>
      <vt:variant>
        <vt:i4>196675</vt:i4>
      </vt:variant>
      <vt:variant>
        <vt:i4>300</vt:i4>
      </vt:variant>
      <vt:variant>
        <vt:i4>0</vt:i4>
      </vt:variant>
      <vt:variant>
        <vt:i4>5</vt:i4>
      </vt:variant>
      <vt:variant>
        <vt:lpwstr>https://www.acma.gov.au/spectrum-licence-technical-liaison-groups</vt:lpwstr>
      </vt:variant>
      <vt:variant>
        <vt:lpwstr/>
      </vt:variant>
      <vt:variant>
        <vt:i4>196675</vt:i4>
      </vt:variant>
      <vt:variant>
        <vt:i4>297</vt:i4>
      </vt:variant>
      <vt:variant>
        <vt:i4>0</vt:i4>
      </vt:variant>
      <vt:variant>
        <vt:i4>5</vt:i4>
      </vt:variant>
      <vt:variant>
        <vt:lpwstr>https://www.acma.gov.au/spectrum-licence-technical-liaison-groups</vt:lpwstr>
      </vt:variant>
      <vt:variant>
        <vt:lpwstr/>
      </vt:variant>
      <vt:variant>
        <vt:i4>2621558</vt:i4>
      </vt:variant>
      <vt:variant>
        <vt:i4>294</vt:i4>
      </vt:variant>
      <vt:variant>
        <vt:i4>0</vt:i4>
      </vt:variant>
      <vt:variant>
        <vt:i4>5</vt:i4>
      </vt:variant>
      <vt:variant>
        <vt:lpwstr>https://www.acma.gov.au/publications/2012-12/guide/spectrum-licensees-know-your-obligations</vt:lpwstr>
      </vt:variant>
      <vt:variant>
        <vt:lpwstr/>
      </vt:variant>
      <vt:variant>
        <vt:i4>4194317</vt:i4>
      </vt:variant>
      <vt:variant>
        <vt:i4>291</vt:i4>
      </vt:variant>
      <vt:variant>
        <vt:i4>0</vt:i4>
      </vt:variant>
      <vt:variant>
        <vt:i4>5</vt:i4>
      </vt:variant>
      <vt:variant>
        <vt:lpwstr>https://www.acma.gov.au/area-wide-apparatus-licensing-26-and-28-ghz-bands</vt:lpwstr>
      </vt:variant>
      <vt:variant>
        <vt:lpwstr/>
      </vt:variant>
      <vt:variant>
        <vt:i4>6094933</vt:i4>
      </vt:variant>
      <vt:variant>
        <vt:i4>288</vt:i4>
      </vt:variant>
      <vt:variant>
        <vt:i4>0</vt:i4>
      </vt:variant>
      <vt:variant>
        <vt:i4>5</vt:i4>
      </vt:variant>
      <vt:variant>
        <vt:lpwstr>https://gsacom.com/paper/5g-ecosystem-january-2023-member-report/</vt:lpwstr>
      </vt:variant>
      <vt:variant>
        <vt:lpwstr/>
      </vt:variant>
      <vt:variant>
        <vt:i4>589888</vt:i4>
      </vt:variant>
      <vt:variant>
        <vt:i4>285</vt:i4>
      </vt:variant>
      <vt:variant>
        <vt:i4>0</vt:i4>
      </vt:variant>
      <vt:variant>
        <vt:i4>5</vt:i4>
      </vt:variant>
      <vt:variant>
        <vt:lpwstr>https://www.accc.gov.au/regulated-infrastructure/telecommunications-and-internet/mobile-services-regulation/spectrum-competition-limits/request-for-advice-34-ghz-and-37-ghz-spectrum-allocation</vt:lpwstr>
      </vt:variant>
      <vt:variant>
        <vt:lpwstr/>
      </vt:variant>
      <vt:variant>
        <vt:i4>589888</vt:i4>
      </vt:variant>
      <vt:variant>
        <vt:i4>282</vt:i4>
      </vt:variant>
      <vt:variant>
        <vt:i4>0</vt:i4>
      </vt:variant>
      <vt:variant>
        <vt:i4>5</vt:i4>
      </vt:variant>
      <vt:variant>
        <vt:lpwstr>https://www.accc.gov.au/regulated-infrastructure/telecommunications-and-internet/mobile-services-regulation/spectrum-competition-limits/request-for-advice-34-ghz-and-37-ghz-spectrum-allocation</vt:lpwstr>
      </vt:variant>
      <vt:variant>
        <vt:lpwstr/>
      </vt:variant>
      <vt:variant>
        <vt:i4>2293874</vt:i4>
      </vt:variant>
      <vt:variant>
        <vt:i4>276</vt:i4>
      </vt:variant>
      <vt:variant>
        <vt:i4>0</vt:i4>
      </vt:variant>
      <vt:variant>
        <vt:i4>5</vt:i4>
      </vt:variant>
      <vt:variant>
        <vt:lpwstr>https://www.acma.gov.au/convert-hcis-area-description-placemark</vt:lpwstr>
      </vt:variant>
      <vt:variant>
        <vt:lpwstr/>
      </vt:variant>
      <vt:variant>
        <vt:i4>5898331</vt:i4>
      </vt:variant>
      <vt:variant>
        <vt:i4>270</vt:i4>
      </vt:variant>
      <vt:variant>
        <vt:i4>0</vt:i4>
      </vt:variant>
      <vt:variant>
        <vt:i4>5</vt:i4>
      </vt:variant>
      <vt:variant>
        <vt:lpwstr>https://www.acma.gov.au/publications/2021-03/rules/our-approach-radcomms-licensing-and-allocation</vt:lpwstr>
      </vt:variant>
      <vt:variant>
        <vt:lpwstr/>
      </vt:variant>
      <vt:variant>
        <vt:i4>2687022</vt:i4>
      </vt:variant>
      <vt:variant>
        <vt:i4>267</vt:i4>
      </vt:variant>
      <vt:variant>
        <vt:i4>0</vt:i4>
      </vt:variant>
      <vt:variant>
        <vt:i4>5</vt:i4>
      </vt:variant>
      <vt:variant>
        <vt:lpwstr>https://www.legislation.gov.au/</vt:lpwstr>
      </vt:variant>
      <vt:variant>
        <vt:lpwstr/>
      </vt:variant>
      <vt:variant>
        <vt:i4>4587540</vt:i4>
      </vt:variant>
      <vt:variant>
        <vt:i4>264</vt:i4>
      </vt:variant>
      <vt:variant>
        <vt:i4>0</vt:i4>
      </vt:variant>
      <vt:variant>
        <vt:i4>5</vt:i4>
      </vt:variant>
      <vt:variant>
        <vt:lpwstr>https://minister.infrastructure.gov.au/rowland/media-release/albanese-government-sets-expectations-two-key-communications-regulators</vt:lpwstr>
      </vt:variant>
      <vt:variant>
        <vt:lpwstr/>
      </vt:variant>
      <vt:variant>
        <vt:i4>3604531</vt:i4>
      </vt:variant>
      <vt:variant>
        <vt:i4>261</vt:i4>
      </vt:variant>
      <vt:variant>
        <vt:i4>0</vt:i4>
      </vt:variant>
      <vt:variant>
        <vt:i4>5</vt:i4>
      </vt:variant>
      <vt:variant>
        <vt:lpwstr>https://minister.infrastructure.gov.au/rowland/speech/address-radcomms-2022-conference</vt:lpwstr>
      </vt:variant>
      <vt:variant>
        <vt:lpwstr/>
      </vt:variant>
      <vt:variant>
        <vt:i4>2490484</vt:i4>
      </vt:variant>
      <vt:variant>
        <vt:i4>258</vt:i4>
      </vt:variant>
      <vt:variant>
        <vt:i4>0</vt:i4>
      </vt:variant>
      <vt:variant>
        <vt:i4>5</vt:i4>
      </vt:variant>
      <vt:variant>
        <vt:lpwstr>https://minister.infrastructure.gov.au/rowland/media-release/albanese-government-better-connect-inform-and-empower-australians</vt:lpwstr>
      </vt:variant>
      <vt:variant>
        <vt:lpwstr/>
      </vt:variant>
      <vt:variant>
        <vt:i4>851994</vt:i4>
      </vt:variant>
      <vt:variant>
        <vt:i4>255</vt:i4>
      </vt:variant>
      <vt:variant>
        <vt:i4>0</vt:i4>
      </vt:variant>
      <vt:variant>
        <vt:i4>5</vt:i4>
      </vt:variant>
      <vt:variant>
        <vt:lpwstr>https://www.legislation.gov.au/Series/F2022N00015</vt:lpwstr>
      </vt:variant>
      <vt:variant>
        <vt:lpwstr/>
      </vt:variant>
      <vt:variant>
        <vt:i4>3342409</vt:i4>
      </vt:variant>
      <vt:variant>
        <vt:i4>252</vt:i4>
      </vt:variant>
      <vt:variant>
        <vt:i4>0</vt:i4>
      </vt:variant>
      <vt:variant>
        <vt:i4>5</vt:i4>
      </vt:variant>
      <vt:variant>
        <vt:lpwstr>https://www.acma.gov.au/sites/default/files/2022-07/Proposed spectrum re-allocation for the 3.4 GHz and 3.7 GHz bands_Outcomes paper.docx</vt:lpwstr>
      </vt:variant>
      <vt:variant>
        <vt:lpwstr/>
      </vt:variant>
      <vt:variant>
        <vt:i4>1441877</vt:i4>
      </vt:variant>
      <vt:variant>
        <vt:i4>246</vt:i4>
      </vt:variant>
      <vt:variant>
        <vt:i4>0</vt:i4>
      </vt:variant>
      <vt:variant>
        <vt:i4>5</vt:i4>
      </vt:variant>
      <vt:variant>
        <vt:lpwstr>https://www.acma.gov.au/consultations/2022-03/proposed-spectrum-re-allocation-declaration-34-ghz-and-37-ghz-bands-consultation-102022</vt:lpwstr>
      </vt:variant>
      <vt:variant>
        <vt:lpwstr/>
      </vt:variant>
      <vt:variant>
        <vt:i4>2162773</vt:i4>
      </vt:variant>
      <vt:variant>
        <vt:i4>243</vt:i4>
      </vt:variant>
      <vt:variant>
        <vt:i4>0</vt:i4>
      </vt:variant>
      <vt:variant>
        <vt:i4>5</vt:i4>
      </vt:variant>
      <vt:variant>
        <vt:lpwstr>https://www.acma.gov.au/sites/default/files/2021-01/Replanning the 3700-4200 MHz band_Outcomes paper.docx</vt:lpwstr>
      </vt:variant>
      <vt:variant>
        <vt:lpwstr/>
      </vt:variant>
      <vt:variant>
        <vt:i4>720970</vt:i4>
      </vt:variant>
      <vt:variant>
        <vt:i4>240</vt:i4>
      </vt:variant>
      <vt:variant>
        <vt:i4>0</vt:i4>
      </vt:variant>
      <vt:variant>
        <vt:i4>5</vt:i4>
      </vt:variant>
      <vt:variant>
        <vt:lpwstr>https://www.acma.gov.au/consultations/2019-09/planning-3700-4200-mhz-band-consultation-272019</vt:lpwstr>
      </vt:variant>
      <vt:variant>
        <vt:lpwstr/>
      </vt:variant>
      <vt:variant>
        <vt:i4>393240</vt:i4>
      </vt:variant>
      <vt:variant>
        <vt:i4>237</vt:i4>
      </vt:variant>
      <vt:variant>
        <vt:i4>0</vt:i4>
      </vt:variant>
      <vt:variant>
        <vt:i4>5</vt:i4>
      </vt:variant>
      <vt:variant>
        <vt:lpwstr>https://www.acma.gov.au/consultations/2020-07/planning-options-3700-4200-mhz-band-consultation-222020</vt:lpwstr>
      </vt:variant>
      <vt:variant>
        <vt:lpwstr/>
      </vt:variant>
      <vt:variant>
        <vt:i4>7864375</vt:i4>
      </vt:variant>
      <vt:variant>
        <vt:i4>234</vt:i4>
      </vt:variant>
      <vt:variant>
        <vt:i4>0</vt:i4>
      </vt:variant>
      <vt:variant>
        <vt:i4>5</vt:i4>
      </vt:variant>
      <vt:variant>
        <vt:lpwstr>https://www.acma.gov.au/consultations/2019-08/optimising-3400-3575-mhz-band-consultation-122019</vt:lpwstr>
      </vt:variant>
      <vt:variant>
        <vt:lpwstr/>
      </vt:variant>
      <vt:variant>
        <vt:i4>7864375</vt:i4>
      </vt:variant>
      <vt:variant>
        <vt:i4>231</vt:i4>
      </vt:variant>
      <vt:variant>
        <vt:i4>0</vt:i4>
      </vt:variant>
      <vt:variant>
        <vt:i4>5</vt:i4>
      </vt:variant>
      <vt:variant>
        <vt:lpwstr>https://www.acma.gov.au/consultations/2019-08/optimising-3400-3575-mhz-band-consultation-122019</vt:lpwstr>
      </vt:variant>
      <vt:variant>
        <vt:lpwstr/>
      </vt:variant>
      <vt:variant>
        <vt:i4>4587526</vt:i4>
      </vt:variant>
      <vt:variant>
        <vt:i4>228</vt:i4>
      </vt:variant>
      <vt:variant>
        <vt:i4>0</vt:i4>
      </vt:variant>
      <vt:variant>
        <vt:i4>5</vt:i4>
      </vt:variant>
      <vt:variant>
        <vt:lpwstr>https://www.acma.gov.au/allocating-34-40-ghz-band</vt:lpwstr>
      </vt:variant>
      <vt:variant>
        <vt:lpwstr/>
      </vt:variant>
      <vt:variant>
        <vt:i4>7798817</vt:i4>
      </vt:variant>
      <vt:variant>
        <vt:i4>225</vt:i4>
      </vt:variant>
      <vt:variant>
        <vt:i4>0</vt:i4>
      </vt:variant>
      <vt:variant>
        <vt:i4>5</vt:i4>
      </vt:variant>
      <vt:variant>
        <vt:lpwstr>https://www.legislation.gov.au/Details/C2021C00345</vt:lpwstr>
      </vt:variant>
      <vt:variant>
        <vt:lpwstr/>
      </vt:variant>
      <vt:variant>
        <vt:i4>8192034</vt:i4>
      </vt:variant>
      <vt:variant>
        <vt:i4>222</vt:i4>
      </vt:variant>
      <vt:variant>
        <vt:i4>0</vt:i4>
      </vt:variant>
      <vt:variant>
        <vt:i4>5</vt:i4>
      </vt:variant>
      <vt:variant>
        <vt:lpwstr>https://www.legislation.gov.au/Details/F2022L00983</vt:lpwstr>
      </vt:variant>
      <vt:variant>
        <vt:lpwstr/>
      </vt:variant>
      <vt:variant>
        <vt:i4>196637</vt:i4>
      </vt:variant>
      <vt:variant>
        <vt:i4>219</vt:i4>
      </vt:variant>
      <vt:variant>
        <vt:i4>0</vt:i4>
      </vt:variant>
      <vt:variant>
        <vt:i4>5</vt:i4>
      </vt:variant>
      <vt:variant>
        <vt:lpwstr>https://www.legislation.gov.au/Series/C2004A04465</vt:lpwstr>
      </vt:variant>
      <vt:variant>
        <vt:lpwstr/>
      </vt:variant>
      <vt:variant>
        <vt:i4>24</vt:i4>
      </vt:variant>
      <vt:variant>
        <vt:i4>216</vt:i4>
      </vt:variant>
      <vt:variant>
        <vt:i4>0</vt:i4>
      </vt:variant>
      <vt:variant>
        <vt:i4>5</vt:i4>
      </vt:variant>
      <vt:variant>
        <vt:lpwstr>https://www.accc.gov.au/regulated-infrastructure/communications/mobile-services/spectrum-competition-limits/request-for-advice-34-ghz-and-37-ghz-spectrum-allocation</vt:lpwstr>
      </vt:variant>
      <vt:variant>
        <vt:lpwstr/>
      </vt:variant>
      <vt:variant>
        <vt:i4>8192034</vt:i4>
      </vt:variant>
      <vt:variant>
        <vt:i4>213</vt:i4>
      </vt:variant>
      <vt:variant>
        <vt:i4>0</vt:i4>
      </vt:variant>
      <vt:variant>
        <vt:i4>5</vt:i4>
      </vt:variant>
      <vt:variant>
        <vt:lpwstr>https://www.legislation.gov.au/Details/F2022L00983</vt:lpwstr>
      </vt:variant>
      <vt:variant>
        <vt:lpwstr/>
      </vt:variant>
      <vt:variant>
        <vt:i4>1179704</vt:i4>
      </vt:variant>
      <vt:variant>
        <vt:i4>206</vt:i4>
      </vt:variant>
      <vt:variant>
        <vt:i4>0</vt:i4>
      </vt:variant>
      <vt:variant>
        <vt:i4>5</vt:i4>
      </vt:variant>
      <vt:variant>
        <vt:lpwstr/>
      </vt:variant>
      <vt:variant>
        <vt:lpwstr>_Toc126580724</vt:lpwstr>
      </vt:variant>
      <vt:variant>
        <vt:i4>1179704</vt:i4>
      </vt:variant>
      <vt:variant>
        <vt:i4>200</vt:i4>
      </vt:variant>
      <vt:variant>
        <vt:i4>0</vt:i4>
      </vt:variant>
      <vt:variant>
        <vt:i4>5</vt:i4>
      </vt:variant>
      <vt:variant>
        <vt:lpwstr/>
      </vt:variant>
      <vt:variant>
        <vt:lpwstr>_Toc126580723</vt:lpwstr>
      </vt:variant>
      <vt:variant>
        <vt:i4>1179704</vt:i4>
      </vt:variant>
      <vt:variant>
        <vt:i4>194</vt:i4>
      </vt:variant>
      <vt:variant>
        <vt:i4>0</vt:i4>
      </vt:variant>
      <vt:variant>
        <vt:i4>5</vt:i4>
      </vt:variant>
      <vt:variant>
        <vt:lpwstr/>
      </vt:variant>
      <vt:variant>
        <vt:lpwstr>_Toc126580722</vt:lpwstr>
      </vt:variant>
      <vt:variant>
        <vt:i4>1179704</vt:i4>
      </vt:variant>
      <vt:variant>
        <vt:i4>188</vt:i4>
      </vt:variant>
      <vt:variant>
        <vt:i4>0</vt:i4>
      </vt:variant>
      <vt:variant>
        <vt:i4>5</vt:i4>
      </vt:variant>
      <vt:variant>
        <vt:lpwstr/>
      </vt:variant>
      <vt:variant>
        <vt:lpwstr>_Toc126580721</vt:lpwstr>
      </vt:variant>
      <vt:variant>
        <vt:i4>1179704</vt:i4>
      </vt:variant>
      <vt:variant>
        <vt:i4>182</vt:i4>
      </vt:variant>
      <vt:variant>
        <vt:i4>0</vt:i4>
      </vt:variant>
      <vt:variant>
        <vt:i4>5</vt:i4>
      </vt:variant>
      <vt:variant>
        <vt:lpwstr/>
      </vt:variant>
      <vt:variant>
        <vt:lpwstr>_Toc126580720</vt:lpwstr>
      </vt:variant>
      <vt:variant>
        <vt:i4>1114168</vt:i4>
      </vt:variant>
      <vt:variant>
        <vt:i4>176</vt:i4>
      </vt:variant>
      <vt:variant>
        <vt:i4>0</vt:i4>
      </vt:variant>
      <vt:variant>
        <vt:i4>5</vt:i4>
      </vt:variant>
      <vt:variant>
        <vt:lpwstr/>
      </vt:variant>
      <vt:variant>
        <vt:lpwstr>_Toc126580719</vt:lpwstr>
      </vt:variant>
      <vt:variant>
        <vt:i4>1114168</vt:i4>
      </vt:variant>
      <vt:variant>
        <vt:i4>170</vt:i4>
      </vt:variant>
      <vt:variant>
        <vt:i4>0</vt:i4>
      </vt:variant>
      <vt:variant>
        <vt:i4>5</vt:i4>
      </vt:variant>
      <vt:variant>
        <vt:lpwstr/>
      </vt:variant>
      <vt:variant>
        <vt:lpwstr>_Toc126580718</vt:lpwstr>
      </vt:variant>
      <vt:variant>
        <vt:i4>1114168</vt:i4>
      </vt:variant>
      <vt:variant>
        <vt:i4>164</vt:i4>
      </vt:variant>
      <vt:variant>
        <vt:i4>0</vt:i4>
      </vt:variant>
      <vt:variant>
        <vt:i4>5</vt:i4>
      </vt:variant>
      <vt:variant>
        <vt:lpwstr/>
      </vt:variant>
      <vt:variant>
        <vt:lpwstr>_Toc126580717</vt:lpwstr>
      </vt:variant>
      <vt:variant>
        <vt:i4>1114168</vt:i4>
      </vt:variant>
      <vt:variant>
        <vt:i4>158</vt:i4>
      </vt:variant>
      <vt:variant>
        <vt:i4>0</vt:i4>
      </vt:variant>
      <vt:variant>
        <vt:i4>5</vt:i4>
      </vt:variant>
      <vt:variant>
        <vt:lpwstr/>
      </vt:variant>
      <vt:variant>
        <vt:lpwstr>_Toc126580716</vt:lpwstr>
      </vt:variant>
      <vt:variant>
        <vt:i4>1114168</vt:i4>
      </vt:variant>
      <vt:variant>
        <vt:i4>152</vt:i4>
      </vt:variant>
      <vt:variant>
        <vt:i4>0</vt:i4>
      </vt:variant>
      <vt:variant>
        <vt:i4>5</vt:i4>
      </vt:variant>
      <vt:variant>
        <vt:lpwstr/>
      </vt:variant>
      <vt:variant>
        <vt:lpwstr>_Toc126580715</vt:lpwstr>
      </vt:variant>
      <vt:variant>
        <vt:i4>1114168</vt:i4>
      </vt:variant>
      <vt:variant>
        <vt:i4>146</vt:i4>
      </vt:variant>
      <vt:variant>
        <vt:i4>0</vt:i4>
      </vt:variant>
      <vt:variant>
        <vt:i4>5</vt:i4>
      </vt:variant>
      <vt:variant>
        <vt:lpwstr/>
      </vt:variant>
      <vt:variant>
        <vt:lpwstr>_Toc126580714</vt:lpwstr>
      </vt:variant>
      <vt:variant>
        <vt:i4>1114168</vt:i4>
      </vt:variant>
      <vt:variant>
        <vt:i4>140</vt:i4>
      </vt:variant>
      <vt:variant>
        <vt:i4>0</vt:i4>
      </vt:variant>
      <vt:variant>
        <vt:i4>5</vt:i4>
      </vt:variant>
      <vt:variant>
        <vt:lpwstr/>
      </vt:variant>
      <vt:variant>
        <vt:lpwstr>_Toc126580713</vt:lpwstr>
      </vt:variant>
      <vt:variant>
        <vt:i4>1114168</vt:i4>
      </vt:variant>
      <vt:variant>
        <vt:i4>134</vt:i4>
      </vt:variant>
      <vt:variant>
        <vt:i4>0</vt:i4>
      </vt:variant>
      <vt:variant>
        <vt:i4>5</vt:i4>
      </vt:variant>
      <vt:variant>
        <vt:lpwstr/>
      </vt:variant>
      <vt:variant>
        <vt:lpwstr>_Toc126580712</vt:lpwstr>
      </vt:variant>
      <vt:variant>
        <vt:i4>1114168</vt:i4>
      </vt:variant>
      <vt:variant>
        <vt:i4>128</vt:i4>
      </vt:variant>
      <vt:variant>
        <vt:i4>0</vt:i4>
      </vt:variant>
      <vt:variant>
        <vt:i4>5</vt:i4>
      </vt:variant>
      <vt:variant>
        <vt:lpwstr/>
      </vt:variant>
      <vt:variant>
        <vt:lpwstr>_Toc126580711</vt:lpwstr>
      </vt:variant>
      <vt:variant>
        <vt:i4>1114168</vt:i4>
      </vt:variant>
      <vt:variant>
        <vt:i4>122</vt:i4>
      </vt:variant>
      <vt:variant>
        <vt:i4>0</vt:i4>
      </vt:variant>
      <vt:variant>
        <vt:i4>5</vt:i4>
      </vt:variant>
      <vt:variant>
        <vt:lpwstr/>
      </vt:variant>
      <vt:variant>
        <vt:lpwstr>_Toc126580710</vt:lpwstr>
      </vt:variant>
      <vt:variant>
        <vt:i4>1048632</vt:i4>
      </vt:variant>
      <vt:variant>
        <vt:i4>116</vt:i4>
      </vt:variant>
      <vt:variant>
        <vt:i4>0</vt:i4>
      </vt:variant>
      <vt:variant>
        <vt:i4>5</vt:i4>
      </vt:variant>
      <vt:variant>
        <vt:lpwstr/>
      </vt:variant>
      <vt:variant>
        <vt:lpwstr>_Toc126580709</vt:lpwstr>
      </vt:variant>
      <vt:variant>
        <vt:i4>1048632</vt:i4>
      </vt:variant>
      <vt:variant>
        <vt:i4>110</vt:i4>
      </vt:variant>
      <vt:variant>
        <vt:i4>0</vt:i4>
      </vt:variant>
      <vt:variant>
        <vt:i4>5</vt:i4>
      </vt:variant>
      <vt:variant>
        <vt:lpwstr/>
      </vt:variant>
      <vt:variant>
        <vt:lpwstr>_Toc126580708</vt:lpwstr>
      </vt:variant>
      <vt:variant>
        <vt:i4>1048632</vt:i4>
      </vt:variant>
      <vt:variant>
        <vt:i4>104</vt:i4>
      </vt:variant>
      <vt:variant>
        <vt:i4>0</vt:i4>
      </vt:variant>
      <vt:variant>
        <vt:i4>5</vt:i4>
      </vt:variant>
      <vt:variant>
        <vt:lpwstr/>
      </vt:variant>
      <vt:variant>
        <vt:lpwstr>_Toc126580707</vt:lpwstr>
      </vt:variant>
      <vt:variant>
        <vt:i4>1048632</vt:i4>
      </vt:variant>
      <vt:variant>
        <vt:i4>98</vt:i4>
      </vt:variant>
      <vt:variant>
        <vt:i4>0</vt:i4>
      </vt:variant>
      <vt:variant>
        <vt:i4>5</vt:i4>
      </vt:variant>
      <vt:variant>
        <vt:lpwstr/>
      </vt:variant>
      <vt:variant>
        <vt:lpwstr>_Toc126580706</vt:lpwstr>
      </vt:variant>
      <vt:variant>
        <vt:i4>1048632</vt:i4>
      </vt:variant>
      <vt:variant>
        <vt:i4>92</vt:i4>
      </vt:variant>
      <vt:variant>
        <vt:i4>0</vt:i4>
      </vt:variant>
      <vt:variant>
        <vt:i4>5</vt:i4>
      </vt:variant>
      <vt:variant>
        <vt:lpwstr/>
      </vt:variant>
      <vt:variant>
        <vt:lpwstr>_Toc126580705</vt:lpwstr>
      </vt:variant>
      <vt:variant>
        <vt:i4>1048632</vt:i4>
      </vt:variant>
      <vt:variant>
        <vt:i4>86</vt:i4>
      </vt:variant>
      <vt:variant>
        <vt:i4>0</vt:i4>
      </vt:variant>
      <vt:variant>
        <vt:i4>5</vt:i4>
      </vt:variant>
      <vt:variant>
        <vt:lpwstr/>
      </vt:variant>
      <vt:variant>
        <vt:lpwstr>_Toc126580704</vt:lpwstr>
      </vt:variant>
      <vt:variant>
        <vt:i4>1048632</vt:i4>
      </vt:variant>
      <vt:variant>
        <vt:i4>80</vt:i4>
      </vt:variant>
      <vt:variant>
        <vt:i4>0</vt:i4>
      </vt:variant>
      <vt:variant>
        <vt:i4>5</vt:i4>
      </vt:variant>
      <vt:variant>
        <vt:lpwstr/>
      </vt:variant>
      <vt:variant>
        <vt:lpwstr>_Toc126580703</vt:lpwstr>
      </vt:variant>
      <vt:variant>
        <vt:i4>1048632</vt:i4>
      </vt:variant>
      <vt:variant>
        <vt:i4>74</vt:i4>
      </vt:variant>
      <vt:variant>
        <vt:i4>0</vt:i4>
      </vt:variant>
      <vt:variant>
        <vt:i4>5</vt:i4>
      </vt:variant>
      <vt:variant>
        <vt:lpwstr/>
      </vt:variant>
      <vt:variant>
        <vt:lpwstr>_Toc126580702</vt:lpwstr>
      </vt:variant>
      <vt:variant>
        <vt:i4>1048632</vt:i4>
      </vt:variant>
      <vt:variant>
        <vt:i4>68</vt:i4>
      </vt:variant>
      <vt:variant>
        <vt:i4>0</vt:i4>
      </vt:variant>
      <vt:variant>
        <vt:i4>5</vt:i4>
      </vt:variant>
      <vt:variant>
        <vt:lpwstr/>
      </vt:variant>
      <vt:variant>
        <vt:lpwstr>_Toc126580701</vt:lpwstr>
      </vt:variant>
      <vt:variant>
        <vt:i4>1048632</vt:i4>
      </vt:variant>
      <vt:variant>
        <vt:i4>62</vt:i4>
      </vt:variant>
      <vt:variant>
        <vt:i4>0</vt:i4>
      </vt:variant>
      <vt:variant>
        <vt:i4>5</vt:i4>
      </vt:variant>
      <vt:variant>
        <vt:lpwstr/>
      </vt:variant>
      <vt:variant>
        <vt:lpwstr>_Toc126580700</vt:lpwstr>
      </vt:variant>
      <vt:variant>
        <vt:i4>1638457</vt:i4>
      </vt:variant>
      <vt:variant>
        <vt:i4>56</vt:i4>
      </vt:variant>
      <vt:variant>
        <vt:i4>0</vt:i4>
      </vt:variant>
      <vt:variant>
        <vt:i4>5</vt:i4>
      </vt:variant>
      <vt:variant>
        <vt:lpwstr/>
      </vt:variant>
      <vt:variant>
        <vt:lpwstr>_Toc126580699</vt:lpwstr>
      </vt:variant>
      <vt:variant>
        <vt:i4>1638457</vt:i4>
      </vt:variant>
      <vt:variant>
        <vt:i4>50</vt:i4>
      </vt:variant>
      <vt:variant>
        <vt:i4>0</vt:i4>
      </vt:variant>
      <vt:variant>
        <vt:i4>5</vt:i4>
      </vt:variant>
      <vt:variant>
        <vt:lpwstr/>
      </vt:variant>
      <vt:variant>
        <vt:lpwstr>_Toc126580698</vt:lpwstr>
      </vt:variant>
      <vt:variant>
        <vt:i4>1638457</vt:i4>
      </vt:variant>
      <vt:variant>
        <vt:i4>44</vt:i4>
      </vt:variant>
      <vt:variant>
        <vt:i4>0</vt:i4>
      </vt:variant>
      <vt:variant>
        <vt:i4>5</vt:i4>
      </vt:variant>
      <vt:variant>
        <vt:lpwstr/>
      </vt:variant>
      <vt:variant>
        <vt:lpwstr>_Toc126580697</vt:lpwstr>
      </vt:variant>
      <vt:variant>
        <vt:i4>1638457</vt:i4>
      </vt:variant>
      <vt:variant>
        <vt:i4>38</vt:i4>
      </vt:variant>
      <vt:variant>
        <vt:i4>0</vt:i4>
      </vt:variant>
      <vt:variant>
        <vt:i4>5</vt:i4>
      </vt:variant>
      <vt:variant>
        <vt:lpwstr/>
      </vt:variant>
      <vt:variant>
        <vt:lpwstr>_Toc126580696</vt:lpwstr>
      </vt:variant>
      <vt:variant>
        <vt:i4>1638457</vt:i4>
      </vt:variant>
      <vt:variant>
        <vt:i4>32</vt:i4>
      </vt:variant>
      <vt:variant>
        <vt:i4>0</vt:i4>
      </vt:variant>
      <vt:variant>
        <vt:i4>5</vt:i4>
      </vt:variant>
      <vt:variant>
        <vt:lpwstr/>
      </vt:variant>
      <vt:variant>
        <vt:lpwstr>_Toc126580695</vt:lpwstr>
      </vt:variant>
      <vt:variant>
        <vt:i4>1638457</vt:i4>
      </vt:variant>
      <vt:variant>
        <vt:i4>26</vt:i4>
      </vt:variant>
      <vt:variant>
        <vt:i4>0</vt:i4>
      </vt:variant>
      <vt:variant>
        <vt:i4>5</vt:i4>
      </vt:variant>
      <vt:variant>
        <vt:lpwstr/>
      </vt:variant>
      <vt:variant>
        <vt:lpwstr>_Toc126580694</vt:lpwstr>
      </vt:variant>
      <vt:variant>
        <vt:i4>1638457</vt:i4>
      </vt:variant>
      <vt:variant>
        <vt:i4>20</vt:i4>
      </vt:variant>
      <vt:variant>
        <vt:i4>0</vt:i4>
      </vt:variant>
      <vt:variant>
        <vt:i4>5</vt:i4>
      </vt:variant>
      <vt:variant>
        <vt:lpwstr/>
      </vt:variant>
      <vt:variant>
        <vt:lpwstr>_Toc126580693</vt:lpwstr>
      </vt:variant>
      <vt:variant>
        <vt:i4>1638457</vt:i4>
      </vt:variant>
      <vt:variant>
        <vt:i4>14</vt:i4>
      </vt:variant>
      <vt:variant>
        <vt:i4>0</vt:i4>
      </vt:variant>
      <vt:variant>
        <vt:i4>5</vt:i4>
      </vt:variant>
      <vt:variant>
        <vt:lpwstr/>
      </vt:variant>
      <vt:variant>
        <vt:lpwstr>_Toc126580692</vt:lpwstr>
      </vt:variant>
      <vt:variant>
        <vt:i4>1638457</vt:i4>
      </vt:variant>
      <vt:variant>
        <vt:i4>8</vt:i4>
      </vt:variant>
      <vt:variant>
        <vt:i4>0</vt:i4>
      </vt:variant>
      <vt:variant>
        <vt:i4>5</vt:i4>
      </vt:variant>
      <vt:variant>
        <vt:lpwstr/>
      </vt:variant>
      <vt:variant>
        <vt:lpwstr>_Toc126580691</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6619238</vt:i4>
      </vt:variant>
      <vt:variant>
        <vt:i4>21</vt:i4>
      </vt:variant>
      <vt:variant>
        <vt:i4>0</vt:i4>
      </vt:variant>
      <vt:variant>
        <vt:i4>5</vt:i4>
      </vt:variant>
      <vt:variant>
        <vt:lpwstr>https://www.etsi.org/deliver/etsi_ts/138100_138199/138104/16.04.00_60/ts_138104v160400p.pdf</vt:lpwstr>
      </vt:variant>
      <vt:variant>
        <vt:lpwstr/>
      </vt:variant>
      <vt:variant>
        <vt:i4>6488185</vt:i4>
      </vt:variant>
      <vt:variant>
        <vt:i4>18</vt:i4>
      </vt:variant>
      <vt:variant>
        <vt:i4>0</vt:i4>
      </vt:variant>
      <vt:variant>
        <vt:i4>5</vt:i4>
      </vt:variant>
      <vt:variant>
        <vt:lpwstr>https://aus01.safelinks.protection.outlook.com/?url=https%3A%2F%2Fpublic-inspection.federalregister.gov%2F2023-00420.pdf&amp;data=05%7C01%7CChristopher.Hose%40acma.gov.au%7C60123ec525b54318240108daf296825c%7C0dac7f39d20c4e718af371ee7e268a2b%7C0%7C0%7C638089025487426138%7CUnknown%7CTWFpbGZsb3d8eyJWIjoiMC4wLjAwMDAiLCJQIjoiV2luMzIiLCJBTiI6Ik1haWwiLCJXVCI6Mn0%3D%7C3000%7C%7C%7C&amp;sdata=2Nzg7tvi3NaNCyaP0DbznPyTR%2FIKu6ihGvNXCNKQdEw%3D&amp;reserved=0</vt:lpwstr>
      </vt:variant>
      <vt:variant>
        <vt:lpwstr/>
      </vt:variant>
      <vt:variant>
        <vt:i4>2228328</vt:i4>
      </vt:variant>
      <vt:variant>
        <vt:i4>15</vt:i4>
      </vt:variant>
      <vt:variant>
        <vt:i4>0</vt:i4>
      </vt:variant>
      <vt:variant>
        <vt:i4>5</vt:i4>
      </vt:variant>
      <vt:variant>
        <vt:lpwstr>https://ised-isde.canada.ca/site/spectrum-management-telecommunications/en/learn-more/key-documents/consultations/consultation-srsp-520-issue-3-and-rss-192-issue-5-annexes</vt:lpwstr>
      </vt:variant>
      <vt:variant>
        <vt:lpwstr/>
      </vt:variant>
      <vt:variant>
        <vt:i4>2228271</vt:i4>
      </vt:variant>
      <vt:variant>
        <vt:i4>12</vt:i4>
      </vt:variant>
      <vt:variant>
        <vt:i4>0</vt:i4>
      </vt:variant>
      <vt:variant>
        <vt:i4>5</vt:i4>
      </vt:variant>
      <vt:variant>
        <vt:lpwstr>https://gsacom.com/paper/mid-band-spectrum-december-2022-member-report/</vt:lpwstr>
      </vt:variant>
      <vt:variant>
        <vt:lpwstr/>
      </vt:variant>
      <vt:variant>
        <vt:i4>1310737</vt:i4>
      </vt:variant>
      <vt:variant>
        <vt:i4>9</vt:i4>
      </vt:variant>
      <vt:variant>
        <vt:i4>0</vt:i4>
      </vt:variant>
      <vt:variant>
        <vt:i4>5</vt:i4>
      </vt:variant>
      <vt:variant>
        <vt:lpwstr>https://www.coleago.com/app/uploads/2020/09/2300MHz-spectrum-for-5G-30-July-2020.pdf</vt:lpwstr>
      </vt:variant>
      <vt:variant>
        <vt:lpwstr/>
      </vt:variant>
      <vt:variant>
        <vt:i4>1441877</vt:i4>
      </vt:variant>
      <vt:variant>
        <vt:i4>3</vt:i4>
      </vt:variant>
      <vt:variant>
        <vt:i4>0</vt:i4>
      </vt:variant>
      <vt:variant>
        <vt:i4>5</vt:i4>
      </vt:variant>
      <vt:variant>
        <vt:lpwstr>https://www.acma.gov.au/consultations/2022-03/proposed-spectrum-re-allocation-declaration-34-ghz-and-37-ghz-bands-consultation-102022</vt:lpwstr>
      </vt:variant>
      <vt:variant>
        <vt:lpwstr/>
      </vt:variant>
      <vt:variant>
        <vt:i4>4587526</vt:i4>
      </vt:variant>
      <vt:variant>
        <vt:i4>0</vt:i4>
      </vt:variant>
      <vt:variant>
        <vt:i4>0</vt:i4>
      </vt:variant>
      <vt:variant>
        <vt:i4>5</vt:i4>
      </vt:variant>
      <vt:variant>
        <vt:lpwstr>https://www.acma.gov.au/allocating-34-40-ghz-band</vt:lpwstr>
      </vt:variant>
      <vt:variant>
        <vt:lpwstr/>
      </vt:variant>
      <vt:variant>
        <vt:i4>5374065</vt:i4>
      </vt:variant>
      <vt:variant>
        <vt:i4>0</vt:i4>
      </vt:variant>
      <vt:variant>
        <vt:i4>0</vt:i4>
      </vt:variant>
      <vt:variant>
        <vt:i4>5</vt:i4>
      </vt:variant>
      <vt:variant>
        <vt:lpwstr>mailto:Douglas.Iles@acma.gov.au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2023-07-13T04:54:00Z</dcterms:created>
  <dcterms:modified xsi:type="dcterms:W3CDTF">2023-07-13T04:55:00Z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597961c1-e8c4-45b7-b610-6a9d9fff1e5d</vt:lpwstr>
  </property>
  <property fmtid="{D5CDD505-2E9C-101B-9397-08002B2CF9AE}" pid="4" name="MediaServiceImageTags">
    <vt:lpwstr/>
  </property>
</Properties>
</file>