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9289776" w:displacedByCustomXml="next"/>
    <w:bookmarkStart w:id="1" w:name="_Toc19289643" w:displacedByCustomXml="next"/>
    <w:bookmarkStart w:id="2" w:name="_Toc134799112" w:displacedByCustomXml="next"/>
    <w:bookmarkStart w:id="3" w:name="_Toc134532030" w:displacedByCustomXml="next"/>
    <w:bookmarkStart w:id="4" w:name="_Toc136008446" w:displacedByCustomXml="next"/>
    <w:bookmarkStart w:id="5" w:name="_Toc136008484" w:displacedByCustomXml="next"/>
    <w:bookmarkStart w:id="6" w:name="_Toc136008579" w:displacedByCustomXml="next"/>
    <w:bookmarkStart w:id="7" w:name="_Toc136008613"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sdtContent>
        <w:bookmarkEnd w:id="1" w:displacedByCustomXml="prev"/>
        <w:bookmarkEnd w:id="0" w:displacedByCustomXml="prev"/>
        <w:p w14:paraId="3AF56D35" w14:textId="110C0742" w:rsidR="0068286F" w:rsidRDefault="00DC5D38" w:rsidP="00A540AE">
          <w:pPr>
            <w:pStyle w:val="Title"/>
          </w:pPr>
          <w:r>
            <w:t>Co</w:t>
          </w:r>
          <w:bookmarkStart w:id="8" w:name="_GoBack"/>
          <w:bookmarkEnd w:id="8"/>
          <w:r>
            <w:t xml:space="preserve">untry of </w:t>
          </w:r>
          <w:r w:rsidR="00A6697F">
            <w:t>origin labelling for seafood in hospitality settings</w:t>
          </w:r>
          <w:bookmarkEnd w:id="7"/>
          <w:bookmarkEnd w:id="6"/>
          <w:bookmarkEnd w:id="5"/>
          <w:bookmarkEnd w:id="4"/>
          <w:bookmarkEnd w:id="3"/>
          <w:bookmarkEnd w:id="2"/>
        </w:p>
        <w:p w14:paraId="746B6A16" w14:textId="4FA6FC23" w:rsidR="00697567" w:rsidRPr="00A540AE" w:rsidRDefault="00DC5D38" w:rsidP="00A540AE">
          <w:pPr>
            <w:pStyle w:val="Subtitle"/>
          </w:pPr>
          <w:r>
            <w:t xml:space="preserve">Consultation </w:t>
          </w:r>
          <w:r w:rsidR="005379AA">
            <w:t xml:space="preserve">Regulation </w:t>
          </w:r>
          <w:r>
            <w:t>Impact Statement</w:t>
          </w:r>
        </w:p>
        <w:p w14:paraId="57D1B40B" w14:textId="77777777" w:rsidR="00697567" w:rsidRDefault="00697567" w:rsidP="00A540AE">
          <w:pPr>
            <w:pStyle w:val="Subtitle"/>
          </w:pPr>
        </w:p>
        <w:p w14:paraId="22F4F31F" w14:textId="77777777" w:rsidR="0068286F" w:rsidRPr="00FE7F44" w:rsidRDefault="00DC5D38" w:rsidP="00FE7F44">
          <w:pPr>
            <w:pStyle w:val="Authoranddate"/>
          </w:pPr>
          <w:r>
            <w:t>Department of Industry, Science and Resources</w:t>
          </w:r>
        </w:p>
        <w:p w14:paraId="2A1FC009" w14:textId="77777777" w:rsidR="0068286F" w:rsidRPr="00FE7F44" w:rsidRDefault="00DC5D38" w:rsidP="00FE7F44">
          <w:pPr>
            <w:pStyle w:val="Authoranddate"/>
          </w:pPr>
          <w:r>
            <w:t>June 2023</w:t>
          </w:r>
        </w:p>
        <w:p w14:paraId="1F16CF98" w14:textId="77777777" w:rsidR="0068286F" w:rsidRPr="00806473" w:rsidRDefault="0068286F">
          <w:r w:rsidRPr="00806473">
            <w:br w:type="page"/>
          </w:r>
        </w:p>
        <w:p w14:paraId="4926C825" w14:textId="77777777" w:rsidR="001D216A" w:rsidRDefault="001D216A" w:rsidP="00E3027E">
          <w:pPr>
            <w:pStyle w:val="Heading2"/>
          </w:pPr>
          <w:bookmarkStart w:id="9" w:name="_Toc19023739"/>
          <w:bookmarkStart w:id="10" w:name="_Toc19289644"/>
          <w:bookmarkStart w:id="11" w:name="_Toc19289777"/>
          <w:bookmarkStart w:id="12" w:name="_Toc134532031"/>
          <w:bookmarkStart w:id="13" w:name="_Toc134799113"/>
          <w:bookmarkStart w:id="14" w:name="_Toc136008447"/>
          <w:bookmarkStart w:id="15" w:name="_Toc136008485"/>
          <w:bookmarkStart w:id="16" w:name="_Toc136008580"/>
          <w:bookmarkStart w:id="17" w:name="_Toc136008614"/>
          <w:r w:rsidRPr="001D216A">
            <w:lastRenderedPageBreak/>
            <w:t>Copyright</w:t>
          </w:r>
          <w:bookmarkEnd w:id="9"/>
          <w:bookmarkEnd w:id="10"/>
          <w:bookmarkEnd w:id="11"/>
          <w:bookmarkEnd w:id="12"/>
          <w:bookmarkEnd w:id="13"/>
          <w:bookmarkEnd w:id="14"/>
          <w:bookmarkEnd w:id="15"/>
          <w:bookmarkEnd w:id="16"/>
          <w:bookmarkEnd w:id="17"/>
        </w:p>
        <w:p w14:paraId="6FD909AE" w14:textId="77777777" w:rsidR="0068286F" w:rsidRPr="0068286F" w:rsidRDefault="0068286F" w:rsidP="0068286F">
          <w:pPr>
            <w:rPr>
              <w:rStyle w:val="Strong"/>
            </w:rPr>
          </w:pPr>
          <w:r w:rsidRPr="0068286F">
            <w:rPr>
              <w:rStyle w:val="Strong"/>
            </w:rPr>
            <w:t xml:space="preserve">© Commonwealth of </w:t>
          </w:r>
          <w:r w:rsidRPr="000F2564">
            <w:rPr>
              <w:rStyle w:val="Strong"/>
            </w:rPr>
            <w:t>Australia 20</w:t>
          </w:r>
          <w:r w:rsidR="00DE4121">
            <w:rPr>
              <w:rStyle w:val="Strong"/>
            </w:rPr>
            <w:t>2</w:t>
          </w:r>
          <w:r w:rsidR="00DC5D38">
            <w:rPr>
              <w:rStyle w:val="Strong"/>
            </w:rPr>
            <w:t>3</w:t>
          </w:r>
        </w:p>
        <w:p w14:paraId="74555B08" w14:textId="77777777" w:rsidR="0068286F" w:rsidRPr="0068286F" w:rsidRDefault="0068286F" w:rsidP="0068286F">
          <w:pPr>
            <w:rPr>
              <w:rStyle w:val="Strong"/>
            </w:rPr>
          </w:pPr>
          <w:r w:rsidRPr="0068286F">
            <w:rPr>
              <w:rStyle w:val="Strong"/>
            </w:rPr>
            <w:t>Ownership of intellectual property rights</w:t>
          </w:r>
        </w:p>
        <w:p w14:paraId="099247CF" w14:textId="77777777" w:rsidR="0068286F" w:rsidRDefault="0068286F" w:rsidP="0068286F">
          <w:r>
            <w:t>Unless otherwise noted, copyright (and any other intellectual property rights, if any) in this publication is owned by the Commonwealth of Australia.</w:t>
          </w:r>
        </w:p>
        <w:p w14:paraId="4BD97417" w14:textId="77777777" w:rsidR="0068286F" w:rsidRDefault="0068286F" w:rsidP="0068286F">
          <w:pPr>
            <w:rPr>
              <w:rStyle w:val="Strong"/>
            </w:rPr>
          </w:pPr>
          <w:r w:rsidRPr="0068286F">
            <w:rPr>
              <w:rStyle w:val="Strong"/>
            </w:rPr>
            <w:t>Creative Commons licence</w:t>
          </w:r>
        </w:p>
        <w:p w14:paraId="7047706B" w14:textId="77777777" w:rsidR="001D216A" w:rsidRPr="0068286F" w:rsidRDefault="001D216A" w:rsidP="0068286F">
          <w:pPr>
            <w:rPr>
              <w:rStyle w:val="Strong"/>
            </w:rPr>
          </w:pPr>
          <w:r>
            <w:rPr>
              <w:b/>
              <w:noProof/>
              <w:lang w:eastAsia="en-AU"/>
            </w:rPr>
            <w:drawing>
              <wp:inline distT="0" distB="0" distL="0" distR="0" wp14:anchorId="5A5DA6BB" wp14:editId="55D22B99">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7FB09F72" w14:textId="77777777" w:rsidR="0068286F" w:rsidRPr="001D216A" w:rsidRDefault="0068286F" w:rsidP="0068286F">
          <w:pPr>
            <w:rPr>
              <w:rStyle w:val="Strong"/>
            </w:rPr>
          </w:pPr>
          <w:r w:rsidRPr="001D216A">
            <w:rPr>
              <w:rStyle w:val="Strong"/>
            </w:rPr>
            <w:t xml:space="preserve">Attribution </w:t>
          </w:r>
        </w:p>
        <w:p w14:paraId="35E1CBE1" w14:textId="77777777" w:rsidR="0068286F" w:rsidRPr="001D216A" w:rsidRDefault="0068286F" w:rsidP="0068286F">
          <w:pPr>
            <w:rPr>
              <w:rStyle w:val="Strong"/>
            </w:rPr>
          </w:pPr>
          <w:r w:rsidRPr="001D216A">
            <w:rPr>
              <w:rStyle w:val="Strong"/>
            </w:rPr>
            <w:t>CC BY</w:t>
          </w:r>
        </w:p>
        <w:p w14:paraId="32574D22"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5A36D563"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9" w:history="1">
            <w:r w:rsidR="001D216A" w:rsidRPr="00DB39DE">
              <w:rPr>
                <w:rStyle w:val="Hyperlink"/>
              </w:rPr>
              <w:t>https://creativecommons.org/licenses/by/4.0/</w:t>
            </w:r>
          </w:hyperlink>
        </w:p>
        <w:p w14:paraId="04A50E1C" w14:textId="77777777" w:rsidR="0068286F" w:rsidRDefault="0068286F" w:rsidP="0068286F">
          <w:r>
            <w:t xml:space="preserve">The full licence terms are available from </w:t>
          </w:r>
          <w:hyperlink r:id="rId10" w:history="1">
            <w:r w:rsidR="001D216A" w:rsidRPr="00DB39DE">
              <w:rPr>
                <w:rStyle w:val="Hyperlink"/>
              </w:rPr>
              <w:t>https://creativecommons.org/licenses/by/4.0/legalcode</w:t>
            </w:r>
          </w:hyperlink>
        </w:p>
        <w:p w14:paraId="4B1B052A" w14:textId="77777777" w:rsidR="0068286F" w:rsidRDefault="0068286F" w:rsidP="0068286F">
          <w:r>
            <w:t xml:space="preserve">Content contained herein should be attributed as </w:t>
          </w:r>
          <w:r w:rsidR="001D216A" w:rsidRPr="0046678C">
            <w:rPr>
              <w:i/>
            </w:rPr>
            <w:t>Report</w:t>
          </w:r>
          <w:r w:rsidRPr="0046678C">
            <w:rPr>
              <w:i/>
            </w:rPr>
            <w:t xml:space="preserve"> title</w:t>
          </w:r>
          <w:r w:rsidR="001D216A" w:rsidRPr="000F2564">
            <w:rPr>
              <w:i/>
            </w:rPr>
            <w:t>, Australian Government Department of Industry, Science</w:t>
          </w:r>
          <w:r w:rsidR="00DE4121">
            <w:rPr>
              <w:i/>
            </w:rPr>
            <w:t xml:space="preserve"> and Resources</w:t>
          </w:r>
          <w:r w:rsidRPr="000F2564">
            <w:t>.</w:t>
          </w:r>
        </w:p>
        <w:p w14:paraId="66A1F08D" w14:textId="77777777" w:rsidR="0068286F" w:rsidRPr="001D216A" w:rsidRDefault="0068286F" w:rsidP="001D216A">
          <w:pPr>
            <w:pStyle w:val="Heading2"/>
          </w:pPr>
          <w:bookmarkStart w:id="18" w:name="_Toc19023740"/>
          <w:bookmarkStart w:id="19" w:name="_Toc19289645"/>
          <w:bookmarkStart w:id="20" w:name="_Toc19289778"/>
          <w:bookmarkStart w:id="21" w:name="_Toc134532032"/>
          <w:bookmarkStart w:id="22" w:name="_Toc134799114"/>
          <w:bookmarkStart w:id="23" w:name="_Toc136008448"/>
          <w:bookmarkStart w:id="24" w:name="_Toc136008486"/>
          <w:bookmarkStart w:id="25" w:name="_Toc136008581"/>
          <w:bookmarkStart w:id="26" w:name="_Toc136008615"/>
          <w:r w:rsidRPr="001D216A">
            <w:t>Disclaimer</w:t>
          </w:r>
          <w:bookmarkEnd w:id="18"/>
          <w:bookmarkEnd w:id="19"/>
          <w:bookmarkEnd w:id="20"/>
          <w:bookmarkEnd w:id="21"/>
          <w:bookmarkEnd w:id="22"/>
          <w:bookmarkEnd w:id="23"/>
          <w:bookmarkEnd w:id="24"/>
          <w:bookmarkEnd w:id="25"/>
          <w:bookmarkEnd w:id="26"/>
        </w:p>
        <w:p w14:paraId="6D963852" w14:textId="77777777" w:rsidR="000F2564" w:rsidRDefault="0068286F" w:rsidP="0068286F">
          <w:r>
            <w:t>The Australian Government as represented by the Department of Industry, Science</w:t>
          </w:r>
          <w:r w:rsidR="00DE4121">
            <w:t xml:space="preserve"> and Resources</w:t>
          </w:r>
          <w:r>
            <w:t xml:space="preserve"> has exercised due care and skill in the preparation and compilation of the information and data in this publication. Notwithstanding, the Commonwealth of Australia,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Australian Government to a particular course of action.</w:t>
          </w:r>
        </w:p>
        <w:p w14:paraId="36FB9F98" w14:textId="77777777" w:rsidR="00DC5D38" w:rsidRDefault="00DC5D38">
          <w:pPr>
            <w:rPr>
              <w:rFonts w:asciiTheme="majorHAnsi" w:eastAsiaTheme="majorEastAsia" w:hAnsiTheme="majorHAnsi" w:cstheme="majorBidi"/>
              <w:color w:val="005677" w:themeColor="text2"/>
              <w:sz w:val="48"/>
              <w:szCs w:val="32"/>
            </w:rPr>
          </w:pPr>
          <w:bookmarkStart w:id="27" w:name="_Toc19289646"/>
          <w:bookmarkStart w:id="28" w:name="_Toc19289779"/>
          <w:r>
            <w:br w:type="page"/>
          </w:r>
        </w:p>
        <w:p w14:paraId="6E266328" w14:textId="77777777" w:rsidR="00E3027E" w:rsidRDefault="00E3027E" w:rsidP="00E3027E">
          <w:pPr>
            <w:pStyle w:val="Heading1"/>
          </w:pPr>
          <w:bookmarkStart w:id="29" w:name="_Toc134532033"/>
          <w:bookmarkStart w:id="30" w:name="_Toc134799115"/>
          <w:bookmarkStart w:id="31" w:name="_Toc136008449"/>
          <w:bookmarkStart w:id="32" w:name="_Toc136008487"/>
          <w:bookmarkStart w:id="33" w:name="_Toc136008582"/>
          <w:bookmarkStart w:id="34" w:name="_Toc136008616"/>
          <w:r>
            <w:lastRenderedPageBreak/>
            <w:t>Contents</w:t>
          </w:r>
          <w:bookmarkEnd w:id="27"/>
          <w:bookmarkEnd w:id="28"/>
          <w:bookmarkEnd w:id="29"/>
          <w:bookmarkEnd w:id="30"/>
          <w:bookmarkEnd w:id="31"/>
          <w:bookmarkEnd w:id="32"/>
          <w:bookmarkEnd w:id="33"/>
          <w:bookmarkEnd w:id="34"/>
        </w:p>
        <w:p w14:paraId="4D90E241" w14:textId="7234B9BC" w:rsidR="00FD4BD9" w:rsidRDefault="00E3027E" w:rsidP="00FD4BD9">
          <w:pPr>
            <w:pStyle w:val="TOC1"/>
            <w:rPr>
              <w:rFonts w:eastAsiaTheme="minorEastAsia"/>
              <w:noProof/>
              <w:lang w:eastAsia="en-AU"/>
            </w:rPr>
          </w:pPr>
          <w:r>
            <w:fldChar w:fldCharType="begin"/>
          </w:r>
          <w:r>
            <w:instrText xml:space="preserve"> TOC \o "1-2" \h \z \u </w:instrText>
          </w:r>
          <w:r>
            <w:fldChar w:fldCharType="separate"/>
          </w:r>
        </w:p>
        <w:p w14:paraId="4A44BD5E" w14:textId="034CB2FE" w:rsidR="00FD4BD9" w:rsidRDefault="002E55B9">
          <w:pPr>
            <w:pStyle w:val="TOC1"/>
            <w:rPr>
              <w:rFonts w:eastAsiaTheme="minorEastAsia"/>
              <w:noProof/>
              <w:lang w:eastAsia="en-AU"/>
            </w:rPr>
          </w:pPr>
          <w:hyperlink w:anchor="_Toc136008617" w:history="1">
            <w:r w:rsidR="00FD4BD9" w:rsidRPr="0029467A">
              <w:rPr>
                <w:rStyle w:val="Hyperlink"/>
                <w:noProof/>
              </w:rPr>
              <w:t>Consultation Process</w:t>
            </w:r>
            <w:r w:rsidR="00FD4BD9">
              <w:rPr>
                <w:noProof/>
                <w:webHidden/>
              </w:rPr>
              <w:tab/>
            </w:r>
            <w:r w:rsidR="00FD4BD9">
              <w:rPr>
                <w:noProof/>
                <w:webHidden/>
              </w:rPr>
              <w:fldChar w:fldCharType="begin"/>
            </w:r>
            <w:r w:rsidR="00FD4BD9">
              <w:rPr>
                <w:noProof/>
                <w:webHidden/>
              </w:rPr>
              <w:instrText xml:space="preserve"> PAGEREF _Toc136008617 \h </w:instrText>
            </w:r>
            <w:r w:rsidR="00FD4BD9">
              <w:rPr>
                <w:noProof/>
                <w:webHidden/>
              </w:rPr>
            </w:r>
            <w:r w:rsidR="00FD4BD9">
              <w:rPr>
                <w:noProof/>
                <w:webHidden/>
              </w:rPr>
              <w:fldChar w:fldCharType="separate"/>
            </w:r>
            <w:r w:rsidR="00D07433">
              <w:rPr>
                <w:noProof/>
                <w:webHidden/>
              </w:rPr>
              <w:t>3</w:t>
            </w:r>
            <w:r w:rsidR="00FD4BD9">
              <w:rPr>
                <w:noProof/>
                <w:webHidden/>
              </w:rPr>
              <w:fldChar w:fldCharType="end"/>
            </w:r>
          </w:hyperlink>
        </w:p>
        <w:p w14:paraId="4A218C40" w14:textId="3FF20085" w:rsidR="00FD4BD9" w:rsidRDefault="002E55B9" w:rsidP="009C69F5">
          <w:pPr>
            <w:pStyle w:val="TOC2"/>
            <w:rPr>
              <w:rFonts w:eastAsiaTheme="minorEastAsia"/>
              <w:noProof/>
              <w:lang w:eastAsia="en-AU"/>
            </w:rPr>
          </w:pPr>
          <w:hyperlink w:anchor="_Toc136008618" w:history="1">
            <w:r w:rsidR="00FD4BD9" w:rsidRPr="0029467A">
              <w:rPr>
                <w:rStyle w:val="Hyperlink"/>
                <w:noProof/>
              </w:rPr>
              <w:t>Request for submissions</w:t>
            </w:r>
            <w:r w:rsidR="00FD4BD9">
              <w:rPr>
                <w:noProof/>
                <w:webHidden/>
              </w:rPr>
              <w:tab/>
            </w:r>
            <w:r w:rsidR="00FD4BD9">
              <w:rPr>
                <w:noProof/>
                <w:webHidden/>
              </w:rPr>
              <w:fldChar w:fldCharType="begin"/>
            </w:r>
            <w:r w:rsidR="00FD4BD9">
              <w:rPr>
                <w:noProof/>
                <w:webHidden/>
              </w:rPr>
              <w:instrText xml:space="preserve"> PAGEREF _Toc136008618 \h </w:instrText>
            </w:r>
            <w:r w:rsidR="00FD4BD9">
              <w:rPr>
                <w:noProof/>
                <w:webHidden/>
              </w:rPr>
            </w:r>
            <w:r w:rsidR="00FD4BD9">
              <w:rPr>
                <w:noProof/>
                <w:webHidden/>
              </w:rPr>
              <w:fldChar w:fldCharType="separate"/>
            </w:r>
            <w:r w:rsidR="00D07433">
              <w:rPr>
                <w:noProof/>
                <w:webHidden/>
              </w:rPr>
              <w:t>3</w:t>
            </w:r>
            <w:r w:rsidR="00FD4BD9">
              <w:rPr>
                <w:noProof/>
                <w:webHidden/>
              </w:rPr>
              <w:fldChar w:fldCharType="end"/>
            </w:r>
          </w:hyperlink>
        </w:p>
        <w:p w14:paraId="040E4992" w14:textId="31ADA3B7" w:rsidR="00FD4BD9" w:rsidRDefault="002E55B9">
          <w:pPr>
            <w:pStyle w:val="TOC1"/>
            <w:rPr>
              <w:rFonts w:eastAsiaTheme="minorEastAsia"/>
              <w:noProof/>
              <w:lang w:eastAsia="en-AU"/>
            </w:rPr>
          </w:pPr>
          <w:hyperlink w:anchor="_Toc136008619" w:history="1">
            <w:r w:rsidR="00FD4BD9" w:rsidRPr="0029467A">
              <w:rPr>
                <w:rStyle w:val="Hyperlink"/>
                <w:noProof/>
              </w:rPr>
              <w:t>Glossary of terms</w:t>
            </w:r>
            <w:r w:rsidR="00FD4BD9">
              <w:rPr>
                <w:noProof/>
                <w:webHidden/>
              </w:rPr>
              <w:tab/>
            </w:r>
            <w:r w:rsidR="00FD4BD9">
              <w:rPr>
                <w:noProof/>
                <w:webHidden/>
              </w:rPr>
              <w:fldChar w:fldCharType="begin"/>
            </w:r>
            <w:r w:rsidR="00FD4BD9">
              <w:rPr>
                <w:noProof/>
                <w:webHidden/>
              </w:rPr>
              <w:instrText xml:space="preserve"> PAGEREF _Toc136008619 \h </w:instrText>
            </w:r>
            <w:r w:rsidR="00FD4BD9">
              <w:rPr>
                <w:noProof/>
                <w:webHidden/>
              </w:rPr>
            </w:r>
            <w:r w:rsidR="00FD4BD9">
              <w:rPr>
                <w:noProof/>
                <w:webHidden/>
              </w:rPr>
              <w:fldChar w:fldCharType="separate"/>
            </w:r>
            <w:r w:rsidR="00D07433">
              <w:rPr>
                <w:noProof/>
                <w:webHidden/>
              </w:rPr>
              <w:t>5</w:t>
            </w:r>
            <w:r w:rsidR="00FD4BD9">
              <w:rPr>
                <w:noProof/>
                <w:webHidden/>
              </w:rPr>
              <w:fldChar w:fldCharType="end"/>
            </w:r>
          </w:hyperlink>
        </w:p>
        <w:p w14:paraId="3329231B" w14:textId="40328256" w:rsidR="00FD4BD9" w:rsidRDefault="002E55B9">
          <w:pPr>
            <w:pStyle w:val="TOC1"/>
            <w:tabs>
              <w:tab w:val="left" w:pos="440"/>
            </w:tabs>
            <w:rPr>
              <w:rFonts w:eastAsiaTheme="minorEastAsia"/>
              <w:noProof/>
              <w:lang w:eastAsia="en-AU"/>
            </w:rPr>
          </w:pPr>
          <w:hyperlink w:anchor="_Toc136008620" w:history="1">
            <w:r w:rsidR="00FD4BD9" w:rsidRPr="0029467A">
              <w:rPr>
                <w:rStyle w:val="Hyperlink"/>
                <w:noProof/>
              </w:rPr>
              <w:t>1.</w:t>
            </w:r>
            <w:r w:rsidR="00FD4BD9">
              <w:rPr>
                <w:rFonts w:eastAsiaTheme="minorEastAsia"/>
                <w:noProof/>
                <w:lang w:eastAsia="en-AU"/>
              </w:rPr>
              <w:tab/>
            </w:r>
            <w:r w:rsidR="00FD4BD9" w:rsidRPr="0029467A">
              <w:rPr>
                <w:rStyle w:val="Hyperlink"/>
                <w:noProof/>
              </w:rPr>
              <w:t>Introduction</w:t>
            </w:r>
            <w:r w:rsidR="00FD4BD9">
              <w:rPr>
                <w:noProof/>
                <w:webHidden/>
              </w:rPr>
              <w:tab/>
            </w:r>
            <w:r w:rsidR="00FD4BD9">
              <w:rPr>
                <w:noProof/>
                <w:webHidden/>
              </w:rPr>
              <w:fldChar w:fldCharType="begin"/>
            </w:r>
            <w:r w:rsidR="00FD4BD9">
              <w:rPr>
                <w:noProof/>
                <w:webHidden/>
              </w:rPr>
              <w:instrText xml:space="preserve"> PAGEREF _Toc136008620 \h </w:instrText>
            </w:r>
            <w:r w:rsidR="00FD4BD9">
              <w:rPr>
                <w:noProof/>
                <w:webHidden/>
              </w:rPr>
            </w:r>
            <w:r w:rsidR="00FD4BD9">
              <w:rPr>
                <w:noProof/>
                <w:webHidden/>
              </w:rPr>
              <w:fldChar w:fldCharType="separate"/>
            </w:r>
            <w:r w:rsidR="00D07433">
              <w:rPr>
                <w:noProof/>
                <w:webHidden/>
              </w:rPr>
              <w:t>6</w:t>
            </w:r>
            <w:r w:rsidR="00FD4BD9">
              <w:rPr>
                <w:noProof/>
                <w:webHidden/>
              </w:rPr>
              <w:fldChar w:fldCharType="end"/>
            </w:r>
          </w:hyperlink>
        </w:p>
        <w:p w14:paraId="4C349E12" w14:textId="73FA3F3B" w:rsidR="00FD4BD9" w:rsidRDefault="002E55B9" w:rsidP="009C69F5">
          <w:pPr>
            <w:pStyle w:val="TOC2"/>
            <w:rPr>
              <w:rFonts w:eastAsiaTheme="minorEastAsia"/>
              <w:noProof/>
              <w:lang w:eastAsia="en-AU"/>
            </w:rPr>
          </w:pPr>
          <w:hyperlink w:anchor="_Toc136008621" w:history="1">
            <w:r w:rsidR="00FD4BD9" w:rsidRPr="0029467A">
              <w:rPr>
                <w:rStyle w:val="Hyperlink"/>
                <w:noProof/>
              </w:rPr>
              <w:t>Purpose</w:t>
            </w:r>
            <w:r w:rsidR="00FD4BD9">
              <w:rPr>
                <w:noProof/>
                <w:webHidden/>
              </w:rPr>
              <w:tab/>
            </w:r>
            <w:r w:rsidR="00FD4BD9">
              <w:rPr>
                <w:noProof/>
                <w:webHidden/>
              </w:rPr>
              <w:fldChar w:fldCharType="begin"/>
            </w:r>
            <w:r w:rsidR="00FD4BD9">
              <w:rPr>
                <w:noProof/>
                <w:webHidden/>
              </w:rPr>
              <w:instrText xml:space="preserve"> PAGEREF _Toc136008621 \h </w:instrText>
            </w:r>
            <w:r w:rsidR="00FD4BD9">
              <w:rPr>
                <w:noProof/>
                <w:webHidden/>
              </w:rPr>
            </w:r>
            <w:r w:rsidR="00FD4BD9">
              <w:rPr>
                <w:noProof/>
                <w:webHidden/>
              </w:rPr>
              <w:fldChar w:fldCharType="separate"/>
            </w:r>
            <w:r w:rsidR="00D07433">
              <w:rPr>
                <w:noProof/>
                <w:webHidden/>
              </w:rPr>
              <w:t>6</w:t>
            </w:r>
            <w:r w:rsidR="00FD4BD9">
              <w:rPr>
                <w:noProof/>
                <w:webHidden/>
              </w:rPr>
              <w:fldChar w:fldCharType="end"/>
            </w:r>
          </w:hyperlink>
        </w:p>
        <w:p w14:paraId="19A0FB86" w14:textId="7F75E28C" w:rsidR="00FD4BD9" w:rsidRDefault="002E55B9" w:rsidP="009C69F5">
          <w:pPr>
            <w:pStyle w:val="TOC2"/>
            <w:rPr>
              <w:rFonts w:eastAsiaTheme="minorEastAsia"/>
              <w:noProof/>
              <w:lang w:eastAsia="en-AU"/>
            </w:rPr>
          </w:pPr>
          <w:hyperlink w:anchor="_Toc136008622" w:history="1">
            <w:r w:rsidR="00FD4BD9" w:rsidRPr="0029467A">
              <w:rPr>
                <w:rStyle w:val="Hyperlink"/>
                <w:noProof/>
              </w:rPr>
              <w:t>Consultation objectives</w:t>
            </w:r>
            <w:r w:rsidR="00FD4BD9">
              <w:rPr>
                <w:noProof/>
                <w:webHidden/>
              </w:rPr>
              <w:tab/>
            </w:r>
            <w:r w:rsidR="00FD4BD9">
              <w:rPr>
                <w:noProof/>
                <w:webHidden/>
              </w:rPr>
              <w:fldChar w:fldCharType="begin"/>
            </w:r>
            <w:r w:rsidR="00FD4BD9">
              <w:rPr>
                <w:noProof/>
                <w:webHidden/>
              </w:rPr>
              <w:instrText xml:space="preserve"> PAGEREF _Toc136008622 \h </w:instrText>
            </w:r>
            <w:r w:rsidR="00FD4BD9">
              <w:rPr>
                <w:noProof/>
                <w:webHidden/>
              </w:rPr>
            </w:r>
            <w:r w:rsidR="00FD4BD9">
              <w:rPr>
                <w:noProof/>
                <w:webHidden/>
              </w:rPr>
              <w:fldChar w:fldCharType="separate"/>
            </w:r>
            <w:r w:rsidR="00D07433">
              <w:rPr>
                <w:noProof/>
                <w:webHidden/>
              </w:rPr>
              <w:t>6</w:t>
            </w:r>
            <w:r w:rsidR="00FD4BD9">
              <w:rPr>
                <w:noProof/>
                <w:webHidden/>
              </w:rPr>
              <w:fldChar w:fldCharType="end"/>
            </w:r>
          </w:hyperlink>
        </w:p>
        <w:p w14:paraId="4FDDF522" w14:textId="39CD0740" w:rsidR="00FD4BD9" w:rsidRDefault="002E55B9" w:rsidP="009C69F5">
          <w:pPr>
            <w:pStyle w:val="TOC2"/>
            <w:rPr>
              <w:rFonts w:eastAsiaTheme="minorEastAsia"/>
              <w:noProof/>
              <w:lang w:eastAsia="en-AU"/>
            </w:rPr>
          </w:pPr>
          <w:hyperlink w:anchor="_Toc136008623" w:history="1">
            <w:r w:rsidR="00FD4BD9" w:rsidRPr="0029467A">
              <w:rPr>
                <w:rStyle w:val="Hyperlink"/>
                <w:noProof/>
              </w:rPr>
              <w:t>The Australian Consumer Law</w:t>
            </w:r>
            <w:r w:rsidR="00FD4BD9">
              <w:rPr>
                <w:noProof/>
                <w:webHidden/>
              </w:rPr>
              <w:tab/>
            </w:r>
            <w:r w:rsidR="00FD4BD9">
              <w:rPr>
                <w:noProof/>
                <w:webHidden/>
              </w:rPr>
              <w:fldChar w:fldCharType="begin"/>
            </w:r>
            <w:r w:rsidR="00FD4BD9">
              <w:rPr>
                <w:noProof/>
                <w:webHidden/>
              </w:rPr>
              <w:instrText xml:space="preserve"> PAGEREF _Toc136008623 \h </w:instrText>
            </w:r>
            <w:r w:rsidR="00FD4BD9">
              <w:rPr>
                <w:noProof/>
                <w:webHidden/>
              </w:rPr>
            </w:r>
            <w:r w:rsidR="00FD4BD9">
              <w:rPr>
                <w:noProof/>
                <w:webHidden/>
              </w:rPr>
              <w:fldChar w:fldCharType="separate"/>
            </w:r>
            <w:r w:rsidR="00D07433">
              <w:rPr>
                <w:noProof/>
                <w:webHidden/>
              </w:rPr>
              <w:t>7</w:t>
            </w:r>
            <w:r w:rsidR="00FD4BD9">
              <w:rPr>
                <w:noProof/>
                <w:webHidden/>
              </w:rPr>
              <w:fldChar w:fldCharType="end"/>
            </w:r>
          </w:hyperlink>
        </w:p>
        <w:p w14:paraId="1111EEB3" w14:textId="3D3491C8" w:rsidR="00FD4BD9" w:rsidRDefault="002E55B9" w:rsidP="009C69F5">
          <w:pPr>
            <w:pStyle w:val="TOC2"/>
            <w:rPr>
              <w:rFonts w:eastAsiaTheme="minorEastAsia"/>
              <w:noProof/>
              <w:lang w:eastAsia="en-AU"/>
            </w:rPr>
          </w:pPr>
          <w:hyperlink w:anchor="_Toc136008624" w:history="1">
            <w:r w:rsidR="00FD4BD9" w:rsidRPr="0029467A">
              <w:rPr>
                <w:rStyle w:val="Hyperlink"/>
                <w:noProof/>
              </w:rPr>
              <w:t>Amending the ACL</w:t>
            </w:r>
            <w:r w:rsidR="00FD4BD9">
              <w:rPr>
                <w:noProof/>
                <w:webHidden/>
              </w:rPr>
              <w:tab/>
            </w:r>
            <w:r w:rsidR="00FD4BD9">
              <w:rPr>
                <w:noProof/>
                <w:webHidden/>
              </w:rPr>
              <w:fldChar w:fldCharType="begin"/>
            </w:r>
            <w:r w:rsidR="00FD4BD9">
              <w:rPr>
                <w:noProof/>
                <w:webHidden/>
              </w:rPr>
              <w:instrText xml:space="preserve"> PAGEREF _Toc136008624 \h </w:instrText>
            </w:r>
            <w:r w:rsidR="00FD4BD9">
              <w:rPr>
                <w:noProof/>
                <w:webHidden/>
              </w:rPr>
            </w:r>
            <w:r w:rsidR="00FD4BD9">
              <w:rPr>
                <w:noProof/>
                <w:webHidden/>
              </w:rPr>
              <w:fldChar w:fldCharType="separate"/>
            </w:r>
            <w:r w:rsidR="00D07433">
              <w:rPr>
                <w:noProof/>
                <w:webHidden/>
              </w:rPr>
              <w:t>7</w:t>
            </w:r>
            <w:r w:rsidR="00FD4BD9">
              <w:rPr>
                <w:noProof/>
                <w:webHidden/>
              </w:rPr>
              <w:fldChar w:fldCharType="end"/>
            </w:r>
          </w:hyperlink>
        </w:p>
        <w:p w14:paraId="77FEF83B" w14:textId="61525B20" w:rsidR="00FD4BD9" w:rsidRDefault="002E55B9" w:rsidP="009C69F5">
          <w:pPr>
            <w:pStyle w:val="TOC2"/>
            <w:rPr>
              <w:rFonts w:eastAsiaTheme="minorEastAsia"/>
              <w:noProof/>
              <w:lang w:eastAsia="en-AU"/>
            </w:rPr>
          </w:pPr>
          <w:hyperlink w:anchor="_Toc136008625" w:history="1">
            <w:r w:rsidR="00FD4BD9" w:rsidRPr="0029467A">
              <w:rPr>
                <w:rStyle w:val="Hyperlink"/>
                <w:noProof/>
              </w:rPr>
              <w:t>Summary of identified problem and policy options</w:t>
            </w:r>
            <w:r w:rsidR="00FD4BD9">
              <w:rPr>
                <w:noProof/>
                <w:webHidden/>
              </w:rPr>
              <w:tab/>
            </w:r>
            <w:r w:rsidR="00FD4BD9">
              <w:rPr>
                <w:noProof/>
                <w:webHidden/>
              </w:rPr>
              <w:fldChar w:fldCharType="begin"/>
            </w:r>
            <w:r w:rsidR="00FD4BD9">
              <w:rPr>
                <w:noProof/>
                <w:webHidden/>
              </w:rPr>
              <w:instrText xml:space="preserve"> PAGEREF _Toc136008625 \h </w:instrText>
            </w:r>
            <w:r w:rsidR="00FD4BD9">
              <w:rPr>
                <w:noProof/>
                <w:webHidden/>
              </w:rPr>
            </w:r>
            <w:r w:rsidR="00FD4BD9">
              <w:rPr>
                <w:noProof/>
                <w:webHidden/>
              </w:rPr>
              <w:fldChar w:fldCharType="separate"/>
            </w:r>
            <w:r w:rsidR="00D07433">
              <w:rPr>
                <w:noProof/>
                <w:webHidden/>
              </w:rPr>
              <w:t>7</w:t>
            </w:r>
            <w:r w:rsidR="00FD4BD9">
              <w:rPr>
                <w:noProof/>
                <w:webHidden/>
              </w:rPr>
              <w:fldChar w:fldCharType="end"/>
            </w:r>
          </w:hyperlink>
        </w:p>
        <w:p w14:paraId="0B85D9E9" w14:textId="2E4503B8" w:rsidR="00FD4BD9" w:rsidRDefault="002E55B9">
          <w:pPr>
            <w:pStyle w:val="TOC1"/>
            <w:tabs>
              <w:tab w:val="left" w:pos="440"/>
            </w:tabs>
            <w:rPr>
              <w:rFonts w:eastAsiaTheme="minorEastAsia"/>
              <w:noProof/>
              <w:lang w:eastAsia="en-AU"/>
            </w:rPr>
          </w:pPr>
          <w:hyperlink w:anchor="_Toc136008626" w:history="1">
            <w:r w:rsidR="00FD4BD9" w:rsidRPr="0029467A">
              <w:rPr>
                <w:rStyle w:val="Hyperlink"/>
                <w:noProof/>
              </w:rPr>
              <w:t>2.</w:t>
            </w:r>
            <w:r w:rsidR="00FD4BD9">
              <w:rPr>
                <w:rFonts w:eastAsiaTheme="minorEastAsia"/>
                <w:noProof/>
                <w:lang w:eastAsia="en-AU"/>
              </w:rPr>
              <w:tab/>
            </w:r>
            <w:r w:rsidR="00FD4BD9" w:rsidRPr="0029467A">
              <w:rPr>
                <w:rStyle w:val="Hyperlink"/>
                <w:noProof/>
              </w:rPr>
              <w:t>Key questions</w:t>
            </w:r>
            <w:r w:rsidR="00FD4BD9">
              <w:rPr>
                <w:noProof/>
                <w:webHidden/>
              </w:rPr>
              <w:tab/>
            </w:r>
            <w:r w:rsidR="00FD4BD9">
              <w:rPr>
                <w:noProof/>
                <w:webHidden/>
              </w:rPr>
              <w:fldChar w:fldCharType="begin"/>
            </w:r>
            <w:r w:rsidR="00FD4BD9">
              <w:rPr>
                <w:noProof/>
                <w:webHidden/>
              </w:rPr>
              <w:instrText xml:space="preserve"> PAGEREF _Toc136008626 \h </w:instrText>
            </w:r>
            <w:r w:rsidR="00FD4BD9">
              <w:rPr>
                <w:noProof/>
                <w:webHidden/>
              </w:rPr>
            </w:r>
            <w:r w:rsidR="00FD4BD9">
              <w:rPr>
                <w:noProof/>
                <w:webHidden/>
              </w:rPr>
              <w:fldChar w:fldCharType="separate"/>
            </w:r>
            <w:r w:rsidR="00D07433">
              <w:rPr>
                <w:noProof/>
                <w:webHidden/>
              </w:rPr>
              <w:t>8</w:t>
            </w:r>
            <w:r w:rsidR="00FD4BD9">
              <w:rPr>
                <w:noProof/>
                <w:webHidden/>
              </w:rPr>
              <w:fldChar w:fldCharType="end"/>
            </w:r>
          </w:hyperlink>
        </w:p>
        <w:p w14:paraId="29057778" w14:textId="7A0BA75C" w:rsidR="00FD4BD9" w:rsidRDefault="002E55B9">
          <w:pPr>
            <w:pStyle w:val="TOC1"/>
            <w:tabs>
              <w:tab w:val="left" w:pos="440"/>
            </w:tabs>
            <w:rPr>
              <w:rFonts w:eastAsiaTheme="minorEastAsia"/>
              <w:noProof/>
              <w:lang w:eastAsia="en-AU"/>
            </w:rPr>
          </w:pPr>
          <w:hyperlink w:anchor="_Toc136008627" w:history="1">
            <w:r w:rsidR="00FD4BD9" w:rsidRPr="0029467A">
              <w:rPr>
                <w:rStyle w:val="Hyperlink"/>
                <w:noProof/>
              </w:rPr>
              <w:t>3.</w:t>
            </w:r>
            <w:r w:rsidR="00FD4BD9">
              <w:rPr>
                <w:rFonts w:eastAsiaTheme="minorEastAsia"/>
                <w:noProof/>
                <w:lang w:eastAsia="en-AU"/>
              </w:rPr>
              <w:tab/>
            </w:r>
            <w:r w:rsidR="00FD4BD9" w:rsidRPr="0029467A">
              <w:rPr>
                <w:rStyle w:val="Hyperlink"/>
                <w:noProof/>
              </w:rPr>
              <w:t>The problem</w:t>
            </w:r>
            <w:r w:rsidR="00FD4BD9">
              <w:rPr>
                <w:noProof/>
                <w:webHidden/>
              </w:rPr>
              <w:tab/>
            </w:r>
            <w:r w:rsidR="00FD4BD9">
              <w:rPr>
                <w:noProof/>
                <w:webHidden/>
              </w:rPr>
              <w:fldChar w:fldCharType="begin"/>
            </w:r>
            <w:r w:rsidR="00FD4BD9">
              <w:rPr>
                <w:noProof/>
                <w:webHidden/>
              </w:rPr>
              <w:instrText xml:space="preserve"> PAGEREF _Toc136008627 \h </w:instrText>
            </w:r>
            <w:r w:rsidR="00FD4BD9">
              <w:rPr>
                <w:noProof/>
                <w:webHidden/>
              </w:rPr>
            </w:r>
            <w:r w:rsidR="00FD4BD9">
              <w:rPr>
                <w:noProof/>
                <w:webHidden/>
              </w:rPr>
              <w:fldChar w:fldCharType="separate"/>
            </w:r>
            <w:r w:rsidR="00D07433">
              <w:rPr>
                <w:noProof/>
                <w:webHidden/>
              </w:rPr>
              <w:t>9</w:t>
            </w:r>
            <w:r w:rsidR="00FD4BD9">
              <w:rPr>
                <w:noProof/>
                <w:webHidden/>
              </w:rPr>
              <w:fldChar w:fldCharType="end"/>
            </w:r>
          </w:hyperlink>
        </w:p>
        <w:p w14:paraId="51C4F66F" w14:textId="731B9BF9" w:rsidR="00FD4BD9" w:rsidRDefault="002E55B9" w:rsidP="009C69F5">
          <w:pPr>
            <w:pStyle w:val="TOC2"/>
            <w:rPr>
              <w:rFonts w:eastAsiaTheme="minorEastAsia"/>
              <w:noProof/>
              <w:lang w:eastAsia="en-AU"/>
            </w:rPr>
          </w:pPr>
          <w:hyperlink w:anchor="_Toc136008628" w:history="1">
            <w:r w:rsidR="00FD4BD9" w:rsidRPr="0029467A">
              <w:rPr>
                <w:rStyle w:val="Hyperlink"/>
                <w:noProof/>
              </w:rPr>
              <w:t>Consumers lack consistent access to origin information for seafood sold in hospitality settings</w:t>
            </w:r>
            <w:r w:rsidR="00FD4BD9">
              <w:rPr>
                <w:noProof/>
                <w:webHidden/>
              </w:rPr>
              <w:tab/>
            </w:r>
            <w:r w:rsidR="00FD4BD9">
              <w:rPr>
                <w:noProof/>
                <w:webHidden/>
              </w:rPr>
              <w:fldChar w:fldCharType="begin"/>
            </w:r>
            <w:r w:rsidR="00FD4BD9">
              <w:rPr>
                <w:noProof/>
                <w:webHidden/>
              </w:rPr>
              <w:instrText xml:space="preserve"> PAGEREF _Toc136008628 \h </w:instrText>
            </w:r>
            <w:r w:rsidR="00FD4BD9">
              <w:rPr>
                <w:noProof/>
                <w:webHidden/>
              </w:rPr>
            </w:r>
            <w:r w:rsidR="00FD4BD9">
              <w:rPr>
                <w:noProof/>
                <w:webHidden/>
              </w:rPr>
              <w:fldChar w:fldCharType="separate"/>
            </w:r>
            <w:r w:rsidR="00D07433">
              <w:rPr>
                <w:noProof/>
                <w:webHidden/>
              </w:rPr>
              <w:t>9</w:t>
            </w:r>
            <w:r w:rsidR="00FD4BD9">
              <w:rPr>
                <w:noProof/>
                <w:webHidden/>
              </w:rPr>
              <w:fldChar w:fldCharType="end"/>
            </w:r>
          </w:hyperlink>
        </w:p>
        <w:p w14:paraId="0C2ED0E0" w14:textId="57A033CC" w:rsidR="00FD4BD9" w:rsidRDefault="002E55B9" w:rsidP="009C69F5">
          <w:pPr>
            <w:pStyle w:val="TOC2"/>
            <w:rPr>
              <w:rFonts w:eastAsiaTheme="minorEastAsia"/>
              <w:noProof/>
              <w:lang w:eastAsia="en-AU"/>
            </w:rPr>
          </w:pPr>
          <w:hyperlink w:anchor="_Toc136008629" w:history="1">
            <w:r w:rsidR="00FD4BD9" w:rsidRPr="0029467A">
              <w:rPr>
                <w:rStyle w:val="Hyperlink"/>
                <w:noProof/>
              </w:rPr>
              <w:t>Why is this a problem?</w:t>
            </w:r>
            <w:r w:rsidR="00FD4BD9">
              <w:rPr>
                <w:noProof/>
                <w:webHidden/>
              </w:rPr>
              <w:tab/>
            </w:r>
            <w:r w:rsidR="00FD4BD9">
              <w:rPr>
                <w:noProof/>
                <w:webHidden/>
              </w:rPr>
              <w:fldChar w:fldCharType="begin"/>
            </w:r>
            <w:r w:rsidR="00FD4BD9">
              <w:rPr>
                <w:noProof/>
                <w:webHidden/>
              </w:rPr>
              <w:instrText xml:space="preserve"> PAGEREF _Toc136008629 \h </w:instrText>
            </w:r>
            <w:r w:rsidR="00FD4BD9">
              <w:rPr>
                <w:noProof/>
                <w:webHidden/>
              </w:rPr>
            </w:r>
            <w:r w:rsidR="00FD4BD9">
              <w:rPr>
                <w:noProof/>
                <w:webHidden/>
              </w:rPr>
              <w:fldChar w:fldCharType="separate"/>
            </w:r>
            <w:r w:rsidR="00D07433">
              <w:rPr>
                <w:noProof/>
                <w:webHidden/>
              </w:rPr>
              <w:t>9</w:t>
            </w:r>
            <w:r w:rsidR="00FD4BD9">
              <w:rPr>
                <w:noProof/>
                <w:webHidden/>
              </w:rPr>
              <w:fldChar w:fldCharType="end"/>
            </w:r>
          </w:hyperlink>
        </w:p>
        <w:p w14:paraId="7B0FDEF6" w14:textId="0E75A15A" w:rsidR="00FD4BD9" w:rsidRDefault="002E55B9" w:rsidP="009C69F5">
          <w:pPr>
            <w:pStyle w:val="TOC2"/>
            <w:rPr>
              <w:rFonts w:eastAsiaTheme="minorEastAsia"/>
              <w:noProof/>
              <w:lang w:eastAsia="en-AU"/>
            </w:rPr>
          </w:pPr>
          <w:hyperlink w:anchor="_Toc136008630" w:history="1">
            <w:r w:rsidR="00FD4BD9" w:rsidRPr="0029467A">
              <w:rPr>
                <w:rStyle w:val="Hyperlink"/>
                <w:noProof/>
              </w:rPr>
              <w:t>What is the extent of the problem?</w:t>
            </w:r>
            <w:r w:rsidR="00FD4BD9">
              <w:rPr>
                <w:noProof/>
                <w:webHidden/>
              </w:rPr>
              <w:tab/>
            </w:r>
            <w:r w:rsidR="00FD4BD9">
              <w:rPr>
                <w:noProof/>
                <w:webHidden/>
              </w:rPr>
              <w:fldChar w:fldCharType="begin"/>
            </w:r>
            <w:r w:rsidR="00FD4BD9">
              <w:rPr>
                <w:noProof/>
                <w:webHidden/>
              </w:rPr>
              <w:instrText xml:space="preserve"> PAGEREF _Toc136008630 \h </w:instrText>
            </w:r>
            <w:r w:rsidR="00FD4BD9">
              <w:rPr>
                <w:noProof/>
                <w:webHidden/>
              </w:rPr>
            </w:r>
            <w:r w:rsidR="00FD4BD9">
              <w:rPr>
                <w:noProof/>
                <w:webHidden/>
              </w:rPr>
              <w:fldChar w:fldCharType="separate"/>
            </w:r>
            <w:r w:rsidR="00D07433">
              <w:rPr>
                <w:noProof/>
                <w:webHidden/>
              </w:rPr>
              <w:t>9</w:t>
            </w:r>
            <w:r w:rsidR="00FD4BD9">
              <w:rPr>
                <w:noProof/>
                <w:webHidden/>
              </w:rPr>
              <w:fldChar w:fldCharType="end"/>
            </w:r>
          </w:hyperlink>
        </w:p>
        <w:p w14:paraId="2AE98F69" w14:textId="2B507BBB" w:rsidR="00FD4BD9" w:rsidRDefault="002E55B9" w:rsidP="009C69F5">
          <w:pPr>
            <w:pStyle w:val="TOC2"/>
            <w:rPr>
              <w:rFonts w:eastAsiaTheme="minorEastAsia"/>
              <w:noProof/>
              <w:lang w:eastAsia="en-AU"/>
            </w:rPr>
          </w:pPr>
          <w:hyperlink w:anchor="_Toc136008631" w:history="1">
            <w:r w:rsidR="00FD4BD9" w:rsidRPr="0029467A">
              <w:rPr>
                <w:rStyle w:val="Hyperlink"/>
                <w:noProof/>
              </w:rPr>
              <w:t>What are the impacts of the problem?</w:t>
            </w:r>
            <w:r w:rsidR="00FD4BD9">
              <w:rPr>
                <w:noProof/>
                <w:webHidden/>
              </w:rPr>
              <w:tab/>
            </w:r>
            <w:r w:rsidR="00FD4BD9">
              <w:rPr>
                <w:noProof/>
                <w:webHidden/>
              </w:rPr>
              <w:fldChar w:fldCharType="begin"/>
            </w:r>
            <w:r w:rsidR="00FD4BD9">
              <w:rPr>
                <w:noProof/>
                <w:webHidden/>
              </w:rPr>
              <w:instrText xml:space="preserve"> PAGEREF _Toc136008631 \h </w:instrText>
            </w:r>
            <w:r w:rsidR="00FD4BD9">
              <w:rPr>
                <w:noProof/>
                <w:webHidden/>
              </w:rPr>
            </w:r>
            <w:r w:rsidR="00FD4BD9">
              <w:rPr>
                <w:noProof/>
                <w:webHidden/>
              </w:rPr>
              <w:fldChar w:fldCharType="separate"/>
            </w:r>
            <w:r w:rsidR="00D07433">
              <w:rPr>
                <w:noProof/>
                <w:webHidden/>
              </w:rPr>
              <w:t>10</w:t>
            </w:r>
            <w:r w:rsidR="00FD4BD9">
              <w:rPr>
                <w:noProof/>
                <w:webHidden/>
              </w:rPr>
              <w:fldChar w:fldCharType="end"/>
            </w:r>
          </w:hyperlink>
        </w:p>
        <w:p w14:paraId="5D2F755A" w14:textId="3A204A7E" w:rsidR="00FD4BD9" w:rsidRDefault="002E55B9" w:rsidP="009C69F5">
          <w:pPr>
            <w:pStyle w:val="TOC2"/>
            <w:rPr>
              <w:rFonts w:eastAsiaTheme="minorEastAsia"/>
              <w:noProof/>
              <w:lang w:eastAsia="en-AU"/>
            </w:rPr>
          </w:pPr>
          <w:hyperlink w:anchor="_Toc136008632" w:history="1">
            <w:r w:rsidR="00FD4BD9" w:rsidRPr="0029467A">
              <w:rPr>
                <w:rStyle w:val="Hyperlink"/>
                <w:noProof/>
              </w:rPr>
              <w:t>Is government action needed?</w:t>
            </w:r>
            <w:r w:rsidR="00FD4BD9">
              <w:rPr>
                <w:noProof/>
                <w:webHidden/>
              </w:rPr>
              <w:tab/>
            </w:r>
            <w:r w:rsidR="00FD4BD9">
              <w:rPr>
                <w:noProof/>
                <w:webHidden/>
              </w:rPr>
              <w:fldChar w:fldCharType="begin"/>
            </w:r>
            <w:r w:rsidR="00FD4BD9">
              <w:rPr>
                <w:noProof/>
                <w:webHidden/>
              </w:rPr>
              <w:instrText xml:space="preserve"> PAGEREF _Toc136008632 \h </w:instrText>
            </w:r>
            <w:r w:rsidR="00FD4BD9">
              <w:rPr>
                <w:noProof/>
                <w:webHidden/>
              </w:rPr>
            </w:r>
            <w:r w:rsidR="00FD4BD9">
              <w:rPr>
                <w:noProof/>
                <w:webHidden/>
              </w:rPr>
              <w:fldChar w:fldCharType="separate"/>
            </w:r>
            <w:r w:rsidR="00D07433">
              <w:rPr>
                <w:noProof/>
                <w:webHidden/>
              </w:rPr>
              <w:t>11</w:t>
            </w:r>
            <w:r w:rsidR="00FD4BD9">
              <w:rPr>
                <w:noProof/>
                <w:webHidden/>
              </w:rPr>
              <w:fldChar w:fldCharType="end"/>
            </w:r>
          </w:hyperlink>
        </w:p>
        <w:p w14:paraId="00B5DF1B" w14:textId="5B6C4194" w:rsidR="00FD4BD9" w:rsidRDefault="002E55B9" w:rsidP="009C69F5">
          <w:pPr>
            <w:pStyle w:val="TOC2"/>
            <w:rPr>
              <w:rFonts w:eastAsiaTheme="minorEastAsia"/>
              <w:noProof/>
              <w:lang w:eastAsia="en-AU"/>
            </w:rPr>
          </w:pPr>
          <w:hyperlink w:anchor="_Toc136008633" w:history="1">
            <w:r w:rsidR="00FD4BD9" w:rsidRPr="0029467A">
              <w:rPr>
                <w:rStyle w:val="Hyperlink"/>
                <w:noProof/>
              </w:rPr>
              <w:t>Alternatives to government action</w:t>
            </w:r>
            <w:r w:rsidR="00FD4BD9">
              <w:rPr>
                <w:noProof/>
                <w:webHidden/>
              </w:rPr>
              <w:tab/>
            </w:r>
            <w:r w:rsidR="00FD4BD9">
              <w:rPr>
                <w:noProof/>
                <w:webHidden/>
              </w:rPr>
              <w:fldChar w:fldCharType="begin"/>
            </w:r>
            <w:r w:rsidR="00FD4BD9">
              <w:rPr>
                <w:noProof/>
                <w:webHidden/>
              </w:rPr>
              <w:instrText xml:space="preserve"> PAGEREF _Toc136008633 \h </w:instrText>
            </w:r>
            <w:r w:rsidR="00FD4BD9">
              <w:rPr>
                <w:noProof/>
                <w:webHidden/>
              </w:rPr>
            </w:r>
            <w:r w:rsidR="00FD4BD9">
              <w:rPr>
                <w:noProof/>
                <w:webHidden/>
              </w:rPr>
              <w:fldChar w:fldCharType="separate"/>
            </w:r>
            <w:r w:rsidR="00D07433">
              <w:rPr>
                <w:noProof/>
                <w:webHidden/>
              </w:rPr>
              <w:t>11</w:t>
            </w:r>
            <w:r w:rsidR="00FD4BD9">
              <w:rPr>
                <w:noProof/>
                <w:webHidden/>
              </w:rPr>
              <w:fldChar w:fldCharType="end"/>
            </w:r>
          </w:hyperlink>
        </w:p>
        <w:p w14:paraId="5C3CC761" w14:textId="5C3447DE" w:rsidR="00FD4BD9" w:rsidRDefault="002E55B9" w:rsidP="009C69F5">
          <w:pPr>
            <w:pStyle w:val="TOC2"/>
            <w:rPr>
              <w:rFonts w:eastAsiaTheme="minorEastAsia"/>
              <w:noProof/>
              <w:lang w:eastAsia="en-AU"/>
            </w:rPr>
          </w:pPr>
          <w:hyperlink w:anchor="_Toc136008634" w:history="1">
            <w:r w:rsidR="00FD4BD9" w:rsidRPr="0029467A">
              <w:rPr>
                <w:rStyle w:val="Hyperlink"/>
                <w:noProof/>
              </w:rPr>
              <w:t>Do consumers desire action?</w:t>
            </w:r>
            <w:r w:rsidR="00FD4BD9">
              <w:rPr>
                <w:noProof/>
                <w:webHidden/>
              </w:rPr>
              <w:tab/>
            </w:r>
            <w:r w:rsidR="00FD4BD9">
              <w:rPr>
                <w:noProof/>
                <w:webHidden/>
              </w:rPr>
              <w:fldChar w:fldCharType="begin"/>
            </w:r>
            <w:r w:rsidR="00FD4BD9">
              <w:rPr>
                <w:noProof/>
                <w:webHidden/>
              </w:rPr>
              <w:instrText xml:space="preserve"> PAGEREF _Toc136008634 \h </w:instrText>
            </w:r>
            <w:r w:rsidR="00FD4BD9">
              <w:rPr>
                <w:noProof/>
                <w:webHidden/>
              </w:rPr>
            </w:r>
            <w:r w:rsidR="00FD4BD9">
              <w:rPr>
                <w:noProof/>
                <w:webHidden/>
              </w:rPr>
              <w:fldChar w:fldCharType="separate"/>
            </w:r>
            <w:r w:rsidR="00D07433">
              <w:rPr>
                <w:noProof/>
                <w:webHidden/>
              </w:rPr>
              <w:t>12</w:t>
            </w:r>
            <w:r w:rsidR="00FD4BD9">
              <w:rPr>
                <w:noProof/>
                <w:webHidden/>
              </w:rPr>
              <w:fldChar w:fldCharType="end"/>
            </w:r>
          </w:hyperlink>
        </w:p>
        <w:p w14:paraId="22B9B367" w14:textId="4CE76E42" w:rsidR="00FD4BD9" w:rsidRDefault="002E55B9" w:rsidP="009C69F5">
          <w:pPr>
            <w:pStyle w:val="TOC2"/>
            <w:rPr>
              <w:rFonts w:eastAsiaTheme="minorEastAsia"/>
              <w:noProof/>
              <w:lang w:eastAsia="en-AU"/>
            </w:rPr>
          </w:pPr>
          <w:hyperlink w:anchor="_Toc136008635" w:history="1">
            <w:r w:rsidR="00FD4BD9" w:rsidRPr="0029467A">
              <w:rPr>
                <w:rStyle w:val="Hyperlink"/>
                <w:noProof/>
              </w:rPr>
              <w:t>What is governments’ ability to intervene?</w:t>
            </w:r>
            <w:r w:rsidR="00FD4BD9">
              <w:rPr>
                <w:noProof/>
                <w:webHidden/>
              </w:rPr>
              <w:tab/>
            </w:r>
            <w:r w:rsidR="00FD4BD9">
              <w:rPr>
                <w:noProof/>
                <w:webHidden/>
              </w:rPr>
              <w:fldChar w:fldCharType="begin"/>
            </w:r>
            <w:r w:rsidR="00FD4BD9">
              <w:rPr>
                <w:noProof/>
                <w:webHidden/>
              </w:rPr>
              <w:instrText xml:space="preserve"> PAGEREF _Toc136008635 \h </w:instrText>
            </w:r>
            <w:r w:rsidR="00FD4BD9">
              <w:rPr>
                <w:noProof/>
                <w:webHidden/>
              </w:rPr>
            </w:r>
            <w:r w:rsidR="00FD4BD9">
              <w:rPr>
                <w:noProof/>
                <w:webHidden/>
              </w:rPr>
              <w:fldChar w:fldCharType="separate"/>
            </w:r>
            <w:r w:rsidR="00D07433">
              <w:rPr>
                <w:noProof/>
                <w:webHidden/>
              </w:rPr>
              <w:t>13</w:t>
            </w:r>
            <w:r w:rsidR="00FD4BD9">
              <w:rPr>
                <w:noProof/>
                <w:webHidden/>
              </w:rPr>
              <w:fldChar w:fldCharType="end"/>
            </w:r>
          </w:hyperlink>
        </w:p>
        <w:p w14:paraId="49242938" w14:textId="23BE3B36" w:rsidR="00FD4BD9" w:rsidRDefault="002E55B9">
          <w:pPr>
            <w:pStyle w:val="TOC1"/>
            <w:tabs>
              <w:tab w:val="left" w:pos="440"/>
            </w:tabs>
            <w:rPr>
              <w:rFonts w:eastAsiaTheme="minorEastAsia"/>
              <w:noProof/>
              <w:lang w:eastAsia="en-AU"/>
            </w:rPr>
          </w:pPr>
          <w:hyperlink w:anchor="_Toc136008636" w:history="1">
            <w:r w:rsidR="00FD4BD9" w:rsidRPr="0029467A">
              <w:rPr>
                <w:rStyle w:val="Hyperlink"/>
                <w:noProof/>
              </w:rPr>
              <w:t>4.</w:t>
            </w:r>
            <w:r w:rsidR="00FD4BD9">
              <w:rPr>
                <w:rFonts w:eastAsiaTheme="minorEastAsia"/>
                <w:noProof/>
                <w:lang w:eastAsia="en-AU"/>
              </w:rPr>
              <w:tab/>
            </w:r>
            <w:r w:rsidR="00FD4BD9" w:rsidRPr="0029467A">
              <w:rPr>
                <w:rStyle w:val="Hyperlink"/>
                <w:noProof/>
              </w:rPr>
              <w:t>Policy options</w:t>
            </w:r>
            <w:r w:rsidR="00FD4BD9">
              <w:rPr>
                <w:noProof/>
                <w:webHidden/>
              </w:rPr>
              <w:tab/>
            </w:r>
            <w:r w:rsidR="00FD4BD9">
              <w:rPr>
                <w:noProof/>
                <w:webHidden/>
              </w:rPr>
              <w:fldChar w:fldCharType="begin"/>
            </w:r>
            <w:r w:rsidR="00FD4BD9">
              <w:rPr>
                <w:noProof/>
                <w:webHidden/>
              </w:rPr>
              <w:instrText xml:space="preserve"> PAGEREF _Toc136008636 \h </w:instrText>
            </w:r>
            <w:r w:rsidR="00FD4BD9">
              <w:rPr>
                <w:noProof/>
                <w:webHidden/>
              </w:rPr>
            </w:r>
            <w:r w:rsidR="00FD4BD9">
              <w:rPr>
                <w:noProof/>
                <w:webHidden/>
              </w:rPr>
              <w:fldChar w:fldCharType="separate"/>
            </w:r>
            <w:r w:rsidR="00D07433">
              <w:rPr>
                <w:noProof/>
                <w:webHidden/>
              </w:rPr>
              <w:t>14</w:t>
            </w:r>
            <w:r w:rsidR="00FD4BD9">
              <w:rPr>
                <w:noProof/>
                <w:webHidden/>
              </w:rPr>
              <w:fldChar w:fldCharType="end"/>
            </w:r>
          </w:hyperlink>
        </w:p>
        <w:p w14:paraId="0B4E2908" w14:textId="0FD94ED1" w:rsidR="00FD4BD9" w:rsidRDefault="002E55B9" w:rsidP="009C69F5">
          <w:pPr>
            <w:pStyle w:val="TOC2"/>
            <w:rPr>
              <w:rFonts w:eastAsiaTheme="minorEastAsia"/>
              <w:noProof/>
              <w:lang w:eastAsia="en-AU"/>
            </w:rPr>
          </w:pPr>
          <w:hyperlink w:anchor="_Toc136008637" w:history="1">
            <w:r w:rsidR="00FD4BD9" w:rsidRPr="0029467A">
              <w:rPr>
                <w:rStyle w:val="Hyperlink"/>
                <w:noProof/>
              </w:rPr>
              <w:t>Option 1 – status quo</w:t>
            </w:r>
            <w:r w:rsidR="00FD4BD9">
              <w:rPr>
                <w:noProof/>
                <w:webHidden/>
              </w:rPr>
              <w:tab/>
            </w:r>
            <w:r w:rsidR="00FD4BD9">
              <w:rPr>
                <w:noProof/>
                <w:webHidden/>
              </w:rPr>
              <w:fldChar w:fldCharType="begin"/>
            </w:r>
            <w:r w:rsidR="00FD4BD9">
              <w:rPr>
                <w:noProof/>
                <w:webHidden/>
              </w:rPr>
              <w:instrText xml:space="preserve"> PAGEREF _Toc136008637 \h </w:instrText>
            </w:r>
            <w:r w:rsidR="00FD4BD9">
              <w:rPr>
                <w:noProof/>
                <w:webHidden/>
              </w:rPr>
            </w:r>
            <w:r w:rsidR="00FD4BD9">
              <w:rPr>
                <w:noProof/>
                <w:webHidden/>
              </w:rPr>
              <w:fldChar w:fldCharType="separate"/>
            </w:r>
            <w:r w:rsidR="00D07433">
              <w:rPr>
                <w:noProof/>
                <w:webHidden/>
              </w:rPr>
              <w:t>14</w:t>
            </w:r>
            <w:r w:rsidR="00FD4BD9">
              <w:rPr>
                <w:noProof/>
                <w:webHidden/>
              </w:rPr>
              <w:fldChar w:fldCharType="end"/>
            </w:r>
          </w:hyperlink>
        </w:p>
        <w:p w14:paraId="5088C9A8" w14:textId="1360035D" w:rsidR="00FD4BD9" w:rsidRDefault="002E55B9" w:rsidP="009C69F5">
          <w:pPr>
            <w:pStyle w:val="TOC2"/>
            <w:rPr>
              <w:rFonts w:eastAsiaTheme="minorEastAsia"/>
              <w:noProof/>
              <w:lang w:eastAsia="en-AU"/>
            </w:rPr>
          </w:pPr>
          <w:hyperlink w:anchor="_Toc136008638" w:history="1">
            <w:r w:rsidR="00FD4BD9" w:rsidRPr="0029467A">
              <w:rPr>
                <w:rStyle w:val="Hyperlink"/>
                <w:noProof/>
              </w:rPr>
              <w:t>Option 2 – ACL information standard – AIM model</w:t>
            </w:r>
            <w:r w:rsidR="00FD4BD9">
              <w:rPr>
                <w:noProof/>
                <w:webHidden/>
              </w:rPr>
              <w:tab/>
            </w:r>
            <w:r w:rsidR="00FD4BD9">
              <w:rPr>
                <w:noProof/>
                <w:webHidden/>
              </w:rPr>
              <w:fldChar w:fldCharType="begin"/>
            </w:r>
            <w:r w:rsidR="00FD4BD9">
              <w:rPr>
                <w:noProof/>
                <w:webHidden/>
              </w:rPr>
              <w:instrText xml:space="preserve"> PAGEREF _Toc136008638 \h </w:instrText>
            </w:r>
            <w:r w:rsidR="00FD4BD9">
              <w:rPr>
                <w:noProof/>
                <w:webHidden/>
              </w:rPr>
            </w:r>
            <w:r w:rsidR="00FD4BD9">
              <w:rPr>
                <w:noProof/>
                <w:webHidden/>
              </w:rPr>
              <w:fldChar w:fldCharType="separate"/>
            </w:r>
            <w:r w:rsidR="00D07433">
              <w:rPr>
                <w:noProof/>
                <w:webHidden/>
              </w:rPr>
              <w:t>14</w:t>
            </w:r>
            <w:r w:rsidR="00FD4BD9">
              <w:rPr>
                <w:noProof/>
                <w:webHidden/>
              </w:rPr>
              <w:fldChar w:fldCharType="end"/>
            </w:r>
          </w:hyperlink>
        </w:p>
        <w:p w14:paraId="2AAD2340" w14:textId="3D86CE66" w:rsidR="00FD4BD9" w:rsidRDefault="002E55B9" w:rsidP="009C69F5">
          <w:pPr>
            <w:pStyle w:val="TOC2"/>
            <w:rPr>
              <w:rFonts w:eastAsiaTheme="minorEastAsia"/>
              <w:noProof/>
              <w:lang w:eastAsia="en-AU"/>
            </w:rPr>
          </w:pPr>
          <w:hyperlink w:anchor="_Toc136008639" w:history="1">
            <w:r w:rsidR="00FD4BD9" w:rsidRPr="0029467A">
              <w:rPr>
                <w:rStyle w:val="Hyperlink"/>
                <w:noProof/>
              </w:rPr>
              <w:t>Option 3 – ACL information standard – country model</w:t>
            </w:r>
            <w:r w:rsidR="00FD4BD9">
              <w:rPr>
                <w:noProof/>
                <w:webHidden/>
              </w:rPr>
              <w:tab/>
            </w:r>
            <w:r w:rsidR="00FD4BD9">
              <w:rPr>
                <w:noProof/>
                <w:webHidden/>
              </w:rPr>
              <w:fldChar w:fldCharType="begin"/>
            </w:r>
            <w:r w:rsidR="00FD4BD9">
              <w:rPr>
                <w:noProof/>
                <w:webHidden/>
              </w:rPr>
              <w:instrText xml:space="preserve"> PAGEREF _Toc136008639 \h </w:instrText>
            </w:r>
            <w:r w:rsidR="00FD4BD9">
              <w:rPr>
                <w:noProof/>
                <w:webHidden/>
              </w:rPr>
            </w:r>
            <w:r w:rsidR="00FD4BD9">
              <w:rPr>
                <w:noProof/>
                <w:webHidden/>
              </w:rPr>
              <w:fldChar w:fldCharType="separate"/>
            </w:r>
            <w:r w:rsidR="00D07433">
              <w:rPr>
                <w:noProof/>
                <w:webHidden/>
              </w:rPr>
              <w:t>16</w:t>
            </w:r>
            <w:r w:rsidR="00FD4BD9">
              <w:rPr>
                <w:noProof/>
                <w:webHidden/>
              </w:rPr>
              <w:fldChar w:fldCharType="end"/>
            </w:r>
          </w:hyperlink>
        </w:p>
        <w:p w14:paraId="4F2E1355" w14:textId="2A2A464D" w:rsidR="00FD4BD9" w:rsidRDefault="002E55B9" w:rsidP="009C69F5">
          <w:pPr>
            <w:pStyle w:val="TOC2"/>
            <w:rPr>
              <w:rFonts w:eastAsiaTheme="minorEastAsia"/>
              <w:noProof/>
              <w:lang w:eastAsia="en-AU"/>
            </w:rPr>
          </w:pPr>
          <w:hyperlink w:anchor="_Toc136008640" w:history="1">
            <w:r w:rsidR="00FD4BD9" w:rsidRPr="0029467A">
              <w:rPr>
                <w:rStyle w:val="Hyperlink"/>
                <w:noProof/>
              </w:rPr>
              <w:t>Further impact analysis</w:t>
            </w:r>
            <w:r w:rsidR="00FD4BD9">
              <w:rPr>
                <w:noProof/>
                <w:webHidden/>
              </w:rPr>
              <w:tab/>
            </w:r>
            <w:r w:rsidR="00FD4BD9">
              <w:rPr>
                <w:noProof/>
                <w:webHidden/>
              </w:rPr>
              <w:fldChar w:fldCharType="begin"/>
            </w:r>
            <w:r w:rsidR="00FD4BD9">
              <w:rPr>
                <w:noProof/>
                <w:webHidden/>
              </w:rPr>
              <w:instrText xml:space="preserve"> PAGEREF _Toc136008640 \h </w:instrText>
            </w:r>
            <w:r w:rsidR="00FD4BD9">
              <w:rPr>
                <w:noProof/>
                <w:webHidden/>
              </w:rPr>
            </w:r>
            <w:r w:rsidR="00FD4BD9">
              <w:rPr>
                <w:noProof/>
                <w:webHidden/>
              </w:rPr>
              <w:fldChar w:fldCharType="separate"/>
            </w:r>
            <w:r w:rsidR="00D07433">
              <w:rPr>
                <w:noProof/>
                <w:webHidden/>
              </w:rPr>
              <w:t>17</w:t>
            </w:r>
            <w:r w:rsidR="00FD4BD9">
              <w:rPr>
                <w:noProof/>
                <w:webHidden/>
              </w:rPr>
              <w:fldChar w:fldCharType="end"/>
            </w:r>
          </w:hyperlink>
        </w:p>
        <w:p w14:paraId="35A88FDA" w14:textId="1C14B030" w:rsidR="00FD4BD9" w:rsidRDefault="002E55B9" w:rsidP="009C69F5">
          <w:pPr>
            <w:pStyle w:val="TOC2"/>
            <w:rPr>
              <w:rFonts w:eastAsiaTheme="minorEastAsia"/>
              <w:noProof/>
              <w:lang w:eastAsia="en-AU"/>
            </w:rPr>
          </w:pPr>
          <w:hyperlink w:anchor="_Toc136008641" w:history="1">
            <w:r w:rsidR="00FD4BD9" w:rsidRPr="0029467A">
              <w:rPr>
                <w:rStyle w:val="Hyperlink"/>
                <w:noProof/>
              </w:rPr>
              <w:t>Appendix A</w:t>
            </w:r>
            <w:r w:rsidR="00FD4BD9">
              <w:rPr>
                <w:noProof/>
                <w:webHidden/>
              </w:rPr>
              <w:tab/>
            </w:r>
            <w:r w:rsidR="00FD4BD9">
              <w:rPr>
                <w:noProof/>
                <w:webHidden/>
              </w:rPr>
              <w:fldChar w:fldCharType="begin"/>
            </w:r>
            <w:r w:rsidR="00FD4BD9">
              <w:rPr>
                <w:noProof/>
                <w:webHidden/>
              </w:rPr>
              <w:instrText xml:space="preserve"> PAGEREF _Toc136008641 \h </w:instrText>
            </w:r>
            <w:r w:rsidR="00FD4BD9">
              <w:rPr>
                <w:noProof/>
                <w:webHidden/>
              </w:rPr>
            </w:r>
            <w:r w:rsidR="00FD4BD9">
              <w:rPr>
                <w:noProof/>
                <w:webHidden/>
              </w:rPr>
              <w:fldChar w:fldCharType="separate"/>
            </w:r>
            <w:r w:rsidR="00D07433">
              <w:rPr>
                <w:noProof/>
                <w:webHidden/>
              </w:rPr>
              <w:t>18</w:t>
            </w:r>
            <w:r w:rsidR="00FD4BD9">
              <w:rPr>
                <w:noProof/>
                <w:webHidden/>
              </w:rPr>
              <w:fldChar w:fldCharType="end"/>
            </w:r>
          </w:hyperlink>
        </w:p>
        <w:p w14:paraId="1EA36E39" w14:textId="07086B57" w:rsidR="00FD4BD9" w:rsidRDefault="002E55B9" w:rsidP="009C69F5">
          <w:pPr>
            <w:pStyle w:val="TOC2"/>
            <w:rPr>
              <w:rFonts w:eastAsiaTheme="minorEastAsia"/>
              <w:noProof/>
              <w:lang w:eastAsia="en-AU"/>
            </w:rPr>
          </w:pPr>
          <w:hyperlink w:anchor="_Toc136008642" w:history="1">
            <w:r w:rsidR="00FD4BD9" w:rsidRPr="0029467A">
              <w:rPr>
                <w:rStyle w:val="Hyperlink"/>
                <w:noProof/>
              </w:rPr>
              <w:t>Previous reviews</w:t>
            </w:r>
            <w:r w:rsidR="00FD4BD9">
              <w:rPr>
                <w:noProof/>
                <w:webHidden/>
              </w:rPr>
              <w:tab/>
            </w:r>
            <w:r w:rsidR="00FD4BD9">
              <w:rPr>
                <w:noProof/>
                <w:webHidden/>
              </w:rPr>
              <w:fldChar w:fldCharType="begin"/>
            </w:r>
            <w:r w:rsidR="00FD4BD9">
              <w:rPr>
                <w:noProof/>
                <w:webHidden/>
              </w:rPr>
              <w:instrText xml:space="preserve"> PAGEREF _Toc136008642 \h </w:instrText>
            </w:r>
            <w:r w:rsidR="00FD4BD9">
              <w:rPr>
                <w:noProof/>
                <w:webHidden/>
              </w:rPr>
            </w:r>
            <w:r w:rsidR="00FD4BD9">
              <w:rPr>
                <w:noProof/>
                <w:webHidden/>
              </w:rPr>
              <w:fldChar w:fldCharType="separate"/>
            </w:r>
            <w:r w:rsidR="00D07433">
              <w:rPr>
                <w:noProof/>
                <w:webHidden/>
              </w:rPr>
              <w:t>18</w:t>
            </w:r>
            <w:r w:rsidR="00FD4BD9">
              <w:rPr>
                <w:noProof/>
                <w:webHidden/>
              </w:rPr>
              <w:fldChar w:fldCharType="end"/>
            </w:r>
          </w:hyperlink>
        </w:p>
        <w:p w14:paraId="7EC833E1" w14:textId="563DECDF" w:rsidR="00FD4BD9" w:rsidRDefault="002E55B9">
          <w:pPr>
            <w:pStyle w:val="TOC1"/>
            <w:rPr>
              <w:rFonts w:eastAsiaTheme="minorEastAsia"/>
              <w:noProof/>
              <w:lang w:eastAsia="en-AU"/>
            </w:rPr>
          </w:pPr>
          <w:hyperlink w:anchor="_Toc136008643" w:history="1">
            <w:r w:rsidR="00FD4BD9" w:rsidRPr="0029467A">
              <w:rPr>
                <w:rStyle w:val="Hyperlink"/>
                <w:noProof/>
              </w:rPr>
              <w:t>Appendix B</w:t>
            </w:r>
            <w:r w:rsidR="00FD4BD9">
              <w:rPr>
                <w:noProof/>
                <w:webHidden/>
              </w:rPr>
              <w:tab/>
            </w:r>
            <w:r w:rsidR="00FD4BD9">
              <w:rPr>
                <w:noProof/>
                <w:webHidden/>
              </w:rPr>
              <w:fldChar w:fldCharType="begin"/>
            </w:r>
            <w:r w:rsidR="00FD4BD9">
              <w:rPr>
                <w:noProof/>
                <w:webHidden/>
              </w:rPr>
              <w:instrText xml:space="preserve"> PAGEREF _Toc136008643 \h </w:instrText>
            </w:r>
            <w:r w:rsidR="00FD4BD9">
              <w:rPr>
                <w:noProof/>
                <w:webHidden/>
              </w:rPr>
            </w:r>
            <w:r w:rsidR="00FD4BD9">
              <w:rPr>
                <w:noProof/>
                <w:webHidden/>
              </w:rPr>
              <w:fldChar w:fldCharType="separate"/>
            </w:r>
            <w:r w:rsidR="00D07433">
              <w:rPr>
                <w:noProof/>
                <w:webHidden/>
              </w:rPr>
              <w:t>20</w:t>
            </w:r>
            <w:r w:rsidR="00FD4BD9">
              <w:rPr>
                <w:noProof/>
                <w:webHidden/>
              </w:rPr>
              <w:fldChar w:fldCharType="end"/>
            </w:r>
          </w:hyperlink>
        </w:p>
        <w:p w14:paraId="617B4143" w14:textId="5A928101" w:rsidR="00FD4BD9" w:rsidRDefault="002E55B9" w:rsidP="009C69F5">
          <w:pPr>
            <w:pStyle w:val="TOC2"/>
            <w:rPr>
              <w:rFonts w:eastAsiaTheme="minorEastAsia"/>
              <w:noProof/>
              <w:lang w:eastAsia="en-AU"/>
            </w:rPr>
          </w:pPr>
          <w:hyperlink w:anchor="_Toc136008644" w:history="1">
            <w:r w:rsidR="00FD4BD9" w:rsidRPr="0029467A">
              <w:rPr>
                <w:rStyle w:val="Hyperlink"/>
                <w:noProof/>
              </w:rPr>
              <w:t>Country of Origin for Food Labelling Information Standard 2016</w:t>
            </w:r>
            <w:r w:rsidR="00FD4BD9">
              <w:rPr>
                <w:noProof/>
                <w:webHidden/>
              </w:rPr>
              <w:tab/>
            </w:r>
            <w:r w:rsidR="00FD4BD9">
              <w:rPr>
                <w:noProof/>
                <w:webHidden/>
              </w:rPr>
              <w:fldChar w:fldCharType="begin"/>
            </w:r>
            <w:r w:rsidR="00FD4BD9">
              <w:rPr>
                <w:noProof/>
                <w:webHidden/>
              </w:rPr>
              <w:instrText xml:space="preserve"> PAGEREF _Toc136008644 \h </w:instrText>
            </w:r>
            <w:r w:rsidR="00FD4BD9">
              <w:rPr>
                <w:noProof/>
                <w:webHidden/>
              </w:rPr>
            </w:r>
            <w:r w:rsidR="00FD4BD9">
              <w:rPr>
                <w:noProof/>
                <w:webHidden/>
              </w:rPr>
              <w:fldChar w:fldCharType="separate"/>
            </w:r>
            <w:r w:rsidR="00D07433">
              <w:rPr>
                <w:noProof/>
                <w:webHidden/>
              </w:rPr>
              <w:t>20</w:t>
            </w:r>
            <w:r w:rsidR="00FD4BD9">
              <w:rPr>
                <w:noProof/>
                <w:webHidden/>
              </w:rPr>
              <w:fldChar w:fldCharType="end"/>
            </w:r>
          </w:hyperlink>
        </w:p>
        <w:p w14:paraId="5083915D" w14:textId="6484895E" w:rsidR="00FD4BD9" w:rsidRDefault="002E55B9">
          <w:pPr>
            <w:pStyle w:val="TOC1"/>
            <w:rPr>
              <w:rFonts w:eastAsiaTheme="minorEastAsia"/>
              <w:noProof/>
              <w:lang w:eastAsia="en-AU"/>
            </w:rPr>
          </w:pPr>
          <w:hyperlink w:anchor="_Toc136008645" w:history="1">
            <w:r w:rsidR="00FD4BD9" w:rsidRPr="0029467A">
              <w:rPr>
                <w:rStyle w:val="Hyperlink"/>
                <w:noProof/>
              </w:rPr>
              <w:t>Appendix C</w:t>
            </w:r>
            <w:r w:rsidR="00FD4BD9">
              <w:rPr>
                <w:noProof/>
                <w:webHidden/>
              </w:rPr>
              <w:tab/>
            </w:r>
            <w:r w:rsidR="00FD4BD9">
              <w:rPr>
                <w:noProof/>
                <w:webHidden/>
              </w:rPr>
              <w:fldChar w:fldCharType="begin"/>
            </w:r>
            <w:r w:rsidR="00FD4BD9">
              <w:rPr>
                <w:noProof/>
                <w:webHidden/>
              </w:rPr>
              <w:instrText xml:space="preserve"> PAGEREF _Toc136008645 \h </w:instrText>
            </w:r>
            <w:r w:rsidR="00FD4BD9">
              <w:rPr>
                <w:noProof/>
                <w:webHidden/>
              </w:rPr>
            </w:r>
            <w:r w:rsidR="00FD4BD9">
              <w:rPr>
                <w:noProof/>
                <w:webHidden/>
              </w:rPr>
              <w:fldChar w:fldCharType="separate"/>
            </w:r>
            <w:r w:rsidR="00D07433">
              <w:rPr>
                <w:noProof/>
                <w:webHidden/>
              </w:rPr>
              <w:t>21</w:t>
            </w:r>
            <w:r w:rsidR="00FD4BD9">
              <w:rPr>
                <w:noProof/>
                <w:webHidden/>
              </w:rPr>
              <w:fldChar w:fldCharType="end"/>
            </w:r>
          </w:hyperlink>
        </w:p>
        <w:p w14:paraId="626C7772" w14:textId="72F179D1" w:rsidR="00FD4BD9" w:rsidRDefault="002E55B9" w:rsidP="009C69F5">
          <w:pPr>
            <w:pStyle w:val="TOC2"/>
            <w:rPr>
              <w:rFonts w:eastAsiaTheme="minorEastAsia"/>
              <w:noProof/>
              <w:lang w:eastAsia="en-AU"/>
            </w:rPr>
          </w:pPr>
          <w:hyperlink w:anchor="_Toc136008646" w:history="1">
            <w:r w:rsidR="00FD4BD9" w:rsidRPr="0029467A">
              <w:rPr>
                <w:rStyle w:val="Hyperlink"/>
                <w:noProof/>
              </w:rPr>
              <w:t>Overview of relevant industries</w:t>
            </w:r>
            <w:r w:rsidR="00FD4BD9">
              <w:rPr>
                <w:noProof/>
                <w:webHidden/>
              </w:rPr>
              <w:tab/>
            </w:r>
            <w:r w:rsidR="00FD4BD9">
              <w:rPr>
                <w:noProof/>
                <w:webHidden/>
              </w:rPr>
              <w:fldChar w:fldCharType="begin"/>
            </w:r>
            <w:r w:rsidR="00FD4BD9">
              <w:rPr>
                <w:noProof/>
                <w:webHidden/>
              </w:rPr>
              <w:instrText xml:space="preserve"> PAGEREF _Toc136008646 \h </w:instrText>
            </w:r>
            <w:r w:rsidR="00FD4BD9">
              <w:rPr>
                <w:noProof/>
                <w:webHidden/>
              </w:rPr>
            </w:r>
            <w:r w:rsidR="00FD4BD9">
              <w:rPr>
                <w:noProof/>
                <w:webHidden/>
              </w:rPr>
              <w:fldChar w:fldCharType="separate"/>
            </w:r>
            <w:r w:rsidR="00D07433">
              <w:rPr>
                <w:noProof/>
                <w:webHidden/>
              </w:rPr>
              <w:t>21</w:t>
            </w:r>
            <w:r w:rsidR="00FD4BD9">
              <w:rPr>
                <w:noProof/>
                <w:webHidden/>
              </w:rPr>
              <w:fldChar w:fldCharType="end"/>
            </w:r>
          </w:hyperlink>
        </w:p>
        <w:p w14:paraId="33825E53" w14:textId="745C278C" w:rsidR="000F2564" w:rsidRDefault="00E3027E" w:rsidP="00551EB7">
          <w:r>
            <w:fldChar w:fldCharType="end"/>
          </w:r>
        </w:p>
      </w:sdtContent>
    </w:sdt>
    <w:p w14:paraId="2B69589E" w14:textId="77777777" w:rsidR="00DC5D38" w:rsidRDefault="000F2564" w:rsidP="00DC5D38">
      <w:pPr>
        <w:pStyle w:val="Heading1"/>
      </w:pPr>
      <w:r>
        <w:br w:type="page"/>
      </w:r>
      <w:bookmarkStart w:id="35" w:name="_Toc89700896"/>
      <w:bookmarkStart w:id="36" w:name="_Toc136008617"/>
      <w:bookmarkStart w:id="37" w:name="_Toc69381039"/>
      <w:bookmarkStart w:id="38" w:name="_Toc69395059"/>
      <w:bookmarkStart w:id="39" w:name="_Toc69381037"/>
      <w:bookmarkStart w:id="40" w:name="_Toc69395057"/>
      <w:r w:rsidR="00DC5D38">
        <w:lastRenderedPageBreak/>
        <w:t>Consultation Process</w:t>
      </w:r>
      <w:bookmarkEnd w:id="35"/>
      <w:bookmarkEnd w:id="36"/>
    </w:p>
    <w:bookmarkEnd w:id="37"/>
    <w:bookmarkEnd w:id="38"/>
    <w:p w14:paraId="03795D4D" w14:textId="77777777" w:rsidR="00DC5D38" w:rsidRPr="00772E55" w:rsidRDefault="00DC5D38" w:rsidP="00DC5D38">
      <w:r>
        <w:t>A</w:t>
      </w:r>
      <w:r w:rsidRPr="00772E55">
        <w:t xml:space="preserve"> public consultation process</w:t>
      </w:r>
      <w:r>
        <w:t xml:space="preserve"> is being undertaken </w:t>
      </w:r>
      <w:r w:rsidRPr="00772E55">
        <w:t xml:space="preserve">to reach a </w:t>
      </w:r>
      <w:r>
        <w:t>range</w:t>
      </w:r>
      <w:r w:rsidRPr="00772E55">
        <w:t xml:space="preserve"> of stakeholders. It will be important to assess </w:t>
      </w:r>
      <w:r>
        <w:t xml:space="preserve">whether any changes to the law would improve outcomes in practice </w:t>
      </w:r>
      <w:r w:rsidRPr="00772E55">
        <w:t xml:space="preserve">and </w:t>
      </w:r>
      <w:r>
        <w:t>the extent of any compliance obligations</w:t>
      </w:r>
      <w:r w:rsidRPr="00772E55">
        <w:t>.</w:t>
      </w:r>
    </w:p>
    <w:p w14:paraId="61FCF36A" w14:textId="4E38D822" w:rsidR="00DC5D38" w:rsidRDefault="00DC5D38" w:rsidP="00DC5D38">
      <w:r w:rsidRPr="00772E55">
        <w:t xml:space="preserve">Once the consultation process has concluded, a </w:t>
      </w:r>
      <w:r w:rsidR="00BF742E">
        <w:t>Decision</w:t>
      </w:r>
      <w:r w:rsidRPr="00772E55">
        <w:t xml:space="preserve"> </w:t>
      </w:r>
      <w:r>
        <w:t>Regulat</w:t>
      </w:r>
      <w:r w:rsidR="005379AA">
        <w:t>ion</w:t>
      </w:r>
      <w:r>
        <w:t xml:space="preserve"> Impact Statement (</w:t>
      </w:r>
      <w:r w:rsidR="00BF742E">
        <w:t>D</w:t>
      </w:r>
      <w:r w:rsidR="00BE0AF6">
        <w:t xml:space="preserve">ecision </w:t>
      </w:r>
      <w:r w:rsidRPr="00772E55">
        <w:t>RIS</w:t>
      </w:r>
      <w:r>
        <w:t>)</w:t>
      </w:r>
      <w:r w:rsidRPr="00772E55">
        <w:t xml:space="preserve"> will be </w:t>
      </w:r>
      <w:r>
        <w:t>developed</w:t>
      </w:r>
      <w:r w:rsidRPr="00772E55">
        <w:t xml:space="preserve"> to </w:t>
      </w:r>
      <w:r>
        <w:t>outline</w:t>
      </w:r>
      <w:r w:rsidRPr="00772E55">
        <w:t xml:space="preserve"> the evidence gathered and the preferred policy option for </w:t>
      </w:r>
      <w:r>
        <w:t>the problem</w:t>
      </w:r>
      <w:r w:rsidRPr="00772E55">
        <w:t xml:space="preserve">. Both this </w:t>
      </w:r>
      <w:r>
        <w:t>C</w:t>
      </w:r>
      <w:r w:rsidRPr="00772E55">
        <w:t xml:space="preserve">onsultation </w:t>
      </w:r>
      <w:r w:rsidR="005379AA" w:rsidRPr="00772E55">
        <w:t>R</w:t>
      </w:r>
      <w:r w:rsidR="005379AA">
        <w:t xml:space="preserve">egulation </w:t>
      </w:r>
      <w:r w:rsidRPr="00772E55">
        <w:t>I</w:t>
      </w:r>
      <w:r w:rsidR="00BF742E">
        <w:t xml:space="preserve">mpact </w:t>
      </w:r>
      <w:r w:rsidRPr="00772E55">
        <w:t>S</w:t>
      </w:r>
      <w:r w:rsidR="00BF742E">
        <w:t>tatement</w:t>
      </w:r>
      <w:r w:rsidR="00A26BB4">
        <w:t xml:space="preserve"> (C</w:t>
      </w:r>
      <w:r w:rsidR="00BE0AF6">
        <w:t xml:space="preserve">onsultation </w:t>
      </w:r>
      <w:r w:rsidR="00A26BB4">
        <w:t>RIS)</w:t>
      </w:r>
      <w:r w:rsidRPr="00772E55">
        <w:t xml:space="preserve"> and the </w:t>
      </w:r>
      <w:r>
        <w:t xml:space="preserve">subsequent </w:t>
      </w:r>
      <w:r w:rsidR="00A26BB4">
        <w:t>D</w:t>
      </w:r>
      <w:r w:rsidR="003F1455">
        <w:t xml:space="preserve">ecision </w:t>
      </w:r>
      <w:r w:rsidR="00A26BB4">
        <w:t>RIS</w:t>
      </w:r>
      <w:r w:rsidRPr="00772E55">
        <w:t xml:space="preserve"> will be published </w:t>
      </w:r>
      <w:r>
        <w:t>by</w:t>
      </w:r>
      <w:r w:rsidRPr="00772E55">
        <w:t xml:space="preserve"> the Office of </w:t>
      </w:r>
      <w:r>
        <w:t>Impact Analysis</w:t>
      </w:r>
      <w:r w:rsidR="00A26BB4">
        <w:t xml:space="preserve"> (OIA)</w:t>
      </w:r>
      <w:r w:rsidRPr="00772E55">
        <w:t xml:space="preserve"> </w:t>
      </w:r>
      <w:r>
        <w:t xml:space="preserve">on the Department of the Prime Minister and Cabinet </w:t>
      </w:r>
      <w:r w:rsidRPr="00772E55">
        <w:t>website.</w:t>
      </w:r>
    </w:p>
    <w:p w14:paraId="40131C4C" w14:textId="77777777" w:rsidR="00DC5D38" w:rsidRDefault="00DC5D38" w:rsidP="00DC5D38">
      <w:pPr>
        <w:pStyle w:val="Heading2"/>
      </w:pPr>
      <w:bookmarkStart w:id="41" w:name="_Toc69381038"/>
      <w:bookmarkStart w:id="42" w:name="_Toc69395058"/>
      <w:bookmarkStart w:id="43" w:name="_Toc89700897"/>
      <w:bookmarkStart w:id="44" w:name="_Toc136008618"/>
      <w:bookmarkEnd w:id="39"/>
      <w:bookmarkEnd w:id="40"/>
      <w:r>
        <w:t>Request for submissions</w:t>
      </w:r>
      <w:bookmarkEnd w:id="41"/>
      <w:bookmarkEnd w:id="42"/>
      <w:bookmarkEnd w:id="43"/>
      <w:bookmarkEnd w:id="44"/>
    </w:p>
    <w:p w14:paraId="383173F0" w14:textId="179171DB" w:rsidR="00DC5D38" w:rsidRDefault="00DC5D38" w:rsidP="00DC5D38">
      <w:r>
        <w:t xml:space="preserve">The Department of Industry, Science and Resources </w:t>
      </w:r>
      <w:r w:rsidR="00BF742E">
        <w:t xml:space="preserve">(the department) </w:t>
      </w:r>
      <w:r>
        <w:t xml:space="preserve">welcomes formal written submissions on this </w:t>
      </w:r>
      <w:r w:rsidR="00A26BB4">
        <w:t>C</w:t>
      </w:r>
      <w:r w:rsidR="00BE0AF6">
        <w:t xml:space="preserve">onsultation </w:t>
      </w:r>
      <w:r>
        <w:t xml:space="preserve">RIS. </w:t>
      </w:r>
    </w:p>
    <w:p w14:paraId="5C39A058" w14:textId="41C9A48B" w:rsidR="00DC5D38" w:rsidRDefault="00DC5D38" w:rsidP="00DC5D38">
      <w:r>
        <w:t>Views</w:t>
      </w:r>
      <w:r w:rsidRPr="00595806">
        <w:t xml:space="preserve"> </w:t>
      </w:r>
      <w:r>
        <w:t>are</w:t>
      </w:r>
      <w:r w:rsidRPr="00595806">
        <w:t xml:space="preserve"> sought on </w:t>
      </w:r>
      <w:r>
        <w:t xml:space="preserve">the problem identified, </w:t>
      </w:r>
      <w:r w:rsidRPr="00595806">
        <w:t xml:space="preserve">further data </w:t>
      </w:r>
      <w:r>
        <w:t xml:space="preserve">that can support more accurate modelling, </w:t>
      </w:r>
      <w:r w:rsidRPr="00595806">
        <w:t xml:space="preserve">and </w:t>
      </w:r>
      <w:r>
        <w:t xml:space="preserve">the robustness of </w:t>
      </w:r>
      <w:r w:rsidRPr="00595806">
        <w:t>assumptions made.</w:t>
      </w:r>
      <w:r>
        <w:t xml:space="preserve"> Views are also sought on the costs and benefits of each policy option and any other options that could address the identified problem. In writing your submission, several focus questions have been included in this </w:t>
      </w:r>
      <w:r w:rsidR="00A26BB4">
        <w:t>C</w:t>
      </w:r>
      <w:r w:rsidR="00BE0AF6">
        <w:t xml:space="preserve">onsultation </w:t>
      </w:r>
      <w:r>
        <w:t>RIS as a guide</w:t>
      </w:r>
      <w:r w:rsidRPr="00784D29">
        <w:t>. There is no obligation to answer any or all the questions. There is no limit to the length of submissions. For accessibility reasons, please upload submissions in a Word, RTF, or PDF format.</w:t>
      </w:r>
    </w:p>
    <w:p w14:paraId="29C927DC" w14:textId="77777777" w:rsidR="00DC5D38" w:rsidRDefault="00DC5D38" w:rsidP="00DC5D38">
      <w:bookmarkStart w:id="45" w:name="_Toc377731441"/>
      <w:bookmarkStart w:id="46" w:name="_Toc378083664"/>
      <w:bookmarkStart w:id="47" w:name="_Toc378085618"/>
      <w:bookmarkEnd w:id="45"/>
      <w:bookmarkEnd w:id="46"/>
      <w:bookmarkEnd w:id="47"/>
      <w:r w:rsidRPr="00772E55">
        <w:t xml:space="preserve">All submissions to the consultation process will be published, unless authors have indicated they would like all or part of their submission to remain </w:t>
      </w:r>
      <w:r>
        <w:t>confidential</w:t>
      </w:r>
      <w:r w:rsidRPr="00772E55">
        <w:t>.</w:t>
      </w:r>
      <w:r>
        <w:t xml:space="preserve"> Specifically, all information (including name and address details) contained in submissions will be made available to the public on the department’s website, unless it is indicated that you would like all, or part of your submission to remain confidential. Automatically generated confidentiality statements in emails do not suffice for this purpose. Anyone who would like part of their submission to remain confidential should provide this information marked as such in a separate document.</w:t>
      </w:r>
    </w:p>
    <w:p w14:paraId="250AFF3C" w14:textId="77777777" w:rsidR="00DC5D38" w:rsidRDefault="00DC5D38" w:rsidP="00DC5D38">
      <w:r>
        <w:t xml:space="preserve">A request made under the </w:t>
      </w:r>
      <w:r w:rsidRPr="002F6546">
        <w:rPr>
          <w:i/>
        </w:rPr>
        <w:t>Freedom of Information Act 1982</w:t>
      </w:r>
      <w:r>
        <w:t xml:space="preserve"> (Cth) for a submission marked ‘confidential’ to be made available will be determined in accordance with that Act.</w:t>
      </w:r>
    </w:p>
    <w:p w14:paraId="31EE723F" w14:textId="7275F32F" w:rsidR="00DC5D38" w:rsidRDefault="00DC5D38" w:rsidP="00DC5D38">
      <w:r>
        <w:t xml:space="preserve">This </w:t>
      </w:r>
      <w:r w:rsidR="00A26BB4">
        <w:t>C</w:t>
      </w:r>
      <w:r w:rsidR="00BE0AF6">
        <w:t xml:space="preserve">onsultation </w:t>
      </w:r>
      <w:r w:rsidR="00A26BB4">
        <w:t>RIS</w:t>
      </w:r>
      <w:r>
        <w:t xml:space="preserve"> has been developed with reference to submissions and feedback received in response to the department’s </w:t>
      </w:r>
      <w:hyperlink r:id="rId11" w:history="1">
        <w:r w:rsidR="008B719D">
          <w:rPr>
            <w:rStyle w:val="Hyperlink"/>
          </w:rPr>
          <w:t>Country of origin labelling for seafood in hospitality settings: discussion paper</w:t>
        </w:r>
      </w:hyperlink>
      <w:r w:rsidR="005257E8">
        <w:t>.</w:t>
      </w:r>
      <w:r>
        <w:t xml:space="preserve"> However, s</w:t>
      </w:r>
      <w:r w:rsidRPr="00772E55">
        <w:t xml:space="preserve">pecific questions are likely to arise from this </w:t>
      </w:r>
      <w:r>
        <w:t xml:space="preserve">document </w:t>
      </w:r>
      <w:r w:rsidRPr="00772E55">
        <w:t xml:space="preserve">which may not </w:t>
      </w:r>
      <w:r>
        <w:t xml:space="preserve">have </w:t>
      </w:r>
      <w:r w:rsidRPr="00772E55">
        <w:t>been considered</w:t>
      </w:r>
      <w:r w:rsidR="005257E8">
        <w:t xml:space="preserve"> during that consultation process and the department </w:t>
      </w:r>
      <w:r w:rsidRPr="00772E55">
        <w:t>may undertake further targeted consultation with key stakeholders if necessary.</w:t>
      </w:r>
    </w:p>
    <w:p w14:paraId="23A19F60" w14:textId="77777777" w:rsidR="005257E8" w:rsidRDefault="005257E8">
      <w:pPr>
        <w:rPr>
          <w:rFonts w:asciiTheme="majorHAnsi" w:eastAsiaTheme="majorEastAsia" w:hAnsiTheme="majorHAnsi" w:cstheme="majorBidi"/>
          <w:iCs/>
          <w:color w:val="146F6B" w:themeColor="accent3" w:themeShade="BF"/>
          <w:sz w:val="28"/>
          <w:szCs w:val="28"/>
        </w:rPr>
      </w:pPr>
      <w:r>
        <w:br w:type="page"/>
      </w:r>
    </w:p>
    <w:p w14:paraId="0A6BDA1B" w14:textId="77777777" w:rsidR="005257E8" w:rsidRPr="005257E8" w:rsidRDefault="00DC5D38" w:rsidP="005257E8">
      <w:pPr>
        <w:pStyle w:val="Heading4"/>
        <w:spacing w:after="120"/>
      </w:pPr>
      <w:r w:rsidRPr="005257E8">
        <w:lastRenderedPageBreak/>
        <w:t>Closing date for submissions</w:t>
      </w:r>
    </w:p>
    <w:tbl>
      <w:tblPr>
        <w:tblStyle w:val="TableGrid"/>
        <w:tblW w:w="0" w:type="auto"/>
        <w:tblLook w:val="04A0" w:firstRow="1" w:lastRow="0" w:firstColumn="1" w:lastColumn="0" w:noHBand="0" w:noVBand="1"/>
      </w:tblPr>
      <w:tblGrid>
        <w:gridCol w:w="1511"/>
        <w:gridCol w:w="7505"/>
      </w:tblGrid>
      <w:tr w:rsidR="00DC5D38" w:rsidRPr="003C3067" w14:paraId="4A3FEC63" w14:textId="77777777" w:rsidTr="00E302A1">
        <w:tc>
          <w:tcPr>
            <w:tcW w:w="1516" w:type="dxa"/>
            <w:shd w:val="clear" w:color="auto" w:fill="auto"/>
          </w:tcPr>
          <w:p w14:paraId="669AE212" w14:textId="77777777" w:rsidR="00DC5D38" w:rsidRDefault="00DC5D38" w:rsidP="005257E8">
            <w:pPr>
              <w:spacing w:beforeLines="60" w:before="144" w:after="60" w:line="259" w:lineRule="auto"/>
            </w:pPr>
            <w:r>
              <w:t>Closing date</w:t>
            </w:r>
          </w:p>
        </w:tc>
        <w:tc>
          <w:tcPr>
            <w:tcW w:w="7554" w:type="dxa"/>
            <w:shd w:val="clear" w:color="auto" w:fill="auto"/>
          </w:tcPr>
          <w:p w14:paraId="5EDFC971" w14:textId="77777777" w:rsidR="00DC5D38" w:rsidRPr="002C45FE" w:rsidRDefault="00DC5D38" w:rsidP="005257E8">
            <w:pPr>
              <w:spacing w:beforeLines="60" w:before="144" w:after="60" w:line="259" w:lineRule="auto"/>
              <w:rPr>
                <w:rFonts w:cs="Arial"/>
                <w:b/>
                <w:bCs/>
              </w:rPr>
            </w:pPr>
            <w:r>
              <w:rPr>
                <w:rFonts w:cs="Arial"/>
                <w:b/>
                <w:bCs/>
              </w:rPr>
              <w:t xml:space="preserve">Close of Business: </w:t>
            </w:r>
            <w:r w:rsidR="005257E8" w:rsidRPr="005257E8">
              <w:rPr>
                <w:rFonts w:cs="Arial"/>
                <w:b/>
                <w:bCs/>
                <w:highlight w:val="yellow"/>
              </w:rPr>
              <w:t>XX</w:t>
            </w:r>
          </w:p>
        </w:tc>
      </w:tr>
      <w:tr w:rsidR="00DC5D38" w:rsidRPr="00B85F47" w14:paraId="4385E394" w14:textId="77777777" w:rsidTr="00E302A1">
        <w:tc>
          <w:tcPr>
            <w:tcW w:w="1516" w:type="dxa"/>
            <w:shd w:val="clear" w:color="auto" w:fill="auto"/>
          </w:tcPr>
          <w:p w14:paraId="115C60DE" w14:textId="77777777" w:rsidR="00DC5D38" w:rsidRPr="00B85F47" w:rsidRDefault="00DC5D38" w:rsidP="005257E8">
            <w:pPr>
              <w:spacing w:beforeLines="60" w:before="144" w:after="60" w:line="259" w:lineRule="auto"/>
            </w:pPr>
            <w:r w:rsidRPr="00B85F47">
              <w:t>Email</w:t>
            </w:r>
          </w:p>
        </w:tc>
        <w:tc>
          <w:tcPr>
            <w:tcW w:w="7554" w:type="dxa"/>
            <w:shd w:val="clear" w:color="auto" w:fill="auto"/>
          </w:tcPr>
          <w:p w14:paraId="1FFCE264" w14:textId="31FF513B" w:rsidR="00DC5D38" w:rsidRPr="000534ED" w:rsidRDefault="002E55B9" w:rsidP="005257E8">
            <w:pPr>
              <w:spacing w:beforeLines="60" w:before="144" w:after="60" w:line="259" w:lineRule="auto"/>
            </w:pPr>
            <w:hyperlink r:id="rId12" w:history="1">
              <w:r w:rsidR="005257E8" w:rsidRPr="00247DA2">
                <w:rPr>
                  <w:rStyle w:val="Hyperlink"/>
                </w:rPr>
                <w:t>originlabelling@industry.gov.au</w:t>
              </w:r>
            </w:hyperlink>
            <w:r w:rsidR="005257E8">
              <w:t xml:space="preserve"> </w:t>
            </w:r>
          </w:p>
        </w:tc>
      </w:tr>
      <w:tr w:rsidR="00DC5D38" w:rsidRPr="00B85F47" w14:paraId="7FE77E48" w14:textId="77777777" w:rsidTr="00E302A1">
        <w:tc>
          <w:tcPr>
            <w:tcW w:w="1516" w:type="dxa"/>
            <w:shd w:val="clear" w:color="auto" w:fill="auto"/>
          </w:tcPr>
          <w:p w14:paraId="02788906" w14:textId="77777777" w:rsidR="00DC5D38" w:rsidRPr="00B85F47" w:rsidRDefault="00DC5D38" w:rsidP="005257E8">
            <w:pPr>
              <w:spacing w:beforeLines="60" w:before="144" w:after="60" w:line="259" w:lineRule="auto"/>
            </w:pPr>
            <w:r w:rsidRPr="00B85F47">
              <w:t>Mail</w:t>
            </w:r>
          </w:p>
          <w:p w14:paraId="652D6001" w14:textId="77777777" w:rsidR="00DC5D38" w:rsidRPr="00B85F47" w:rsidRDefault="00DC5D38" w:rsidP="005257E8">
            <w:pPr>
              <w:spacing w:beforeLines="60" w:before="144" w:after="60" w:line="259" w:lineRule="auto"/>
            </w:pPr>
          </w:p>
          <w:p w14:paraId="18C8E261" w14:textId="77777777" w:rsidR="00DC5D38" w:rsidRPr="00B85F47" w:rsidRDefault="00DC5D38" w:rsidP="005257E8">
            <w:pPr>
              <w:spacing w:beforeLines="60" w:before="144" w:after="60" w:line="259" w:lineRule="auto"/>
            </w:pPr>
          </w:p>
        </w:tc>
        <w:tc>
          <w:tcPr>
            <w:tcW w:w="7554" w:type="dxa"/>
            <w:shd w:val="clear" w:color="auto" w:fill="auto"/>
          </w:tcPr>
          <w:p w14:paraId="6DA16FD0" w14:textId="77777777" w:rsidR="00DC5D38" w:rsidRPr="00B85F47" w:rsidRDefault="001B2285" w:rsidP="005257E8">
            <w:pPr>
              <w:pStyle w:val="SingleParagraph"/>
              <w:spacing w:beforeLines="60" w:before="144" w:after="60" w:line="259" w:lineRule="auto"/>
              <w:rPr>
                <w:rFonts w:cs="Arial"/>
                <w:szCs w:val="22"/>
              </w:rPr>
            </w:pPr>
            <w:r>
              <w:rPr>
                <w:rFonts w:cs="Arial"/>
                <w:szCs w:val="22"/>
              </w:rPr>
              <w:t xml:space="preserve">Manager, </w:t>
            </w:r>
            <w:r w:rsidR="005257E8">
              <w:rPr>
                <w:rFonts w:cs="Arial"/>
                <w:szCs w:val="22"/>
              </w:rPr>
              <w:t>CoOL for Seafood Taskforce</w:t>
            </w:r>
          </w:p>
          <w:p w14:paraId="654B70D4" w14:textId="77777777" w:rsidR="00DC5D38" w:rsidRPr="00B85F47" w:rsidRDefault="005257E8" w:rsidP="005257E8">
            <w:pPr>
              <w:pStyle w:val="SingleParagraph"/>
              <w:spacing w:beforeLines="60" w:before="144" w:after="60" w:line="259" w:lineRule="auto"/>
              <w:rPr>
                <w:rFonts w:cs="Arial"/>
                <w:szCs w:val="22"/>
              </w:rPr>
            </w:pPr>
            <w:r>
              <w:rPr>
                <w:rFonts w:cs="Arial"/>
                <w:szCs w:val="22"/>
              </w:rPr>
              <w:t>Industry Growth</w:t>
            </w:r>
            <w:r w:rsidR="00DC5D38" w:rsidRPr="00C31DB1">
              <w:rPr>
                <w:rFonts w:cs="Arial"/>
                <w:szCs w:val="22"/>
              </w:rPr>
              <w:t xml:space="preserve"> Division</w:t>
            </w:r>
          </w:p>
          <w:p w14:paraId="1A344F02" w14:textId="77777777" w:rsidR="00DC5D38" w:rsidRPr="00B85F47" w:rsidRDefault="005257E8" w:rsidP="005257E8">
            <w:pPr>
              <w:pStyle w:val="SingleParagraph"/>
              <w:spacing w:beforeLines="60" w:before="144" w:after="60" w:line="259" w:lineRule="auto"/>
              <w:rPr>
                <w:rFonts w:cs="Arial"/>
                <w:szCs w:val="22"/>
              </w:rPr>
            </w:pPr>
            <w:r>
              <w:rPr>
                <w:rFonts w:cs="Arial"/>
                <w:szCs w:val="22"/>
              </w:rPr>
              <w:t>Department of Industry, Science and Resources</w:t>
            </w:r>
          </w:p>
          <w:p w14:paraId="63C7B8F8" w14:textId="77777777" w:rsidR="00DC5D38" w:rsidRPr="00B85F47" w:rsidRDefault="005257E8" w:rsidP="005257E8">
            <w:pPr>
              <w:pStyle w:val="SingleParagraph"/>
              <w:spacing w:beforeLines="60" w:before="144" w:after="60" w:line="259" w:lineRule="auto"/>
              <w:rPr>
                <w:rFonts w:cs="Arial"/>
                <w:szCs w:val="22"/>
              </w:rPr>
            </w:pPr>
            <w:r>
              <w:rPr>
                <w:rFonts w:cs="Arial"/>
                <w:szCs w:val="22"/>
              </w:rPr>
              <w:t>GPO Box 2013</w:t>
            </w:r>
          </w:p>
          <w:p w14:paraId="000FF99C" w14:textId="77777777" w:rsidR="00DC5D38" w:rsidRPr="00B85F47" w:rsidRDefault="005257E8" w:rsidP="005257E8">
            <w:pPr>
              <w:pStyle w:val="SingleParagraph"/>
              <w:spacing w:beforeLines="60" w:before="144" w:after="60" w:line="259" w:lineRule="auto"/>
              <w:rPr>
                <w:szCs w:val="22"/>
              </w:rPr>
            </w:pPr>
            <w:r>
              <w:rPr>
                <w:szCs w:val="22"/>
              </w:rPr>
              <w:t>CANBERRA</w:t>
            </w:r>
            <w:r w:rsidR="00DC5D38" w:rsidRPr="00B85F47">
              <w:rPr>
                <w:szCs w:val="22"/>
              </w:rPr>
              <w:t> ACT 260</w:t>
            </w:r>
            <w:r>
              <w:rPr>
                <w:szCs w:val="22"/>
              </w:rPr>
              <w:t>1</w:t>
            </w:r>
          </w:p>
        </w:tc>
      </w:tr>
      <w:tr w:rsidR="00DC5D38" w:rsidRPr="00B85F47" w14:paraId="2EFF345A" w14:textId="77777777" w:rsidTr="00E302A1">
        <w:tc>
          <w:tcPr>
            <w:tcW w:w="1516" w:type="dxa"/>
            <w:shd w:val="clear" w:color="auto" w:fill="auto"/>
          </w:tcPr>
          <w:p w14:paraId="6EE47B3A" w14:textId="77777777" w:rsidR="00DC5D38" w:rsidRPr="00B85F47" w:rsidRDefault="00DC5D38" w:rsidP="005257E8">
            <w:pPr>
              <w:spacing w:beforeLines="60" w:before="144" w:after="60" w:line="259" w:lineRule="auto"/>
            </w:pPr>
            <w:r w:rsidRPr="00B85F47">
              <w:t>Enquiries</w:t>
            </w:r>
          </w:p>
        </w:tc>
        <w:tc>
          <w:tcPr>
            <w:tcW w:w="7554" w:type="dxa"/>
            <w:shd w:val="clear" w:color="auto" w:fill="auto"/>
          </w:tcPr>
          <w:p w14:paraId="4E585D46" w14:textId="77777777" w:rsidR="00DC5D38" w:rsidRPr="00B85F47" w:rsidRDefault="001B2285" w:rsidP="005257E8">
            <w:pPr>
              <w:spacing w:beforeLines="60" w:before="144" w:after="60" w:line="259" w:lineRule="auto"/>
            </w:pPr>
            <w:r>
              <w:rPr>
                <w:rFonts w:cs="Arial"/>
              </w:rPr>
              <w:t>Manager, CoOL for Seafood Taskforce by email to</w:t>
            </w:r>
            <w:r w:rsidR="00DC5D38" w:rsidRPr="00B85F47">
              <w:rPr>
                <w:rFonts w:cs="Arial"/>
              </w:rPr>
              <w:t xml:space="preserve"> </w:t>
            </w:r>
            <w:hyperlink r:id="rId13" w:history="1">
              <w:r w:rsidR="005257E8" w:rsidRPr="00247DA2">
                <w:rPr>
                  <w:rStyle w:val="Hyperlink"/>
                </w:rPr>
                <w:t>originlabelling@industry.gov.au</w:t>
              </w:r>
            </w:hyperlink>
            <w:r w:rsidR="005257E8">
              <w:t xml:space="preserve"> </w:t>
            </w:r>
          </w:p>
        </w:tc>
      </w:tr>
    </w:tbl>
    <w:p w14:paraId="0F882615" w14:textId="77777777" w:rsidR="001B2285" w:rsidRDefault="001B2285"/>
    <w:p w14:paraId="5B21BB4A" w14:textId="77777777" w:rsidR="005257E8" w:rsidRDefault="005257E8">
      <w:r>
        <w:br w:type="page"/>
      </w:r>
    </w:p>
    <w:p w14:paraId="381AE0EC" w14:textId="77777777" w:rsidR="00E3027E" w:rsidRDefault="005257E8" w:rsidP="005257E8">
      <w:pPr>
        <w:pStyle w:val="Heading1"/>
      </w:pPr>
      <w:bookmarkStart w:id="48" w:name="_Toc136008619"/>
      <w:r>
        <w:lastRenderedPageBreak/>
        <w:t>Glossary of terms</w:t>
      </w:r>
      <w:bookmarkEnd w:id="48"/>
    </w:p>
    <w:tbl>
      <w:tblPr>
        <w:tblStyle w:val="ListTable1Light-Accent4"/>
        <w:tblW w:w="0" w:type="auto"/>
        <w:tblLook w:val="04A0" w:firstRow="1" w:lastRow="0" w:firstColumn="1" w:lastColumn="0" w:noHBand="0" w:noVBand="1"/>
      </w:tblPr>
      <w:tblGrid>
        <w:gridCol w:w="1701"/>
        <w:gridCol w:w="7325"/>
      </w:tblGrid>
      <w:tr w:rsidR="005F7357" w14:paraId="33BC2589" w14:textId="77777777" w:rsidTr="00FB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A338BCE" w14:textId="77777777" w:rsidR="005F7357" w:rsidRPr="005F7357" w:rsidRDefault="005F7357" w:rsidP="00551EB7">
            <w:pPr>
              <w:spacing w:before="120" w:after="120" w:line="480" w:lineRule="auto"/>
              <w:rPr>
                <w:b w:val="0"/>
                <w:bCs w:val="0"/>
              </w:rPr>
            </w:pPr>
            <w:r w:rsidRPr="005F7357">
              <w:rPr>
                <w:b w:val="0"/>
                <w:bCs w:val="0"/>
              </w:rPr>
              <w:t>ABARES</w:t>
            </w:r>
          </w:p>
        </w:tc>
        <w:tc>
          <w:tcPr>
            <w:tcW w:w="7325" w:type="dxa"/>
            <w:vAlign w:val="center"/>
          </w:tcPr>
          <w:p w14:paraId="26876861" w14:textId="77777777" w:rsidR="005F7357" w:rsidRPr="005F7357" w:rsidRDefault="005F7357" w:rsidP="00551EB7">
            <w:pPr>
              <w:spacing w:before="120" w:after="120" w:line="480" w:lineRule="auto"/>
              <w:cnfStyle w:val="100000000000" w:firstRow="1" w:lastRow="0" w:firstColumn="0" w:lastColumn="0" w:oddVBand="0" w:evenVBand="0" w:oddHBand="0" w:evenHBand="0" w:firstRowFirstColumn="0" w:firstRowLastColumn="0" w:lastRowFirstColumn="0" w:lastRowLastColumn="0"/>
              <w:rPr>
                <w:b w:val="0"/>
                <w:bCs w:val="0"/>
              </w:rPr>
            </w:pPr>
            <w:r>
              <w:rPr>
                <w:b w:val="0"/>
                <w:bCs w:val="0"/>
              </w:rPr>
              <w:t>Australian Bureau of Agricultural and Resource Economics and Sciences</w:t>
            </w:r>
          </w:p>
        </w:tc>
      </w:tr>
      <w:tr w:rsidR="00D036A6" w14:paraId="57EE83FC"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53F8B982" w14:textId="77777777" w:rsidR="00D036A6" w:rsidRPr="005F7357" w:rsidRDefault="00D036A6" w:rsidP="00551EB7">
            <w:pPr>
              <w:spacing w:before="120" w:after="120" w:line="480" w:lineRule="auto"/>
              <w:rPr>
                <w:b w:val="0"/>
                <w:bCs w:val="0"/>
              </w:rPr>
            </w:pPr>
            <w:r w:rsidRPr="005F7357">
              <w:rPr>
                <w:b w:val="0"/>
                <w:bCs w:val="0"/>
              </w:rPr>
              <w:t>ACCC</w:t>
            </w:r>
          </w:p>
        </w:tc>
        <w:tc>
          <w:tcPr>
            <w:tcW w:w="7325" w:type="dxa"/>
            <w:vAlign w:val="center"/>
            <w:hideMark/>
          </w:tcPr>
          <w:p w14:paraId="07F187AC" w14:textId="77777777" w:rsidR="00D036A6" w:rsidRPr="005F7357" w:rsidRDefault="00D036A6"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rsidRPr="005F7357">
              <w:t xml:space="preserve">Australian Competition and Consumer Commission </w:t>
            </w:r>
          </w:p>
        </w:tc>
      </w:tr>
      <w:tr w:rsidR="00D036A6" w14:paraId="5997F1C5" w14:textId="77777777" w:rsidTr="00FB1CF6">
        <w:tc>
          <w:tcPr>
            <w:cnfStyle w:val="001000000000" w:firstRow="0" w:lastRow="0" w:firstColumn="1" w:lastColumn="0" w:oddVBand="0" w:evenVBand="0" w:oddHBand="0" w:evenHBand="0" w:firstRowFirstColumn="0" w:firstRowLastColumn="0" w:lastRowFirstColumn="0" w:lastRowLastColumn="0"/>
            <w:tcW w:w="1701" w:type="dxa"/>
            <w:vAlign w:val="center"/>
            <w:hideMark/>
          </w:tcPr>
          <w:p w14:paraId="744A44B8" w14:textId="77777777" w:rsidR="00D036A6" w:rsidRDefault="00D036A6" w:rsidP="00551EB7">
            <w:pPr>
              <w:spacing w:before="120" w:after="120" w:line="480" w:lineRule="auto"/>
              <w:rPr>
                <w:b w:val="0"/>
              </w:rPr>
            </w:pPr>
            <w:r>
              <w:rPr>
                <w:b w:val="0"/>
              </w:rPr>
              <w:t xml:space="preserve">ACL </w:t>
            </w:r>
          </w:p>
        </w:tc>
        <w:tc>
          <w:tcPr>
            <w:tcW w:w="7325" w:type="dxa"/>
            <w:vAlign w:val="center"/>
            <w:hideMark/>
          </w:tcPr>
          <w:p w14:paraId="603B2F71" w14:textId="77777777" w:rsidR="00D036A6" w:rsidRDefault="00D036A6" w:rsidP="00551EB7">
            <w:pPr>
              <w:spacing w:before="120" w:after="120" w:line="480" w:lineRule="auto"/>
              <w:cnfStyle w:val="000000000000" w:firstRow="0" w:lastRow="0" w:firstColumn="0" w:lastColumn="0" w:oddVBand="0" w:evenVBand="0" w:oddHBand="0" w:evenHBand="0" w:firstRowFirstColumn="0" w:firstRowLastColumn="0" w:lastRowFirstColumn="0" w:lastRowLastColumn="0"/>
            </w:pPr>
            <w:r>
              <w:t xml:space="preserve">Australian Consumer Law </w:t>
            </w:r>
          </w:p>
        </w:tc>
      </w:tr>
      <w:tr w:rsidR="00A24AAF" w14:paraId="4373BF78"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48B063F" w14:textId="05120C43" w:rsidR="00A24AAF" w:rsidRPr="00A24AAF" w:rsidRDefault="00A24AAF" w:rsidP="00551EB7">
            <w:pPr>
              <w:spacing w:before="120" w:after="120" w:line="480" w:lineRule="auto"/>
              <w:rPr>
                <w:b w:val="0"/>
                <w:bCs w:val="0"/>
              </w:rPr>
            </w:pPr>
            <w:r w:rsidRPr="00A24AAF">
              <w:rPr>
                <w:b w:val="0"/>
                <w:bCs w:val="0"/>
              </w:rPr>
              <w:t>ANAO</w:t>
            </w:r>
          </w:p>
        </w:tc>
        <w:tc>
          <w:tcPr>
            <w:tcW w:w="7325" w:type="dxa"/>
            <w:vAlign w:val="center"/>
          </w:tcPr>
          <w:p w14:paraId="747B90ED" w14:textId="2DFEB2D4" w:rsidR="00A24AAF" w:rsidRDefault="00A24AAF"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t>Australian National Audit Office</w:t>
            </w:r>
          </w:p>
        </w:tc>
      </w:tr>
      <w:tr w:rsidR="00D036A6" w14:paraId="69E62242" w14:textId="77777777" w:rsidTr="00FB1CF6">
        <w:tc>
          <w:tcPr>
            <w:cnfStyle w:val="001000000000" w:firstRow="0" w:lastRow="0" w:firstColumn="1" w:lastColumn="0" w:oddVBand="0" w:evenVBand="0" w:oddHBand="0" w:evenHBand="0" w:firstRowFirstColumn="0" w:firstRowLastColumn="0" w:lastRowFirstColumn="0" w:lastRowLastColumn="0"/>
            <w:tcW w:w="1701" w:type="dxa"/>
            <w:vAlign w:val="center"/>
          </w:tcPr>
          <w:p w14:paraId="3522E5BD" w14:textId="77777777" w:rsidR="00D036A6" w:rsidRDefault="00F94D8C" w:rsidP="00551EB7">
            <w:pPr>
              <w:spacing w:before="120" w:after="120" w:line="480" w:lineRule="auto"/>
              <w:rPr>
                <w:b w:val="0"/>
              </w:rPr>
            </w:pPr>
            <w:r>
              <w:rPr>
                <w:b w:val="0"/>
              </w:rPr>
              <w:t>CBA</w:t>
            </w:r>
          </w:p>
        </w:tc>
        <w:tc>
          <w:tcPr>
            <w:tcW w:w="7325" w:type="dxa"/>
            <w:vAlign w:val="center"/>
          </w:tcPr>
          <w:p w14:paraId="16D44EF7" w14:textId="77777777" w:rsidR="00D036A6" w:rsidRDefault="00F94D8C" w:rsidP="00551EB7">
            <w:pPr>
              <w:spacing w:before="120" w:after="120" w:line="480" w:lineRule="auto"/>
              <w:cnfStyle w:val="000000000000" w:firstRow="0" w:lastRow="0" w:firstColumn="0" w:lastColumn="0" w:oddVBand="0" w:evenVBand="0" w:oddHBand="0" w:evenHBand="0" w:firstRowFirstColumn="0" w:firstRowLastColumn="0" w:lastRowFirstColumn="0" w:lastRowLastColumn="0"/>
            </w:pPr>
            <w:r>
              <w:t>Cost benefit analysis</w:t>
            </w:r>
          </w:p>
        </w:tc>
      </w:tr>
      <w:tr w:rsidR="00F94D8C" w14:paraId="1F6FEE9D"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CBD3796" w14:textId="77777777" w:rsidR="00F94D8C" w:rsidRPr="00F94D8C" w:rsidRDefault="00F94D8C" w:rsidP="00551EB7">
            <w:pPr>
              <w:spacing w:before="120" w:after="120" w:line="480" w:lineRule="auto"/>
              <w:rPr>
                <w:b w:val="0"/>
                <w:bCs w:val="0"/>
              </w:rPr>
            </w:pPr>
            <w:r>
              <w:rPr>
                <w:b w:val="0"/>
                <w:bCs w:val="0"/>
              </w:rPr>
              <w:t>CoOL</w:t>
            </w:r>
          </w:p>
        </w:tc>
        <w:tc>
          <w:tcPr>
            <w:tcW w:w="7325" w:type="dxa"/>
            <w:vAlign w:val="center"/>
          </w:tcPr>
          <w:p w14:paraId="420A47C3" w14:textId="73A1BE1C" w:rsidR="00F94D8C" w:rsidRDefault="00F94D8C"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t xml:space="preserve">Country of </w:t>
            </w:r>
            <w:r w:rsidR="00390EC6">
              <w:t>o</w:t>
            </w:r>
            <w:r>
              <w:t xml:space="preserve">rigin </w:t>
            </w:r>
            <w:r w:rsidR="00390EC6">
              <w:t>l</w:t>
            </w:r>
            <w:r>
              <w:t>abelling</w:t>
            </w:r>
          </w:p>
        </w:tc>
      </w:tr>
      <w:tr w:rsidR="00F94D8C" w14:paraId="20554DD3" w14:textId="77777777" w:rsidTr="00FB1CF6">
        <w:tc>
          <w:tcPr>
            <w:cnfStyle w:val="001000000000" w:firstRow="0" w:lastRow="0" w:firstColumn="1" w:lastColumn="0" w:oddVBand="0" w:evenVBand="0" w:oddHBand="0" w:evenHBand="0" w:firstRowFirstColumn="0" w:firstRowLastColumn="0" w:lastRowFirstColumn="0" w:lastRowLastColumn="0"/>
            <w:tcW w:w="1701" w:type="dxa"/>
            <w:vAlign w:val="center"/>
          </w:tcPr>
          <w:p w14:paraId="2421D0A8" w14:textId="1F0724F8" w:rsidR="00F94D8C" w:rsidRPr="00F94D8C" w:rsidRDefault="00F94D8C" w:rsidP="00551EB7">
            <w:pPr>
              <w:spacing w:before="120" w:after="120" w:line="480" w:lineRule="auto"/>
              <w:rPr>
                <w:b w:val="0"/>
                <w:bCs w:val="0"/>
              </w:rPr>
            </w:pPr>
            <w:r w:rsidRPr="00F94D8C">
              <w:rPr>
                <w:b w:val="0"/>
                <w:bCs w:val="0"/>
              </w:rPr>
              <w:t>C</w:t>
            </w:r>
            <w:r w:rsidR="00BE0AF6">
              <w:rPr>
                <w:b w:val="0"/>
                <w:bCs w:val="0"/>
              </w:rPr>
              <w:t xml:space="preserve">onsultation </w:t>
            </w:r>
            <w:r w:rsidRPr="00F94D8C">
              <w:rPr>
                <w:b w:val="0"/>
                <w:bCs w:val="0"/>
              </w:rPr>
              <w:t>RIS</w:t>
            </w:r>
          </w:p>
        </w:tc>
        <w:tc>
          <w:tcPr>
            <w:tcW w:w="7325" w:type="dxa"/>
            <w:vAlign w:val="center"/>
          </w:tcPr>
          <w:p w14:paraId="404E8BC8" w14:textId="70220E0A" w:rsidR="00F94D8C" w:rsidRDefault="00F94D8C" w:rsidP="00551EB7">
            <w:pPr>
              <w:spacing w:before="120" w:after="120" w:line="480" w:lineRule="auto"/>
              <w:cnfStyle w:val="000000000000" w:firstRow="0" w:lastRow="0" w:firstColumn="0" w:lastColumn="0" w:oddVBand="0" w:evenVBand="0" w:oddHBand="0" w:evenHBand="0" w:firstRowFirstColumn="0" w:firstRowLastColumn="0" w:lastRowFirstColumn="0" w:lastRowLastColumn="0"/>
            </w:pPr>
            <w:r>
              <w:t xml:space="preserve">Consultation </w:t>
            </w:r>
            <w:r w:rsidR="005379AA">
              <w:t xml:space="preserve">Regulation </w:t>
            </w:r>
            <w:r>
              <w:t>Impact Statement</w:t>
            </w:r>
          </w:p>
        </w:tc>
      </w:tr>
      <w:tr w:rsidR="00F94D8C" w14:paraId="1D94B126"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3976D26" w14:textId="65818E91" w:rsidR="00F94D8C" w:rsidRPr="00F94D8C" w:rsidRDefault="00F94D8C" w:rsidP="00551EB7">
            <w:pPr>
              <w:spacing w:before="120" w:after="120" w:line="480" w:lineRule="auto"/>
              <w:rPr>
                <w:b w:val="0"/>
                <w:bCs w:val="0"/>
              </w:rPr>
            </w:pPr>
            <w:r w:rsidRPr="00F94D8C">
              <w:rPr>
                <w:b w:val="0"/>
                <w:bCs w:val="0"/>
              </w:rPr>
              <w:t>D</w:t>
            </w:r>
            <w:r w:rsidR="00BE0AF6">
              <w:rPr>
                <w:b w:val="0"/>
                <w:bCs w:val="0"/>
              </w:rPr>
              <w:t xml:space="preserve">ecision </w:t>
            </w:r>
            <w:r w:rsidRPr="00F94D8C">
              <w:rPr>
                <w:b w:val="0"/>
                <w:bCs w:val="0"/>
              </w:rPr>
              <w:t>RIS</w:t>
            </w:r>
          </w:p>
        </w:tc>
        <w:tc>
          <w:tcPr>
            <w:tcW w:w="7325" w:type="dxa"/>
            <w:vAlign w:val="center"/>
          </w:tcPr>
          <w:p w14:paraId="634307F2" w14:textId="3647311C" w:rsidR="00F94D8C" w:rsidRDefault="00F94D8C"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t xml:space="preserve">Decision </w:t>
            </w:r>
            <w:r w:rsidR="005379AA">
              <w:t xml:space="preserve">Regulation </w:t>
            </w:r>
            <w:r>
              <w:t>Impact Statement</w:t>
            </w:r>
          </w:p>
        </w:tc>
      </w:tr>
      <w:tr w:rsidR="00F94D8C" w14:paraId="22616628" w14:textId="77777777" w:rsidTr="00FB1CF6">
        <w:tc>
          <w:tcPr>
            <w:cnfStyle w:val="001000000000" w:firstRow="0" w:lastRow="0" w:firstColumn="1" w:lastColumn="0" w:oddVBand="0" w:evenVBand="0" w:oddHBand="0" w:evenHBand="0" w:firstRowFirstColumn="0" w:firstRowLastColumn="0" w:lastRowFirstColumn="0" w:lastRowLastColumn="0"/>
            <w:tcW w:w="1701" w:type="dxa"/>
            <w:vAlign w:val="center"/>
          </w:tcPr>
          <w:p w14:paraId="6C5CB74C" w14:textId="77777777" w:rsidR="00F94D8C" w:rsidRPr="00F94D8C" w:rsidRDefault="00F94D8C" w:rsidP="00551EB7">
            <w:pPr>
              <w:spacing w:before="120" w:after="120" w:line="480" w:lineRule="auto"/>
              <w:rPr>
                <w:b w:val="0"/>
                <w:bCs w:val="0"/>
              </w:rPr>
            </w:pPr>
            <w:r>
              <w:rPr>
                <w:b w:val="0"/>
                <w:bCs w:val="0"/>
              </w:rPr>
              <w:t>FRDC</w:t>
            </w:r>
          </w:p>
        </w:tc>
        <w:tc>
          <w:tcPr>
            <w:tcW w:w="7325" w:type="dxa"/>
            <w:vAlign w:val="center"/>
          </w:tcPr>
          <w:p w14:paraId="3BF0DD2A" w14:textId="77777777" w:rsidR="00F94D8C" w:rsidRDefault="00F94D8C" w:rsidP="00551EB7">
            <w:pPr>
              <w:spacing w:before="120" w:after="120" w:line="480" w:lineRule="auto"/>
              <w:cnfStyle w:val="000000000000" w:firstRow="0" w:lastRow="0" w:firstColumn="0" w:lastColumn="0" w:oddVBand="0" w:evenVBand="0" w:oddHBand="0" w:evenHBand="0" w:firstRowFirstColumn="0" w:firstRowLastColumn="0" w:lastRowFirstColumn="0" w:lastRowLastColumn="0"/>
            </w:pPr>
            <w:r>
              <w:t>Fisheries Research and Development Corporation</w:t>
            </w:r>
          </w:p>
        </w:tc>
      </w:tr>
      <w:tr w:rsidR="00BF742E" w14:paraId="148F9203"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EBF2905" w14:textId="1352874E" w:rsidR="00BF742E" w:rsidRPr="00BE0AF6" w:rsidRDefault="00BF742E" w:rsidP="00551EB7">
            <w:pPr>
              <w:spacing w:before="120" w:after="120" w:line="480" w:lineRule="auto"/>
              <w:rPr>
                <w:b w:val="0"/>
                <w:bCs w:val="0"/>
              </w:rPr>
            </w:pPr>
            <w:r w:rsidRPr="00BE0AF6">
              <w:rPr>
                <w:b w:val="0"/>
                <w:bCs w:val="0"/>
              </w:rPr>
              <w:t>IGA</w:t>
            </w:r>
          </w:p>
        </w:tc>
        <w:tc>
          <w:tcPr>
            <w:tcW w:w="7325" w:type="dxa"/>
            <w:vAlign w:val="center"/>
          </w:tcPr>
          <w:p w14:paraId="66959C06" w14:textId="352BDF18" w:rsidR="00BF742E" w:rsidRDefault="00BF742E"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t>Intergovernmental Agreement for the Australian Consumer Law</w:t>
            </w:r>
          </w:p>
        </w:tc>
      </w:tr>
      <w:tr w:rsidR="00F94D8C" w14:paraId="2D19B499" w14:textId="77777777" w:rsidTr="00FB1CF6">
        <w:tc>
          <w:tcPr>
            <w:cnfStyle w:val="001000000000" w:firstRow="0" w:lastRow="0" w:firstColumn="1" w:lastColumn="0" w:oddVBand="0" w:evenVBand="0" w:oddHBand="0" w:evenHBand="0" w:firstRowFirstColumn="0" w:firstRowLastColumn="0" w:lastRowFirstColumn="0" w:lastRowLastColumn="0"/>
            <w:tcW w:w="1701" w:type="dxa"/>
            <w:vAlign w:val="center"/>
          </w:tcPr>
          <w:p w14:paraId="0D98D477" w14:textId="77777777" w:rsidR="00F94D8C" w:rsidRPr="00F94D8C" w:rsidRDefault="00F94D8C" w:rsidP="00551EB7">
            <w:pPr>
              <w:spacing w:before="120" w:after="120" w:line="480" w:lineRule="auto"/>
              <w:rPr>
                <w:b w:val="0"/>
                <w:bCs w:val="0"/>
              </w:rPr>
            </w:pPr>
            <w:r w:rsidRPr="00F94D8C">
              <w:rPr>
                <w:b w:val="0"/>
                <w:bCs w:val="0"/>
              </w:rPr>
              <w:t>OIA</w:t>
            </w:r>
          </w:p>
        </w:tc>
        <w:tc>
          <w:tcPr>
            <w:tcW w:w="7325" w:type="dxa"/>
            <w:vAlign w:val="center"/>
          </w:tcPr>
          <w:p w14:paraId="3B1B9B18" w14:textId="77777777" w:rsidR="00F94D8C" w:rsidRDefault="00F94D8C" w:rsidP="00551EB7">
            <w:pPr>
              <w:spacing w:before="120" w:after="120" w:line="480" w:lineRule="auto"/>
              <w:cnfStyle w:val="000000000000" w:firstRow="0" w:lastRow="0" w:firstColumn="0" w:lastColumn="0" w:oddVBand="0" w:evenVBand="0" w:oddHBand="0" w:evenHBand="0" w:firstRowFirstColumn="0" w:firstRowLastColumn="0" w:lastRowFirstColumn="0" w:lastRowLastColumn="0"/>
            </w:pPr>
            <w:r>
              <w:t>Office of Impact Analysis</w:t>
            </w:r>
          </w:p>
        </w:tc>
      </w:tr>
      <w:tr w:rsidR="00F94D8C" w14:paraId="59308850" w14:textId="77777777" w:rsidTr="00FB1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E3212FE" w14:textId="77777777" w:rsidR="00F94D8C" w:rsidRDefault="00F94D8C" w:rsidP="00551EB7">
            <w:pPr>
              <w:spacing w:before="120" w:after="120" w:line="480" w:lineRule="auto"/>
            </w:pPr>
            <w:r>
              <w:rPr>
                <w:b w:val="0"/>
              </w:rPr>
              <w:t xml:space="preserve">RIS </w:t>
            </w:r>
          </w:p>
        </w:tc>
        <w:tc>
          <w:tcPr>
            <w:tcW w:w="7325" w:type="dxa"/>
            <w:vAlign w:val="center"/>
          </w:tcPr>
          <w:p w14:paraId="720F8A10" w14:textId="77777777" w:rsidR="00F94D8C" w:rsidRDefault="00F94D8C" w:rsidP="00551EB7">
            <w:pPr>
              <w:spacing w:before="120" w:after="120" w:line="480" w:lineRule="auto"/>
              <w:cnfStyle w:val="000000100000" w:firstRow="0" w:lastRow="0" w:firstColumn="0" w:lastColumn="0" w:oddVBand="0" w:evenVBand="0" w:oddHBand="1" w:evenHBand="0" w:firstRowFirstColumn="0" w:firstRowLastColumn="0" w:lastRowFirstColumn="0" w:lastRowLastColumn="0"/>
            </w:pPr>
            <w:r>
              <w:t xml:space="preserve">Regulation Impact Statement </w:t>
            </w:r>
          </w:p>
        </w:tc>
      </w:tr>
    </w:tbl>
    <w:p w14:paraId="35EA52AF" w14:textId="77777777" w:rsidR="005257E8" w:rsidRDefault="005257E8"/>
    <w:p w14:paraId="7972D372" w14:textId="77777777" w:rsidR="00F94D8C" w:rsidRDefault="00F94D8C">
      <w:pPr>
        <w:rPr>
          <w:rFonts w:asciiTheme="majorHAnsi" w:eastAsiaTheme="majorEastAsia" w:hAnsiTheme="majorHAnsi" w:cstheme="majorBidi"/>
          <w:color w:val="005677" w:themeColor="text2"/>
          <w:sz w:val="48"/>
          <w:szCs w:val="32"/>
        </w:rPr>
      </w:pPr>
      <w:r>
        <w:br w:type="page"/>
      </w:r>
    </w:p>
    <w:p w14:paraId="4526AE61" w14:textId="77777777" w:rsidR="005257E8" w:rsidRDefault="005257E8" w:rsidP="005257E8">
      <w:pPr>
        <w:pStyle w:val="Heading1"/>
        <w:numPr>
          <w:ilvl w:val="0"/>
          <w:numId w:val="18"/>
        </w:numPr>
      </w:pPr>
      <w:bookmarkStart w:id="49" w:name="_Toc136008620"/>
      <w:r>
        <w:lastRenderedPageBreak/>
        <w:t>Introduction</w:t>
      </w:r>
      <w:bookmarkEnd w:id="49"/>
    </w:p>
    <w:p w14:paraId="77FCA3B7" w14:textId="77777777" w:rsidR="005257E8" w:rsidRDefault="005257E8" w:rsidP="005257E8">
      <w:pPr>
        <w:pStyle w:val="Heading2"/>
      </w:pPr>
      <w:bookmarkStart w:id="50" w:name="_Toc136008621"/>
      <w:r>
        <w:t>Purpose</w:t>
      </w:r>
      <w:bookmarkEnd w:id="50"/>
    </w:p>
    <w:p w14:paraId="32219393" w14:textId="5BCFC205" w:rsidR="00CA2487" w:rsidRDefault="001B2285" w:rsidP="005257E8">
      <w:r>
        <w:t xml:space="preserve">On </w:t>
      </w:r>
      <w:r w:rsidR="00B558E1">
        <w:t>25</w:t>
      </w:r>
      <w:r>
        <w:t xml:space="preserve"> October 202</w:t>
      </w:r>
      <w:r w:rsidR="00B558E1">
        <w:t>2</w:t>
      </w:r>
      <w:r>
        <w:t xml:space="preserve">, the </w:t>
      </w:r>
      <w:r w:rsidR="00B558E1">
        <w:t>Minister for Industry and Science</w:t>
      </w:r>
      <w:r>
        <w:t xml:space="preserve">, the Hon </w:t>
      </w:r>
      <w:r w:rsidR="00B558E1">
        <w:t>Ed Husic MP</w:t>
      </w:r>
      <w:r>
        <w:t xml:space="preserve">, announced the Australian Government’s intent to </w:t>
      </w:r>
      <w:r w:rsidR="00C80DB4">
        <w:t>work with</w:t>
      </w:r>
      <w:r w:rsidR="00B558E1" w:rsidRPr="00B558E1">
        <w:t xml:space="preserve"> the seafood and hospitality sectors to develop mandatory </w:t>
      </w:r>
      <w:r w:rsidR="00390EC6">
        <w:t>c</w:t>
      </w:r>
      <w:r w:rsidR="00B558E1" w:rsidRPr="00B558E1">
        <w:t xml:space="preserve">ountry of </w:t>
      </w:r>
      <w:r w:rsidR="00390EC6">
        <w:t>o</w:t>
      </w:r>
      <w:r w:rsidR="00B558E1" w:rsidRPr="00B558E1">
        <w:t xml:space="preserve">rigin </w:t>
      </w:r>
      <w:r w:rsidR="00390EC6">
        <w:t>l</w:t>
      </w:r>
      <w:r w:rsidR="00B558E1" w:rsidRPr="00B558E1">
        <w:t xml:space="preserve">abelling for seafood in hospitality </w:t>
      </w:r>
      <w:r w:rsidR="006957EE">
        <w:t xml:space="preserve">(Seafood CoOL) </w:t>
      </w:r>
      <w:r w:rsidR="00B558E1" w:rsidRPr="00B558E1">
        <w:t>that will help consumers know if the seafood they order is Australian, while minimising costs and compliance burden on businesses</w:t>
      </w:r>
      <w:r w:rsidR="00BF742E">
        <w:t>.</w:t>
      </w:r>
      <w:r w:rsidR="00045A16">
        <w:rPr>
          <w:rStyle w:val="FootnoteReference"/>
        </w:rPr>
        <w:footnoteReference w:id="2"/>
      </w:r>
    </w:p>
    <w:p w14:paraId="4D273E0D" w14:textId="5C7616BF" w:rsidR="001B2285" w:rsidRDefault="00CA2487" w:rsidP="005257E8">
      <w:r>
        <w:t xml:space="preserve">The </w:t>
      </w:r>
      <w:r w:rsidR="002020A3">
        <w:t xml:space="preserve">department </w:t>
      </w:r>
      <w:r>
        <w:t xml:space="preserve">has prepared this </w:t>
      </w:r>
      <w:r w:rsidR="00A26BB4">
        <w:t>C</w:t>
      </w:r>
      <w:r w:rsidR="00BE0AF6">
        <w:t xml:space="preserve">onsultation </w:t>
      </w:r>
      <w:r w:rsidR="00A26BB4">
        <w:t>RIS</w:t>
      </w:r>
      <w:r>
        <w:t xml:space="preserve"> to seek stakeholder feedback on the policy options it canvasses and to determine the relative impact of those options including costs and benefits. This </w:t>
      </w:r>
      <w:r w:rsidR="00A26BB4">
        <w:t>C</w:t>
      </w:r>
      <w:r w:rsidR="00BE0AF6">
        <w:t xml:space="preserve">onsultation </w:t>
      </w:r>
      <w:r w:rsidR="00A26BB4">
        <w:t>RIS</w:t>
      </w:r>
      <w:r>
        <w:t xml:space="preserve"> provides an overview of the problem the </w:t>
      </w:r>
      <w:r w:rsidR="001A5DEC">
        <w:t>G</w:t>
      </w:r>
      <w:r>
        <w:t xml:space="preserve">overnment is seeking to address, the impacts of the problem on consumers and businesses, and provides a preliminary analysis of the policy options being considered. </w:t>
      </w:r>
      <w:r w:rsidRPr="004C0DF2">
        <w:rPr>
          <w:rFonts w:eastAsia="Calibri"/>
        </w:rPr>
        <w:t xml:space="preserve"> </w:t>
      </w:r>
      <w:r>
        <w:t xml:space="preserve"> </w:t>
      </w:r>
    </w:p>
    <w:p w14:paraId="784C3AB5" w14:textId="77777777" w:rsidR="001B2285" w:rsidRPr="00FA39C8" w:rsidRDefault="001B2285" w:rsidP="001B2285">
      <w:pPr>
        <w:pStyle w:val="Heading2"/>
      </w:pPr>
      <w:bookmarkStart w:id="51" w:name="_Toc89155297"/>
      <w:bookmarkStart w:id="52" w:name="_Toc136008622"/>
      <w:r w:rsidRPr="00FA39C8">
        <w:t>Consultation objectives</w:t>
      </w:r>
      <w:bookmarkEnd w:id="51"/>
      <w:bookmarkEnd w:id="52"/>
    </w:p>
    <w:p w14:paraId="1F753541" w14:textId="516DE51D" w:rsidR="007E0FA0" w:rsidRDefault="007E0FA0" w:rsidP="007E0FA0">
      <w:r>
        <w:rPr>
          <w:rFonts w:cstheme="minorHAnsi"/>
        </w:rPr>
        <w:t xml:space="preserve">Consistent with the </w:t>
      </w:r>
      <w:r w:rsidR="00BF742E">
        <w:rPr>
          <w:rFonts w:cstheme="minorHAnsi"/>
        </w:rPr>
        <w:t>G</w:t>
      </w:r>
      <w:r>
        <w:rPr>
          <w:rFonts w:cstheme="minorHAnsi"/>
        </w:rPr>
        <w:t xml:space="preserve">overnment’s announcement </w:t>
      </w:r>
      <w:r w:rsidRPr="00B558E1">
        <w:rPr>
          <w:rFonts w:cstheme="minorHAnsi"/>
        </w:rPr>
        <w:t xml:space="preserve">on </w:t>
      </w:r>
      <w:r w:rsidR="00B558E1" w:rsidRPr="00B558E1">
        <w:rPr>
          <w:rFonts w:cstheme="minorHAnsi"/>
        </w:rPr>
        <w:t>25</w:t>
      </w:r>
      <w:r w:rsidRPr="00B558E1">
        <w:rPr>
          <w:rFonts w:cstheme="minorHAnsi"/>
        </w:rPr>
        <w:t xml:space="preserve"> October 2022, t</w:t>
      </w:r>
      <w:r>
        <w:t>h</w:t>
      </w:r>
      <w:r w:rsidR="0044227D">
        <w:t>e objective of this C</w:t>
      </w:r>
      <w:r w:rsidR="00BE0AF6">
        <w:t xml:space="preserve">onsultation </w:t>
      </w:r>
      <w:r w:rsidR="0044227D">
        <w:t xml:space="preserve">RIS </w:t>
      </w:r>
      <w:r>
        <w:t xml:space="preserve">is </w:t>
      </w:r>
      <w:r w:rsidR="0044227D">
        <w:t>t</w:t>
      </w:r>
      <w:r>
        <w:t>o help assess options for p</w:t>
      </w:r>
      <w:r w:rsidRPr="000C0472">
        <w:t>rovid</w:t>
      </w:r>
      <w:r>
        <w:t>ing</w:t>
      </w:r>
      <w:r w:rsidRPr="000C0472">
        <w:t xml:space="preserve"> increased information to consumers </w:t>
      </w:r>
      <w:r>
        <w:t xml:space="preserve">about </w:t>
      </w:r>
      <w:r w:rsidR="0044227D">
        <w:t xml:space="preserve">the origin of </w:t>
      </w:r>
      <w:r>
        <w:t>seafood</w:t>
      </w:r>
      <w:r w:rsidR="0044227D">
        <w:t>,</w:t>
      </w:r>
      <w:r>
        <w:t xml:space="preserve"> </w:t>
      </w:r>
      <w:r w:rsidRPr="000C0472">
        <w:t>withou</w:t>
      </w:r>
      <w:r>
        <w:t>t resulting in disproportionate or undue</w:t>
      </w:r>
      <w:r w:rsidRPr="000C0472">
        <w:t xml:space="preserve"> cost</w:t>
      </w:r>
      <w:r>
        <w:t>s to s</w:t>
      </w:r>
      <w:r w:rsidRPr="00A35F3D">
        <w:t>mall and medium-sized enterprises</w:t>
      </w:r>
      <w:r>
        <w:t xml:space="preserve"> (SMEs). The policy options considered in this C</w:t>
      </w:r>
      <w:r w:rsidR="00BE0AF6">
        <w:t xml:space="preserve">onsultation </w:t>
      </w:r>
      <w:r>
        <w:t xml:space="preserve">RIS </w:t>
      </w:r>
      <w:r w:rsidRPr="000C0472">
        <w:t>will need to complement existing regulatory frameworks, including the</w:t>
      </w:r>
      <w:r w:rsidR="008B719D">
        <w:t xml:space="preserve"> </w:t>
      </w:r>
      <w:hyperlink r:id="rId14" w:history="1">
        <w:r w:rsidR="008B719D" w:rsidRPr="008B719D">
          <w:rPr>
            <w:rStyle w:val="Hyperlink"/>
            <w:i/>
          </w:rPr>
          <w:t>Country of Origin Food Labelling Information Standard 2016</w:t>
        </w:r>
      </w:hyperlink>
      <w:r w:rsidRPr="000C0472">
        <w:t xml:space="preserve"> </w:t>
      </w:r>
      <w:r w:rsidR="008B719D">
        <w:t>(</w:t>
      </w:r>
      <w:r>
        <w:t>CoOL</w:t>
      </w:r>
      <w:r w:rsidR="00803A6A">
        <w:t xml:space="preserve"> </w:t>
      </w:r>
      <w:r w:rsidRPr="79CD7E33">
        <w:t>Standard</w:t>
      </w:r>
      <w:r w:rsidR="008B719D">
        <w:t>)</w:t>
      </w:r>
      <w:r w:rsidRPr="79CD7E33">
        <w:t xml:space="preserve"> and broader </w:t>
      </w:r>
      <w:r>
        <w:t>A</w:t>
      </w:r>
      <w:r w:rsidR="000C6107">
        <w:t xml:space="preserve">ustralian </w:t>
      </w:r>
      <w:r>
        <w:t>C</w:t>
      </w:r>
      <w:r w:rsidR="000C6107">
        <w:t>onsumer Law (ACL)</w:t>
      </w:r>
      <w:r>
        <w:t>, which</w:t>
      </w:r>
      <w:r w:rsidRPr="000C0472">
        <w:t xml:space="preserve"> prevents misleading or deceptive conduct when selling products such as food. </w:t>
      </w:r>
      <w:r>
        <w:t xml:space="preserve">Any Seafood CoOL policy option considered by </w:t>
      </w:r>
      <w:r w:rsidR="000C6107">
        <w:t>g</w:t>
      </w:r>
      <w:r>
        <w:t xml:space="preserve">overnment </w:t>
      </w:r>
      <w:r w:rsidRPr="000C0472">
        <w:t xml:space="preserve">will </w:t>
      </w:r>
      <w:r>
        <w:t xml:space="preserve">be required to be </w:t>
      </w:r>
      <w:r w:rsidRPr="000C0472">
        <w:t>consistent with Australia’s international trading obligations.</w:t>
      </w:r>
    </w:p>
    <w:p w14:paraId="6E88D00F" w14:textId="1F9A3606" w:rsidR="007E0FA0" w:rsidRDefault="00935F54" w:rsidP="007E0FA0">
      <w:pPr>
        <w:rPr>
          <w:rFonts w:cstheme="minorHAnsi"/>
        </w:rPr>
      </w:pPr>
      <w:r>
        <w:rPr>
          <w:rFonts w:cstheme="minorHAnsi"/>
        </w:rPr>
        <w:t xml:space="preserve">As the mandatory options set out in this </w:t>
      </w:r>
      <w:r w:rsidR="00BE0AF6">
        <w:rPr>
          <w:rFonts w:cstheme="minorHAnsi"/>
        </w:rPr>
        <w:t>Consultation RIS</w:t>
      </w:r>
      <w:r>
        <w:rPr>
          <w:rFonts w:cstheme="minorHAnsi"/>
        </w:rPr>
        <w:t xml:space="preserve"> would be implemented through an amendment to the ACL, c</w:t>
      </w:r>
      <w:r w:rsidRPr="00935F54">
        <w:rPr>
          <w:rFonts w:cstheme="minorHAnsi"/>
        </w:rPr>
        <w:t xml:space="preserve">onsumer </w:t>
      </w:r>
      <w:r>
        <w:rPr>
          <w:rFonts w:cstheme="minorHAnsi"/>
        </w:rPr>
        <w:t>affairs m</w:t>
      </w:r>
      <w:r w:rsidRPr="00935F54">
        <w:rPr>
          <w:rFonts w:cstheme="minorHAnsi"/>
        </w:rPr>
        <w:t>inisters</w:t>
      </w:r>
      <w:r>
        <w:rPr>
          <w:rFonts w:cstheme="minorHAnsi"/>
        </w:rPr>
        <w:t xml:space="preserve"> will vote on Seafood CoOL</w:t>
      </w:r>
      <w:r w:rsidRPr="00935F54">
        <w:rPr>
          <w:rFonts w:cstheme="minorHAnsi"/>
        </w:rPr>
        <w:t xml:space="preserve"> in accordance with the </w:t>
      </w:r>
      <w:hyperlink r:id="rId15" w:history="1">
        <w:r w:rsidRPr="00935F54">
          <w:rPr>
            <w:rStyle w:val="Hyperlink"/>
            <w:rFonts w:cstheme="minorHAnsi"/>
          </w:rPr>
          <w:t>Intergovernmental Agreement for the Australian Consumer Law</w:t>
        </w:r>
      </w:hyperlink>
      <w:r w:rsidRPr="00935F54">
        <w:rPr>
          <w:rFonts w:cstheme="minorHAnsi"/>
        </w:rPr>
        <w:t xml:space="preserve"> (IGA).</w:t>
      </w:r>
      <w:r>
        <w:rPr>
          <w:rFonts w:cstheme="minorHAnsi"/>
        </w:rPr>
        <w:t xml:space="preserve"> </w:t>
      </w:r>
      <w:r w:rsidR="007E0FA0" w:rsidRPr="00592F1D">
        <w:rPr>
          <w:rFonts w:cstheme="minorHAnsi"/>
        </w:rPr>
        <w:t xml:space="preserve">This consultation will also inform the regulatory, financial, business and community impacts of </w:t>
      </w:r>
      <w:r w:rsidR="00434605">
        <w:rPr>
          <w:rFonts w:cstheme="minorHAnsi"/>
        </w:rPr>
        <w:t>the</w:t>
      </w:r>
      <w:r w:rsidR="00434605" w:rsidRPr="00592F1D">
        <w:rPr>
          <w:rFonts w:cstheme="minorHAnsi"/>
        </w:rPr>
        <w:t xml:space="preserve"> </w:t>
      </w:r>
      <w:r w:rsidR="007E0FA0" w:rsidRPr="00592F1D">
        <w:rPr>
          <w:rFonts w:cstheme="minorHAnsi"/>
        </w:rPr>
        <w:t>policy option</w:t>
      </w:r>
      <w:r w:rsidR="00434605">
        <w:rPr>
          <w:rFonts w:cstheme="minorHAnsi"/>
        </w:rPr>
        <w:t>s</w:t>
      </w:r>
      <w:r w:rsidR="007E0FA0" w:rsidRPr="00592F1D">
        <w:rPr>
          <w:rFonts w:cstheme="minorHAnsi"/>
        </w:rPr>
        <w:t xml:space="preserve"> being canvassed in this </w:t>
      </w:r>
      <w:r w:rsidR="00BE0AF6">
        <w:rPr>
          <w:rFonts w:cstheme="minorHAnsi"/>
        </w:rPr>
        <w:t>Consultation RIS</w:t>
      </w:r>
      <w:r w:rsidR="007E0FA0" w:rsidRPr="00592F1D">
        <w:rPr>
          <w:rFonts w:cstheme="minorHAnsi"/>
        </w:rPr>
        <w:t xml:space="preserve">. This will assist </w:t>
      </w:r>
      <w:r>
        <w:rPr>
          <w:rFonts w:cstheme="minorHAnsi"/>
        </w:rPr>
        <w:t xml:space="preserve">the </w:t>
      </w:r>
      <w:r w:rsidR="00434605">
        <w:rPr>
          <w:rFonts w:cstheme="minorHAnsi"/>
        </w:rPr>
        <w:t>c</w:t>
      </w:r>
      <w:r w:rsidR="0044227D">
        <w:rPr>
          <w:rFonts w:cstheme="minorHAnsi"/>
        </w:rPr>
        <w:t xml:space="preserve">onsumer </w:t>
      </w:r>
      <w:r w:rsidR="00434605">
        <w:rPr>
          <w:rFonts w:cstheme="minorHAnsi"/>
        </w:rPr>
        <w:t>affairs m</w:t>
      </w:r>
      <w:r w:rsidR="007E0FA0">
        <w:rPr>
          <w:rFonts w:cstheme="minorHAnsi"/>
        </w:rPr>
        <w:t xml:space="preserve">inisters </w:t>
      </w:r>
      <w:r w:rsidR="007E0FA0" w:rsidRPr="00592F1D">
        <w:rPr>
          <w:rFonts w:cstheme="minorHAnsi"/>
        </w:rPr>
        <w:t xml:space="preserve">to better assess the costs and benefits of </w:t>
      </w:r>
      <w:r>
        <w:rPr>
          <w:rFonts w:cstheme="minorHAnsi"/>
        </w:rPr>
        <w:t>the</w:t>
      </w:r>
      <w:r w:rsidR="007E0FA0" w:rsidRPr="00592F1D">
        <w:rPr>
          <w:rFonts w:cstheme="minorHAnsi"/>
        </w:rPr>
        <w:t xml:space="preserve"> option</w:t>
      </w:r>
      <w:r>
        <w:rPr>
          <w:rFonts w:cstheme="minorHAnsi"/>
        </w:rPr>
        <w:t>s</w:t>
      </w:r>
      <w:r w:rsidR="007E0FA0" w:rsidRPr="00592F1D">
        <w:rPr>
          <w:rFonts w:cstheme="minorHAnsi"/>
        </w:rPr>
        <w:t xml:space="preserve"> before making a decision</w:t>
      </w:r>
      <w:r>
        <w:rPr>
          <w:rFonts w:cstheme="minorHAnsi"/>
        </w:rPr>
        <w:t xml:space="preserve"> on whether mandatory Seafood CoOL is </w:t>
      </w:r>
      <w:r w:rsidR="00B51B99">
        <w:rPr>
          <w:rFonts w:cstheme="minorHAnsi"/>
        </w:rPr>
        <w:t>implemented.</w:t>
      </w:r>
      <w:r w:rsidR="007E0FA0" w:rsidRPr="00592F1D">
        <w:rPr>
          <w:rFonts w:cstheme="minorHAnsi"/>
        </w:rPr>
        <w:t xml:space="preserve"> </w:t>
      </w:r>
      <w:r w:rsidR="007E0FA0">
        <w:rPr>
          <w:rFonts w:cstheme="minorHAnsi"/>
        </w:rPr>
        <w:t xml:space="preserve"> </w:t>
      </w:r>
    </w:p>
    <w:p w14:paraId="287D543C" w14:textId="58CC2C3B" w:rsidR="0097195D" w:rsidRPr="00FA39C8" w:rsidRDefault="007E0FA0" w:rsidP="0097195D">
      <w:r>
        <w:t>The policy options identified in this C</w:t>
      </w:r>
      <w:r w:rsidR="00BE0AF6">
        <w:t xml:space="preserve">onsultation </w:t>
      </w:r>
      <w:r>
        <w:t>RIS are not intended to indicate other characteristics of seafood, such as quality or safety, nor to extend mandatory</w:t>
      </w:r>
      <w:r w:rsidR="006957EE">
        <w:t xml:space="preserve"> </w:t>
      </w:r>
      <w:r w:rsidR="00390EC6">
        <w:t>c</w:t>
      </w:r>
      <w:r w:rsidR="006957EE">
        <w:t xml:space="preserve">ountry of </w:t>
      </w:r>
      <w:r w:rsidR="00390EC6">
        <w:t>o</w:t>
      </w:r>
      <w:r w:rsidR="006957EE">
        <w:t xml:space="preserve">rigin </w:t>
      </w:r>
      <w:r w:rsidR="00C968AF">
        <w:t>l</w:t>
      </w:r>
      <w:r w:rsidR="006957EE">
        <w:t>abelling</w:t>
      </w:r>
      <w:r>
        <w:t xml:space="preserve"> </w:t>
      </w:r>
      <w:r w:rsidR="006957EE">
        <w:t>(</w:t>
      </w:r>
      <w:r>
        <w:t>CoOL</w:t>
      </w:r>
      <w:r w:rsidR="006957EE">
        <w:t>)</w:t>
      </w:r>
      <w:r>
        <w:t xml:space="preserve"> to other proteins or other settings. These areas are outside the scope of current considerations. </w:t>
      </w:r>
      <w:r w:rsidR="0097195D" w:rsidRPr="00FA39C8">
        <w:t xml:space="preserve">The </w:t>
      </w:r>
      <w:r w:rsidR="0097195D">
        <w:t xml:space="preserve">policy options </w:t>
      </w:r>
      <w:r w:rsidR="0097195D" w:rsidRPr="00FA39C8">
        <w:t xml:space="preserve">have not received </w:t>
      </w:r>
      <w:r w:rsidR="0097195D">
        <w:t xml:space="preserve">Australian </w:t>
      </w:r>
      <w:r w:rsidR="0097195D" w:rsidRPr="00FA39C8">
        <w:t xml:space="preserve">Government approval and are not yet law. As a </w:t>
      </w:r>
      <w:r w:rsidR="0097195D">
        <w:t>result</w:t>
      </w:r>
      <w:r w:rsidR="0097195D" w:rsidRPr="00FA39C8">
        <w:t xml:space="preserve">, this </w:t>
      </w:r>
      <w:r w:rsidR="0097195D">
        <w:t xml:space="preserve">Consultation RIS </w:t>
      </w:r>
      <w:r w:rsidR="0097195D" w:rsidRPr="00FA39C8">
        <w:t xml:space="preserve">is merely a guide as to how the </w:t>
      </w:r>
      <w:r w:rsidR="0097195D">
        <w:t>policy options might be implemented to</w:t>
      </w:r>
      <w:r w:rsidR="0097195D" w:rsidRPr="00FA39C8">
        <w:t xml:space="preserve"> </w:t>
      </w:r>
      <w:r w:rsidR="0097195D">
        <w:t>address the problem</w:t>
      </w:r>
      <w:r w:rsidR="0097195D" w:rsidRPr="00FA39C8">
        <w:t>.</w:t>
      </w:r>
    </w:p>
    <w:p w14:paraId="777D5EF2" w14:textId="77777777" w:rsidR="0097195D" w:rsidRPr="00991BF6" w:rsidRDefault="0097195D" w:rsidP="007E0FA0"/>
    <w:p w14:paraId="7D5D9A5C" w14:textId="77777777" w:rsidR="00600153" w:rsidRDefault="00600153" w:rsidP="00600153">
      <w:pPr>
        <w:pStyle w:val="Heading2"/>
      </w:pPr>
      <w:bookmarkStart w:id="53" w:name="_Toc136008623"/>
      <w:r>
        <w:lastRenderedPageBreak/>
        <w:t>The Australian Consumer Law</w:t>
      </w:r>
      <w:bookmarkEnd w:id="53"/>
    </w:p>
    <w:p w14:paraId="0AF7BFF9" w14:textId="47CE24E6" w:rsidR="00600153" w:rsidRDefault="00600153" w:rsidP="00600153">
      <w:pPr>
        <w:rPr>
          <w:rFonts w:eastAsia="Calibri"/>
        </w:rPr>
      </w:pPr>
      <w:r w:rsidRPr="004C0DF2">
        <w:rPr>
          <w:rFonts w:eastAsia="Calibri"/>
        </w:rPr>
        <w:t xml:space="preserve">The ACL is part of the </w:t>
      </w:r>
      <w:r w:rsidRPr="004C0DF2">
        <w:rPr>
          <w:rFonts w:eastAsia="Calibri"/>
          <w:i/>
          <w:iCs/>
        </w:rPr>
        <w:t>Competition and Consumer Act 2010</w:t>
      </w:r>
      <w:r w:rsidRPr="004C0DF2">
        <w:rPr>
          <w:rFonts w:eastAsia="Calibri"/>
          <w:vertAlign w:val="superscript"/>
        </w:rPr>
        <w:footnoteReference w:id="3"/>
      </w:r>
      <w:r w:rsidRPr="004C0DF2">
        <w:rPr>
          <w:rFonts w:eastAsia="Calibri"/>
        </w:rPr>
        <w:t xml:space="preserve"> and aims to protect Australian consumers and encourage fair trade and competition. The ACL is a national law administered jointly by Commonwealth, state and territory consumer protection agencies. </w:t>
      </w:r>
    </w:p>
    <w:p w14:paraId="5D8C735F" w14:textId="77777777" w:rsidR="00600153" w:rsidRDefault="00600153" w:rsidP="00600153">
      <w:r w:rsidRPr="008E3882">
        <w:t xml:space="preserve">The </w:t>
      </w:r>
      <w:r>
        <w:t xml:space="preserve">ACL aims to: </w:t>
      </w:r>
    </w:p>
    <w:p w14:paraId="7032DB06" w14:textId="77777777" w:rsidR="00600153" w:rsidRPr="00CB0955" w:rsidRDefault="00600153" w:rsidP="00600153">
      <w:pPr>
        <w:pStyle w:val="ListParagraph"/>
      </w:pPr>
      <w:r w:rsidRPr="00CB0955">
        <w:t>improve consumer wellbeing through empowerment and protection</w:t>
      </w:r>
    </w:p>
    <w:p w14:paraId="6A097B60" w14:textId="77777777" w:rsidR="00600153" w:rsidRPr="00CB0955" w:rsidRDefault="00600153" w:rsidP="00600153">
      <w:pPr>
        <w:pStyle w:val="ListParagraph"/>
      </w:pPr>
      <w:r w:rsidRPr="00CB0955">
        <w:t xml:space="preserve">foster effective competition </w:t>
      </w:r>
    </w:p>
    <w:p w14:paraId="08CEF802" w14:textId="77777777" w:rsidR="00600153" w:rsidRPr="00CB0955" w:rsidRDefault="00600153" w:rsidP="00600153">
      <w:pPr>
        <w:pStyle w:val="ListParagraph"/>
      </w:pPr>
      <w:r w:rsidRPr="00CB0955">
        <w:t>enable the confident participation of consumers in markets in which both consumers and suppliers trade fairly.</w:t>
      </w:r>
    </w:p>
    <w:p w14:paraId="070D07F2" w14:textId="35FD9F3D" w:rsidR="00600153" w:rsidRPr="001B2285" w:rsidRDefault="00600153" w:rsidP="00600153">
      <w:r w:rsidRPr="004C0DF2">
        <w:rPr>
          <w:rFonts w:eastAsia="Calibri"/>
        </w:rPr>
        <w:t>The ACL includes</w:t>
      </w:r>
      <w:r>
        <w:rPr>
          <w:rFonts w:eastAsia="Calibri"/>
        </w:rPr>
        <w:t xml:space="preserve"> the</w:t>
      </w:r>
      <w:r w:rsidR="008B719D">
        <w:t xml:space="preserve"> </w:t>
      </w:r>
      <w:r>
        <w:t>CoOL Standard which requires origin labelling for most food sold in Australian retail settings, such as supermarkets and grocery stores. It does not currently apply to food service settings, such as restaurants, caf</w:t>
      </w:r>
      <w:r>
        <w:rPr>
          <w:rFonts w:cstheme="minorHAnsi"/>
        </w:rPr>
        <w:t>é</w:t>
      </w:r>
      <w:r>
        <w:t>s and hotels.</w:t>
      </w:r>
    </w:p>
    <w:p w14:paraId="19F690A1" w14:textId="77777777" w:rsidR="00600153" w:rsidRDefault="00600153" w:rsidP="00600153">
      <w:pPr>
        <w:pStyle w:val="Heading2"/>
      </w:pPr>
      <w:bookmarkStart w:id="54" w:name="_Toc136008624"/>
      <w:r>
        <w:t>Amending the ACL</w:t>
      </w:r>
      <w:bookmarkEnd w:id="54"/>
    </w:p>
    <w:p w14:paraId="23172F6E" w14:textId="62037588" w:rsidR="00600153" w:rsidRDefault="00600153" w:rsidP="00600153">
      <w:pPr>
        <w:rPr>
          <w:rFonts w:eastAsia="Calibri"/>
        </w:rPr>
      </w:pPr>
      <w:r w:rsidRPr="004C0DF2">
        <w:rPr>
          <w:rFonts w:eastAsia="Calibri"/>
        </w:rPr>
        <w:t xml:space="preserve">As a law administered jointly by jurisdictions, certain processes must be followed to amend the ACL, set out in the </w:t>
      </w:r>
      <w:r w:rsidR="00BF742E">
        <w:rPr>
          <w:rFonts w:eastAsia="Calibri"/>
        </w:rPr>
        <w:t>IGA</w:t>
      </w:r>
      <w:r w:rsidRPr="004C0DF2">
        <w:rPr>
          <w:rFonts w:eastAsia="Calibri"/>
        </w:rPr>
        <w:t xml:space="preserve">. Any jurisdiction may submit a proposal to amend the ACL. A proposal which describes the problem being addressed and </w:t>
      </w:r>
      <w:r>
        <w:rPr>
          <w:rFonts w:eastAsia="Calibri"/>
        </w:rPr>
        <w:t xml:space="preserve">the </w:t>
      </w:r>
      <w:r w:rsidRPr="004C0DF2">
        <w:rPr>
          <w:rFonts w:eastAsia="Calibri"/>
        </w:rPr>
        <w:t>features of proposed amendments, discusses alternatives, and includes supporting material (which may include a regulat</w:t>
      </w:r>
      <w:r>
        <w:rPr>
          <w:rFonts w:eastAsia="Calibri"/>
        </w:rPr>
        <w:t xml:space="preserve">ion </w:t>
      </w:r>
      <w:r w:rsidRPr="004C0DF2">
        <w:rPr>
          <w:rFonts w:eastAsia="Calibri"/>
        </w:rPr>
        <w:t xml:space="preserve">impact statement, RIS), triggers the commencement of a formal consultation led by the Commonwealth and, subsequently, voting by jurisdictions. </w:t>
      </w:r>
    </w:p>
    <w:p w14:paraId="2AD1D059" w14:textId="77777777" w:rsidR="005257E8" w:rsidRDefault="005257E8" w:rsidP="001B2285">
      <w:pPr>
        <w:pStyle w:val="Heading2"/>
      </w:pPr>
      <w:bookmarkStart w:id="55" w:name="_Toc136008625"/>
      <w:r>
        <w:t xml:space="preserve">Summary of </w:t>
      </w:r>
      <w:r w:rsidR="00C80DB4">
        <w:t>identified problem and policy options</w:t>
      </w:r>
      <w:bookmarkEnd w:id="55"/>
    </w:p>
    <w:tbl>
      <w:tblPr>
        <w:tblStyle w:val="TableGrid"/>
        <w:tblW w:w="9252" w:type="dxa"/>
        <w:tblLook w:val="04A0" w:firstRow="1" w:lastRow="0" w:firstColumn="1" w:lastColumn="0" w:noHBand="0" w:noVBand="1"/>
      </w:tblPr>
      <w:tblGrid>
        <w:gridCol w:w="704"/>
        <w:gridCol w:w="8548"/>
      </w:tblGrid>
      <w:tr w:rsidR="00C80DB4" w14:paraId="1DB4E348" w14:textId="77777777" w:rsidTr="00946CC4">
        <w:trPr>
          <w:cantSplit/>
          <w:trHeight w:val="1134"/>
        </w:trPr>
        <w:tc>
          <w:tcPr>
            <w:tcW w:w="704" w:type="dxa"/>
            <w:textDirection w:val="btLr"/>
            <w:vAlign w:val="center"/>
          </w:tcPr>
          <w:p w14:paraId="4E32BEE6" w14:textId="77777777" w:rsidR="00C80DB4" w:rsidRPr="00946CC4" w:rsidRDefault="00C80DB4" w:rsidP="00946CC4">
            <w:pPr>
              <w:ind w:left="113" w:right="113"/>
              <w:jc w:val="center"/>
              <w:rPr>
                <w:b/>
                <w:bCs/>
              </w:rPr>
            </w:pPr>
            <w:r w:rsidRPr="00946CC4">
              <w:rPr>
                <w:b/>
                <w:bCs/>
              </w:rPr>
              <w:t>Problem</w:t>
            </w:r>
          </w:p>
        </w:tc>
        <w:tc>
          <w:tcPr>
            <w:tcW w:w="8548" w:type="dxa"/>
            <w:vAlign w:val="center"/>
          </w:tcPr>
          <w:p w14:paraId="0BD24BDC" w14:textId="77777777" w:rsidR="00C80DB4" w:rsidRDefault="00946CC4" w:rsidP="00946CC4">
            <w:r w:rsidRPr="00A26BB4">
              <w:t>Consumers lack consistent access to origin information for seafood sold in hospitality settings and are therefore unable to make informed purchasing decisions in line with their personal preferences</w:t>
            </w:r>
          </w:p>
        </w:tc>
      </w:tr>
      <w:tr w:rsidR="00A26BB4" w14:paraId="4FBE2E60" w14:textId="77777777" w:rsidTr="006D0203">
        <w:trPr>
          <w:trHeight w:val="1157"/>
        </w:trPr>
        <w:tc>
          <w:tcPr>
            <w:tcW w:w="704" w:type="dxa"/>
            <w:textDirection w:val="btLr"/>
            <w:vAlign w:val="center"/>
          </w:tcPr>
          <w:p w14:paraId="3F800903" w14:textId="77777777" w:rsidR="00A26BB4" w:rsidRPr="00946CC4" w:rsidRDefault="00A26BB4" w:rsidP="00946CC4">
            <w:pPr>
              <w:ind w:left="113" w:right="113"/>
              <w:jc w:val="center"/>
              <w:rPr>
                <w:b/>
                <w:bCs/>
              </w:rPr>
            </w:pPr>
            <w:r w:rsidRPr="00946CC4">
              <w:rPr>
                <w:b/>
                <w:bCs/>
              </w:rPr>
              <w:t>Options</w:t>
            </w:r>
          </w:p>
        </w:tc>
        <w:tc>
          <w:tcPr>
            <w:tcW w:w="8548" w:type="dxa"/>
          </w:tcPr>
          <w:p w14:paraId="2DE69959" w14:textId="77777777" w:rsidR="00A26BB4" w:rsidRDefault="00A26BB4" w:rsidP="00946CC4">
            <w:pPr>
              <w:spacing w:before="60" w:after="60"/>
            </w:pPr>
            <w:r>
              <w:t>1. Status quo</w:t>
            </w:r>
          </w:p>
          <w:p w14:paraId="135D0954" w14:textId="279DE321" w:rsidR="00A26BB4" w:rsidRDefault="003417E2" w:rsidP="00946CC4">
            <w:pPr>
              <w:spacing w:before="60" w:after="60"/>
            </w:pPr>
            <w:r>
              <w:t>2</w:t>
            </w:r>
            <w:r w:rsidR="00A26BB4">
              <w:t xml:space="preserve">. </w:t>
            </w:r>
            <w:r w:rsidR="00300E31">
              <w:t xml:space="preserve">ACL </w:t>
            </w:r>
            <w:r w:rsidR="001A0B8A">
              <w:t>i</w:t>
            </w:r>
            <w:r w:rsidR="00300E31">
              <w:t xml:space="preserve">nformation </w:t>
            </w:r>
            <w:r w:rsidR="001A0B8A">
              <w:t>s</w:t>
            </w:r>
            <w:r w:rsidR="00300E31">
              <w:t>tandard –</w:t>
            </w:r>
            <w:r>
              <w:t xml:space="preserve"> Australian (A)</w:t>
            </w:r>
            <w:r w:rsidR="0055382F">
              <w:t>/</w:t>
            </w:r>
            <w:r>
              <w:t>Imported (I)</w:t>
            </w:r>
            <w:r w:rsidR="0055382F">
              <w:t>/</w:t>
            </w:r>
            <w:r>
              <w:t xml:space="preserve">Mixed (M) </w:t>
            </w:r>
            <w:r w:rsidR="0055382F">
              <w:t>(</w:t>
            </w:r>
            <w:r w:rsidR="00A26BB4">
              <w:t>AIM</w:t>
            </w:r>
            <w:r w:rsidR="0055382F">
              <w:t>)</w:t>
            </w:r>
            <w:r w:rsidR="00A26BB4">
              <w:t xml:space="preserve"> model</w:t>
            </w:r>
          </w:p>
          <w:p w14:paraId="733B9489" w14:textId="33C2550B" w:rsidR="00A26BB4" w:rsidRDefault="003417E2" w:rsidP="00946CC4">
            <w:pPr>
              <w:spacing w:before="60" w:after="60"/>
            </w:pPr>
            <w:r>
              <w:t>3</w:t>
            </w:r>
            <w:r w:rsidR="00A26BB4">
              <w:t xml:space="preserve">. </w:t>
            </w:r>
            <w:r w:rsidR="00300E31">
              <w:t xml:space="preserve">ACL </w:t>
            </w:r>
            <w:r w:rsidR="001A0B8A">
              <w:t>i</w:t>
            </w:r>
            <w:r w:rsidR="00300E31">
              <w:t xml:space="preserve">nformation </w:t>
            </w:r>
            <w:r w:rsidR="001A0B8A">
              <w:t>s</w:t>
            </w:r>
            <w:r w:rsidR="00300E31">
              <w:t xml:space="preserve">tandard – </w:t>
            </w:r>
            <w:r w:rsidR="00A26BB4">
              <w:t>country model</w:t>
            </w:r>
          </w:p>
        </w:tc>
      </w:tr>
    </w:tbl>
    <w:p w14:paraId="4E05F436" w14:textId="77777777" w:rsidR="00C80DB4" w:rsidRDefault="00C80DB4" w:rsidP="00C80DB4"/>
    <w:p w14:paraId="2968705A" w14:textId="5831F7F2" w:rsidR="0044227D" w:rsidRDefault="0044227D" w:rsidP="0044227D">
      <w:pPr>
        <w:pStyle w:val="Calloutbox"/>
        <w:numPr>
          <w:ilvl w:val="0"/>
          <w:numId w:val="37"/>
        </w:numPr>
      </w:pPr>
      <w:r w:rsidRPr="007E2052">
        <w:t xml:space="preserve">Are </w:t>
      </w:r>
      <w:r w:rsidR="00BF742E">
        <w:t xml:space="preserve">there </w:t>
      </w:r>
      <w:r w:rsidRPr="007E2052">
        <w:t>any alternative ways to address the problem? </w:t>
      </w:r>
    </w:p>
    <w:p w14:paraId="08F1AC11" w14:textId="77777777" w:rsidR="0044227D" w:rsidRDefault="0044227D" w:rsidP="00C80DB4"/>
    <w:p w14:paraId="5576A591" w14:textId="77777777" w:rsidR="00C80DB4" w:rsidRDefault="00C80DB4">
      <w:r>
        <w:br w:type="page"/>
      </w:r>
    </w:p>
    <w:p w14:paraId="43BA7F5F" w14:textId="77777777" w:rsidR="00C80DB4" w:rsidRDefault="00C80DB4" w:rsidP="00946CC4">
      <w:pPr>
        <w:pStyle w:val="Heading1"/>
        <w:numPr>
          <w:ilvl w:val="0"/>
          <w:numId w:val="18"/>
        </w:numPr>
      </w:pPr>
      <w:bookmarkStart w:id="56" w:name="_Toc136008626"/>
      <w:r>
        <w:lastRenderedPageBreak/>
        <w:t>Key questions</w:t>
      </w:r>
      <w:bookmarkEnd w:id="56"/>
    </w:p>
    <w:p w14:paraId="3C72C1F0" w14:textId="77777777" w:rsidR="00551EB7" w:rsidRDefault="00551EB7" w:rsidP="00551EB7">
      <w:pPr>
        <w:pStyle w:val="ListParagraph"/>
        <w:numPr>
          <w:ilvl w:val="0"/>
          <w:numId w:val="0"/>
        </w:numPr>
        <w:ind w:left="720"/>
      </w:pPr>
    </w:p>
    <w:p w14:paraId="1E013903" w14:textId="128E44D3" w:rsidR="00551EB7" w:rsidRDefault="00551EB7" w:rsidP="00551EB7">
      <w:pPr>
        <w:pStyle w:val="ListParagraph"/>
        <w:numPr>
          <w:ilvl w:val="0"/>
          <w:numId w:val="45"/>
        </w:numPr>
        <w:spacing w:after="120" w:line="360" w:lineRule="auto"/>
        <w:ind w:left="714" w:hanging="357"/>
        <w:contextualSpacing w:val="0"/>
      </w:pPr>
      <w:r w:rsidRPr="007E2052">
        <w:t xml:space="preserve">Are </w:t>
      </w:r>
      <w:r w:rsidR="00BF742E">
        <w:t xml:space="preserve">there </w:t>
      </w:r>
      <w:r w:rsidRPr="007E2052">
        <w:t>any alternative ways to address the problem? </w:t>
      </w:r>
    </w:p>
    <w:p w14:paraId="5D624A74" w14:textId="0723D6BB" w:rsidR="00551EB7" w:rsidRDefault="00551EB7" w:rsidP="00551EB7">
      <w:pPr>
        <w:pStyle w:val="ListParagraph"/>
        <w:numPr>
          <w:ilvl w:val="0"/>
          <w:numId w:val="45"/>
        </w:numPr>
        <w:spacing w:after="120" w:line="360" w:lineRule="auto"/>
        <w:ind w:left="714" w:hanging="357"/>
        <w:contextualSpacing w:val="0"/>
      </w:pPr>
      <w:r>
        <w:t>What is the impact of this lack of consumer information on seafood origin information in hospitality settings?</w:t>
      </w:r>
    </w:p>
    <w:p w14:paraId="08F33DA4" w14:textId="18DD3FA8" w:rsidR="00551EB7" w:rsidRPr="000C33EB" w:rsidRDefault="00551EB7" w:rsidP="00551EB7">
      <w:pPr>
        <w:pStyle w:val="ListParagraph"/>
        <w:numPr>
          <w:ilvl w:val="0"/>
          <w:numId w:val="45"/>
        </w:numPr>
        <w:spacing w:after="120" w:line="360" w:lineRule="auto"/>
        <w:ind w:left="714" w:hanging="357"/>
        <w:contextualSpacing w:val="0"/>
      </w:pPr>
      <w:r w:rsidRPr="009B4B7F">
        <w:t>How important is price point when you make decisions about buying seafood</w:t>
      </w:r>
      <w:r>
        <w:t xml:space="preserve"> in hospitality settings</w:t>
      </w:r>
      <w:r w:rsidRPr="009B4B7F">
        <w:t>?</w:t>
      </w:r>
    </w:p>
    <w:p w14:paraId="76907CF0" w14:textId="77777777" w:rsidR="00551EB7" w:rsidRPr="000C33EB" w:rsidRDefault="00551EB7" w:rsidP="00551EB7">
      <w:pPr>
        <w:pStyle w:val="ListParagraph"/>
        <w:numPr>
          <w:ilvl w:val="0"/>
          <w:numId w:val="45"/>
        </w:numPr>
        <w:spacing w:after="120" w:line="360" w:lineRule="auto"/>
        <w:ind w:left="714" w:hanging="357"/>
        <w:contextualSpacing w:val="0"/>
      </w:pPr>
      <w:r w:rsidRPr="009B4B7F">
        <w:t xml:space="preserve">Will </w:t>
      </w:r>
      <w:r>
        <w:t>s</w:t>
      </w:r>
      <w:r w:rsidRPr="00176427">
        <w:t>eafood origin information in hospitality settings</w:t>
      </w:r>
      <w:r w:rsidRPr="009B4B7F">
        <w:t xml:space="preserve"> change your purchasing behaviour with buying </w:t>
      </w:r>
      <w:r>
        <w:t>seafood</w:t>
      </w:r>
      <w:r w:rsidRPr="009B4B7F">
        <w:t>?</w:t>
      </w:r>
      <w:r w:rsidRPr="000C33EB">
        <w:t> </w:t>
      </w:r>
    </w:p>
    <w:p w14:paraId="461EFE0C" w14:textId="4C0D12A5" w:rsidR="00551EB7" w:rsidRDefault="00551EB7" w:rsidP="00551EB7">
      <w:pPr>
        <w:pStyle w:val="ListParagraph"/>
        <w:numPr>
          <w:ilvl w:val="0"/>
          <w:numId w:val="45"/>
        </w:numPr>
        <w:spacing w:after="120" w:line="360" w:lineRule="auto"/>
        <w:ind w:left="714" w:hanging="357"/>
        <w:contextualSpacing w:val="0"/>
      </w:pPr>
      <w:r w:rsidRPr="007E2052">
        <w:t xml:space="preserve">How much will </w:t>
      </w:r>
      <w:r>
        <w:t xml:space="preserve">it </w:t>
      </w:r>
      <w:r w:rsidRPr="007E2052">
        <w:t xml:space="preserve">cost </w:t>
      </w:r>
      <w:r>
        <w:t xml:space="preserve">business to </w:t>
      </w:r>
      <w:r w:rsidRPr="007E2052">
        <w:t>implement the AIM model? If possible, please provide estimates for immediate, short term, and long-term costs.</w:t>
      </w:r>
    </w:p>
    <w:p w14:paraId="2E04FC02" w14:textId="77777777" w:rsidR="00551EB7" w:rsidRDefault="00551EB7" w:rsidP="00551EB7">
      <w:pPr>
        <w:pStyle w:val="ListParagraph"/>
        <w:numPr>
          <w:ilvl w:val="0"/>
          <w:numId w:val="45"/>
        </w:numPr>
        <w:spacing w:after="120" w:line="360" w:lineRule="auto"/>
        <w:ind w:left="714" w:hanging="357"/>
        <w:contextualSpacing w:val="0"/>
      </w:pPr>
      <w:r>
        <w:t xml:space="preserve">How will hospitality businesses benefit from the AIM model in the short and long-term? </w:t>
      </w:r>
    </w:p>
    <w:p w14:paraId="7EF37359" w14:textId="0D9C8A76" w:rsidR="00551EB7" w:rsidRDefault="00551EB7" w:rsidP="00551EB7">
      <w:pPr>
        <w:pStyle w:val="ListParagraph"/>
        <w:numPr>
          <w:ilvl w:val="0"/>
          <w:numId w:val="45"/>
        </w:numPr>
        <w:spacing w:after="120" w:line="360" w:lineRule="auto"/>
        <w:ind w:left="714" w:hanging="357"/>
        <w:contextualSpacing w:val="0"/>
      </w:pPr>
      <w:r>
        <w:t>How much will it cost business to implement the country model? If possible, please provide estimates for immediate, short term, and long-term costs.</w:t>
      </w:r>
    </w:p>
    <w:p w14:paraId="16C7EA7C" w14:textId="0A5E5FE7" w:rsidR="00C80DB4" w:rsidRDefault="00551EB7" w:rsidP="00551EB7">
      <w:pPr>
        <w:pStyle w:val="ListParagraph"/>
        <w:numPr>
          <w:ilvl w:val="0"/>
          <w:numId w:val="45"/>
        </w:numPr>
        <w:spacing w:after="120" w:line="360" w:lineRule="auto"/>
        <w:ind w:left="714" w:hanging="357"/>
        <w:contextualSpacing w:val="0"/>
      </w:pPr>
      <w:r>
        <w:t>How will hospitality businesses benefit from the country model in the short and long-term?</w:t>
      </w:r>
    </w:p>
    <w:p w14:paraId="0D78DAE2" w14:textId="6A57989C" w:rsidR="00551EB7" w:rsidRDefault="00551EB7" w:rsidP="00551EB7">
      <w:pPr>
        <w:pStyle w:val="ListParagraph"/>
        <w:numPr>
          <w:ilvl w:val="0"/>
          <w:numId w:val="45"/>
        </w:numPr>
        <w:spacing w:after="120" w:line="360" w:lineRule="auto"/>
        <w:ind w:left="714" w:hanging="357"/>
        <w:contextualSpacing w:val="0"/>
      </w:pPr>
      <w:r>
        <w:t xml:space="preserve">Which of the </w:t>
      </w:r>
      <w:r w:rsidR="003417E2">
        <w:t>3</w:t>
      </w:r>
      <w:r>
        <w:t xml:space="preserve"> policy options do you prefer, and why? </w:t>
      </w:r>
    </w:p>
    <w:p w14:paraId="7071B57D" w14:textId="002F15B8" w:rsidR="00551EB7" w:rsidRDefault="00551EB7" w:rsidP="00551EB7">
      <w:pPr>
        <w:pStyle w:val="ListParagraph"/>
        <w:numPr>
          <w:ilvl w:val="0"/>
          <w:numId w:val="45"/>
        </w:numPr>
        <w:spacing w:after="120" w:line="360" w:lineRule="auto"/>
        <w:ind w:left="714" w:hanging="357"/>
        <w:contextualSpacing w:val="0"/>
      </w:pPr>
      <w:r>
        <w:t xml:space="preserve">Do you agree with the costs and benefits set out for each option? If not, please identify which costs or benefits you disagree with and why. </w:t>
      </w:r>
    </w:p>
    <w:p w14:paraId="2960F6FB" w14:textId="152565C5" w:rsidR="00551EB7" w:rsidRDefault="00551EB7" w:rsidP="00551EB7">
      <w:pPr>
        <w:pStyle w:val="ListParagraph"/>
        <w:numPr>
          <w:ilvl w:val="0"/>
          <w:numId w:val="45"/>
        </w:numPr>
        <w:spacing w:after="120" w:line="360" w:lineRule="auto"/>
        <w:ind w:left="714" w:hanging="357"/>
        <w:contextualSpacing w:val="0"/>
      </w:pPr>
      <w:r>
        <w:t>Do you think there is any relevant information missing from the options? Please specify.</w:t>
      </w:r>
    </w:p>
    <w:p w14:paraId="56BDFBCD" w14:textId="77777777" w:rsidR="00551EB7" w:rsidRDefault="00551EB7" w:rsidP="00551EB7"/>
    <w:p w14:paraId="26EA828E" w14:textId="77777777" w:rsidR="00FB1CF6" w:rsidRDefault="00FB1CF6">
      <w:pPr>
        <w:rPr>
          <w:rFonts w:asciiTheme="majorHAnsi" w:eastAsiaTheme="majorEastAsia" w:hAnsiTheme="majorHAnsi" w:cstheme="majorBidi"/>
          <w:color w:val="005677" w:themeColor="text2"/>
          <w:sz w:val="48"/>
          <w:szCs w:val="32"/>
        </w:rPr>
      </w:pPr>
      <w:bookmarkStart w:id="57" w:name="_Toc136008627"/>
      <w:r>
        <w:br w:type="page"/>
      </w:r>
    </w:p>
    <w:p w14:paraId="0E7B468E" w14:textId="31FF36EA" w:rsidR="00C80DB4" w:rsidRDefault="00EC21D3" w:rsidP="009668F4">
      <w:pPr>
        <w:pStyle w:val="Heading1"/>
        <w:numPr>
          <w:ilvl w:val="0"/>
          <w:numId w:val="18"/>
        </w:numPr>
      </w:pPr>
      <w:r>
        <w:lastRenderedPageBreak/>
        <w:t>The p</w:t>
      </w:r>
      <w:r w:rsidR="00C80DB4">
        <w:t>roblem</w:t>
      </w:r>
      <w:bookmarkEnd w:id="57"/>
    </w:p>
    <w:p w14:paraId="2A4E6F35" w14:textId="77777777" w:rsidR="00EC21D3" w:rsidRPr="00EC21D3" w:rsidRDefault="00EC21D3" w:rsidP="00A26BB4">
      <w:pPr>
        <w:pStyle w:val="Heading2"/>
      </w:pPr>
      <w:bookmarkStart w:id="58" w:name="_Toc136008628"/>
      <w:r w:rsidRPr="00EC21D3">
        <w:t>Consumers lack consistent access to origin information for seafood sold in hospitality settings</w:t>
      </w:r>
      <w:bookmarkEnd w:id="58"/>
    </w:p>
    <w:p w14:paraId="1E0D11E2" w14:textId="19419526" w:rsidR="007E0FA0" w:rsidRDefault="007E0FA0" w:rsidP="007E0FA0">
      <w:r w:rsidRPr="00B66402">
        <w:t>Consumer</w:t>
      </w:r>
      <w:r w:rsidR="00F93A50">
        <w:t xml:space="preserve"> access to </w:t>
      </w:r>
      <w:r w:rsidRPr="00B66402">
        <w:t>origin information for seafood in hospitality settings</w:t>
      </w:r>
      <w:r w:rsidR="00F93A50">
        <w:t xml:space="preserve"> currently relies on businesses</w:t>
      </w:r>
      <w:r w:rsidR="00116CED">
        <w:t>’</w:t>
      </w:r>
      <w:r w:rsidR="00F93A50">
        <w:t xml:space="preserve"> willingness to voluntar</w:t>
      </w:r>
      <w:r w:rsidR="003417E2">
        <w:t>il</w:t>
      </w:r>
      <w:r w:rsidR="00F93A50">
        <w:t>y provide this information, either through signage or in response to customer queries.</w:t>
      </w:r>
      <w:r>
        <w:t xml:space="preserve"> This lack of </w:t>
      </w:r>
      <w:r w:rsidR="00EC21D3">
        <w:t xml:space="preserve">easily accessible and consistently displayed </w:t>
      </w:r>
      <w:r>
        <w:t xml:space="preserve">information means consumers </w:t>
      </w:r>
      <w:r w:rsidR="00EC21D3">
        <w:t xml:space="preserve">may be </w:t>
      </w:r>
      <w:r>
        <w:t xml:space="preserve">unable to </w:t>
      </w:r>
      <w:r w:rsidRPr="00B66402">
        <w:t>make educate</w:t>
      </w:r>
      <w:r>
        <w:t>d</w:t>
      </w:r>
      <w:r w:rsidRPr="00B66402">
        <w:t xml:space="preserve"> or informed purchasing decisions</w:t>
      </w:r>
      <w:r>
        <w:t xml:space="preserve"> for seafood</w:t>
      </w:r>
      <w:r w:rsidRPr="00B66402">
        <w:t xml:space="preserve"> in</w:t>
      </w:r>
      <w:r>
        <w:t xml:space="preserve"> hospitality settings</w:t>
      </w:r>
      <w:r w:rsidRPr="00B66402">
        <w:t xml:space="preserve"> </w:t>
      </w:r>
      <w:r>
        <w:t xml:space="preserve">in </w:t>
      </w:r>
      <w:r w:rsidRPr="00B66402">
        <w:t>line with their personal preferences</w:t>
      </w:r>
      <w:r>
        <w:t xml:space="preserve">. </w:t>
      </w:r>
    </w:p>
    <w:p w14:paraId="7673C578" w14:textId="6CC69C06" w:rsidR="00A26BB4" w:rsidRDefault="00A26BB4" w:rsidP="00A26BB4">
      <w:r>
        <w:t>Seafood country of origin information is provided through the supply chain to hospitality businesses as part of food standards and other CoOL requirements. If hospitality providers are not passing on origin information to consumers, and this information is desired by consumers to inform their purchasing decisions, then a situation of information asymmetry arises. This lack of information affecting purchasing decisions and power could lead to market distortion. In an effort to alleviate this problem for consumers, the department is investigating policy options on country of origin labelling for seafood in hospitality settings.</w:t>
      </w:r>
      <w:r w:rsidRPr="414B655F">
        <w:t xml:space="preserve"> </w:t>
      </w:r>
    </w:p>
    <w:p w14:paraId="526B798A" w14:textId="77777777" w:rsidR="00EC21D3" w:rsidRDefault="00EC21D3" w:rsidP="00A26BB4">
      <w:pPr>
        <w:pStyle w:val="Heading2"/>
      </w:pPr>
      <w:bookmarkStart w:id="59" w:name="_Toc136008629"/>
      <w:r>
        <w:t>Why is this a problem?</w:t>
      </w:r>
      <w:bookmarkEnd w:id="59"/>
    </w:p>
    <w:p w14:paraId="0022812C" w14:textId="77777777" w:rsidR="007E0FA0" w:rsidRDefault="007E0FA0" w:rsidP="007E0FA0">
      <w:r>
        <w:t>CoOL</w:t>
      </w:r>
      <w:r w:rsidRPr="414B655F">
        <w:t xml:space="preserve"> </w:t>
      </w:r>
      <w:r>
        <w:t>is often a key factor for consumers when they are considering what food to buy.</w:t>
      </w:r>
      <w:r>
        <w:rPr>
          <w:rStyle w:val="FootnoteReference"/>
        </w:rPr>
        <w:footnoteReference w:id="4"/>
      </w:r>
      <w:r>
        <w:t xml:space="preserve"> Consumers consider a range of factors including personal values and perceptions on price, quality, and branding when making purchasing decisions.</w:t>
      </w:r>
      <w:r>
        <w:rPr>
          <w:rStyle w:val="FootnoteReference"/>
        </w:rPr>
        <w:footnoteReference w:id="5"/>
      </w:r>
      <w:r>
        <w:t xml:space="preserve"> </w:t>
      </w:r>
    </w:p>
    <w:p w14:paraId="46C226E3" w14:textId="1A5C7AA2" w:rsidR="007E0FA0" w:rsidRDefault="007E0FA0" w:rsidP="007E0FA0">
      <w:r w:rsidRPr="006032EF">
        <w:t>Seafood is the fourth most consumed ‘protein’ in Australia, after beef, pork, and poultry.</w:t>
      </w:r>
      <w:r w:rsidRPr="006032EF">
        <w:rPr>
          <w:vertAlign w:val="superscript"/>
        </w:rPr>
        <w:footnoteReference w:id="6"/>
      </w:r>
      <w:r w:rsidRPr="006032EF">
        <w:t xml:space="preserve"> About 356 kilotons of seafood was consumed in Australia in 2020-21 which equates to about 12.4 kg per person. </w:t>
      </w:r>
      <w:r>
        <w:t>C</w:t>
      </w:r>
      <w:r w:rsidRPr="006032EF">
        <w:t xml:space="preserve">onsumer demand for CoOL information </w:t>
      </w:r>
      <w:r w:rsidR="00C968AF">
        <w:t>for</w:t>
      </w:r>
      <w:r w:rsidR="00C968AF" w:rsidRPr="006032EF">
        <w:t xml:space="preserve"> </w:t>
      </w:r>
      <w:r>
        <w:t>seafood</w:t>
      </w:r>
      <w:r w:rsidRPr="006032EF">
        <w:t xml:space="preserve"> has been identified as being higher than other food.</w:t>
      </w:r>
      <w:r w:rsidRPr="006032EF">
        <w:rPr>
          <w:vertAlign w:val="superscript"/>
        </w:rPr>
        <w:footnoteReference w:id="7"/>
      </w:r>
      <w:r w:rsidRPr="006032EF">
        <w:t xml:space="preserve"> </w:t>
      </w:r>
    </w:p>
    <w:p w14:paraId="215AAB42" w14:textId="64CCC310" w:rsidR="007E0FA0" w:rsidRDefault="007E0FA0" w:rsidP="007E0FA0">
      <w:r>
        <w:t xml:space="preserve">In Australia most protein-based foods are sourced locally. </w:t>
      </w:r>
      <w:r w:rsidR="0044227D">
        <w:t>Many</w:t>
      </w:r>
      <w:r>
        <w:t xml:space="preserve"> consumers </w:t>
      </w:r>
      <w:r w:rsidR="0044227D">
        <w:t>are</w:t>
      </w:r>
      <w:r>
        <w:t xml:space="preserve"> unaware that most seafood</w:t>
      </w:r>
      <w:r w:rsidR="0044227D">
        <w:t xml:space="preserve"> consumed in Australia</w:t>
      </w:r>
      <w:r>
        <w:t xml:space="preserve"> is </w:t>
      </w:r>
      <w:r w:rsidR="0044227D">
        <w:t>imported and</w:t>
      </w:r>
      <w:r>
        <w:t xml:space="preserve"> informing consumers about the country of origin of seafood is a </w:t>
      </w:r>
      <w:r w:rsidRPr="006032EF">
        <w:t>unique problem</w:t>
      </w:r>
      <w:r>
        <w:t xml:space="preserve">. </w:t>
      </w:r>
      <w:r w:rsidR="0044227D">
        <w:t>A</w:t>
      </w:r>
      <w:r>
        <w:t>s a food product</w:t>
      </w:r>
      <w:r w:rsidR="0044227D">
        <w:t>,</w:t>
      </w:r>
      <w:r>
        <w:t xml:space="preserve"> </w:t>
      </w:r>
      <w:r w:rsidR="0044227D">
        <w:t>seafood</w:t>
      </w:r>
      <w:r>
        <w:t xml:space="preserve"> is twice as likely to be imported than other proteins</w:t>
      </w:r>
      <w:r w:rsidR="0044227D">
        <w:rPr>
          <w:rStyle w:val="FootnoteReference"/>
        </w:rPr>
        <w:footnoteReference w:id="8"/>
      </w:r>
      <w:r>
        <w:t xml:space="preserve"> thereby making it a unique problem space compared to other proteins. </w:t>
      </w:r>
    </w:p>
    <w:p w14:paraId="2E68CE35" w14:textId="17509529" w:rsidR="007E0FA0" w:rsidRDefault="007E0FA0" w:rsidP="007E0FA0">
      <w:r w:rsidRPr="00BD4FC0">
        <w:t xml:space="preserve">The extension of </w:t>
      </w:r>
      <w:r>
        <w:t xml:space="preserve">the </w:t>
      </w:r>
      <w:r w:rsidR="00CA0AF2" w:rsidRPr="00CA0AF2">
        <w:t>CoOL Standard</w:t>
      </w:r>
      <w:r>
        <w:t xml:space="preserve"> to</w:t>
      </w:r>
      <w:r w:rsidRPr="00BD4FC0">
        <w:t xml:space="preserve"> seafood </w:t>
      </w:r>
      <w:r>
        <w:t xml:space="preserve">in hospitality settings </w:t>
      </w:r>
      <w:r w:rsidRPr="00BD4FC0">
        <w:t>has been considered and the transformative costs would be too high,</w:t>
      </w:r>
      <w:r>
        <w:t xml:space="preserve"> and another solution must be found.</w:t>
      </w:r>
    </w:p>
    <w:p w14:paraId="73DEBC24" w14:textId="77777777" w:rsidR="00EC21D3" w:rsidRDefault="00EC21D3" w:rsidP="00A26BB4">
      <w:pPr>
        <w:pStyle w:val="Heading2"/>
      </w:pPr>
      <w:bookmarkStart w:id="60" w:name="_Toc136008630"/>
      <w:bookmarkStart w:id="61" w:name="_Toc133586448"/>
      <w:r>
        <w:t>What is the extent of the problem?</w:t>
      </w:r>
      <w:bookmarkEnd w:id="60"/>
    </w:p>
    <w:p w14:paraId="42E49F5F" w14:textId="018F92FB" w:rsidR="00EC21D3" w:rsidRDefault="00EC21D3" w:rsidP="00EC21D3">
      <w:r>
        <w:t>CoOL</w:t>
      </w:r>
      <w:r w:rsidDel="006634A6">
        <w:t xml:space="preserve"> </w:t>
      </w:r>
      <w:r>
        <w:t xml:space="preserve">became mandatory on most foods and beverages for retail sale in 2018 under the CoOL Standard (see Appendix B). The CoOL Standard allows </w:t>
      </w:r>
      <w:r w:rsidRPr="00B66402">
        <w:t>customers to make informed decisions about what they purchase to cook at home</w:t>
      </w:r>
      <w:r>
        <w:t>.</w:t>
      </w:r>
      <w:r w:rsidRPr="00B66402">
        <w:t xml:space="preserve"> </w:t>
      </w:r>
      <w:r>
        <w:t>However,</w:t>
      </w:r>
      <w:r w:rsidRPr="00B66402">
        <w:t xml:space="preserve"> hospitality venues </w:t>
      </w:r>
      <w:r>
        <w:t xml:space="preserve">and settings </w:t>
      </w:r>
      <w:r w:rsidRPr="00B66402">
        <w:t xml:space="preserve">are not currently required to label the country of </w:t>
      </w:r>
      <w:r>
        <w:t>o</w:t>
      </w:r>
      <w:r w:rsidRPr="00B66402">
        <w:t xml:space="preserve">rigin </w:t>
      </w:r>
      <w:r>
        <w:t>for food, including seafood,</w:t>
      </w:r>
      <w:r w:rsidRPr="00B66402">
        <w:t xml:space="preserve"> they serve.</w:t>
      </w:r>
    </w:p>
    <w:p w14:paraId="57C2E7BC" w14:textId="77777777" w:rsidR="00EC21D3" w:rsidRDefault="00EC21D3" w:rsidP="00EC21D3">
      <w:r>
        <w:lastRenderedPageBreak/>
        <w:t>Some hospitality businesses provide seafood origin information by choice, especially in high-end businesses</w:t>
      </w:r>
      <w:r w:rsidRPr="414B655F">
        <w:t xml:space="preserve"> </w:t>
      </w:r>
      <w:r>
        <w:t>and on premium seafood. However, there has not been significant voluntary uptake of providing this information to consumers in the hospitality sector</w:t>
      </w:r>
      <w:r w:rsidRPr="414B655F">
        <w:t xml:space="preserve">. </w:t>
      </w:r>
      <w:r>
        <w:t>Consumers can ask hospitality businesses for origin of seafood information at any time, however many consumers responding to the department’s</w:t>
      </w:r>
      <w:r w:rsidDel="00B66402">
        <w:t xml:space="preserve"> </w:t>
      </w:r>
      <w:r>
        <w:t xml:space="preserve">discussion paper commented that servers are often unable to provide this information.  </w:t>
      </w:r>
    </w:p>
    <w:p w14:paraId="6B410A89" w14:textId="322C2B05" w:rsidR="00EC21D3" w:rsidRDefault="00EC21D3" w:rsidP="00EC21D3">
      <w:r>
        <w:t xml:space="preserve">The </w:t>
      </w:r>
      <w:hyperlink r:id="rId16" w:history="1">
        <w:r w:rsidRPr="00A3113B">
          <w:rPr>
            <w:rStyle w:val="Hyperlink"/>
          </w:rPr>
          <w:t>2021 Evaluation of Country of Origin Labelling for Food</w:t>
        </w:r>
      </w:hyperlink>
      <w:r w:rsidRPr="007D157C">
        <w:t xml:space="preserve"> </w:t>
      </w:r>
      <w:r>
        <w:t>(</w:t>
      </w:r>
      <w:r w:rsidR="00A3113B" w:rsidRPr="00A3113B">
        <w:t>CoOL Evaluation</w:t>
      </w:r>
      <w:r>
        <w:t xml:space="preserve">) attempted to estimate how many </w:t>
      </w:r>
      <w:r w:rsidDel="00E94A17">
        <w:t xml:space="preserve">Australian food service businesses </w:t>
      </w:r>
      <w:r>
        <w:t xml:space="preserve">currently </w:t>
      </w:r>
      <w:r w:rsidDel="00E94A17">
        <w:t>provid</w:t>
      </w:r>
      <w:r>
        <w:t>e</w:t>
      </w:r>
      <w:r w:rsidDel="00E94A17">
        <w:t xml:space="preserve"> seafood origin information</w:t>
      </w:r>
      <w:r>
        <w:t xml:space="preserve">. Using the best available information, the </w:t>
      </w:r>
      <w:r w:rsidRPr="00163D24" w:rsidDel="00E94A17">
        <w:t xml:space="preserve">evaluation </w:t>
      </w:r>
      <w:r w:rsidDel="00E94A17">
        <w:t>conservatively estimate</w:t>
      </w:r>
      <w:r>
        <w:t>d</w:t>
      </w:r>
      <w:r w:rsidDel="00E94A17">
        <w:t xml:space="preserve"> that </w:t>
      </w:r>
      <w:r>
        <w:t>only around</w:t>
      </w:r>
      <w:r w:rsidDel="00E94A17">
        <w:t xml:space="preserve"> 1% of</w:t>
      </w:r>
      <w:r>
        <w:t xml:space="preserve"> businesses that offer seafood were providing origin information</w:t>
      </w:r>
      <w:r w:rsidDel="00E94A17">
        <w:t>.</w:t>
      </w:r>
      <w:r>
        <w:rPr>
          <w:rStyle w:val="FootnoteReference"/>
        </w:rPr>
        <w:footnoteReference w:id="9"/>
      </w:r>
      <w:r w:rsidDel="00E94A17">
        <w:t xml:space="preserve"> These businesses consisted of certain large fast-food outlets such as McDonalds and Domino’s Pizza, high-end restaurants, and businesses subject to the Northern Territory’s (NT) </w:t>
      </w:r>
      <w:r w:rsidR="00194C5C">
        <w:t>s</w:t>
      </w:r>
      <w:r w:rsidDel="00E94A17">
        <w:t>eafood labelling requirements.</w:t>
      </w:r>
      <w:r>
        <w:rPr>
          <w:rStyle w:val="FootnoteReference"/>
        </w:rPr>
        <w:footnoteReference w:id="10"/>
      </w:r>
      <w:r w:rsidDel="00E94A17">
        <w:t xml:space="preserve"> </w:t>
      </w:r>
      <w:r w:rsidRPr="414B655F">
        <w:t xml:space="preserve"> </w:t>
      </w:r>
    </w:p>
    <w:p w14:paraId="393E118C" w14:textId="77777777" w:rsidR="007E0FA0" w:rsidRPr="007E0FA0" w:rsidRDefault="00A26BB4" w:rsidP="00A26BB4">
      <w:pPr>
        <w:pStyle w:val="Heading2"/>
      </w:pPr>
      <w:bookmarkStart w:id="62" w:name="_Toc133586449"/>
      <w:bookmarkStart w:id="63" w:name="_Toc136008631"/>
      <w:bookmarkEnd w:id="61"/>
      <w:r>
        <w:t>What are the i</w:t>
      </w:r>
      <w:r w:rsidR="007E0FA0">
        <w:t>mpacts of the problem</w:t>
      </w:r>
      <w:bookmarkEnd w:id="62"/>
      <w:r>
        <w:t>?</w:t>
      </w:r>
      <w:bookmarkEnd w:id="63"/>
      <w:r w:rsidR="007E0FA0">
        <w:t xml:space="preserve"> </w:t>
      </w:r>
    </w:p>
    <w:p w14:paraId="1D33F15E" w14:textId="77777777" w:rsidR="007E0FA0" w:rsidRDefault="007E0FA0" w:rsidP="007E0FA0">
      <w:pPr>
        <w:rPr>
          <w:rFonts w:ascii="Calibri" w:hAnsi="Calibri" w:cs="Calibri"/>
        </w:rPr>
      </w:pPr>
      <w:r>
        <w:t>Consumers want to have information on the origin of the seafood they are buying.</w:t>
      </w:r>
      <w:r>
        <w:rPr>
          <w:rStyle w:val="FootnoteReference"/>
        </w:rPr>
        <w:footnoteReference w:id="11"/>
      </w:r>
      <w:r>
        <w:t xml:space="preserve"> The lack of Seafood CoOL means that Australian consumers are not able to make informed decisions or choices to purchase their most preferred seafood products</w:t>
      </w:r>
      <w:r w:rsidRPr="79CD7E33">
        <w:t>.</w:t>
      </w:r>
      <w:r w:rsidRPr="00B66402">
        <w:rPr>
          <w:noProof/>
        </w:rPr>
        <w:t xml:space="preserve"> </w:t>
      </w:r>
      <w:r>
        <w:t>Consumers are not aware that seafood served in hospitality settings is more likely to be imported than sourced from Australian fisheries.</w:t>
      </w:r>
      <w:r>
        <w:rPr>
          <w:rStyle w:val="FootnoteReference"/>
        </w:rPr>
        <w:footnoteReference w:id="12"/>
      </w:r>
      <w:r>
        <w:t xml:space="preserve"> </w:t>
      </w:r>
      <w:r w:rsidRPr="00D544B5">
        <w:rPr>
          <w:rFonts w:ascii="Calibri" w:hAnsi="Calibri" w:cs="Calibri"/>
        </w:rPr>
        <w:t xml:space="preserve">It is estimated that around </w:t>
      </w:r>
      <w:r>
        <w:rPr>
          <w:rFonts w:ascii="Calibri" w:hAnsi="Calibri" w:cs="Calibri"/>
        </w:rPr>
        <w:t xml:space="preserve">62% </w:t>
      </w:r>
      <w:r w:rsidRPr="00D544B5">
        <w:rPr>
          <w:rFonts w:ascii="Calibri" w:hAnsi="Calibri" w:cs="Calibri"/>
        </w:rPr>
        <w:t>of seafood sold in Australia is imported</w:t>
      </w:r>
      <w:r w:rsidRPr="00D544B5">
        <w:rPr>
          <w:rStyle w:val="FootnoteReference"/>
          <w:rFonts w:cs="Calibri"/>
        </w:rPr>
        <w:footnoteReference w:id="13"/>
      </w:r>
      <w:r>
        <w:rPr>
          <w:rFonts w:ascii="Calibri" w:hAnsi="Calibri" w:cs="Calibri"/>
        </w:rPr>
        <w:t>,</w:t>
      </w:r>
      <w:r w:rsidRPr="00D544B5">
        <w:rPr>
          <w:rFonts w:ascii="Calibri" w:hAnsi="Calibri" w:cs="Calibri"/>
        </w:rPr>
        <w:t xml:space="preserve"> with around three quarters of imported seafood coming from </w:t>
      </w:r>
      <w:r>
        <w:rPr>
          <w:rFonts w:ascii="Calibri" w:hAnsi="Calibri" w:cs="Calibri"/>
        </w:rPr>
        <w:t>six</w:t>
      </w:r>
      <w:r w:rsidRPr="00D544B5">
        <w:rPr>
          <w:rFonts w:ascii="Calibri" w:hAnsi="Calibri" w:cs="Calibri"/>
        </w:rPr>
        <w:t xml:space="preserve"> main trading countries.</w:t>
      </w:r>
      <w:r w:rsidRPr="00D544B5">
        <w:rPr>
          <w:rStyle w:val="FootnoteReference"/>
          <w:rFonts w:cs="Calibri"/>
        </w:rPr>
        <w:footnoteReference w:id="14"/>
      </w:r>
      <w:r w:rsidRPr="00D544B5">
        <w:rPr>
          <w:rFonts w:ascii="Calibri" w:hAnsi="Calibri" w:cs="Calibri"/>
        </w:rPr>
        <w:t xml:space="preserve"> </w:t>
      </w:r>
    </w:p>
    <w:p w14:paraId="6CBF5DE4" w14:textId="77777777" w:rsidR="00EB75ED" w:rsidRDefault="007E0FA0" w:rsidP="00EB75ED">
      <w:r>
        <w:t>Australian seafood</w:t>
      </w:r>
      <w:r w:rsidRPr="79CD7E33">
        <w:t xml:space="preserve"> </w:t>
      </w:r>
      <w:r>
        <w:t>producers and representatives of the seafood industry believe consumers commonly assume that, like other protein, seafood is likely to be locally sourced. As a result, consumers may not think or know to question the origin of seafood</w:t>
      </w:r>
      <w:r w:rsidRPr="79CD7E33">
        <w:t xml:space="preserve">, </w:t>
      </w:r>
      <w:r>
        <w:t>particularly when dining near the sea or areas known for seafood, and when the seafood has an Australian name (such as ‘barramundi’)</w:t>
      </w:r>
      <w:r w:rsidRPr="79CD7E33">
        <w:t>.</w:t>
      </w:r>
      <w:r>
        <w:rPr>
          <w:rStyle w:val="FootnoteReference"/>
        </w:rPr>
        <w:footnoteReference w:id="15"/>
      </w:r>
      <w:r>
        <w:t xml:space="preserve"> In a 2015 survey, </w:t>
      </w:r>
      <w:r w:rsidRPr="00A6628A">
        <w:t xml:space="preserve">50% of </w:t>
      </w:r>
      <w:r>
        <w:t xml:space="preserve">consumers indicated that they </w:t>
      </w:r>
      <w:r w:rsidRPr="00A6628A">
        <w:t>assume the seafood they purchase is Australian if there is no stated country of origin</w:t>
      </w:r>
      <w:r>
        <w:t>.</w:t>
      </w:r>
      <w:r>
        <w:rPr>
          <w:rStyle w:val="FootnoteReference"/>
        </w:rPr>
        <w:footnoteReference w:id="16"/>
      </w:r>
      <w:r>
        <w:t xml:space="preserve"> </w:t>
      </w:r>
      <w:r w:rsidR="00EB75ED">
        <w:t xml:space="preserve">Some businesses are concerned that voluntarily labelling their seafood as imported may disadvantage them </w:t>
      </w:r>
      <w:r w:rsidR="005D726C">
        <w:t>if</w:t>
      </w:r>
      <w:r w:rsidR="00EB75ED">
        <w:t xml:space="preserve"> competitors, also selling imported seafood, do not label.</w:t>
      </w:r>
    </w:p>
    <w:p w14:paraId="0481DD42" w14:textId="77777777" w:rsidR="00EB75ED" w:rsidRPr="00EB75ED" w:rsidRDefault="00EB75ED" w:rsidP="00AC4776">
      <w:pPr>
        <w:pStyle w:val="Calloutbox"/>
        <w:keepNext/>
        <w:rPr>
          <w:b/>
          <w:bCs/>
        </w:rPr>
      </w:pPr>
      <w:r w:rsidRPr="00EB75ED">
        <w:rPr>
          <w:b/>
          <w:bCs/>
        </w:rPr>
        <w:t xml:space="preserve">Case study – </w:t>
      </w:r>
      <w:r>
        <w:rPr>
          <w:b/>
          <w:bCs/>
        </w:rPr>
        <w:t>C</w:t>
      </w:r>
      <w:r w:rsidRPr="00EB75ED">
        <w:rPr>
          <w:b/>
          <w:bCs/>
        </w:rPr>
        <w:t>oastal town</w:t>
      </w:r>
    </w:p>
    <w:p w14:paraId="0511CFF9" w14:textId="77777777" w:rsidR="00EB75ED" w:rsidRDefault="00EB75ED" w:rsidP="00EB75ED">
      <w:pPr>
        <w:pStyle w:val="Calloutbox"/>
      </w:pPr>
      <w:r>
        <w:t xml:space="preserve">Jane owns a fish and chip shop in a coastal town. She uses both local and imported seafood depending on seasonal availability. Jane chooses to provide information on the origin of seafood to customers on menu boards. Martin owns a fish and chip shop down the road from Jane. He also uses a combination of local and imported seafood but does not provide any origin information. Bill is on holiday and wants to have fish and chips thinking that the fish will be fresh at the coast. Bill sees that </w:t>
      </w:r>
      <w:r>
        <w:lastRenderedPageBreak/>
        <w:t xml:space="preserve">Jane’s fish of the day is not local. He assumes Martin’s fish is local because it does not say otherwise so he chooses to order from Martin’s shop. </w:t>
      </w:r>
    </w:p>
    <w:p w14:paraId="44017AB0" w14:textId="477E865B" w:rsidR="0001394D" w:rsidRPr="00803CCC" w:rsidRDefault="0001394D" w:rsidP="0001394D">
      <w:r>
        <w:t xml:space="preserve">Increased transparency in seafood origin information may help ensure </w:t>
      </w:r>
      <w:r w:rsidRPr="00F54EF2">
        <w:t>'equal playing field' or fair competition in the marketplace</w:t>
      </w:r>
      <w:r>
        <w:t xml:space="preserve"> for the Australian seafood industry</w:t>
      </w:r>
      <w:r w:rsidRPr="00F54EF2">
        <w:t>.</w:t>
      </w:r>
      <w:r>
        <w:t xml:space="preserve"> However, </w:t>
      </w:r>
      <w:r w:rsidRPr="00803CCC">
        <w:t xml:space="preserve">without clear and consistent </w:t>
      </w:r>
      <w:r>
        <w:t xml:space="preserve">seafood </w:t>
      </w:r>
      <w:r w:rsidRPr="00803CCC">
        <w:t>origin info</w:t>
      </w:r>
      <w:r>
        <w:t>rmation</w:t>
      </w:r>
      <w:r w:rsidRPr="00803CCC">
        <w:t>, businesses may charge</w:t>
      </w:r>
      <w:r>
        <w:t xml:space="preserve"> consumers </w:t>
      </w:r>
      <w:r w:rsidRPr="00803CCC">
        <w:t>higher prices for imported seafood that does not cost them what it would to sell Australian</w:t>
      </w:r>
      <w:r>
        <w:t xml:space="preserve"> produce</w:t>
      </w:r>
      <w:r w:rsidRPr="00803CCC">
        <w:t xml:space="preserve">. </w:t>
      </w:r>
      <w:r>
        <w:t xml:space="preserve">The assumption made by consumers is they are paying for a product and due to information </w:t>
      </w:r>
      <w:r w:rsidRPr="00803CCC">
        <w:t xml:space="preserve">asymmetry, </w:t>
      </w:r>
      <w:r>
        <w:t>they are not getting what they paid for.</w:t>
      </w:r>
    </w:p>
    <w:p w14:paraId="17643044" w14:textId="3A9D3C27" w:rsidR="007E0FA0" w:rsidRDefault="007E0FA0" w:rsidP="007E0FA0">
      <w:pPr>
        <w:rPr>
          <w:color w:val="FF0000"/>
        </w:rPr>
      </w:pPr>
      <w:r>
        <w:t xml:space="preserve">In response to the department’s </w:t>
      </w:r>
      <w:r w:rsidR="00BE0AF6" w:rsidRPr="00BE0AF6">
        <w:t>discussion paper</w:t>
      </w:r>
      <w:r>
        <w:t>, many consumers reported that, when they ask hospitality venues for information on the origin of seafood, staff often</w:t>
      </w:r>
      <w:r w:rsidRPr="79CD7E33">
        <w:t xml:space="preserve"> </w:t>
      </w:r>
      <w:r>
        <w:t>do not have the information or do not know.</w:t>
      </w:r>
      <w:r w:rsidRPr="79CD7E33">
        <w:t xml:space="preserve"> </w:t>
      </w:r>
      <w:r>
        <w:t xml:space="preserve">This enquiry process takes extra time and effort for both consumers and staff, which could potentially be reduced significantly if labelling were clearly displayed in a standardised and accessible format. </w:t>
      </w:r>
      <w:r w:rsidRPr="00F64A08">
        <w:rPr>
          <w:color w:val="FF0000"/>
        </w:rPr>
        <w:t xml:space="preserve"> </w:t>
      </w:r>
    </w:p>
    <w:p w14:paraId="799C6C01" w14:textId="77777777" w:rsidR="00EB75ED" w:rsidRPr="00EB75ED" w:rsidRDefault="00EB75ED" w:rsidP="00EB75ED">
      <w:pPr>
        <w:pStyle w:val="Calloutbox"/>
        <w:rPr>
          <w:b/>
          <w:bCs/>
        </w:rPr>
      </w:pPr>
      <w:r w:rsidRPr="00EB75ED">
        <w:rPr>
          <w:b/>
          <w:bCs/>
        </w:rPr>
        <w:t>Case study – Alice</w:t>
      </w:r>
    </w:p>
    <w:p w14:paraId="00E85143" w14:textId="77777777" w:rsidR="00EB75ED" w:rsidRDefault="00EB75ED" w:rsidP="00EB75ED">
      <w:pPr>
        <w:pStyle w:val="Calloutbox"/>
      </w:pPr>
      <w:r>
        <w:t xml:space="preserve">Alice is having dinner with friends at a Japanese restaurant that does not label the origin of seafood. Alice asks her server where the fish in the sashimi dish is from. The server is unsure and goes to the kitchen to check with the chef. The chef is also unsure and needs to look for the shipping slip to confirm. Having to wait for the server and chef to confirm the origin means Alice and her friends are delayed ordering. While the server and chef are occupied with Alice's enquiry, other diners also must wait to order and receive their meals. </w:t>
      </w:r>
    </w:p>
    <w:p w14:paraId="6B822438" w14:textId="77777777" w:rsidR="00EB75ED" w:rsidRDefault="00EB75ED" w:rsidP="007E0FA0">
      <w:pPr>
        <w:rPr>
          <w:color w:val="FF0000"/>
        </w:rPr>
      </w:pPr>
    </w:p>
    <w:p w14:paraId="7AB470FA" w14:textId="1E6D3F4A" w:rsidR="007E0FA0" w:rsidRDefault="007E0FA0" w:rsidP="006D7794">
      <w:pPr>
        <w:pStyle w:val="Calloutbox"/>
        <w:numPr>
          <w:ilvl w:val="0"/>
          <w:numId w:val="37"/>
        </w:numPr>
      </w:pPr>
      <w:r>
        <w:t>What is the impact of this lack of consumer information on seafood origin information in hospitality settings?</w:t>
      </w:r>
    </w:p>
    <w:p w14:paraId="2E87E4F7" w14:textId="1CA3D398" w:rsidR="007E0FA0" w:rsidRDefault="007E0FA0" w:rsidP="00A26BB4">
      <w:pPr>
        <w:pStyle w:val="Heading2"/>
      </w:pPr>
      <w:bookmarkStart w:id="64" w:name="_Toc133586451"/>
      <w:bookmarkStart w:id="65" w:name="_Toc136008632"/>
      <w:r w:rsidRPr="00B9770F">
        <w:t xml:space="preserve">Is </w:t>
      </w:r>
      <w:r w:rsidR="00BB0D19">
        <w:t xml:space="preserve">government </w:t>
      </w:r>
      <w:r w:rsidRPr="00B9770F">
        <w:t>action needed?</w:t>
      </w:r>
      <w:bookmarkEnd w:id="64"/>
      <w:bookmarkEnd w:id="65"/>
    </w:p>
    <w:p w14:paraId="2E679DB7" w14:textId="77777777" w:rsidR="007E0FA0" w:rsidRDefault="007E0FA0" w:rsidP="007E0FA0">
      <w:r>
        <w:t xml:space="preserve">Consumers, consumer groups, the seafood industry, academics, and environmental advocacy groups have sought greater transparency in the origins of seafood information in the Australian market and hospitality settings </w:t>
      </w:r>
      <w:r w:rsidRPr="008B0969">
        <w:t xml:space="preserve">through many legislative </w:t>
      </w:r>
      <w:r>
        <w:t xml:space="preserve">reviews and </w:t>
      </w:r>
      <w:r w:rsidRPr="008B0969">
        <w:t xml:space="preserve">pathways </w:t>
      </w:r>
      <w:r>
        <w:t>for many years. These attempts at broadening consumer information through market forces and an extension of the CoOL Standard have not been actioned. Feedback in response to the department’s discussion paper showed overwhelming consumer desire and support for more clarity around seafood origin information in hospitality settings to inform their purchasing decisions</w:t>
      </w:r>
      <w:r w:rsidRPr="414B655F">
        <w:t>.</w:t>
      </w:r>
      <w:r>
        <w:t xml:space="preserve"> </w:t>
      </w:r>
    </w:p>
    <w:p w14:paraId="4A9585E7" w14:textId="5FEFB1CD" w:rsidR="002534AD" w:rsidRDefault="002534AD" w:rsidP="002534AD">
      <w:r>
        <w:t>While there are alternatives to government action, they would not be viable or sufficient to address issue. Industry</w:t>
      </w:r>
      <w:r w:rsidR="0086133D">
        <w:t xml:space="preserve"> </w:t>
      </w:r>
      <w:r>
        <w:t>capacity to lead action on this issue may also be limited given the current economic climate, especially as many businesses and industries across Australia are still gradually recovering from COVID-19 and other disruptions such as natural disasters and global crises. Therefore, the market is unlikely to resolve the issue on its own.</w:t>
      </w:r>
    </w:p>
    <w:p w14:paraId="7132C38B" w14:textId="77777777" w:rsidR="002534AD" w:rsidRDefault="002534AD" w:rsidP="002534AD">
      <w:pPr>
        <w:pStyle w:val="Heading2"/>
      </w:pPr>
      <w:bookmarkStart w:id="66" w:name="_Toc136008633"/>
      <w:r>
        <w:t>Alternatives to government action</w:t>
      </w:r>
      <w:bookmarkEnd w:id="66"/>
    </w:p>
    <w:p w14:paraId="43849B24" w14:textId="77777777" w:rsidR="002534AD" w:rsidRDefault="002534AD" w:rsidP="002534AD">
      <w:r>
        <w:rPr>
          <w:rFonts w:ascii="Calibri" w:hAnsi="Calibri" w:cs="Calibri"/>
        </w:rPr>
        <w:t>Other potential ways to improve the availability of origin information include</w:t>
      </w:r>
      <w:r>
        <w:t>:</w:t>
      </w:r>
    </w:p>
    <w:p w14:paraId="5140806E" w14:textId="086936A4" w:rsidR="002534AD" w:rsidRDefault="002534AD" w:rsidP="002534AD">
      <w:pPr>
        <w:pStyle w:val="ListParagraph"/>
        <w:numPr>
          <w:ilvl w:val="0"/>
          <w:numId w:val="49"/>
        </w:numPr>
        <w:spacing w:line="256" w:lineRule="auto"/>
      </w:pPr>
      <w:r>
        <w:t>a voluntary or industry-led standard</w:t>
      </w:r>
    </w:p>
    <w:p w14:paraId="3A1D0511" w14:textId="54490DDF" w:rsidR="002534AD" w:rsidRDefault="002534AD" w:rsidP="002534AD">
      <w:pPr>
        <w:pStyle w:val="ListParagraph"/>
        <w:numPr>
          <w:ilvl w:val="0"/>
          <w:numId w:val="49"/>
        </w:numPr>
        <w:spacing w:line="256" w:lineRule="auto"/>
      </w:pPr>
      <w:r>
        <w:lastRenderedPageBreak/>
        <w:t>an education and awareness campaign</w:t>
      </w:r>
    </w:p>
    <w:p w14:paraId="065834B2" w14:textId="2E918EF7" w:rsidR="002534AD" w:rsidRDefault="002534AD" w:rsidP="002534AD">
      <w:r>
        <w:t xml:space="preserve">A voluntary or industry-led standard would require action from the hospitality industry, or cooperation between the hospitality industry, Australian seafood producers, and seafood importers. The hospitality industry is unlikely to take action on this issue </w:t>
      </w:r>
      <w:r w:rsidR="0086133D">
        <w:t xml:space="preserve">on its own </w:t>
      </w:r>
      <w:r>
        <w:t>as it w</w:t>
      </w:r>
      <w:r w:rsidR="0086133D">
        <w:t>ould</w:t>
      </w:r>
      <w:r>
        <w:t xml:space="preserve"> be responsible for implement</w:t>
      </w:r>
      <w:r w:rsidR="0086133D">
        <w:t xml:space="preserve">ation </w:t>
      </w:r>
      <w:r>
        <w:t xml:space="preserve">costs and other </w:t>
      </w:r>
      <w:r w:rsidR="0086133D">
        <w:t xml:space="preserve">business </w:t>
      </w:r>
      <w:r>
        <w:t>impacts. Whereas most of the benefits from increased origin information would be gained by consumers and seafood producers. The hospitality industry, Australian seafood producers and seafood producers have also historically had conflicting views on origin labelling and have different interests and priorities. It is unlikely that they would reach a consensus on a</w:t>
      </w:r>
      <w:r w:rsidR="0097195D">
        <w:t>n</w:t>
      </w:r>
      <w:r>
        <w:t xml:space="preserve"> approach without intervention. </w:t>
      </w:r>
    </w:p>
    <w:p w14:paraId="00EA4A23" w14:textId="337AFB9F" w:rsidR="002534AD" w:rsidRDefault="002534AD" w:rsidP="002534AD">
      <w:r>
        <w:t>Voluntary and industry-led standards</w:t>
      </w:r>
      <w:r w:rsidR="0086133D">
        <w:t xml:space="preserve"> are not likely to</w:t>
      </w:r>
      <w:r>
        <w:t xml:space="preserve"> be able to offer the same level of consistency and benefit to consumers as mandatory labelling. As businesses could </w:t>
      </w:r>
      <w:r w:rsidR="00B51B99">
        <w:t>choose</w:t>
      </w:r>
      <w:r>
        <w:t xml:space="preserve"> whether or not they adopt the standard, origin information </w:t>
      </w:r>
      <w:r w:rsidR="0086133D">
        <w:t>would still</w:t>
      </w:r>
      <w:r>
        <w:t xml:space="preserve"> only be available at some </w:t>
      </w:r>
      <w:r w:rsidR="00B51B99">
        <w:t>venues or</w:t>
      </w:r>
      <w:r>
        <w:t xml:space="preserve"> displayed/defined differently. As a result, consumers may not know to expect it or think to look for it. This is consistent with the CoOL Evaluation’s findings which </w:t>
      </w:r>
      <w:r w:rsidR="0086133D">
        <w:t xml:space="preserve">found </w:t>
      </w:r>
      <w:r>
        <w:t>that while voluntary labelling would not impose as much cost or regulatory burden, it also would not provide as much benefit overall because less information would be available to consumers compared to mandatory labelling across the industry.</w:t>
      </w:r>
      <w:r>
        <w:rPr>
          <w:rStyle w:val="FootnoteReference"/>
        </w:rPr>
        <w:footnoteReference w:id="17"/>
      </w:r>
      <w:r>
        <w:t xml:space="preserve"> </w:t>
      </w:r>
    </w:p>
    <w:p w14:paraId="02EFB866" w14:textId="77777777" w:rsidR="002534AD" w:rsidRDefault="002534AD" w:rsidP="002534AD">
      <w:r>
        <w:t xml:space="preserve">Businesses could choose to label seafood based on their own definitions and interpretations of ‘origin’. For example, one business may label based on the country where fish was caught, whereas another may label based on where it was processed or packaged. Even with a well-defined industry standard, it would be difficult for consumers to know if businesses are adopting the standard or their own definitions, which could result in greater uncertainty and confusion. </w:t>
      </w:r>
    </w:p>
    <w:p w14:paraId="1FFD77B8" w14:textId="39716A79" w:rsidR="002534AD" w:rsidRDefault="002534AD" w:rsidP="007E0FA0">
      <w:r>
        <w:t>Actions such as promoting voluntary uptake of labelli</w:t>
      </w:r>
      <w:r w:rsidR="001867BA">
        <w:t>ng</w:t>
      </w:r>
      <w:r>
        <w:t xml:space="preserve">, educating consumers about seafood origin, and encouraging them to ask about seafood origin would likely face similar issues as the information being provided could be inconsistent or not available at all. </w:t>
      </w:r>
    </w:p>
    <w:p w14:paraId="0A44BDB9" w14:textId="77777777" w:rsidR="007E0FA0" w:rsidRPr="00933A31" w:rsidRDefault="007E0FA0" w:rsidP="006D7794">
      <w:pPr>
        <w:pStyle w:val="Calloutbox"/>
        <w:numPr>
          <w:ilvl w:val="0"/>
          <w:numId w:val="37"/>
        </w:numPr>
      </w:pPr>
      <w:r>
        <w:t>I</w:t>
      </w:r>
      <w:r w:rsidRPr="008B0969">
        <w:t>s there a market</w:t>
      </w:r>
      <w:r>
        <w:t>-based</w:t>
      </w:r>
      <w:r w:rsidRPr="008B0969">
        <w:t xml:space="preserve"> solution with the capacity to solve the lack of consumer information around the origins of seafood without government intervention?</w:t>
      </w:r>
      <w:r w:rsidRPr="008B0969" w:rsidDel="005F6193">
        <w:t xml:space="preserve"> </w:t>
      </w:r>
    </w:p>
    <w:p w14:paraId="0A2F141D" w14:textId="77777777" w:rsidR="007E0FA0" w:rsidRDefault="00A26BB4" w:rsidP="007E0FA0">
      <w:pPr>
        <w:pStyle w:val="Heading2"/>
      </w:pPr>
      <w:bookmarkStart w:id="67" w:name="_Toc133586452"/>
      <w:bookmarkStart w:id="68" w:name="_Toc136008634"/>
      <w:r>
        <w:t>Do c</w:t>
      </w:r>
      <w:r w:rsidR="007E0FA0">
        <w:t>onsumer</w:t>
      </w:r>
      <w:r>
        <w:t>s</w:t>
      </w:r>
      <w:r w:rsidR="007E0FA0">
        <w:t xml:space="preserve"> desire action</w:t>
      </w:r>
      <w:bookmarkEnd w:id="67"/>
      <w:r>
        <w:t>?</w:t>
      </w:r>
      <w:bookmarkEnd w:id="68"/>
    </w:p>
    <w:p w14:paraId="4B2365F5" w14:textId="77777777" w:rsidR="007E0FA0" w:rsidRDefault="007E0FA0" w:rsidP="007E0FA0">
      <w:pPr>
        <w:spacing w:after="0"/>
      </w:pPr>
      <w:r>
        <w:t xml:space="preserve">Of the consumers that that provided submissions in response to the department’s discussion paper, over 95% indicated support for seafood origin information. Consumers agreed that having access to standardised information on seafood origins would assist them to make purchasing decisions in these hospitality settings. </w:t>
      </w:r>
    </w:p>
    <w:p w14:paraId="280B32E3" w14:textId="77777777" w:rsidR="007E0FA0" w:rsidRDefault="007E0FA0" w:rsidP="007E0FA0">
      <w:pPr>
        <w:spacing w:after="0"/>
      </w:pPr>
    </w:p>
    <w:p w14:paraId="50ABFAF7" w14:textId="77777777" w:rsidR="007E0FA0" w:rsidRDefault="007E0FA0" w:rsidP="007E0FA0">
      <w:pPr>
        <w:spacing w:after="0"/>
      </w:pPr>
      <w:r>
        <w:t>Consumer support for domestic seafood produce has increased since the beginning of the COVID-19 pandemic. IBISWorld forecast that consumers will become increasingly conscious of how their fish and other seafood products are sourced over the coming years.</w:t>
      </w:r>
      <w:r>
        <w:rPr>
          <w:rStyle w:val="FootnoteReference"/>
        </w:rPr>
        <w:footnoteReference w:id="18"/>
      </w:r>
      <w:r w:rsidRPr="414B655F">
        <w:t xml:space="preserve"> </w:t>
      </w:r>
      <w:r>
        <w:t>Additionally</w:t>
      </w:r>
      <w:r w:rsidRPr="79CD7E33">
        <w:t xml:space="preserve">, the </w:t>
      </w:r>
      <w:r>
        <w:t>CoOL Evaluation investigated consumer desire for seafood origin labelling, with 62% of consumers expressing support for extending CoOL to food service settings.</w:t>
      </w:r>
      <w:r w:rsidRPr="414B655F">
        <w:t xml:space="preserve"> </w:t>
      </w:r>
    </w:p>
    <w:p w14:paraId="70C7C106" w14:textId="77777777" w:rsidR="007E0FA0" w:rsidRDefault="007E0FA0" w:rsidP="007E0FA0">
      <w:pPr>
        <w:spacing w:after="0"/>
      </w:pPr>
    </w:p>
    <w:p w14:paraId="3A450794" w14:textId="77777777" w:rsidR="007E0FA0" w:rsidRDefault="007E0FA0" w:rsidP="007E0FA0">
      <w:r>
        <w:t>Colmar Brunton research (2015)</w:t>
      </w:r>
      <w:r w:rsidR="00AC4776">
        <w:rPr>
          <w:rStyle w:val="FootnoteReference"/>
        </w:rPr>
        <w:footnoteReference w:id="19"/>
      </w:r>
      <w:r>
        <w:t xml:space="preserve"> which informed the introduction of CoOL</w:t>
      </w:r>
      <w:r w:rsidRPr="414B655F">
        <w:t xml:space="preserve"> </w:t>
      </w:r>
      <w:r>
        <w:t>on food in retail settings found that</w:t>
      </w:r>
      <w:r w:rsidRPr="414B655F">
        <w:t xml:space="preserve"> “</w:t>
      </w:r>
      <w:r>
        <w:t>the majority of participants expressed a desire to buy Australian made and a conscious effort to check CoOL. Few stated that they simply did not care</w:t>
      </w:r>
      <w:r w:rsidRPr="414B655F">
        <w:t>.</w:t>
      </w:r>
      <w:r>
        <w:t xml:space="preserve"> For others and particularly those on low incomes, price point considerations over-rode CoOL, even if the desire to buy Australian made was strong.”   </w:t>
      </w:r>
    </w:p>
    <w:p w14:paraId="0540911C" w14:textId="77777777" w:rsidR="007E0FA0" w:rsidRDefault="007E0FA0" w:rsidP="007E0FA0">
      <w:r>
        <w:t>A survey conducted by consumer group, CHOICE, found that over 98.6% of consumers believe knowing where the food and drink they buy comes from is important, and that over 90% of consumers use CoOL to make decisions when buying food at the supermarket.</w:t>
      </w:r>
      <w:r>
        <w:rPr>
          <w:rStyle w:val="FootnoteReference"/>
        </w:rPr>
        <w:footnoteReference w:id="20"/>
      </w:r>
      <w:r>
        <w:t xml:space="preserve"> CHOICE previously noted that food origin labelling is only second in importance to the actual ingredients contained in food.</w:t>
      </w:r>
      <w:r>
        <w:rPr>
          <w:rStyle w:val="FootnoteReference"/>
        </w:rPr>
        <w:footnoteReference w:id="21"/>
      </w:r>
    </w:p>
    <w:p w14:paraId="6CE8D1C2" w14:textId="78DFDB6B" w:rsidR="007E0FA0" w:rsidRPr="000C33EB" w:rsidRDefault="007E0FA0" w:rsidP="006D7794">
      <w:pPr>
        <w:pStyle w:val="Calloutbox"/>
        <w:numPr>
          <w:ilvl w:val="0"/>
          <w:numId w:val="37"/>
        </w:numPr>
      </w:pPr>
      <w:r w:rsidRPr="009B4B7F">
        <w:t>How important is price point when you make decisions about buying seafood</w:t>
      </w:r>
      <w:r>
        <w:t xml:space="preserve"> in hospitality settings</w:t>
      </w:r>
      <w:r w:rsidRPr="009B4B7F">
        <w:t>?</w:t>
      </w:r>
    </w:p>
    <w:p w14:paraId="3AC3EC93" w14:textId="6B331F5F" w:rsidR="007E0FA0" w:rsidRPr="000C33EB" w:rsidRDefault="007E0FA0" w:rsidP="006D7794">
      <w:pPr>
        <w:pStyle w:val="Calloutbox"/>
        <w:numPr>
          <w:ilvl w:val="0"/>
          <w:numId w:val="37"/>
        </w:numPr>
      </w:pPr>
      <w:r w:rsidRPr="009B4B7F">
        <w:t xml:space="preserve">Will </w:t>
      </w:r>
      <w:r>
        <w:t>s</w:t>
      </w:r>
      <w:r w:rsidRPr="00176427">
        <w:t>eafood origin information in hospitality settings</w:t>
      </w:r>
      <w:r w:rsidRPr="009B4B7F">
        <w:t xml:space="preserve"> change your purchasing behaviour with buying </w:t>
      </w:r>
      <w:r w:rsidR="00C52495">
        <w:t>seafood</w:t>
      </w:r>
      <w:r w:rsidRPr="009B4B7F">
        <w:t>?</w:t>
      </w:r>
      <w:r w:rsidRPr="000C33EB">
        <w:t> </w:t>
      </w:r>
    </w:p>
    <w:p w14:paraId="095788DD" w14:textId="05D9DAD0" w:rsidR="007E0FA0" w:rsidRPr="00861BDB" w:rsidRDefault="00A26BB4" w:rsidP="007E0FA0">
      <w:pPr>
        <w:pStyle w:val="Heading2"/>
      </w:pPr>
      <w:bookmarkStart w:id="69" w:name="_Toc133586453"/>
      <w:bookmarkStart w:id="70" w:name="_Toc136008635"/>
      <w:r>
        <w:t xml:space="preserve">What is </w:t>
      </w:r>
      <w:r w:rsidR="00BB0D19">
        <w:t>g</w:t>
      </w:r>
      <w:r w:rsidR="007E0FA0">
        <w:t>overnment</w:t>
      </w:r>
      <w:r>
        <w:t>s</w:t>
      </w:r>
      <w:r w:rsidR="00BB0D19">
        <w:t>’</w:t>
      </w:r>
      <w:r w:rsidR="007E0FA0">
        <w:t xml:space="preserve"> ability to intervene</w:t>
      </w:r>
      <w:bookmarkEnd w:id="69"/>
      <w:r>
        <w:t>?</w:t>
      </w:r>
      <w:bookmarkEnd w:id="70"/>
    </w:p>
    <w:p w14:paraId="1F32DBCF" w14:textId="66DC0218" w:rsidR="005636AA" w:rsidRDefault="005636AA" w:rsidP="007E0FA0">
      <w:r w:rsidRPr="001A4AE4">
        <w:t>This C</w:t>
      </w:r>
      <w:r w:rsidR="00BE0AF6">
        <w:t xml:space="preserve">onsultation </w:t>
      </w:r>
      <w:r w:rsidRPr="001A4AE4">
        <w:t xml:space="preserve">RIS seeks a greater understanding of the role for </w:t>
      </w:r>
      <w:r w:rsidR="00BB0D19" w:rsidRPr="001A4AE4">
        <w:t>g</w:t>
      </w:r>
      <w:r w:rsidRPr="001A4AE4">
        <w:t>overnment</w:t>
      </w:r>
      <w:r w:rsidR="00942E24" w:rsidRPr="001A4AE4">
        <w:t>s</w:t>
      </w:r>
      <w:r w:rsidRPr="001A4AE4">
        <w:t xml:space="preserve"> in intervening to effectively address the problem. </w:t>
      </w:r>
      <w:r w:rsidR="00AC4044" w:rsidRPr="001A4AE4">
        <w:t>The problem exists</w:t>
      </w:r>
      <w:r w:rsidR="00AC4044">
        <w:t xml:space="preserve"> similarly nation-wide with the exception of </w:t>
      </w:r>
      <w:r w:rsidR="001A4AE4">
        <w:t>the</w:t>
      </w:r>
      <w:r w:rsidR="00051E8B">
        <w:t xml:space="preserve"> NT</w:t>
      </w:r>
      <w:r w:rsidR="00AC4044">
        <w:t xml:space="preserve">. </w:t>
      </w:r>
    </w:p>
    <w:p w14:paraId="7E2A485E" w14:textId="11D8E869" w:rsidR="007E0FA0" w:rsidRDefault="007E0FA0" w:rsidP="007E0FA0">
      <w:r>
        <w:t>Government</w:t>
      </w:r>
      <w:r w:rsidR="00942E24">
        <w:t>s</w:t>
      </w:r>
      <w:r>
        <w:t xml:space="preserve"> ha</w:t>
      </w:r>
      <w:r w:rsidR="00942E24">
        <w:t>ve</w:t>
      </w:r>
      <w:r>
        <w:t xml:space="preserve"> previously demonstrated the ability to address matters like </w:t>
      </w:r>
      <w:r w:rsidR="005636AA">
        <w:t xml:space="preserve">lack </w:t>
      </w:r>
      <w:r>
        <w:t xml:space="preserve">seafood origin information in the past. Previous </w:t>
      </w:r>
      <w:r w:rsidR="00B378B1">
        <w:t>g</w:t>
      </w:r>
      <w:r>
        <w:t>overnment action to address information asymmetry matters with CoOL in retail settings was highly successful. The CoOL Evaluation found that the scheme for retail was well implemented, effective and met its objective of improving consumer understanding about the origins of their food.</w:t>
      </w:r>
      <w:r>
        <w:rPr>
          <w:rStyle w:val="FootnoteReference"/>
        </w:rPr>
        <w:footnoteReference w:id="22"/>
      </w:r>
      <w:r>
        <w:t xml:space="preserve"> The CoOL Evaluation also found that many consumers use these labels as a part of their decision-making process. </w:t>
      </w:r>
    </w:p>
    <w:p w14:paraId="3727464B" w14:textId="3EA9A340" w:rsidR="007E0FA0" w:rsidRDefault="007E0FA0" w:rsidP="007E0FA0">
      <w:r>
        <w:t>In administering the CoOL</w:t>
      </w:r>
      <w:r w:rsidRPr="414B655F">
        <w:t xml:space="preserve"> </w:t>
      </w:r>
      <w:r>
        <w:t xml:space="preserve">Standard, the </w:t>
      </w:r>
      <w:r w:rsidR="000C6107">
        <w:t>Australian G</w:t>
      </w:r>
      <w:r>
        <w:t xml:space="preserve">overnment has shared administrative and regulatory responsibilities with state and territory governments. If </w:t>
      </w:r>
      <w:r w:rsidR="000C6107">
        <w:t>g</w:t>
      </w:r>
      <w:r>
        <w:t>overnment did decide to address seafood origin information, their role would be to provide leadership and coordination to develop and agree a national</w:t>
      </w:r>
      <w:r w:rsidRPr="414B655F">
        <w:t xml:space="preserve"> </w:t>
      </w:r>
      <w:r>
        <w:t>approach to solving this unique problem</w:t>
      </w:r>
      <w:r w:rsidRPr="414B655F">
        <w:t>.</w:t>
      </w:r>
    </w:p>
    <w:p w14:paraId="0CFDABD3" w14:textId="3D2F4C6B" w:rsidR="00C80DB4" w:rsidRDefault="00C80DB4">
      <w:r>
        <w:br w:type="page"/>
      </w:r>
    </w:p>
    <w:p w14:paraId="7AB562BD" w14:textId="77777777" w:rsidR="00C80DB4" w:rsidRDefault="00C80DB4" w:rsidP="009668F4">
      <w:pPr>
        <w:pStyle w:val="Heading1"/>
        <w:numPr>
          <w:ilvl w:val="0"/>
          <w:numId w:val="18"/>
        </w:numPr>
      </w:pPr>
      <w:bookmarkStart w:id="71" w:name="_Toc136008636"/>
      <w:r>
        <w:lastRenderedPageBreak/>
        <w:t>Policy options</w:t>
      </w:r>
      <w:bookmarkEnd w:id="71"/>
    </w:p>
    <w:p w14:paraId="1B99E97E" w14:textId="5A31BCEB" w:rsidR="007E0FA0" w:rsidRDefault="00A26BB4" w:rsidP="00A26BB4">
      <w:pPr>
        <w:pStyle w:val="Heading2"/>
      </w:pPr>
      <w:bookmarkStart w:id="72" w:name="_Toc133586454"/>
      <w:bookmarkStart w:id="73" w:name="_Toc136008637"/>
      <w:r>
        <w:t>O</w:t>
      </w:r>
      <w:r w:rsidR="007E0FA0">
        <w:t>ption</w:t>
      </w:r>
      <w:bookmarkEnd w:id="72"/>
      <w:r w:rsidR="007E0FA0">
        <w:t xml:space="preserve"> 1</w:t>
      </w:r>
      <w:r w:rsidR="00300E31">
        <w:t xml:space="preserve"> –</w:t>
      </w:r>
      <w:r w:rsidR="007E0FA0">
        <w:t xml:space="preserve"> </w:t>
      </w:r>
      <w:r>
        <w:t>status quo</w:t>
      </w:r>
      <w:bookmarkEnd w:id="73"/>
      <w:r w:rsidR="007E0FA0">
        <w:t xml:space="preserve"> </w:t>
      </w:r>
    </w:p>
    <w:p w14:paraId="7A9F51EC" w14:textId="0C797706" w:rsidR="007E0FA0" w:rsidRDefault="007E0FA0" w:rsidP="007E0FA0">
      <w:r>
        <w:t xml:space="preserve">Under </w:t>
      </w:r>
      <w:r w:rsidR="00300E31">
        <w:t>the status quo</w:t>
      </w:r>
      <w:r>
        <w:t xml:space="preserve">, </w:t>
      </w:r>
      <w:r w:rsidR="00300E31">
        <w:t>h</w:t>
      </w:r>
      <w:r>
        <w:t xml:space="preserve">ospitality businesses would </w:t>
      </w:r>
      <w:r w:rsidR="00300E31">
        <w:t>continue to be able to provide seafood origin information at their convenience and in line with their own categorisation of origin (</w:t>
      </w:r>
      <w:r w:rsidR="00B51B99">
        <w:t>i.e.,</w:t>
      </w:r>
      <w:r w:rsidR="00300E31">
        <w:t xml:space="preserve"> </w:t>
      </w:r>
      <w:r w:rsidR="006E009F">
        <w:t xml:space="preserve">where the seafood was </w:t>
      </w:r>
      <w:r w:rsidR="00300E31">
        <w:t xml:space="preserve">caught vs processed). </w:t>
      </w:r>
      <w:r>
        <w:t xml:space="preserve">Consumers would be on their own recognisance to either know or to make enquiries about seafood origin information of the seafood they are purchasing in a hospitality setting. This information asymmetry about knowing where seafood originates when purchased at a retail setting and not knowing when you are in a hospitality setting </w:t>
      </w:r>
      <w:r w:rsidR="00300E31">
        <w:t>would</w:t>
      </w:r>
      <w:r>
        <w:t xml:space="preserve"> persist. </w:t>
      </w:r>
    </w:p>
    <w:p w14:paraId="224FCCE2" w14:textId="2107A01A" w:rsidR="00300E31" w:rsidRDefault="00300E31" w:rsidP="00300E31">
      <w:pPr>
        <w:pStyle w:val="Heading3"/>
      </w:pPr>
      <w:r>
        <w:t xml:space="preserve">Impact analysis </w:t>
      </w:r>
    </w:p>
    <w:p w14:paraId="4D16D20E" w14:textId="1B2F830E" w:rsidR="007E0FA0" w:rsidRDefault="006E009F" w:rsidP="007E0FA0">
      <w:r>
        <w:t>T</w:t>
      </w:r>
      <w:r w:rsidR="007E0FA0">
        <w:t>here would be no change to the current situation</w:t>
      </w:r>
      <w:r>
        <w:t>,</w:t>
      </w:r>
      <w:r w:rsidR="007E0FA0">
        <w:t xml:space="preserve"> </w:t>
      </w:r>
      <w:r>
        <w:t xml:space="preserve">and </w:t>
      </w:r>
      <w:r w:rsidR="007E0FA0">
        <w:t xml:space="preserve">no increase or impact on regulatory costs or savings to governments. Consumers would not have greater access to seafood origin information and would continue to purchase seafood with limited or no origin information available. This would impact on their ability to make educated or informed choices in line with their preferences. </w:t>
      </w:r>
    </w:p>
    <w:p w14:paraId="7F853EB8" w14:textId="4BE638CC" w:rsidR="007E0FA0" w:rsidRDefault="007E0FA0" w:rsidP="007E0FA0">
      <w:r>
        <w:t xml:space="preserve">Currently, seafood </w:t>
      </w:r>
      <w:r w:rsidRPr="009C312A">
        <w:t>o</w:t>
      </w:r>
      <w:r w:rsidRPr="009C312A" w:rsidDel="00E94A17">
        <w:t xml:space="preserve">rigin information </w:t>
      </w:r>
      <w:r>
        <w:t xml:space="preserve">supplied to consumers is based on luck or businesses who choose to voluntarily disclose the information. </w:t>
      </w:r>
      <w:r w:rsidR="006E009F">
        <w:t>S</w:t>
      </w:r>
      <w:r w:rsidRPr="009C312A" w:rsidDel="00E94A17">
        <w:t xml:space="preserve">eafood </w:t>
      </w:r>
      <w:r>
        <w:t xml:space="preserve">origin information would be </w:t>
      </w:r>
      <w:r w:rsidRPr="009C312A" w:rsidDel="00E94A17">
        <w:t>displayed differently</w:t>
      </w:r>
      <w:r w:rsidRPr="009C312A">
        <w:t xml:space="preserve"> across venues (as it is now)</w:t>
      </w:r>
      <w:r w:rsidRPr="009C312A" w:rsidDel="00E94A17">
        <w:t xml:space="preserve">. As a result, consumers may not know to expect it, think to look for it or request that information. </w:t>
      </w:r>
    </w:p>
    <w:p w14:paraId="1B2855A7" w14:textId="2DBD356B" w:rsidR="007E0FA0" w:rsidRDefault="00300E31" w:rsidP="00300E31">
      <w:pPr>
        <w:pStyle w:val="Heading3"/>
      </w:pPr>
      <w:r>
        <w:t>Estimated costs and benefits</w:t>
      </w:r>
    </w:p>
    <w:tbl>
      <w:tblPr>
        <w:tblStyle w:val="TableGrid"/>
        <w:tblW w:w="0" w:type="auto"/>
        <w:tblLook w:val="04A0" w:firstRow="1" w:lastRow="0" w:firstColumn="1" w:lastColumn="0" w:noHBand="0" w:noVBand="1"/>
      </w:tblPr>
      <w:tblGrid>
        <w:gridCol w:w="4508"/>
        <w:gridCol w:w="4508"/>
      </w:tblGrid>
      <w:tr w:rsidR="00300E31" w14:paraId="301EE3E4" w14:textId="77777777" w:rsidTr="00DB4DC9">
        <w:tc>
          <w:tcPr>
            <w:tcW w:w="4508" w:type="dxa"/>
            <w:shd w:val="clear" w:color="auto" w:fill="DFF3F3" w:themeFill="accent4" w:themeFillTint="33"/>
          </w:tcPr>
          <w:p w14:paraId="32DFAA14" w14:textId="3EA42830" w:rsidR="00300E31" w:rsidRPr="00DB4DC9" w:rsidRDefault="00300E31" w:rsidP="00DB4DC9">
            <w:pPr>
              <w:spacing w:before="120" w:after="120"/>
              <w:jc w:val="center"/>
              <w:rPr>
                <w:b/>
                <w:bCs/>
              </w:rPr>
            </w:pPr>
            <w:r w:rsidRPr="00DB4DC9">
              <w:rPr>
                <w:b/>
                <w:bCs/>
              </w:rPr>
              <w:t>Benefits</w:t>
            </w:r>
          </w:p>
        </w:tc>
        <w:tc>
          <w:tcPr>
            <w:tcW w:w="4508" w:type="dxa"/>
            <w:shd w:val="clear" w:color="auto" w:fill="DFF3F3" w:themeFill="accent4" w:themeFillTint="33"/>
          </w:tcPr>
          <w:p w14:paraId="498C8D8B" w14:textId="3610E714" w:rsidR="00300E31" w:rsidRPr="00DB4DC9" w:rsidRDefault="00300E31" w:rsidP="00DB4DC9">
            <w:pPr>
              <w:spacing w:before="120" w:after="120"/>
              <w:jc w:val="center"/>
              <w:rPr>
                <w:b/>
                <w:bCs/>
              </w:rPr>
            </w:pPr>
            <w:r w:rsidRPr="00DB4DC9">
              <w:rPr>
                <w:b/>
                <w:bCs/>
              </w:rPr>
              <w:t>Costs</w:t>
            </w:r>
          </w:p>
        </w:tc>
      </w:tr>
      <w:tr w:rsidR="00300E31" w14:paraId="07AE86F5" w14:textId="77777777" w:rsidTr="00300E31">
        <w:trPr>
          <w:trHeight w:val="1298"/>
        </w:trPr>
        <w:tc>
          <w:tcPr>
            <w:tcW w:w="4508" w:type="dxa"/>
          </w:tcPr>
          <w:p w14:paraId="2C1965DD" w14:textId="22CD90A8" w:rsidR="00300E31" w:rsidRDefault="00300E31" w:rsidP="00DB4DC9">
            <w:pPr>
              <w:pStyle w:val="ListParagraph"/>
              <w:numPr>
                <w:ilvl w:val="0"/>
                <w:numId w:val="30"/>
              </w:numPr>
              <w:spacing w:before="60" w:line="259" w:lineRule="auto"/>
              <w:ind w:left="714" w:hanging="357"/>
            </w:pPr>
            <w:r>
              <w:t>No additional costs</w:t>
            </w:r>
          </w:p>
        </w:tc>
        <w:tc>
          <w:tcPr>
            <w:tcW w:w="4508" w:type="dxa"/>
          </w:tcPr>
          <w:p w14:paraId="7B648A16" w14:textId="77777777" w:rsidR="00300E31" w:rsidRDefault="00300E31" w:rsidP="00DB4DC9">
            <w:pPr>
              <w:pStyle w:val="ListParagraph"/>
              <w:numPr>
                <w:ilvl w:val="0"/>
                <w:numId w:val="30"/>
              </w:numPr>
              <w:spacing w:before="60" w:after="60" w:line="259" w:lineRule="auto"/>
              <w:ind w:left="714" w:hanging="357"/>
              <w:contextualSpacing w:val="0"/>
            </w:pPr>
            <w:r>
              <w:t>Consumers lack consistent access to origin information on which to make purchasing decisions</w:t>
            </w:r>
          </w:p>
          <w:p w14:paraId="76209E35" w14:textId="77777777" w:rsidR="00DB4DC9" w:rsidRDefault="00DB4DC9" w:rsidP="00DB4DC9">
            <w:pPr>
              <w:pStyle w:val="ListParagraph"/>
              <w:numPr>
                <w:ilvl w:val="0"/>
                <w:numId w:val="30"/>
              </w:numPr>
              <w:spacing w:before="60" w:after="60" w:line="259" w:lineRule="auto"/>
              <w:ind w:left="714" w:hanging="357"/>
              <w:contextualSpacing w:val="0"/>
            </w:pPr>
            <w:r>
              <w:t>Businesses continue to label based on own interpretations of ‘origin’, potentially causing confusion or misinterpretation</w:t>
            </w:r>
          </w:p>
          <w:p w14:paraId="6565A66D" w14:textId="135C75C3" w:rsidR="00DB4DC9" w:rsidRDefault="00DB4DC9" w:rsidP="00DB4DC9">
            <w:pPr>
              <w:pStyle w:val="ListParagraph"/>
              <w:numPr>
                <w:ilvl w:val="0"/>
                <w:numId w:val="30"/>
              </w:numPr>
              <w:spacing w:before="60" w:after="60" w:line="259" w:lineRule="auto"/>
              <w:ind w:left="714" w:hanging="357"/>
              <w:contextualSpacing w:val="0"/>
            </w:pPr>
            <w:r>
              <w:t>Information asymmetry problem continues</w:t>
            </w:r>
          </w:p>
        </w:tc>
      </w:tr>
    </w:tbl>
    <w:p w14:paraId="22DC1D91" w14:textId="77777777" w:rsidR="00FB1CF6" w:rsidRDefault="00FB1CF6" w:rsidP="007E0FA0">
      <w:pPr>
        <w:pStyle w:val="Heading2"/>
      </w:pPr>
      <w:bookmarkStart w:id="74" w:name="_Hlk133581781"/>
      <w:bookmarkStart w:id="75" w:name="_Toc136008638"/>
    </w:p>
    <w:p w14:paraId="0F0A3390" w14:textId="797F4738" w:rsidR="007E0FA0" w:rsidRPr="00495532" w:rsidRDefault="00300E31" w:rsidP="007E0FA0">
      <w:pPr>
        <w:pStyle w:val="Heading2"/>
      </w:pPr>
      <w:r>
        <w:t>O</w:t>
      </w:r>
      <w:r w:rsidR="007E0FA0">
        <w:t xml:space="preserve">ption </w:t>
      </w:r>
      <w:r w:rsidR="003417E2">
        <w:t>2</w:t>
      </w:r>
      <w:r>
        <w:t xml:space="preserve"> –</w:t>
      </w:r>
      <w:r w:rsidR="007E0FA0">
        <w:t xml:space="preserve"> </w:t>
      </w:r>
      <w:r>
        <w:t xml:space="preserve">ACL </w:t>
      </w:r>
      <w:r w:rsidR="001A0B8A">
        <w:t>i</w:t>
      </w:r>
      <w:r>
        <w:t xml:space="preserve">nformation </w:t>
      </w:r>
      <w:r w:rsidR="001A0B8A">
        <w:t>s</w:t>
      </w:r>
      <w:r>
        <w:t xml:space="preserve">tandard – </w:t>
      </w:r>
      <w:r w:rsidR="007E0FA0">
        <w:t xml:space="preserve">AIM </w:t>
      </w:r>
      <w:r w:rsidR="001A0B8A">
        <w:t>m</w:t>
      </w:r>
      <w:r w:rsidR="007E0FA0">
        <w:t>odel</w:t>
      </w:r>
      <w:bookmarkEnd w:id="74"/>
      <w:bookmarkEnd w:id="75"/>
    </w:p>
    <w:p w14:paraId="7421E6E7" w14:textId="6C7CABD3" w:rsidR="007E0FA0" w:rsidRPr="007B04EF" w:rsidRDefault="00E57B72" w:rsidP="007E0FA0">
      <w:pPr>
        <w:rPr>
          <w:rFonts w:ascii="Calibri" w:eastAsia="Calibri" w:hAnsi="Calibri" w:cs="Calibri"/>
        </w:rPr>
      </w:pPr>
      <w:r>
        <w:rPr>
          <w:rStyle w:val="Hyperlink"/>
          <w:color w:val="000000" w:themeColor="text1"/>
          <w:u w:val="none"/>
        </w:rPr>
        <w:t>The AIM model</w:t>
      </w:r>
      <w:r w:rsidR="00CA0AF2">
        <w:rPr>
          <w:rStyle w:val="Hyperlink"/>
          <w:color w:val="000000" w:themeColor="text1"/>
          <w:u w:val="none"/>
        </w:rPr>
        <w:t xml:space="preserve"> is</w:t>
      </w:r>
      <w:r w:rsidR="007E0FA0" w:rsidRPr="007B04EF">
        <w:rPr>
          <w:rFonts w:ascii="Calibri" w:eastAsia="Calibri" w:hAnsi="Calibri" w:cs="Calibri"/>
        </w:rPr>
        <w:t xml:space="preserve"> set out in the department’s </w:t>
      </w:r>
      <w:hyperlink r:id="rId17" w:history="1">
        <w:r w:rsidR="007E0FA0" w:rsidRPr="007B04EF">
          <w:rPr>
            <w:rStyle w:val="Hyperlink"/>
            <w:rFonts w:ascii="Calibri" w:eastAsia="Calibri" w:hAnsi="Calibri" w:cs="Calibri"/>
          </w:rPr>
          <w:t>discussion paper</w:t>
        </w:r>
      </w:hyperlink>
      <w:r w:rsidR="00CA0AF2">
        <w:rPr>
          <w:rFonts w:ascii="Calibri" w:eastAsia="Calibri" w:hAnsi="Calibri" w:cs="Calibri"/>
        </w:rPr>
        <w:t xml:space="preserve"> and </w:t>
      </w:r>
      <w:r w:rsidR="0001394D">
        <w:rPr>
          <w:rFonts w:ascii="Calibri" w:eastAsia="Calibri" w:hAnsi="Calibri" w:cs="Calibri"/>
        </w:rPr>
        <w:t xml:space="preserve">would require businesses to </w:t>
      </w:r>
      <w:r>
        <w:rPr>
          <w:rFonts w:ascii="Calibri" w:eastAsia="Calibri" w:hAnsi="Calibri" w:cs="Calibri"/>
        </w:rPr>
        <w:t>label on menus, display boards or anywhere fish for sale is advertised</w:t>
      </w:r>
      <w:r w:rsidR="00CA0AF2">
        <w:rPr>
          <w:rFonts w:ascii="Calibri" w:eastAsia="Calibri" w:hAnsi="Calibri" w:cs="Calibri"/>
        </w:rPr>
        <w:t>,</w:t>
      </w:r>
      <w:r>
        <w:rPr>
          <w:rFonts w:ascii="Calibri" w:eastAsia="Calibri" w:hAnsi="Calibri" w:cs="Calibri"/>
        </w:rPr>
        <w:t xml:space="preserve"> </w:t>
      </w:r>
      <w:r w:rsidR="0001394D">
        <w:rPr>
          <w:rFonts w:ascii="Calibri" w:eastAsia="Calibri" w:hAnsi="Calibri" w:cs="Calibri"/>
        </w:rPr>
        <w:t>whether seafood is</w:t>
      </w:r>
      <w:r w:rsidR="007E0FA0">
        <w:rPr>
          <w:rFonts w:ascii="Calibri" w:eastAsia="Calibri" w:hAnsi="Calibri" w:cs="Calibri"/>
        </w:rPr>
        <w:t>:</w:t>
      </w:r>
      <w:r w:rsidR="007E0FA0" w:rsidRPr="007B04EF">
        <w:rPr>
          <w:rFonts w:ascii="Calibri" w:eastAsia="Calibri" w:hAnsi="Calibri" w:cs="Calibri"/>
        </w:rPr>
        <w:t xml:space="preserve"> </w:t>
      </w:r>
    </w:p>
    <w:p w14:paraId="53A41138" w14:textId="77777777" w:rsidR="007E0FA0" w:rsidRPr="007B04EF" w:rsidRDefault="007E0FA0" w:rsidP="007E0FA0">
      <w:pPr>
        <w:numPr>
          <w:ilvl w:val="0"/>
          <w:numId w:val="10"/>
        </w:numPr>
        <w:spacing w:after="0" w:line="240" w:lineRule="auto"/>
        <w:ind w:left="714" w:hanging="357"/>
        <w:rPr>
          <w:rFonts w:ascii="Calibri" w:eastAsia="Calibri" w:hAnsi="Calibri" w:cs="Calibri"/>
        </w:rPr>
      </w:pPr>
      <w:r w:rsidRPr="007B04EF">
        <w:rPr>
          <w:rFonts w:ascii="Calibri" w:eastAsia="Calibri" w:hAnsi="Calibri" w:cs="Calibri"/>
        </w:rPr>
        <w:t>Australian (</w:t>
      </w:r>
      <w:r w:rsidR="009C5B92">
        <w:rPr>
          <w:rFonts w:ascii="Calibri" w:eastAsia="Calibri" w:hAnsi="Calibri" w:cs="Calibri"/>
        </w:rPr>
        <w:t>A</w:t>
      </w:r>
      <w:r w:rsidRPr="007B04EF">
        <w:rPr>
          <w:rFonts w:ascii="Calibri" w:eastAsia="Calibri" w:hAnsi="Calibri" w:cs="Calibri"/>
        </w:rPr>
        <w:t>)</w:t>
      </w:r>
    </w:p>
    <w:p w14:paraId="5835815C" w14:textId="77777777" w:rsidR="007E0FA0" w:rsidRPr="007B04EF" w:rsidRDefault="009C5B92" w:rsidP="007E0FA0">
      <w:pPr>
        <w:numPr>
          <w:ilvl w:val="0"/>
          <w:numId w:val="10"/>
        </w:numPr>
        <w:spacing w:after="0" w:line="240" w:lineRule="auto"/>
        <w:ind w:left="714" w:hanging="357"/>
        <w:rPr>
          <w:rFonts w:ascii="Calibri" w:eastAsia="Calibri" w:hAnsi="Calibri" w:cs="Calibri"/>
        </w:rPr>
      </w:pPr>
      <w:r>
        <w:rPr>
          <w:rFonts w:ascii="Calibri" w:eastAsia="Calibri" w:hAnsi="Calibri" w:cs="Calibri"/>
        </w:rPr>
        <w:t>I</w:t>
      </w:r>
      <w:r w:rsidR="007E0FA0" w:rsidRPr="007B04EF">
        <w:rPr>
          <w:rFonts w:ascii="Calibri" w:eastAsia="Calibri" w:hAnsi="Calibri" w:cs="Calibri"/>
        </w:rPr>
        <w:t>mported (</w:t>
      </w:r>
      <w:r>
        <w:rPr>
          <w:rFonts w:ascii="Calibri" w:eastAsia="Calibri" w:hAnsi="Calibri" w:cs="Calibri"/>
        </w:rPr>
        <w:t>I</w:t>
      </w:r>
      <w:r w:rsidR="007E0FA0" w:rsidRPr="007B04EF">
        <w:rPr>
          <w:rFonts w:ascii="Calibri" w:eastAsia="Calibri" w:hAnsi="Calibri" w:cs="Calibri"/>
        </w:rPr>
        <w:t>)</w:t>
      </w:r>
      <w:r w:rsidR="007E0FA0">
        <w:rPr>
          <w:rFonts w:ascii="Calibri" w:eastAsia="Calibri" w:hAnsi="Calibri" w:cs="Calibri"/>
        </w:rPr>
        <w:t>,</w:t>
      </w:r>
      <w:r w:rsidR="007E0FA0" w:rsidRPr="007B04EF">
        <w:rPr>
          <w:rFonts w:ascii="Calibri" w:eastAsia="Calibri" w:hAnsi="Calibri" w:cs="Calibri"/>
        </w:rPr>
        <w:t xml:space="preserve"> or </w:t>
      </w:r>
    </w:p>
    <w:p w14:paraId="171C3E16" w14:textId="73A91120" w:rsidR="00051E8B" w:rsidRPr="007B04EF" w:rsidRDefault="009C5B92" w:rsidP="007E0FA0">
      <w:pPr>
        <w:numPr>
          <w:ilvl w:val="0"/>
          <w:numId w:val="10"/>
        </w:numPr>
        <w:spacing w:after="0" w:line="240" w:lineRule="auto"/>
        <w:ind w:left="714" w:hanging="357"/>
        <w:rPr>
          <w:rFonts w:ascii="Calibri" w:eastAsia="Calibri" w:hAnsi="Calibri" w:cs="Calibri"/>
        </w:rPr>
      </w:pPr>
      <w:r>
        <w:rPr>
          <w:rFonts w:ascii="Calibri" w:eastAsia="Calibri" w:hAnsi="Calibri" w:cs="Calibri"/>
        </w:rPr>
        <w:t>M</w:t>
      </w:r>
      <w:r w:rsidR="007E0FA0" w:rsidRPr="007B04EF">
        <w:rPr>
          <w:rFonts w:ascii="Calibri" w:eastAsia="Calibri" w:hAnsi="Calibri" w:cs="Calibri"/>
        </w:rPr>
        <w:t>ixed origin (</w:t>
      </w:r>
      <w:r>
        <w:rPr>
          <w:rFonts w:ascii="Calibri" w:eastAsia="Calibri" w:hAnsi="Calibri" w:cs="Calibri"/>
        </w:rPr>
        <w:t>M</w:t>
      </w:r>
      <w:r w:rsidR="007E0FA0" w:rsidRPr="007B04EF">
        <w:rPr>
          <w:rFonts w:ascii="Calibri" w:eastAsia="Calibri" w:hAnsi="Calibri" w:cs="Calibri"/>
        </w:rPr>
        <w:t>) (if a dish contains both Australian and imported seafood).</w:t>
      </w:r>
    </w:p>
    <w:p w14:paraId="693D83E4" w14:textId="77777777" w:rsidR="00CA0AF2" w:rsidRDefault="00CA0AF2" w:rsidP="00051E8B">
      <w:pPr>
        <w:spacing w:after="0" w:line="240" w:lineRule="auto"/>
        <w:ind w:left="714"/>
      </w:pPr>
    </w:p>
    <w:p w14:paraId="305E7244" w14:textId="4D53F8D7" w:rsidR="00E57B72" w:rsidRPr="00B00549" w:rsidRDefault="00E57B72" w:rsidP="00E57B72">
      <w:pPr>
        <w:rPr>
          <w:rFonts w:ascii="Calibri" w:eastAsia="Calibri" w:hAnsi="Calibri" w:cs="Calibri"/>
        </w:rPr>
      </w:pPr>
      <w:r>
        <w:t xml:space="preserve">The model would be implemented through a new information standard under the ACL. </w:t>
      </w:r>
      <w:r>
        <w:rPr>
          <w:rFonts w:ascii="Calibri" w:eastAsia="Calibri" w:hAnsi="Calibri" w:cs="Calibri"/>
        </w:rPr>
        <w:t xml:space="preserve">The </w:t>
      </w:r>
      <w:r w:rsidR="000C6107">
        <w:rPr>
          <w:rFonts w:ascii="Calibri" w:eastAsia="Calibri" w:hAnsi="Calibri" w:cs="Calibri"/>
        </w:rPr>
        <w:t>g</w:t>
      </w:r>
      <w:r w:rsidRPr="00B00549">
        <w:rPr>
          <w:rFonts w:ascii="Calibri" w:eastAsia="Calibri" w:hAnsi="Calibri" w:cs="Calibri"/>
        </w:rPr>
        <w:t>overnment would run an education and awareness campaign to introduce any regulatory change.</w:t>
      </w:r>
    </w:p>
    <w:p w14:paraId="60AB566C" w14:textId="02E8C73B" w:rsidR="0001394D" w:rsidRDefault="0001394D" w:rsidP="008E1988">
      <w:pPr>
        <w:pStyle w:val="Calloutbox"/>
        <w:numPr>
          <w:ilvl w:val="0"/>
          <w:numId w:val="37"/>
        </w:numPr>
      </w:pPr>
      <w:r w:rsidRPr="007E2052">
        <w:lastRenderedPageBreak/>
        <w:t xml:space="preserve">How much will </w:t>
      </w:r>
      <w:r>
        <w:t xml:space="preserve">it </w:t>
      </w:r>
      <w:r w:rsidRPr="007E2052">
        <w:t xml:space="preserve">cost </w:t>
      </w:r>
      <w:r>
        <w:t xml:space="preserve">business to </w:t>
      </w:r>
      <w:r w:rsidRPr="007E2052">
        <w:t>implement the AIM model? If possible, please provide estimates for immediate, short term, and long-term costs.</w:t>
      </w:r>
    </w:p>
    <w:p w14:paraId="372FC786" w14:textId="57E34E74" w:rsidR="0001394D" w:rsidRDefault="0001394D" w:rsidP="008E1988">
      <w:pPr>
        <w:pStyle w:val="Calloutbox"/>
        <w:numPr>
          <w:ilvl w:val="0"/>
          <w:numId w:val="37"/>
        </w:numPr>
      </w:pPr>
      <w:r>
        <w:t>How will hospitality businesses benefit from the AIM model</w:t>
      </w:r>
      <w:r w:rsidR="008E1988">
        <w:t xml:space="preserve"> in the short and long-term</w:t>
      </w:r>
      <w:r>
        <w:t xml:space="preserve">? </w:t>
      </w:r>
    </w:p>
    <w:p w14:paraId="67129220" w14:textId="77777777" w:rsidR="0001394D" w:rsidRPr="009C312A" w:rsidRDefault="0001394D" w:rsidP="0001394D">
      <w:pPr>
        <w:pStyle w:val="Heading3"/>
      </w:pPr>
      <w:r>
        <w:t xml:space="preserve">Impact analysis </w:t>
      </w:r>
    </w:p>
    <w:p w14:paraId="1C3AC3AE" w14:textId="3802F83B" w:rsidR="0001394D" w:rsidRDefault="00434605" w:rsidP="008E1988">
      <w:r>
        <w:t>The AIM model</w:t>
      </w:r>
      <w:r w:rsidR="0001394D">
        <w:t xml:space="preserve"> </w:t>
      </w:r>
      <w:r w:rsidR="0001394D" w:rsidRPr="00AD0731">
        <w:t xml:space="preserve">would result in increased regulatory requirements for </w:t>
      </w:r>
      <w:r w:rsidR="0001394D">
        <w:t xml:space="preserve">impacted hospitality businesses </w:t>
      </w:r>
      <w:r w:rsidR="0001394D" w:rsidRPr="00AD0731">
        <w:t xml:space="preserve">and increased </w:t>
      </w:r>
      <w:r w:rsidR="0001394D">
        <w:t xml:space="preserve">compliance and </w:t>
      </w:r>
      <w:r w:rsidR="0001394D" w:rsidRPr="00AD0731">
        <w:t>enforcement responsibilities for government.</w:t>
      </w:r>
      <w:r w:rsidR="0001394D">
        <w:t xml:space="preserve"> </w:t>
      </w:r>
    </w:p>
    <w:p w14:paraId="14D14BE0" w14:textId="6B8B9303" w:rsidR="0001394D" w:rsidRDefault="0001394D" w:rsidP="008E1988">
      <w:r w:rsidRPr="00AD0731">
        <w:t xml:space="preserve">Consumers </w:t>
      </w:r>
      <w:r w:rsidR="00E57B72">
        <w:t>would</w:t>
      </w:r>
      <w:r w:rsidRPr="00AD0731">
        <w:t xml:space="preserve"> benefit from increased information to inform their purchasing decisions</w:t>
      </w:r>
      <w:r>
        <w:t xml:space="preserve">, both through labelling and the accompanying education and awareness campaign run by </w:t>
      </w:r>
      <w:r w:rsidR="000C6107">
        <w:t>g</w:t>
      </w:r>
      <w:r>
        <w:t>overnment to introduce the regulatory changes.</w:t>
      </w:r>
    </w:p>
    <w:p w14:paraId="2F75B795" w14:textId="127E42D6" w:rsidR="008E1988" w:rsidRDefault="008E1988" w:rsidP="008E1988">
      <w:r>
        <w:t xml:space="preserve">Sources of seafood can change for a variety of reasons, including seasonal availability and supply chain disruptions or shortages. Requiring businesses to differentiate between Australian seafood, imported seafood, or dishes that contain a mix of both, rather than more specific country or region information should reduce the frequency of menu and information updates. </w:t>
      </w:r>
    </w:p>
    <w:p w14:paraId="4B0B58A8" w14:textId="79A774B1" w:rsidR="007345A0" w:rsidRDefault="008E1988" w:rsidP="007E0FA0">
      <w:pPr>
        <w:rPr>
          <w:rFonts w:ascii="Calibri" w:eastAsia="Calibri" w:hAnsi="Calibri" w:cs="Calibri"/>
        </w:rPr>
      </w:pPr>
      <w:r>
        <w:t>T</w:t>
      </w:r>
      <w:r w:rsidRPr="00230258">
        <w:t xml:space="preserve">o help indicate the potential implementation expenses for businesses, the costs to implement seafood labelling requirements in the </w:t>
      </w:r>
      <w:r>
        <w:t>Northern Territory (</w:t>
      </w:r>
      <w:r w:rsidRPr="00230258">
        <w:t>NT</w:t>
      </w:r>
      <w:r>
        <w:t>)</w:t>
      </w:r>
      <w:r w:rsidRPr="00230258">
        <w:t xml:space="preserve"> w</w:t>
      </w:r>
      <w:r>
        <w:t>ere</w:t>
      </w:r>
      <w:r w:rsidRPr="00230258">
        <w:t xml:space="preserve"> relatively modest.</w:t>
      </w:r>
      <w:r w:rsidRPr="00230258">
        <w:rPr>
          <w:vertAlign w:val="superscript"/>
        </w:rPr>
        <w:footnoteReference w:id="23"/>
      </w:r>
      <w:r w:rsidRPr="00230258">
        <w:t xml:space="preserve"> On average, NT venues advised they spent $630 implementing requirements. With inflation</w:t>
      </w:r>
      <w:r>
        <w:t xml:space="preserve"> </w:t>
      </w:r>
      <w:r w:rsidRPr="00230258">
        <w:t>applied</w:t>
      </w:r>
      <w:r>
        <w:t>,</w:t>
      </w:r>
      <w:r w:rsidRPr="00230258">
        <w:t xml:space="preserve"> the costs </w:t>
      </w:r>
      <w:r>
        <w:t>may</w:t>
      </w:r>
      <w:r w:rsidRPr="00230258">
        <w:t xml:space="preserve"> average around $1000 in 2023. Costs to venues were higher initially as large expenditure items, such as menu</w:t>
      </w:r>
      <w:r>
        <w:t xml:space="preserve"> and display</w:t>
      </w:r>
      <w:r w:rsidRPr="00230258">
        <w:t xml:space="preserve"> boards were updated. These costs subsequently decreased over time. </w:t>
      </w:r>
      <w:r>
        <w:t>However, it should be noted that the NT is a small food sector market and may not be reflective in nationwide costs to hospitality businesses.</w:t>
      </w:r>
    </w:p>
    <w:p w14:paraId="22B73F22" w14:textId="77777777" w:rsidR="0001394D" w:rsidRDefault="0001394D" w:rsidP="0001394D">
      <w:pPr>
        <w:pStyle w:val="Heading3"/>
      </w:pPr>
      <w:r>
        <w:t>Expected costs and benefits</w:t>
      </w:r>
    </w:p>
    <w:tbl>
      <w:tblPr>
        <w:tblStyle w:val="TableGrid"/>
        <w:tblW w:w="0" w:type="auto"/>
        <w:tblLook w:val="04A0" w:firstRow="1" w:lastRow="0" w:firstColumn="1" w:lastColumn="0" w:noHBand="0" w:noVBand="1"/>
      </w:tblPr>
      <w:tblGrid>
        <w:gridCol w:w="4508"/>
        <w:gridCol w:w="4508"/>
      </w:tblGrid>
      <w:tr w:rsidR="008E1988" w14:paraId="4C62AFE5" w14:textId="77777777" w:rsidTr="008A2341">
        <w:tc>
          <w:tcPr>
            <w:tcW w:w="4508" w:type="dxa"/>
            <w:shd w:val="clear" w:color="auto" w:fill="DFF3F3" w:themeFill="accent4" w:themeFillTint="33"/>
          </w:tcPr>
          <w:p w14:paraId="6D14AC62" w14:textId="77777777" w:rsidR="008E1988" w:rsidRPr="00DB4DC9" w:rsidRDefault="008E1988" w:rsidP="008A2341">
            <w:pPr>
              <w:spacing w:before="120" w:after="120"/>
              <w:jc w:val="center"/>
              <w:rPr>
                <w:b/>
                <w:bCs/>
              </w:rPr>
            </w:pPr>
            <w:r w:rsidRPr="00DB4DC9">
              <w:rPr>
                <w:b/>
                <w:bCs/>
              </w:rPr>
              <w:t>Benefits</w:t>
            </w:r>
          </w:p>
        </w:tc>
        <w:tc>
          <w:tcPr>
            <w:tcW w:w="4508" w:type="dxa"/>
            <w:shd w:val="clear" w:color="auto" w:fill="DFF3F3" w:themeFill="accent4" w:themeFillTint="33"/>
          </w:tcPr>
          <w:p w14:paraId="4D262B94" w14:textId="77777777" w:rsidR="008E1988" w:rsidRPr="00DB4DC9" w:rsidRDefault="008E1988" w:rsidP="008A2341">
            <w:pPr>
              <w:spacing w:before="120" w:after="120"/>
              <w:jc w:val="center"/>
              <w:rPr>
                <w:b/>
                <w:bCs/>
              </w:rPr>
            </w:pPr>
            <w:r w:rsidRPr="00DB4DC9">
              <w:rPr>
                <w:b/>
                <w:bCs/>
              </w:rPr>
              <w:t>Costs</w:t>
            </w:r>
          </w:p>
        </w:tc>
      </w:tr>
      <w:tr w:rsidR="008E1988" w14:paraId="50B3BDFF" w14:textId="77777777" w:rsidTr="008A2341">
        <w:trPr>
          <w:trHeight w:val="1298"/>
        </w:trPr>
        <w:tc>
          <w:tcPr>
            <w:tcW w:w="4508" w:type="dxa"/>
          </w:tcPr>
          <w:p w14:paraId="0102C9F3" w14:textId="2A790AE7" w:rsidR="008E1988" w:rsidRDefault="008E1988" w:rsidP="008A2341">
            <w:pPr>
              <w:pStyle w:val="ListParagraph"/>
              <w:numPr>
                <w:ilvl w:val="0"/>
                <w:numId w:val="30"/>
              </w:numPr>
              <w:spacing w:before="60" w:after="60" w:line="259" w:lineRule="auto"/>
              <w:ind w:left="714" w:hanging="357"/>
              <w:contextualSpacing w:val="0"/>
            </w:pPr>
            <w:r>
              <w:t>Consumers have access to consistent origin information across all venues on which to base their purchasing decisions</w:t>
            </w:r>
          </w:p>
          <w:p w14:paraId="630A1603" w14:textId="6E6374B0" w:rsidR="008E1988" w:rsidRDefault="008E1988" w:rsidP="008A2341">
            <w:pPr>
              <w:pStyle w:val="ListParagraph"/>
              <w:numPr>
                <w:ilvl w:val="0"/>
                <w:numId w:val="30"/>
              </w:numPr>
              <w:spacing w:before="60" w:after="60" w:line="259" w:lineRule="auto"/>
              <w:ind w:left="714" w:hanging="357"/>
              <w:contextualSpacing w:val="0"/>
            </w:pPr>
            <w:r>
              <w:t>Consumers are better educated about seafood origin and the information businesses must provide</w:t>
            </w:r>
          </w:p>
          <w:p w14:paraId="76BEC843" w14:textId="77777777" w:rsidR="008E1988" w:rsidRDefault="008E1988" w:rsidP="008E1988">
            <w:pPr>
              <w:pStyle w:val="ListParagraph"/>
              <w:numPr>
                <w:ilvl w:val="0"/>
                <w:numId w:val="30"/>
              </w:numPr>
              <w:spacing w:before="60" w:after="60" w:line="259" w:lineRule="auto"/>
              <w:ind w:left="714" w:hanging="357"/>
              <w:contextualSpacing w:val="0"/>
            </w:pPr>
            <w:r>
              <w:t xml:space="preserve">Hospitality businesses will benefit from greater consumer confidence in business </w:t>
            </w:r>
          </w:p>
          <w:p w14:paraId="28363EE3" w14:textId="77777777" w:rsidR="00E57B72" w:rsidRDefault="00E57B72" w:rsidP="008E1988">
            <w:pPr>
              <w:pStyle w:val="ListParagraph"/>
              <w:numPr>
                <w:ilvl w:val="0"/>
                <w:numId w:val="30"/>
              </w:numPr>
              <w:spacing w:before="60" w:after="60" w:line="259" w:lineRule="auto"/>
              <w:ind w:left="714" w:hanging="357"/>
              <w:contextualSpacing w:val="0"/>
            </w:pPr>
            <w:r>
              <w:t>Simple labelling model lower cost on business</w:t>
            </w:r>
          </w:p>
          <w:p w14:paraId="32A43B1D" w14:textId="0F30B2FD" w:rsidR="00CA0AF2" w:rsidRDefault="00CA0AF2" w:rsidP="00CA0AF2">
            <w:pPr>
              <w:pStyle w:val="ListParagraph"/>
              <w:numPr>
                <w:ilvl w:val="0"/>
                <w:numId w:val="30"/>
              </w:numPr>
              <w:spacing w:before="60" w:after="60" w:line="259" w:lineRule="auto"/>
              <w:ind w:left="714" w:hanging="357"/>
              <w:contextualSpacing w:val="0"/>
            </w:pPr>
            <w:r>
              <w:t>The problem of asymmetry would no longer exist</w:t>
            </w:r>
          </w:p>
        </w:tc>
        <w:tc>
          <w:tcPr>
            <w:tcW w:w="4508" w:type="dxa"/>
          </w:tcPr>
          <w:p w14:paraId="617C99CE" w14:textId="7EADEB5E" w:rsidR="008E1988" w:rsidRDefault="008E1988" w:rsidP="008A2341">
            <w:pPr>
              <w:pStyle w:val="ListParagraph"/>
              <w:numPr>
                <w:ilvl w:val="0"/>
                <w:numId w:val="30"/>
              </w:numPr>
              <w:spacing w:before="60" w:after="60" w:line="259" w:lineRule="auto"/>
              <w:ind w:left="714" w:hanging="357"/>
              <w:contextualSpacing w:val="0"/>
            </w:pPr>
            <w:r>
              <w:t>Hospitality businesses will</w:t>
            </w:r>
            <w:r w:rsidR="00E57B72">
              <w:t xml:space="preserve"> incur costs updating menus, displays etc.</w:t>
            </w:r>
            <w:r>
              <w:t xml:space="preserve"> </w:t>
            </w:r>
            <w:r w:rsidR="00E57B72">
              <w:t>as well as ongoing administration costs</w:t>
            </w:r>
          </w:p>
          <w:p w14:paraId="04255E9D" w14:textId="7CF47EEF" w:rsidR="008E1988" w:rsidRDefault="00E57B72" w:rsidP="00AF2551">
            <w:pPr>
              <w:pStyle w:val="ListParagraph"/>
              <w:numPr>
                <w:ilvl w:val="0"/>
                <w:numId w:val="30"/>
              </w:numPr>
              <w:spacing w:before="60" w:after="60" w:line="259" w:lineRule="auto"/>
              <w:ind w:left="714" w:hanging="357"/>
              <w:contextualSpacing w:val="0"/>
            </w:pPr>
            <w:r>
              <w:t>Government will incur education and awareness campaign costs, as well as ongoing compliance and enforcement costs</w:t>
            </w:r>
          </w:p>
          <w:p w14:paraId="28AB5A4B" w14:textId="4AF13B1B" w:rsidR="008E1988" w:rsidRDefault="00E57B72" w:rsidP="008A2341">
            <w:pPr>
              <w:pStyle w:val="ListParagraph"/>
              <w:numPr>
                <w:ilvl w:val="0"/>
                <w:numId w:val="30"/>
              </w:numPr>
              <w:spacing w:before="60" w:after="60"/>
              <w:ind w:left="714" w:hanging="357"/>
              <w:contextualSpacing w:val="0"/>
            </w:pPr>
            <w:r>
              <w:t>Consumers may face higher costs if businesses pass their costs on</w:t>
            </w:r>
          </w:p>
        </w:tc>
      </w:tr>
    </w:tbl>
    <w:p w14:paraId="4605D9E6" w14:textId="59DA0012" w:rsidR="007E0FA0" w:rsidRPr="00E84DB5" w:rsidRDefault="00300E31" w:rsidP="007E0FA0">
      <w:pPr>
        <w:pStyle w:val="Heading2"/>
      </w:pPr>
      <w:bookmarkStart w:id="76" w:name="_Toc136008639"/>
      <w:r>
        <w:lastRenderedPageBreak/>
        <w:t>O</w:t>
      </w:r>
      <w:r w:rsidR="007E0FA0">
        <w:t xml:space="preserve">ption </w:t>
      </w:r>
      <w:r w:rsidR="001A0B8A">
        <w:t>3</w:t>
      </w:r>
      <w:r>
        <w:t xml:space="preserve"> – ACL </w:t>
      </w:r>
      <w:r w:rsidR="001A0B8A">
        <w:t>i</w:t>
      </w:r>
      <w:r>
        <w:t xml:space="preserve">nformation standard – country </w:t>
      </w:r>
      <w:r w:rsidR="00AC4776">
        <w:t>model</w:t>
      </w:r>
      <w:bookmarkEnd w:id="76"/>
    </w:p>
    <w:p w14:paraId="32641648" w14:textId="66CA4E5F" w:rsidR="007E0FA0" w:rsidRDefault="007E0FA0" w:rsidP="007E0FA0">
      <w:pPr>
        <w:rPr>
          <w:rFonts w:ascii="Calibri" w:eastAsia="Calibri" w:hAnsi="Calibri" w:cs="Calibri"/>
        </w:rPr>
      </w:pPr>
      <w:r>
        <w:rPr>
          <w:rFonts w:ascii="Calibri" w:eastAsia="Calibri" w:hAnsi="Calibri" w:cs="Calibri"/>
        </w:rPr>
        <w:t>Like the AIM model,</w:t>
      </w:r>
      <w:r w:rsidR="00CA0AF2">
        <w:rPr>
          <w:rFonts w:ascii="Calibri" w:eastAsia="Calibri" w:hAnsi="Calibri" w:cs="Calibri"/>
        </w:rPr>
        <w:t xml:space="preserve"> the country model would require </w:t>
      </w:r>
      <w:r>
        <w:rPr>
          <w:rFonts w:ascii="Calibri" w:eastAsia="Calibri" w:hAnsi="Calibri" w:cs="Calibri"/>
        </w:rPr>
        <w:t>hospitality business to label on menus, display boards or anywhere fish for sale is advertised</w:t>
      </w:r>
      <w:r w:rsidR="00E57B72">
        <w:rPr>
          <w:rFonts w:ascii="Calibri" w:eastAsia="Calibri" w:hAnsi="Calibri" w:cs="Calibri"/>
        </w:rPr>
        <w:t>. Under this model the seafood would need to be labelled</w:t>
      </w:r>
      <w:r>
        <w:rPr>
          <w:rFonts w:ascii="Calibri" w:eastAsia="Calibri" w:hAnsi="Calibri" w:cs="Calibri"/>
        </w:rPr>
        <w:t xml:space="preserve"> with the country of origin</w:t>
      </w:r>
      <w:r w:rsidR="00E57B72">
        <w:rPr>
          <w:rFonts w:ascii="Calibri" w:eastAsia="Calibri" w:hAnsi="Calibri" w:cs="Calibri"/>
        </w:rPr>
        <w:t>.</w:t>
      </w:r>
      <w:r>
        <w:rPr>
          <w:rFonts w:ascii="Calibri" w:eastAsia="Calibri" w:hAnsi="Calibri" w:cs="Calibri"/>
        </w:rPr>
        <w:t xml:space="preserve"> </w:t>
      </w:r>
      <w:r w:rsidR="00E57B72">
        <w:rPr>
          <w:rFonts w:ascii="Calibri" w:eastAsia="Calibri" w:hAnsi="Calibri" w:cs="Calibri"/>
        </w:rPr>
        <w:t>F</w:t>
      </w:r>
      <w:r>
        <w:rPr>
          <w:rFonts w:ascii="Calibri" w:eastAsia="Calibri" w:hAnsi="Calibri" w:cs="Calibri"/>
        </w:rPr>
        <w:t>or example:</w:t>
      </w:r>
    </w:p>
    <w:p w14:paraId="44B79003" w14:textId="2C5C71B5" w:rsidR="007E0FA0" w:rsidRPr="005D666A" w:rsidRDefault="007E0FA0" w:rsidP="007E0FA0">
      <w:pPr>
        <w:ind w:left="720" w:firstLine="720"/>
        <w:rPr>
          <w:rFonts w:ascii="Calibri" w:eastAsia="Calibri" w:hAnsi="Calibri" w:cs="Calibri"/>
        </w:rPr>
      </w:pPr>
      <w:r w:rsidRPr="005D666A">
        <w:rPr>
          <w:rFonts w:ascii="Calibri" w:eastAsia="Calibri" w:hAnsi="Calibri" w:cs="Calibri"/>
        </w:rPr>
        <w:t xml:space="preserve">Barramundi </w:t>
      </w:r>
      <w:r w:rsidR="00CA0AF2" w:rsidRPr="00FA5D51">
        <w:rPr>
          <w:rFonts w:ascii="Calibri" w:eastAsia="Calibri" w:hAnsi="Calibri" w:cs="Calibri"/>
          <w:sz w:val="18"/>
          <w:szCs w:val="18"/>
        </w:rPr>
        <w:t>(</w:t>
      </w:r>
      <w:r w:rsidR="009E70DE">
        <w:rPr>
          <w:rFonts w:ascii="Calibri" w:eastAsia="Calibri" w:hAnsi="Calibri" w:cs="Calibri"/>
          <w:sz w:val="18"/>
          <w:szCs w:val="18"/>
        </w:rPr>
        <w:t>Thailand</w:t>
      </w:r>
      <w:r w:rsidR="00CA0AF2">
        <w:rPr>
          <w:rFonts w:ascii="Calibri" w:eastAsia="Calibri" w:hAnsi="Calibri" w:cs="Calibri"/>
          <w:sz w:val="18"/>
          <w:szCs w:val="18"/>
        </w:rPr>
        <w:t>)</w:t>
      </w:r>
    </w:p>
    <w:p w14:paraId="7B1A2DB2" w14:textId="1216FB74" w:rsidR="00E57B72" w:rsidRDefault="00E57B72" w:rsidP="00E57B72">
      <w:pPr>
        <w:rPr>
          <w:rFonts w:ascii="Calibri" w:eastAsia="Calibri" w:hAnsi="Calibri" w:cs="Calibri"/>
        </w:rPr>
      </w:pPr>
      <w:r>
        <w:t xml:space="preserve">The model would be implemented through a new information standard under the ACL. </w:t>
      </w:r>
      <w:r>
        <w:rPr>
          <w:rFonts w:ascii="Calibri" w:eastAsia="Calibri" w:hAnsi="Calibri" w:cs="Calibri"/>
        </w:rPr>
        <w:t xml:space="preserve">The </w:t>
      </w:r>
      <w:r w:rsidR="000C6107">
        <w:rPr>
          <w:rFonts w:ascii="Calibri" w:eastAsia="Calibri" w:hAnsi="Calibri" w:cs="Calibri"/>
        </w:rPr>
        <w:t>g</w:t>
      </w:r>
      <w:r w:rsidRPr="00B00549">
        <w:rPr>
          <w:rFonts w:ascii="Calibri" w:eastAsia="Calibri" w:hAnsi="Calibri" w:cs="Calibri"/>
        </w:rPr>
        <w:t>overnment would run an education and awareness campaign to introduce any regulatory change.</w:t>
      </w:r>
    </w:p>
    <w:p w14:paraId="3223E7A4" w14:textId="7A2D8E71" w:rsidR="00384DA1" w:rsidRDefault="00384DA1" w:rsidP="00384DA1">
      <w:pPr>
        <w:pStyle w:val="Calloutbox"/>
        <w:numPr>
          <w:ilvl w:val="0"/>
          <w:numId w:val="37"/>
        </w:numPr>
      </w:pPr>
      <w:r w:rsidRPr="007E2052">
        <w:t xml:space="preserve">How much will </w:t>
      </w:r>
      <w:r>
        <w:t xml:space="preserve">it </w:t>
      </w:r>
      <w:r w:rsidRPr="007E2052">
        <w:t xml:space="preserve">cost </w:t>
      </w:r>
      <w:r>
        <w:t xml:space="preserve">business to </w:t>
      </w:r>
      <w:r w:rsidRPr="007E2052">
        <w:t xml:space="preserve">implement the </w:t>
      </w:r>
      <w:r>
        <w:t xml:space="preserve">country </w:t>
      </w:r>
      <w:r w:rsidRPr="007E2052">
        <w:t>model? If possible, please provide estimates for immediate, short term, and long-term costs.</w:t>
      </w:r>
    </w:p>
    <w:p w14:paraId="267A4F21" w14:textId="40BE6F86" w:rsidR="00384DA1" w:rsidRDefault="00384DA1" w:rsidP="00384DA1">
      <w:pPr>
        <w:pStyle w:val="Calloutbox"/>
        <w:numPr>
          <w:ilvl w:val="0"/>
          <w:numId w:val="37"/>
        </w:numPr>
      </w:pPr>
      <w:r>
        <w:t xml:space="preserve">How will hospitality businesses benefit from the country model in the short and long-term? </w:t>
      </w:r>
    </w:p>
    <w:p w14:paraId="18D09527" w14:textId="77777777" w:rsidR="00E57B72" w:rsidRPr="009C312A" w:rsidRDefault="00E57B72" w:rsidP="00E57B72">
      <w:pPr>
        <w:pStyle w:val="Heading3"/>
      </w:pPr>
      <w:r>
        <w:t xml:space="preserve">Impact analysis </w:t>
      </w:r>
    </w:p>
    <w:p w14:paraId="14F6AF1F" w14:textId="00A58CC3" w:rsidR="00E57B72" w:rsidRDefault="00434605" w:rsidP="00E57B72">
      <w:r>
        <w:t>The country model</w:t>
      </w:r>
      <w:r w:rsidR="00E57B72">
        <w:t xml:space="preserve"> </w:t>
      </w:r>
      <w:r w:rsidR="00E57B72" w:rsidRPr="00AD0731">
        <w:t xml:space="preserve">would result in increased regulatory requirements for </w:t>
      </w:r>
      <w:r w:rsidR="00E57B72">
        <w:t xml:space="preserve">impacted hospitality businesses </w:t>
      </w:r>
      <w:r w:rsidR="00E57B72" w:rsidRPr="00AD0731">
        <w:t xml:space="preserve">and increased </w:t>
      </w:r>
      <w:r w:rsidR="00E57B72">
        <w:t xml:space="preserve">compliance and </w:t>
      </w:r>
      <w:r w:rsidR="00E57B72" w:rsidRPr="00AD0731">
        <w:t xml:space="preserve">enforcement responsibilities for </w:t>
      </w:r>
      <w:r w:rsidR="00600153">
        <w:t>g</w:t>
      </w:r>
      <w:r w:rsidR="00E57B72" w:rsidRPr="00AD0731">
        <w:t>overnment.</w:t>
      </w:r>
      <w:r w:rsidR="00E57B72">
        <w:t xml:space="preserve"> </w:t>
      </w:r>
    </w:p>
    <w:p w14:paraId="39B32068" w14:textId="4E647E13" w:rsidR="00E57B72" w:rsidRDefault="00E57B72" w:rsidP="00E57B72">
      <w:r>
        <w:rPr>
          <w:rFonts w:ascii="Calibri" w:eastAsia="Calibri" w:hAnsi="Calibri" w:cs="Calibri"/>
        </w:rPr>
        <w:t>Because s</w:t>
      </w:r>
      <w:r>
        <w:t xml:space="preserve">ources of seafood can change for a variety of reasons, including seasonal availability and supply chain disruptions or shortages, requiring businesses to identify the specific country of origin would increase the frequency of menu and information updates. </w:t>
      </w:r>
    </w:p>
    <w:p w14:paraId="60B805F8" w14:textId="2E42697D" w:rsidR="00384DA1" w:rsidRDefault="00E57B72">
      <w:pPr>
        <w:rPr>
          <w:rFonts w:asciiTheme="majorHAnsi" w:eastAsiaTheme="majorEastAsia" w:hAnsiTheme="majorHAnsi" w:cstheme="majorBidi"/>
          <w:color w:val="005677" w:themeColor="text2"/>
          <w:sz w:val="32"/>
          <w:szCs w:val="40"/>
        </w:rPr>
      </w:pPr>
      <w:r w:rsidRPr="00AD0731">
        <w:t xml:space="preserve">Consumers </w:t>
      </w:r>
      <w:r>
        <w:t xml:space="preserve">would </w:t>
      </w:r>
      <w:r w:rsidRPr="00AD0731">
        <w:t xml:space="preserve">benefit from increased information to </w:t>
      </w:r>
      <w:r w:rsidR="001A0B8A">
        <w:t>support</w:t>
      </w:r>
      <w:r w:rsidR="001A0B8A" w:rsidRPr="00AD0731">
        <w:t xml:space="preserve"> </w:t>
      </w:r>
      <w:r w:rsidRPr="00AD0731">
        <w:t>their purchasing decisions</w:t>
      </w:r>
      <w:r>
        <w:t xml:space="preserve">, both through labelling and the accompanying education and awareness campaign run by the </w:t>
      </w:r>
      <w:r w:rsidR="000C6107">
        <w:t>g</w:t>
      </w:r>
      <w:r>
        <w:t xml:space="preserve">overnment to introduce the regulatory changes. This model would require a carefully </w:t>
      </w:r>
      <w:r w:rsidR="00384DA1">
        <w:t xml:space="preserve">constructed education campaign, which addresses any consumer food safety concerns about seafood imports from certain countries or regions. </w:t>
      </w:r>
    </w:p>
    <w:p w14:paraId="5D3B0079" w14:textId="109FE244" w:rsidR="00384DA1" w:rsidRDefault="00384DA1" w:rsidP="00384DA1">
      <w:pPr>
        <w:pStyle w:val="Heading3"/>
      </w:pPr>
      <w:r>
        <w:t>Expected costs and benefits</w:t>
      </w:r>
    </w:p>
    <w:tbl>
      <w:tblPr>
        <w:tblStyle w:val="TableGrid"/>
        <w:tblW w:w="0" w:type="auto"/>
        <w:tblLook w:val="04A0" w:firstRow="1" w:lastRow="0" w:firstColumn="1" w:lastColumn="0" w:noHBand="0" w:noVBand="1"/>
      </w:tblPr>
      <w:tblGrid>
        <w:gridCol w:w="4508"/>
        <w:gridCol w:w="4508"/>
      </w:tblGrid>
      <w:tr w:rsidR="00384DA1" w14:paraId="715E7C95" w14:textId="77777777" w:rsidTr="008A2341">
        <w:tc>
          <w:tcPr>
            <w:tcW w:w="4508" w:type="dxa"/>
            <w:shd w:val="clear" w:color="auto" w:fill="DFF3F3" w:themeFill="accent4" w:themeFillTint="33"/>
          </w:tcPr>
          <w:p w14:paraId="3B8E0922" w14:textId="77777777" w:rsidR="00384DA1" w:rsidRPr="00DB4DC9" w:rsidRDefault="00384DA1" w:rsidP="00384DA1">
            <w:pPr>
              <w:keepLines/>
              <w:spacing w:before="120" w:after="120"/>
              <w:jc w:val="center"/>
              <w:rPr>
                <w:b/>
                <w:bCs/>
              </w:rPr>
            </w:pPr>
            <w:r w:rsidRPr="00DB4DC9">
              <w:rPr>
                <w:b/>
                <w:bCs/>
              </w:rPr>
              <w:t>Benefits</w:t>
            </w:r>
          </w:p>
        </w:tc>
        <w:tc>
          <w:tcPr>
            <w:tcW w:w="4508" w:type="dxa"/>
            <w:shd w:val="clear" w:color="auto" w:fill="DFF3F3" w:themeFill="accent4" w:themeFillTint="33"/>
          </w:tcPr>
          <w:p w14:paraId="53013BC3" w14:textId="77777777" w:rsidR="00384DA1" w:rsidRPr="00DB4DC9" w:rsidRDefault="00384DA1" w:rsidP="00384DA1">
            <w:pPr>
              <w:keepLines/>
              <w:spacing w:before="120" w:after="120"/>
              <w:jc w:val="center"/>
              <w:rPr>
                <w:b/>
                <w:bCs/>
              </w:rPr>
            </w:pPr>
            <w:r w:rsidRPr="00DB4DC9">
              <w:rPr>
                <w:b/>
                <w:bCs/>
              </w:rPr>
              <w:t>Costs</w:t>
            </w:r>
          </w:p>
        </w:tc>
      </w:tr>
      <w:tr w:rsidR="00384DA1" w14:paraId="59C685F7" w14:textId="77777777" w:rsidTr="008A2341">
        <w:trPr>
          <w:trHeight w:val="1298"/>
        </w:trPr>
        <w:tc>
          <w:tcPr>
            <w:tcW w:w="4508" w:type="dxa"/>
          </w:tcPr>
          <w:p w14:paraId="50DE4AAD" w14:textId="77777777" w:rsidR="00384DA1" w:rsidRDefault="00384DA1" w:rsidP="00384DA1">
            <w:pPr>
              <w:pStyle w:val="ListParagraph"/>
              <w:keepLines/>
              <w:numPr>
                <w:ilvl w:val="0"/>
                <w:numId w:val="30"/>
              </w:numPr>
              <w:spacing w:before="60" w:after="60" w:line="259" w:lineRule="auto"/>
              <w:ind w:left="714" w:hanging="357"/>
              <w:contextualSpacing w:val="0"/>
            </w:pPr>
            <w:r>
              <w:t>Consumers have access to consistent origin information across all venues on which to base their purchasing decisions</w:t>
            </w:r>
          </w:p>
          <w:p w14:paraId="7AE3B413" w14:textId="77777777" w:rsidR="00384DA1" w:rsidRDefault="00384DA1" w:rsidP="00384DA1">
            <w:pPr>
              <w:pStyle w:val="ListParagraph"/>
              <w:keepLines/>
              <w:numPr>
                <w:ilvl w:val="0"/>
                <w:numId w:val="30"/>
              </w:numPr>
              <w:spacing w:before="60" w:after="60" w:line="259" w:lineRule="auto"/>
              <w:ind w:left="714" w:hanging="357"/>
              <w:contextualSpacing w:val="0"/>
            </w:pPr>
            <w:r>
              <w:t>Consumers are better educated about seafood origin and the information businesses must provide</w:t>
            </w:r>
          </w:p>
          <w:p w14:paraId="60544C4F" w14:textId="77777777" w:rsidR="00CA0AF2" w:rsidRDefault="00384DA1" w:rsidP="00CA0AF2">
            <w:pPr>
              <w:pStyle w:val="ListParagraph"/>
              <w:keepLines/>
              <w:numPr>
                <w:ilvl w:val="0"/>
                <w:numId w:val="30"/>
              </w:numPr>
              <w:spacing w:before="60" w:after="60" w:line="259" w:lineRule="auto"/>
              <w:ind w:left="714" w:hanging="357"/>
              <w:contextualSpacing w:val="0"/>
            </w:pPr>
            <w:r>
              <w:t xml:space="preserve">Hospitality businesses will benefit from greater consumer confidence in business </w:t>
            </w:r>
          </w:p>
          <w:p w14:paraId="56CE6599" w14:textId="6BC3FFC8" w:rsidR="00384DA1" w:rsidRDefault="00CA0AF2" w:rsidP="00CA0AF2">
            <w:pPr>
              <w:pStyle w:val="ListParagraph"/>
              <w:keepLines/>
              <w:numPr>
                <w:ilvl w:val="0"/>
                <w:numId w:val="30"/>
              </w:numPr>
              <w:spacing w:before="60" w:after="60" w:line="259" w:lineRule="auto"/>
              <w:ind w:left="714" w:hanging="357"/>
              <w:contextualSpacing w:val="0"/>
            </w:pPr>
            <w:r>
              <w:t>The problem of asymmetry would no longer exist</w:t>
            </w:r>
          </w:p>
        </w:tc>
        <w:tc>
          <w:tcPr>
            <w:tcW w:w="4508" w:type="dxa"/>
          </w:tcPr>
          <w:p w14:paraId="471C8A41" w14:textId="77777777" w:rsidR="00384DA1" w:rsidRDefault="00384DA1" w:rsidP="00384DA1">
            <w:pPr>
              <w:pStyle w:val="ListParagraph"/>
              <w:keepLines/>
              <w:numPr>
                <w:ilvl w:val="0"/>
                <w:numId w:val="30"/>
              </w:numPr>
              <w:spacing w:before="60" w:after="60" w:line="259" w:lineRule="auto"/>
              <w:ind w:left="714" w:hanging="357"/>
              <w:contextualSpacing w:val="0"/>
            </w:pPr>
            <w:r>
              <w:t>Hospitality businesses will incur costs updating menus, displays etc. as well as ongoing administration costs</w:t>
            </w:r>
          </w:p>
          <w:p w14:paraId="2CF0BA21" w14:textId="77777777" w:rsidR="00384DA1" w:rsidRDefault="00384DA1" w:rsidP="00384DA1">
            <w:pPr>
              <w:pStyle w:val="ListParagraph"/>
              <w:keepLines/>
              <w:numPr>
                <w:ilvl w:val="0"/>
                <w:numId w:val="30"/>
              </w:numPr>
              <w:spacing w:before="60" w:after="60" w:line="259" w:lineRule="auto"/>
              <w:ind w:left="714" w:hanging="357"/>
              <w:contextualSpacing w:val="0"/>
            </w:pPr>
            <w:r>
              <w:t>Government will incur education and awareness campaign costs, as well as ongoing compliance and enforcement costs</w:t>
            </w:r>
          </w:p>
          <w:p w14:paraId="2A2147A6" w14:textId="77777777" w:rsidR="00384DA1" w:rsidRDefault="00384DA1" w:rsidP="00384DA1">
            <w:pPr>
              <w:pStyle w:val="ListParagraph"/>
              <w:keepLines/>
              <w:numPr>
                <w:ilvl w:val="0"/>
                <w:numId w:val="30"/>
              </w:numPr>
              <w:spacing w:before="60" w:after="60"/>
              <w:ind w:left="714" w:hanging="357"/>
              <w:contextualSpacing w:val="0"/>
            </w:pPr>
            <w:r>
              <w:t>Consumers may face higher costs if businesses pass their costs on</w:t>
            </w:r>
          </w:p>
        </w:tc>
      </w:tr>
    </w:tbl>
    <w:p w14:paraId="26D62674" w14:textId="77777777" w:rsidR="00384DA1" w:rsidRDefault="00384DA1" w:rsidP="00384DA1"/>
    <w:p w14:paraId="3C864EDD" w14:textId="7E4F3C6B" w:rsidR="00EB75ED" w:rsidRDefault="00A24AAF" w:rsidP="00EB75ED">
      <w:pPr>
        <w:pStyle w:val="Heading2"/>
      </w:pPr>
      <w:bookmarkStart w:id="77" w:name="_Toc136008640"/>
      <w:r>
        <w:lastRenderedPageBreak/>
        <w:t xml:space="preserve">Further impact </w:t>
      </w:r>
      <w:r w:rsidR="00EB75ED">
        <w:t>analysis</w:t>
      </w:r>
      <w:bookmarkEnd w:id="77"/>
      <w:r w:rsidR="00EB75ED">
        <w:t xml:space="preserve"> </w:t>
      </w:r>
    </w:p>
    <w:p w14:paraId="078C43CA" w14:textId="2B8215A8" w:rsidR="00EB75ED" w:rsidRDefault="00EB75ED" w:rsidP="00EB75ED">
      <w:r>
        <w:t>The department is commissioning a CBA. It will gather further in</w:t>
      </w:r>
      <w:r w:rsidR="001A0B8A">
        <w:t>sights</w:t>
      </w:r>
      <w:r>
        <w:t xml:space="preserve"> and data around any gaps in information on the policy options. The CBA will test and confirm impacts to relevant stakeholder groups. It will be</w:t>
      </w:r>
      <w:r w:rsidRPr="00723BBB">
        <w:t xml:space="preserve"> </w:t>
      </w:r>
      <w:r>
        <w:t>key to informing</w:t>
      </w:r>
      <w:r w:rsidRPr="00723BBB">
        <w:t xml:space="preserve"> what policy options are viable</w:t>
      </w:r>
      <w:r>
        <w:t xml:space="preserve"> for the D</w:t>
      </w:r>
      <w:r w:rsidR="003F1455">
        <w:t xml:space="preserve">ecision </w:t>
      </w:r>
      <w:r>
        <w:t xml:space="preserve">RIS. </w:t>
      </w:r>
    </w:p>
    <w:p w14:paraId="3731DC5B" w14:textId="757B1925" w:rsidR="00A24AAF" w:rsidRDefault="00EB75ED" w:rsidP="00EB75ED">
      <w:r>
        <w:t>The CBA will consider questions and data around consumer behaviours and preferences, and what seafood origin information they need to make informed choices when purchasing seafood in hospitality settings. The CBA will test the assumptions on the impacts to h</w:t>
      </w:r>
      <w:r w:rsidRPr="00F54EF2">
        <w:t>ospitality businesses</w:t>
      </w:r>
      <w:r>
        <w:t>, including how practical it will be for them to implement, how it may impact sales, how costly or burdensome</w:t>
      </w:r>
      <w:r w:rsidR="00FA6B0B">
        <w:t xml:space="preserve">. </w:t>
      </w:r>
      <w:r>
        <w:t xml:space="preserve"> </w:t>
      </w:r>
      <w:r w:rsidR="00B5715B">
        <w:t xml:space="preserve">Finally, the CBA will examine costs and benefits to other stakeholders, including government and seafood businesses. </w:t>
      </w:r>
    </w:p>
    <w:p w14:paraId="5AFA29F0" w14:textId="38859F7B" w:rsidR="00CA0AF2" w:rsidRDefault="00CA0AF2" w:rsidP="00D706AE">
      <w:pPr>
        <w:pStyle w:val="Calloutbox"/>
        <w:numPr>
          <w:ilvl w:val="0"/>
          <w:numId w:val="37"/>
        </w:numPr>
      </w:pPr>
      <w:r>
        <w:t xml:space="preserve">Which of the </w:t>
      </w:r>
      <w:r w:rsidR="003417E2">
        <w:t>3</w:t>
      </w:r>
      <w:r>
        <w:t xml:space="preserve"> policy options do you prefer, and why? </w:t>
      </w:r>
    </w:p>
    <w:p w14:paraId="4A27C78F" w14:textId="77777777" w:rsidR="00CA0AF2" w:rsidRDefault="00CA0AF2" w:rsidP="00D706AE">
      <w:pPr>
        <w:pStyle w:val="Calloutbox"/>
        <w:numPr>
          <w:ilvl w:val="0"/>
          <w:numId w:val="37"/>
        </w:numPr>
      </w:pPr>
      <w:r>
        <w:t xml:space="preserve">Do you agree with the costs and benefits set out for each option? If not, please identify which costs or benefits you disagree with and why. </w:t>
      </w:r>
    </w:p>
    <w:p w14:paraId="731F9DF3" w14:textId="77777777" w:rsidR="00CA0AF2" w:rsidRDefault="00CA0AF2" w:rsidP="00D706AE">
      <w:pPr>
        <w:pStyle w:val="Calloutbox"/>
        <w:numPr>
          <w:ilvl w:val="0"/>
          <w:numId w:val="37"/>
        </w:numPr>
      </w:pPr>
      <w:r>
        <w:t>Do you think there is any relevant information missing from the options? Please specify.</w:t>
      </w:r>
    </w:p>
    <w:p w14:paraId="2B114525" w14:textId="2F179813" w:rsidR="00C80DB4" w:rsidRDefault="00C80DB4" w:rsidP="00EB75ED">
      <w:r>
        <w:br w:type="page"/>
      </w:r>
    </w:p>
    <w:p w14:paraId="50966F16" w14:textId="77777777" w:rsidR="005D726C" w:rsidRDefault="005D726C" w:rsidP="005D726C">
      <w:pPr>
        <w:pStyle w:val="Heading2"/>
        <w:jc w:val="right"/>
        <w:rPr>
          <w:rStyle w:val="Heading1Char"/>
        </w:rPr>
      </w:pPr>
      <w:bookmarkStart w:id="78" w:name="_Toc133586463"/>
      <w:bookmarkStart w:id="79" w:name="_Toc136008641"/>
      <w:r w:rsidRPr="005D726C">
        <w:rPr>
          <w:rStyle w:val="Heading1Char"/>
        </w:rPr>
        <w:lastRenderedPageBreak/>
        <w:t>Appendix A</w:t>
      </w:r>
      <w:bookmarkEnd w:id="78"/>
      <w:bookmarkEnd w:id="79"/>
    </w:p>
    <w:p w14:paraId="3630863F" w14:textId="77777777" w:rsidR="005D726C" w:rsidRPr="005D726C" w:rsidRDefault="005D726C" w:rsidP="005D726C">
      <w:pPr>
        <w:pStyle w:val="Heading2"/>
      </w:pPr>
      <w:bookmarkStart w:id="80" w:name="_Toc132114803"/>
      <w:bookmarkStart w:id="81" w:name="_Toc136008642"/>
      <w:r>
        <w:t>Previous reviews</w:t>
      </w:r>
      <w:bookmarkEnd w:id="80"/>
      <w:bookmarkEnd w:id="81"/>
    </w:p>
    <w:p w14:paraId="7E9ADDE6" w14:textId="77777777" w:rsidR="005D726C" w:rsidRDefault="005D726C" w:rsidP="005D726C">
      <w:r w:rsidRPr="00861BDB" w:rsidDel="00AB4099">
        <w:t>This issue has been examined numerous times in the past by varying levels of government</w:t>
      </w:r>
      <w:r w:rsidRPr="414B655F" w:rsidDel="00AB4099">
        <w:t xml:space="preserve">, </w:t>
      </w:r>
      <w:r w:rsidRPr="00861BDB" w:rsidDel="00AB4099">
        <w:t>by industry</w:t>
      </w:r>
      <w:r w:rsidDel="00AB4099">
        <w:t>, and consumer groups</w:t>
      </w:r>
      <w:r>
        <w:t>, including</w:t>
      </w:r>
      <w:r w:rsidRPr="414B655F">
        <w:t xml:space="preserve">: </w:t>
      </w:r>
    </w:p>
    <w:p w14:paraId="163FB78B" w14:textId="77777777" w:rsidR="005D726C" w:rsidRPr="005D726C" w:rsidRDefault="005D726C" w:rsidP="005D726C">
      <w:pPr>
        <w:pStyle w:val="ListParagraph"/>
      </w:pPr>
      <w:r w:rsidRPr="005D726C">
        <w:t xml:space="preserve">Labelling Logic: Review of Food Labelling Law and Policy, an independent review of national food labelling law and policy, conducted by Dr Neil Blewett in 2011 (Blewett Review) </w:t>
      </w:r>
    </w:p>
    <w:p w14:paraId="2571140F" w14:textId="77777777" w:rsidR="005D726C" w:rsidRPr="005D726C" w:rsidRDefault="005D726C" w:rsidP="005D726C">
      <w:pPr>
        <w:pStyle w:val="ListParagraph"/>
      </w:pPr>
      <w:r w:rsidRPr="005D726C">
        <w:t xml:space="preserve">Senate Rural and Regional Affairs and Transport References Committee inquiry into the requirements for labelling of seafood and seafood products in 2014 </w:t>
      </w:r>
    </w:p>
    <w:p w14:paraId="7E1B3EA4" w14:textId="77777777" w:rsidR="005D726C" w:rsidRPr="005D726C" w:rsidRDefault="005D726C" w:rsidP="005D726C">
      <w:pPr>
        <w:pStyle w:val="ListParagraph"/>
      </w:pPr>
      <w:r w:rsidRPr="005D726C">
        <w:t xml:space="preserve">House of Representatives Standing Committee on Agriculture and inquiry into CoOL for food in 2014 </w:t>
      </w:r>
    </w:p>
    <w:p w14:paraId="763F0672" w14:textId="77777777" w:rsidR="005D726C" w:rsidRPr="005D726C" w:rsidRDefault="005D726C" w:rsidP="005D726C">
      <w:pPr>
        <w:pStyle w:val="ListParagraph"/>
      </w:pPr>
      <w:r w:rsidRPr="005D726C">
        <w:t>Senate Rural and Regional Affairs and Transport Legislation Committee inquiry into the Food Standards Amendment (Fish Labelling) Bill 2015, a private Senator’s bill, in 2015</w:t>
      </w:r>
    </w:p>
    <w:p w14:paraId="6AE740C4" w14:textId="77777777" w:rsidR="005D726C" w:rsidRPr="005D726C" w:rsidRDefault="005D726C" w:rsidP="005D726C">
      <w:pPr>
        <w:pStyle w:val="ListParagraph"/>
      </w:pPr>
      <w:r w:rsidRPr="005D726C">
        <w:t>Joint Select Committee on Northern Australia inquiry into opportunities for expanding aquaculture in Northern Australia in 2016</w:t>
      </w:r>
    </w:p>
    <w:p w14:paraId="44AC9B0F" w14:textId="77777777" w:rsidR="005D726C" w:rsidRPr="005D726C" w:rsidRDefault="005D726C" w:rsidP="005D726C">
      <w:pPr>
        <w:pStyle w:val="ListParagraph"/>
      </w:pPr>
      <w:r w:rsidRPr="005D726C">
        <w:t>Productivity Commission inquiry into Regulation of Australian Marine Fisheries and Aquaculture Sectors in 2016</w:t>
      </w:r>
    </w:p>
    <w:p w14:paraId="2CC57208" w14:textId="77777777" w:rsidR="005D726C" w:rsidRPr="005D726C" w:rsidRDefault="005D726C" w:rsidP="005D726C">
      <w:pPr>
        <w:pStyle w:val="ListParagraph"/>
      </w:pPr>
      <w:r w:rsidRPr="005D726C">
        <w:t xml:space="preserve">Seafood Origin Working Group (Industry-led), chaired by the Hon Craig Laundy MP, former Assistant Minister for Industry, Innovation and Science, in 2017. </w:t>
      </w:r>
    </w:p>
    <w:p w14:paraId="2DB45FBE" w14:textId="77777777" w:rsidR="005D726C" w:rsidRPr="005D726C" w:rsidRDefault="005D726C" w:rsidP="005D726C">
      <w:pPr>
        <w:pStyle w:val="ListParagraph"/>
      </w:pPr>
      <w:r w:rsidRPr="005D726C">
        <w:t>The Australia and New Zealand Ministerial Forum on Food Regulation and the former Legislative and Governance Forum on Consumer Affairs consideration of extending origin labelling to seafood in food service in 2018</w:t>
      </w:r>
    </w:p>
    <w:p w14:paraId="0940CF69" w14:textId="77777777" w:rsidR="005D726C" w:rsidRPr="005D726C" w:rsidRDefault="005D726C" w:rsidP="005D726C">
      <w:pPr>
        <w:pStyle w:val="ListParagraph"/>
      </w:pPr>
      <w:r w:rsidRPr="005D726C">
        <w:t xml:space="preserve">Department of Industry, Science and </w:t>
      </w:r>
      <w:bookmarkStart w:id="82" w:name="_Hlk133576567"/>
      <w:bookmarkStart w:id="83" w:name="_Hlk133572215"/>
      <w:r w:rsidRPr="005D726C">
        <w:t>Resources ‘Evaluation of Country of Origin Labelling for Food 2020-2021’</w:t>
      </w:r>
    </w:p>
    <w:bookmarkEnd w:id="82"/>
    <w:p w14:paraId="1661973C" w14:textId="77777777" w:rsidR="005D726C" w:rsidRPr="005D726C" w:rsidRDefault="005D726C" w:rsidP="005D726C">
      <w:pPr>
        <w:pStyle w:val="ListParagraph"/>
      </w:pPr>
      <w:r w:rsidRPr="005D726C">
        <w:t>Queensland Parliament ‘Food (Labelling of Seafood) Amendment Bill 2021’</w:t>
      </w:r>
    </w:p>
    <w:bookmarkEnd w:id="83"/>
    <w:p w14:paraId="38F39318" w14:textId="77777777" w:rsidR="005D726C" w:rsidRPr="005D726C" w:rsidDel="00AB4099" w:rsidRDefault="005D726C" w:rsidP="005D726C">
      <w:pPr>
        <w:pStyle w:val="ListParagraph"/>
      </w:pPr>
      <w:r w:rsidRPr="005D726C">
        <w:t>The House of Representatives Standing Committee on Agriculture and Water Resources inquiry into Australian aquaculture sector 2022.</w:t>
      </w:r>
    </w:p>
    <w:p w14:paraId="735EBF54" w14:textId="77777777" w:rsidR="005D726C" w:rsidRDefault="005D726C" w:rsidP="005D726C">
      <w:r w:rsidDel="00AB4099">
        <w:t xml:space="preserve">The most recent investigation on the issue undertaken by the </w:t>
      </w:r>
      <w:r>
        <w:t xml:space="preserve">department </w:t>
      </w:r>
      <w:r w:rsidDel="00AB4099">
        <w:t xml:space="preserve">was the </w:t>
      </w:r>
      <w:hyperlink r:id="rId18" w:history="1">
        <w:r w:rsidRPr="009447AC" w:rsidDel="00AB4099">
          <w:rPr>
            <w:rStyle w:val="Hyperlink"/>
          </w:rPr>
          <w:t xml:space="preserve">CoOL </w:t>
        </w:r>
        <w:r w:rsidRPr="009447AC">
          <w:rPr>
            <w:rStyle w:val="Hyperlink"/>
          </w:rPr>
          <w:t>E</w:t>
        </w:r>
        <w:r w:rsidRPr="009447AC" w:rsidDel="00AB4099">
          <w:rPr>
            <w:rStyle w:val="Hyperlink"/>
          </w:rPr>
          <w:t>valuation</w:t>
        </w:r>
      </w:hyperlink>
      <w:r w:rsidDel="00AB4099">
        <w:t xml:space="preserve">. </w:t>
      </w:r>
      <w:r>
        <w:t xml:space="preserve">The matter of increasing information for consumers on the purchasing of seafood in hospitality settings was not fully assessed in this report. </w:t>
      </w:r>
    </w:p>
    <w:p w14:paraId="14DF01E3" w14:textId="77777777" w:rsidR="005D726C" w:rsidRDefault="005D726C" w:rsidP="005D726C">
      <w:r w:rsidDel="00AB4099">
        <w:t>Th</w:t>
      </w:r>
      <w:r>
        <w:t>e</w:t>
      </w:r>
      <w:r w:rsidDel="00AB4099">
        <w:t xml:space="preserve"> </w:t>
      </w:r>
      <w:r>
        <w:t>CoOL E</w:t>
      </w:r>
      <w:r w:rsidDel="00AB4099">
        <w:t xml:space="preserve">valuation found that the </w:t>
      </w:r>
      <w:r>
        <w:t>benefits</w:t>
      </w:r>
      <w:r w:rsidDel="00AB4099">
        <w:t xml:space="preserve"> of seafood labelling in hospitality would </w:t>
      </w:r>
      <w:r>
        <w:t xml:space="preserve">probably </w:t>
      </w:r>
      <w:r w:rsidDel="00AB4099">
        <w:t xml:space="preserve">not outweigh the </w:t>
      </w:r>
      <w:r>
        <w:t>costs, but no investigation of this matter was undertaken. The s</w:t>
      </w:r>
      <w:r w:rsidDel="00AB4099">
        <w:t xml:space="preserve">elling </w:t>
      </w:r>
      <w:r>
        <w:t xml:space="preserve">of seafood in hospitality settings was </w:t>
      </w:r>
      <w:r w:rsidDel="00AB4099">
        <w:t>not the primary focus of the evaluation</w:t>
      </w:r>
      <w:r>
        <w:t xml:space="preserve"> and there was no cost benefit analysis undertaken. The findings of this report </w:t>
      </w:r>
      <w:r w:rsidRPr="322AB8E2" w:rsidDel="00AB4099">
        <w:t xml:space="preserve">were indicative only and that </w:t>
      </w:r>
      <w:r>
        <w:t xml:space="preserve">it stated that </w:t>
      </w:r>
      <w:r w:rsidRPr="322AB8E2" w:rsidDel="00AB4099">
        <w:t xml:space="preserve">a more in-depth assessment </w:t>
      </w:r>
      <w:r>
        <w:t>was</w:t>
      </w:r>
      <w:r w:rsidRPr="322AB8E2" w:rsidDel="00AB4099">
        <w:t xml:space="preserve"> required.</w:t>
      </w:r>
      <w:r w:rsidDel="00AB4099">
        <w:t xml:space="preserve"> </w:t>
      </w:r>
    </w:p>
    <w:p w14:paraId="4A582B6B" w14:textId="77777777" w:rsidR="005D726C" w:rsidDel="00AB4099" w:rsidRDefault="005D726C" w:rsidP="005D726C">
      <w:r>
        <w:t>What the report did find was that m</w:t>
      </w:r>
      <w:r w:rsidDel="00AB4099">
        <w:t xml:space="preserve">andatory labelling was found to be more beneficial than voluntary </w:t>
      </w:r>
      <w:r>
        <w:t xml:space="preserve">labelling or information giving to consumers. It was the mandatory labelling information that was </w:t>
      </w:r>
      <w:r w:rsidDel="00AB4099">
        <w:t>driv</w:t>
      </w:r>
      <w:r>
        <w:t xml:space="preserve">ing </w:t>
      </w:r>
      <w:r w:rsidDel="00AB4099">
        <w:t>the increased benefits to consumers.</w:t>
      </w:r>
    </w:p>
    <w:p w14:paraId="33868C6D" w14:textId="77777777" w:rsidR="005D726C" w:rsidDel="00AB4099" w:rsidRDefault="005D726C" w:rsidP="005D726C">
      <w:r w:rsidDel="00AB4099">
        <w:t xml:space="preserve">The Northern Territory (NT) is currently the only Australian jurisdiction with a form of mandatory origin labelling. Under legislation introduced in 2008, fish retailers (such as restaurants, food vans, supermarkets) are required to label seafood as imported if it was not harvested in Australia. Imported seafood must be labelled with an ‘i’ or an ‘I’ on packaging, menus, display boards, pamphlets, and other advertising materials. Dishes containing seafood of mixed origins need to be labelled as ‘contains imported seafood products.’ </w:t>
      </w:r>
    </w:p>
    <w:p w14:paraId="4BC6024C" w14:textId="77777777" w:rsidR="005D726C" w:rsidDel="00AB4099" w:rsidRDefault="005D726C" w:rsidP="005D726C">
      <w:pPr>
        <w:keepNext/>
      </w:pPr>
      <w:r w:rsidDel="00AB4099">
        <w:lastRenderedPageBreak/>
        <w:t>The FRDC reviewed the NT scheme in 2011.</w:t>
      </w:r>
      <w:r>
        <w:rPr>
          <w:rStyle w:val="FootnoteReference"/>
        </w:rPr>
        <w:footnoteReference w:id="24"/>
      </w:r>
      <w:r w:rsidDel="00AB4099">
        <w:t xml:space="preserve"> It found there was support from the food services sector and consumers, compliance was relatively high, and business costs appeared to be relatively modest. However, it also found that some consumers </w:t>
      </w:r>
      <w:r>
        <w:t>mistakenly</w:t>
      </w:r>
      <w:r w:rsidDel="00AB4099">
        <w:t xml:space="preserve"> assumed </w:t>
      </w:r>
      <w:r>
        <w:t xml:space="preserve">that </w:t>
      </w:r>
      <w:r w:rsidDel="00AB4099">
        <w:t>unlabelled seafood was imported</w:t>
      </w:r>
      <w:r>
        <w:t>, instead of seafood with Australian origin not requiring labelling.</w:t>
      </w:r>
    </w:p>
    <w:p w14:paraId="0652E924" w14:textId="7BD9085E" w:rsidR="005D726C" w:rsidDel="00AB4099" w:rsidRDefault="005D726C" w:rsidP="005D726C">
      <w:r w:rsidDel="00AB4099">
        <w:t>Other Australian state and territory governments have also considered mandatory origin labelling for seafood in past years. Most recently with Queensland Government</w:t>
      </w:r>
      <w:r>
        <w:t xml:space="preserve">’s </w:t>
      </w:r>
      <w:r w:rsidRPr="00E04AFD">
        <w:t>‘Food (Labelling of Seafood) Amendment Bill 2021’</w:t>
      </w:r>
      <w:r>
        <w:t xml:space="preserve"> </w:t>
      </w:r>
      <w:r w:rsidDel="00AB4099">
        <w:t>referring the issue to the Commonwealth in 2022</w:t>
      </w:r>
      <w:r>
        <w:t xml:space="preserve"> as it was a consumer information, rather than a food safety</w:t>
      </w:r>
      <w:r w:rsidR="006E009F">
        <w:t>,</w:t>
      </w:r>
      <w:r>
        <w:t xml:space="preserve"> matter</w:t>
      </w:r>
      <w:r w:rsidDel="00AB4099">
        <w:t xml:space="preserve">. </w:t>
      </w:r>
    </w:p>
    <w:p w14:paraId="35C6C127" w14:textId="5A1DB8C8" w:rsidR="005D726C" w:rsidRDefault="005D726C" w:rsidP="005D726C">
      <w:r w:rsidDel="00AB4099">
        <w:t xml:space="preserve">There have also been various similar industry and government initiatives and resources on seafood origin, including encouraging </w:t>
      </w:r>
      <w:r w:rsidR="006E009F">
        <w:t>consumers</w:t>
      </w:r>
      <w:r w:rsidR="006E009F" w:rsidDel="00AB4099">
        <w:t xml:space="preserve"> </w:t>
      </w:r>
      <w:r w:rsidDel="00AB4099">
        <w:t xml:space="preserve">to ask about it when dining out, and helping them find Australian seafood if it aligns with their preferences. For example, while not directly related to origin labelling, the seafood industry has taken action to help educate consumers about seafood origin. </w:t>
      </w:r>
    </w:p>
    <w:p w14:paraId="24ECBC0D" w14:textId="77777777" w:rsidR="005D726C" w:rsidRDefault="005D726C" w:rsidP="005D726C">
      <w:r w:rsidDel="00AB4099">
        <w:t xml:space="preserve">In 2020, Seafood Industry Australia launched the Great Australian Seafood brand, website, and marketing campaign, which was funded by the Australian Government under the $1 billion COVID-19 Relief and Recovery fund. The primary aim of the industry-led initiative is to promote all sectors of the Australian seafood industry, from fishers to foodservices. </w:t>
      </w:r>
    </w:p>
    <w:p w14:paraId="28F7121F" w14:textId="77777777" w:rsidR="005D726C" w:rsidRDefault="005D726C" w:rsidP="005D726C">
      <w:r w:rsidDel="00AB4099">
        <w:t xml:space="preserve">The Great Australian Seafood website includes a Fish Finder tool to help consumers search for suppliers and fish and chip businesses that sell Australian seafood near them. </w:t>
      </w:r>
    </w:p>
    <w:p w14:paraId="297EE91C" w14:textId="77777777" w:rsidR="005D726C" w:rsidDel="00AB4099" w:rsidRDefault="005D726C" w:rsidP="005D726C">
      <w:r w:rsidDel="00AB4099">
        <w:t>Other initiatives include:</w:t>
      </w:r>
    </w:p>
    <w:p w14:paraId="04C19358" w14:textId="77777777" w:rsidR="005D726C" w:rsidDel="00AB4099" w:rsidRDefault="005D726C" w:rsidP="005D726C">
      <w:pPr>
        <w:pStyle w:val="ListParagraph"/>
        <w:numPr>
          <w:ilvl w:val="0"/>
          <w:numId w:val="27"/>
        </w:numPr>
      </w:pPr>
      <w:r w:rsidDel="00AB4099">
        <w:t xml:space="preserve">the New South Wales Government’s </w:t>
      </w:r>
      <w:hyperlink r:id="rId19" w:history="1">
        <w:r w:rsidRPr="00CB0955" w:rsidDel="00AB4099">
          <w:rPr>
            <w:rStyle w:val="Hyperlink"/>
          </w:rPr>
          <w:t>Eat More Seafood</w:t>
        </w:r>
      </w:hyperlink>
      <w:r w:rsidDel="00AB4099">
        <w:t xml:space="preserve"> program, which provides grants for projects to increase community awareness of the benefits of buying seafood locally</w:t>
      </w:r>
    </w:p>
    <w:p w14:paraId="113E44FA" w14:textId="77777777" w:rsidR="005D726C" w:rsidDel="00AB4099" w:rsidRDefault="005D726C" w:rsidP="005D726C">
      <w:pPr>
        <w:pStyle w:val="ListParagraph"/>
        <w:numPr>
          <w:ilvl w:val="0"/>
          <w:numId w:val="27"/>
        </w:numPr>
      </w:pPr>
      <w:r w:rsidDel="00AB4099">
        <w:t xml:space="preserve">the Tasmanian Seafood Industry Council’s (TSIC) </w:t>
      </w:r>
      <w:hyperlink r:id="rId20" w:history="1">
        <w:r w:rsidRPr="00CB0955" w:rsidDel="00AB4099">
          <w:rPr>
            <w:rStyle w:val="Hyperlink"/>
          </w:rPr>
          <w:t>Eat More Tassie Seafood</w:t>
        </w:r>
      </w:hyperlink>
      <w:r w:rsidDel="00AB4099">
        <w:t xml:space="preserve"> grant for projects that promote Tasmanian seafood, and TSIC’s </w:t>
      </w:r>
      <w:hyperlink r:id="rId21" w:history="1">
        <w:r w:rsidRPr="00CB0955" w:rsidDel="00AB4099">
          <w:rPr>
            <w:rStyle w:val="Hyperlink"/>
          </w:rPr>
          <w:t>Seafood Trail</w:t>
        </w:r>
      </w:hyperlink>
      <w:r w:rsidDel="00AB4099">
        <w:t xml:space="preserve"> which promotes seafood tourism</w:t>
      </w:r>
    </w:p>
    <w:p w14:paraId="1CE8F287" w14:textId="77777777" w:rsidR="005D726C" w:rsidDel="00AB4099" w:rsidRDefault="002E55B9" w:rsidP="005D726C">
      <w:pPr>
        <w:pStyle w:val="ListParagraph"/>
        <w:numPr>
          <w:ilvl w:val="0"/>
          <w:numId w:val="27"/>
        </w:numPr>
      </w:pPr>
      <w:hyperlink r:id="rId22" w:history="1">
        <w:r w:rsidR="005D726C" w:rsidRPr="00CB0955" w:rsidDel="00AB4099">
          <w:rPr>
            <w:rStyle w:val="Hyperlink"/>
          </w:rPr>
          <w:t>FoodWise</w:t>
        </w:r>
      </w:hyperlink>
      <w:r w:rsidR="005D726C" w:rsidDel="00AB4099">
        <w:t xml:space="preserve"> guidance on buying sustainable fish</w:t>
      </w:r>
    </w:p>
    <w:p w14:paraId="2FACF85D" w14:textId="77777777" w:rsidR="005D726C" w:rsidRDefault="002E55B9" w:rsidP="005D726C">
      <w:pPr>
        <w:pStyle w:val="ListParagraph"/>
        <w:numPr>
          <w:ilvl w:val="0"/>
          <w:numId w:val="27"/>
        </w:numPr>
      </w:pPr>
      <w:hyperlink r:id="rId23" w:history="1">
        <w:r w:rsidR="005D726C" w:rsidRPr="00CB0955" w:rsidDel="00AB4099">
          <w:rPr>
            <w:rStyle w:val="Hyperlink"/>
          </w:rPr>
          <w:t>Safe Food Queensland</w:t>
        </w:r>
      </w:hyperlink>
      <w:r w:rsidR="005D726C" w:rsidDel="00AB4099">
        <w:t xml:space="preserve"> information on Australian seafood.</w:t>
      </w:r>
    </w:p>
    <w:p w14:paraId="19C0E107" w14:textId="77777777" w:rsidR="005D726C" w:rsidRDefault="005D726C" w:rsidP="005D726C"/>
    <w:p w14:paraId="178589D6" w14:textId="77777777" w:rsidR="005D726C" w:rsidRDefault="005D726C" w:rsidP="005D726C"/>
    <w:p w14:paraId="7905845F" w14:textId="77777777" w:rsidR="005D726C" w:rsidRDefault="005D726C" w:rsidP="005D726C"/>
    <w:p w14:paraId="63B4221A" w14:textId="77777777" w:rsidR="005D726C" w:rsidRDefault="005D726C" w:rsidP="005D726C">
      <w:pPr>
        <w:rPr>
          <w:i/>
          <w:iCs/>
        </w:rPr>
      </w:pPr>
    </w:p>
    <w:p w14:paraId="108D2760" w14:textId="77777777" w:rsidR="005D726C" w:rsidRDefault="005D726C" w:rsidP="005D726C">
      <w:pPr>
        <w:rPr>
          <w:i/>
          <w:iCs/>
        </w:rPr>
      </w:pPr>
    </w:p>
    <w:p w14:paraId="122C3EE2" w14:textId="77777777" w:rsidR="005D726C" w:rsidRDefault="005D726C" w:rsidP="005D726C">
      <w:pPr>
        <w:rPr>
          <w:i/>
          <w:iCs/>
        </w:rPr>
      </w:pPr>
    </w:p>
    <w:p w14:paraId="46750FA3" w14:textId="77777777" w:rsidR="005D726C" w:rsidRDefault="005D726C" w:rsidP="005D726C">
      <w:pPr>
        <w:pStyle w:val="Heading1"/>
        <w:jc w:val="right"/>
      </w:pPr>
      <w:bookmarkStart w:id="84" w:name="_Toc133586464"/>
      <w:bookmarkStart w:id="85" w:name="_Toc136008643"/>
      <w:r>
        <w:lastRenderedPageBreak/>
        <w:t>Appendix B</w:t>
      </w:r>
      <w:bookmarkEnd w:id="84"/>
      <w:bookmarkEnd w:id="85"/>
    </w:p>
    <w:p w14:paraId="13E5A826" w14:textId="77777777" w:rsidR="005D726C" w:rsidRPr="005D726C" w:rsidRDefault="005D726C" w:rsidP="005D726C">
      <w:pPr>
        <w:pStyle w:val="Heading2"/>
      </w:pPr>
      <w:bookmarkStart w:id="86" w:name="_Toc132114802"/>
      <w:bookmarkStart w:id="87" w:name="_Toc133586465"/>
      <w:bookmarkStart w:id="88" w:name="_Toc136008644"/>
      <w:r w:rsidRPr="005D726C">
        <w:t>Country of Origin for Food Labelling Information Standard 2016</w:t>
      </w:r>
      <w:bookmarkEnd w:id="86"/>
      <w:bookmarkEnd w:id="87"/>
      <w:bookmarkEnd w:id="88"/>
    </w:p>
    <w:p w14:paraId="6C707BAA" w14:textId="77777777" w:rsidR="005D726C" w:rsidRDefault="005D726C" w:rsidP="005D726C">
      <w:pPr>
        <w:ind w:left="51"/>
      </w:pPr>
      <w:r>
        <w:t xml:space="preserve">The </w:t>
      </w:r>
      <w:r w:rsidRPr="414B655F">
        <w:rPr>
          <w:i/>
          <w:iCs/>
        </w:rPr>
        <w:t>Country of Origin Food Labelling Information Standard 2016</w:t>
      </w:r>
      <w:r>
        <w:t xml:space="preserve"> (the CoOL Standard) requires that most food products sold in retail settings in Australia be labelled with information about the country where the product was grown, produced, made, or packed.</w:t>
      </w:r>
    </w:p>
    <w:p w14:paraId="32451C00" w14:textId="77777777" w:rsidR="005D726C" w:rsidRDefault="005D726C" w:rsidP="005D726C">
      <w:pPr>
        <w:ind w:left="51"/>
      </w:pPr>
      <w:r>
        <w:t>It has been a mandatory requirement under the ACL since 2018 and its use is enforced by the ACCC, in partnership with state and territory consumer protection agencies.</w:t>
      </w:r>
    </w:p>
    <w:p w14:paraId="204FED91" w14:textId="77777777" w:rsidR="005D726C" w:rsidRDefault="005D726C" w:rsidP="005D726C">
      <w:pPr>
        <w:ind w:left="51"/>
      </w:pPr>
      <w:r>
        <w:t>Labelling requirements differ depending on whether the food was grown, produced, made, or packaged in Australia or in another country. In general, the CoOL Standard requires a statement of origin and/or a standard mark (a green and gold kangaroo logo and a graphic showing the proportion of Australian ingredients) to be present on packaging or a label for the food product.</w:t>
      </w:r>
    </w:p>
    <w:p w14:paraId="355984AE" w14:textId="77777777" w:rsidR="005D726C" w:rsidRDefault="005D726C" w:rsidP="005D726C">
      <w:pPr>
        <w:ind w:left="51"/>
      </w:pPr>
      <w:r>
        <w:t xml:space="preserve">All food sold in foodservice, such as restaurants, cafes, canteens, and catering, has been historically exempt. Any country of origin information provided by businesses in these settings is entirely voluntary but, under ACL protections, the information must not be false, misleading, or deceptive. </w:t>
      </w:r>
    </w:p>
    <w:p w14:paraId="4643D91C" w14:textId="77777777" w:rsidR="005D726C" w:rsidRDefault="005D726C" w:rsidP="005D726C">
      <w:pPr>
        <w:ind w:left="50"/>
      </w:pPr>
    </w:p>
    <w:p w14:paraId="33ECCF1B" w14:textId="77777777" w:rsidR="005D726C" w:rsidRDefault="005D726C" w:rsidP="005D726C">
      <w:pPr>
        <w:ind w:left="50"/>
      </w:pPr>
    </w:p>
    <w:p w14:paraId="1ED200AC" w14:textId="77777777" w:rsidR="005D726C" w:rsidRDefault="005D726C" w:rsidP="005D726C">
      <w:pPr>
        <w:ind w:left="50"/>
      </w:pPr>
    </w:p>
    <w:p w14:paraId="7970935C" w14:textId="77777777" w:rsidR="005D726C" w:rsidRDefault="005D726C" w:rsidP="005D726C">
      <w:pPr>
        <w:ind w:left="50"/>
      </w:pPr>
    </w:p>
    <w:p w14:paraId="6ED21832" w14:textId="77777777" w:rsidR="005D726C" w:rsidRDefault="005D726C" w:rsidP="005D726C">
      <w:pPr>
        <w:ind w:left="50"/>
      </w:pPr>
    </w:p>
    <w:p w14:paraId="0CF72609" w14:textId="77777777" w:rsidR="005D726C" w:rsidRDefault="005D726C" w:rsidP="005D726C">
      <w:pPr>
        <w:ind w:left="50"/>
      </w:pPr>
    </w:p>
    <w:p w14:paraId="007AE218" w14:textId="77777777" w:rsidR="005D726C" w:rsidRDefault="005D726C" w:rsidP="005D726C">
      <w:pPr>
        <w:ind w:left="50"/>
      </w:pPr>
    </w:p>
    <w:p w14:paraId="05405663" w14:textId="77777777" w:rsidR="005D726C" w:rsidRDefault="005D726C" w:rsidP="005D726C">
      <w:pPr>
        <w:ind w:left="50"/>
      </w:pPr>
    </w:p>
    <w:p w14:paraId="103ED921" w14:textId="77777777" w:rsidR="005D726C" w:rsidRDefault="005D726C" w:rsidP="005D726C">
      <w:pPr>
        <w:ind w:left="50"/>
      </w:pPr>
    </w:p>
    <w:p w14:paraId="561C78B3" w14:textId="77777777" w:rsidR="005D726C" w:rsidRDefault="005D726C" w:rsidP="005D726C">
      <w:pPr>
        <w:ind w:left="50"/>
      </w:pPr>
    </w:p>
    <w:p w14:paraId="1D4F3DF5" w14:textId="77777777" w:rsidR="005D726C" w:rsidRDefault="005D726C" w:rsidP="005D726C">
      <w:pPr>
        <w:ind w:left="50"/>
      </w:pPr>
    </w:p>
    <w:p w14:paraId="04089E46" w14:textId="77777777" w:rsidR="005D726C" w:rsidRDefault="005D726C" w:rsidP="005D726C">
      <w:pPr>
        <w:ind w:left="50"/>
      </w:pPr>
    </w:p>
    <w:p w14:paraId="59AC94BB" w14:textId="77777777" w:rsidR="005D726C" w:rsidRDefault="005D726C" w:rsidP="005D726C">
      <w:pPr>
        <w:ind w:left="50"/>
      </w:pPr>
    </w:p>
    <w:p w14:paraId="4CD2B7B4" w14:textId="77777777" w:rsidR="005D726C" w:rsidRDefault="005D726C" w:rsidP="005D726C">
      <w:pPr>
        <w:ind w:left="50"/>
      </w:pPr>
    </w:p>
    <w:p w14:paraId="4ADE5233" w14:textId="77777777" w:rsidR="005D726C" w:rsidRDefault="005D726C" w:rsidP="005D726C">
      <w:pPr>
        <w:ind w:left="50"/>
      </w:pPr>
    </w:p>
    <w:p w14:paraId="4E045840" w14:textId="77777777" w:rsidR="005D726C" w:rsidRDefault="005D726C" w:rsidP="005D726C">
      <w:pPr>
        <w:pStyle w:val="Heading1"/>
        <w:jc w:val="right"/>
      </w:pPr>
      <w:bookmarkStart w:id="89" w:name="_Toc136008645"/>
      <w:bookmarkStart w:id="90" w:name="_Toc133586466"/>
      <w:r>
        <w:lastRenderedPageBreak/>
        <w:t>Appendix C</w:t>
      </w:r>
      <w:bookmarkEnd w:id="89"/>
    </w:p>
    <w:p w14:paraId="17BA7468" w14:textId="77777777" w:rsidR="005D726C" w:rsidRPr="005D726C" w:rsidRDefault="005D726C" w:rsidP="005D726C">
      <w:pPr>
        <w:pStyle w:val="Heading2"/>
      </w:pPr>
      <w:bookmarkStart w:id="91" w:name="_Toc136008646"/>
      <w:r w:rsidRPr="005D726C">
        <w:t>Overview of relevant industries</w:t>
      </w:r>
      <w:bookmarkEnd w:id="90"/>
      <w:bookmarkEnd w:id="91"/>
    </w:p>
    <w:p w14:paraId="6710757F" w14:textId="77777777" w:rsidR="005D726C" w:rsidRDefault="005D726C" w:rsidP="005D726C">
      <w:pPr>
        <w:pStyle w:val="Heading3"/>
      </w:pPr>
      <w:r>
        <w:t xml:space="preserve">Fisheries and aquaculture </w:t>
      </w:r>
    </w:p>
    <w:p w14:paraId="7D78806B" w14:textId="77777777" w:rsidR="005D726C" w:rsidRPr="005D726C" w:rsidRDefault="005D726C" w:rsidP="005D726C">
      <w:r w:rsidRPr="005D726C">
        <w:t>The gross value of fisheries and aquaculture production in Australia in 2019-2020 was $3.15 billion.</w:t>
      </w:r>
      <w:r w:rsidRPr="005D726C">
        <w:rPr>
          <w:rStyle w:val="FootnoteReference"/>
          <w:sz w:val="22"/>
        </w:rPr>
        <w:footnoteReference w:id="25"/>
      </w:r>
      <w:r>
        <w:t xml:space="preserve"> </w:t>
      </w:r>
      <w:r w:rsidRPr="005D726C">
        <w:t>The seafood industry in Australia provides employment for almost 17,000 of people in fisheries and aquaculture, associated seafood processing and indirectly through flow-in business activity in other sectors.</w:t>
      </w:r>
    </w:p>
    <w:p w14:paraId="12E38FAC" w14:textId="77777777" w:rsidR="005D726C" w:rsidRDefault="005D726C" w:rsidP="005D726C">
      <w:pPr>
        <w:pStyle w:val="Heading3"/>
      </w:pPr>
      <w:r>
        <w:t>Hospitality</w:t>
      </w:r>
    </w:p>
    <w:p w14:paraId="3F0B6445" w14:textId="77777777" w:rsidR="005D726C" w:rsidRPr="00A81D3F" w:rsidRDefault="005D726C" w:rsidP="005D726C">
      <w:r w:rsidRPr="00A81D3F">
        <w:t>Accommodation and Food Services is a large employing industry</w:t>
      </w:r>
      <w:r>
        <w:t>. It employs 967,000 people has a gross value of $40.6 billion to the Australian economy.</w:t>
      </w:r>
      <w:r>
        <w:rPr>
          <w:rStyle w:val="FootnoteReference"/>
        </w:rPr>
        <w:footnoteReference w:id="26"/>
      </w:r>
      <w:r>
        <w:t xml:space="preserve"> The hospitality sector a</w:t>
      </w:r>
      <w:r w:rsidRPr="00136775">
        <w:t xml:space="preserve">cross cafes, restaurants and takeaway food </w:t>
      </w:r>
      <w:r>
        <w:t>s</w:t>
      </w:r>
      <w:r w:rsidRPr="00495532">
        <w:t>ervices was</w:t>
      </w:r>
      <w:r w:rsidRPr="00495532">
        <w:rPr>
          <w:rFonts w:hint="eastAsia"/>
        </w:rPr>
        <w:t> </w:t>
      </w:r>
      <w:r w:rsidRPr="00495532">
        <w:t>quantified with an annual revenue of $45.78 billion in 2021.</w:t>
      </w:r>
      <w:r>
        <w:rPr>
          <w:rStyle w:val="FootnoteReference"/>
        </w:rPr>
        <w:footnoteReference w:id="27"/>
      </w:r>
      <w:r>
        <w:t xml:space="preserve"> </w:t>
      </w:r>
      <w:r>
        <w:rPr>
          <w:rStyle w:val="ui-provider"/>
        </w:rPr>
        <w:t>Cafes, Restaurants and Takeaway Food Services is the largest sector in the Accommodation and Food Services industry, employing 72.3% of workers.</w:t>
      </w:r>
      <w:r>
        <w:rPr>
          <w:rStyle w:val="FootnoteReference"/>
        </w:rPr>
        <w:footnoteReference w:id="28"/>
      </w:r>
    </w:p>
    <w:p w14:paraId="33127A0B" w14:textId="77777777" w:rsidR="005D726C" w:rsidRPr="00A81D3F" w:rsidRDefault="005D726C" w:rsidP="005D726C">
      <w:pPr>
        <w:spacing w:after="0" w:line="240" w:lineRule="auto"/>
        <w:rPr>
          <w:rFonts w:ascii="omnes-pro" w:hAnsi="omnes-pro"/>
          <w:color w:val="4E4E4E"/>
        </w:rPr>
      </w:pPr>
    </w:p>
    <w:p w14:paraId="66E0BCB4" w14:textId="77777777" w:rsidR="005D726C" w:rsidRPr="002D0652" w:rsidRDefault="005D726C" w:rsidP="005D726C"/>
    <w:p w14:paraId="56B434E2" w14:textId="77777777" w:rsidR="00C80DB4" w:rsidRPr="00C80DB4" w:rsidRDefault="00C80DB4" w:rsidP="00C80DB4"/>
    <w:sectPr w:rsidR="00C80DB4" w:rsidRPr="00C80DB4" w:rsidSect="0068286F">
      <w:headerReference w:type="even" r:id="rId24"/>
      <w:headerReference w:type="default" r:id="rId25"/>
      <w:footerReference w:type="even" r:id="rId26"/>
      <w:footerReference w:type="default" r:id="rId27"/>
      <w:headerReference w:type="first" r:id="rId28"/>
      <w:footerReference w:type="first" r:id="rId29"/>
      <w:pgSz w:w="11906" w:h="16838"/>
      <w:pgMar w:top="1276" w:right="1440" w:bottom="1440" w:left="1440"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EE48A" w14:textId="77777777" w:rsidR="00C77879" w:rsidRDefault="00C77879" w:rsidP="00B251DB">
      <w:pPr>
        <w:spacing w:after="0" w:line="240" w:lineRule="auto"/>
      </w:pPr>
      <w:r>
        <w:separator/>
      </w:r>
    </w:p>
  </w:endnote>
  <w:endnote w:type="continuationSeparator" w:id="0">
    <w:p w14:paraId="69E5FA2E" w14:textId="77777777" w:rsidR="00C77879" w:rsidRDefault="00C77879" w:rsidP="00B251DB">
      <w:pPr>
        <w:spacing w:after="0" w:line="240" w:lineRule="auto"/>
      </w:pPr>
      <w:r>
        <w:continuationSeparator/>
      </w:r>
    </w:p>
  </w:endnote>
  <w:endnote w:type="continuationNotice" w:id="1">
    <w:p w14:paraId="5790A145" w14:textId="77777777" w:rsidR="00B86A08" w:rsidRDefault="00B86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C31F" w14:textId="77777777" w:rsidR="002E55B9" w:rsidRDefault="002E5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8919" w14:textId="487C37C5" w:rsidR="00BF742E" w:rsidRDefault="00A6697F" w:rsidP="00DC5D38">
    <w:pPr>
      <w:pStyle w:val="Footer"/>
      <w:jc w:val="center"/>
    </w:pPr>
    <w:r>
      <w:t>Country of origin labelling for seafood in hospitality settings</w:t>
    </w:r>
    <w:r w:rsidR="00BD0F8A">
      <w:tab/>
      <w:t>industry.gov.au</w:t>
    </w:r>
  </w:p>
  <w:p w14:paraId="454661E6" w14:textId="2EB5AA2C" w:rsidR="007E43E2" w:rsidRPr="007E43E2" w:rsidRDefault="002E55B9" w:rsidP="00DC5D38">
    <w:pPr>
      <w:pStyle w:val="Footer"/>
      <w:jc w:val="center"/>
      <w:rPr>
        <w:b/>
        <w:color w:val="FF0000"/>
        <w:sz w:val="28"/>
      </w:rPr>
    </w:pPr>
    <w:sdt>
      <w:sdtPr>
        <w:id w:val="-104490174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Pr>
            <w:noProof/>
          </w:rPr>
          <w:t>1</w:t>
        </w:r>
        <w:r w:rsidR="00BD0F8A">
          <w:rPr>
            <w:noProof/>
          </w:rPr>
          <w:fldChar w:fldCharType="end"/>
        </w:r>
      </w:sdtContent>
    </w:sdt>
    <w:r w:rsidR="007E43E2" w:rsidRPr="007E43E2">
      <w:rPr>
        <w:b/>
        <w:color w:val="FF0000"/>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31343" w14:textId="77777777" w:rsidR="00607188" w:rsidRDefault="00607188">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14:paraId="6276B419" w14:textId="77777777" w:rsidR="003B6387" w:rsidRPr="003B6387" w:rsidRDefault="003B6387" w:rsidP="003B6387">
    <w:pPr>
      <w:pStyle w:val="Footer"/>
      <w:jc w:val="center"/>
      <w:rPr>
        <w:b/>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FE49" w14:textId="77777777" w:rsidR="00C77879" w:rsidRDefault="00C77879" w:rsidP="00B251DB">
      <w:pPr>
        <w:spacing w:after="0" w:line="240" w:lineRule="auto"/>
      </w:pPr>
      <w:r>
        <w:separator/>
      </w:r>
    </w:p>
  </w:footnote>
  <w:footnote w:type="continuationSeparator" w:id="0">
    <w:p w14:paraId="309EF3E4" w14:textId="77777777" w:rsidR="00C77879" w:rsidRDefault="00C77879" w:rsidP="00B251DB">
      <w:pPr>
        <w:spacing w:after="0" w:line="240" w:lineRule="auto"/>
      </w:pPr>
      <w:r>
        <w:continuationSeparator/>
      </w:r>
    </w:p>
  </w:footnote>
  <w:footnote w:type="continuationNotice" w:id="1">
    <w:p w14:paraId="44F61F9C" w14:textId="77777777" w:rsidR="00B86A08" w:rsidRDefault="00B86A08">
      <w:pPr>
        <w:spacing w:after="0" w:line="240" w:lineRule="auto"/>
      </w:pPr>
    </w:p>
  </w:footnote>
  <w:footnote w:id="2">
    <w:p w14:paraId="3737C70F" w14:textId="0E3D9714" w:rsidR="00045A16" w:rsidRDefault="00045A16" w:rsidP="009D4E2A">
      <w:pPr>
        <w:pStyle w:val="FootnoteText"/>
        <w:spacing w:line="240" w:lineRule="auto"/>
      </w:pPr>
      <w:r>
        <w:rPr>
          <w:rStyle w:val="FootnoteReference"/>
        </w:rPr>
        <w:footnoteRef/>
      </w:r>
      <w:r>
        <w:t xml:space="preserve"> The Hon Ed Husic, ‘ </w:t>
      </w:r>
      <w:hyperlink r:id="rId1" w:history="1">
        <w:r>
          <w:rPr>
            <w:rStyle w:val="Hyperlink"/>
          </w:rPr>
          <w:t>Backing regional industry and delivering secure jobs for the future</w:t>
        </w:r>
      </w:hyperlink>
      <w:r>
        <w:t xml:space="preserve">’, Budget Media </w:t>
      </w:r>
      <w:r w:rsidR="009D4E2A">
        <w:t>R</w:t>
      </w:r>
      <w:r>
        <w:t>elease, 25 October 2022, accessed 9 May 2023</w:t>
      </w:r>
      <w:r w:rsidR="008F66D4">
        <w:t>.</w:t>
      </w:r>
      <w:r>
        <w:t xml:space="preserve">   </w:t>
      </w:r>
    </w:p>
  </w:footnote>
  <w:footnote w:id="3">
    <w:p w14:paraId="2E31C3CF" w14:textId="77777777" w:rsidR="00600153" w:rsidRDefault="00600153" w:rsidP="00600153">
      <w:pPr>
        <w:pStyle w:val="FootnoteText"/>
        <w:spacing w:line="240" w:lineRule="auto"/>
      </w:pPr>
      <w:r>
        <w:rPr>
          <w:rStyle w:val="FootnoteReference"/>
        </w:rPr>
        <w:footnoteRef/>
      </w:r>
      <w:r>
        <w:t xml:space="preserve"> </w:t>
      </w:r>
      <w:hyperlink r:id="rId2" w:history="1">
        <w:r w:rsidRPr="00523AB5">
          <w:rPr>
            <w:rStyle w:val="Hyperlink"/>
            <w:i/>
            <w:iCs/>
          </w:rPr>
          <w:t xml:space="preserve">Competition and Consumer Act 2010 </w:t>
        </w:r>
        <w:r w:rsidRPr="00523AB5">
          <w:rPr>
            <w:rStyle w:val="Hyperlink"/>
          </w:rPr>
          <w:t>(Cth) sch 2</w:t>
        </w:r>
      </w:hyperlink>
    </w:p>
  </w:footnote>
  <w:footnote w:id="4">
    <w:p w14:paraId="43CF259B" w14:textId="77777777" w:rsidR="007E0FA0" w:rsidRDefault="007E0FA0" w:rsidP="005D726C">
      <w:pPr>
        <w:pStyle w:val="FootnoteText"/>
        <w:spacing w:line="240" w:lineRule="auto"/>
      </w:pPr>
      <w:r>
        <w:rPr>
          <w:rStyle w:val="FootnoteReference"/>
        </w:rPr>
        <w:footnoteRef/>
      </w:r>
      <w:r>
        <w:t xml:space="preserve"> </w:t>
      </w:r>
      <w:r w:rsidRPr="00141C34">
        <w:t xml:space="preserve">Evaluation of Country of Origin Labelling reforms </w:t>
      </w:r>
      <w:hyperlink r:id="rId3" w:history="1">
        <w:r w:rsidRPr="005F7357">
          <w:rPr>
            <w:rStyle w:val="Hyperlink"/>
          </w:rPr>
          <w:t>Final Report</w:t>
        </w:r>
      </w:hyperlink>
      <w:r w:rsidRPr="00141C34">
        <w:t>, July 2021</w:t>
      </w:r>
    </w:p>
  </w:footnote>
  <w:footnote w:id="5">
    <w:p w14:paraId="7CE277BB" w14:textId="77777777" w:rsidR="007E0FA0" w:rsidRDefault="007E0FA0" w:rsidP="005D726C">
      <w:pPr>
        <w:pStyle w:val="FootnoteText"/>
        <w:spacing w:line="240" w:lineRule="auto"/>
      </w:pPr>
      <w:r>
        <w:rPr>
          <w:rStyle w:val="FootnoteReference"/>
        </w:rPr>
        <w:footnoteRef/>
      </w:r>
      <w:r>
        <w:t xml:space="preserve"> As above</w:t>
      </w:r>
      <w:r w:rsidRPr="00141C34">
        <w:t xml:space="preserve"> </w:t>
      </w:r>
    </w:p>
  </w:footnote>
  <w:footnote w:id="6">
    <w:p w14:paraId="17184BA1" w14:textId="77777777" w:rsidR="007E0FA0" w:rsidRDefault="007E0FA0" w:rsidP="005D726C">
      <w:pPr>
        <w:pStyle w:val="FootnoteText"/>
        <w:spacing w:line="240" w:lineRule="auto"/>
      </w:pPr>
      <w:r>
        <w:rPr>
          <w:rStyle w:val="FootnoteReference"/>
        </w:rPr>
        <w:footnoteRef/>
      </w:r>
      <w:r>
        <w:t xml:space="preserve"> </w:t>
      </w:r>
      <w:r w:rsidR="005F7357">
        <w:t xml:space="preserve">ABARES, </w:t>
      </w:r>
      <w:hyperlink r:id="rId4" w:history="1">
        <w:r w:rsidR="005F7357" w:rsidRPr="005F7357">
          <w:rPr>
            <w:rStyle w:val="Hyperlink"/>
          </w:rPr>
          <w:t>Seafood consumption in Australia</w:t>
        </w:r>
      </w:hyperlink>
      <w:r w:rsidR="005F7357">
        <w:t>, 2021</w:t>
      </w:r>
    </w:p>
  </w:footnote>
  <w:footnote w:id="7">
    <w:p w14:paraId="1A1A1B5C" w14:textId="77777777" w:rsidR="007E0FA0" w:rsidRDefault="007E0FA0" w:rsidP="005D726C">
      <w:pPr>
        <w:pStyle w:val="FootnoteText"/>
        <w:spacing w:line="240" w:lineRule="auto"/>
      </w:pPr>
      <w:r>
        <w:rPr>
          <w:rStyle w:val="FootnoteReference"/>
        </w:rPr>
        <w:footnoteRef/>
      </w:r>
      <w:r>
        <w:t xml:space="preserve"> As above</w:t>
      </w:r>
    </w:p>
  </w:footnote>
  <w:footnote w:id="8">
    <w:p w14:paraId="1E6423B1" w14:textId="77777777" w:rsidR="0044227D" w:rsidRDefault="0044227D" w:rsidP="0044227D">
      <w:pPr>
        <w:pStyle w:val="FootnoteText"/>
        <w:spacing w:line="240" w:lineRule="auto"/>
      </w:pPr>
      <w:r>
        <w:rPr>
          <w:rStyle w:val="FootnoteReference"/>
        </w:rPr>
        <w:footnoteRef/>
      </w:r>
      <w:r>
        <w:t xml:space="preserve"> As above</w:t>
      </w:r>
    </w:p>
  </w:footnote>
  <w:footnote w:id="9">
    <w:p w14:paraId="4C651F90" w14:textId="77777777" w:rsidR="00EC21D3" w:rsidRDefault="00EC21D3" w:rsidP="00EC21D3">
      <w:pPr>
        <w:pStyle w:val="FootnoteText"/>
        <w:spacing w:line="240" w:lineRule="auto"/>
      </w:pPr>
      <w:r>
        <w:rPr>
          <w:rStyle w:val="FootnoteReference"/>
        </w:rPr>
        <w:footnoteRef/>
      </w:r>
      <w:r>
        <w:t xml:space="preserve"> As above</w:t>
      </w:r>
    </w:p>
  </w:footnote>
  <w:footnote w:id="10">
    <w:p w14:paraId="5E78A935" w14:textId="77777777" w:rsidR="00EC21D3" w:rsidRDefault="00EC21D3" w:rsidP="00EC21D3">
      <w:pPr>
        <w:pStyle w:val="FootnoteText"/>
        <w:spacing w:line="240" w:lineRule="auto"/>
      </w:pPr>
      <w:r>
        <w:rPr>
          <w:rStyle w:val="FootnoteReference"/>
        </w:rPr>
        <w:footnoteRef/>
      </w:r>
      <w:r>
        <w:t xml:space="preserve"> As above</w:t>
      </w:r>
    </w:p>
  </w:footnote>
  <w:footnote w:id="11">
    <w:p w14:paraId="5600448C" w14:textId="77777777" w:rsidR="007E0FA0" w:rsidRDefault="007E0FA0" w:rsidP="005D726C">
      <w:pPr>
        <w:pStyle w:val="FootnoteText"/>
        <w:spacing w:line="240" w:lineRule="auto"/>
      </w:pPr>
      <w:r>
        <w:rPr>
          <w:rStyle w:val="FootnoteReference"/>
        </w:rPr>
        <w:footnoteRef/>
      </w:r>
      <w:r>
        <w:t xml:space="preserve"> Department of Industry, Science and Resources </w:t>
      </w:r>
      <w:hyperlink r:id="rId5" w:history="1">
        <w:r w:rsidRPr="00892035">
          <w:rPr>
            <w:rStyle w:val="Hyperlink"/>
          </w:rPr>
          <w:t>‘Country of origin labelling for seafood in hospitality settings: Discussion paper’</w:t>
        </w:r>
      </w:hyperlink>
      <w:r>
        <w:t xml:space="preserve"> 2022</w:t>
      </w:r>
      <w:r w:rsidR="00892035">
        <w:t>,</w:t>
      </w:r>
      <w:r>
        <w:t xml:space="preserve"> feedback finding</w:t>
      </w:r>
      <w:r w:rsidR="00892035">
        <w:t xml:space="preserve"> over</w:t>
      </w:r>
      <w:r>
        <w:t xml:space="preserve"> 9</w:t>
      </w:r>
      <w:r w:rsidR="00EC21D3">
        <w:t>5</w:t>
      </w:r>
      <w:r>
        <w:t>% of consumers agreed with this statement.</w:t>
      </w:r>
    </w:p>
  </w:footnote>
  <w:footnote w:id="12">
    <w:p w14:paraId="63529715" w14:textId="77777777" w:rsidR="007E0FA0" w:rsidRDefault="007E0FA0" w:rsidP="005D726C">
      <w:pPr>
        <w:pStyle w:val="FootnoteText"/>
        <w:spacing w:line="240" w:lineRule="auto"/>
      </w:pPr>
      <w:r>
        <w:rPr>
          <w:rStyle w:val="FootnoteReference"/>
        </w:rPr>
        <w:footnoteRef/>
      </w:r>
      <w:r>
        <w:t xml:space="preserve"> </w:t>
      </w:r>
      <w:r w:rsidR="00892035">
        <w:t xml:space="preserve">ABARES, </w:t>
      </w:r>
      <w:hyperlink r:id="rId6" w:history="1">
        <w:r w:rsidR="00892035" w:rsidRPr="005F7357">
          <w:rPr>
            <w:rStyle w:val="Hyperlink"/>
          </w:rPr>
          <w:t>Seafood consumption in Australia</w:t>
        </w:r>
      </w:hyperlink>
      <w:r w:rsidR="00892035">
        <w:t>, 2021</w:t>
      </w:r>
    </w:p>
  </w:footnote>
  <w:footnote w:id="13">
    <w:p w14:paraId="727AF3DE" w14:textId="26EBDBA9" w:rsidR="007E0FA0" w:rsidRDefault="007E0FA0" w:rsidP="005D726C">
      <w:pPr>
        <w:pStyle w:val="FootnoteText"/>
        <w:spacing w:line="240" w:lineRule="auto"/>
      </w:pPr>
      <w:r>
        <w:rPr>
          <w:rStyle w:val="FootnoteReference"/>
        </w:rPr>
        <w:footnoteRef/>
      </w:r>
      <w:r>
        <w:t xml:space="preserve"> </w:t>
      </w:r>
      <w:r w:rsidR="0030369D">
        <w:t>As above</w:t>
      </w:r>
    </w:p>
  </w:footnote>
  <w:footnote w:id="14">
    <w:p w14:paraId="71EA736C" w14:textId="77777777" w:rsidR="007E0FA0" w:rsidRDefault="007E0FA0" w:rsidP="005D726C">
      <w:pPr>
        <w:pStyle w:val="FootnoteText"/>
        <w:spacing w:line="240" w:lineRule="auto"/>
      </w:pPr>
      <w:r>
        <w:rPr>
          <w:rStyle w:val="FootnoteReference"/>
        </w:rPr>
        <w:footnoteRef/>
      </w:r>
      <w:r>
        <w:t xml:space="preserve"> </w:t>
      </w:r>
      <w:r w:rsidR="00892035">
        <w:t xml:space="preserve">FRDC, </w:t>
      </w:r>
      <w:hyperlink r:id="rId7" w:anchor="toc-australian-seafood-imports" w:history="1">
        <w:r w:rsidR="00892035" w:rsidRPr="00892035">
          <w:rPr>
            <w:rStyle w:val="Hyperlink"/>
          </w:rPr>
          <w:t>Australian seafood exports</w:t>
        </w:r>
      </w:hyperlink>
      <w:r w:rsidR="00892035">
        <w:t>, 2020</w:t>
      </w:r>
    </w:p>
  </w:footnote>
  <w:footnote w:id="15">
    <w:p w14:paraId="4A5AE61A" w14:textId="77777777" w:rsidR="007E0FA0" w:rsidRDefault="007E0FA0" w:rsidP="005D726C">
      <w:pPr>
        <w:pStyle w:val="FootnoteText"/>
        <w:spacing w:line="240" w:lineRule="auto"/>
      </w:pPr>
      <w:r w:rsidRPr="00495532">
        <w:rPr>
          <w:rStyle w:val="FootnoteReference"/>
        </w:rPr>
        <w:footnoteRef/>
      </w:r>
      <w:r w:rsidRPr="00C514B4">
        <w:rPr>
          <w:color w:val="000000" w:themeColor="text1"/>
        </w:rPr>
        <w:t xml:space="preserve"> </w:t>
      </w:r>
      <w:r>
        <w:t xml:space="preserve">Prof. M Lawley </w:t>
      </w:r>
      <w:hyperlink r:id="rId8" w:history="1">
        <w:r w:rsidRPr="00892035">
          <w:rPr>
            <w:rStyle w:val="Hyperlink"/>
          </w:rPr>
          <w:t>‘A Final Seafood Omnibus: Evaluating changes in Consumer attitudes and behaviours: Longitudinal Study</w:t>
        </w:r>
        <w:r w:rsidR="00892035" w:rsidRPr="00892035">
          <w:rPr>
            <w:rStyle w:val="Hyperlink"/>
          </w:rPr>
          <w:t>’</w:t>
        </w:r>
      </w:hyperlink>
      <w:r w:rsidR="00892035">
        <w:t>, Australian Seafood Cooperative Research Centre</w:t>
      </w:r>
      <w:r w:rsidR="00EC21D3">
        <w:t xml:space="preserve"> (Seafood CRC)</w:t>
      </w:r>
      <w:r>
        <w:t xml:space="preserve"> (2015) </w:t>
      </w:r>
    </w:p>
  </w:footnote>
  <w:footnote w:id="16">
    <w:p w14:paraId="1C3A54A1" w14:textId="77777777" w:rsidR="007E0FA0" w:rsidRDefault="007E0FA0" w:rsidP="005D726C">
      <w:pPr>
        <w:pStyle w:val="FootnoteText"/>
        <w:spacing w:line="240" w:lineRule="auto"/>
      </w:pPr>
      <w:r>
        <w:rPr>
          <w:rStyle w:val="FootnoteReference"/>
        </w:rPr>
        <w:footnoteRef/>
      </w:r>
      <w:r>
        <w:t xml:space="preserve"> As above</w:t>
      </w:r>
    </w:p>
  </w:footnote>
  <w:footnote w:id="17">
    <w:p w14:paraId="2B7B85D3" w14:textId="52389E77" w:rsidR="002534AD" w:rsidRDefault="002534AD" w:rsidP="002534AD">
      <w:pPr>
        <w:pStyle w:val="FootnoteText"/>
      </w:pPr>
      <w:r>
        <w:rPr>
          <w:rStyle w:val="FootnoteReference"/>
        </w:rPr>
        <w:footnoteRef/>
      </w:r>
      <w:r>
        <w:t xml:space="preserve"> </w:t>
      </w:r>
      <w:r w:rsidRPr="00141C34">
        <w:t xml:space="preserve">Evaluation of Country of Origin Labelling reforms </w:t>
      </w:r>
      <w:hyperlink r:id="rId9" w:history="1">
        <w:r w:rsidRPr="005F7357">
          <w:rPr>
            <w:rStyle w:val="Hyperlink"/>
          </w:rPr>
          <w:t>Final Report</w:t>
        </w:r>
      </w:hyperlink>
      <w:r w:rsidRPr="00141C34">
        <w:t>, July 2021</w:t>
      </w:r>
      <w:r>
        <w:t>.</w:t>
      </w:r>
    </w:p>
  </w:footnote>
  <w:footnote w:id="18">
    <w:p w14:paraId="5815A979" w14:textId="77777777" w:rsidR="007E0FA0" w:rsidRDefault="007E0FA0" w:rsidP="005D726C">
      <w:pPr>
        <w:pStyle w:val="FootnoteText"/>
        <w:spacing w:line="240" w:lineRule="auto"/>
      </w:pPr>
      <w:r>
        <w:rPr>
          <w:rStyle w:val="FootnoteReference"/>
        </w:rPr>
        <w:footnoteRef/>
      </w:r>
      <w:r>
        <w:t xml:space="preserve"> IBISWorld (2020) Seafood Retailing in Australia: Fish out of water: The outbreak of COVID-19 has reduced industry demand and revenue, November 2020</w:t>
      </w:r>
    </w:p>
  </w:footnote>
  <w:footnote w:id="19">
    <w:p w14:paraId="521379E5" w14:textId="77777777" w:rsidR="00AC4776" w:rsidRDefault="00AC4776" w:rsidP="00AC4776">
      <w:pPr>
        <w:pStyle w:val="FootnoteText"/>
        <w:spacing w:line="240" w:lineRule="auto"/>
      </w:pPr>
      <w:r>
        <w:rPr>
          <w:rStyle w:val="FootnoteReference"/>
        </w:rPr>
        <w:footnoteRef/>
      </w:r>
      <w:r>
        <w:t xml:space="preserve"> Colmar Brunton (2015) Country of Origin Food Labelling Research, Report to the Australian Government Department of Industry and Science</w:t>
      </w:r>
    </w:p>
  </w:footnote>
  <w:footnote w:id="20">
    <w:p w14:paraId="50383875" w14:textId="77777777" w:rsidR="007E0FA0" w:rsidRDefault="007E0FA0" w:rsidP="005D726C">
      <w:pPr>
        <w:pStyle w:val="FootnoteText"/>
        <w:spacing w:line="240" w:lineRule="auto"/>
      </w:pPr>
      <w:r>
        <w:rPr>
          <w:rStyle w:val="FootnoteReference"/>
        </w:rPr>
        <w:footnoteRef/>
      </w:r>
      <w:r>
        <w:t xml:space="preserve"> </w:t>
      </w:r>
      <w:r w:rsidRPr="00FE34B6">
        <w:t xml:space="preserve">CHOICE </w:t>
      </w:r>
      <w:hyperlink r:id="rId10" w:history="1">
        <w:r w:rsidRPr="00CB0955">
          <w:rPr>
            <w:rStyle w:val="Hyperlink"/>
          </w:rPr>
          <w:t>submission to CoOL evaluation</w:t>
        </w:r>
      </w:hyperlink>
      <w:r w:rsidR="00EC21D3">
        <w:t>,</w:t>
      </w:r>
      <w:r w:rsidRPr="00FE34B6">
        <w:t xml:space="preserve"> 2020</w:t>
      </w:r>
    </w:p>
  </w:footnote>
  <w:footnote w:id="21">
    <w:p w14:paraId="17DABA6C" w14:textId="77777777" w:rsidR="007E0FA0" w:rsidRDefault="007E0FA0" w:rsidP="005D726C">
      <w:pPr>
        <w:pStyle w:val="FootnoteText"/>
        <w:spacing w:line="240" w:lineRule="auto"/>
      </w:pPr>
      <w:r>
        <w:rPr>
          <w:rStyle w:val="FootnoteReference"/>
        </w:rPr>
        <w:footnoteRef/>
      </w:r>
      <w:r>
        <w:t xml:space="preserve"> House of Representatives Standing Committee on Agriculture and Industry, </w:t>
      </w:r>
      <w:hyperlink r:id="rId11" w:history="1">
        <w:r w:rsidRPr="00CB0955">
          <w:rPr>
            <w:rStyle w:val="Hyperlink"/>
          </w:rPr>
          <w:t>A clearer message for consumers: Report on the inquiry into country of origin labelling for food</w:t>
        </w:r>
      </w:hyperlink>
      <w:r>
        <w:t>, October 2014</w:t>
      </w:r>
    </w:p>
  </w:footnote>
  <w:footnote w:id="22">
    <w:p w14:paraId="3D2E7383" w14:textId="77777777" w:rsidR="007E0FA0" w:rsidRDefault="007E0FA0" w:rsidP="005D726C">
      <w:pPr>
        <w:pStyle w:val="FootnoteText"/>
        <w:spacing w:line="240" w:lineRule="auto"/>
      </w:pPr>
      <w:r>
        <w:rPr>
          <w:rStyle w:val="FootnoteReference"/>
        </w:rPr>
        <w:footnoteRef/>
      </w:r>
      <w:r>
        <w:t xml:space="preserve"> </w:t>
      </w:r>
      <w:r w:rsidRPr="00874E24">
        <w:t xml:space="preserve">Evaluation of Country of Origin Labelling reforms, </w:t>
      </w:r>
      <w:hyperlink r:id="rId12" w:history="1">
        <w:r w:rsidRPr="00CB0955">
          <w:rPr>
            <w:rStyle w:val="Hyperlink"/>
          </w:rPr>
          <w:t>Cost Benefit Analysis</w:t>
        </w:r>
      </w:hyperlink>
      <w:r w:rsidRPr="00874E24">
        <w:t>, July 2021</w:t>
      </w:r>
    </w:p>
  </w:footnote>
  <w:footnote w:id="23">
    <w:p w14:paraId="28CBCFE8" w14:textId="011F885B" w:rsidR="008E1988" w:rsidRDefault="008E1988" w:rsidP="008E1988">
      <w:pPr>
        <w:pStyle w:val="FootnoteText"/>
        <w:spacing w:line="240" w:lineRule="auto"/>
      </w:pPr>
      <w:r>
        <w:rPr>
          <w:rStyle w:val="FootnoteReference"/>
        </w:rPr>
        <w:footnoteRef/>
      </w:r>
      <w:r>
        <w:t xml:space="preserve"> FRDC (2011) Tracking the impacts on seafood consumption at dining venues arising from the North Territory’s seafood labelling laws, By Calogeras C, Morgan S, Sarneckis K, Cooper L and Lee TY, June 2011. 69</w:t>
      </w:r>
    </w:p>
  </w:footnote>
  <w:footnote w:id="24">
    <w:p w14:paraId="04C91B92" w14:textId="77777777" w:rsidR="005D726C" w:rsidRDefault="005D726C" w:rsidP="005D726C">
      <w:pPr>
        <w:pStyle w:val="FootnoteText"/>
        <w:spacing w:line="240" w:lineRule="auto"/>
      </w:pPr>
      <w:r>
        <w:rPr>
          <w:rStyle w:val="FootnoteReference"/>
        </w:rPr>
        <w:footnoteRef/>
      </w:r>
      <w:r>
        <w:t xml:space="preserve"> FRDC (2011) Tracking the impacts on seafood consumption at dining venues arising from the North Territory’s seafood labelling laws, By Calogeras C, Morgan S, Sarneckis K, Cooper L and Lee TY, June 2011. 69</w:t>
      </w:r>
    </w:p>
  </w:footnote>
  <w:footnote w:id="25">
    <w:p w14:paraId="32335E1F" w14:textId="5478BEAB" w:rsidR="005D726C" w:rsidRDefault="005D726C" w:rsidP="005D726C">
      <w:pPr>
        <w:pStyle w:val="FootnoteText"/>
        <w:spacing w:line="240" w:lineRule="auto"/>
      </w:pPr>
      <w:r>
        <w:rPr>
          <w:rStyle w:val="FootnoteReference"/>
        </w:rPr>
        <w:footnoteRef/>
      </w:r>
      <w:r>
        <w:t xml:space="preserve"> </w:t>
      </w:r>
      <w:r w:rsidR="0030369D">
        <w:t xml:space="preserve">SafeFood Queensland, </w:t>
      </w:r>
      <w:hyperlink r:id="rId13" w:history="1">
        <w:r w:rsidR="0030369D" w:rsidRPr="0030369D">
          <w:rPr>
            <w:rStyle w:val="Hyperlink"/>
          </w:rPr>
          <w:t>‘Spotlight on…Australia’s Seafood Industry’</w:t>
        </w:r>
      </w:hyperlink>
      <w:r w:rsidR="0030369D">
        <w:t xml:space="preserve"> (2021) </w:t>
      </w:r>
    </w:p>
  </w:footnote>
  <w:footnote w:id="26">
    <w:p w14:paraId="77AE99EF" w14:textId="43AD522E" w:rsidR="005D726C" w:rsidRDefault="005D726C" w:rsidP="005D726C">
      <w:pPr>
        <w:pStyle w:val="FootnoteText"/>
        <w:spacing w:line="240" w:lineRule="auto"/>
      </w:pPr>
      <w:r>
        <w:rPr>
          <w:rStyle w:val="FootnoteReference"/>
        </w:rPr>
        <w:footnoteRef/>
      </w:r>
      <w:r>
        <w:t xml:space="preserve"> </w:t>
      </w:r>
      <w:r w:rsidR="0030369D">
        <w:t>As above and</w:t>
      </w:r>
      <w:r>
        <w:t xml:space="preserve"> </w:t>
      </w:r>
      <w:hyperlink r:id="rId14" w:history="1">
        <w:r w:rsidR="0030369D" w:rsidRPr="0030369D">
          <w:rPr>
            <w:rStyle w:val="Hyperlink"/>
          </w:rPr>
          <w:t>SavvySME</w:t>
        </w:r>
      </w:hyperlink>
    </w:p>
  </w:footnote>
  <w:footnote w:id="27">
    <w:p w14:paraId="00545B64" w14:textId="759A2027" w:rsidR="005D726C" w:rsidRDefault="005D726C" w:rsidP="005D726C">
      <w:pPr>
        <w:pStyle w:val="FootnoteText"/>
        <w:spacing w:line="240" w:lineRule="auto"/>
      </w:pPr>
      <w:r>
        <w:rPr>
          <w:rStyle w:val="FootnoteReference"/>
        </w:rPr>
        <w:footnoteRef/>
      </w:r>
      <w:r>
        <w:t xml:space="preserve"> </w:t>
      </w:r>
      <w:r w:rsidR="0030369D">
        <w:t xml:space="preserve">Statista, </w:t>
      </w:r>
      <w:hyperlink r:id="rId15" w:history="1">
        <w:r w:rsidR="0030369D" w:rsidRPr="0030369D">
          <w:rPr>
            <w:rStyle w:val="Hyperlink"/>
          </w:rPr>
          <w:t>Annual revenue of cafes, restaurants and takeaway food services in Australia from 2004 to 2022</w:t>
        </w:r>
      </w:hyperlink>
      <w:r w:rsidR="0030369D">
        <w:t>, January 2023</w:t>
      </w:r>
    </w:p>
  </w:footnote>
  <w:footnote w:id="28">
    <w:p w14:paraId="3F42BEA8" w14:textId="5E9D250A" w:rsidR="005D726C" w:rsidRDefault="005D726C" w:rsidP="005D726C">
      <w:pPr>
        <w:pStyle w:val="FootnoteText"/>
        <w:spacing w:line="240" w:lineRule="auto"/>
      </w:pPr>
      <w:r>
        <w:rPr>
          <w:rStyle w:val="FootnoteReference"/>
        </w:rPr>
        <w:footnoteRef/>
      </w:r>
      <w:r>
        <w:t xml:space="preserve"> </w:t>
      </w:r>
      <w:r w:rsidR="0030369D">
        <w:t xml:space="preserve">Jobs and Skills Australia, </w:t>
      </w:r>
      <w:hyperlink r:id="rId16" w:anchor=":~:text=Accommodation%20and%20Food%20Services%20is,main%20job%20in%20this%20industry" w:history="1">
        <w:r w:rsidR="0030369D" w:rsidRPr="0030369D">
          <w:rPr>
            <w:rStyle w:val="Hyperlink"/>
          </w:rPr>
          <w:t>Labour Market Insights: Accommodation and Food Services</w:t>
        </w:r>
      </w:hyperlink>
      <w:r w:rsidR="0030369D">
        <w: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0041" w14:textId="77777777" w:rsidR="002E55B9" w:rsidRDefault="002E5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E645" w14:textId="5BB8191F" w:rsidR="00600153" w:rsidRDefault="00600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BAFAB" w14:textId="77777777" w:rsidR="00806473" w:rsidRDefault="00A540AE">
    <w:pPr>
      <w:pStyle w:val="Header"/>
    </w:pPr>
    <w:r>
      <w:rPr>
        <w:noProof/>
        <w:lang w:eastAsia="en-AU"/>
      </w:rPr>
      <mc:AlternateContent>
        <mc:Choice Requires="wps">
          <w:drawing>
            <wp:anchor distT="0" distB="0" distL="114300" distR="114300" simplePos="0" relativeHeight="251658240" behindDoc="1" locked="0" layoutInCell="1" allowOverlap="1" wp14:anchorId="3854A51F" wp14:editId="224F737A">
              <wp:simplePos x="0" y="0"/>
              <wp:positionH relativeFrom="page">
                <wp:align>left</wp:align>
              </wp:positionH>
              <wp:positionV relativeFrom="page">
                <wp:align>top</wp:align>
              </wp:positionV>
              <wp:extent cx="7560000" cy="10692000"/>
              <wp:effectExtent l="0" t="0" r="22225" b="1460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41E568A9" w14:textId="77777777" w:rsidR="00DC5D38" w:rsidRDefault="00DC5D38" w:rsidP="00DC5D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54A51F" id="Rectangle 1" o:spid="_x0000_s1026" alt="&quot;&quo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" fillcolor="#00283e [3205]" strokecolor="#484a4c [1604]" strokeweight="1pt">
              <v:fill color2="#1b9590 [3206]" colors="0 #00283e;33423f #005677;1 #1b9590" focus="100%" type="gradient"/>
              <v:textbox>
                <w:txbxContent>
                  <w:p w14:paraId="41E568A9" w14:textId="77777777" w:rsidR="00DC5D38" w:rsidRDefault="00DC5D38" w:rsidP="00DC5D38">
                    <w:pPr>
                      <w:jc w:val="center"/>
                    </w:pPr>
                  </w:p>
                </w:txbxContent>
              </v:textbox>
              <w10:wrap anchorx="page" anchory="page"/>
            </v:rect>
          </w:pict>
        </mc:Fallback>
      </mc:AlternateContent>
    </w:r>
    <w:r w:rsidRPr="00180BF8">
      <w:rPr>
        <w:noProof/>
        <w:lang w:eastAsia="en-AU"/>
      </w:rPr>
      <w:drawing>
        <wp:inline distT="0" distB="0" distL="0" distR="0" wp14:anchorId="5D0DC14C" wp14:editId="73BD605D">
          <wp:extent cx="2323099" cy="678934"/>
          <wp:effectExtent l="0" t="0" r="1270" b="6985"/>
          <wp:docPr id="7" name="Picture 7"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323099" cy="678934"/>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B4C"/>
    <w:multiLevelType w:val="hybridMultilevel"/>
    <w:tmpl w:val="B22E09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2382D"/>
    <w:multiLevelType w:val="hybridMultilevel"/>
    <w:tmpl w:val="BFE416BE"/>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9947AB"/>
    <w:multiLevelType w:val="hybridMultilevel"/>
    <w:tmpl w:val="FBE62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84201"/>
    <w:multiLevelType w:val="hybridMultilevel"/>
    <w:tmpl w:val="ADAC4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DC2D4F"/>
    <w:multiLevelType w:val="hybridMultilevel"/>
    <w:tmpl w:val="22465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6F2C2A"/>
    <w:multiLevelType w:val="hybridMultilevel"/>
    <w:tmpl w:val="1BE0A2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D911D2"/>
    <w:multiLevelType w:val="hybridMultilevel"/>
    <w:tmpl w:val="ADA8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B6CE4"/>
    <w:multiLevelType w:val="hybridMultilevel"/>
    <w:tmpl w:val="BFE41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A1CDB"/>
    <w:multiLevelType w:val="hybridMultilevel"/>
    <w:tmpl w:val="BFE41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863437"/>
    <w:multiLevelType w:val="hybridMultilevel"/>
    <w:tmpl w:val="593020E8"/>
    <w:lvl w:ilvl="0" w:tplc="F9F03212">
      <w:numFmt w:val="bullet"/>
      <w:lvlText w:val=""/>
      <w:lvlJc w:val="left"/>
      <w:pPr>
        <w:ind w:left="405" w:hanging="360"/>
      </w:pPr>
      <w:rPr>
        <w:rFonts w:ascii="Symbol" w:eastAsia="Times New Roman" w:hAnsi="Symbol"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3F8D3EAE"/>
    <w:multiLevelType w:val="hybridMultilevel"/>
    <w:tmpl w:val="70F61536"/>
    <w:lvl w:ilvl="0" w:tplc="39C2562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0505DA"/>
    <w:multiLevelType w:val="hybridMultilevel"/>
    <w:tmpl w:val="BFE41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497B24"/>
    <w:multiLevelType w:val="hybridMultilevel"/>
    <w:tmpl w:val="CFA0E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BF0597"/>
    <w:multiLevelType w:val="hybridMultilevel"/>
    <w:tmpl w:val="313A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8D6095"/>
    <w:multiLevelType w:val="hybridMultilevel"/>
    <w:tmpl w:val="5A143BAA"/>
    <w:lvl w:ilvl="0" w:tplc="29446FE8">
      <w:start w:val="1"/>
      <w:numFmt w:val="bullet"/>
      <w:lvlText w:val="•"/>
      <w:lvlJc w:val="left"/>
      <w:pPr>
        <w:tabs>
          <w:tab w:val="num" w:pos="720"/>
        </w:tabs>
        <w:ind w:left="720" w:hanging="360"/>
      </w:pPr>
      <w:rPr>
        <w:rFonts w:ascii="Arial" w:hAnsi="Arial" w:hint="default"/>
      </w:rPr>
    </w:lvl>
    <w:lvl w:ilvl="1" w:tplc="AE1CD6DA" w:tentative="1">
      <w:start w:val="1"/>
      <w:numFmt w:val="bullet"/>
      <w:lvlText w:val="•"/>
      <w:lvlJc w:val="left"/>
      <w:pPr>
        <w:tabs>
          <w:tab w:val="num" w:pos="1440"/>
        </w:tabs>
        <w:ind w:left="1440" w:hanging="360"/>
      </w:pPr>
      <w:rPr>
        <w:rFonts w:ascii="Arial" w:hAnsi="Arial" w:hint="default"/>
      </w:rPr>
    </w:lvl>
    <w:lvl w:ilvl="2" w:tplc="EF3C5608" w:tentative="1">
      <w:start w:val="1"/>
      <w:numFmt w:val="bullet"/>
      <w:lvlText w:val="•"/>
      <w:lvlJc w:val="left"/>
      <w:pPr>
        <w:tabs>
          <w:tab w:val="num" w:pos="2160"/>
        </w:tabs>
        <w:ind w:left="2160" w:hanging="360"/>
      </w:pPr>
      <w:rPr>
        <w:rFonts w:ascii="Arial" w:hAnsi="Arial" w:hint="default"/>
      </w:rPr>
    </w:lvl>
    <w:lvl w:ilvl="3" w:tplc="C97088A8" w:tentative="1">
      <w:start w:val="1"/>
      <w:numFmt w:val="bullet"/>
      <w:lvlText w:val="•"/>
      <w:lvlJc w:val="left"/>
      <w:pPr>
        <w:tabs>
          <w:tab w:val="num" w:pos="2880"/>
        </w:tabs>
        <w:ind w:left="2880" w:hanging="360"/>
      </w:pPr>
      <w:rPr>
        <w:rFonts w:ascii="Arial" w:hAnsi="Arial" w:hint="default"/>
      </w:rPr>
    </w:lvl>
    <w:lvl w:ilvl="4" w:tplc="2452A578" w:tentative="1">
      <w:start w:val="1"/>
      <w:numFmt w:val="bullet"/>
      <w:lvlText w:val="•"/>
      <w:lvlJc w:val="left"/>
      <w:pPr>
        <w:tabs>
          <w:tab w:val="num" w:pos="3600"/>
        </w:tabs>
        <w:ind w:left="3600" w:hanging="360"/>
      </w:pPr>
      <w:rPr>
        <w:rFonts w:ascii="Arial" w:hAnsi="Arial" w:hint="default"/>
      </w:rPr>
    </w:lvl>
    <w:lvl w:ilvl="5" w:tplc="6FC8BC62" w:tentative="1">
      <w:start w:val="1"/>
      <w:numFmt w:val="bullet"/>
      <w:lvlText w:val="•"/>
      <w:lvlJc w:val="left"/>
      <w:pPr>
        <w:tabs>
          <w:tab w:val="num" w:pos="4320"/>
        </w:tabs>
        <w:ind w:left="4320" w:hanging="360"/>
      </w:pPr>
      <w:rPr>
        <w:rFonts w:ascii="Arial" w:hAnsi="Arial" w:hint="default"/>
      </w:rPr>
    </w:lvl>
    <w:lvl w:ilvl="6" w:tplc="9CF62F2C" w:tentative="1">
      <w:start w:val="1"/>
      <w:numFmt w:val="bullet"/>
      <w:lvlText w:val="•"/>
      <w:lvlJc w:val="left"/>
      <w:pPr>
        <w:tabs>
          <w:tab w:val="num" w:pos="5040"/>
        </w:tabs>
        <w:ind w:left="5040" w:hanging="360"/>
      </w:pPr>
      <w:rPr>
        <w:rFonts w:ascii="Arial" w:hAnsi="Arial" w:hint="default"/>
      </w:rPr>
    </w:lvl>
    <w:lvl w:ilvl="7" w:tplc="3A183D3A" w:tentative="1">
      <w:start w:val="1"/>
      <w:numFmt w:val="bullet"/>
      <w:lvlText w:val="•"/>
      <w:lvlJc w:val="left"/>
      <w:pPr>
        <w:tabs>
          <w:tab w:val="num" w:pos="5760"/>
        </w:tabs>
        <w:ind w:left="5760" w:hanging="360"/>
      </w:pPr>
      <w:rPr>
        <w:rFonts w:ascii="Arial" w:hAnsi="Arial" w:hint="default"/>
      </w:rPr>
    </w:lvl>
    <w:lvl w:ilvl="8" w:tplc="24D8DE4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D055B7"/>
    <w:multiLevelType w:val="hybridMultilevel"/>
    <w:tmpl w:val="22465A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0446792"/>
    <w:multiLevelType w:val="hybridMultilevel"/>
    <w:tmpl w:val="0DE69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3266BC2"/>
    <w:multiLevelType w:val="hybridMultilevel"/>
    <w:tmpl w:val="0DE693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C3D1D4B"/>
    <w:multiLevelType w:val="hybridMultilevel"/>
    <w:tmpl w:val="0DE69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7D4BA9"/>
    <w:multiLevelType w:val="hybridMultilevel"/>
    <w:tmpl w:val="BFE41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15376D"/>
    <w:multiLevelType w:val="multilevel"/>
    <w:tmpl w:val="33F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A832D0"/>
    <w:multiLevelType w:val="hybridMultilevel"/>
    <w:tmpl w:val="07222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3E14893"/>
    <w:multiLevelType w:val="hybridMultilevel"/>
    <w:tmpl w:val="021E9818"/>
    <w:lvl w:ilvl="0" w:tplc="79E028F8">
      <w:start w:val="1"/>
      <w:numFmt w:val="bullet"/>
      <w:lvlText w:val="•"/>
      <w:lvlJc w:val="left"/>
      <w:pPr>
        <w:tabs>
          <w:tab w:val="num" w:pos="720"/>
        </w:tabs>
        <w:ind w:left="720" w:hanging="360"/>
      </w:pPr>
      <w:rPr>
        <w:rFonts w:ascii="Arial" w:hAnsi="Arial" w:hint="default"/>
      </w:rPr>
    </w:lvl>
    <w:lvl w:ilvl="1" w:tplc="2082609A">
      <w:start w:val="1"/>
      <w:numFmt w:val="bullet"/>
      <w:lvlText w:val="•"/>
      <w:lvlJc w:val="left"/>
      <w:pPr>
        <w:tabs>
          <w:tab w:val="num" w:pos="1440"/>
        </w:tabs>
        <w:ind w:left="1440" w:hanging="360"/>
      </w:pPr>
      <w:rPr>
        <w:rFonts w:ascii="Arial" w:hAnsi="Arial" w:hint="default"/>
      </w:rPr>
    </w:lvl>
    <w:lvl w:ilvl="2" w:tplc="5D72454A" w:tentative="1">
      <w:start w:val="1"/>
      <w:numFmt w:val="bullet"/>
      <w:lvlText w:val="•"/>
      <w:lvlJc w:val="left"/>
      <w:pPr>
        <w:tabs>
          <w:tab w:val="num" w:pos="2160"/>
        </w:tabs>
        <w:ind w:left="2160" w:hanging="360"/>
      </w:pPr>
      <w:rPr>
        <w:rFonts w:ascii="Arial" w:hAnsi="Arial" w:hint="default"/>
      </w:rPr>
    </w:lvl>
    <w:lvl w:ilvl="3" w:tplc="76563E66" w:tentative="1">
      <w:start w:val="1"/>
      <w:numFmt w:val="bullet"/>
      <w:lvlText w:val="•"/>
      <w:lvlJc w:val="left"/>
      <w:pPr>
        <w:tabs>
          <w:tab w:val="num" w:pos="2880"/>
        </w:tabs>
        <w:ind w:left="2880" w:hanging="360"/>
      </w:pPr>
      <w:rPr>
        <w:rFonts w:ascii="Arial" w:hAnsi="Arial" w:hint="default"/>
      </w:rPr>
    </w:lvl>
    <w:lvl w:ilvl="4" w:tplc="4EF46B66" w:tentative="1">
      <w:start w:val="1"/>
      <w:numFmt w:val="bullet"/>
      <w:lvlText w:val="•"/>
      <w:lvlJc w:val="left"/>
      <w:pPr>
        <w:tabs>
          <w:tab w:val="num" w:pos="3600"/>
        </w:tabs>
        <w:ind w:left="3600" w:hanging="360"/>
      </w:pPr>
      <w:rPr>
        <w:rFonts w:ascii="Arial" w:hAnsi="Arial" w:hint="default"/>
      </w:rPr>
    </w:lvl>
    <w:lvl w:ilvl="5" w:tplc="9522AD3A" w:tentative="1">
      <w:start w:val="1"/>
      <w:numFmt w:val="bullet"/>
      <w:lvlText w:val="•"/>
      <w:lvlJc w:val="left"/>
      <w:pPr>
        <w:tabs>
          <w:tab w:val="num" w:pos="4320"/>
        </w:tabs>
        <w:ind w:left="4320" w:hanging="360"/>
      </w:pPr>
      <w:rPr>
        <w:rFonts w:ascii="Arial" w:hAnsi="Arial" w:hint="default"/>
      </w:rPr>
    </w:lvl>
    <w:lvl w:ilvl="6" w:tplc="FB2C63EE" w:tentative="1">
      <w:start w:val="1"/>
      <w:numFmt w:val="bullet"/>
      <w:lvlText w:val="•"/>
      <w:lvlJc w:val="left"/>
      <w:pPr>
        <w:tabs>
          <w:tab w:val="num" w:pos="5040"/>
        </w:tabs>
        <w:ind w:left="5040" w:hanging="360"/>
      </w:pPr>
      <w:rPr>
        <w:rFonts w:ascii="Arial" w:hAnsi="Arial" w:hint="default"/>
      </w:rPr>
    </w:lvl>
    <w:lvl w:ilvl="7" w:tplc="0DDACB5A" w:tentative="1">
      <w:start w:val="1"/>
      <w:numFmt w:val="bullet"/>
      <w:lvlText w:val="•"/>
      <w:lvlJc w:val="left"/>
      <w:pPr>
        <w:tabs>
          <w:tab w:val="num" w:pos="5760"/>
        </w:tabs>
        <w:ind w:left="5760" w:hanging="360"/>
      </w:pPr>
      <w:rPr>
        <w:rFonts w:ascii="Arial" w:hAnsi="Arial" w:hint="default"/>
      </w:rPr>
    </w:lvl>
    <w:lvl w:ilvl="8" w:tplc="D6E47A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331F78"/>
    <w:multiLevelType w:val="hybridMultilevel"/>
    <w:tmpl w:val="65500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A987049"/>
    <w:multiLevelType w:val="hybridMultilevel"/>
    <w:tmpl w:val="BFE416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C201AC"/>
    <w:multiLevelType w:val="hybridMultilevel"/>
    <w:tmpl w:val="1FD471B6"/>
    <w:lvl w:ilvl="0" w:tplc="B8AE99EA">
      <w:start w:val="1"/>
      <w:numFmt w:val="decimal"/>
      <w:lvlText w:val="%1."/>
      <w:lvlJc w:val="left"/>
      <w:pPr>
        <w:ind w:left="1080" w:hanging="360"/>
      </w:pPr>
      <w:rPr>
        <w:rFonts w:hint="default"/>
        <w:sz w:val="48"/>
        <w:szCs w:val="4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F2330AD"/>
    <w:multiLevelType w:val="hybridMultilevel"/>
    <w:tmpl w:val="20804C6E"/>
    <w:lvl w:ilvl="0" w:tplc="1A44270A">
      <w:start w:val="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23"/>
  </w:num>
  <w:num w:numId="4">
    <w:abstractNumId w:val="16"/>
  </w:num>
  <w:num w:numId="5">
    <w:abstractNumId w:val="27"/>
  </w:num>
  <w:num w:numId="6">
    <w:abstractNumId w:val="8"/>
  </w:num>
  <w:num w:numId="7">
    <w:abstractNumId w:val="3"/>
  </w:num>
  <w:num w:numId="8">
    <w:abstractNumId w:val="7"/>
  </w:num>
  <w:num w:numId="9">
    <w:abstractNumId w:val="20"/>
  </w:num>
  <w:num w:numId="10">
    <w:abstractNumId w:val="25"/>
  </w:num>
  <w:num w:numId="11">
    <w:abstractNumId w:val="10"/>
  </w:num>
  <w:num w:numId="12">
    <w:abstractNumId w:val="38"/>
  </w:num>
  <w:num w:numId="13">
    <w:abstractNumId w:val="29"/>
  </w:num>
  <w:num w:numId="14">
    <w:abstractNumId w:val="15"/>
  </w:num>
  <w:num w:numId="15">
    <w:abstractNumId w:val="31"/>
  </w:num>
  <w:num w:numId="16">
    <w:abstractNumId w:val="24"/>
  </w:num>
  <w:num w:numId="17">
    <w:abstractNumId w:val="36"/>
  </w:num>
  <w:num w:numId="18">
    <w:abstractNumId w:val="5"/>
  </w:num>
  <w:num w:numId="19">
    <w:abstractNumId w:val="17"/>
  </w:num>
  <w:num w:numId="20">
    <w:abstractNumId w:val="41"/>
  </w:num>
  <w:num w:numId="21">
    <w:abstractNumId w:val="40"/>
  </w:num>
  <w:num w:numId="22">
    <w:abstractNumId w:val="30"/>
  </w:num>
  <w:num w:numId="23">
    <w:abstractNumId w:val="34"/>
  </w:num>
  <w:num w:numId="24">
    <w:abstractNumId w:val="4"/>
  </w:num>
  <w:num w:numId="25">
    <w:abstractNumId w:val="37"/>
  </w:num>
  <w:num w:numId="26">
    <w:abstractNumId w:val="9"/>
  </w:num>
  <w:num w:numId="27">
    <w:abstractNumId w:val="22"/>
  </w:num>
  <w:num w:numId="28">
    <w:abstractNumId w:val="21"/>
  </w:num>
  <w:num w:numId="29">
    <w:abstractNumId w:val="6"/>
  </w:num>
  <w:num w:numId="30">
    <w:abstractNumId w:val="2"/>
  </w:num>
  <w:num w:numId="31">
    <w:abstractNumId w:val="28"/>
  </w:num>
  <w:num w:numId="32">
    <w:abstractNumId w:val="25"/>
  </w:num>
  <w:num w:numId="33">
    <w:abstractNumId w:val="25"/>
  </w:num>
  <w:num w:numId="34">
    <w:abstractNumId w:val="25"/>
  </w:num>
  <w:num w:numId="35">
    <w:abstractNumId w:val="25"/>
  </w:num>
  <w:num w:numId="36">
    <w:abstractNumId w:val="32"/>
  </w:num>
  <w:num w:numId="37">
    <w:abstractNumId w:val="1"/>
  </w:num>
  <w:num w:numId="38">
    <w:abstractNumId w:val="11"/>
  </w:num>
  <w:num w:numId="39">
    <w:abstractNumId w:val="33"/>
  </w:num>
  <w:num w:numId="40">
    <w:abstractNumId w:val="19"/>
  </w:num>
  <w:num w:numId="41">
    <w:abstractNumId w:val="13"/>
  </w:num>
  <w:num w:numId="42">
    <w:abstractNumId w:val="39"/>
  </w:num>
  <w:num w:numId="43">
    <w:abstractNumId w:val="0"/>
  </w:num>
  <w:num w:numId="44">
    <w:abstractNumId w:val="18"/>
  </w:num>
  <w:num w:numId="45">
    <w:abstractNumId w:val="26"/>
  </w:num>
  <w:num w:numId="46">
    <w:abstractNumId w:val="25"/>
  </w:num>
  <w:num w:numId="47">
    <w:abstractNumId w:val="25"/>
  </w:num>
  <w:num w:numId="48">
    <w:abstractNumId w:val="25"/>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79"/>
    <w:rsid w:val="00006445"/>
    <w:rsid w:val="0001394D"/>
    <w:rsid w:val="00024FD7"/>
    <w:rsid w:val="00031C8E"/>
    <w:rsid w:val="00032995"/>
    <w:rsid w:val="00040CAF"/>
    <w:rsid w:val="00045A16"/>
    <w:rsid w:val="00051E8B"/>
    <w:rsid w:val="000552B3"/>
    <w:rsid w:val="0006782A"/>
    <w:rsid w:val="0007067B"/>
    <w:rsid w:val="00081D07"/>
    <w:rsid w:val="000B5EB0"/>
    <w:rsid w:val="000C3494"/>
    <w:rsid w:val="000C6107"/>
    <w:rsid w:val="000D602D"/>
    <w:rsid w:val="000D6F6B"/>
    <w:rsid w:val="000E0B57"/>
    <w:rsid w:val="000E30ED"/>
    <w:rsid w:val="000E599A"/>
    <w:rsid w:val="000F2564"/>
    <w:rsid w:val="00116CED"/>
    <w:rsid w:val="00153C15"/>
    <w:rsid w:val="001867BA"/>
    <w:rsid w:val="00194C5C"/>
    <w:rsid w:val="001A0B8A"/>
    <w:rsid w:val="001A34E2"/>
    <w:rsid w:val="001A4AE4"/>
    <w:rsid w:val="001A5DEC"/>
    <w:rsid w:val="001B171B"/>
    <w:rsid w:val="001B2285"/>
    <w:rsid w:val="001B50B9"/>
    <w:rsid w:val="001D216A"/>
    <w:rsid w:val="001D2E82"/>
    <w:rsid w:val="001E414D"/>
    <w:rsid w:val="001F5AB1"/>
    <w:rsid w:val="002020A3"/>
    <w:rsid w:val="00205185"/>
    <w:rsid w:val="00205DF3"/>
    <w:rsid w:val="0022083E"/>
    <w:rsid w:val="00222D0B"/>
    <w:rsid w:val="002268E1"/>
    <w:rsid w:val="00241D3D"/>
    <w:rsid w:val="002534AD"/>
    <w:rsid w:val="00254DA8"/>
    <w:rsid w:val="00263889"/>
    <w:rsid w:val="00272B04"/>
    <w:rsid w:val="00287B4F"/>
    <w:rsid w:val="00296360"/>
    <w:rsid w:val="002B3F5E"/>
    <w:rsid w:val="002B5C69"/>
    <w:rsid w:val="002D230B"/>
    <w:rsid w:val="002E55B9"/>
    <w:rsid w:val="00300E31"/>
    <w:rsid w:val="0030369D"/>
    <w:rsid w:val="00337996"/>
    <w:rsid w:val="003417E2"/>
    <w:rsid w:val="00375E89"/>
    <w:rsid w:val="0038014E"/>
    <w:rsid w:val="0038125B"/>
    <w:rsid w:val="00384DA1"/>
    <w:rsid w:val="00390230"/>
    <w:rsid w:val="00390CD7"/>
    <w:rsid w:val="00390EC6"/>
    <w:rsid w:val="003B6387"/>
    <w:rsid w:val="003C054B"/>
    <w:rsid w:val="003D0E17"/>
    <w:rsid w:val="003D38ED"/>
    <w:rsid w:val="003E2627"/>
    <w:rsid w:val="003E64F1"/>
    <w:rsid w:val="003F1455"/>
    <w:rsid w:val="00410E70"/>
    <w:rsid w:val="00434605"/>
    <w:rsid w:val="0044227D"/>
    <w:rsid w:val="00452630"/>
    <w:rsid w:val="00460C8B"/>
    <w:rsid w:val="004632E9"/>
    <w:rsid w:val="00464819"/>
    <w:rsid w:val="00464918"/>
    <w:rsid w:val="0046678C"/>
    <w:rsid w:val="004918D8"/>
    <w:rsid w:val="004A19BB"/>
    <w:rsid w:val="004B4254"/>
    <w:rsid w:val="004D3B0F"/>
    <w:rsid w:val="004D7052"/>
    <w:rsid w:val="004E75D2"/>
    <w:rsid w:val="00516B0E"/>
    <w:rsid w:val="00520683"/>
    <w:rsid w:val="005257E8"/>
    <w:rsid w:val="005379AA"/>
    <w:rsid w:val="0054014E"/>
    <w:rsid w:val="00551EB7"/>
    <w:rsid w:val="0055382F"/>
    <w:rsid w:val="005636AA"/>
    <w:rsid w:val="00584B74"/>
    <w:rsid w:val="005A6E7B"/>
    <w:rsid w:val="005D726C"/>
    <w:rsid w:val="005E32C1"/>
    <w:rsid w:val="005E7047"/>
    <w:rsid w:val="005F7357"/>
    <w:rsid w:val="00600153"/>
    <w:rsid w:val="00603DDF"/>
    <w:rsid w:val="00607188"/>
    <w:rsid w:val="006550CB"/>
    <w:rsid w:val="00656EF4"/>
    <w:rsid w:val="00664275"/>
    <w:rsid w:val="006701F8"/>
    <w:rsid w:val="00671358"/>
    <w:rsid w:val="00671D1D"/>
    <w:rsid w:val="0068286F"/>
    <w:rsid w:val="006957EE"/>
    <w:rsid w:val="00697567"/>
    <w:rsid w:val="006A44FD"/>
    <w:rsid w:val="006B5CCA"/>
    <w:rsid w:val="006C325A"/>
    <w:rsid w:val="006C4C9C"/>
    <w:rsid w:val="006D0203"/>
    <w:rsid w:val="006D2221"/>
    <w:rsid w:val="006D7794"/>
    <w:rsid w:val="006E009F"/>
    <w:rsid w:val="006E1E6A"/>
    <w:rsid w:val="006E4001"/>
    <w:rsid w:val="006F55B8"/>
    <w:rsid w:val="006F58A5"/>
    <w:rsid w:val="007012CE"/>
    <w:rsid w:val="00711349"/>
    <w:rsid w:val="00723C5D"/>
    <w:rsid w:val="007246FB"/>
    <w:rsid w:val="00724E04"/>
    <w:rsid w:val="007345A0"/>
    <w:rsid w:val="00754425"/>
    <w:rsid w:val="00761A30"/>
    <w:rsid w:val="0078027B"/>
    <w:rsid w:val="007833EE"/>
    <w:rsid w:val="007A7F0F"/>
    <w:rsid w:val="007B553F"/>
    <w:rsid w:val="007D15D9"/>
    <w:rsid w:val="007D63A4"/>
    <w:rsid w:val="007E0FA0"/>
    <w:rsid w:val="007E43E2"/>
    <w:rsid w:val="007E6E40"/>
    <w:rsid w:val="00803A6A"/>
    <w:rsid w:val="00806473"/>
    <w:rsid w:val="008106B4"/>
    <w:rsid w:val="00810CEF"/>
    <w:rsid w:val="0081758C"/>
    <w:rsid w:val="00823473"/>
    <w:rsid w:val="00853A7A"/>
    <w:rsid w:val="0086133D"/>
    <w:rsid w:val="00874F7C"/>
    <w:rsid w:val="00892035"/>
    <w:rsid w:val="00892B6E"/>
    <w:rsid w:val="008B719D"/>
    <w:rsid w:val="008C63CF"/>
    <w:rsid w:val="008D5AD4"/>
    <w:rsid w:val="008E1988"/>
    <w:rsid w:val="008F66D4"/>
    <w:rsid w:val="00935F54"/>
    <w:rsid w:val="00942E24"/>
    <w:rsid w:val="00943317"/>
    <w:rsid w:val="009447AC"/>
    <w:rsid w:val="00946CC4"/>
    <w:rsid w:val="009668F4"/>
    <w:rsid w:val="0097195D"/>
    <w:rsid w:val="009A549D"/>
    <w:rsid w:val="009C5B92"/>
    <w:rsid w:val="009C69F5"/>
    <w:rsid w:val="009D149A"/>
    <w:rsid w:val="009D4E2A"/>
    <w:rsid w:val="009E70DE"/>
    <w:rsid w:val="00A01743"/>
    <w:rsid w:val="00A06D90"/>
    <w:rsid w:val="00A105D7"/>
    <w:rsid w:val="00A1269A"/>
    <w:rsid w:val="00A24AAF"/>
    <w:rsid w:val="00A26BB4"/>
    <w:rsid w:val="00A3113B"/>
    <w:rsid w:val="00A344D3"/>
    <w:rsid w:val="00A468D7"/>
    <w:rsid w:val="00A52F3D"/>
    <w:rsid w:val="00A540AE"/>
    <w:rsid w:val="00A60E5C"/>
    <w:rsid w:val="00A620C6"/>
    <w:rsid w:val="00A63DD2"/>
    <w:rsid w:val="00A6697F"/>
    <w:rsid w:val="00A731BB"/>
    <w:rsid w:val="00A755E6"/>
    <w:rsid w:val="00A83742"/>
    <w:rsid w:val="00A86C4C"/>
    <w:rsid w:val="00A9063F"/>
    <w:rsid w:val="00AA740C"/>
    <w:rsid w:val="00AB0716"/>
    <w:rsid w:val="00AC4044"/>
    <w:rsid w:val="00AC4776"/>
    <w:rsid w:val="00AE65E0"/>
    <w:rsid w:val="00B108F5"/>
    <w:rsid w:val="00B251DB"/>
    <w:rsid w:val="00B26C25"/>
    <w:rsid w:val="00B35C0C"/>
    <w:rsid w:val="00B378B1"/>
    <w:rsid w:val="00B51B99"/>
    <w:rsid w:val="00B527DF"/>
    <w:rsid w:val="00B547BF"/>
    <w:rsid w:val="00B54D14"/>
    <w:rsid w:val="00B558E1"/>
    <w:rsid w:val="00B5715B"/>
    <w:rsid w:val="00B86A08"/>
    <w:rsid w:val="00B94B35"/>
    <w:rsid w:val="00BB0D19"/>
    <w:rsid w:val="00BD0F8A"/>
    <w:rsid w:val="00BD2421"/>
    <w:rsid w:val="00BD6A5F"/>
    <w:rsid w:val="00BE0AF6"/>
    <w:rsid w:val="00BE6EEA"/>
    <w:rsid w:val="00BF18E9"/>
    <w:rsid w:val="00BF2063"/>
    <w:rsid w:val="00BF742E"/>
    <w:rsid w:val="00C330BE"/>
    <w:rsid w:val="00C45AD4"/>
    <w:rsid w:val="00C47F20"/>
    <w:rsid w:val="00C52495"/>
    <w:rsid w:val="00C63772"/>
    <w:rsid w:val="00C74434"/>
    <w:rsid w:val="00C75BA8"/>
    <w:rsid w:val="00C77879"/>
    <w:rsid w:val="00C80DB4"/>
    <w:rsid w:val="00C92F07"/>
    <w:rsid w:val="00C968AF"/>
    <w:rsid w:val="00CA0AF2"/>
    <w:rsid w:val="00CA2487"/>
    <w:rsid w:val="00CB0955"/>
    <w:rsid w:val="00CC163C"/>
    <w:rsid w:val="00CC224A"/>
    <w:rsid w:val="00CC589C"/>
    <w:rsid w:val="00CC5CB7"/>
    <w:rsid w:val="00CD07ED"/>
    <w:rsid w:val="00CE350C"/>
    <w:rsid w:val="00D036A6"/>
    <w:rsid w:val="00D07433"/>
    <w:rsid w:val="00D220CF"/>
    <w:rsid w:val="00D706AE"/>
    <w:rsid w:val="00D765A0"/>
    <w:rsid w:val="00D841E9"/>
    <w:rsid w:val="00D9641F"/>
    <w:rsid w:val="00D9768F"/>
    <w:rsid w:val="00DB4DC9"/>
    <w:rsid w:val="00DC5D38"/>
    <w:rsid w:val="00DE4121"/>
    <w:rsid w:val="00E01D7D"/>
    <w:rsid w:val="00E2409B"/>
    <w:rsid w:val="00E270C1"/>
    <w:rsid w:val="00E3027E"/>
    <w:rsid w:val="00E504E9"/>
    <w:rsid w:val="00E57B72"/>
    <w:rsid w:val="00E81E32"/>
    <w:rsid w:val="00EB75ED"/>
    <w:rsid w:val="00EC21D3"/>
    <w:rsid w:val="00EE1419"/>
    <w:rsid w:val="00EF5589"/>
    <w:rsid w:val="00F05219"/>
    <w:rsid w:val="00F072BB"/>
    <w:rsid w:val="00F076CD"/>
    <w:rsid w:val="00F21E41"/>
    <w:rsid w:val="00F22BB9"/>
    <w:rsid w:val="00F774F2"/>
    <w:rsid w:val="00F81FB5"/>
    <w:rsid w:val="00F8795F"/>
    <w:rsid w:val="00F93A50"/>
    <w:rsid w:val="00F94D8C"/>
    <w:rsid w:val="00FA5D51"/>
    <w:rsid w:val="00FA6B0B"/>
    <w:rsid w:val="00FB1CF6"/>
    <w:rsid w:val="00FD4BD9"/>
    <w:rsid w:val="00FE2B86"/>
    <w:rsid w:val="00FE7DB2"/>
    <w:rsid w:val="00FE7F44"/>
    <w:rsid w:val="00FF3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55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0E0B57"/>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0E30ED"/>
    <w:pPr>
      <w:keepNext/>
      <w:keepLines/>
      <w:spacing w:before="40" w:after="0"/>
      <w:outlineLvl w:val="3"/>
    </w:pPr>
    <w:rPr>
      <w:rFonts w:asciiTheme="majorHAnsi" w:eastAsiaTheme="majorEastAsia" w:hAnsiTheme="majorHAnsi" w:cstheme="majorBidi"/>
      <w:iCs/>
      <w:color w:val="146F6B" w:themeColor="accent3" w:themeShade="BF"/>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0E30ED"/>
    <w:pPr>
      <w:keepNext/>
      <w:keepLines/>
      <w:spacing w:before="40" w:after="0"/>
      <w:outlineLvl w:val="5"/>
    </w:pPr>
    <w:rPr>
      <w:rFonts w:asciiTheme="majorHAnsi" w:eastAsiaTheme="majorEastAsia" w:hAnsiTheme="majorHAnsi" w:cstheme="majorBidi"/>
      <w:color w:val="146F6B" w:themeColor="accent3" w:themeShade="BF"/>
    </w:rPr>
  </w:style>
  <w:style w:type="paragraph" w:styleId="Heading7">
    <w:name w:val="heading 7"/>
    <w:basedOn w:val="Normal"/>
    <w:next w:val="Normal"/>
    <w:link w:val="Heading7Char"/>
    <w:uiPriority w:val="9"/>
    <w:semiHidden/>
    <w:unhideWhenUsed/>
    <w:qFormat/>
    <w:rsid w:val="000E0B57"/>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0E0B57"/>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0E30ED"/>
    <w:rPr>
      <w:rFonts w:asciiTheme="majorHAnsi" w:eastAsiaTheme="majorEastAsia" w:hAnsiTheme="majorHAnsi" w:cstheme="majorBidi"/>
      <w:iCs/>
      <w:color w:val="146F6B" w:themeColor="accent3" w:themeShade="BF"/>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ist Paragraph1,List Paragraph11,List Paragraph2,Figure_name,Bullet- First level,Listenabsatz1,Bullet point,List Paragraph Number,L,List Bullet 1,Body Bullets 1,Bullet Point,Bullet points,Bulleted Para,Content descriptions"/>
    <w:basedOn w:val="Normal"/>
    <w:link w:val="ListParagraphChar"/>
    <w:uiPriority w:val="34"/>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FD4BD9"/>
    <w:pPr>
      <w:tabs>
        <w:tab w:val="right" w:leader="dot" w:pos="9016"/>
      </w:tabs>
      <w:spacing w:after="100"/>
    </w:pPr>
  </w:style>
  <w:style w:type="paragraph" w:styleId="TOC2">
    <w:name w:val="toc 2"/>
    <w:basedOn w:val="Normal"/>
    <w:next w:val="Normal"/>
    <w:autoRedefine/>
    <w:uiPriority w:val="39"/>
    <w:unhideWhenUsed/>
    <w:rsid w:val="009C69F5"/>
    <w:pPr>
      <w:tabs>
        <w:tab w:val="right" w:leader="dot" w:pos="9016"/>
      </w:tabs>
      <w:spacing w:after="10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0E30ED"/>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46F6B" w:themeFill="accent3" w:themeFillShade="BF"/>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0E30ED"/>
    <w:rPr>
      <w:rFonts w:asciiTheme="majorHAnsi" w:eastAsiaTheme="majorEastAsia" w:hAnsiTheme="majorHAnsi" w:cstheme="majorBidi"/>
      <w:color w:val="146F6B" w:themeColor="accent3" w:themeShade="BF"/>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031C8E"/>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shd w:val="clear" w:color="auto" w:fill="6D6F72" w:themeFill="accent1" w:themeFillShade="BF"/>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Heading7Char">
    <w:name w:val="Heading 7 Char"/>
    <w:basedOn w:val="DefaultParagraphFont"/>
    <w:link w:val="Heading7"/>
    <w:uiPriority w:val="9"/>
    <w:semiHidden/>
    <w:rsid w:val="000E0B57"/>
    <w:rPr>
      <w:rFonts w:asciiTheme="majorHAnsi" w:eastAsiaTheme="majorEastAsia" w:hAnsiTheme="majorHAnsi" w:cstheme="majorBidi"/>
      <w:i/>
      <w:iCs/>
      <w:color w:val="005677" w:themeColor="text2"/>
    </w:rPr>
  </w:style>
  <w:style w:type="character" w:styleId="CommentReference">
    <w:name w:val="annotation reference"/>
    <w:basedOn w:val="DefaultParagraphFont"/>
    <w:uiPriority w:val="99"/>
    <w:semiHidden/>
    <w:unhideWhenUsed/>
    <w:rsid w:val="00823473"/>
    <w:rPr>
      <w:sz w:val="16"/>
      <w:szCs w:val="16"/>
    </w:rPr>
  </w:style>
  <w:style w:type="paragraph" w:styleId="CommentText">
    <w:name w:val="annotation text"/>
    <w:basedOn w:val="Normal"/>
    <w:link w:val="CommentTextChar"/>
    <w:uiPriority w:val="99"/>
    <w:unhideWhenUsed/>
    <w:rsid w:val="00823473"/>
    <w:pPr>
      <w:spacing w:line="240" w:lineRule="auto"/>
    </w:pPr>
    <w:rPr>
      <w:sz w:val="20"/>
      <w:szCs w:val="20"/>
    </w:rPr>
  </w:style>
  <w:style w:type="character" w:customStyle="1" w:styleId="CommentTextChar">
    <w:name w:val="Comment Text Char"/>
    <w:basedOn w:val="DefaultParagraphFont"/>
    <w:link w:val="CommentText"/>
    <w:uiPriority w:val="99"/>
    <w:rsid w:val="00823473"/>
    <w:rPr>
      <w:sz w:val="20"/>
      <w:szCs w:val="20"/>
    </w:rPr>
  </w:style>
  <w:style w:type="character" w:customStyle="1" w:styleId="UnresolvedMention">
    <w:name w:val="Unresolved Mention"/>
    <w:basedOn w:val="DefaultParagraphFont"/>
    <w:uiPriority w:val="99"/>
    <w:semiHidden/>
    <w:unhideWhenUsed/>
    <w:rsid w:val="003C054B"/>
    <w:rPr>
      <w:color w:val="605E5C"/>
      <w:shd w:val="clear" w:color="auto" w:fill="E1DFDD"/>
    </w:rPr>
  </w:style>
  <w:style w:type="character" w:customStyle="1" w:styleId="ui-provider">
    <w:name w:val="ui-provider"/>
    <w:basedOn w:val="DefaultParagraphFont"/>
    <w:rsid w:val="007D15D9"/>
  </w:style>
  <w:style w:type="paragraph" w:customStyle="1" w:styleId="SingleParagraph">
    <w:name w:val="Single Paragraph"/>
    <w:basedOn w:val="Normal"/>
    <w:link w:val="SingleParagraphChar"/>
    <w:rsid w:val="00DC5D38"/>
    <w:pPr>
      <w:spacing w:after="0" w:line="360" w:lineRule="auto"/>
    </w:pPr>
    <w:rPr>
      <w:rFonts w:ascii="Calibri" w:eastAsia="Times New Roman" w:hAnsi="Calibri" w:cs="Times New Roman"/>
      <w:szCs w:val="20"/>
      <w:lang w:eastAsia="en-AU"/>
    </w:rPr>
  </w:style>
  <w:style w:type="character" w:customStyle="1" w:styleId="SingleParagraphChar">
    <w:name w:val="Single Paragraph Char"/>
    <w:basedOn w:val="DefaultParagraphFont"/>
    <w:link w:val="SingleParagraph"/>
    <w:rsid w:val="00DC5D38"/>
    <w:rPr>
      <w:rFonts w:ascii="Calibri" w:eastAsia="Times New Roman" w:hAnsi="Calibri" w:cs="Times New Roman"/>
      <w:szCs w:val="20"/>
      <w:lang w:eastAsia="en-AU"/>
    </w:rPr>
  </w:style>
  <w:style w:type="character" w:styleId="FootnoteReference">
    <w:name w:val="footnote reference"/>
    <w:basedOn w:val="DefaultParagraphFont"/>
    <w:uiPriority w:val="99"/>
    <w:rsid w:val="00DC5D38"/>
    <w:rPr>
      <w:rFonts w:ascii="Calibri" w:hAnsi="Calibri"/>
      <w:sz w:val="20"/>
      <w:vertAlign w:val="superscript"/>
    </w:rPr>
  </w:style>
  <w:style w:type="paragraph" w:styleId="FootnoteText">
    <w:name w:val="footnote text"/>
    <w:basedOn w:val="Normal"/>
    <w:link w:val="FootnoteTextChar"/>
    <w:uiPriority w:val="99"/>
    <w:rsid w:val="00DC5D38"/>
    <w:pPr>
      <w:spacing w:after="0" w:line="36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rsid w:val="00DC5D38"/>
    <w:rPr>
      <w:rFonts w:ascii="Calibri" w:eastAsia="Times New Roman" w:hAnsi="Calibri" w:cs="Times New Roman"/>
      <w:sz w:val="20"/>
      <w:szCs w:val="20"/>
      <w:lang w:eastAsia="en-AU"/>
    </w:rPr>
  </w:style>
  <w:style w:type="character" w:customStyle="1" w:styleId="ListParagraphChar">
    <w:name w:val="List Paragraph Char"/>
    <w:aliases w:val="Recommendation Char,List Paragraph1 Char,List Paragraph11 Char,List Paragraph2 Char,Figure_name Char,Bullet- First level Char,Listenabsatz1 Char,Bullet point Char,List Paragraph Number Char,L Char,List Bullet 1 Char,Bullet Point Char"/>
    <w:basedOn w:val="DefaultParagraphFont"/>
    <w:link w:val="ListParagraph"/>
    <w:uiPriority w:val="34"/>
    <w:qFormat/>
    <w:locked/>
    <w:rsid w:val="00946CC4"/>
  </w:style>
  <w:style w:type="character" w:styleId="FollowedHyperlink">
    <w:name w:val="FollowedHyperlink"/>
    <w:basedOn w:val="DefaultParagraphFont"/>
    <w:uiPriority w:val="99"/>
    <w:semiHidden/>
    <w:unhideWhenUsed/>
    <w:rsid w:val="001B2285"/>
    <w:rPr>
      <w:color w:val="551A8B" w:themeColor="followedHyperlink"/>
      <w:u w:val="single"/>
    </w:rPr>
  </w:style>
  <w:style w:type="paragraph" w:styleId="CommentSubject">
    <w:name w:val="annotation subject"/>
    <w:basedOn w:val="CommentText"/>
    <w:next w:val="CommentText"/>
    <w:link w:val="CommentSubjectChar"/>
    <w:uiPriority w:val="99"/>
    <w:semiHidden/>
    <w:unhideWhenUsed/>
    <w:rsid w:val="007E0FA0"/>
    <w:rPr>
      <w:b/>
      <w:bCs/>
    </w:rPr>
  </w:style>
  <w:style w:type="character" w:customStyle="1" w:styleId="CommentSubjectChar">
    <w:name w:val="Comment Subject Char"/>
    <w:basedOn w:val="CommentTextChar"/>
    <w:link w:val="CommentSubject"/>
    <w:uiPriority w:val="99"/>
    <w:semiHidden/>
    <w:rsid w:val="007E0FA0"/>
    <w:rPr>
      <w:b/>
      <w:bCs/>
      <w:sz w:val="20"/>
      <w:szCs w:val="20"/>
    </w:rPr>
  </w:style>
  <w:style w:type="table" w:styleId="ListTable1Light-Accent6">
    <w:name w:val="List Table 1 Light Accent 6"/>
    <w:basedOn w:val="TableNormal"/>
    <w:uiPriority w:val="46"/>
    <w:rsid w:val="00D036A6"/>
    <w:pPr>
      <w:spacing w:after="0" w:line="240" w:lineRule="auto"/>
    </w:pPr>
    <w:tblPr>
      <w:tblStyleRowBandSize w:val="1"/>
      <w:tblStyleColBandSize w:val="1"/>
    </w:tblPr>
    <w:tblStylePr w:type="firstRow">
      <w:rPr>
        <w:b/>
        <w:bCs/>
      </w:rPr>
      <w:tblPr/>
      <w:tcPr>
        <w:tcBorders>
          <w:bottom w:val="single" w:sz="4" w:space="0" w:color="DEAACE" w:themeColor="accent6" w:themeTint="99"/>
        </w:tcBorders>
      </w:tcPr>
    </w:tblStylePr>
    <w:tblStylePr w:type="lastRow">
      <w:rPr>
        <w:b/>
        <w:bCs/>
      </w:rPr>
      <w:tblPr/>
      <w:tcPr>
        <w:tcBorders>
          <w:top w:val="single" w:sz="4" w:space="0" w:color="DEAACE" w:themeColor="accent6" w:themeTint="99"/>
        </w:tcBorders>
      </w:tcPr>
    </w:tblStylePr>
    <w:tblStylePr w:type="firstCol">
      <w:rPr>
        <w:b/>
        <w:bCs/>
      </w:rPr>
    </w:tblStylePr>
    <w:tblStylePr w:type="lastCol">
      <w:rPr>
        <w:b/>
        <w:bCs/>
      </w:rPr>
    </w:tblStylePr>
    <w:tblStylePr w:type="band1Vert">
      <w:tblPr/>
      <w:tcPr>
        <w:shd w:val="clear" w:color="auto" w:fill="F4E2EE" w:themeFill="accent6" w:themeFillTint="33"/>
      </w:tcPr>
    </w:tblStylePr>
    <w:tblStylePr w:type="band1Horz">
      <w:tblPr/>
      <w:tcPr>
        <w:shd w:val="clear" w:color="auto" w:fill="F4E2EE" w:themeFill="accent6" w:themeFillTint="33"/>
      </w:tcPr>
    </w:tblStylePr>
  </w:style>
  <w:style w:type="paragraph" w:styleId="NormalWeb">
    <w:name w:val="Normal (Web)"/>
    <w:basedOn w:val="Normal"/>
    <w:uiPriority w:val="99"/>
    <w:semiHidden/>
    <w:unhideWhenUsed/>
    <w:rsid w:val="00EB75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E2627"/>
    <w:pPr>
      <w:spacing w:after="0" w:line="240" w:lineRule="auto"/>
    </w:pPr>
  </w:style>
  <w:style w:type="table" w:styleId="ListTable1Light-Accent4">
    <w:name w:val="List Table 1 Light Accent 4"/>
    <w:basedOn w:val="TableNormal"/>
    <w:uiPriority w:val="46"/>
    <w:rsid w:val="00551EB7"/>
    <w:pPr>
      <w:spacing w:after="0" w:line="240" w:lineRule="auto"/>
    </w:pPr>
    <w:tblPr>
      <w:tblStyleRowBandSize w:val="1"/>
      <w:tblStyleColBandSize w:val="1"/>
    </w:tblPr>
    <w:tblStylePr w:type="firstRow">
      <w:rPr>
        <w:b/>
        <w:bCs/>
      </w:rPr>
      <w:tblPr/>
      <w:tcPr>
        <w:tcBorders>
          <w:bottom w:val="single" w:sz="4" w:space="0" w:color="A0DCDC" w:themeColor="accent4" w:themeTint="99"/>
        </w:tcBorders>
      </w:tcPr>
    </w:tblStylePr>
    <w:tblStylePr w:type="lastRow">
      <w:rPr>
        <w:b/>
        <w:bCs/>
      </w:rPr>
      <w:tblPr/>
      <w:tcPr>
        <w:tcBorders>
          <w:top w:val="single" w:sz="4" w:space="0" w:color="A0DCDC" w:themeColor="accent4" w:themeTint="99"/>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95316">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051265652">
      <w:bodyDiv w:val="1"/>
      <w:marLeft w:val="0"/>
      <w:marRight w:val="0"/>
      <w:marTop w:val="0"/>
      <w:marBottom w:val="0"/>
      <w:divBdr>
        <w:top w:val="none" w:sz="0" w:space="0" w:color="auto"/>
        <w:left w:val="none" w:sz="0" w:space="0" w:color="auto"/>
        <w:bottom w:val="none" w:sz="0" w:space="0" w:color="auto"/>
        <w:right w:val="none" w:sz="0" w:space="0" w:color="auto"/>
      </w:divBdr>
    </w:div>
    <w:div w:id="1165898156">
      <w:bodyDiv w:val="1"/>
      <w:marLeft w:val="0"/>
      <w:marRight w:val="0"/>
      <w:marTop w:val="0"/>
      <w:marBottom w:val="0"/>
      <w:divBdr>
        <w:top w:val="none" w:sz="0" w:space="0" w:color="auto"/>
        <w:left w:val="none" w:sz="0" w:space="0" w:color="auto"/>
        <w:bottom w:val="none" w:sz="0" w:space="0" w:color="auto"/>
        <w:right w:val="none" w:sz="0" w:space="0" w:color="auto"/>
      </w:divBdr>
    </w:div>
    <w:div w:id="1371564993">
      <w:bodyDiv w:val="1"/>
      <w:marLeft w:val="0"/>
      <w:marRight w:val="0"/>
      <w:marTop w:val="0"/>
      <w:marBottom w:val="0"/>
      <w:divBdr>
        <w:top w:val="none" w:sz="0" w:space="0" w:color="auto"/>
        <w:left w:val="none" w:sz="0" w:space="0" w:color="auto"/>
        <w:bottom w:val="none" w:sz="0" w:space="0" w:color="auto"/>
        <w:right w:val="none" w:sz="0" w:space="0" w:color="auto"/>
      </w:divBdr>
    </w:div>
    <w:div w:id="1450783229">
      <w:bodyDiv w:val="1"/>
      <w:marLeft w:val="0"/>
      <w:marRight w:val="0"/>
      <w:marTop w:val="0"/>
      <w:marBottom w:val="0"/>
      <w:divBdr>
        <w:top w:val="none" w:sz="0" w:space="0" w:color="auto"/>
        <w:left w:val="none" w:sz="0" w:space="0" w:color="auto"/>
        <w:bottom w:val="none" w:sz="0" w:space="0" w:color="auto"/>
        <w:right w:val="none" w:sz="0" w:space="0" w:color="auto"/>
      </w:divBdr>
    </w:div>
    <w:div w:id="1854611823">
      <w:bodyDiv w:val="1"/>
      <w:marLeft w:val="0"/>
      <w:marRight w:val="0"/>
      <w:marTop w:val="0"/>
      <w:marBottom w:val="0"/>
      <w:divBdr>
        <w:top w:val="none" w:sz="0" w:space="0" w:color="auto"/>
        <w:left w:val="none" w:sz="0" w:space="0" w:color="auto"/>
        <w:bottom w:val="none" w:sz="0" w:space="0" w:color="auto"/>
        <w:right w:val="none" w:sz="0" w:space="0" w:color="auto"/>
      </w:divBdr>
    </w:div>
    <w:div w:id="20315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originlabelling@industry.gov.au" TargetMode="External"/><Relationship Id="rId18" Type="http://schemas.openxmlformats.org/officeDocument/2006/relationships/hyperlink" Target="https://www.industry.gov.au/sites/default/files/2022-06/iga_evaluation_of_country_of_origin_labelling_reform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sic.org.au/seafoodtrail.html"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originlabelling@industry.gov.au" TargetMode="External"/><Relationship Id="rId17" Type="http://schemas.openxmlformats.org/officeDocument/2006/relationships/hyperlink" Target="https://consult.industry.gov.au/cool-for-seafood-in-hospitality"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industry.gov.au/sites/default/files/2022-06/iga_evaluation_of_country_of_origin_labelling_reforms.pdf" TargetMode="External"/><Relationship Id="rId20" Type="http://schemas.openxmlformats.org/officeDocument/2006/relationships/hyperlink" Target="https://www.tsic.org.au/eatmoreseafood.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industry.gov.au/cool-for-seafood-in-hospitality"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mer.gov.au/sites/consumer/files/2015/06/acl_iga.pdf" TargetMode="External"/><Relationship Id="rId23" Type="http://schemas.openxmlformats.org/officeDocument/2006/relationships/hyperlink" Target="https://www.safefood.qld.gov.au/newsroom/spotlight-on-the-seafood-industry/?keyword=seafood" TargetMode="External"/><Relationship Id="rId28" Type="http://schemas.openxmlformats.org/officeDocument/2006/relationships/header" Target="header3.xml"/><Relationship Id="rId36" Type="http://schemas.openxmlformats.org/officeDocument/2006/relationships/customXml" Target="../customXml/item5.xml"/><Relationship Id="rId10" Type="http://schemas.openxmlformats.org/officeDocument/2006/relationships/hyperlink" Target="https://creativecommons.org/licenses/by/4.0/legalcode" TargetMode="External"/><Relationship Id="rId19" Type="http://schemas.openxmlformats.org/officeDocument/2006/relationships/hyperlink" Target="https://www.dpi.nsw.gov.au/fishing/commercial/consultation/Eat-More-NSW-Seafood-Program"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legislation.gov.au/Details/F2017C00920" TargetMode="External"/><Relationship Id="rId22" Type="http://schemas.openxmlformats.org/officeDocument/2006/relationships/hyperlink" Target="http://www.foodwise.com.au/foodwaste/food-waste-fast-facts/foodwise-articles/sustainable-fish/" TargetMode="External"/><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frdc.com.au/sites/default/files/products/2015-702-DLD.pdf" TargetMode="External"/><Relationship Id="rId13" Type="http://schemas.openxmlformats.org/officeDocument/2006/relationships/hyperlink" Target="https://www.safefood.qld.gov.au/newsroom/spotlight-on-the-seafood-industry/?keyword=seafood" TargetMode="External"/><Relationship Id="rId3" Type="http://schemas.openxmlformats.org/officeDocument/2006/relationships/hyperlink" Target="https://www.industry.gov.au/sites/default/files/2022-06/iga_evaluation_of_country_of_origin_labelling_reforms.pdf" TargetMode="External"/><Relationship Id="rId7" Type="http://schemas.openxmlformats.org/officeDocument/2006/relationships/hyperlink" Target="https://www.frdc.com.au/australian-seafood-trade-and-market-access" TargetMode="External"/><Relationship Id="rId12" Type="http://schemas.openxmlformats.org/officeDocument/2006/relationships/hyperlink" Target="https://www.industry.gov.au/sites/default/files/2022-06/iga_country_of_origin_labelling_cost_benefit_analysis.pdf" TargetMode="External"/><Relationship Id="rId2" Type="http://schemas.openxmlformats.org/officeDocument/2006/relationships/hyperlink" Target="http://classic.austlii.edu.au/au/legis/cth/consol_act/caca2010265/sch2.html" TargetMode="External"/><Relationship Id="rId16" Type="http://schemas.openxmlformats.org/officeDocument/2006/relationships/hyperlink" Target="https://labourmarketinsights.gov.au/industries/industry-details?industryCode=H" TargetMode="External"/><Relationship Id="rId1" Type="http://schemas.openxmlformats.org/officeDocument/2006/relationships/hyperlink" Target="https://www.minister.industry.gov.au/ministers/husic/media-releases/backing-regional-industry-and-delivering-secure-jobs-future" TargetMode="External"/><Relationship Id="rId6" Type="http://schemas.openxmlformats.org/officeDocument/2006/relationships/hyperlink" Target="https://www.agriculture.gov.au/abares/research-topics/fisheries/fisheries-and-aquaculture-statistics/seafood-consumption" TargetMode="External"/><Relationship Id="rId11" Type="http://schemas.openxmlformats.org/officeDocument/2006/relationships/hyperlink" Target="file://prod.protected.ind/user/User02/gf3026/Downloads/Full-Report%20(1).pdf" TargetMode="External"/><Relationship Id="rId5" Type="http://schemas.openxmlformats.org/officeDocument/2006/relationships/hyperlink" Target="https://consult.industry.gov.au/cool-for-seafood-in-hospitality" TargetMode="External"/><Relationship Id="rId15" Type="http://schemas.openxmlformats.org/officeDocument/2006/relationships/hyperlink" Target="https://www.statista.com/statistics/653860/australia-cafes-restaurants-and-takeaway-food-services-turnover/" TargetMode="External"/><Relationship Id="rId10" Type="http://schemas.openxmlformats.org/officeDocument/2006/relationships/hyperlink" Target="https://www.choice.com.au/consumer-advocacy/policy/policy-submissions/2020/september/submission-to-the-country-of-origin-labelling-for-food-evaluation" TargetMode="External"/><Relationship Id="rId4" Type="http://schemas.openxmlformats.org/officeDocument/2006/relationships/hyperlink" Target="https://www.agriculture.gov.au/abares/research-topics/fisheries/fisheries-and-aquaculture-statistics/seafood-consumption" TargetMode="External"/><Relationship Id="rId9" Type="http://schemas.openxmlformats.org/officeDocument/2006/relationships/hyperlink" Target="https://www.industry.gov.au/sites/default/files/2022-06/iga_evaluation_of_country_of_origin_labelling_reforms.pdf" TargetMode="External"/><Relationship Id="rId14" Type="http://schemas.openxmlformats.org/officeDocument/2006/relationships/hyperlink" Target="http://www.savvysme.com.au/industry/hospitality-and-touris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nes-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04"/>
    <w:rsid w:val="000E3291"/>
    <w:rsid w:val="000F46DD"/>
    <w:rsid w:val="001678D1"/>
    <w:rsid w:val="002823E1"/>
    <w:rsid w:val="00862D04"/>
    <w:rsid w:val="00E73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B1CC97E8114995BE9B7FDDEC70586F">
    <w:name w:val="63B1CC97E8114995BE9B7FDDEC7058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DOCID-322795542-34498</_dlc_DocId>
    <_dlc_DocIdUrl xmlns="4195ad5f-cdf2-4c4a-8d9b-b7944a108e98">
      <Url>https://pmc01.sharepoint.com/sites/CRMOBPR/_layouts/15/DocIdRedir.aspx?ID=DOCID-322795542-34498</Url>
      <Description>DOCID-322795542-34498</Description>
    </_dlc_DocIdUrl>
  </documentManagement>
</p:properties>
</file>

<file path=customXml/itemProps1.xml><?xml version="1.0" encoding="utf-8"?>
<ds:datastoreItem xmlns:ds="http://schemas.openxmlformats.org/officeDocument/2006/customXml" ds:itemID="{D49BB445-CDD6-45F9-A42B-0AB6C796EE4E}">
  <ds:schemaRefs>
    <ds:schemaRef ds:uri="http://schemas.openxmlformats.org/officeDocument/2006/bibliography"/>
  </ds:schemaRefs>
</ds:datastoreItem>
</file>

<file path=customXml/itemProps2.xml><?xml version="1.0" encoding="utf-8"?>
<ds:datastoreItem xmlns:ds="http://schemas.openxmlformats.org/officeDocument/2006/customXml" ds:itemID="{2CC5C73B-FFD0-4B3F-88EC-9AD89112B8BD}"/>
</file>

<file path=customXml/itemProps3.xml><?xml version="1.0" encoding="utf-8"?>
<ds:datastoreItem xmlns:ds="http://schemas.openxmlformats.org/officeDocument/2006/customXml" ds:itemID="{07C65683-982D-4227-9ED4-EA5ADDA60189}"/>
</file>

<file path=customXml/itemProps4.xml><?xml version="1.0" encoding="utf-8"?>
<ds:datastoreItem xmlns:ds="http://schemas.openxmlformats.org/officeDocument/2006/customXml" ds:itemID="{6AFD2367-303A-4287-B23E-0D6350B5C60F}"/>
</file>

<file path=customXml/itemProps5.xml><?xml version="1.0" encoding="utf-8"?>
<ds:datastoreItem xmlns:ds="http://schemas.openxmlformats.org/officeDocument/2006/customXml" ds:itemID="{E055AF12-161E-41A9-8B85-7B75E9182E1B}"/>
</file>

<file path=docProps/app.xml><?xml version="1.0" encoding="utf-8"?>
<Properties xmlns="http://schemas.openxmlformats.org/officeDocument/2006/extended-properties" xmlns:vt="http://schemas.openxmlformats.org/officeDocument/2006/docPropsVTypes">
  <Template>Normal</Template>
  <TotalTime>0</TotalTime>
  <Pages>22</Pages>
  <Words>6666</Words>
  <Characters>37997</Characters>
  <Application>Microsoft Office Word</Application>
  <DocSecurity>0</DocSecurity>
  <Lines>316</Lines>
  <Paragraphs>89</Paragraphs>
  <ScaleCrop>false</ScaleCrop>
  <Manager/>
  <Company/>
  <LinksUpToDate>false</LinksUpToDate>
  <CharactersWithSpaces>44574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2023-07-03T22:01:00Z</dcterms:created>
  <dcterms:modified xsi:type="dcterms:W3CDTF">2023-07-03T22:01:00Z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e738b3c4-fa2b-4e45-a74d-ddf5fd74f55e</vt:lpwstr>
  </property>
</Properties>
</file>