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F8DB" w14:textId="58C9B9F7" w:rsidR="10AEBED6" w:rsidRDefault="10AEBED6" w:rsidP="33B39D66">
      <w:pPr>
        <w:jc w:val="left"/>
        <w:rPr>
          <w:rFonts w:ascii="DIN OT" w:eastAsia="DIN OT" w:hAnsi="DIN OT" w:cs="DIN OT"/>
          <w:b/>
          <w:color w:val="142667"/>
          <w:sz w:val="18"/>
          <w:szCs w:val="18"/>
          <w:lang w:val="en-GB"/>
        </w:rPr>
      </w:pPr>
      <w:r w:rsidRPr="6115D350">
        <w:rPr>
          <w:rFonts w:ascii="DIN OT" w:eastAsia="DIN OT" w:hAnsi="DIN OT" w:cs="DIN OT"/>
          <w:b/>
          <w:bCs/>
          <w:color w:val="142667"/>
          <w:szCs w:val="22"/>
          <w:lang w:val="en-GB"/>
        </w:rPr>
        <w:t>JOHN LONSDALE</w:t>
      </w:r>
      <w:r>
        <w:br/>
      </w:r>
      <w:r w:rsidRPr="6115D350">
        <w:rPr>
          <w:rFonts w:ascii="DIN OT" w:eastAsia="DIN OT" w:hAnsi="DIN OT" w:cs="DIN OT"/>
          <w:b/>
          <w:bCs/>
          <w:color w:val="142667"/>
          <w:sz w:val="18"/>
          <w:szCs w:val="18"/>
          <w:lang w:val="en-GB"/>
        </w:rPr>
        <w:t>Chair</w:t>
      </w:r>
    </w:p>
    <w:p w14:paraId="25219B8F" w14:textId="693C105C" w:rsidR="778BC42F" w:rsidRDefault="778BC42F" w:rsidP="33B39D66">
      <w:pPr>
        <w:jc w:val="left"/>
      </w:pPr>
    </w:p>
    <w:p w14:paraId="4B9F2C99" w14:textId="7A76180E" w:rsidR="46FE2C12" w:rsidRDefault="46FE2C12" w:rsidP="33B39D66">
      <w:pPr>
        <w:jc w:val="left"/>
      </w:pPr>
      <w:r>
        <w:t>10 July 2023</w:t>
      </w:r>
    </w:p>
    <w:p w14:paraId="38AB629A" w14:textId="2B5208C8" w:rsidR="00451841" w:rsidRDefault="00F16578" w:rsidP="33B39D66">
      <w:pPr>
        <w:jc w:val="left"/>
      </w:pPr>
      <w:r>
        <w:t>OIA ID</w:t>
      </w:r>
      <w:r w:rsidR="003E7912">
        <w:t>:</w:t>
      </w:r>
      <w:r w:rsidR="00451841">
        <w:t xml:space="preserve"> </w:t>
      </w:r>
      <w:r w:rsidR="001A6678" w:rsidRPr="001A6678">
        <w:rPr>
          <w:bCs/>
        </w:rPr>
        <w:t>OIA23-04674</w:t>
      </w:r>
      <w:r>
        <w:br/>
      </w:r>
    </w:p>
    <w:p w14:paraId="1330F8C4" w14:textId="77777777" w:rsidR="0054724B" w:rsidRDefault="0054724B" w:rsidP="0054724B">
      <w:pPr>
        <w:spacing w:after="0"/>
      </w:pPr>
      <w:r>
        <w:t>Mr Jason Lange</w:t>
      </w:r>
    </w:p>
    <w:p w14:paraId="58C42FB3" w14:textId="77777777" w:rsidR="0054724B" w:rsidRDefault="0054724B" w:rsidP="0054724B">
      <w:pPr>
        <w:spacing w:after="0"/>
      </w:pPr>
      <w:r>
        <w:t>Executive Director</w:t>
      </w:r>
    </w:p>
    <w:p w14:paraId="7966BE37" w14:textId="64EBE23A" w:rsidR="0054724B" w:rsidRDefault="0054724B" w:rsidP="0054724B">
      <w:pPr>
        <w:spacing w:after="0"/>
      </w:pPr>
      <w:r>
        <w:t xml:space="preserve">Office of </w:t>
      </w:r>
      <w:r w:rsidR="00BC611A">
        <w:t>Impact Analysis</w:t>
      </w:r>
    </w:p>
    <w:p w14:paraId="759C3C2A" w14:textId="77777777" w:rsidR="0054724B" w:rsidRDefault="0054724B" w:rsidP="0054724B">
      <w:pPr>
        <w:spacing w:after="0"/>
      </w:pPr>
      <w:r>
        <w:t>Department of the Prime Minister and Cabinet</w:t>
      </w:r>
    </w:p>
    <w:p w14:paraId="05BCFE96" w14:textId="77777777" w:rsidR="0054724B" w:rsidRDefault="0054724B" w:rsidP="0054724B">
      <w:pPr>
        <w:spacing w:after="0"/>
      </w:pPr>
      <w:r>
        <w:t>1 National Circuit</w:t>
      </w:r>
    </w:p>
    <w:p w14:paraId="7101B7E9" w14:textId="13CF5C24" w:rsidR="00BA0F9F" w:rsidRPr="00DC60E6" w:rsidRDefault="0054724B" w:rsidP="0054724B">
      <w:pPr>
        <w:jc w:val="left"/>
      </w:pPr>
      <w:r>
        <w:t>BARTON   ACT   2600</w:t>
      </w:r>
      <w:r>
        <w:br/>
      </w:r>
      <w:r>
        <w:br/>
      </w:r>
      <w:r w:rsidR="00D44E4C" w:rsidRPr="211076F9">
        <w:rPr>
          <w:b/>
          <w:i/>
          <w:sz w:val="20"/>
          <w:szCs w:val="20"/>
        </w:rPr>
        <w:t>Email: helpdesk-</w:t>
      </w:r>
      <w:r w:rsidR="00BC611A" w:rsidRPr="211076F9">
        <w:rPr>
          <w:b/>
          <w:i/>
          <w:sz w:val="20"/>
          <w:szCs w:val="20"/>
        </w:rPr>
        <w:t>oia</w:t>
      </w:r>
      <w:r w:rsidR="00D44E4C" w:rsidRPr="211076F9">
        <w:rPr>
          <w:b/>
          <w:i/>
          <w:sz w:val="20"/>
          <w:szCs w:val="20"/>
        </w:rPr>
        <w:t>@pmc.gov.au</w:t>
      </w:r>
    </w:p>
    <w:p w14:paraId="51D494A6" w14:textId="77777777" w:rsidR="00E83E6B" w:rsidRDefault="00E83E6B" w:rsidP="00BA0F9F"/>
    <w:p w14:paraId="69F967B8" w14:textId="4A6D704A" w:rsidR="00BA0F9F" w:rsidRPr="00DC60E6" w:rsidRDefault="00BA0F9F" w:rsidP="00BA0F9F">
      <w:r w:rsidRPr="00DC60E6">
        <w:t xml:space="preserve">Dear </w:t>
      </w:r>
      <w:r w:rsidR="00D44E4C">
        <w:t xml:space="preserve">Mr </w:t>
      </w:r>
      <w:r w:rsidR="0054724B">
        <w:t>Lange,</w:t>
      </w:r>
    </w:p>
    <w:p w14:paraId="200CE446" w14:textId="5E96D785" w:rsidR="000C44E3" w:rsidRPr="00A33CAC" w:rsidRDefault="00D44E4C" w:rsidP="00C92F92">
      <w:pPr>
        <w:pStyle w:val="LetterCAPSTitle"/>
        <w:jc w:val="left"/>
        <w:rPr>
          <w:b w:val="0"/>
          <w:i/>
        </w:rPr>
      </w:pPr>
      <w:r>
        <w:rPr>
          <w:rStyle w:val="LetterCAPSTitleChar"/>
          <w:b/>
        </w:rPr>
        <w:t xml:space="preserve">CERTIFICATION OF </w:t>
      </w:r>
      <w:r w:rsidRPr="005E48B4">
        <w:rPr>
          <w:rStyle w:val="LetterCAPSTitleChar"/>
          <w:b/>
        </w:rPr>
        <w:t>APRA’S</w:t>
      </w:r>
      <w:r>
        <w:rPr>
          <w:rStyle w:val="LetterCAPSTitleChar"/>
          <w:b/>
        </w:rPr>
        <w:t xml:space="preserve"> REVIEW</w:t>
      </w:r>
      <w:r w:rsidR="00A33CAC">
        <w:rPr>
          <w:rStyle w:val="LetterCAPSTitleChar"/>
          <w:b/>
        </w:rPr>
        <w:t xml:space="preserve"> </w:t>
      </w:r>
      <w:r w:rsidR="00E35EB2">
        <w:rPr>
          <w:rStyle w:val="LetterCAPSTitleChar"/>
          <w:b/>
          <w:i/>
        </w:rPr>
        <w:t>PRUDENTIAL STANDARD CPS 230 OPERATIONAL RISK MANAGEMENT</w:t>
      </w:r>
    </w:p>
    <w:p w14:paraId="299E1085" w14:textId="055FB338" w:rsidR="00D44E4C" w:rsidRDefault="00D44E4C" w:rsidP="00D44E4C">
      <w:r>
        <w:t xml:space="preserve">I am writing to certify that APRA’s development of </w:t>
      </w:r>
      <w:r w:rsidR="009E1C51" w:rsidRPr="009E1C51">
        <w:rPr>
          <w:i/>
        </w:rPr>
        <w:t>Prudential Standard</w:t>
      </w:r>
      <w:r w:rsidR="00E35EB2" w:rsidRPr="009E1C51">
        <w:rPr>
          <w:i/>
        </w:rPr>
        <w:t xml:space="preserve"> CPS 230 </w:t>
      </w:r>
      <w:r w:rsidR="009E1C51" w:rsidRPr="009E1C51">
        <w:rPr>
          <w:i/>
        </w:rPr>
        <w:t>Operational Risk Management</w:t>
      </w:r>
      <w:r w:rsidR="006F4AD8">
        <w:rPr>
          <w:rStyle w:val="LetterCAPSTitleChar"/>
          <w:b w:val="0"/>
        </w:rPr>
        <w:t xml:space="preserve"> </w:t>
      </w:r>
      <w:r>
        <w:t>involved a process and analysis equivalent to a final Regulation Impact Statement (RIS).</w:t>
      </w:r>
    </w:p>
    <w:p w14:paraId="2FEC95E9" w14:textId="63653CD4" w:rsidR="00D44E4C" w:rsidRDefault="00D44E4C" w:rsidP="00D44E4C">
      <w:r>
        <w:t>I certify that the review has adequately addressed all seven RIS questions. The attached document</w:t>
      </w:r>
      <w:r w:rsidR="007A15DA">
        <w:t xml:space="preserve">s, consisting of APRA consultation papers </w:t>
      </w:r>
      <w:r>
        <w:t>set out how APRA has addressed these questions.</w:t>
      </w:r>
    </w:p>
    <w:p w14:paraId="223FCC16" w14:textId="436B2DF5" w:rsidR="000C44E3" w:rsidRDefault="00AF71BA" w:rsidP="00D44E4C">
      <w:r>
        <w:t>APRA has</w:t>
      </w:r>
      <w:r w:rsidR="00D44E4C">
        <w:t xml:space="preserve"> estimated that the</w:t>
      </w:r>
      <w:r>
        <w:t xml:space="preserve"> introduction of the</w:t>
      </w:r>
      <w:r w:rsidR="00D44E4C">
        <w:t xml:space="preserve"> measure may</w:t>
      </w:r>
      <w:r w:rsidR="00E35EB2">
        <w:t xml:space="preserve"> increase </w:t>
      </w:r>
      <w:r w:rsidR="00D44E4C">
        <w:t xml:space="preserve">costs for </w:t>
      </w:r>
      <w:r w:rsidR="00E35EB2">
        <w:t>industry</w:t>
      </w:r>
      <w:r w:rsidR="00D44E4C">
        <w:t xml:space="preserve"> by </w:t>
      </w:r>
      <w:r w:rsidR="006F4AD8">
        <w:t>$</w:t>
      </w:r>
      <w:r w:rsidR="00320250">
        <w:t>22.9 million</w:t>
      </w:r>
      <w:r w:rsidR="006F4AD8">
        <w:t xml:space="preserve"> per year</w:t>
      </w:r>
      <w:r w:rsidR="00E40CED">
        <w:t>, as set out in Table 1</w:t>
      </w:r>
      <w:r w:rsidR="006F4AD8">
        <w:t>.</w:t>
      </w:r>
    </w:p>
    <w:p w14:paraId="04852390" w14:textId="2C459B33" w:rsidR="00A372B7" w:rsidRPr="00E40CED" w:rsidRDefault="00E40CED" w:rsidP="00E40CED">
      <w:pPr>
        <w:pStyle w:val="BodyText"/>
        <w:ind w:left="993" w:hanging="993"/>
        <w:rPr>
          <w:i/>
        </w:rPr>
      </w:pPr>
      <w:r w:rsidRPr="00E40CED">
        <w:rPr>
          <w:i/>
        </w:rPr>
        <w:t>Ta</w:t>
      </w:r>
      <w:r>
        <w:rPr>
          <w:i/>
        </w:rPr>
        <w:t>ble 1</w:t>
      </w:r>
      <w:r w:rsidR="00C60D38">
        <w:rPr>
          <w:i/>
        </w:rPr>
        <w:t>:</w:t>
      </w:r>
      <w:r>
        <w:rPr>
          <w:i/>
        </w:rPr>
        <w:tab/>
      </w:r>
      <w:r w:rsidR="00E83E6B">
        <w:rPr>
          <w:i/>
        </w:rPr>
        <w:t>Estimate of r</w:t>
      </w:r>
      <w:r w:rsidRPr="00E40CED">
        <w:rPr>
          <w:i/>
        </w:rPr>
        <w:t>egulatory burd</w:t>
      </w:r>
      <w:r w:rsidR="00E83E6B">
        <w:rPr>
          <w:i/>
        </w:rPr>
        <w:t>en</w:t>
      </w:r>
    </w:p>
    <w:tbl>
      <w:tblPr>
        <w:tblStyle w:val="GridTable5Dark-Accent1"/>
        <w:tblW w:w="5003" w:type="pct"/>
        <w:tblLook w:val="04A0" w:firstRow="1" w:lastRow="0" w:firstColumn="1" w:lastColumn="0" w:noHBand="0" w:noVBand="1"/>
      </w:tblPr>
      <w:tblGrid>
        <w:gridCol w:w="2265"/>
        <w:gridCol w:w="1689"/>
        <w:gridCol w:w="1689"/>
        <w:gridCol w:w="1689"/>
        <w:gridCol w:w="1689"/>
      </w:tblGrid>
      <w:tr w:rsidR="00116DF8" w:rsidRPr="00D257AA" w14:paraId="45E5D2D4" w14:textId="77777777" w:rsidTr="003D1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5"/>
            <w:shd w:val="clear" w:color="auto" w:fill="002060"/>
          </w:tcPr>
          <w:p w14:paraId="7EE8D950" w14:textId="765B16B5" w:rsidR="00116DF8" w:rsidRPr="00D257AA" w:rsidRDefault="00D257AA" w:rsidP="00B42A4C">
            <w:pPr>
              <w:pStyle w:val="APRANORMAL"/>
              <w:spacing w:before="60" w:after="60"/>
              <w:jc w:val="center"/>
              <w:rPr>
                <w:rFonts w:ascii="Arial" w:hAnsi="Arial" w:cs="Arial"/>
                <w:bCs w:val="0"/>
                <w:sz w:val="20"/>
                <w:szCs w:val="20"/>
              </w:rPr>
            </w:pPr>
            <w:r w:rsidRPr="00D257AA">
              <w:rPr>
                <w:rFonts w:ascii="Arial" w:hAnsi="Arial" w:cs="Arial"/>
                <w:b w:val="0"/>
                <w:sz w:val="20"/>
                <w:szCs w:val="20"/>
              </w:rPr>
              <w:t>Annual regulatory costs, averaged over 10 years</w:t>
            </w:r>
            <w:r w:rsidR="00E83E6B" w:rsidRPr="00D257AA">
              <w:rPr>
                <w:rFonts w:ascii="Arial" w:hAnsi="Arial" w:cs="Arial"/>
                <w:b w:val="0"/>
                <w:sz w:val="20"/>
                <w:szCs w:val="20"/>
              </w:rPr>
              <w:br/>
              <w:t>$m</w:t>
            </w:r>
          </w:p>
        </w:tc>
      </w:tr>
      <w:tr w:rsidR="00A372B7" w:rsidRPr="00D257AA" w14:paraId="2F24D668" w14:textId="77777777" w:rsidTr="0011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14:paraId="1CD5DB85" w14:textId="6D85FB21"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Change in costs</w:t>
            </w:r>
          </w:p>
        </w:tc>
        <w:tc>
          <w:tcPr>
            <w:tcW w:w="1689" w:type="dxa"/>
            <w:shd w:val="clear" w:color="auto" w:fill="D9D9D9" w:themeFill="background1" w:themeFillShade="D9"/>
          </w:tcPr>
          <w:p w14:paraId="53534240" w14:textId="668A25A1"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Business</w:t>
            </w:r>
          </w:p>
        </w:tc>
        <w:tc>
          <w:tcPr>
            <w:tcW w:w="1689" w:type="dxa"/>
            <w:shd w:val="clear" w:color="auto" w:fill="D9D9D9" w:themeFill="background1" w:themeFillShade="D9"/>
          </w:tcPr>
          <w:p w14:paraId="3C216F49" w14:textId="7C6A4684"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Community organisations</w:t>
            </w:r>
          </w:p>
        </w:tc>
        <w:tc>
          <w:tcPr>
            <w:tcW w:w="1689" w:type="dxa"/>
            <w:shd w:val="clear" w:color="auto" w:fill="D9D9D9" w:themeFill="background1" w:themeFillShade="D9"/>
          </w:tcPr>
          <w:p w14:paraId="69B71BC8" w14:textId="7496EFDB"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Individuals</w:t>
            </w:r>
          </w:p>
        </w:tc>
        <w:tc>
          <w:tcPr>
            <w:tcW w:w="1689" w:type="dxa"/>
            <w:shd w:val="clear" w:color="auto" w:fill="D9D9D9" w:themeFill="background1" w:themeFillShade="D9"/>
          </w:tcPr>
          <w:p w14:paraId="30B1C6D0" w14:textId="459B932F"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Total change in costs</w:t>
            </w:r>
          </w:p>
        </w:tc>
      </w:tr>
      <w:tr w:rsidR="00A372B7" w:rsidRPr="00D257AA" w14:paraId="44570188" w14:textId="77777777" w:rsidTr="00116DF8">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14:paraId="33421A24" w14:textId="42494FFE"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Total, by sector</w:t>
            </w:r>
          </w:p>
        </w:tc>
        <w:tc>
          <w:tcPr>
            <w:tcW w:w="1689" w:type="dxa"/>
            <w:shd w:val="clear" w:color="auto" w:fill="D9D9D9" w:themeFill="background1" w:themeFillShade="D9"/>
          </w:tcPr>
          <w:p w14:paraId="09F1A010" w14:textId="409ADC9A" w:rsidR="00A372B7" w:rsidRPr="00D257AA" w:rsidRDefault="2C97D7E5"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1E07FA1">
              <w:rPr>
                <w:sz w:val="20"/>
                <w:szCs w:val="20"/>
              </w:rPr>
              <w:t>22.9</w:t>
            </w:r>
          </w:p>
        </w:tc>
        <w:tc>
          <w:tcPr>
            <w:tcW w:w="1689" w:type="dxa"/>
            <w:shd w:val="clear" w:color="auto" w:fill="D9D9D9" w:themeFill="background1" w:themeFillShade="D9"/>
          </w:tcPr>
          <w:p w14:paraId="15963625" w14:textId="0B3F8273" w:rsidR="00A372B7" w:rsidRPr="00D257AA" w:rsidRDefault="00320250"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89" w:type="dxa"/>
            <w:shd w:val="clear" w:color="auto" w:fill="D9D9D9" w:themeFill="background1" w:themeFillShade="D9"/>
          </w:tcPr>
          <w:p w14:paraId="3EA7E2FD" w14:textId="1E7C2D3A" w:rsidR="00A372B7" w:rsidRPr="00D257AA" w:rsidRDefault="00320250"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89" w:type="dxa"/>
            <w:shd w:val="clear" w:color="auto" w:fill="D9D9D9" w:themeFill="background1" w:themeFillShade="D9"/>
          </w:tcPr>
          <w:p w14:paraId="49BBCA91" w14:textId="7F8838C1" w:rsidR="00A372B7" w:rsidRPr="00D257AA" w:rsidRDefault="03341C3A"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1E07FA1">
              <w:rPr>
                <w:sz w:val="20"/>
                <w:szCs w:val="20"/>
              </w:rPr>
              <w:t>22.9</w:t>
            </w:r>
          </w:p>
        </w:tc>
      </w:tr>
    </w:tbl>
    <w:p w14:paraId="58E2849D" w14:textId="77777777" w:rsidR="00A372B7" w:rsidRDefault="00A372B7" w:rsidP="00A372B7">
      <w:pPr>
        <w:pStyle w:val="BodyText"/>
      </w:pPr>
    </w:p>
    <w:p w14:paraId="295E57B5" w14:textId="09719AB0" w:rsidR="00A372B7" w:rsidRDefault="00A372B7" w:rsidP="004A78AD">
      <w:pPr>
        <w:jc w:val="left"/>
      </w:pPr>
      <w:r>
        <w:t>A regulatory offset has not been identified. However, APRA is seeking to pursue net reductions in compliance costs and will work with affected stakeholders and across Government to identify regulatory burden reductions where appropriate.</w:t>
      </w:r>
      <w:r>
        <w:br/>
      </w:r>
      <w:r>
        <w:lastRenderedPageBreak/>
        <w:br/>
      </w:r>
    </w:p>
    <w:p w14:paraId="5635A323" w14:textId="667F33B4" w:rsidR="02813A17" w:rsidRDefault="02813A17" w:rsidP="02813A17">
      <w:pPr>
        <w:jc w:val="left"/>
      </w:pPr>
    </w:p>
    <w:p w14:paraId="3F06261D" w14:textId="10D88F14" w:rsidR="02813A17" w:rsidRDefault="02813A17" w:rsidP="02813A17">
      <w:pPr>
        <w:jc w:val="left"/>
      </w:pPr>
    </w:p>
    <w:p w14:paraId="701AB1D7" w14:textId="7CBA5EA7" w:rsidR="00A372B7" w:rsidRDefault="00A372B7" w:rsidP="00525D28">
      <w:r>
        <w:t xml:space="preserve">Accordingly, I am satisfied that the attached report now meets best practice consistent with the </w:t>
      </w:r>
      <w:r w:rsidRPr="00E83E6B">
        <w:rPr>
          <w:i/>
        </w:rPr>
        <w:t>Australian Government Guide to Regulation</w:t>
      </w:r>
      <w:r>
        <w:t>.</w:t>
      </w:r>
    </w:p>
    <w:p w14:paraId="3F9B3C40" w14:textId="0ADF1E30" w:rsidR="00A372B7" w:rsidRDefault="00A372B7" w:rsidP="00321D08">
      <w:pPr>
        <w:keepNext/>
        <w:jc w:val="left"/>
      </w:pPr>
      <w:r>
        <w:t>Yours sincerely</w:t>
      </w:r>
      <w:r>
        <w:br/>
      </w:r>
    </w:p>
    <w:p w14:paraId="4B256DEE" w14:textId="22EBF6E6" w:rsidR="00A372B7" w:rsidRDefault="00A372B7" w:rsidP="00321D08">
      <w:pPr>
        <w:keepNext/>
        <w:jc w:val="left"/>
      </w:pPr>
      <w:r>
        <w:br/>
      </w:r>
    </w:p>
    <w:p w14:paraId="274BA10B" w14:textId="77777777" w:rsidR="00E35EB2" w:rsidRDefault="00E35EB2" w:rsidP="000C44E3">
      <w:pPr>
        <w:rPr>
          <w:b/>
        </w:rPr>
      </w:pPr>
    </w:p>
    <w:p w14:paraId="0811A8ED" w14:textId="0C65EFFC" w:rsidR="4A326D63" w:rsidRDefault="4A326D63" w:rsidP="4A326D63">
      <w:pPr>
        <w:rPr>
          <w:b/>
          <w:bCs/>
        </w:rPr>
      </w:pPr>
    </w:p>
    <w:p w14:paraId="7E17DC07" w14:textId="18AA6097" w:rsidR="4A326D63" w:rsidRDefault="4A326D63" w:rsidP="4A326D63">
      <w:pPr>
        <w:rPr>
          <w:b/>
          <w:bCs/>
        </w:rPr>
      </w:pPr>
    </w:p>
    <w:p w14:paraId="15C59621" w14:textId="487E107F" w:rsidR="00E83E6B" w:rsidRPr="00D257AA" w:rsidRDefault="00E83E6B" w:rsidP="000C44E3">
      <w:pPr>
        <w:rPr>
          <w:b/>
        </w:rPr>
      </w:pPr>
      <w:r w:rsidRPr="00D257AA">
        <w:rPr>
          <w:b/>
        </w:rPr>
        <w:t>Attachment</w:t>
      </w:r>
      <w:r w:rsidR="009D4372">
        <w:rPr>
          <w:b/>
        </w:rPr>
        <w:t>s</w:t>
      </w:r>
    </w:p>
    <w:p w14:paraId="6834C0D4" w14:textId="0472F6E5" w:rsidR="00FD3C15" w:rsidRPr="00BE1BAC" w:rsidRDefault="00FD3C15" w:rsidP="000C44E3">
      <w:pPr>
        <w:rPr>
          <w:i/>
        </w:rPr>
      </w:pPr>
      <w:r>
        <w:t xml:space="preserve">Attachment A: </w:t>
      </w:r>
      <w:r w:rsidR="004900F4">
        <w:rPr>
          <w:i/>
        </w:rPr>
        <w:t>APRA Regulation Impact Analysis</w:t>
      </w:r>
    </w:p>
    <w:p w14:paraId="0C146CFF" w14:textId="65A4C8FC" w:rsidR="00E83E6B" w:rsidRDefault="007A15DA" w:rsidP="000C44E3">
      <w:r>
        <w:t xml:space="preserve">Attachment </w:t>
      </w:r>
      <w:r w:rsidR="00EE6239">
        <w:t>B</w:t>
      </w:r>
      <w:r>
        <w:t>:</w:t>
      </w:r>
      <w:r w:rsidR="006F61B2">
        <w:t xml:space="preserve"> </w:t>
      </w:r>
      <w:r w:rsidR="006F61B2" w:rsidRPr="00AE1D19">
        <w:rPr>
          <w:i/>
        </w:rPr>
        <w:t xml:space="preserve">Response paper, </w:t>
      </w:r>
      <w:r w:rsidR="00AE1D19" w:rsidRPr="00AE1D19">
        <w:rPr>
          <w:i/>
        </w:rPr>
        <w:t>Operational Risk Management</w:t>
      </w:r>
      <w:r w:rsidR="00AE1D19">
        <w:t xml:space="preserve">, APRA, </w:t>
      </w:r>
      <w:r w:rsidR="003D0980">
        <w:t>July</w:t>
      </w:r>
      <w:r w:rsidR="002B35F2">
        <w:t xml:space="preserve"> </w:t>
      </w:r>
      <w:r w:rsidR="00AE1D19">
        <w:t>2023</w:t>
      </w:r>
    </w:p>
    <w:p w14:paraId="7A975169" w14:textId="0257F8E4" w:rsidR="007A15DA" w:rsidRDefault="007A15DA" w:rsidP="000C44E3">
      <w:r>
        <w:t xml:space="preserve">Attachment </w:t>
      </w:r>
      <w:r w:rsidR="00EE6239">
        <w:t>C</w:t>
      </w:r>
      <w:r>
        <w:t>:</w:t>
      </w:r>
      <w:r w:rsidR="006F61B2">
        <w:t xml:space="preserve"> </w:t>
      </w:r>
      <w:r w:rsidR="006F61B2" w:rsidRPr="006F61B2">
        <w:rPr>
          <w:i/>
        </w:rPr>
        <w:t xml:space="preserve">Discussion Paper, Strengthening </w:t>
      </w:r>
      <w:r w:rsidR="00AE1D19">
        <w:rPr>
          <w:i/>
        </w:rPr>
        <w:t>O</w:t>
      </w:r>
      <w:r w:rsidR="006F61B2" w:rsidRPr="006F61B2">
        <w:rPr>
          <w:i/>
        </w:rPr>
        <w:t xml:space="preserve">perational </w:t>
      </w:r>
      <w:r w:rsidR="00AE1D19">
        <w:rPr>
          <w:i/>
        </w:rPr>
        <w:t>R</w:t>
      </w:r>
      <w:r w:rsidR="006F61B2" w:rsidRPr="006F61B2">
        <w:rPr>
          <w:i/>
        </w:rPr>
        <w:t xml:space="preserve">isk </w:t>
      </w:r>
      <w:r w:rsidR="00AE1D19">
        <w:rPr>
          <w:i/>
        </w:rPr>
        <w:t>M</w:t>
      </w:r>
      <w:r w:rsidR="006F61B2" w:rsidRPr="006F61B2">
        <w:rPr>
          <w:i/>
        </w:rPr>
        <w:t>anagement</w:t>
      </w:r>
      <w:r w:rsidR="006F61B2">
        <w:t xml:space="preserve">, APRA, </w:t>
      </w:r>
      <w:r w:rsidR="00AE1D19">
        <w:t xml:space="preserve">July </w:t>
      </w:r>
      <w:r w:rsidR="006F61B2">
        <w:t>2022</w:t>
      </w:r>
    </w:p>
    <w:p w14:paraId="6E91AD03" w14:textId="3E68809A" w:rsidR="007A15DA" w:rsidRDefault="007A15DA" w:rsidP="000C44E3">
      <w:r>
        <w:t xml:space="preserve">Attachment </w:t>
      </w:r>
      <w:r w:rsidR="00EE6239">
        <w:t>D</w:t>
      </w:r>
      <w:r>
        <w:t>:</w:t>
      </w:r>
      <w:r w:rsidR="0066279E">
        <w:t xml:space="preserve"> </w:t>
      </w:r>
      <w:r w:rsidR="006F61B2" w:rsidRPr="006F61B2">
        <w:rPr>
          <w:i/>
        </w:rPr>
        <w:t>Discussion Paper, Information Security Management</w:t>
      </w:r>
      <w:r w:rsidR="006F61B2">
        <w:t xml:space="preserve">, APRA, </w:t>
      </w:r>
      <w:r w:rsidR="00A40914">
        <w:t xml:space="preserve">March </w:t>
      </w:r>
      <w:r w:rsidR="006F61B2">
        <w:t>2018</w:t>
      </w:r>
    </w:p>
    <w:p w14:paraId="70FB244F" w14:textId="5DB59C0A" w:rsidR="00EE6239" w:rsidRDefault="00EE6239" w:rsidP="000C44E3"/>
    <w:p w14:paraId="1B3011FD" w14:textId="77777777" w:rsidR="00EE6239" w:rsidRDefault="00EE6239">
      <w:pPr>
        <w:spacing w:after="200" w:line="276" w:lineRule="auto"/>
        <w:jc w:val="left"/>
      </w:pPr>
      <w:r>
        <w:br w:type="page"/>
      </w:r>
    </w:p>
    <w:p w14:paraId="1C32A376" w14:textId="734B4FA0" w:rsidR="00EE6239" w:rsidRDefault="00EE6239" w:rsidP="000C44E3">
      <w:pPr>
        <w:rPr>
          <w:b/>
        </w:rPr>
      </w:pPr>
      <w:r w:rsidRPr="00EE6239">
        <w:rPr>
          <w:b/>
        </w:rPr>
        <w:lastRenderedPageBreak/>
        <w:t xml:space="preserve">Attachment A: </w:t>
      </w:r>
      <w:r w:rsidR="00EF5AA6">
        <w:rPr>
          <w:b/>
        </w:rPr>
        <w:t>APRA Regulation Impact Analysis</w:t>
      </w:r>
    </w:p>
    <w:p w14:paraId="3E45144F" w14:textId="3C32A17F" w:rsidR="00AE127A" w:rsidRDefault="005E23F0" w:rsidP="000C44E3">
      <w:r>
        <w:t>Consistent with the Australian Government Guide to Regulation, APRA has followed a similar process to that required for a Regulation Impact Statement (RIS).</w:t>
      </w:r>
    </w:p>
    <w:p w14:paraId="6E97307E" w14:textId="2C69DB90" w:rsidR="005E23F0" w:rsidRDefault="00076080" w:rsidP="000C44E3">
      <w:r>
        <w:t xml:space="preserve">APRA has undertaken </w:t>
      </w:r>
      <w:r w:rsidR="00C34A83">
        <w:t>pu</w:t>
      </w:r>
      <w:r w:rsidR="00B37FDB">
        <w:t xml:space="preserve">blic </w:t>
      </w:r>
      <w:r w:rsidR="003C4C5E">
        <w:t>consultation</w:t>
      </w:r>
      <w:r w:rsidR="00101697">
        <w:t xml:space="preserve"> </w:t>
      </w:r>
      <w:r w:rsidR="001077C9">
        <w:t>on the proposed</w:t>
      </w:r>
      <w:r w:rsidR="007868EC">
        <w:t xml:space="preserve"> operational risk management requirements</w:t>
      </w:r>
      <w:r w:rsidR="00E906F1">
        <w:t xml:space="preserve"> and has engaged with </w:t>
      </w:r>
      <w:r w:rsidR="00B6513C">
        <w:t xml:space="preserve">a variety </w:t>
      </w:r>
      <w:r w:rsidR="0041506C">
        <w:t>of stakeholders, including APRA-regulated entities</w:t>
      </w:r>
      <w:r w:rsidR="001077C9">
        <w:t xml:space="preserve"> and</w:t>
      </w:r>
      <w:r w:rsidR="0041506C">
        <w:t xml:space="preserve"> industry bodies. As detailed in APRA’s </w:t>
      </w:r>
      <w:r w:rsidR="001077C9">
        <w:t>June</w:t>
      </w:r>
      <w:r w:rsidR="0041506C">
        <w:t xml:space="preserve"> 2023</w:t>
      </w:r>
      <w:r w:rsidR="00181F36">
        <w:t xml:space="preserve"> </w:t>
      </w:r>
      <w:r w:rsidR="0041506C">
        <w:t>response to submissions, APRA has clarified or amended its proposals in certain areas, following consideration of issues raised by stakeholders.</w:t>
      </w:r>
    </w:p>
    <w:p w14:paraId="655C9BC8" w14:textId="01CED5D7" w:rsidR="00204A7F" w:rsidRDefault="00204A7F" w:rsidP="008959B0">
      <w:pPr>
        <w:pStyle w:val="Default"/>
        <w:rPr>
          <w:sz w:val="22"/>
          <w:szCs w:val="22"/>
        </w:rPr>
      </w:pPr>
      <w:r w:rsidRPr="64158112">
        <w:rPr>
          <w:rFonts w:ascii="Arial" w:eastAsia="Times New Roman" w:hAnsi="Arial" w:cs="Times New Roman"/>
          <w:color w:val="auto"/>
          <w:sz w:val="22"/>
          <w:szCs w:val="22"/>
        </w:rPr>
        <w:t xml:space="preserve">In its July 2022 Discussion Paper, APRA set out the problem and why regulatory action was needed. </w:t>
      </w:r>
      <w:r w:rsidR="00AD3E08" w:rsidRPr="64158112">
        <w:rPr>
          <w:rFonts w:ascii="Arial" w:eastAsia="Times New Roman" w:hAnsi="Arial" w:cs="Times New Roman"/>
          <w:color w:val="auto"/>
          <w:sz w:val="22"/>
          <w:szCs w:val="22"/>
        </w:rPr>
        <w:t xml:space="preserve">In recent years, </w:t>
      </w:r>
      <w:r w:rsidR="00F22254" w:rsidRPr="64158112">
        <w:rPr>
          <w:rFonts w:ascii="Arial" w:eastAsia="Times New Roman" w:hAnsi="Arial" w:cs="Times New Roman"/>
          <w:color w:val="auto"/>
          <w:sz w:val="22"/>
          <w:szCs w:val="22"/>
        </w:rPr>
        <w:t xml:space="preserve">APRA-regulated entities have experienced </w:t>
      </w:r>
      <w:r w:rsidR="00AD3E08" w:rsidRPr="64158112">
        <w:rPr>
          <w:rFonts w:ascii="Arial" w:eastAsia="Times New Roman" w:hAnsi="Arial" w:cs="Times New Roman"/>
          <w:color w:val="auto"/>
          <w:sz w:val="22"/>
          <w:szCs w:val="22"/>
        </w:rPr>
        <w:t>operational risk events and failures that have had both financial and non-financial implications. APRA has observed three key trend</w:t>
      </w:r>
      <w:r w:rsidR="00A3153B" w:rsidRPr="64158112">
        <w:rPr>
          <w:rFonts w:ascii="Arial" w:eastAsia="Times New Roman" w:hAnsi="Arial" w:cs="Times New Roman"/>
          <w:color w:val="auto"/>
          <w:sz w:val="22"/>
          <w:szCs w:val="22"/>
        </w:rPr>
        <w:t xml:space="preserve">s: control failures, </w:t>
      </w:r>
      <w:r w:rsidR="00025CC5" w:rsidRPr="64158112">
        <w:rPr>
          <w:rFonts w:ascii="Arial" w:eastAsia="Times New Roman" w:hAnsi="Arial" w:cs="Times New Roman"/>
          <w:color w:val="auto"/>
          <w:sz w:val="22"/>
          <w:szCs w:val="22"/>
        </w:rPr>
        <w:t>potential</w:t>
      </w:r>
      <w:r w:rsidR="00A3153B" w:rsidRPr="64158112">
        <w:rPr>
          <w:rFonts w:ascii="Arial" w:eastAsia="Times New Roman" w:hAnsi="Arial" w:cs="Times New Roman"/>
          <w:color w:val="auto"/>
          <w:sz w:val="22"/>
          <w:szCs w:val="22"/>
        </w:rPr>
        <w:t xml:space="preserve"> disruptions and </w:t>
      </w:r>
      <w:r w:rsidR="00932D44" w:rsidRPr="64158112">
        <w:rPr>
          <w:rFonts w:ascii="Arial" w:eastAsia="Times New Roman" w:hAnsi="Arial" w:cs="Times New Roman"/>
          <w:color w:val="auto"/>
          <w:sz w:val="22"/>
          <w:szCs w:val="22"/>
        </w:rPr>
        <w:t>increasing reliance on service providers.</w:t>
      </w:r>
    </w:p>
    <w:p w14:paraId="0AAFB764" w14:textId="77777777" w:rsidR="008959B0" w:rsidRPr="00967C90" w:rsidRDefault="008959B0" w:rsidP="001E0DB7">
      <w:pPr>
        <w:pStyle w:val="Default"/>
        <w:rPr>
          <w:szCs w:val="22"/>
        </w:rPr>
      </w:pPr>
    </w:p>
    <w:p w14:paraId="39D87C9C" w14:textId="76EE57AB" w:rsidR="00F07A1F" w:rsidRPr="001E0DB7" w:rsidRDefault="00361D6C" w:rsidP="000D6E0B">
      <w:pPr>
        <w:jc w:val="left"/>
      </w:pPr>
      <w:r>
        <w:t xml:space="preserve">APRA’s </w:t>
      </w:r>
      <w:r w:rsidR="32702F15">
        <w:t>policy development</w:t>
      </w:r>
      <w:r>
        <w:t xml:space="preserve"> to e</w:t>
      </w:r>
      <w:r w:rsidR="002A6280">
        <w:t>nhan</w:t>
      </w:r>
      <w:r w:rsidR="00F56232">
        <w:t>c</w:t>
      </w:r>
      <w:r>
        <w:t xml:space="preserve">e </w:t>
      </w:r>
      <w:r w:rsidR="00F56232">
        <w:t xml:space="preserve">operational risk </w:t>
      </w:r>
      <w:r w:rsidR="008B757F">
        <w:t xml:space="preserve">commenced in </w:t>
      </w:r>
      <w:r w:rsidR="008B757F" w:rsidRPr="00EB4E8A">
        <w:t>20</w:t>
      </w:r>
      <w:r w:rsidR="009B3A6D" w:rsidRPr="001E0DB7">
        <w:t>18 with APRA’s proposal to introduce</w:t>
      </w:r>
      <w:r w:rsidR="00EB4E8A">
        <w:t xml:space="preserve"> information security requirements for all APRA-regulated entities</w:t>
      </w:r>
      <w:r w:rsidR="008B757F">
        <w:t>.</w:t>
      </w:r>
      <w:r w:rsidR="00E42C1F">
        <w:t xml:space="preserve"> </w:t>
      </w:r>
      <w:r w:rsidR="00EB4E8A">
        <w:t>The o</w:t>
      </w:r>
      <w:r w:rsidR="008B757F">
        <w:t xml:space="preserve">ptions outlined below </w:t>
      </w:r>
      <w:r w:rsidR="00EB4E8A">
        <w:t>reflect</w:t>
      </w:r>
      <w:r w:rsidR="008B757F">
        <w:t xml:space="preserve"> the </w:t>
      </w:r>
      <w:r w:rsidR="000C6B5A">
        <w:t xml:space="preserve">original </w:t>
      </w:r>
      <w:r w:rsidR="008B757F">
        <w:t xml:space="preserve">options considered </w:t>
      </w:r>
      <w:r w:rsidR="00451111">
        <w:t>when the project commenced</w:t>
      </w:r>
      <w:r w:rsidR="38D6C579">
        <w:t xml:space="preserve"> in 2018</w:t>
      </w:r>
      <w:r w:rsidR="00451111">
        <w:t xml:space="preserve">. </w:t>
      </w:r>
      <w:r w:rsidR="008E00BF">
        <w:t xml:space="preserve">At that time, it was determined that information security requirements should be given </w:t>
      </w:r>
      <w:proofErr w:type="gramStart"/>
      <w:r w:rsidR="5A49238D">
        <w:t xml:space="preserve">first </w:t>
      </w:r>
      <w:r w:rsidR="008E00BF">
        <w:t>priority</w:t>
      </w:r>
      <w:proofErr w:type="gramEnd"/>
      <w:r w:rsidR="008E00BF">
        <w:t xml:space="preserve"> given the clear and pressing need to address </w:t>
      </w:r>
      <w:r w:rsidR="00B22772">
        <w:t>the emerging issues in this area</w:t>
      </w:r>
      <w:r w:rsidR="00051B9A">
        <w:t>.</w:t>
      </w:r>
      <w:r w:rsidR="00B22772">
        <w:t xml:space="preserve"> As such, APRA adopted Option 2. The current </w:t>
      </w:r>
      <w:r w:rsidR="3339A591">
        <w:t xml:space="preserve">policy development </w:t>
      </w:r>
      <w:r w:rsidR="00B22772">
        <w:t>on</w:t>
      </w:r>
      <w:r w:rsidR="00A22702">
        <w:t xml:space="preserve"> operational risk management requirements reflects </w:t>
      </w:r>
      <w:r w:rsidR="39FBC228">
        <w:t xml:space="preserve">a </w:t>
      </w:r>
      <w:r w:rsidR="00A22702">
        <w:t>continuation of that approach.</w:t>
      </w:r>
    </w:p>
    <w:p w14:paraId="6BEAD511" w14:textId="0DCF5FA2" w:rsidR="00643749" w:rsidRDefault="00752515" w:rsidP="000C44E3">
      <w:pPr>
        <w:rPr>
          <w:b/>
        </w:rPr>
      </w:pPr>
      <w:r>
        <w:rPr>
          <w:b/>
        </w:rPr>
        <w:t>Policy options</w:t>
      </w:r>
    </w:p>
    <w:p w14:paraId="728363A6" w14:textId="30A62EAA" w:rsidR="00C0401E" w:rsidRDefault="00C0401E" w:rsidP="00D81419">
      <w:pPr>
        <w:pStyle w:val="Heading5"/>
      </w:pPr>
      <w:r w:rsidRPr="00B94D61">
        <w:t>Table</w:t>
      </w:r>
      <w:r>
        <w:t xml:space="preserve"> 2</w:t>
      </w:r>
      <w:r w:rsidR="000E5C03">
        <w:t>:</w:t>
      </w:r>
      <w:r w:rsidR="00C60D38">
        <w:t xml:space="preserve"> </w:t>
      </w:r>
      <w:r>
        <w:t>Op</w:t>
      </w:r>
      <w:r w:rsidR="000A1FAD">
        <w:t>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dential framework in relation to information security management"/>
        <w:tblDescription w:val="Options Approach&#10;Option 1: Status quo Continue with existing standards and guidance, relying on supervisory discretion to address any deficiencies in the risk management practices of entities.&#10;Option 2: Stepped approach Prioritise information security management and first introduce prudential requirements on information security. Subsequently, introduce the remainder of the proposal. This option will focus industry’s attention on the highest priority risk; APRA considers that an information security event could have a material impact on an institution.&#10;Option 3: Simultaneous approach Introduce new prudential standards on operational risk management, and information security, and revise prudential standards on business continuity and outsourcing.&#10;"/>
      </w:tblPr>
      <w:tblGrid>
        <w:gridCol w:w="2410"/>
        <w:gridCol w:w="6606"/>
      </w:tblGrid>
      <w:tr w:rsidR="00210641" w14:paraId="7696DE83" w14:textId="77777777" w:rsidTr="001E0DB7">
        <w:trPr>
          <w:tblHeader/>
        </w:trPr>
        <w:tc>
          <w:tcPr>
            <w:tcW w:w="2410" w:type="dxa"/>
            <w:tcBorders>
              <w:top w:val="nil"/>
              <w:left w:val="nil"/>
              <w:bottom w:val="single" w:sz="4" w:space="0" w:color="FFFFFF" w:themeColor="background1"/>
              <w:right w:val="nil"/>
            </w:tcBorders>
            <w:shd w:val="clear" w:color="auto" w:fill="002060"/>
            <w:vAlign w:val="center"/>
            <w:hideMark/>
          </w:tcPr>
          <w:p w14:paraId="2835C76A" w14:textId="77777777" w:rsidR="00210641" w:rsidRDefault="00210641">
            <w:pPr>
              <w:jc w:val="left"/>
              <w:rPr>
                <w:b/>
                <w:bCs/>
                <w:szCs w:val="22"/>
                <w:lang w:val="en-GB"/>
              </w:rPr>
            </w:pPr>
            <w:r>
              <w:rPr>
                <w:b/>
                <w:bCs/>
                <w:szCs w:val="22"/>
                <w:lang w:val="en-GB"/>
              </w:rPr>
              <w:t>Options</w:t>
            </w:r>
          </w:p>
        </w:tc>
        <w:tc>
          <w:tcPr>
            <w:tcW w:w="6606" w:type="dxa"/>
            <w:tcBorders>
              <w:top w:val="nil"/>
              <w:left w:val="nil"/>
              <w:bottom w:val="single" w:sz="4" w:space="0" w:color="FFFFFF" w:themeColor="background1"/>
              <w:right w:val="nil"/>
            </w:tcBorders>
            <w:shd w:val="clear" w:color="auto" w:fill="002060"/>
            <w:hideMark/>
          </w:tcPr>
          <w:p w14:paraId="323000AE" w14:textId="77777777" w:rsidR="00210641" w:rsidRDefault="00210641">
            <w:pPr>
              <w:jc w:val="left"/>
              <w:rPr>
                <w:szCs w:val="22"/>
                <w:lang w:val="en-GB"/>
              </w:rPr>
            </w:pPr>
            <w:r>
              <w:rPr>
                <w:b/>
                <w:color w:val="FFFFFF" w:themeColor="background1"/>
                <w:szCs w:val="22"/>
                <w:lang w:val="en-GB"/>
              </w:rPr>
              <w:t>Approach</w:t>
            </w:r>
          </w:p>
        </w:tc>
      </w:tr>
      <w:tr w:rsidR="00210641" w14:paraId="0E343D85" w14:textId="77777777" w:rsidTr="00210641">
        <w:tc>
          <w:tcPr>
            <w:tcW w:w="2410" w:type="dxa"/>
            <w:tcBorders>
              <w:top w:val="nil"/>
              <w:left w:val="nil"/>
              <w:bottom w:val="single" w:sz="4" w:space="0" w:color="FFFFFF" w:themeColor="background1"/>
              <w:right w:val="nil"/>
            </w:tcBorders>
            <w:shd w:val="clear" w:color="auto" w:fill="002060"/>
            <w:hideMark/>
          </w:tcPr>
          <w:p w14:paraId="14E3367D" w14:textId="77777777" w:rsidR="00210641" w:rsidRDefault="00210641">
            <w:pPr>
              <w:jc w:val="left"/>
              <w:rPr>
                <w:b/>
                <w:bCs/>
                <w:szCs w:val="22"/>
                <w:lang w:val="en-GB"/>
              </w:rPr>
            </w:pPr>
            <w:r>
              <w:rPr>
                <w:b/>
                <w:bCs/>
                <w:szCs w:val="22"/>
                <w:lang w:val="en-GB"/>
              </w:rPr>
              <w:t>Option 1: Status quo</w:t>
            </w:r>
          </w:p>
        </w:tc>
        <w:tc>
          <w:tcPr>
            <w:tcW w:w="6606" w:type="dxa"/>
            <w:tcBorders>
              <w:top w:val="nil"/>
              <w:left w:val="nil"/>
              <w:bottom w:val="single" w:sz="4" w:space="0" w:color="FFFFFF" w:themeColor="background1"/>
              <w:right w:val="nil"/>
            </w:tcBorders>
            <w:shd w:val="clear" w:color="auto" w:fill="F2F2F2" w:themeFill="background1" w:themeFillShade="F2"/>
            <w:hideMark/>
          </w:tcPr>
          <w:p w14:paraId="6BAE064A" w14:textId="77777777" w:rsidR="00210641" w:rsidRDefault="00210641">
            <w:pPr>
              <w:jc w:val="left"/>
              <w:rPr>
                <w:szCs w:val="22"/>
                <w:lang w:val="en-GB"/>
              </w:rPr>
            </w:pPr>
            <w:r>
              <w:rPr>
                <w:szCs w:val="22"/>
                <w:lang w:val="en-GB"/>
              </w:rPr>
              <w:t>Continue with existing standards and guidance, relying on supervisory discretion to address any deficiencies in the risk management practices of entities.</w:t>
            </w:r>
          </w:p>
        </w:tc>
      </w:tr>
      <w:tr w:rsidR="00210641" w14:paraId="7BBEF454" w14:textId="77777777" w:rsidTr="001E0DB7">
        <w:tc>
          <w:tcPr>
            <w:tcW w:w="2410" w:type="dxa"/>
            <w:tcBorders>
              <w:top w:val="single" w:sz="4" w:space="0" w:color="FFFFFF" w:themeColor="background1"/>
              <w:left w:val="nil"/>
              <w:bottom w:val="single" w:sz="4" w:space="0" w:color="FFFFFF" w:themeColor="background1"/>
              <w:right w:val="nil"/>
            </w:tcBorders>
            <w:shd w:val="clear" w:color="auto" w:fill="002060"/>
            <w:hideMark/>
          </w:tcPr>
          <w:p w14:paraId="0528DBE1" w14:textId="77777777" w:rsidR="00210641" w:rsidRDefault="00210641">
            <w:pPr>
              <w:jc w:val="left"/>
              <w:rPr>
                <w:b/>
                <w:bCs/>
                <w:szCs w:val="22"/>
                <w:lang w:val="en-GB"/>
              </w:rPr>
            </w:pPr>
            <w:r>
              <w:rPr>
                <w:b/>
                <w:bCs/>
                <w:szCs w:val="22"/>
                <w:lang w:val="en-GB"/>
              </w:rPr>
              <w:t>Option 2: Stepped approach</w:t>
            </w:r>
          </w:p>
        </w:tc>
        <w:tc>
          <w:tcPr>
            <w:tcW w:w="6606" w:type="dxa"/>
            <w:tcBorders>
              <w:top w:val="single" w:sz="4" w:space="0" w:color="FFFFFF" w:themeColor="background1"/>
              <w:left w:val="nil"/>
              <w:bottom w:val="single" w:sz="4" w:space="0" w:color="FFFFFF" w:themeColor="background1"/>
              <w:right w:val="nil"/>
            </w:tcBorders>
            <w:shd w:val="clear" w:color="auto" w:fill="auto"/>
            <w:hideMark/>
          </w:tcPr>
          <w:p w14:paraId="0B8801EF" w14:textId="5ECC854A" w:rsidR="00210641" w:rsidRDefault="3A45D8C9">
            <w:pPr>
              <w:jc w:val="left"/>
              <w:rPr>
                <w:lang w:val="en-GB"/>
              </w:rPr>
            </w:pPr>
            <w:r w:rsidRPr="02654065">
              <w:rPr>
                <w:lang w:val="en-GB"/>
              </w:rPr>
              <w:t>I</w:t>
            </w:r>
            <w:r w:rsidR="7B5AF97D" w:rsidRPr="02654065">
              <w:rPr>
                <w:lang w:val="en-GB"/>
              </w:rPr>
              <w:t>ntroduce</w:t>
            </w:r>
            <w:r w:rsidR="00210641" w:rsidRPr="382068C8">
              <w:rPr>
                <w:lang w:val="en-GB"/>
              </w:rPr>
              <w:t xml:space="preserve"> prudential requirements on information security</w:t>
            </w:r>
            <w:r w:rsidR="00883874">
              <w:rPr>
                <w:lang w:val="en-GB"/>
              </w:rPr>
              <w:t xml:space="preserve">, ahead of other requirements on the </w:t>
            </w:r>
            <w:r w:rsidR="008D34F1">
              <w:rPr>
                <w:lang w:val="en-GB"/>
              </w:rPr>
              <w:t>qualitative management of</w:t>
            </w:r>
            <w:r w:rsidR="00C65F4E" w:rsidRPr="382068C8">
              <w:rPr>
                <w:lang w:val="en-GB"/>
              </w:rPr>
              <w:t xml:space="preserve"> operational risk management</w:t>
            </w:r>
            <w:r w:rsidR="00210641" w:rsidRPr="382068C8">
              <w:rPr>
                <w:lang w:val="en-GB"/>
              </w:rPr>
              <w:t xml:space="preserve">. </w:t>
            </w:r>
          </w:p>
        </w:tc>
      </w:tr>
      <w:tr w:rsidR="00210641" w14:paraId="751A5D9B" w14:textId="77777777" w:rsidTr="00210641">
        <w:tc>
          <w:tcPr>
            <w:tcW w:w="2410" w:type="dxa"/>
            <w:tcBorders>
              <w:top w:val="single" w:sz="4" w:space="0" w:color="FFFFFF" w:themeColor="background1"/>
              <w:left w:val="nil"/>
              <w:bottom w:val="nil"/>
              <w:right w:val="nil"/>
            </w:tcBorders>
            <w:shd w:val="clear" w:color="auto" w:fill="002060"/>
            <w:hideMark/>
          </w:tcPr>
          <w:p w14:paraId="67B037CB" w14:textId="77777777" w:rsidR="00210641" w:rsidRDefault="00210641">
            <w:pPr>
              <w:jc w:val="left"/>
              <w:rPr>
                <w:b/>
                <w:bCs/>
                <w:szCs w:val="22"/>
                <w:lang w:val="en-GB"/>
              </w:rPr>
            </w:pPr>
            <w:r>
              <w:rPr>
                <w:b/>
                <w:bCs/>
                <w:szCs w:val="22"/>
                <w:lang w:val="en-GB"/>
              </w:rPr>
              <w:t>Option 3: Simultaneous approach</w:t>
            </w:r>
          </w:p>
        </w:tc>
        <w:tc>
          <w:tcPr>
            <w:tcW w:w="6606" w:type="dxa"/>
            <w:tcBorders>
              <w:top w:val="single" w:sz="4" w:space="0" w:color="FFFFFF" w:themeColor="background1"/>
              <w:left w:val="nil"/>
              <w:bottom w:val="nil"/>
              <w:right w:val="nil"/>
            </w:tcBorders>
            <w:shd w:val="clear" w:color="auto" w:fill="F2F2F2" w:themeFill="background1" w:themeFillShade="F2"/>
            <w:hideMark/>
          </w:tcPr>
          <w:p w14:paraId="6E595B8F" w14:textId="24F9BE03" w:rsidR="00210641" w:rsidRDefault="00210641">
            <w:pPr>
              <w:jc w:val="left"/>
              <w:rPr>
                <w:szCs w:val="22"/>
                <w:lang w:val="en-GB"/>
              </w:rPr>
            </w:pPr>
            <w:r>
              <w:rPr>
                <w:szCs w:val="22"/>
                <w:lang w:val="en-GB"/>
              </w:rPr>
              <w:t xml:space="preserve">Introduce </w:t>
            </w:r>
            <w:r w:rsidR="008D34F1">
              <w:rPr>
                <w:szCs w:val="22"/>
                <w:lang w:val="en-GB"/>
              </w:rPr>
              <w:t xml:space="preserve">a </w:t>
            </w:r>
            <w:r>
              <w:rPr>
                <w:szCs w:val="22"/>
                <w:lang w:val="en-GB"/>
              </w:rPr>
              <w:t xml:space="preserve">prudential standard on </w:t>
            </w:r>
            <w:r w:rsidR="008D34F1">
              <w:rPr>
                <w:szCs w:val="22"/>
                <w:lang w:val="en-GB"/>
              </w:rPr>
              <w:t xml:space="preserve">the qualitative management of </w:t>
            </w:r>
            <w:r>
              <w:rPr>
                <w:szCs w:val="22"/>
                <w:lang w:val="en-GB"/>
              </w:rPr>
              <w:t xml:space="preserve">operational risk, </w:t>
            </w:r>
            <w:r w:rsidR="00232848">
              <w:rPr>
                <w:szCs w:val="22"/>
                <w:lang w:val="en-GB"/>
              </w:rPr>
              <w:t>which includes revised content on business continuity and outsourcing, and new content on information security.</w:t>
            </w:r>
          </w:p>
        </w:tc>
      </w:tr>
    </w:tbl>
    <w:p w14:paraId="3155A2AB" w14:textId="77777777" w:rsidR="00210641" w:rsidRDefault="00210641" w:rsidP="000C44E3">
      <w:pPr>
        <w:rPr>
          <w:b/>
        </w:rPr>
      </w:pPr>
    </w:p>
    <w:p w14:paraId="239BF8D2" w14:textId="28032641" w:rsidR="00341F0B" w:rsidRDefault="00341F0B" w:rsidP="000C44E3">
      <w:pPr>
        <w:rPr>
          <w:b/>
        </w:rPr>
      </w:pPr>
      <w:r>
        <w:rPr>
          <w:b/>
        </w:rPr>
        <w:t xml:space="preserve">Option 1: </w:t>
      </w:r>
      <w:r w:rsidR="00232848">
        <w:rPr>
          <w:b/>
        </w:rPr>
        <w:t>Status quo</w:t>
      </w:r>
    </w:p>
    <w:p w14:paraId="720BC36F" w14:textId="56D6B8E7" w:rsidR="00341F0B" w:rsidRDefault="00341F0B" w:rsidP="000C44E3">
      <w:pPr>
        <w:rPr>
          <w:szCs w:val="22"/>
          <w:lang w:val="en-GB"/>
        </w:rPr>
      </w:pPr>
      <w:r>
        <w:t xml:space="preserve">Under the first option, </w:t>
      </w:r>
      <w:r w:rsidR="00B4510A">
        <w:t xml:space="preserve">APRA would continue </w:t>
      </w:r>
      <w:r w:rsidR="00B4510A">
        <w:rPr>
          <w:szCs w:val="22"/>
          <w:lang w:val="en-GB"/>
        </w:rPr>
        <w:t xml:space="preserve">with existing standards and guidance, relying on supervisory discretion to address any deficiencies in the risk management practices of entities. There would be no change in regulatory costs </w:t>
      </w:r>
      <w:r w:rsidR="00A22702">
        <w:rPr>
          <w:szCs w:val="22"/>
          <w:lang w:val="en-GB"/>
        </w:rPr>
        <w:t>under this Option</w:t>
      </w:r>
      <w:r w:rsidR="00B4510A">
        <w:rPr>
          <w:szCs w:val="22"/>
          <w:lang w:val="en-GB"/>
        </w:rPr>
        <w:t>.</w:t>
      </w:r>
    </w:p>
    <w:p w14:paraId="07D7A474" w14:textId="7258FDC1" w:rsidR="00342A73" w:rsidRDefault="00342A73" w:rsidP="000C44E3">
      <w:pPr>
        <w:rPr>
          <w:szCs w:val="22"/>
          <w:lang w:val="en-GB"/>
        </w:rPr>
      </w:pPr>
      <w:r>
        <w:rPr>
          <w:szCs w:val="22"/>
          <w:lang w:val="en-GB"/>
        </w:rPr>
        <w:t>However, prudential risks would remain heightened.</w:t>
      </w:r>
      <w:r w:rsidR="003249EF">
        <w:rPr>
          <w:szCs w:val="22"/>
          <w:lang w:val="en-GB"/>
        </w:rPr>
        <w:t xml:space="preserve"> Without changes to </w:t>
      </w:r>
      <w:r w:rsidR="00FF625E">
        <w:rPr>
          <w:szCs w:val="22"/>
          <w:lang w:val="en-GB"/>
        </w:rPr>
        <w:t>the</w:t>
      </w:r>
      <w:r w:rsidR="00E23F7B">
        <w:rPr>
          <w:szCs w:val="22"/>
          <w:lang w:val="en-GB"/>
        </w:rPr>
        <w:t xml:space="preserve"> </w:t>
      </w:r>
      <w:r w:rsidR="00DD2FD6">
        <w:rPr>
          <w:szCs w:val="22"/>
          <w:lang w:val="en-GB"/>
        </w:rPr>
        <w:t>existing prudential</w:t>
      </w:r>
      <w:r w:rsidR="00FF625E">
        <w:rPr>
          <w:szCs w:val="22"/>
          <w:lang w:val="en-GB"/>
        </w:rPr>
        <w:t xml:space="preserve"> framework,</w:t>
      </w:r>
      <w:r w:rsidR="00E23F7B">
        <w:rPr>
          <w:szCs w:val="22"/>
          <w:lang w:val="en-GB"/>
        </w:rPr>
        <w:t xml:space="preserve"> </w:t>
      </w:r>
      <w:r w:rsidR="001176E5">
        <w:rPr>
          <w:szCs w:val="22"/>
          <w:lang w:val="en-GB"/>
        </w:rPr>
        <w:t>system-wide risks relating to operational risk, business continui</w:t>
      </w:r>
      <w:r w:rsidR="00511A0B">
        <w:rPr>
          <w:szCs w:val="22"/>
          <w:lang w:val="en-GB"/>
        </w:rPr>
        <w:t>ty management and service provider management would not be reduced.</w:t>
      </w:r>
    </w:p>
    <w:p w14:paraId="3ABA0629" w14:textId="5C190027" w:rsidR="00B4510A" w:rsidRDefault="00DD2FD6" w:rsidP="000C44E3">
      <w:r>
        <w:lastRenderedPageBreak/>
        <w:t xml:space="preserve">On balance, APRA considers there </w:t>
      </w:r>
      <w:r w:rsidR="00910422">
        <w:t xml:space="preserve">to be </w:t>
      </w:r>
      <w:r>
        <w:t>a long</w:t>
      </w:r>
      <w:r w:rsidR="00910422">
        <w:t>-</w:t>
      </w:r>
      <w:r>
        <w:t xml:space="preserve">term </w:t>
      </w:r>
      <w:r w:rsidR="005B48B0">
        <w:t xml:space="preserve">net cost associated with Option 1. While there are no additional regulatory costs associated with this option, there are long-term costs associated with the risks to </w:t>
      </w:r>
      <w:r w:rsidR="005B48B0" w:rsidRPr="002158A4">
        <w:t>financial stability</w:t>
      </w:r>
      <w:r w:rsidR="005B48B0">
        <w:t xml:space="preserve"> and poor community outcomes.</w:t>
      </w:r>
    </w:p>
    <w:p w14:paraId="137F241B" w14:textId="488F8494" w:rsidR="0092386D" w:rsidRPr="001E0DB7" w:rsidRDefault="0092386D" w:rsidP="0092386D">
      <w:pPr>
        <w:jc w:val="left"/>
        <w:rPr>
          <w:b/>
        </w:rPr>
      </w:pPr>
      <w:r w:rsidRPr="001E0DB7">
        <w:rPr>
          <w:b/>
        </w:rPr>
        <w:t xml:space="preserve">Option 2: </w:t>
      </w:r>
      <w:r w:rsidR="00232848">
        <w:rPr>
          <w:b/>
        </w:rPr>
        <w:t>Stepped approach</w:t>
      </w:r>
    </w:p>
    <w:p w14:paraId="1611C01D" w14:textId="71B78FD1" w:rsidR="0092386D" w:rsidRDefault="007C7CEE" w:rsidP="0092386D">
      <w:pPr>
        <w:jc w:val="left"/>
      </w:pPr>
      <w:r>
        <w:t xml:space="preserve">Under </w:t>
      </w:r>
      <w:r w:rsidR="003164F7">
        <w:t>O</w:t>
      </w:r>
      <w:r>
        <w:t xml:space="preserve">ption 2, APRA would </w:t>
      </w:r>
      <w:r w:rsidR="003A1B83">
        <w:t>first introduce requirements on information security</w:t>
      </w:r>
      <w:r w:rsidR="00321BF6">
        <w:rPr>
          <w:rStyle w:val="FootnoteReference"/>
        </w:rPr>
        <w:footnoteReference w:id="2"/>
      </w:r>
      <w:r w:rsidR="003A1B83">
        <w:t xml:space="preserve"> and then introduce </w:t>
      </w:r>
      <w:r w:rsidR="00DF7897">
        <w:t xml:space="preserve">general </w:t>
      </w:r>
      <w:r w:rsidR="003A1B83">
        <w:t>operational risk management requirements</w:t>
      </w:r>
      <w:r w:rsidR="007D467D">
        <w:rPr>
          <w:rStyle w:val="FootnoteReference"/>
        </w:rPr>
        <w:footnoteReference w:id="3"/>
      </w:r>
      <w:r w:rsidR="003A1B83">
        <w:t>.</w:t>
      </w:r>
    </w:p>
    <w:p w14:paraId="1D1C193D" w14:textId="0C859AB0" w:rsidR="003A1B83" w:rsidRDefault="003A1B83" w:rsidP="0092386D">
      <w:pPr>
        <w:jc w:val="left"/>
      </w:pPr>
      <w:r>
        <w:t>Under this option, APRA-regulated entities would incur moderate additional regulatory costs.</w:t>
      </w:r>
      <w:r w:rsidR="00F00121">
        <w:t xml:space="preserve"> APRA estimates the cost to indust</w:t>
      </w:r>
      <w:r w:rsidR="00B84BDC">
        <w:t>ry</w:t>
      </w:r>
      <w:r w:rsidR="009B437B">
        <w:t xml:space="preserve"> of the operational risk management requirements at an annual average of </w:t>
      </w:r>
      <w:r w:rsidR="00DF7897">
        <w:t>approximately</w:t>
      </w:r>
      <w:r w:rsidR="009B437B">
        <w:t xml:space="preserve"> $22.9 million over 10 years.</w:t>
      </w:r>
    </w:p>
    <w:p w14:paraId="0CE5A887" w14:textId="39140602" w:rsidR="00E75C43" w:rsidRDefault="00D72DCF" w:rsidP="0092386D">
      <w:pPr>
        <w:jc w:val="left"/>
      </w:pPr>
      <w:r>
        <w:t xml:space="preserve">APRA’s estimate is based </w:t>
      </w:r>
      <w:r w:rsidR="006D1072">
        <w:t>on likely</w:t>
      </w:r>
      <w:r w:rsidR="0092308B">
        <w:t xml:space="preserve"> </w:t>
      </w:r>
      <w:r w:rsidR="002A3EA2">
        <w:t xml:space="preserve">costs associated with </w:t>
      </w:r>
      <w:r w:rsidR="006D1072">
        <w:t xml:space="preserve">updating </w:t>
      </w:r>
      <w:r w:rsidR="009C0DE7">
        <w:t>policies</w:t>
      </w:r>
      <w:r w:rsidR="006D1072">
        <w:t xml:space="preserve">, </w:t>
      </w:r>
      <w:proofErr w:type="gramStart"/>
      <w:r w:rsidR="006D1072">
        <w:t>processes</w:t>
      </w:r>
      <w:proofErr w:type="gramEnd"/>
      <w:r w:rsidR="009C0DE7">
        <w:t xml:space="preserve"> and frameworks</w:t>
      </w:r>
      <w:r w:rsidR="006D1072">
        <w:t xml:space="preserve">, </w:t>
      </w:r>
      <w:r w:rsidR="00482D8B">
        <w:t>staffing costs</w:t>
      </w:r>
      <w:r w:rsidR="00E354BD">
        <w:t xml:space="preserve"> and legal costs.</w:t>
      </w:r>
    </w:p>
    <w:p w14:paraId="5C0AAD14" w14:textId="1D427859" w:rsidR="00711019" w:rsidRPr="001E0DB7" w:rsidRDefault="00711019" w:rsidP="0092386D">
      <w:pPr>
        <w:jc w:val="left"/>
        <w:rPr>
          <w:b/>
        </w:rPr>
      </w:pPr>
      <w:r w:rsidRPr="001E0DB7">
        <w:rPr>
          <w:b/>
        </w:rPr>
        <w:t xml:space="preserve">Option 3: </w:t>
      </w:r>
      <w:r w:rsidR="00232848">
        <w:rPr>
          <w:b/>
        </w:rPr>
        <w:t>Simultaneous approach</w:t>
      </w:r>
    </w:p>
    <w:p w14:paraId="55864F8A" w14:textId="1A0FBDFC" w:rsidR="009A72FD" w:rsidRDefault="0021474F" w:rsidP="0092386D">
      <w:pPr>
        <w:jc w:val="left"/>
        <w:rPr>
          <w:szCs w:val="22"/>
          <w:lang w:val="en-GB"/>
        </w:rPr>
      </w:pPr>
      <w:r>
        <w:t xml:space="preserve">Under Option 3, </w:t>
      </w:r>
      <w:r w:rsidR="00A816F3">
        <w:t xml:space="preserve">APRA would </w:t>
      </w:r>
      <w:r w:rsidR="00482D8B">
        <w:t xml:space="preserve">have updated </w:t>
      </w:r>
      <w:r w:rsidR="00DF576B">
        <w:t>all relevant standards at the same time</w:t>
      </w:r>
      <w:r w:rsidR="00366406">
        <w:rPr>
          <w:szCs w:val="22"/>
          <w:lang w:val="en-GB"/>
        </w:rPr>
        <w:t>.</w:t>
      </w:r>
    </w:p>
    <w:p w14:paraId="777C487B" w14:textId="126CF24B" w:rsidR="00787CAF" w:rsidRPr="001E0DB7" w:rsidRDefault="00787CAF" w:rsidP="001E0DB7">
      <w:pPr>
        <w:jc w:val="left"/>
      </w:pPr>
      <w:r>
        <w:rPr>
          <w:szCs w:val="22"/>
          <w:lang w:val="en-GB"/>
        </w:rPr>
        <w:t>Under this optio</w:t>
      </w:r>
      <w:r w:rsidR="00804676">
        <w:rPr>
          <w:szCs w:val="22"/>
          <w:lang w:val="en-GB"/>
        </w:rPr>
        <w:t xml:space="preserve">n, </w:t>
      </w:r>
      <w:r w:rsidR="000E71D5">
        <w:rPr>
          <w:szCs w:val="22"/>
          <w:lang w:val="en-GB"/>
        </w:rPr>
        <w:t xml:space="preserve">APRA-regulated entities would </w:t>
      </w:r>
      <w:r w:rsidR="00097661">
        <w:rPr>
          <w:szCs w:val="22"/>
          <w:lang w:val="en-GB"/>
        </w:rPr>
        <w:t>b</w:t>
      </w:r>
      <w:r w:rsidR="00C97147">
        <w:rPr>
          <w:szCs w:val="22"/>
          <w:lang w:val="en-GB"/>
        </w:rPr>
        <w:t xml:space="preserve">ear the implementation costs of </w:t>
      </w:r>
      <w:r w:rsidR="00051884">
        <w:rPr>
          <w:szCs w:val="22"/>
          <w:lang w:val="en-GB"/>
        </w:rPr>
        <w:t>both sets of requirements simultaneously</w:t>
      </w:r>
      <w:r w:rsidR="00FC3D4D">
        <w:rPr>
          <w:szCs w:val="22"/>
          <w:lang w:val="en-GB"/>
        </w:rPr>
        <w:t xml:space="preserve">. Information security requirements would </w:t>
      </w:r>
      <w:r w:rsidR="00DF576B">
        <w:rPr>
          <w:szCs w:val="22"/>
          <w:lang w:val="en-GB"/>
        </w:rPr>
        <w:t xml:space="preserve">have faced a longer timeline than that under </w:t>
      </w:r>
      <w:r w:rsidR="00FC3D4D">
        <w:rPr>
          <w:szCs w:val="22"/>
          <w:lang w:val="en-GB"/>
        </w:rPr>
        <w:t>Option 2.</w:t>
      </w:r>
    </w:p>
    <w:p w14:paraId="76E11999" w14:textId="12C18B4C" w:rsidR="00C10D7E" w:rsidRDefault="00C10D7E" w:rsidP="000C44E3">
      <w:pPr>
        <w:rPr>
          <w:b/>
        </w:rPr>
      </w:pPr>
      <w:r>
        <w:rPr>
          <w:b/>
        </w:rPr>
        <w:t>Assessment of net benefits</w:t>
      </w:r>
    </w:p>
    <w:p w14:paraId="5E572172" w14:textId="7897E8E1" w:rsidR="004C738E" w:rsidRDefault="00C10D7E" w:rsidP="000C44E3">
      <w:r>
        <w:t xml:space="preserve">As outlined in APRA’s </w:t>
      </w:r>
      <w:r w:rsidR="00DF576B">
        <w:t>June</w:t>
      </w:r>
      <w:r w:rsidR="00AA40F9">
        <w:t xml:space="preserve"> 2023 Discussion Paper, </w:t>
      </w:r>
      <w:r w:rsidR="00846B8B">
        <w:t xml:space="preserve">there are net benefits </w:t>
      </w:r>
      <w:r w:rsidR="0041600D">
        <w:t>from</w:t>
      </w:r>
      <w:r w:rsidR="00846B8B">
        <w:t xml:space="preserve"> APRA’s approach to </w:t>
      </w:r>
      <w:r w:rsidR="00475AB1">
        <w:t xml:space="preserve">revising </w:t>
      </w:r>
      <w:r w:rsidR="004C738E">
        <w:t>operational risk management requirements</w:t>
      </w:r>
      <w:r w:rsidR="002900AE">
        <w:t xml:space="preserve"> (Option </w:t>
      </w:r>
      <w:r w:rsidR="006A1E1E">
        <w:t>2):</w:t>
      </w:r>
    </w:p>
    <w:p w14:paraId="0933C433" w14:textId="77777777" w:rsidR="00B57B10" w:rsidRPr="00B57B10" w:rsidRDefault="00B57B10" w:rsidP="00B57B10">
      <w:pPr>
        <w:numPr>
          <w:ilvl w:val="0"/>
          <w:numId w:val="49"/>
        </w:numPr>
        <w:spacing w:before="100" w:beforeAutospacing="1" w:after="100" w:afterAutospacing="1"/>
        <w:jc w:val="left"/>
        <w:rPr>
          <w:rFonts w:cs="Arial"/>
          <w:color w:val="000000"/>
          <w:szCs w:val="22"/>
        </w:rPr>
      </w:pPr>
      <w:r w:rsidRPr="00B57B10">
        <w:rPr>
          <w:rFonts w:cs="Arial"/>
          <w:b/>
          <w:color w:val="000000"/>
          <w:szCs w:val="22"/>
        </w:rPr>
        <w:t>strengthen operational risk management</w:t>
      </w:r>
      <w:r w:rsidRPr="00B57B10">
        <w:rPr>
          <w:rFonts w:cs="Arial"/>
          <w:color w:val="000000"/>
          <w:szCs w:val="22"/>
        </w:rPr>
        <w:t> with new requirements to address weaknesses that have been identified in existing practices of APRA-regulated entities. This includes requirements to maintain and test internal controls to ensure they are effective in managing key operational risks.</w:t>
      </w:r>
    </w:p>
    <w:p w14:paraId="21FA93DF" w14:textId="77777777" w:rsidR="00B57B10" w:rsidRPr="00B57B10" w:rsidRDefault="00B57B10" w:rsidP="00B57B10">
      <w:pPr>
        <w:numPr>
          <w:ilvl w:val="0"/>
          <w:numId w:val="49"/>
        </w:numPr>
        <w:spacing w:before="100" w:beforeAutospacing="1" w:after="100" w:afterAutospacing="1"/>
        <w:jc w:val="left"/>
        <w:rPr>
          <w:rFonts w:cs="Arial"/>
          <w:color w:val="000000"/>
          <w:szCs w:val="22"/>
        </w:rPr>
      </w:pPr>
      <w:r w:rsidRPr="00B57B10">
        <w:rPr>
          <w:rFonts w:cs="Arial"/>
          <w:b/>
          <w:color w:val="000000"/>
          <w:szCs w:val="22"/>
        </w:rPr>
        <w:t>improve business continuity planning</w:t>
      </w:r>
      <w:r w:rsidRPr="00B57B10">
        <w:rPr>
          <w:rFonts w:cs="Arial"/>
          <w:color w:val="000000"/>
          <w:szCs w:val="22"/>
        </w:rPr>
        <w:t xml:space="preserve"> to ensure that APRA-regulated entities are ready to respond to severe business disruptions, and maintain critical operations such as payments, settlements, fund administration and claims processing. It is important that all APRA-regulated entities </w:t>
      </w:r>
      <w:proofErr w:type="gramStart"/>
      <w:r w:rsidRPr="00B57B10">
        <w:rPr>
          <w:rFonts w:cs="Arial"/>
          <w:color w:val="000000"/>
          <w:szCs w:val="22"/>
        </w:rPr>
        <w:t>are able to</w:t>
      </w:r>
      <w:proofErr w:type="gramEnd"/>
      <w:r w:rsidRPr="00B57B10">
        <w:rPr>
          <w:rFonts w:cs="Arial"/>
          <w:color w:val="000000"/>
          <w:szCs w:val="22"/>
        </w:rPr>
        <w:t xml:space="preserve"> adapt processes and systems to continue to operate in the event of a disruption and set clear tolerances for the maximum level of disruption they are willing to accept for critical operations.</w:t>
      </w:r>
    </w:p>
    <w:p w14:paraId="2507A675" w14:textId="77777777" w:rsidR="00B57B10" w:rsidRPr="00B57B10" w:rsidRDefault="00B57B10" w:rsidP="00B57B10">
      <w:pPr>
        <w:numPr>
          <w:ilvl w:val="0"/>
          <w:numId w:val="49"/>
        </w:numPr>
        <w:spacing w:before="100" w:beforeAutospacing="1" w:after="100" w:afterAutospacing="1"/>
        <w:jc w:val="left"/>
        <w:rPr>
          <w:rFonts w:cs="Arial"/>
          <w:color w:val="000000"/>
        </w:rPr>
      </w:pPr>
      <w:r w:rsidRPr="64158112">
        <w:rPr>
          <w:rFonts w:cs="Arial"/>
          <w:b/>
          <w:color w:val="000000" w:themeColor="text1"/>
        </w:rPr>
        <w:t>enhance third-party risk management</w:t>
      </w:r>
      <w:r w:rsidRPr="64158112">
        <w:rPr>
          <w:rFonts w:cs="Arial"/>
          <w:color w:val="000000" w:themeColor="text1"/>
        </w:rPr>
        <w:t> by extending requirements to cover all material service providers that APRA-regulated entities rely upon for critical operations or that expose them to material operational risk, rather than just those that have been outsourced.</w:t>
      </w:r>
    </w:p>
    <w:p w14:paraId="730AC7FF" w14:textId="48825D1E" w:rsidR="64158112" w:rsidRDefault="006B6EE5" w:rsidP="006C586A">
      <w:pPr>
        <w:spacing w:beforeAutospacing="1" w:afterAutospacing="1"/>
        <w:jc w:val="left"/>
        <w:rPr>
          <w:color w:val="000000" w:themeColor="text1"/>
        </w:rPr>
      </w:pPr>
      <w:r>
        <w:rPr>
          <w:color w:val="000000" w:themeColor="text1"/>
        </w:rPr>
        <w:t xml:space="preserve">In essence, </w:t>
      </w:r>
      <w:r w:rsidR="00CA3EF1">
        <w:rPr>
          <w:color w:val="000000" w:themeColor="text1"/>
        </w:rPr>
        <w:t xml:space="preserve">the changes will help to ensure that APRA-regulated entities are resilient to </w:t>
      </w:r>
      <w:r w:rsidR="008571A7">
        <w:rPr>
          <w:color w:val="000000" w:themeColor="text1"/>
        </w:rPr>
        <w:t>operational risks and disruptions should they occur.</w:t>
      </w:r>
    </w:p>
    <w:p w14:paraId="532A5AA1" w14:textId="560A4A4F" w:rsidR="00210641" w:rsidRDefault="00302D5C" w:rsidP="00E37065">
      <w:pPr>
        <w:keepNext/>
        <w:rPr>
          <w:b/>
        </w:rPr>
      </w:pPr>
      <w:r>
        <w:rPr>
          <w:b/>
        </w:rPr>
        <w:lastRenderedPageBreak/>
        <w:t>Con</w:t>
      </w:r>
      <w:r w:rsidR="00BA24B4">
        <w:rPr>
          <w:b/>
        </w:rPr>
        <w:t>clusion:</w:t>
      </w:r>
      <w:r w:rsidR="00AD3DE4">
        <w:rPr>
          <w:b/>
        </w:rPr>
        <w:t xml:space="preserve"> C</w:t>
      </w:r>
      <w:r w:rsidR="00BA24B4">
        <w:rPr>
          <w:b/>
        </w:rPr>
        <w:t>omparison of policy options</w:t>
      </w:r>
    </w:p>
    <w:p w14:paraId="6CB7B75C" w14:textId="0354D187" w:rsidR="003D66AE" w:rsidRDefault="00BA24B4" w:rsidP="00E37065">
      <w:pPr>
        <w:keepNext/>
      </w:pPr>
      <w:r>
        <w:t xml:space="preserve">When developing policy, APRA is required to balance the objectives of financial safety and efficiency, competition, </w:t>
      </w:r>
      <w:proofErr w:type="gramStart"/>
      <w:r>
        <w:t>contestability</w:t>
      </w:r>
      <w:proofErr w:type="gramEnd"/>
      <w:r>
        <w:t xml:space="preserve"> and competitive neutrality, while promoting financial system stability in Australia.</w:t>
      </w:r>
    </w:p>
    <w:p w14:paraId="68667488" w14:textId="34871794" w:rsidR="00BA24B4" w:rsidRDefault="00AA0445" w:rsidP="00E37065">
      <w:pPr>
        <w:keepNext/>
      </w:pPr>
      <w:r>
        <w:t>While both Option 2 and Option 3</w:t>
      </w:r>
      <w:r w:rsidR="00C72D87">
        <w:t xml:space="preserve"> </w:t>
      </w:r>
      <w:r w:rsidR="00730E9A">
        <w:t>are similar</w:t>
      </w:r>
      <w:r w:rsidR="00C72D87">
        <w:t xml:space="preserve">, Option 2 </w:t>
      </w:r>
      <w:r w:rsidR="00D66267">
        <w:t xml:space="preserve">has the additional benefit of giving priority to </w:t>
      </w:r>
      <w:r w:rsidR="008871B0">
        <w:t xml:space="preserve">information security </w:t>
      </w:r>
      <w:r w:rsidR="006E64A9">
        <w:t>w</w:t>
      </w:r>
      <w:r w:rsidR="00964819">
        <w:t>hich is an area of heightened risk</w:t>
      </w:r>
      <w:r w:rsidR="007615F0">
        <w:t>.</w:t>
      </w:r>
      <w:r w:rsidR="00812A24">
        <w:rPr>
          <w:rStyle w:val="FootnoteReference"/>
        </w:rPr>
        <w:footnoteReference w:id="4"/>
      </w:r>
      <w:r w:rsidR="00717DB9">
        <w:t xml:space="preserve"> </w:t>
      </w:r>
      <w:r w:rsidR="00872093">
        <w:t>Therefore,</w:t>
      </w:r>
      <w:r w:rsidR="00BA24B4">
        <w:t xml:space="preserve"> APRA consider</w:t>
      </w:r>
      <w:r w:rsidR="00121638">
        <w:t>ed</w:t>
      </w:r>
      <w:r w:rsidR="00BA24B4">
        <w:t xml:space="preserve"> that</w:t>
      </w:r>
      <w:r w:rsidR="00872093">
        <w:t xml:space="preserve"> </w:t>
      </w:r>
      <w:r w:rsidR="00BA24B4">
        <w:t xml:space="preserve">Option 2 </w:t>
      </w:r>
      <w:r w:rsidR="00E62ACF">
        <w:t>provide</w:t>
      </w:r>
      <w:r w:rsidR="00121638">
        <w:t>s</w:t>
      </w:r>
      <w:r w:rsidR="00E62ACF">
        <w:t xml:space="preserve"> the greatest </w:t>
      </w:r>
      <w:r w:rsidR="00BA24B4">
        <w:t>enhance</w:t>
      </w:r>
      <w:r w:rsidR="00E62ACF">
        <w:t>ment to</w:t>
      </w:r>
      <w:r w:rsidR="00BA24B4">
        <w:t xml:space="preserve"> prudential outcomes and improve</w:t>
      </w:r>
      <w:r w:rsidR="00867885">
        <w:t>ment to</w:t>
      </w:r>
      <w:r w:rsidR="00BA24B4">
        <w:t xml:space="preserve"> financial system safety and stability in Australia.</w:t>
      </w:r>
    </w:p>
    <w:p w14:paraId="481FC1CE" w14:textId="690AB4B0" w:rsidR="007B5413" w:rsidRDefault="007B5413" w:rsidP="00D81419">
      <w:pPr>
        <w:pStyle w:val="Heading5"/>
      </w:pPr>
      <w:r>
        <w:t>Table 3: Comparison of options</w:t>
      </w:r>
    </w:p>
    <w:tbl>
      <w:tblPr>
        <w:tblStyle w:val="TableGrid11"/>
        <w:tblW w:w="0" w:type="auto"/>
        <w:tblInd w:w="0" w:type="dxa"/>
        <w:tblLayout w:type="fixed"/>
        <w:tblLook w:val="04A0" w:firstRow="1" w:lastRow="0" w:firstColumn="1" w:lastColumn="0" w:noHBand="0" w:noVBand="1"/>
        <w:tblCaption w:val="Table 4 - Summary of net benefits of each option"/>
        <w:tblDescription w:val=" Option 1 Option 2 Option 3&#10;Compliance cost No change Moderate cost Moderate cost&#10;Reduces system-wide risk relating to information security incidents No change Meets this criteria Meets this criteria&#10;Considers local conditions Does not meet this criteria Meets this criteria Meets this criteria&#10;Overall Low net cost Moderate net cost Moderate net cost&#10;"/>
      </w:tblPr>
      <w:tblGrid>
        <w:gridCol w:w="2211"/>
        <w:gridCol w:w="2268"/>
        <w:gridCol w:w="2268"/>
        <w:gridCol w:w="2268"/>
      </w:tblGrid>
      <w:tr w:rsidR="00A613E7" w14:paraId="52A5A9FE" w14:textId="77777777" w:rsidTr="00B30980">
        <w:trPr>
          <w:tblHeader/>
        </w:trPr>
        <w:tc>
          <w:tcPr>
            <w:tcW w:w="2211" w:type="dxa"/>
            <w:tcBorders>
              <w:top w:val="single" w:sz="4" w:space="0" w:color="FFFFFF"/>
              <w:left w:val="single" w:sz="4" w:space="0" w:color="auto"/>
              <w:bottom w:val="single" w:sz="4" w:space="0" w:color="FFFFFF"/>
              <w:right w:val="nil"/>
            </w:tcBorders>
            <w:shd w:val="clear" w:color="auto" w:fill="002060"/>
            <w:vAlign w:val="center"/>
          </w:tcPr>
          <w:p w14:paraId="6EB393EB" w14:textId="77777777" w:rsidR="00A613E7" w:rsidRDefault="00A613E7">
            <w:pPr>
              <w:keepNext/>
              <w:spacing w:before="120" w:after="120"/>
              <w:jc w:val="left"/>
              <w:rPr>
                <w:rFonts w:eastAsiaTheme="minorHAnsi" w:cs="Arial"/>
                <w:szCs w:val="22"/>
                <w:lang w:val="en-GB"/>
              </w:rPr>
            </w:pPr>
          </w:p>
        </w:tc>
        <w:tc>
          <w:tcPr>
            <w:tcW w:w="2268" w:type="dxa"/>
            <w:tcBorders>
              <w:top w:val="single" w:sz="4" w:space="0" w:color="FFFFFF"/>
              <w:left w:val="nil"/>
              <w:bottom w:val="single" w:sz="4" w:space="0" w:color="FFFFFF"/>
              <w:right w:val="nil"/>
            </w:tcBorders>
            <w:shd w:val="clear" w:color="auto" w:fill="002060"/>
            <w:vAlign w:val="bottom"/>
            <w:hideMark/>
          </w:tcPr>
          <w:p w14:paraId="7A3E8266"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1</w:t>
            </w:r>
          </w:p>
        </w:tc>
        <w:tc>
          <w:tcPr>
            <w:tcW w:w="2268" w:type="dxa"/>
            <w:tcBorders>
              <w:top w:val="single" w:sz="4" w:space="0" w:color="FFFFFF"/>
              <w:left w:val="nil"/>
              <w:bottom w:val="single" w:sz="4" w:space="0" w:color="FFFFFF"/>
              <w:right w:val="nil"/>
            </w:tcBorders>
            <w:shd w:val="clear" w:color="auto" w:fill="002060"/>
            <w:vAlign w:val="bottom"/>
            <w:hideMark/>
          </w:tcPr>
          <w:p w14:paraId="4B1D6FC6"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2</w:t>
            </w:r>
          </w:p>
        </w:tc>
        <w:tc>
          <w:tcPr>
            <w:tcW w:w="2268" w:type="dxa"/>
            <w:tcBorders>
              <w:top w:val="single" w:sz="4" w:space="0" w:color="FFFFFF"/>
              <w:left w:val="nil"/>
              <w:bottom w:val="single" w:sz="4" w:space="0" w:color="FFFFFF"/>
              <w:right w:val="single" w:sz="4" w:space="0" w:color="FFFFFF"/>
            </w:tcBorders>
            <w:shd w:val="clear" w:color="auto" w:fill="002060"/>
            <w:vAlign w:val="bottom"/>
            <w:hideMark/>
          </w:tcPr>
          <w:p w14:paraId="4355EE59"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3</w:t>
            </w:r>
          </w:p>
        </w:tc>
      </w:tr>
      <w:tr w:rsidR="00A613E7" w14:paraId="11066FF8"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38775110" w14:textId="77777777" w:rsidR="00A613E7" w:rsidRDefault="00A613E7">
            <w:pPr>
              <w:keepNext/>
              <w:spacing w:before="120" w:after="120"/>
              <w:jc w:val="left"/>
              <w:rPr>
                <w:rFonts w:eastAsiaTheme="minorHAnsi" w:cs="Arial"/>
                <w:szCs w:val="22"/>
                <w:lang w:val="en-GB"/>
              </w:rPr>
            </w:pPr>
            <w:r>
              <w:rPr>
                <w:rFonts w:eastAsiaTheme="minorHAnsi" w:cs="Arial"/>
                <w:szCs w:val="22"/>
                <w:lang w:val="en-GB"/>
              </w:rPr>
              <w:t>Compliance cost</w:t>
            </w:r>
          </w:p>
        </w:tc>
        <w:tc>
          <w:tcPr>
            <w:tcW w:w="2268" w:type="dxa"/>
            <w:tcBorders>
              <w:top w:val="single" w:sz="4" w:space="0" w:color="FFFFFF"/>
              <w:left w:val="single" w:sz="4" w:space="0" w:color="FFFFFF"/>
              <w:bottom w:val="nil"/>
              <w:right w:val="nil"/>
            </w:tcBorders>
            <w:vAlign w:val="center"/>
            <w:hideMark/>
          </w:tcPr>
          <w:p w14:paraId="546D99D8"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No change</w:t>
            </w:r>
          </w:p>
        </w:tc>
        <w:tc>
          <w:tcPr>
            <w:tcW w:w="2268" w:type="dxa"/>
            <w:tcBorders>
              <w:top w:val="single" w:sz="4" w:space="0" w:color="FFFFFF"/>
              <w:left w:val="nil"/>
              <w:bottom w:val="nil"/>
              <w:right w:val="nil"/>
            </w:tcBorders>
            <w:vAlign w:val="center"/>
            <w:hideMark/>
          </w:tcPr>
          <w:p w14:paraId="0BB3D4CE"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Moderate cost</w:t>
            </w:r>
          </w:p>
        </w:tc>
        <w:tc>
          <w:tcPr>
            <w:tcW w:w="2268" w:type="dxa"/>
            <w:tcBorders>
              <w:top w:val="single" w:sz="4" w:space="0" w:color="FFFFFF"/>
              <w:left w:val="nil"/>
              <w:bottom w:val="nil"/>
              <w:right w:val="nil"/>
            </w:tcBorders>
            <w:vAlign w:val="center"/>
            <w:hideMark/>
          </w:tcPr>
          <w:p w14:paraId="0CF79471"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Moderate cost</w:t>
            </w:r>
          </w:p>
        </w:tc>
      </w:tr>
      <w:tr w:rsidR="00A613E7" w14:paraId="6CAAF232"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3F024A6C" w14:textId="38766D4A" w:rsidR="00A613E7" w:rsidRDefault="00A613E7">
            <w:pPr>
              <w:keepNext/>
              <w:spacing w:before="120" w:after="120"/>
              <w:jc w:val="left"/>
              <w:rPr>
                <w:rFonts w:eastAsiaTheme="minorHAnsi" w:cs="Arial"/>
                <w:szCs w:val="22"/>
                <w:lang w:val="en-GB"/>
              </w:rPr>
            </w:pPr>
            <w:r>
              <w:rPr>
                <w:rFonts w:eastAsiaTheme="minorHAnsi" w:cs="Arial"/>
                <w:szCs w:val="22"/>
                <w:lang w:val="en-GB"/>
              </w:rPr>
              <w:t xml:space="preserve">Reduces system-wide risk relating to </w:t>
            </w:r>
            <w:r w:rsidR="002273BA">
              <w:rPr>
                <w:rFonts w:eastAsiaTheme="minorHAnsi" w:cs="Arial"/>
                <w:szCs w:val="22"/>
                <w:lang w:val="en-GB"/>
              </w:rPr>
              <w:t xml:space="preserve">operational risk, </w:t>
            </w:r>
            <w:r w:rsidR="00D20D83">
              <w:rPr>
                <w:rFonts w:eastAsiaTheme="minorHAnsi" w:cs="Arial"/>
                <w:szCs w:val="22"/>
                <w:lang w:val="en-GB"/>
              </w:rPr>
              <w:t>business continuity management and service provider management</w:t>
            </w:r>
          </w:p>
        </w:tc>
        <w:tc>
          <w:tcPr>
            <w:tcW w:w="2268" w:type="dxa"/>
            <w:tcBorders>
              <w:top w:val="nil"/>
              <w:left w:val="single" w:sz="4" w:space="0" w:color="FFFFFF"/>
              <w:bottom w:val="single" w:sz="4" w:space="0" w:color="FFFFFF"/>
              <w:right w:val="nil"/>
            </w:tcBorders>
            <w:shd w:val="clear" w:color="auto" w:fill="D9D9D9" w:themeFill="background1" w:themeFillShade="D9"/>
            <w:vAlign w:val="center"/>
            <w:hideMark/>
          </w:tcPr>
          <w:p w14:paraId="55EDD618" w14:textId="79C1A64D" w:rsidR="00A613E7" w:rsidRDefault="11A256C0" w:rsidP="00D81419">
            <w:pPr>
              <w:keepNext/>
              <w:spacing w:before="120" w:after="120"/>
              <w:jc w:val="center"/>
              <w:rPr>
                <w:rFonts w:eastAsiaTheme="minorEastAsia" w:cs="Arial"/>
                <w:lang w:val="en-GB"/>
              </w:rPr>
            </w:pPr>
            <w:r w:rsidRPr="35D0FD08">
              <w:rPr>
                <w:rFonts w:eastAsiaTheme="minorEastAsia" w:cs="Arial"/>
                <w:lang w:val="en-GB"/>
              </w:rPr>
              <w:t>Does not meet this criterion</w:t>
            </w:r>
          </w:p>
        </w:tc>
        <w:tc>
          <w:tcPr>
            <w:tcW w:w="2268" w:type="dxa"/>
            <w:tcBorders>
              <w:top w:val="nil"/>
              <w:left w:val="nil"/>
              <w:bottom w:val="nil"/>
              <w:right w:val="nil"/>
            </w:tcBorders>
            <w:shd w:val="clear" w:color="auto" w:fill="D9D9D9" w:themeFill="background1" w:themeFillShade="D9"/>
            <w:vAlign w:val="center"/>
            <w:hideMark/>
          </w:tcPr>
          <w:p w14:paraId="203B2DCA" w14:textId="77CC8A68" w:rsidR="00A613E7" w:rsidRDefault="00A613E7" w:rsidP="00D81419">
            <w:pPr>
              <w:keepNext/>
              <w:spacing w:before="120" w:after="120"/>
              <w:ind w:left="357" w:hanging="357"/>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c>
          <w:tcPr>
            <w:tcW w:w="2268" w:type="dxa"/>
            <w:tcBorders>
              <w:top w:val="nil"/>
              <w:left w:val="nil"/>
              <w:bottom w:val="nil"/>
              <w:right w:val="nil"/>
            </w:tcBorders>
            <w:shd w:val="clear" w:color="auto" w:fill="D9D9D9" w:themeFill="background1" w:themeFillShade="D9"/>
            <w:vAlign w:val="center"/>
            <w:hideMark/>
          </w:tcPr>
          <w:p w14:paraId="19585469" w14:textId="1B0AC86F"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r>
      <w:tr w:rsidR="00A613E7" w14:paraId="09960614"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751A4EE3" w14:textId="77777777" w:rsidR="00A613E7" w:rsidRDefault="00A613E7">
            <w:pPr>
              <w:keepNext/>
              <w:spacing w:before="120" w:after="120"/>
              <w:jc w:val="left"/>
              <w:rPr>
                <w:rFonts w:eastAsiaTheme="minorHAnsi" w:cs="Arial"/>
                <w:szCs w:val="22"/>
                <w:lang w:val="en-GB"/>
              </w:rPr>
            </w:pPr>
            <w:r>
              <w:rPr>
                <w:rFonts w:eastAsiaTheme="minorHAnsi" w:cs="Arial"/>
                <w:szCs w:val="22"/>
                <w:lang w:val="en-GB"/>
              </w:rPr>
              <w:t>Considers local conditions</w:t>
            </w:r>
          </w:p>
        </w:tc>
        <w:tc>
          <w:tcPr>
            <w:tcW w:w="2268" w:type="dxa"/>
            <w:tcBorders>
              <w:top w:val="single" w:sz="4" w:space="0" w:color="FFFFFF"/>
              <w:left w:val="single" w:sz="4" w:space="0" w:color="FFFFFF"/>
              <w:bottom w:val="single" w:sz="4" w:space="0" w:color="FFFFFF"/>
              <w:right w:val="nil"/>
            </w:tcBorders>
            <w:vAlign w:val="center"/>
            <w:hideMark/>
          </w:tcPr>
          <w:p w14:paraId="0D515BDF" w14:textId="5E6C78F8"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Does not meet </w:t>
            </w:r>
            <w:r w:rsidR="00766B07">
              <w:rPr>
                <w:rFonts w:eastAsiaTheme="minorHAnsi" w:cs="Arial"/>
                <w:szCs w:val="22"/>
                <w:lang w:val="en-GB"/>
              </w:rPr>
              <w:t>this criterion</w:t>
            </w:r>
          </w:p>
        </w:tc>
        <w:tc>
          <w:tcPr>
            <w:tcW w:w="2268" w:type="dxa"/>
            <w:tcBorders>
              <w:top w:val="nil"/>
              <w:left w:val="nil"/>
              <w:bottom w:val="nil"/>
              <w:right w:val="nil"/>
            </w:tcBorders>
            <w:vAlign w:val="center"/>
            <w:hideMark/>
          </w:tcPr>
          <w:p w14:paraId="053E21CD" w14:textId="14730C63"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c>
          <w:tcPr>
            <w:tcW w:w="2268" w:type="dxa"/>
            <w:tcBorders>
              <w:top w:val="nil"/>
              <w:left w:val="nil"/>
              <w:bottom w:val="nil"/>
              <w:right w:val="nil"/>
            </w:tcBorders>
            <w:vAlign w:val="center"/>
            <w:hideMark/>
          </w:tcPr>
          <w:p w14:paraId="3BA37A42" w14:textId="788C9D4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r>
      <w:tr w:rsidR="006B1047" w14:paraId="47A58D9F"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tcPr>
          <w:p w14:paraId="3FC1500D" w14:textId="6B120194" w:rsidR="006B1047" w:rsidRPr="00207350" w:rsidRDefault="004205C6">
            <w:pPr>
              <w:keepNext/>
              <w:spacing w:before="120" w:after="120"/>
              <w:jc w:val="left"/>
              <w:rPr>
                <w:rFonts w:eastAsiaTheme="minorHAnsi" w:cs="Arial"/>
                <w:szCs w:val="22"/>
                <w:lang w:val="en-GB"/>
              </w:rPr>
            </w:pPr>
            <w:r>
              <w:rPr>
                <w:rFonts w:eastAsiaTheme="minorHAnsi" w:cs="Arial"/>
                <w:szCs w:val="22"/>
                <w:lang w:val="en-GB"/>
              </w:rPr>
              <w:t>Prioritise</w:t>
            </w:r>
            <w:r w:rsidR="00AF3946">
              <w:rPr>
                <w:rFonts w:eastAsiaTheme="minorHAnsi" w:cs="Arial"/>
                <w:szCs w:val="22"/>
                <w:lang w:val="en-GB"/>
              </w:rPr>
              <w:t>s</w:t>
            </w:r>
            <w:r>
              <w:rPr>
                <w:rFonts w:eastAsiaTheme="minorHAnsi" w:cs="Arial"/>
                <w:szCs w:val="22"/>
                <w:lang w:val="en-GB"/>
              </w:rPr>
              <w:t xml:space="preserve"> higher risk areas</w:t>
            </w:r>
          </w:p>
        </w:tc>
        <w:tc>
          <w:tcPr>
            <w:tcW w:w="2268" w:type="dxa"/>
            <w:tcBorders>
              <w:top w:val="single" w:sz="4" w:space="0" w:color="FFFFFF"/>
              <w:left w:val="single" w:sz="4" w:space="0" w:color="FFFFFF"/>
              <w:bottom w:val="single" w:sz="4" w:space="0" w:color="FFFFFF"/>
              <w:right w:val="nil"/>
            </w:tcBorders>
            <w:shd w:val="clear" w:color="auto" w:fill="D9D9D9" w:themeFill="background1" w:themeFillShade="D9"/>
            <w:vAlign w:val="center"/>
          </w:tcPr>
          <w:p w14:paraId="7628D1EB" w14:textId="2D82C3F7" w:rsidR="006B1047" w:rsidRPr="00207350" w:rsidRDefault="003B26D2" w:rsidP="00D81419">
            <w:pPr>
              <w:keepNext/>
              <w:spacing w:before="120" w:after="120"/>
              <w:jc w:val="center"/>
              <w:rPr>
                <w:rFonts w:eastAsiaTheme="minorHAnsi" w:cs="Arial"/>
                <w:szCs w:val="22"/>
                <w:lang w:val="en-GB"/>
              </w:rPr>
            </w:pPr>
            <w:r w:rsidRPr="00207350">
              <w:rPr>
                <w:rFonts w:eastAsiaTheme="minorHAnsi" w:cs="Arial"/>
                <w:szCs w:val="22"/>
                <w:lang w:val="en-GB"/>
              </w:rPr>
              <w:t>Does not meet this criterion</w:t>
            </w:r>
          </w:p>
        </w:tc>
        <w:tc>
          <w:tcPr>
            <w:tcW w:w="2268" w:type="dxa"/>
            <w:tcBorders>
              <w:top w:val="nil"/>
              <w:left w:val="nil"/>
              <w:bottom w:val="nil"/>
              <w:right w:val="nil"/>
            </w:tcBorders>
            <w:shd w:val="clear" w:color="auto" w:fill="D9D9D9" w:themeFill="background1" w:themeFillShade="D9"/>
            <w:vAlign w:val="center"/>
          </w:tcPr>
          <w:p w14:paraId="170A245A" w14:textId="1A54AA11" w:rsidR="006B1047" w:rsidRPr="00207350" w:rsidRDefault="002E25BF" w:rsidP="00D81419">
            <w:pPr>
              <w:keepNext/>
              <w:spacing w:before="120" w:after="120"/>
              <w:jc w:val="center"/>
              <w:rPr>
                <w:rFonts w:eastAsiaTheme="minorHAnsi" w:cs="Arial"/>
                <w:szCs w:val="22"/>
                <w:lang w:val="en-GB"/>
              </w:rPr>
            </w:pPr>
            <w:r w:rsidRPr="00207350">
              <w:rPr>
                <w:rFonts w:eastAsiaTheme="minorHAnsi" w:cs="Arial"/>
                <w:szCs w:val="22"/>
                <w:lang w:val="en-GB"/>
              </w:rPr>
              <w:t>Meets this criterion</w:t>
            </w:r>
          </w:p>
        </w:tc>
        <w:tc>
          <w:tcPr>
            <w:tcW w:w="2268" w:type="dxa"/>
            <w:tcBorders>
              <w:top w:val="nil"/>
              <w:left w:val="nil"/>
              <w:bottom w:val="nil"/>
              <w:right w:val="nil"/>
            </w:tcBorders>
            <w:shd w:val="clear" w:color="auto" w:fill="D9D9D9" w:themeFill="background1" w:themeFillShade="D9"/>
            <w:vAlign w:val="center"/>
          </w:tcPr>
          <w:p w14:paraId="7B214D75" w14:textId="44E00E79" w:rsidR="006B1047" w:rsidRPr="00207350" w:rsidRDefault="002E25BF" w:rsidP="00D81419">
            <w:pPr>
              <w:keepNext/>
              <w:spacing w:before="120" w:after="120"/>
              <w:jc w:val="center"/>
              <w:rPr>
                <w:rFonts w:eastAsiaTheme="minorHAnsi" w:cs="Arial"/>
                <w:szCs w:val="22"/>
                <w:lang w:val="en-GB"/>
              </w:rPr>
            </w:pPr>
            <w:r w:rsidRPr="00207350">
              <w:rPr>
                <w:rFonts w:eastAsiaTheme="minorHAnsi" w:cs="Arial"/>
                <w:szCs w:val="22"/>
                <w:lang w:val="en-GB"/>
              </w:rPr>
              <w:t>Does not meet this criterion</w:t>
            </w:r>
          </w:p>
        </w:tc>
      </w:tr>
      <w:tr w:rsidR="00A613E7" w14:paraId="7E061BBA" w14:textId="77777777" w:rsidTr="003A78AB">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5B73E769" w14:textId="77777777" w:rsidR="00A613E7" w:rsidRDefault="00A613E7">
            <w:pPr>
              <w:keepNext/>
              <w:spacing w:before="120" w:after="120"/>
              <w:jc w:val="left"/>
              <w:rPr>
                <w:rFonts w:eastAsiaTheme="minorHAnsi" w:cs="Arial"/>
                <w:b/>
                <w:szCs w:val="22"/>
                <w:lang w:val="en-GB"/>
              </w:rPr>
            </w:pPr>
            <w:r>
              <w:rPr>
                <w:rFonts w:eastAsiaTheme="minorHAnsi" w:cs="Arial"/>
                <w:b/>
                <w:szCs w:val="22"/>
                <w:lang w:val="en-GB"/>
              </w:rPr>
              <w:t>Overall</w:t>
            </w:r>
          </w:p>
        </w:tc>
        <w:tc>
          <w:tcPr>
            <w:tcW w:w="2268" w:type="dxa"/>
            <w:tcBorders>
              <w:top w:val="single" w:sz="4" w:space="0" w:color="FFFFFF"/>
              <w:left w:val="single" w:sz="4" w:space="0" w:color="FFFFFF"/>
              <w:bottom w:val="single" w:sz="4" w:space="0" w:color="FFFFFF"/>
              <w:right w:val="nil"/>
            </w:tcBorders>
            <w:shd w:val="clear" w:color="auto" w:fill="FFFFFF" w:themeFill="background1"/>
            <w:vAlign w:val="center"/>
            <w:hideMark/>
          </w:tcPr>
          <w:p w14:paraId="08817F30" w14:textId="61409D97" w:rsidR="00A613E7" w:rsidRPr="00766B07" w:rsidRDefault="002440A7" w:rsidP="00D81419">
            <w:pPr>
              <w:keepNext/>
              <w:spacing w:before="120" w:after="120"/>
              <w:jc w:val="center"/>
              <w:rPr>
                <w:rFonts w:eastAsiaTheme="minorHAnsi" w:cs="Arial"/>
                <w:b/>
                <w:szCs w:val="22"/>
                <w:lang w:val="en-GB"/>
              </w:rPr>
            </w:pPr>
            <w:r>
              <w:rPr>
                <w:rFonts w:eastAsiaTheme="minorHAnsi" w:cs="Arial"/>
                <w:b/>
                <w:szCs w:val="22"/>
                <w:lang w:val="en-GB"/>
              </w:rPr>
              <w:t>(low) N</w:t>
            </w:r>
            <w:r w:rsidR="00A613E7" w:rsidRPr="00766B07">
              <w:rPr>
                <w:rFonts w:eastAsiaTheme="minorHAnsi" w:cs="Arial"/>
                <w:b/>
                <w:szCs w:val="22"/>
                <w:lang w:val="en-GB"/>
              </w:rPr>
              <w:t>et cost</w:t>
            </w:r>
          </w:p>
        </w:tc>
        <w:tc>
          <w:tcPr>
            <w:tcW w:w="2268" w:type="dxa"/>
            <w:tcBorders>
              <w:top w:val="nil"/>
              <w:left w:val="nil"/>
              <w:bottom w:val="nil"/>
              <w:right w:val="nil"/>
            </w:tcBorders>
            <w:shd w:val="clear" w:color="auto" w:fill="FFFFFF" w:themeFill="background1"/>
            <w:vAlign w:val="center"/>
            <w:hideMark/>
          </w:tcPr>
          <w:p w14:paraId="6AF91852" w14:textId="10748D4F" w:rsidR="00A613E7" w:rsidRPr="00766B07" w:rsidRDefault="00077E75" w:rsidP="00D81419">
            <w:pPr>
              <w:keepNext/>
              <w:spacing w:before="120" w:after="120"/>
              <w:jc w:val="center"/>
              <w:rPr>
                <w:rFonts w:eastAsiaTheme="minorHAnsi" w:cs="Arial"/>
                <w:b/>
                <w:szCs w:val="22"/>
                <w:lang w:val="en-GB"/>
              </w:rPr>
            </w:pPr>
            <w:r>
              <w:rPr>
                <w:rFonts w:eastAsiaTheme="minorHAnsi" w:cs="Arial"/>
                <w:b/>
                <w:szCs w:val="22"/>
                <w:lang w:val="en-GB"/>
              </w:rPr>
              <w:t>Material n</w:t>
            </w:r>
            <w:r w:rsidR="00B968AA">
              <w:rPr>
                <w:rFonts w:eastAsiaTheme="minorHAnsi" w:cs="Arial"/>
                <w:b/>
                <w:szCs w:val="22"/>
                <w:lang w:val="en-GB"/>
              </w:rPr>
              <w:t>et benefit</w:t>
            </w:r>
          </w:p>
        </w:tc>
        <w:tc>
          <w:tcPr>
            <w:tcW w:w="2268" w:type="dxa"/>
            <w:tcBorders>
              <w:top w:val="nil"/>
              <w:left w:val="nil"/>
              <w:bottom w:val="nil"/>
              <w:right w:val="nil"/>
            </w:tcBorders>
            <w:shd w:val="clear" w:color="auto" w:fill="FFFFFF" w:themeFill="background1"/>
            <w:vAlign w:val="center"/>
            <w:hideMark/>
          </w:tcPr>
          <w:p w14:paraId="7126F15B" w14:textId="625DB8E8" w:rsidR="00A613E7" w:rsidRPr="00766B07" w:rsidRDefault="00077E75" w:rsidP="00D81419">
            <w:pPr>
              <w:keepNext/>
              <w:spacing w:before="120" w:after="120"/>
              <w:jc w:val="center"/>
              <w:rPr>
                <w:rFonts w:eastAsiaTheme="minorHAnsi" w:cs="Arial"/>
                <w:b/>
                <w:szCs w:val="22"/>
                <w:lang w:val="en-GB"/>
              </w:rPr>
            </w:pPr>
            <w:r>
              <w:rPr>
                <w:rFonts w:eastAsiaTheme="minorHAnsi" w:cs="Arial"/>
                <w:b/>
                <w:szCs w:val="22"/>
                <w:lang w:val="en-GB"/>
              </w:rPr>
              <w:t xml:space="preserve">Moderate </w:t>
            </w:r>
            <w:r w:rsidRPr="00121223">
              <w:rPr>
                <w:rFonts w:eastAsiaTheme="minorHAnsi" w:cs="Arial"/>
                <w:b/>
                <w:szCs w:val="22"/>
                <w:lang w:val="en-GB"/>
              </w:rPr>
              <w:t>n</w:t>
            </w:r>
            <w:r w:rsidR="00B968AA">
              <w:rPr>
                <w:rFonts w:eastAsiaTheme="minorHAnsi" w:cs="Arial"/>
                <w:b/>
                <w:szCs w:val="22"/>
                <w:lang w:val="en-GB"/>
              </w:rPr>
              <w:t>et benefit</w:t>
            </w:r>
          </w:p>
        </w:tc>
      </w:tr>
    </w:tbl>
    <w:p w14:paraId="7532652D" w14:textId="77777777" w:rsidR="00EE6239" w:rsidRDefault="00EE6239" w:rsidP="000C44E3">
      <w:pPr>
        <w:rPr>
          <w:b/>
        </w:rPr>
      </w:pPr>
    </w:p>
    <w:p w14:paraId="52F21F33" w14:textId="04C4A889" w:rsidR="00EE6239" w:rsidRDefault="00804CBC" w:rsidP="000C44E3">
      <w:r w:rsidRPr="00766B07">
        <w:t xml:space="preserve">In summary, while Option 1 has a low net </w:t>
      </w:r>
      <w:r w:rsidR="002158A4">
        <w:t xml:space="preserve">compliance </w:t>
      </w:r>
      <w:r w:rsidRPr="00766B07">
        <w:t>cost, it does not convey the benefits of reducing risk for individual regulated entities or the financial system more generally</w:t>
      </w:r>
      <w:r w:rsidR="008B4E26" w:rsidRPr="00766B07">
        <w:t>, hence the lower cost comes with the risk of losses to c</w:t>
      </w:r>
      <w:r w:rsidR="003E47CF">
        <w:t>ustomers</w:t>
      </w:r>
      <w:r w:rsidR="008B4E26" w:rsidRPr="00766B07">
        <w:t xml:space="preserve"> </w:t>
      </w:r>
      <w:r w:rsidR="003E47CF">
        <w:t>as well as the potential for</w:t>
      </w:r>
      <w:r w:rsidR="008B4E26" w:rsidRPr="00766B07">
        <w:t xml:space="preserve"> financial instability</w:t>
      </w:r>
      <w:r w:rsidR="00766B07" w:rsidRPr="00766B07">
        <w:t>.</w:t>
      </w:r>
    </w:p>
    <w:p w14:paraId="311AB686" w14:textId="1669559F" w:rsidR="00F717BF" w:rsidRPr="001E0DB7" w:rsidRDefault="00830306" w:rsidP="000C44E3">
      <w:pPr>
        <w:rPr>
          <w:b/>
        </w:rPr>
      </w:pPr>
      <w:r w:rsidRPr="001E0DB7">
        <w:rPr>
          <w:b/>
        </w:rPr>
        <w:t>Implementation and review</w:t>
      </w:r>
    </w:p>
    <w:p w14:paraId="16EAB35A" w14:textId="76CE046F" w:rsidR="00830306" w:rsidRDefault="00830306" w:rsidP="000C44E3">
      <w:r>
        <w:t xml:space="preserve">APRA expects to release the final </w:t>
      </w:r>
      <w:r w:rsidR="3007F64B">
        <w:t>operational risk</w:t>
      </w:r>
      <w:r>
        <w:t xml:space="preserve"> requirements </w:t>
      </w:r>
      <w:r w:rsidR="005E7F50">
        <w:t>in mid-</w:t>
      </w:r>
      <w:r w:rsidR="001C343F">
        <w:t xml:space="preserve">2023, with effect from </w:t>
      </w:r>
      <w:r w:rsidR="005E7F50">
        <w:t>1 July 2025</w:t>
      </w:r>
      <w:r w:rsidR="001C343F">
        <w:t>.</w:t>
      </w:r>
    </w:p>
    <w:p w14:paraId="16920BFB" w14:textId="042C1D7D" w:rsidR="00EE6239" w:rsidRPr="00766B07" w:rsidRDefault="002754A6" w:rsidP="000C44E3">
      <w:r>
        <w:t>As delegated legislation, prudential standards impose enforceable obligations on APRA</w:t>
      </w:r>
      <w:r w:rsidR="5660E04A">
        <w:t>-</w:t>
      </w:r>
      <w:r>
        <w:t xml:space="preserve"> regulated entities. APRA monitors ongoing compliance with its prudential framework as part</w:t>
      </w:r>
      <w:r w:rsidR="00FA5C22">
        <w:t xml:space="preserve"> of its supervisory activities.</w:t>
      </w:r>
    </w:p>
    <w:sectPr w:rsidR="00EE6239" w:rsidRPr="00766B07" w:rsidSect="00A11434">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B7BF" w14:textId="77777777" w:rsidR="0017769C" w:rsidRDefault="0017769C" w:rsidP="00DF67F7">
      <w:pPr>
        <w:spacing w:after="0"/>
      </w:pPr>
      <w:r>
        <w:separator/>
      </w:r>
    </w:p>
  </w:endnote>
  <w:endnote w:type="continuationSeparator" w:id="0">
    <w:p w14:paraId="5D81C259" w14:textId="77777777" w:rsidR="0017769C" w:rsidRDefault="0017769C" w:rsidP="00DF67F7">
      <w:pPr>
        <w:spacing w:after="0"/>
      </w:pPr>
      <w:r>
        <w:continuationSeparator/>
      </w:r>
    </w:p>
  </w:endnote>
  <w:endnote w:type="continuationNotice" w:id="1">
    <w:p w14:paraId="4B1D13CE" w14:textId="77777777" w:rsidR="0017769C" w:rsidRDefault="00177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DIN O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9E3" w14:textId="77777777" w:rsidR="00F05B53" w:rsidRDefault="00164712">
    <w:pPr>
      <w:pStyle w:val="Footer"/>
      <w:rPr>
        <w:noProof/>
      </w:rPr>
    </w:pPr>
    <w:r w:rsidRPr="00164712">
      <w:rPr>
        <w:noProof/>
      </w:rPr>
      <mc:AlternateContent>
        <mc:Choice Requires="wps">
          <w:drawing>
            <wp:anchor distT="0" distB="0" distL="114300" distR="114300" simplePos="0" relativeHeight="251658241" behindDoc="0" locked="0" layoutInCell="1" allowOverlap="1" wp14:anchorId="21A7FF13" wp14:editId="28E5DC18">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E1FB8"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21A7FF1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" filled="f" stroked="f" strokeweight=".5pt">
              <v:textbox>
                <w:txbxContent>
                  <w:p w14:paraId="7EAE1FB8"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763FF08D" wp14:editId="540A442A">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AADB6"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B42A4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763FF08D"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" filled="f" stroked="f" strokeweight=".5pt">
              <v:textbox>
                <w:txbxContent>
                  <w:p w14:paraId="205AADB6"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B42A4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51C6F2E3" w14:textId="77777777" w:rsidR="00FD22F8" w:rsidRDefault="00F05B53">
    <w:pPr>
      <w:pStyle w:val="Footer"/>
    </w:pPr>
    <w:r>
      <w:rPr>
        <w:noProof/>
      </w:rPr>
      <w:drawing>
        <wp:anchor distT="0" distB="0" distL="114300" distR="114300" simplePos="0" relativeHeight="251658240" behindDoc="1" locked="0" layoutInCell="1" allowOverlap="1" wp14:anchorId="45AEAEF4" wp14:editId="72740D2F">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EE22" w14:textId="77777777" w:rsidR="0017769C" w:rsidRDefault="0017769C" w:rsidP="00DF67F7">
      <w:pPr>
        <w:spacing w:after="0"/>
      </w:pPr>
      <w:r>
        <w:separator/>
      </w:r>
    </w:p>
  </w:footnote>
  <w:footnote w:type="continuationSeparator" w:id="0">
    <w:p w14:paraId="51DD6DDA" w14:textId="77777777" w:rsidR="0017769C" w:rsidRDefault="0017769C" w:rsidP="00DF67F7">
      <w:pPr>
        <w:spacing w:after="0"/>
      </w:pPr>
      <w:r>
        <w:continuationSeparator/>
      </w:r>
    </w:p>
  </w:footnote>
  <w:footnote w:type="continuationNotice" w:id="1">
    <w:p w14:paraId="4F8C523C" w14:textId="77777777" w:rsidR="0017769C" w:rsidRDefault="0017769C">
      <w:pPr>
        <w:spacing w:after="0"/>
      </w:pPr>
    </w:p>
  </w:footnote>
  <w:footnote w:id="2">
    <w:p w14:paraId="52312257" w14:textId="3A6E79E8" w:rsidR="00321BF6" w:rsidRDefault="00321BF6">
      <w:pPr>
        <w:pStyle w:val="FootnoteText"/>
      </w:pPr>
      <w:r>
        <w:rPr>
          <w:rStyle w:val="FootnoteReference"/>
        </w:rPr>
        <w:footnoteRef/>
      </w:r>
      <w:r>
        <w:t xml:space="preserve"> Refer to </w:t>
      </w:r>
      <w:hyperlink r:id="rId1" w:history="1">
        <w:r w:rsidRPr="001E0DB7">
          <w:rPr>
            <w:color w:val="0000FF"/>
            <w:szCs w:val="18"/>
            <w:u w:val="single"/>
          </w:rPr>
          <w:t>Information security requirements for all APRA-regulated entities | APRA</w:t>
        </w:r>
      </w:hyperlink>
    </w:p>
  </w:footnote>
  <w:footnote w:id="3">
    <w:p w14:paraId="13F4651F" w14:textId="3927F8E1" w:rsidR="007D467D" w:rsidRPr="007D467D" w:rsidRDefault="007D467D">
      <w:pPr>
        <w:pStyle w:val="FootnoteText"/>
        <w:rPr>
          <w:szCs w:val="18"/>
        </w:rPr>
      </w:pPr>
      <w:r>
        <w:rPr>
          <w:rStyle w:val="FootnoteReference"/>
        </w:rPr>
        <w:footnoteRef/>
      </w:r>
      <w:r>
        <w:t xml:space="preserve"> Refer to </w:t>
      </w:r>
      <w:hyperlink r:id="rId2" w:history="1">
        <w:r w:rsidRPr="001E0DB7">
          <w:rPr>
            <w:color w:val="0000FF"/>
            <w:szCs w:val="18"/>
            <w:u w:val="single"/>
          </w:rPr>
          <w:t>APRA consults on new prudential standard to strengthen operational resilience | APRA</w:t>
        </w:r>
      </w:hyperlink>
    </w:p>
  </w:footnote>
  <w:footnote w:id="4">
    <w:p w14:paraId="25E5589A" w14:textId="03A4B446" w:rsidR="00812A24" w:rsidRDefault="00812A24">
      <w:pPr>
        <w:pStyle w:val="FootnoteText"/>
      </w:pPr>
      <w:r>
        <w:rPr>
          <w:rStyle w:val="FootnoteReference"/>
        </w:rPr>
        <w:footnoteRef/>
      </w:r>
      <w:r>
        <w:t xml:space="preserve"> </w:t>
      </w:r>
      <w:r w:rsidR="0068479A" w:rsidRPr="003F6198">
        <w:rPr>
          <w:i/>
        </w:rPr>
        <w:t>Prudential Standard CPS 234 Information Security</w:t>
      </w:r>
      <w:r w:rsidR="0068479A">
        <w:t xml:space="preserve"> was fin</w:t>
      </w:r>
      <w:r w:rsidR="00C4616E">
        <w:t xml:space="preserve">alised in </w:t>
      </w:r>
      <w:r w:rsidR="003F6198">
        <w:t>in late 2018, with effect from 1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F016" w14:textId="2E52A01C" w:rsidR="000A180E" w:rsidRPr="00B815BC" w:rsidRDefault="000A180E"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73E32CC5" w14:textId="77777777" w:rsidR="000A180E" w:rsidRPr="00B815BC" w:rsidRDefault="000A180E" w:rsidP="000A180E">
    <w:pPr>
      <w:autoSpaceDE w:val="0"/>
      <w:autoSpaceDN w:val="0"/>
      <w:adjustRightInd w:val="0"/>
      <w:spacing w:after="0"/>
      <w:ind w:right="-46"/>
      <w:rPr>
        <w:rFonts w:cs="Arial"/>
        <w:color w:val="808080" w:themeColor="background1" w:themeShade="80"/>
        <w:sz w:val="18"/>
        <w:szCs w:val="18"/>
      </w:rPr>
    </w:pPr>
  </w:p>
  <w:p w14:paraId="6D3964EC" w14:textId="77777777" w:rsidR="00DF67F7" w:rsidRPr="00B815BC" w:rsidRDefault="00DF67F7"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519" w14:textId="5B5D0A2E" w:rsidR="006A7263" w:rsidRPr="00B815BC" w:rsidRDefault="000C44E3"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6BAB1CA4" wp14:editId="038D3076">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04591FF7" w14:textId="77777777" w:rsidR="006A7263" w:rsidRPr="00B815BC" w:rsidRDefault="006A7263" w:rsidP="00504FA2">
    <w:pPr>
      <w:pStyle w:val="Header"/>
      <w:rPr>
        <w:rFonts w:cs="Arial"/>
        <w:color w:val="000066"/>
        <w:sz w:val="16"/>
        <w:szCs w:val="16"/>
      </w:rPr>
    </w:pPr>
  </w:p>
  <w:p w14:paraId="6A2BFCD4" w14:textId="77777777" w:rsidR="00504FA2" w:rsidRDefault="00504FA2">
    <w:pPr>
      <w:pStyle w:val="Header"/>
      <w:rPr>
        <w:rFonts w:cs="Arial"/>
      </w:rPr>
    </w:pPr>
  </w:p>
  <w:p w14:paraId="348F3066" w14:textId="77777777" w:rsidR="00A11434" w:rsidRPr="00B815BC" w:rsidRDefault="00A1143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D9D0B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FE00E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A6275"/>
    <w:multiLevelType w:val="multilevel"/>
    <w:tmpl w:val="C0FE4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7E1E74"/>
    <w:multiLevelType w:val="hybridMultilevel"/>
    <w:tmpl w:val="1254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06785644">
    <w:abstractNumId w:val="10"/>
  </w:num>
  <w:num w:numId="2" w16cid:durableId="1595701974">
    <w:abstractNumId w:val="7"/>
  </w:num>
  <w:num w:numId="3" w16cid:durableId="1577011446">
    <w:abstractNumId w:val="6"/>
  </w:num>
  <w:num w:numId="4" w16cid:durableId="706760598">
    <w:abstractNumId w:val="12"/>
  </w:num>
  <w:num w:numId="5" w16cid:durableId="816801503">
    <w:abstractNumId w:val="15"/>
  </w:num>
  <w:num w:numId="6" w16cid:durableId="1982147366">
    <w:abstractNumId w:val="9"/>
  </w:num>
  <w:num w:numId="7" w16cid:durableId="893351912">
    <w:abstractNumId w:val="16"/>
  </w:num>
  <w:num w:numId="8" w16cid:durableId="2016762676">
    <w:abstractNumId w:val="10"/>
  </w:num>
  <w:num w:numId="9" w16cid:durableId="1524633257">
    <w:abstractNumId w:val="7"/>
  </w:num>
  <w:num w:numId="10" w16cid:durableId="910388386">
    <w:abstractNumId w:val="6"/>
  </w:num>
  <w:num w:numId="11" w16cid:durableId="1445229978">
    <w:abstractNumId w:val="5"/>
  </w:num>
  <w:num w:numId="12" w16cid:durableId="1182622195">
    <w:abstractNumId w:val="14"/>
  </w:num>
  <w:num w:numId="13" w16cid:durableId="1507405047">
    <w:abstractNumId w:val="4"/>
  </w:num>
  <w:num w:numId="14" w16cid:durableId="428962594">
    <w:abstractNumId w:val="4"/>
  </w:num>
  <w:num w:numId="15" w16cid:durableId="1988430729">
    <w:abstractNumId w:val="3"/>
  </w:num>
  <w:num w:numId="16" w16cid:durableId="75829288">
    <w:abstractNumId w:val="3"/>
  </w:num>
  <w:num w:numId="17" w16cid:durableId="1186671466">
    <w:abstractNumId w:val="2"/>
  </w:num>
  <w:num w:numId="18" w16cid:durableId="1121339227">
    <w:abstractNumId w:val="2"/>
  </w:num>
  <w:num w:numId="19" w16cid:durableId="1530996188">
    <w:abstractNumId w:val="1"/>
  </w:num>
  <w:num w:numId="20" w16cid:durableId="2050764189">
    <w:abstractNumId w:val="1"/>
  </w:num>
  <w:num w:numId="21" w16cid:durableId="1364477991">
    <w:abstractNumId w:val="0"/>
  </w:num>
  <w:num w:numId="22" w16cid:durableId="2102216182">
    <w:abstractNumId w:val="0"/>
  </w:num>
  <w:num w:numId="23" w16cid:durableId="1689527683">
    <w:abstractNumId w:val="8"/>
  </w:num>
  <w:num w:numId="24" w16cid:durableId="1779791238">
    <w:abstractNumId w:val="9"/>
  </w:num>
  <w:num w:numId="25" w16cid:durableId="1492717950">
    <w:abstractNumId w:val="16"/>
  </w:num>
  <w:num w:numId="26" w16cid:durableId="101917820">
    <w:abstractNumId w:val="10"/>
  </w:num>
  <w:num w:numId="27" w16cid:durableId="1979606644">
    <w:abstractNumId w:val="7"/>
  </w:num>
  <w:num w:numId="28" w16cid:durableId="1210266026">
    <w:abstractNumId w:val="6"/>
  </w:num>
  <w:num w:numId="29" w16cid:durableId="1287390181">
    <w:abstractNumId w:val="14"/>
  </w:num>
  <w:num w:numId="30" w16cid:durableId="1343433302">
    <w:abstractNumId w:val="4"/>
  </w:num>
  <w:num w:numId="31" w16cid:durableId="449276801">
    <w:abstractNumId w:val="3"/>
  </w:num>
  <w:num w:numId="32" w16cid:durableId="1959221365">
    <w:abstractNumId w:val="2"/>
  </w:num>
  <w:num w:numId="33" w16cid:durableId="2061439126">
    <w:abstractNumId w:val="1"/>
  </w:num>
  <w:num w:numId="34" w16cid:durableId="4209387">
    <w:abstractNumId w:val="0"/>
  </w:num>
  <w:num w:numId="35" w16cid:durableId="174072792">
    <w:abstractNumId w:val="8"/>
  </w:num>
  <w:num w:numId="36" w16cid:durableId="1616863306">
    <w:abstractNumId w:val="9"/>
  </w:num>
  <w:num w:numId="37" w16cid:durableId="1343167393">
    <w:abstractNumId w:val="16"/>
  </w:num>
  <w:num w:numId="38" w16cid:durableId="1605845778">
    <w:abstractNumId w:val="10"/>
  </w:num>
  <w:num w:numId="39" w16cid:durableId="1152257774">
    <w:abstractNumId w:val="7"/>
  </w:num>
  <w:num w:numId="40" w16cid:durableId="1102800684">
    <w:abstractNumId w:val="6"/>
  </w:num>
  <w:num w:numId="41" w16cid:durableId="1225725911">
    <w:abstractNumId w:val="14"/>
  </w:num>
  <w:num w:numId="42" w16cid:durableId="1049231651">
    <w:abstractNumId w:val="4"/>
  </w:num>
  <w:num w:numId="43" w16cid:durableId="1529029396">
    <w:abstractNumId w:val="3"/>
  </w:num>
  <w:num w:numId="44" w16cid:durableId="1485657691">
    <w:abstractNumId w:val="2"/>
  </w:num>
  <w:num w:numId="45" w16cid:durableId="1571161747">
    <w:abstractNumId w:val="1"/>
  </w:num>
  <w:num w:numId="46" w16cid:durableId="1306621273">
    <w:abstractNumId w:val="0"/>
  </w:num>
  <w:num w:numId="47" w16cid:durableId="490025840">
    <w:abstractNumId w:val="8"/>
  </w:num>
  <w:num w:numId="48" w16cid:durableId="433670091">
    <w:abstractNumId w:val="13"/>
  </w:num>
  <w:num w:numId="49" w16cid:durableId="1181704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157AC"/>
    <w:rsid w:val="00023BAF"/>
    <w:rsid w:val="00025CC5"/>
    <w:rsid w:val="000309AD"/>
    <w:rsid w:val="00032754"/>
    <w:rsid w:val="00040934"/>
    <w:rsid w:val="00041DBA"/>
    <w:rsid w:val="0004307C"/>
    <w:rsid w:val="000504CF"/>
    <w:rsid w:val="00050EDF"/>
    <w:rsid w:val="00051884"/>
    <w:rsid w:val="00051B9A"/>
    <w:rsid w:val="00055B61"/>
    <w:rsid w:val="0005759E"/>
    <w:rsid w:val="000676AF"/>
    <w:rsid w:val="00076080"/>
    <w:rsid w:val="00077E75"/>
    <w:rsid w:val="000825DB"/>
    <w:rsid w:val="0008424C"/>
    <w:rsid w:val="00087769"/>
    <w:rsid w:val="00097661"/>
    <w:rsid w:val="000A0D1C"/>
    <w:rsid w:val="000A180E"/>
    <w:rsid w:val="000A1FAD"/>
    <w:rsid w:val="000A619E"/>
    <w:rsid w:val="000A64F6"/>
    <w:rsid w:val="000A6D61"/>
    <w:rsid w:val="000C44E3"/>
    <w:rsid w:val="000C6B5A"/>
    <w:rsid w:val="000C7486"/>
    <w:rsid w:val="000D667C"/>
    <w:rsid w:val="000D6E0B"/>
    <w:rsid w:val="000E4595"/>
    <w:rsid w:val="000E4AB8"/>
    <w:rsid w:val="000E5C03"/>
    <w:rsid w:val="000E71D5"/>
    <w:rsid w:val="000E7E07"/>
    <w:rsid w:val="00101697"/>
    <w:rsid w:val="00105438"/>
    <w:rsid w:val="001077C9"/>
    <w:rsid w:val="00115EB7"/>
    <w:rsid w:val="00116DF8"/>
    <w:rsid w:val="001176E5"/>
    <w:rsid w:val="00120014"/>
    <w:rsid w:val="00121223"/>
    <w:rsid w:val="00121638"/>
    <w:rsid w:val="001239E3"/>
    <w:rsid w:val="0012608B"/>
    <w:rsid w:val="001273E8"/>
    <w:rsid w:val="0014721C"/>
    <w:rsid w:val="00147FA1"/>
    <w:rsid w:val="00156053"/>
    <w:rsid w:val="00162013"/>
    <w:rsid w:val="00162E48"/>
    <w:rsid w:val="00163802"/>
    <w:rsid w:val="00164712"/>
    <w:rsid w:val="0017022F"/>
    <w:rsid w:val="001724EE"/>
    <w:rsid w:val="0017769C"/>
    <w:rsid w:val="00181F36"/>
    <w:rsid w:val="00183AEF"/>
    <w:rsid w:val="00185EF6"/>
    <w:rsid w:val="00186CF2"/>
    <w:rsid w:val="00195B96"/>
    <w:rsid w:val="001962B8"/>
    <w:rsid w:val="001A376F"/>
    <w:rsid w:val="001A6678"/>
    <w:rsid w:val="001B3FF4"/>
    <w:rsid w:val="001C1A0D"/>
    <w:rsid w:val="001C343F"/>
    <w:rsid w:val="001D7BEC"/>
    <w:rsid w:val="001E0DB7"/>
    <w:rsid w:val="0020095D"/>
    <w:rsid w:val="002023E1"/>
    <w:rsid w:val="00204A7F"/>
    <w:rsid w:val="00207350"/>
    <w:rsid w:val="00210641"/>
    <w:rsid w:val="00211FE5"/>
    <w:rsid w:val="0021474F"/>
    <w:rsid w:val="002158A4"/>
    <w:rsid w:val="002232AA"/>
    <w:rsid w:val="002248BB"/>
    <w:rsid w:val="002257C8"/>
    <w:rsid w:val="002273BA"/>
    <w:rsid w:val="00232848"/>
    <w:rsid w:val="002440A7"/>
    <w:rsid w:val="00252A6A"/>
    <w:rsid w:val="002754A6"/>
    <w:rsid w:val="002837D8"/>
    <w:rsid w:val="002900AE"/>
    <w:rsid w:val="0029201A"/>
    <w:rsid w:val="00292859"/>
    <w:rsid w:val="002A3936"/>
    <w:rsid w:val="002A3EA2"/>
    <w:rsid w:val="002A6280"/>
    <w:rsid w:val="002B0B3E"/>
    <w:rsid w:val="002B2F0D"/>
    <w:rsid w:val="002B35F2"/>
    <w:rsid w:val="002B3BC6"/>
    <w:rsid w:val="002B6555"/>
    <w:rsid w:val="002B7EA1"/>
    <w:rsid w:val="002C0030"/>
    <w:rsid w:val="002C2615"/>
    <w:rsid w:val="002C344D"/>
    <w:rsid w:val="002C6124"/>
    <w:rsid w:val="002C6F35"/>
    <w:rsid w:val="002E25BF"/>
    <w:rsid w:val="002E27FD"/>
    <w:rsid w:val="002E337A"/>
    <w:rsid w:val="002E5E0E"/>
    <w:rsid w:val="002F4275"/>
    <w:rsid w:val="002F5675"/>
    <w:rsid w:val="0030073A"/>
    <w:rsid w:val="00302D5C"/>
    <w:rsid w:val="003032C9"/>
    <w:rsid w:val="003151EA"/>
    <w:rsid w:val="003164F7"/>
    <w:rsid w:val="00320250"/>
    <w:rsid w:val="00321BF6"/>
    <w:rsid w:val="00321D08"/>
    <w:rsid w:val="003249EF"/>
    <w:rsid w:val="00341F0B"/>
    <w:rsid w:val="003425B7"/>
    <w:rsid w:val="00342A73"/>
    <w:rsid w:val="00351FB1"/>
    <w:rsid w:val="003526A1"/>
    <w:rsid w:val="00352E84"/>
    <w:rsid w:val="00360AB6"/>
    <w:rsid w:val="00361D6C"/>
    <w:rsid w:val="00362230"/>
    <w:rsid w:val="00366406"/>
    <w:rsid w:val="00385A35"/>
    <w:rsid w:val="003875BF"/>
    <w:rsid w:val="00390417"/>
    <w:rsid w:val="0039165D"/>
    <w:rsid w:val="0039457C"/>
    <w:rsid w:val="00396D59"/>
    <w:rsid w:val="003A1B83"/>
    <w:rsid w:val="003A5F19"/>
    <w:rsid w:val="003A78AB"/>
    <w:rsid w:val="003B1D6A"/>
    <w:rsid w:val="003B26D2"/>
    <w:rsid w:val="003B3A75"/>
    <w:rsid w:val="003B5031"/>
    <w:rsid w:val="003C4C5E"/>
    <w:rsid w:val="003D0980"/>
    <w:rsid w:val="003D18A8"/>
    <w:rsid w:val="003D2848"/>
    <w:rsid w:val="003D66AE"/>
    <w:rsid w:val="003E385C"/>
    <w:rsid w:val="003E47CF"/>
    <w:rsid w:val="003E7912"/>
    <w:rsid w:val="003F6198"/>
    <w:rsid w:val="0040133F"/>
    <w:rsid w:val="004013EA"/>
    <w:rsid w:val="004018B5"/>
    <w:rsid w:val="00404D5F"/>
    <w:rsid w:val="00412F2C"/>
    <w:rsid w:val="0041506C"/>
    <w:rsid w:val="0041600D"/>
    <w:rsid w:val="00417261"/>
    <w:rsid w:val="004205C6"/>
    <w:rsid w:val="004245F9"/>
    <w:rsid w:val="004266A6"/>
    <w:rsid w:val="004442F6"/>
    <w:rsid w:val="00446B43"/>
    <w:rsid w:val="00450AD3"/>
    <w:rsid w:val="00451111"/>
    <w:rsid w:val="00451841"/>
    <w:rsid w:val="00456963"/>
    <w:rsid w:val="00463F37"/>
    <w:rsid w:val="00465750"/>
    <w:rsid w:val="00475AB1"/>
    <w:rsid w:val="004775F6"/>
    <w:rsid w:val="00482D8B"/>
    <w:rsid w:val="004900F4"/>
    <w:rsid w:val="00496B03"/>
    <w:rsid w:val="004A78AD"/>
    <w:rsid w:val="004B0C75"/>
    <w:rsid w:val="004B40B8"/>
    <w:rsid w:val="004C0370"/>
    <w:rsid w:val="004C5182"/>
    <w:rsid w:val="004C738E"/>
    <w:rsid w:val="004E1B7F"/>
    <w:rsid w:val="004E362C"/>
    <w:rsid w:val="004F5F32"/>
    <w:rsid w:val="005012E4"/>
    <w:rsid w:val="005027D8"/>
    <w:rsid w:val="0050340B"/>
    <w:rsid w:val="00504FA2"/>
    <w:rsid w:val="00505206"/>
    <w:rsid w:val="00505FE8"/>
    <w:rsid w:val="00510E1C"/>
    <w:rsid w:val="00511A0B"/>
    <w:rsid w:val="00511BD3"/>
    <w:rsid w:val="00521D91"/>
    <w:rsid w:val="00525D28"/>
    <w:rsid w:val="0053234F"/>
    <w:rsid w:val="00535216"/>
    <w:rsid w:val="0054724B"/>
    <w:rsid w:val="00552DAC"/>
    <w:rsid w:val="0056072B"/>
    <w:rsid w:val="00562EF2"/>
    <w:rsid w:val="005875F4"/>
    <w:rsid w:val="005914FB"/>
    <w:rsid w:val="00597654"/>
    <w:rsid w:val="005A7218"/>
    <w:rsid w:val="005B0739"/>
    <w:rsid w:val="005B48B0"/>
    <w:rsid w:val="005B5ABD"/>
    <w:rsid w:val="005B5E07"/>
    <w:rsid w:val="005C25B3"/>
    <w:rsid w:val="005D2CFE"/>
    <w:rsid w:val="005D74FA"/>
    <w:rsid w:val="005D7CE0"/>
    <w:rsid w:val="005E23F0"/>
    <w:rsid w:val="005E48B4"/>
    <w:rsid w:val="005E667D"/>
    <w:rsid w:val="005E7F50"/>
    <w:rsid w:val="006202D4"/>
    <w:rsid w:val="00631381"/>
    <w:rsid w:val="00637B57"/>
    <w:rsid w:val="00641B81"/>
    <w:rsid w:val="00643749"/>
    <w:rsid w:val="006540D3"/>
    <w:rsid w:val="006579CB"/>
    <w:rsid w:val="00657ACA"/>
    <w:rsid w:val="0066279E"/>
    <w:rsid w:val="006669E8"/>
    <w:rsid w:val="006708CA"/>
    <w:rsid w:val="00684304"/>
    <w:rsid w:val="0068479A"/>
    <w:rsid w:val="00684CFE"/>
    <w:rsid w:val="0069035F"/>
    <w:rsid w:val="00693F2B"/>
    <w:rsid w:val="00694E86"/>
    <w:rsid w:val="006A1E1E"/>
    <w:rsid w:val="006A2DC5"/>
    <w:rsid w:val="006A51EB"/>
    <w:rsid w:val="006A7263"/>
    <w:rsid w:val="006B1047"/>
    <w:rsid w:val="006B40A9"/>
    <w:rsid w:val="006B4691"/>
    <w:rsid w:val="006B6EE5"/>
    <w:rsid w:val="006C586A"/>
    <w:rsid w:val="006D1072"/>
    <w:rsid w:val="006D7414"/>
    <w:rsid w:val="006E22E8"/>
    <w:rsid w:val="006E64A9"/>
    <w:rsid w:val="006F103A"/>
    <w:rsid w:val="006F4AD8"/>
    <w:rsid w:val="006F5599"/>
    <w:rsid w:val="006F61B2"/>
    <w:rsid w:val="00706917"/>
    <w:rsid w:val="00706E64"/>
    <w:rsid w:val="00711019"/>
    <w:rsid w:val="00717DB9"/>
    <w:rsid w:val="00730B4E"/>
    <w:rsid w:val="00730E9A"/>
    <w:rsid w:val="00731562"/>
    <w:rsid w:val="00735A7D"/>
    <w:rsid w:val="00736916"/>
    <w:rsid w:val="007452D7"/>
    <w:rsid w:val="0074655C"/>
    <w:rsid w:val="007509B4"/>
    <w:rsid w:val="00751B5A"/>
    <w:rsid w:val="00752515"/>
    <w:rsid w:val="007615F0"/>
    <w:rsid w:val="00762178"/>
    <w:rsid w:val="00766B07"/>
    <w:rsid w:val="00767163"/>
    <w:rsid w:val="00780FB0"/>
    <w:rsid w:val="007868EC"/>
    <w:rsid w:val="00787CAF"/>
    <w:rsid w:val="0079059D"/>
    <w:rsid w:val="00796E22"/>
    <w:rsid w:val="007A15DA"/>
    <w:rsid w:val="007B433E"/>
    <w:rsid w:val="007B5413"/>
    <w:rsid w:val="007C11E2"/>
    <w:rsid w:val="007C4177"/>
    <w:rsid w:val="007C7CEE"/>
    <w:rsid w:val="007D467D"/>
    <w:rsid w:val="007E0D0B"/>
    <w:rsid w:val="007F1F6D"/>
    <w:rsid w:val="007F2ED8"/>
    <w:rsid w:val="00804676"/>
    <w:rsid w:val="00804CBC"/>
    <w:rsid w:val="00812A24"/>
    <w:rsid w:val="00816420"/>
    <w:rsid w:val="0082116F"/>
    <w:rsid w:val="00824C3C"/>
    <w:rsid w:val="0082505C"/>
    <w:rsid w:val="00825414"/>
    <w:rsid w:val="00830306"/>
    <w:rsid w:val="00835FF4"/>
    <w:rsid w:val="008436EE"/>
    <w:rsid w:val="00846B8B"/>
    <w:rsid w:val="0085236F"/>
    <w:rsid w:val="008571A7"/>
    <w:rsid w:val="0086004F"/>
    <w:rsid w:val="008651A2"/>
    <w:rsid w:val="00867885"/>
    <w:rsid w:val="00872093"/>
    <w:rsid w:val="00876BD3"/>
    <w:rsid w:val="00883874"/>
    <w:rsid w:val="00884A17"/>
    <w:rsid w:val="008871B0"/>
    <w:rsid w:val="00894778"/>
    <w:rsid w:val="0089497F"/>
    <w:rsid w:val="008954E9"/>
    <w:rsid w:val="008959B0"/>
    <w:rsid w:val="00895B95"/>
    <w:rsid w:val="008A1972"/>
    <w:rsid w:val="008A3E56"/>
    <w:rsid w:val="008B0AA4"/>
    <w:rsid w:val="008B2DF3"/>
    <w:rsid w:val="008B38AB"/>
    <w:rsid w:val="008B4E26"/>
    <w:rsid w:val="008B757F"/>
    <w:rsid w:val="008C1429"/>
    <w:rsid w:val="008C298F"/>
    <w:rsid w:val="008C6A2C"/>
    <w:rsid w:val="008C6FA5"/>
    <w:rsid w:val="008D34F1"/>
    <w:rsid w:val="008D66F9"/>
    <w:rsid w:val="008E00BF"/>
    <w:rsid w:val="008F1955"/>
    <w:rsid w:val="00905373"/>
    <w:rsid w:val="00907C10"/>
    <w:rsid w:val="00910422"/>
    <w:rsid w:val="00914C0A"/>
    <w:rsid w:val="00917484"/>
    <w:rsid w:val="00917B27"/>
    <w:rsid w:val="0092308B"/>
    <w:rsid w:val="0092386D"/>
    <w:rsid w:val="00925087"/>
    <w:rsid w:val="009304AF"/>
    <w:rsid w:val="009309C9"/>
    <w:rsid w:val="009321B9"/>
    <w:rsid w:val="00932D44"/>
    <w:rsid w:val="00936CC5"/>
    <w:rsid w:val="00941BF4"/>
    <w:rsid w:val="00944A03"/>
    <w:rsid w:val="00947DB7"/>
    <w:rsid w:val="009511EF"/>
    <w:rsid w:val="00964819"/>
    <w:rsid w:val="00967C90"/>
    <w:rsid w:val="009708B9"/>
    <w:rsid w:val="00974016"/>
    <w:rsid w:val="009748AA"/>
    <w:rsid w:val="009811F9"/>
    <w:rsid w:val="00983892"/>
    <w:rsid w:val="009958E6"/>
    <w:rsid w:val="009A0164"/>
    <w:rsid w:val="009A72FD"/>
    <w:rsid w:val="009B3A6D"/>
    <w:rsid w:val="009B437B"/>
    <w:rsid w:val="009B5B89"/>
    <w:rsid w:val="009B6C25"/>
    <w:rsid w:val="009C0DE7"/>
    <w:rsid w:val="009C1A26"/>
    <w:rsid w:val="009C58A6"/>
    <w:rsid w:val="009D02B4"/>
    <w:rsid w:val="009D3D1F"/>
    <w:rsid w:val="009D4372"/>
    <w:rsid w:val="009D5AAA"/>
    <w:rsid w:val="009D5D98"/>
    <w:rsid w:val="009E1C51"/>
    <w:rsid w:val="009E57B4"/>
    <w:rsid w:val="009E5FF8"/>
    <w:rsid w:val="00A01B93"/>
    <w:rsid w:val="00A01E42"/>
    <w:rsid w:val="00A07E0F"/>
    <w:rsid w:val="00A11434"/>
    <w:rsid w:val="00A13A59"/>
    <w:rsid w:val="00A22702"/>
    <w:rsid w:val="00A3153B"/>
    <w:rsid w:val="00A3240C"/>
    <w:rsid w:val="00A33CAC"/>
    <w:rsid w:val="00A34A20"/>
    <w:rsid w:val="00A372B7"/>
    <w:rsid w:val="00A375F8"/>
    <w:rsid w:val="00A40914"/>
    <w:rsid w:val="00A613E7"/>
    <w:rsid w:val="00A74E5B"/>
    <w:rsid w:val="00A816F3"/>
    <w:rsid w:val="00A8250A"/>
    <w:rsid w:val="00A97747"/>
    <w:rsid w:val="00AA0445"/>
    <w:rsid w:val="00AA40F9"/>
    <w:rsid w:val="00AB02A8"/>
    <w:rsid w:val="00AB07F5"/>
    <w:rsid w:val="00AC356B"/>
    <w:rsid w:val="00AC4BA7"/>
    <w:rsid w:val="00AC729E"/>
    <w:rsid w:val="00AD3DE4"/>
    <w:rsid w:val="00AD3E08"/>
    <w:rsid w:val="00AE127A"/>
    <w:rsid w:val="00AE1D19"/>
    <w:rsid w:val="00AE5210"/>
    <w:rsid w:val="00AF0B50"/>
    <w:rsid w:val="00AF187D"/>
    <w:rsid w:val="00AF3946"/>
    <w:rsid w:val="00AF71BA"/>
    <w:rsid w:val="00B04AA0"/>
    <w:rsid w:val="00B06B5D"/>
    <w:rsid w:val="00B1656E"/>
    <w:rsid w:val="00B207DF"/>
    <w:rsid w:val="00B20806"/>
    <w:rsid w:val="00B22772"/>
    <w:rsid w:val="00B27AA8"/>
    <w:rsid w:val="00B30980"/>
    <w:rsid w:val="00B37FDB"/>
    <w:rsid w:val="00B4092C"/>
    <w:rsid w:val="00B427FC"/>
    <w:rsid w:val="00B42A4C"/>
    <w:rsid w:val="00B4462B"/>
    <w:rsid w:val="00B4510A"/>
    <w:rsid w:val="00B454EA"/>
    <w:rsid w:val="00B57B10"/>
    <w:rsid w:val="00B6513C"/>
    <w:rsid w:val="00B67099"/>
    <w:rsid w:val="00B77572"/>
    <w:rsid w:val="00B815BC"/>
    <w:rsid w:val="00B84350"/>
    <w:rsid w:val="00B84BDC"/>
    <w:rsid w:val="00B867F3"/>
    <w:rsid w:val="00B8713B"/>
    <w:rsid w:val="00B94D61"/>
    <w:rsid w:val="00B968AA"/>
    <w:rsid w:val="00B97A98"/>
    <w:rsid w:val="00BA0F9F"/>
    <w:rsid w:val="00BA24B4"/>
    <w:rsid w:val="00BB7BFB"/>
    <w:rsid w:val="00BC2869"/>
    <w:rsid w:val="00BC3F95"/>
    <w:rsid w:val="00BC45FC"/>
    <w:rsid w:val="00BC611A"/>
    <w:rsid w:val="00BD39E9"/>
    <w:rsid w:val="00BE0601"/>
    <w:rsid w:val="00BE1BAC"/>
    <w:rsid w:val="00C02B02"/>
    <w:rsid w:val="00C02F82"/>
    <w:rsid w:val="00C0346B"/>
    <w:rsid w:val="00C03C53"/>
    <w:rsid w:val="00C0401E"/>
    <w:rsid w:val="00C10D7E"/>
    <w:rsid w:val="00C24160"/>
    <w:rsid w:val="00C255DF"/>
    <w:rsid w:val="00C34A83"/>
    <w:rsid w:val="00C41EA8"/>
    <w:rsid w:val="00C421BB"/>
    <w:rsid w:val="00C4616E"/>
    <w:rsid w:val="00C51D04"/>
    <w:rsid w:val="00C546B7"/>
    <w:rsid w:val="00C55CA5"/>
    <w:rsid w:val="00C60D38"/>
    <w:rsid w:val="00C65F4E"/>
    <w:rsid w:val="00C72D87"/>
    <w:rsid w:val="00C75E02"/>
    <w:rsid w:val="00C817DF"/>
    <w:rsid w:val="00C8674B"/>
    <w:rsid w:val="00C91A96"/>
    <w:rsid w:val="00C92F92"/>
    <w:rsid w:val="00C97147"/>
    <w:rsid w:val="00CA153F"/>
    <w:rsid w:val="00CA3EF1"/>
    <w:rsid w:val="00CC7D50"/>
    <w:rsid w:val="00CD0371"/>
    <w:rsid w:val="00CD5B79"/>
    <w:rsid w:val="00CD77CB"/>
    <w:rsid w:val="00CE018F"/>
    <w:rsid w:val="00CF1404"/>
    <w:rsid w:val="00CF2BAF"/>
    <w:rsid w:val="00D00A41"/>
    <w:rsid w:val="00D05D46"/>
    <w:rsid w:val="00D10EF0"/>
    <w:rsid w:val="00D132E7"/>
    <w:rsid w:val="00D20D83"/>
    <w:rsid w:val="00D21C14"/>
    <w:rsid w:val="00D23300"/>
    <w:rsid w:val="00D257AA"/>
    <w:rsid w:val="00D26199"/>
    <w:rsid w:val="00D26C09"/>
    <w:rsid w:val="00D4054F"/>
    <w:rsid w:val="00D42076"/>
    <w:rsid w:val="00D44E4C"/>
    <w:rsid w:val="00D4565E"/>
    <w:rsid w:val="00D50EE8"/>
    <w:rsid w:val="00D600E9"/>
    <w:rsid w:val="00D66267"/>
    <w:rsid w:val="00D670D1"/>
    <w:rsid w:val="00D72DCF"/>
    <w:rsid w:val="00D73121"/>
    <w:rsid w:val="00D73545"/>
    <w:rsid w:val="00D81419"/>
    <w:rsid w:val="00DB43C3"/>
    <w:rsid w:val="00DC617B"/>
    <w:rsid w:val="00DC7AAF"/>
    <w:rsid w:val="00DD03EE"/>
    <w:rsid w:val="00DD2FD6"/>
    <w:rsid w:val="00DE658F"/>
    <w:rsid w:val="00DF576B"/>
    <w:rsid w:val="00DF67F7"/>
    <w:rsid w:val="00DF7897"/>
    <w:rsid w:val="00E15B5E"/>
    <w:rsid w:val="00E22203"/>
    <w:rsid w:val="00E23F7B"/>
    <w:rsid w:val="00E253D4"/>
    <w:rsid w:val="00E26DAC"/>
    <w:rsid w:val="00E27455"/>
    <w:rsid w:val="00E323EC"/>
    <w:rsid w:val="00E354BD"/>
    <w:rsid w:val="00E35EB2"/>
    <w:rsid w:val="00E37065"/>
    <w:rsid w:val="00E408EA"/>
    <w:rsid w:val="00E40CED"/>
    <w:rsid w:val="00E4174F"/>
    <w:rsid w:val="00E42C1F"/>
    <w:rsid w:val="00E46FF7"/>
    <w:rsid w:val="00E62ACF"/>
    <w:rsid w:val="00E72DD5"/>
    <w:rsid w:val="00E75C43"/>
    <w:rsid w:val="00E76B81"/>
    <w:rsid w:val="00E83E6B"/>
    <w:rsid w:val="00E85C54"/>
    <w:rsid w:val="00E8709B"/>
    <w:rsid w:val="00E906F1"/>
    <w:rsid w:val="00E94B38"/>
    <w:rsid w:val="00E955ED"/>
    <w:rsid w:val="00E95A41"/>
    <w:rsid w:val="00E979F9"/>
    <w:rsid w:val="00EA0E09"/>
    <w:rsid w:val="00EA0FC0"/>
    <w:rsid w:val="00EA6E9F"/>
    <w:rsid w:val="00EB4E8A"/>
    <w:rsid w:val="00EB6618"/>
    <w:rsid w:val="00ED2077"/>
    <w:rsid w:val="00ED648A"/>
    <w:rsid w:val="00ED7618"/>
    <w:rsid w:val="00EE17B5"/>
    <w:rsid w:val="00EE6239"/>
    <w:rsid w:val="00EF5AA6"/>
    <w:rsid w:val="00F00121"/>
    <w:rsid w:val="00F01CF1"/>
    <w:rsid w:val="00F049BF"/>
    <w:rsid w:val="00F05B53"/>
    <w:rsid w:val="00F06051"/>
    <w:rsid w:val="00F07A1F"/>
    <w:rsid w:val="00F137E6"/>
    <w:rsid w:val="00F149D7"/>
    <w:rsid w:val="00F16578"/>
    <w:rsid w:val="00F16D0E"/>
    <w:rsid w:val="00F22254"/>
    <w:rsid w:val="00F256C2"/>
    <w:rsid w:val="00F25F96"/>
    <w:rsid w:val="00F352BA"/>
    <w:rsid w:val="00F36EF7"/>
    <w:rsid w:val="00F56232"/>
    <w:rsid w:val="00F60AFA"/>
    <w:rsid w:val="00F62353"/>
    <w:rsid w:val="00F717BF"/>
    <w:rsid w:val="00F80205"/>
    <w:rsid w:val="00F82D1F"/>
    <w:rsid w:val="00F859CD"/>
    <w:rsid w:val="00F86F39"/>
    <w:rsid w:val="00F91647"/>
    <w:rsid w:val="00FA23CF"/>
    <w:rsid w:val="00FA2936"/>
    <w:rsid w:val="00FA3240"/>
    <w:rsid w:val="00FA3EA7"/>
    <w:rsid w:val="00FA5C22"/>
    <w:rsid w:val="00FB0B8C"/>
    <w:rsid w:val="00FB4746"/>
    <w:rsid w:val="00FB62D6"/>
    <w:rsid w:val="00FC3D4D"/>
    <w:rsid w:val="00FD22F8"/>
    <w:rsid w:val="00FD31D5"/>
    <w:rsid w:val="00FD3C15"/>
    <w:rsid w:val="00FD508A"/>
    <w:rsid w:val="00FD77B8"/>
    <w:rsid w:val="00FF2640"/>
    <w:rsid w:val="00FF51A3"/>
    <w:rsid w:val="00FF625E"/>
    <w:rsid w:val="01006F07"/>
    <w:rsid w:val="01E07FA1"/>
    <w:rsid w:val="02654065"/>
    <w:rsid w:val="02813A17"/>
    <w:rsid w:val="03341C3A"/>
    <w:rsid w:val="0D9C7286"/>
    <w:rsid w:val="10AEBED6"/>
    <w:rsid w:val="11A256C0"/>
    <w:rsid w:val="132244D5"/>
    <w:rsid w:val="17B1ECCC"/>
    <w:rsid w:val="211076F9"/>
    <w:rsid w:val="23BFC49F"/>
    <w:rsid w:val="2610A1A1"/>
    <w:rsid w:val="28D4340F"/>
    <w:rsid w:val="2C97D7E5"/>
    <w:rsid w:val="2EA5D8AE"/>
    <w:rsid w:val="3007F64B"/>
    <w:rsid w:val="304E2E83"/>
    <w:rsid w:val="32702F15"/>
    <w:rsid w:val="331B3738"/>
    <w:rsid w:val="3339A591"/>
    <w:rsid w:val="33B39D66"/>
    <w:rsid w:val="33BBEF93"/>
    <w:rsid w:val="35D0FD08"/>
    <w:rsid w:val="382068C8"/>
    <w:rsid w:val="38D6C579"/>
    <w:rsid w:val="39FBC228"/>
    <w:rsid w:val="3A45D8C9"/>
    <w:rsid w:val="3B0402D3"/>
    <w:rsid w:val="46E17BFA"/>
    <w:rsid w:val="46FE2C12"/>
    <w:rsid w:val="4A326D63"/>
    <w:rsid w:val="4D1DF482"/>
    <w:rsid w:val="4FADFDA6"/>
    <w:rsid w:val="52148761"/>
    <w:rsid w:val="5660E04A"/>
    <w:rsid w:val="5769C706"/>
    <w:rsid w:val="5891DC8E"/>
    <w:rsid w:val="5A49238D"/>
    <w:rsid w:val="5E10BD44"/>
    <w:rsid w:val="5F5CDF7E"/>
    <w:rsid w:val="6115D350"/>
    <w:rsid w:val="62600205"/>
    <w:rsid w:val="64158112"/>
    <w:rsid w:val="686AC41E"/>
    <w:rsid w:val="694F4478"/>
    <w:rsid w:val="72D04C79"/>
    <w:rsid w:val="75E019BD"/>
    <w:rsid w:val="75F8A0A4"/>
    <w:rsid w:val="778BC42F"/>
    <w:rsid w:val="77AFD80C"/>
    <w:rsid w:val="792DED84"/>
    <w:rsid w:val="796F76D9"/>
    <w:rsid w:val="7B5AF97D"/>
    <w:rsid w:val="7C756857"/>
    <w:rsid w:val="7CA8DC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basedOn w:val="Normal"/>
    <w:link w:val="FootnoteTextChar"/>
    <w:uiPriority w:val="99"/>
    <w:unhideWhenUsed/>
    <w:rsid w:val="00A11434"/>
    <w:rPr>
      <w:sz w:val="18"/>
    </w:rPr>
  </w:style>
  <w:style w:type="character" w:customStyle="1" w:styleId="FootnoteTextChar">
    <w:name w:val="Footnote Text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4"/>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Trebuchet MS" w:hAnsi="Trebuchet MS"/>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5"/>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Yu Gothic UI Semilight" w:hAnsi="@Yu Gothic UI Semiligh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7"/>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38"/>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39"/>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40"/>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41"/>
      </w:numPr>
      <w:contextualSpacing w:val="0"/>
    </w:pPr>
  </w:style>
  <w:style w:type="paragraph" w:styleId="ListNumber">
    <w:name w:val="List Number"/>
    <w:basedOn w:val="Normal"/>
    <w:uiPriority w:val="99"/>
    <w:unhideWhenUsed/>
    <w:rsid w:val="00A11434"/>
    <w:pPr>
      <w:numPr>
        <w:numId w:val="42"/>
      </w:numPr>
      <w:contextualSpacing/>
    </w:pPr>
  </w:style>
  <w:style w:type="paragraph" w:styleId="ListNumber2">
    <w:name w:val="List Number 2"/>
    <w:basedOn w:val="Normal"/>
    <w:uiPriority w:val="99"/>
    <w:unhideWhenUsed/>
    <w:rsid w:val="00A11434"/>
    <w:pPr>
      <w:numPr>
        <w:numId w:val="43"/>
      </w:numPr>
      <w:contextualSpacing/>
    </w:pPr>
  </w:style>
  <w:style w:type="paragraph" w:styleId="ListNumber3">
    <w:name w:val="List Number 3"/>
    <w:basedOn w:val="Normal"/>
    <w:link w:val="ListNumber3Char"/>
    <w:uiPriority w:val="99"/>
    <w:unhideWhenUsed/>
    <w:rsid w:val="00A11434"/>
    <w:pPr>
      <w:numPr>
        <w:numId w:val="44"/>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45"/>
      </w:numPr>
      <w:contextualSpacing/>
    </w:pPr>
  </w:style>
  <w:style w:type="paragraph" w:styleId="ListNumber5">
    <w:name w:val="List Number 5"/>
    <w:basedOn w:val="Normal"/>
    <w:uiPriority w:val="99"/>
    <w:semiHidden/>
    <w:unhideWhenUsed/>
    <w:rsid w:val="00A11434"/>
    <w:pPr>
      <w:numPr>
        <w:numId w:val="46"/>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0"/>
      </w:numPr>
      <w:ind w:left="360" w:hanging="360"/>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qFormat/>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customStyle="1" w:styleId="APRANORMAL">
    <w:name w:val="APRA NORMAL"/>
    <w:basedOn w:val="Normal"/>
    <w:link w:val="APRANORMALChar"/>
    <w:qFormat/>
    <w:rsid w:val="00A372B7"/>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A372B7"/>
    <w:rPr>
      <w:rFonts w:ascii="DIN OT Light" w:eastAsiaTheme="minorHAnsi" w:hAnsi="DIN OT Light" w:cs="Times New Roman"/>
      <w:lang w:val="en-GB" w:eastAsia="en-US"/>
    </w:rPr>
  </w:style>
  <w:style w:type="paragraph" w:styleId="CommentSubject">
    <w:name w:val="annotation subject"/>
    <w:basedOn w:val="CommentText"/>
    <w:next w:val="CommentText"/>
    <w:link w:val="CommentSubjectChar"/>
    <w:uiPriority w:val="99"/>
    <w:semiHidden/>
    <w:unhideWhenUsed/>
    <w:rsid w:val="009511EF"/>
    <w:rPr>
      <w:b/>
      <w:bCs/>
    </w:rPr>
  </w:style>
  <w:style w:type="character" w:customStyle="1" w:styleId="CommentSubjectChar">
    <w:name w:val="Comment Subject Char"/>
    <w:basedOn w:val="CommentTextChar"/>
    <w:link w:val="CommentSubject"/>
    <w:uiPriority w:val="99"/>
    <w:semiHidden/>
    <w:rsid w:val="009511EF"/>
    <w:rPr>
      <w:rFonts w:ascii="Arial" w:eastAsia="Times New Roman" w:hAnsi="Arial" w:cs="Times New Roman"/>
      <w:b/>
      <w:bCs/>
      <w:sz w:val="20"/>
      <w:szCs w:val="20"/>
    </w:rPr>
  </w:style>
  <w:style w:type="table" w:customStyle="1" w:styleId="TableGrid11">
    <w:name w:val="Table Grid11"/>
    <w:basedOn w:val="TableNormal"/>
    <w:uiPriority w:val="59"/>
    <w:rsid w:val="00A613E7"/>
    <w:pPr>
      <w:spacing w:after="120" w:line="240" w:lineRule="auto"/>
    </w:pPr>
    <w:rPr>
      <w:rFonts w:ascii="Trebuchet MS" w:eastAsia="Times New Roman" w:hAnsi="Trebuchet M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7C90"/>
    <w:pPr>
      <w:spacing w:after="0" w:line="240" w:lineRule="auto"/>
    </w:pPr>
    <w:rPr>
      <w:rFonts w:ascii="Arial" w:eastAsia="Times New Roman" w:hAnsi="Arial" w:cs="Times New Roman"/>
      <w:szCs w:val="24"/>
    </w:rPr>
  </w:style>
  <w:style w:type="paragraph" w:customStyle="1" w:styleId="Default">
    <w:name w:val="Default"/>
    <w:rsid w:val="00967C90"/>
    <w:pPr>
      <w:autoSpaceDE w:val="0"/>
      <w:autoSpaceDN w:val="0"/>
      <w:adjustRightInd w:val="0"/>
      <w:spacing w:after="0" w:line="240" w:lineRule="auto"/>
    </w:pPr>
    <w:rPr>
      <w:rFonts w:ascii="DIN OT Light" w:hAnsi="DIN OT Light" w:cs="DIN O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436">
      <w:bodyDiv w:val="1"/>
      <w:marLeft w:val="0"/>
      <w:marRight w:val="0"/>
      <w:marTop w:val="0"/>
      <w:marBottom w:val="0"/>
      <w:divBdr>
        <w:top w:val="none" w:sz="0" w:space="0" w:color="auto"/>
        <w:left w:val="none" w:sz="0" w:space="0" w:color="auto"/>
        <w:bottom w:val="none" w:sz="0" w:space="0" w:color="auto"/>
        <w:right w:val="none" w:sz="0" w:space="0" w:color="auto"/>
      </w:divBdr>
    </w:div>
    <w:div w:id="686055813">
      <w:bodyDiv w:val="1"/>
      <w:marLeft w:val="0"/>
      <w:marRight w:val="0"/>
      <w:marTop w:val="0"/>
      <w:marBottom w:val="0"/>
      <w:divBdr>
        <w:top w:val="none" w:sz="0" w:space="0" w:color="auto"/>
        <w:left w:val="none" w:sz="0" w:space="0" w:color="auto"/>
        <w:bottom w:val="none" w:sz="0" w:space="0" w:color="auto"/>
        <w:right w:val="none" w:sz="0" w:space="0" w:color="auto"/>
      </w:divBdr>
    </w:div>
    <w:div w:id="844899802">
      <w:bodyDiv w:val="1"/>
      <w:marLeft w:val="0"/>
      <w:marRight w:val="0"/>
      <w:marTop w:val="0"/>
      <w:marBottom w:val="0"/>
      <w:divBdr>
        <w:top w:val="none" w:sz="0" w:space="0" w:color="auto"/>
        <w:left w:val="none" w:sz="0" w:space="0" w:color="auto"/>
        <w:bottom w:val="none" w:sz="0" w:space="0" w:color="auto"/>
        <w:right w:val="none" w:sz="0" w:space="0" w:color="auto"/>
      </w:divBdr>
    </w:div>
    <w:div w:id="9908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news-and-publications/apra-consults-on-new-prudential-standard-to-strengthen-operational-resilience" TargetMode="External"/><Relationship Id="rId1" Type="http://schemas.openxmlformats.org/officeDocument/2006/relationships/hyperlink" Target="https://www.apra.gov.au/information-security-requirements-for-all-apra-regulated-ent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DOCID-322795542-35173</_dlc_DocId>
    <_dlc_DocIdUrl xmlns="4195ad5f-cdf2-4c4a-8d9b-b7944a108e98">
      <Url>https://pmc01.sharepoint.com/sites/CRMOBPR/_layouts/15/DocIdRedir.aspx?ID=DOCID-322795542-35173</Url>
      <Description>DOCID-322795542-35173</Description>
    </_dlc_DocIdUrl>
  </documentManagement>
</p:properties>
</file>

<file path=customXml/itemProps1.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1B5CDBC-6F70-4BFD-BB38-DFC2E962F4C7}">
  <ds:schemaRefs>
    <ds:schemaRef ds:uri="http://schemas.openxmlformats.org/officeDocument/2006/bibliography"/>
  </ds:schemaRefs>
</ds:datastoreItem>
</file>

<file path=customXml/itemProps3.xml><?xml version="1.0" encoding="utf-8"?>
<ds:datastoreItem xmlns:ds="http://schemas.openxmlformats.org/officeDocument/2006/customXml" ds:itemID="{75B19881-88C6-48DB-9E60-3B4EAF3B472C}"/>
</file>

<file path=customXml/itemProps4.xml><?xml version="1.0" encoding="utf-8"?>
<ds:datastoreItem xmlns:ds="http://schemas.openxmlformats.org/officeDocument/2006/customXml" ds:itemID="{1FD5F830-3943-4C97-8941-A6FE43F90D24}"/>
</file>

<file path=customXml/itemProps5.xml><?xml version="1.0" encoding="utf-8"?>
<ds:datastoreItem xmlns:ds="http://schemas.openxmlformats.org/officeDocument/2006/customXml" ds:itemID="{EAD64D07-1690-4A80-8F77-649960EC06EE}"/>
</file>

<file path=customXml/itemProps6.xml><?xml version="1.0" encoding="utf-8"?>
<ds:datastoreItem xmlns:ds="http://schemas.openxmlformats.org/officeDocument/2006/customXml" ds:itemID="{A9794471-ECD5-410B-8DB3-1DED4AAB1540}"/>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7528</Characters>
  <Application>Microsoft Office Word</Application>
  <DocSecurity>0</DocSecurity>
  <Lines>207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Links>
    <vt:vector size="12" baseType="variant">
      <vt:variant>
        <vt:i4>6619181</vt:i4>
      </vt:variant>
      <vt:variant>
        <vt:i4>3</vt:i4>
      </vt:variant>
      <vt:variant>
        <vt:i4>0</vt:i4>
      </vt:variant>
      <vt:variant>
        <vt:i4>5</vt:i4>
      </vt:variant>
      <vt:variant>
        <vt:lpwstr>https://www.apra.gov.au/news-and-publications/apra-consults-on-new-prudential-standard-to-strengthen-operational-resilience</vt:lpwstr>
      </vt:variant>
      <vt:variant>
        <vt:lpwstr/>
      </vt:variant>
      <vt:variant>
        <vt:i4>1310731</vt:i4>
      </vt:variant>
      <vt:variant>
        <vt:i4>0</vt:i4>
      </vt:variant>
      <vt:variant>
        <vt:i4>0</vt:i4>
      </vt:variant>
      <vt:variant>
        <vt:i4>5</vt:i4>
      </vt:variant>
      <vt:variant>
        <vt:lpwstr>https://www.apra.gov.au/information-security-requirements-for-all-apra-regulated-entities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2023-07-10T04:42:00Z</dcterms:created>
  <dcterms:modified xsi:type="dcterms:W3CDTF">2023-07-10T04:42:00Z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v=2022.1;a=SHA256;h=9A38292266A482183633084EB8945FDAF65A1B9F8C2C8B249DF329791AB84A1B</vt:lpwstr>
  </property>
  <property fmtid="{D5CDD505-2E9C-101B-9397-08002B2CF9AE}" pid="6" name="PM_Qualifier">
    <vt:lpwstr/>
  </property>
  <property fmtid="{D5CDD505-2E9C-101B-9397-08002B2CF9AE}" pid="7" name="PM_InsertionValue">
    <vt:lpwstr>OFFICIAL</vt:lpwstr>
  </property>
  <property fmtid="{D5CDD505-2E9C-101B-9397-08002B2CF9AE}" pid="8" name="PM_Hash_Version">
    <vt:lpwstr>2022.1</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MSIP_Label_c0129afb-6481-4f92-bc9f-5a4a6346364d_Extended_MSFT_Method">
    <vt:lpwstr>Standard</vt:lpwstr>
  </property>
  <property fmtid="{D5CDD505-2E9C-101B-9397-08002B2CF9AE}" pid="12" name="PM_Qualifier_Prev">
    <vt:lpwstr/>
  </property>
  <property fmtid="{D5CDD505-2E9C-101B-9397-08002B2CF9AE}" pid="13" name="PM_SecurityClassification_Prev">
    <vt:lpwstr>OFFICIAL</vt:lpwstr>
  </property>
  <property fmtid="{D5CDD505-2E9C-101B-9397-08002B2CF9AE}" pid="14" name="PM_OriginationTimeStamp">
    <vt:lpwstr>2023-04-29T02:05:30Z</vt:lpwstr>
  </property>
  <property fmtid="{D5CDD505-2E9C-101B-9397-08002B2CF9AE}" pid="15" name="PM_ProtectiveMarkingValue_Header">
    <vt:lpwstr>OFFICIAL</vt:lpwstr>
  </property>
  <property fmtid="{D5CDD505-2E9C-101B-9397-08002B2CF9AE}" pid="16" name="MSIP_Label_c0129afb-6481-4f92-bc9f-5a4a6346364d_Removed">
    <vt:lpwstr>False</vt:lpwstr>
  </property>
  <property fmtid="{D5CDD505-2E9C-101B-9397-08002B2CF9AE}" pid="17" name="PM_Originating_FileId">
    <vt:lpwstr>96AECA9CE837445DBCBC61E7F3724963</vt:lpwstr>
  </property>
  <property fmtid="{D5CDD505-2E9C-101B-9397-08002B2CF9AE}" pid="18" name="PM_ProtectiveMarkingValue_Footer">
    <vt:lpwstr>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MSIP_Label_c0129afb-6481-4f92-bc9f-5a4a6346364d_SiteId">
    <vt:lpwstr>c05e3ffd-b491-4431-9809-e61d4dc78816</vt:lpwstr>
  </property>
  <property fmtid="{D5CDD505-2E9C-101B-9397-08002B2CF9AE}" pid="29" name="PM_Hash_Salt_Prev">
    <vt:lpwstr>03236150DFB782696896C554E1849746</vt:lpwstr>
  </property>
  <property fmtid="{D5CDD505-2E9C-101B-9397-08002B2CF9AE}" pid="30" name="MSIP_Label_c0129afb-6481-4f92-bc9f-5a4a6346364d_SetDate">
    <vt:lpwstr>2023-04-29T02:05:30Z</vt:lpwstr>
  </property>
  <property fmtid="{D5CDD505-2E9C-101B-9397-08002B2CF9AE}" pid="31" name="MSIP_Label_c0129afb-6481-4f92-bc9f-5a4a6346364d_Name">
    <vt:lpwstr>OFFICIAL</vt:lpwstr>
  </property>
  <property fmtid="{D5CDD505-2E9C-101B-9397-08002B2CF9AE}" pid="32" name="PMUuid">
    <vt:lpwstr>v=2022.2;d=gov.au;g=46DD6D7C-8107-577B-BC6E-F348953B2E44</vt:lpwstr>
  </property>
  <property fmtid="{D5CDD505-2E9C-101B-9397-08002B2CF9AE}" pid="33" name="PM_Originator_Hash_SHA1">
    <vt:lpwstr>FD601EB9279B81D19174D871B12407322185A007</vt:lpwstr>
  </property>
  <property fmtid="{D5CDD505-2E9C-101B-9397-08002B2CF9AE}" pid="34" name="PM_Hash_Salt">
    <vt:lpwstr>7712A170026365F13FF52862F1456A17</vt:lpwstr>
  </property>
  <property fmtid="{D5CDD505-2E9C-101B-9397-08002B2CF9AE}" pid="35" name="PM_Hash_SHA1">
    <vt:lpwstr>0DBDA8AA94C1AB2D02CA93801AD2EE695B65CC7F</vt:lpwstr>
  </property>
  <property fmtid="{D5CDD505-2E9C-101B-9397-08002B2CF9AE}" pid="36" name="PM_OriginatorUserAccountName_SHA256">
    <vt:lpwstr>52CA578D49D47181320D733DE315BF8BF71643387A629D3D6BA2BF9260CD3A97</vt:lpwstr>
  </property>
  <property fmtid="{D5CDD505-2E9C-101B-9397-08002B2CF9AE}" pid="37" name="MSIP_Label_c0129afb-6481-4f92-bc9f-5a4a6346364d_ActionId">
    <vt:lpwstr>849c1705bc484422bbe4f85c27f5e953</vt:lpwstr>
  </property>
  <property fmtid="{D5CDD505-2E9C-101B-9397-08002B2CF9AE}" pid="38" name="ContentTypeId">
    <vt:lpwstr>0x0101009CA239676470E04B809DDC4E24CF2322</vt:lpwstr>
  </property>
  <property fmtid="{D5CDD505-2E9C-101B-9397-08002B2CF9AE}" pid="39" name="_dlc_DocIdItemGuid">
    <vt:lpwstr>1b56de4f-78c3-497b-8541-24a05f111447</vt:lpwstr>
  </property>
  <property fmtid="{D5CDD505-2E9C-101B-9397-08002B2CF9AE}" pid="40" name="MediaServiceImageTags">
    <vt:lpwstr/>
  </property>
</Properties>
</file>