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028F" w14:textId="3986A502" w:rsidR="00D522F0" w:rsidRPr="00FC415D" w:rsidRDefault="00D522F0" w:rsidP="00344C70">
      <w:pPr>
        <w:pStyle w:val="Reporttitle"/>
        <w:spacing w:after="200"/>
        <w:rPr>
          <w:b w:val="0"/>
          <w:color w:val="323232"/>
        </w:rPr>
      </w:pPr>
      <w:r>
        <w:t>Regulation Impact Statement</w:t>
      </w:r>
      <w:r w:rsidR="00DC207D">
        <w:br/>
      </w:r>
      <w:r w:rsidR="00D97B27" w:rsidRPr="00FC415D">
        <w:rPr>
          <w:b w:val="0"/>
          <w:color w:val="323232"/>
        </w:rPr>
        <w:t>Area-wide licences in remote areas of the 3.4-4</w:t>
      </w:r>
      <w:r w:rsidR="00820B80">
        <w:rPr>
          <w:b w:val="0"/>
          <w:color w:val="323232"/>
        </w:rPr>
        <w:t>.0</w:t>
      </w:r>
      <w:r w:rsidR="00D97B27" w:rsidRPr="00FC415D">
        <w:rPr>
          <w:b w:val="0"/>
          <w:color w:val="323232"/>
        </w:rPr>
        <w:t xml:space="preserve"> GHz band</w:t>
      </w:r>
    </w:p>
    <w:p w14:paraId="1C62D4E9" w14:textId="29E2AF5F" w:rsidR="00D522F0" w:rsidRPr="000D76E0" w:rsidRDefault="00E11ABC" w:rsidP="00D522F0">
      <w:pPr>
        <w:pStyle w:val="Reportdate"/>
        <w:spacing w:after="720"/>
        <w:rPr>
          <w:rFonts w:cs="Arial"/>
        </w:rPr>
        <w:sectPr w:rsidR="00D522F0" w:rsidRPr="000D76E0" w:rsidSect="00DF4F2E">
          <w:headerReference w:type="even" r:id="rId7"/>
          <w:headerReference w:type="default" r:id="rId8"/>
          <w:footerReference w:type="even" r:id="rId9"/>
          <w:footerReference w:type="default" r:id="rId10"/>
          <w:headerReference w:type="first" r:id="rId11"/>
          <w:footerReference w:type="first" r:id="rId12"/>
          <w:pgSz w:w="11906" w:h="16838" w:code="9"/>
          <w:pgMar w:top="3924" w:right="992" w:bottom="1440" w:left="1134" w:header="709" w:footer="454" w:gutter="0"/>
          <w:cols w:space="708"/>
          <w:docGrid w:linePitch="360"/>
        </w:sectPr>
      </w:pPr>
      <w:r>
        <w:t>April 2023</w:t>
      </w:r>
    </w:p>
    <w:p w14:paraId="168EA186" w14:textId="77777777" w:rsidR="00D522F0" w:rsidRPr="00F44F3A" w:rsidRDefault="00D522F0" w:rsidP="00D522F0">
      <w:pPr>
        <w:pStyle w:val="ACMACorporateAddressHeader"/>
      </w:pPr>
      <w:r w:rsidRPr="00F44F3A">
        <w:lastRenderedPageBreak/>
        <w:t>Canberra</w:t>
      </w:r>
    </w:p>
    <w:p w14:paraId="78D751F7" w14:textId="77777777" w:rsidR="00D522F0" w:rsidRPr="00FC07B9" w:rsidRDefault="00D522F0" w:rsidP="00D522F0">
      <w:pPr>
        <w:pStyle w:val="ACMACorporateAddresses"/>
      </w:pPr>
      <w:r w:rsidRPr="00FC07B9">
        <w:t xml:space="preserve">Red Building </w:t>
      </w:r>
      <w:r w:rsidRPr="00FC07B9">
        <w:br/>
        <w:t>Benjamin Offices</w:t>
      </w:r>
      <w:r w:rsidRPr="00FC07B9">
        <w:br/>
        <w:t xml:space="preserve">Chan Street </w:t>
      </w:r>
      <w:r w:rsidRPr="00FC07B9">
        <w:br/>
        <w:t>Belconnen ACT</w:t>
      </w:r>
    </w:p>
    <w:p w14:paraId="77706B16" w14:textId="77777777" w:rsidR="00D522F0" w:rsidRPr="00FC07B9" w:rsidRDefault="00D522F0" w:rsidP="00D522F0">
      <w:pPr>
        <w:pStyle w:val="ACMACorporateAddresses"/>
      </w:pPr>
      <w:r w:rsidRPr="00FC07B9">
        <w:t>PO Box 78</w:t>
      </w:r>
      <w:r w:rsidRPr="00FC07B9">
        <w:br/>
        <w:t>Belconnen ACT 2616</w:t>
      </w:r>
    </w:p>
    <w:p w14:paraId="2EC91CA9" w14:textId="77777777" w:rsidR="00D522F0" w:rsidRPr="00FC07B9" w:rsidRDefault="00D522F0" w:rsidP="00D522F0">
      <w:pPr>
        <w:pStyle w:val="ACMACorporateAddresses"/>
      </w:pPr>
      <w:r w:rsidRPr="00FC07B9">
        <w:t>T</w:t>
      </w:r>
      <w:r w:rsidRPr="00FC07B9">
        <w:tab/>
        <w:t>+61 2 6219 5555</w:t>
      </w:r>
      <w:r w:rsidRPr="00FC07B9">
        <w:br/>
        <w:t>F</w:t>
      </w:r>
      <w:r w:rsidRPr="00FC07B9">
        <w:tab/>
        <w:t>+61 2 6219 5353</w:t>
      </w:r>
    </w:p>
    <w:p w14:paraId="745D47FF" w14:textId="77777777" w:rsidR="00D522F0" w:rsidRPr="00F44F3A" w:rsidRDefault="00D522F0" w:rsidP="00D522F0">
      <w:pPr>
        <w:pStyle w:val="ACMACorporateAddressHeader"/>
      </w:pPr>
      <w:r w:rsidRPr="00F44F3A">
        <w:t>Melbourne</w:t>
      </w:r>
    </w:p>
    <w:p w14:paraId="39A00237" w14:textId="77777777" w:rsidR="00D522F0" w:rsidRPr="00F44F3A" w:rsidRDefault="00D522F0" w:rsidP="00D522F0">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4A81C621" w14:textId="77777777" w:rsidR="00D522F0" w:rsidRPr="00F44F3A" w:rsidRDefault="00D522F0" w:rsidP="00D522F0">
      <w:pPr>
        <w:pStyle w:val="ACMACorporateAddresses"/>
      </w:pPr>
      <w:r w:rsidRPr="00F44F3A">
        <w:t>PO Box 13112</w:t>
      </w:r>
      <w:r w:rsidRPr="00F44F3A">
        <w:br/>
        <w:t xml:space="preserve">Law Courts </w:t>
      </w:r>
      <w:r w:rsidRPr="00F44F3A">
        <w:br/>
        <w:t>Melbourne VIC 8010</w:t>
      </w:r>
    </w:p>
    <w:p w14:paraId="6F9ACB22" w14:textId="77777777" w:rsidR="00D522F0" w:rsidRPr="00F44F3A" w:rsidRDefault="00D522F0" w:rsidP="00D522F0">
      <w:pPr>
        <w:pStyle w:val="ACMACorporateAddresses"/>
      </w:pPr>
      <w:r w:rsidRPr="00F44F3A">
        <w:t>T</w:t>
      </w:r>
      <w:r w:rsidRPr="00F44F3A">
        <w:tab/>
        <w:t>+61 3 9963 6800</w:t>
      </w:r>
      <w:r w:rsidRPr="00F44F3A">
        <w:br/>
        <w:t>F</w:t>
      </w:r>
      <w:r w:rsidRPr="00F44F3A">
        <w:tab/>
        <w:t>+61 3 9963 6899</w:t>
      </w:r>
    </w:p>
    <w:p w14:paraId="206FCDD1" w14:textId="77777777" w:rsidR="00D522F0" w:rsidRPr="00F44F3A" w:rsidRDefault="00D522F0" w:rsidP="00D522F0">
      <w:pPr>
        <w:pStyle w:val="ACMACorporateAddressHeader"/>
      </w:pPr>
      <w:r w:rsidRPr="00F44F3A">
        <w:t>Sydney</w:t>
      </w:r>
    </w:p>
    <w:p w14:paraId="7C378524" w14:textId="77777777" w:rsidR="00D522F0" w:rsidRPr="00F44F3A" w:rsidRDefault="00D522F0" w:rsidP="00D522F0">
      <w:pPr>
        <w:pStyle w:val="ACMACorporateAddresses"/>
      </w:pPr>
      <w:r w:rsidRPr="00F44F3A">
        <w:t xml:space="preserve">Level 5 </w:t>
      </w:r>
      <w:r w:rsidRPr="00F44F3A">
        <w:br/>
        <w:t>The Bay Centre</w:t>
      </w:r>
      <w:r w:rsidRPr="00F44F3A">
        <w:br/>
        <w:t xml:space="preserve">65 Pirrama Road </w:t>
      </w:r>
      <w:r w:rsidRPr="00F44F3A">
        <w:br/>
        <w:t>Pyrmont NSW</w:t>
      </w:r>
    </w:p>
    <w:p w14:paraId="78FBBB73" w14:textId="77777777" w:rsidR="00D522F0" w:rsidRPr="00F44F3A" w:rsidRDefault="00D522F0" w:rsidP="00D522F0">
      <w:pPr>
        <w:pStyle w:val="ACMACorporateAddresses"/>
      </w:pPr>
      <w:r w:rsidRPr="00F44F3A">
        <w:t>PO Box Q500</w:t>
      </w:r>
      <w:r w:rsidRPr="00F44F3A">
        <w:br/>
        <w:t xml:space="preserve">Queen Victoria Building </w:t>
      </w:r>
      <w:r w:rsidRPr="00F44F3A">
        <w:br/>
        <w:t>NSW 1230</w:t>
      </w:r>
    </w:p>
    <w:p w14:paraId="6C5310E7" w14:textId="77777777" w:rsidR="00D522F0" w:rsidRPr="00F44F3A" w:rsidRDefault="00D522F0" w:rsidP="00D522F0">
      <w:pPr>
        <w:pStyle w:val="ACMACorporateAddresses"/>
      </w:pPr>
      <w:r w:rsidRPr="00F44F3A">
        <w:t>T</w:t>
      </w:r>
      <w:r w:rsidRPr="00F44F3A">
        <w:tab/>
        <w:t>+61 2 9334 7700 or 1800 226 667</w:t>
      </w:r>
      <w:r w:rsidRPr="00F44F3A">
        <w:br/>
        <w:t>F</w:t>
      </w:r>
      <w:r w:rsidRPr="00F44F3A">
        <w:tab/>
        <w:t>+61 2 9334 7799</w:t>
      </w:r>
    </w:p>
    <w:p w14:paraId="49BC5DEF" w14:textId="77777777" w:rsidR="00D522F0" w:rsidRPr="006D46E5" w:rsidRDefault="00D522F0" w:rsidP="00D522F0">
      <w:pPr>
        <w:pStyle w:val="ACMACopyrightHeader"/>
      </w:pPr>
      <w:r w:rsidRPr="00140318">
        <w:t>Copyright notice</w:t>
      </w:r>
    </w:p>
    <w:p w14:paraId="5A6C88F1" w14:textId="77777777" w:rsidR="00D522F0" w:rsidRPr="006D46E5" w:rsidRDefault="00D522F0" w:rsidP="00D522F0">
      <w:pPr>
        <w:pStyle w:val="ACMACClogo"/>
      </w:pPr>
      <w:r w:rsidRPr="00623FF9">
        <w:rPr>
          <w:noProof/>
        </w:rPr>
        <w:drawing>
          <wp:inline distT="0" distB="0" distL="0" distR="0" wp14:anchorId="3BE79AFC" wp14:editId="3F318DAA">
            <wp:extent cx="838200" cy="295275"/>
            <wp:effectExtent l="0" t="0" r="0" b="0"/>
            <wp:docPr id="1" name="Picture 1" title="Creative Comm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3"/>
                    </pic:cNvPr>
                    <pic:cNvPicPr>
                      <a:picLocks noChangeAspect="1" noChangeArrowheads="1"/>
                    </pic:cNvPicPr>
                  </pic:nvPicPr>
                  <pic:blipFill>
                    <a:blip r:embed="rId14" cstate="print"/>
                    <a:srcRect/>
                    <a:stretch>
                      <a:fillRect/>
                    </a:stretch>
                  </pic:blipFill>
                  <pic:spPr bwMode="auto">
                    <a:xfrm>
                      <a:off x="0" y="0"/>
                      <a:ext cx="838200" cy="295275"/>
                    </a:xfrm>
                    <a:prstGeom prst="rect">
                      <a:avLst/>
                    </a:prstGeom>
                    <a:noFill/>
                  </pic:spPr>
                </pic:pic>
              </a:graphicData>
            </a:graphic>
          </wp:inline>
        </w:drawing>
      </w:r>
    </w:p>
    <w:p w14:paraId="10CE6DB4" w14:textId="77777777" w:rsidR="00D522F0" w:rsidRDefault="002B5730" w:rsidP="00D522F0">
      <w:pPr>
        <w:pStyle w:val="ACMACorporateAddresses"/>
        <w:rPr>
          <w:rStyle w:val="Hyperlink"/>
        </w:rPr>
      </w:pPr>
      <w:hyperlink r:id="rId15" w:history="1">
        <w:r w:rsidR="00D522F0">
          <w:rPr>
            <w:rStyle w:val="Hyperlink"/>
          </w:rPr>
          <w:t>https://creativecommons.org/licenses/by/4.0/</w:t>
        </w:r>
      </w:hyperlink>
    </w:p>
    <w:p w14:paraId="5A53584C" w14:textId="77777777" w:rsidR="00D522F0" w:rsidRDefault="00D522F0" w:rsidP="00D522F0">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4A6F4781" w14:textId="717E58FC" w:rsidR="00D522F0" w:rsidRDefault="00D522F0" w:rsidP="00D522F0">
      <w:pPr>
        <w:pStyle w:val="ACMACorporateAddresses"/>
      </w:pPr>
      <w:r>
        <w:t xml:space="preserve">We request attribution as © Commonwealth of Australia (Australian Communications and Media Authority) </w:t>
      </w:r>
      <w:r w:rsidR="00672781">
        <w:t>2023</w:t>
      </w:r>
      <w:r>
        <w:t>.</w:t>
      </w:r>
    </w:p>
    <w:p w14:paraId="2A170F49" w14:textId="77777777" w:rsidR="00D522F0" w:rsidRDefault="00D522F0" w:rsidP="00D522F0">
      <w:pPr>
        <w:pStyle w:val="ACMACorporateAddresses"/>
      </w:pPr>
      <w:r>
        <w:t>All other rights are reserved.</w:t>
      </w:r>
    </w:p>
    <w:p w14:paraId="51B21AD1" w14:textId="77777777" w:rsidR="00D522F0" w:rsidRDefault="00D522F0" w:rsidP="00D522F0">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8BB9FB7" w14:textId="77777777" w:rsidR="00D522F0" w:rsidRDefault="00D522F0" w:rsidP="00D522F0">
      <w:pPr>
        <w:pStyle w:val="ACMACorporateAddresses"/>
      </w:pPr>
      <w:r>
        <w:t>Written enquiries may be sent to:</w:t>
      </w:r>
    </w:p>
    <w:p w14:paraId="10EAF684" w14:textId="77777777" w:rsidR="00D522F0" w:rsidRDefault="00D522F0" w:rsidP="00D522F0">
      <w:pPr>
        <w:pStyle w:val="ACMACorporateAddresses"/>
        <w:rPr>
          <w:rStyle w:val="Hyperlink"/>
        </w:rPr>
      </w:pPr>
      <w:r>
        <w:t>Manager, Editorial Services</w:t>
      </w:r>
      <w:r>
        <w:br/>
        <w:t>PO Box 13112</w:t>
      </w:r>
      <w:r>
        <w:br/>
        <w:t>Law Courts</w:t>
      </w:r>
      <w:r>
        <w:br/>
        <w:t>Melbourne VIC 8010</w:t>
      </w:r>
      <w:r>
        <w:br/>
        <w:t xml:space="preserve">Email: </w:t>
      </w:r>
      <w:hyperlink r:id="rId16" w:history="1">
        <w:r>
          <w:rPr>
            <w:rStyle w:val="Hyperlink"/>
          </w:rPr>
          <w:t>info@acma.gov.au</w:t>
        </w:r>
      </w:hyperlink>
    </w:p>
    <w:p w14:paraId="20FFE0ED" w14:textId="77777777" w:rsidR="00D522F0" w:rsidRDefault="00D522F0" w:rsidP="00D522F0">
      <w:pPr>
        <w:pStyle w:val="ACMACorporateAddresses"/>
        <w:rPr>
          <w:rStyle w:val="Hyperlink"/>
        </w:rPr>
      </w:pPr>
    </w:p>
    <w:p w14:paraId="796B71B5" w14:textId="77777777" w:rsidR="00D522F0" w:rsidRDefault="00D522F0" w:rsidP="00D522F0">
      <w:pPr>
        <w:pStyle w:val="ACMACorporateAddresses"/>
      </w:pPr>
    </w:p>
    <w:p w14:paraId="136495B4" w14:textId="039EAD4F" w:rsidR="00DD1DF8" w:rsidRPr="00D16FE3" w:rsidRDefault="00DD1DF8" w:rsidP="00D522F0">
      <w:pPr>
        <w:pStyle w:val="ACMACorporateAddresses"/>
        <w:sectPr w:rsidR="00DD1DF8" w:rsidRPr="00D16FE3">
          <w:headerReference w:type="even" r:id="rId17"/>
          <w:headerReference w:type="default" r:id="rId18"/>
          <w:footerReference w:type="even" r:id="rId19"/>
          <w:footerReference w:type="default" r:id="rId20"/>
          <w:pgSz w:w="11906" w:h="16838" w:code="9"/>
          <w:pgMar w:top="3924" w:right="1797" w:bottom="697" w:left="1134" w:header="709" w:footer="119" w:gutter="0"/>
          <w:cols w:space="708"/>
          <w:docGrid w:linePitch="360"/>
        </w:sectPr>
      </w:pPr>
    </w:p>
    <w:p w14:paraId="79BB953A" w14:textId="13E73424" w:rsidR="00E122DD" w:rsidRDefault="00FC7530">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\t "Exec summary heading,1" </w:instrText>
      </w:r>
      <w:r>
        <w:rPr>
          <w:rFonts w:cs="Arial"/>
        </w:rPr>
        <w:fldChar w:fldCharType="separate"/>
      </w:r>
      <w:r w:rsidR="00E122DD">
        <w:t>Executive Summary</w:t>
      </w:r>
      <w:r w:rsidR="00E122DD">
        <w:tab/>
      </w:r>
      <w:r w:rsidR="00E122DD">
        <w:fldChar w:fldCharType="begin"/>
      </w:r>
      <w:r w:rsidR="00E122DD">
        <w:instrText xml:space="preserve"> PAGEREF _Toc137640958 \h </w:instrText>
      </w:r>
      <w:r w:rsidR="00E122DD">
        <w:fldChar w:fldCharType="separate"/>
      </w:r>
      <w:r w:rsidR="00066692">
        <w:t>1</w:t>
      </w:r>
      <w:r w:rsidR="00E122DD">
        <w:fldChar w:fldCharType="end"/>
      </w:r>
    </w:p>
    <w:p w14:paraId="2C58D8DE" w14:textId="3E86E161" w:rsidR="00E122DD" w:rsidRDefault="00E122DD">
      <w:pPr>
        <w:pStyle w:val="TOC2"/>
        <w:rPr>
          <w:rFonts w:asciiTheme="minorHAnsi" w:eastAsiaTheme="minorEastAsia" w:hAnsiTheme="minorHAnsi" w:cstheme="minorBidi"/>
          <w:spacing w:val="0"/>
          <w:sz w:val="22"/>
          <w:szCs w:val="22"/>
        </w:rPr>
      </w:pPr>
      <w:r>
        <w:t>The focus of this RIS – Area-wide licences (AWLs) in remote areas of the 3.4-4.0 GHz band</w:t>
      </w:r>
      <w:r>
        <w:tab/>
      </w:r>
      <w:r>
        <w:fldChar w:fldCharType="begin"/>
      </w:r>
      <w:r>
        <w:instrText xml:space="preserve"> PAGEREF _Toc137640959 \h </w:instrText>
      </w:r>
      <w:r>
        <w:fldChar w:fldCharType="separate"/>
      </w:r>
      <w:r w:rsidR="00066692">
        <w:t>2</w:t>
      </w:r>
      <w:r>
        <w:fldChar w:fldCharType="end"/>
      </w:r>
    </w:p>
    <w:p w14:paraId="67848DCB" w14:textId="0E5F8076" w:rsidR="00E122DD" w:rsidRDefault="00E122DD">
      <w:pPr>
        <w:pStyle w:val="TOC1"/>
        <w:tabs>
          <w:tab w:val="left" w:pos="885"/>
        </w:tabs>
        <w:rPr>
          <w:rFonts w:asciiTheme="minorHAnsi" w:eastAsiaTheme="minorEastAsia" w:hAnsiTheme="minorHAnsi" w:cstheme="minorBidi"/>
          <w:b w:val="0"/>
          <w:spacing w:val="0"/>
          <w:sz w:val="22"/>
          <w:szCs w:val="22"/>
        </w:rPr>
      </w:pPr>
      <w:r>
        <w:t>1.</w:t>
      </w:r>
      <w:r>
        <w:rPr>
          <w:rFonts w:asciiTheme="minorHAnsi" w:eastAsiaTheme="minorEastAsia" w:hAnsiTheme="minorHAnsi" w:cstheme="minorBidi"/>
          <w:b w:val="0"/>
          <w:spacing w:val="0"/>
          <w:sz w:val="22"/>
          <w:szCs w:val="22"/>
        </w:rPr>
        <w:tab/>
      </w:r>
      <w:r>
        <w:t>What is the policy problem?</w:t>
      </w:r>
      <w:r>
        <w:tab/>
      </w:r>
      <w:r>
        <w:fldChar w:fldCharType="begin"/>
      </w:r>
      <w:r>
        <w:instrText xml:space="preserve"> PAGEREF _Toc137640960 \h </w:instrText>
      </w:r>
      <w:r>
        <w:fldChar w:fldCharType="separate"/>
      </w:r>
      <w:r w:rsidR="00066692">
        <w:t>4</w:t>
      </w:r>
      <w:r>
        <w:fldChar w:fldCharType="end"/>
      </w:r>
    </w:p>
    <w:p w14:paraId="63409A15" w14:textId="4178E3A9" w:rsidR="00E122DD" w:rsidRDefault="00E122DD">
      <w:pPr>
        <w:pStyle w:val="TOC2"/>
        <w:rPr>
          <w:rFonts w:asciiTheme="minorHAnsi" w:eastAsiaTheme="minorEastAsia" w:hAnsiTheme="minorHAnsi" w:cstheme="minorBidi"/>
          <w:spacing w:val="0"/>
          <w:sz w:val="22"/>
          <w:szCs w:val="22"/>
        </w:rPr>
      </w:pPr>
      <w:r>
        <w:t>The importance of spectrum</w:t>
      </w:r>
      <w:r>
        <w:tab/>
      </w:r>
      <w:r>
        <w:fldChar w:fldCharType="begin"/>
      </w:r>
      <w:r>
        <w:instrText xml:space="preserve"> PAGEREF _Toc137640961 \h </w:instrText>
      </w:r>
      <w:r>
        <w:fldChar w:fldCharType="separate"/>
      </w:r>
      <w:r w:rsidR="00066692">
        <w:t>4</w:t>
      </w:r>
      <w:r>
        <w:fldChar w:fldCharType="end"/>
      </w:r>
    </w:p>
    <w:p w14:paraId="406402B4" w14:textId="251E0637" w:rsidR="00E122DD" w:rsidRDefault="00E122DD">
      <w:pPr>
        <w:pStyle w:val="TOC2"/>
        <w:rPr>
          <w:rFonts w:asciiTheme="minorHAnsi" w:eastAsiaTheme="minorEastAsia" w:hAnsiTheme="minorHAnsi" w:cstheme="minorBidi"/>
          <w:spacing w:val="0"/>
          <w:sz w:val="22"/>
          <w:szCs w:val="22"/>
        </w:rPr>
      </w:pPr>
      <w:r>
        <w:t>Facilitating wireless broadband (WBB) services in remote areas</w:t>
      </w:r>
      <w:r>
        <w:tab/>
      </w:r>
      <w:r>
        <w:fldChar w:fldCharType="begin"/>
      </w:r>
      <w:r>
        <w:instrText xml:space="preserve"> PAGEREF _Toc137640962 \h </w:instrText>
      </w:r>
      <w:r>
        <w:fldChar w:fldCharType="separate"/>
      </w:r>
      <w:r w:rsidR="00066692">
        <w:t>4</w:t>
      </w:r>
      <w:r>
        <w:fldChar w:fldCharType="end"/>
      </w:r>
    </w:p>
    <w:p w14:paraId="57C87C85" w14:textId="572A358B" w:rsidR="00E122DD" w:rsidRDefault="00E122DD">
      <w:pPr>
        <w:pStyle w:val="TOC3"/>
        <w:rPr>
          <w:rFonts w:asciiTheme="minorHAnsi" w:eastAsiaTheme="minorEastAsia" w:hAnsiTheme="minorHAnsi" w:cstheme="minorBidi"/>
        </w:rPr>
      </w:pPr>
      <w:r>
        <w:t>Affected stakeholders - Demand for WBB</w:t>
      </w:r>
      <w:r>
        <w:tab/>
      </w:r>
      <w:r>
        <w:fldChar w:fldCharType="begin"/>
      </w:r>
      <w:r>
        <w:instrText xml:space="preserve"> PAGEREF _Toc137640963 \h </w:instrText>
      </w:r>
      <w:r>
        <w:fldChar w:fldCharType="separate"/>
      </w:r>
      <w:r w:rsidR="00066692">
        <w:t>4</w:t>
      </w:r>
      <w:r>
        <w:fldChar w:fldCharType="end"/>
      </w:r>
    </w:p>
    <w:p w14:paraId="415DDEF2" w14:textId="1E2BBCDA" w:rsidR="00E122DD" w:rsidRDefault="00E122DD">
      <w:pPr>
        <w:pStyle w:val="TOC3"/>
        <w:rPr>
          <w:rFonts w:asciiTheme="minorHAnsi" w:eastAsiaTheme="minorEastAsia" w:hAnsiTheme="minorHAnsi" w:cstheme="minorBidi"/>
        </w:rPr>
      </w:pPr>
      <w:r>
        <w:t>Current licensing options v area-wide licences (AWLs): Why AWLs are better tailored to meet expected demand for LA WBB</w:t>
      </w:r>
      <w:r>
        <w:tab/>
      </w:r>
      <w:r>
        <w:fldChar w:fldCharType="begin"/>
      </w:r>
      <w:r>
        <w:instrText xml:space="preserve"> PAGEREF _Toc137640964 \h </w:instrText>
      </w:r>
      <w:r>
        <w:fldChar w:fldCharType="separate"/>
      </w:r>
      <w:r w:rsidR="00066692">
        <w:t>5</w:t>
      </w:r>
      <w:r>
        <w:fldChar w:fldCharType="end"/>
      </w:r>
    </w:p>
    <w:p w14:paraId="493EC194" w14:textId="75F76BCC" w:rsidR="00E122DD" w:rsidRDefault="00E122DD">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Why is government action needed?</w:t>
      </w:r>
      <w:r>
        <w:tab/>
      </w:r>
      <w:r>
        <w:fldChar w:fldCharType="begin"/>
      </w:r>
      <w:r>
        <w:instrText xml:space="preserve"> PAGEREF _Toc137640965 \h </w:instrText>
      </w:r>
      <w:r>
        <w:fldChar w:fldCharType="separate"/>
      </w:r>
      <w:r w:rsidR="00066692">
        <w:t>7</w:t>
      </w:r>
      <w:r>
        <w:fldChar w:fldCharType="end"/>
      </w:r>
    </w:p>
    <w:p w14:paraId="0795388A" w14:textId="1039B778" w:rsidR="00E122DD" w:rsidRDefault="00E122DD">
      <w:pPr>
        <w:pStyle w:val="TOC2"/>
        <w:rPr>
          <w:rFonts w:asciiTheme="minorHAnsi" w:eastAsiaTheme="minorEastAsia" w:hAnsiTheme="minorHAnsi" w:cstheme="minorBidi"/>
          <w:spacing w:val="0"/>
          <w:sz w:val="22"/>
          <w:szCs w:val="22"/>
        </w:rPr>
      </w:pPr>
      <w:r>
        <w:t>Government objectives</w:t>
      </w:r>
      <w:r>
        <w:tab/>
      </w:r>
      <w:r>
        <w:fldChar w:fldCharType="begin"/>
      </w:r>
      <w:r>
        <w:instrText xml:space="preserve"> PAGEREF _Toc137640966 \h </w:instrText>
      </w:r>
      <w:r>
        <w:fldChar w:fldCharType="separate"/>
      </w:r>
      <w:r w:rsidR="00066692">
        <w:t>7</w:t>
      </w:r>
      <w:r>
        <w:fldChar w:fldCharType="end"/>
      </w:r>
    </w:p>
    <w:p w14:paraId="02A6BD95" w14:textId="682748DA" w:rsidR="00E122DD" w:rsidRDefault="00E122DD">
      <w:pPr>
        <w:pStyle w:val="TOC2"/>
        <w:rPr>
          <w:rFonts w:asciiTheme="minorHAnsi" w:eastAsiaTheme="minorEastAsia" w:hAnsiTheme="minorHAnsi" w:cstheme="minorBidi"/>
          <w:spacing w:val="0"/>
          <w:sz w:val="22"/>
          <w:szCs w:val="22"/>
        </w:rPr>
      </w:pPr>
      <w:r>
        <w:t>Constraints / limitations</w:t>
      </w:r>
      <w:r>
        <w:tab/>
      </w:r>
      <w:r>
        <w:fldChar w:fldCharType="begin"/>
      </w:r>
      <w:r>
        <w:instrText xml:space="preserve"> PAGEREF _Toc137640967 \h </w:instrText>
      </w:r>
      <w:r>
        <w:fldChar w:fldCharType="separate"/>
      </w:r>
      <w:r w:rsidR="00066692">
        <w:t>9</w:t>
      </w:r>
      <w:r>
        <w:fldChar w:fldCharType="end"/>
      </w:r>
    </w:p>
    <w:p w14:paraId="51C3C07D" w14:textId="3ECD3BFB" w:rsidR="00E122DD" w:rsidRDefault="00E122DD">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What policy options have been considered?</w:t>
      </w:r>
      <w:r>
        <w:tab/>
      </w:r>
      <w:r>
        <w:fldChar w:fldCharType="begin"/>
      </w:r>
      <w:r>
        <w:instrText xml:space="preserve"> PAGEREF _Toc137640968 \h </w:instrText>
      </w:r>
      <w:r>
        <w:fldChar w:fldCharType="separate"/>
      </w:r>
      <w:r w:rsidR="00066692">
        <w:t>10</w:t>
      </w:r>
      <w:r>
        <w:fldChar w:fldCharType="end"/>
      </w:r>
    </w:p>
    <w:p w14:paraId="5DBC6090" w14:textId="5191736E" w:rsidR="00E122DD" w:rsidRDefault="00E122DD">
      <w:pPr>
        <w:pStyle w:val="TOC2"/>
        <w:rPr>
          <w:rFonts w:asciiTheme="minorHAnsi" w:eastAsiaTheme="minorEastAsia" w:hAnsiTheme="minorHAnsi" w:cstheme="minorBidi"/>
          <w:spacing w:val="0"/>
          <w:sz w:val="22"/>
          <w:szCs w:val="22"/>
        </w:rPr>
      </w:pPr>
      <w:r>
        <w:t>Option 1 - facilitate LA WBB via existing licence types (status quo)</w:t>
      </w:r>
      <w:r>
        <w:tab/>
      </w:r>
      <w:r>
        <w:fldChar w:fldCharType="begin"/>
      </w:r>
      <w:r>
        <w:instrText xml:space="preserve"> PAGEREF _Toc137640969 \h </w:instrText>
      </w:r>
      <w:r>
        <w:fldChar w:fldCharType="separate"/>
      </w:r>
      <w:r w:rsidR="00066692">
        <w:t>10</w:t>
      </w:r>
      <w:r>
        <w:fldChar w:fldCharType="end"/>
      </w:r>
    </w:p>
    <w:p w14:paraId="1ED16D66" w14:textId="0B15846E" w:rsidR="00E122DD" w:rsidRDefault="00E122DD">
      <w:pPr>
        <w:pStyle w:val="TOC2"/>
        <w:rPr>
          <w:rFonts w:asciiTheme="minorHAnsi" w:eastAsiaTheme="minorEastAsia" w:hAnsiTheme="minorHAnsi" w:cstheme="minorBidi"/>
          <w:spacing w:val="0"/>
          <w:sz w:val="22"/>
          <w:szCs w:val="22"/>
        </w:rPr>
      </w:pPr>
      <w:r>
        <w:t>Option 2 – facilitate LA WBB on a ‘per licence’ basis (alternative option)</w:t>
      </w:r>
      <w:r>
        <w:tab/>
      </w:r>
      <w:r>
        <w:fldChar w:fldCharType="begin"/>
      </w:r>
      <w:r>
        <w:instrText xml:space="preserve"> PAGEREF _Toc137640970 \h </w:instrText>
      </w:r>
      <w:r>
        <w:fldChar w:fldCharType="separate"/>
      </w:r>
      <w:r w:rsidR="00066692">
        <w:t>10</w:t>
      </w:r>
      <w:r>
        <w:fldChar w:fldCharType="end"/>
      </w:r>
    </w:p>
    <w:p w14:paraId="635EA9E9" w14:textId="5D99DF62" w:rsidR="00E122DD" w:rsidRDefault="00E122DD">
      <w:pPr>
        <w:pStyle w:val="TOC2"/>
        <w:rPr>
          <w:rFonts w:asciiTheme="minorHAnsi" w:eastAsiaTheme="minorEastAsia" w:hAnsiTheme="minorHAnsi" w:cstheme="minorBidi"/>
          <w:spacing w:val="0"/>
          <w:sz w:val="22"/>
          <w:szCs w:val="22"/>
        </w:rPr>
      </w:pPr>
      <w:r>
        <w:t>Option 3 - AWL is optimised for LA WBB (preferred option)</w:t>
      </w:r>
      <w:r>
        <w:tab/>
      </w:r>
      <w:r>
        <w:fldChar w:fldCharType="begin"/>
      </w:r>
      <w:r>
        <w:instrText xml:space="preserve"> PAGEREF _Toc137640971 \h </w:instrText>
      </w:r>
      <w:r>
        <w:fldChar w:fldCharType="separate"/>
      </w:r>
      <w:r w:rsidR="00066692">
        <w:t>11</w:t>
      </w:r>
      <w:r>
        <w:fldChar w:fldCharType="end"/>
      </w:r>
    </w:p>
    <w:p w14:paraId="41A930E7" w14:textId="033AF8FA" w:rsidR="00E122DD" w:rsidRDefault="00E122DD">
      <w:pPr>
        <w:pStyle w:val="TOC3"/>
        <w:rPr>
          <w:rFonts w:asciiTheme="minorHAnsi" w:eastAsiaTheme="minorEastAsia" w:hAnsiTheme="minorHAnsi" w:cstheme="minorBidi"/>
        </w:rPr>
      </w:pPr>
      <w:r>
        <w:t>What is an area-wide licence?</w:t>
      </w:r>
      <w:r>
        <w:tab/>
      </w:r>
      <w:r>
        <w:fldChar w:fldCharType="begin"/>
      </w:r>
      <w:r>
        <w:instrText xml:space="preserve"> PAGEREF _Toc137640972 \h </w:instrText>
      </w:r>
      <w:r>
        <w:fldChar w:fldCharType="separate"/>
      </w:r>
      <w:r w:rsidR="00066692">
        <w:t>11</w:t>
      </w:r>
      <w:r>
        <w:fldChar w:fldCharType="end"/>
      </w:r>
    </w:p>
    <w:p w14:paraId="12C5DEEB" w14:textId="083A3790" w:rsidR="00E122DD" w:rsidRDefault="00E122DD">
      <w:pPr>
        <w:pStyle w:val="TOC1"/>
        <w:rPr>
          <w:rFonts w:asciiTheme="minorHAnsi" w:eastAsiaTheme="minorEastAsia" w:hAnsiTheme="minorHAnsi" w:cstheme="minorBidi"/>
          <w:b w:val="0"/>
          <w:spacing w:val="0"/>
          <w:sz w:val="22"/>
          <w:szCs w:val="22"/>
        </w:rPr>
      </w:pPr>
      <w:r>
        <w:t>4. What are the expected benefits of the options?</w:t>
      </w:r>
      <w:r>
        <w:tab/>
      </w:r>
      <w:r>
        <w:fldChar w:fldCharType="begin"/>
      </w:r>
      <w:r>
        <w:instrText xml:space="preserve"> PAGEREF _Toc137640973 \h </w:instrText>
      </w:r>
      <w:r>
        <w:fldChar w:fldCharType="separate"/>
      </w:r>
      <w:r w:rsidR="00066692">
        <w:t>13</w:t>
      </w:r>
      <w:r>
        <w:fldChar w:fldCharType="end"/>
      </w:r>
    </w:p>
    <w:p w14:paraId="4C059E69" w14:textId="0921F66D" w:rsidR="00E122DD" w:rsidRDefault="00E122DD">
      <w:pPr>
        <w:pStyle w:val="TOC2"/>
        <w:rPr>
          <w:rFonts w:asciiTheme="minorHAnsi" w:eastAsiaTheme="minorEastAsia" w:hAnsiTheme="minorHAnsi" w:cstheme="minorBidi"/>
          <w:spacing w:val="0"/>
          <w:sz w:val="22"/>
          <w:szCs w:val="22"/>
        </w:rPr>
      </w:pPr>
      <w:r>
        <w:t>Option 1 - facilitate LA WBB via existing licence types (status quo)</w:t>
      </w:r>
      <w:r>
        <w:tab/>
      </w:r>
      <w:r>
        <w:fldChar w:fldCharType="begin"/>
      </w:r>
      <w:r>
        <w:instrText xml:space="preserve"> PAGEREF _Toc137640974 \h </w:instrText>
      </w:r>
      <w:r>
        <w:fldChar w:fldCharType="separate"/>
      </w:r>
      <w:r w:rsidR="00066692">
        <w:t>13</w:t>
      </w:r>
      <w:r>
        <w:fldChar w:fldCharType="end"/>
      </w:r>
    </w:p>
    <w:p w14:paraId="0E9AEF19" w14:textId="0A516B90" w:rsidR="00E122DD" w:rsidRDefault="00E122DD">
      <w:pPr>
        <w:pStyle w:val="TOC2"/>
        <w:rPr>
          <w:rFonts w:asciiTheme="minorHAnsi" w:eastAsiaTheme="minorEastAsia" w:hAnsiTheme="minorHAnsi" w:cstheme="minorBidi"/>
          <w:spacing w:val="0"/>
          <w:sz w:val="22"/>
          <w:szCs w:val="22"/>
        </w:rPr>
      </w:pPr>
      <w:r>
        <w:t>Option 2 - facilitate LA WBB on a ‘per licence’ basis (alternative option)</w:t>
      </w:r>
      <w:r>
        <w:tab/>
      </w:r>
      <w:r>
        <w:fldChar w:fldCharType="begin"/>
      </w:r>
      <w:r>
        <w:instrText xml:space="preserve"> PAGEREF _Toc137640975 \h </w:instrText>
      </w:r>
      <w:r>
        <w:fldChar w:fldCharType="separate"/>
      </w:r>
      <w:r w:rsidR="00066692">
        <w:t>14</w:t>
      </w:r>
      <w:r>
        <w:fldChar w:fldCharType="end"/>
      </w:r>
    </w:p>
    <w:p w14:paraId="68D35A76" w14:textId="1984D481" w:rsidR="00E122DD" w:rsidRDefault="00E122DD">
      <w:pPr>
        <w:pStyle w:val="TOC2"/>
        <w:rPr>
          <w:rFonts w:asciiTheme="minorHAnsi" w:eastAsiaTheme="minorEastAsia" w:hAnsiTheme="minorHAnsi" w:cstheme="minorBidi"/>
          <w:spacing w:val="0"/>
          <w:sz w:val="22"/>
          <w:szCs w:val="22"/>
        </w:rPr>
      </w:pPr>
      <w:r>
        <w:t>Option 3 - AWL is optimised for LA WBB</w:t>
      </w:r>
      <w:r>
        <w:tab/>
      </w:r>
      <w:r>
        <w:fldChar w:fldCharType="begin"/>
      </w:r>
      <w:r>
        <w:instrText xml:space="preserve"> PAGEREF _Toc137640976 \h </w:instrText>
      </w:r>
      <w:r>
        <w:fldChar w:fldCharType="separate"/>
      </w:r>
      <w:r w:rsidR="00066692">
        <w:t>14</w:t>
      </w:r>
      <w:r>
        <w:fldChar w:fldCharType="end"/>
      </w:r>
    </w:p>
    <w:p w14:paraId="0F424C8B" w14:textId="7E1FA73D" w:rsidR="00E122DD" w:rsidRDefault="00E122DD">
      <w:pPr>
        <w:pStyle w:val="TOC1"/>
        <w:rPr>
          <w:rFonts w:asciiTheme="minorHAnsi" w:eastAsiaTheme="minorEastAsia" w:hAnsiTheme="minorHAnsi" w:cstheme="minorBidi"/>
          <w:b w:val="0"/>
          <w:spacing w:val="0"/>
          <w:sz w:val="22"/>
          <w:szCs w:val="22"/>
        </w:rPr>
      </w:pPr>
      <w:r>
        <w:t>5. Who did you consult and how did you incorporate their feedback?</w:t>
      </w:r>
      <w:r>
        <w:tab/>
      </w:r>
      <w:r>
        <w:fldChar w:fldCharType="begin"/>
      </w:r>
      <w:r>
        <w:instrText xml:space="preserve"> PAGEREF _Toc137640977 \h </w:instrText>
      </w:r>
      <w:r>
        <w:fldChar w:fldCharType="separate"/>
      </w:r>
      <w:r w:rsidR="00066692">
        <w:t>16</w:t>
      </w:r>
      <w:r>
        <w:fldChar w:fldCharType="end"/>
      </w:r>
    </w:p>
    <w:p w14:paraId="7D7F24A5" w14:textId="37BA4A85" w:rsidR="00E122DD" w:rsidRDefault="00E122DD">
      <w:pPr>
        <w:pStyle w:val="TOC2"/>
        <w:rPr>
          <w:rFonts w:asciiTheme="minorHAnsi" w:eastAsiaTheme="minorEastAsia" w:hAnsiTheme="minorHAnsi" w:cstheme="minorBidi"/>
          <w:spacing w:val="0"/>
          <w:sz w:val="22"/>
          <w:szCs w:val="22"/>
        </w:rPr>
      </w:pPr>
      <w:r>
        <w:t>Technical Liaison Group (TLG) consultation</w:t>
      </w:r>
      <w:r>
        <w:tab/>
      </w:r>
      <w:r>
        <w:fldChar w:fldCharType="begin"/>
      </w:r>
      <w:r>
        <w:instrText xml:space="preserve"> PAGEREF _Toc137640978 \h </w:instrText>
      </w:r>
      <w:r>
        <w:fldChar w:fldCharType="separate"/>
      </w:r>
      <w:r w:rsidR="00066692">
        <w:t>16</w:t>
      </w:r>
      <w:r>
        <w:fldChar w:fldCharType="end"/>
      </w:r>
    </w:p>
    <w:p w14:paraId="11ADB7F8" w14:textId="504D17D6" w:rsidR="00E122DD" w:rsidRDefault="00E122DD">
      <w:pPr>
        <w:pStyle w:val="TOC2"/>
        <w:rPr>
          <w:rFonts w:asciiTheme="minorHAnsi" w:eastAsiaTheme="minorEastAsia" w:hAnsiTheme="minorHAnsi" w:cstheme="minorBidi"/>
          <w:spacing w:val="0"/>
          <w:sz w:val="22"/>
          <w:szCs w:val="22"/>
        </w:rPr>
      </w:pPr>
      <w:r>
        <w:t>Consultation</w:t>
      </w:r>
      <w:r>
        <w:tab/>
      </w:r>
      <w:r>
        <w:fldChar w:fldCharType="begin"/>
      </w:r>
      <w:r>
        <w:instrText xml:space="preserve"> PAGEREF _Toc137640979 \h </w:instrText>
      </w:r>
      <w:r>
        <w:fldChar w:fldCharType="separate"/>
      </w:r>
      <w:r w:rsidR="00066692">
        <w:t>16</w:t>
      </w:r>
      <w:r>
        <w:fldChar w:fldCharType="end"/>
      </w:r>
    </w:p>
    <w:p w14:paraId="50775978" w14:textId="4645AED7" w:rsidR="00E122DD" w:rsidRDefault="00E122DD">
      <w:pPr>
        <w:pStyle w:val="TOC3"/>
        <w:rPr>
          <w:rFonts w:asciiTheme="minorHAnsi" w:eastAsiaTheme="minorEastAsia" w:hAnsiTheme="minorHAnsi" w:cstheme="minorBidi"/>
        </w:rPr>
      </w:pPr>
      <w:r>
        <w:t>The technical framework</w:t>
      </w:r>
      <w:r>
        <w:tab/>
      </w:r>
      <w:r>
        <w:fldChar w:fldCharType="begin"/>
      </w:r>
      <w:r>
        <w:instrText xml:space="preserve"> PAGEREF _Toc137640980 \h </w:instrText>
      </w:r>
      <w:r>
        <w:fldChar w:fldCharType="separate"/>
      </w:r>
      <w:r w:rsidR="00066692">
        <w:t>17</w:t>
      </w:r>
      <w:r>
        <w:fldChar w:fldCharType="end"/>
      </w:r>
    </w:p>
    <w:p w14:paraId="0DB0292A" w14:textId="1C0B1789" w:rsidR="00E122DD" w:rsidRDefault="00E122DD">
      <w:pPr>
        <w:pStyle w:val="TOC3"/>
        <w:rPr>
          <w:rFonts w:asciiTheme="minorHAnsi" w:eastAsiaTheme="minorEastAsia" w:hAnsiTheme="minorHAnsi" w:cstheme="minorBidi"/>
        </w:rPr>
      </w:pPr>
      <w:r>
        <w:t>Radio altimeter concerns</w:t>
      </w:r>
      <w:r>
        <w:tab/>
      </w:r>
      <w:r>
        <w:fldChar w:fldCharType="begin"/>
      </w:r>
      <w:r>
        <w:instrText xml:space="preserve"> PAGEREF _Toc137640981 \h </w:instrText>
      </w:r>
      <w:r>
        <w:fldChar w:fldCharType="separate"/>
      </w:r>
      <w:r w:rsidR="00066692">
        <w:t>18</w:t>
      </w:r>
      <w:r>
        <w:fldChar w:fldCharType="end"/>
      </w:r>
    </w:p>
    <w:p w14:paraId="3A27D832" w14:textId="454CA185" w:rsidR="00E122DD" w:rsidRDefault="00E122DD">
      <w:pPr>
        <w:pStyle w:val="TOC3"/>
        <w:rPr>
          <w:rFonts w:asciiTheme="minorHAnsi" w:eastAsiaTheme="minorEastAsia" w:hAnsiTheme="minorHAnsi" w:cstheme="minorBidi"/>
        </w:rPr>
      </w:pPr>
      <w:r>
        <w:t>The allocation process</w:t>
      </w:r>
      <w:r>
        <w:tab/>
      </w:r>
      <w:r>
        <w:fldChar w:fldCharType="begin"/>
      </w:r>
      <w:r>
        <w:instrText xml:space="preserve"> PAGEREF _Toc137640982 \h </w:instrText>
      </w:r>
      <w:r>
        <w:fldChar w:fldCharType="separate"/>
      </w:r>
      <w:r w:rsidR="00066692">
        <w:t>19</w:t>
      </w:r>
      <w:r>
        <w:fldChar w:fldCharType="end"/>
      </w:r>
    </w:p>
    <w:p w14:paraId="259DC8E3" w14:textId="6FE9533C" w:rsidR="00E122DD" w:rsidRDefault="00E122DD">
      <w:pPr>
        <w:pStyle w:val="TOC3"/>
        <w:rPr>
          <w:rFonts w:asciiTheme="minorHAnsi" w:eastAsiaTheme="minorEastAsia" w:hAnsiTheme="minorHAnsi" w:cstheme="minorBidi"/>
        </w:rPr>
      </w:pPr>
      <w:r>
        <w:t>Pricing</w:t>
      </w:r>
      <w:r>
        <w:tab/>
      </w:r>
      <w:r>
        <w:fldChar w:fldCharType="begin"/>
      </w:r>
      <w:r>
        <w:instrText xml:space="preserve"> PAGEREF _Toc137640983 \h </w:instrText>
      </w:r>
      <w:r>
        <w:fldChar w:fldCharType="separate"/>
      </w:r>
      <w:r w:rsidR="00066692">
        <w:t>20</w:t>
      </w:r>
      <w:r>
        <w:fldChar w:fldCharType="end"/>
      </w:r>
    </w:p>
    <w:p w14:paraId="31307453" w14:textId="3FB0AB5B" w:rsidR="00E122DD" w:rsidRDefault="00E122DD">
      <w:pPr>
        <w:pStyle w:val="TOC1"/>
        <w:rPr>
          <w:rFonts w:asciiTheme="minorHAnsi" w:eastAsiaTheme="minorEastAsia" w:hAnsiTheme="minorHAnsi" w:cstheme="minorBidi"/>
          <w:b w:val="0"/>
          <w:spacing w:val="0"/>
          <w:sz w:val="22"/>
          <w:szCs w:val="22"/>
        </w:rPr>
      </w:pPr>
      <w:r>
        <w:lastRenderedPageBreak/>
        <w:t>6. What is the best option?</w:t>
      </w:r>
      <w:r>
        <w:tab/>
      </w:r>
      <w:r>
        <w:fldChar w:fldCharType="begin"/>
      </w:r>
      <w:r>
        <w:instrText xml:space="preserve"> PAGEREF _Toc137640984 \h </w:instrText>
      </w:r>
      <w:r>
        <w:fldChar w:fldCharType="separate"/>
      </w:r>
      <w:r w:rsidR="00066692">
        <w:t>21</w:t>
      </w:r>
      <w:r>
        <w:fldChar w:fldCharType="end"/>
      </w:r>
    </w:p>
    <w:p w14:paraId="2AEB4F0C" w14:textId="6698FED2" w:rsidR="00E122DD" w:rsidRDefault="00E122DD">
      <w:pPr>
        <w:pStyle w:val="TOC1"/>
        <w:rPr>
          <w:rFonts w:asciiTheme="minorHAnsi" w:eastAsiaTheme="minorEastAsia" w:hAnsiTheme="minorHAnsi" w:cstheme="minorBidi"/>
          <w:b w:val="0"/>
          <w:spacing w:val="0"/>
          <w:sz w:val="22"/>
          <w:szCs w:val="22"/>
        </w:rPr>
      </w:pPr>
      <w:r>
        <w:t>7. How will you implement and evaluate your chosen option?</w:t>
      </w:r>
      <w:r>
        <w:tab/>
      </w:r>
      <w:r>
        <w:fldChar w:fldCharType="begin"/>
      </w:r>
      <w:r>
        <w:instrText xml:space="preserve"> PAGEREF _Toc137640985 \h </w:instrText>
      </w:r>
      <w:r>
        <w:fldChar w:fldCharType="separate"/>
      </w:r>
      <w:r w:rsidR="00066692">
        <w:t>22</w:t>
      </w:r>
      <w:r>
        <w:fldChar w:fldCharType="end"/>
      </w:r>
    </w:p>
    <w:p w14:paraId="2044505C" w14:textId="14AEDCA0" w:rsidR="00E122DD" w:rsidRDefault="00E122DD">
      <w:pPr>
        <w:pStyle w:val="TOC1"/>
        <w:rPr>
          <w:rFonts w:asciiTheme="minorHAnsi" w:eastAsiaTheme="minorEastAsia" w:hAnsiTheme="minorHAnsi" w:cstheme="minorBidi"/>
          <w:b w:val="0"/>
          <w:spacing w:val="0"/>
          <w:sz w:val="22"/>
          <w:szCs w:val="22"/>
        </w:rPr>
      </w:pPr>
      <w:r>
        <w:t>Appendix A – Estimated Cost and Benefits</w:t>
      </w:r>
      <w:r>
        <w:tab/>
      </w:r>
      <w:r>
        <w:fldChar w:fldCharType="begin"/>
      </w:r>
      <w:r>
        <w:instrText xml:space="preserve"> PAGEREF _Toc137640986 \h </w:instrText>
      </w:r>
      <w:r>
        <w:fldChar w:fldCharType="separate"/>
      </w:r>
      <w:r w:rsidR="00066692">
        <w:t>23</w:t>
      </w:r>
      <w:r>
        <w:fldChar w:fldCharType="end"/>
      </w:r>
    </w:p>
    <w:p w14:paraId="77CB9A75" w14:textId="640C2CE8" w:rsidR="00E122DD" w:rsidRDefault="00E122DD">
      <w:pPr>
        <w:pStyle w:val="TOC2"/>
        <w:rPr>
          <w:rFonts w:asciiTheme="minorHAnsi" w:eastAsiaTheme="minorEastAsia" w:hAnsiTheme="minorHAnsi" w:cstheme="minorBidi"/>
          <w:spacing w:val="0"/>
          <w:sz w:val="22"/>
          <w:szCs w:val="22"/>
        </w:rPr>
      </w:pPr>
      <w:r>
        <w:t>Option 1 - facilitate LA WBB via currently existing licence types (status quo)</w:t>
      </w:r>
      <w:r>
        <w:tab/>
      </w:r>
      <w:r>
        <w:fldChar w:fldCharType="begin"/>
      </w:r>
      <w:r>
        <w:instrText xml:space="preserve"> PAGEREF _Toc137640987 \h </w:instrText>
      </w:r>
      <w:r>
        <w:fldChar w:fldCharType="separate"/>
      </w:r>
      <w:r w:rsidR="00066692">
        <w:t>23</w:t>
      </w:r>
      <w:r>
        <w:fldChar w:fldCharType="end"/>
      </w:r>
    </w:p>
    <w:p w14:paraId="58F16DD1" w14:textId="6E51C119" w:rsidR="00E122DD" w:rsidRDefault="00E122DD">
      <w:pPr>
        <w:pStyle w:val="TOC2"/>
        <w:rPr>
          <w:rFonts w:asciiTheme="minorHAnsi" w:eastAsiaTheme="minorEastAsia" w:hAnsiTheme="minorHAnsi" w:cstheme="minorBidi"/>
          <w:spacing w:val="0"/>
          <w:sz w:val="22"/>
          <w:szCs w:val="22"/>
        </w:rPr>
      </w:pPr>
      <w:r>
        <w:t>Option 2 - facilitate LA WBB on a ‘per licence’ basis (alternative option)</w:t>
      </w:r>
      <w:r>
        <w:tab/>
      </w:r>
      <w:r>
        <w:fldChar w:fldCharType="begin"/>
      </w:r>
      <w:r>
        <w:instrText xml:space="preserve"> PAGEREF _Toc137640988 \h </w:instrText>
      </w:r>
      <w:r>
        <w:fldChar w:fldCharType="separate"/>
      </w:r>
      <w:r w:rsidR="00066692">
        <w:t>25</w:t>
      </w:r>
      <w:r>
        <w:fldChar w:fldCharType="end"/>
      </w:r>
    </w:p>
    <w:p w14:paraId="410ED9BF" w14:textId="64A4F4BB" w:rsidR="00E122DD" w:rsidRDefault="00E122DD">
      <w:pPr>
        <w:pStyle w:val="TOC2"/>
        <w:rPr>
          <w:rFonts w:asciiTheme="minorHAnsi" w:eastAsiaTheme="minorEastAsia" w:hAnsiTheme="minorHAnsi" w:cstheme="minorBidi"/>
          <w:spacing w:val="0"/>
          <w:sz w:val="22"/>
          <w:szCs w:val="22"/>
        </w:rPr>
      </w:pPr>
      <w:r>
        <w:t>Option 3 - AWL is optimised for LA WBB</w:t>
      </w:r>
      <w:r>
        <w:tab/>
      </w:r>
      <w:r>
        <w:fldChar w:fldCharType="begin"/>
      </w:r>
      <w:r>
        <w:instrText xml:space="preserve"> PAGEREF _Toc137640989 \h </w:instrText>
      </w:r>
      <w:r>
        <w:fldChar w:fldCharType="separate"/>
      </w:r>
      <w:r w:rsidR="00066692">
        <w:t>26</w:t>
      </w:r>
      <w:r>
        <w:fldChar w:fldCharType="end"/>
      </w:r>
    </w:p>
    <w:p w14:paraId="71C440A9" w14:textId="66E150C7" w:rsidR="00E122DD" w:rsidRDefault="00E122DD">
      <w:pPr>
        <w:pStyle w:val="TOC1"/>
        <w:rPr>
          <w:rFonts w:asciiTheme="minorHAnsi" w:eastAsiaTheme="minorEastAsia" w:hAnsiTheme="minorHAnsi" w:cstheme="minorBidi"/>
          <w:b w:val="0"/>
          <w:spacing w:val="0"/>
          <w:sz w:val="22"/>
          <w:szCs w:val="22"/>
        </w:rPr>
      </w:pPr>
      <w:r>
        <w:t>Appendix B – Geographical area definitions</w:t>
      </w:r>
      <w:r>
        <w:tab/>
      </w:r>
      <w:r>
        <w:fldChar w:fldCharType="begin"/>
      </w:r>
      <w:r>
        <w:instrText xml:space="preserve"> PAGEREF _Toc137640990 \h </w:instrText>
      </w:r>
      <w:r>
        <w:fldChar w:fldCharType="separate"/>
      </w:r>
      <w:r w:rsidR="00066692">
        <w:t>27</w:t>
      </w:r>
      <w:r>
        <w:fldChar w:fldCharType="end"/>
      </w:r>
    </w:p>
    <w:p w14:paraId="7FD0334C" w14:textId="3D803937" w:rsidR="00D522F0" w:rsidRPr="000D76E0" w:rsidRDefault="00FC7530" w:rsidP="00FC7530">
      <w:pPr>
        <w:rPr>
          <w:rFonts w:cs="Arial"/>
        </w:rPr>
        <w:sectPr w:rsidR="00D522F0" w:rsidRPr="000D76E0" w:rsidSect="00DF4F2E">
          <w:headerReference w:type="even" r:id="rId21"/>
          <w:headerReference w:type="default" r:id="rId22"/>
          <w:footerReference w:type="even" r:id="rId23"/>
          <w:footerReference w:type="default" r:id="rId24"/>
          <w:footerReference w:type="first" r:id="rId25"/>
          <w:pgSz w:w="11906" w:h="16838" w:code="9"/>
          <w:pgMar w:top="3646" w:right="3101" w:bottom="1134" w:left="1134" w:header="709" w:footer="119" w:gutter="0"/>
          <w:cols w:space="708"/>
          <w:titlePg/>
          <w:docGrid w:linePitch="360"/>
        </w:sectPr>
      </w:pPr>
      <w:r>
        <w:rPr>
          <w:rFonts w:cs="Arial"/>
          <w:noProof/>
          <w:spacing w:val="-14"/>
          <w:sz w:val="28"/>
        </w:rPr>
        <w:fldChar w:fldCharType="end"/>
      </w:r>
      <w:bookmarkStart w:id="0" w:name="_GoBack"/>
      <w:bookmarkEnd w:id="0"/>
    </w:p>
    <w:p w14:paraId="50072146" w14:textId="11CEEC48" w:rsidR="003C7CC4" w:rsidRDefault="004307C1" w:rsidP="003C7CC4">
      <w:pPr>
        <w:pStyle w:val="Heading1"/>
      </w:pPr>
      <w:bookmarkStart w:id="1" w:name="_Toc32833676"/>
      <w:bookmarkStart w:id="2" w:name="_Toc32833733"/>
      <w:bookmarkStart w:id="3" w:name="_Toc32833806"/>
      <w:bookmarkStart w:id="4" w:name="_Toc33176358"/>
      <w:bookmarkStart w:id="5" w:name="_Toc137640958"/>
      <w:bookmarkStart w:id="6" w:name="_Hlk29457115"/>
      <w:bookmarkStart w:id="7" w:name="_Toc298924672"/>
      <w:bookmarkStart w:id="8" w:name="_Toc300909555"/>
      <w:bookmarkStart w:id="9" w:name="_Toc348105636"/>
      <w:r>
        <w:lastRenderedPageBreak/>
        <w:t>Executive Summary</w:t>
      </w:r>
      <w:bookmarkEnd w:id="1"/>
      <w:bookmarkEnd w:id="2"/>
      <w:bookmarkEnd w:id="3"/>
      <w:bookmarkEnd w:id="4"/>
      <w:bookmarkEnd w:id="5"/>
    </w:p>
    <w:p w14:paraId="2B48A3BA" w14:textId="7400D259" w:rsidR="006836AE" w:rsidRDefault="009548F7" w:rsidP="006836AE">
      <w:pPr>
        <w:pStyle w:val="Paragraph"/>
      </w:pPr>
      <w:r>
        <w:t xml:space="preserve">There is </w:t>
      </w:r>
      <w:r w:rsidR="00A668A8" w:rsidRPr="00A668A8">
        <w:t xml:space="preserve">considerable </w:t>
      </w:r>
      <w:r>
        <w:t xml:space="preserve">global </w:t>
      </w:r>
      <w:r w:rsidR="00A668A8" w:rsidRPr="00A668A8">
        <w:t xml:space="preserve">interest </w:t>
      </w:r>
      <w:r>
        <w:t>in mid-band spectrum</w:t>
      </w:r>
      <w:r w:rsidR="007C3F8B">
        <w:rPr>
          <w:rStyle w:val="FootnoteReference"/>
        </w:rPr>
        <w:footnoteReference w:id="2"/>
      </w:r>
      <w:r>
        <w:t xml:space="preserve"> due to its </w:t>
      </w:r>
      <w:r w:rsidR="00A668A8" w:rsidRPr="00A668A8">
        <w:t>suitab</w:t>
      </w:r>
      <w:r>
        <w:t>ility</w:t>
      </w:r>
      <w:r w:rsidR="00A668A8" w:rsidRPr="00A668A8">
        <w:t xml:space="preserve"> for a range of applications, including fixed satellite services and wireless broadband (WBB) such as 5G.</w:t>
      </w:r>
      <w:r w:rsidR="00B3046E">
        <w:t xml:space="preserve"> </w:t>
      </w:r>
      <w:r w:rsidR="006836AE">
        <w:t>WBB use-cases include</w:t>
      </w:r>
      <w:r w:rsidR="006836AE" w:rsidRPr="001A2F6E">
        <w:t xml:space="preserve"> wireless internet service providers, </w:t>
      </w:r>
      <w:r w:rsidR="00DC075F">
        <w:t xml:space="preserve">public </w:t>
      </w:r>
      <w:r w:rsidR="006836AE">
        <w:t>m</w:t>
      </w:r>
      <w:r w:rsidR="006836AE" w:rsidRPr="004C4B64">
        <w:t>obile service</w:t>
      </w:r>
      <w:r w:rsidR="00DC075F">
        <w:t>s</w:t>
      </w:r>
      <w:r w:rsidR="00597C6D">
        <w:t>, including</w:t>
      </w:r>
      <w:r w:rsidR="006836AE" w:rsidRPr="004C4B64">
        <w:t xml:space="preserve"> </w:t>
      </w:r>
      <w:r w:rsidR="00597C6D">
        <w:t xml:space="preserve">to address </w:t>
      </w:r>
      <w:r w:rsidR="006836AE" w:rsidRPr="004C4B64">
        <w:t>“mobile blackspots”</w:t>
      </w:r>
      <w:r w:rsidR="006836AE">
        <w:t>, and</w:t>
      </w:r>
      <w:r w:rsidR="006836AE" w:rsidRPr="001A2F6E">
        <w:t xml:space="preserve"> </w:t>
      </w:r>
      <w:r w:rsidR="00DC075F">
        <w:t xml:space="preserve">localised </w:t>
      </w:r>
      <w:r w:rsidR="006836AE" w:rsidRPr="001A2F6E">
        <w:t>enterprise and campus-style private networks, such as for mine sites or industrial uses</w:t>
      </w:r>
      <w:r w:rsidR="006836AE">
        <w:t>.</w:t>
      </w:r>
    </w:p>
    <w:p w14:paraId="165C5FF1" w14:textId="67B20E07" w:rsidR="00150D2B" w:rsidRPr="008F0DA3" w:rsidDel="00F26F04" w:rsidRDefault="00150D2B" w:rsidP="00150D2B">
      <w:r>
        <w:t>We anticipate the pressure on spectrum needed to support the ever-increasing growth in mobile and fixed WBB applications will continue in the short and medium term. In planning for future spectrum demand</w:t>
      </w:r>
      <w:r w:rsidR="00694517">
        <w:t xml:space="preserve"> in accordance with our responsibilities </w:t>
      </w:r>
      <w:r w:rsidR="00EF5D80">
        <w:t xml:space="preserve">under the </w:t>
      </w:r>
      <w:r w:rsidR="00EF5D80" w:rsidRPr="1A2C9882">
        <w:rPr>
          <w:i/>
          <w:iCs/>
        </w:rPr>
        <w:t>Radiocommunications Act 1992</w:t>
      </w:r>
      <w:r>
        <w:t xml:space="preserve">, we recognise three broad categories of WBB use-cases and note that network deployments may reflect combinations of these categories. </w:t>
      </w:r>
    </w:p>
    <w:p w14:paraId="70D96076" w14:textId="33E290E0" w:rsidR="00150D2B" w:rsidRPr="008F0DA3" w:rsidRDefault="00150D2B" w:rsidP="00150D2B">
      <w:r w:rsidRPr="008F0DA3">
        <w:t>The first category is wide-area subscriber networks, served by ubiquitous base stations operated by one or more service providers – this category could be considered ‘conventional’</w:t>
      </w:r>
      <w:r w:rsidR="00C21822">
        <w:t xml:space="preserve"> </w:t>
      </w:r>
      <w:r w:rsidRPr="008F0DA3">
        <w:t>telecommunication</w:t>
      </w:r>
      <w:r w:rsidR="00CC21AD">
        <w:t>s</w:t>
      </w:r>
      <w:r w:rsidRPr="008F0DA3">
        <w:t xml:space="preserve"> carrier </w:t>
      </w:r>
      <w:r w:rsidR="00043496">
        <w:t xml:space="preserve">public network </w:t>
      </w:r>
      <w:r w:rsidRPr="008F0DA3">
        <w:t xml:space="preserve">fixed or mobile broadband operations. </w:t>
      </w:r>
    </w:p>
    <w:p w14:paraId="5E568CBF" w14:textId="77777777" w:rsidR="00150D2B" w:rsidRPr="008F0DA3" w:rsidRDefault="00150D2B" w:rsidP="00150D2B">
      <w:r w:rsidRPr="008F0DA3">
        <w:t xml:space="preserve">The second category reflects more limited market subscriber networks over smaller, localised areas, including, but not limited to, fixed </w:t>
      </w:r>
      <w:r>
        <w:t>WBB</w:t>
      </w:r>
      <w:r w:rsidRPr="008F0DA3">
        <w:t xml:space="preserve"> and fleet-oriented services. Services provided by wireless ISPs (WISPs) are a good example of this type of use. </w:t>
      </w:r>
    </w:p>
    <w:p w14:paraId="4DE06257" w14:textId="77777777" w:rsidR="009309A4" w:rsidRDefault="00150D2B" w:rsidP="00150D2B">
      <w:r w:rsidRPr="008F0DA3">
        <w:t xml:space="preserve">The third category of </w:t>
      </w:r>
      <w:r>
        <w:t>WBB</w:t>
      </w:r>
      <w:r w:rsidRPr="008F0DA3">
        <w:t xml:space="preserve"> covers business enterprise services operated by private entities within the confines of their own premises or land estate – for example, a hospital, education precinct or an industrial or transport facility. </w:t>
      </w:r>
    </w:p>
    <w:p w14:paraId="25E60D30" w14:textId="2F04ABD4" w:rsidR="0099135E" w:rsidRDefault="00B3046E" w:rsidP="00B3046E">
      <w:pPr>
        <w:pStyle w:val="Paragraph"/>
        <w:spacing w:after="200"/>
      </w:pPr>
      <w:r>
        <w:t>Having considered interest</w:t>
      </w:r>
      <w:r w:rsidR="007E494D">
        <w:t xml:space="preserve"> in these various types of WBB</w:t>
      </w:r>
      <w:r>
        <w:t xml:space="preserve">, </w:t>
      </w:r>
      <w:r w:rsidR="00854071">
        <w:t>on 15</w:t>
      </w:r>
      <w:r w:rsidR="0099135E" w:rsidRPr="00885439">
        <w:rPr>
          <w:bCs/>
          <w:color w:val="000000" w:themeColor="text1"/>
          <w:szCs w:val="20"/>
        </w:rPr>
        <w:t xml:space="preserve"> </w:t>
      </w:r>
      <w:r w:rsidR="0099135E">
        <w:rPr>
          <w:bCs/>
          <w:color w:val="000000" w:themeColor="text1"/>
          <w:szCs w:val="20"/>
        </w:rPr>
        <w:t>January 2021</w:t>
      </w:r>
      <w:r w:rsidR="0099135E" w:rsidRPr="00885439">
        <w:rPr>
          <w:bCs/>
          <w:color w:val="000000" w:themeColor="text1"/>
          <w:szCs w:val="20"/>
        </w:rPr>
        <w:t xml:space="preserve"> the </w:t>
      </w:r>
      <w:r w:rsidR="0099135E" w:rsidRPr="007D04B2">
        <w:t>Australian Communications and Media Authority (ACMA)</w:t>
      </w:r>
      <w:r w:rsidR="0099135E" w:rsidRPr="00885439">
        <w:rPr>
          <w:bCs/>
          <w:color w:val="000000" w:themeColor="text1"/>
          <w:szCs w:val="20"/>
        </w:rPr>
        <w:t xml:space="preserve"> released the </w:t>
      </w:r>
      <w:hyperlink r:id="rId26" w:history="1">
        <w:r w:rsidR="0099135E">
          <w:rPr>
            <w:rStyle w:val="Hyperlink"/>
            <w:i/>
            <w:iCs/>
            <w:szCs w:val="20"/>
          </w:rPr>
          <w:t>Replanning the 3700–4200 MHz band - Outcomes paper</w:t>
        </w:r>
      </w:hyperlink>
      <w:r w:rsidR="0099135E" w:rsidRPr="00885439">
        <w:rPr>
          <w:bCs/>
          <w:color w:val="000000" w:themeColor="text1"/>
          <w:szCs w:val="20"/>
        </w:rPr>
        <w:t xml:space="preserve"> </w:t>
      </w:r>
      <w:r w:rsidR="007D54F5">
        <w:rPr>
          <w:bCs/>
          <w:color w:val="000000" w:themeColor="text1"/>
          <w:szCs w:val="20"/>
        </w:rPr>
        <w:t xml:space="preserve">that </w:t>
      </w:r>
      <w:r w:rsidR="0099135E">
        <w:t>described the ACMA’s planning outcomes and preliminary views to introduce wireless broadband services in the 3.7</w:t>
      </w:r>
      <w:r w:rsidR="0099135E" w:rsidRPr="002D72B7">
        <w:t>–</w:t>
      </w:r>
      <w:r w:rsidR="0099135E">
        <w:t>4.2 GHz band</w:t>
      </w:r>
      <w:r w:rsidR="00055240">
        <w:rPr>
          <w:rStyle w:val="FootnoteReference"/>
        </w:rPr>
        <w:footnoteReference w:id="3"/>
      </w:r>
      <w:r w:rsidR="0099135E">
        <w:t xml:space="preserve">, using a combination of apparatus and spectrum licensing arrangements. </w:t>
      </w:r>
      <w:r w:rsidR="00CD26BE">
        <w:t xml:space="preserve">The Outcomes paper represented conclusions arising from </w:t>
      </w:r>
      <w:r w:rsidR="002272AD">
        <w:t>an earlier consultation on planning options.</w:t>
      </w:r>
    </w:p>
    <w:p w14:paraId="0846F9B3" w14:textId="4A4B4339" w:rsidR="0099135E" w:rsidRDefault="0099135E" w:rsidP="0099135E">
      <w:pPr>
        <w:pStyle w:val="Paragraph"/>
        <w:spacing w:after="200"/>
      </w:pPr>
      <w:r>
        <w:t>T</w:t>
      </w:r>
      <w:r w:rsidRPr="00197A32">
        <w:t xml:space="preserve">he Outcomes paper </w:t>
      </w:r>
      <w:r>
        <w:t>also stated that</w:t>
      </w:r>
      <w:r w:rsidRPr="00197A32">
        <w:t xml:space="preserve"> the ACMA would</w:t>
      </w:r>
      <w:r>
        <w:t>,</w:t>
      </w:r>
      <w:r w:rsidRPr="00197A32">
        <w:t xml:space="preserve"> </w:t>
      </w:r>
      <w:r>
        <w:t xml:space="preserve">as far as practical, extend or align </w:t>
      </w:r>
      <w:r w:rsidR="009415AB">
        <w:t>technical and licensing f</w:t>
      </w:r>
      <w:r>
        <w:t xml:space="preserve">rameworks and the timing of their development with similar ones in the </w:t>
      </w:r>
      <w:r w:rsidRPr="000A4EB2">
        <w:t>3.4–3.7 GHz (3.4 GHz</w:t>
      </w:r>
      <w:r>
        <w:t xml:space="preserve">) band. The paper </w:t>
      </w:r>
      <w:hyperlink r:id="rId27">
        <w:r w:rsidRPr="485C9D3C">
          <w:rPr>
            <w:rStyle w:val="Hyperlink"/>
            <w:i/>
            <w:iCs/>
          </w:rPr>
          <w:t>Optimising arrangements for the 3400–3575 MHz band: Planning decisions and preliminary views</w:t>
        </w:r>
      </w:hyperlink>
      <w:r w:rsidRPr="485C9D3C">
        <w:rPr>
          <w:i/>
          <w:iCs/>
        </w:rPr>
        <w:t xml:space="preserve"> </w:t>
      </w:r>
      <w:r>
        <w:t>outlines the planning outcomes for the 3400-3575 MHz part of the 3.4 GHz band.</w:t>
      </w:r>
    </w:p>
    <w:p w14:paraId="56107B30" w14:textId="445EBCF8" w:rsidR="0069696D" w:rsidRDefault="008855D7" w:rsidP="00C65CE3">
      <w:pPr>
        <w:pStyle w:val="Paragraph"/>
        <w:spacing w:after="200"/>
      </w:pPr>
      <w:r>
        <w:t xml:space="preserve">These two papers </w:t>
      </w:r>
      <w:r w:rsidR="00753CFD">
        <w:t xml:space="preserve">stated the ACMA’s intent to facilitate </w:t>
      </w:r>
      <w:r w:rsidR="00F141E6">
        <w:t>WBB in these frequency ranges</w:t>
      </w:r>
      <w:r w:rsidR="005600ED">
        <w:t xml:space="preserve"> in a staged approach</w:t>
      </w:r>
      <w:r w:rsidR="00A22B44">
        <w:t xml:space="preserve"> with </w:t>
      </w:r>
      <w:r w:rsidR="009629B9">
        <w:t>licensing of spectrum in remote areas before other parts of Australia</w:t>
      </w:r>
      <w:r w:rsidR="00F141E6">
        <w:t>.</w:t>
      </w:r>
      <w:r w:rsidR="006A5E00">
        <w:rPr>
          <w:rStyle w:val="FootnoteReference"/>
        </w:rPr>
        <w:footnoteReference w:id="4"/>
      </w:r>
      <w:r w:rsidR="00F141E6">
        <w:t xml:space="preserve"> </w:t>
      </w:r>
    </w:p>
    <w:p w14:paraId="7387FC70" w14:textId="77777777" w:rsidR="00615DE1" w:rsidRDefault="00615DE1">
      <w:pPr>
        <w:spacing w:after="160" w:line="259" w:lineRule="auto"/>
        <w:rPr>
          <w:rFonts w:cs="Arial"/>
          <w:b/>
          <w:bCs/>
          <w:iCs/>
          <w:sz w:val="28"/>
          <w:szCs w:val="28"/>
        </w:rPr>
      </w:pPr>
      <w:r>
        <w:br w:type="page"/>
      </w:r>
    </w:p>
    <w:p w14:paraId="16E83663" w14:textId="5A4A6816" w:rsidR="00086F5E" w:rsidRDefault="00086F5E" w:rsidP="00D15A6C">
      <w:pPr>
        <w:pStyle w:val="Heading2"/>
      </w:pPr>
      <w:bookmarkStart w:id="10" w:name="_Toc137640959"/>
      <w:r>
        <w:t xml:space="preserve">The focus of this RIS </w:t>
      </w:r>
      <w:r w:rsidR="00D15799">
        <w:t>–</w:t>
      </w:r>
      <w:r>
        <w:t xml:space="preserve"> </w:t>
      </w:r>
      <w:r w:rsidR="000D72C2">
        <w:t xml:space="preserve">Area-wide </w:t>
      </w:r>
      <w:r w:rsidR="00AA6312">
        <w:t>licences</w:t>
      </w:r>
      <w:r w:rsidR="00165223">
        <w:t xml:space="preserve"> (AWLs)</w:t>
      </w:r>
      <w:r w:rsidR="00AA6312">
        <w:t xml:space="preserve"> </w:t>
      </w:r>
      <w:r w:rsidR="00D15799">
        <w:t>in remote areas of the 3.4-4</w:t>
      </w:r>
      <w:r w:rsidR="00820A55">
        <w:t>.0</w:t>
      </w:r>
      <w:r w:rsidR="00D15799">
        <w:t xml:space="preserve"> GHz band</w:t>
      </w:r>
      <w:bookmarkEnd w:id="10"/>
    </w:p>
    <w:p w14:paraId="334136B7" w14:textId="65C4874C" w:rsidR="007D75FD" w:rsidRDefault="00C44706" w:rsidP="008156C0">
      <w:pPr>
        <w:pStyle w:val="Paragraph"/>
      </w:pPr>
      <w:r>
        <w:t xml:space="preserve">Note that this analysis, and this </w:t>
      </w:r>
      <w:r w:rsidR="000C191A">
        <w:t>regulation impact statement (RIS)</w:t>
      </w:r>
      <w:r>
        <w:t xml:space="preserve"> is distinct from broader </w:t>
      </w:r>
      <w:r w:rsidR="0044364D">
        <w:t xml:space="preserve">work </w:t>
      </w:r>
      <w:r>
        <w:t xml:space="preserve">and regulatory analysis that the ACMA has conducted to inform the higher-level decision to plan for WBB in these bands. The ACMA presented the case for reorganising and ‘defragmenting’ spectrum in the </w:t>
      </w:r>
      <w:hyperlink r:id="rId28" w:history="1">
        <w:r w:rsidRPr="00885F82">
          <w:rPr>
            <w:rStyle w:val="Hyperlink"/>
          </w:rPr>
          <w:t>Optimisation of arrangements in the 3400-3575 MHz band</w:t>
        </w:r>
      </w:hyperlink>
      <w:r>
        <w:t xml:space="preserve">, and in the </w:t>
      </w:r>
      <w:hyperlink r:id="rId29" w:history="1">
        <w:r w:rsidRPr="00D2380C">
          <w:rPr>
            <w:rStyle w:val="Hyperlink"/>
          </w:rPr>
          <w:t>Replanning of the 3700-4200 MHz band</w:t>
        </w:r>
      </w:hyperlink>
      <w:r>
        <w:t xml:space="preserve"> estimated overall net benefits of $560m derived from WBB in the band. </w:t>
      </w:r>
      <w:r w:rsidR="00DA0C6A">
        <w:t xml:space="preserve">Part </w:t>
      </w:r>
      <w:r w:rsidR="007D75FD">
        <w:t xml:space="preserve">of this work </w:t>
      </w:r>
      <w:r w:rsidR="00DA0C6A">
        <w:t xml:space="preserve">involves </w:t>
      </w:r>
      <w:r w:rsidR="007D75FD">
        <w:t xml:space="preserve">the ACMA </w:t>
      </w:r>
      <w:r w:rsidR="00B21CCE">
        <w:t xml:space="preserve">auctioning </w:t>
      </w:r>
      <w:r w:rsidR="00A63F76">
        <w:t xml:space="preserve">spectrum licences </w:t>
      </w:r>
      <w:r w:rsidR="00F62AEC">
        <w:t xml:space="preserve">in the </w:t>
      </w:r>
      <w:hyperlink r:id="rId30" w:history="1">
        <w:r w:rsidR="00F62AEC" w:rsidRPr="003851AE">
          <w:rPr>
            <w:rStyle w:val="Hyperlink"/>
          </w:rPr>
          <w:t>3.4</w:t>
        </w:r>
        <w:r w:rsidR="00CF46EA">
          <w:rPr>
            <w:rStyle w:val="Hyperlink"/>
          </w:rPr>
          <w:t xml:space="preserve"> </w:t>
        </w:r>
        <w:r w:rsidR="00F62AEC" w:rsidRPr="003851AE">
          <w:rPr>
            <w:rStyle w:val="Hyperlink"/>
          </w:rPr>
          <w:t>GHz and 3.7 GHz band</w:t>
        </w:r>
      </w:hyperlink>
      <w:r w:rsidR="00F62AEC">
        <w:t xml:space="preserve"> </w:t>
      </w:r>
      <w:r w:rsidR="00A63F76">
        <w:t xml:space="preserve">for </w:t>
      </w:r>
      <w:r w:rsidR="00294794">
        <w:t xml:space="preserve">wide-area </w:t>
      </w:r>
      <w:r w:rsidR="00DA0C6A">
        <w:t>W</w:t>
      </w:r>
      <w:r w:rsidR="00294794">
        <w:t xml:space="preserve">BB. </w:t>
      </w:r>
    </w:p>
    <w:p w14:paraId="03C2717C" w14:textId="564473E3" w:rsidR="00CA2C7B" w:rsidRDefault="00294794" w:rsidP="00C65CE3">
      <w:pPr>
        <w:pStyle w:val="Paragraph"/>
        <w:spacing w:after="200"/>
      </w:pPr>
      <w:r>
        <w:t>However</w:t>
      </w:r>
      <w:r w:rsidR="007A10B2">
        <w:t>, t</w:t>
      </w:r>
      <w:r w:rsidR="00142071">
        <w:t xml:space="preserve">he focus of this RIS is </w:t>
      </w:r>
      <w:r w:rsidR="008C3C6B">
        <w:t>on</w:t>
      </w:r>
      <w:r w:rsidR="00E873C6">
        <w:t xml:space="preserve"> spectrum access to facilitate </w:t>
      </w:r>
      <w:r w:rsidR="008C3C6B">
        <w:t xml:space="preserve">the </w:t>
      </w:r>
      <w:r w:rsidR="008F0FBA">
        <w:t xml:space="preserve">second </w:t>
      </w:r>
      <w:r w:rsidR="008C3C6B">
        <w:t xml:space="preserve">and </w:t>
      </w:r>
      <w:r w:rsidR="008F0FBA">
        <w:t xml:space="preserve">third </w:t>
      </w:r>
      <w:r w:rsidR="008C3C6B">
        <w:t>categor</w:t>
      </w:r>
      <w:r w:rsidR="005969EF">
        <w:t>ies</w:t>
      </w:r>
      <w:r w:rsidR="008C3C6B">
        <w:t xml:space="preserve"> of WBB </w:t>
      </w:r>
      <w:r w:rsidR="005C467B">
        <w:t xml:space="preserve">mentioned above </w:t>
      </w:r>
      <w:r w:rsidR="00EB43BB">
        <w:t>(</w:t>
      </w:r>
      <w:r w:rsidR="00E873C6">
        <w:t>in remote areas</w:t>
      </w:r>
      <w:r w:rsidR="00EB43BB">
        <w:t>)</w:t>
      </w:r>
      <w:r w:rsidR="00E873C6">
        <w:t xml:space="preserve">, </w:t>
      </w:r>
      <w:r w:rsidR="008C3C6B">
        <w:t xml:space="preserve">sometimes referred to as </w:t>
      </w:r>
      <w:r w:rsidR="008C1823">
        <w:t>l</w:t>
      </w:r>
      <w:r w:rsidR="00D977AB">
        <w:t>ocal area wireless broadband (LA WBB).</w:t>
      </w:r>
      <w:r w:rsidR="0029158D">
        <w:t xml:space="preserve"> </w:t>
      </w:r>
      <w:r w:rsidR="00597C6D">
        <w:t>While t</w:t>
      </w:r>
      <w:r w:rsidR="00D63069">
        <w:t xml:space="preserve">he ACMA can </w:t>
      </w:r>
      <w:r w:rsidR="006E40E5">
        <w:t xml:space="preserve">currently facilitate these services under existing apparatus licence </w:t>
      </w:r>
      <w:r w:rsidR="00597C6D">
        <w:t>arrangements</w:t>
      </w:r>
      <w:r w:rsidR="00D40158">
        <w:t xml:space="preserve"> in this band</w:t>
      </w:r>
      <w:r w:rsidR="006E40E5">
        <w:t xml:space="preserve">, </w:t>
      </w:r>
      <w:r w:rsidR="00597C6D">
        <w:t xml:space="preserve">those arrangements </w:t>
      </w:r>
      <w:r w:rsidR="002617F0">
        <w:t xml:space="preserve">are not optimised for </w:t>
      </w:r>
      <w:r w:rsidR="006C6CDB">
        <w:t xml:space="preserve">LA </w:t>
      </w:r>
      <w:r w:rsidR="002617F0">
        <w:t>WBB</w:t>
      </w:r>
      <w:r w:rsidR="007B302D">
        <w:t xml:space="preserve"> because </w:t>
      </w:r>
      <w:r w:rsidR="00737CCE">
        <w:t>existing licen</w:t>
      </w:r>
      <w:r w:rsidR="00944F6A">
        <w:t>ce</w:t>
      </w:r>
      <w:r w:rsidR="003168C7">
        <w:t xml:space="preserve"> types</w:t>
      </w:r>
      <w:r w:rsidR="00737CCE">
        <w:t xml:space="preserve"> are </w:t>
      </w:r>
      <w:r w:rsidR="00F753F5">
        <w:t xml:space="preserve">designed for </w:t>
      </w:r>
      <w:r w:rsidR="001C7301">
        <w:t xml:space="preserve">other </w:t>
      </w:r>
      <w:r w:rsidR="00613278">
        <w:t>services</w:t>
      </w:r>
      <w:r w:rsidR="002617F0">
        <w:t>.</w:t>
      </w:r>
      <w:r w:rsidR="002B2950">
        <w:t xml:space="preserve"> Consequently, t</w:t>
      </w:r>
      <w:r w:rsidR="002617F0">
        <w:t xml:space="preserve">he ACMA </w:t>
      </w:r>
      <w:r w:rsidR="00D32CE4">
        <w:t xml:space="preserve">is proposing to </w:t>
      </w:r>
      <w:r w:rsidR="00123C3B">
        <w:t xml:space="preserve">adopt </w:t>
      </w:r>
      <w:r w:rsidR="00D32CE4">
        <w:t>a relatively new licence type (the area wide licence or AWL</w:t>
      </w:r>
      <w:r w:rsidR="00FC5F4C">
        <w:rPr>
          <w:rStyle w:val="FootnoteReference"/>
        </w:rPr>
        <w:footnoteReference w:id="5"/>
      </w:r>
      <w:r w:rsidR="00D32CE4">
        <w:t>)</w:t>
      </w:r>
      <w:r w:rsidR="007B7342">
        <w:t xml:space="preserve"> </w:t>
      </w:r>
      <w:r w:rsidR="00F2259E">
        <w:t xml:space="preserve">and optimise it for </w:t>
      </w:r>
      <w:r w:rsidR="006C6CDB">
        <w:t xml:space="preserve">LA </w:t>
      </w:r>
      <w:r w:rsidR="00493F80">
        <w:t>WBB</w:t>
      </w:r>
      <w:r w:rsidR="00347FF8">
        <w:t xml:space="preserve"> in this band for remote are</w:t>
      </w:r>
      <w:r w:rsidR="00C503B5">
        <w:t>a</w:t>
      </w:r>
      <w:r w:rsidR="00347FF8">
        <w:t>s</w:t>
      </w:r>
      <w:r w:rsidR="00493F80">
        <w:t>.</w:t>
      </w:r>
      <w:r w:rsidR="00926BF3">
        <w:t xml:space="preserve"> </w:t>
      </w:r>
    </w:p>
    <w:p w14:paraId="6FC2AA8D" w14:textId="2205E098" w:rsidR="00CA2C7B" w:rsidRDefault="009A4AFE" w:rsidP="003A1401">
      <w:r w:rsidRPr="00B313DD">
        <w:rPr>
          <w:snapToGrid w:val="0"/>
          <w:lang w:eastAsia="en-US"/>
        </w:rPr>
        <w:t xml:space="preserve">Unlike </w:t>
      </w:r>
      <w:r>
        <w:rPr>
          <w:snapToGrid w:val="0"/>
          <w:lang w:eastAsia="en-US"/>
        </w:rPr>
        <w:t>‘service-specific’</w:t>
      </w:r>
      <w:r w:rsidRPr="00B313DD">
        <w:rPr>
          <w:snapToGrid w:val="0"/>
          <w:lang w:eastAsia="en-US"/>
        </w:rPr>
        <w:t xml:space="preserve"> apparatus licence types, which typically align with specific uses and purposes, the AWL type </w:t>
      </w:r>
      <w:r w:rsidR="00920D08">
        <w:rPr>
          <w:snapToGrid w:val="0"/>
          <w:lang w:eastAsia="en-US"/>
        </w:rPr>
        <w:t xml:space="preserve">can authorise </w:t>
      </w:r>
      <w:r w:rsidRPr="00B313DD">
        <w:rPr>
          <w:snapToGrid w:val="0"/>
          <w:lang w:eastAsia="en-US"/>
        </w:rPr>
        <w:t>a variety of services, uses, applications and technologies</w:t>
      </w:r>
      <w:r w:rsidR="00030AF6">
        <w:rPr>
          <w:snapToGrid w:val="0"/>
          <w:lang w:eastAsia="en-US"/>
        </w:rPr>
        <w:t>,</w:t>
      </w:r>
      <w:r w:rsidR="00D85C93">
        <w:rPr>
          <w:snapToGrid w:val="0"/>
          <w:lang w:eastAsia="en-US"/>
        </w:rPr>
        <w:t xml:space="preserve"> and be tailored in </w:t>
      </w:r>
      <w:r w:rsidR="00AA0CA7">
        <w:rPr>
          <w:snapToGrid w:val="0"/>
          <w:lang w:eastAsia="en-US"/>
        </w:rPr>
        <w:t xml:space="preserve">geographical </w:t>
      </w:r>
      <w:r w:rsidR="00D85C93">
        <w:rPr>
          <w:snapToGrid w:val="0"/>
          <w:lang w:eastAsia="en-US"/>
        </w:rPr>
        <w:t xml:space="preserve">size and </w:t>
      </w:r>
      <w:r w:rsidR="00AA0CA7">
        <w:rPr>
          <w:snapToGrid w:val="0"/>
          <w:lang w:eastAsia="en-US"/>
        </w:rPr>
        <w:t>frequency range based on the user’s proposed business activities</w:t>
      </w:r>
      <w:r w:rsidRPr="00B313DD">
        <w:rPr>
          <w:snapToGrid w:val="0"/>
          <w:lang w:eastAsia="en-US"/>
        </w:rPr>
        <w:t xml:space="preserve">. </w:t>
      </w:r>
      <w:r w:rsidRPr="00B313DD">
        <w:t xml:space="preserve">This flexibility is intended to allow the licensee to tailor the spectrum capacity and geographic reach of the licence to highly specific use-cases. </w:t>
      </w:r>
      <w:r w:rsidR="00DC790F">
        <w:t xml:space="preserve">With these attributes we expect </w:t>
      </w:r>
      <w:r w:rsidR="00244B95">
        <w:t xml:space="preserve">AWLs </w:t>
      </w:r>
      <w:r w:rsidR="008A2A52">
        <w:t xml:space="preserve">to </w:t>
      </w:r>
      <w:r w:rsidR="00561FA9">
        <w:t xml:space="preserve">better </w:t>
      </w:r>
      <w:r w:rsidR="008A2A52">
        <w:t xml:space="preserve">suit the </w:t>
      </w:r>
      <w:r w:rsidR="00561FA9">
        <w:t xml:space="preserve">many </w:t>
      </w:r>
      <w:r w:rsidR="000B5100">
        <w:t xml:space="preserve">LA </w:t>
      </w:r>
      <w:r w:rsidR="00523747">
        <w:t xml:space="preserve">WBB </w:t>
      </w:r>
      <w:r w:rsidR="00561FA9">
        <w:t>use cases</w:t>
      </w:r>
      <w:r w:rsidR="004B3809">
        <w:t xml:space="preserve">, </w:t>
      </w:r>
      <w:r w:rsidR="00523747">
        <w:t xml:space="preserve">compared with other licensing options. </w:t>
      </w:r>
    </w:p>
    <w:p w14:paraId="79C6D389" w14:textId="52341190" w:rsidR="00F2259E" w:rsidRDefault="00523747" w:rsidP="00C65CE3">
      <w:pPr>
        <w:pStyle w:val="Paragraph"/>
        <w:spacing w:after="200"/>
      </w:pPr>
      <w:r>
        <w:t>Introducing AWL</w:t>
      </w:r>
      <w:r w:rsidR="00A07F79">
        <w:t>s</w:t>
      </w:r>
      <w:r>
        <w:t xml:space="preserve"> </w:t>
      </w:r>
      <w:r w:rsidR="006C161A">
        <w:t xml:space="preserve">in remote areas </w:t>
      </w:r>
      <w:r w:rsidR="007604D8">
        <w:t xml:space="preserve">to authorise access to the 3.4-4 GHz band </w:t>
      </w:r>
      <w:r w:rsidR="002A7724">
        <w:t>requires</w:t>
      </w:r>
      <w:r w:rsidR="00800FDA">
        <w:t xml:space="preserve"> </w:t>
      </w:r>
      <w:r w:rsidR="00484171">
        <w:t xml:space="preserve">the following </w:t>
      </w:r>
      <w:r w:rsidR="00800FDA">
        <w:t>regulatory change</w:t>
      </w:r>
      <w:r w:rsidR="00484171">
        <w:t>s</w:t>
      </w:r>
      <w:r w:rsidR="00347FF8">
        <w:t>:</w:t>
      </w:r>
    </w:p>
    <w:p w14:paraId="5B5B6B6B" w14:textId="119A3931" w:rsidR="0059564F" w:rsidRDefault="0059564F" w:rsidP="00801972">
      <w:pPr>
        <w:pStyle w:val="Numberlistlevel1"/>
      </w:pPr>
      <w:r w:rsidRPr="0059564F">
        <w:t>Amendments to the Radiocommunications (Area-Wide Licences) Licence Conditions Determination 2020 (AWL LCD) to include technical conditions for the operation of radiocommunications stations operated under an area-wide licence operating in the 3.4-4 GHz band, and draft new and amended Radiocommunications Assignment and Licensing Instructions (RALIs) for setting coordination rules with other services in the band.</w:t>
      </w:r>
      <w:r w:rsidR="00DC4629" w:rsidRPr="00DC4629">
        <w:t xml:space="preserve"> </w:t>
      </w:r>
      <w:r w:rsidR="00DC4629">
        <w:t>These technical conditions mitigate the risk of interference between services operating in the band.</w:t>
      </w:r>
      <w:r w:rsidR="00C567B7">
        <w:t xml:space="preserve"> (Note: RALIs are administrative </w:t>
      </w:r>
      <w:r w:rsidR="00B520EE">
        <w:t xml:space="preserve">planning </w:t>
      </w:r>
      <w:r w:rsidR="00C567B7">
        <w:t>document</w:t>
      </w:r>
      <w:r w:rsidR="00B520EE">
        <w:t>s</w:t>
      </w:r>
      <w:r w:rsidR="00E85093">
        <w:t xml:space="preserve"> used </w:t>
      </w:r>
      <w:r w:rsidR="0036042F">
        <w:t>to facilitate licensing and station coordination.</w:t>
      </w:r>
      <w:r w:rsidR="00B520EE">
        <w:t>)</w:t>
      </w:r>
      <w:r w:rsidR="0036042F">
        <w:t xml:space="preserve"> </w:t>
      </w:r>
    </w:p>
    <w:p w14:paraId="2BF0EE68" w14:textId="77777777" w:rsidR="00347FF8" w:rsidRPr="00DC03F9" w:rsidRDefault="00347FF8" w:rsidP="002A2968">
      <w:pPr>
        <w:pStyle w:val="Numberlistlevel1"/>
        <w:spacing w:after="240"/>
        <w:ind w:left="357" w:hanging="357"/>
      </w:pPr>
      <w:r>
        <w:t xml:space="preserve">Amendments to the </w:t>
      </w:r>
      <w:hyperlink r:id="rId31">
        <w:r w:rsidRPr="4C3F801C">
          <w:rPr>
            <w:rStyle w:val="Hyperlink"/>
          </w:rPr>
          <w:t>Radiocommunications (Transmitter Licence Tax) Determination 2015</w:t>
        </w:r>
      </w:hyperlink>
      <w:r>
        <w:t xml:space="preserve"> (the Tax Determination) to determine pricing arrangements for area-wide licences in the 3.4-4 GHz band. Depending on future analysis, amendments to the Radiocommunications (Receiver Licence Tax) Determination 2015 may also be required.</w:t>
      </w:r>
    </w:p>
    <w:p w14:paraId="2B67AF10" w14:textId="77777777" w:rsidR="00615DE1" w:rsidRDefault="00615DE1">
      <w:pPr>
        <w:spacing w:after="160" w:line="259" w:lineRule="auto"/>
        <w:rPr>
          <w:szCs w:val="20"/>
        </w:rPr>
      </w:pPr>
      <w:r>
        <w:br w:type="page"/>
      </w:r>
    </w:p>
    <w:p w14:paraId="63A98FB2" w14:textId="7A2653BF" w:rsidR="0073440D" w:rsidRDefault="000E5114" w:rsidP="008156C0">
      <w:pPr>
        <w:pStyle w:val="CommentText"/>
      </w:pPr>
      <w:r>
        <w:t>The ACMA submitted an early sta</w:t>
      </w:r>
      <w:r w:rsidR="0076455B">
        <w:t xml:space="preserve">ge RIS </w:t>
      </w:r>
      <w:r w:rsidR="004A1E54">
        <w:t xml:space="preserve">(addressing the </w:t>
      </w:r>
      <w:r w:rsidR="004D4264">
        <w:t xml:space="preserve">first 4 RIS questions) </w:t>
      </w:r>
      <w:r w:rsidR="0076455B">
        <w:t xml:space="preserve">to the OBPR on </w:t>
      </w:r>
      <w:r w:rsidR="00E97F5B">
        <w:t>3 February 2022</w:t>
      </w:r>
      <w:r w:rsidR="004D4264">
        <w:t xml:space="preserve">. </w:t>
      </w:r>
      <w:r w:rsidR="0001505D">
        <w:t xml:space="preserve">After </w:t>
      </w:r>
      <w:r w:rsidR="00703EFE">
        <w:t xml:space="preserve">public consultation on </w:t>
      </w:r>
      <w:r w:rsidR="00A45561">
        <w:t xml:space="preserve">the proposed </w:t>
      </w:r>
      <w:r w:rsidR="00507863">
        <w:t>allocation</w:t>
      </w:r>
      <w:r w:rsidR="00697EAE">
        <w:t xml:space="preserve"> </w:t>
      </w:r>
      <w:r w:rsidR="00A43822">
        <w:t xml:space="preserve">between 2 </w:t>
      </w:r>
      <w:r w:rsidR="00697EAE">
        <w:t>Ma</w:t>
      </w:r>
      <w:r w:rsidR="00A43822">
        <w:t>rch to 4 May</w:t>
      </w:r>
      <w:r w:rsidR="00A62EB4">
        <w:t xml:space="preserve"> 2022</w:t>
      </w:r>
      <w:r w:rsidR="00C46B74">
        <w:t xml:space="preserve"> and further consultation on technical framework matters in February-March 2023</w:t>
      </w:r>
      <w:r w:rsidR="00A43822">
        <w:t xml:space="preserve">, </w:t>
      </w:r>
      <w:r w:rsidR="00B06232">
        <w:t xml:space="preserve">the ACMA prepared </w:t>
      </w:r>
      <w:r w:rsidR="00A43822">
        <w:t>t</w:t>
      </w:r>
      <w:r w:rsidR="0073440D" w:rsidRPr="00C04A3B">
        <w:t xml:space="preserve">his </w:t>
      </w:r>
      <w:r w:rsidR="0011780F">
        <w:t xml:space="preserve">full </w:t>
      </w:r>
      <w:r w:rsidR="0073440D" w:rsidRPr="00C04A3B">
        <w:t xml:space="preserve">RIS </w:t>
      </w:r>
      <w:r w:rsidR="00B06232">
        <w:t xml:space="preserve">which </w:t>
      </w:r>
      <w:r w:rsidR="0073440D" w:rsidRPr="00C04A3B">
        <w:t>details the regulatory analysis and impacts of the</w:t>
      </w:r>
      <w:r w:rsidR="0073440D">
        <w:t xml:space="preserve"> </w:t>
      </w:r>
      <w:r w:rsidR="00835FF3">
        <w:t xml:space="preserve">AWL proposals </w:t>
      </w:r>
      <w:r w:rsidR="0073440D" w:rsidRPr="00C04A3B">
        <w:t>and addresses the 7 RIS questions:</w:t>
      </w:r>
    </w:p>
    <w:p w14:paraId="7AFA8DE1" w14:textId="77777777" w:rsidR="0073440D" w:rsidRDefault="0073440D" w:rsidP="0073440D">
      <w:pPr>
        <w:pStyle w:val="ListNumber"/>
        <w:numPr>
          <w:ilvl w:val="0"/>
          <w:numId w:val="26"/>
        </w:numPr>
      </w:pPr>
      <w:r>
        <w:t>What is the policy problem?</w:t>
      </w:r>
    </w:p>
    <w:p w14:paraId="7921F85B" w14:textId="77777777" w:rsidR="0073440D" w:rsidRDefault="0073440D" w:rsidP="0073440D">
      <w:pPr>
        <w:pStyle w:val="ListNumber"/>
        <w:numPr>
          <w:ilvl w:val="0"/>
          <w:numId w:val="26"/>
        </w:numPr>
      </w:pPr>
      <w:r>
        <w:t>Why is government action needed?</w:t>
      </w:r>
    </w:p>
    <w:p w14:paraId="2741B292" w14:textId="77777777" w:rsidR="0073440D" w:rsidRDefault="0073440D" w:rsidP="0073440D">
      <w:pPr>
        <w:pStyle w:val="ListNumber"/>
        <w:numPr>
          <w:ilvl w:val="0"/>
          <w:numId w:val="26"/>
        </w:numPr>
      </w:pPr>
      <w:r>
        <w:t>What policy options have been considered?</w:t>
      </w:r>
    </w:p>
    <w:p w14:paraId="1E6C5A17" w14:textId="77777777" w:rsidR="0073440D" w:rsidRDefault="0073440D" w:rsidP="0073440D">
      <w:pPr>
        <w:pStyle w:val="ListNumber"/>
        <w:numPr>
          <w:ilvl w:val="0"/>
          <w:numId w:val="26"/>
        </w:numPr>
      </w:pPr>
      <w:r>
        <w:t>What are the expected benefits of the options?</w:t>
      </w:r>
    </w:p>
    <w:p w14:paraId="3DC8F009" w14:textId="77777777" w:rsidR="0073440D" w:rsidRDefault="0073440D" w:rsidP="0073440D">
      <w:pPr>
        <w:pStyle w:val="ListNumber"/>
        <w:numPr>
          <w:ilvl w:val="0"/>
          <w:numId w:val="26"/>
        </w:numPr>
      </w:pPr>
      <w:r>
        <w:t xml:space="preserve">Who did you consult and how did you incorporate their feedback? </w:t>
      </w:r>
    </w:p>
    <w:p w14:paraId="60AD4E47" w14:textId="77777777" w:rsidR="0073440D" w:rsidRPr="0042214D" w:rsidRDefault="0073440D" w:rsidP="0073440D">
      <w:pPr>
        <w:pStyle w:val="ListNumber"/>
        <w:numPr>
          <w:ilvl w:val="0"/>
          <w:numId w:val="26"/>
        </w:numPr>
      </w:pPr>
      <w:r w:rsidRPr="0042214D">
        <w:t xml:space="preserve">What is the best option from those you have considered? </w:t>
      </w:r>
    </w:p>
    <w:p w14:paraId="73A0DECB" w14:textId="6452E6DC" w:rsidR="0073440D" w:rsidRPr="0042214D" w:rsidRDefault="0073440D" w:rsidP="0073440D">
      <w:pPr>
        <w:pStyle w:val="ListNumber"/>
        <w:numPr>
          <w:ilvl w:val="0"/>
          <w:numId w:val="26"/>
        </w:numPr>
      </w:pPr>
      <w:r w:rsidRPr="0042214D">
        <w:t>How will you implement and evaluate your chosen option</w:t>
      </w:r>
      <w:r w:rsidR="00835FF3">
        <w:t>?</w:t>
      </w:r>
      <w:r w:rsidRPr="0042214D">
        <w:t xml:space="preserve"> </w:t>
      </w:r>
    </w:p>
    <w:p w14:paraId="4CA13FF0" w14:textId="729C7C84" w:rsidR="4C3F801C" w:rsidRDefault="4C3F801C" w:rsidP="4C3F801C">
      <w:pPr>
        <w:pStyle w:val="ListNumber"/>
        <w:numPr>
          <w:ilvl w:val="0"/>
          <w:numId w:val="0"/>
        </w:numPr>
        <w:rPr>
          <w:szCs w:val="20"/>
        </w:rPr>
      </w:pPr>
    </w:p>
    <w:p w14:paraId="3501BECD" w14:textId="77777777" w:rsidR="003D02CB" w:rsidRDefault="00160C89" w:rsidP="004E2CFA">
      <w:pPr>
        <w:pStyle w:val="Paragraph"/>
      </w:pPr>
      <w:r>
        <w:rPr>
          <w:rStyle w:val="normaltextrun"/>
          <w:szCs w:val="20"/>
        </w:rPr>
        <w:t>This RIS informs the A</w:t>
      </w:r>
      <w:r w:rsidR="00A02173">
        <w:rPr>
          <w:rStyle w:val="normaltextrun"/>
          <w:szCs w:val="20"/>
        </w:rPr>
        <w:t>CMA</w:t>
      </w:r>
      <w:r w:rsidR="002F5B5C">
        <w:rPr>
          <w:rStyle w:val="normaltextrun"/>
          <w:szCs w:val="20"/>
        </w:rPr>
        <w:t>’s</w:t>
      </w:r>
      <w:r>
        <w:rPr>
          <w:rStyle w:val="normaltextrun"/>
          <w:szCs w:val="20"/>
        </w:rPr>
        <w:t xml:space="preserve"> decision to allocate AWLs in remote areas of this band. </w:t>
      </w:r>
      <w:r w:rsidR="00DE7B62">
        <w:t xml:space="preserve">Introducing </w:t>
      </w:r>
      <w:r w:rsidR="001F51C2">
        <w:t xml:space="preserve">AWLs to facilitate LA WBB does not preclude </w:t>
      </w:r>
      <w:r w:rsidR="00CB65FF">
        <w:t>other service types</w:t>
      </w:r>
      <w:r w:rsidR="00D70D45">
        <w:t xml:space="preserve">, but rather broadens the scope </w:t>
      </w:r>
      <w:r w:rsidR="0054065E">
        <w:t xml:space="preserve">for </w:t>
      </w:r>
      <w:r w:rsidR="00D70D45">
        <w:t xml:space="preserve">services </w:t>
      </w:r>
      <w:r w:rsidR="00BA4DD9">
        <w:t xml:space="preserve">interested in using the band. </w:t>
      </w:r>
      <w:r w:rsidR="00864943" w:rsidRPr="004E2CFA">
        <w:t xml:space="preserve">The analysis </w:t>
      </w:r>
      <w:r w:rsidR="004E2CFA" w:rsidRPr="004E2CFA">
        <w:t xml:space="preserve">and stakeholder feedback </w:t>
      </w:r>
      <w:r w:rsidR="00864943" w:rsidRPr="004E2CFA">
        <w:t xml:space="preserve">shows that </w:t>
      </w:r>
      <w:r w:rsidR="00864943" w:rsidRPr="000B0B26">
        <w:t>introducing AWLs in remote areas is expected to be net beneficial</w:t>
      </w:r>
      <w:r w:rsidR="0011378C" w:rsidRPr="000B0B26">
        <w:t xml:space="preserve"> by </w:t>
      </w:r>
      <w:r w:rsidR="00B032AE" w:rsidRPr="000B0B26">
        <w:t>at least $51,000 each year over the next 10 years compared with the status quo</w:t>
      </w:r>
      <w:r w:rsidR="004E2CFA" w:rsidRPr="000B0B26">
        <w:t>.</w:t>
      </w:r>
      <w:r w:rsidR="004E2CFA">
        <w:t xml:space="preserve"> </w:t>
      </w:r>
    </w:p>
    <w:p w14:paraId="14267ECE" w14:textId="43DB8510" w:rsidR="006F3544" w:rsidRDefault="006F3544" w:rsidP="004E2CFA">
      <w:pPr>
        <w:pStyle w:val="Paragraph"/>
      </w:pPr>
    </w:p>
    <w:p w14:paraId="45E0B4E9" w14:textId="168A177A" w:rsidR="003C7CC4" w:rsidRDefault="003C7CC4" w:rsidP="005E454C">
      <w:pPr>
        <w:pStyle w:val="Heading1"/>
      </w:pPr>
      <w:bookmarkStart w:id="11" w:name="_Toc32833680"/>
      <w:bookmarkStart w:id="12" w:name="_Toc32833737"/>
      <w:bookmarkStart w:id="13" w:name="_Toc32833810"/>
      <w:bookmarkStart w:id="14" w:name="_Toc33176362"/>
      <w:bookmarkStart w:id="15" w:name="_Toc137640960"/>
      <w:bookmarkEnd w:id="6"/>
      <w:r>
        <w:t>1.</w:t>
      </w:r>
      <w:r>
        <w:tab/>
        <w:t>What is the policy problem?</w:t>
      </w:r>
      <w:bookmarkEnd w:id="11"/>
      <w:bookmarkEnd w:id="12"/>
      <w:bookmarkEnd w:id="13"/>
      <w:bookmarkEnd w:id="14"/>
      <w:bookmarkEnd w:id="15"/>
    </w:p>
    <w:p w14:paraId="5FC9EE02" w14:textId="138C7402" w:rsidR="00EA01F1" w:rsidRPr="00EA01F1" w:rsidRDefault="00EA01F1" w:rsidP="00EA01F1">
      <w:r>
        <w:t xml:space="preserve">The ACMA wants to facilitate a variety of WBB use cases in remote areas </w:t>
      </w:r>
      <w:r w:rsidR="007C47F7">
        <w:t xml:space="preserve">of the 3.4 – 4 GHz band </w:t>
      </w:r>
      <w:r w:rsidR="002F5B5C">
        <w:t xml:space="preserve">to promote </w:t>
      </w:r>
      <w:r>
        <w:t>the long-term public interest</w:t>
      </w:r>
      <w:r w:rsidR="002F5B5C">
        <w:t xml:space="preserve"> </w:t>
      </w:r>
      <w:r w:rsidR="0006742A">
        <w:t>derived from the use of the spectrum in this band</w:t>
      </w:r>
      <w:r w:rsidR="00171FA2">
        <w:t xml:space="preserve">. </w:t>
      </w:r>
      <w:r w:rsidR="00547C85">
        <w:t xml:space="preserve">Some of these use cases can be </w:t>
      </w:r>
      <w:r w:rsidR="008762BA">
        <w:t xml:space="preserve">accommodated using </w:t>
      </w:r>
      <w:r>
        <w:t>existing licensing arrangements</w:t>
      </w:r>
      <w:r w:rsidR="008762BA">
        <w:t>, however these licensing arrangements</w:t>
      </w:r>
      <w:r w:rsidR="3A1D77D4">
        <w:t xml:space="preserve"> </w:t>
      </w:r>
      <w:r>
        <w:t>are</w:t>
      </w:r>
      <w:r w:rsidR="17411BE8">
        <w:t xml:space="preserve"> not</w:t>
      </w:r>
      <w:r>
        <w:t xml:space="preserve"> optimal for that </w:t>
      </w:r>
      <w:r w:rsidR="00421D5B">
        <w:t>purpose</w:t>
      </w:r>
      <w:r w:rsidR="00E24F14">
        <w:t>. Consequently</w:t>
      </w:r>
      <w:r w:rsidR="00014B7A">
        <w:t xml:space="preserve">, we want to introduce </w:t>
      </w:r>
      <w:r w:rsidR="00746AE6">
        <w:t xml:space="preserve">AWLs optimised for </w:t>
      </w:r>
      <w:r w:rsidR="00171FA2">
        <w:t xml:space="preserve">a </w:t>
      </w:r>
      <w:r w:rsidR="00E22E1D">
        <w:t xml:space="preserve">wide range of </w:t>
      </w:r>
      <w:r w:rsidR="00746AE6">
        <w:t>expected use cases</w:t>
      </w:r>
      <w:r w:rsidR="008D3ACD">
        <w:t>, while supporting a range of existing services</w:t>
      </w:r>
      <w:r w:rsidR="00746AE6">
        <w:t xml:space="preserve">. </w:t>
      </w:r>
    </w:p>
    <w:p w14:paraId="233485D8" w14:textId="06F2ADB8" w:rsidR="00D2464A" w:rsidRDefault="008E6B4A" w:rsidP="00D2464A">
      <w:pPr>
        <w:pStyle w:val="Heading2"/>
      </w:pPr>
      <w:bookmarkStart w:id="16" w:name="_Toc137640961"/>
      <w:bookmarkStart w:id="17" w:name="_Toc99632499"/>
      <w:bookmarkStart w:id="18" w:name="_Toc103691128"/>
      <w:r>
        <w:t>The importance of s</w:t>
      </w:r>
      <w:r w:rsidR="00D2464A">
        <w:t>pectrum</w:t>
      </w:r>
      <w:bookmarkEnd w:id="16"/>
      <w:r w:rsidR="00D2464A">
        <w:t xml:space="preserve"> </w:t>
      </w:r>
      <w:bookmarkEnd w:id="17"/>
      <w:bookmarkEnd w:id="18"/>
    </w:p>
    <w:p w14:paraId="2824F27C" w14:textId="77777777" w:rsidR="005673E5" w:rsidRDefault="005673E5" w:rsidP="005673E5">
      <w:r>
        <w:t>Spectrum is essential to a digitally networked economy and a major contributor to Australia’s economic and social wellbeing. It is critical infrastructure enabling production for industrial, commercial, educational and other social services. The economic value of Australia’s spectrum to the national economy is estimated to be $177 billion over 15 years.</w:t>
      </w:r>
      <w:r>
        <w:rPr>
          <w:rStyle w:val="FootnoteReference"/>
        </w:rPr>
        <w:footnoteReference w:id="6"/>
      </w:r>
    </w:p>
    <w:p w14:paraId="2C7736DF" w14:textId="1B8CCEE1" w:rsidR="005673E5" w:rsidRDefault="005673E5" w:rsidP="005673E5">
      <w:pPr>
        <w:pStyle w:val="CommentText"/>
      </w:pPr>
      <w:r>
        <w:t xml:space="preserve">As technology advances, there are increasingly novel ways to use spectrum to communicate and send information. Sector wide changes are challenging the efficiency, </w:t>
      </w:r>
      <w:r w:rsidR="0043692D">
        <w:t>productivity,</w:t>
      </w:r>
      <w:r>
        <w:t xml:space="preserve"> and accessibility of the current arrangements for spectrum management. The extent to which the benefits of spectrum are realised or improved upon will depend in part on the ability of the spectrum management regulatory arrangements to accommodate this rapid technological change and respond to increasing demand.</w:t>
      </w:r>
    </w:p>
    <w:p w14:paraId="58892D34" w14:textId="4C0FAEB8" w:rsidR="003C7CC4" w:rsidRDefault="00E50814" w:rsidP="005E454C">
      <w:pPr>
        <w:pStyle w:val="Heading2"/>
      </w:pPr>
      <w:bookmarkStart w:id="19" w:name="_Toc137640962"/>
      <w:r>
        <w:t xml:space="preserve">Facilitating </w:t>
      </w:r>
      <w:r w:rsidR="00225F73" w:rsidRPr="00225F73">
        <w:t xml:space="preserve">wireless broadband (WBB) services </w:t>
      </w:r>
      <w:r w:rsidR="008841AF">
        <w:t>in remote areas</w:t>
      </w:r>
      <w:bookmarkEnd w:id="19"/>
    </w:p>
    <w:p w14:paraId="53F84942" w14:textId="3F684F0A" w:rsidR="00533BC9" w:rsidRPr="001E3B23" w:rsidRDefault="005B523C" w:rsidP="00533BC9">
      <w:pPr>
        <w:pStyle w:val="Heading3"/>
      </w:pPr>
      <w:bookmarkStart w:id="20" w:name="_Toc137640963"/>
      <w:r>
        <w:t xml:space="preserve">Affected stakeholders - </w:t>
      </w:r>
      <w:r w:rsidR="00533BC9" w:rsidRPr="001E3B23">
        <w:t>Demand for WBB</w:t>
      </w:r>
      <w:bookmarkEnd w:id="20"/>
    </w:p>
    <w:p w14:paraId="0B3ABCBE" w14:textId="03E9608A" w:rsidR="0098095D" w:rsidRDefault="004F6A31" w:rsidP="002C0696">
      <w:r>
        <w:t xml:space="preserve">Through </w:t>
      </w:r>
      <w:r w:rsidR="00007833">
        <w:t>ongoing engagement with stakeholders</w:t>
      </w:r>
      <w:r w:rsidR="00D4744F">
        <w:t xml:space="preserve"> via the</w:t>
      </w:r>
      <w:r w:rsidR="00C468D8">
        <w:t xml:space="preserve"> ACMA’s rolling </w:t>
      </w:r>
      <w:hyperlink r:id="rId32" w:history="1">
        <w:r w:rsidR="00C468D8" w:rsidRPr="0032611E">
          <w:rPr>
            <w:rStyle w:val="Hyperlink"/>
          </w:rPr>
          <w:t>Five</w:t>
        </w:r>
        <w:r w:rsidR="00374293" w:rsidRPr="0032611E">
          <w:rPr>
            <w:rStyle w:val="Hyperlink"/>
          </w:rPr>
          <w:t>-y</w:t>
        </w:r>
        <w:r w:rsidR="004566E0" w:rsidRPr="0032611E">
          <w:rPr>
            <w:rStyle w:val="Hyperlink"/>
          </w:rPr>
          <w:t xml:space="preserve">ear </w:t>
        </w:r>
        <w:r w:rsidR="00374293" w:rsidRPr="0032611E">
          <w:rPr>
            <w:rStyle w:val="Hyperlink"/>
          </w:rPr>
          <w:t>s</w:t>
        </w:r>
        <w:r w:rsidR="004566E0" w:rsidRPr="0032611E">
          <w:rPr>
            <w:rStyle w:val="Hyperlink"/>
          </w:rPr>
          <w:t xml:space="preserve">pectrum </w:t>
        </w:r>
        <w:r w:rsidR="00374293" w:rsidRPr="0032611E">
          <w:rPr>
            <w:rStyle w:val="Hyperlink"/>
          </w:rPr>
          <w:t>o</w:t>
        </w:r>
        <w:r w:rsidR="004566E0" w:rsidRPr="0032611E">
          <w:rPr>
            <w:rStyle w:val="Hyperlink"/>
          </w:rPr>
          <w:t>utlook</w:t>
        </w:r>
      </w:hyperlink>
      <w:r w:rsidR="004566E0">
        <w:t xml:space="preserve"> (</w:t>
      </w:r>
      <w:r w:rsidR="00D4744F">
        <w:t>FYSO</w:t>
      </w:r>
      <w:r w:rsidR="004566E0">
        <w:t>)</w:t>
      </w:r>
      <w:r w:rsidR="00D4744F">
        <w:t>, and consultations for particular allocations (such as the 3.</w:t>
      </w:r>
      <w:r w:rsidR="006B62EF">
        <w:t>6 </w:t>
      </w:r>
      <w:r w:rsidR="00D4744F">
        <w:t xml:space="preserve">GHz allocation), the ACMA </w:t>
      </w:r>
      <w:r w:rsidR="007C2CCA">
        <w:t>expects h</w:t>
      </w:r>
      <w:r w:rsidR="005B399B">
        <w:t>igh d</w:t>
      </w:r>
      <w:r w:rsidR="006C61B7">
        <w:t>emand for WBB</w:t>
      </w:r>
      <w:r w:rsidR="00E2639F">
        <w:t xml:space="preserve"> in general </w:t>
      </w:r>
      <w:r w:rsidR="005B399B">
        <w:t xml:space="preserve">in the short to medium term. </w:t>
      </w:r>
    </w:p>
    <w:p w14:paraId="1D1DB2FE" w14:textId="333B266B" w:rsidR="00C63F42" w:rsidRDefault="00825471" w:rsidP="00AA5879">
      <w:r>
        <w:t xml:space="preserve">We </w:t>
      </w:r>
      <w:r w:rsidR="00FF02A0">
        <w:t xml:space="preserve">continue to see strong demand for spectrum from </w:t>
      </w:r>
      <w:r w:rsidR="00FF02A0" w:rsidRPr="008F0DA3">
        <w:t>wide-area subscriber networks, served by ubiquitous base stations operated by one or more service providers</w:t>
      </w:r>
      <w:r w:rsidR="00AA3AEA">
        <w:t>,</w:t>
      </w:r>
      <w:r w:rsidR="000D3E0E" w:rsidRPr="000D3E0E">
        <w:t xml:space="preserve"> </w:t>
      </w:r>
      <w:r w:rsidR="000D3E0E">
        <w:t>as evidenced by th</w:t>
      </w:r>
      <w:r w:rsidR="000D3E0E" w:rsidRPr="000D3E0E">
        <w:t xml:space="preserve">e last 3 spectrum auctions that the ACMA </w:t>
      </w:r>
      <w:r w:rsidR="000D3E0E" w:rsidRPr="000D3E0E" w:rsidDel="00AA3AEA">
        <w:t xml:space="preserve">has </w:t>
      </w:r>
      <w:r w:rsidR="000D3E0E" w:rsidRPr="000D3E0E">
        <w:t xml:space="preserve">conducted </w:t>
      </w:r>
      <w:r w:rsidR="00AA3AEA">
        <w:t xml:space="preserve">which </w:t>
      </w:r>
      <w:r w:rsidR="000D3E0E" w:rsidRPr="000D3E0E" w:rsidDel="000D00FD">
        <w:t xml:space="preserve">have </w:t>
      </w:r>
      <w:r w:rsidR="000A3A70">
        <w:t xml:space="preserve">supplied </w:t>
      </w:r>
      <w:r w:rsidR="000D3E0E" w:rsidRPr="000D3E0E">
        <w:t xml:space="preserve">spectrum mostly to large mobile network operators or fixed </w:t>
      </w:r>
      <w:r w:rsidR="00683385" w:rsidRPr="000D3E0E">
        <w:t>broa</w:t>
      </w:r>
      <w:r w:rsidR="00683385" w:rsidRPr="000D3E0E" w:rsidDel="006B089D">
        <w:t>d</w:t>
      </w:r>
      <w:r w:rsidR="00683385" w:rsidRPr="000D3E0E">
        <w:t>band</w:t>
      </w:r>
      <w:r w:rsidR="000D3E0E" w:rsidRPr="000D3E0E">
        <w:t xml:space="preserve"> network operators</w:t>
      </w:r>
      <w:r w:rsidR="000A3A70">
        <w:t xml:space="preserve"> to deliver 5</w:t>
      </w:r>
      <w:r w:rsidR="4D550E9A">
        <w:t>G</w:t>
      </w:r>
      <w:r w:rsidR="000A3A70">
        <w:t xml:space="preserve"> services</w:t>
      </w:r>
      <w:r w:rsidR="000D3E0E" w:rsidRPr="000D3E0E">
        <w:t>.</w:t>
      </w:r>
      <w:r w:rsidR="000D00FD">
        <w:rPr>
          <w:rStyle w:val="FootnoteReference"/>
        </w:rPr>
        <w:footnoteReference w:id="7"/>
      </w:r>
      <w:r w:rsidR="000D3E0E" w:rsidRPr="000D3E0E">
        <w:t xml:space="preserve"> </w:t>
      </w:r>
      <w:r w:rsidR="000D00FD">
        <w:t>T</w:t>
      </w:r>
      <w:r w:rsidR="00FF02A0" w:rsidRPr="008F0DA3">
        <w:t xml:space="preserve">his </w:t>
      </w:r>
      <w:r w:rsidR="005D5CBC">
        <w:t xml:space="preserve">WBB </w:t>
      </w:r>
      <w:r w:rsidR="00FF02A0" w:rsidRPr="008F0DA3">
        <w:t xml:space="preserve">category could be considered ‘conventional’ </w:t>
      </w:r>
      <w:r w:rsidR="009E3D8E">
        <w:t xml:space="preserve">wide area </w:t>
      </w:r>
      <w:r w:rsidR="00FF02A0" w:rsidRPr="008F0DA3">
        <w:t>telecommunication carrier fixed or mobile broadband operations.</w:t>
      </w:r>
    </w:p>
    <w:p w14:paraId="6C9FD7BA" w14:textId="2D181950" w:rsidR="00E4761E" w:rsidRDefault="00E4761E" w:rsidP="00E4761E">
      <w:r>
        <w:t xml:space="preserve">We are also seeing increasing interest </w:t>
      </w:r>
      <w:r w:rsidR="00A33844">
        <w:t>f</w:t>
      </w:r>
      <w:r w:rsidR="00EB0760">
        <w:t>or</w:t>
      </w:r>
      <w:r w:rsidR="00A33844">
        <w:t xml:space="preserve"> smaller, more localised </w:t>
      </w:r>
      <w:r w:rsidR="00EB0760">
        <w:t>broadband applications (LA WBB)</w:t>
      </w:r>
      <w:r w:rsidR="008A4B7B">
        <w:t xml:space="preserve"> through feedback from stakeholders and </w:t>
      </w:r>
      <w:r w:rsidR="00562524">
        <w:t xml:space="preserve">overseas </w:t>
      </w:r>
      <w:r w:rsidR="008A4B7B">
        <w:t>trends</w:t>
      </w:r>
      <w:r w:rsidR="00EB0760">
        <w:t xml:space="preserve">. For example, </w:t>
      </w:r>
      <w:r>
        <w:t>in the deployment of private networks</w:t>
      </w:r>
      <w:r w:rsidR="00C05D5B">
        <w:t xml:space="preserve"> due to </w:t>
      </w:r>
      <w:r>
        <w:t xml:space="preserve">a growing number of enterprises place greater value on having dedicated local area WBB networks for advanced, secure connectivity. In this enterprise market, automation, artificial intelligence (AI) and advanced sensing requirements are driving demand for high-speed connectivity and low latency. The construction and mining sectors were early adopters of private networks, </w:t>
      </w:r>
      <w:r w:rsidR="00CB4D0C">
        <w:t xml:space="preserve">with those types of </w:t>
      </w:r>
      <w:r w:rsidR="002100FF">
        <w:t xml:space="preserve">networks </w:t>
      </w:r>
      <w:r>
        <w:t xml:space="preserve">now increasingly found in the agribusiness, transport and logistics, utilities, and hospitality sectors. We are supporting these use cases through licensing arrangements for local area WBB and </w:t>
      </w:r>
      <w:r w:rsidR="00B002F2">
        <w:t xml:space="preserve">the </w:t>
      </w:r>
      <w:r w:rsidR="001346D8">
        <w:t>i</w:t>
      </w:r>
      <w:r w:rsidR="00B002F2">
        <w:t>nternet of things (</w:t>
      </w:r>
      <w:r>
        <w:t>IoT</w:t>
      </w:r>
      <w:r w:rsidR="00B002F2">
        <w:t>)</w:t>
      </w:r>
      <w:r>
        <w:t>.</w:t>
      </w:r>
    </w:p>
    <w:p w14:paraId="4B23E20C" w14:textId="473560DC" w:rsidR="00E4761E" w:rsidRDefault="0084065A" w:rsidP="00E4761E">
      <w:r>
        <w:t>Many p</w:t>
      </w:r>
      <w:r w:rsidR="00E4761E">
        <w:t xml:space="preserve">rivate networks are </w:t>
      </w:r>
      <w:r w:rsidR="00F35417">
        <w:t xml:space="preserve">currently </w:t>
      </w:r>
      <w:r w:rsidR="00E4761E">
        <w:t xml:space="preserve">delivered using 4G </w:t>
      </w:r>
      <w:r w:rsidR="001C6EE1">
        <w:t xml:space="preserve">or proprietary </w:t>
      </w:r>
      <w:r w:rsidR="00E4761E">
        <w:t>technology</w:t>
      </w:r>
      <w:r w:rsidR="008A22A1">
        <w:t>. I</w:t>
      </w:r>
      <w:r w:rsidR="00E4761E">
        <w:t>ndustry trials to deploy private 5G options, which can deliver higher speeds and sustained high throughput</w:t>
      </w:r>
      <w:r w:rsidR="00412F78">
        <w:t>,</w:t>
      </w:r>
      <w:r w:rsidR="00E4761E">
        <w:t xml:space="preserve"> will maintain the pressure for spectrum to support 5G connectivity. It is expected that private networks will continue to increase in number, and most new networks will use 5G technology</w:t>
      </w:r>
      <w:r w:rsidR="00E4761E">
        <w:rPr>
          <w:rStyle w:val="FootnoteReference"/>
        </w:rPr>
        <w:footnoteReference w:id="8"/>
      </w:r>
      <w:r w:rsidR="00E4761E">
        <w:t>. Research suggests that the uptake of 5G is expected to be faster than 4G globally, and that by 2027, just under half of global mobile subscriptions will be 5G</w:t>
      </w:r>
      <w:r w:rsidR="00E4761E">
        <w:rPr>
          <w:rStyle w:val="FootnoteReference"/>
        </w:rPr>
        <w:footnoteReference w:id="9"/>
      </w:r>
      <w:r w:rsidR="00E30897">
        <w:t xml:space="preserve"> (see </w:t>
      </w:r>
      <w:r w:rsidR="005707A4">
        <w:t>figure 1)</w:t>
      </w:r>
      <w:r w:rsidR="00E4761E">
        <w:t>. To support this, we continue to provide</w:t>
      </w:r>
      <w:r w:rsidR="00AE2E10">
        <w:t xml:space="preserve"> spectrum</w:t>
      </w:r>
      <w:r w:rsidR="00E4761E">
        <w:t xml:space="preserve"> for this sector, with our immediate focus on forthcoming mid-band allocations to release spectrum for WBB use. </w:t>
      </w:r>
    </w:p>
    <w:p w14:paraId="574534EB" w14:textId="3EBCAE67" w:rsidR="00C07012" w:rsidRDefault="00C07012" w:rsidP="00C07012">
      <w:pPr>
        <w:pStyle w:val="Caption"/>
        <w:numPr>
          <w:ilvl w:val="0"/>
          <w:numId w:val="0"/>
        </w:numPr>
        <w:ind w:left="964" w:hanging="964"/>
      </w:pPr>
      <w:r>
        <w:t xml:space="preserve">Figure </w:t>
      </w:r>
      <w:r>
        <w:fldChar w:fldCharType="begin"/>
      </w:r>
      <w:r>
        <w:instrText>SEQ Figure \* ARABIC</w:instrText>
      </w:r>
      <w:r>
        <w:fldChar w:fldCharType="separate"/>
      </w:r>
      <w:r w:rsidR="00066692">
        <w:rPr>
          <w:noProof/>
        </w:rPr>
        <w:t>1</w:t>
      </w:r>
      <w:r>
        <w:fldChar w:fldCharType="end"/>
      </w:r>
      <w:r>
        <w:t xml:space="preserve">: </w:t>
      </w:r>
      <w:r w:rsidR="007C6784">
        <w:t>mobile subscriptions by technology (billion)</w:t>
      </w:r>
    </w:p>
    <w:p w14:paraId="2006EA00" w14:textId="6730D416" w:rsidR="00C77EA3" w:rsidRDefault="00C07012" w:rsidP="005603B2">
      <w:pPr>
        <w:pStyle w:val="Caption"/>
        <w:numPr>
          <w:ilvl w:val="0"/>
          <w:numId w:val="0"/>
        </w:numPr>
        <w:ind w:left="964" w:hanging="964"/>
      </w:pPr>
      <w:r>
        <w:rPr>
          <w:noProof/>
        </w:rPr>
        <w:drawing>
          <wp:inline distT="0" distB="0" distL="0" distR="0" wp14:anchorId="2022D6FB" wp14:editId="34A4C385">
            <wp:extent cx="4871085" cy="2281555"/>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71085" cy="2281555"/>
                    </a:xfrm>
                    <a:prstGeom prst="rect">
                      <a:avLst/>
                    </a:prstGeom>
                  </pic:spPr>
                </pic:pic>
              </a:graphicData>
            </a:graphic>
          </wp:inline>
        </w:drawing>
      </w:r>
    </w:p>
    <w:p w14:paraId="3A2D7E0B" w14:textId="1E79BBA6" w:rsidR="00155F1D" w:rsidRDefault="00EF4871" w:rsidP="005603B2">
      <w:pPr>
        <w:pStyle w:val="Tableorfigurenote"/>
      </w:pPr>
      <w:r>
        <w:t>Source:</w:t>
      </w:r>
      <w:r w:rsidR="00803183" w:rsidRPr="00803183">
        <w:t xml:space="preserve"> </w:t>
      </w:r>
      <w:hyperlink r:id="rId34" w:history="1">
        <w:r w:rsidR="00803183">
          <w:rPr>
            <w:rStyle w:val="Hyperlink"/>
          </w:rPr>
          <w:t>Ericsson Mobility Report</w:t>
        </w:r>
      </w:hyperlink>
      <w:r w:rsidR="00803183">
        <w:t>, June 2022</w:t>
      </w:r>
      <w:r w:rsidR="00F92FE4">
        <w:t>, p 4.</w:t>
      </w:r>
    </w:p>
    <w:p w14:paraId="741E442F" w14:textId="37DD26FD" w:rsidR="001D388D" w:rsidRDefault="0057331F" w:rsidP="00413535">
      <w:r>
        <w:t xml:space="preserve">Introducing AWLs to facilitate LA WBB does not preclude other service types, but rather broadens the scope of services interested in using the band. </w:t>
      </w:r>
    </w:p>
    <w:p w14:paraId="01B74B79" w14:textId="33EA7334" w:rsidR="00893D08" w:rsidRDefault="00893D08" w:rsidP="003F30E5">
      <w:r>
        <w:t xml:space="preserve">Note that the work </w:t>
      </w:r>
      <w:r w:rsidR="000F4BA2">
        <w:t xml:space="preserve">proposed here </w:t>
      </w:r>
      <w:r>
        <w:t>to allocate AWLs in this band</w:t>
      </w:r>
      <w:r w:rsidR="000F4BA2">
        <w:t xml:space="preserve"> is one of a many </w:t>
      </w:r>
      <w:r w:rsidR="003100DE">
        <w:t>ACMA workstreams and bands that are planned to accommodate WBB and 5</w:t>
      </w:r>
      <w:r w:rsidR="007F02A5">
        <w:t>G services. The broader work program is</w:t>
      </w:r>
      <w:r w:rsidR="00855620">
        <w:t xml:space="preserve"> detailed in the </w:t>
      </w:r>
      <w:hyperlink r:id="rId35" w:history="1">
        <w:r w:rsidR="00855620">
          <w:rPr>
            <w:rStyle w:val="Hyperlink"/>
          </w:rPr>
          <w:t>Five-year spectrum outlook | ACMA</w:t>
        </w:r>
      </w:hyperlink>
      <w:r w:rsidR="00855620">
        <w:t xml:space="preserve">. </w:t>
      </w:r>
      <w:r w:rsidR="00BB0060">
        <w:t>The bulk of the demand for these services will b</w:t>
      </w:r>
      <w:r w:rsidR="006C53BA">
        <w:t xml:space="preserve">e in metropolitan and urban areas. </w:t>
      </w:r>
      <w:r w:rsidR="00880EE3">
        <w:t xml:space="preserve">The </w:t>
      </w:r>
      <w:r w:rsidR="00AC087E">
        <w:t xml:space="preserve">lower demand expectations for this remote area allocation is reflected in analysis in Appendix A. </w:t>
      </w:r>
    </w:p>
    <w:p w14:paraId="0811D321" w14:textId="3F7C5ABD" w:rsidR="003B65BF" w:rsidRDefault="00CA1EE6" w:rsidP="002C0696">
      <w:pPr>
        <w:pStyle w:val="Heading3"/>
      </w:pPr>
      <w:bookmarkStart w:id="21" w:name="_Toc137640964"/>
      <w:r>
        <w:t xml:space="preserve">Current licensing options v </w:t>
      </w:r>
      <w:r w:rsidR="00DA2B04">
        <w:t>area-wide licences (</w:t>
      </w:r>
      <w:r w:rsidR="003B65BF" w:rsidRPr="00B235B4">
        <w:t>AWLs</w:t>
      </w:r>
      <w:r w:rsidR="00DA2B04">
        <w:t>)</w:t>
      </w:r>
      <w:r w:rsidR="003D6F31">
        <w:t xml:space="preserve">: Why </w:t>
      </w:r>
      <w:r w:rsidR="00EC04D6">
        <w:t>AWLs</w:t>
      </w:r>
      <w:r w:rsidR="00B15FB8">
        <w:t xml:space="preserve"> </w:t>
      </w:r>
      <w:r w:rsidR="008C345A">
        <w:t>are better tailored to meet expected demand for LA WBB</w:t>
      </w:r>
      <w:bookmarkEnd w:id="21"/>
      <w:r w:rsidR="00BA2CD4">
        <w:t xml:space="preserve"> </w:t>
      </w:r>
    </w:p>
    <w:p w14:paraId="1E075C4A" w14:textId="794BF1C3" w:rsidR="00CF53EF" w:rsidRDefault="00DF04D6" w:rsidP="00DF04D6">
      <w:r>
        <w:t xml:space="preserve">Facilitating wireless broadband (WBB) services in remote areas will </w:t>
      </w:r>
      <w:r w:rsidR="00F868A5">
        <w:t xml:space="preserve">facilitate </w:t>
      </w:r>
      <w:r w:rsidR="00051A63">
        <w:t>5G services</w:t>
      </w:r>
      <w:r w:rsidR="00177BA2">
        <w:t xml:space="preserve"> which </w:t>
      </w:r>
      <w:r w:rsidR="008E72C8">
        <w:t xml:space="preserve">is expected to generate economic benefits for </w:t>
      </w:r>
      <w:r w:rsidR="0018198F">
        <w:t xml:space="preserve">licensees, and also generate flow-on benefits for </w:t>
      </w:r>
      <w:r w:rsidR="00DD269C">
        <w:t>their customer</w:t>
      </w:r>
      <w:r w:rsidR="0018198F">
        <w:t>s</w:t>
      </w:r>
      <w:r w:rsidR="00565D5D">
        <w:t>.</w:t>
      </w:r>
      <w:r w:rsidR="00AC1F22">
        <w:t xml:space="preserve"> </w:t>
      </w:r>
      <w:r w:rsidR="006B5F89">
        <w:t>S</w:t>
      </w:r>
      <w:r w:rsidR="00E24CB6">
        <w:t>ubmissions to our consultations</w:t>
      </w:r>
      <w:r w:rsidR="006B5F89">
        <w:t xml:space="preserve"> indicate underlying demand for these services in this band</w:t>
      </w:r>
      <w:r w:rsidR="00AE087F">
        <w:t>.</w:t>
      </w:r>
      <w:r w:rsidR="00D62671">
        <w:t xml:space="preserve"> </w:t>
      </w:r>
    </w:p>
    <w:p w14:paraId="787636E1" w14:textId="77777777" w:rsidR="00CF53EF" w:rsidRDefault="00CF53EF" w:rsidP="00CF53EF">
      <w:pPr>
        <w:rPr>
          <w:rFonts w:cs="Arial"/>
          <w:color w:val="000000"/>
        </w:rPr>
      </w:pPr>
      <w:r>
        <w:rPr>
          <w:rFonts w:cs="Arial"/>
          <w:color w:val="000000" w:themeColor="text1"/>
        </w:rPr>
        <w:t>T</w:t>
      </w:r>
      <w:r w:rsidRPr="5C055DD7">
        <w:rPr>
          <w:rFonts w:cs="Arial"/>
          <w:color w:val="000000" w:themeColor="text1"/>
        </w:rPr>
        <w:t xml:space="preserve">he </w:t>
      </w:r>
      <w:hyperlink r:id="rId36">
        <w:r w:rsidRPr="5C055DD7">
          <w:rPr>
            <w:rStyle w:val="Hyperlink"/>
            <w:rFonts w:cs="Arial"/>
          </w:rPr>
          <w:t>area-wide licence (AWL) type</w:t>
        </w:r>
      </w:hyperlink>
      <w:r w:rsidRPr="5C055DD7">
        <w:rPr>
          <w:rFonts w:cs="Arial"/>
          <w:color w:val="000000" w:themeColor="text1"/>
        </w:rPr>
        <w:t xml:space="preserve"> was introduced in 2020 in the 26 GHz and 28 GHz bands to facilitate rollout of millimetre wave (mmWave) band 5G wireless broadband services. There is a similar opportunity here to introduce AWLs in the 3.4-4 GHz band in remote areas to support a variety of wireless broadband (WBB) services to improve the efficient planning, allocation and use of the spectrum. </w:t>
      </w:r>
    </w:p>
    <w:p w14:paraId="6A246107" w14:textId="77777777" w:rsidR="00CF53EF" w:rsidRDefault="00CF53EF" w:rsidP="00CF53EF">
      <w:pPr>
        <w:rPr>
          <w:rFonts w:cs="Arial"/>
          <w:color w:val="000000"/>
          <w:szCs w:val="20"/>
        </w:rPr>
      </w:pPr>
      <w:r w:rsidRPr="00EE4157">
        <w:rPr>
          <w:rFonts w:cs="Arial"/>
          <w:color w:val="000000"/>
          <w:szCs w:val="20"/>
        </w:rPr>
        <w:t xml:space="preserve">The </w:t>
      </w:r>
      <w:r>
        <w:rPr>
          <w:rFonts w:cs="Arial"/>
          <w:color w:val="000000"/>
          <w:szCs w:val="20"/>
        </w:rPr>
        <w:t>AWL</w:t>
      </w:r>
      <w:r w:rsidRPr="00EE4157">
        <w:rPr>
          <w:rFonts w:cs="Arial"/>
          <w:color w:val="000000"/>
          <w:szCs w:val="20"/>
        </w:rPr>
        <w:t xml:space="preserve"> type is intended to support scalable applications, enabling its use for authorising access to different-sized geographic areas and bandwidths. Unlike existing apparatus licence types – which typically align with specific uses and purposes – the AWL type is intended to authorise a variety of services, uses, applications and technologies. For </w:t>
      </w:r>
      <w:r>
        <w:rPr>
          <w:rFonts w:cs="Arial"/>
          <w:color w:val="000000"/>
          <w:szCs w:val="20"/>
        </w:rPr>
        <w:t>each</w:t>
      </w:r>
      <w:r w:rsidRPr="00EE4157">
        <w:rPr>
          <w:rFonts w:cs="Arial"/>
          <w:color w:val="000000"/>
          <w:szCs w:val="20"/>
        </w:rPr>
        <w:t xml:space="preserve"> frequency band, conditions </w:t>
      </w:r>
      <w:r>
        <w:rPr>
          <w:rFonts w:cs="Arial"/>
          <w:color w:val="000000"/>
          <w:szCs w:val="20"/>
        </w:rPr>
        <w:t xml:space="preserve">are </w:t>
      </w:r>
      <w:r w:rsidRPr="00EE4157">
        <w:rPr>
          <w:rFonts w:cs="Arial"/>
          <w:color w:val="000000"/>
          <w:szCs w:val="20"/>
        </w:rPr>
        <w:t xml:space="preserve">developed to suit the intended </w:t>
      </w:r>
      <w:r>
        <w:rPr>
          <w:rFonts w:cs="Arial"/>
          <w:color w:val="000000"/>
          <w:szCs w:val="20"/>
        </w:rPr>
        <w:t xml:space="preserve">range of </w:t>
      </w:r>
      <w:r w:rsidRPr="00EE4157">
        <w:rPr>
          <w:rFonts w:cs="Arial"/>
          <w:color w:val="000000"/>
          <w:szCs w:val="20"/>
        </w:rPr>
        <w:t>services</w:t>
      </w:r>
      <w:r>
        <w:rPr>
          <w:rFonts w:cs="Arial"/>
          <w:color w:val="000000"/>
          <w:szCs w:val="20"/>
        </w:rPr>
        <w:t xml:space="preserve"> and/or use cases</w:t>
      </w:r>
      <w:r w:rsidRPr="00EE4157">
        <w:rPr>
          <w:rFonts w:cs="Arial"/>
          <w:color w:val="000000"/>
          <w:szCs w:val="20"/>
        </w:rPr>
        <w:t>.</w:t>
      </w:r>
    </w:p>
    <w:p w14:paraId="4666BD1B" w14:textId="113D37BC" w:rsidR="00DF04D6" w:rsidRPr="00B33A50" w:rsidRDefault="00D62671" w:rsidP="00DF04D6">
      <w:r>
        <w:t>In this RIS</w:t>
      </w:r>
      <w:r w:rsidR="00AE087F">
        <w:t xml:space="preserve"> </w:t>
      </w:r>
      <w:r>
        <w:t>w</w:t>
      </w:r>
      <w:r w:rsidR="00AE087F">
        <w:t xml:space="preserve">e use </w:t>
      </w:r>
      <w:r>
        <w:t xml:space="preserve">the </w:t>
      </w:r>
      <w:r w:rsidR="00AE087F">
        <w:t>current</w:t>
      </w:r>
      <w:r w:rsidR="00925104">
        <w:t xml:space="preserve"> number of AWL licences in the 26/28 GHz band </w:t>
      </w:r>
      <w:r w:rsidR="00214C1D">
        <w:t xml:space="preserve">(88 licences as at 24 May 2022) </w:t>
      </w:r>
      <w:r w:rsidR="00925104">
        <w:t xml:space="preserve">as a proxy for demand that we </w:t>
      </w:r>
      <w:r w:rsidR="007177C6">
        <w:t xml:space="preserve">might </w:t>
      </w:r>
      <w:r w:rsidR="00925104">
        <w:t xml:space="preserve">expect </w:t>
      </w:r>
      <w:r w:rsidR="00214C1D">
        <w:t>for AWL</w:t>
      </w:r>
      <w:r w:rsidR="00A55C74">
        <w:t>s</w:t>
      </w:r>
      <w:r w:rsidR="00214C1D">
        <w:t xml:space="preserve"> </w:t>
      </w:r>
      <w:r w:rsidR="00925104">
        <w:t>in</w:t>
      </w:r>
      <w:r w:rsidR="00214C1D">
        <w:t xml:space="preserve"> this band (see </w:t>
      </w:r>
      <w:r w:rsidR="0052252D">
        <w:fldChar w:fldCharType="begin"/>
      </w:r>
      <w:r w:rsidR="0052252D">
        <w:instrText xml:space="preserve"> REF _Ref117256380 \h </w:instrText>
      </w:r>
      <w:r w:rsidR="0052252D">
        <w:fldChar w:fldCharType="separate"/>
      </w:r>
      <w:r w:rsidR="00066692" w:rsidRPr="00F87164">
        <w:t>Appendix A – Estimated Cost and Benefits</w:t>
      </w:r>
      <w:r w:rsidR="0052252D">
        <w:fldChar w:fldCharType="end"/>
      </w:r>
      <w:r>
        <w:t>).</w:t>
      </w:r>
    </w:p>
    <w:p w14:paraId="6E71929E" w14:textId="749D5B85" w:rsidR="00DF04D6" w:rsidRPr="00C20D40" w:rsidRDefault="00DF04D6" w:rsidP="00DF04D6">
      <w:r>
        <w:t>The ACMA can meet the demand for this spectrum for WBB using t</w:t>
      </w:r>
      <w:r w:rsidRPr="00C20D40">
        <w:t xml:space="preserve">he current </w:t>
      </w:r>
      <w:r>
        <w:t xml:space="preserve">apparatus </w:t>
      </w:r>
      <w:r w:rsidRPr="00C20D40">
        <w:t xml:space="preserve">licensing and pricing framework </w:t>
      </w:r>
      <w:r>
        <w:t>for access to the 3.4-4 GHz band</w:t>
      </w:r>
      <w:r w:rsidR="00C60E8B">
        <w:t>. H</w:t>
      </w:r>
      <w:r>
        <w:t>owever</w:t>
      </w:r>
      <w:r w:rsidR="00C60E8B">
        <w:t xml:space="preserve">, the </w:t>
      </w:r>
      <w:r w:rsidR="009F7BA1">
        <w:t>current framework</w:t>
      </w:r>
      <w:r>
        <w:t xml:space="preserve"> </w:t>
      </w:r>
      <w:r w:rsidR="007A1251">
        <w:t xml:space="preserve">it </w:t>
      </w:r>
      <w:r>
        <w:t xml:space="preserve">is </w:t>
      </w:r>
      <w:r w:rsidRPr="00C20D40">
        <w:t xml:space="preserve">not optimised for </w:t>
      </w:r>
      <w:r w:rsidR="00801B0B">
        <w:t xml:space="preserve">the variety of </w:t>
      </w:r>
      <w:r w:rsidR="00613278">
        <w:t xml:space="preserve">relatively new </w:t>
      </w:r>
      <w:r w:rsidR="00801B0B">
        <w:t xml:space="preserve">use cases (such as </w:t>
      </w:r>
      <w:r w:rsidRPr="00C20D40">
        <w:t xml:space="preserve">‘small-area’ </w:t>
      </w:r>
      <w:r w:rsidR="008740A1" w:rsidRPr="00C20D40">
        <w:t xml:space="preserve">wireless broadband </w:t>
      </w:r>
      <w:r w:rsidRPr="00C20D40">
        <w:t>multi-device deployments</w:t>
      </w:r>
      <w:r w:rsidR="008740A1">
        <w:t>)</w:t>
      </w:r>
      <w:r w:rsidRPr="00C20D40">
        <w:t xml:space="preserve"> that are expected in the 3.4-4 GHz band in remote areas.</w:t>
      </w:r>
      <w:r>
        <w:t xml:space="preserve"> These small-area deployments are referred to as ‘local area WBB’ or LA WBB. Thus</w:t>
      </w:r>
      <w:r w:rsidR="008740A1">
        <w:t>,</w:t>
      </w:r>
      <w:r>
        <w:t xml:space="preserve"> there is an opportunity for the ACMA to </w:t>
      </w:r>
      <w:r w:rsidR="00B24B84">
        <w:t>adopt</w:t>
      </w:r>
      <w:r>
        <w:t xml:space="preserve"> licensing and pricing arrangements to better </w:t>
      </w:r>
      <w:r w:rsidR="00B24B84">
        <w:t xml:space="preserve">address the expected demand for these localised uses of spectrum and so </w:t>
      </w:r>
      <w:r>
        <w:t xml:space="preserve">meet </w:t>
      </w:r>
      <w:r w:rsidR="007C34F7">
        <w:t xml:space="preserve">government and regulatory objectives (see </w:t>
      </w:r>
      <w:r w:rsidR="00D5323F">
        <w:t>‘</w:t>
      </w:r>
      <w:r w:rsidR="007C34F7">
        <w:fldChar w:fldCharType="begin"/>
      </w:r>
      <w:r w:rsidR="007C34F7">
        <w:instrText xml:space="preserve"> REF _Ref117500342 \h </w:instrText>
      </w:r>
      <w:r w:rsidR="007C34F7">
        <w:fldChar w:fldCharType="separate"/>
      </w:r>
      <w:r w:rsidR="00066692">
        <w:t>Government objectives</w:t>
      </w:r>
      <w:r w:rsidR="007C34F7">
        <w:fldChar w:fldCharType="end"/>
      </w:r>
      <w:r w:rsidR="00D5323F">
        <w:t>’ section</w:t>
      </w:r>
      <w:r w:rsidR="007C34F7">
        <w:t>)</w:t>
      </w:r>
      <w:r>
        <w:t xml:space="preserve">. </w:t>
      </w:r>
      <w:r w:rsidR="00E970C9">
        <w:t>Not creating this licensing option is likely to hinder</w:t>
      </w:r>
      <w:r w:rsidR="008F09DB">
        <w:t xml:space="preserve"> these expected LA WBB use cases from obtaining spectrum and </w:t>
      </w:r>
      <w:r w:rsidR="0052252D">
        <w:t xml:space="preserve">deploying services (see Section </w:t>
      </w:r>
      <w:r w:rsidR="0052252D">
        <w:fldChar w:fldCharType="begin"/>
      </w:r>
      <w:r w:rsidR="0052252D">
        <w:instrText xml:space="preserve"> REF _Ref117256405 \h </w:instrText>
      </w:r>
      <w:r w:rsidR="0052252D">
        <w:fldChar w:fldCharType="separate"/>
      </w:r>
      <w:r w:rsidR="00066692" w:rsidRPr="000A3902">
        <w:t xml:space="preserve">4. </w:t>
      </w:r>
      <w:r w:rsidR="00066692">
        <w:t>What are the expected benefits of the options?</w:t>
      </w:r>
      <w:r w:rsidR="0052252D">
        <w:fldChar w:fldCharType="end"/>
      </w:r>
      <w:r w:rsidR="0052252D">
        <w:t>).</w:t>
      </w:r>
    </w:p>
    <w:p w14:paraId="2EFCF576" w14:textId="77777777" w:rsidR="003C7CC4" w:rsidRPr="00A7032A" w:rsidRDefault="003C7CC4" w:rsidP="005E454C">
      <w:pPr>
        <w:pStyle w:val="Heading1"/>
      </w:pPr>
      <w:bookmarkStart w:id="22" w:name="_Toc32833686"/>
      <w:bookmarkStart w:id="23" w:name="_Toc32833741"/>
      <w:bookmarkStart w:id="24" w:name="_Toc32833814"/>
      <w:bookmarkStart w:id="25" w:name="_Toc33176369"/>
      <w:bookmarkStart w:id="26" w:name="_Toc137640965"/>
      <w:r w:rsidRPr="00A7032A">
        <w:t>2.</w:t>
      </w:r>
      <w:r w:rsidRPr="00A7032A">
        <w:tab/>
        <w:t>Why is government action needed?</w:t>
      </w:r>
      <w:bookmarkEnd w:id="22"/>
      <w:bookmarkEnd w:id="23"/>
      <w:bookmarkEnd w:id="24"/>
      <w:bookmarkEnd w:id="25"/>
      <w:bookmarkEnd w:id="26"/>
    </w:p>
    <w:p w14:paraId="7B96508C" w14:textId="0B96AF41" w:rsidR="009C6EC1" w:rsidRDefault="00AE2203" w:rsidP="00BE02C3">
      <w:bookmarkStart w:id="27" w:name="_Toc32833688"/>
      <w:bookmarkStart w:id="28" w:name="_Toc32833743"/>
      <w:bookmarkStart w:id="29" w:name="_Toc32833816"/>
      <w:bookmarkStart w:id="30" w:name="_Toc33176371"/>
      <w:bookmarkStart w:id="31" w:name="_Hlk29987546"/>
      <w:r>
        <w:rPr>
          <w:noProof/>
        </w:rPr>
        <w:drawing>
          <wp:inline distT="0" distB="0" distL="0" distR="0" wp14:anchorId="2ECE0630" wp14:editId="0B7C39D3">
            <wp:extent cx="4871085" cy="2465705"/>
            <wp:effectExtent l="0" t="0" r="5715" b="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pic:nvPicPr>
                  <pic:blipFill>
                    <a:blip r:embed="rId37"/>
                    <a:stretch>
                      <a:fillRect/>
                    </a:stretch>
                  </pic:blipFill>
                  <pic:spPr>
                    <a:xfrm>
                      <a:off x="0" y="0"/>
                      <a:ext cx="4871085" cy="2465705"/>
                    </a:xfrm>
                    <a:prstGeom prst="rect">
                      <a:avLst/>
                    </a:prstGeom>
                  </pic:spPr>
                </pic:pic>
              </a:graphicData>
            </a:graphic>
          </wp:inline>
        </w:drawing>
      </w:r>
    </w:p>
    <w:p w14:paraId="0274754D" w14:textId="4E8353C8" w:rsidR="00AF2D1B" w:rsidRDefault="00AF2D1B" w:rsidP="00AF2D1B">
      <w:pPr>
        <w:pStyle w:val="Heading2"/>
      </w:pPr>
      <w:bookmarkStart w:id="32" w:name="_Ref117500342"/>
      <w:bookmarkStart w:id="33" w:name="_Toc137640966"/>
      <w:r>
        <w:t>Government objectives</w:t>
      </w:r>
      <w:bookmarkEnd w:id="32"/>
      <w:bookmarkEnd w:id="33"/>
      <w:r>
        <w:t xml:space="preserve"> </w:t>
      </w:r>
    </w:p>
    <w:p w14:paraId="697F6C16" w14:textId="77777777" w:rsidR="00A04B56" w:rsidRDefault="00F43484" w:rsidP="004871FB">
      <w:r>
        <w:t>Access to s</w:t>
      </w:r>
      <w:r w:rsidR="00FF4256">
        <w:t xml:space="preserve">pectrum </w:t>
      </w:r>
      <w:r>
        <w:t>is regulated</w:t>
      </w:r>
      <w:r w:rsidR="00FF4256">
        <w:t xml:space="preserve"> </w:t>
      </w:r>
      <w:r w:rsidR="004871FB">
        <w:t xml:space="preserve">because it is a scarce resource and a valuable factor of production that needs to be </w:t>
      </w:r>
      <w:r w:rsidR="004871FB" w:rsidRPr="008679A4">
        <w:t xml:space="preserve">coordinated </w:t>
      </w:r>
      <w:r w:rsidR="004871FB">
        <w:t xml:space="preserve">to </w:t>
      </w:r>
      <w:r w:rsidR="004871FB" w:rsidRPr="008679A4">
        <w:t>ensur</w:t>
      </w:r>
      <w:r w:rsidR="004871FB">
        <w:t>e</w:t>
      </w:r>
      <w:r w:rsidR="004871FB" w:rsidRPr="008679A4">
        <w:t xml:space="preserve"> </w:t>
      </w:r>
      <w:r w:rsidR="004871FB">
        <w:t xml:space="preserve">its operational </w:t>
      </w:r>
      <w:r w:rsidR="004871FB" w:rsidRPr="008679A4">
        <w:t xml:space="preserve">utility </w:t>
      </w:r>
      <w:r w:rsidR="004871FB">
        <w:t xml:space="preserve">(i.e. mitigate the risk of </w:t>
      </w:r>
      <w:r w:rsidR="009F384C">
        <w:t xml:space="preserve">unacceptable </w:t>
      </w:r>
      <w:r w:rsidR="004871FB">
        <w:t>interference)</w:t>
      </w:r>
      <w:r w:rsidR="004871FB" w:rsidRPr="008679A4">
        <w:t>.</w:t>
      </w:r>
      <w:r w:rsidR="00335A96">
        <w:t xml:space="preserve"> </w:t>
      </w:r>
    </w:p>
    <w:p w14:paraId="63911DE8" w14:textId="77777777" w:rsidR="00A04B56" w:rsidRPr="00F93E15" w:rsidRDefault="00A04B56" w:rsidP="00A04B56">
      <w:pPr>
        <w:spacing w:before="120" w:after="120" w:line="240" w:lineRule="auto"/>
        <w:rPr>
          <w:rFonts w:cs="Arial"/>
          <w:iCs/>
          <w:color w:val="000000"/>
          <w:szCs w:val="20"/>
        </w:rPr>
      </w:pPr>
      <w:r w:rsidRPr="00F93E15">
        <w:rPr>
          <w:rFonts w:cs="Arial"/>
          <w:iCs/>
          <w:color w:val="000000"/>
          <w:szCs w:val="20"/>
        </w:rPr>
        <w:t xml:space="preserve">The </w:t>
      </w:r>
      <w:r w:rsidRPr="00F220C0">
        <w:rPr>
          <w:rFonts w:cs="Arial"/>
          <w:iCs/>
          <w:color w:val="000000"/>
          <w:szCs w:val="20"/>
        </w:rPr>
        <w:t xml:space="preserve">ACMA’s </w:t>
      </w:r>
      <w:r>
        <w:rPr>
          <w:rFonts w:cs="Arial"/>
          <w:iCs/>
          <w:color w:val="000000"/>
          <w:szCs w:val="20"/>
        </w:rPr>
        <w:t xml:space="preserve">spectrum management </w:t>
      </w:r>
      <w:r w:rsidRPr="00F220C0">
        <w:rPr>
          <w:rFonts w:cs="Arial"/>
          <w:iCs/>
          <w:color w:val="000000"/>
          <w:szCs w:val="20"/>
        </w:rPr>
        <w:t xml:space="preserve">decisions are guided by the object of the </w:t>
      </w:r>
      <w:hyperlink r:id="rId38" w:tgtFrame="_blank" w:history="1">
        <w:r w:rsidRPr="00781577">
          <w:rPr>
            <w:rFonts w:cs="Arial"/>
            <w:i/>
            <w:color w:val="000000"/>
            <w:szCs w:val="20"/>
          </w:rPr>
          <w:t>Radiocommunications Act 1992</w:t>
        </w:r>
      </w:hyperlink>
      <w:r w:rsidRPr="00F220C0">
        <w:rPr>
          <w:rFonts w:cs="Arial"/>
          <w:iCs/>
          <w:color w:val="000000"/>
          <w:szCs w:val="20"/>
        </w:rPr>
        <w:t xml:space="preserve"> (the Act) to promote the long term public interest derived from the use of the spectrum by providing for the</w:t>
      </w:r>
      <w:r w:rsidRPr="00F93E15">
        <w:rPr>
          <w:rFonts w:cs="Arial"/>
          <w:iCs/>
          <w:color w:val="000000"/>
          <w:szCs w:val="20"/>
        </w:rPr>
        <w:t xml:space="preserve"> management of the spectrum in a manner that: </w:t>
      </w:r>
    </w:p>
    <w:p w14:paraId="5135417F" w14:textId="77777777" w:rsidR="00A04B56" w:rsidRPr="00F93E15" w:rsidRDefault="00A04B56" w:rsidP="00A04B56">
      <w:pPr>
        <w:numPr>
          <w:ilvl w:val="0"/>
          <w:numId w:val="32"/>
        </w:numPr>
        <w:spacing w:before="120" w:after="120" w:line="240" w:lineRule="auto"/>
        <w:rPr>
          <w:rFonts w:cs="Arial"/>
          <w:iCs/>
          <w:color w:val="000000"/>
          <w:szCs w:val="20"/>
        </w:rPr>
      </w:pPr>
      <w:r w:rsidRPr="00F93E15">
        <w:rPr>
          <w:rFonts w:cs="Arial"/>
          <w:iCs/>
          <w:color w:val="000000"/>
          <w:szCs w:val="20"/>
        </w:rPr>
        <w:t>facilitates the efficient planning, allocation and use of the spectrum </w:t>
      </w:r>
    </w:p>
    <w:p w14:paraId="031E746A" w14:textId="77777777" w:rsidR="00A04B56" w:rsidRPr="00F93E15" w:rsidRDefault="00A04B56" w:rsidP="00A04B56">
      <w:pPr>
        <w:numPr>
          <w:ilvl w:val="0"/>
          <w:numId w:val="33"/>
        </w:numPr>
        <w:spacing w:before="120" w:after="120" w:line="240" w:lineRule="auto"/>
        <w:rPr>
          <w:rFonts w:cs="Arial"/>
          <w:iCs/>
          <w:color w:val="000000"/>
          <w:szCs w:val="20"/>
        </w:rPr>
      </w:pPr>
      <w:r w:rsidRPr="00F93E15">
        <w:rPr>
          <w:rFonts w:cs="Arial"/>
          <w:iCs/>
          <w:color w:val="000000"/>
          <w:szCs w:val="20"/>
        </w:rPr>
        <w:t>facilitates the use of the spectrum for: </w:t>
      </w:r>
    </w:p>
    <w:p w14:paraId="4264C0BA" w14:textId="77777777" w:rsidR="00A04B56" w:rsidRPr="00F93E15" w:rsidRDefault="00A04B56" w:rsidP="00A04B56">
      <w:pPr>
        <w:numPr>
          <w:ilvl w:val="0"/>
          <w:numId w:val="34"/>
        </w:numPr>
        <w:tabs>
          <w:tab w:val="clear" w:pos="720"/>
        </w:tabs>
        <w:spacing w:before="120" w:after="120" w:line="240" w:lineRule="auto"/>
        <w:ind w:left="883" w:firstLine="304"/>
        <w:rPr>
          <w:rFonts w:cs="Arial"/>
          <w:iCs/>
          <w:color w:val="000000"/>
          <w:szCs w:val="20"/>
        </w:rPr>
      </w:pPr>
      <w:r w:rsidRPr="00F93E15">
        <w:rPr>
          <w:rFonts w:cs="Arial"/>
          <w:iCs/>
          <w:color w:val="000000"/>
          <w:szCs w:val="20"/>
        </w:rPr>
        <w:t>commercial purposes </w:t>
      </w:r>
    </w:p>
    <w:p w14:paraId="2E427E95" w14:textId="77777777" w:rsidR="00A04B56" w:rsidRPr="00F93E15" w:rsidRDefault="00A04B56" w:rsidP="00A04B56">
      <w:pPr>
        <w:numPr>
          <w:ilvl w:val="0"/>
          <w:numId w:val="35"/>
        </w:numPr>
        <w:tabs>
          <w:tab w:val="clear" w:pos="720"/>
        </w:tabs>
        <w:spacing w:before="120" w:after="120" w:line="240" w:lineRule="auto"/>
        <w:ind w:left="883" w:firstLine="304"/>
        <w:rPr>
          <w:rFonts w:cs="Arial"/>
          <w:iCs/>
          <w:color w:val="000000"/>
          <w:szCs w:val="20"/>
        </w:rPr>
      </w:pPr>
      <w:r w:rsidRPr="00F93E15">
        <w:rPr>
          <w:rFonts w:cs="Arial"/>
          <w:iCs/>
          <w:color w:val="000000"/>
          <w:szCs w:val="20"/>
        </w:rPr>
        <w:t>defence purposes, national security purposes and other non-commercial purposes (including public safety and community purposes) </w:t>
      </w:r>
    </w:p>
    <w:p w14:paraId="47FEF0E5" w14:textId="77777777" w:rsidR="00A04B56" w:rsidRPr="00F93E15" w:rsidRDefault="00A04B56" w:rsidP="00A04B56">
      <w:pPr>
        <w:numPr>
          <w:ilvl w:val="0"/>
          <w:numId w:val="36"/>
        </w:numPr>
        <w:spacing w:before="120" w:after="120" w:line="240" w:lineRule="auto"/>
        <w:rPr>
          <w:rFonts w:cs="Arial"/>
          <w:iCs/>
          <w:color w:val="000000"/>
          <w:szCs w:val="20"/>
        </w:rPr>
      </w:pPr>
      <w:r w:rsidRPr="00F93E15">
        <w:rPr>
          <w:rFonts w:cs="Arial"/>
          <w:iCs/>
          <w:color w:val="000000"/>
          <w:szCs w:val="20"/>
        </w:rPr>
        <w:t>supports the communications policy objectives of the Commonwealth Government. </w:t>
      </w:r>
    </w:p>
    <w:p w14:paraId="4BE13D13" w14:textId="77777777" w:rsidR="00A04B56" w:rsidRDefault="00A04B56" w:rsidP="00A04B56">
      <w:pPr>
        <w:spacing w:before="120" w:after="120" w:line="240" w:lineRule="auto"/>
        <w:rPr>
          <w:rFonts w:cs="Arial"/>
          <w:iCs/>
          <w:color w:val="000000"/>
          <w:szCs w:val="20"/>
        </w:rPr>
      </w:pPr>
      <w:r>
        <w:rPr>
          <w:rFonts w:cs="Arial"/>
          <w:iCs/>
          <w:color w:val="000000"/>
          <w:szCs w:val="20"/>
        </w:rPr>
        <w:t>The ACMA manages the spectrum in accordance with the object of the Act through tools such as planning arrangements, licensing frameworks, pricing structures and compliance and enforcement programs. These arrangements are often made in regulation.</w:t>
      </w:r>
    </w:p>
    <w:p w14:paraId="1AF0E722" w14:textId="5570483C" w:rsidR="00A04B56" w:rsidRPr="00F93E15" w:rsidRDefault="00A04B56" w:rsidP="00A04B56">
      <w:pPr>
        <w:spacing w:before="120" w:after="120" w:line="240" w:lineRule="auto"/>
        <w:rPr>
          <w:rFonts w:cs="Arial"/>
          <w:iCs/>
          <w:color w:val="000000"/>
          <w:szCs w:val="20"/>
        </w:rPr>
      </w:pPr>
      <w:r>
        <w:rPr>
          <w:rFonts w:cs="Arial"/>
          <w:color w:val="000000" w:themeColor="text1"/>
          <w:szCs w:val="20"/>
        </w:rPr>
        <w:t>Relevant to the communications policy objectives of the government, o</w:t>
      </w:r>
      <w:r w:rsidRPr="2B306ECF">
        <w:rPr>
          <w:rFonts w:cs="Arial"/>
          <w:color w:val="000000" w:themeColor="text1"/>
          <w:szCs w:val="20"/>
        </w:rPr>
        <w:t xml:space="preserve">n </w:t>
      </w:r>
      <w:r>
        <w:rPr>
          <w:rFonts w:cs="Arial"/>
          <w:color w:val="000000" w:themeColor="text1"/>
          <w:szCs w:val="20"/>
        </w:rPr>
        <w:t>1</w:t>
      </w:r>
      <w:r w:rsidRPr="2B306ECF">
        <w:rPr>
          <w:rFonts w:cs="Arial"/>
          <w:color w:val="000000" w:themeColor="text1"/>
          <w:szCs w:val="20"/>
        </w:rPr>
        <w:t xml:space="preserve"> February 2022, the</w:t>
      </w:r>
      <w:r>
        <w:rPr>
          <w:rFonts w:cs="Arial"/>
          <w:color w:val="000000" w:themeColor="text1"/>
          <w:szCs w:val="20"/>
        </w:rPr>
        <w:t xml:space="preserve"> then</w:t>
      </w:r>
      <w:r w:rsidRPr="2B306ECF">
        <w:rPr>
          <w:rFonts w:cs="Arial"/>
          <w:color w:val="000000" w:themeColor="text1"/>
          <w:szCs w:val="20"/>
        </w:rPr>
        <w:t xml:space="preserve"> Minister for Communications, Urban Infrastructure, Cities and the Arts issued the </w:t>
      </w:r>
      <w:hyperlink r:id="rId39">
        <w:r w:rsidRPr="00174C3E">
          <w:rPr>
            <w:rStyle w:val="Hyperlink"/>
            <w:rFonts w:eastAsia="Arial"/>
            <w:i/>
            <w:szCs w:val="20"/>
          </w:rPr>
          <w:t xml:space="preserve">Radiocommunications (Ministerial Policy Statement – 3.4–4.0 GHz) Instrument 2022 </w:t>
        </w:r>
      </w:hyperlink>
      <w:r w:rsidRPr="2B306ECF">
        <w:rPr>
          <w:rFonts w:cs="Arial"/>
          <w:color w:val="000000" w:themeColor="text1"/>
          <w:szCs w:val="20"/>
        </w:rPr>
        <w:t>(MPS) under section 28B of the Act, specifying four policy objectives which the ACMA must have regard to when making spectrum management decisions in the 3</w:t>
      </w:r>
      <w:r w:rsidR="00881552">
        <w:rPr>
          <w:rFonts w:cs="Arial"/>
          <w:color w:val="000000" w:themeColor="text1"/>
          <w:szCs w:val="20"/>
        </w:rPr>
        <w:t>.</w:t>
      </w:r>
      <w:r w:rsidRPr="2B306ECF">
        <w:rPr>
          <w:rFonts w:cs="Arial"/>
          <w:color w:val="000000" w:themeColor="text1"/>
          <w:szCs w:val="20"/>
        </w:rPr>
        <w:t>4-4</w:t>
      </w:r>
      <w:r w:rsidR="00881552">
        <w:rPr>
          <w:rFonts w:cs="Arial"/>
          <w:color w:val="000000" w:themeColor="text1"/>
          <w:szCs w:val="20"/>
        </w:rPr>
        <w:t>.</w:t>
      </w:r>
      <w:r w:rsidRPr="2B306ECF">
        <w:rPr>
          <w:rFonts w:cs="Arial"/>
          <w:color w:val="000000" w:themeColor="text1"/>
          <w:szCs w:val="20"/>
        </w:rPr>
        <w:t xml:space="preserve">2 </w:t>
      </w:r>
      <w:r w:rsidR="00881552">
        <w:rPr>
          <w:rFonts w:cs="Arial"/>
          <w:color w:val="000000" w:themeColor="text1"/>
          <w:szCs w:val="20"/>
        </w:rPr>
        <w:t>G</w:t>
      </w:r>
      <w:r w:rsidRPr="2B306ECF">
        <w:rPr>
          <w:rFonts w:cs="Arial"/>
          <w:color w:val="000000" w:themeColor="text1"/>
          <w:szCs w:val="20"/>
        </w:rPr>
        <w:t>Hz frequency range</w:t>
      </w:r>
      <w:r>
        <w:rPr>
          <w:rFonts w:cs="Arial"/>
          <w:color w:val="000000" w:themeColor="text1"/>
          <w:szCs w:val="20"/>
        </w:rPr>
        <w:t>. The objectives are</w:t>
      </w:r>
      <w:r w:rsidRPr="2B306ECF">
        <w:rPr>
          <w:rFonts w:cs="Arial"/>
          <w:color w:val="000000" w:themeColor="text1"/>
          <w:szCs w:val="20"/>
        </w:rPr>
        <w:t>: </w:t>
      </w:r>
    </w:p>
    <w:p w14:paraId="26DFC60A" w14:textId="77777777" w:rsidR="00A04B56" w:rsidRPr="00F93E15" w:rsidRDefault="00A04B56" w:rsidP="00A04B56">
      <w:pPr>
        <w:pStyle w:val="ListBullet"/>
      </w:pPr>
      <w:r w:rsidRPr="00F93E15">
        <w:t>Supporting the deployment of new and innovative technology, including 5G  </w:t>
      </w:r>
    </w:p>
    <w:p w14:paraId="71BD3A6E" w14:textId="77777777" w:rsidR="00A04B56" w:rsidRPr="00F93E15" w:rsidRDefault="00A04B56" w:rsidP="00A04B56">
      <w:pPr>
        <w:pStyle w:val="ListBullet"/>
      </w:pPr>
      <w:r w:rsidRPr="00F93E15">
        <w:t>Supporting a range of use cases and users  </w:t>
      </w:r>
    </w:p>
    <w:p w14:paraId="03779523" w14:textId="77777777" w:rsidR="00A04B56" w:rsidRPr="00F93E15" w:rsidRDefault="00A04B56" w:rsidP="00A04B56">
      <w:pPr>
        <w:pStyle w:val="ListBullet"/>
      </w:pPr>
      <w:r w:rsidRPr="00F93E15">
        <w:t>Supporting digital connectivity and investment in regional Australia  </w:t>
      </w:r>
    </w:p>
    <w:p w14:paraId="1DA106E8" w14:textId="77777777" w:rsidR="00A04B56" w:rsidRPr="00F93E15" w:rsidRDefault="00A04B56" w:rsidP="00A04B56">
      <w:pPr>
        <w:pStyle w:val="ListBullet"/>
      </w:pPr>
      <w:r w:rsidRPr="00F93E15">
        <w:t>Promoting competitive markets   </w:t>
      </w:r>
    </w:p>
    <w:p w14:paraId="0D22ADDD" w14:textId="77777777" w:rsidR="00E26321" w:rsidRDefault="00E26321" w:rsidP="00A04B56">
      <w:pPr>
        <w:spacing w:before="120" w:after="120" w:line="240" w:lineRule="auto"/>
        <w:rPr>
          <w:rFonts w:cs="Arial"/>
          <w:iCs/>
          <w:color w:val="000000"/>
          <w:szCs w:val="20"/>
        </w:rPr>
      </w:pPr>
    </w:p>
    <w:p w14:paraId="41C83627" w14:textId="4509AD9B" w:rsidR="00E26321" w:rsidRDefault="00E26321" w:rsidP="00E26321">
      <w:pPr>
        <w:pStyle w:val="Paragraph"/>
      </w:pPr>
      <w:r>
        <w:t>Further to the band</w:t>
      </w:r>
      <w:r w:rsidR="00693352">
        <w:t>-specific objectives, o</w:t>
      </w:r>
      <w:r>
        <w:t xml:space="preserve">n 7 December 2023 the Government issued to the ACMA a broad </w:t>
      </w:r>
      <w:hyperlink r:id="rId40" w:history="1">
        <w:r w:rsidRPr="00C71C83">
          <w:rPr>
            <w:rStyle w:val="Hyperlink"/>
          </w:rPr>
          <w:t>statement of expectation</w:t>
        </w:r>
      </w:hyperlink>
      <w:r>
        <w:t xml:space="preserve"> (SoE) to guide it in its regulatory remit and approach. The SoE included an expectation that the ACMA would support the Government’s policy priorities with respect to its communications and media objectives</w:t>
      </w:r>
      <w:r w:rsidR="0043519D">
        <w:t>, including</w:t>
      </w:r>
      <w:r>
        <w:t xml:space="preserve">: </w:t>
      </w:r>
    </w:p>
    <w:p w14:paraId="38D25C5F" w14:textId="77777777" w:rsidR="00E26321" w:rsidRDefault="00E26321" w:rsidP="00E26321">
      <w:pPr>
        <w:pStyle w:val="Bulletlevel1"/>
        <w:tabs>
          <w:tab w:val="num" w:pos="295"/>
        </w:tabs>
        <w:ind w:left="295" w:hanging="295"/>
      </w:pPr>
      <w:r>
        <w:t>promoting investment, innovation and the adoption of new and emerging technologies, while continuing to safeguard the interests of consumers and small businesses;</w:t>
      </w:r>
    </w:p>
    <w:p w14:paraId="1928FDF5" w14:textId="1A7C4FBE" w:rsidR="00E26321" w:rsidRDefault="00E26321" w:rsidP="00E26321">
      <w:pPr>
        <w:pStyle w:val="Bulletlevel1"/>
        <w:tabs>
          <w:tab w:val="num" w:pos="295"/>
        </w:tabs>
        <w:ind w:left="295" w:hanging="295"/>
      </w:pPr>
      <w:r>
        <w:t xml:space="preserve">supporting government policies related to regional, rural and remote Australia including by having regard to relevant ministerial policy statements in the planning and allocation of spectrum to support innovation and competition in these areas; </w:t>
      </w:r>
      <w:r w:rsidR="0043519D">
        <w:t>and</w:t>
      </w:r>
    </w:p>
    <w:p w14:paraId="5456C33E" w14:textId="2B3D7E9F" w:rsidR="00E26321" w:rsidRPr="008156C0" w:rsidRDefault="00E26321" w:rsidP="008156C0">
      <w:pPr>
        <w:pStyle w:val="Bulletlevel1"/>
        <w:tabs>
          <w:tab w:val="num" w:pos="295"/>
        </w:tabs>
        <w:ind w:left="295" w:hanging="295"/>
      </w:pPr>
      <w:r>
        <w:t>promoting the long term public interest derived from spectrum, including the benefits of technological developments that improve spectrum utilisation and efficiency</w:t>
      </w:r>
    </w:p>
    <w:p w14:paraId="4592A5AF" w14:textId="4B2DDAF7" w:rsidR="00A04B56" w:rsidRDefault="00A04B56" w:rsidP="00A04B56">
      <w:pPr>
        <w:spacing w:before="120" w:after="120" w:line="240" w:lineRule="auto"/>
        <w:rPr>
          <w:rFonts w:cs="Arial"/>
          <w:iCs/>
          <w:color w:val="000000"/>
          <w:szCs w:val="20"/>
        </w:rPr>
      </w:pPr>
      <w:r>
        <w:rPr>
          <w:rFonts w:cs="Arial"/>
          <w:iCs/>
          <w:color w:val="000000"/>
          <w:szCs w:val="20"/>
        </w:rPr>
        <w:t>The ACMA will have regard to the object of the Act</w:t>
      </w:r>
      <w:r w:rsidR="00E30267">
        <w:rPr>
          <w:rFonts w:cs="Arial"/>
          <w:iCs/>
          <w:color w:val="000000"/>
          <w:szCs w:val="20"/>
        </w:rPr>
        <w:t>,</w:t>
      </w:r>
      <w:r>
        <w:rPr>
          <w:rFonts w:cs="Arial"/>
          <w:iCs/>
          <w:color w:val="000000"/>
          <w:szCs w:val="20"/>
        </w:rPr>
        <w:t xml:space="preserve"> the MPS</w:t>
      </w:r>
      <w:r w:rsidR="00E30267">
        <w:rPr>
          <w:rFonts w:cs="Arial"/>
          <w:iCs/>
          <w:color w:val="000000"/>
          <w:szCs w:val="20"/>
        </w:rPr>
        <w:t xml:space="preserve">, and </w:t>
      </w:r>
      <w:r w:rsidR="00BB7D3D">
        <w:rPr>
          <w:rFonts w:cs="Arial"/>
          <w:iCs/>
          <w:color w:val="000000"/>
          <w:szCs w:val="20"/>
        </w:rPr>
        <w:t xml:space="preserve">the SoE </w:t>
      </w:r>
      <w:r>
        <w:rPr>
          <w:rFonts w:cs="Arial"/>
          <w:iCs/>
          <w:color w:val="000000"/>
          <w:szCs w:val="20"/>
        </w:rPr>
        <w:t>during its consultation and decision-making for this allocation.</w:t>
      </w:r>
    </w:p>
    <w:p w14:paraId="4DB3F3C0" w14:textId="66D9F514" w:rsidR="00627718" w:rsidRPr="00820B97" w:rsidRDefault="00F344A8" w:rsidP="00627718">
      <w:r>
        <w:t xml:space="preserve">Chapter 3 of the </w:t>
      </w:r>
      <w:r w:rsidR="00EE240A">
        <w:t>Act</w:t>
      </w:r>
      <w:r w:rsidR="00752558">
        <w:t xml:space="preserve"> requires that radio</w:t>
      </w:r>
      <w:r w:rsidR="00A65BAB">
        <w:t>communications use of the spectrum be licensed.</w:t>
      </w:r>
      <w:r w:rsidR="00A65BAB">
        <w:rPr>
          <w:rStyle w:val="FootnoteReference"/>
        </w:rPr>
        <w:footnoteReference w:id="10"/>
      </w:r>
      <w:r w:rsidR="00A65BAB">
        <w:t xml:space="preserve"> </w:t>
      </w:r>
      <w:r w:rsidR="002652BE">
        <w:t>C</w:t>
      </w:r>
      <w:r w:rsidR="002652BE" w:rsidRPr="00820B97">
        <w:t>ompared with the current licensing options/framework available in the band</w:t>
      </w:r>
      <w:r w:rsidR="002652BE">
        <w:t>, i</w:t>
      </w:r>
      <w:r w:rsidR="008679A4" w:rsidRPr="00820B97">
        <w:t xml:space="preserve">mplementing the AWL licensing and pricing framework for the 3.4-4 GHz band is expected to </w:t>
      </w:r>
      <w:r w:rsidR="002652BE">
        <w:t xml:space="preserve">better </w:t>
      </w:r>
      <w:r w:rsidR="007913DF">
        <w:t xml:space="preserve">accommodate </w:t>
      </w:r>
      <w:r w:rsidR="0092794D" w:rsidRPr="00820B97">
        <w:t xml:space="preserve">new </w:t>
      </w:r>
      <w:r w:rsidR="001A226E">
        <w:t xml:space="preserve">LA </w:t>
      </w:r>
      <w:r w:rsidR="0092794D" w:rsidRPr="00820B97">
        <w:t>WBB use cases</w:t>
      </w:r>
      <w:r w:rsidR="00BA3A58">
        <w:t>.</w:t>
      </w:r>
      <w:r w:rsidR="00A531A5">
        <w:t xml:space="preserve"> </w:t>
      </w:r>
      <w:r w:rsidR="00F1570D">
        <w:t xml:space="preserve">Facilitating AWLs in this band in remote areas </w:t>
      </w:r>
      <w:r w:rsidR="00A531A5">
        <w:t xml:space="preserve">directly </w:t>
      </w:r>
      <w:r w:rsidR="00F1570D">
        <w:t xml:space="preserve">support the </w:t>
      </w:r>
      <w:r w:rsidR="00E2398C">
        <w:t xml:space="preserve">ministerial objectives of supporting innovative </w:t>
      </w:r>
      <w:r w:rsidR="0052252D">
        <w:t>technologies</w:t>
      </w:r>
      <w:r w:rsidR="00E2398C">
        <w:t xml:space="preserve"> </w:t>
      </w:r>
      <w:r w:rsidR="00F15946">
        <w:t xml:space="preserve">(e.g. 5G) </w:t>
      </w:r>
      <w:r w:rsidR="00E2398C">
        <w:t xml:space="preserve">and a diverse range of use cases and users and also </w:t>
      </w:r>
      <w:r w:rsidR="0087411F">
        <w:t>supports digital connectivity and investment in regional Australia.</w:t>
      </w:r>
      <w:r w:rsidR="00BA3A58">
        <w:t xml:space="preserve"> </w:t>
      </w:r>
      <w:r w:rsidR="00627718" w:rsidRPr="00820B97">
        <w:t>Without the ACMA changing or introducing new regulations</w:t>
      </w:r>
      <w:r w:rsidR="00E04A8A" w:rsidRPr="00820B97">
        <w:t>,</w:t>
      </w:r>
      <w:r w:rsidR="00627718" w:rsidRPr="00820B97">
        <w:t xml:space="preserve"> new WBB services would need to be licensed with existing licence types that are not optimised for WBB</w:t>
      </w:r>
      <w:r w:rsidR="00402E5B" w:rsidRPr="00820B97">
        <w:t xml:space="preserve">, and </w:t>
      </w:r>
      <w:r w:rsidR="00796847" w:rsidRPr="00820B97">
        <w:t xml:space="preserve">this </w:t>
      </w:r>
      <w:r w:rsidR="00402E5B" w:rsidRPr="00820B97">
        <w:t xml:space="preserve">is likely to </w:t>
      </w:r>
      <w:r w:rsidR="00E7250D" w:rsidRPr="00820B97">
        <w:t xml:space="preserve">reduce </w:t>
      </w:r>
      <w:r w:rsidR="001A7A55" w:rsidRPr="00820B97">
        <w:t>uptake of the spectrum (see section 4)</w:t>
      </w:r>
      <w:r w:rsidR="00627718" w:rsidRPr="00820B97">
        <w:t>.</w:t>
      </w:r>
    </w:p>
    <w:p w14:paraId="3D53B776" w14:textId="772C91BE" w:rsidR="00F65D6D" w:rsidRPr="00D1652D" w:rsidRDefault="00F65D6D" w:rsidP="00627718">
      <w:r w:rsidRPr="002E059C">
        <w:t xml:space="preserve">To </w:t>
      </w:r>
      <w:r w:rsidR="0025056A" w:rsidRPr="00D1652D">
        <w:t>implement</w:t>
      </w:r>
      <w:r w:rsidR="0025056A" w:rsidRPr="00820B97">
        <w:t xml:space="preserve"> the AWL licensing and pricing framework we propose to:</w:t>
      </w:r>
    </w:p>
    <w:p w14:paraId="09AC2CDB" w14:textId="2403BDC6" w:rsidR="00827E5F" w:rsidRPr="00820B97" w:rsidRDefault="00575DAE" w:rsidP="002A6B99">
      <w:pPr>
        <w:pStyle w:val="Bulletlevel1"/>
      </w:pPr>
      <w:r w:rsidRPr="00820B97">
        <w:t>amend the Radiocommunications (Area-Wide Licences) Licence Conditions Determination 2020</w:t>
      </w:r>
      <w:r w:rsidR="00573F93" w:rsidRPr="00D1652D">
        <w:rPr>
          <w:rStyle w:val="FootnoteReference"/>
        </w:rPr>
        <w:footnoteReference w:id="11"/>
      </w:r>
      <w:r w:rsidRPr="00D1652D">
        <w:t xml:space="preserve"> (AWL LCD) to include technical conditions for the operation of radiocommunications stations operated under an area-wide licence operating in the 3.4-4 GHz band</w:t>
      </w:r>
      <w:r w:rsidR="00827E5F" w:rsidRPr="00820B97">
        <w:t xml:space="preserve">. </w:t>
      </w:r>
    </w:p>
    <w:p w14:paraId="08040D8B" w14:textId="44E076FC" w:rsidR="00A56A9A" w:rsidRPr="002E059C" w:rsidRDefault="00B435BE" w:rsidP="002E059C">
      <w:pPr>
        <w:pStyle w:val="Bulletlevel1"/>
      </w:pPr>
      <w:r w:rsidRPr="00820B97">
        <w:t>draft new and amended Radiocommunications Assignment and Licensing Instructions (RALIs) MS47, FX3 and FX19 for setting coordination rules with other services in the band.</w:t>
      </w:r>
      <w:r w:rsidR="00573F93" w:rsidRPr="00D1652D">
        <w:rPr>
          <w:rStyle w:val="FootnoteReference"/>
        </w:rPr>
        <w:footnoteReference w:id="12"/>
      </w:r>
      <w:r w:rsidRPr="00D1652D">
        <w:t xml:space="preserve"> </w:t>
      </w:r>
    </w:p>
    <w:p w14:paraId="7620540B" w14:textId="61EF0E46" w:rsidR="00573F93" w:rsidRDefault="00FB3860" w:rsidP="00FB3860">
      <w:pPr>
        <w:pStyle w:val="Bulletlevel1"/>
      </w:pPr>
      <w:r>
        <w:t xml:space="preserve">amend the </w:t>
      </w:r>
      <w:r w:rsidR="007E1D5A">
        <w:t>Tax</w:t>
      </w:r>
      <w:r w:rsidR="00797F1D">
        <w:t xml:space="preserve"> D</w:t>
      </w:r>
      <w:r>
        <w:t>etermination.</w:t>
      </w:r>
      <w:r w:rsidR="00045A5A">
        <w:rPr>
          <w:rStyle w:val="FootnoteReference"/>
        </w:rPr>
        <w:footnoteReference w:id="13"/>
      </w:r>
      <w:r w:rsidR="00994EE9" w:rsidRPr="00994EE9">
        <w:t xml:space="preserve"> </w:t>
      </w:r>
      <w:r w:rsidR="00994EE9">
        <w:t>The tax levied on apparatus licences allows the ACMA to create economic incentives for efficient use of the spectrum. It also encourages licensees to use the minimum amount of bandwidth for their needs, to move to less congested bands, and to surrender licences that are no longer needed.</w:t>
      </w:r>
    </w:p>
    <w:p w14:paraId="2D9CD7F1" w14:textId="77777777" w:rsidR="00BC3B4C" w:rsidRPr="002E059C" w:rsidRDefault="00BC3B4C" w:rsidP="002E059C">
      <w:pPr>
        <w:pStyle w:val="Bulletlevel1"/>
        <w:numPr>
          <w:ilvl w:val="0"/>
          <w:numId w:val="0"/>
        </w:numPr>
      </w:pPr>
    </w:p>
    <w:p w14:paraId="4E04C6FE" w14:textId="258C2208" w:rsidR="002F31B0" w:rsidRDefault="002F31B0" w:rsidP="00BE02C3">
      <w:r>
        <w:t xml:space="preserve">Facilitating </w:t>
      </w:r>
      <w:r w:rsidR="00F84311">
        <w:t xml:space="preserve">WBB / 5G </w:t>
      </w:r>
      <w:r w:rsidR="00E71E5D">
        <w:t xml:space="preserve">services in </w:t>
      </w:r>
      <w:r w:rsidR="00B25805">
        <w:t xml:space="preserve">remote areas </w:t>
      </w:r>
      <w:r w:rsidR="001A7A55">
        <w:t xml:space="preserve">is expected to </w:t>
      </w:r>
      <w:r w:rsidR="00D14EED">
        <w:t xml:space="preserve">improve </w:t>
      </w:r>
      <w:r w:rsidR="00FA0D0F">
        <w:t xml:space="preserve">digital connectivity and </w:t>
      </w:r>
      <w:r w:rsidR="00891D19">
        <w:t>communications services in remote areas</w:t>
      </w:r>
      <w:r w:rsidR="00FA0D0F">
        <w:t xml:space="preserve">, and </w:t>
      </w:r>
      <w:r w:rsidR="00B25805">
        <w:t>directly contributes the policy objectives discuss</w:t>
      </w:r>
      <w:r w:rsidR="00B46F41">
        <w:t>ed</w:t>
      </w:r>
      <w:r w:rsidR="00B25805">
        <w:t xml:space="preserve"> in the </w:t>
      </w:r>
      <w:r w:rsidR="00B46F41">
        <w:t>MPS in section</w:t>
      </w:r>
      <w:r w:rsidR="00300ED6">
        <w:t> </w:t>
      </w:r>
      <w:r w:rsidR="00B46F41">
        <w:t xml:space="preserve">1. </w:t>
      </w:r>
      <w:r w:rsidR="00627718">
        <w:t xml:space="preserve">The framework here also paves the way for </w:t>
      </w:r>
      <w:r w:rsidR="00263EEA">
        <w:t xml:space="preserve">the ACMA to allocate </w:t>
      </w:r>
      <w:r w:rsidR="00627718">
        <w:t>WBB in other parts of Australia</w:t>
      </w:r>
      <w:r w:rsidR="00263EEA">
        <w:t xml:space="preserve">. </w:t>
      </w:r>
    </w:p>
    <w:p w14:paraId="1A47753D" w14:textId="2765EA16" w:rsidR="005431D6" w:rsidRDefault="005431D6" w:rsidP="005431D6">
      <w:r>
        <w:t xml:space="preserve">Some measures of success for achieving these objectives are included in </w:t>
      </w:r>
      <w:r w:rsidR="004E70C0">
        <w:t xml:space="preserve">section </w:t>
      </w:r>
      <w:r w:rsidR="00AB1C88">
        <w:t>7</w:t>
      </w:r>
      <w:r>
        <w:t>.</w:t>
      </w:r>
    </w:p>
    <w:p w14:paraId="79E89083" w14:textId="260BC8C7" w:rsidR="005431D6" w:rsidRDefault="005C2E81" w:rsidP="005C2E81">
      <w:pPr>
        <w:pStyle w:val="Heading2"/>
      </w:pPr>
      <w:bookmarkStart w:id="34" w:name="_Toc137640967"/>
      <w:r>
        <w:t>Constraints / limitations</w:t>
      </w:r>
      <w:bookmarkEnd w:id="34"/>
    </w:p>
    <w:p w14:paraId="176480A6" w14:textId="47616A5A" w:rsidR="005C2E81" w:rsidRPr="00086F5E" w:rsidRDefault="0073674C" w:rsidP="00325DC6">
      <w:pPr>
        <w:pStyle w:val="Paragraph"/>
      </w:pPr>
      <w:r>
        <w:t xml:space="preserve">These regulatory </w:t>
      </w:r>
      <w:r w:rsidR="000C6490">
        <w:t xml:space="preserve">proposals are not expected to impose </w:t>
      </w:r>
      <w:r w:rsidR="00A42024">
        <w:t xml:space="preserve">constraints </w:t>
      </w:r>
      <w:r w:rsidR="00361D15">
        <w:t xml:space="preserve">compared with the status quo. Rather they are intended to provide </w:t>
      </w:r>
      <w:r w:rsidR="001041C2">
        <w:t xml:space="preserve">access to spectrum for a broader range of WBB services and in a form </w:t>
      </w:r>
      <w:r w:rsidR="0066713F">
        <w:t xml:space="preserve">the provides greater flexibility to the licensee. </w:t>
      </w:r>
    </w:p>
    <w:p w14:paraId="64E3EF1F" w14:textId="34409EF1" w:rsidR="003C7CC4" w:rsidRPr="00F4483B" w:rsidRDefault="003C7CC4" w:rsidP="005E454C">
      <w:pPr>
        <w:pStyle w:val="Heading1"/>
      </w:pPr>
      <w:bookmarkStart w:id="35" w:name="_Toc137640968"/>
      <w:r w:rsidRPr="00F4483B">
        <w:t>3.</w:t>
      </w:r>
      <w:r w:rsidRPr="00F4483B">
        <w:tab/>
        <w:t>What policy options have been considered?</w:t>
      </w:r>
      <w:bookmarkEnd w:id="27"/>
      <w:bookmarkEnd w:id="28"/>
      <w:bookmarkEnd w:id="29"/>
      <w:bookmarkEnd w:id="30"/>
      <w:bookmarkEnd w:id="35"/>
    </w:p>
    <w:p w14:paraId="54D358E0" w14:textId="49D099CC" w:rsidR="005D3200" w:rsidRDefault="00FA4DC2" w:rsidP="005E454C">
      <w:pPr>
        <w:pStyle w:val="Heading2"/>
      </w:pPr>
      <w:bookmarkStart w:id="36" w:name="_Toc137640969"/>
      <w:r>
        <w:t xml:space="preserve">Option 1 - </w:t>
      </w:r>
      <w:r w:rsidRPr="002E5BB1">
        <w:t xml:space="preserve">facilitate </w:t>
      </w:r>
      <w:r w:rsidR="00EA343F">
        <w:t xml:space="preserve">LA </w:t>
      </w:r>
      <w:r w:rsidRPr="002E5BB1">
        <w:t>WBB via existing licence types</w:t>
      </w:r>
      <w:r>
        <w:t xml:space="preserve"> (status quo)</w:t>
      </w:r>
      <w:bookmarkEnd w:id="36"/>
    </w:p>
    <w:p w14:paraId="34295817" w14:textId="76221C96" w:rsidR="00904BFF" w:rsidRDefault="00B95FB9" w:rsidP="005D3200">
      <w:r>
        <w:t xml:space="preserve">This option </w:t>
      </w:r>
      <w:r w:rsidR="002F0A6C">
        <w:t>has n</w:t>
      </w:r>
      <w:r w:rsidR="005D3200" w:rsidRPr="005D3200">
        <w:t xml:space="preserve">o </w:t>
      </w:r>
      <w:r w:rsidR="00B40D19">
        <w:t xml:space="preserve">additional </w:t>
      </w:r>
      <w:r w:rsidR="005D3200" w:rsidRPr="005D3200">
        <w:t xml:space="preserve">regulatory intervention. </w:t>
      </w:r>
      <w:r w:rsidR="002F0A6C">
        <w:t>Rather, we would a</w:t>
      </w:r>
      <w:r w:rsidR="00904BFF">
        <w:t xml:space="preserve">ccommodate </w:t>
      </w:r>
      <w:r w:rsidR="00604EF9">
        <w:t>expected demand for LA WBB through existing licence types.</w:t>
      </w:r>
    </w:p>
    <w:p w14:paraId="7B20EF03" w14:textId="0CDAE256" w:rsidR="007A48CF" w:rsidRPr="008156C0" w:rsidRDefault="005D3200" w:rsidP="005D3200">
      <w:r w:rsidRPr="00340DE2">
        <w:t xml:space="preserve">The Act requires that a </w:t>
      </w:r>
      <w:r w:rsidR="00397A35" w:rsidRPr="00156C06">
        <w:t>radiocommunications</w:t>
      </w:r>
      <w:r w:rsidRPr="00972966">
        <w:t xml:space="preserve"> transmitter must be operated in accordance with a licence issued under the Act. Services propo</w:t>
      </w:r>
      <w:r w:rsidRPr="00340DE2">
        <w:t xml:space="preserve">sed for </w:t>
      </w:r>
      <w:r w:rsidR="00A657FC" w:rsidRPr="00340DE2">
        <w:t xml:space="preserve">this band </w:t>
      </w:r>
      <w:r w:rsidRPr="00340DE2">
        <w:t>(i</w:t>
      </w:r>
      <w:r w:rsidR="00D354FE" w:rsidRPr="00340DE2">
        <w:t>.</w:t>
      </w:r>
      <w:r w:rsidRPr="00340DE2">
        <w:t>e. local area wireless broadband) could be licensed under the existing fixed point-to-multi-point</w:t>
      </w:r>
      <w:r w:rsidR="008D2DB5" w:rsidRPr="00340DE2">
        <w:t xml:space="preserve"> (PMP)</w:t>
      </w:r>
      <w:r w:rsidR="00CA7957" w:rsidRPr="00340DE2">
        <w:t xml:space="preserve"> </w:t>
      </w:r>
      <w:r w:rsidRPr="00340DE2">
        <w:t>or</w:t>
      </w:r>
      <w:r w:rsidR="001208DC" w:rsidRPr="00340DE2">
        <w:t xml:space="preserve"> </w:t>
      </w:r>
      <w:r w:rsidR="00ED6577" w:rsidRPr="00340DE2">
        <w:t>p</w:t>
      </w:r>
      <w:r w:rsidR="001208DC" w:rsidRPr="00340DE2">
        <w:t xml:space="preserve">ublic </w:t>
      </w:r>
      <w:r w:rsidR="00ED6577" w:rsidRPr="00340DE2">
        <w:t>m</w:t>
      </w:r>
      <w:r w:rsidR="001208DC" w:rsidRPr="00340DE2">
        <w:t xml:space="preserve">obile </w:t>
      </w:r>
      <w:r w:rsidR="00ED6577" w:rsidRPr="00340DE2">
        <w:t>telecommunications service (</w:t>
      </w:r>
      <w:r w:rsidRPr="00340DE2">
        <w:t>PMTS</w:t>
      </w:r>
      <w:r w:rsidR="00ED6577" w:rsidRPr="00340DE2">
        <w:t>)</w:t>
      </w:r>
      <w:r w:rsidRPr="00340DE2">
        <w:t xml:space="preserve"> Class B apparatus licence types. However, these licence types </w:t>
      </w:r>
      <w:r w:rsidR="00C955BF" w:rsidRPr="00340DE2">
        <w:t xml:space="preserve">do </w:t>
      </w:r>
      <w:r w:rsidRPr="00340DE2">
        <w:t xml:space="preserve">not provide </w:t>
      </w:r>
      <w:r w:rsidR="006D3C09" w:rsidRPr="00340DE2">
        <w:t xml:space="preserve">optimal </w:t>
      </w:r>
      <w:r w:rsidRPr="00340DE2">
        <w:t xml:space="preserve">operational utility </w:t>
      </w:r>
      <w:r w:rsidR="00FD6232" w:rsidRPr="00340DE2">
        <w:t xml:space="preserve">because they are designed </w:t>
      </w:r>
      <w:r w:rsidR="00035DE0" w:rsidRPr="008156C0">
        <w:t xml:space="preserve">for and or restricted to particular service types or use cases. </w:t>
      </w:r>
      <w:r w:rsidR="0076095B" w:rsidRPr="008156C0">
        <w:t>In contrast an area-wide licence provides flexibility for a licensee to deploy and operate stations across a wide geographical area depending on the licensee</w:t>
      </w:r>
      <w:r w:rsidR="003906D7" w:rsidRPr="008156C0">
        <w:t>’</w:t>
      </w:r>
      <w:r w:rsidR="0076095B" w:rsidRPr="008156C0">
        <w:t xml:space="preserve">s business case. </w:t>
      </w:r>
    </w:p>
    <w:p w14:paraId="59B4CDD7" w14:textId="413C6297" w:rsidR="00256B6D" w:rsidRDefault="001B707D" w:rsidP="005D3200">
      <w:r>
        <w:t>T</w:t>
      </w:r>
      <w:r w:rsidR="007E337B" w:rsidRPr="00086F5E">
        <w:t xml:space="preserve">he </w:t>
      </w:r>
      <w:r w:rsidR="005B5E9A" w:rsidRPr="00086F5E">
        <w:t xml:space="preserve">proposed AWL </w:t>
      </w:r>
      <w:r w:rsidR="005B5E9A" w:rsidRPr="005C269B">
        <w:t>type</w:t>
      </w:r>
      <w:r w:rsidR="005F1A1B" w:rsidRPr="005C269B">
        <w:t xml:space="preserve"> </w:t>
      </w:r>
      <w:r w:rsidR="006910FB" w:rsidRPr="005C269B">
        <w:t xml:space="preserve">offers advantages over and above </w:t>
      </w:r>
      <w:r w:rsidR="00E94489" w:rsidRPr="005C269B">
        <w:t>existing licence types</w:t>
      </w:r>
      <w:r w:rsidR="008C7C3E">
        <w:t>,</w:t>
      </w:r>
      <w:r w:rsidR="00E94489" w:rsidRPr="005C269B">
        <w:t xml:space="preserve"> </w:t>
      </w:r>
      <w:r w:rsidR="006A568E" w:rsidRPr="00D2775A">
        <w:t xml:space="preserve">such as </w:t>
      </w:r>
      <w:r w:rsidR="006039C6" w:rsidRPr="00D2775A">
        <w:t xml:space="preserve">increased </w:t>
      </w:r>
      <w:r w:rsidR="006706B4" w:rsidRPr="00F825BB">
        <w:t>flexibility</w:t>
      </w:r>
      <w:r w:rsidR="006706B4" w:rsidRPr="005C269B">
        <w:t xml:space="preserve"> </w:t>
      </w:r>
      <w:r w:rsidR="00C340DC">
        <w:t>of</w:t>
      </w:r>
      <w:r w:rsidR="006706B4">
        <w:t xml:space="preserve"> </w:t>
      </w:r>
      <w:r w:rsidR="001A7D15">
        <w:t xml:space="preserve">spectrum use and </w:t>
      </w:r>
      <w:r w:rsidR="008C7C3E">
        <w:t>network deployment arrangements</w:t>
      </w:r>
      <w:r w:rsidR="00A05F4B" w:rsidRPr="0093439D">
        <w:t>,</w:t>
      </w:r>
      <w:r w:rsidR="006039C6" w:rsidRPr="0093439D">
        <w:t xml:space="preserve"> </w:t>
      </w:r>
      <w:r w:rsidR="00EA182A" w:rsidRPr="0093439D">
        <w:t xml:space="preserve">and </w:t>
      </w:r>
      <w:r w:rsidR="00680DFA" w:rsidRPr="0093439D">
        <w:t xml:space="preserve">interference management </w:t>
      </w:r>
      <w:r w:rsidR="00355775" w:rsidRPr="0093439D">
        <w:t>at the geographic and</w:t>
      </w:r>
      <w:r w:rsidR="003C675F" w:rsidRPr="0093439D">
        <w:t xml:space="preserve"> </w:t>
      </w:r>
      <w:r w:rsidR="008E4530" w:rsidRPr="00086F5E">
        <w:t>frequency boundary of the licence, rather than by detailed technical specifications for radiocommunications devices authorised under the licence</w:t>
      </w:r>
      <w:r w:rsidR="00F81BA8">
        <w:t xml:space="preserve">. These features of use are better able to </w:t>
      </w:r>
      <w:r w:rsidR="00A05F4B" w:rsidRPr="00D2775A">
        <w:t xml:space="preserve">address stakeholder </w:t>
      </w:r>
      <w:r w:rsidR="005C269B" w:rsidRPr="00D2775A">
        <w:t xml:space="preserve">concerns and </w:t>
      </w:r>
      <w:r w:rsidR="005614DA" w:rsidRPr="00086F5E">
        <w:t xml:space="preserve">remove any of the potential </w:t>
      </w:r>
      <w:r w:rsidR="00F32529" w:rsidRPr="005C269B">
        <w:t>disincentives associated with the existing licence types available in the band</w:t>
      </w:r>
      <w:r w:rsidR="00A63D9C">
        <w:t xml:space="preserve"> (see option 3)</w:t>
      </w:r>
      <w:r w:rsidR="00F32529" w:rsidRPr="00086F5E">
        <w:t xml:space="preserve">. </w:t>
      </w:r>
    </w:p>
    <w:p w14:paraId="51064F60" w14:textId="696E6FE1" w:rsidR="005D3200" w:rsidRDefault="00FA4DC2" w:rsidP="005E454C">
      <w:pPr>
        <w:pStyle w:val="Heading2"/>
      </w:pPr>
      <w:bookmarkStart w:id="37" w:name="_Toc137640970"/>
      <w:r>
        <w:t xml:space="preserve">Option 2 </w:t>
      </w:r>
      <w:r w:rsidR="00EA343F">
        <w:t>–</w:t>
      </w:r>
      <w:r>
        <w:t xml:space="preserve"> </w:t>
      </w:r>
      <w:r w:rsidRPr="002D7B06">
        <w:t>facilitate</w:t>
      </w:r>
      <w:r w:rsidR="00EA343F">
        <w:t xml:space="preserve"> LA</w:t>
      </w:r>
      <w:r w:rsidRPr="002D7B06">
        <w:t xml:space="preserve"> WBB on a ‘per licence’ basis</w:t>
      </w:r>
      <w:r>
        <w:t xml:space="preserve"> (alternative option)</w:t>
      </w:r>
      <w:bookmarkEnd w:id="37"/>
    </w:p>
    <w:p w14:paraId="00B4D908" w14:textId="3FB65022" w:rsidR="00456C62" w:rsidRDefault="00AF6EC0" w:rsidP="00456C62">
      <w:r>
        <w:t xml:space="preserve">This option also </w:t>
      </w:r>
      <w:r w:rsidR="00D33274">
        <w:t xml:space="preserve">requires no regulatory </w:t>
      </w:r>
      <w:r w:rsidR="00B2360D">
        <w:t>changes</w:t>
      </w:r>
      <w:r w:rsidR="009E404F">
        <w:t xml:space="preserve">. We would </w:t>
      </w:r>
      <w:r w:rsidR="007E2E18">
        <w:t>a</w:t>
      </w:r>
      <w:r w:rsidR="00456C62">
        <w:t>ccommodate expected demand for LA WBB through bespoke modifications to existing licence</w:t>
      </w:r>
      <w:r w:rsidR="00837E24">
        <w:t>s</w:t>
      </w:r>
      <w:r w:rsidR="00456C62">
        <w:t>.</w:t>
      </w:r>
      <w:r w:rsidR="00837E24">
        <w:t xml:space="preserve"> </w:t>
      </w:r>
    </w:p>
    <w:p w14:paraId="0C7AA722" w14:textId="502CEF75" w:rsidR="00351D32" w:rsidRDefault="009C1642" w:rsidP="005D3200">
      <w:r>
        <w:t>This option involves d</w:t>
      </w:r>
      <w:r w:rsidR="005D3200" w:rsidRPr="005D3200">
        <w:t>etermin</w:t>
      </w:r>
      <w:r>
        <w:t>ing bespoke</w:t>
      </w:r>
      <w:r w:rsidR="005D3200" w:rsidRPr="005D3200">
        <w:t xml:space="preserve"> technical and pricing arrangements on a ‘per licence’ basis</w:t>
      </w:r>
      <w:r w:rsidR="00087CFF">
        <w:rPr>
          <w:rStyle w:val="FootnoteReference"/>
        </w:rPr>
        <w:footnoteReference w:id="14"/>
      </w:r>
      <w:r w:rsidR="005D3200" w:rsidRPr="005D3200">
        <w:t xml:space="preserve">, rather than across all licences to be issued. </w:t>
      </w:r>
      <w:r w:rsidR="00351D32">
        <w:t xml:space="preserve">Under this approach new LA WBB services may </w:t>
      </w:r>
      <w:r w:rsidR="00BF7B8D">
        <w:t xml:space="preserve">be </w:t>
      </w:r>
      <w:r w:rsidR="00484BED">
        <w:t>authorised under current licence types of PMP or PMTS Class B</w:t>
      </w:r>
      <w:r w:rsidR="0019357C">
        <w:t xml:space="preserve">, however, normal licensing </w:t>
      </w:r>
      <w:r w:rsidR="00A67C17">
        <w:t xml:space="preserve">and interference management settings for these licences may be </w:t>
      </w:r>
      <w:r w:rsidR="00855A3C">
        <w:t>adjusted</w:t>
      </w:r>
      <w:r w:rsidR="00FE133C">
        <w:t xml:space="preserve"> via ‘out</w:t>
      </w:r>
      <w:r w:rsidR="009B691B">
        <w:t>-of-policy requests’</w:t>
      </w:r>
      <w:r w:rsidR="00855A3C">
        <w:t xml:space="preserve"> to suit licences that don’t neatly fit within those defaults</w:t>
      </w:r>
      <w:r w:rsidR="00484BED">
        <w:t xml:space="preserve">. </w:t>
      </w:r>
      <w:r w:rsidR="00EB784F">
        <w:t>That is, the ACMA would need to make exception to settings in well-established licensing and coordination policies set</w:t>
      </w:r>
      <w:r w:rsidR="00094CD6">
        <w:t xml:space="preserve"> out in documents such as </w:t>
      </w:r>
      <w:r w:rsidR="00094CD6" w:rsidRPr="00491DAD">
        <w:rPr>
          <w:rFonts w:cs="Arial"/>
        </w:rPr>
        <w:t xml:space="preserve">the </w:t>
      </w:r>
      <w:hyperlink r:id="rId41" w:history="1">
        <w:r w:rsidR="00A22F33" w:rsidRPr="00983346">
          <w:rPr>
            <w:rStyle w:val="Hyperlink"/>
            <w:rFonts w:cs="Arial"/>
          </w:rPr>
          <w:t>Radiocommunications Assignment and Licensing Instructions (RALI) FX14</w:t>
        </w:r>
      </w:hyperlink>
      <w:r w:rsidR="00864B46">
        <w:t xml:space="preserve"> that would be used in option 1.</w:t>
      </w:r>
      <w:r w:rsidR="005467A9">
        <w:t xml:space="preserve"> These licensing exceptions would be included </w:t>
      </w:r>
      <w:r w:rsidR="00D8134E">
        <w:t>directly in the licence</w:t>
      </w:r>
      <w:r w:rsidR="00D5744C">
        <w:t>.</w:t>
      </w:r>
    </w:p>
    <w:p w14:paraId="111242E0" w14:textId="2E827D74" w:rsidR="006E75CE" w:rsidRDefault="005D3200" w:rsidP="005D3200">
      <w:r w:rsidRPr="005D3200">
        <w:t xml:space="preserve">This approach, while theoretically possible, </w:t>
      </w:r>
      <w:r w:rsidR="00094CD6">
        <w:t>c</w:t>
      </w:r>
      <w:r w:rsidRPr="005D3200">
        <w:t xml:space="preserve">ould </w:t>
      </w:r>
      <w:r w:rsidR="00167130">
        <w:t>accommodate the different use cases that we anticipate for LA WBB in this band</w:t>
      </w:r>
      <w:r w:rsidR="00557013">
        <w:t>. How</w:t>
      </w:r>
      <w:r w:rsidR="00167130">
        <w:t xml:space="preserve">ever, </w:t>
      </w:r>
      <w:r w:rsidR="00557013">
        <w:t>th</w:t>
      </w:r>
      <w:r w:rsidR="00895D66">
        <w:t>e</w:t>
      </w:r>
      <w:r w:rsidR="00557013">
        <w:t xml:space="preserve"> bespoke </w:t>
      </w:r>
      <w:r w:rsidR="00895D66">
        <w:t>nature of this approach</w:t>
      </w:r>
      <w:r w:rsidR="00557013">
        <w:t xml:space="preserve"> would </w:t>
      </w:r>
      <w:r w:rsidRPr="005D3200">
        <w:t xml:space="preserve">reduce the operational certainty to licensees (e.g. because of confusion in relation to </w:t>
      </w:r>
      <w:r w:rsidR="00895D66">
        <w:t xml:space="preserve">non-standardised </w:t>
      </w:r>
      <w:r w:rsidRPr="005D3200">
        <w:t>technical coordination of licensed services), thereby undermining potential business benefits that might otherwise derive from the use of the licence(s).</w:t>
      </w:r>
      <w:r w:rsidR="009D392C">
        <w:t xml:space="preserve"> It may </w:t>
      </w:r>
      <w:r w:rsidR="006E75CE">
        <w:t xml:space="preserve">deter potential licensees from obtaining licences or </w:t>
      </w:r>
      <w:r w:rsidR="002709B8">
        <w:t>impose higher administrative costs</w:t>
      </w:r>
      <w:r w:rsidR="001E54B4">
        <w:t xml:space="preserve"> and delay costs </w:t>
      </w:r>
      <w:r w:rsidR="006E75CE">
        <w:t>if they do decide to obtain</w:t>
      </w:r>
      <w:r w:rsidR="002709B8">
        <w:t xml:space="preserve"> licences</w:t>
      </w:r>
      <w:r w:rsidR="001E54B4">
        <w:t xml:space="preserve">. </w:t>
      </w:r>
    </w:p>
    <w:p w14:paraId="4903A1B0" w14:textId="2D2E75DD" w:rsidR="0012568A" w:rsidRDefault="00FA0959" w:rsidP="005D3200">
      <w:r>
        <w:t xml:space="preserve">Specific pricing arrangements for these bespoke licensing arrangements may need to be made </w:t>
      </w:r>
      <w:r w:rsidR="0012568A">
        <w:t xml:space="preserve">in the </w:t>
      </w:r>
      <w:r w:rsidR="0012568A" w:rsidRPr="005D3200">
        <w:t>Tax Determination</w:t>
      </w:r>
      <w:r w:rsidR="00D602B1">
        <w:t xml:space="preserve">, which would add to the uncertainty for licensees. </w:t>
      </w:r>
    </w:p>
    <w:p w14:paraId="5282F970" w14:textId="203024D9" w:rsidR="005D3200" w:rsidRDefault="00FA4DC2" w:rsidP="005E454C">
      <w:pPr>
        <w:pStyle w:val="Heading2"/>
      </w:pPr>
      <w:bookmarkStart w:id="38" w:name="_Toc137640971"/>
      <w:r>
        <w:t xml:space="preserve">Option 3 - AWL is optimised for </w:t>
      </w:r>
      <w:r w:rsidR="00EA343F">
        <w:t xml:space="preserve">LA </w:t>
      </w:r>
      <w:r>
        <w:t>WBB</w:t>
      </w:r>
      <w:r w:rsidRPr="005D3200">
        <w:t xml:space="preserve"> </w:t>
      </w:r>
      <w:r w:rsidR="005D3200" w:rsidRPr="005D3200">
        <w:t>(preferred option)</w:t>
      </w:r>
      <w:bookmarkEnd w:id="38"/>
    </w:p>
    <w:p w14:paraId="2CC01655" w14:textId="4AC4CC3B" w:rsidR="00AE21C2" w:rsidRDefault="008735C4" w:rsidP="00AE21C2">
      <w:r>
        <w:t>Under this option, we would a</w:t>
      </w:r>
      <w:r w:rsidR="00AE21C2">
        <w:t xml:space="preserve">ccommodate expected demand for LA WBB through </w:t>
      </w:r>
      <w:r w:rsidR="0030687B">
        <w:t xml:space="preserve">the new AWL </w:t>
      </w:r>
      <w:r w:rsidR="00AE21C2">
        <w:t>licence type.</w:t>
      </w:r>
    </w:p>
    <w:p w14:paraId="5F801DD7" w14:textId="77777777" w:rsidR="002A0F4B" w:rsidRDefault="00777298" w:rsidP="005D3200">
      <w:r>
        <w:t>Th</w:t>
      </w:r>
      <w:r w:rsidR="00740A9E">
        <w:t>is</w:t>
      </w:r>
      <w:r>
        <w:t xml:space="preserve"> approach would d</w:t>
      </w:r>
      <w:r w:rsidR="005D3200" w:rsidRPr="005D3200">
        <w:t>etermine the basic technical and pricing arrangements through transparent and consistent regulatory and administrative arrangements</w:t>
      </w:r>
      <w:r w:rsidR="008B5F87">
        <w:t xml:space="preserve"> in the new AWL licence type</w:t>
      </w:r>
      <w:r w:rsidR="005D3200" w:rsidRPr="005D3200">
        <w:t>.</w:t>
      </w:r>
      <w:r w:rsidR="008B5F87">
        <w:t xml:space="preserve"> </w:t>
      </w:r>
      <w:r w:rsidR="00510FC5">
        <w:t xml:space="preserve">Whilst AWLs have recently been used in the 26/28 GHz band, for it to apply here, it needs to be </w:t>
      </w:r>
      <w:r w:rsidR="007A64B2">
        <w:t>customised for the expected use cases (LA WBB</w:t>
      </w:r>
      <w:r w:rsidR="003B7E34">
        <w:t xml:space="preserve">) and the incumbent services in this band. </w:t>
      </w:r>
    </w:p>
    <w:p w14:paraId="76666A4C" w14:textId="0783BB44" w:rsidR="00C50DC0" w:rsidRDefault="009D0738" w:rsidP="005D3200">
      <w:r>
        <w:t xml:space="preserve">We expect this </w:t>
      </w:r>
      <w:r w:rsidR="00171BA2">
        <w:t xml:space="preserve">to be the best </w:t>
      </w:r>
      <w:r>
        <w:t xml:space="preserve">option </w:t>
      </w:r>
      <w:r w:rsidR="002A0F4B">
        <w:t>because the licence type</w:t>
      </w:r>
      <w:r w:rsidR="00FC09BD">
        <w:t xml:space="preserve"> has </w:t>
      </w:r>
      <w:r w:rsidR="00990AC1">
        <w:t>several</w:t>
      </w:r>
      <w:r w:rsidR="00FC09BD">
        <w:t xml:space="preserve"> </w:t>
      </w:r>
      <w:r w:rsidR="0053625A">
        <w:t>characteristics that we expect would be useful for different types of LA WBB use cases</w:t>
      </w:r>
      <w:r w:rsidR="00ED0D9D">
        <w:t xml:space="preserve"> (see ‘What is an area-wide licence?’</w:t>
      </w:r>
      <w:r w:rsidR="002826F7">
        <w:t xml:space="preserve"> section</w:t>
      </w:r>
      <w:r w:rsidR="00ED0D9D">
        <w:t xml:space="preserve"> below)</w:t>
      </w:r>
      <w:r w:rsidR="0053625A">
        <w:t xml:space="preserve">. </w:t>
      </w:r>
      <w:r w:rsidR="00996AC3">
        <w:t>Furthe</w:t>
      </w:r>
      <w:r w:rsidR="008F71F6">
        <w:t>r,</w:t>
      </w:r>
      <w:r w:rsidR="00996AC3">
        <w:t xml:space="preserve"> the </w:t>
      </w:r>
      <w:r w:rsidR="000A569E">
        <w:t xml:space="preserve">AWL </w:t>
      </w:r>
      <w:r w:rsidR="00996AC3">
        <w:t>will be customised</w:t>
      </w:r>
      <w:r w:rsidR="002A0F4B">
        <w:t xml:space="preserve"> </w:t>
      </w:r>
      <w:r w:rsidR="00763A68">
        <w:t xml:space="preserve">for the intended and expected </w:t>
      </w:r>
      <w:r w:rsidR="00D67B40">
        <w:t xml:space="preserve">LA WBB </w:t>
      </w:r>
      <w:r w:rsidR="00BB6520">
        <w:t>service</w:t>
      </w:r>
      <w:r w:rsidR="006463FF">
        <w:t>s</w:t>
      </w:r>
      <w:r w:rsidR="00763A68">
        <w:t xml:space="preserve">, rather than using </w:t>
      </w:r>
      <w:r w:rsidR="00D67B40">
        <w:t>partially compatible licence types that are not designed for LA WBB.</w:t>
      </w:r>
    </w:p>
    <w:p w14:paraId="3E649B05" w14:textId="77777777" w:rsidR="00CF05C6" w:rsidRDefault="00CF05C6" w:rsidP="0027662C">
      <w:pPr>
        <w:pStyle w:val="Heading3"/>
      </w:pPr>
      <w:bookmarkStart w:id="39" w:name="_Toc45872451"/>
      <w:bookmarkStart w:id="40" w:name="_Toc54283825"/>
      <w:bookmarkStart w:id="41" w:name="_Toc137640972"/>
      <w:r>
        <w:t>What is an area-wide licence?</w:t>
      </w:r>
      <w:bookmarkEnd w:id="39"/>
      <w:bookmarkEnd w:id="40"/>
      <w:bookmarkEnd w:id="41"/>
    </w:p>
    <w:p w14:paraId="349BDEC4" w14:textId="67F2AFD3" w:rsidR="00CF05C6" w:rsidRDefault="00CF05C6" w:rsidP="00CF05C6">
      <w:pPr>
        <w:pStyle w:val="Paragraph"/>
      </w:pPr>
      <w:r>
        <w:t xml:space="preserve">The AWL </w:t>
      </w:r>
      <w:r w:rsidRPr="00C76322">
        <w:t>type</w:t>
      </w:r>
      <w:r>
        <w:t xml:space="preserve"> is intended to provide licensees with ‘building blocks’ – aggregate frequency and </w:t>
      </w:r>
      <w:r w:rsidR="00F065CF">
        <w:t xml:space="preserve">geographical </w:t>
      </w:r>
      <w:r>
        <w:t xml:space="preserve">area blocks in a single licence, which can meet a range of network sizes or topographies and can be service or technology neutral, as long as the standard licence conditions for the relevant band are met. </w:t>
      </w:r>
    </w:p>
    <w:p w14:paraId="5ABDD7C6" w14:textId="77777777" w:rsidR="00CF05C6" w:rsidRDefault="00CF05C6" w:rsidP="00CF05C6">
      <w:pPr>
        <w:pStyle w:val="Paragraph"/>
      </w:pPr>
      <w:r>
        <w:t xml:space="preserve">The AWL transmitter licence type can </w:t>
      </w:r>
      <w:r w:rsidRPr="00BF0FB4">
        <w:t xml:space="preserve">authorise the operation of one or more radiocommunications devices within a defined geographic area at a frequency or frequencies specified on the licence, subject to the conditions included </w:t>
      </w:r>
      <w:r>
        <w:t>i</w:t>
      </w:r>
      <w:r w:rsidRPr="00BF0FB4">
        <w:t>n the licence.</w:t>
      </w:r>
    </w:p>
    <w:p w14:paraId="222380D9" w14:textId="4B716FD0" w:rsidR="00D01590" w:rsidRDefault="00D01590" w:rsidP="00D01590">
      <w:r>
        <w:t xml:space="preserve">An AWL is more flexible than a </w:t>
      </w:r>
      <w:r w:rsidR="0049443B">
        <w:t>site-based</w:t>
      </w:r>
      <w:r>
        <w:t xml:space="preserve"> </w:t>
      </w:r>
      <w:r w:rsidR="007B50CD">
        <w:t>appar</w:t>
      </w:r>
      <w:r w:rsidR="00F34168">
        <w:t>atus licence (</w:t>
      </w:r>
      <w:r>
        <w:t>AL</w:t>
      </w:r>
      <w:r w:rsidR="00F34168">
        <w:t>)</w:t>
      </w:r>
      <w:r>
        <w:t xml:space="preserve"> as it can be designed to fit the needs of a range of service types and does not tie licensees to specific site locations, topologies or exact technical parameters. </w:t>
      </w:r>
    </w:p>
    <w:p w14:paraId="400BA736" w14:textId="77777777" w:rsidR="00CF05C6" w:rsidRPr="00D20AEF" w:rsidRDefault="00CF05C6" w:rsidP="00CF05C6">
      <w:pPr>
        <w:pStyle w:val="Paragraphbeforelist"/>
      </w:pPr>
      <w:r w:rsidRPr="00D20AEF">
        <w:t xml:space="preserve">The key attributes of the AWL type </w:t>
      </w:r>
      <w:r w:rsidRPr="00B6487C">
        <w:t>include</w:t>
      </w:r>
      <w:r w:rsidRPr="00D20AEF">
        <w:t>:</w:t>
      </w:r>
    </w:p>
    <w:p w14:paraId="1A1AAC1E" w14:textId="06EAED71" w:rsidR="00CF05C6" w:rsidRDefault="00CF05C6" w:rsidP="00CF05C6">
      <w:pPr>
        <w:pStyle w:val="ListBullet"/>
        <w:tabs>
          <w:tab w:val="num" w:pos="295"/>
        </w:tabs>
        <w:ind w:left="295" w:hanging="295"/>
      </w:pPr>
      <w:r w:rsidRPr="005A7D20">
        <w:rPr>
          <w:b/>
          <w:bCs/>
        </w:rPr>
        <w:t>Area-based</w:t>
      </w:r>
      <w:r w:rsidRPr="00D20AEF">
        <w:t>: A licence authorises radiocommunications devices within a specified area, rather than at specific location(s). Interference with other services is primarily managed through the use of technical conditions that apply to the geographic and frequency boundary of the licence, rather than by detailed technical specifications for radiocommunications devices authorised under the licence.</w:t>
      </w:r>
      <w:r>
        <w:t xml:space="preserve"> </w:t>
      </w:r>
      <w:r w:rsidR="00A543A2" w:rsidRPr="00A543A2">
        <w:t xml:space="preserve">This is an easier process to plan </w:t>
      </w:r>
      <w:r w:rsidR="00F659DD">
        <w:t xml:space="preserve">area wide deployments </w:t>
      </w:r>
      <w:r w:rsidR="00A543A2" w:rsidRPr="00A543A2">
        <w:t>tha</w:t>
      </w:r>
      <w:r w:rsidR="007E2B02">
        <w:t>n</w:t>
      </w:r>
      <w:r w:rsidR="00A543A2" w:rsidRPr="00A543A2">
        <w:t xml:space="preserve"> a </w:t>
      </w:r>
      <w:r w:rsidR="00F659DD">
        <w:t xml:space="preserve">via </w:t>
      </w:r>
      <w:r w:rsidR="00A543A2" w:rsidRPr="00A543A2">
        <w:t xml:space="preserve">site-based AL framework with </w:t>
      </w:r>
      <w:r w:rsidR="009E11CB">
        <w:t>spec</w:t>
      </w:r>
      <w:r w:rsidR="000209CB">
        <w:t>i</w:t>
      </w:r>
      <w:r w:rsidR="009E11CB">
        <w:t>fic</w:t>
      </w:r>
      <w:r w:rsidR="00A543A2" w:rsidRPr="00A543A2">
        <w:t xml:space="preserve"> coordination requirement</w:t>
      </w:r>
      <w:r w:rsidR="00EB7554">
        <w:t>s</w:t>
      </w:r>
      <w:r w:rsidR="00A543A2" w:rsidRPr="00A543A2">
        <w:t>.</w:t>
      </w:r>
    </w:p>
    <w:p w14:paraId="060338E4" w14:textId="77777777" w:rsidR="00CF05C6" w:rsidRDefault="00CF05C6" w:rsidP="00CF05C6">
      <w:pPr>
        <w:pStyle w:val="ListBullet"/>
        <w:tabs>
          <w:tab w:val="num" w:pos="295"/>
        </w:tabs>
        <w:ind w:left="295" w:hanging="295"/>
      </w:pPr>
      <w:r w:rsidRPr="005A7D20">
        <w:rPr>
          <w:b/>
          <w:bCs/>
        </w:rPr>
        <w:t>Broad application</w:t>
      </w:r>
      <w:r w:rsidRPr="00D20AEF">
        <w:t>: The licences may be used for a wide range of purposes, uses, services, applications and technologies</w:t>
      </w:r>
      <w:r>
        <w:t>, subject to the technical framework for the relevant band set out in Radiocommunications Assignment and Licensing Instructions (RALIs) and</w:t>
      </w:r>
      <w:r w:rsidRPr="00D20AEF">
        <w:t xml:space="preserve"> licence conditions. </w:t>
      </w:r>
    </w:p>
    <w:p w14:paraId="44AA2C43" w14:textId="0546A250" w:rsidR="00CF05C6" w:rsidRDefault="00CF05C6" w:rsidP="00CF05C6">
      <w:pPr>
        <w:pStyle w:val="ListBullet"/>
        <w:tabs>
          <w:tab w:val="num" w:pos="295"/>
        </w:tabs>
        <w:ind w:left="295" w:hanging="295"/>
      </w:pPr>
      <w:r w:rsidRPr="005A7D20">
        <w:rPr>
          <w:b/>
          <w:bCs/>
        </w:rPr>
        <w:t>Scalable</w:t>
      </w:r>
      <w:r w:rsidRPr="00D20AEF">
        <w:t xml:space="preserve">: The licences are capable of being adapted to a variety of technologies and/or uses, with different sized areas and frequency bandwidths. </w:t>
      </w:r>
      <w:r w:rsidR="009C20E7">
        <w:t>For example, this style of licence has been used previously to support wireless broadband and satellite technology use cases.</w:t>
      </w:r>
    </w:p>
    <w:p w14:paraId="4F70F156" w14:textId="77777777" w:rsidR="00CF05C6" w:rsidRDefault="00CF05C6" w:rsidP="00CF05C6">
      <w:pPr>
        <w:pStyle w:val="ListBulletLast"/>
        <w:tabs>
          <w:tab w:val="num" w:pos="295"/>
        </w:tabs>
        <w:ind w:left="295" w:hanging="295"/>
      </w:pPr>
      <w:r w:rsidRPr="005A7D20">
        <w:rPr>
          <w:b/>
          <w:bCs/>
        </w:rPr>
        <w:t>Aggregable</w:t>
      </w:r>
      <w:r w:rsidRPr="00D20AEF">
        <w:t xml:space="preserve">: A number of AWLs, adjacent in geography, frequency or both, can be </w:t>
      </w:r>
      <w:r>
        <w:t>consolidated</w:t>
      </w:r>
      <w:r w:rsidRPr="00D20AEF">
        <w:t xml:space="preserve"> into a single transmitter licence, with boundary conditions applying to the boundary of the aggregated licence. </w:t>
      </w:r>
    </w:p>
    <w:p w14:paraId="16EB12B2" w14:textId="3420B607" w:rsidR="00A60062" w:rsidRDefault="00A60062" w:rsidP="00CF05C6">
      <w:pPr>
        <w:pStyle w:val="Paragraph"/>
      </w:pPr>
      <w:r>
        <w:t xml:space="preserve">These </w:t>
      </w:r>
      <w:r w:rsidR="00E4622E">
        <w:t xml:space="preserve">attributes are not available to licences in Options </w:t>
      </w:r>
      <w:r w:rsidR="00082818">
        <w:t>1 and 2.</w:t>
      </w:r>
    </w:p>
    <w:p w14:paraId="3AE758C5" w14:textId="66DBBCE9" w:rsidR="00CF05C6" w:rsidRDefault="00CF05C6" w:rsidP="00CF05C6">
      <w:pPr>
        <w:pStyle w:val="Paragraph"/>
      </w:pPr>
      <w:r>
        <w:t>This licensing approach reflects developments internationally, where a number of other jurisdictions have developed a licensing option for small-area, multi-device deployments, including for proposed 5G applications. These overseas arrangements, while not exclusively restricted to industrial or commercial applications of spectrum, have often been utilised by a variety of ‘industry verticals’ – industries outside of the MNOs, such as mining and infrastructure that use spectrum to facilitate their operations.</w:t>
      </w:r>
    </w:p>
    <w:p w14:paraId="11FA4A4A" w14:textId="77777777" w:rsidR="00CF05C6" w:rsidRDefault="00CF05C6" w:rsidP="005D3200"/>
    <w:p w14:paraId="3020B258" w14:textId="77777777" w:rsidR="00C317D1" w:rsidRDefault="00C317D1">
      <w:pPr>
        <w:spacing w:after="160" w:line="259" w:lineRule="auto"/>
        <w:rPr>
          <w:rFonts w:cs="Arial"/>
          <w:b/>
          <w:bCs/>
          <w:iCs/>
          <w:sz w:val="28"/>
          <w:szCs w:val="28"/>
        </w:rPr>
      </w:pPr>
      <w:bookmarkStart w:id="42" w:name="_Toc32833692"/>
      <w:bookmarkStart w:id="43" w:name="_Toc32833747"/>
      <w:bookmarkStart w:id="44" w:name="_Toc32833820"/>
      <w:bookmarkStart w:id="45" w:name="_Toc33176375"/>
      <w:bookmarkStart w:id="46" w:name="_Hlk30167323"/>
      <w:bookmarkEnd w:id="31"/>
      <w:r>
        <w:br w:type="page"/>
      </w:r>
    </w:p>
    <w:p w14:paraId="1C47B2B3" w14:textId="7DE40855" w:rsidR="003C7CC4" w:rsidRPr="000A3902" w:rsidRDefault="003C7CC4" w:rsidP="005E454C">
      <w:pPr>
        <w:pStyle w:val="Heading1"/>
      </w:pPr>
      <w:bookmarkStart w:id="47" w:name="_Ref117256405"/>
      <w:bookmarkStart w:id="48" w:name="_Toc137640973"/>
      <w:r w:rsidRPr="000A3902">
        <w:t xml:space="preserve">4. </w:t>
      </w:r>
      <w:bookmarkEnd w:id="42"/>
      <w:bookmarkEnd w:id="43"/>
      <w:bookmarkEnd w:id="44"/>
      <w:bookmarkEnd w:id="45"/>
      <w:r w:rsidR="004E61E1">
        <w:t>What are the expected benefits of the options?</w:t>
      </w:r>
      <w:bookmarkEnd w:id="47"/>
      <w:bookmarkEnd w:id="48"/>
    </w:p>
    <w:p w14:paraId="3AC23EAF" w14:textId="23CFBFD2" w:rsidR="00F91BA4" w:rsidRDefault="00633775" w:rsidP="006648EB">
      <w:pPr>
        <w:rPr>
          <w:rFonts w:ascii="Calibri" w:hAnsi="Calibri" w:cs="Calibri"/>
          <w:color w:val="000000"/>
          <w:sz w:val="22"/>
          <w:szCs w:val="22"/>
        </w:rPr>
      </w:pPr>
      <w:r>
        <w:t xml:space="preserve">Option 3 (introduction of AWLs) is expected to </w:t>
      </w:r>
      <w:r w:rsidR="00E226D5">
        <w:t>be the most beneficial option.</w:t>
      </w:r>
      <w:r w:rsidR="005C3788">
        <w:t xml:space="preserve"> Table 1 summarises the expected </w:t>
      </w:r>
      <w:r w:rsidR="002945B1">
        <w:t xml:space="preserve">annual </w:t>
      </w:r>
      <w:r w:rsidR="005C3788">
        <w:t xml:space="preserve">benefits </w:t>
      </w:r>
      <w:r w:rsidR="002945B1">
        <w:t xml:space="preserve">to be </w:t>
      </w:r>
      <w:r w:rsidR="006958F1">
        <w:t xml:space="preserve">at least </w:t>
      </w:r>
      <w:bookmarkStart w:id="49" w:name="_Hlk107932579"/>
      <w:r w:rsidR="002945B1">
        <w:t>$51,000 over the next 10 years</w:t>
      </w:r>
      <w:bookmarkEnd w:id="49"/>
      <w:r w:rsidR="002945B1">
        <w:t xml:space="preserve">. </w:t>
      </w:r>
      <w:r w:rsidR="00841997">
        <w:t xml:space="preserve">The discussion focuses on </w:t>
      </w:r>
      <w:r w:rsidR="005D5599">
        <w:t xml:space="preserve">costs/benefits to LA WBB since these </w:t>
      </w:r>
      <w:r w:rsidR="00AF0D41">
        <w:t xml:space="preserve">regulatory proposals </w:t>
      </w:r>
      <w:r w:rsidR="005D5599">
        <w:t xml:space="preserve">are not expected to impact other users of the band. </w:t>
      </w:r>
      <w:r w:rsidR="006648EB">
        <w:t xml:space="preserve">The discussion after the table provides more detail about the expected benefits of each option. </w:t>
      </w:r>
    </w:p>
    <w:p w14:paraId="22969D4E" w14:textId="77777777" w:rsidR="00B465CF" w:rsidRDefault="00B465CF" w:rsidP="002878AD">
      <w:pPr>
        <w:pStyle w:val="NormalWeb"/>
        <w:spacing w:after="0"/>
        <w:rPr>
          <w:rFonts w:ascii="Calibri" w:hAnsi="Calibri" w:cs="Calibri"/>
          <w:color w:val="000000"/>
          <w:sz w:val="22"/>
          <w:szCs w:val="22"/>
        </w:rPr>
      </w:pPr>
    </w:p>
    <w:p w14:paraId="2BF38CB1" w14:textId="63195B85" w:rsidR="002878AD" w:rsidRPr="00AE2ACB" w:rsidRDefault="00E71E73" w:rsidP="00985FB0">
      <w:pPr>
        <w:pStyle w:val="Caption"/>
        <w:rPr>
          <w:rFonts w:cs="Arial"/>
          <w:color w:val="000000"/>
          <w:sz w:val="22"/>
          <w:szCs w:val="22"/>
        </w:rPr>
      </w:pPr>
      <w:r w:rsidRPr="00AE2ACB">
        <w:rPr>
          <w:rFonts w:cs="Arial"/>
          <w:color w:val="000000"/>
          <w:sz w:val="22"/>
          <w:szCs w:val="22"/>
        </w:rPr>
        <w:t>Summary of r</w:t>
      </w:r>
      <w:r w:rsidR="002878AD" w:rsidRPr="00AE2ACB">
        <w:rPr>
          <w:rFonts w:cs="Arial"/>
          <w:color w:val="000000"/>
          <w:sz w:val="22"/>
          <w:szCs w:val="22"/>
        </w:rPr>
        <w:t>elative benefits of options</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27"/>
        <w:gridCol w:w="4707"/>
        <w:gridCol w:w="1317"/>
      </w:tblGrid>
      <w:tr w:rsidR="005D46E3" w:rsidRPr="00EB505F" w14:paraId="17795DBD" w14:textId="77777777" w:rsidTr="53A464E7">
        <w:tc>
          <w:tcPr>
            <w:tcW w:w="107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693732" w14:textId="00DB79DE" w:rsidR="005D46E3" w:rsidRPr="00AE2ACB" w:rsidRDefault="005D46E3">
            <w:pPr>
              <w:pStyle w:val="NormalWeb"/>
              <w:spacing w:after="0"/>
              <w:rPr>
                <w:rFonts w:ascii="Arial" w:hAnsi="Arial" w:cs="Arial"/>
                <w:b/>
                <w:bCs/>
                <w:sz w:val="20"/>
                <w:szCs w:val="20"/>
              </w:rPr>
            </w:pPr>
            <w:r w:rsidRPr="00AE2ACB">
              <w:rPr>
                <w:rFonts w:ascii="Arial" w:hAnsi="Arial" w:cs="Arial"/>
                <w:b/>
                <w:bCs/>
                <w:sz w:val="20"/>
                <w:szCs w:val="20"/>
              </w:rPr>
              <w:t> Options</w:t>
            </w:r>
          </w:p>
        </w:tc>
        <w:tc>
          <w:tcPr>
            <w:tcW w:w="308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74B4A" w14:textId="5B746040" w:rsidR="0075261A" w:rsidRPr="00AE2ACB" w:rsidRDefault="00291C3A" w:rsidP="00291C3A">
            <w:pPr>
              <w:pStyle w:val="NormalWeb"/>
              <w:spacing w:after="0"/>
              <w:rPr>
                <w:rFonts w:ascii="Arial" w:hAnsi="Arial" w:cs="Arial"/>
                <w:b/>
                <w:bCs/>
                <w:sz w:val="20"/>
                <w:szCs w:val="20"/>
              </w:rPr>
            </w:pPr>
            <w:r w:rsidRPr="00AE2ACB">
              <w:rPr>
                <w:rFonts w:ascii="Arial" w:hAnsi="Arial" w:cs="Arial"/>
                <w:b/>
                <w:bCs/>
                <w:sz w:val="20"/>
                <w:szCs w:val="20"/>
              </w:rPr>
              <w:t>Description Cost</w:t>
            </w:r>
            <w:r w:rsidR="0075261A" w:rsidRPr="00AE2ACB">
              <w:rPr>
                <w:rFonts w:ascii="Arial" w:hAnsi="Arial" w:cs="Arial"/>
                <w:b/>
                <w:bCs/>
                <w:sz w:val="20"/>
                <w:szCs w:val="20"/>
              </w:rPr>
              <w:t xml:space="preserve"> /</w:t>
            </w:r>
            <w:r w:rsidRPr="00AE2ACB">
              <w:rPr>
                <w:rFonts w:ascii="Arial" w:hAnsi="Arial" w:cs="Arial"/>
                <w:b/>
                <w:bCs/>
                <w:sz w:val="20"/>
                <w:szCs w:val="20"/>
              </w:rPr>
              <w:t xml:space="preserve"> </w:t>
            </w:r>
            <w:r w:rsidR="0075261A" w:rsidRPr="00AE2ACB">
              <w:rPr>
                <w:rFonts w:ascii="Arial" w:hAnsi="Arial" w:cs="Arial"/>
                <w:b/>
                <w:bCs/>
                <w:sz w:val="20"/>
                <w:szCs w:val="20"/>
              </w:rPr>
              <w:t>Benefit</w:t>
            </w:r>
          </w:p>
        </w:tc>
        <w:tc>
          <w:tcPr>
            <w:tcW w:w="8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36DAEC" w14:textId="157897A2" w:rsidR="005D46E3" w:rsidRPr="00AE2ACB" w:rsidRDefault="007A5527">
            <w:pPr>
              <w:pStyle w:val="NormalWeb"/>
              <w:spacing w:after="0"/>
              <w:rPr>
                <w:rFonts w:ascii="Arial" w:hAnsi="Arial" w:cs="Arial"/>
                <w:b/>
                <w:bCs/>
                <w:sz w:val="20"/>
                <w:szCs w:val="20"/>
              </w:rPr>
            </w:pPr>
            <w:r w:rsidRPr="00AE2ACB">
              <w:rPr>
                <w:rFonts w:ascii="Arial" w:hAnsi="Arial" w:cs="Arial"/>
                <w:b/>
                <w:bCs/>
                <w:sz w:val="20"/>
                <w:szCs w:val="20"/>
              </w:rPr>
              <w:t xml:space="preserve">Estimated </w:t>
            </w:r>
            <w:r w:rsidR="00680D0F" w:rsidRPr="00AE2ACB">
              <w:rPr>
                <w:rFonts w:ascii="Arial" w:hAnsi="Arial" w:cs="Arial"/>
                <w:b/>
                <w:bCs/>
                <w:sz w:val="20"/>
                <w:szCs w:val="20"/>
              </w:rPr>
              <w:t xml:space="preserve">annual </w:t>
            </w:r>
            <w:r w:rsidR="005D46E3" w:rsidRPr="00AE2ACB">
              <w:rPr>
                <w:rFonts w:ascii="Arial" w:hAnsi="Arial" w:cs="Arial"/>
                <w:b/>
                <w:bCs/>
                <w:sz w:val="20"/>
                <w:szCs w:val="20"/>
              </w:rPr>
              <w:t>costs/ Benefits</w:t>
            </w:r>
            <w:r w:rsidR="00291C3A" w:rsidRPr="00AE2ACB">
              <w:rPr>
                <w:rFonts w:ascii="Arial" w:hAnsi="Arial" w:cs="Arial"/>
                <w:b/>
                <w:bCs/>
                <w:sz w:val="20"/>
                <w:szCs w:val="20"/>
              </w:rPr>
              <w:t xml:space="preserve"> ($)</w:t>
            </w:r>
          </w:p>
        </w:tc>
      </w:tr>
      <w:tr w:rsidR="005D46E3" w:rsidRPr="00EB505F" w14:paraId="27810C8E" w14:textId="77777777" w:rsidTr="53A464E7">
        <w:tc>
          <w:tcPr>
            <w:tcW w:w="107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0DD282" w14:textId="4518B75F" w:rsidR="005D46E3" w:rsidRPr="00AE2ACB" w:rsidRDefault="005D46E3">
            <w:pPr>
              <w:pStyle w:val="NormalWeb"/>
              <w:spacing w:after="0"/>
              <w:rPr>
                <w:rFonts w:ascii="Arial" w:hAnsi="Arial" w:cs="Arial"/>
                <w:sz w:val="20"/>
                <w:szCs w:val="20"/>
              </w:rPr>
            </w:pPr>
            <w:r w:rsidRPr="00AE2ACB">
              <w:rPr>
                <w:rFonts w:ascii="Arial" w:hAnsi="Arial" w:cs="Arial"/>
                <w:sz w:val="20"/>
                <w:szCs w:val="20"/>
              </w:rPr>
              <w:t xml:space="preserve">Option 1 – facilitate WBB via currently existing licence types </w:t>
            </w:r>
            <w:r w:rsidR="009D7B0E" w:rsidRPr="00AE2ACB">
              <w:rPr>
                <w:rFonts w:ascii="Arial" w:hAnsi="Arial" w:cs="Arial"/>
                <w:sz w:val="20"/>
                <w:szCs w:val="20"/>
              </w:rPr>
              <w:t xml:space="preserve">in the band </w:t>
            </w:r>
            <w:r w:rsidRPr="00AE2ACB">
              <w:rPr>
                <w:rFonts w:ascii="Arial" w:hAnsi="Arial" w:cs="Arial"/>
                <w:sz w:val="20"/>
                <w:szCs w:val="20"/>
              </w:rPr>
              <w:t>(status quo)</w:t>
            </w:r>
          </w:p>
        </w:tc>
        <w:tc>
          <w:tcPr>
            <w:tcW w:w="308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9D66A2" w14:textId="43A22C89" w:rsidR="005D46E3" w:rsidRPr="00AE2ACB" w:rsidRDefault="005D46E3" w:rsidP="00397688">
            <w:pPr>
              <w:pStyle w:val="NormalWeb"/>
              <w:spacing w:after="0"/>
              <w:rPr>
                <w:rFonts w:ascii="Arial" w:hAnsi="Arial" w:cs="Arial"/>
                <w:sz w:val="20"/>
                <w:szCs w:val="20"/>
              </w:rPr>
            </w:pPr>
            <w:r w:rsidRPr="00AE2ACB">
              <w:rPr>
                <w:rFonts w:ascii="Arial" w:hAnsi="Arial" w:cs="Arial"/>
                <w:sz w:val="20"/>
                <w:szCs w:val="20"/>
              </w:rPr>
              <w:t xml:space="preserve">Some expected use cases are not sufficiently accommodated under current </w:t>
            </w:r>
            <w:r w:rsidR="00C01C43" w:rsidRPr="00AE2ACB">
              <w:rPr>
                <w:rFonts w:ascii="Arial" w:hAnsi="Arial" w:cs="Arial"/>
                <w:sz w:val="20"/>
                <w:szCs w:val="20"/>
              </w:rPr>
              <w:t xml:space="preserve">fixed </w:t>
            </w:r>
            <w:r w:rsidR="009F089E" w:rsidRPr="00AE2ACB">
              <w:rPr>
                <w:rFonts w:ascii="Arial" w:hAnsi="Arial" w:cs="Arial"/>
                <w:sz w:val="20"/>
                <w:szCs w:val="20"/>
              </w:rPr>
              <w:t>point-to-multipoint (PMP) and PMTS Class B licence types</w:t>
            </w:r>
            <w:r w:rsidRPr="00AE2ACB">
              <w:rPr>
                <w:rFonts w:ascii="Arial" w:hAnsi="Arial" w:cs="Arial"/>
                <w:sz w:val="20"/>
                <w:szCs w:val="20"/>
              </w:rPr>
              <w:t xml:space="preserve">. Consequently, there is likely </w:t>
            </w:r>
            <w:r w:rsidRPr="00AE2ACB">
              <w:rPr>
                <w:rFonts w:ascii="Arial" w:hAnsi="Arial" w:cs="Arial"/>
                <w:b/>
                <w:bCs/>
                <w:sz w:val="20"/>
                <w:szCs w:val="20"/>
              </w:rPr>
              <w:t>deadweight loss</w:t>
            </w:r>
            <w:r w:rsidRPr="00AE2ACB">
              <w:rPr>
                <w:rFonts w:ascii="Arial" w:hAnsi="Arial" w:cs="Arial"/>
                <w:sz w:val="20"/>
                <w:szCs w:val="20"/>
              </w:rPr>
              <w:t xml:space="preserve"> (DWL) (forgone benefits) associated with nascent demand for the spectrum not being adequately supplied</w:t>
            </w:r>
            <w:r w:rsidR="00736AA0">
              <w:rPr>
                <w:rFonts w:ascii="Arial" w:hAnsi="Arial" w:cs="Arial"/>
                <w:sz w:val="20"/>
                <w:szCs w:val="20"/>
              </w:rPr>
              <w:t xml:space="preserve"> or tailored to the relevant use case</w:t>
            </w:r>
            <w:r w:rsidRPr="00AE2ACB">
              <w:rPr>
                <w:rFonts w:ascii="Arial" w:hAnsi="Arial" w:cs="Arial"/>
                <w:sz w:val="20"/>
                <w:szCs w:val="20"/>
              </w:rPr>
              <w:t xml:space="preserve">. </w:t>
            </w:r>
          </w:p>
          <w:p w14:paraId="5088B88F" w14:textId="679C8372" w:rsidR="005D46E3" w:rsidRPr="00AE2ACB" w:rsidRDefault="005D46E3" w:rsidP="00706647">
            <w:pPr>
              <w:pStyle w:val="NormalWeb"/>
              <w:spacing w:after="0"/>
              <w:rPr>
                <w:rFonts w:ascii="Arial" w:hAnsi="Arial" w:cs="Arial"/>
                <w:sz w:val="20"/>
                <w:szCs w:val="20"/>
              </w:rPr>
            </w:pPr>
          </w:p>
        </w:tc>
        <w:tc>
          <w:tcPr>
            <w:tcW w:w="8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E61A05" w14:textId="4D3AB522" w:rsidR="005D46E3" w:rsidRPr="00AE2ACB" w:rsidRDefault="00E72B61">
            <w:pPr>
              <w:pStyle w:val="NormalWeb"/>
              <w:spacing w:after="0"/>
              <w:rPr>
                <w:rFonts w:ascii="Arial" w:hAnsi="Arial" w:cs="Arial"/>
                <w:sz w:val="20"/>
                <w:szCs w:val="20"/>
              </w:rPr>
            </w:pPr>
            <w:r w:rsidRPr="00AE2ACB">
              <w:rPr>
                <w:rFonts w:ascii="Arial" w:hAnsi="Arial" w:cs="Arial"/>
                <w:sz w:val="20"/>
                <w:szCs w:val="20"/>
              </w:rPr>
              <w:t xml:space="preserve">The DWL is not counted under option 1. Rather, the </w:t>
            </w:r>
            <w:r w:rsidRPr="005603B2">
              <w:rPr>
                <w:rFonts w:ascii="Arial" w:hAnsi="Arial" w:cs="Arial"/>
                <w:i/>
                <w:iCs/>
                <w:sz w:val="20"/>
                <w:szCs w:val="20"/>
              </w:rPr>
              <w:t>reduction in DWL</w:t>
            </w:r>
            <w:r w:rsidRPr="00AE2ACB">
              <w:rPr>
                <w:rFonts w:ascii="Arial" w:hAnsi="Arial" w:cs="Arial"/>
                <w:sz w:val="20"/>
                <w:szCs w:val="20"/>
              </w:rPr>
              <w:t xml:space="preserve"> is presented as benefits in the other options. </w:t>
            </w:r>
          </w:p>
        </w:tc>
      </w:tr>
      <w:tr w:rsidR="005D46E3" w:rsidRPr="00EB505F" w14:paraId="491977CA" w14:textId="77777777" w:rsidTr="53A464E7">
        <w:tc>
          <w:tcPr>
            <w:tcW w:w="107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CB7C27" w14:textId="2076F2DC" w:rsidR="005D46E3" w:rsidRPr="00AE2ACB" w:rsidRDefault="005D46E3">
            <w:pPr>
              <w:pStyle w:val="NormalWeb"/>
              <w:spacing w:after="0"/>
              <w:rPr>
                <w:rFonts w:ascii="Arial" w:hAnsi="Arial" w:cs="Arial"/>
                <w:sz w:val="20"/>
                <w:szCs w:val="20"/>
              </w:rPr>
            </w:pPr>
            <w:r w:rsidRPr="00AE2ACB">
              <w:rPr>
                <w:rFonts w:ascii="Arial" w:hAnsi="Arial" w:cs="Arial"/>
                <w:sz w:val="20"/>
                <w:szCs w:val="20"/>
              </w:rPr>
              <w:t>Option 2 facilitate WBB on a ‘per licence’ basis (alternative option)</w:t>
            </w:r>
          </w:p>
        </w:tc>
        <w:tc>
          <w:tcPr>
            <w:tcW w:w="308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400817" w14:textId="2D7E9B89" w:rsidR="005D46E3" w:rsidRPr="00AE2ACB" w:rsidRDefault="005D46E3">
            <w:pPr>
              <w:pStyle w:val="NormalWeb"/>
              <w:spacing w:after="0"/>
              <w:rPr>
                <w:rFonts w:ascii="Arial" w:hAnsi="Arial" w:cs="Arial"/>
                <w:sz w:val="20"/>
                <w:szCs w:val="20"/>
              </w:rPr>
            </w:pPr>
            <w:r w:rsidRPr="00AE2ACB">
              <w:rPr>
                <w:rFonts w:ascii="Arial" w:hAnsi="Arial" w:cs="Arial"/>
                <w:sz w:val="20"/>
                <w:szCs w:val="20"/>
              </w:rPr>
              <w:t xml:space="preserve">'Out of policy' requests can accommodate new use cases that aren’t currently supported by the PMP and PMTS class B licence types, which will </w:t>
            </w:r>
            <w:r w:rsidRPr="00AE2ACB">
              <w:rPr>
                <w:rFonts w:ascii="Arial" w:hAnsi="Arial" w:cs="Arial"/>
                <w:b/>
                <w:bCs/>
                <w:sz w:val="20"/>
                <w:szCs w:val="20"/>
              </w:rPr>
              <w:t>reduce the DWL mentioned in Option 1</w:t>
            </w:r>
            <w:r w:rsidR="002338F0">
              <w:rPr>
                <w:rFonts w:ascii="Arial" w:hAnsi="Arial" w:cs="Arial"/>
                <w:b/>
                <w:bCs/>
                <w:sz w:val="20"/>
                <w:szCs w:val="20"/>
              </w:rPr>
              <w:t xml:space="preserve"> by $23,000</w:t>
            </w:r>
            <w:r w:rsidR="00271E90">
              <w:rPr>
                <w:rFonts w:ascii="Arial" w:hAnsi="Arial" w:cs="Arial"/>
                <w:b/>
                <w:bCs/>
                <w:sz w:val="20"/>
                <w:szCs w:val="20"/>
              </w:rPr>
              <w:t xml:space="preserve"> </w:t>
            </w:r>
            <w:r w:rsidR="00271E90" w:rsidRPr="008156C0">
              <w:rPr>
                <w:rFonts w:ascii="Arial" w:hAnsi="Arial" w:cs="Arial"/>
                <w:sz w:val="20"/>
                <w:szCs w:val="20"/>
              </w:rPr>
              <w:t>each year</w:t>
            </w:r>
            <w:r w:rsidRPr="00AE2ACB">
              <w:rPr>
                <w:rFonts w:ascii="Arial" w:hAnsi="Arial" w:cs="Arial"/>
                <w:sz w:val="20"/>
                <w:szCs w:val="20"/>
              </w:rPr>
              <w:t xml:space="preserve">. </w:t>
            </w:r>
          </w:p>
          <w:p w14:paraId="0FD97851" w14:textId="32B3D004" w:rsidR="005D46E3" w:rsidRPr="00AE2ACB" w:rsidRDefault="005D46E3">
            <w:pPr>
              <w:pStyle w:val="NormalWeb"/>
              <w:spacing w:after="0"/>
              <w:rPr>
                <w:rFonts w:ascii="Arial" w:hAnsi="Arial" w:cs="Arial"/>
                <w:sz w:val="20"/>
                <w:szCs w:val="20"/>
              </w:rPr>
            </w:pPr>
            <w:r w:rsidRPr="00AE2ACB">
              <w:rPr>
                <w:rFonts w:ascii="Arial" w:hAnsi="Arial" w:cs="Arial"/>
                <w:sz w:val="20"/>
                <w:szCs w:val="20"/>
              </w:rPr>
              <w:t> </w:t>
            </w:r>
          </w:p>
          <w:p w14:paraId="2ADB1544" w14:textId="0B0FBD00" w:rsidR="005D46E3" w:rsidRPr="00AE2ACB" w:rsidRDefault="5E39B242">
            <w:pPr>
              <w:pStyle w:val="NormalWeb"/>
              <w:spacing w:after="0"/>
              <w:rPr>
                <w:rFonts w:ascii="Arial" w:hAnsi="Arial" w:cs="Arial"/>
                <w:sz w:val="20"/>
                <w:szCs w:val="20"/>
              </w:rPr>
            </w:pPr>
            <w:r w:rsidRPr="53A464E7">
              <w:rPr>
                <w:rFonts w:ascii="Arial" w:hAnsi="Arial" w:cs="Arial"/>
                <w:sz w:val="20"/>
                <w:szCs w:val="20"/>
              </w:rPr>
              <w:t xml:space="preserve">However, we expect </w:t>
            </w:r>
            <w:r w:rsidRPr="008156C0">
              <w:rPr>
                <w:rFonts w:ascii="Arial" w:hAnsi="Arial" w:cs="Arial"/>
                <w:b/>
                <w:bCs/>
                <w:sz w:val="20"/>
                <w:szCs w:val="20"/>
              </w:rPr>
              <w:t xml:space="preserve">some </w:t>
            </w:r>
            <w:r w:rsidR="422D5EF8" w:rsidRPr="008156C0">
              <w:rPr>
                <w:rFonts w:ascii="Arial" w:hAnsi="Arial" w:cs="Arial"/>
                <w:b/>
                <w:bCs/>
                <w:sz w:val="20"/>
                <w:szCs w:val="20"/>
              </w:rPr>
              <w:t>admin</w:t>
            </w:r>
            <w:r w:rsidR="10C00E0B" w:rsidRPr="53A464E7">
              <w:rPr>
                <w:rFonts w:ascii="Arial" w:hAnsi="Arial" w:cs="Arial"/>
                <w:b/>
                <w:bCs/>
                <w:sz w:val="20"/>
                <w:szCs w:val="20"/>
              </w:rPr>
              <w:t>istrative</w:t>
            </w:r>
            <w:r w:rsidR="422D5EF8" w:rsidRPr="008156C0">
              <w:rPr>
                <w:rFonts w:ascii="Arial" w:hAnsi="Arial" w:cs="Arial"/>
                <w:b/>
                <w:bCs/>
                <w:sz w:val="20"/>
                <w:szCs w:val="20"/>
              </w:rPr>
              <w:t xml:space="preserve"> </w:t>
            </w:r>
            <w:r w:rsidR="66B4A75F" w:rsidRPr="008156C0">
              <w:rPr>
                <w:rFonts w:ascii="Arial" w:hAnsi="Arial" w:cs="Arial"/>
                <w:b/>
                <w:bCs/>
                <w:sz w:val="20"/>
                <w:szCs w:val="20"/>
              </w:rPr>
              <w:t>costs of $</w:t>
            </w:r>
            <w:r w:rsidR="40281E8B" w:rsidRPr="53A464E7">
              <w:rPr>
                <w:rFonts w:ascii="Arial" w:hAnsi="Arial" w:cs="Arial"/>
                <w:b/>
                <w:bCs/>
                <w:sz w:val="20"/>
                <w:szCs w:val="20"/>
              </w:rPr>
              <w:t>4</w:t>
            </w:r>
            <w:r w:rsidR="66B4A75F" w:rsidRPr="008156C0">
              <w:rPr>
                <w:rFonts w:ascii="Arial" w:hAnsi="Arial" w:cs="Arial"/>
                <w:b/>
                <w:bCs/>
                <w:sz w:val="20"/>
                <w:szCs w:val="20"/>
              </w:rPr>
              <w:t>,000</w:t>
            </w:r>
            <w:r w:rsidR="66B4A75F" w:rsidRPr="53A464E7">
              <w:rPr>
                <w:rFonts w:ascii="Arial" w:hAnsi="Arial" w:cs="Arial"/>
                <w:sz w:val="20"/>
                <w:szCs w:val="20"/>
              </w:rPr>
              <w:t xml:space="preserve"> per year to reduce </w:t>
            </w:r>
            <w:r w:rsidR="5D937BA1" w:rsidRPr="53A464E7">
              <w:rPr>
                <w:rFonts w:ascii="Arial" w:hAnsi="Arial" w:cs="Arial"/>
                <w:sz w:val="20"/>
                <w:szCs w:val="20"/>
              </w:rPr>
              <w:t>that benefit.</w:t>
            </w:r>
          </w:p>
        </w:tc>
        <w:tc>
          <w:tcPr>
            <w:tcW w:w="8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975CB3" w14:textId="3DE26CB4" w:rsidR="005D46E3" w:rsidRPr="00AE2ACB" w:rsidRDefault="00680D0F">
            <w:pPr>
              <w:pStyle w:val="NormalWeb"/>
              <w:spacing w:after="0"/>
              <w:rPr>
                <w:rFonts w:ascii="Arial" w:hAnsi="Arial" w:cs="Arial"/>
                <w:color w:val="000000"/>
                <w:sz w:val="20"/>
                <w:szCs w:val="20"/>
              </w:rPr>
            </w:pPr>
            <w:r w:rsidRPr="00AE2ACB">
              <w:rPr>
                <w:rFonts w:ascii="Arial" w:hAnsi="Arial" w:cs="Arial"/>
                <w:color w:val="000000"/>
                <w:sz w:val="20"/>
                <w:szCs w:val="20"/>
              </w:rPr>
              <w:t>$</w:t>
            </w:r>
            <w:r w:rsidR="006E22CD">
              <w:rPr>
                <w:rFonts w:ascii="Arial" w:hAnsi="Arial" w:cs="Arial"/>
                <w:color w:val="000000"/>
                <w:sz w:val="20"/>
                <w:szCs w:val="20"/>
              </w:rPr>
              <w:t>1</w:t>
            </w:r>
            <w:r w:rsidR="00C873A1">
              <w:rPr>
                <w:rFonts w:ascii="Arial" w:hAnsi="Arial" w:cs="Arial"/>
                <w:color w:val="000000"/>
                <w:sz w:val="20"/>
                <w:szCs w:val="20"/>
              </w:rPr>
              <w:t>9</w:t>
            </w:r>
            <w:r w:rsidRPr="00AE2ACB">
              <w:rPr>
                <w:rFonts w:ascii="Arial" w:hAnsi="Arial" w:cs="Arial"/>
                <w:color w:val="000000"/>
                <w:sz w:val="20"/>
                <w:szCs w:val="20"/>
              </w:rPr>
              <w:t>,</w:t>
            </w:r>
            <w:r w:rsidR="00614066" w:rsidRPr="00AE2ACB">
              <w:rPr>
                <w:rFonts w:ascii="Arial" w:hAnsi="Arial" w:cs="Arial"/>
                <w:color w:val="000000"/>
                <w:sz w:val="20"/>
                <w:szCs w:val="20"/>
              </w:rPr>
              <w:t>000</w:t>
            </w:r>
          </w:p>
          <w:p w14:paraId="24C160E3" w14:textId="29250C00" w:rsidR="00B04E52" w:rsidRPr="00AE2ACB" w:rsidRDefault="007A5527">
            <w:pPr>
              <w:pStyle w:val="NormalWeb"/>
              <w:spacing w:after="0"/>
              <w:rPr>
                <w:rFonts w:ascii="Arial" w:hAnsi="Arial" w:cs="Arial"/>
                <w:color w:val="000000"/>
                <w:sz w:val="20"/>
                <w:szCs w:val="20"/>
              </w:rPr>
            </w:pPr>
            <w:r w:rsidRPr="00AE2ACB">
              <w:rPr>
                <w:rFonts w:ascii="Arial" w:hAnsi="Arial" w:cs="Arial"/>
                <w:color w:val="000000"/>
                <w:sz w:val="20"/>
                <w:szCs w:val="20"/>
              </w:rPr>
              <w:t>(Calculations are presented in Appendix A)</w:t>
            </w:r>
          </w:p>
          <w:p w14:paraId="4A0BFDEE" w14:textId="576FF143" w:rsidR="005D46E3" w:rsidRPr="00AE2ACB" w:rsidRDefault="005D46E3">
            <w:pPr>
              <w:pStyle w:val="NormalWeb"/>
              <w:spacing w:after="0"/>
              <w:rPr>
                <w:rFonts w:ascii="Arial" w:hAnsi="Arial" w:cs="Arial"/>
                <w:sz w:val="20"/>
                <w:szCs w:val="20"/>
              </w:rPr>
            </w:pPr>
            <w:r w:rsidRPr="00AE2ACB">
              <w:rPr>
                <w:rFonts w:ascii="Arial" w:hAnsi="Arial" w:cs="Arial"/>
                <w:sz w:val="20"/>
                <w:szCs w:val="20"/>
              </w:rPr>
              <w:t> </w:t>
            </w:r>
          </w:p>
        </w:tc>
      </w:tr>
      <w:tr w:rsidR="005D46E3" w:rsidRPr="00EB505F" w14:paraId="2DF6F1AD" w14:textId="77777777" w:rsidTr="53A464E7">
        <w:tc>
          <w:tcPr>
            <w:tcW w:w="107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156289" w14:textId="4FB2859F" w:rsidR="005D46E3" w:rsidRPr="00AE2ACB" w:rsidRDefault="005D46E3">
            <w:pPr>
              <w:pStyle w:val="NormalWeb"/>
              <w:spacing w:after="0"/>
              <w:rPr>
                <w:rFonts w:ascii="Arial" w:hAnsi="Arial" w:cs="Arial"/>
                <w:sz w:val="20"/>
                <w:szCs w:val="20"/>
              </w:rPr>
            </w:pPr>
            <w:r w:rsidRPr="00AE2ACB">
              <w:rPr>
                <w:rFonts w:ascii="Arial" w:hAnsi="Arial" w:cs="Arial"/>
                <w:sz w:val="20"/>
                <w:szCs w:val="20"/>
              </w:rPr>
              <w:t>Option 3 -introduce AWLs optimised for WBB (preferred option)</w:t>
            </w:r>
          </w:p>
        </w:tc>
        <w:tc>
          <w:tcPr>
            <w:tcW w:w="308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F3FA18" w14:textId="397FA0E0" w:rsidR="005D46E3" w:rsidRPr="00AE2ACB" w:rsidRDefault="005D46E3" w:rsidP="0031181D">
            <w:pPr>
              <w:pStyle w:val="NormalWeb"/>
              <w:spacing w:after="0"/>
              <w:rPr>
                <w:rFonts w:ascii="Arial" w:hAnsi="Arial" w:cs="Arial"/>
                <w:sz w:val="20"/>
                <w:szCs w:val="20"/>
              </w:rPr>
            </w:pPr>
            <w:r w:rsidRPr="00AE2ACB">
              <w:rPr>
                <w:rFonts w:ascii="Arial" w:hAnsi="Arial" w:cs="Arial"/>
                <w:sz w:val="20"/>
                <w:szCs w:val="20"/>
              </w:rPr>
              <w:t xml:space="preserve">AWL is optimised for WBB. This is likely to lead to more LA WBB services being established by industry compared to other options (and at a faster rate) and is expected </w:t>
            </w:r>
            <w:r w:rsidRPr="00AE2ACB">
              <w:rPr>
                <w:rFonts w:ascii="Arial" w:hAnsi="Arial" w:cs="Arial"/>
                <w:b/>
                <w:bCs/>
                <w:sz w:val="20"/>
                <w:szCs w:val="20"/>
              </w:rPr>
              <w:t xml:space="preserve">reduce/eliminate the DWL mentioned in Option 1. </w:t>
            </w:r>
          </w:p>
        </w:tc>
        <w:tc>
          <w:tcPr>
            <w:tcW w:w="8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14157" w14:textId="4B2D1EDC" w:rsidR="00A624A3" w:rsidRPr="00AE2ACB" w:rsidRDefault="00A624A3" w:rsidP="00A624A3">
            <w:pPr>
              <w:pStyle w:val="NormalWeb"/>
              <w:spacing w:after="0"/>
              <w:rPr>
                <w:rFonts w:ascii="Arial" w:hAnsi="Arial" w:cs="Arial"/>
                <w:color w:val="000000"/>
                <w:sz w:val="20"/>
                <w:szCs w:val="20"/>
              </w:rPr>
            </w:pPr>
            <w:r w:rsidRPr="00AE2ACB">
              <w:rPr>
                <w:rFonts w:ascii="Arial" w:hAnsi="Arial" w:cs="Arial"/>
                <w:color w:val="000000"/>
                <w:sz w:val="20"/>
                <w:szCs w:val="20"/>
              </w:rPr>
              <w:t>$51,000</w:t>
            </w:r>
          </w:p>
          <w:p w14:paraId="4DBEDB7C" w14:textId="22C1306B" w:rsidR="005D46E3" w:rsidRPr="00AE2ACB" w:rsidRDefault="007A5527">
            <w:pPr>
              <w:pStyle w:val="NormalWeb"/>
              <w:spacing w:after="0"/>
              <w:rPr>
                <w:rFonts w:ascii="Arial" w:hAnsi="Arial" w:cs="Arial"/>
                <w:color w:val="000000"/>
                <w:sz w:val="20"/>
                <w:szCs w:val="20"/>
              </w:rPr>
            </w:pPr>
            <w:r w:rsidRPr="00AE2ACB">
              <w:rPr>
                <w:rFonts w:ascii="Arial" w:hAnsi="Arial" w:cs="Arial"/>
                <w:color w:val="000000"/>
                <w:sz w:val="20"/>
                <w:szCs w:val="20"/>
              </w:rPr>
              <w:t>(Calculations are presented in Appendix A)</w:t>
            </w:r>
          </w:p>
        </w:tc>
      </w:tr>
    </w:tbl>
    <w:p w14:paraId="75A23437" w14:textId="77777777" w:rsidR="002878AD" w:rsidRDefault="002878AD" w:rsidP="002878AD">
      <w:pPr>
        <w:pStyle w:val="NormalWeb"/>
        <w:spacing w:after="0"/>
        <w:rPr>
          <w:rFonts w:ascii="Calibri" w:hAnsi="Calibri" w:cs="Calibri"/>
          <w:color w:val="000000"/>
          <w:sz w:val="22"/>
          <w:szCs w:val="22"/>
        </w:rPr>
      </w:pPr>
      <w:r>
        <w:rPr>
          <w:rFonts w:ascii="Calibri" w:hAnsi="Calibri" w:cs="Calibri"/>
          <w:color w:val="000000"/>
          <w:sz w:val="22"/>
          <w:szCs w:val="22"/>
        </w:rPr>
        <w:t> </w:t>
      </w:r>
    </w:p>
    <w:p w14:paraId="7EDB7821" w14:textId="5C9F6D0C" w:rsidR="002878AD" w:rsidRDefault="002878AD" w:rsidP="005E454C">
      <w:pPr>
        <w:pStyle w:val="Heading2"/>
      </w:pPr>
      <w:bookmarkStart w:id="50" w:name="_Toc137640974"/>
      <w:r>
        <w:t xml:space="preserve">Option 1 </w:t>
      </w:r>
      <w:r w:rsidR="002E5BB1">
        <w:t xml:space="preserve">- </w:t>
      </w:r>
      <w:r w:rsidR="002E5BB1" w:rsidRPr="002E5BB1">
        <w:t xml:space="preserve">facilitate </w:t>
      </w:r>
      <w:r w:rsidR="002E5BB1">
        <w:t xml:space="preserve">LA </w:t>
      </w:r>
      <w:r w:rsidR="002E5BB1" w:rsidRPr="002E5BB1">
        <w:t>WBB via existing licence types</w:t>
      </w:r>
      <w:r w:rsidR="002E5BB1">
        <w:t xml:space="preserve"> </w:t>
      </w:r>
      <w:r>
        <w:t>(status quo)</w:t>
      </w:r>
      <w:bookmarkEnd w:id="50"/>
      <w:r>
        <w:t xml:space="preserve"> </w:t>
      </w:r>
    </w:p>
    <w:p w14:paraId="5F161875" w14:textId="377474BE" w:rsidR="009373A5" w:rsidRDefault="002878AD" w:rsidP="009373A5">
      <w:r>
        <w:t xml:space="preserve">The current licensing and pricing framework is well-known to licensees. </w:t>
      </w:r>
      <w:r w:rsidR="009373A5">
        <w:t>LA WBB can be authorised under current licensing</w:t>
      </w:r>
      <w:r w:rsidR="002845F0">
        <w:t xml:space="preserve"> arrangements in the band</w:t>
      </w:r>
      <w:r w:rsidR="009373A5">
        <w:t xml:space="preserve">, via either the fixed point to multipoint (PMP) licence or the Public Mobile Telecommunications Service (PMTS) class B licence type. However, PMP and PMTS Class B licence types are </w:t>
      </w:r>
      <w:r w:rsidR="002F6F82">
        <w:t>not optimised for LA WBB and the breadth of use cases that we expect</w:t>
      </w:r>
      <w:r w:rsidR="00AD6BBA">
        <w:t xml:space="preserve"> with it</w:t>
      </w:r>
      <w:r w:rsidR="004B56C5">
        <w:t xml:space="preserve"> (as shown in section 3)</w:t>
      </w:r>
      <w:r w:rsidR="00AD6BBA">
        <w:t xml:space="preserve">. </w:t>
      </w:r>
      <w:r w:rsidR="009373A5">
        <w:t>Consequently, there is likely deadweight loss (DWL) (forgone benefits) associated with nascent demand for the spectrum not being adequately supplied</w:t>
      </w:r>
      <w:r w:rsidR="0003318A">
        <w:t xml:space="preserve"> via the current PMP and PMTS licence types</w:t>
      </w:r>
      <w:r w:rsidR="009373A5">
        <w:t>. Some nascent service providers may not roll out services</w:t>
      </w:r>
      <w:r w:rsidR="00517BA2">
        <w:t xml:space="preserve"> due to this incompatibility</w:t>
      </w:r>
      <w:r w:rsidR="009373A5">
        <w:t xml:space="preserve"> or may </w:t>
      </w:r>
      <w:r w:rsidR="00517BA2">
        <w:t xml:space="preserve">only </w:t>
      </w:r>
      <w:r w:rsidR="009373A5">
        <w:t xml:space="preserve">roll out </w:t>
      </w:r>
      <w:r w:rsidR="00FB4765">
        <w:t xml:space="preserve">limited </w:t>
      </w:r>
      <w:r w:rsidR="009373A5">
        <w:t xml:space="preserve">services that conform to the existing licence types, but not to their ideal business plans. </w:t>
      </w:r>
    </w:p>
    <w:p w14:paraId="26E566E6" w14:textId="1619059A" w:rsidR="002878AD" w:rsidRDefault="002878AD" w:rsidP="00F652AF">
      <w:pPr>
        <w:pStyle w:val="Heading2"/>
      </w:pPr>
      <w:bookmarkStart w:id="51" w:name="_Toc137640975"/>
      <w:r>
        <w:t>Option 2</w:t>
      </w:r>
      <w:r w:rsidR="002D7B06">
        <w:t xml:space="preserve"> - </w:t>
      </w:r>
      <w:r w:rsidR="002D7B06" w:rsidRPr="002D7B06">
        <w:t xml:space="preserve">facilitate </w:t>
      </w:r>
      <w:r w:rsidR="00BD02A5">
        <w:t xml:space="preserve">LA </w:t>
      </w:r>
      <w:r w:rsidR="002D7B06" w:rsidRPr="002D7B06">
        <w:t>WBB on a ‘per licence’ basis</w:t>
      </w:r>
      <w:r>
        <w:t xml:space="preserve"> (alternative option)</w:t>
      </w:r>
      <w:bookmarkEnd w:id="51"/>
    </w:p>
    <w:p w14:paraId="128CDB58" w14:textId="09AF7717" w:rsidR="00DA208F" w:rsidRDefault="00B04322" w:rsidP="00CF3949">
      <w:r>
        <w:t xml:space="preserve">PMP and PMTS Class B licence types are less suited to LA WBB services, however, 'out of policy requests' can make them more suitable. 'Out of policy' requests can accommodate new use cases that aren’t currently supported by the PMP and PMTS class B licence types, which will reduce the DWL mentioned in Option 1. </w:t>
      </w:r>
      <w:r w:rsidR="00F23488">
        <w:t xml:space="preserve">I.e. The ACMA can make exceptions </w:t>
      </w:r>
      <w:r w:rsidR="00DA208F">
        <w:t>to the rules outlined in the relevant RALIs</w:t>
      </w:r>
      <w:r w:rsidR="00103202" w:rsidRPr="00103202">
        <w:t xml:space="preserve"> </w:t>
      </w:r>
      <w:r w:rsidR="00103202">
        <w:t xml:space="preserve">to better accommodate LA WBB services under existing licensing arrangements by modifying them on a 'per licence' basis. </w:t>
      </w:r>
      <w:r w:rsidR="00CF3949">
        <w:t>The ACMA could customise PMP / PMTS Class B licence</w:t>
      </w:r>
      <w:r w:rsidR="00C13758">
        <w:t>s</w:t>
      </w:r>
      <w:r w:rsidR="00CF3949">
        <w:t xml:space="preserve"> and pricing arrangements to better suit individual licensee needs as best it could. </w:t>
      </w:r>
      <w:r w:rsidR="00E85F57">
        <w:t xml:space="preserve">By doing this, the </w:t>
      </w:r>
      <w:r w:rsidR="006467C2">
        <w:t>ACMA can reduce the DWL (better meet demand for the spectrum)</w:t>
      </w:r>
      <w:r w:rsidR="004F5AED">
        <w:t xml:space="preserve">. In our estimates of this benefit, we estimate that around 50% of </w:t>
      </w:r>
      <w:r w:rsidR="00490424">
        <w:t xml:space="preserve">requests could be accommodated. </w:t>
      </w:r>
    </w:p>
    <w:p w14:paraId="05CBAE17" w14:textId="4143F4C9" w:rsidR="00B04322" w:rsidRDefault="00B04322" w:rsidP="009843D4">
      <w:pPr>
        <w:ind w:left="11"/>
      </w:pPr>
      <w:r>
        <w:t>However, the ACMA will need to consider these requests on a case-by-case basis so will likely involve some delay costs compared with Option 1 and 3.</w:t>
      </w:r>
      <w:r w:rsidR="00490424">
        <w:t xml:space="preserve"> </w:t>
      </w:r>
      <w:r>
        <w:t xml:space="preserve">Furthermore, </w:t>
      </w:r>
      <w:r w:rsidR="00D42D29">
        <w:t>the bespoke nature of those arrangements mean that operational details and interference protection requirements are not well known to other licensees with whom they need to coordinate</w:t>
      </w:r>
      <w:r w:rsidR="00C26D09">
        <w:t>, leading to an</w:t>
      </w:r>
      <w:r w:rsidR="00E25554">
        <w:t xml:space="preserve"> </w:t>
      </w:r>
      <w:r w:rsidR="004627C0">
        <w:t>i</w:t>
      </w:r>
      <w:r w:rsidR="00D42D29">
        <w:t xml:space="preserve">ncrease </w:t>
      </w:r>
      <w:r w:rsidR="00E25554">
        <w:t xml:space="preserve">in </w:t>
      </w:r>
      <w:r>
        <w:t xml:space="preserve">coordination costs for other licensees entering the band. </w:t>
      </w:r>
      <w:r w:rsidR="00E25554">
        <w:t>Both</w:t>
      </w:r>
      <w:r w:rsidR="009843D4">
        <w:t xml:space="preserve"> costs will detract from the reductions in DWL. </w:t>
      </w:r>
    </w:p>
    <w:p w14:paraId="59D26F12" w14:textId="212FE24D" w:rsidR="0031181D" w:rsidRDefault="0031181D" w:rsidP="002E5BB1">
      <w:pPr>
        <w:pStyle w:val="Heading2"/>
      </w:pPr>
      <w:bookmarkStart w:id="52" w:name="_Toc137640976"/>
      <w:bookmarkEnd w:id="7"/>
      <w:bookmarkEnd w:id="8"/>
      <w:bookmarkEnd w:id="9"/>
      <w:bookmarkEnd w:id="46"/>
      <w:r>
        <w:t>Option 3</w:t>
      </w:r>
      <w:r w:rsidR="002E5BB1">
        <w:t xml:space="preserve"> - </w:t>
      </w:r>
      <w:r>
        <w:t xml:space="preserve">AWL is optimised for </w:t>
      </w:r>
      <w:r w:rsidR="00732E1D">
        <w:t xml:space="preserve">LA </w:t>
      </w:r>
      <w:r>
        <w:t>WBB</w:t>
      </w:r>
      <w:bookmarkEnd w:id="52"/>
    </w:p>
    <w:p w14:paraId="2EDD66C7" w14:textId="040BA193" w:rsidR="00496592" w:rsidRDefault="0031181D" w:rsidP="00181501">
      <w:pPr>
        <w:pStyle w:val="Paragraph"/>
      </w:pPr>
      <w:r>
        <w:t xml:space="preserve">AWL allows for customised and scalable geographic coverage </w:t>
      </w:r>
      <w:r w:rsidR="009A111D">
        <w:t>to suit the broad range of LA WBB use cases</w:t>
      </w:r>
      <w:r>
        <w:t xml:space="preserve">. </w:t>
      </w:r>
      <w:r w:rsidR="00181501">
        <w:t xml:space="preserve">The optimisation of the framework </w:t>
      </w:r>
      <w:r w:rsidR="00822DC2">
        <w:t xml:space="preserve">is known up front </w:t>
      </w:r>
      <w:r w:rsidR="00F672CE">
        <w:t xml:space="preserve">(specified in the </w:t>
      </w:r>
      <w:r w:rsidR="00AD4CC4">
        <w:t xml:space="preserve">proposed </w:t>
      </w:r>
      <w:r w:rsidR="00F672CE">
        <w:t xml:space="preserve">legislative instruments and supporting planning documentation) </w:t>
      </w:r>
      <w:r w:rsidR="00822DC2">
        <w:t xml:space="preserve">which </w:t>
      </w:r>
      <w:r w:rsidR="00181501">
        <w:t>means that prospective licensees and incumbent licensees can coordinate their services and operate with greater confidence.</w:t>
      </w:r>
      <w:r w:rsidR="00181501" w:rsidRPr="00181501">
        <w:t xml:space="preserve"> </w:t>
      </w:r>
      <w:r w:rsidR="00992201">
        <w:t xml:space="preserve">Compare this with </w:t>
      </w:r>
      <w:r w:rsidR="00496592">
        <w:t xml:space="preserve">option 2 </w:t>
      </w:r>
      <w:r w:rsidR="00992201">
        <w:t xml:space="preserve">where </w:t>
      </w:r>
      <w:r w:rsidR="00496592">
        <w:t xml:space="preserve">the </w:t>
      </w:r>
      <w:r w:rsidR="00992201">
        <w:t xml:space="preserve">bespoke licensing parameters are not in a common </w:t>
      </w:r>
      <w:r w:rsidR="00567EC6">
        <w:t xml:space="preserve">framework; rather they are </w:t>
      </w:r>
      <w:r w:rsidR="00A27802">
        <w:t>detailed in individual licences meaning they are not well known to prospective licensees.</w:t>
      </w:r>
      <w:r w:rsidR="00B13CD3">
        <w:t xml:space="preserve"> A </w:t>
      </w:r>
      <w:r w:rsidR="00DF6816">
        <w:t>prospective</w:t>
      </w:r>
      <w:r w:rsidR="00B13CD3">
        <w:t xml:space="preserve"> licensee will likely need more </w:t>
      </w:r>
      <w:r w:rsidR="00B4001F">
        <w:t>time and resources to p</w:t>
      </w:r>
      <w:r w:rsidR="00B13CD3">
        <w:t>lan and coordinat</w:t>
      </w:r>
      <w:r w:rsidR="00B4001F">
        <w:t xml:space="preserve">e </w:t>
      </w:r>
      <w:r w:rsidR="00122561">
        <w:t xml:space="preserve">their </w:t>
      </w:r>
      <w:r w:rsidR="00B4001F">
        <w:t>service</w:t>
      </w:r>
      <w:r w:rsidR="00122561">
        <w:t xml:space="preserve">s with neighbouring services. </w:t>
      </w:r>
      <w:r w:rsidR="00D2299D">
        <w:t xml:space="preserve">The ‘friction’ in Option 2 makes it less </w:t>
      </w:r>
      <w:r w:rsidR="00A2768E">
        <w:t xml:space="preserve">beneficial compared with Option 3. </w:t>
      </w:r>
    </w:p>
    <w:p w14:paraId="18702D5C" w14:textId="7B14E929" w:rsidR="0031181D" w:rsidRDefault="00181501" w:rsidP="0031181D">
      <w:pPr>
        <w:pStyle w:val="Paragraph"/>
      </w:pPr>
      <w:r>
        <w:t>The AWL also allows for other service types so long as they adhere to the technical conditions for the licence type. Only 'boundary transmitters' need to be registered with the ACMA, allowing for flexibility in network design</w:t>
      </w:r>
      <w:r w:rsidR="00D043B0">
        <w:t xml:space="preserve"> and network </w:t>
      </w:r>
      <w:r>
        <w:t>changes</w:t>
      </w:r>
      <w:r w:rsidR="00D043B0">
        <w:t>.</w:t>
      </w:r>
      <w:r w:rsidR="00F43975">
        <w:t xml:space="preserve"> </w:t>
      </w:r>
      <w:r>
        <w:t xml:space="preserve">These benefits </w:t>
      </w:r>
      <w:r w:rsidR="00766B7D">
        <w:t xml:space="preserve">are </w:t>
      </w:r>
      <w:r w:rsidR="0031181D">
        <w:t xml:space="preserve">likely to lead to more LA WBB services being established by industry compared to other options (and at a faster rate) and is expected eliminate the DWL mentioned in Option 1. This </w:t>
      </w:r>
      <w:r w:rsidR="00DD3673">
        <w:t xml:space="preserve">increased accommodation of the demand for spectrum </w:t>
      </w:r>
      <w:r w:rsidR="0031181D">
        <w:t xml:space="preserve">will yield more benefits to licensees, and may flow on to higher GDP through productivity enhancing 5G capabilities such as monitoring and automation on mine sites. </w:t>
      </w:r>
    </w:p>
    <w:p w14:paraId="7C73965B" w14:textId="76FB64CB" w:rsidR="0031181D" w:rsidRDefault="0031181D" w:rsidP="0031181D">
      <w:pPr>
        <w:pStyle w:val="Paragraph"/>
      </w:pPr>
      <w:r>
        <w:t>Establishing a framework for AWLs in remote areas of the 3.4 GHz band also paves the way forward for facilitating similar services in regional and metropolitan areas of Australia.</w:t>
      </w:r>
    </w:p>
    <w:p w14:paraId="78D10FEB" w14:textId="24EF0CDA" w:rsidR="009E49FD" w:rsidRPr="0031181D" w:rsidRDefault="0003233C" w:rsidP="0031181D">
      <w:pPr>
        <w:pStyle w:val="Paragraph"/>
      </w:pPr>
      <w:r>
        <w:t xml:space="preserve">No delay costs are expected because licensees will understand deployment and coordination parameters outlined in the </w:t>
      </w:r>
      <w:r w:rsidR="005D637A">
        <w:t xml:space="preserve">AWL LCD and the associated RALIs. </w:t>
      </w:r>
    </w:p>
    <w:p w14:paraId="2510E7EA" w14:textId="77777777" w:rsidR="00591742" w:rsidRDefault="00591742" w:rsidP="00591742">
      <w:r>
        <w:rPr>
          <w:rFonts w:cs="Arial"/>
          <w:color w:val="000000"/>
          <w:szCs w:val="20"/>
        </w:rPr>
        <w:t xml:space="preserve">No material regulatory burden is expected from this licensing option compared with others. </w:t>
      </w:r>
      <w:r w:rsidRPr="00E80E79">
        <w:rPr>
          <w:rFonts w:cs="Arial"/>
          <w:color w:val="000000"/>
          <w:szCs w:val="20"/>
        </w:rPr>
        <w:t xml:space="preserve">Radiocommunications equipment </w:t>
      </w:r>
      <w:r>
        <w:rPr>
          <w:rFonts w:cs="Arial"/>
          <w:color w:val="000000"/>
          <w:szCs w:val="20"/>
        </w:rPr>
        <w:t xml:space="preserve">operated under AWLs will need to comply with the technical and other operating conditions (e.g. frequency range, power limits) in the licences, and also be required to pay a charge for issue of the licence ($152) and a tax for access to the relevant spectrum (see pricing section below). Similar obligations are also expected of licensees under the alternate licensing options. </w:t>
      </w:r>
    </w:p>
    <w:p w14:paraId="149DAFF0" w14:textId="77777777" w:rsidR="00591742" w:rsidRPr="00D1666B" w:rsidRDefault="00591742" w:rsidP="00D1666B">
      <w:pPr>
        <w:rPr>
          <w:b/>
          <w:bCs/>
        </w:rPr>
      </w:pPr>
      <w:r w:rsidRPr="00D1666B">
        <w:rPr>
          <w:b/>
          <w:bCs/>
        </w:rPr>
        <w:t>Pricing</w:t>
      </w:r>
    </w:p>
    <w:p w14:paraId="007338F2" w14:textId="77777777" w:rsidR="00591742" w:rsidRDefault="00591742" w:rsidP="00591742">
      <w:pPr>
        <w:rPr>
          <w:color w:val="000000"/>
        </w:rPr>
      </w:pPr>
      <w:r>
        <w:t>The impact of the proposed AWL pricing structure flows on from the difference between the modular/customised nature of AWLs and the limitations of PMP and PMTS licences when applied to LA WBB services.</w:t>
      </w:r>
      <w:r>
        <w:rPr>
          <w:color w:val="000000"/>
        </w:rPr>
        <w:t> </w:t>
      </w:r>
    </w:p>
    <w:p w14:paraId="5F5C5C93" w14:textId="33ABB83E" w:rsidR="00591742" w:rsidRDefault="000338B3" w:rsidP="00591742">
      <w:pPr>
        <w:rPr>
          <w:color w:val="000000"/>
        </w:rPr>
      </w:pPr>
      <w:r>
        <w:rPr>
          <w:color w:val="000000"/>
        </w:rPr>
        <w:t>The ACMA is</w:t>
      </w:r>
      <w:r w:rsidR="00591742">
        <w:rPr>
          <w:color w:val="000000"/>
        </w:rPr>
        <w:t xml:space="preserve"> proposing an AWL tax of $0.0041/MHz/pop where the population is based on the area authorised in the licence. This proposed tax rate for the 3.4–4.0 GHz band is the same tax as has applied to PMTS Class B licences in the 3.5 GHz and 3.6 GHz bands. Given that similar services will be using AWLs across the broader spectrum range, we consider that a similar tax rate to that for PMTS Class B licences should apply.  </w:t>
      </w:r>
    </w:p>
    <w:p w14:paraId="75586A3D" w14:textId="1BA2633A" w:rsidR="00591742" w:rsidRDefault="00591742" w:rsidP="00591742">
      <w:pPr>
        <w:rPr>
          <w:color w:val="000000"/>
        </w:rPr>
      </w:pPr>
      <w:r>
        <w:rPr>
          <w:color w:val="000000"/>
        </w:rPr>
        <w:t>Whilst the PMTS tax rate and the proposed AWL tax rates are the same, they are applied differently. For a PMTS licence each transmitter is registered with the ACMA and each transmitter incurs a $0.0041/MHz/pop tax for each HCIS</w:t>
      </w:r>
      <w:r>
        <w:rPr>
          <w:rStyle w:val="FootnoteReference"/>
          <w:color w:val="000000"/>
        </w:rPr>
        <w:footnoteReference w:id="15"/>
      </w:r>
      <w:r>
        <w:rPr>
          <w:color w:val="000000"/>
        </w:rPr>
        <w:t xml:space="preserve"> level 2 cell that each transmitter is in. The proposed AWL tax is applied more granularly (at the </w:t>
      </w:r>
      <w:r w:rsidR="00A144A3">
        <w:rPr>
          <w:color w:val="000000"/>
        </w:rPr>
        <w:t xml:space="preserve">smaller </w:t>
      </w:r>
      <w:r>
        <w:rPr>
          <w:color w:val="000000"/>
        </w:rPr>
        <w:t xml:space="preserve">HCIS level 0) providing a better incentive to use the spectrum more efficiently. The tax for an AWL licence is calculated for the entire geographic area specified in the licences, regardless of the number of transmitters operating within it. This provides licensees with more flexibility for network configuration and network changes. </w:t>
      </w:r>
    </w:p>
    <w:p w14:paraId="5BF08E9C" w14:textId="77777777" w:rsidR="00591742" w:rsidRDefault="00591742" w:rsidP="00591742">
      <w:r>
        <w:t xml:space="preserve">The proposed AWL tax structure/rate is not easily compared to the PMP licence type. The tax rates for this licence type is a $/kHz rate governed by the assigned licence tax formula (see </w:t>
      </w:r>
      <w:hyperlink r:id="rId42" w:history="1">
        <w:r w:rsidRPr="008156C0">
          <w:rPr>
            <w:rStyle w:val="Hyperlink"/>
            <w:rFonts w:cs="Arial"/>
            <w:szCs w:val="20"/>
          </w:rPr>
          <w:t>apparatus licence fee schedule</w:t>
        </w:r>
      </w:hyperlink>
      <w:r>
        <w:t>) and is designed more for individual base stations rather than a network of base stations used for broad coverage.</w:t>
      </w:r>
    </w:p>
    <w:p w14:paraId="369BD89B" w14:textId="1C3663FF" w:rsidR="00591742" w:rsidRDefault="00591742" w:rsidP="00591742">
      <w:r>
        <w:t>For comparison, an individual PMP licences in a remote area using 20 MHz in the frequency range &gt;2</w:t>
      </w:r>
      <w:r w:rsidR="00D0075E">
        <w:t>.</w:t>
      </w:r>
      <w:r>
        <w:t>69 to 5</w:t>
      </w:r>
      <w:r w:rsidR="00D0075E">
        <w:t>.</w:t>
      </w:r>
      <w:r>
        <w:t xml:space="preserve">0 </w:t>
      </w:r>
      <w:r w:rsidR="00D0075E">
        <w:t>G</w:t>
      </w:r>
      <w:r>
        <w:t xml:space="preserve">Hz would cost $767 per year. This licence may provide coverage approximately the areas of a HCIS level 2 block. </w:t>
      </w:r>
      <w:r w:rsidR="003256F8">
        <w:t>T</w:t>
      </w:r>
      <w:r>
        <w:t xml:space="preserve">ax </w:t>
      </w:r>
      <w:r w:rsidR="003256F8">
        <w:t xml:space="preserve">is applied </w:t>
      </w:r>
      <w:r>
        <w:t xml:space="preserve">in a remote area regardless of whether </w:t>
      </w:r>
      <w:r w:rsidR="008E2B47">
        <w:t>the transmitter location is</w:t>
      </w:r>
      <w:r>
        <w:t xml:space="preserve"> in Alice Springs or in Bourke.</w:t>
      </w:r>
    </w:p>
    <w:p w14:paraId="13D1754C" w14:textId="7285003A" w:rsidR="00591742" w:rsidRDefault="00591742" w:rsidP="00591742">
      <w:r>
        <w:t>In contrast</w:t>
      </w:r>
      <w:r w:rsidR="00D238C9">
        <w:t>,</w:t>
      </w:r>
      <w:r>
        <w:t xml:space="preserve"> the AWL price </w:t>
      </w:r>
      <w:r w:rsidR="008E2B47">
        <w:t>varies</w:t>
      </w:r>
      <w:r>
        <w:t xml:space="preserve"> depending on the population density of the area. </w:t>
      </w:r>
      <w:r w:rsidR="00D238C9">
        <w:t xml:space="preserve">For example, </w:t>
      </w:r>
      <w:r>
        <w:t>in Alice Spring</w:t>
      </w:r>
      <w:r w:rsidR="00D238C9">
        <w:t>s</w:t>
      </w:r>
      <w:r>
        <w:t xml:space="preserve"> the AWL price for an equivalent HCIS level 2 block (with population of 23,222) would be $1</w:t>
      </w:r>
      <w:r w:rsidR="00825C0B">
        <w:t>,</w:t>
      </w:r>
      <w:r>
        <w:t xml:space="preserve">904, whereas for Bourke (with population of 1,847) it would be $151. The $/MHz/pop tax rate is based on population being a key driver of demand for spectrum and hence the value of the spectrum. </w:t>
      </w:r>
    </w:p>
    <w:p w14:paraId="4F5FFA87" w14:textId="10E2E0B5" w:rsidR="00B02B56" w:rsidRDefault="00D8314B" w:rsidP="006C67B8">
      <w:r>
        <w:t>T</w:t>
      </w:r>
      <w:r w:rsidR="00591742">
        <w:t xml:space="preserve">his $/MHz/pop pricing structure proposed for AWLs is able to account for more granular demand drivers and opportunity cost, and so can provide clearer pricing signals and incentives for WBB services to deploy precisely where they need to (at the HCIS level 0). The use of a more granular HCIS </w:t>
      </w:r>
      <w:r w:rsidR="002106CE">
        <w:t xml:space="preserve">area </w:t>
      </w:r>
      <w:r w:rsidR="00591742">
        <w:t xml:space="preserve">coupled with the $/MHz/pop pricing structure gives a higher potential for spectrum reuse and thus a high potential for more efficient spectrum use. </w:t>
      </w:r>
      <w:r w:rsidR="00B02B56">
        <w:br w:type="page"/>
      </w:r>
    </w:p>
    <w:p w14:paraId="1D4E4258" w14:textId="77777777" w:rsidR="00B02B56" w:rsidRDefault="00B02B56" w:rsidP="00B02B56">
      <w:pPr>
        <w:pStyle w:val="Heading1"/>
      </w:pPr>
      <w:bookmarkStart w:id="53" w:name="_Toc137640977"/>
      <w:r w:rsidRPr="002E059C">
        <w:t xml:space="preserve">5. </w:t>
      </w:r>
      <w:bookmarkStart w:id="54" w:name="_Ref99372977"/>
      <w:bookmarkStart w:id="55" w:name="_Toc99632511"/>
      <w:r w:rsidRPr="002E059C">
        <w:t>Who did you consult and how did you incorporate their feedback?</w:t>
      </w:r>
      <w:bookmarkEnd w:id="53"/>
      <w:bookmarkEnd w:id="54"/>
      <w:bookmarkEnd w:id="55"/>
      <w:r>
        <w:t xml:space="preserve"> </w:t>
      </w:r>
    </w:p>
    <w:p w14:paraId="5830EE2A" w14:textId="4DC8B5FB" w:rsidR="002011EB" w:rsidRDefault="00CC1AE6" w:rsidP="00033B3C">
      <w:r>
        <w:t xml:space="preserve">In planning for </w:t>
      </w:r>
      <w:r w:rsidR="00A11A57">
        <w:t xml:space="preserve">mid-band spectrum </w:t>
      </w:r>
      <w:r w:rsidR="00E96DF2">
        <w:t>t</w:t>
      </w:r>
      <w:r w:rsidR="000F4F3B">
        <w:t xml:space="preserve">he ACMA </w:t>
      </w:r>
      <w:r w:rsidR="00E96DF2">
        <w:t>has conducted a number of consultation</w:t>
      </w:r>
      <w:r w:rsidR="00CD475A">
        <w:t xml:space="preserve">s </w:t>
      </w:r>
      <w:r w:rsidR="00EE022B">
        <w:t xml:space="preserve">for </w:t>
      </w:r>
      <w:r w:rsidR="00A67E53">
        <w:t xml:space="preserve">different </w:t>
      </w:r>
      <w:r w:rsidR="007953C0">
        <w:t>mid-</w:t>
      </w:r>
      <w:r w:rsidR="00A67E53">
        <w:t xml:space="preserve">band </w:t>
      </w:r>
      <w:r w:rsidR="00CD475A">
        <w:t>subsegments in recent year</w:t>
      </w:r>
      <w:r w:rsidR="0006336F">
        <w:t>s</w:t>
      </w:r>
      <w:r w:rsidR="009D04C7">
        <w:t xml:space="preserve"> which have </w:t>
      </w:r>
      <w:r w:rsidR="00C97441">
        <w:t>undergone OBPR independent review processes</w:t>
      </w:r>
      <w:r w:rsidR="00530552">
        <w:t xml:space="preserve">: </w:t>
      </w:r>
    </w:p>
    <w:p w14:paraId="2A6A2093" w14:textId="0BE31372" w:rsidR="00530552" w:rsidRDefault="002B5730" w:rsidP="005603B2">
      <w:pPr>
        <w:pStyle w:val="ListBullet"/>
      </w:pPr>
      <w:hyperlink r:id="rId43" w:history="1">
        <w:r w:rsidR="00A5259C">
          <w:rPr>
            <w:rStyle w:val="Hyperlink"/>
          </w:rPr>
          <w:t>Optimising the 3400–3575 MHz band – consultation 12/2019 | ACMA</w:t>
        </w:r>
      </w:hyperlink>
      <w:r w:rsidR="00CF59C4">
        <w:rPr>
          <w:rStyle w:val="FootnoteReference"/>
        </w:rPr>
        <w:footnoteReference w:id="16"/>
      </w:r>
    </w:p>
    <w:p w14:paraId="7CDA9628" w14:textId="0DFCC231" w:rsidR="00A5259C" w:rsidRDefault="002B5730" w:rsidP="005603B2">
      <w:pPr>
        <w:pStyle w:val="ListBulletLast"/>
      </w:pPr>
      <w:hyperlink r:id="rId44" w:history="1">
        <w:r w:rsidR="007953C0">
          <w:rPr>
            <w:rStyle w:val="Hyperlink"/>
          </w:rPr>
          <w:t>Planning options for the 3700–4200 MHz band - consultation 22/2020 | ACMA</w:t>
        </w:r>
      </w:hyperlink>
      <w:r w:rsidR="0011680C">
        <w:rPr>
          <w:rStyle w:val="FootnoteReference"/>
        </w:rPr>
        <w:footnoteReference w:id="17"/>
      </w:r>
    </w:p>
    <w:p w14:paraId="2D591984" w14:textId="6A114B32" w:rsidR="000F4F3B" w:rsidRDefault="00FC5A9A">
      <w:r>
        <w:t xml:space="preserve">These workstreams </w:t>
      </w:r>
      <w:r w:rsidR="00CD475A">
        <w:t xml:space="preserve">have now converged to </w:t>
      </w:r>
      <w:r w:rsidR="00AE2327">
        <w:t xml:space="preserve">enable implementation of licensing and allocation </w:t>
      </w:r>
      <w:r w:rsidR="00CD475A">
        <w:t xml:space="preserve">arrangements in </w:t>
      </w:r>
      <w:r w:rsidR="003A38DE">
        <w:t xml:space="preserve">the </w:t>
      </w:r>
      <w:r w:rsidR="00B03078" w:rsidRPr="00B90D94">
        <w:t xml:space="preserve">3.4–4.0 GHz </w:t>
      </w:r>
      <w:r w:rsidR="00CD475A">
        <w:t>range</w:t>
      </w:r>
      <w:r w:rsidR="00AE2327">
        <w:t>.</w:t>
      </w:r>
      <w:r w:rsidR="00E80648">
        <w:t xml:space="preserve"> </w:t>
      </w:r>
      <w:r w:rsidR="00781F5B">
        <w:t>Collectively the</w:t>
      </w:r>
      <w:r w:rsidR="00E43974">
        <w:t>se consultations</w:t>
      </w:r>
      <w:r w:rsidR="00781F5B">
        <w:t xml:space="preserve"> </w:t>
      </w:r>
      <w:r w:rsidR="00AE2327">
        <w:t xml:space="preserve">identified </w:t>
      </w:r>
      <w:r w:rsidR="00E96DF2">
        <w:t xml:space="preserve">AWLs as </w:t>
      </w:r>
      <w:r w:rsidR="001C1C8C">
        <w:t xml:space="preserve">a </w:t>
      </w:r>
      <w:r w:rsidR="00784C64">
        <w:t xml:space="preserve">way to licence WBB. </w:t>
      </w:r>
      <w:r w:rsidR="00E92697">
        <w:t xml:space="preserve">This was </w:t>
      </w:r>
      <w:r w:rsidR="00E43974">
        <w:t xml:space="preserve">initially </w:t>
      </w:r>
      <w:r w:rsidR="00E92697">
        <w:t xml:space="preserve">flagged in the </w:t>
      </w:r>
      <w:hyperlink r:id="rId45" w:history="1">
        <w:r w:rsidR="009233C2" w:rsidRPr="00A17B19">
          <w:rPr>
            <w:rStyle w:val="Hyperlink"/>
          </w:rPr>
          <w:t>7</w:t>
        </w:r>
        <w:r w:rsidR="00312A7B" w:rsidRPr="00A17B19">
          <w:rPr>
            <w:rStyle w:val="Hyperlink"/>
          </w:rPr>
          <w:t> </w:t>
        </w:r>
        <w:r w:rsidR="009233C2" w:rsidRPr="00A17B19">
          <w:rPr>
            <w:rStyle w:val="Hyperlink"/>
          </w:rPr>
          <w:t>August 2019 discussion paper</w:t>
        </w:r>
      </w:hyperlink>
      <w:r w:rsidR="009233C2">
        <w:t xml:space="preserve"> on the planning arrangements in the 3</w:t>
      </w:r>
      <w:r w:rsidR="008850C6">
        <w:t>.</w:t>
      </w:r>
      <w:r w:rsidR="009233C2">
        <w:t>7-</w:t>
      </w:r>
      <w:r w:rsidR="001D6019">
        <w:t>4</w:t>
      </w:r>
      <w:r w:rsidR="008850C6">
        <w:t>.</w:t>
      </w:r>
      <w:r w:rsidR="001D6019">
        <w:t xml:space="preserve">2 </w:t>
      </w:r>
      <w:r w:rsidR="008850C6">
        <w:t>G</w:t>
      </w:r>
      <w:r w:rsidR="001D6019">
        <w:t>Hz band.</w:t>
      </w:r>
    </w:p>
    <w:p w14:paraId="5BDC5CB2" w14:textId="2958A79D" w:rsidR="00C24C19" w:rsidRDefault="00DC0076" w:rsidP="00C54AA1">
      <w:r>
        <w:t>A</w:t>
      </w:r>
      <w:r w:rsidR="00C24C19">
        <w:t xml:space="preserve"> number of stakeholders </w:t>
      </w:r>
      <w:r w:rsidR="00180CFE">
        <w:t>supported the consideration of AWLs in this band</w:t>
      </w:r>
      <w:r w:rsidR="00A54EFA">
        <w:t>. For example</w:t>
      </w:r>
      <w:r>
        <w:t>,</w:t>
      </w:r>
      <w:r w:rsidR="00A54EFA">
        <w:t xml:space="preserve"> wireless ISP (WISP)</w:t>
      </w:r>
      <w:r w:rsidR="00C24C19" w:rsidRPr="00244EFB">
        <w:t xml:space="preserve"> stakeholders </w:t>
      </w:r>
      <w:r w:rsidR="00043D4E">
        <w:t xml:space="preserve">are one of the stakeholder groups that we expect to seek AWLs in this band. They </w:t>
      </w:r>
      <w:r w:rsidR="00C24C19" w:rsidRPr="00244EFB">
        <w:t xml:space="preserve">generally promoted localised WBB applications in </w:t>
      </w:r>
      <w:r w:rsidR="00C24C19">
        <w:t xml:space="preserve">all or </w:t>
      </w:r>
      <w:r w:rsidR="00C24C19" w:rsidRPr="00244EFB">
        <w:t xml:space="preserve">part of </w:t>
      </w:r>
      <w:r w:rsidR="00C24C19">
        <w:t>the 3</w:t>
      </w:r>
      <w:r w:rsidR="008850C6">
        <w:t>.</w:t>
      </w:r>
      <w:r w:rsidR="00C24C19">
        <w:t>7–4</w:t>
      </w:r>
      <w:r w:rsidR="008850C6">
        <w:t>.</w:t>
      </w:r>
      <w:r w:rsidR="00C24C19">
        <w:t>2 </w:t>
      </w:r>
      <w:r w:rsidR="008850C6">
        <w:t>G</w:t>
      </w:r>
      <w:r w:rsidR="00C24C19">
        <w:t>Hz band</w:t>
      </w:r>
      <w:r w:rsidR="00C24C19" w:rsidRPr="00244EFB">
        <w:t xml:space="preserve">, </w:t>
      </w:r>
      <w:r w:rsidR="00916219">
        <w:t xml:space="preserve">for </w:t>
      </w:r>
      <w:r w:rsidR="00C24C19" w:rsidRPr="00244EFB">
        <w:t>apparatus licensing</w:t>
      </w:r>
      <w:r w:rsidR="00C24C19">
        <w:t>,</w:t>
      </w:r>
      <w:r w:rsidR="00C24C19" w:rsidRPr="00244EFB">
        <w:t xml:space="preserve"> including AWL</w:t>
      </w:r>
      <w:r w:rsidR="00C24C19">
        <w:t>s</w:t>
      </w:r>
      <w:r w:rsidR="00C24C19" w:rsidRPr="00244EFB">
        <w:t xml:space="preserve">. </w:t>
      </w:r>
      <w:r w:rsidR="00C54AA1">
        <w:t xml:space="preserve">The WISP industry body, </w:t>
      </w:r>
      <w:hyperlink r:id="rId46" w:history="1">
        <w:r w:rsidR="00C24C19" w:rsidRPr="0016082A">
          <w:rPr>
            <w:rStyle w:val="Hyperlink"/>
          </w:rPr>
          <w:t>WISPAU</w:t>
        </w:r>
      </w:hyperlink>
      <w:r w:rsidR="00C54AA1">
        <w:t>,</w:t>
      </w:r>
      <w:r w:rsidR="00C24C19" w:rsidRPr="00FC3F55">
        <w:t xml:space="preserve"> strongly expressed opinions that existing licensing mechanisms </w:t>
      </w:r>
      <w:r w:rsidR="000F2A5B">
        <w:t xml:space="preserve">in these bands </w:t>
      </w:r>
      <w:r w:rsidR="00C24C19" w:rsidRPr="00FC3F55">
        <w:t>are no longer fit for purpose.</w:t>
      </w:r>
      <w:r w:rsidR="00C24C19">
        <w:t xml:space="preserve"> </w:t>
      </w:r>
    </w:p>
    <w:p w14:paraId="4D275923" w14:textId="7859725B" w:rsidR="006E4305" w:rsidRDefault="006E4305" w:rsidP="006E4305">
      <w:pPr>
        <w:pStyle w:val="CommentText"/>
      </w:pPr>
      <w:r>
        <w:t xml:space="preserve">In the ACMA’s </w:t>
      </w:r>
      <w:hyperlink r:id="rId47" w:history="1">
        <w:r w:rsidR="00B37F57" w:rsidRPr="00B37F57">
          <w:rPr>
            <w:rStyle w:val="Hyperlink"/>
          </w:rPr>
          <w:t xml:space="preserve">15 </w:t>
        </w:r>
        <w:r w:rsidRPr="00B37F57">
          <w:rPr>
            <w:rStyle w:val="Hyperlink"/>
          </w:rPr>
          <w:t>Jan</w:t>
        </w:r>
        <w:r w:rsidR="00B37F57" w:rsidRPr="00B37F57">
          <w:rPr>
            <w:rStyle w:val="Hyperlink"/>
          </w:rPr>
          <w:t>uary</w:t>
        </w:r>
        <w:r w:rsidRPr="00B37F57">
          <w:rPr>
            <w:rStyle w:val="Hyperlink"/>
          </w:rPr>
          <w:t xml:space="preserve"> 2021 Outcomes Paper</w:t>
        </w:r>
      </w:hyperlink>
      <w:r>
        <w:t xml:space="preserve">, </w:t>
      </w:r>
      <w:r w:rsidR="00B37F57">
        <w:t xml:space="preserve">the ACMA stated </w:t>
      </w:r>
      <w:r>
        <w:t xml:space="preserve">that AWLs </w:t>
      </w:r>
      <w:r w:rsidR="00DF353D">
        <w:t>were</w:t>
      </w:r>
      <w:r>
        <w:t xml:space="preserve"> likely to be the preferred licensing mechanism for LA WBB in at least the metro and regional areas</w:t>
      </w:r>
      <w:r w:rsidR="006638EA">
        <w:t xml:space="preserve"> for the reasons </w:t>
      </w:r>
      <w:r w:rsidR="000A33B8">
        <w:t xml:space="preserve">discussed in </w:t>
      </w:r>
      <w:r w:rsidR="00A56B73">
        <w:t xml:space="preserve">section 3 of </w:t>
      </w:r>
      <w:r w:rsidR="000A33B8">
        <w:t xml:space="preserve">this RIS e.g. </w:t>
      </w:r>
      <w:r w:rsidR="001C2C49">
        <w:t xml:space="preserve">AWLs more </w:t>
      </w:r>
      <w:r w:rsidR="000A33B8">
        <w:t>s</w:t>
      </w:r>
      <w:r w:rsidR="001C2C49">
        <w:t>calable and customisable for the use cases expected in the band, etc</w:t>
      </w:r>
      <w:r>
        <w:t>.</w:t>
      </w:r>
    </w:p>
    <w:p w14:paraId="57891917" w14:textId="52057573" w:rsidR="000F4F3B" w:rsidRPr="00A17B19" w:rsidRDefault="00A01B9A" w:rsidP="00D21C95">
      <w:pPr>
        <w:pStyle w:val="Heading2"/>
      </w:pPr>
      <w:bookmarkStart w:id="56" w:name="_Toc137640978"/>
      <w:r w:rsidRPr="00D538C6">
        <w:t>Technical Liaison Group</w:t>
      </w:r>
      <w:r w:rsidRPr="00B90D94">
        <w:t xml:space="preserve"> </w:t>
      </w:r>
      <w:r>
        <w:t>(</w:t>
      </w:r>
      <w:r w:rsidR="00A17B19" w:rsidRPr="00A17B19">
        <w:t>TLG</w:t>
      </w:r>
      <w:r>
        <w:t>)</w:t>
      </w:r>
      <w:r w:rsidR="00961D5C">
        <w:t xml:space="preserve"> consultation</w:t>
      </w:r>
      <w:bookmarkEnd w:id="56"/>
    </w:p>
    <w:p w14:paraId="7E8540F3" w14:textId="570D21AB" w:rsidR="00033B3C" w:rsidRDefault="003C087D" w:rsidP="00490A49">
      <w:r>
        <w:t>I</w:t>
      </w:r>
      <w:r w:rsidR="006A08E9">
        <w:t xml:space="preserve">n July 2021, the ACMA opened </w:t>
      </w:r>
      <w:r w:rsidR="00033B3C">
        <w:t xml:space="preserve">ongoing consultation with industry on the </w:t>
      </w:r>
      <w:r w:rsidR="00033B3C" w:rsidRPr="00B90D94">
        <w:t xml:space="preserve">technical arrangements for the apparatus licensed segments of the 3.4–4.0 GHz band for remote </w:t>
      </w:r>
      <w:r w:rsidR="00033B3C">
        <w:t xml:space="preserve">areas </w:t>
      </w:r>
      <w:r w:rsidR="00033B3C" w:rsidRPr="00B90D94">
        <w:t xml:space="preserve">through the ACMA’s 3.4–4.0 GHz band </w:t>
      </w:r>
      <w:hyperlink r:id="rId48" w:history="1">
        <w:r w:rsidR="00033B3C" w:rsidRPr="00EA2BC3">
          <w:rPr>
            <w:rStyle w:val="Hyperlink"/>
          </w:rPr>
          <w:t>Technical Liaison Group</w:t>
        </w:r>
      </w:hyperlink>
      <w:r w:rsidR="00033B3C" w:rsidRPr="00B90D94">
        <w:t xml:space="preserve"> (TLG). </w:t>
      </w:r>
      <w:r w:rsidR="00033B3C">
        <w:t xml:space="preserve">The TLG </w:t>
      </w:r>
      <w:r w:rsidR="00A33C3E">
        <w:t xml:space="preserve">informed </w:t>
      </w:r>
      <w:r w:rsidR="00033B3C">
        <w:t xml:space="preserve">the ACMA’s drafting of </w:t>
      </w:r>
      <w:r w:rsidR="00033B3C" w:rsidRPr="00AF22BA">
        <w:t>radiocommunications assignment and licensing instruction</w:t>
      </w:r>
      <w:r w:rsidR="00033B3C">
        <w:t>s</w:t>
      </w:r>
      <w:r w:rsidR="00033B3C" w:rsidRPr="00AF22BA">
        <w:t xml:space="preserve"> </w:t>
      </w:r>
      <w:r w:rsidR="00033B3C">
        <w:t xml:space="preserve">(RALIs) and other technical instruments designed to manage/mitigate interference between planned services in the band. </w:t>
      </w:r>
      <w:r w:rsidR="00A01B9A">
        <w:t xml:space="preserve">The TLG process </w:t>
      </w:r>
      <w:r w:rsidR="00EA2BC3">
        <w:t xml:space="preserve">ended in January 2022. </w:t>
      </w:r>
    </w:p>
    <w:p w14:paraId="7E0E73AF" w14:textId="6A622689" w:rsidR="00180CFE" w:rsidRPr="00180CFE" w:rsidRDefault="004B1C2A" w:rsidP="00D21C95">
      <w:pPr>
        <w:pStyle w:val="Heading2"/>
      </w:pPr>
      <w:bookmarkStart w:id="57" w:name="_Toc137640979"/>
      <w:r>
        <w:t>C</w:t>
      </w:r>
      <w:r w:rsidR="00180CFE" w:rsidRPr="00180CFE">
        <w:t>onsultation</w:t>
      </w:r>
      <w:bookmarkEnd w:id="57"/>
    </w:p>
    <w:p w14:paraId="6AE05C7D" w14:textId="7FB22EC3" w:rsidR="007A09FC" w:rsidRDefault="00775732" w:rsidP="007A09FC">
      <w:r>
        <w:t xml:space="preserve">On 2 March 2022, the ACMA opened a public consultation on its </w:t>
      </w:r>
      <w:hyperlink r:id="rId49" w:history="1">
        <w:r w:rsidRPr="00023054">
          <w:rPr>
            <w:rStyle w:val="Hyperlink"/>
          </w:rPr>
          <w:t>proposal to allocate AWLs in the 3.4–4.0 GHz frequency range, in remote areas of Australia</w:t>
        </w:r>
      </w:hyperlink>
      <w:r w:rsidRPr="001A4296">
        <w:t>.</w:t>
      </w:r>
      <w:r>
        <w:t xml:space="preserve"> </w:t>
      </w:r>
      <w:r w:rsidR="007A09FC" w:rsidRPr="005D3200">
        <w:t xml:space="preserve">By defining common technical arrangements and conditions across area-wide licences, the </w:t>
      </w:r>
      <w:r w:rsidR="00CB066D">
        <w:t xml:space="preserve">ACMA sought to </w:t>
      </w:r>
      <w:r w:rsidR="000E35CF">
        <w:t xml:space="preserve">minimise the </w:t>
      </w:r>
      <w:r w:rsidR="007A09FC" w:rsidRPr="005D3200">
        <w:t>risk of interference between licensed services/stations, thereby optimising the operational utility of the licence and the business benefits deriving from use of the licence. Determining the pricing arrangements that reflect the characteristics of the AWLs will allow prospective licensees to calculate the expected cost of licence configurations and identify the most appropriate and cost-effective licensing solution for the applicant’s business needs.</w:t>
      </w:r>
    </w:p>
    <w:p w14:paraId="3C490FA3" w14:textId="52D3E75D" w:rsidR="007A09FC" w:rsidRDefault="007A09FC" w:rsidP="007A09FC">
      <w:r>
        <w:t xml:space="preserve">The 2 March 2022 consultation paper sought stakeholder feedback on key regulatory settings </w:t>
      </w:r>
      <w:r w:rsidR="001003FF">
        <w:t xml:space="preserve">to test </w:t>
      </w:r>
      <w:r w:rsidR="005F4708">
        <w:t xml:space="preserve">whether they </w:t>
      </w:r>
      <w:r w:rsidR="000B4570">
        <w:t xml:space="preserve">were appropriate or whether they required refinement. </w:t>
      </w:r>
      <w:r w:rsidR="00FD2724">
        <w:t>We sought feedback on</w:t>
      </w:r>
      <w:r>
        <w:t xml:space="preserve">: </w:t>
      </w:r>
    </w:p>
    <w:p w14:paraId="59E9AD2A" w14:textId="77777777" w:rsidR="007A09FC" w:rsidRDefault="007A09FC" w:rsidP="005603B2">
      <w:pPr>
        <w:pStyle w:val="ListNumber"/>
        <w:numPr>
          <w:ilvl w:val="0"/>
          <w:numId w:val="51"/>
        </w:numPr>
      </w:pPr>
      <w:r w:rsidRPr="00C04AC4">
        <w:rPr>
          <w:u w:val="single"/>
        </w:rPr>
        <w:t>The technical framework:</w:t>
      </w:r>
      <w:r>
        <w:t xml:space="preserve"> Amendments to the Radiocommunications (Area-Wide Licences) Licence Conditions Determination 2020 (AWL LCD) to include technical conditions for the operation of radiocommunications stations operated under an area-wide licence operating in the 3.4-4 GHz band, and draft </w:t>
      </w:r>
      <w:r w:rsidRPr="006F000F">
        <w:t>new and amended Radiocommunications Assignment and Licensing Instructions (RALIs) MS47, FX3 and FX19</w:t>
      </w:r>
      <w:r>
        <w:t xml:space="preserve"> for setting coordination rules with other services in the band</w:t>
      </w:r>
      <w:r w:rsidRPr="006F000F">
        <w:t>.</w:t>
      </w:r>
      <w:r>
        <w:t xml:space="preserve"> The technical conditions in these instruments serve to manage the risk of interference of AWLs with incumbents and other licence types in the band.</w:t>
      </w:r>
      <w:r>
        <w:rPr>
          <w:rStyle w:val="FootnoteReference"/>
        </w:rPr>
        <w:footnoteReference w:id="18"/>
      </w:r>
      <w:r>
        <w:t xml:space="preserve"> </w:t>
      </w:r>
    </w:p>
    <w:p w14:paraId="74A51300" w14:textId="778923E9" w:rsidR="007A09FC" w:rsidRPr="00DC03F9" w:rsidRDefault="002E7372" w:rsidP="009939FE">
      <w:pPr>
        <w:pStyle w:val="ListNumber"/>
        <w:numPr>
          <w:ilvl w:val="0"/>
          <w:numId w:val="51"/>
        </w:numPr>
      </w:pPr>
      <w:r w:rsidRPr="008F5962">
        <w:rPr>
          <w:u w:val="single"/>
        </w:rPr>
        <w:t>Pricing:</w:t>
      </w:r>
      <w:r w:rsidRPr="00A355F4">
        <w:t xml:space="preserve"> the proposed </w:t>
      </w:r>
      <w:r>
        <w:t xml:space="preserve">amendments to the Tax Determination to establish pricing arrangements for area-wide licences in the 3.4-4 GHz band. The ACMA is </w:t>
      </w:r>
      <w:r w:rsidRPr="00264F66">
        <w:t>proposing an AWL tax of $0.0041/MHz/pop where the population is based on the area authorised in the licence. This proposed tax rate for the 3.4–4.0 GHz band is the same tax as has applied to PMTS Class B licences in the 3.5 GHz and 3.6</w:t>
      </w:r>
      <w:r>
        <w:t> </w:t>
      </w:r>
      <w:r w:rsidRPr="00264F66">
        <w:t xml:space="preserve">GHz bands. Given that similar services will be using AWLs across the broader spectrum range, we consider that a similar tax rate to that for PMTS Class B licences should apply. </w:t>
      </w:r>
      <w:r>
        <w:t>The $/MHz/pop price structure allows for AWL licence price to be scaled based on spectrum bandwidth and geographic coverage of the licence, to suit the diverse use cases in this band.</w:t>
      </w:r>
    </w:p>
    <w:p w14:paraId="731D999D" w14:textId="3E34F091" w:rsidR="00D95D68" w:rsidRPr="002E059C" w:rsidRDefault="005C755C" w:rsidP="00D95D68">
      <w:r>
        <w:t xml:space="preserve">The consultation closed on 4 May </w:t>
      </w:r>
      <w:r w:rsidR="0049184E">
        <w:t xml:space="preserve">2022 </w:t>
      </w:r>
      <w:r>
        <w:t>and the ACMA</w:t>
      </w:r>
      <w:r w:rsidR="00501E94">
        <w:t xml:space="preserve"> </w:t>
      </w:r>
      <w:r w:rsidR="00501E94" w:rsidRPr="008E3898">
        <w:rPr>
          <w:rFonts w:cs="Arial"/>
        </w:rPr>
        <w:t xml:space="preserve">received </w:t>
      </w:r>
      <w:hyperlink r:id="rId50" w:history="1">
        <w:r w:rsidR="00501E94" w:rsidRPr="0019610D">
          <w:rPr>
            <w:rStyle w:val="Hyperlink"/>
            <w:rFonts w:cs="Arial"/>
          </w:rPr>
          <w:t>submissions from 30 parties</w:t>
        </w:r>
      </w:hyperlink>
      <w:r w:rsidR="00501E94" w:rsidRPr="008E3898">
        <w:rPr>
          <w:rFonts w:cs="Arial"/>
        </w:rPr>
        <w:t xml:space="preserve">. </w:t>
      </w:r>
      <w:r w:rsidR="00501E94" w:rsidRPr="002E059C">
        <w:rPr>
          <w:rFonts w:cs="Arial"/>
        </w:rPr>
        <w:t xml:space="preserve">Submitters included members of industry, peak bodies and government agencies. </w:t>
      </w:r>
      <w:r w:rsidR="00DD6E00">
        <w:rPr>
          <w:rFonts w:cs="Arial"/>
        </w:rPr>
        <w:t xml:space="preserve">The ACMA has </w:t>
      </w:r>
      <w:r w:rsidR="00DB2E3A">
        <w:rPr>
          <w:rFonts w:cs="Arial"/>
        </w:rPr>
        <w:t xml:space="preserve">consulted with </w:t>
      </w:r>
      <w:r w:rsidR="00CD225F">
        <w:rPr>
          <w:rFonts w:cs="Arial"/>
        </w:rPr>
        <w:t xml:space="preserve">a wide set of stakeholders including </w:t>
      </w:r>
      <w:r w:rsidR="000C2C96">
        <w:rPr>
          <w:rFonts w:cs="Arial"/>
        </w:rPr>
        <w:t>smaller stakeholders such as WISPs</w:t>
      </w:r>
      <w:r w:rsidR="00EA7E8C">
        <w:rPr>
          <w:rFonts w:cs="Arial"/>
        </w:rPr>
        <w:t xml:space="preserve"> and have provided numerous opportunities and avenues for consultation including written submissions and ‘in person’ </w:t>
      </w:r>
      <w:hyperlink r:id="rId51" w:history="1">
        <w:r w:rsidR="00EA7E8C" w:rsidRPr="00B51955">
          <w:rPr>
            <w:rStyle w:val="Hyperlink"/>
            <w:rFonts w:cs="Arial"/>
          </w:rPr>
          <w:t>spectrum tune ups</w:t>
        </w:r>
      </w:hyperlink>
      <w:r w:rsidR="000C2C96">
        <w:rPr>
          <w:rFonts w:cs="Arial"/>
        </w:rPr>
        <w:t xml:space="preserve">. </w:t>
      </w:r>
      <w:r w:rsidR="00613AFB">
        <w:rPr>
          <w:rFonts w:cs="Arial"/>
        </w:rPr>
        <w:t xml:space="preserve">Stakeholders have </w:t>
      </w:r>
      <w:r w:rsidR="00937949" w:rsidRPr="002E059C">
        <w:t>provided</w:t>
      </w:r>
      <w:r w:rsidR="00AA0F72" w:rsidRPr="002E059C">
        <w:t xml:space="preserve"> feedback</w:t>
      </w:r>
      <w:r w:rsidR="00E92478" w:rsidRPr="002E059C">
        <w:t xml:space="preserve"> on the use of AWL, and the support</w:t>
      </w:r>
      <w:r w:rsidR="00F23CDC" w:rsidRPr="002E059C">
        <w:t>ing framework</w:t>
      </w:r>
      <w:r w:rsidRPr="002E059C">
        <w:t xml:space="preserve">. </w:t>
      </w:r>
      <w:r w:rsidR="00193132">
        <w:t>O</w:t>
      </w:r>
      <w:r w:rsidR="000D019C" w:rsidRPr="002E059C">
        <w:t xml:space="preserve">n the </w:t>
      </w:r>
      <w:r w:rsidR="00193132">
        <w:t>use</w:t>
      </w:r>
      <w:r w:rsidR="000D019C" w:rsidRPr="002E059C">
        <w:t xml:space="preserve"> of AWLs, </w:t>
      </w:r>
      <w:r w:rsidR="00251DF2" w:rsidRPr="002E059C">
        <w:t xml:space="preserve">stakeholders </w:t>
      </w:r>
      <w:r w:rsidR="00193132">
        <w:t>were</w:t>
      </w:r>
      <w:r w:rsidR="00251DF2" w:rsidRPr="002E059C">
        <w:t xml:space="preserve"> supportive. Though have </w:t>
      </w:r>
      <w:r w:rsidR="00ED2820" w:rsidRPr="002E059C">
        <w:t>provid</w:t>
      </w:r>
      <w:r w:rsidR="00251DF2" w:rsidRPr="002E059C">
        <w:t>ed</w:t>
      </w:r>
      <w:r w:rsidR="00ED2820" w:rsidRPr="002E059C">
        <w:t xml:space="preserve"> some </w:t>
      </w:r>
      <w:r w:rsidR="00F80047" w:rsidRPr="002E059C">
        <w:t>further feedback on how AWLs might be implemented</w:t>
      </w:r>
      <w:r w:rsidR="00F70D8F" w:rsidRPr="002E059C">
        <w:t xml:space="preserve">. </w:t>
      </w:r>
      <w:r w:rsidR="00193132">
        <w:t>Informed by</w:t>
      </w:r>
      <w:r w:rsidR="00F70D8F" w:rsidRPr="002E059C">
        <w:t xml:space="preserve"> feedback, </w:t>
      </w:r>
      <w:r w:rsidR="00D95D68" w:rsidRPr="002E059C">
        <w:t>the ACMA ha</w:t>
      </w:r>
      <w:r w:rsidR="00193132">
        <w:t>s</w:t>
      </w:r>
      <w:r w:rsidR="005517A3">
        <w:t xml:space="preserve"> </w:t>
      </w:r>
      <w:r w:rsidR="00A87449" w:rsidRPr="002E059C">
        <w:t xml:space="preserve">adjusted </w:t>
      </w:r>
      <w:r w:rsidR="00193132">
        <w:t xml:space="preserve">implementation details on </w:t>
      </w:r>
      <w:r w:rsidR="001B7210" w:rsidRPr="002E059C">
        <w:t xml:space="preserve">the </w:t>
      </w:r>
      <w:r w:rsidR="001169C9" w:rsidRPr="002E059C">
        <w:t>following</w:t>
      </w:r>
      <w:r w:rsidR="001B7210" w:rsidRPr="002E059C">
        <w:t xml:space="preserve"> </w:t>
      </w:r>
      <w:r w:rsidR="00D95D68" w:rsidRPr="002E059C">
        <w:t>issues</w:t>
      </w:r>
      <w:r w:rsidR="004A43BF">
        <w:t>.</w:t>
      </w:r>
    </w:p>
    <w:p w14:paraId="37DE03E6" w14:textId="4BD39E3A" w:rsidR="009B2B79" w:rsidRPr="002E059C" w:rsidRDefault="00EA0C38" w:rsidP="00143037">
      <w:pPr>
        <w:pStyle w:val="Heading3"/>
      </w:pPr>
      <w:bookmarkStart w:id="58" w:name="_Toc137640980"/>
      <w:r w:rsidRPr="002E059C">
        <w:t>The technical framework</w:t>
      </w:r>
      <w:bookmarkEnd w:id="58"/>
    </w:p>
    <w:p w14:paraId="70A62E91" w14:textId="0772FE20" w:rsidR="00F40B8E" w:rsidRPr="002E059C" w:rsidRDefault="00F40B8E" w:rsidP="002E059C">
      <w:pPr>
        <w:pStyle w:val="Bulletlevel1"/>
        <w:ind w:left="1440" w:hanging="720"/>
      </w:pPr>
      <w:r w:rsidRPr="002E059C">
        <w:t>Most stakeholders expressed general support for the proposed technical framework, however a range of amendments were proposed to address concerns about specific aspects. We have considered feedback from this consultation and the spectrum tune-up</w:t>
      </w:r>
      <w:r w:rsidR="00956A06" w:rsidRPr="002E059C">
        <w:rPr>
          <w:rStyle w:val="FootnoteReference"/>
        </w:rPr>
        <w:footnoteReference w:id="19"/>
      </w:r>
      <w:r w:rsidRPr="002E059C">
        <w:t xml:space="preserve"> held on 29 March</w:t>
      </w:r>
      <w:r w:rsidR="005469AD">
        <w:t xml:space="preserve"> 2022</w:t>
      </w:r>
      <w:r w:rsidRPr="002E059C">
        <w:t xml:space="preserve"> and made appropriate changes.</w:t>
      </w:r>
    </w:p>
    <w:p w14:paraId="4B9EC78C" w14:textId="128371D4" w:rsidR="007D6295" w:rsidRDefault="00A62D2C" w:rsidP="00B12CB5">
      <w:pPr>
        <w:pStyle w:val="Bulletlevel1"/>
        <w:ind w:left="1440" w:hanging="720"/>
      </w:pPr>
      <w:r>
        <w:rPr>
          <w:noProof/>
        </w:rPr>
        <mc:AlternateContent>
          <mc:Choice Requires="wps">
            <w:drawing>
              <wp:anchor distT="45720" distB="45720" distL="114300" distR="114300" simplePos="0" relativeHeight="251658240" behindDoc="0" locked="0" layoutInCell="1" allowOverlap="1" wp14:anchorId="62C32F81" wp14:editId="62C9644E">
                <wp:simplePos x="0" y="0"/>
                <wp:positionH relativeFrom="margin">
                  <wp:align>right</wp:align>
                </wp:positionH>
                <wp:positionV relativeFrom="paragraph">
                  <wp:posOffset>661670</wp:posOffset>
                </wp:positionV>
                <wp:extent cx="4857115" cy="5190490"/>
                <wp:effectExtent l="0" t="0" r="19685" b="101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115" cy="5190726"/>
                        </a:xfrm>
                        <a:prstGeom prst="rect">
                          <a:avLst/>
                        </a:prstGeom>
                        <a:solidFill>
                          <a:srgbClr val="FFFFFF"/>
                        </a:solidFill>
                        <a:ln w="9525">
                          <a:solidFill>
                            <a:srgbClr val="000000"/>
                          </a:solidFill>
                          <a:miter lim="800000"/>
                          <a:headEnd/>
                          <a:tailEnd/>
                        </a:ln>
                      </wps:spPr>
                      <wps:txbx>
                        <w:txbxContent>
                          <w:p w14:paraId="1069E2FA" w14:textId="65BA6AAC" w:rsidR="002B5730" w:rsidRPr="007C06AD" w:rsidRDefault="002B5730" w:rsidP="007C06AD">
                            <w:pPr>
                              <w:rPr>
                                <w:b/>
                                <w:bCs/>
                              </w:rPr>
                            </w:pPr>
                            <w:r w:rsidRPr="007C06AD">
                              <w:rPr>
                                <w:b/>
                                <w:bCs/>
                              </w:rPr>
                              <w:t>ACMA Response</w:t>
                            </w:r>
                          </w:p>
                          <w:p w14:paraId="59FDC607" w14:textId="5E6317D8" w:rsidR="002B5730" w:rsidRDefault="002B5730" w:rsidP="00706F72">
                            <w:pPr>
                              <w:pStyle w:val="Bulletlevel1"/>
                              <w:ind w:left="1440" w:hanging="720"/>
                            </w:pPr>
                            <w:r>
                              <w:t xml:space="preserve">Comments on relevant aspects of the technical framework were also received during the September 2022 -January 2023 TLG on the spectrum licensing technical framework in 3.4-3.8 GHz. </w:t>
                            </w:r>
                          </w:p>
                          <w:p w14:paraId="5B8F10AF" w14:textId="2A675A3E" w:rsidR="002B5730" w:rsidRDefault="002B5730" w:rsidP="00706F72">
                            <w:pPr>
                              <w:pStyle w:val="Bulletlevel1"/>
                              <w:ind w:left="1440" w:hanging="720"/>
                            </w:pPr>
                            <w:r>
                              <w:t xml:space="preserve">In response the ACMA has modified some proposals such as: </w:t>
                            </w:r>
                          </w:p>
                          <w:p w14:paraId="1A7FF134" w14:textId="1A969466" w:rsidR="002B5730" w:rsidRDefault="002B5730" w:rsidP="00706F72">
                            <w:pPr>
                              <w:pStyle w:val="Bulletlevel1"/>
                              <w:ind w:left="2160" w:hanging="720"/>
                            </w:pPr>
                            <w:r>
                              <w:t xml:space="preserve">Proposing </w:t>
                            </w:r>
                            <w:r w:rsidRPr="00EE0035">
                              <w:t xml:space="preserve">to make changes to RALI FX3 to restrict future </w:t>
                            </w:r>
                            <w:r>
                              <w:t>PTP</w:t>
                            </w:r>
                            <w:r w:rsidRPr="00EE0035">
                              <w:t xml:space="preserve"> licences in the 3.8</w:t>
                            </w:r>
                            <w:r>
                              <w:t> </w:t>
                            </w:r>
                            <w:r w:rsidRPr="00EE0035">
                              <w:t>GHz band to 3</w:t>
                            </w:r>
                            <w:r>
                              <w:t>.</w:t>
                            </w:r>
                            <w:r w:rsidRPr="00EE0035">
                              <w:t>8</w:t>
                            </w:r>
                            <w:r>
                              <w:t xml:space="preserve">–4.2 GHz </w:t>
                            </w:r>
                            <w:r w:rsidRPr="00EE0035">
                              <w:t>but permit more technical flexibility in use of the restricted number of channels available.</w:t>
                            </w:r>
                          </w:p>
                          <w:p w14:paraId="39551362" w14:textId="55002A23" w:rsidR="002B5730" w:rsidRDefault="002B5730" w:rsidP="00706F72">
                            <w:pPr>
                              <w:pStyle w:val="Bulletlevel1"/>
                              <w:ind w:left="2160" w:hanging="720"/>
                            </w:pPr>
                            <w:r>
                              <w:t xml:space="preserve">Revising RALI </w:t>
                            </w:r>
                            <w:r w:rsidRPr="002755E9">
                              <w:t xml:space="preserve">MS47 </w:t>
                            </w:r>
                            <w:r>
                              <w:t>to include</w:t>
                            </w:r>
                            <w:r w:rsidRPr="002755E9">
                              <w:t xml:space="preserve"> </w:t>
                            </w:r>
                            <w:r>
                              <w:t xml:space="preserve">an </w:t>
                            </w:r>
                            <w:r w:rsidRPr="002755E9">
                              <w:t>additional</w:t>
                            </w:r>
                            <w:r>
                              <w:t xml:space="preserve"> </w:t>
                            </w:r>
                            <w:r w:rsidRPr="002755E9">
                              <w:t xml:space="preserve">coordination </w:t>
                            </w:r>
                            <w:r>
                              <w:t xml:space="preserve">requirement </w:t>
                            </w:r>
                            <w:r w:rsidRPr="002755E9">
                              <w:t>for earth station</w:t>
                            </w:r>
                            <w:r>
                              <w:t>s</w:t>
                            </w:r>
                            <w:r w:rsidRPr="002755E9">
                              <w:t xml:space="preserve"> to limit the impact it may have on an existing AWL</w:t>
                            </w:r>
                            <w:r>
                              <w:t xml:space="preserve"> (or spectrum)</w:t>
                            </w:r>
                            <w:r w:rsidRPr="002755E9">
                              <w:t xml:space="preserve"> licensee registering devices</w:t>
                            </w:r>
                            <w:r>
                              <w:t>.</w:t>
                            </w:r>
                          </w:p>
                          <w:p w14:paraId="1E2EAF24" w14:textId="708A6A70" w:rsidR="002B5730" w:rsidRDefault="002B5730" w:rsidP="00706F72">
                            <w:pPr>
                              <w:pStyle w:val="Bulletlevel1"/>
                              <w:ind w:left="2160" w:hanging="720"/>
                            </w:pPr>
                            <w:r>
                              <w:t>Reviewing some aspects of AWL coordination with spectrum licensed devices.</w:t>
                            </w:r>
                          </w:p>
                          <w:p w14:paraId="09224B45" w14:textId="025D65F2" w:rsidR="002B5730" w:rsidRDefault="002B5730" w:rsidP="00706F72">
                            <w:pPr>
                              <w:pStyle w:val="Bulletlevel1"/>
                              <w:ind w:left="2160" w:hanging="720"/>
                            </w:pPr>
                            <w:r>
                              <w:t>Revising coordination arrangements between AWLs and earth stations.</w:t>
                            </w:r>
                          </w:p>
                          <w:p w14:paraId="3671F2E4" w14:textId="6CBC5BBF" w:rsidR="002B5730" w:rsidRDefault="002B5730" w:rsidP="00D96863">
                            <w:pPr>
                              <w:pStyle w:val="Bulletlevel1"/>
                              <w:ind w:left="1440" w:hanging="720"/>
                            </w:pPr>
                            <w:r>
                              <w:t xml:space="preserve">Some comments were also received on common elements of the remote technical framework that were exposed in the </w:t>
                            </w:r>
                            <w:hyperlink r:id="rId52" w:history="1">
                              <w:r w:rsidRPr="008B036A">
                                <w:rPr>
                                  <w:rStyle w:val="Hyperlink"/>
                                </w:rPr>
                                <w:t>February/March 2023 consultation</w:t>
                              </w:r>
                            </w:hyperlink>
                            <w:r>
                              <w:t xml:space="preserve"> on another technical framework.</w:t>
                            </w:r>
                          </w:p>
                          <w:p w14:paraId="24B1D423" w14:textId="339D181C" w:rsidR="002B5730" w:rsidRDefault="002B5730" w:rsidP="00231D30">
                            <w:pPr>
                              <w:pStyle w:val="Bulletlevel1"/>
                              <w:ind w:left="1440" w:hanging="720"/>
                            </w:pPr>
                            <w:r>
                              <w:t xml:space="preserve">In response the ACMA has made further changes such as: </w:t>
                            </w:r>
                          </w:p>
                          <w:p w14:paraId="29C22FF9" w14:textId="1F24990D" w:rsidR="002B5730" w:rsidRDefault="002B5730" w:rsidP="00231D30">
                            <w:pPr>
                              <w:pStyle w:val="Bulletlevel1"/>
                              <w:ind w:left="2160" w:hanging="720"/>
                            </w:pPr>
                            <w:r>
                              <w:t>Requiring new PTP services to coordinate with AWL boundaries so they do not deny large amounts of spectrum to future AWL device registrations.</w:t>
                            </w:r>
                          </w:p>
                          <w:p w14:paraId="25BB6DAF" w14:textId="1118A633" w:rsidR="002B5730" w:rsidRDefault="002B5730" w:rsidP="00231D30">
                            <w:pPr>
                              <w:pStyle w:val="Bulletlevel1"/>
                              <w:ind w:left="2160" w:hanging="720"/>
                            </w:pPr>
                            <w:r>
                              <w:t>Changes to coordination of AWLs with fixed satellite services to ensure that bandpass filters are fitted to satellite receivers, to improve overall spectrum efficiency outcomes.</w:t>
                            </w:r>
                          </w:p>
                          <w:p w14:paraId="3D03D2E5" w14:textId="7C649A63" w:rsidR="002B5730" w:rsidRPr="002E059C" w:rsidRDefault="002B5730" w:rsidP="008156C0">
                            <w:pPr>
                              <w:pStyle w:val="Bulletlevel1"/>
                              <w:numPr>
                                <w:ilvl w:val="0"/>
                                <w:numId w:val="0"/>
                              </w:num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32F81" id="_x0000_t202" coordsize="21600,21600" o:spt="202" path="m,l,21600r21600,l21600,xe">
                <v:stroke joinstyle="miter"/>
                <v:path gradientshapeok="t" o:connecttype="rect"/>
              </v:shapetype>
              <v:shape id="Text Box 217" o:spid="_x0000_s1026" type="#_x0000_t202" style="position:absolute;left:0;text-align:left;margin-left:331.25pt;margin-top:52.1pt;width:382.45pt;height:408.7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">
                <v:textbox>
                  <w:txbxContent>
                    <w:p w14:paraId="1069E2FA" w14:textId="65BA6AAC" w:rsidR="002B5730" w:rsidRPr="007C06AD" w:rsidRDefault="002B5730" w:rsidP="007C06AD">
                      <w:pPr>
                        <w:rPr>
                          <w:b/>
                          <w:bCs/>
                        </w:rPr>
                      </w:pPr>
                      <w:r w:rsidRPr="007C06AD">
                        <w:rPr>
                          <w:b/>
                          <w:bCs/>
                        </w:rPr>
                        <w:t>ACMA Response</w:t>
                      </w:r>
                    </w:p>
                    <w:p w14:paraId="59FDC607" w14:textId="5E6317D8" w:rsidR="002B5730" w:rsidRDefault="002B5730" w:rsidP="00706F72">
                      <w:pPr>
                        <w:pStyle w:val="Bulletlevel1"/>
                        <w:ind w:left="1440" w:hanging="720"/>
                      </w:pPr>
                      <w:r>
                        <w:t xml:space="preserve">Comments on relevant aspects of the technical framework were also received during the September 2022 -January 2023 TLG on the spectrum licensing technical framework in 3.4-3.8 GHz. </w:t>
                      </w:r>
                    </w:p>
                    <w:p w14:paraId="5B8F10AF" w14:textId="2A675A3E" w:rsidR="002B5730" w:rsidRDefault="002B5730" w:rsidP="00706F72">
                      <w:pPr>
                        <w:pStyle w:val="Bulletlevel1"/>
                        <w:ind w:left="1440" w:hanging="720"/>
                      </w:pPr>
                      <w:r>
                        <w:t xml:space="preserve">In response the ACMA has modified some proposals such as: </w:t>
                      </w:r>
                    </w:p>
                    <w:p w14:paraId="1A7FF134" w14:textId="1A969466" w:rsidR="002B5730" w:rsidRDefault="002B5730" w:rsidP="00706F72">
                      <w:pPr>
                        <w:pStyle w:val="Bulletlevel1"/>
                        <w:ind w:left="2160" w:hanging="720"/>
                      </w:pPr>
                      <w:r>
                        <w:t xml:space="preserve">Proposing </w:t>
                      </w:r>
                      <w:r w:rsidRPr="00EE0035">
                        <w:t xml:space="preserve">to make changes to RALI FX3 to restrict future </w:t>
                      </w:r>
                      <w:r>
                        <w:t>PTP</w:t>
                      </w:r>
                      <w:r w:rsidRPr="00EE0035">
                        <w:t xml:space="preserve"> licences in the 3.8</w:t>
                      </w:r>
                      <w:r>
                        <w:t> </w:t>
                      </w:r>
                      <w:r w:rsidRPr="00EE0035">
                        <w:t>GHz band to 3</w:t>
                      </w:r>
                      <w:r>
                        <w:t>.</w:t>
                      </w:r>
                      <w:r w:rsidRPr="00EE0035">
                        <w:t>8</w:t>
                      </w:r>
                      <w:r>
                        <w:t xml:space="preserve">–4.2 GHz </w:t>
                      </w:r>
                      <w:r w:rsidRPr="00EE0035">
                        <w:t>but permit more technical flexibility in use of the restricted number of channels available.</w:t>
                      </w:r>
                    </w:p>
                    <w:p w14:paraId="39551362" w14:textId="55002A23" w:rsidR="002B5730" w:rsidRDefault="002B5730" w:rsidP="00706F72">
                      <w:pPr>
                        <w:pStyle w:val="Bulletlevel1"/>
                        <w:ind w:left="2160" w:hanging="720"/>
                      </w:pPr>
                      <w:r>
                        <w:t xml:space="preserve">Revising RALI </w:t>
                      </w:r>
                      <w:r w:rsidRPr="002755E9">
                        <w:t xml:space="preserve">MS47 </w:t>
                      </w:r>
                      <w:r>
                        <w:t>to include</w:t>
                      </w:r>
                      <w:r w:rsidRPr="002755E9">
                        <w:t xml:space="preserve"> </w:t>
                      </w:r>
                      <w:r>
                        <w:t xml:space="preserve">an </w:t>
                      </w:r>
                      <w:r w:rsidRPr="002755E9">
                        <w:t>additional</w:t>
                      </w:r>
                      <w:r>
                        <w:t xml:space="preserve"> </w:t>
                      </w:r>
                      <w:r w:rsidRPr="002755E9">
                        <w:t xml:space="preserve">coordination </w:t>
                      </w:r>
                      <w:r>
                        <w:t xml:space="preserve">requirement </w:t>
                      </w:r>
                      <w:r w:rsidRPr="002755E9">
                        <w:t>for earth station</w:t>
                      </w:r>
                      <w:r>
                        <w:t>s</w:t>
                      </w:r>
                      <w:r w:rsidRPr="002755E9">
                        <w:t xml:space="preserve"> to limit the impact it may have on an existing AWL</w:t>
                      </w:r>
                      <w:r>
                        <w:t xml:space="preserve"> (or spectrum)</w:t>
                      </w:r>
                      <w:r w:rsidRPr="002755E9">
                        <w:t xml:space="preserve"> licensee registering devices</w:t>
                      </w:r>
                      <w:r>
                        <w:t>.</w:t>
                      </w:r>
                    </w:p>
                    <w:p w14:paraId="1E2EAF24" w14:textId="708A6A70" w:rsidR="002B5730" w:rsidRDefault="002B5730" w:rsidP="00706F72">
                      <w:pPr>
                        <w:pStyle w:val="Bulletlevel1"/>
                        <w:ind w:left="2160" w:hanging="720"/>
                      </w:pPr>
                      <w:r>
                        <w:t>Reviewing some aspects of AWL coordination with spectrum licensed devices.</w:t>
                      </w:r>
                    </w:p>
                    <w:p w14:paraId="09224B45" w14:textId="025D65F2" w:rsidR="002B5730" w:rsidRDefault="002B5730" w:rsidP="00706F72">
                      <w:pPr>
                        <w:pStyle w:val="Bulletlevel1"/>
                        <w:ind w:left="2160" w:hanging="720"/>
                      </w:pPr>
                      <w:r>
                        <w:t>Revising coordination arrangements between AWLs and earth stations.</w:t>
                      </w:r>
                    </w:p>
                    <w:p w14:paraId="3671F2E4" w14:textId="6CBC5BBF" w:rsidR="002B5730" w:rsidRDefault="002B5730" w:rsidP="00D96863">
                      <w:pPr>
                        <w:pStyle w:val="Bulletlevel1"/>
                        <w:ind w:left="1440" w:hanging="720"/>
                      </w:pPr>
                      <w:r>
                        <w:t xml:space="preserve">Some comments were also received on common elements of the remote technical framework that were exposed in the </w:t>
                      </w:r>
                      <w:hyperlink r:id="rId53" w:history="1">
                        <w:r w:rsidRPr="008B036A">
                          <w:rPr>
                            <w:rStyle w:val="Hyperlink"/>
                          </w:rPr>
                          <w:t>February/March 2023 consultation</w:t>
                        </w:r>
                      </w:hyperlink>
                      <w:r>
                        <w:t xml:space="preserve"> on another technical framework.</w:t>
                      </w:r>
                    </w:p>
                    <w:p w14:paraId="24B1D423" w14:textId="339D181C" w:rsidR="002B5730" w:rsidRDefault="002B5730" w:rsidP="00231D30">
                      <w:pPr>
                        <w:pStyle w:val="Bulletlevel1"/>
                        <w:ind w:left="1440" w:hanging="720"/>
                      </w:pPr>
                      <w:r>
                        <w:t xml:space="preserve">In response the ACMA has made further changes such as: </w:t>
                      </w:r>
                    </w:p>
                    <w:p w14:paraId="29C22FF9" w14:textId="1F24990D" w:rsidR="002B5730" w:rsidRDefault="002B5730" w:rsidP="00231D30">
                      <w:pPr>
                        <w:pStyle w:val="Bulletlevel1"/>
                        <w:ind w:left="2160" w:hanging="720"/>
                      </w:pPr>
                      <w:r>
                        <w:t>Requiring new PTP services to coordinate with AWL boundaries so they do not deny large amounts of spectrum to future AWL device registrations.</w:t>
                      </w:r>
                    </w:p>
                    <w:p w14:paraId="25BB6DAF" w14:textId="1118A633" w:rsidR="002B5730" w:rsidRDefault="002B5730" w:rsidP="00231D30">
                      <w:pPr>
                        <w:pStyle w:val="Bulletlevel1"/>
                        <w:ind w:left="2160" w:hanging="720"/>
                      </w:pPr>
                      <w:r>
                        <w:t>Changes to coordination of AWLs with fixed satellite services to ensure that bandpass filters are fitted to satellite receivers, to improve overall spectrum efficiency outcomes.</w:t>
                      </w:r>
                    </w:p>
                    <w:p w14:paraId="3D03D2E5" w14:textId="7C649A63" w:rsidR="002B5730" w:rsidRPr="002E059C" w:rsidRDefault="002B5730" w:rsidP="008156C0">
                      <w:pPr>
                        <w:pStyle w:val="Bulletlevel1"/>
                        <w:numPr>
                          <w:ilvl w:val="0"/>
                          <w:numId w:val="0"/>
                        </w:numPr>
                        <w:ind w:left="360"/>
                      </w:pPr>
                    </w:p>
                  </w:txbxContent>
                </v:textbox>
                <w10:wrap type="square" anchorx="margin"/>
              </v:shape>
            </w:pict>
          </mc:Fallback>
        </mc:AlternateContent>
      </w:r>
      <w:r w:rsidR="00F40B8E" w:rsidRPr="002E059C">
        <w:t>These mostly dealt with suggested changes to the draft framework to provide additional protection to incumbent services or to increase deployment flexibility for new wide area (WA) WBB and local area (LA) WBB services.</w:t>
      </w:r>
      <w:r w:rsidR="00F40B8E" w:rsidRPr="002E059C">
        <w:rPr>
          <w:vertAlign w:val="superscript"/>
        </w:rPr>
        <w:footnoteReference w:id="20"/>
      </w:r>
      <w:r w:rsidR="00F40B8E" w:rsidRPr="002E059C">
        <w:t xml:space="preserve"> </w:t>
      </w:r>
    </w:p>
    <w:p w14:paraId="7A76FD67" w14:textId="2B9C7AEE" w:rsidR="00D92C59" w:rsidRDefault="00D92C59" w:rsidP="005603B2"/>
    <w:p w14:paraId="42902135" w14:textId="77777777" w:rsidR="003B6EA8" w:rsidRDefault="003B6EA8" w:rsidP="003B6EA8">
      <w:pPr>
        <w:pStyle w:val="Heading3"/>
      </w:pPr>
      <w:bookmarkStart w:id="59" w:name="_Toc137640981"/>
      <w:r>
        <w:t>Radio altimeter concerns</w:t>
      </w:r>
      <w:bookmarkEnd w:id="59"/>
    </w:p>
    <w:p w14:paraId="2E56C2A0" w14:textId="1CBB006B" w:rsidR="003B6EA8" w:rsidRDefault="003B6EA8" w:rsidP="003B6EA8">
      <w:pPr>
        <w:pStyle w:val="Bulletlevel1"/>
        <w:ind w:left="1440" w:hanging="720"/>
      </w:pPr>
      <w:r>
        <w:t>The aviation industry</w:t>
      </w:r>
      <w:r>
        <w:rPr>
          <w:rStyle w:val="FootnoteReference"/>
        </w:rPr>
        <w:t xml:space="preserve"> </w:t>
      </w:r>
      <w:r>
        <w:t xml:space="preserve">has expressed concern about potential interference of WBB </w:t>
      </w:r>
      <w:r w:rsidRPr="002E059C">
        <w:t>with radio altimeters</w:t>
      </w:r>
      <w:r>
        <w:t xml:space="preserve"> (RA)</w:t>
      </w:r>
      <w:r w:rsidRPr="002E059C">
        <w:t xml:space="preserve"> in the </w:t>
      </w:r>
      <w:r>
        <w:t xml:space="preserve">nearby </w:t>
      </w:r>
      <w:r w:rsidRPr="002E059C">
        <w:t>4</w:t>
      </w:r>
      <w:r w:rsidR="00AB0790">
        <w:t>.</w:t>
      </w:r>
      <w:r w:rsidRPr="002E059C">
        <w:t>2-4</w:t>
      </w:r>
      <w:r w:rsidR="00AB0790">
        <w:t>.</w:t>
      </w:r>
      <w:r w:rsidRPr="002E059C">
        <w:t>4</w:t>
      </w:r>
      <w:r w:rsidR="00AB0790">
        <w:t> G</w:t>
      </w:r>
      <w:r w:rsidRPr="002E059C">
        <w:t>Hz range</w:t>
      </w:r>
      <w:r>
        <w:t>.</w:t>
      </w:r>
    </w:p>
    <w:p w14:paraId="6F7C87D4" w14:textId="2871C02E" w:rsidR="008F0303" w:rsidRDefault="00572627" w:rsidP="00265D1C">
      <w:pPr>
        <w:pStyle w:val="Bulletlevel1"/>
        <w:numPr>
          <w:ilvl w:val="0"/>
          <w:numId w:val="0"/>
        </w:numPr>
        <w:ind w:left="720" w:hanging="360"/>
      </w:pPr>
      <w:r>
        <w:rPr>
          <w:bCs/>
          <w:noProof/>
          <w:szCs w:val="26"/>
        </w:rPr>
        <mc:AlternateContent>
          <mc:Choice Requires="wps">
            <w:drawing>
              <wp:inline distT="0" distB="0" distL="0" distR="0" wp14:anchorId="7F1F0BE0" wp14:editId="1444F0C4">
                <wp:extent cx="4857115" cy="5457372"/>
                <wp:effectExtent l="0" t="0" r="19685" b="101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115" cy="5457372"/>
                        </a:xfrm>
                        <a:prstGeom prst="rect">
                          <a:avLst/>
                        </a:prstGeom>
                        <a:solidFill>
                          <a:srgbClr val="FFFFFF"/>
                        </a:solidFill>
                        <a:ln w="9525">
                          <a:solidFill>
                            <a:srgbClr val="000000"/>
                          </a:solidFill>
                          <a:miter lim="800000"/>
                          <a:headEnd/>
                          <a:tailEnd/>
                        </a:ln>
                      </wps:spPr>
                      <wps:txbx>
                        <w:txbxContent>
                          <w:p w14:paraId="7A4C3A8B" w14:textId="77777777" w:rsidR="002B5730" w:rsidRPr="00C53266" w:rsidRDefault="002B5730" w:rsidP="00572627">
                            <w:pPr>
                              <w:rPr>
                                <w:b/>
                                <w:bCs/>
                              </w:rPr>
                            </w:pPr>
                            <w:r w:rsidRPr="00C53266">
                              <w:rPr>
                                <w:b/>
                                <w:bCs/>
                              </w:rPr>
                              <w:t>ACMA Response</w:t>
                            </w:r>
                          </w:p>
                          <w:p w14:paraId="596EE473" w14:textId="5F25F78B" w:rsidR="002B5730" w:rsidRDefault="002B5730" w:rsidP="00572627">
                            <w:pPr>
                              <w:pStyle w:val="Bulletlevel1"/>
                              <w:ind w:left="1440" w:hanging="720"/>
                            </w:pPr>
                            <w:r>
                              <w:t xml:space="preserve">The ACMA continues to consult with the aviation industry, and the Civil Aviation Safety Authority (CASA), after the close of the March consultation. We presented a revised proposal to the TLG in September-October 2022 for comment. </w:t>
                            </w:r>
                          </w:p>
                          <w:p w14:paraId="0E3EF6A8" w14:textId="4E922C3F" w:rsidR="002B5730" w:rsidRDefault="002B5730" w:rsidP="00572627">
                            <w:pPr>
                              <w:pStyle w:val="Bulletlevel1"/>
                              <w:ind w:left="1440" w:hanging="720"/>
                            </w:pPr>
                            <w:r>
                              <w:t xml:space="preserve">In addition to the 2022 consultation, the ACMA sought further views about RA interference concerns in a </w:t>
                            </w:r>
                            <w:hyperlink r:id="rId54" w:history="1">
                              <w:r w:rsidRPr="008B036A">
                                <w:rPr>
                                  <w:rStyle w:val="Hyperlink"/>
                                </w:rPr>
                                <w:t>February/March 2023 consultation</w:t>
                              </w:r>
                            </w:hyperlink>
                            <w:r>
                              <w:t>.</w:t>
                            </w:r>
                          </w:p>
                          <w:p w14:paraId="4E9328FB" w14:textId="76D95071" w:rsidR="002B5730" w:rsidRDefault="002B5730" w:rsidP="00572627">
                            <w:pPr>
                              <w:pStyle w:val="Bulletlevel1"/>
                              <w:ind w:left="1440" w:hanging="720"/>
                            </w:pPr>
                            <w:r>
                              <w:t>With some new evidence presented to the ACMA in submissions to the consultation, the ACMA revised some of the proposed ongoing and interim mitigations.</w:t>
                            </w:r>
                          </w:p>
                          <w:p w14:paraId="20894D92" w14:textId="09EFF391" w:rsidR="002B5730" w:rsidRDefault="002B5730" w:rsidP="00572627">
                            <w:pPr>
                              <w:pStyle w:val="Bulletlevel1"/>
                              <w:ind w:left="1440" w:hanging="720"/>
                            </w:pPr>
                            <w:r>
                              <w:t>In June, the ACMA intends to release a wireless broadband and radio altimeter outcomes paper which details our planning decisions.</w:t>
                            </w:r>
                          </w:p>
                          <w:p w14:paraId="4E7198E7" w14:textId="78C2F38F" w:rsidR="002B5730" w:rsidRDefault="002B5730" w:rsidP="00572627">
                            <w:pPr>
                              <w:pStyle w:val="Bulletlevel1"/>
                              <w:ind w:left="1440" w:hanging="720"/>
                            </w:pPr>
                            <w:r>
                              <w:t>T</w:t>
                            </w:r>
                            <w:r w:rsidRPr="002E059C">
                              <w:t xml:space="preserve">he ACMA </w:t>
                            </w:r>
                            <w:r>
                              <w:t xml:space="preserve">is taking </w:t>
                            </w:r>
                            <w:r w:rsidRPr="002E059C">
                              <w:t>a precautionary approach and intends to apply several temporary</w:t>
                            </w:r>
                            <w:r>
                              <w:t xml:space="preserve"> and ongoing </w:t>
                            </w:r>
                            <w:r w:rsidRPr="002E059C">
                              <w:t xml:space="preserve">mitigations in remote areas. These are based on approaches used in France and Canada but </w:t>
                            </w:r>
                            <w:r>
                              <w:t>modified</w:t>
                            </w:r>
                            <w:r w:rsidRPr="002E059C">
                              <w:t xml:space="preserve"> to</w:t>
                            </w:r>
                            <w:r>
                              <w:t xml:space="preserve"> account for</w:t>
                            </w:r>
                            <w:r w:rsidRPr="002E059C">
                              <w:t xml:space="preserve"> WBB operating conditions </w:t>
                            </w:r>
                            <w:r>
                              <w:t>in</w:t>
                            </w:r>
                            <w:r w:rsidRPr="002E059C">
                              <w:t xml:space="preserve"> Australia</w:t>
                            </w:r>
                            <w:r>
                              <w:t xml:space="preserve"> and developed after consultation with the aviation and telecommunications industries</w:t>
                            </w:r>
                            <w:r w:rsidRPr="002E059C">
                              <w:t>.</w:t>
                            </w:r>
                          </w:p>
                          <w:p w14:paraId="7703BEF7" w14:textId="40E631AD" w:rsidR="002B5730" w:rsidRPr="002E059C" w:rsidRDefault="002B5730" w:rsidP="00572627">
                            <w:pPr>
                              <w:pStyle w:val="Bulletlevel1"/>
                              <w:ind w:left="1440" w:hanging="720"/>
                            </w:pPr>
                            <w:r>
                              <w:t>It is planned that the interim mitigations will end after 31 March 2026, which is considered sufficient time for better performing RAs to be retrofitted to affected aircraft. The ACMA may, if supported by emerging evidence, conduct a further consultation on mitigation measures before that date.</w:t>
                            </w:r>
                          </w:p>
                          <w:p w14:paraId="65C1FCE5" w14:textId="53698115" w:rsidR="002B5730" w:rsidRPr="002E059C" w:rsidRDefault="002B5730" w:rsidP="00572627">
                            <w:pPr>
                              <w:pStyle w:val="Bulletlevel1"/>
                              <w:ind w:left="1440" w:hanging="720"/>
                            </w:pPr>
                            <w:r>
                              <w:t>T</w:t>
                            </w:r>
                            <w:r w:rsidRPr="002E059C">
                              <w:t xml:space="preserve">he </w:t>
                            </w:r>
                            <w:r>
                              <w:t xml:space="preserve">ACMA considers that the updated </w:t>
                            </w:r>
                            <w:r w:rsidRPr="002E059C">
                              <w:t xml:space="preserve">technical framework achieves the right balance of opportunities for new applications against protecting access and utility of existing users of the band </w:t>
                            </w:r>
                            <w:r>
                              <w:t xml:space="preserve">as well as </w:t>
                            </w:r>
                            <w:r w:rsidRPr="002E059C">
                              <w:t xml:space="preserve">adjacent </w:t>
                            </w:r>
                            <w:r>
                              <w:t xml:space="preserve">and nearby </w:t>
                            </w:r>
                            <w:r w:rsidRPr="002E059C">
                              <w:t>bands.</w:t>
                            </w:r>
                          </w:p>
                        </w:txbxContent>
                      </wps:txbx>
                      <wps:bodyPr rot="0" vert="horz" wrap="square" lIns="91440" tIns="45720" rIns="91440" bIns="45720" anchor="t" anchorCtr="0">
                        <a:noAutofit/>
                      </wps:bodyPr>
                    </wps:wsp>
                  </a:graphicData>
                </a:graphic>
              </wp:inline>
            </w:drawing>
          </mc:Choice>
          <mc:Fallback>
            <w:pict>
              <v:shape w14:anchorId="7F1F0BE0" id="Text Box 10" o:spid="_x0000_s1027" type="#_x0000_t202" style="width:382.45pt;height:4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">
                <v:textbox>
                  <w:txbxContent>
                    <w:p w14:paraId="7A4C3A8B" w14:textId="77777777" w:rsidR="002B5730" w:rsidRPr="00C53266" w:rsidRDefault="002B5730" w:rsidP="00572627">
                      <w:pPr>
                        <w:rPr>
                          <w:b/>
                          <w:bCs/>
                        </w:rPr>
                      </w:pPr>
                      <w:r w:rsidRPr="00C53266">
                        <w:rPr>
                          <w:b/>
                          <w:bCs/>
                        </w:rPr>
                        <w:t>ACMA Response</w:t>
                      </w:r>
                    </w:p>
                    <w:p w14:paraId="596EE473" w14:textId="5F25F78B" w:rsidR="002B5730" w:rsidRDefault="002B5730" w:rsidP="00572627">
                      <w:pPr>
                        <w:pStyle w:val="Bulletlevel1"/>
                        <w:ind w:left="1440" w:hanging="720"/>
                      </w:pPr>
                      <w:r>
                        <w:t xml:space="preserve">The ACMA continues to consult with the aviation industry, and the Civil Aviation Safety Authority (CASA), after the close of the March consultation. We presented a revised proposal to the TLG in September-October 2022 for comment. </w:t>
                      </w:r>
                    </w:p>
                    <w:p w14:paraId="0E3EF6A8" w14:textId="4E922C3F" w:rsidR="002B5730" w:rsidRDefault="002B5730" w:rsidP="00572627">
                      <w:pPr>
                        <w:pStyle w:val="Bulletlevel1"/>
                        <w:ind w:left="1440" w:hanging="720"/>
                      </w:pPr>
                      <w:r>
                        <w:t xml:space="preserve">In addition to the 2022 consultation, the ACMA sought further views about RA interference concerns in a </w:t>
                      </w:r>
                      <w:hyperlink r:id="rId55" w:history="1">
                        <w:r w:rsidRPr="008B036A">
                          <w:rPr>
                            <w:rStyle w:val="Hyperlink"/>
                          </w:rPr>
                          <w:t>February/March 2023 consultation</w:t>
                        </w:r>
                      </w:hyperlink>
                      <w:r>
                        <w:t>.</w:t>
                      </w:r>
                    </w:p>
                    <w:p w14:paraId="4E9328FB" w14:textId="76D95071" w:rsidR="002B5730" w:rsidRDefault="002B5730" w:rsidP="00572627">
                      <w:pPr>
                        <w:pStyle w:val="Bulletlevel1"/>
                        <w:ind w:left="1440" w:hanging="720"/>
                      </w:pPr>
                      <w:r>
                        <w:t>With some new evidence presented to the ACMA in submissions to the consultation, the ACMA revised some of the proposed ongoing and interim mitigations.</w:t>
                      </w:r>
                    </w:p>
                    <w:p w14:paraId="20894D92" w14:textId="09EFF391" w:rsidR="002B5730" w:rsidRDefault="002B5730" w:rsidP="00572627">
                      <w:pPr>
                        <w:pStyle w:val="Bulletlevel1"/>
                        <w:ind w:left="1440" w:hanging="720"/>
                      </w:pPr>
                      <w:r>
                        <w:t>In June, the ACMA intends to release a wireless broadband and radio altimeter outcomes paper which details our planning decisions.</w:t>
                      </w:r>
                    </w:p>
                    <w:p w14:paraId="4E7198E7" w14:textId="78C2F38F" w:rsidR="002B5730" w:rsidRDefault="002B5730" w:rsidP="00572627">
                      <w:pPr>
                        <w:pStyle w:val="Bulletlevel1"/>
                        <w:ind w:left="1440" w:hanging="720"/>
                      </w:pPr>
                      <w:r>
                        <w:t>T</w:t>
                      </w:r>
                      <w:r w:rsidRPr="002E059C">
                        <w:t xml:space="preserve">he ACMA </w:t>
                      </w:r>
                      <w:r>
                        <w:t xml:space="preserve">is taking </w:t>
                      </w:r>
                      <w:r w:rsidRPr="002E059C">
                        <w:t>a precautionary approach and intends to apply several temporary</w:t>
                      </w:r>
                      <w:r>
                        <w:t xml:space="preserve"> and ongoing </w:t>
                      </w:r>
                      <w:r w:rsidRPr="002E059C">
                        <w:t xml:space="preserve">mitigations in remote areas. These are based on approaches used in France and Canada but </w:t>
                      </w:r>
                      <w:r>
                        <w:t>modified</w:t>
                      </w:r>
                      <w:r w:rsidRPr="002E059C">
                        <w:t xml:space="preserve"> to</w:t>
                      </w:r>
                      <w:r>
                        <w:t xml:space="preserve"> account for</w:t>
                      </w:r>
                      <w:r w:rsidRPr="002E059C">
                        <w:t xml:space="preserve"> WBB operating conditions </w:t>
                      </w:r>
                      <w:r>
                        <w:t>in</w:t>
                      </w:r>
                      <w:r w:rsidRPr="002E059C">
                        <w:t xml:space="preserve"> Australia</w:t>
                      </w:r>
                      <w:r>
                        <w:t xml:space="preserve"> and developed after consultation with the aviation and telecommunications industries</w:t>
                      </w:r>
                      <w:r w:rsidRPr="002E059C">
                        <w:t>.</w:t>
                      </w:r>
                    </w:p>
                    <w:p w14:paraId="7703BEF7" w14:textId="40E631AD" w:rsidR="002B5730" w:rsidRPr="002E059C" w:rsidRDefault="002B5730" w:rsidP="00572627">
                      <w:pPr>
                        <w:pStyle w:val="Bulletlevel1"/>
                        <w:ind w:left="1440" w:hanging="720"/>
                      </w:pPr>
                      <w:r>
                        <w:t>It is planned that the interim mitigations will end after 31 March 2026, which is considered sufficient time for better performing RAs to be retrofitted to affected aircraft. The ACMA may, if supported by emerging evidence, conduct a further consultation on mitigation measures before that date.</w:t>
                      </w:r>
                    </w:p>
                    <w:p w14:paraId="65C1FCE5" w14:textId="53698115" w:rsidR="002B5730" w:rsidRPr="002E059C" w:rsidRDefault="002B5730" w:rsidP="00572627">
                      <w:pPr>
                        <w:pStyle w:val="Bulletlevel1"/>
                        <w:ind w:left="1440" w:hanging="720"/>
                      </w:pPr>
                      <w:r>
                        <w:t>T</w:t>
                      </w:r>
                      <w:r w:rsidRPr="002E059C">
                        <w:t xml:space="preserve">he </w:t>
                      </w:r>
                      <w:r>
                        <w:t xml:space="preserve">ACMA considers that the updated </w:t>
                      </w:r>
                      <w:r w:rsidRPr="002E059C">
                        <w:t xml:space="preserve">technical framework achieves the right balance of opportunities for new applications against protecting access and utility of existing users of the band </w:t>
                      </w:r>
                      <w:r>
                        <w:t xml:space="preserve">as well as </w:t>
                      </w:r>
                      <w:r w:rsidRPr="002E059C">
                        <w:t xml:space="preserve">adjacent </w:t>
                      </w:r>
                      <w:r>
                        <w:t xml:space="preserve">and nearby </w:t>
                      </w:r>
                      <w:r w:rsidRPr="002E059C">
                        <w:t>bands.</w:t>
                      </w:r>
                    </w:p>
                  </w:txbxContent>
                </v:textbox>
                <w10:anchorlock/>
              </v:shape>
            </w:pict>
          </mc:Fallback>
        </mc:AlternateContent>
      </w:r>
    </w:p>
    <w:p w14:paraId="130120DF" w14:textId="6B33FBC7" w:rsidR="00905EAE" w:rsidRDefault="006A49AD" w:rsidP="00466F1A">
      <w:pPr>
        <w:pStyle w:val="Heading3"/>
      </w:pPr>
      <w:bookmarkStart w:id="60" w:name="_Toc137640982"/>
      <w:r w:rsidRPr="002E059C">
        <w:t>The allocation process</w:t>
      </w:r>
      <w:bookmarkEnd w:id="60"/>
    </w:p>
    <w:p w14:paraId="339CF357" w14:textId="792E3303" w:rsidR="00585C8F" w:rsidRPr="002E059C" w:rsidRDefault="00585C8F" w:rsidP="002E059C">
      <w:pPr>
        <w:pStyle w:val="Bulletlevel1"/>
        <w:ind w:left="1440" w:hanging="720"/>
      </w:pPr>
      <w:r w:rsidRPr="002E059C">
        <w:t>Broad support was expressed by several stakeholders for the allocation approach outlined in the consultation paper.</w:t>
      </w:r>
      <w:r w:rsidR="002D7DB4">
        <w:t xml:space="preserve"> </w:t>
      </w:r>
      <w:r w:rsidRPr="002E059C">
        <w:t xml:space="preserve">This approach includes:  </w:t>
      </w:r>
    </w:p>
    <w:p w14:paraId="27302DE5" w14:textId="6B874B95" w:rsidR="00585C8F" w:rsidRPr="002E059C" w:rsidRDefault="00585C8F" w:rsidP="002E059C">
      <w:pPr>
        <w:pStyle w:val="Bulletlevel1"/>
        <w:ind w:left="2160" w:hanging="720"/>
      </w:pPr>
      <w:r w:rsidRPr="002E059C">
        <w:t>issuing AWLs in a two-stage administrative allocation</w:t>
      </w:r>
      <w:r w:rsidR="008C2BAF">
        <w:t>; and</w:t>
      </w:r>
      <w:r w:rsidRPr="002E059C">
        <w:t xml:space="preserve"> </w:t>
      </w:r>
    </w:p>
    <w:p w14:paraId="7E5D6322" w14:textId="2EE679D5" w:rsidR="00585C8F" w:rsidRPr="002E059C" w:rsidRDefault="00585C8F" w:rsidP="002E059C">
      <w:pPr>
        <w:pStyle w:val="Bulletlevel1"/>
        <w:ind w:left="2160" w:hanging="720"/>
      </w:pPr>
      <w:r w:rsidRPr="002E059C">
        <w:t>assessing competing applications in accordance with allocation principles where there is not sufficient spectrum to facilitate a negotiated outcome between applicants</w:t>
      </w:r>
      <w:r w:rsidR="008C2BAF">
        <w:t>.</w:t>
      </w:r>
      <w:r w:rsidRPr="002E059C">
        <w:t xml:space="preserve"> </w:t>
      </w:r>
    </w:p>
    <w:p w14:paraId="3A2E132E" w14:textId="55F75A90" w:rsidR="00B37338" w:rsidRDefault="00064EA6" w:rsidP="002E059C">
      <w:pPr>
        <w:pStyle w:val="Bulletlevel1"/>
        <w:ind w:left="1440" w:hanging="720"/>
      </w:pPr>
      <w:r w:rsidRPr="00AB0B56">
        <w:t xml:space="preserve">An allocation quantum of 100 MHz was supported by most stakeholders, with </w:t>
      </w:r>
      <w:r>
        <w:t xml:space="preserve">a </w:t>
      </w:r>
      <w:r w:rsidRPr="00AB0B56">
        <w:t xml:space="preserve">caveat that ACMA discretion be </w:t>
      </w:r>
      <w:r w:rsidR="006A3129">
        <w:t xml:space="preserve">exercised </w:t>
      </w:r>
      <w:r w:rsidRPr="00AB0B56">
        <w:t>where greater than 100 MHz quantum is required</w:t>
      </w:r>
      <w:r w:rsidR="00A07561">
        <w:t xml:space="preserve"> for particular use cases</w:t>
      </w:r>
      <w:r w:rsidRPr="00AB0B56">
        <w:t xml:space="preserve">. </w:t>
      </w:r>
      <w:r>
        <w:t>One submission</w:t>
      </w:r>
      <w:r w:rsidRPr="00AB0B56">
        <w:t xml:space="preserve"> suggested that the allocation quantum may need to be less than </w:t>
      </w:r>
      <w:r w:rsidR="0027342F" w:rsidRPr="00AB0B56">
        <w:t>100</w:t>
      </w:r>
      <w:r w:rsidR="0027342F">
        <w:t> </w:t>
      </w:r>
      <w:r w:rsidRPr="00AB0B56">
        <w:t>MHz in high demand areas</w:t>
      </w:r>
      <w:r w:rsidR="001D6FAE">
        <w:t xml:space="preserve">, whilst others </w:t>
      </w:r>
      <w:r w:rsidR="001D6FAE" w:rsidRPr="00AB0B56">
        <w:t xml:space="preserve">supported up to </w:t>
      </w:r>
      <w:r w:rsidR="0027342F" w:rsidRPr="00AB0B56">
        <w:t>200</w:t>
      </w:r>
      <w:r w:rsidR="0027342F">
        <w:t> </w:t>
      </w:r>
      <w:r w:rsidR="001D6FAE" w:rsidRPr="00AB0B56">
        <w:t>MHz in areas of low demand after the allocation window</w:t>
      </w:r>
      <w:r w:rsidRPr="00AB0B56">
        <w:t>.</w:t>
      </w:r>
      <w:r>
        <w:t xml:space="preserve"> </w:t>
      </w:r>
    </w:p>
    <w:p w14:paraId="267BBB02" w14:textId="2C4A2BC0" w:rsidR="006C099D" w:rsidRDefault="007B1D05" w:rsidP="005603B2">
      <w:pPr>
        <w:pStyle w:val="Bulletlevel1"/>
        <w:ind w:left="2160" w:hanging="720"/>
      </w:pPr>
      <w:r>
        <w:rPr>
          <w:noProof/>
        </w:rPr>
        <mc:AlternateContent>
          <mc:Choice Requires="wps">
            <w:drawing>
              <wp:anchor distT="45720" distB="45720" distL="114300" distR="114300" simplePos="0" relativeHeight="251658241" behindDoc="0" locked="0" layoutInCell="1" allowOverlap="1" wp14:anchorId="373EBA86" wp14:editId="771C99A3">
                <wp:simplePos x="0" y="0"/>
                <wp:positionH relativeFrom="margin">
                  <wp:align>right</wp:align>
                </wp:positionH>
                <wp:positionV relativeFrom="paragraph">
                  <wp:posOffset>390925</wp:posOffset>
                </wp:positionV>
                <wp:extent cx="4857115" cy="1447800"/>
                <wp:effectExtent l="0" t="0" r="1968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115" cy="1447800"/>
                        </a:xfrm>
                        <a:prstGeom prst="rect">
                          <a:avLst/>
                        </a:prstGeom>
                        <a:solidFill>
                          <a:srgbClr val="FFFFFF"/>
                        </a:solidFill>
                        <a:ln w="9525">
                          <a:solidFill>
                            <a:srgbClr val="000000"/>
                          </a:solidFill>
                          <a:miter lim="800000"/>
                          <a:headEnd/>
                          <a:tailEnd/>
                        </a:ln>
                      </wps:spPr>
                      <wps:txbx>
                        <w:txbxContent>
                          <w:p w14:paraId="260C3476" w14:textId="77777777" w:rsidR="002B5730" w:rsidRPr="00C53266" w:rsidRDefault="002B5730" w:rsidP="00C53266">
                            <w:pPr>
                              <w:rPr>
                                <w:b/>
                                <w:bCs/>
                              </w:rPr>
                            </w:pPr>
                            <w:r w:rsidRPr="00C53266">
                              <w:rPr>
                                <w:b/>
                                <w:bCs/>
                              </w:rPr>
                              <w:t>ACMA Response</w:t>
                            </w:r>
                          </w:p>
                          <w:p w14:paraId="51A98FA2" w14:textId="1189F7F8" w:rsidR="002B5730" w:rsidRPr="002E059C" w:rsidRDefault="002B5730" w:rsidP="00792912">
                            <w:pPr>
                              <w:pStyle w:val="Bulletlevel1"/>
                              <w:ind w:left="1440" w:hanging="720"/>
                            </w:pPr>
                            <w:r>
                              <w:t>T</w:t>
                            </w:r>
                            <w:r w:rsidRPr="002E059C">
                              <w:t>he ACMA continues to support an allocation quantum of 100</w:t>
                            </w:r>
                            <w:r>
                              <w:t> </w:t>
                            </w:r>
                            <w:r w:rsidRPr="002E059C">
                              <w:t>MHz for each licensee as this facilitates more licensees at a given location and likely preserves spectrum in the longer term for smaller operators who generally seek spectrum on a needs basis. An allocation quantum greater than 100 MHz can be applied for, where justified.</w:t>
                            </w:r>
                          </w:p>
                          <w:p w14:paraId="1BCAA674" w14:textId="77777777" w:rsidR="002B5730" w:rsidRDefault="002B5730" w:rsidP="00792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EBA86" id="Text Box 7" o:spid="_x0000_s1028" type="#_x0000_t202" style="position:absolute;left:0;text-align:left;margin-left:331.25pt;margin-top:30.8pt;width:382.45pt;height:11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">
                <v:textbox>
                  <w:txbxContent>
                    <w:p w14:paraId="260C3476" w14:textId="77777777" w:rsidR="002B5730" w:rsidRPr="00C53266" w:rsidRDefault="002B5730" w:rsidP="00C53266">
                      <w:pPr>
                        <w:rPr>
                          <w:b/>
                          <w:bCs/>
                        </w:rPr>
                      </w:pPr>
                      <w:r w:rsidRPr="00C53266">
                        <w:rPr>
                          <w:b/>
                          <w:bCs/>
                        </w:rPr>
                        <w:t>ACMA Response</w:t>
                      </w:r>
                    </w:p>
                    <w:p w14:paraId="51A98FA2" w14:textId="1189F7F8" w:rsidR="002B5730" w:rsidRPr="002E059C" w:rsidRDefault="002B5730" w:rsidP="00792912">
                      <w:pPr>
                        <w:pStyle w:val="Bulletlevel1"/>
                        <w:ind w:left="1440" w:hanging="720"/>
                      </w:pPr>
                      <w:r>
                        <w:t>T</w:t>
                      </w:r>
                      <w:r w:rsidRPr="002E059C">
                        <w:t>he ACMA continues to support an allocation quantum of 100</w:t>
                      </w:r>
                      <w:r>
                        <w:t> </w:t>
                      </w:r>
                      <w:r w:rsidRPr="002E059C">
                        <w:t>MHz for each licensee as this facilitates more licensees at a given location and likely preserves spectrum in the longer term for smaller operators who generally seek spectrum on a needs basis. An allocation quantum greater than 100 MHz can be applied for, where justified.</w:t>
                      </w:r>
                    </w:p>
                    <w:p w14:paraId="1BCAA674" w14:textId="77777777" w:rsidR="002B5730" w:rsidRDefault="002B5730" w:rsidP="00792912"/>
                  </w:txbxContent>
                </v:textbox>
                <w10:wrap type="square" anchorx="margin"/>
              </v:shape>
            </w:pict>
          </mc:Fallback>
        </mc:AlternateContent>
      </w:r>
      <w:r w:rsidR="00B37338">
        <w:t xml:space="preserve">The ACCC also conducted a separate consultation to inform </w:t>
      </w:r>
      <w:r w:rsidR="007632CC">
        <w:t xml:space="preserve">the </w:t>
      </w:r>
      <w:r w:rsidR="00B37338">
        <w:t xml:space="preserve">ACMA </w:t>
      </w:r>
      <w:r>
        <w:t xml:space="preserve">allocation quantum </w:t>
      </w:r>
      <w:r w:rsidR="00B37338">
        <w:t>proposal</w:t>
      </w:r>
      <w:r>
        <w:t>.</w:t>
      </w:r>
      <w:r w:rsidR="00B37338">
        <w:t xml:space="preserve"> </w:t>
      </w:r>
      <w:r w:rsidR="007B5134">
        <w:t xml:space="preserve"> </w:t>
      </w:r>
      <w:r w:rsidR="00467A6B" w:rsidRPr="002E059C">
        <w:t xml:space="preserve"> </w:t>
      </w:r>
    </w:p>
    <w:p w14:paraId="6E2B03BA" w14:textId="77777777" w:rsidR="006A49AD" w:rsidRPr="002E059C" w:rsidRDefault="006A49AD" w:rsidP="005603B2">
      <w:pPr>
        <w:pStyle w:val="Bulletlevel1"/>
        <w:ind w:left="1440" w:hanging="720"/>
      </w:pPr>
      <w:r w:rsidRPr="002E059C">
        <w:t>Tenure and renewal: the ACMA’s proposed policies for the duration and renewal arrangements for AWLs.</w:t>
      </w:r>
    </w:p>
    <w:p w14:paraId="250B9F93" w14:textId="19D5A8CF" w:rsidR="006E1639" w:rsidRDefault="005F64D8" w:rsidP="007439AE">
      <w:pPr>
        <w:pStyle w:val="Bulletlevel1"/>
        <w:ind w:left="2160" w:hanging="720"/>
      </w:pPr>
      <w:r>
        <w:rPr>
          <w:noProof/>
        </w:rPr>
        <mc:AlternateContent>
          <mc:Choice Requires="wps">
            <w:drawing>
              <wp:anchor distT="45720" distB="45720" distL="114300" distR="114300" simplePos="0" relativeHeight="251658242" behindDoc="0" locked="0" layoutInCell="1" allowOverlap="1" wp14:anchorId="41923C7E" wp14:editId="46C080CD">
                <wp:simplePos x="0" y="0"/>
                <wp:positionH relativeFrom="margin">
                  <wp:align>left</wp:align>
                </wp:positionH>
                <wp:positionV relativeFrom="paragraph">
                  <wp:posOffset>517525</wp:posOffset>
                </wp:positionV>
                <wp:extent cx="4857115" cy="1171575"/>
                <wp:effectExtent l="0" t="0" r="1968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115" cy="1171575"/>
                        </a:xfrm>
                        <a:prstGeom prst="rect">
                          <a:avLst/>
                        </a:prstGeom>
                        <a:solidFill>
                          <a:srgbClr val="FFFFFF"/>
                        </a:solidFill>
                        <a:ln w="9525">
                          <a:solidFill>
                            <a:srgbClr val="000000"/>
                          </a:solidFill>
                          <a:miter lim="800000"/>
                          <a:headEnd/>
                          <a:tailEnd/>
                        </a:ln>
                      </wps:spPr>
                      <wps:txbx>
                        <w:txbxContent>
                          <w:p w14:paraId="26658F0A" w14:textId="77777777" w:rsidR="002B5730" w:rsidRPr="00C53266" w:rsidRDefault="002B5730" w:rsidP="00C53266">
                            <w:pPr>
                              <w:rPr>
                                <w:b/>
                                <w:bCs/>
                              </w:rPr>
                            </w:pPr>
                            <w:r w:rsidRPr="00C53266">
                              <w:rPr>
                                <w:b/>
                                <w:bCs/>
                              </w:rPr>
                              <w:t>ACMA Response</w:t>
                            </w:r>
                          </w:p>
                          <w:p w14:paraId="509C958B" w14:textId="48E3EF13" w:rsidR="002B5730" w:rsidRPr="002E059C" w:rsidRDefault="002B5730" w:rsidP="005F64D8">
                            <w:pPr>
                              <w:pStyle w:val="Bulletlevel1"/>
                              <w:ind w:left="1440" w:hanging="720"/>
                            </w:pPr>
                            <w:r>
                              <w:t>T</w:t>
                            </w:r>
                            <w:r w:rsidRPr="002E059C">
                              <w:t xml:space="preserve">he ACMA views remain unchanged and will proceed with tenure arrangements for AWLs restricted to </w:t>
                            </w:r>
                            <w:r>
                              <w:t>13</w:t>
                            </w:r>
                            <w:r w:rsidRPr="002E059C">
                              <w:t xml:space="preserve"> December 2030, aligning with the expiration of spectrum licences in 3.4 GHz to facilitate potential replanning or defragmentation activity. </w:t>
                            </w:r>
                          </w:p>
                          <w:p w14:paraId="411DDB8D" w14:textId="77777777" w:rsidR="002B5730" w:rsidRDefault="002B5730" w:rsidP="005F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23C7E" id="Text Box 8" o:spid="_x0000_s1029" type="#_x0000_t202" style="position:absolute;left:0;text-align:left;margin-left:0;margin-top:40.75pt;width:382.45pt;height:92.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">
                <v:textbox>
                  <w:txbxContent>
                    <w:p w14:paraId="26658F0A" w14:textId="77777777" w:rsidR="002B5730" w:rsidRPr="00C53266" w:rsidRDefault="002B5730" w:rsidP="00C53266">
                      <w:pPr>
                        <w:rPr>
                          <w:b/>
                          <w:bCs/>
                        </w:rPr>
                      </w:pPr>
                      <w:r w:rsidRPr="00C53266">
                        <w:rPr>
                          <w:b/>
                          <w:bCs/>
                        </w:rPr>
                        <w:t>ACMA Response</w:t>
                      </w:r>
                    </w:p>
                    <w:p w14:paraId="509C958B" w14:textId="48E3EF13" w:rsidR="002B5730" w:rsidRPr="002E059C" w:rsidRDefault="002B5730" w:rsidP="005F64D8">
                      <w:pPr>
                        <w:pStyle w:val="Bulletlevel1"/>
                        <w:ind w:left="1440" w:hanging="720"/>
                      </w:pPr>
                      <w:r>
                        <w:t>T</w:t>
                      </w:r>
                      <w:r w:rsidRPr="002E059C">
                        <w:t xml:space="preserve">he ACMA views remain unchanged and will proceed with tenure arrangements for AWLs restricted to </w:t>
                      </w:r>
                      <w:r>
                        <w:t>13</w:t>
                      </w:r>
                      <w:r w:rsidRPr="002E059C">
                        <w:t xml:space="preserve"> December 2030, aligning with the expiration of spectrum licences in 3.4 GHz to facilitate potential replanning or defragmentation activity. </w:t>
                      </w:r>
                    </w:p>
                    <w:p w14:paraId="411DDB8D" w14:textId="77777777" w:rsidR="002B5730" w:rsidRDefault="002B5730" w:rsidP="005F64D8"/>
                  </w:txbxContent>
                </v:textbox>
                <w10:wrap type="square" anchorx="margin"/>
              </v:shape>
            </w:pict>
          </mc:Fallback>
        </mc:AlternateContent>
      </w:r>
      <w:r w:rsidR="005E6493" w:rsidRPr="002E059C">
        <w:t xml:space="preserve">Some </w:t>
      </w:r>
      <w:r w:rsidR="00A974C1" w:rsidRPr="002E059C">
        <w:t xml:space="preserve">stakeholders </w:t>
      </w:r>
      <w:r w:rsidR="006A0282" w:rsidRPr="002E059C">
        <w:t xml:space="preserve">expressed </w:t>
      </w:r>
      <w:r w:rsidR="005E6493" w:rsidRPr="002E059C">
        <w:t xml:space="preserve">different views about the relative benefits of </w:t>
      </w:r>
      <w:r w:rsidR="006A0282" w:rsidRPr="002E059C">
        <w:t xml:space="preserve">short verses longer licence durations. </w:t>
      </w:r>
    </w:p>
    <w:p w14:paraId="73842D75" w14:textId="77777777" w:rsidR="00835873" w:rsidRDefault="00835873" w:rsidP="00835873">
      <w:pPr>
        <w:pStyle w:val="Bulletlevel1"/>
        <w:numPr>
          <w:ilvl w:val="0"/>
          <w:numId w:val="0"/>
        </w:numPr>
        <w:ind w:left="2160"/>
      </w:pPr>
    </w:p>
    <w:p w14:paraId="01633F4C" w14:textId="55EA1AB5" w:rsidR="004C6866" w:rsidRDefault="004C6866" w:rsidP="004C6866">
      <w:pPr>
        <w:pStyle w:val="Heading3"/>
      </w:pPr>
      <w:bookmarkStart w:id="61" w:name="_Toc137640983"/>
      <w:r>
        <w:t>Pricing</w:t>
      </w:r>
      <w:bookmarkEnd w:id="61"/>
    </w:p>
    <w:p w14:paraId="462F59C3" w14:textId="29F6BC1A" w:rsidR="0025735C" w:rsidRPr="002E059C" w:rsidRDefault="006A49AD" w:rsidP="005603B2">
      <w:pPr>
        <w:pStyle w:val="Bulletlevel1"/>
        <w:ind w:left="1440" w:hanging="720"/>
      </w:pPr>
      <w:r w:rsidRPr="002E059C">
        <w:t>Pricing: the proposed AWL tax arrangements.</w:t>
      </w:r>
    </w:p>
    <w:p w14:paraId="21936C2D" w14:textId="77777777" w:rsidR="0025735C" w:rsidRPr="002E059C" w:rsidRDefault="0025735C" w:rsidP="005603B2">
      <w:pPr>
        <w:pStyle w:val="Bulletlevel1"/>
        <w:ind w:left="2160" w:hanging="720"/>
      </w:pPr>
      <w:r w:rsidRPr="002E059C">
        <w:t xml:space="preserve">Overall, the submissions received from this consultation process supported the $/MHz/pop pricing construct for the AWLs, as well as a transmitter licence tax rate of $0.0041/MHz/pop for AWLs in the 3.4–4.0 GHz band. </w:t>
      </w:r>
    </w:p>
    <w:p w14:paraId="36BE6FA8" w14:textId="77777777" w:rsidR="004B730D" w:rsidRPr="00B44273" w:rsidRDefault="004B730D" w:rsidP="002E059C">
      <w:pPr>
        <w:pStyle w:val="Bulletlevel1"/>
        <w:numPr>
          <w:ilvl w:val="0"/>
          <w:numId w:val="0"/>
        </w:numPr>
      </w:pPr>
    </w:p>
    <w:p w14:paraId="194AC748" w14:textId="5EA171AA" w:rsidR="007A0840" w:rsidRDefault="00924A3F" w:rsidP="002F6B48">
      <w:pPr>
        <w:pStyle w:val="Heading1"/>
      </w:pPr>
      <w:bookmarkStart w:id="62" w:name="_Toc99632519"/>
      <w:bookmarkStart w:id="63" w:name="_Toc137640984"/>
      <w:r>
        <w:t xml:space="preserve">6. </w:t>
      </w:r>
      <w:r w:rsidRPr="0042214D">
        <w:t>What is the best option</w:t>
      </w:r>
      <w:bookmarkEnd w:id="62"/>
      <w:r w:rsidR="002F6B48">
        <w:t>?</w:t>
      </w:r>
      <w:bookmarkEnd w:id="63"/>
      <w:r w:rsidR="002F6B48" w:rsidRPr="0042214D">
        <w:t xml:space="preserve"> </w:t>
      </w:r>
    </w:p>
    <w:p w14:paraId="6175EA4C" w14:textId="48D537D1" w:rsidR="00F62676" w:rsidRDefault="00E81A85" w:rsidP="00F62676">
      <w:r>
        <w:t xml:space="preserve">In order </w:t>
      </w:r>
      <w:r w:rsidR="00560762">
        <w:t xml:space="preserve">for the ACMA </w:t>
      </w:r>
      <w:r w:rsidRPr="00EA01F1">
        <w:t xml:space="preserve">to facilitate a variety of WBB use cases in remote areas </w:t>
      </w:r>
      <w:r>
        <w:t xml:space="preserve">of the 3.4 – 4 GHz band to promote </w:t>
      </w:r>
      <w:r w:rsidRPr="00EA01F1">
        <w:t>the long-term public interest</w:t>
      </w:r>
      <w:r>
        <w:t xml:space="preserve"> derived from the use of the spectrum in this band</w:t>
      </w:r>
      <w:r w:rsidR="00B103E6">
        <w:t>, b</w:t>
      </w:r>
      <w:r w:rsidR="007A0840">
        <w:t xml:space="preserve">ased on the analysis in section 4, the ACMA considers it net beneficial to implement option </w:t>
      </w:r>
      <w:r w:rsidR="00865261">
        <w:t>3</w:t>
      </w:r>
      <w:r w:rsidR="007A0840">
        <w:t>. The ACMA estimate</w:t>
      </w:r>
      <w:r w:rsidR="00401ECD">
        <w:t xml:space="preserve">s that the average annual benefit </w:t>
      </w:r>
      <w:r w:rsidR="000B2692">
        <w:t>from that option to be at least $51,000 each year over the next 10 years</w:t>
      </w:r>
      <w:r w:rsidR="00F62676">
        <w:t>.</w:t>
      </w:r>
    </w:p>
    <w:p w14:paraId="2AC29F0D" w14:textId="21438BBD" w:rsidR="00F62676" w:rsidRPr="002E059C" w:rsidRDefault="00E25E71" w:rsidP="00F62676">
      <w:r>
        <w:t xml:space="preserve">Whilst </w:t>
      </w:r>
      <w:r w:rsidR="000C40C5">
        <w:t>o</w:t>
      </w:r>
      <w:r w:rsidR="00F62676">
        <w:t xml:space="preserve">ptions 1 and 2 can accommodate some of the demand for the spectrum </w:t>
      </w:r>
      <w:r w:rsidR="00A21FE6">
        <w:t xml:space="preserve">in the band, </w:t>
      </w:r>
      <w:r w:rsidR="00A21FE6" w:rsidRPr="002E059C">
        <w:t xml:space="preserve">the optimised AWL framework </w:t>
      </w:r>
      <w:r w:rsidRPr="002E059C">
        <w:t xml:space="preserve">(option 3) </w:t>
      </w:r>
      <w:r w:rsidR="00A21FE6" w:rsidRPr="002E059C">
        <w:t xml:space="preserve">is expected to fully accommodate </w:t>
      </w:r>
      <w:r w:rsidRPr="002E059C">
        <w:t xml:space="preserve">new </w:t>
      </w:r>
      <w:r w:rsidR="00AD4DB9">
        <w:t xml:space="preserve">localised </w:t>
      </w:r>
      <w:r w:rsidRPr="002E059C">
        <w:t>WBB use cases.</w:t>
      </w:r>
    </w:p>
    <w:p w14:paraId="1A8D5C87" w14:textId="78466167" w:rsidR="00564876" w:rsidRDefault="008C350F">
      <w:pPr>
        <w:spacing w:after="160" w:line="259" w:lineRule="auto"/>
        <w:rPr>
          <w:highlight w:val="yellow"/>
        </w:rPr>
      </w:pPr>
      <w:r w:rsidRPr="002E059C">
        <w:t xml:space="preserve">Stakeholders </w:t>
      </w:r>
      <w:r w:rsidR="000E7A5D" w:rsidRPr="002E059C">
        <w:t xml:space="preserve">have been instrumental in </w:t>
      </w:r>
      <w:r w:rsidR="00AD4DB9">
        <w:t xml:space="preserve">informing </w:t>
      </w:r>
      <w:r w:rsidR="000E7A5D" w:rsidRPr="002E059C">
        <w:t>regulatory proposals</w:t>
      </w:r>
      <w:r w:rsidR="0006336F">
        <w:t>.</w:t>
      </w:r>
      <w:r w:rsidR="00AF3C13" w:rsidRPr="002E059C">
        <w:t xml:space="preserve"> </w:t>
      </w:r>
      <w:r w:rsidR="00792471">
        <w:t>S</w:t>
      </w:r>
      <w:r w:rsidR="00AF3C13" w:rsidRPr="002E059C">
        <w:t xml:space="preserve">takeholders </w:t>
      </w:r>
      <w:r w:rsidR="00B107B1">
        <w:t>were</w:t>
      </w:r>
      <w:r w:rsidR="00C6486F">
        <w:t xml:space="preserve"> </w:t>
      </w:r>
      <w:r w:rsidR="00AF3C13" w:rsidRPr="002E059C">
        <w:t>broadly supportive of the</w:t>
      </w:r>
      <w:r w:rsidR="00733BE8">
        <w:t xml:space="preserve"> AWL</w:t>
      </w:r>
      <w:r w:rsidR="00AF3C13" w:rsidRPr="002E059C">
        <w:t xml:space="preserve"> proposals and </w:t>
      </w:r>
      <w:r w:rsidR="000541B0" w:rsidRPr="002E059C">
        <w:t xml:space="preserve">have provided further input </w:t>
      </w:r>
      <w:r w:rsidR="000E7A5D" w:rsidRPr="002E059C">
        <w:t xml:space="preserve">in the </w:t>
      </w:r>
      <w:r w:rsidR="00C60B9D" w:rsidRPr="002E059C">
        <w:t xml:space="preserve">latest consultation </w:t>
      </w:r>
      <w:r w:rsidR="000541B0" w:rsidRPr="002E059C">
        <w:t>to help refine the</w:t>
      </w:r>
      <w:r w:rsidR="00733BE8" w:rsidRPr="002E059C">
        <w:t>m</w:t>
      </w:r>
      <w:r w:rsidR="000541B0" w:rsidRPr="002E059C">
        <w:t xml:space="preserve">. </w:t>
      </w:r>
      <w:r w:rsidR="00564876">
        <w:rPr>
          <w:highlight w:val="yellow"/>
        </w:rPr>
        <w:br w:type="page"/>
      </w:r>
    </w:p>
    <w:p w14:paraId="2BAE7F9A" w14:textId="23859195" w:rsidR="00564876" w:rsidRDefault="00AB1C88" w:rsidP="00564876">
      <w:pPr>
        <w:pStyle w:val="Heading1"/>
      </w:pPr>
      <w:bookmarkStart w:id="64" w:name="_Toc137640985"/>
      <w:r>
        <w:t xml:space="preserve">7. </w:t>
      </w:r>
      <w:r w:rsidR="00564876">
        <w:t xml:space="preserve">How will you </w:t>
      </w:r>
      <w:r w:rsidR="00652E3B">
        <w:t xml:space="preserve">implement and </w:t>
      </w:r>
      <w:r w:rsidR="00564876">
        <w:t>evaluate your chosen option?</w:t>
      </w:r>
      <w:bookmarkEnd w:id="64"/>
      <w:r w:rsidR="00564876" w:rsidRPr="0042214D">
        <w:t xml:space="preserve"> </w:t>
      </w:r>
    </w:p>
    <w:p w14:paraId="033BD876" w14:textId="700824AF" w:rsidR="0044050F" w:rsidRPr="00912A0E" w:rsidRDefault="0044050F" w:rsidP="005673E5">
      <w:r w:rsidRPr="00976965">
        <w:rPr>
          <w:rFonts w:cs="Arial"/>
          <w:bCs/>
          <w:color w:val="000000"/>
          <w:szCs w:val="20"/>
        </w:rPr>
        <w:t xml:space="preserve">The ACMA intends to </w:t>
      </w:r>
      <w:r>
        <w:rPr>
          <w:rFonts w:cs="Arial"/>
          <w:bCs/>
          <w:color w:val="000000"/>
          <w:szCs w:val="20"/>
        </w:rPr>
        <w:t xml:space="preserve">commence the process for </w:t>
      </w:r>
      <w:r w:rsidRPr="00976965">
        <w:rPr>
          <w:rFonts w:cs="Arial"/>
          <w:bCs/>
          <w:color w:val="000000"/>
          <w:szCs w:val="20"/>
        </w:rPr>
        <w:t>allocat</w:t>
      </w:r>
      <w:r>
        <w:rPr>
          <w:rFonts w:cs="Arial"/>
          <w:bCs/>
          <w:color w:val="000000"/>
          <w:szCs w:val="20"/>
        </w:rPr>
        <w:t>ing</w:t>
      </w:r>
      <w:r w:rsidRPr="00976965">
        <w:rPr>
          <w:rFonts w:cs="Arial"/>
          <w:bCs/>
          <w:color w:val="000000"/>
          <w:szCs w:val="20"/>
        </w:rPr>
        <w:t xml:space="preserve"> these AWL licences in remote areas of this band </w:t>
      </w:r>
      <w:r w:rsidR="00830939">
        <w:rPr>
          <w:rFonts w:cs="Arial"/>
          <w:bCs/>
          <w:color w:val="000000"/>
          <w:szCs w:val="20"/>
        </w:rPr>
        <w:t xml:space="preserve">in </w:t>
      </w:r>
      <w:r w:rsidRPr="00407B24">
        <w:rPr>
          <w:rFonts w:cs="Arial"/>
          <w:color w:val="000000"/>
          <w:szCs w:val="20"/>
        </w:rPr>
        <w:t>Q</w:t>
      </w:r>
      <w:r w:rsidR="00830939">
        <w:rPr>
          <w:rFonts w:cs="Arial"/>
          <w:color w:val="000000"/>
          <w:szCs w:val="20"/>
        </w:rPr>
        <w:t>2</w:t>
      </w:r>
      <w:r w:rsidRPr="00407B24">
        <w:rPr>
          <w:rFonts w:cs="Arial"/>
          <w:color w:val="000000"/>
          <w:szCs w:val="20"/>
        </w:rPr>
        <w:t xml:space="preserve"> of </w:t>
      </w:r>
      <w:r w:rsidR="00830939" w:rsidRPr="00407B24">
        <w:rPr>
          <w:rFonts w:cs="Arial"/>
          <w:color w:val="000000"/>
          <w:szCs w:val="20"/>
        </w:rPr>
        <w:t>202</w:t>
      </w:r>
      <w:r w:rsidR="00830939">
        <w:rPr>
          <w:rFonts w:cs="Arial"/>
          <w:color w:val="000000"/>
          <w:szCs w:val="20"/>
        </w:rPr>
        <w:t>3</w:t>
      </w:r>
      <w:r w:rsidR="00830939" w:rsidRPr="00407B24">
        <w:rPr>
          <w:rFonts w:cs="Arial"/>
          <w:color w:val="000000"/>
          <w:szCs w:val="20"/>
        </w:rPr>
        <w:t xml:space="preserve"> </w:t>
      </w:r>
      <w:r w:rsidR="00134DE0" w:rsidRPr="00407B24">
        <w:rPr>
          <w:rFonts w:cs="Arial"/>
          <w:color w:val="000000"/>
          <w:szCs w:val="20"/>
        </w:rPr>
        <w:t xml:space="preserve">(subject to the ACMA resolving </w:t>
      </w:r>
      <w:r w:rsidR="00B107B1">
        <w:rPr>
          <w:rFonts w:cs="Arial"/>
          <w:color w:val="000000"/>
          <w:szCs w:val="20"/>
        </w:rPr>
        <w:t>technical framework</w:t>
      </w:r>
      <w:r w:rsidR="00FF58EB">
        <w:rPr>
          <w:rFonts w:cs="Arial"/>
          <w:color w:val="000000"/>
          <w:szCs w:val="20"/>
        </w:rPr>
        <w:t>s</w:t>
      </w:r>
      <w:r w:rsidR="00F23128">
        <w:rPr>
          <w:rFonts w:cs="Arial"/>
          <w:color w:val="000000"/>
          <w:szCs w:val="20"/>
        </w:rPr>
        <w:t xml:space="preserve"> </w:t>
      </w:r>
      <w:r w:rsidR="005072B5">
        <w:rPr>
          <w:rFonts w:cs="Arial"/>
          <w:color w:val="000000"/>
          <w:szCs w:val="20"/>
        </w:rPr>
        <w:t xml:space="preserve">and radio altimeter concerns </w:t>
      </w:r>
      <w:r w:rsidR="00DB4439" w:rsidRPr="00407B24">
        <w:t xml:space="preserve">by </w:t>
      </w:r>
      <w:r w:rsidR="00352FDB" w:rsidRPr="00407B24">
        <w:t>making/</w:t>
      </w:r>
      <w:r w:rsidR="00DB4439" w:rsidRPr="00407B24">
        <w:t xml:space="preserve">amending the </w:t>
      </w:r>
      <w:r w:rsidR="00352FDB" w:rsidRPr="00407B24">
        <w:t>legislative instruments</w:t>
      </w:r>
      <w:r w:rsidR="0019097A">
        <w:t>,</w:t>
      </w:r>
      <w:r w:rsidR="0019097A" w:rsidRPr="0019097A">
        <w:t xml:space="preserve"> </w:t>
      </w:r>
      <w:r w:rsidR="0019097A">
        <w:t xml:space="preserve">and registering them with the </w:t>
      </w:r>
      <w:hyperlink r:id="rId56" w:history="1">
        <w:r w:rsidR="0019097A" w:rsidRPr="00E418C8">
          <w:rPr>
            <w:rStyle w:val="Hyperlink"/>
          </w:rPr>
          <w:t>Federal Register of Legislation</w:t>
        </w:r>
      </w:hyperlink>
      <w:r w:rsidR="008F5C4D">
        <w:rPr>
          <w:rStyle w:val="Hyperlink"/>
        </w:rPr>
        <w:t>)</w:t>
      </w:r>
      <w:r w:rsidR="00DB4439">
        <w:t xml:space="preserve">. Shortly after the ACMA will also </w:t>
      </w:r>
      <w:r>
        <w:rPr>
          <w:rFonts w:cs="Arial"/>
          <w:bCs/>
          <w:color w:val="000000"/>
          <w:szCs w:val="20"/>
        </w:rPr>
        <w:t xml:space="preserve">publish the Applicant Information Package with all the details of the allocation at least </w:t>
      </w:r>
      <w:r w:rsidR="00733D9C">
        <w:rPr>
          <w:rFonts w:cs="Arial"/>
          <w:bCs/>
          <w:color w:val="000000"/>
          <w:szCs w:val="20"/>
        </w:rPr>
        <w:t xml:space="preserve">4 </w:t>
      </w:r>
      <w:r>
        <w:rPr>
          <w:rFonts w:cs="Arial"/>
          <w:bCs/>
          <w:color w:val="000000"/>
          <w:szCs w:val="20"/>
        </w:rPr>
        <w:t>weeks prior to the commencement of the allocation process</w:t>
      </w:r>
      <w:r w:rsidR="00AD12AA">
        <w:rPr>
          <w:rFonts w:cs="Arial"/>
          <w:bCs/>
          <w:color w:val="000000"/>
          <w:szCs w:val="20"/>
        </w:rPr>
        <w:t>, and invite applications for AWL</w:t>
      </w:r>
      <w:r w:rsidRPr="00976965">
        <w:rPr>
          <w:rFonts w:cs="Arial"/>
          <w:bCs/>
          <w:color w:val="000000"/>
          <w:szCs w:val="20"/>
        </w:rPr>
        <w:t>.</w:t>
      </w:r>
    </w:p>
    <w:p w14:paraId="3AA358C7" w14:textId="5D0DE2FA" w:rsidR="00BA6E0D" w:rsidRDefault="00BA6E0D" w:rsidP="00BA6E0D">
      <w:r>
        <w:t xml:space="preserve">The ACMA will monitor </w:t>
      </w:r>
      <w:r w:rsidR="00CD000C">
        <w:t>and evaluate</w:t>
      </w:r>
      <w:r>
        <w:t xml:space="preserve"> the impact</w:t>
      </w:r>
      <w:r w:rsidR="00D676EA">
        <w:t xml:space="preserve">s and efficacy </w:t>
      </w:r>
      <w:r>
        <w:t>of this decision through:</w:t>
      </w:r>
    </w:p>
    <w:p w14:paraId="2791A914" w14:textId="347D391F" w:rsidR="00BA6E0D" w:rsidRDefault="00715E80" w:rsidP="00BA6E0D">
      <w:pPr>
        <w:pStyle w:val="Bulletlevel1"/>
      </w:pPr>
      <w:r>
        <w:t>l</w:t>
      </w:r>
      <w:r w:rsidR="005A39B9">
        <w:t xml:space="preserve">evels of </w:t>
      </w:r>
      <w:r w:rsidR="00BA6E0D">
        <w:t xml:space="preserve">participation in the initial AWL allocation / </w:t>
      </w:r>
      <w:r w:rsidR="00967EDC">
        <w:t>n</w:t>
      </w:r>
      <w:r w:rsidR="00BA6E0D">
        <w:t>umber of AWLs allocated.</w:t>
      </w:r>
    </w:p>
    <w:p w14:paraId="52AA2E96" w14:textId="42C9DA3F" w:rsidR="005A7A73" w:rsidRDefault="005A7A73" w:rsidP="005A7A73">
      <w:pPr>
        <w:pStyle w:val="Bulletlevel1"/>
      </w:pPr>
      <w:r>
        <w:t xml:space="preserve">successful coexistence of AWLs with incumbents / low or no interference complaints. For example, </w:t>
      </w:r>
      <w:r w:rsidR="004D2DA6">
        <w:t xml:space="preserve">has there been any evidence of </w:t>
      </w:r>
      <w:r w:rsidR="00FA07A6">
        <w:t>interference with the airline industry in the nearby &gt;4</w:t>
      </w:r>
      <w:r w:rsidR="002D0FED">
        <w:t>.</w:t>
      </w:r>
      <w:r w:rsidR="00FA07A6">
        <w:t xml:space="preserve">2 </w:t>
      </w:r>
      <w:r w:rsidR="002D0FED">
        <w:t>G</w:t>
      </w:r>
      <w:r w:rsidR="00FA07A6">
        <w:t xml:space="preserve">Hz band. </w:t>
      </w:r>
      <w:r>
        <w:t xml:space="preserve"> </w:t>
      </w:r>
    </w:p>
    <w:p w14:paraId="454F38E3" w14:textId="472E0452" w:rsidR="00D67A6A" w:rsidRDefault="00D634E1" w:rsidP="00BA6E0D">
      <w:pPr>
        <w:pStyle w:val="Bulletlevel1"/>
      </w:pPr>
      <w:r>
        <w:t>d</w:t>
      </w:r>
      <w:r w:rsidR="00BA6E0D">
        <w:t xml:space="preserve">emand/requests for AWLs elsewhere (e.g. in regional/urban areas) </w:t>
      </w:r>
    </w:p>
    <w:p w14:paraId="0109EDC6" w14:textId="77777777" w:rsidR="005A7A73" w:rsidRDefault="005A7A73" w:rsidP="005A7A73">
      <w:pPr>
        <w:pStyle w:val="Bulletlevel1"/>
      </w:pPr>
      <w:r>
        <w:t xml:space="preserve">any suggestions for improvements to the AWL framework. </w:t>
      </w:r>
    </w:p>
    <w:p w14:paraId="0FACB279" w14:textId="1D10DE80" w:rsidR="005A7A73" w:rsidRDefault="005A7A73" w:rsidP="005A7A73">
      <w:pPr>
        <w:pStyle w:val="Bulletlevel1"/>
      </w:pPr>
      <w:r>
        <w:t>any other feedback from licensees.</w:t>
      </w:r>
    </w:p>
    <w:p w14:paraId="01FC82F7" w14:textId="4451A46A" w:rsidR="00BA6E0D" w:rsidRPr="002E059C" w:rsidRDefault="00967EDC" w:rsidP="00BA6E0D">
      <w:pPr>
        <w:pStyle w:val="Bulletlevel1last"/>
        <w:numPr>
          <w:ilvl w:val="0"/>
          <w:numId w:val="0"/>
        </w:numPr>
      </w:pPr>
      <w:r w:rsidRPr="002E059C">
        <w:t xml:space="preserve">This information will inform our future ideas and plans for AWLs in other bands and other </w:t>
      </w:r>
      <w:r w:rsidR="004C5E13" w:rsidRPr="002E059C">
        <w:t xml:space="preserve">areas of Australia. </w:t>
      </w:r>
    </w:p>
    <w:p w14:paraId="6D80473B" w14:textId="5917FA37" w:rsidR="00D64974" w:rsidRPr="002E059C" w:rsidRDefault="00D64974" w:rsidP="00D64974">
      <w:pPr>
        <w:pStyle w:val="Bulletlevel1last"/>
        <w:numPr>
          <w:ilvl w:val="0"/>
          <w:numId w:val="0"/>
        </w:numPr>
      </w:pPr>
      <w:r>
        <w:t xml:space="preserve">The ACMA’s work relating to the AWLs in remote areas in this band is detailed in the </w:t>
      </w:r>
      <w:hyperlink r:id="rId57" w:history="1">
        <w:r>
          <w:rPr>
            <w:rStyle w:val="Hyperlink"/>
          </w:rPr>
          <w:t>Five-year spectrum outlook 2022–27 | ACMA</w:t>
        </w:r>
      </w:hyperlink>
      <w:r>
        <w:t>, and we will evaluate this work in our regular progress reports.</w:t>
      </w:r>
      <w:r>
        <w:rPr>
          <w:rStyle w:val="FootnoteReference"/>
        </w:rPr>
        <w:footnoteReference w:id="21"/>
      </w:r>
      <w:r>
        <w:t xml:space="preserve"> </w:t>
      </w:r>
      <w:r w:rsidR="00742EF1">
        <w:t>We consult s</w:t>
      </w:r>
      <w:r>
        <w:t>takeholders when we publish our FYSO evaluations.</w:t>
      </w:r>
    </w:p>
    <w:p w14:paraId="02FA008A" w14:textId="1487755F" w:rsidR="00F87164" w:rsidRPr="002E059C" w:rsidRDefault="00F87164">
      <w:pPr>
        <w:spacing w:after="160" w:line="259" w:lineRule="auto"/>
      </w:pPr>
      <w:r w:rsidRPr="002E059C">
        <w:br w:type="page"/>
      </w:r>
    </w:p>
    <w:p w14:paraId="644E0DCE" w14:textId="77777777" w:rsidR="005F22D7" w:rsidRDefault="005F22D7" w:rsidP="00F87164">
      <w:pPr>
        <w:pStyle w:val="Heading1"/>
        <w:sectPr w:rsidR="005F22D7" w:rsidSect="00DF4F2E">
          <w:headerReference w:type="even" r:id="rId58"/>
          <w:headerReference w:type="default" r:id="rId59"/>
          <w:footerReference w:type="even" r:id="rId60"/>
          <w:footerReference w:type="default" r:id="rId61"/>
          <w:pgSz w:w="11906" w:h="16838" w:code="9"/>
          <w:pgMar w:top="1945" w:right="3101" w:bottom="1134" w:left="1134" w:header="709" w:footer="119" w:gutter="0"/>
          <w:pgNumType w:start="1"/>
          <w:cols w:space="708"/>
          <w:docGrid w:linePitch="360"/>
        </w:sectPr>
      </w:pPr>
    </w:p>
    <w:p w14:paraId="6332C3CE" w14:textId="40A71143" w:rsidR="00CC30F7" w:rsidRDefault="00F87164" w:rsidP="00F87164">
      <w:pPr>
        <w:pStyle w:val="Heading1"/>
      </w:pPr>
      <w:bookmarkStart w:id="65" w:name="_Ref117256380"/>
      <w:bookmarkStart w:id="66" w:name="_Toc137640986"/>
      <w:r w:rsidRPr="00F87164">
        <w:t>Appendix A – Estimated Cost and Benefits</w:t>
      </w:r>
      <w:bookmarkEnd w:id="65"/>
      <w:bookmarkEnd w:id="66"/>
    </w:p>
    <w:p w14:paraId="050F2C78" w14:textId="50409338" w:rsidR="00D765A7" w:rsidRDefault="00D765A7" w:rsidP="0046746A">
      <w:pPr>
        <w:pStyle w:val="Heading2"/>
      </w:pPr>
      <w:bookmarkStart w:id="67" w:name="_Toc137640987"/>
      <w:r>
        <w:t>Option 1</w:t>
      </w:r>
      <w:r w:rsidR="009C0E11">
        <w:t xml:space="preserve"> - </w:t>
      </w:r>
      <w:r>
        <w:t xml:space="preserve">facilitate </w:t>
      </w:r>
      <w:r w:rsidR="00EA343F">
        <w:t xml:space="preserve">LA </w:t>
      </w:r>
      <w:r>
        <w:t>WBB via currently existing licence types (status quo)</w:t>
      </w:r>
      <w:bookmarkEnd w:id="67"/>
    </w:p>
    <w:p w14:paraId="565A96FB" w14:textId="23237519" w:rsidR="0046746A" w:rsidRPr="002F46B3" w:rsidRDefault="0046746A" w:rsidP="00F87164">
      <w:pPr>
        <w:rPr>
          <w:rFonts w:cs="Arial"/>
        </w:rPr>
      </w:pPr>
      <w:r w:rsidRPr="00C96BC5">
        <w:rPr>
          <w:rFonts w:cs="Arial"/>
        </w:rPr>
        <w:t xml:space="preserve">Option 1 is expected to </w:t>
      </w:r>
      <w:r w:rsidR="0009002C" w:rsidRPr="00D43D23">
        <w:rPr>
          <w:rFonts w:cs="Arial"/>
        </w:rPr>
        <w:t xml:space="preserve">yield an </w:t>
      </w:r>
      <w:r w:rsidRPr="00C21822">
        <w:rPr>
          <w:rFonts w:cs="Arial"/>
        </w:rPr>
        <w:t>economic dead weigh</w:t>
      </w:r>
      <w:r w:rsidR="00BB1C15" w:rsidRPr="002110BA">
        <w:rPr>
          <w:rFonts w:cs="Arial"/>
        </w:rPr>
        <w:t>t</w:t>
      </w:r>
      <w:r w:rsidRPr="00AE2ACB">
        <w:rPr>
          <w:rFonts w:cs="Arial"/>
        </w:rPr>
        <w:t xml:space="preserve"> </w:t>
      </w:r>
      <w:r w:rsidR="00BB1C15" w:rsidRPr="00C6486F">
        <w:rPr>
          <w:rFonts w:cs="Arial"/>
        </w:rPr>
        <w:t>l</w:t>
      </w:r>
      <w:r w:rsidRPr="00C6486F">
        <w:rPr>
          <w:rFonts w:cs="Arial"/>
        </w:rPr>
        <w:t xml:space="preserve">oss (DWL) or foregone benefit from nascent </w:t>
      </w:r>
      <w:r w:rsidRPr="002F46B3">
        <w:rPr>
          <w:rFonts w:cs="Arial"/>
        </w:rPr>
        <w:t>demand for spectrum in the band for the purposes of rolling out LA WBB</w:t>
      </w:r>
      <w:r w:rsidR="00CF44D2" w:rsidRPr="002F46B3">
        <w:rPr>
          <w:rFonts w:cs="Arial"/>
        </w:rPr>
        <w:t>. This is due to current PMP and PMTS licences being relatively less suited to these use cases.</w:t>
      </w:r>
    </w:p>
    <w:p w14:paraId="47ABD871" w14:textId="2E64B8C9" w:rsidR="00800043" w:rsidRPr="002F46B3" w:rsidRDefault="00800043" w:rsidP="00800043">
      <w:pPr>
        <w:pStyle w:val="Caption"/>
        <w:rPr>
          <w:rFonts w:cs="Arial"/>
        </w:rPr>
      </w:pPr>
      <w:r w:rsidRPr="002F46B3">
        <w:rPr>
          <w:rFonts w:cs="Arial"/>
        </w:rPr>
        <w:t>Assumptions for determining dead weight loss</w:t>
      </w:r>
    </w:p>
    <w:tbl>
      <w:tblPr>
        <w:tblW w:w="14029" w:type="dxa"/>
        <w:tblLook w:val="04A0" w:firstRow="1" w:lastRow="0" w:firstColumn="1" w:lastColumn="0" w:noHBand="0" w:noVBand="1"/>
      </w:tblPr>
      <w:tblGrid>
        <w:gridCol w:w="4390"/>
        <w:gridCol w:w="2187"/>
        <w:gridCol w:w="7452"/>
      </w:tblGrid>
      <w:tr w:rsidR="00474C1B" w:rsidRPr="00C96BC5" w14:paraId="435C1C79" w14:textId="77777777" w:rsidTr="003B6316">
        <w:trPr>
          <w:trHeight w:val="29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58D3" w14:textId="77777777" w:rsidR="00474C1B" w:rsidRPr="002F46B3" w:rsidRDefault="00474C1B" w:rsidP="00474C1B">
            <w:pPr>
              <w:spacing w:after="0" w:line="240" w:lineRule="auto"/>
              <w:rPr>
                <w:rFonts w:cs="Arial"/>
                <w:b/>
                <w:bCs/>
                <w:color w:val="000000"/>
                <w:sz w:val="22"/>
                <w:szCs w:val="22"/>
              </w:rPr>
            </w:pPr>
            <w:r w:rsidRPr="002F46B3">
              <w:rPr>
                <w:rFonts w:cs="Arial"/>
                <w:b/>
                <w:bCs/>
                <w:color w:val="000000"/>
                <w:sz w:val="22"/>
                <w:szCs w:val="22"/>
              </w:rPr>
              <w:t>Mode assumptions</w:t>
            </w:r>
          </w:p>
        </w:tc>
        <w:tc>
          <w:tcPr>
            <w:tcW w:w="2187" w:type="dxa"/>
            <w:tcBorders>
              <w:top w:val="single" w:sz="4" w:space="0" w:color="auto"/>
              <w:left w:val="nil"/>
              <w:bottom w:val="single" w:sz="4" w:space="0" w:color="auto"/>
              <w:right w:val="single" w:sz="4" w:space="0" w:color="auto"/>
            </w:tcBorders>
            <w:shd w:val="clear" w:color="auto" w:fill="auto"/>
            <w:noWrap/>
            <w:vAlign w:val="bottom"/>
            <w:hideMark/>
          </w:tcPr>
          <w:p w14:paraId="7A7E8E3C" w14:textId="77777777" w:rsidR="00474C1B" w:rsidRPr="002F46B3" w:rsidRDefault="00474C1B" w:rsidP="00474C1B">
            <w:pPr>
              <w:spacing w:after="0" w:line="240" w:lineRule="auto"/>
              <w:rPr>
                <w:rFonts w:cs="Arial"/>
                <w:b/>
                <w:bCs/>
                <w:color w:val="000000"/>
                <w:sz w:val="22"/>
                <w:szCs w:val="22"/>
              </w:rPr>
            </w:pPr>
            <w:r w:rsidRPr="002F46B3">
              <w:rPr>
                <w:rFonts w:cs="Arial"/>
                <w:b/>
                <w:bCs/>
                <w:color w:val="000000"/>
                <w:sz w:val="22"/>
                <w:szCs w:val="22"/>
              </w:rPr>
              <w:t>Value</w:t>
            </w:r>
          </w:p>
        </w:tc>
        <w:tc>
          <w:tcPr>
            <w:tcW w:w="7452" w:type="dxa"/>
            <w:tcBorders>
              <w:top w:val="single" w:sz="4" w:space="0" w:color="auto"/>
              <w:left w:val="nil"/>
              <w:bottom w:val="single" w:sz="4" w:space="0" w:color="auto"/>
              <w:right w:val="single" w:sz="4" w:space="0" w:color="auto"/>
            </w:tcBorders>
            <w:shd w:val="clear" w:color="auto" w:fill="auto"/>
            <w:noWrap/>
            <w:vAlign w:val="bottom"/>
            <w:hideMark/>
          </w:tcPr>
          <w:p w14:paraId="6423901A" w14:textId="77777777" w:rsidR="00474C1B" w:rsidRPr="002F46B3" w:rsidRDefault="00474C1B" w:rsidP="00474C1B">
            <w:pPr>
              <w:spacing w:after="0" w:line="240" w:lineRule="auto"/>
              <w:rPr>
                <w:rFonts w:cs="Arial"/>
                <w:b/>
                <w:bCs/>
                <w:color w:val="000000"/>
                <w:sz w:val="22"/>
                <w:szCs w:val="22"/>
              </w:rPr>
            </w:pPr>
            <w:r w:rsidRPr="002F46B3">
              <w:rPr>
                <w:rFonts w:cs="Arial"/>
                <w:b/>
                <w:bCs/>
                <w:color w:val="000000"/>
                <w:sz w:val="22"/>
                <w:szCs w:val="22"/>
              </w:rPr>
              <w:t>Notes</w:t>
            </w:r>
          </w:p>
        </w:tc>
      </w:tr>
      <w:tr w:rsidR="00474C1B" w:rsidRPr="00C96BC5" w14:paraId="1CD7393E" w14:textId="77777777" w:rsidTr="003B6316">
        <w:trPr>
          <w:trHeight w:val="29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FBD1E6E" w14:textId="7888038E" w:rsidR="00474C1B" w:rsidRPr="008156C0" w:rsidRDefault="00474C1B" w:rsidP="00474C1B">
            <w:pPr>
              <w:spacing w:after="0" w:line="240" w:lineRule="auto"/>
              <w:rPr>
                <w:rFonts w:cs="Arial"/>
                <w:color w:val="000000"/>
                <w:szCs w:val="20"/>
              </w:rPr>
            </w:pPr>
            <w:r w:rsidRPr="008156C0">
              <w:rPr>
                <w:rFonts w:cs="Arial"/>
                <w:color w:val="000000"/>
                <w:szCs w:val="20"/>
              </w:rPr>
              <w:t>average bandwidth</w:t>
            </w:r>
          </w:p>
        </w:tc>
        <w:tc>
          <w:tcPr>
            <w:tcW w:w="2187" w:type="dxa"/>
            <w:tcBorders>
              <w:top w:val="nil"/>
              <w:left w:val="nil"/>
              <w:bottom w:val="single" w:sz="4" w:space="0" w:color="auto"/>
              <w:right w:val="single" w:sz="4" w:space="0" w:color="auto"/>
            </w:tcBorders>
            <w:shd w:val="clear" w:color="auto" w:fill="auto"/>
            <w:noWrap/>
            <w:vAlign w:val="bottom"/>
            <w:hideMark/>
          </w:tcPr>
          <w:p w14:paraId="55453EF2" w14:textId="77777777" w:rsidR="00474C1B" w:rsidRPr="008156C0" w:rsidRDefault="00474C1B" w:rsidP="007557AA">
            <w:pPr>
              <w:spacing w:after="0" w:line="240" w:lineRule="auto"/>
              <w:jc w:val="center"/>
              <w:rPr>
                <w:rFonts w:cs="Arial"/>
                <w:color w:val="000000"/>
                <w:szCs w:val="20"/>
              </w:rPr>
            </w:pPr>
            <w:r w:rsidRPr="008156C0">
              <w:rPr>
                <w:rFonts w:cs="Arial"/>
                <w:color w:val="000000"/>
                <w:szCs w:val="20"/>
              </w:rPr>
              <w:t>100 MHz</w:t>
            </w:r>
          </w:p>
        </w:tc>
        <w:tc>
          <w:tcPr>
            <w:tcW w:w="7452" w:type="dxa"/>
            <w:tcBorders>
              <w:top w:val="nil"/>
              <w:left w:val="nil"/>
              <w:bottom w:val="single" w:sz="4" w:space="0" w:color="auto"/>
              <w:right w:val="single" w:sz="4" w:space="0" w:color="auto"/>
            </w:tcBorders>
            <w:shd w:val="clear" w:color="auto" w:fill="auto"/>
            <w:noWrap/>
            <w:vAlign w:val="bottom"/>
            <w:hideMark/>
          </w:tcPr>
          <w:p w14:paraId="5C8CB3B6" w14:textId="77777777" w:rsidR="00474C1B" w:rsidRPr="008156C0" w:rsidRDefault="00474C1B" w:rsidP="00474C1B">
            <w:pPr>
              <w:spacing w:after="0" w:line="240" w:lineRule="auto"/>
              <w:rPr>
                <w:rFonts w:cs="Arial"/>
                <w:color w:val="000000"/>
                <w:szCs w:val="20"/>
              </w:rPr>
            </w:pPr>
            <w:r w:rsidRPr="008156C0">
              <w:rPr>
                <w:rFonts w:cs="Arial"/>
                <w:color w:val="000000"/>
                <w:szCs w:val="20"/>
              </w:rPr>
              <w:t> </w:t>
            </w:r>
          </w:p>
        </w:tc>
      </w:tr>
      <w:tr w:rsidR="00474C1B" w:rsidRPr="00C96BC5" w14:paraId="5F14F5C0" w14:textId="77777777" w:rsidTr="003B6316">
        <w:trPr>
          <w:trHeight w:val="29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7BBB720" w14:textId="77777777" w:rsidR="00474C1B" w:rsidRPr="008156C0" w:rsidRDefault="00474C1B" w:rsidP="00474C1B">
            <w:pPr>
              <w:spacing w:after="0" w:line="240" w:lineRule="auto"/>
              <w:rPr>
                <w:rFonts w:cs="Arial"/>
                <w:color w:val="000000"/>
                <w:szCs w:val="20"/>
              </w:rPr>
            </w:pPr>
            <w:r w:rsidRPr="008156C0">
              <w:rPr>
                <w:rFonts w:cs="Arial"/>
                <w:color w:val="000000"/>
                <w:szCs w:val="20"/>
              </w:rPr>
              <w:t>value of average licence</w:t>
            </w:r>
          </w:p>
        </w:tc>
        <w:tc>
          <w:tcPr>
            <w:tcW w:w="2187" w:type="dxa"/>
            <w:tcBorders>
              <w:top w:val="nil"/>
              <w:left w:val="nil"/>
              <w:bottom w:val="single" w:sz="4" w:space="0" w:color="auto"/>
              <w:right w:val="single" w:sz="4" w:space="0" w:color="auto"/>
            </w:tcBorders>
            <w:shd w:val="clear" w:color="auto" w:fill="auto"/>
            <w:noWrap/>
            <w:vAlign w:val="bottom"/>
            <w:hideMark/>
          </w:tcPr>
          <w:p w14:paraId="476CF18F" w14:textId="168D9D13" w:rsidR="00474C1B" w:rsidRPr="008156C0" w:rsidRDefault="00474C1B" w:rsidP="007557AA">
            <w:pPr>
              <w:spacing w:after="0" w:line="240" w:lineRule="auto"/>
              <w:jc w:val="center"/>
              <w:rPr>
                <w:rFonts w:cs="Arial"/>
                <w:color w:val="000000"/>
                <w:szCs w:val="20"/>
              </w:rPr>
            </w:pPr>
            <w:r w:rsidRPr="008156C0">
              <w:rPr>
                <w:rFonts w:cs="Arial"/>
                <w:color w:val="000000"/>
                <w:szCs w:val="20"/>
              </w:rPr>
              <w:t>$7,500</w:t>
            </w:r>
          </w:p>
        </w:tc>
        <w:tc>
          <w:tcPr>
            <w:tcW w:w="7452" w:type="dxa"/>
            <w:tcBorders>
              <w:top w:val="nil"/>
              <w:left w:val="nil"/>
              <w:bottom w:val="single" w:sz="4" w:space="0" w:color="auto"/>
              <w:right w:val="single" w:sz="4" w:space="0" w:color="auto"/>
            </w:tcBorders>
            <w:shd w:val="clear" w:color="auto" w:fill="auto"/>
            <w:noWrap/>
            <w:vAlign w:val="bottom"/>
            <w:hideMark/>
          </w:tcPr>
          <w:p w14:paraId="397BD7DC" w14:textId="4CE87A85" w:rsidR="00474C1B" w:rsidRPr="008156C0" w:rsidRDefault="00683272" w:rsidP="00AD0CAA">
            <w:pPr>
              <w:spacing w:after="0" w:line="240" w:lineRule="auto"/>
              <w:rPr>
                <w:rFonts w:cs="Arial"/>
                <w:color w:val="000000"/>
                <w:szCs w:val="20"/>
              </w:rPr>
            </w:pPr>
            <w:r w:rsidRPr="008156C0">
              <w:rPr>
                <w:rFonts w:cs="Arial"/>
                <w:color w:val="000000"/>
                <w:szCs w:val="20"/>
              </w:rPr>
              <w:t xml:space="preserve">This figure draws on </w:t>
            </w:r>
            <w:r w:rsidR="003B6316" w:rsidRPr="008156C0">
              <w:rPr>
                <w:rFonts w:cs="Arial"/>
                <w:color w:val="000000"/>
                <w:szCs w:val="20"/>
              </w:rPr>
              <w:t xml:space="preserve">examples in the pricing section of the consultation paper. </w:t>
            </w:r>
            <w:r w:rsidR="007B244D" w:rsidRPr="008156C0">
              <w:rPr>
                <w:rFonts w:cs="Arial"/>
                <w:color w:val="000000"/>
                <w:szCs w:val="20"/>
              </w:rPr>
              <w:t xml:space="preserve">We </w:t>
            </w:r>
            <w:r w:rsidR="00AD0CAA" w:rsidRPr="008156C0">
              <w:rPr>
                <w:rFonts w:cs="Arial"/>
                <w:color w:val="000000"/>
                <w:szCs w:val="20"/>
              </w:rPr>
              <w:t xml:space="preserve">use </w:t>
            </w:r>
            <w:r w:rsidRPr="008156C0">
              <w:rPr>
                <w:rFonts w:cs="Arial"/>
                <w:color w:val="000000"/>
                <w:szCs w:val="20"/>
              </w:rPr>
              <w:t xml:space="preserve">$1500 as a mid-point between </w:t>
            </w:r>
            <w:r w:rsidR="00AD0CAA" w:rsidRPr="008156C0">
              <w:rPr>
                <w:rFonts w:cs="Arial"/>
                <w:color w:val="000000"/>
                <w:szCs w:val="20"/>
              </w:rPr>
              <w:t xml:space="preserve">the </w:t>
            </w:r>
            <w:r w:rsidR="002C5A74" w:rsidRPr="008156C0">
              <w:rPr>
                <w:rFonts w:cs="Arial"/>
                <w:color w:val="000000"/>
                <w:szCs w:val="20"/>
              </w:rPr>
              <w:t xml:space="preserve">price of AWL licences in </w:t>
            </w:r>
            <w:r w:rsidRPr="008156C0">
              <w:rPr>
                <w:rFonts w:cs="Arial"/>
                <w:color w:val="000000"/>
                <w:szCs w:val="20"/>
              </w:rPr>
              <w:t>Alice Springs and Port Hea</w:t>
            </w:r>
            <w:r w:rsidR="00AD0CAA" w:rsidRPr="008156C0">
              <w:rPr>
                <w:rFonts w:cs="Arial"/>
                <w:color w:val="000000"/>
                <w:szCs w:val="20"/>
              </w:rPr>
              <w:t>d</w:t>
            </w:r>
            <w:r w:rsidRPr="008156C0">
              <w:rPr>
                <w:rFonts w:cs="Arial"/>
                <w:color w:val="000000"/>
                <w:szCs w:val="20"/>
              </w:rPr>
              <w:t>land</w:t>
            </w:r>
            <w:r w:rsidR="002C5A74" w:rsidRPr="008156C0">
              <w:rPr>
                <w:rFonts w:cs="Arial"/>
                <w:color w:val="000000"/>
                <w:szCs w:val="20"/>
              </w:rPr>
              <w:t xml:space="preserve">. </w:t>
            </w:r>
            <w:r w:rsidR="00AD0CAA" w:rsidRPr="008156C0">
              <w:rPr>
                <w:rFonts w:cs="Arial"/>
                <w:color w:val="000000"/>
                <w:szCs w:val="20"/>
              </w:rPr>
              <w:t>Those examples use a bandwidth of 20</w:t>
            </w:r>
            <w:r w:rsidR="00BB1C15" w:rsidRPr="008156C0">
              <w:rPr>
                <w:rFonts w:cs="Arial"/>
                <w:color w:val="000000"/>
                <w:szCs w:val="20"/>
              </w:rPr>
              <w:t> </w:t>
            </w:r>
            <w:r w:rsidR="00AD0CAA" w:rsidRPr="008156C0">
              <w:rPr>
                <w:rFonts w:cs="Arial"/>
                <w:color w:val="000000"/>
                <w:szCs w:val="20"/>
              </w:rPr>
              <w:t>MHz and we scale it up here to 100 MHz</w:t>
            </w:r>
            <w:r w:rsidR="00274A80" w:rsidRPr="008156C0">
              <w:rPr>
                <w:rFonts w:cs="Arial"/>
                <w:color w:val="000000"/>
                <w:szCs w:val="20"/>
              </w:rPr>
              <w:t>.</w:t>
            </w:r>
            <w:r w:rsidR="006A66E3" w:rsidRPr="008156C0">
              <w:rPr>
                <w:rFonts w:cs="Arial"/>
                <w:color w:val="000000"/>
                <w:szCs w:val="20"/>
              </w:rPr>
              <w:t xml:space="preserve"> The price of the AWL licences is used as proxy for t</w:t>
            </w:r>
            <w:r w:rsidR="000E6D34" w:rsidRPr="008156C0">
              <w:rPr>
                <w:rFonts w:cs="Arial"/>
                <w:color w:val="000000"/>
                <w:szCs w:val="20"/>
              </w:rPr>
              <w:t>he value of the licences and not as a change in revenue</w:t>
            </w:r>
            <w:r w:rsidR="00AF633C" w:rsidRPr="008156C0">
              <w:rPr>
                <w:rFonts w:cs="Arial"/>
                <w:color w:val="000000"/>
                <w:szCs w:val="20"/>
              </w:rPr>
              <w:t>.</w:t>
            </w:r>
          </w:p>
        </w:tc>
      </w:tr>
      <w:tr w:rsidR="00474C1B" w:rsidRPr="00C96BC5" w14:paraId="08F1032E" w14:textId="77777777" w:rsidTr="003B6316">
        <w:trPr>
          <w:trHeight w:val="29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224B6FE" w14:textId="77777777" w:rsidR="00474C1B" w:rsidRPr="008156C0" w:rsidRDefault="00474C1B" w:rsidP="00474C1B">
            <w:pPr>
              <w:spacing w:after="0" w:line="240" w:lineRule="auto"/>
              <w:rPr>
                <w:rFonts w:cs="Arial"/>
                <w:color w:val="000000"/>
                <w:szCs w:val="20"/>
              </w:rPr>
            </w:pPr>
            <w:r w:rsidRPr="008156C0">
              <w:rPr>
                <w:rFonts w:cs="Arial"/>
                <w:color w:val="000000"/>
                <w:szCs w:val="20"/>
              </w:rPr>
              <w:t xml:space="preserve">discount rate </w:t>
            </w:r>
          </w:p>
        </w:tc>
        <w:tc>
          <w:tcPr>
            <w:tcW w:w="2187" w:type="dxa"/>
            <w:tcBorders>
              <w:top w:val="nil"/>
              <w:left w:val="nil"/>
              <w:bottom w:val="single" w:sz="4" w:space="0" w:color="auto"/>
              <w:right w:val="single" w:sz="4" w:space="0" w:color="auto"/>
            </w:tcBorders>
            <w:shd w:val="clear" w:color="auto" w:fill="auto"/>
            <w:noWrap/>
            <w:vAlign w:val="bottom"/>
            <w:hideMark/>
          </w:tcPr>
          <w:p w14:paraId="158D0BDD" w14:textId="25D5E290" w:rsidR="00474C1B" w:rsidRPr="008156C0" w:rsidRDefault="00474C1B" w:rsidP="007557AA">
            <w:pPr>
              <w:spacing w:after="0" w:line="240" w:lineRule="auto"/>
              <w:jc w:val="center"/>
              <w:rPr>
                <w:rFonts w:cs="Arial"/>
                <w:color w:val="000000"/>
                <w:szCs w:val="20"/>
              </w:rPr>
            </w:pPr>
            <w:r w:rsidRPr="008156C0">
              <w:rPr>
                <w:rFonts w:cs="Arial"/>
                <w:color w:val="000000"/>
                <w:szCs w:val="20"/>
              </w:rPr>
              <w:t>0.07</w:t>
            </w:r>
          </w:p>
        </w:tc>
        <w:tc>
          <w:tcPr>
            <w:tcW w:w="7452" w:type="dxa"/>
            <w:tcBorders>
              <w:top w:val="nil"/>
              <w:left w:val="nil"/>
              <w:bottom w:val="single" w:sz="4" w:space="0" w:color="auto"/>
              <w:right w:val="single" w:sz="4" w:space="0" w:color="auto"/>
            </w:tcBorders>
            <w:shd w:val="clear" w:color="auto" w:fill="auto"/>
            <w:noWrap/>
            <w:vAlign w:val="bottom"/>
            <w:hideMark/>
          </w:tcPr>
          <w:p w14:paraId="5F0CCBBD" w14:textId="35EE721C" w:rsidR="00474C1B" w:rsidRPr="008156C0" w:rsidRDefault="00474C1B" w:rsidP="00474C1B">
            <w:pPr>
              <w:spacing w:after="0" w:line="240" w:lineRule="auto"/>
              <w:rPr>
                <w:rFonts w:cs="Arial"/>
                <w:color w:val="000000"/>
                <w:szCs w:val="20"/>
              </w:rPr>
            </w:pPr>
            <w:r w:rsidRPr="008156C0">
              <w:rPr>
                <w:rFonts w:cs="Arial"/>
                <w:color w:val="000000"/>
                <w:szCs w:val="20"/>
              </w:rPr>
              <w:t>see OBPR C</w:t>
            </w:r>
            <w:r w:rsidR="00885BFC" w:rsidRPr="008156C0">
              <w:rPr>
                <w:rFonts w:cs="Arial"/>
                <w:color w:val="000000"/>
                <w:szCs w:val="20"/>
              </w:rPr>
              <w:t xml:space="preserve">ost </w:t>
            </w:r>
            <w:r w:rsidRPr="008156C0">
              <w:rPr>
                <w:rFonts w:cs="Arial"/>
                <w:color w:val="000000"/>
                <w:szCs w:val="20"/>
              </w:rPr>
              <w:t>B</w:t>
            </w:r>
            <w:r w:rsidR="00885BFC" w:rsidRPr="008156C0">
              <w:rPr>
                <w:rFonts w:cs="Arial"/>
                <w:color w:val="000000"/>
                <w:szCs w:val="20"/>
              </w:rPr>
              <w:t xml:space="preserve">enefit </w:t>
            </w:r>
            <w:r w:rsidRPr="008156C0">
              <w:rPr>
                <w:rFonts w:cs="Arial"/>
                <w:color w:val="000000"/>
                <w:szCs w:val="20"/>
              </w:rPr>
              <w:t>A</w:t>
            </w:r>
            <w:r w:rsidR="00885BFC" w:rsidRPr="008156C0">
              <w:rPr>
                <w:rFonts w:cs="Arial"/>
                <w:color w:val="000000"/>
                <w:szCs w:val="20"/>
              </w:rPr>
              <w:t>nalysis</w:t>
            </w:r>
            <w:r w:rsidRPr="008156C0">
              <w:rPr>
                <w:rFonts w:cs="Arial"/>
                <w:color w:val="000000"/>
                <w:szCs w:val="20"/>
              </w:rPr>
              <w:t xml:space="preserve"> guidance note, March 2020</w:t>
            </w:r>
          </w:p>
        </w:tc>
      </w:tr>
      <w:tr w:rsidR="00474C1B" w:rsidRPr="00C96BC5" w14:paraId="3A4EEACD" w14:textId="77777777" w:rsidTr="00F52AA5">
        <w:trPr>
          <w:trHeight w:val="29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113B64F" w14:textId="77777777" w:rsidR="00474C1B" w:rsidRPr="008156C0" w:rsidRDefault="00474C1B" w:rsidP="00474C1B">
            <w:pPr>
              <w:spacing w:after="0" w:line="240" w:lineRule="auto"/>
              <w:rPr>
                <w:rFonts w:cs="Arial"/>
                <w:color w:val="000000"/>
                <w:szCs w:val="20"/>
              </w:rPr>
            </w:pPr>
            <w:r w:rsidRPr="008156C0">
              <w:rPr>
                <w:rFonts w:cs="Arial"/>
                <w:color w:val="000000"/>
                <w:szCs w:val="20"/>
              </w:rPr>
              <w:t>DWL (%) associated with current licence types</w:t>
            </w:r>
          </w:p>
        </w:tc>
        <w:tc>
          <w:tcPr>
            <w:tcW w:w="2187" w:type="dxa"/>
            <w:tcBorders>
              <w:top w:val="nil"/>
              <w:left w:val="nil"/>
              <w:bottom w:val="single" w:sz="4" w:space="0" w:color="auto"/>
              <w:right w:val="single" w:sz="4" w:space="0" w:color="auto"/>
            </w:tcBorders>
            <w:shd w:val="clear" w:color="auto" w:fill="auto"/>
            <w:noWrap/>
            <w:vAlign w:val="bottom"/>
            <w:hideMark/>
          </w:tcPr>
          <w:p w14:paraId="0C45A9D4" w14:textId="77777777" w:rsidR="00474C1B" w:rsidRPr="008156C0" w:rsidRDefault="00474C1B" w:rsidP="007557AA">
            <w:pPr>
              <w:spacing w:after="0" w:line="240" w:lineRule="auto"/>
              <w:jc w:val="center"/>
              <w:rPr>
                <w:rFonts w:cs="Arial"/>
                <w:color w:val="000000"/>
                <w:szCs w:val="20"/>
              </w:rPr>
            </w:pPr>
            <w:r w:rsidRPr="008156C0">
              <w:rPr>
                <w:rFonts w:cs="Arial"/>
                <w:color w:val="000000"/>
                <w:szCs w:val="20"/>
              </w:rPr>
              <w:t>50%</w:t>
            </w:r>
          </w:p>
        </w:tc>
        <w:tc>
          <w:tcPr>
            <w:tcW w:w="7452" w:type="dxa"/>
            <w:tcBorders>
              <w:top w:val="nil"/>
              <w:left w:val="nil"/>
              <w:bottom w:val="single" w:sz="4" w:space="0" w:color="auto"/>
              <w:right w:val="single" w:sz="4" w:space="0" w:color="auto"/>
            </w:tcBorders>
            <w:shd w:val="clear" w:color="auto" w:fill="auto"/>
            <w:noWrap/>
            <w:vAlign w:val="bottom"/>
            <w:hideMark/>
          </w:tcPr>
          <w:p w14:paraId="6790D52C" w14:textId="334F0BA8" w:rsidR="00474C1B" w:rsidRPr="008156C0" w:rsidRDefault="00C15978" w:rsidP="00474C1B">
            <w:pPr>
              <w:spacing w:after="0" w:line="240" w:lineRule="auto"/>
              <w:rPr>
                <w:rFonts w:cs="Arial"/>
                <w:color w:val="000000"/>
                <w:szCs w:val="20"/>
              </w:rPr>
            </w:pPr>
            <w:r w:rsidRPr="008156C0">
              <w:rPr>
                <w:rFonts w:cs="Arial"/>
                <w:color w:val="000000"/>
                <w:szCs w:val="20"/>
              </w:rPr>
              <w:t xml:space="preserve">We assume some LA WBB </w:t>
            </w:r>
            <w:r w:rsidR="00BC7B20" w:rsidRPr="008156C0">
              <w:rPr>
                <w:rFonts w:cs="Arial"/>
                <w:color w:val="000000"/>
                <w:szCs w:val="20"/>
              </w:rPr>
              <w:t xml:space="preserve">demand </w:t>
            </w:r>
            <w:r w:rsidRPr="008156C0">
              <w:rPr>
                <w:rFonts w:cs="Arial"/>
                <w:color w:val="000000"/>
                <w:szCs w:val="20"/>
              </w:rPr>
              <w:t>can be accommodated with current licence types, however, we assume that up to 50% cannot be accommodated</w:t>
            </w:r>
            <w:r w:rsidR="001E1217" w:rsidRPr="008156C0">
              <w:rPr>
                <w:rFonts w:cs="Arial"/>
                <w:color w:val="000000"/>
                <w:szCs w:val="20"/>
              </w:rPr>
              <w:t xml:space="preserve"> because the licence types are not fit for purpose. </w:t>
            </w:r>
          </w:p>
        </w:tc>
      </w:tr>
      <w:tr w:rsidR="00F52AA5" w:rsidRPr="00C96BC5" w14:paraId="707554F9" w14:textId="77777777" w:rsidTr="00F52AA5">
        <w:trPr>
          <w:trHeight w:val="29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C52F6" w14:textId="540EF808" w:rsidR="00F52AA5" w:rsidRPr="008156C0" w:rsidRDefault="00F52AA5" w:rsidP="00474C1B">
            <w:pPr>
              <w:spacing w:after="0" w:line="240" w:lineRule="auto"/>
              <w:rPr>
                <w:rFonts w:cs="Arial"/>
                <w:color w:val="000000"/>
                <w:szCs w:val="20"/>
              </w:rPr>
            </w:pPr>
            <w:r w:rsidRPr="008156C0">
              <w:rPr>
                <w:rFonts w:cs="Arial"/>
                <w:color w:val="000000"/>
                <w:szCs w:val="20"/>
              </w:rPr>
              <w:t>Demand for</w:t>
            </w:r>
            <w:r w:rsidR="003C2B03" w:rsidRPr="008156C0">
              <w:rPr>
                <w:rFonts w:cs="Arial"/>
                <w:color w:val="000000"/>
                <w:szCs w:val="20"/>
              </w:rPr>
              <w:t xml:space="preserve"> spectrum</w:t>
            </w:r>
          </w:p>
        </w:tc>
        <w:tc>
          <w:tcPr>
            <w:tcW w:w="2187" w:type="dxa"/>
            <w:tcBorders>
              <w:top w:val="single" w:sz="4" w:space="0" w:color="auto"/>
              <w:left w:val="nil"/>
              <w:bottom w:val="single" w:sz="4" w:space="0" w:color="auto"/>
              <w:right w:val="single" w:sz="4" w:space="0" w:color="auto"/>
            </w:tcBorders>
            <w:shd w:val="clear" w:color="auto" w:fill="auto"/>
            <w:noWrap/>
            <w:vAlign w:val="bottom"/>
          </w:tcPr>
          <w:p w14:paraId="77B771D8" w14:textId="77777777" w:rsidR="00F52AA5" w:rsidRPr="008156C0" w:rsidRDefault="00F52AA5" w:rsidP="007557AA">
            <w:pPr>
              <w:spacing w:after="0" w:line="240" w:lineRule="auto"/>
              <w:jc w:val="center"/>
              <w:rPr>
                <w:rFonts w:cs="Arial"/>
                <w:color w:val="000000"/>
                <w:szCs w:val="20"/>
              </w:rPr>
            </w:pPr>
          </w:p>
        </w:tc>
        <w:tc>
          <w:tcPr>
            <w:tcW w:w="7452" w:type="dxa"/>
            <w:tcBorders>
              <w:top w:val="single" w:sz="4" w:space="0" w:color="auto"/>
              <w:left w:val="nil"/>
              <w:bottom w:val="single" w:sz="4" w:space="0" w:color="auto"/>
              <w:right w:val="single" w:sz="4" w:space="0" w:color="auto"/>
            </w:tcBorders>
            <w:shd w:val="clear" w:color="auto" w:fill="auto"/>
            <w:noWrap/>
            <w:vAlign w:val="bottom"/>
          </w:tcPr>
          <w:p w14:paraId="65D4BFB1" w14:textId="77777777" w:rsidR="00265F11" w:rsidRPr="008156C0" w:rsidRDefault="00265F11" w:rsidP="00474C1B">
            <w:pPr>
              <w:spacing w:after="0" w:line="240" w:lineRule="auto"/>
              <w:rPr>
                <w:rFonts w:cs="Arial"/>
                <w:color w:val="000000"/>
                <w:szCs w:val="20"/>
              </w:rPr>
            </w:pPr>
            <w:r w:rsidRPr="008156C0">
              <w:rPr>
                <w:rFonts w:cs="Arial"/>
                <w:color w:val="000000"/>
                <w:szCs w:val="20"/>
              </w:rPr>
              <w:t>Demand for spectrum is highly uncertain a priori.</w:t>
            </w:r>
          </w:p>
          <w:p w14:paraId="53975A70" w14:textId="77777777" w:rsidR="00F52AA5" w:rsidRPr="008156C0" w:rsidRDefault="00265F11" w:rsidP="00474C1B">
            <w:pPr>
              <w:spacing w:after="0" w:line="240" w:lineRule="auto"/>
              <w:rPr>
                <w:rFonts w:cs="Arial"/>
                <w:color w:val="000000"/>
                <w:szCs w:val="20"/>
              </w:rPr>
            </w:pPr>
            <w:r w:rsidRPr="008156C0">
              <w:rPr>
                <w:rFonts w:cs="Arial"/>
                <w:color w:val="000000"/>
                <w:szCs w:val="20"/>
              </w:rPr>
              <w:t xml:space="preserve">However, for the purposes of estimating </w:t>
            </w:r>
            <w:r w:rsidR="00407072" w:rsidRPr="008156C0">
              <w:rPr>
                <w:rFonts w:cs="Arial"/>
                <w:color w:val="000000"/>
                <w:szCs w:val="20"/>
              </w:rPr>
              <w:t>costs/benefits w</w:t>
            </w:r>
            <w:r w:rsidR="003C2B03" w:rsidRPr="008156C0">
              <w:rPr>
                <w:rFonts w:cs="Arial"/>
                <w:color w:val="000000"/>
                <w:szCs w:val="20"/>
              </w:rPr>
              <w:t xml:space="preserve">e </w:t>
            </w:r>
            <w:r w:rsidR="00407072" w:rsidRPr="008156C0">
              <w:rPr>
                <w:rFonts w:cs="Arial"/>
                <w:color w:val="000000"/>
                <w:szCs w:val="20"/>
              </w:rPr>
              <w:t xml:space="preserve">look to the number of AWL licences </w:t>
            </w:r>
            <w:r w:rsidR="001E2AA7" w:rsidRPr="008156C0">
              <w:rPr>
                <w:rFonts w:cs="Arial"/>
                <w:color w:val="000000"/>
                <w:szCs w:val="20"/>
              </w:rPr>
              <w:t xml:space="preserve">allocated </w:t>
            </w:r>
            <w:r w:rsidR="00407072" w:rsidRPr="008156C0">
              <w:rPr>
                <w:rFonts w:cs="Arial"/>
                <w:color w:val="000000"/>
                <w:szCs w:val="20"/>
              </w:rPr>
              <w:t>in the 26/28 GHz band</w:t>
            </w:r>
            <w:r w:rsidR="001E2AA7" w:rsidRPr="008156C0">
              <w:rPr>
                <w:rFonts w:cs="Arial"/>
                <w:color w:val="000000"/>
                <w:szCs w:val="20"/>
              </w:rPr>
              <w:t xml:space="preserve"> over the past few years</w:t>
            </w:r>
            <w:r w:rsidR="00407072" w:rsidRPr="008156C0">
              <w:rPr>
                <w:rFonts w:cs="Arial"/>
                <w:color w:val="000000"/>
                <w:szCs w:val="20"/>
              </w:rPr>
              <w:t xml:space="preserve">. There are </w:t>
            </w:r>
            <w:hyperlink r:id="rId62" w:history="1">
              <w:r w:rsidR="00872191" w:rsidRPr="008156C0">
                <w:rPr>
                  <w:rStyle w:val="Hyperlink"/>
                  <w:rFonts w:cs="Arial"/>
                  <w:szCs w:val="20"/>
                </w:rPr>
                <w:t>88 AWL licences</w:t>
              </w:r>
            </w:hyperlink>
            <w:r w:rsidR="00872191" w:rsidRPr="008156C0">
              <w:rPr>
                <w:rFonts w:cs="Arial"/>
                <w:color w:val="000000"/>
                <w:szCs w:val="20"/>
              </w:rPr>
              <w:t xml:space="preserve"> as at 24 May 2022</w:t>
            </w:r>
            <w:r w:rsidR="000B30B0" w:rsidRPr="008156C0">
              <w:rPr>
                <w:rFonts w:cs="Arial"/>
                <w:color w:val="000000"/>
                <w:szCs w:val="20"/>
              </w:rPr>
              <w:t xml:space="preserve">. </w:t>
            </w:r>
            <w:r w:rsidR="001303AC" w:rsidRPr="008156C0">
              <w:rPr>
                <w:rFonts w:cs="Arial"/>
                <w:color w:val="000000"/>
                <w:szCs w:val="20"/>
              </w:rPr>
              <w:t xml:space="preserve">Using that level of demand in that band we map out a demand schedule in </w:t>
            </w:r>
            <w:r w:rsidR="004E6602" w:rsidRPr="008156C0">
              <w:rPr>
                <w:rFonts w:cs="Arial"/>
                <w:color w:val="000000"/>
                <w:szCs w:val="20"/>
              </w:rPr>
              <w:t xml:space="preserve">row 2 of </w:t>
            </w:r>
            <w:r w:rsidR="00023FC2" w:rsidRPr="008156C0">
              <w:rPr>
                <w:rFonts w:cs="Arial"/>
                <w:color w:val="000000"/>
                <w:szCs w:val="20"/>
              </w:rPr>
              <w:t xml:space="preserve">Table 3 below. There will be </w:t>
            </w:r>
            <w:r w:rsidR="00BE4FC9" w:rsidRPr="008156C0">
              <w:rPr>
                <w:rFonts w:cs="Arial"/>
                <w:color w:val="000000"/>
                <w:szCs w:val="20"/>
              </w:rPr>
              <w:t>an initial allocation window where we anticipate most of the demand</w:t>
            </w:r>
            <w:r w:rsidR="004E6602" w:rsidRPr="008156C0">
              <w:rPr>
                <w:rFonts w:cs="Arial"/>
                <w:color w:val="000000"/>
                <w:szCs w:val="20"/>
              </w:rPr>
              <w:t xml:space="preserve"> is accommodated</w:t>
            </w:r>
            <w:r w:rsidR="00BE4FC9" w:rsidRPr="008156C0">
              <w:rPr>
                <w:rFonts w:cs="Arial"/>
                <w:color w:val="000000"/>
                <w:szCs w:val="20"/>
              </w:rPr>
              <w:t xml:space="preserve">, followed by tapered demand over time. </w:t>
            </w:r>
          </w:p>
        </w:tc>
      </w:tr>
      <w:tr w:rsidR="004C44AF" w:rsidRPr="00C96BC5" w14:paraId="47EA2071" w14:textId="77777777" w:rsidTr="00F52AA5">
        <w:trPr>
          <w:trHeight w:val="29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AAE54" w14:textId="2B49D9FA" w:rsidR="004C44AF" w:rsidRPr="008156C0" w:rsidRDefault="00CC7DE7" w:rsidP="00474C1B">
            <w:pPr>
              <w:spacing w:after="0" w:line="240" w:lineRule="auto"/>
              <w:rPr>
                <w:rFonts w:cs="Arial"/>
                <w:color w:val="000000"/>
                <w:szCs w:val="20"/>
              </w:rPr>
            </w:pPr>
            <w:r>
              <w:rPr>
                <w:rFonts w:cs="Arial"/>
                <w:color w:val="000000"/>
                <w:szCs w:val="20"/>
              </w:rPr>
              <w:t>Time value of an hour</w:t>
            </w:r>
          </w:p>
        </w:tc>
        <w:tc>
          <w:tcPr>
            <w:tcW w:w="2187" w:type="dxa"/>
            <w:tcBorders>
              <w:top w:val="single" w:sz="4" w:space="0" w:color="auto"/>
              <w:left w:val="nil"/>
              <w:bottom w:val="single" w:sz="4" w:space="0" w:color="auto"/>
              <w:right w:val="single" w:sz="4" w:space="0" w:color="auto"/>
            </w:tcBorders>
            <w:shd w:val="clear" w:color="auto" w:fill="auto"/>
            <w:noWrap/>
            <w:vAlign w:val="bottom"/>
          </w:tcPr>
          <w:p w14:paraId="67AE7C78" w14:textId="3E85A968" w:rsidR="004C44AF" w:rsidRPr="008156C0" w:rsidRDefault="00CC7DE7" w:rsidP="007557AA">
            <w:pPr>
              <w:spacing w:after="0" w:line="240" w:lineRule="auto"/>
              <w:jc w:val="center"/>
              <w:rPr>
                <w:rFonts w:cs="Arial"/>
                <w:color w:val="000000"/>
                <w:szCs w:val="20"/>
              </w:rPr>
            </w:pPr>
            <w:r>
              <w:rPr>
                <w:rFonts w:cs="Arial"/>
                <w:color w:val="000000"/>
                <w:szCs w:val="20"/>
              </w:rPr>
              <w:t>$73.05</w:t>
            </w:r>
          </w:p>
        </w:tc>
        <w:tc>
          <w:tcPr>
            <w:tcW w:w="7452" w:type="dxa"/>
            <w:tcBorders>
              <w:top w:val="single" w:sz="4" w:space="0" w:color="auto"/>
              <w:left w:val="nil"/>
              <w:bottom w:val="single" w:sz="4" w:space="0" w:color="auto"/>
              <w:right w:val="single" w:sz="4" w:space="0" w:color="auto"/>
            </w:tcBorders>
            <w:shd w:val="clear" w:color="auto" w:fill="auto"/>
            <w:noWrap/>
            <w:vAlign w:val="bottom"/>
          </w:tcPr>
          <w:p w14:paraId="2BE9EB06" w14:textId="644C6A7A" w:rsidR="004C44AF" w:rsidRPr="008156C0" w:rsidRDefault="006B67AF" w:rsidP="00474C1B">
            <w:pPr>
              <w:spacing w:after="0" w:line="240" w:lineRule="auto"/>
              <w:rPr>
                <w:rFonts w:cs="Arial"/>
                <w:color w:val="000000"/>
                <w:szCs w:val="20"/>
              </w:rPr>
            </w:pPr>
            <w:r>
              <w:rPr>
                <w:rFonts w:cs="Arial"/>
                <w:color w:val="000000"/>
                <w:szCs w:val="20"/>
              </w:rPr>
              <w:t>See OBPR Regulatory Burden Measurement Framework, March 2020.</w:t>
            </w:r>
          </w:p>
        </w:tc>
      </w:tr>
    </w:tbl>
    <w:p w14:paraId="6E13DCC7" w14:textId="77777777" w:rsidR="00CF44D2" w:rsidRPr="00C21822" w:rsidRDefault="00CF44D2" w:rsidP="00F87164">
      <w:pPr>
        <w:rPr>
          <w:rFonts w:cs="Arial"/>
        </w:rPr>
      </w:pPr>
    </w:p>
    <w:p w14:paraId="084C2C01" w14:textId="01129F73" w:rsidR="00F52AA5" w:rsidRPr="00C6486F" w:rsidRDefault="004E2B95" w:rsidP="00F87164">
      <w:pPr>
        <w:rPr>
          <w:rFonts w:cs="Arial"/>
        </w:rPr>
      </w:pPr>
      <w:r w:rsidRPr="00AE2ACB">
        <w:rPr>
          <w:rFonts w:cs="Arial"/>
        </w:rPr>
        <w:t xml:space="preserve">Rather than assign the dead weight loss as a cost to option 1, we </w:t>
      </w:r>
      <w:r w:rsidR="00EE6BFE" w:rsidRPr="00C6486F">
        <w:rPr>
          <w:rFonts w:cs="Arial"/>
        </w:rPr>
        <w:t xml:space="preserve">specify reductions in DWL in options 2 and 3. </w:t>
      </w:r>
    </w:p>
    <w:p w14:paraId="09046140" w14:textId="000443BC" w:rsidR="001303AC" w:rsidRPr="002F46B3" w:rsidRDefault="00023FC2" w:rsidP="001303AC">
      <w:pPr>
        <w:pStyle w:val="Caption"/>
        <w:rPr>
          <w:rFonts w:cs="Arial"/>
        </w:rPr>
      </w:pPr>
      <w:r w:rsidRPr="002F46B3">
        <w:rPr>
          <w:rFonts w:cs="Arial"/>
        </w:rPr>
        <w:t>Estimate of deadweight loss associated with option 1</w:t>
      </w:r>
    </w:p>
    <w:tbl>
      <w:tblPr>
        <w:tblW w:w="5258" w:type="pct"/>
        <w:tblLayout w:type="fixed"/>
        <w:tblLook w:val="04A0" w:firstRow="1" w:lastRow="0" w:firstColumn="1" w:lastColumn="0" w:noHBand="0" w:noVBand="1"/>
      </w:tblPr>
      <w:tblGrid>
        <w:gridCol w:w="1267"/>
        <w:gridCol w:w="1099"/>
        <w:gridCol w:w="1099"/>
        <w:gridCol w:w="1099"/>
        <w:gridCol w:w="1099"/>
        <w:gridCol w:w="1099"/>
        <w:gridCol w:w="1098"/>
        <w:gridCol w:w="1098"/>
        <w:gridCol w:w="1098"/>
        <w:gridCol w:w="1098"/>
        <w:gridCol w:w="1026"/>
        <w:gridCol w:w="1170"/>
        <w:gridCol w:w="1098"/>
      </w:tblGrid>
      <w:tr w:rsidR="00633415" w:rsidRPr="00C96BC5" w14:paraId="182E9086" w14:textId="77777777" w:rsidTr="00AE30C3">
        <w:trPr>
          <w:trHeight w:val="290"/>
        </w:trPr>
        <w:tc>
          <w:tcPr>
            <w:tcW w:w="43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43FE1B" w14:textId="77777777" w:rsidR="00474C1B" w:rsidRPr="002F46B3" w:rsidRDefault="00474C1B" w:rsidP="00474C1B">
            <w:pPr>
              <w:spacing w:after="0" w:line="240" w:lineRule="auto"/>
              <w:rPr>
                <w:rFonts w:cs="Arial"/>
                <w:b/>
                <w:bCs/>
                <w:color w:val="000000"/>
                <w:sz w:val="22"/>
                <w:szCs w:val="22"/>
              </w:rPr>
            </w:pPr>
            <w:r w:rsidRPr="002F46B3">
              <w:rPr>
                <w:rFonts w:cs="Arial"/>
                <w:b/>
                <w:bCs/>
                <w:color w:val="000000"/>
                <w:sz w:val="22"/>
                <w:szCs w:val="22"/>
              </w:rPr>
              <w:t>year</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63784353"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0</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17BBA830"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1</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152FF588"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2</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6BEB2FCE"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3</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3895E407"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4</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6959B37D"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5</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31479F2C"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6</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23B22FE1"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7</w:t>
            </w:r>
          </w:p>
        </w:tc>
        <w:tc>
          <w:tcPr>
            <w:tcW w:w="380" w:type="pct"/>
            <w:tcBorders>
              <w:top w:val="single" w:sz="8" w:space="0" w:color="auto"/>
              <w:left w:val="nil"/>
              <w:bottom w:val="single" w:sz="4" w:space="0" w:color="auto"/>
              <w:right w:val="single" w:sz="4" w:space="0" w:color="auto"/>
            </w:tcBorders>
            <w:shd w:val="clear" w:color="auto" w:fill="auto"/>
            <w:noWrap/>
            <w:vAlign w:val="bottom"/>
            <w:hideMark/>
          </w:tcPr>
          <w:p w14:paraId="05E39CDD"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8</w:t>
            </w:r>
          </w:p>
        </w:tc>
        <w:tc>
          <w:tcPr>
            <w:tcW w:w="355" w:type="pct"/>
            <w:tcBorders>
              <w:top w:val="single" w:sz="8" w:space="0" w:color="auto"/>
              <w:left w:val="nil"/>
              <w:bottom w:val="single" w:sz="4" w:space="0" w:color="auto"/>
              <w:right w:val="single" w:sz="4" w:space="0" w:color="auto"/>
            </w:tcBorders>
            <w:shd w:val="clear" w:color="auto" w:fill="auto"/>
            <w:noWrap/>
            <w:vAlign w:val="bottom"/>
            <w:hideMark/>
          </w:tcPr>
          <w:p w14:paraId="080580C3"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9</w:t>
            </w:r>
          </w:p>
        </w:tc>
        <w:tc>
          <w:tcPr>
            <w:tcW w:w="405" w:type="pct"/>
            <w:tcBorders>
              <w:top w:val="single" w:sz="8" w:space="0" w:color="auto"/>
              <w:left w:val="nil"/>
              <w:bottom w:val="single" w:sz="4" w:space="0" w:color="auto"/>
              <w:right w:val="single" w:sz="4" w:space="0" w:color="auto"/>
            </w:tcBorders>
            <w:shd w:val="clear" w:color="auto" w:fill="auto"/>
            <w:noWrap/>
            <w:vAlign w:val="bottom"/>
            <w:hideMark/>
          </w:tcPr>
          <w:p w14:paraId="56296E56"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total</w:t>
            </w:r>
          </w:p>
        </w:tc>
        <w:tc>
          <w:tcPr>
            <w:tcW w:w="380" w:type="pct"/>
            <w:tcBorders>
              <w:top w:val="single" w:sz="8" w:space="0" w:color="auto"/>
              <w:left w:val="nil"/>
              <w:bottom w:val="single" w:sz="4" w:space="0" w:color="auto"/>
              <w:right w:val="single" w:sz="8" w:space="0" w:color="auto"/>
            </w:tcBorders>
            <w:shd w:val="clear" w:color="auto" w:fill="auto"/>
            <w:noWrap/>
            <w:vAlign w:val="bottom"/>
            <w:hideMark/>
          </w:tcPr>
          <w:p w14:paraId="0E7ACD9C" w14:textId="77777777" w:rsidR="00474C1B" w:rsidRPr="002F46B3" w:rsidRDefault="00474C1B" w:rsidP="00AE30C3">
            <w:pPr>
              <w:spacing w:after="0" w:line="240" w:lineRule="auto"/>
              <w:jc w:val="right"/>
              <w:rPr>
                <w:rFonts w:cs="Arial"/>
                <w:b/>
                <w:bCs/>
                <w:color w:val="000000"/>
                <w:sz w:val="22"/>
                <w:szCs w:val="22"/>
              </w:rPr>
            </w:pPr>
            <w:r w:rsidRPr="002F46B3">
              <w:rPr>
                <w:rFonts w:cs="Arial"/>
                <w:b/>
                <w:bCs/>
                <w:color w:val="000000"/>
                <w:sz w:val="22"/>
                <w:szCs w:val="22"/>
              </w:rPr>
              <w:t xml:space="preserve">average annual </w:t>
            </w:r>
          </w:p>
        </w:tc>
      </w:tr>
      <w:tr w:rsidR="00633415" w:rsidRPr="00C96BC5" w14:paraId="1E6527E0" w14:textId="77777777" w:rsidTr="008156C0">
        <w:trPr>
          <w:trHeight w:val="290"/>
        </w:trPr>
        <w:tc>
          <w:tcPr>
            <w:tcW w:w="438" w:type="pct"/>
            <w:tcBorders>
              <w:top w:val="nil"/>
              <w:left w:val="single" w:sz="8" w:space="0" w:color="auto"/>
              <w:bottom w:val="single" w:sz="4" w:space="0" w:color="auto"/>
              <w:right w:val="single" w:sz="4" w:space="0" w:color="auto"/>
            </w:tcBorders>
            <w:shd w:val="clear" w:color="auto" w:fill="auto"/>
            <w:noWrap/>
            <w:vAlign w:val="bottom"/>
            <w:hideMark/>
          </w:tcPr>
          <w:p w14:paraId="4D6B16A8" w14:textId="77777777" w:rsidR="00474C1B" w:rsidRPr="002F46B3" w:rsidRDefault="00474C1B" w:rsidP="00474C1B">
            <w:pPr>
              <w:spacing w:after="0" w:line="240" w:lineRule="auto"/>
              <w:rPr>
                <w:rFonts w:cs="Arial"/>
                <w:color w:val="000000"/>
                <w:sz w:val="22"/>
                <w:szCs w:val="22"/>
              </w:rPr>
            </w:pPr>
            <w:r w:rsidRPr="002F46B3">
              <w:rPr>
                <w:rFonts w:cs="Arial"/>
                <w:color w:val="000000"/>
                <w:sz w:val="22"/>
                <w:szCs w:val="22"/>
              </w:rPr>
              <w:t>expected number of licences</w:t>
            </w:r>
          </w:p>
        </w:tc>
        <w:tc>
          <w:tcPr>
            <w:tcW w:w="380" w:type="pct"/>
            <w:tcBorders>
              <w:top w:val="nil"/>
              <w:left w:val="nil"/>
              <w:bottom w:val="single" w:sz="4" w:space="0" w:color="auto"/>
              <w:right w:val="single" w:sz="4" w:space="0" w:color="auto"/>
            </w:tcBorders>
            <w:shd w:val="clear" w:color="auto" w:fill="auto"/>
            <w:noWrap/>
            <w:vAlign w:val="bottom"/>
            <w:hideMark/>
          </w:tcPr>
          <w:p w14:paraId="20510ACB"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75</w:t>
            </w:r>
          </w:p>
        </w:tc>
        <w:tc>
          <w:tcPr>
            <w:tcW w:w="380" w:type="pct"/>
            <w:tcBorders>
              <w:top w:val="nil"/>
              <w:left w:val="nil"/>
              <w:bottom w:val="single" w:sz="4" w:space="0" w:color="auto"/>
              <w:right w:val="single" w:sz="4" w:space="0" w:color="auto"/>
            </w:tcBorders>
            <w:shd w:val="clear" w:color="auto" w:fill="auto"/>
            <w:noWrap/>
            <w:vAlign w:val="bottom"/>
            <w:hideMark/>
          </w:tcPr>
          <w:p w14:paraId="6017C677"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15</w:t>
            </w:r>
          </w:p>
        </w:tc>
        <w:tc>
          <w:tcPr>
            <w:tcW w:w="380" w:type="pct"/>
            <w:tcBorders>
              <w:top w:val="nil"/>
              <w:left w:val="nil"/>
              <w:bottom w:val="single" w:sz="4" w:space="0" w:color="auto"/>
              <w:right w:val="single" w:sz="4" w:space="0" w:color="auto"/>
            </w:tcBorders>
            <w:shd w:val="clear" w:color="auto" w:fill="auto"/>
            <w:noWrap/>
            <w:vAlign w:val="bottom"/>
            <w:hideMark/>
          </w:tcPr>
          <w:p w14:paraId="0B25B054"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14:paraId="3FEA4BF9"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14:paraId="1A7177E9"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14:paraId="0E11E111"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14:paraId="5EF3FE39"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14:paraId="516CC1A0"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14:paraId="544CE6B3"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5</w:t>
            </w:r>
          </w:p>
        </w:tc>
        <w:tc>
          <w:tcPr>
            <w:tcW w:w="355" w:type="pct"/>
            <w:tcBorders>
              <w:top w:val="nil"/>
              <w:left w:val="nil"/>
              <w:bottom w:val="single" w:sz="4" w:space="0" w:color="auto"/>
              <w:right w:val="single" w:sz="4" w:space="0" w:color="auto"/>
            </w:tcBorders>
            <w:shd w:val="clear" w:color="auto" w:fill="auto"/>
            <w:noWrap/>
            <w:vAlign w:val="bottom"/>
            <w:hideMark/>
          </w:tcPr>
          <w:p w14:paraId="253B371F" w14:textId="77777777"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5</w:t>
            </w:r>
          </w:p>
        </w:tc>
        <w:tc>
          <w:tcPr>
            <w:tcW w:w="405" w:type="pct"/>
            <w:tcBorders>
              <w:top w:val="nil"/>
              <w:left w:val="nil"/>
              <w:bottom w:val="single" w:sz="4" w:space="0" w:color="auto"/>
              <w:right w:val="single" w:sz="4" w:space="0" w:color="auto"/>
            </w:tcBorders>
            <w:shd w:val="clear" w:color="auto" w:fill="auto"/>
            <w:noWrap/>
            <w:vAlign w:val="bottom"/>
            <w:hideMark/>
          </w:tcPr>
          <w:p w14:paraId="6BBE6EC9" w14:textId="00B4086D"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135</w:t>
            </w:r>
          </w:p>
        </w:tc>
        <w:tc>
          <w:tcPr>
            <w:tcW w:w="380" w:type="pct"/>
            <w:tcBorders>
              <w:top w:val="nil"/>
              <w:left w:val="nil"/>
              <w:bottom w:val="single" w:sz="4" w:space="0" w:color="auto"/>
              <w:right w:val="single" w:sz="8" w:space="0" w:color="auto"/>
            </w:tcBorders>
            <w:shd w:val="clear" w:color="auto" w:fill="auto"/>
            <w:noWrap/>
            <w:vAlign w:val="bottom"/>
            <w:hideMark/>
          </w:tcPr>
          <w:p w14:paraId="03ACFCA6" w14:textId="346AA99C" w:rsidR="00474C1B" w:rsidRPr="00AE30C3" w:rsidRDefault="00474C1B" w:rsidP="008156C0">
            <w:pPr>
              <w:spacing w:after="0" w:line="240" w:lineRule="auto"/>
              <w:jc w:val="right"/>
              <w:rPr>
                <w:rFonts w:cs="Arial"/>
                <w:color w:val="000000"/>
                <w:sz w:val="18"/>
                <w:szCs w:val="18"/>
              </w:rPr>
            </w:pPr>
            <w:r w:rsidRPr="00AE30C3">
              <w:rPr>
                <w:rFonts w:cs="Arial"/>
                <w:color w:val="000000"/>
                <w:sz w:val="18"/>
                <w:szCs w:val="18"/>
              </w:rPr>
              <w:t>13.5</w:t>
            </w:r>
          </w:p>
        </w:tc>
      </w:tr>
      <w:tr w:rsidR="00633415" w:rsidRPr="00C96BC5" w14:paraId="6799EF5E" w14:textId="77777777" w:rsidTr="008156C0">
        <w:trPr>
          <w:trHeight w:val="290"/>
        </w:trPr>
        <w:tc>
          <w:tcPr>
            <w:tcW w:w="438" w:type="pct"/>
            <w:tcBorders>
              <w:top w:val="nil"/>
              <w:left w:val="single" w:sz="8" w:space="0" w:color="auto"/>
              <w:bottom w:val="single" w:sz="4" w:space="0" w:color="auto"/>
              <w:right w:val="single" w:sz="4" w:space="0" w:color="auto"/>
            </w:tcBorders>
            <w:shd w:val="clear" w:color="auto" w:fill="auto"/>
            <w:noWrap/>
            <w:vAlign w:val="bottom"/>
            <w:hideMark/>
          </w:tcPr>
          <w:p w14:paraId="29B77F5D" w14:textId="77777777" w:rsidR="00474C1B" w:rsidRPr="002F46B3" w:rsidRDefault="00474C1B" w:rsidP="00474C1B">
            <w:pPr>
              <w:spacing w:after="0" w:line="240" w:lineRule="auto"/>
              <w:rPr>
                <w:rFonts w:cs="Arial"/>
                <w:color w:val="000000"/>
                <w:sz w:val="22"/>
                <w:szCs w:val="22"/>
              </w:rPr>
            </w:pPr>
            <w:r w:rsidRPr="002F46B3">
              <w:rPr>
                <w:rFonts w:cs="Arial"/>
                <w:color w:val="000000"/>
                <w:sz w:val="22"/>
                <w:szCs w:val="22"/>
              </w:rPr>
              <w:t xml:space="preserve">value of total licence </w:t>
            </w:r>
          </w:p>
        </w:tc>
        <w:tc>
          <w:tcPr>
            <w:tcW w:w="380" w:type="pct"/>
            <w:tcBorders>
              <w:top w:val="nil"/>
              <w:left w:val="nil"/>
              <w:bottom w:val="single" w:sz="4" w:space="0" w:color="auto"/>
              <w:right w:val="single" w:sz="4" w:space="0" w:color="auto"/>
            </w:tcBorders>
            <w:shd w:val="clear" w:color="auto" w:fill="auto"/>
            <w:noWrap/>
            <w:vAlign w:val="bottom"/>
            <w:hideMark/>
          </w:tcPr>
          <w:p w14:paraId="7F9DD518" w14:textId="07C65B15" w:rsidR="00474C1B" w:rsidRPr="00AE30C3" w:rsidRDefault="00474C1B" w:rsidP="00972966">
            <w:pPr>
              <w:spacing w:after="0" w:line="240" w:lineRule="auto"/>
              <w:jc w:val="right"/>
              <w:rPr>
                <w:rFonts w:cs="Arial"/>
                <w:color w:val="000000"/>
                <w:sz w:val="18"/>
                <w:szCs w:val="18"/>
              </w:rPr>
            </w:pPr>
            <w:r w:rsidRPr="00AE30C3">
              <w:rPr>
                <w:rFonts w:cs="Arial"/>
                <w:color w:val="000000"/>
                <w:sz w:val="18"/>
                <w:szCs w:val="18"/>
              </w:rPr>
              <w:t>$562,500</w:t>
            </w:r>
          </w:p>
        </w:tc>
        <w:tc>
          <w:tcPr>
            <w:tcW w:w="380" w:type="pct"/>
            <w:tcBorders>
              <w:top w:val="nil"/>
              <w:left w:val="nil"/>
              <w:bottom w:val="single" w:sz="4" w:space="0" w:color="auto"/>
              <w:right w:val="single" w:sz="4" w:space="0" w:color="auto"/>
            </w:tcBorders>
            <w:shd w:val="clear" w:color="auto" w:fill="auto"/>
            <w:noWrap/>
            <w:vAlign w:val="bottom"/>
            <w:hideMark/>
          </w:tcPr>
          <w:p w14:paraId="6504F067" w14:textId="3D7EC841"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$112,500</w:t>
            </w:r>
          </w:p>
        </w:tc>
        <w:tc>
          <w:tcPr>
            <w:tcW w:w="380" w:type="pct"/>
            <w:tcBorders>
              <w:top w:val="nil"/>
              <w:left w:val="nil"/>
              <w:bottom w:val="single" w:sz="4" w:space="0" w:color="auto"/>
              <w:right w:val="single" w:sz="4" w:space="0" w:color="auto"/>
            </w:tcBorders>
            <w:shd w:val="clear" w:color="auto" w:fill="auto"/>
            <w:noWrap/>
            <w:vAlign w:val="bottom"/>
            <w:hideMark/>
          </w:tcPr>
          <w:p w14:paraId="098794D6" w14:textId="6546A9F3" w:rsidR="00474C1B" w:rsidRPr="00AE30C3" w:rsidRDefault="00474C1B">
            <w:pPr>
              <w:spacing w:after="0" w:line="240" w:lineRule="auto"/>
              <w:jc w:val="right"/>
              <w:rPr>
                <w:rFonts w:cs="Arial"/>
                <w:color w:val="000000"/>
                <w:sz w:val="18"/>
                <w:szCs w:val="18"/>
              </w:rPr>
            </w:pPr>
            <w:r w:rsidRPr="00AE30C3">
              <w:rPr>
                <w:rFonts w:cs="Arial"/>
                <w:color w:val="000000"/>
                <w:sz w:val="18"/>
                <w:szCs w:val="18"/>
              </w:rPr>
              <w:t>$75,000</w:t>
            </w:r>
          </w:p>
        </w:tc>
        <w:tc>
          <w:tcPr>
            <w:tcW w:w="380" w:type="pct"/>
            <w:tcBorders>
              <w:top w:val="nil"/>
              <w:left w:val="nil"/>
              <w:bottom w:val="single" w:sz="4" w:space="0" w:color="auto"/>
              <w:right w:val="single" w:sz="4" w:space="0" w:color="auto"/>
            </w:tcBorders>
            <w:shd w:val="clear" w:color="auto" w:fill="auto"/>
            <w:noWrap/>
            <w:vAlign w:val="bottom"/>
            <w:hideMark/>
          </w:tcPr>
          <w:p w14:paraId="31657B0F" w14:textId="1767BADC"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380" w:type="pct"/>
            <w:tcBorders>
              <w:top w:val="nil"/>
              <w:left w:val="nil"/>
              <w:bottom w:val="single" w:sz="4" w:space="0" w:color="auto"/>
              <w:right w:val="single" w:sz="4" w:space="0" w:color="auto"/>
            </w:tcBorders>
            <w:shd w:val="clear" w:color="auto" w:fill="auto"/>
            <w:noWrap/>
            <w:vAlign w:val="bottom"/>
            <w:hideMark/>
          </w:tcPr>
          <w:p w14:paraId="1D2EB376" w14:textId="7E1A353D"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380" w:type="pct"/>
            <w:tcBorders>
              <w:top w:val="nil"/>
              <w:left w:val="nil"/>
              <w:bottom w:val="single" w:sz="4" w:space="0" w:color="auto"/>
              <w:right w:val="single" w:sz="4" w:space="0" w:color="auto"/>
            </w:tcBorders>
            <w:shd w:val="clear" w:color="auto" w:fill="auto"/>
            <w:noWrap/>
            <w:vAlign w:val="bottom"/>
            <w:hideMark/>
          </w:tcPr>
          <w:p w14:paraId="23A77482" w14:textId="21F340EB"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380" w:type="pct"/>
            <w:tcBorders>
              <w:top w:val="nil"/>
              <w:left w:val="nil"/>
              <w:bottom w:val="single" w:sz="4" w:space="0" w:color="auto"/>
              <w:right w:val="single" w:sz="4" w:space="0" w:color="auto"/>
            </w:tcBorders>
            <w:shd w:val="clear" w:color="auto" w:fill="auto"/>
            <w:noWrap/>
            <w:vAlign w:val="bottom"/>
            <w:hideMark/>
          </w:tcPr>
          <w:p w14:paraId="6A2D735E" w14:textId="19771703"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380" w:type="pct"/>
            <w:tcBorders>
              <w:top w:val="nil"/>
              <w:left w:val="nil"/>
              <w:bottom w:val="single" w:sz="4" w:space="0" w:color="auto"/>
              <w:right w:val="single" w:sz="4" w:space="0" w:color="auto"/>
            </w:tcBorders>
            <w:shd w:val="clear" w:color="auto" w:fill="auto"/>
            <w:noWrap/>
            <w:vAlign w:val="bottom"/>
            <w:hideMark/>
          </w:tcPr>
          <w:p w14:paraId="6CAFDCAD" w14:textId="76FDBE5A"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380" w:type="pct"/>
            <w:tcBorders>
              <w:top w:val="nil"/>
              <w:left w:val="nil"/>
              <w:bottom w:val="single" w:sz="4" w:space="0" w:color="auto"/>
              <w:right w:val="single" w:sz="4" w:space="0" w:color="auto"/>
            </w:tcBorders>
            <w:shd w:val="clear" w:color="auto" w:fill="auto"/>
            <w:noWrap/>
            <w:vAlign w:val="bottom"/>
            <w:hideMark/>
          </w:tcPr>
          <w:p w14:paraId="31B1B888" w14:textId="65E4ACD1"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355" w:type="pct"/>
            <w:tcBorders>
              <w:top w:val="nil"/>
              <w:left w:val="nil"/>
              <w:bottom w:val="single" w:sz="4" w:space="0" w:color="auto"/>
              <w:right w:val="single" w:sz="4" w:space="0" w:color="auto"/>
            </w:tcBorders>
            <w:shd w:val="clear" w:color="auto" w:fill="auto"/>
            <w:noWrap/>
            <w:vAlign w:val="bottom"/>
            <w:hideMark/>
          </w:tcPr>
          <w:p w14:paraId="0A01119A" w14:textId="313E4EF2"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405" w:type="pct"/>
            <w:tcBorders>
              <w:top w:val="nil"/>
              <w:left w:val="nil"/>
              <w:bottom w:val="single" w:sz="4" w:space="0" w:color="auto"/>
              <w:right w:val="single" w:sz="4" w:space="0" w:color="auto"/>
            </w:tcBorders>
            <w:shd w:val="clear" w:color="auto" w:fill="auto"/>
            <w:noWrap/>
            <w:vAlign w:val="bottom"/>
            <w:hideMark/>
          </w:tcPr>
          <w:p w14:paraId="660CEC67" w14:textId="1D7AF6B5"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$1,012,500</w:t>
            </w:r>
          </w:p>
        </w:tc>
        <w:tc>
          <w:tcPr>
            <w:tcW w:w="380" w:type="pct"/>
            <w:tcBorders>
              <w:top w:val="nil"/>
              <w:left w:val="nil"/>
              <w:bottom w:val="single" w:sz="4" w:space="0" w:color="auto"/>
              <w:right w:val="single" w:sz="8" w:space="0" w:color="auto"/>
            </w:tcBorders>
            <w:shd w:val="clear" w:color="auto" w:fill="auto"/>
            <w:noWrap/>
            <w:vAlign w:val="bottom"/>
            <w:hideMark/>
          </w:tcPr>
          <w:p w14:paraId="18D612BF" w14:textId="5BA3581A"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$101,250</w:t>
            </w:r>
          </w:p>
        </w:tc>
      </w:tr>
      <w:tr w:rsidR="00633415" w:rsidRPr="00C96BC5" w14:paraId="428BD122" w14:textId="77777777" w:rsidTr="008156C0">
        <w:trPr>
          <w:trHeight w:val="290"/>
        </w:trPr>
        <w:tc>
          <w:tcPr>
            <w:tcW w:w="438" w:type="pct"/>
            <w:tcBorders>
              <w:top w:val="nil"/>
              <w:left w:val="single" w:sz="8" w:space="0" w:color="auto"/>
              <w:bottom w:val="single" w:sz="4" w:space="0" w:color="auto"/>
              <w:right w:val="single" w:sz="4" w:space="0" w:color="auto"/>
            </w:tcBorders>
            <w:shd w:val="clear" w:color="auto" w:fill="auto"/>
            <w:noWrap/>
            <w:vAlign w:val="bottom"/>
            <w:hideMark/>
          </w:tcPr>
          <w:p w14:paraId="1780DC04" w14:textId="77777777" w:rsidR="00474C1B" w:rsidRPr="002F46B3" w:rsidRDefault="00474C1B" w:rsidP="00474C1B">
            <w:pPr>
              <w:spacing w:after="0" w:line="240" w:lineRule="auto"/>
              <w:rPr>
                <w:rFonts w:cs="Arial"/>
                <w:color w:val="000000"/>
                <w:sz w:val="22"/>
                <w:szCs w:val="22"/>
              </w:rPr>
            </w:pPr>
            <w:r w:rsidRPr="002F46B3">
              <w:rPr>
                <w:rFonts w:cs="Arial"/>
                <w:color w:val="000000"/>
                <w:sz w:val="22"/>
                <w:szCs w:val="22"/>
              </w:rPr>
              <w:t>DWL ($)</w:t>
            </w:r>
          </w:p>
        </w:tc>
        <w:tc>
          <w:tcPr>
            <w:tcW w:w="380" w:type="pct"/>
            <w:tcBorders>
              <w:top w:val="nil"/>
              <w:left w:val="nil"/>
              <w:bottom w:val="single" w:sz="4" w:space="0" w:color="auto"/>
              <w:right w:val="single" w:sz="4" w:space="0" w:color="auto"/>
            </w:tcBorders>
            <w:shd w:val="clear" w:color="auto" w:fill="auto"/>
            <w:noWrap/>
            <w:vAlign w:val="bottom"/>
            <w:hideMark/>
          </w:tcPr>
          <w:p w14:paraId="45854A63" w14:textId="2020F8CC" w:rsidR="00474C1B" w:rsidRPr="00AE30C3" w:rsidRDefault="00474C1B" w:rsidP="00972966">
            <w:pPr>
              <w:spacing w:after="0" w:line="240" w:lineRule="auto"/>
              <w:jc w:val="right"/>
              <w:rPr>
                <w:rFonts w:cs="Arial"/>
                <w:color w:val="000000"/>
                <w:sz w:val="18"/>
                <w:szCs w:val="18"/>
              </w:rPr>
            </w:pPr>
            <w:r w:rsidRPr="00AE30C3">
              <w:rPr>
                <w:rFonts w:cs="Arial"/>
                <w:color w:val="000000"/>
                <w:sz w:val="18"/>
                <w:szCs w:val="18"/>
              </w:rPr>
              <w:t>$281,250</w:t>
            </w:r>
          </w:p>
        </w:tc>
        <w:tc>
          <w:tcPr>
            <w:tcW w:w="380" w:type="pct"/>
            <w:tcBorders>
              <w:top w:val="nil"/>
              <w:left w:val="nil"/>
              <w:bottom w:val="single" w:sz="4" w:space="0" w:color="auto"/>
              <w:right w:val="single" w:sz="4" w:space="0" w:color="auto"/>
            </w:tcBorders>
            <w:shd w:val="clear" w:color="auto" w:fill="auto"/>
            <w:noWrap/>
            <w:vAlign w:val="bottom"/>
            <w:hideMark/>
          </w:tcPr>
          <w:p w14:paraId="25839600" w14:textId="01027EED" w:rsidR="00474C1B" w:rsidRPr="00AE30C3" w:rsidRDefault="00474C1B">
            <w:pPr>
              <w:spacing w:after="0" w:line="240" w:lineRule="auto"/>
              <w:jc w:val="right"/>
              <w:rPr>
                <w:rFonts w:cs="Arial"/>
                <w:color w:val="000000"/>
                <w:sz w:val="18"/>
                <w:szCs w:val="18"/>
              </w:rPr>
            </w:pPr>
            <w:r w:rsidRPr="00AE30C3">
              <w:rPr>
                <w:rFonts w:cs="Arial"/>
                <w:color w:val="000000"/>
                <w:sz w:val="18"/>
                <w:szCs w:val="18"/>
              </w:rPr>
              <w:t>$56,250</w:t>
            </w:r>
          </w:p>
        </w:tc>
        <w:tc>
          <w:tcPr>
            <w:tcW w:w="380" w:type="pct"/>
            <w:tcBorders>
              <w:top w:val="nil"/>
              <w:left w:val="nil"/>
              <w:bottom w:val="single" w:sz="4" w:space="0" w:color="auto"/>
              <w:right w:val="single" w:sz="4" w:space="0" w:color="auto"/>
            </w:tcBorders>
            <w:shd w:val="clear" w:color="auto" w:fill="auto"/>
            <w:noWrap/>
            <w:vAlign w:val="bottom"/>
            <w:hideMark/>
          </w:tcPr>
          <w:p w14:paraId="441E5644" w14:textId="44FD2268" w:rsidR="00474C1B" w:rsidRPr="00AE30C3" w:rsidRDefault="00474C1B">
            <w:pPr>
              <w:spacing w:after="0" w:line="240" w:lineRule="auto"/>
              <w:jc w:val="right"/>
              <w:rPr>
                <w:rFonts w:cs="Arial"/>
                <w:color w:val="000000"/>
                <w:sz w:val="18"/>
                <w:szCs w:val="18"/>
              </w:rPr>
            </w:pPr>
            <w:r w:rsidRPr="00AE30C3">
              <w:rPr>
                <w:rFonts w:cs="Arial"/>
                <w:color w:val="000000"/>
                <w:sz w:val="18"/>
                <w:szCs w:val="18"/>
              </w:rPr>
              <w:t>$37,500</w:t>
            </w:r>
          </w:p>
        </w:tc>
        <w:tc>
          <w:tcPr>
            <w:tcW w:w="380" w:type="pct"/>
            <w:tcBorders>
              <w:top w:val="nil"/>
              <w:left w:val="nil"/>
              <w:bottom w:val="single" w:sz="4" w:space="0" w:color="auto"/>
              <w:right w:val="single" w:sz="4" w:space="0" w:color="auto"/>
            </w:tcBorders>
            <w:shd w:val="clear" w:color="auto" w:fill="auto"/>
            <w:noWrap/>
            <w:vAlign w:val="bottom"/>
            <w:hideMark/>
          </w:tcPr>
          <w:p w14:paraId="5AE0477E" w14:textId="189E80FF"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$18,750</w:t>
            </w:r>
          </w:p>
        </w:tc>
        <w:tc>
          <w:tcPr>
            <w:tcW w:w="380" w:type="pct"/>
            <w:tcBorders>
              <w:top w:val="nil"/>
              <w:left w:val="nil"/>
              <w:bottom w:val="single" w:sz="4" w:space="0" w:color="auto"/>
              <w:right w:val="single" w:sz="4" w:space="0" w:color="auto"/>
            </w:tcBorders>
            <w:shd w:val="clear" w:color="auto" w:fill="auto"/>
            <w:noWrap/>
            <w:vAlign w:val="bottom"/>
            <w:hideMark/>
          </w:tcPr>
          <w:p w14:paraId="69238FFA" w14:textId="65164281"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$18,750</w:t>
            </w:r>
          </w:p>
        </w:tc>
        <w:tc>
          <w:tcPr>
            <w:tcW w:w="380" w:type="pct"/>
            <w:tcBorders>
              <w:top w:val="nil"/>
              <w:left w:val="nil"/>
              <w:bottom w:val="single" w:sz="4" w:space="0" w:color="auto"/>
              <w:right w:val="single" w:sz="4" w:space="0" w:color="auto"/>
            </w:tcBorders>
            <w:shd w:val="clear" w:color="auto" w:fill="auto"/>
            <w:noWrap/>
            <w:vAlign w:val="bottom"/>
            <w:hideMark/>
          </w:tcPr>
          <w:p w14:paraId="1457568B" w14:textId="4D3B7560"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$18,750</w:t>
            </w:r>
          </w:p>
        </w:tc>
        <w:tc>
          <w:tcPr>
            <w:tcW w:w="380" w:type="pct"/>
            <w:tcBorders>
              <w:top w:val="nil"/>
              <w:left w:val="nil"/>
              <w:bottom w:val="single" w:sz="4" w:space="0" w:color="auto"/>
              <w:right w:val="single" w:sz="4" w:space="0" w:color="auto"/>
            </w:tcBorders>
            <w:shd w:val="clear" w:color="auto" w:fill="auto"/>
            <w:noWrap/>
            <w:vAlign w:val="bottom"/>
            <w:hideMark/>
          </w:tcPr>
          <w:p w14:paraId="759FDB79" w14:textId="519217D6"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$18,750</w:t>
            </w:r>
          </w:p>
        </w:tc>
        <w:tc>
          <w:tcPr>
            <w:tcW w:w="380" w:type="pct"/>
            <w:tcBorders>
              <w:top w:val="nil"/>
              <w:left w:val="nil"/>
              <w:bottom w:val="single" w:sz="4" w:space="0" w:color="auto"/>
              <w:right w:val="single" w:sz="4" w:space="0" w:color="auto"/>
            </w:tcBorders>
            <w:shd w:val="clear" w:color="auto" w:fill="auto"/>
            <w:noWrap/>
            <w:vAlign w:val="bottom"/>
            <w:hideMark/>
          </w:tcPr>
          <w:p w14:paraId="10B3AE04" w14:textId="34255DE4"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$18,750</w:t>
            </w:r>
          </w:p>
        </w:tc>
        <w:tc>
          <w:tcPr>
            <w:tcW w:w="380" w:type="pct"/>
            <w:tcBorders>
              <w:top w:val="nil"/>
              <w:left w:val="nil"/>
              <w:bottom w:val="single" w:sz="4" w:space="0" w:color="auto"/>
              <w:right w:val="single" w:sz="4" w:space="0" w:color="auto"/>
            </w:tcBorders>
            <w:shd w:val="clear" w:color="auto" w:fill="auto"/>
            <w:noWrap/>
            <w:vAlign w:val="bottom"/>
            <w:hideMark/>
          </w:tcPr>
          <w:p w14:paraId="58278912" w14:textId="5C2E94B1"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$18,750</w:t>
            </w:r>
          </w:p>
        </w:tc>
        <w:tc>
          <w:tcPr>
            <w:tcW w:w="355" w:type="pct"/>
            <w:tcBorders>
              <w:top w:val="nil"/>
              <w:left w:val="nil"/>
              <w:bottom w:val="single" w:sz="4" w:space="0" w:color="auto"/>
              <w:right w:val="single" w:sz="4" w:space="0" w:color="auto"/>
            </w:tcBorders>
            <w:shd w:val="clear" w:color="auto" w:fill="auto"/>
            <w:noWrap/>
            <w:vAlign w:val="bottom"/>
            <w:hideMark/>
          </w:tcPr>
          <w:p w14:paraId="7FC26B86" w14:textId="0505563F"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$18,750</w:t>
            </w:r>
          </w:p>
        </w:tc>
        <w:tc>
          <w:tcPr>
            <w:tcW w:w="405" w:type="pct"/>
            <w:tcBorders>
              <w:top w:val="nil"/>
              <w:left w:val="nil"/>
              <w:bottom w:val="single" w:sz="4" w:space="0" w:color="auto"/>
              <w:right w:val="single" w:sz="4" w:space="0" w:color="auto"/>
            </w:tcBorders>
            <w:shd w:val="clear" w:color="auto" w:fill="auto"/>
            <w:noWrap/>
            <w:vAlign w:val="bottom"/>
            <w:hideMark/>
          </w:tcPr>
          <w:p w14:paraId="60A3FAC6" w14:textId="4954599F" w:rsidR="00474C1B" w:rsidRPr="00AE30C3" w:rsidRDefault="00474C1B">
            <w:pPr>
              <w:spacing w:after="0" w:line="240" w:lineRule="auto"/>
              <w:jc w:val="right"/>
              <w:rPr>
                <w:rFonts w:cs="Arial"/>
                <w:color w:val="000000"/>
                <w:sz w:val="18"/>
                <w:szCs w:val="18"/>
              </w:rPr>
            </w:pPr>
            <w:r w:rsidRPr="00AE30C3">
              <w:rPr>
                <w:rFonts w:cs="Arial"/>
                <w:color w:val="000000"/>
                <w:sz w:val="18"/>
                <w:szCs w:val="18"/>
              </w:rPr>
              <w:t>$506,250</w:t>
            </w:r>
          </w:p>
        </w:tc>
        <w:tc>
          <w:tcPr>
            <w:tcW w:w="380" w:type="pct"/>
            <w:tcBorders>
              <w:top w:val="nil"/>
              <w:left w:val="nil"/>
              <w:bottom w:val="single" w:sz="4" w:space="0" w:color="auto"/>
              <w:right w:val="single" w:sz="8" w:space="0" w:color="auto"/>
            </w:tcBorders>
            <w:shd w:val="clear" w:color="auto" w:fill="auto"/>
            <w:noWrap/>
            <w:vAlign w:val="bottom"/>
            <w:hideMark/>
          </w:tcPr>
          <w:p w14:paraId="0DD86AF4" w14:textId="27841198" w:rsidR="00474C1B" w:rsidRPr="00AE30C3" w:rsidRDefault="00474C1B">
            <w:pPr>
              <w:spacing w:after="0" w:line="240" w:lineRule="auto"/>
              <w:jc w:val="right"/>
              <w:rPr>
                <w:rFonts w:cs="Arial"/>
                <w:color w:val="000000"/>
                <w:sz w:val="18"/>
                <w:szCs w:val="18"/>
              </w:rPr>
            </w:pPr>
            <w:r w:rsidRPr="00AE30C3">
              <w:rPr>
                <w:rFonts w:cs="Arial"/>
                <w:color w:val="000000"/>
                <w:sz w:val="18"/>
                <w:szCs w:val="18"/>
              </w:rPr>
              <w:t>$50,625</w:t>
            </w:r>
          </w:p>
        </w:tc>
      </w:tr>
      <w:tr w:rsidR="00633415" w:rsidRPr="00C96BC5" w14:paraId="4FC4D97F" w14:textId="77777777" w:rsidTr="008156C0">
        <w:trPr>
          <w:trHeight w:val="300"/>
        </w:trPr>
        <w:tc>
          <w:tcPr>
            <w:tcW w:w="438" w:type="pct"/>
            <w:tcBorders>
              <w:top w:val="nil"/>
              <w:left w:val="single" w:sz="8" w:space="0" w:color="auto"/>
              <w:bottom w:val="single" w:sz="8" w:space="0" w:color="auto"/>
              <w:right w:val="single" w:sz="4" w:space="0" w:color="auto"/>
            </w:tcBorders>
            <w:shd w:val="clear" w:color="auto" w:fill="auto"/>
            <w:noWrap/>
            <w:vAlign w:val="bottom"/>
            <w:hideMark/>
          </w:tcPr>
          <w:p w14:paraId="08E2CB90" w14:textId="77777777" w:rsidR="00474C1B" w:rsidRPr="002F46B3" w:rsidRDefault="00474C1B" w:rsidP="00474C1B">
            <w:pPr>
              <w:spacing w:after="0" w:line="240" w:lineRule="auto"/>
              <w:rPr>
                <w:rFonts w:cs="Arial"/>
                <w:color w:val="000000"/>
                <w:sz w:val="22"/>
                <w:szCs w:val="22"/>
              </w:rPr>
            </w:pPr>
            <w:r w:rsidRPr="002F46B3">
              <w:rPr>
                <w:rFonts w:cs="Arial"/>
                <w:color w:val="000000"/>
                <w:sz w:val="22"/>
                <w:szCs w:val="22"/>
              </w:rPr>
              <w:t>DWL ($) - present value</w:t>
            </w:r>
          </w:p>
        </w:tc>
        <w:tc>
          <w:tcPr>
            <w:tcW w:w="380" w:type="pct"/>
            <w:tcBorders>
              <w:top w:val="nil"/>
              <w:left w:val="nil"/>
              <w:bottom w:val="single" w:sz="8" w:space="0" w:color="auto"/>
              <w:right w:val="single" w:sz="4" w:space="0" w:color="auto"/>
            </w:tcBorders>
            <w:shd w:val="clear" w:color="auto" w:fill="auto"/>
            <w:noWrap/>
            <w:vAlign w:val="bottom"/>
            <w:hideMark/>
          </w:tcPr>
          <w:p w14:paraId="7FA80E5A" w14:textId="76AF0C6C" w:rsidR="00474C1B" w:rsidRPr="00AE30C3" w:rsidRDefault="00474C1B" w:rsidP="00972966">
            <w:pPr>
              <w:spacing w:after="0" w:line="240" w:lineRule="auto"/>
              <w:jc w:val="right"/>
              <w:rPr>
                <w:rFonts w:cs="Arial"/>
                <w:color w:val="000000"/>
                <w:sz w:val="18"/>
                <w:szCs w:val="18"/>
              </w:rPr>
            </w:pPr>
            <w:r w:rsidRPr="00AE30C3">
              <w:rPr>
                <w:rFonts w:cs="Arial"/>
                <w:color w:val="000000"/>
                <w:sz w:val="18"/>
                <w:szCs w:val="18"/>
              </w:rPr>
              <w:t>$281,250</w:t>
            </w:r>
          </w:p>
        </w:tc>
        <w:tc>
          <w:tcPr>
            <w:tcW w:w="380" w:type="pct"/>
            <w:tcBorders>
              <w:top w:val="nil"/>
              <w:left w:val="nil"/>
              <w:bottom w:val="single" w:sz="8" w:space="0" w:color="auto"/>
              <w:right w:val="single" w:sz="4" w:space="0" w:color="auto"/>
            </w:tcBorders>
            <w:shd w:val="clear" w:color="auto" w:fill="auto"/>
            <w:noWrap/>
            <w:vAlign w:val="bottom"/>
            <w:hideMark/>
          </w:tcPr>
          <w:p w14:paraId="6D3B97FE" w14:textId="25802195" w:rsidR="00474C1B" w:rsidRPr="00AE30C3" w:rsidRDefault="00474C1B">
            <w:pPr>
              <w:spacing w:after="0" w:line="240" w:lineRule="auto"/>
              <w:jc w:val="right"/>
              <w:rPr>
                <w:rFonts w:cs="Arial"/>
                <w:color w:val="000000"/>
                <w:sz w:val="18"/>
                <w:szCs w:val="18"/>
              </w:rPr>
            </w:pPr>
            <w:r w:rsidRPr="00AE30C3">
              <w:rPr>
                <w:rFonts w:cs="Arial"/>
                <w:color w:val="000000"/>
                <w:sz w:val="18"/>
                <w:szCs w:val="18"/>
              </w:rPr>
              <w:t>$52,570</w:t>
            </w:r>
          </w:p>
        </w:tc>
        <w:tc>
          <w:tcPr>
            <w:tcW w:w="380" w:type="pct"/>
            <w:tcBorders>
              <w:top w:val="nil"/>
              <w:left w:val="nil"/>
              <w:bottom w:val="single" w:sz="8" w:space="0" w:color="auto"/>
              <w:right w:val="single" w:sz="4" w:space="0" w:color="auto"/>
            </w:tcBorders>
            <w:shd w:val="clear" w:color="auto" w:fill="auto"/>
            <w:noWrap/>
            <w:vAlign w:val="bottom"/>
            <w:hideMark/>
          </w:tcPr>
          <w:p w14:paraId="2242CA82" w14:textId="3F9513D1" w:rsidR="00474C1B" w:rsidRPr="00AE30C3" w:rsidRDefault="00474C1B">
            <w:pPr>
              <w:spacing w:after="0" w:line="240" w:lineRule="auto"/>
              <w:jc w:val="right"/>
              <w:rPr>
                <w:rFonts w:cs="Arial"/>
                <w:color w:val="000000"/>
                <w:sz w:val="18"/>
                <w:szCs w:val="18"/>
              </w:rPr>
            </w:pPr>
            <w:r w:rsidRPr="00AE30C3">
              <w:rPr>
                <w:rFonts w:cs="Arial"/>
                <w:color w:val="000000"/>
                <w:sz w:val="18"/>
                <w:szCs w:val="18"/>
              </w:rPr>
              <w:t xml:space="preserve">$32,754 </w:t>
            </w:r>
          </w:p>
        </w:tc>
        <w:tc>
          <w:tcPr>
            <w:tcW w:w="380" w:type="pct"/>
            <w:tcBorders>
              <w:top w:val="nil"/>
              <w:left w:val="nil"/>
              <w:bottom w:val="single" w:sz="8" w:space="0" w:color="auto"/>
              <w:right w:val="single" w:sz="4" w:space="0" w:color="auto"/>
            </w:tcBorders>
            <w:shd w:val="clear" w:color="auto" w:fill="auto"/>
            <w:noWrap/>
            <w:vAlign w:val="bottom"/>
            <w:hideMark/>
          </w:tcPr>
          <w:p w14:paraId="775FB1F8" w14:textId="2EB69161"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$15,306</w:t>
            </w:r>
          </w:p>
        </w:tc>
        <w:tc>
          <w:tcPr>
            <w:tcW w:w="380" w:type="pct"/>
            <w:tcBorders>
              <w:top w:val="nil"/>
              <w:left w:val="nil"/>
              <w:bottom w:val="single" w:sz="8" w:space="0" w:color="auto"/>
              <w:right w:val="single" w:sz="4" w:space="0" w:color="auto"/>
            </w:tcBorders>
            <w:shd w:val="clear" w:color="auto" w:fill="auto"/>
            <w:noWrap/>
            <w:vAlign w:val="bottom"/>
            <w:hideMark/>
          </w:tcPr>
          <w:p w14:paraId="2D3B61A5" w14:textId="28423626"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$14,304</w:t>
            </w:r>
          </w:p>
        </w:tc>
        <w:tc>
          <w:tcPr>
            <w:tcW w:w="380" w:type="pct"/>
            <w:tcBorders>
              <w:top w:val="nil"/>
              <w:left w:val="nil"/>
              <w:bottom w:val="single" w:sz="8" w:space="0" w:color="auto"/>
              <w:right w:val="single" w:sz="4" w:space="0" w:color="auto"/>
            </w:tcBorders>
            <w:shd w:val="clear" w:color="auto" w:fill="auto"/>
            <w:noWrap/>
            <w:vAlign w:val="bottom"/>
            <w:hideMark/>
          </w:tcPr>
          <w:p w14:paraId="5A1DB5CE" w14:textId="7719CABC"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$13,368</w:t>
            </w:r>
          </w:p>
        </w:tc>
        <w:tc>
          <w:tcPr>
            <w:tcW w:w="380" w:type="pct"/>
            <w:tcBorders>
              <w:top w:val="nil"/>
              <w:left w:val="nil"/>
              <w:bottom w:val="single" w:sz="8" w:space="0" w:color="auto"/>
              <w:right w:val="single" w:sz="4" w:space="0" w:color="auto"/>
            </w:tcBorders>
            <w:shd w:val="clear" w:color="auto" w:fill="auto"/>
            <w:noWrap/>
            <w:vAlign w:val="bottom"/>
            <w:hideMark/>
          </w:tcPr>
          <w:p w14:paraId="40D488E3" w14:textId="5732AAF0"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$12,494</w:t>
            </w:r>
          </w:p>
        </w:tc>
        <w:tc>
          <w:tcPr>
            <w:tcW w:w="380" w:type="pct"/>
            <w:tcBorders>
              <w:top w:val="nil"/>
              <w:left w:val="nil"/>
              <w:bottom w:val="single" w:sz="8" w:space="0" w:color="auto"/>
              <w:right w:val="single" w:sz="4" w:space="0" w:color="auto"/>
            </w:tcBorders>
            <w:shd w:val="clear" w:color="auto" w:fill="auto"/>
            <w:noWrap/>
            <w:vAlign w:val="bottom"/>
            <w:hideMark/>
          </w:tcPr>
          <w:p w14:paraId="34943944" w14:textId="71274D8C"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$11,677</w:t>
            </w:r>
          </w:p>
        </w:tc>
        <w:tc>
          <w:tcPr>
            <w:tcW w:w="380" w:type="pct"/>
            <w:tcBorders>
              <w:top w:val="nil"/>
              <w:left w:val="nil"/>
              <w:bottom w:val="single" w:sz="8" w:space="0" w:color="auto"/>
              <w:right w:val="single" w:sz="4" w:space="0" w:color="auto"/>
            </w:tcBorders>
            <w:shd w:val="clear" w:color="auto" w:fill="auto"/>
            <w:noWrap/>
            <w:vAlign w:val="bottom"/>
            <w:hideMark/>
          </w:tcPr>
          <w:p w14:paraId="3565C683" w14:textId="4C83E7D8"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$10,913</w:t>
            </w:r>
          </w:p>
        </w:tc>
        <w:tc>
          <w:tcPr>
            <w:tcW w:w="355" w:type="pct"/>
            <w:tcBorders>
              <w:top w:val="nil"/>
              <w:left w:val="nil"/>
              <w:bottom w:val="single" w:sz="8" w:space="0" w:color="auto"/>
              <w:right w:val="single" w:sz="4" w:space="0" w:color="auto"/>
            </w:tcBorders>
            <w:shd w:val="clear" w:color="auto" w:fill="auto"/>
            <w:noWrap/>
            <w:vAlign w:val="bottom"/>
            <w:hideMark/>
          </w:tcPr>
          <w:p w14:paraId="1C7D5D25" w14:textId="7DFD0A5C" w:rsidR="00474C1B" w:rsidRPr="00AE30C3" w:rsidRDefault="00474C1B">
            <w:pPr>
              <w:spacing w:after="0" w:line="240" w:lineRule="auto"/>
              <w:jc w:val="right"/>
              <w:rPr>
                <w:rFonts w:cs="Arial"/>
                <w:color w:val="000000"/>
                <w:sz w:val="18"/>
                <w:szCs w:val="18"/>
              </w:rPr>
            </w:pPr>
            <w:r w:rsidRPr="00AE30C3">
              <w:rPr>
                <w:rFonts w:cs="Arial"/>
                <w:color w:val="000000"/>
                <w:sz w:val="18"/>
                <w:szCs w:val="18"/>
              </w:rPr>
              <w:t>$10,199</w:t>
            </w:r>
          </w:p>
        </w:tc>
        <w:tc>
          <w:tcPr>
            <w:tcW w:w="405" w:type="pct"/>
            <w:tcBorders>
              <w:top w:val="nil"/>
              <w:left w:val="nil"/>
              <w:bottom w:val="single" w:sz="8" w:space="0" w:color="auto"/>
              <w:right w:val="single" w:sz="4" w:space="0" w:color="auto"/>
            </w:tcBorders>
            <w:shd w:val="clear" w:color="auto" w:fill="auto"/>
            <w:noWrap/>
            <w:vAlign w:val="bottom"/>
            <w:hideMark/>
          </w:tcPr>
          <w:p w14:paraId="106B07D8" w14:textId="2076E2DB" w:rsidR="00474C1B" w:rsidRPr="00AE30C3" w:rsidRDefault="00474C1B">
            <w:pPr>
              <w:spacing w:after="0" w:line="240" w:lineRule="auto"/>
              <w:jc w:val="right"/>
              <w:rPr>
                <w:rFonts w:cs="Arial"/>
                <w:color w:val="000000"/>
                <w:sz w:val="18"/>
                <w:szCs w:val="18"/>
              </w:rPr>
            </w:pPr>
            <w:r w:rsidRPr="00AE30C3">
              <w:rPr>
                <w:rFonts w:cs="Arial"/>
                <w:color w:val="000000"/>
                <w:sz w:val="18"/>
                <w:szCs w:val="18"/>
              </w:rPr>
              <w:t>$454,834</w:t>
            </w:r>
          </w:p>
        </w:tc>
        <w:tc>
          <w:tcPr>
            <w:tcW w:w="380" w:type="pct"/>
            <w:tcBorders>
              <w:top w:val="nil"/>
              <w:left w:val="nil"/>
              <w:bottom w:val="single" w:sz="8" w:space="0" w:color="auto"/>
              <w:right w:val="single" w:sz="8" w:space="0" w:color="auto"/>
            </w:tcBorders>
            <w:shd w:val="clear" w:color="auto" w:fill="auto"/>
            <w:noWrap/>
            <w:vAlign w:val="bottom"/>
            <w:hideMark/>
          </w:tcPr>
          <w:p w14:paraId="7518B42B" w14:textId="1F780C0F" w:rsidR="00474C1B" w:rsidRPr="00AE30C3" w:rsidRDefault="00474C1B">
            <w:pPr>
              <w:spacing w:after="0" w:line="240" w:lineRule="auto"/>
              <w:jc w:val="right"/>
              <w:rPr>
                <w:rFonts w:cs="Arial"/>
                <w:color w:val="000000"/>
                <w:sz w:val="18"/>
                <w:szCs w:val="18"/>
              </w:rPr>
            </w:pPr>
            <w:r w:rsidRPr="00AE30C3">
              <w:rPr>
                <w:rFonts w:cs="Arial"/>
                <w:color w:val="000000"/>
                <w:sz w:val="18"/>
                <w:szCs w:val="18"/>
              </w:rPr>
              <w:t>$45,483</w:t>
            </w:r>
          </w:p>
        </w:tc>
      </w:tr>
    </w:tbl>
    <w:p w14:paraId="466E938A" w14:textId="77777777" w:rsidR="00474C1B" w:rsidRPr="00C21822" w:rsidRDefault="00474C1B" w:rsidP="00F87164">
      <w:pPr>
        <w:rPr>
          <w:rFonts w:cs="Arial"/>
        </w:rPr>
      </w:pPr>
    </w:p>
    <w:p w14:paraId="5674CA52" w14:textId="77777777" w:rsidR="00633415" w:rsidRDefault="00633415">
      <w:pPr>
        <w:spacing w:after="160" w:line="259" w:lineRule="auto"/>
        <w:rPr>
          <w:rFonts w:cs="Arial"/>
          <w:b/>
          <w:bCs/>
          <w:iCs/>
          <w:sz w:val="28"/>
          <w:szCs w:val="28"/>
        </w:rPr>
      </w:pPr>
      <w:r>
        <w:br w:type="page"/>
      </w:r>
    </w:p>
    <w:p w14:paraId="3DEB4F76" w14:textId="6A93AABC" w:rsidR="00D765A7" w:rsidRPr="00C96BC5" w:rsidRDefault="00D765A7" w:rsidP="0046746A">
      <w:pPr>
        <w:pStyle w:val="Heading2"/>
      </w:pPr>
      <w:bookmarkStart w:id="68" w:name="_Toc137640988"/>
      <w:r w:rsidRPr="00C96BC5">
        <w:t>Option 2</w:t>
      </w:r>
      <w:r w:rsidR="00A564B2" w:rsidRPr="00C96BC5">
        <w:t xml:space="preserve"> - facilitate </w:t>
      </w:r>
      <w:r w:rsidR="00EA343F">
        <w:t xml:space="preserve">LA </w:t>
      </w:r>
      <w:r w:rsidR="00A564B2" w:rsidRPr="00C96BC5">
        <w:t>WBB on a ‘per licence’ basis (alternative option)</w:t>
      </w:r>
      <w:bookmarkEnd w:id="68"/>
    </w:p>
    <w:p w14:paraId="6B7676AF" w14:textId="3CCEEF7F" w:rsidR="00A564B2" w:rsidRPr="002F46B3" w:rsidRDefault="00A564B2" w:rsidP="00F87164">
      <w:pPr>
        <w:rPr>
          <w:rFonts w:cs="Arial"/>
        </w:rPr>
      </w:pPr>
      <w:r w:rsidRPr="00AE2ACB">
        <w:rPr>
          <w:rFonts w:cs="Arial"/>
        </w:rPr>
        <w:t xml:space="preserve">The ‘out of policy’ requests will help </w:t>
      </w:r>
      <w:r w:rsidR="00777AA6" w:rsidRPr="00C6486F">
        <w:rPr>
          <w:rFonts w:cs="Arial"/>
        </w:rPr>
        <w:t>more prospective licensees obtain appropriate licences for their business cases</w:t>
      </w:r>
      <w:r w:rsidR="00796652" w:rsidRPr="00C6486F">
        <w:rPr>
          <w:rFonts w:cs="Arial"/>
        </w:rPr>
        <w:t xml:space="preserve">, reducing DWL. </w:t>
      </w:r>
    </w:p>
    <w:p w14:paraId="60718BD7" w14:textId="26C737C4" w:rsidR="00F9569E" w:rsidRPr="002F46B3" w:rsidRDefault="00B805EC" w:rsidP="00F9569E">
      <w:pPr>
        <w:pStyle w:val="Caption"/>
        <w:rPr>
          <w:rFonts w:cs="Arial"/>
        </w:rPr>
      </w:pPr>
      <w:r w:rsidRPr="002F46B3">
        <w:rPr>
          <w:rFonts w:cs="Arial"/>
        </w:rPr>
        <w:t>Assumptions for option 2</w:t>
      </w:r>
    </w:p>
    <w:tbl>
      <w:tblPr>
        <w:tblW w:w="9060" w:type="dxa"/>
        <w:tblLook w:val="04A0" w:firstRow="1" w:lastRow="0" w:firstColumn="1" w:lastColumn="0" w:noHBand="0" w:noVBand="1"/>
      </w:tblPr>
      <w:tblGrid>
        <w:gridCol w:w="4540"/>
        <w:gridCol w:w="2540"/>
        <w:gridCol w:w="1980"/>
      </w:tblGrid>
      <w:tr w:rsidR="005E49AB" w:rsidRPr="00C96BC5" w14:paraId="3B51BC44" w14:textId="77777777" w:rsidTr="005E49AB">
        <w:trPr>
          <w:trHeight w:val="29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DF231" w14:textId="77777777" w:rsidR="005E49AB" w:rsidRPr="002F46B3" w:rsidRDefault="005E49AB" w:rsidP="005E49AB">
            <w:pPr>
              <w:spacing w:after="0" w:line="240" w:lineRule="auto"/>
              <w:rPr>
                <w:rFonts w:cs="Arial"/>
                <w:b/>
                <w:bCs/>
                <w:color w:val="000000"/>
                <w:sz w:val="22"/>
                <w:szCs w:val="22"/>
              </w:rPr>
            </w:pPr>
            <w:r w:rsidRPr="002F46B3">
              <w:rPr>
                <w:rFonts w:cs="Arial"/>
                <w:b/>
                <w:bCs/>
                <w:color w:val="000000"/>
                <w:sz w:val="22"/>
                <w:szCs w:val="22"/>
              </w:rPr>
              <w:t>Mode assumptions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8A1200F" w14:textId="77777777" w:rsidR="005E49AB" w:rsidRPr="002F46B3" w:rsidRDefault="005E49AB" w:rsidP="005E49AB">
            <w:pPr>
              <w:spacing w:after="0" w:line="240" w:lineRule="auto"/>
              <w:rPr>
                <w:rFonts w:cs="Arial"/>
                <w:b/>
                <w:bCs/>
                <w:color w:val="000000"/>
                <w:sz w:val="22"/>
                <w:szCs w:val="22"/>
              </w:rPr>
            </w:pPr>
            <w:r w:rsidRPr="002F46B3">
              <w:rPr>
                <w:rFonts w:cs="Arial"/>
                <w:b/>
                <w:bCs/>
                <w:color w:val="000000"/>
                <w:sz w:val="22"/>
                <w:szCs w:val="22"/>
              </w:rPr>
              <w:t>Value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5857CC9E" w14:textId="77777777" w:rsidR="005E49AB" w:rsidRPr="002F46B3" w:rsidRDefault="005E49AB" w:rsidP="005E49AB">
            <w:pPr>
              <w:spacing w:after="0" w:line="240" w:lineRule="auto"/>
              <w:rPr>
                <w:rFonts w:cs="Arial"/>
                <w:b/>
                <w:bCs/>
                <w:color w:val="000000"/>
                <w:sz w:val="22"/>
                <w:szCs w:val="22"/>
              </w:rPr>
            </w:pPr>
            <w:r w:rsidRPr="002F46B3">
              <w:rPr>
                <w:rFonts w:cs="Arial"/>
                <w:b/>
                <w:bCs/>
                <w:color w:val="000000"/>
                <w:sz w:val="22"/>
                <w:szCs w:val="22"/>
              </w:rPr>
              <w:t>Notes</w:t>
            </w:r>
          </w:p>
        </w:tc>
      </w:tr>
      <w:tr w:rsidR="005E49AB" w:rsidRPr="00C96BC5" w14:paraId="4AA11BBE" w14:textId="77777777" w:rsidTr="008156C0">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9B041A3" w14:textId="77777777" w:rsidR="005E49AB" w:rsidRPr="002F46B3" w:rsidRDefault="005E49AB" w:rsidP="005E49AB">
            <w:pPr>
              <w:spacing w:after="0" w:line="240" w:lineRule="auto"/>
              <w:rPr>
                <w:rFonts w:cs="Arial"/>
                <w:color w:val="000000"/>
                <w:sz w:val="22"/>
                <w:szCs w:val="22"/>
              </w:rPr>
            </w:pPr>
            <w:r w:rsidRPr="002F46B3">
              <w:rPr>
                <w:rFonts w:cs="Arial"/>
                <w:color w:val="000000"/>
                <w:sz w:val="22"/>
                <w:szCs w:val="22"/>
              </w:rPr>
              <w:t>Reduction in DWL due to 'out of policy' requests</w:t>
            </w:r>
          </w:p>
        </w:tc>
        <w:tc>
          <w:tcPr>
            <w:tcW w:w="2540" w:type="dxa"/>
            <w:tcBorders>
              <w:top w:val="nil"/>
              <w:left w:val="nil"/>
              <w:bottom w:val="single" w:sz="4" w:space="0" w:color="auto"/>
              <w:right w:val="single" w:sz="4" w:space="0" w:color="auto"/>
            </w:tcBorders>
            <w:shd w:val="clear" w:color="auto" w:fill="auto"/>
            <w:noWrap/>
            <w:vAlign w:val="bottom"/>
            <w:hideMark/>
          </w:tcPr>
          <w:p w14:paraId="09D2E841" w14:textId="77777777" w:rsidR="005E49AB" w:rsidRPr="002F46B3" w:rsidRDefault="005E49AB" w:rsidP="005E49AB">
            <w:pPr>
              <w:spacing w:after="0" w:line="240" w:lineRule="auto"/>
              <w:jc w:val="right"/>
              <w:rPr>
                <w:rFonts w:cs="Arial"/>
                <w:color w:val="000000"/>
                <w:sz w:val="22"/>
                <w:szCs w:val="22"/>
              </w:rPr>
            </w:pPr>
            <w:r w:rsidRPr="002F46B3">
              <w:rPr>
                <w:rFonts w:cs="Arial"/>
                <w:color w:val="000000"/>
                <w:sz w:val="22"/>
                <w:szCs w:val="22"/>
              </w:rPr>
              <w:t>50%</w:t>
            </w:r>
          </w:p>
        </w:tc>
        <w:tc>
          <w:tcPr>
            <w:tcW w:w="1980" w:type="dxa"/>
            <w:tcBorders>
              <w:top w:val="nil"/>
              <w:left w:val="nil"/>
              <w:bottom w:val="single" w:sz="4" w:space="0" w:color="auto"/>
              <w:right w:val="single" w:sz="4" w:space="0" w:color="auto"/>
            </w:tcBorders>
            <w:shd w:val="clear" w:color="auto" w:fill="auto"/>
            <w:noWrap/>
            <w:vAlign w:val="bottom"/>
            <w:hideMark/>
          </w:tcPr>
          <w:p w14:paraId="7B24B783" w14:textId="77777777" w:rsidR="005E49AB" w:rsidRPr="002F46B3" w:rsidRDefault="005E49AB" w:rsidP="005E49AB">
            <w:pPr>
              <w:spacing w:after="0" w:line="240" w:lineRule="auto"/>
              <w:rPr>
                <w:rFonts w:cs="Arial"/>
                <w:color w:val="000000"/>
                <w:sz w:val="22"/>
                <w:szCs w:val="22"/>
              </w:rPr>
            </w:pPr>
            <w:r w:rsidRPr="002F46B3">
              <w:rPr>
                <w:rFonts w:cs="Arial"/>
                <w:color w:val="000000"/>
                <w:sz w:val="22"/>
                <w:szCs w:val="22"/>
              </w:rPr>
              <w:t> </w:t>
            </w:r>
          </w:p>
        </w:tc>
      </w:tr>
      <w:tr w:rsidR="00D501B3" w:rsidRPr="00C96BC5" w14:paraId="37B2B0CF" w14:textId="77777777" w:rsidTr="008156C0">
        <w:trPr>
          <w:trHeight w:val="29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17685" w14:textId="73204786" w:rsidR="00D501B3" w:rsidRPr="002F46B3" w:rsidRDefault="00D501B3" w:rsidP="00D501B3">
            <w:pPr>
              <w:spacing w:after="0" w:line="240" w:lineRule="auto"/>
              <w:rPr>
                <w:rFonts w:cs="Arial"/>
                <w:color w:val="000000"/>
                <w:sz w:val="22"/>
                <w:szCs w:val="22"/>
              </w:rPr>
            </w:pPr>
            <w:r>
              <w:rPr>
                <w:rFonts w:cs="Arial"/>
                <w:color w:val="000000"/>
                <w:sz w:val="22"/>
                <w:szCs w:val="22"/>
              </w:rPr>
              <w:t>T</w:t>
            </w:r>
            <w:r w:rsidRPr="008156C0">
              <w:rPr>
                <w:rFonts w:cs="Arial"/>
                <w:color w:val="000000"/>
                <w:sz w:val="22"/>
                <w:szCs w:val="22"/>
              </w:rPr>
              <w:t>ime for bespoke consideration per licence (hours)</w:t>
            </w:r>
          </w:p>
        </w:tc>
        <w:tc>
          <w:tcPr>
            <w:tcW w:w="2540" w:type="dxa"/>
            <w:tcBorders>
              <w:top w:val="single" w:sz="4" w:space="0" w:color="auto"/>
              <w:left w:val="nil"/>
              <w:bottom w:val="single" w:sz="4" w:space="0" w:color="auto"/>
              <w:right w:val="single" w:sz="4" w:space="0" w:color="auto"/>
            </w:tcBorders>
            <w:shd w:val="clear" w:color="auto" w:fill="auto"/>
            <w:noWrap/>
            <w:vAlign w:val="bottom"/>
          </w:tcPr>
          <w:p w14:paraId="18AC7F6C" w14:textId="07E6E4BA" w:rsidR="00D501B3" w:rsidRPr="002F46B3" w:rsidRDefault="00755D1B" w:rsidP="00D501B3">
            <w:pPr>
              <w:spacing w:after="0" w:line="240" w:lineRule="auto"/>
              <w:jc w:val="right"/>
              <w:rPr>
                <w:rFonts w:cs="Arial"/>
                <w:color w:val="000000"/>
                <w:sz w:val="22"/>
                <w:szCs w:val="22"/>
              </w:rPr>
            </w:pPr>
            <w:r>
              <w:rPr>
                <w:rFonts w:cs="Arial"/>
                <w:color w:val="000000"/>
                <w:sz w:val="22"/>
                <w:szCs w:val="22"/>
              </w:rPr>
              <w:t>4</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CA10111" w14:textId="0AE4D92B" w:rsidR="00D501B3" w:rsidRPr="002F46B3" w:rsidRDefault="00D501B3" w:rsidP="00D501B3">
            <w:pPr>
              <w:spacing w:after="0" w:line="240" w:lineRule="auto"/>
              <w:rPr>
                <w:rFonts w:cs="Arial"/>
                <w:color w:val="000000"/>
                <w:sz w:val="22"/>
                <w:szCs w:val="22"/>
              </w:rPr>
            </w:pPr>
            <w:r w:rsidRPr="008156C0">
              <w:rPr>
                <w:rFonts w:cs="Arial"/>
                <w:color w:val="000000"/>
                <w:sz w:val="22"/>
                <w:szCs w:val="22"/>
              </w:rPr>
              <w:t> </w:t>
            </w:r>
          </w:p>
        </w:tc>
      </w:tr>
    </w:tbl>
    <w:p w14:paraId="2DB3FD25" w14:textId="77777777" w:rsidR="005E49AB" w:rsidRPr="00C21822" w:rsidRDefault="005E49AB" w:rsidP="00F87164">
      <w:pPr>
        <w:rPr>
          <w:rFonts w:cs="Arial"/>
        </w:rPr>
      </w:pPr>
    </w:p>
    <w:p w14:paraId="0DD30678" w14:textId="2AA8C79E" w:rsidR="005E49AB" w:rsidRPr="00C6486F" w:rsidRDefault="00F32109" w:rsidP="00796652">
      <w:pPr>
        <w:pStyle w:val="Caption"/>
        <w:keepNext/>
        <w:rPr>
          <w:rFonts w:cs="Arial"/>
        </w:rPr>
      </w:pPr>
      <w:r w:rsidRPr="00C6486F">
        <w:rPr>
          <w:rFonts w:cs="Arial"/>
        </w:rPr>
        <w:t xml:space="preserve">Estimate of the benefits of reductions in deadweight loss </w:t>
      </w:r>
    </w:p>
    <w:tbl>
      <w:tblPr>
        <w:tblW w:w="5283" w:type="pct"/>
        <w:tblLayout w:type="fixed"/>
        <w:tblLook w:val="04A0" w:firstRow="1" w:lastRow="0" w:firstColumn="1" w:lastColumn="0" w:noHBand="0" w:noVBand="1"/>
      </w:tblPr>
      <w:tblGrid>
        <w:gridCol w:w="1836"/>
        <w:gridCol w:w="1058"/>
        <w:gridCol w:w="1058"/>
        <w:gridCol w:w="1058"/>
        <w:gridCol w:w="1058"/>
        <w:gridCol w:w="1058"/>
        <w:gridCol w:w="1055"/>
        <w:gridCol w:w="1057"/>
        <w:gridCol w:w="1057"/>
        <w:gridCol w:w="1057"/>
        <w:gridCol w:w="1057"/>
        <w:gridCol w:w="1057"/>
        <w:gridCol w:w="1051"/>
      </w:tblGrid>
      <w:tr w:rsidR="00F9569E" w:rsidRPr="00C96BC5" w14:paraId="5DCF774E" w14:textId="77777777" w:rsidTr="004621B2">
        <w:trPr>
          <w:trHeight w:val="290"/>
        </w:trPr>
        <w:tc>
          <w:tcPr>
            <w:tcW w:w="63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E1951C" w14:textId="77777777" w:rsidR="005E49AB" w:rsidRPr="002F46B3" w:rsidRDefault="005E49AB" w:rsidP="005E49AB">
            <w:pPr>
              <w:spacing w:after="0" w:line="240" w:lineRule="auto"/>
              <w:rPr>
                <w:rFonts w:cs="Arial"/>
                <w:b/>
                <w:bCs/>
                <w:color w:val="000000"/>
                <w:sz w:val="22"/>
                <w:szCs w:val="22"/>
              </w:rPr>
            </w:pPr>
            <w:r w:rsidRPr="002F46B3">
              <w:rPr>
                <w:rFonts w:cs="Arial"/>
                <w:b/>
                <w:bCs/>
                <w:color w:val="000000"/>
                <w:sz w:val="22"/>
                <w:szCs w:val="22"/>
              </w:rPr>
              <w:t>year</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1B224883"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0</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0D448E4D"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1</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1A13E91B"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2</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08E26F14"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3</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71CC0391"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4</w:t>
            </w:r>
          </w:p>
        </w:tc>
        <w:tc>
          <w:tcPr>
            <w:tcW w:w="363" w:type="pct"/>
            <w:tcBorders>
              <w:top w:val="single" w:sz="8" w:space="0" w:color="auto"/>
              <w:left w:val="nil"/>
              <w:bottom w:val="single" w:sz="4" w:space="0" w:color="auto"/>
              <w:right w:val="single" w:sz="4" w:space="0" w:color="auto"/>
            </w:tcBorders>
            <w:shd w:val="clear" w:color="auto" w:fill="auto"/>
            <w:noWrap/>
            <w:vAlign w:val="bottom"/>
            <w:hideMark/>
          </w:tcPr>
          <w:p w14:paraId="3AB1BF72"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5</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500A564C"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6</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379D924D"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7</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33027502"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8</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004F89D3" w14:textId="77777777" w:rsidR="005E49AB" w:rsidRPr="00AE30C3" w:rsidRDefault="005E49AB" w:rsidP="005E49AB">
            <w:pPr>
              <w:spacing w:after="0" w:line="240" w:lineRule="auto"/>
              <w:jc w:val="right"/>
              <w:rPr>
                <w:rFonts w:cs="Arial"/>
                <w:b/>
                <w:bCs/>
                <w:color w:val="000000"/>
                <w:sz w:val="18"/>
                <w:szCs w:val="18"/>
              </w:rPr>
            </w:pPr>
            <w:r w:rsidRPr="00AE30C3">
              <w:rPr>
                <w:rFonts w:cs="Arial"/>
                <w:b/>
                <w:bCs/>
                <w:color w:val="000000"/>
                <w:sz w:val="18"/>
                <w:szCs w:val="18"/>
              </w:rPr>
              <w:t>9</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14:paraId="06670AB2" w14:textId="77777777" w:rsidR="005E49AB" w:rsidRPr="00AE30C3" w:rsidRDefault="005E49AB" w:rsidP="005E49AB">
            <w:pPr>
              <w:spacing w:after="0" w:line="240" w:lineRule="auto"/>
              <w:rPr>
                <w:rFonts w:cs="Arial"/>
                <w:b/>
                <w:bCs/>
                <w:color w:val="000000"/>
                <w:sz w:val="18"/>
                <w:szCs w:val="18"/>
              </w:rPr>
            </w:pPr>
            <w:r w:rsidRPr="00AE30C3">
              <w:rPr>
                <w:rFonts w:cs="Arial"/>
                <w:b/>
                <w:bCs/>
                <w:color w:val="000000"/>
                <w:sz w:val="18"/>
                <w:szCs w:val="18"/>
              </w:rPr>
              <w:t>total</w:t>
            </w:r>
          </w:p>
        </w:tc>
        <w:tc>
          <w:tcPr>
            <w:tcW w:w="362" w:type="pct"/>
            <w:tcBorders>
              <w:top w:val="single" w:sz="8" w:space="0" w:color="auto"/>
              <w:left w:val="nil"/>
              <w:bottom w:val="single" w:sz="4" w:space="0" w:color="auto"/>
              <w:right w:val="single" w:sz="8" w:space="0" w:color="auto"/>
            </w:tcBorders>
            <w:shd w:val="clear" w:color="auto" w:fill="auto"/>
            <w:noWrap/>
            <w:vAlign w:val="bottom"/>
            <w:hideMark/>
          </w:tcPr>
          <w:p w14:paraId="3A11F421" w14:textId="77777777" w:rsidR="005E49AB" w:rsidRPr="00AE30C3" w:rsidRDefault="005E49AB" w:rsidP="005E49AB">
            <w:pPr>
              <w:spacing w:after="0" w:line="240" w:lineRule="auto"/>
              <w:rPr>
                <w:rFonts w:cs="Arial"/>
                <w:b/>
                <w:bCs/>
                <w:color w:val="000000"/>
                <w:sz w:val="18"/>
                <w:szCs w:val="18"/>
              </w:rPr>
            </w:pPr>
            <w:r w:rsidRPr="00AE30C3">
              <w:rPr>
                <w:rFonts w:cs="Arial"/>
                <w:b/>
                <w:bCs/>
                <w:color w:val="000000"/>
                <w:sz w:val="18"/>
                <w:szCs w:val="18"/>
              </w:rPr>
              <w:t xml:space="preserve">average annual </w:t>
            </w:r>
          </w:p>
        </w:tc>
      </w:tr>
      <w:tr w:rsidR="00F9569E" w:rsidRPr="00C96BC5" w14:paraId="473B40C9" w14:textId="77777777" w:rsidTr="008156C0">
        <w:trPr>
          <w:trHeight w:val="300"/>
        </w:trPr>
        <w:tc>
          <w:tcPr>
            <w:tcW w:w="632" w:type="pct"/>
            <w:tcBorders>
              <w:top w:val="nil"/>
              <w:left w:val="single" w:sz="8" w:space="0" w:color="auto"/>
              <w:bottom w:val="single" w:sz="4" w:space="0" w:color="auto"/>
              <w:right w:val="single" w:sz="4" w:space="0" w:color="auto"/>
            </w:tcBorders>
            <w:shd w:val="clear" w:color="auto" w:fill="auto"/>
            <w:noWrap/>
            <w:vAlign w:val="bottom"/>
            <w:hideMark/>
          </w:tcPr>
          <w:p w14:paraId="7B20D2CF" w14:textId="77777777" w:rsidR="005E49AB" w:rsidRPr="008156C0" w:rsidRDefault="005E49AB" w:rsidP="005E49AB">
            <w:pPr>
              <w:spacing w:after="0" w:line="240" w:lineRule="auto"/>
              <w:rPr>
                <w:rFonts w:cs="Arial"/>
                <w:color w:val="000000"/>
                <w:szCs w:val="20"/>
              </w:rPr>
            </w:pPr>
            <w:r w:rsidRPr="008156C0">
              <w:rPr>
                <w:rFonts w:cs="Arial"/>
                <w:color w:val="000000"/>
                <w:szCs w:val="20"/>
              </w:rPr>
              <w:t>benefit of reduced DWL (halved)</w:t>
            </w:r>
          </w:p>
        </w:tc>
        <w:tc>
          <w:tcPr>
            <w:tcW w:w="364" w:type="pct"/>
            <w:tcBorders>
              <w:top w:val="nil"/>
              <w:left w:val="nil"/>
              <w:bottom w:val="single" w:sz="4" w:space="0" w:color="auto"/>
              <w:right w:val="single" w:sz="4" w:space="0" w:color="auto"/>
            </w:tcBorders>
            <w:shd w:val="clear" w:color="auto" w:fill="auto"/>
            <w:noWrap/>
            <w:vAlign w:val="bottom"/>
            <w:hideMark/>
          </w:tcPr>
          <w:p w14:paraId="3544497C" w14:textId="35675DD0" w:rsidR="005E49AB" w:rsidRPr="008156C0" w:rsidRDefault="005E49AB" w:rsidP="008156C0">
            <w:pPr>
              <w:spacing w:after="0" w:line="240" w:lineRule="auto"/>
              <w:jc w:val="right"/>
              <w:rPr>
                <w:rFonts w:cs="Arial"/>
                <w:color w:val="000000"/>
                <w:szCs w:val="20"/>
              </w:rPr>
            </w:pPr>
            <w:r w:rsidRPr="008156C0">
              <w:rPr>
                <w:rFonts w:cs="Arial"/>
                <w:color w:val="000000"/>
                <w:szCs w:val="20"/>
              </w:rPr>
              <w:t>$140,625</w:t>
            </w:r>
          </w:p>
        </w:tc>
        <w:tc>
          <w:tcPr>
            <w:tcW w:w="364" w:type="pct"/>
            <w:tcBorders>
              <w:top w:val="nil"/>
              <w:left w:val="nil"/>
              <w:bottom w:val="single" w:sz="4" w:space="0" w:color="auto"/>
              <w:right w:val="single" w:sz="4" w:space="0" w:color="auto"/>
            </w:tcBorders>
            <w:shd w:val="clear" w:color="auto" w:fill="auto"/>
            <w:noWrap/>
            <w:vAlign w:val="bottom"/>
            <w:hideMark/>
          </w:tcPr>
          <w:p w14:paraId="17C3DE4F" w14:textId="20985A66" w:rsidR="005E49AB" w:rsidRPr="008156C0" w:rsidRDefault="005E49AB" w:rsidP="008156C0">
            <w:pPr>
              <w:spacing w:after="0" w:line="240" w:lineRule="auto"/>
              <w:jc w:val="right"/>
              <w:rPr>
                <w:rFonts w:cs="Arial"/>
                <w:color w:val="000000"/>
                <w:szCs w:val="20"/>
              </w:rPr>
            </w:pPr>
            <w:r w:rsidRPr="008156C0">
              <w:rPr>
                <w:rFonts w:cs="Arial"/>
                <w:color w:val="000000"/>
                <w:szCs w:val="20"/>
              </w:rPr>
              <w:t>$26,285</w:t>
            </w:r>
          </w:p>
        </w:tc>
        <w:tc>
          <w:tcPr>
            <w:tcW w:w="364" w:type="pct"/>
            <w:tcBorders>
              <w:top w:val="nil"/>
              <w:left w:val="nil"/>
              <w:bottom w:val="single" w:sz="4" w:space="0" w:color="auto"/>
              <w:right w:val="single" w:sz="4" w:space="0" w:color="auto"/>
            </w:tcBorders>
            <w:shd w:val="clear" w:color="auto" w:fill="auto"/>
            <w:noWrap/>
            <w:vAlign w:val="bottom"/>
            <w:hideMark/>
          </w:tcPr>
          <w:p w14:paraId="50344262" w14:textId="0FD0BA99" w:rsidR="005E49AB" w:rsidRPr="008156C0" w:rsidRDefault="005E49AB" w:rsidP="008156C0">
            <w:pPr>
              <w:spacing w:after="0" w:line="240" w:lineRule="auto"/>
              <w:jc w:val="right"/>
              <w:rPr>
                <w:rFonts w:cs="Arial"/>
                <w:color w:val="000000"/>
                <w:szCs w:val="20"/>
              </w:rPr>
            </w:pPr>
            <w:r w:rsidRPr="008156C0">
              <w:rPr>
                <w:rFonts w:cs="Arial"/>
                <w:color w:val="000000"/>
                <w:szCs w:val="20"/>
              </w:rPr>
              <w:t>$16,377</w:t>
            </w:r>
          </w:p>
        </w:tc>
        <w:tc>
          <w:tcPr>
            <w:tcW w:w="364" w:type="pct"/>
            <w:tcBorders>
              <w:top w:val="nil"/>
              <w:left w:val="nil"/>
              <w:bottom w:val="single" w:sz="4" w:space="0" w:color="auto"/>
              <w:right w:val="single" w:sz="4" w:space="0" w:color="auto"/>
            </w:tcBorders>
            <w:shd w:val="clear" w:color="auto" w:fill="auto"/>
            <w:noWrap/>
            <w:vAlign w:val="bottom"/>
            <w:hideMark/>
          </w:tcPr>
          <w:p w14:paraId="7FE38097" w14:textId="55933441" w:rsidR="005E49AB" w:rsidRPr="008156C0" w:rsidRDefault="005E49AB" w:rsidP="008156C0">
            <w:pPr>
              <w:spacing w:after="0" w:line="240" w:lineRule="auto"/>
              <w:jc w:val="right"/>
              <w:rPr>
                <w:rFonts w:cs="Arial"/>
                <w:color w:val="000000"/>
                <w:szCs w:val="20"/>
              </w:rPr>
            </w:pPr>
            <w:r w:rsidRPr="008156C0">
              <w:rPr>
                <w:rFonts w:cs="Arial"/>
                <w:color w:val="000000"/>
                <w:szCs w:val="20"/>
              </w:rPr>
              <w:t>$7,653</w:t>
            </w:r>
          </w:p>
        </w:tc>
        <w:tc>
          <w:tcPr>
            <w:tcW w:w="364" w:type="pct"/>
            <w:tcBorders>
              <w:top w:val="nil"/>
              <w:left w:val="nil"/>
              <w:bottom w:val="single" w:sz="4" w:space="0" w:color="auto"/>
              <w:right w:val="single" w:sz="4" w:space="0" w:color="auto"/>
            </w:tcBorders>
            <w:shd w:val="clear" w:color="auto" w:fill="auto"/>
            <w:noWrap/>
            <w:vAlign w:val="bottom"/>
            <w:hideMark/>
          </w:tcPr>
          <w:p w14:paraId="55C91CA3" w14:textId="7AB154E6" w:rsidR="005E49AB" w:rsidRPr="008156C0" w:rsidRDefault="005E49AB" w:rsidP="008156C0">
            <w:pPr>
              <w:spacing w:after="0" w:line="240" w:lineRule="auto"/>
              <w:jc w:val="right"/>
              <w:rPr>
                <w:rFonts w:cs="Arial"/>
                <w:color w:val="000000"/>
                <w:szCs w:val="20"/>
              </w:rPr>
            </w:pPr>
            <w:r w:rsidRPr="008156C0">
              <w:rPr>
                <w:rFonts w:cs="Arial"/>
                <w:color w:val="000000"/>
                <w:szCs w:val="20"/>
              </w:rPr>
              <w:t>$7,152</w:t>
            </w:r>
          </w:p>
        </w:tc>
        <w:tc>
          <w:tcPr>
            <w:tcW w:w="363" w:type="pct"/>
            <w:tcBorders>
              <w:top w:val="nil"/>
              <w:left w:val="nil"/>
              <w:bottom w:val="single" w:sz="4" w:space="0" w:color="auto"/>
              <w:right w:val="single" w:sz="4" w:space="0" w:color="auto"/>
            </w:tcBorders>
            <w:shd w:val="clear" w:color="auto" w:fill="auto"/>
            <w:noWrap/>
            <w:vAlign w:val="bottom"/>
            <w:hideMark/>
          </w:tcPr>
          <w:p w14:paraId="1F5C75C1" w14:textId="0012F624" w:rsidR="005E49AB" w:rsidRPr="008156C0" w:rsidRDefault="005E49AB" w:rsidP="008156C0">
            <w:pPr>
              <w:spacing w:after="0" w:line="240" w:lineRule="auto"/>
              <w:jc w:val="right"/>
              <w:rPr>
                <w:rFonts w:cs="Arial"/>
                <w:color w:val="000000"/>
                <w:szCs w:val="20"/>
              </w:rPr>
            </w:pPr>
            <w:r w:rsidRPr="008156C0">
              <w:rPr>
                <w:rFonts w:cs="Arial"/>
                <w:color w:val="000000"/>
                <w:szCs w:val="20"/>
              </w:rPr>
              <w:t>$6,684</w:t>
            </w:r>
          </w:p>
        </w:tc>
        <w:tc>
          <w:tcPr>
            <w:tcW w:w="364" w:type="pct"/>
            <w:tcBorders>
              <w:top w:val="nil"/>
              <w:left w:val="nil"/>
              <w:bottom w:val="single" w:sz="4" w:space="0" w:color="auto"/>
              <w:right w:val="single" w:sz="4" w:space="0" w:color="auto"/>
            </w:tcBorders>
            <w:shd w:val="clear" w:color="auto" w:fill="auto"/>
            <w:noWrap/>
            <w:vAlign w:val="bottom"/>
            <w:hideMark/>
          </w:tcPr>
          <w:p w14:paraId="391E2D1A" w14:textId="72797CD8" w:rsidR="005E49AB" w:rsidRPr="008156C0" w:rsidRDefault="005E49AB" w:rsidP="008156C0">
            <w:pPr>
              <w:spacing w:after="0" w:line="240" w:lineRule="auto"/>
              <w:jc w:val="right"/>
              <w:rPr>
                <w:rFonts w:cs="Arial"/>
                <w:color w:val="000000"/>
                <w:szCs w:val="20"/>
              </w:rPr>
            </w:pPr>
            <w:r w:rsidRPr="008156C0">
              <w:rPr>
                <w:rFonts w:cs="Arial"/>
                <w:color w:val="000000"/>
                <w:szCs w:val="20"/>
              </w:rPr>
              <w:t>$6,247</w:t>
            </w:r>
          </w:p>
        </w:tc>
        <w:tc>
          <w:tcPr>
            <w:tcW w:w="364" w:type="pct"/>
            <w:tcBorders>
              <w:top w:val="nil"/>
              <w:left w:val="nil"/>
              <w:bottom w:val="single" w:sz="4" w:space="0" w:color="auto"/>
              <w:right w:val="single" w:sz="4" w:space="0" w:color="auto"/>
            </w:tcBorders>
            <w:shd w:val="clear" w:color="auto" w:fill="auto"/>
            <w:noWrap/>
            <w:vAlign w:val="bottom"/>
            <w:hideMark/>
          </w:tcPr>
          <w:p w14:paraId="55B51CEE" w14:textId="39B76C66" w:rsidR="005E49AB" w:rsidRPr="008156C0" w:rsidRDefault="005E49AB" w:rsidP="008156C0">
            <w:pPr>
              <w:spacing w:after="0" w:line="240" w:lineRule="auto"/>
              <w:jc w:val="right"/>
              <w:rPr>
                <w:rFonts w:cs="Arial"/>
                <w:color w:val="000000"/>
                <w:szCs w:val="20"/>
              </w:rPr>
            </w:pPr>
            <w:r w:rsidRPr="008156C0">
              <w:rPr>
                <w:rFonts w:cs="Arial"/>
                <w:color w:val="000000"/>
                <w:szCs w:val="20"/>
              </w:rPr>
              <w:t>$5,838</w:t>
            </w:r>
          </w:p>
        </w:tc>
        <w:tc>
          <w:tcPr>
            <w:tcW w:w="364" w:type="pct"/>
            <w:tcBorders>
              <w:top w:val="nil"/>
              <w:left w:val="nil"/>
              <w:bottom w:val="single" w:sz="4" w:space="0" w:color="auto"/>
              <w:right w:val="single" w:sz="4" w:space="0" w:color="auto"/>
            </w:tcBorders>
            <w:shd w:val="clear" w:color="auto" w:fill="auto"/>
            <w:noWrap/>
            <w:vAlign w:val="bottom"/>
            <w:hideMark/>
          </w:tcPr>
          <w:p w14:paraId="2023B22D" w14:textId="4CC644F8" w:rsidR="005E49AB" w:rsidRPr="008156C0" w:rsidRDefault="005E49AB" w:rsidP="008156C0">
            <w:pPr>
              <w:spacing w:after="0" w:line="240" w:lineRule="auto"/>
              <w:jc w:val="right"/>
              <w:rPr>
                <w:rFonts w:cs="Arial"/>
                <w:color w:val="000000"/>
                <w:szCs w:val="20"/>
              </w:rPr>
            </w:pPr>
            <w:r w:rsidRPr="008156C0">
              <w:rPr>
                <w:rFonts w:cs="Arial"/>
                <w:color w:val="000000"/>
                <w:szCs w:val="20"/>
              </w:rPr>
              <w:t>$5,456</w:t>
            </w:r>
          </w:p>
        </w:tc>
        <w:tc>
          <w:tcPr>
            <w:tcW w:w="364" w:type="pct"/>
            <w:tcBorders>
              <w:top w:val="nil"/>
              <w:left w:val="nil"/>
              <w:bottom w:val="single" w:sz="4" w:space="0" w:color="auto"/>
              <w:right w:val="single" w:sz="4" w:space="0" w:color="auto"/>
            </w:tcBorders>
            <w:shd w:val="clear" w:color="auto" w:fill="auto"/>
            <w:noWrap/>
            <w:vAlign w:val="bottom"/>
            <w:hideMark/>
          </w:tcPr>
          <w:p w14:paraId="1477286A" w14:textId="6D50B59C" w:rsidR="005E49AB" w:rsidRPr="008156C0" w:rsidRDefault="005E49AB" w:rsidP="008156C0">
            <w:pPr>
              <w:spacing w:after="0" w:line="240" w:lineRule="auto"/>
              <w:jc w:val="right"/>
              <w:rPr>
                <w:rFonts w:cs="Arial"/>
                <w:color w:val="000000"/>
                <w:szCs w:val="20"/>
              </w:rPr>
            </w:pPr>
            <w:r w:rsidRPr="008156C0">
              <w:rPr>
                <w:rFonts w:cs="Arial"/>
                <w:color w:val="000000"/>
                <w:szCs w:val="20"/>
              </w:rPr>
              <w:t>$5,099</w:t>
            </w:r>
          </w:p>
        </w:tc>
        <w:tc>
          <w:tcPr>
            <w:tcW w:w="364" w:type="pct"/>
            <w:tcBorders>
              <w:top w:val="nil"/>
              <w:left w:val="nil"/>
              <w:bottom w:val="single" w:sz="4" w:space="0" w:color="auto"/>
              <w:right w:val="single" w:sz="4" w:space="0" w:color="auto"/>
            </w:tcBorders>
            <w:shd w:val="clear" w:color="auto" w:fill="auto"/>
            <w:noWrap/>
            <w:vAlign w:val="bottom"/>
            <w:hideMark/>
          </w:tcPr>
          <w:p w14:paraId="3A562999" w14:textId="4C540181" w:rsidR="005E49AB" w:rsidRPr="008156C0" w:rsidRDefault="005E49AB" w:rsidP="008156C0">
            <w:pPr>
              <w:spacing w:after="0" w:line="240" w:lineRule="auto"/>
              <w:jc w:val="right"/>
              <w:rPr>
                <w:rFonts w:cs="Arial"/>
                <w:color w:val="000000"/>
                <w:szCs w:val="20"/>
              </w:rPr>
            </w:pPr>
            <w:r w:rsidRPr="008156C0">
              <w:rPr>
                <w:rFonts w:cs="Arial"/>
                <w:color w:val="000000"/>
                <w:szCs w:val="20"/>
              </w:rPr>
              <w:t>$227,417</w:t>
            </w:r>
          </w:p>
        </w:tc>
        <w:tc>
          <w:tcPr>
            <w:tcW w:w="362" w:type="pct"/>
            <w:tcBorders>
              <w:top w:val="nil"/>
              <w:left w:val="nil"/>
              <w:bottom w:val="single" w:sz="4" w:space="0" w:color="auto"/>
              <w:right w:val="single" w:sz="8" w:space="0" w:color="auto"/>
            </w:tcBorders>
            <w:shd w:val="clear" w:color="auto" w:fill="auto"/>
            <w:noWrap/>
            <w:vAlign w:val="bottom"/>
            <w:hideMark/>
          </w:tcPr>
          <w:p w14:paraId="1686AA2D" w14:textId="4DCA97FD" w:rsidR="005E49AB" w:rsidRPr="008156C0" w:rsidRDefault="005E49AB" w:rsidP="008156C0">
            <w:pPr>
              <w:spacing w:after="0" w:line="240" w:lineRule="auto"/>
              <w:jc w:val="right"/>
              <w:rPr>
                <w:rFonts w:cs="Arial"/>
                <w:color w:val="000000"/>
                <w:szCs w:val="20"/>
              </w:rPr>
            </w:pPr>
            <w:r w:rsidRPr="008156C0">
              <w:rPr>
                <w:rFonts w:cs="Arial"/>
                <w:color w:val="000000"/>
                <w:szCs w:val="20"/>
              </w:rPr>
              <w:t>$22,742</w:t>
            </w:r>
          </w:p>
        </w:tc>
      </w:tr>
      <w:tr w:rsidR="006B5AB1" w:rsidRPr="00C96BC5" w14:paraId="510D7810" w14:textId="77777777" w:rsidTr="008156C0">
        <w:trPr>
          <w:trHeight w:val="30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A8922C" w14:textId="1590542A" w:rsidR="006B5AB1" w:rsidRPr="008156C0" w:rsidRDefault="006B5AB1" w:rsidP="006B5AB1">
            <w:pPr>
              <w:spacing w:after="0" w:line="240" w:lineRule="auto"/>
              <w:rPr>
                <w:rFonts w:cs="Arial"/>
                <w:color w:val="000000"/>
                <w:szCs w:val="20"/>
              </w:rPr>
            </w:pPr>
            <w:r w:rsidRPr="008156C0">
              <w:rPr>
                <w:rFonts w:cs="Arial"/>
                <w:color w:val="000000"/>
                <w:szCs w:val="20"/>
              </w:rPr>
              <w:t>administrative costs for per licence consideration</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26FC8890" w14:textId="3FE177C1" w:rsidR="006B5AB1" w:rsidRPr="008156C0" w:rsidRDefault="006B5AB1" w:rsidP="008156C0">
            <w:pPr>
              <w:spacing w:after="0" w:line="240" w:lineRule="auto"/>
              <w:jc w:val="right"/>
              <w:rPr>
                <w:rFonts w:cs="Arial"/>
                <w:color w:val="000000"/>
                <w:szCs w:val="20"/>
              </w:rPr>
            </w:pPr>
            <w:r w:rsidRPr="000B362B">
              <w:t>$21,915</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410FC957" w14:textId="47BC0C31" w:rsidR="006B5AB1" w:rsidRPr="008156C0" w:rsidRDefault="006B5AB1" w:rsidP="008156C0">
            <w:pPr>
              <w:spacing w:after="0" w:line="240" w:lineRule="auto"/>
              <w:jc w:val="right"/>
              <w:rPr>
                <w:rFonts w:cs="Arial"/>
                <w:color w:val="000000"/>
                <w:szCs w:val="20"/>
              </w:rPr>
            </w:pPr>
            <w:r w:rsidRPr="000B362B">
              <w:t>$4,096</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15ABDDF5" w14:textId="142C8EEB" w:rsidR="006B5AB1" w:rsidRPr="008156C0" w:rsidRDefault="006B5AB1" w:rsidP="008156C0">
            <w:pPr>
              <w:spacing w:after="0" w:line="240" w:lineRule="auto"/>
              <w:jc w:val="right"/>
              <w:rPr>
                <w:rFonts w:cs="Arial"/>
                <w:color w:val="000000"/>
                <w:szCs w:val="20"/>
              </w:rPr>
            </w:pPr>
            <w:r w:rsidRPr="000B362B">
              <w:t>$2,552</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7D6EC130" w14:textId="0C737C0E" w:rsidR="006B5AB1" w:rsidRPr="008156C0" w:rsidRDefault="006B5AB1" w:rsidP="008156C0">
            <w:pPr>
              <w:spacing w:after="0" w:line="240" w:lineRule="auto"/>
              <w:jc w:val="right"/>
              <w:rPr>
                <w:rFonts w:cs="Arial"/>
                <w:color w:val="000000"/>
                <w:szCs w:val="20"/>
              </w:rPr>
            </w:pPr>
            <w:r w:rsidRPr="000B362B">
              <w:t>$1,193</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1CF64FB1" w14:textId="456ADEC8" w:rsidR="006B5AB1" w:rsidRPr="008156C0" w:rsidRDefault="006B5AB1" w:rsidP="008156C0">
            <w:pPr>
              <w:spacing w:after="0" w:line="240" w:lineRule="auto"/>
              <w:jc w:val="right"/>
              <w:rPr>
                <w:rFonts w:cs="Arial"/>
                <w:color w:val="000000"/>
                <w:szCs w:val="20"/>
              </w:rPr>
            </w:pPr>
            <w:r w:rsidRPr="000B362B">
              <w:t>$1,115</w:t>
            </w:r>
          </w:p>
        </w:tc>
        <w:tc>
          <w:tcPr>
            <w:tcW w:w="363" w:type="pct"/>
            <w:tcBorders>
              <w:top w:val="single" w:sz="4" w:space="0" w:color="auto"/>
              <w:left w:val="nil"/>
              <w:bottom w:val="single" w:sz="4" w:space="0" w:color="auto"/>
              <w:right w:val="single" w:sz="4" w:space="0" w:color="auto"/>
            </w:tcBorders>
            <w:shd w:val="clear" w:color="auto" w:fill="auto"/>
            <w:noWrap/>
            <w:vAlign w:val="bottom"/>
          </w:tcPr>
          <w:p w14:paraId="305BF984" w14:textId="2FF17340" w:rsidR="006B5AB1" w:rsidRPr="008156C0" w:rsidRDefault="006B5AB1" w:rsidP="008156C0">
            <w:pPr>
              <w:spacing w:after="0" w:line="240" w:lineRule="auto"/>
              <w:jc w:val="right"/>
              <w:rPr>
                <w:rFonts w:cs="Arial"/>
                <w:color w:val="000000"/>
                <w:szCs w:val="20"/>
              </w:rPr>
            </w:pPr>
            <w:r w:rsidRPr="000B362B">
              <w:t>$1,042</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538009FB" w14:textId="5CDF3ADC" w:rsidR="006B5AB1" w:rsidRPr="008156C0" w:rsidRDefault="006B5AB1" w:rsidP="008156C0">
            <w:pPr>
              <w:spacing w:after="0" w:line="240" w:lineRule="auto"/>
              <w:jc w:val="right"/>
              <w:rPr>
                <w:rFonts w:cs="Arial"/>
                <w:color w:val="000000"/>
                <w:szCs w:val="20"/>
              </w:rPr>
            </w:pPr>
            <w:r w:rsidRPr="000B362B">
              <w:t>$974</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720BB188" w14:textId="7AE1F73D" w:rsidR="006B5AB1" w:rsidRPr="008156C0" w:rsidRDefault="006B5AB1" w:rsidP="008156C0">
            <w:pPr>
              <w:spacing w:after="0" w:line="240" w:lineRule="auto"/>
              <w:jc w:val="right"/>
              <w:rPr>
                <w:rFonts w:cs="Arial"/>
                <w:color w:val="000000"/>
                <w:szCs w:val="20"/>
              </w:rPr>
            </w:pPr>
            <w:r w:rsidRPr="000B362B">
              <w:t>$910</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45A695F5" w14:textId="49D6DFE3" w:rsidR="006B5AB1" w:rsidRPr="008156C0" w:rsidRDefault="006B5AB1" w:rsidP="008156C0">
            <w:pPr>
              <w:spacing w:after="0" w:line="240" w:lineRule="auto"/>
              <w:jc w:val="right"/>
              <w:rPr>
                <w:rFonts w:cs="Arial"/>
                <w:color w:val="000000"/>
                <w:szCs w:val="20"/>
              </w:rPr>
            </w:pPr>
            <w:r w:rsidRPr="000B362B">
              <w:t>$850</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22D3B30B" w14:textId="5357E3B3" w:rsidR="006B5AB1" w:rsidRPr="008156C0" w:rsidRDefault="006B5AB1" w:rsidP="008156C0">
            <w:pPr>
              <w:spacing w:after="0" w:line="240" w:lineRule="auto"/>
              <w:jc w:val="right"/>
              <w:rPr>
                <w:rFonts w:cs="Arial"/>
                <w:color w:val="000000"/>
                <w:szCs w:val="20"/>
              </w:rPr>
            </w:pPr>
            <w:r w:rsidRPr="000B362B">
              <w:t>$795</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2E887B13" w14:textId="6DC73ADE" w:rsidR="006B5AB1" w:rsidRPr="008156C0" w:rsidRDefault="006B5AB1" w:rsidP="008156C0">
            <w:pPr>
              <w:spacing w:after="0" w:line="240" w:lineRule="auto"/>
              <w:jc w:val="right"/>
              <w:rPr>
                <w:rFonts w:cs="Arial"/>
                <w:color w:val="000000"/>
                <w:szCs w:val="20"/>
              </w:rPr>
            </w:pPr>
            <w:r w:rsidRPr="000B362B">
              <w:t>$35,441</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44E645B8" w14:textId="0F2A459F" w:rsidR="006B5AB1" w:rsidRPr="008156C0" w:rsidRDefault="006B5AB1" w:rsidP="008156C0">
            <w:pPr>
              <w:spacing w:after="0" w:line="240" w:lineRule="auto"/>
              <w:jc w:val="right"/>
              <w:rPr>
                <w:rFonts w:cs="Arial"/>
                <w:color w:val="000000"/>
                <w:szCs w:val="20"/>
              </w:rPr>
            </w:pPr>
            <w:r w:rsidRPr="000B362B">
              <w:t xml:space="preserve">$3,544 </w:t>
            </w:r>
          </w:p>
        </w:tc>
      </w:tr>
      <w:tr w:rsidR="006B5AB1" w:rsidRPr="00C96BC5" w14:paraId="45B87CD6" w14:textId="77777777" w:rsidTr="008156C0">
        <w:trPr>
          <w:trHeight w:val="30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FC3C3" w14:textId="225269D5" w:rsidR="006B5AB1" w:rsidRPr="008156C0" w:rsidRDefault="006B5AB1" w:rsidP="006B5AB1">
            <w:pPr>
              <w:spacing w:after="0" w:line="240" w:lineRule="auto"/>
              <w:rPr>
                <w:rFonts w:cs="Arial"/>
                <w:color w:val="000000"/>
                <w:szCs w:val="20"/>
              </w:rPr>
            </w:pPr>
            <w:r w:rsidRPr="008156C0">
              <w:rPr>
                <w:rFonts w:cs="Arial"/>
                <w:color w:val="000000"/>
                <w:szCs w:val="20"/>
              </w:rPr>
              <w:t>Net benefit</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3635D766" w14:textId="63BD98AF" w:rsidR="006B5AB1" w:rsidRPr="008156C0" w:rsidRDefault="006B5AB1" w:rsidP="008156C0">
            <w:pPr>
              <w:spacing w:after="0" w:line="240" w:lineRule="auto"/>
              <w:jc w:val="right"/>
              <w:rPr>
                <w:rFonts w:cs="Arial"/>
                <w:color w:val="000000"/>
                <w:szCs w:val="20"/>
              </w:rPr>
            </w:pPr>
            <w:r w:rsidRPr="000B362B">
              <w:t xml:space="preserve">$118,710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4A952970" w14:textId="7B976D0D" w:rsidR="006B5AB1" w:rsidRPr="008156C0" w:rsidRDefault="006B5AB1" w:rsidP="008156C0">
            <w:pPr>
              <w:spacing w:after="0" w:line="240" w:lineRule="auto"/>
              <w:jc w:val="right"/>
              <w:rPr>
                <w:rFonts w:cs="Arial"/>
                <w:color w:val="000000"/>
                <w:szCs w:val="20"/>
              </w:rPr>
            </w:pPr>
            <w:r w:rsidRPr="000B362B">
              <w:t xml:space="preserve">$22,189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57638F2B" w14:textId="7B3F991C" w:rsidR="006B5AB1" w:rsidRPr="008156C0" w:rsidRDefault="006B5AB1" w:rsidP="008156C0">
            <w:pPr>
              <w:spacing w:after="0" w:line="240" w:lineRule="auto"/>
              <w:jc w:val="right"/>
              <w:rPr>
                <w:rFonts w:cs="Arial"/>
                <w:color w:val="000000"/>
                <w:szCs w:val="20"/>
              </w:rPr>
            </w:pPr>
            <w:r w:rsidRPr="000B362B">
              <w:t xml:space="preserve">$13,825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21784A87" w14:textId="51E1BE15" w:rsidR="006B5AB1" w:rsidRPr="008156C0" w:rsidRDefault="006B5AB1" w:rsidP="008156C0">
            <w:pPr>
              <w:spacing w:after="0" w:line="240" w:lineRule="auto"/>
              <w:jc w:val="right"/>
              <w:rPr>
                <w:rFonts w:cs="Arial"/>
                <w:color w:val="000000"/>
                <w:szCs w:val="20"/>
              </w:rPr>
            </w:pPr>
            <w:r w:rsidRPr="000B362B">
              <w:t xml:space="preserve">$6,460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1ECFD1B8" w14:textId="5C460FA8" w:rsidR="006B5AB1" w:rsidRPr="008156C0" w:rsidRDefault="006B5AB1" w:rsidP="008156C0">
            <w:pPr>
              <w:spacing w:after="0" w:line="240" w:lineRule="auto"/>
              <w:jc w:val="right"/>
              <w:rPr>
                <w:rFonts w:cs="Arial"/>
                <w:color w:val="000000"/>
                <w:szCs w:val="20"/>
              </w:rPr>
            </w:pPr>
            <w:r w:rsidRPr="000B362B">
              <w:t xml:space="preserve">$6,038 </w:t>
            </w:r>
          </w:p>
        </w:tc>
        <w:tc>
          <w:tcPr>
            <w:tcW w:w="363" w:type="pct"/>
            <w:tcBorders>
              <w:top w:val="single" w:sz="4" w:space="0" w:color="auto"/>
              <w:left w:val="nil"/>
              <w:bottom w:val="single" w:sz="4" w:space="0" w:color="auto"/>
              <w:right w:val="single" w:sz="4" w:space="0" w:color="auto"/>
            </w:tcBorders>
            <w:shd w:val="clear" w:color="auto" w:fill="auto"/>
            <w:noWrap/>
            <w:vAlign w:val="bottom"/>
          </w:tcPr>
          <w:p w14:paraId="25AD4DEC" w14:textId="06D38CAE" w:rsidR="006B5AB1" w:rsidRPr="008156C0" w:rsidRDefault="006B5AB1" w:rsidP="008156C0">
            <w:pPr>
              <w:spacing w:after="0" w:line="240" w:lineRule="auto"/>
              <w:jc w:val="right"/>
              <w:rPr>
                <w:rFonts w:cs="Arial"/>
                <w:color w:val="000000"/>
                <w:szCs w:val="20"/>
              </w:rPr>
            </w:pPr>
            <w:r w:rsidRPr="000B362B">
              <w:t xml:space="preserve">$5,643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0493148E" w14:textId="7CC8B138" w:rsidR="006B5AB1" w:rsidRPr="008156C0" w:rsidRDefault="006B5AB1" w:rsidP="008156C0">
            <w:pPr>
              <w:spacing w:after="0" w:line="240" w:lineRule="auto"/>
              <w:jc w:val="right"/>
              <w:rPr>
                <w:rFonts w:cs="Arial"/>
                <w:color w:val="000000"/>
                <w:szCs w:val="20"/>
              </w:rPr>
            </w:pPr>
            <w:r w:rsidRPr="000B362B">
              <w:t xml:space="preserve">$5,273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19883972" w14:textId="3A43B285" w:rsidR="006B5AB1" w:rsidRPr="008156C0" w:rsidRDefault="006B5AB1" w:rsidP="008156C0">
            <w:pPr>
              <w:spacing w:after="0" w:line="240" w:lineRule="auto"/>
              <w:jc w:val="right"/>
              <w:rPr>
                <w:rFonts w:cs="Arial"/>
                <w:color w:val="000000"/>
                <w:szCs w:val="20"/>
              </w:rPr>
            </w:pPr>
            <w:r w:rsidRPr="000B362B">
              <w:t xml:space="preserve">$4,928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1A108430" w14:textId="522477D9" w:rsidR="006B5AB1" w:rsidRPr="008156C0" w:rsidRDefault="006B5AB1" w:rsidP="008156C0">
            <w:pPr>
              <w:spacing w:after="0" w:line="240" w:lineRule="auto"/>
              <w:jc w:val="right"/>
              <w:rPr>
                <w:rFonts w:cs="Arial"/>
                <w:color w:val="000000"/>
                <w:szCs w:val="20"/>
              </w:rPr>
            </w:pPr>
            <w:r w:rsidRPr="000B362B">
              <w:t xml:space="preserve">$4,606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06ABDAA4" w14:textId="5C16B05F" w:rsidR="006B5AB1" w:rsidRPr="008156C0" w:rsidRDefault="006B5AB1" w:rsidP="008156C0">
            <w:pPr>
              <w:spacing w:after="0" w:line="240" w:lineRule="auto"/>
              <w:jc w:val="right"/>
              <w:rPr>
                <w:rFonts w:cs="Arial"/>
                <w:color w:val="000000"/>
                <w:szCs w:val="20"/>
              </w:rPr>
            </w:pPr>
            <w:r w:rsidRPr="000B362B">
              <w:t xml:space="preserve">$4,305 </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09EF77B5" w14:textId="6D7925F8" w:rsidR="006B5AB1" w:rsidRPr="008156C0" w:rsidRDefault="006B5AB1" w:rsidP="008156C0">
            <w:pPr>
              <w:spacing w:after="0" w:line="240" w:lineRule="auto"/>
              <w:jc w:val="right"/>
              <w:rPr>
                <w:rFonts w:cs="Arial"/>
                <w:color w:val="000000"/>
                <w:szCs w:val="20"/>
              </w:rPr>
            </w:pPr>
            <w:r w:rsidRPr="000B362B">
              <w:t xml:space="preserve">$191,976 </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42D02216" w14:textId="5BB285CA" w:rsidR="006B5AB1" w:rsidRPr="008156C0" w:rsidRDefault="006B5AB1" w:rsidP="008156C0">
            <w:pPr>
              <w:spacing w:after="0" w:line="240" w:lineRule="auto"/>
              <w:jc w:val="right"/>
              <w:rPr>
                <w:rFonts w:cs="Arial"/>
                <w:color w:val="000000"/>
                <w:szCs w:val="20"/>
              </w:rPr>
            </w:pPr>
            <w:r w:rsidRPr="000B362B">
              <w:t xml:space="preserve">$19,198 </w:t>
            </w:r>
          </w:p>
        </w:tc>
      </w:tr>
    </w:tbl>
    <w:p w14:paraId="23AE88D1" w14:textId="77777777" w:rsidR="005E49AB" w:rsidRPr="00C21822" w:rsidRDefault="005E49AB" w:rsidP="00F87164">
      <w:pPr>
        <w:rPr>
          <w:rFonts w:cs="Arial"/>
        </w:rPr>
      </w:pPr>
    </w:p>
    <w:p w14:paraId="3EC15F44" w14:textId="77777777" w:rsidR="00D765A7" w:rsidRPr="00AE2ACB" w:rsidRDefault="00D765A7" w:rsidP="00F87164">
      <w:pPr>
        <w:rPr>
          <w:rFonts w:cs="Arial"/>
        </w:rPr>
      </w:pPr>
    </w:p>
    <w:p w14:paraId="44B11427" w14:textId="77777777" w:rsidR="00633415" w:rsidRDefault="00633415">
      <w:pPr>
        <w:spacing w:after="160" w:line="259" w:lineRule="auto"/>
        <w:rPr>
          <w:rFonts w:cs="Arial"/>
          <w:b/>
          <w:bCs/>
          <w:iCs/>
          <w:sz w:val="28"/>
          <w:szCs w:val="28"/>
        </w:rPr>
      </w:pPr>
      <w:r>
        <w:br w:type="page"/>
      </w:r>
    </w:p>
    <w:p w14:paraId="2864EFC1" w14:textId="096812E0" w:rsidR="00A564B2" w:rsidRPr="00C96BC5" w:rsidRDefault="00D765A7" w:rsidP="00A564B2">
      <w:pPr>
        <w:pStyle w:val="Heading2"/>
      </w:pPr>
      <w:bookmarkStart w:id="69" w:name="_Toc137640989"/>
      <w:r w:rsidRPr="00C96BC5">
        <w:t>Option 3</w:t>
      </w:r>
      <w:r w:rsidR="00A564B2" w:rsidRPr="00C96BC5">
        <w:t xml:space="preserve"> - AWL is optimised for </w:t>
      </w:r>
      <w:r w:rsidR="00EA343F">
        <w:t xml:space="preserve">LA </w:t>
      </w:r>
      <w:r w:rsidR="00A564B2" w:rsidRPr="00C96BC5">
        <w:t>WBB</w:t>
      </w:r>
      <w:bookmarkEnd w:id="69"/>
    </w:p>
    <w:p w14:paraId="146DA5D7" w14:textId="77777777" w:rsidR="00CD2DDA" w:rsidRPr="00C96BC5" w:rsidRDefault="00CD2DDA" w:rsidP="00CD2DDA">
      <w:pPr>
        <w:pStyle w:val="Bulletlevel1last"/>
        <w:numPr>
          <w:ilvl w:val="0"/>
          <w:numId w:val="0"/>
        </w:numPr>
        <w:rPr>
          <w:highlight w:val="yellow"/>
        </w:rPr>
      </w:pPr>
    </w:p>
    <w:p w14:paraId="207C3368" w14:textId="3362FD28" w:rsidR="00CE1FA6" w:rsidRPr="00C96BC5" w:rsidRDefault="00CE1FA6" w:rsidP="00CD2DDA">
      <w:pPr>
        <w:pStyle w:val="Bulletlevel1last"/>
        <w:numPr>
          <w:ilvl w:val="0"/>
          <w:numId w:val="0"/>
        </w:numPr>
      </w:pPr>
      <w:r w:rsidRPr="00C96BC5">
        <w:t xml:space="preserve">The </w:t>
      </w:r>
      <w:r w:rsidR="0088389B" w:rsidRPr="00C96BC5">
        <w:t xml:space="preserve">AWLs are expected to meet all demand for the spectrum, and therefore </w:t>
      </w:r>
      <w:r w:rsidR="00A564B2" w:rsidRPr="00C96BC5">
        <w:t xml:space="preserve">eliminate </w:t>
      </w:r>
      <w:r w:rsidR="00282F3C" w:rsidRPr="00C96BC5">
        <w:t>the DWL</w:t>
      </w:r>
      <w:r w:rsidR="00A564B2" w:rsidRPr="00C96BC5">
        <w:t xml:space="preserve"> from option 1</w:t>
      </w:r>
      <w:r w:rsidR="00282F3C" w:rsidRPr="00C96BC5">
        <w:t xml:space="preserve">. </w:t>
      </w:r>
    </w:p>
    <w:p w14:paraId="761BA2B6" w14:textId="736F344A" w:rsidR="00F9569E" w:rsidRPr="00AE2ACB" w:rsidRDefault="00F32109" w:rsidP="00F9569E">
      <w:pPr>
        <w:pStyle w:val="Caption"/>
        <w:rPr>
          <w:rFonts w:cs="Arial"/>
        </w:rPr>
      </w:pPr>
      <w:r w:rsidRPr="00C21822">
        <w:rPr>
          <w:rFonts w:cs="Arial"/>
        </w:rPr>
        <w:t xml:space="preserve">Estimate of the benefit of </w:t>
      </w:r>
      <w:r w:rsidRPr="002110BA">
        <w:rPr>
          <w:rFonts w:cs="Arial"/>
        </w:rPr>
        <w:t>eliminated deadweight loss</w:t>
      </w:r>
    </w:p>
    <w:tbl>
      <w:tblPr>
        <w:tblW w:w="5232" w:type="pct"/>
        <w:tblLayout w:type="fixed"/>
        <w:tblLook w:val="04A0" w:firstRow="1" w:lastRow="0" w:firstColumn="1" w:lastColumn="0" w:noHBand="0" w:noVBand="1"/>
      </w:tblPr>
      <w:tblGrid>
        <w:gridCol w:w="1692"/>
        <w:gridCol w:w="1058"/>
        <w:gridCol w:w="1058"/>
        <w:gridCol w:w="1058"/>
        <w:gridCol w:w="1058"/>
        <w:gridCol w:w="1058"/>
        <w:gridCol w:w="1055"/>
        <w:gridCol w:w="1058"/>
        <w:gridCol w:w="1058"/>
        <w:gridCol w:w="1058"/>
        <w:gridCol w:w="1058"/>
        <w:gridCol w:w="1058"/>
        <w:gridCol w:w="1049"/>
      </w:tblGrid>
      <w:tr w:rsidR="00067AC6" w:rsidRPr="00C96BC5" w14:paraId="08DA7F7B" w14:textId="77777777" w:rsidTr="008156C0">
        <w:trPr>
          <w:trHeight w:val="290"/>
        </w:trPr>
        <w:tc>
          <w:tcPr>
            <w:tcW w:w="58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BC636D" w14:textId="77777777" w:rsidR="00CE1FA6" w:rsidRPr="002F46B3" w:rsidRDefault="00CE1FA6" w:rsidP="00CE1FA6">
            <w:pPr>
              <w:spacing w:after="0" w:line="240" w:lineRule="auto"/>
              <w:rPr>
                <w:rFonts w:cs="Arial"/>
                <w:b/>
                <w:bCs/>
                <w:color w:val="000000"/>
                <w:sz w:val="22"/>
                <w:szCs w:val="22"/>
              </w:rPr>
            </w:pPr>
            <w:r w:rsidRPr="002F46B3">
              <w:rPr>
                <w:rFonts w:cs="Arial"/>
                <w:b/>
                <w:bCs/>
                <w:color w:val="000000"/>
                <w:sz w:val="22"/>
                <w:szCs w:val="22"/>
              </w:rPr>
              <w:t>year</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2B3F2B15" w14:textId="77777777" w:rsidR="00CE1FA6" w:rsidRPr="00AE30C3" w:rsidRDefault="00CE1FA6" w:rsidP="00972966">
            <w:pPr>
              <w:spacing w:after="0" w:line="240" w:lineRule="auto"/>
              <w:jc w:val="right"/>
              <w:rPr>
                <w:rFonts w:cs="Arial"/>
                <w:b/>
                <w:bCs/>
                <w:color w:val="000000"/>
                <w:sz w:val="18"/>
                <w:szCs w:val="18"/>
              </w:rPr>
            </w:pPr>
            <w:r w:rsidRPr="00AE30C3">
              <w:rPr>
                <w:rFonts w:cs="Arial"/>
                <w:b/>
                <w:bCs/>
                <w:color w:val="000000"/>
                <w:sz w:val="18"/>
                <w:szCs w:val="18"/>
              </w:rPr>
              <w:t>0</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3164A058"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1</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7C681007"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2</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3F3BE85C"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3</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784DE929"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4</w:t>
            </w:r>
          </w:p>
        </w:tc>
        <w:tc>
          <w:tcPr>
            <w:tcW w:w="367" w:type="pct"/>
            <w:tcBorders>
              <w:top w:val="single" w:sz="8" w:space="0" w:color="auto"/>
              <w:left w:val="nil"/>
              <w:bottom w:val="single" w:sz="4" w:space="0" w:color="auto"/>
              <w:right w:val="single" w:sz="4" w:space="0" w:color="auto"/>
            </w:tcBorders>
            <w:shd w:val="clear" w:color="auto" w:fill="auto"/>
            <w:noWrap/>
            <w:vAlign w:val="bottom"/>
            <w:hideMark/>
          </w:tcPr>
          <w:p w14:paraId="5FF6BEA2"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5</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17FC26B1"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6</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3F6525F9"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7</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266E9AD9"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8</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7C37450E" w14:textId="77777777" w:rsidR="00CE1FA6" w:rsidRPr="00AE30C3" w:rsidRDefault="00CE1FA6">
            <w:pPr>
              <w:spacing w:after="0" w:line="240" w:lineRule="auto"/>
              <w:jc w:val="right"/>
              <w:rPr>
                <w:rFonts w:cs="Arial"/>
                <w:b/>
                <w:bCs/>
                <w:color w:val="000000"/>
                <w:sz w:val="18"/>
                <w:szCs w:val="18"/>
              </w:rPr>
            </w:pPr>
            <w:r w:rsidRPr="00AE30C3">
              <w:rPr>
                <w:rFonts w:cs="Arial"/>
                <w:b/>
                <w:bCs/>
                <w:color w:val="000000"/>
                <w:sz w:val="18"/>
                <w:szCs w:val="18"/>
              </w:rPr>
              <w:t>9</w:t>
            </w:r>
          </w:p>
        </w:tc>
        <w:tc>
          <w:tcPr>
            <w:tcW w:w="368" w:type="pct"/>
            <w:tcBorders>
              <w:top w:val="single" w:sz="8" w:space="0" w:color="auto"/>
              <w:left w:val="nil"/>
              <w:bottom w:val="single" w:sz="4" w:space="0" w:color="auto"/>
              <w:right w:val="single" w:sz="4" w:space="0" w:color="auto"/>
            </w:tcBorders>
            <w:shd w:val="clear" w:color="auto" w:fill="auto"/>
            <w:noWrap/>
            <w:vAlign w:val="bottom"/>
            <w:hideMark/>
          </w:tcPr>
          <w:p w14:paraId="6F611C33" w14:textId="77777777" w:rsidR="00CE1FA6" w:rsidRPr="00AE30C3" w:rsidRDefault="00CE1FA6" w:rsidP="008156C0">
            <w:pPr>
              <w:spacing w:after="0" w:line="240" w:lineRule="auto"/>
              <w:jc w:val="right"/>
              <w:rPr>
                <w:rFonts w:cs="Arial"/>
                <w:b/>
                <w:bCs/>
                <w:color w:val="000000"/>
                <w:sz w:val="18"/>
                <w:szCs w:val="18"/>
              </w:rPr>
            </w:pPr>
            <w:r w:rsidRPr="00AE30C3">
              <w:rPr>
                <w:rFonts w:cs="Arial"/>
                <w:b/>
                <w:bCs/>
                <w:color w:val="000000"/>
                <w:sz w:val="18"/>
                <w:szCs w:val="18"/>
              </w:rPr>
              <w:t>total</w:t>
            </w:r>
          </w:p>
        </w:tc>
        <w:tc>
          <w:tcPr>
            <w:tcW w:w="365" w:type="pct"/>
            <w:tcBorders>
              <w:top w:val="single" w:sz="8" w:space="0" w:color="auto"/>
              <w:left w:val="nil"/>
              <w:bottom w:val="single" w:sz="4" w:space="0" w:color="auto"/>
              <w:right w:val="single" w:sz="8" w:space="0" w:color="auto"/>
            </w:tcBorders>
            <w:shd w:val="clear" w:color="auto" w:fill="auto"/>
            <w:noWrap/>
            <w:vAlign w:val="bottom"/>
            <w:hideMark/>
          </w:tcPr>
          <w:p w14:paraId="7B83C2F1" w14:textId="77777777" w:rsidR="00CE1FA6" w:rsidRPr="00AE30C3" w:rsidRDefault="00CE1FA6" w:rsidP="008156C0">
            <w:pPr>
              <w:spacing w:after="0" w:line="240" w:lineRule="auto"/>
              <w:jc w:val="right"/>
              <w:rPr>
                <w:rFonts w:cs="Arial"/>
                <w:b/>
                <w:bCs/>
                <w:color w:val="000000"/>
                <w:sz w:val="18"/>
                <w:szCs w:val="18"/>
              </w:rPr>
            </w:pPr>
            <w:r w:rsidRPr="00AE30C3">
              <w:rPr>
                <w:rFonts w:cs="Arial"/>
                <w:b/>
                <w:bCs/>
                <w:color w:val="000000"/>
                <w:sz w:val="18"/>
                <w:szCs w:val="18"/>
              </w:rPr>
              <w:t xml:space="preserve">average annual </w:t>
            </w:r>
          </w:p>
        </w:tc>
      </w:tr>
      <w:tr w:rsidR="00067AC6" w:rsidRPr="00C96BC5" w14:paraId="4017A60B" w14:textId="77777777" w:rsidTr="008156C0">
        <w:trPr>
          <w:trHeight w:val="300"/>
        </w:trPr>
        <w:tc>
          <w:tcPr>
            <w:tcW w:w="588" w:type="pct"/>
            <w:tcBorders>
              <w:top w:val="nil"/>
              <w:left w:val="single" w:sz="8" w:space="0" w:color="auto"/>
              <w:bottom w:val="single" w:sz="8" w:space="0" w:color="auto"/>
              <w:right w:val="single" w:sz="4" w:space="0" w:color="auto"/>
            </w:tcBorders>
            <w:shd w:val="clear" w:color="auto" w:fill="auto"/>
            <w:noWrap/>
            <w:vAlign w:val="bottom"/>
            <w:hideMark/>
          </w:tcPr>
          <w:p w14:paraId="415942C3" w14:textId="616B9709" w:rsidR="00CE1FA6" w:rsidRPr="002F46B3" w:rsidRDefault="00CE1FA6" w:rsidP="00CE1FA6">
            <w:pPr>
              <w:spacing w:after="0" w:line="240" w:lineRule="auto"/>
              <w:rPr>
                <w:rFonts w:cs="Arial"/>
                <w:color w:val="000000"/>
                <w:sz w:val="22"/>
                <w:szCs w:val="22"/>
              </w:rPr>
            </w:pPr>
            <w:r w:rsidRPr="002F46B3">
              <w:rPr>
                <w:rFonts w:cs="Arial"/>
                <w:color w:val="000000"/>
                <w:sz w:val="22"/>
                <w:szCs w:val="22"/>
              </w:rPr>
              <w:t>Benefit from elimination of DWL</w:t>
            </w:r>
          </w:p>
        </w:tc>
        <w:tc>
          <w:tcPr>
            <w:tcW w:w="368" w:type="pct"/>
            <w:tcBorders>
              <w:top w:val="nil"/>
              <w:left w:val="nil"/>
              <w:bottom w:val="single" w:sz="8" w:space="0" w:color="auto"/>
              <w:right w:val="single" w:sz="4" w:space="0" w:color="auto"/>
            </w:tcBorders>
            <w:shd w:val="clear" w:color="auto" w:fill="auto"/>
            <w:noWrap/>
            <w:vAlign w:val="bottom"/>
            <w:hideMark/>
          </w:tcPr>
          <w:p w14:paraId="18630BB5" w14:textId="42DC9D70"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 $281,250 </w:t>
            </w:r>
          </w:p>
        </w:tc>
        <w:tc>
          <w:tcPr>
            <w:tcW w:w="368" w:type="pct"/>
            <w:tcBorders>
              <w:top w:val="nil"/>
              <w:left w:val="nil"/>
              <w:bottom w:val="single" w:sz="8" w:space="0" w:color="auto"/>
              <w:right w:val="single" w:sz="4" w:space="0" w:color="auto"/>
            </w:tcBorders>
            <w:shd w:val="clear" w:color="auto" w:fill="auto"/>
            <w:noWrap/>
            <w:vAlign w:val="bottom"/>
            <w:hideMark/>
          </w:tcPr>
          <w:p w14:paraId="2AC4E291" w14:textId="5F6430F1"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$56,250 </w:t>
            </w:r>
          </w:p>
        </w:tc>
        <w:tc>
          <w:tcPr>
            <w:tcW w:w="368" w:type="pct"/>
            <w:tcBorders>
              <w:top w:val="nil"/>
              <w:left w:val="nil"/>
              <w:bottom w:val="single" w:sz="8" w:space="0" w:color="auto"/>
              <w:right w:val="single" w:sz="4" w:space="0" w:color="auto"/>
            </w:tcBorders>
            <w:shd w:val="clear" w:color="auto" w:fill="auto"/>
            <w:noWrap/>
            <w:vAlign w:val="bottom"/>
            <w:hideMark/>
          </w:tcPr>
          <w:p w14:paraId="5E3496E9" w14:textId="71FBE735"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$37,500 </w:t>
            </w:r>
          </w:p>
        </w:tc>
        <w:tc>
          <w:tcPr>
            <w:tcW w:w="368" w:type="pct"/>
            <w:tcBorders>
              <w:top w:val="nil"/>
              <w:left w:val="nil"/>
              <w:bottom w:val="single" w:sz="8" w:space="0" w:color="auto"/>
              <w:right w:val="single" w:sz="4" w:space="0" w:color="auto"/>
            </w:tcBorders>
            <w:shd w:val="clear" w:color="auto" w:fill="auto"/>
            <w:noWrap/>
            <w:vAlign w:val="bottom"/>
            <w:hideMark/>
          </w:tcPr>
          <w:p w14:paraId="228E585D" w14:textId="5CB3FEC4"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$18,750 </w:t>
            </w:r>
          </w:p>
        </w:tc>
        <w:tc>
          <w:tcPr>
            <w:tcW w:w="368" w:type="pct"/>
            <w:tcBorders>
              <w:top w:val="nil"/>
              <w:left w:val="nil"/>
              <w:bottom w:val="single" w:sz="8" w:space="0" w:color="auto"/>
              <w:right w:val="single" w:sz="4" w:space="0" w:color="auto"/>
            </w:tcBorders>
            <w:shd w:val="clear" w:color="auto" w:fill="auto"/>
            <w:noWrap/>
            <w:vAlign w:val="bottom"/>
            <w:hideMark/>
          </w:tcPr>
          <w:p w14:paraId="49E0BAF5" w14:textId="21E14BBA"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$18,750 </w:t>
            </w:r>
          </w:p>
        </w:tc>
        <w:tc>
          <w:tcPr>
            <w:tcW w:w="367" w:type="pct"/>
            <w:tcBorders>
              <w:top w:val="nil"/>
              <w:left w:val="nil"/>
              <w:bottom w:val="single" w:sz="8" w:space="0" w:color="auto"/>
              <w:right w:val="single" w:sz="4" w:space="0" w:color="auto"/>
            </w:tcBorders>
            <w:shd w:val="clear" w:color="auto" w:fill="auto"/>
            <w:noWrap/>
            <w:vAlign w:val="bottom"/>
            <w:hideMark/>
          </w:tcPr>
          <w:p w14:paraId="4D71144E" w14:textId="6616D788"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$18,750 </w:t>
            </w:r>
          </w:p>
        </w:tc>
        <w:tc>
          <w:tcPr>
            <w:tcW w:w="368" w:type="pct"/>
            <w:tcBorders>
              <w:top w:val="nil"/>
              <w:left w:val="nil"/>
              <w:bottom w:val="single" w:sz="8" w:space="0" w:color="auto"/>
              <w:right w:val="single" w:sz="4" w:space="0" w:color="auto"/>
            </w:tcBorders>
            <w:shd w:val="clear" w:color="auto" w:fill="auto"/>
            <w:noWrap/>
            <w:vAlign w:val="bottom"/>
            <w:hideMark/>
          </w:tcPr>
          <w:p w14:paraId="0624E33C" w14:textId="56A231DF"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$18,750 </w:t>
            </w:r>
          </w:p>
        </w:tc>
        <w:tc>
          <w:tcPr>
            <w:tcW w:w="368" w:type="pct"/>
            <w:tcBorders>
              <w:top w:val="nil"/>
              <w:left w:val="nil"/>
              <w:bottom w:val="single" w:sz="8" w:space="0" w:color="auto"/>
              <w:right w:val="single" w:sz="4" w:space="0" w:color="auto"/>
            </w:tcBorders>
            <w:shd w:val="clear" w:color="auto" w:fill="auto"/>
            <w:noWrap/>
            <w:vAlign w:val="bottom"/>
            <w:hideMark/>
          </w:tcPr>
          <w:p w14:paraId="502E21AE" w14:textId="10BC9B4E"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$18,750 </w:t>
            </w:r>
          </w:p>
        </w:tc>
        <w:tc>
          <w:tcPr>
            <w:tcW w:w="368" w:type="pct"/>
            <w:tcBorders>
              <w:top w:val="nil"/>
              <w:left w:val="nil"/>
              <w:bottom w:val="single" w:sz="8" w:space="0" w:color="auto"/>
              <w:right w:val="single" w:sz="4" w:space="0" w:color="auto"/>
            </w:tcBorders>
            <w:shd w:val="clear" w:color="auto" w:fill="auto"/>
            <w:noWrap/>
            <w:vAlign w:val="bottom"/>
            <w:hideMark/>
          </w:tcPr>
          <w:p w14:paraId="14CEE27C" w14:textId="1A21BD05"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$18,750 </w:t>
            </w:r>
          </w:p>
        </w:tc>
        <w:tc>
          <w:tcPr>
            <w:tcW w:w="368" w:type="pct"/>
            <w:tcBorders>
              <w:top w:val="nil"/>
              <w:left w:val="nil"/>
              <w:bottom w:val="single" w:sz="8" w:space="0" w:color="auto"/>
              <w:right w:val="single" w:sz="4" w:space="0" w:color="auto"/>
            </w:tcBorders>
            <w:shd w:val="clear" w:color="auto" w:fill="auto"/>
            <w:noWrap/>
            <w:vAlign w:val="bottom"/>
            <w:hideMark/>
          </w:tcPr>
          <w:p w14:paraId="5FD37374" w14:textId="60F5F9AE"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$18,750 </w:t>
            </w:r>
          </w:p>
        </w:tc>
        <w:tc>
          <w:tcPr>
            <w:tcW w:w="368" w:type="pct"/>
            <w:tcBorders>
              <w:top w:val="nil"/>
              <w:left w:val="nil"/>
              <w:bottom w:val="single" w:sz="8" w:space="0" w:color="auto"/>
              <w:right w:val="single" w:sz="4" w:space="0" w:color="auto"/>
            </w:tcBorders>
            <w:shd w:val="clear" w:color="auto" w:fill="auto"/>
            <w:noWrap/>
            <w:vAlign w:val="bottom"/>
            <w:hideMark/>
          </w:tcPr>
          <w:p w14:paraId="4E012320" w14:textId="4286E52D"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$506,250 </w:t>
            </w:r>
          </w:p>
        </w:tc>
        <w:tc>
          <w:tcPr>
            <w:tcW w:w="365" w:type="pct"/>
            <w:tcBorders>
              <w:top w:val="nil"/>
              <w:left w:val="nil"/>
              <w:bottom w:val="single" w:sz="8" w:space="0" w:color="auto"/>
              <w:right w:val="single" w:sz="8" w:space="0" w:color="auto"/>
            </w:tcBorders>
            <w:shd w:val="clear" w:color="auto" w:fill="auto"/>
            <w:noWrap/>
            <w:vAlign w:val="bottom"/>
            <w:hideMark/>
          </w:tcPr>
          <w:p w14:paraId="1CAD5161" w14:textId="07F96566" w:rsidR="00CE1FA6" w:rsidRPr="00AE30C3" w:rsidRDefault="00CE1FA6" w:rsidP="008156C0">
            <w:pPr>
              <w:spacing w:after="0" w:line="240" w:lineRule="auto"/>
              <w:jc w:val="right"/>
              <w:rPr>
                <w:rFonts w:cs="Arial"/>
                <w:color w:val="000000"/>
                <w:sz w:val="18"/>
                <w:szCs w:val="18"/>
              </w:rPr>
            </w:pPr>
            <w:r w:rsidRPr="00AE30C3">
              <w:rPr>
                <w:rFonts w:cs="Arial"/>
                <w:color w:val="000000"/>
                <w:sz w:val="18"/>
                <w:szCs w:val="18"/>
              </w:rPr>
              <w:t xml:space="preserve">$50,625 </w:t>
            </w:r>
          </w:p>
        </w:tc>
      </w:tr>
    </w:tbl>
    <w:p w14:paraId="434CA440" w14:textId="74A0268F" w:rsidR="00951AC7" w:rsidRDefault="00951AC7">
      <w:pPr>
        <w:spacing w:after="160" w:line="259" w:lineRule="auto"/>
        <w:rPr>
          <w:rFonts w:cs="Arial"/>
          <w:highlight w:val="yellow"/>
        </w:rPr>
      </w:pPr>
      <w:r>
        <w:rPr>
          <w:highlight w:val="yellow"/>
        </w:rPr>
        <w:br w:type="page"/>
      </w:r>
    </w:p>
    <w:p w14:paraId="7D91BCF6" w14:textId="29B3ABDD" w:rsidR="00D63F0C" w:rsidRPr="003F54C3" w:rsidRDefault="00D63F0C" w:rsidP="00D63F0C">
      <w:pPr>
        <w:pStyle w:val="Heading1"/>
      </w:pPr>
      <w:bookmarkStart w:id="70" w:name="_Toc61435451"/>
      <w:bookmarkStart w:id="71" w:name="_Toc137640990"/>
      <w:r w:rsidRPr="003F54C3">
        <w:t xml:space="preserve">Appendix </w:t>
      </w:r>
      <w:r>
        <w:t>B – G</w:t>
      </w:r>
      <w:r w:rsidRPr="003F54C3">
        <w:t>eographical area definitions</w:t>
      </w:r>
      <w:bookmarkEnd w:id="70"/>
      <w:bookmarkEnd w:id="71"/>
    </w:p>
    <w:p w14:paraId="5B0B2D77" w14:textId="0713B9E5" w:rsidR="00D63F0C" w:rsidRDefault="00D63F0C" w:rsidP="00D63F0C">
      <w:pPr>
        <w:spacing w:after="80"/>
      </w:pPr>
      <w:r>
        <w:t>The ACMA has defined geographical areas</w:t>
      </w:r>
      <w:r>
        <w:rPr>
          <w:rStyle w:val="FootnoteReference"/>
        </w:rPr>
        <w:footnoteReference w:id="22"/>
      </w:r>
      <w:r>
        <w:t xml:space="preserve"> to assist in the analysis of, use of, and potential future use scenarios for, the 3</w:t>
      </w:r>
      <w:r w:rsidR="00303892">
        <w:t>.</w:t>
      </w:r>
      <w:r>
        <w:t>7–4</w:t>
      </w:r>
      <w:r w:rsidR="00303892">
        <w:t>.</w:t>
      </w:r>
      <w:r>
        <w:t xml:space="preserve">2 </w:t>
      </w:r>
      <w:r w:rsidR="00303892">
        <w:t>G</w:t>
      </w:r>
      <w:r>
        <w:t>Hz band. A brief description of each follows:</w:t>
      </w:r>
    </w:p>
    <w:p w14:paraId="56DC110F" w14:textId="77777777" w:rsidR="00D63F0C" w:rsidRPr="008337C7" w:rsidRDefault="00D63F0C" w:rsidP="00D63F0C">
      <w:pPr>
        <w:pStyle w:val="ListBullet"/>
        <w:tabs>
          <w:tab w:val="num" w:pos="295"/>
        </w:tabs>
        <w:ind w:left="295" w:hanging="295"/>
        <w:rPr>
          <w:rFonts w:cs="Arial"/>
        </w:rPr>
      </w:pPr>
      <w:r>
        <w:t xml:space="preserve">Metropolitan – covers all capital cities (except Darwin and Hobart). It mirrors the metropolitan areas defined in the </w:t>
      </w:r>
      <w:hyperlink r:id="rId63" w:history="1">
        <w:r w:rsidRPr="00A51D19">
          <w:rPr>
            <w:rStyle w:val="Hyperlink"/>
            <w:rFonts w:cs="Arial"/>
          </w:rPr>
          <w:t>Radiocommunications (Spectrum Re-allocation—3.6 GHz Band for Adelaide and Eastern Metropolitan Australia) Declaration 2018</w:t>
        </w:r>
      </w:hyperlink>
      <w:r w:rsidRPr="00CB515E">
        <w:rPr>
          <w:rFonts w:cs="Arial"/>
        </w:rPr>
        <w:t xml:space="preserve"> and the </w:t>
      </w:r>
      <w:hyperlink r:id="rId64" w:history="1">
        <w:r w:rsidRPr="00A51D19">
          <w:rPr>
            <w:rStyle w:val="Hyperlink"/>
            <w:rFonts w:cs="Arial"/>
            <w:bCs/>
          </w:rPr>
          <w:t>Radiocommunications (Spectrum Re-allocation—3.6 GHz Band for Perth) Declaration 2018</w:t>
        </w:r>
      </w:hyperlink>
      <w:r w:rsidRPr="000464E2">
        <w:rPr>
          <w:rFonts w:cs="Arial"/>
          <w:i/>
        </w:rPr>
        <w:t>.</w:t>
      </w:r>
    </w:p>
    <w:p w14:paraId="53875CB1" w14:textId="77777777" w:rsidR="00D63F0C" w:rsidRPr="00CB515E" w:rsidRDefault="00D63F0C" w:rsidP="00D63F0C">
      <w:pPr>
        <w:pStyle w:val="ListBullet"/>
        <w:tabs>
          <w:tab w:val="num" w:pos="295"/>
        </w:tabs>
        <w:ind w:left="295" w:hanging="295"/>
      </w:pPr>
      <w:r>
        <w:t>Regional – mirrors the regional areas subject to spectrum licensing in the 3.6 GHz band as defined in</w:t>
      </w:r>
      <w:r>
        <w:rPr>
          <w:szCs w:val="20"/>
        </w:rPr>
        <w:t xml:space="preserve"> the </w:t>
      </w:r>
      <w:hyperlink r:id="rId65" w:history="1">
        <w:r w:rsidRPr="00A51D19">
          <w:rPr>
            <w:rStyle w:val="Hyperlink"/>
            <w:rFonts w:cs="Arial"/>
          </w:rPr>
          <w:t>Radiocommunications (Spectrum Re-allocation—3.6 GHz Band for Regional Areas) Declaration 2018</w:t>
        </w:r>
      </w:hyperlink>
      <w:r w:rsidRPr="00CB515E">
        <w:t>.</w:t>
      </w:r>
    </w:p>
    <w:p w14:paraId="0AFBCFE4" w14:textId="4418E3CA" w:rsidR="00D63F0C" w:rsidRDefault="00D63F0C" w:rsidP="00D63F0C">
      <w:pPr>
        <w:pStyle w:val="ListBullet"/>
        <w:tabs>
          <w:tab w:val="num" w:pos="295"/>
        </w:tabs>
        <w:ind w:left="295" w:hanging="295"/>
      </w:pPr>
      <w:r>
        <w:t xml:space="preserve">Remote – includes those areas of Australia not covered by metropolitan and </w:t>
      </w:r>
      <w:r w:rsidR="00D43D23">
        <w:t>r</w:t>
      </w:r>
      <w:r>
        <w:t xml:space="preserve">egional areas. </w:t>
      </w:r>
    </w:p>
    <w:p w14:paraId="79630C48" w14:textId="77777777" w:rsidR="00D63F0C" w:rsidRDefault="00D63F0C" w:rsidP="00D63F0C">
      <w:pPr>
        <w:pStyle w:val="ListBulletLast"/>
        <w:keepLines/>
        <w:tabs>
          <w:tab w:val="num" w:pos="295"/>
        </w:tabs>
        <w:ind w:left="295" w:hanging="295"/>
      </w:pPr>
      <w:r>
        <w:t>Australia-wide – covers all of Australia but excludes Australian external territories.</w:t>
      </w:r>
    </w:p>
    <w:p w14:paraId="67DB17AC" w14:textId="77777777" w:rsidR="00D63F0C" w:rsidRDefault="00D63F0C" w:rsidP="00D63F0C">
      <w:pPr>
        <w:pStyle w:val="Paragraph"/>
        <w:rPr>
          <w:rFonts w:ascii="Times New Roman" w:hAnsi="Times New Roman"/>
          <w:sz w:val="24"/>
        </w:rPr>
      </w:pPr>
      <w:r>
        <w:t>The Australian Spectrum Map Grid (</w:t>
      </w:r>
      <w:r w:rsidRPr="00577B3E">
        <w:t>ASMG</w:t>
      </w:r>
      <w:r>
        <w:t xml:space="preserve">) is used to define geographical areas over which spectrum licences are issued. </w:t>
      </w:r>
      <w:r w:rsidRPr="00577B3E">
        <w:t xml:space="preserve">The Hierarchical Cell Identification Scheme (HCIS) is a naming convention developed by the ACMA that applies unique ‘names’ to each of the cells </w:t>
      </w:r>
      <w:r>
        <w:t>that make up</w:t>
      </w:r>
      <w:r w:rsidRPr="00577B3E">
        <w:t xml:space="preserve"> the</w:t>
      </w:r>
      <w:r>
        <w:t xml:space="preserve"> ASMG</w:t>
      </w:r>
      <w:r w:rsidRPr="00577B3E">
        <w:t>.</w:t>
      </w:r>
      <w:r>
        <w:t xml:space="preserve"> The ASMG and HCIS are described in detail in the </w:t>
      </w:r>
      <w:hyperlink r:id="rId66" w:history="1">
        <w:r>
          <w:rPr>
            <w:rStyle w:val="Hyperlink"/>
          </w:rPr>
          <w:t>Australian spectrum map grid</w:t>
        </w:r>
      </w:hyperlink>
      <w:r>
        <w:t>.</w:t>
      </w:r>
      <w:r>
        <w:rPr>
          <w:rFonts w:ascii="Times New Roman" w:hAnsi="Times New Roman"/>
          <w:sz w:val="24"/>
        </w:rPr>
        <w:t xml:space="preserve"> </w:t>
      </w:r>
    </w:p>
    <w:p w14:paraId="5B280284" w14:textId="5B44FA9A" w:rsidR="00D63F0C" w:rsidRPr="00717B47" w:rsidRDefault="00D63F0C" w:rsidP="00D63F0C">
      <w:pPr>
        <w:pStyle w:val="Paragraph"/>
      </w:pPr>
      <w:r w:rsidRPr="006006B1">
        <w:t xml:space="preserve">The HCIS coordinates </w:t>
      </w:r>
      <w:r>
        <w:t>in</w:t>
      </w:r>
      <w:r w:rsidR="00B65665">
        <w:t xml:space="preserve"> HCIS description of areas</w:t>
      </w:r>
      <w:r>
        <w:t xml:space="preserve"> below </w:t>
      </w:r>
      <w:r w:rsidRPr="006006B1">
        <w:t xml:space="preserve">can be converted into a </w:t>
      </w:r>
      <w:r w:rsidRPr="00C650D6">
        <w:t>Placemark</w:t>
      </w:r>
      <w:r>
        <w:t xml:space="preserve"> file (viewable in Google Earth)</w:t>
      </w:r>
      <w:r w:rsidRPr="00C650D6">
        <w:t xml:space="preserve"> </w:t>
      </w:r>
      <w:r w:rsidRPr="006006B1">
        <w:t xml:space="preserve">through a facility on the </w:t>
      </w:r>
      <w:hyperlink r:id="rId67" w:history="1">
        <w:r w:rsidRPr="00DB6F54">
          <w:rPr>
            <w:rStyle w:val="Hyperlink"/>
          </w:rPr>
          <w:t>ACMA website</w:t>
        </w:r>
      </w:hyperlink>
      <w:r>
        <w:t>.</w:t>
      </w:r>
      <w:r w:rsidRPr="00C650D6">
        <w:t xml:space="preserve"> </w:t>
      </w:r>
    </w:p>
    <w:sectPr w:rsidR="00D63F0C" w:rsidRPr="00717B47" w:rsidSect="003D009C">
      <w:pgSz w:w="16838" w:h="11906" w:orient="landscape" w:code="9"/>
      <w:pgMar w:top="1134" w:right="1945" w:bottom="3101"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B856" w14:textId="77777777" w:rsidR="002B5730" w:rsidRDefault="002B5730" w:rsidP="00D522F0">
      <w:pPr>
        <w:spacing w:after="0" w:line="240" w:lineRule="auto"/>
      </w:pPr>
      <w:r>
        <w:separator/>
      </w:r>
    </w:p>
  </w:endnote>
  <w:endnote w:type="continuationSeparator" w:id="0">
    <w:p w14:paraId="1B212AED" w14:textId="77777777" w:rsidR="002B5730" w:rsidRDefault="002B5730" w:rsidP="00D522F0">
      <w:pPr>
        <w:spacing w:after="0" w:line="240" w:lineRule="auto"/>
      </w:pPr>
      <w:r>
        <w:continuationSeparator/>
      </w:r>
    </w:p>
  </w:endnote>
  <w:endnote w:type="continuationNotice" w:id="1">
    <w:p w14:paraId="457D6FD0" w14:textId="77777777" w:rsidR="002B5730" w:rsidRDefault="002B5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CF5F" w14:textId="77777777" w:rsidR="002B5730" w:rsidRDefault="002B57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765E" w14:textId="2448A9D7" w:rsidR="002B5730" w:rsidRPr="00622A3B" w:rsidRDefault="002B5730" w:rsidP="008156C0">
    <w:pPr>
      <w:pStyle w:val="Footer"/>
      <w:framePr w:w="1546" w:h="496" w:hRule="exact" w:vSpace="425" w:wrap="around" w:vAnchor="page" w:hAnchor="page" w:x="7216" w:y="1600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Pr>
        <w:rFonts w:cs="Arial"/>
      </w:rPr>
      <w:t xml:space="preserve"> </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F833A8">
      <w:rPr>
        <w:noProof/>
        <w:color w:val="505050"/>
      </w:rPr>
      <w:t>3</w:t>
    </w:r>
    <w:r w:rsidRPr="00575AC5">
      <w:rPr>
        <w:color w:val="505050"/>
      </w:rPr>
      <w:fldChar w:fldCharType="end"/>
    </w:r>
  </w:p>
  <w:p w14:paraId="17D0FDF2" w14:textId="77777777" w:rsidR="002B5730" w:rsidRPr="00A5474E" w:rsidRDefault="002B5730" w:rsidP="00DF4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B071" w14:textId="77777777" w:rsidR="002B5730" w:rsidRDefault="002B5730" w:rsidP="00DF4F2E">
    <w:pPr>
      <w:pStyle w:val="Footer"/>
      <w:jc w:val="right"/>
    </w:pPr>
    <w:r w:rsidRPr="005E250B">
      <w:rPr>
        <w:noProof/>
        <w:vertAlign w:val="subscript"/>
      </w:rPr>
      <w:drawing>
        <wp:inline distT="0" distB="0" distL="0" distR="0" wp14:anchorId="3083F6F7" wp14:editId="51A61CB3">
          <wp:extent cx="1066800" cy="277368"/>
          <wp:effectExtent l="0" t="0" r="0" b="0"/>
          <wp:docPr id="4" name="Picture 4"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2748" w14:textId="77777777" w:rsidR="002B5730" w:rsidRDefault="002B57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F096" w14:textId="77777777" w:rsidR="002B5730" w:rsidRDefault="002B57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E1E8" w14:textId="77777777" w:rsidR="002B5730" w:rsidRDefault="002B57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8E79" w14:textId="77777777" w:rsidR="002B5730" w:rsidRPr="00622A3B" w:rsidRDefault="002B5730" w:rsidP="00DF4F2E">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58776F8" w14:textId="77777777" w:rsidR="002B5730" w:rsidRPr="00A5474E" w:rsidRDefault="002B5730" w:rsidP="00DF4F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8D30" w14:textId="67DE7023" w:rsidR="002B5730" w:rsidRPr="00622A3B" w:rsidRDefault="002B5730" w:rsidP="00DF4F2E">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F833A8">
      <w:rPr>
        <w:noProof/>
        <w:color w:val="505050"/>
      </w:rPr>
      <w:t>iv</w:t>
    </w:r>
    <w:r w:rsidRPr="002E4DDC">
      <w:rPr>
        <w:color w:val="505050"/>
      </w:rPr>
      <w:fldChar w:fldCharType="end"/>
    </w:r>
  </w:p>
  <w:p w14:paraId="2A264BFF" w14:textId="77777777" w:rsidR="002B5730" w:rsidRPr="00A5474E" w:rsidRDefault="002B5730" w:rsidP="00DF4F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2E5B" w14:textId="1522BBC4" w:rsidR="002B5730" w:rsidRPr="00622A3B" w:rsidRDefault="002B5730" w:rsidP="00DF4F2E">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F833A8">
      <w:rPr>
        <w:noProof/>
        <w:color w:val="505050"/>
      </w:rPr>
      <w:t>iii</w:t>
    </w:r>
    <w:r w:rsidRPr="002E4DDC">
      <w:rPr>
        <w:color w:val="505050"/>
      </w:rPr>
      <w:fldChar w:fldCharType="end"/>
    </w:r>
  </w:p>
  <w:p w14:paraId="7C7D4DDE" w14:textId="77777777" w:rsidR="002B5730" w:rsidRPr="00A5474E" w:rsidRDefault="002B5730" w:rsidP="00DF4F2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EF8E" w14:textId="77777777" w:rsidR="002B5730" w:rsidRPr="00622A3B" w:rsidRDefault="002B5730" w:rsidP="00DF4F2E">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C7FD3E8" w14:textId="77777777" w:rsidR="002B5730" w:rsidRPr="00A5474E" w:rsidRDefault="002B5730" w:rsidP="00DF4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8E70" w14:textId="77777777" w:rsidR="002B5730" w:rsidRDefault="002B5730" w:rsidP="00D522F0">
      <w:pPr>
        <w:spacing w:after="0" w:line="240" w:lineRule="auto"/>
      </w:pPr>
      <w:r>
        <w:separator/>
      </w:r>
    </w:p>
  </w:footnote>
  <w:footnote w:type="continuationSeparator" w:id="0">
    <w:p w14:paraId="01BB4BE3" w14:textId="77777777" w:rsidR="002B5730" w:rsidRDefault="002B5730" w:rsidP="00D522F0">
      <w:pPr>
        <w:spacing w:after="0" w:line="240" w:lineRule="auto"/>
      </w:pPr>
      <w:r>
        <w:continuationSeparator/>
      </w:r>
    </w:p>
  </w:footnote>
  <w:footnote w:type="continuationNotice" w:id="1">
    <w:p w14:paraId="03D6F52D" w14:textId="77777777" w:rsidR="002B5730" w:rsidRDefault="002B5730">
      <w:pPr>
        <w:spacing w:after="0" w:line="240" w:lineRule="auto"/>
      </w:pPr>
    </w:p>
  </w:footnote>
  <w:footnote w:id="2">
    <w:p w14:paraId="5E929C1D" w14:textId="7E18EB76" w:rsidR="002B5730" w:rsidRDefault="002B5730">
      <w:pPr>
        <w:pStyle w:val="FootnoteText"/>
      </w:pPr>
      <w:r>
        <w:rPr>
          <w:rStyle w:val="FootnoteReference"/>
        </w:rPr>
        <w:footnoteRef/>
      </w:r>
      <w:r>
        <w:t xml:space="preserve"> </w:t>
      </w:r>
      <w:r w:rsidRPr="007C3F8B">
        <w:t>‘</w:t>
      </w:r>
      <w:r>
        <w:t>M</w:t>
      </w:r>
      <w:r w:rsidRPr="007C3F8B">
        <w:t>id</w:t>
      </w:r>
      <w:r>
        <w:t>-</w:t>
      </w:r>
      <w:r w:rsidRPr="007C3F8B">
        <w:t xml:space="preserve">band’ spectrum </w:t>
      </w:r>
      <w:r>
        <w:t xml:space="preserve">is considered the spectrum </w:t>
      </w:r>
      <w:r w:rsidRPr="007C3F8B">
        <w:t>between 1 GHz and 6 GHz</w:t>
      </w:r>
      <w:r>
        <w:t>.</w:t>
      </w:r>
    </w:p>
  </w:footnote>
  <w:footnote w:id="3">
    <w:p w14:paraId="6140B756" w14:textId="0CBB9D67" w:rsidR="002B5730" w:rsidRDefault="002B5730">
      <w:pPr>
        <w:pStyle w:val="FootnoteText"/>
      </w:pPr>
      <w:r>
        <w:rPr>
          <w:rStyle w:val="FootnoteReference"/>
        </w:rPr>
        <w:footnoteRef/>
      </w:r>
      <w:r>
        <w:t xml:space="preserve"> 1 GHz is equivalent to 1000 MHz, so 3.7</w:t>
      </w:r>
      <w:r w:rsidRPr="002D72B7">
        <w:t>–</w:t>
      </w:r>
      <w:r>
        <w:t>4.2 GHz is equivalent to 3700-4200 MHz.</w:t>
      </w:r>
    </w:p>
  </w:footnote>
  <w:footnote w:id="4">
    <w:p w14:paraId="361B144F" w14:textId="77777777" w:rsidR="002B5730" w:rsidRDefault="002B5730" w:rsidP="006A5E00">
      <w:pPr>
        <w:pStyle w:val="FootnoteText"/>
      </w:pPr>
      <w:r>
        <w:rPr>
          <w:rStyle w:val="FootnoteReference"/>
        </w:rPr>
        <w:footnoteRef/>
      </w:r>
      <w:r>
        <w:t xml:space="preserve"> Remote areas are defined in Appendix B. </w:t>
      </w:r>
    </w:p>
  </w:footnote>
  <w:footnote w:id="5">
    <w:p w14:paraId="64B82DFF" w14:textId="2A47BB23" w:rsidR="002B5730" w:rsidRDefault="002B5730">
      <w:pPr>
        <w:pStyle w:val="FootnoteText"/>
      </w:pPr>
      <w:r>
        <w:rPr>
          <w:rStyle w:val="FootnoteReference"/>
        </w:rPr>
        <w:footnoteRef/>
      </w:r>
      <w:r>
        <w:t xml:space="preserve"> AWLs were first introduced in </w:t>
      </w:r>
      <w:r w:rsidRPr="00640438">
        <w:t>2020</w:t>
      </w:r>
      <w:r>
        <w:t xml:space="preserve"> to facilitate WBB in the </w:t>
      </w:r>
      <w:hyperlink r:id="rId1" w:history="1">
        <w:r w:rsidRPr="00640438">
          <w:rPr>
            <w:rStyle w:val="Hyperlink"/>
          </w:rPr>
          <w:t>26/28 GHz bands</w:t>
        </w:r>
      </w:hyperlink>
      <w:r w:rsidRPr="00FC5F4C">
        <w:t>.</w:t>
      </w:r>
      <w:r>
        <w:t xml:space="preserve"> It is not yet available in other bands.</w:t>
      </w:r>
    </w:p>
  </w:footnote>
  <w:footnote w:id="6">
    <w:p w14:paraId="7480C8D9" w14:textId="77777777" w:rsidR="002B5730" w:rsidRDefault="002B5730" w:rsidP="005673E5">
      <w:pPr>
        <w:pStyle w:val="FootnoteText"/>
      </w:pPr>
      <w:r>
        <w:rPr>
          <w:rStyle w:val="FootnoteReference"/>
        </w:rPr>
        <w:footnoteRef/>
      </w:r>
      <w:r>
        <w:t xml:space="preserve"> Centre for International Economics (2015) </w:t>
      </w:r>
      <w:r w:rsidRPr="003E7570">
        <w:rPr>
          <w:i/>
        </w:rPr>
        <w:t>The economic value of spectrum</w:t>
      </w:r>
      <w:r>
        <w:t>,</w:t>
      </w:r>
      <w:r w:rsidRPr="00266AA1">
        <w:t xml:space="preserve"> Research report prepared for the </w:t>
      </w:r>
      <w:r>
        <w:t>Department</w:t>
      </w:r>
      <w:r w:rsidRPr="00266AA1">
        <w:t xml:space="preserve"> </w:t>
      </w:r>
      <w:r>
        <w:t>of Communications</w:t>
      </w:r>
    </w:p>
  </w:footnote>
  <w:footnote w:id="7">
    <w:p w14:paraId="5369A184" w14:textId="40DA98ED" w:rsidR="002B5730" w:rsidRDefault="002B5730" w:rsidP="000D00FD">
      <w:pPr>
        <w:pStyle w:val="FootnoteText"/>
      </w:pPr>
      <w:r>
        <w:rPr>
          <w:rStyle w:val="FootnoteReference"/>
        </w:rPr>
        <w:footnoteRef/>
      </w:r>
      <w:r>
        <w:t xml:space="preserve"> See </w:t>
      </w:r>
      <w:hyperlink r:id="rId2" w:history="1">
        <w:r>
          <w:rPr>
            <w:rStyle w:val="Hyperlink"/>
          </w:rPr>
          <w:t>Spectrum auctions | ACMA</w:t>
        </w:r>
      </w:hyperlink>
      <w:r>
        <w:t xml:space="preserve">. </w:t>
      </w:r>
    </w:p>
  </w:footnote>
  <w:footnote w:id="8">
    <w:p w14:paraId="3AA3BA5B" w14:textId="77777777" w:rsidR="002B5730" w:rsidRDefault="002B5730" w:rsidP="00E4761E">
      <w:pPr>
        <w:pStyle w:val="FootnoteText"/>
      </w:pPr>
      <w:r>
        <w:rPr>
          <w:rStyle w:val="FootnoteReference"/>
        </w:rPr>
        <w:footnoteRef/>
      </w:r>
      <w:r>
        <w:t xml:space="preserve"> </w:t>
      </w:r>
      <w:r w:rsidRPr="00FF2A87">
        <w:t>Analysys Mason Research</w:t>
      </w:r>
      <w:r>
        <w:t xml:space="preserve">, </w:t>
      </w:r>
      <w:hyperlink r:id="rId3" w:history="1">
        <w:r>
          <w:rPr>
            <w:rStyle w:val="Hyperlink"/>
          </w:rPr>
          <w:t>2022 telecoms, media and technology predictions</w:t>
        </w:r>
      </w:hyperlink>
      <w:r>
        <w:t>, accessed January 2022.</w:t>
      </w:r>
    </w:p>
  </w:footnote>
  <w:footnote w:id="9">
    <w:p w14:paraId="3631004A" w14:textId="77777777" w:rsidR="002B5730" w:rsidRDefault="002B5730" w:rsidP="00E4761E">
      <w:pPr>
        <w:pStyle w:val="FootnoteText"/>
      </w:pPr>
      <w:r>
        <w:rPr>
          <w:rStyle w:val="FootnoteReference"/>
        </w:rPr>
        <w:footnoteRef/>
      </w:r>
      <w:r>
        <w:t xml:space="preserve"> Ericsson, </w:t>
      </w:r>
      <w:hyperlink r:id="rId4" w:history="1">
        <w:r w:rsidRPr="000D7267">
          <w:rPr>
            <w:rStyle w:val="Hyperlink"/>
          </w:rPr>
          <w:t>Ericsson Mobility Report November 2021</w:t>
        </w:r>
      </w:hyperlink>
      <w:r>
        <w:t>, accessed December 2021.</w:t>
      </w:r>
    </w:p>
  </w:footnote>
  <w:footnote w:id="10">
    <w:p w14:paraId="3C02A27E" w14:textId="470CA039" w:rsidR="002B5730" w:rsidRDefault="002B5730">
      <w:pPr>
        <w:pStyle w:val="FootnoteText"/>
      </w:pPr>
      <w:r>
        <w:rPr>
          <w:rStyle w:val="FootnoteReference"/>
        </w:rPr>
        <w:footnoteRef/>
      </w:r>
      <w:r>
        <w:t xml:space="preserve"> The Act </w:t>
      </w:r>
      <w:r w:rsidRPr="00A65BAB">
        <w:t>prohibits unlicensed radiocommunications, except in emergency situations, and allows for civil proceedings to be taken in some circumstances.</w:t>
      </w:r>
    </w:p>
  </w:footnote>
  <w:footnote w:id="11">
    <w:p w14:paraId="3E942242" w14:textId="3548689D" w:rsidR="002B5730" w:rsidRDefault="002B5730">
      <w:pPr>
        <w:pStyle w:val="FootnoteText"/>
      </w:pPr>
      <w:r>
        <w:rPr>
          <w:rStyle w:val="FootnoteReference"/>
        </w:rPr>
        <w:footnoteRef/>
      </w:r>
      <w:r>
        <w:t xml:space="preserve"> </w:t>
      </w:r>
      <w:r w:rsidRPr="00573F93">
        <w:t>Section 110A(2) of the Radiocommunications Act 1992 provides that the ACMA may by legislative instrument, determine that each apparatus licence included in a specified class of apparatus licences is taken to include one or more specified conditions.</w:t>
      </w:r>
    </w:p>
  </w:footnote>
  <w:footnote w:id="12">
    <w:p w14:paraId="4A46605E" w14:textId="1CE2E77D" w:rsidR="002B5730" w:rsidRDefault="002B5730">
      <w:pPr>
        <w:pStyle w:val="FootnoteText"/>
      </w:pPr>
      <w:r>
        <w:rPr>
          <w:rStyle w:val="FootnoteReference"/>
        </w:rPr>
        <w:footnoteRef/>
      </w:r>
      <w:r>
        <w:t xml:space="preserve"> </w:t>
      </w:r>
      <w:r w:rsidRPr="00573F93">
        <w:t xml:space="preserve">RALIs </w:t>
      </w:r>
      <w:r>
        <w:t xml:space="preserve">are not legislative instruments, rather they </w:t>
      </w:r>
      <w:r w:rsidRPr="00573F93">
        <w:t>are administrative planning documents used to facilitate licensing and station coordination.</w:t>
      </w:r>
    </w:p>
  </w:footnote>
  <w:footnote w:id="13">
    <w:p w14:paraId="67555779" w14:textId="053DDCD9" w:rsidR="002B5730" w:rsidRDefault="002B5730">
      <w:pPr>
        <w:pStyle w:val="FootnoteText"/>
      </w:pPr>
      <w:r>
        <w:rPr>
          <w:rStyle w:val="FootnoteReference"/>
        </w:rPr>
        <w:footnoteRef/>
      </w:r>
      <w:r>
        <w:t xml:space="preserve"> </w:t>
      </w:r>
      <w:r w:rsidRPr="00045A5A">
        <w:t>Subsection 7(1) of the Radiocommunications (Transmitter Licence Tax) Act 1983 provides that the ACMA may determine the amount of tax for apparatus licences.</w:t>
      </w:r>
    </w:p>
  </w:footnote>
  <w:footnote w:id="14">
    <w:p w14:paraId="240988F6" w14:textId="126757C7" w:rsidR="002B5730" w:rsidRDefault="002B5730">
      <w:pPr>
        <w:pStyle w:val="FootnoteText"/>
      </w:pPr>
      <w:r>
        <w:rPr>
          <w:rStyle w:val="FootnoteReference"/>
        </w:rPr>
        <w:footnoteRef/>
      </w:r>
      <w:r>
        <w:t xml:space="preserve"> With special conditions written into specific licences. </w:t>
      </w:r>
    </w:p>
  </w:footnote>
  <w:footnote w:id="15">
    <w:p w14:paraId="5FEA6C2D" w14:textId="77777777" w:rsidR="002B5730" w:rsidRDefault="002B5730" w:rsidP="00591742">
      <w:pPr>
        <w:pStyle w:val="FootnoteText"/>
      </w:pPr>
      <w:r>
        <w:rPr>
          <w:rStyle w:val="FootnoteReference"/>
        </w:rPr>
        <w:footnoteRef/>
      </w:r>
      <w:r>
        <w:t xml:space="preserve"> The Hierarchical Cell Identification Scheme (HCIS) is described in the </w:t>
      </w:r>
      <w:hyperlink r:id="rId5" w:history="1">
        <w:r w:rsidRPr="00AC13F8">
          <w:rPr>
            <w:rStyle w:val="Hyperlink"/>
          </w:rPr>
          <w:t>Australian Spectrum Map Grid 2012</w:t>
        </w:r>
      </w:hyperlink>
      <w:r>
        <w:t xml:space="preserve">. </w:t>
      </w:r>
    </w:p>
  </w:footnote>
  <w:footnote w:id="16">
    <w:p w14:paraId="216DC58C" w14:textId="09E79254" w:rsidR="002B5730" w:rsidRDefault="002B5730">
      <w:pPr>
        <w:pStyle w:val="FootnoteText"/>
      </w:pPr>
      <w:r>
        <w:rPr>
          <w:rStyle w:val="FootnoteReference"/>
        </w:rPr>
        <w:footnoteRef/>
      </w:r>
      <w:r>
        <w:t xml:space="preserve"> </w:t>
      </w:r>
      <w:hyperlink r:id="rId6" w:history="1">
        <w:r>
          <w:rPr>
            <w:rStyle w:val="Hyperlink"/>
          </w:rPr>
          <w:t>Optimisation of arrangements in the 3400-3575 MHz band | OBPR (pmc.gov.au)</w:t>
        </w:r>
      </w:hyperlink>
    </w:p>
  </w:footnote>
  <w:footnote w:id="17">
    <w:p w14:paraId="34B28354" w14:textId="3000AFF9" w:rsidR="002B5730" w:rsidRDefault="002B5730">
      <w:pPr>
        <w:pStyle w:val="FootnoteText"/>
      </w:pPr>
      <w:r>
        <w:rPr>
          <w:rStyle w:val="FootnoteReference"/>
        </w:rPr>
        <w:footnoteRef/>
      </w:r>
      <w:r>
        <w:t xml:space="preserve"> </w:t>
      </w:r>
      <w:hyperlink r:id="rId7" w:history="1">
        <w:r>
          <w:rPr>
            <w:rStyle w:val="Hyperlink"/>
          </w:rPr>
          <w:t>Replanning of the 3700-4200 MHz Band | OBPR (pmc.gov.au)</w:t>
        </w:r>
      </w:hyperlink>
      <w:r>
        <w:tab/>
      </w:r>
    </w:p>
  </w:footnote>
  <w:footnote w:id="18">
    <w:p w14:paraId="6BBC1302" w14:textId="5A0A6C65" w:rsidR="002B5730" w:rsidRDefault="002B5730" w:rsidP="007A09FC">
      <w:pPr>
        <w:pStyle w:val="FootnoteText"/>
      </w:pPr>
      <w:r>
        <w:rPr>
          <w:rStyle w:val="FootnoteReference"/>
        </w:rPr>
        <w:footnoteRef/>
      </w:r>
      <w:r>
        <w:t xml:space="preserve"> These include fixed point to point services (PTP), fixed satellite services (FSS), point to multipoint (PMP) services.</w:t>
      </w:r>
    </w:p>
  </w:footnote>
  <w:footnote w:id="19">
    <w:p w14:paraId="675CB391" w14:textId="56A8C364" w:rsidR="002B5730" w:rsidRDefault="002B5730">
      <w:pPr>
        <w:pStyle w:val="FootnoteText"/>
      </w:pPr>
      <w:r>
        <w:rPr>
          <w:rStyle w:val="FootnoteReference"/>
        </w:rPr>
        <w:footnoteRef/>
      </w:r>
      <w:r>
        <w:t xml:space="preserve"> </w:t>
      </w:r>
      <w:r w:rsidRPr="001F72C9">
        <w:t>Spectrum tune-ups are ACMA events where we discuss current and emerging spectrum management issues in Australia with industry experts.</w:t>
      </w:r>
      <w:r>
        <w:t xml:space="preserve"> </w:t>
      </w:r>
      <w:hyperlink r:id="rId8" w:history="1">
        <w:r>
          <w:rPr>
            <w:rStyle w:val="Hyperlink"/>
          </w:rPr>
          <w:t>Spectrum tune-ups | ACMA</w:t>
        </w:r>
      </w:hyperlink>
      <w:r>
        <w:t xml:space="preserve">. </w:t>
      </w:r>
    </w:p>
  </w:footnote>
  <w:footnote w:id="20">
    <w:p w14:paraId="23AF89D1" w14:textId="77777777" w:rsidR="002B5730" w:rsidRDefault="002B5730" w:rsidP="00F40B8E">
      <w:pPr>
        <w:pStyle w:val="FootnoteText"/>
      </w:pPr>
      <w:r>
        <w:rPr>
          <w:rStyle w:val="FootnoteReference"/>
        </w:rPr>
        <w:footnoteRef/>
      </w:r>
      <w:r>
        <w:t xml:space="preserve"> WA WBB services are typically</w:t>
      </w:r>
      <w:r w:rsidRPr="00884E59">
        <w:t xml:space="preserve"> network deployments over large, often contiguous, geographical areas, such as those traditionally undertaken by mobile network operators (MNOs)</w:t>
      </w:r>
      <w:r w:rsidRPr="485C9D3C">
        <w:rPr>
          <w:rFonts w:cs="Arial"/>
        </w:rPr>
        <w:t xml:space="preserve">. </w:t>
      </w:r>
      <w:r>
        <w:t>L</w:t>
      </w:r>
      <w:r w:rsidRPr="485C9D3C">
        <w:rPr>
          <w:rFonts w:cs="Arial"/>
        </w:rPr>
        <w:t xml:space="preserve">A WBB </w:t>
      </w:r>
      <w:r w:rsidRPr="00884E59">
        <w:t xml:space="preserve">services </w:t>
      </w:r>
      <w:r>
        <w:t>are deployments by operators needing smaller geographic areas, including wireless internet service providers (WISPs), fixed wireless access providers, as well as campus-style and private network deployments by industry vertical and enterprise users</w:t>
      </w:r>
      <w:r w:rsidRPr="485C9D3C">
        <w:rPr>
          <w:rFonts w:cs="Arial"/>
        </w:rPr>
        <w:t>.</w:t>
      </w:r>
    </w:p>
  </w:footnote>
  <w:footnote w:id="21">
    <w:p w14:paraId="6D39A4F5" w14:textId="77777777" w:rsidR="002B5730" w:rsidRDefault="002B5730" w:rsidP="00D64974">
      <w:pPr>
        <w:pStyle w:val="FootnoteText"/>
      </w:pPr>
      <w:r>
        <w:rPr>
          <w:rStyle w:val="FootnoteReference"/>
        </w:rPr>
        <w:footnoteRef/>
      </w:r>
      <w:r>
        <w:t xml:space="preserve"> See past progress reports here: </w:t>
      </w:r>
      <w:hyperlink r:id="rId9" w:history="1">
        <w:r>
          <w:rPr>
            <w:rStyle w:val="Hyperlink"/>
          </w:rPr>
          <w:t>Five-year spectrum outlook | ACMA</w:t>
        </w:r>
      </w:hyperlink>
      <w:r>
        <w:t>.</w:t>
      </w:r>
    </w:p>
  </w:footnote>
  <w:footnote w:id="22">
    <w:p w14:paraId="28F56469" w14:textId="77777777" w:rsidR="002B5730" w:rsidRDefault="002B5730" w:rsidP="00D63F0C">
      <w:pPr>
        <w:pStyle w:val="FootnoteText"/>
      </w:pPr>
      <w:r>
        <w:rPr>
          <w:rStyle w:val="FootnoteReference"/>
        </w:rPr>
        <w:footnoteRef/>
      </w:r>
      <w:r>
        <w:t xml:space="preserve"> These definitions do not include any areas of appropriate exclusion from licensing such as the ESPZs or the mid west radio quiet zone (</w:t>
      </w:r>
      <w:hyperlink r:id="rId10" w:history="1">
        <w:r w:rsidRPr="00314E43">
          <w:rPr>
            <w:rStyle w:val="Hyperlink"/>
          </w:rPr>
          <w:t>RQZ</w:t>
        </w:r>
      </w:hyperlink>
      <w:r>
        <w:t>), among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0F7D" w14:textId="77777777" w:rsidR="002B5730" w:rsidRDefault="002B5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85C1" w14:textId="77777777" w:rsidR="002B5730" w:rsidRPr="00A5474E" w:rsidRDefault="002B5730" w:rsidP="00DF4F2E">
    <w:pPr>
      <w:pStyle w:val="Header"/>
    </w:pPr>
    <w:r>
      <w:rPr>
        <w:noProof/>
      </w:rPr>
      <w:drawing>
        <wp:inline distT="0" distB="0" distL="0" distR="0" wp14:anchorId="0D543A40" wp14:editId="734B72E7">
          <wp:extent cx="6283434" cy="578076"/>
          <wp:effectExtent l="0" t="0" r="3175"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2024" w14:textId="77777777" w:rsidR="002B5730" w:rsidRPr="00A5474E" w:rsidRDefault="002B5730" w:rsidP="00DF4F2E">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0A95" w14:textId="77777777" w:rsidR="002B5730" w:rsidRDefault="002B57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52EB" w14:textId="77777777" w:rsidR="002B5730" w:rsidRDefault="002B57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2B5730" w14:paraId="39B2BFF0" w14:textId="77777777" w:rsidTr="00DF4F2E">
      <w:trPr>
        <w:trHeight w:hRule="exact" w:val="988"/>
      </w:trPr>
      <w:tc>
        <w:tcPr>
          <w:tcW w:w="7678" w:type="dxa"/>
          <w:shd w:val="clear" w:color="auto" w:fill="auto"/>
        </w:tcPr>
        <w:p w14:paraId="104ECA47" w14:textId="77777777" w:rsidR="002B5730" w:rsidRDefault="002B5730" w:rsidP="00DF4F2E">
          <w:pPr>
            <w:pStyle w:val="Header"/>
          </w:pPr>
        </w:p>
      </w:tc>
    </w:tr>
    <w:tr w:rsidR="002B5730" w14:paraId="7FE5C551" w14:textId="77777777" w:rsidTr="00DF4F2E">
      <w:tc>
        <w:tcPr>
          <w:tcW w:w="7678" w:type="dxa"/>
          <w:shd w:val="clear" w:color="auto" w:fill="auto"/>
        </w:tcPr>
        <w:p w14:paraId="197A323B" w14:textId="77777777" w:rsidR="002B5730" w:rsidRDefault="002B5730" w:rsidP="00DF4F2E">
          <w:pPr>
            <w:pStyle w:val="GridTable31"/>
          </w:pPr>
          <w:r>
            <w:t xml:space="preserve">Contents </w:t>
          </w:r>
          <w:r w:rsidRPr="00915B1C">
            <w:rPr>
              <w:b w:val="0"/>
              <w:spacing w:val="0"/>
              <w:sz w:val="28"/>
              <w:szCs w:val="28"/>
            </w:rPr>
            <w:t>(Continued)</w:t>
          </w:r>
        </w:p>
      </w:tc>
    </w:tr>
    <w:tr w:rsidR="002B5730" w14:paraId="34D332F2" w14:textId="77777777" w:rsidTr="00DF4F2E">
      <w:trPr>
        <w:trHeight w:val="1220"/>
      </w:trPr>
      <w:tc>
        <w:tcPr>
          <w:tcW w:w="7678" w:type="dxa"/>
          <w:shd w:val="clear" w:color="auto" w:fill="auto"/>
        </w:tcPr>
        <w:p w14:paraId="2CCFA3FF" w14:textId="77777777" w:rsidR="002B5730" w:rsidRDefault="002B5730" w:rsidP="00DF4F2E"/>
      </w:tc>
    </w:tr>
  </w:tbl>
  <w:p w14:paraId="2556486E" w14:textId="77777777" w:rsidR="002B5730" w:rsidRDefault="002B5730" w:rsidP="00DF4F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2B5730" w14:paraId="46AD3C58" w14:textId="77777777" w:rsidTr="00DF4F2E">
      <w:trPr>
        <w:trHeight w:hRule="exact" w:val="988"/>
      </w:trPr>
      <w:tc>
        <w:tcPr>
          <w:tcW w:w="7678" w:type="dxa"/>
          <w:shd w:val="clear" w:color="auto" w:fill="auto"/>
        </w:tcPr>
        <w:p w14:paraId="0805196E" w14:textId="77777777" w:rsidR="002B5730" w:rsidRDefault="002B5730" w:rsidP="00DF4F2E">
          <w:pPr>
            <w:pStyle w:val="Header"/>
          </w:pPr>
        </w:p>
      </w:tc>
    </w:tr>
    <w:tr w:rsidR="002B5730" w14:paraId="79414C9E" w14:textId="77777777" w:rsidTr="00DF4F2E">
      <w:tc>
        <w:tcPr>
          <w:tcW w:w="7678" w:type="dxa"/>
          <w:shd w:val="clear" w:color="auto" w:fill="auto"/>
        </w:tcPr>
        <w:p w14:paraId="7EF0DC53" w14:textId="77777777" w:rsidR="002B5730" w:rsidRDefault="002B5730" w:rsidP="00DF4F2E">
          <w:pPr>
            <w:pStyle w:val="GridTable31"/>
          </w:pPr>
          <w:r>
            <w:t xml:space="preserve">Contents </w:t>
          </w:r>
          <w:r w:rsidRPr="00915B1C">
            <w:rPr>
              <w:b w:val="0"/>
              <w:spacing w:val="0"/>
              <w:sz w:val="28"/>
              <w:szCs w:val="28"/>
            </w:rPr>
            <w:t>(Continued)</w:t>
          </w:r>
        </w:p>
      </w:tc>
    </w:tr>
    <w:tr w:rsidR="002B5730" w14:paraId="047A423C" w14:textId="77777777" w:rsidTr="00DF4F2E">
      <w:trPr>
        <w:trHeight w:val="1220"/>
      </w:trPr>
      <w:tc>
        <w:tcPr>
          <w:tcW w:w="7678" w:type="dxa"/>
          <w:shd w:val="clear" w:color="auto" w:fill="auto"/>
        </w:tcPr>
        <w:p w14:paraId="59253BF6" w14:textId="77777777" w:rsidR="002B5730" w:rsidRDefault="002B5730" w:rsidP="00DF4F2E"/>
      </w:tc>
    </w:tr>
  </w:tbl>
  <w:p w14:paraId="614BA08E" w14:textId="77777777" w:rsidR="002B5730" w:rsidRPr="00A5474E" w:rsidRDefault="002B5730" w:rsidP="00DF4F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7D6FE" w14:textId="77777777" w:rsidR="002B5730" w:rsidRDefault="002B57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61FC" w14:textId="77777777" w:rsidR="002B5730" w:rsidRDefault="002B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8418067C"/>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40660C5C"/>
    <w:lvl w:ilvl="0">
      <w:start w:val="1"/>
      <w:numFmt w:val="bullet"/>
      <w:pStyle w:val="ListBullet"/>
      <w:lvlText w:val=""/>
      <w:lvlJc w:val="left"/>
      <w:pPr>
        <w:ind w:left="720" w:hanging="360"/>
      </w:pPr>
      <w:rPr>
        <w:rFonts w:ascii="Symbol" w:hAnsi="Symbol" w:hint="default"/>
        <w:sz w:val="20"/>
      </w:rPr>
    </w:lvl>
  </w:abstractNum>
  <w:abstractNum w:abstractNumId="4" w15:restartNumberingAfterBreak="0">
    <w:nsid w:val="0C280C89"/>
    <w:multiLevelType w:val="multilevel"/>
    <w:tmpl w:val="1CA6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425F3"/>
    <w:multiLevelType w:val="multilevel"/>
    <w:tmpl w:val="14CA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B7970"/>
    <w:multiLevelType w:val="hybridMultilevel"/>
    <w:tmpl w:val="32346428"/>
    <w:lvl w:ilvl="0" w:tplc="C07291BA">
      <w:start w:val="1"/>
      <w:numFmt w:val="decimal"/>
      <w:lvlText w:val="%1."/>
      <w:lvlJc w:val="left"/>
      <w:pPr>
        <w:ind w:left="720" w:hanging="360"/>
      </w:pPr>
    </w:lvl>
    <w:lvl w:ilvl="1" w:tplc="1F5A3B2E">
      <w:start w:val="1"/>
      <w:numFmt w:val="lowerLetter"/>
      <w:lvlText w:val="%2."/>
      <w:lvlJc w:val="left"/>
      <w:pPr>
        <w:ind w:left="1440" w:hanging="360"/>
      </w:pPr>
    </w:lvl>
    <w:lvl w:ilvl="2" w:tplc="ABEAC866">
      <w:start w:val="1"/>
      <w:numFmt w:val="lowerRoman"/>
      <w:lvlText w:val="%3."/>
      <w:lvlJc w:val="right"/>
      <w:pPr>
        <w:ind w:left="2160" w:hanging="180"/>
      </w:pPr>
    </w:lvl>
    <w:lvl w:ilvl="3" w:tplc="7842EEC8">
      <w:start w:val="1"/>
      <w:numFmt w:val="decimal"/>
      <w:lvlText w:val="%4."/>
      <w:lvlJc w:val="left"/>
      <w:pPr>
        <w:ind w:left="2880" w:hanging="360"/>
      </w:pPr>
    </w:lvl>
    <w:lvl w:ilvl="4" w:tplc="F6720C9A">
      <w:start w:val="1"/>
      <w:numFmt w:val="lowerLetter"/>
      <w:lvlText w:val="%5."/>
      <w:lvlJc w:val="left"/>
      <w:pPr>
        <w:ind w:left="3600" w:hanging="360"/>
      </w:pPr>
    </w:lvl>
    <w:lvl w:ilvl="5" w:tplc="CC96154A">
      <w:start w:val="1"/>
      <w:numFmt w:val="lowerRoman"/>
      <w:lvlText w:val="%6."/>
      <w:lvlJc w:val="right"/>
      <w:pPr>
        <w:ind w:left="4320" w:hanging="180"/>
      </w:pPr>
    </w:lvl>
    <w:lvl w:ilvl="6" w:tplc="F8EC00A2">
      <w:start w:val="1"/>
      <w:numFmt w:val="decimal"/>
      <w:lvlText w:val="%7."/>
      <w:lvlJc w:val="left"/>
      <w:pPr>
        <w:ind w:left="5040" w:hanging="360"/>
      </w:pPr>
    </w:lvl>
    <w:lvl w:ilvl="7" w:tplc="A80C8288">
      <w:start w:val="1"/>
      <w:numFmt w:val="lowerLetter"/>
      <w:lvlText w:val="%8."/>
      <w:lvlJc w:val="left"/>
      <w:pPr>
        <w:ind w:left="5760" w:hanging="360"/>
      </w:pPr>
    </w:lvl>
    <w:lvl w:ilvl="8" w:tplc="36E45A52">
      <w:start w:val="1"/>
      <w:numFmt w:val="lowerRoman"/>
      <w:lvlText w:val="%9."/>
      <w:lvlJc w:val="right"/>
      <w:pPr>
        <w:ind w:left="6480" w:hanging="180"/>
      </w:pPr>
    </w:lvl>
  </w:abstractNum>
  <w:abstractNum w:abstractNumId="7" w15:restartNumberingAfterBreak="0">
    <w:nsid w:val="126725E3"/>
    <w:multiLevelType w:val="hybridMultilevel"/>
    <w:tmpl w:val="50CE776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8D7614"/>
    <w:multiLevelType w:val="hybridMultilevel"/>
    <w:tmpl w:val="4C3044C6"/>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587FB2"/>
    <w:multiLevelType w:val="hybridMultilevel"/>
    <w:tmpl w:val="52A0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EE6024"/>
    <w:multiLevelType w:val="hybridMultilevel"/>
    <w:tmpl w:val="2B945204"/>
    <w:lvl w:ilvl="0" w:tplc="851851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A418FA"/>
    <w:multiLevelType w:val="multilevel"/>
    <w:tmpl w:val="B9CE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18091C"/>
    <w:multiLevelType w:val="hybridMultilevel"/>
    <w:tmpl w:val="4AF88A5A"/>
    <w:lvl w:ilvl="0" w:tplc="F8CEC37A">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E24344"/>
    <w:multiLevelType w:val="multilevel"/>
    <w:tmpl w:val="824C09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42768F"/>
    <w:multiLevelType w:val="hybridMultilevel"/>
    <w:tmpl w:val="1794E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8320C4"/>
    <w:multiLevelType w:val="multilevel"/>
    <w:tmpl w:val="8D9C2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ADC6996"/>
    <w:multiLevelType w:val="hybridMultilevel"/>
    <w:tmpl w:val="FCF4C436"/>
    <w:lvl w:ilvl="0" w:tplc="C6D0BF1C">
      <w:start w:val="1"/>
      <w:numFmt w:val="decimal"/>
      <w:lvlText w:val="%1."/>
      <w:lvlJc w:val="left"/>
      <w:pPr>
        <w:ind w:left="720" w:hanging="360"/>
      </w:pPr>
    </w:lvl>
    <w:lvl w:ilvl="1" w:tplc="4A1A1574">
      <w:start w:val="1"/>
      <w:numFmt w:val="lowerLetter"/>
      <w:lvlText w:val="%2."/>
      <w:lvlJc w:val="left"/>
      <w:pPr>
        <w:ind w:left="1440" w:hanging="360"/>
      </w:pPr>
    </w:lvl>
    <w:lvl w:ilvl="2" w:tplc="4DBA6D22">
      <w:start w:val="1"/>
      <w:numFmt w:val="lowerRoman"/>
      <w:lvlText w:val="%3."/>
      <w:lvlJc w:val="right"/>
      <w:pPr>
        <w:ind w:left="2160" w:hanging="180"/>
      </w:pPr>
    </w:lvl>
    <w:lvl w:ilvl="3" w:tplc="1B7A8B6A">
      <w:start w:val="1"/>
      <w:numFmt w:val="decimal"/>
      <w:lvlText w:val="%4."/>
      <w:lvlJc w:val="left"/>
      <w:pPr>
        <w:ind w:left="2880" w:hanging="360"/>
      </w:pPr>
    </w:lvl>
    <w:lvl w:ilvl="4" w:tplc="FC840C16">
      <w:start w:val="1"/>
      <w:numFmt w:val="lowerLetter"/>
      <w:lvlText w:val="%5."/>
      <w:lvlJc w:val="left"/>
      <w:pPr>
        <w:ind w:left="3600" w:hanging="360"/>
      </w:pPr>
    </w:lvl>
    <w:lvl w:ilvl="5" w:tplc="29724994">
      <w:start w:val="1"/>
      <w:numFmt w:val="lowerRoman"/>
      <w:lvlText w:val="%6."/>
      <w:lvlJc w:val="right"/>
      <w:pPr>
        <w:ind w:left="4320" w:hanging="180"/>
      </w:pPr>
    </w:lvl>
    <w:lvl w:ilvl="6" w:tplc="281895EA">
      <w:start w:val="1"/>
      <w:numFmt w:val="decimal"/>
      <w:lvlText w:val="%7."/>
      <w:lvlJc w:val="left"/>
      <w:pPr>
        <w:ind w:left="5040" w:hanging="360"/>
      </w:pPr>
    </w:lvl>
    <w:lvl w:ilvl="7" w:tplc="D85E29D8">
      <w:start w:val="1"/>
      <w:numFmt w:val="lowerLetter"/>
      <w:lvlText w:val="%8."/>
      <w:lvlJc w:val="left"/>
      <w:pPr>
        <w:ind w:left="5760" w:hanging="360"/>
      </w:pPr>
    </w:lvl>
    <w:lvl w:ilvl="8" w:tplc="C65660FA">
      <w:start w:val="1"/>
      <w:numFmt w:val="lowerRoman"/>
      <w:lvlText w:val="%9."/>
      <w:lvlJc w:val="right"/>
      <w:pPr>
        <w:ind w:left="6480" w:hanging="180"/>
      </w:pPr>
    </w:lvl>
  </w:abstractNum>
  <w:abstractNum w:abstractNumId="1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24A0782"/>
    <w:multiLevelType w:val="multilevel"/>
    <w:tmpl w:val="54B065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5016E5"/>
    <w:multiLevelType w:val="hybridMultilevel"/>
    <w:tmpl w:val="21DC5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D2682B"/>
    <w:multiLevelType w:val="hybridMultilevel"/>
    <w:tmpl w:val="325C6190"/>
    <w:lvl w:ilvl="0" w:tplc="5B845C30">
      <w:start w:val="1"/>
      <w:numFmt w:val="decimal"/>
      <w:lvlText w:val="%1."/>
      <w:lvlJc w:val="left"/>
      <w:pPr>
        <w:ind w:left="720" w:hanging="360"/>
      </w:pPr>
    </w:lvl>
    <w:lvl w:ilvl="1" w:tplc="F95CFD1A">
      <w:start w:val="1"/>
      <w:numFmt w:val="lowerLetter"/>
      <w:lvlText w:val="%2."/>
      <w:lvlJc w:val="left"/>
      <w:pPr>
        <w:ind w:left="1440" w:hanging="360"/>
      </w:pPr>
    </w:lvl>
    <w:lvl w:ilvl="2" w:tplc="8A928F46">
      <w:start w:val="1"/>
      <w:numFmt w:val="lowerRoman"/>
      <w:lvlText w:val="%3."/>
      <w:lvlJc w:val="right"/>
      <w:pPr>
        <w:ind w:left="2160" w:hanging="180"/>
      </w:pPr>
    </w:lvl>
    <w:lvl w:ilvl="3" w:tplc="DE365486">
      <w:start w:val="1"/>
      <w:numFmt w:val="decimal"/>
      <w:lvlText w:val="%4."/>
      <w:lvlJc w:val="left"/>
      <w:pPr>
        <w:ind w:left="2880" w:hanging="360"/>
      </w:pPr>
    </w:lvl>
    <w:lvl w:ilvl="4" w:tplc="132C0314">
      <w:start w:val="1"/>
      <w:numFmt w:val="lowerLetter"/>
      <w:lvlText w:val="%5."/>
      <w:lvlJc w:val="left"/>
      <w:pPr>
        <w:ind w:left="3600" w:hanging="360"/>
      </w:pPr>
    </w:lvl>
    <w:lvl w:ilvl="5" w:tplc="858CAF3E">
      <w:start w:val="1"/>
      <w:numFmt w:val="lowerRoman"/>
      <w:lvlText w:val="%6."/>
      <w:lvlJc w:val="right"/>
      <w:pPr>
        <w:ind w:left="4320" w:hanging="180"/>
      </w:pPr>
    </w:lvl>
    <w:lvl w:ilvl="6" w:tplc="62FCC3DC">
      <w:start w:val="1"/>
      <w:numFmt w:val="decimal"/>
      <w:lvlText w:val="%7."/>
      <w:lvlJc w:val="left"/>
      <w:pPr>
        <w:ind w:left="5040" w:hanging="360"/>
      </w:pPr>
    </w:lvl>
    <w:lvl w:ilvl="7" w:tplc="778C9F50">
      <w:start w:val="1"/>
      <w:numFmt w:val="lowerLetter"/>
      <w:lvlText w:val="%8."/>
      <w:lvlJc w:val="left"/>
      <w:pPr>
        <w:ind w:left="5760" w:hanging="360"/>
      </w:pPr>
    </w:lvl>
    <w:lvl w:ilvl="8" w:tplc="66BA52BC">
      <w:start w:val="1"/>
      <w:numFmt w:val="lowerRoman"/>
      <w:lvlText w:val="%9."/>
      <w:lvlJc w:val="right"/>
      <w:pPr>
        <w:ind w:left="6480" w:hanging="180"/>
      </w:pPr>
    </w:lvl>
  </w:abstractNum>
  <w:abstractNum w:abstractNumId="22" w15:restartNumberingAfterBreak="0">
    <w:nsid w:val="430C6D78"/>
    <w:multiLevelType w:val="hybridMultilevel"/>
    <w:tmpl w:val="001A2D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1D76CA"/>
    <w:multiLevelType w:val="hybridMultilevel"/>
    <w:tmpl w:val="DEA86F94"/>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9E3413"/>
    <w:multiLevelType w:val="multilevel"/>
    <w:tmpl w:val="18F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52521"/>
    <w:multiLevelType w:val="multilevel"/>
    <w:tmpl w:val="3E001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E87DE8"/>
    <w:multiLevelType w:val="hybridMultilevel"/>
    <w:tmpl w:val="F42CF9B2"/>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E259A"/>
    <w:multiLevelType w:val="hybridMultilevel"/>
    <w:tmpl w:val="975418C2"/>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8C2080"/>
    <w:multiLevelType w:val="hybridMultilevel"/>
    <w:tmpl w:val="F072F95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A5916"/>
    <w:multiLevelType w:val="hybridMultilevel"/>
    <w:tmpl w:val="54FCCC7E"/>
    <w:lvl w:ilvl="0" w:tplc="84BCBA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880A79"/>
    <w:multiLevelType w:val="hybridMultilevel"/>
    <w:tmpl w:val="E85C90D6"/>
    <w:lvl w:ilvl="0" w:tplc="C37E3CDA">
      <w:start w:val="1"/>
      <w:numFmt w:val="decimal"/>
      <w:lvlText w:val="%1."/>
      <w:lvlJc w:val="left"/>
      <w:pPr>
        <w:ind w:left="720" w:hanging="360"/>
      </w:pPr>
    </w:lvl>
    <w:lvl w:ilvl="1" w:tplc="E4BE0F9C">
      <w:start w:val="1"/>
      <w:numFmt w:val="lowerLetter"/>
      <w:lvlText w:val="%2."/>
      <w:lvlJc w:val="left"/>
      <w:pPr>
        <w:ind w:left="1440" w:hanging="360"/>
      </w:pPr>
    </w:lvl>
    <w:lvl w:ilvl="2" w:tplc="4834616E">
      <w:start w:val="1"/>
      <w:numFmt w:val="lowerRoman"/>
      <w:lvlText w:val="%3."/>
      <w:lvlJc w:val="right"/>
      <w:pPr>
        <w:ind w:left="2160" w:hanging="180"/>
      </w:pPr>
    </w:lvl>
    <w:lvl w:ilvl="3" w:tplc="0EE0FE9C">
      <w:start w:val="1"/>
      <w:numFmt w:val="decimal"/>
      <w:lvlText w:val="%4."/>
      <w:lvlJc w:val="left"/>
      <w:pPr>
        <w:ind w:left="2880" w:hanging="360"/>
      </w:pPr>
    </w:lvl>
    <w:lvl w:ilvl="4" w:tplc="6BCE5984">
      <w:start w:val="1"/>
      <w:numFmt w:val="lowerLetter"/>
      <w:lvlText w:val="%5."/>
      <w:lvlJc w:val="left"/>
      <w:pPr>
        <w:ind w:left="3600" w:hanging="360"/>
      </w:pPr>
    </w:lvl>
    <w:lvl w:ilvl="5" w:tplc="90DE30E0">
      <w:start w:val="1"/>
      <w:numFmt w:val="lowerRoman"/>
      <w:lvlText w:val="%6."/>
      <w:lvlJc w:val="right"/>
      <w:pPr>
        <w:ind w:left="4320" w:hanging="180"/>
      </w:pPr>
    </w:lvl>
    <w:lvl w:ilvl="6" w:tplc="53847366">
      <w:start w:val="1"/>
      <w:numFmt w:val="decimal"/>
      <w:lvlText w:val="%7."/>
      <w:lvlJc w:val="left"/>
      <w:pPr>
        <w:ind w:left="5040" w:hanging="360"/>
      </w:pPr>
    </w:lvl>
    <w:lvl w:ilvl="7" w:tplc="9CB445BA">
      <w:start w:val="1"/>
      <w:numFmt w:val="lowerLetter"/>
      <w:lvlText w:val="%8."/>
      <w:lvlJc w:val="left"/>
      <w:pPr>
        <w:ind w:left="5760" w:hanging="360"/>
      </w:pPr>
    </w:lvl>
    <w:lvl w:ilvl="8" w:tplc="883E3BC0">
      <w:start w:val="1"/>
      <w:numFmt w:val="lowerRoman"/>
      <w:lvlText w:val="%9."/>
      <w:lvlJc w:val="right"/>
      <w:pPr>
        <w:ind w:left="6480" w:hanging="180"/>
      </w:pPr>
    </w:lvl>
  </w:abstractNum>
  <w:abstractNum w:abstractNumId="34" w15:restartNumberingAfterBreak="0">
    <w:nsid w:val="6C596103"/>
    <w:multiLevelType w:val="multilevel"/>
    <w:tmpl w:val="F1E466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22886"/>
    <w:multiLevelType w:val="hybridMultilevel"/>
    <w:tmpl w:val="8B7CBF14"/>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72915"/>
    <w:multiLevelType w:val="hybridMultilevel"/>
    <w:tmpl w:val="8B0A7C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18"/>
  </w:num>
  <w:num w:numId="6">
    <w:abstractNumId w:val="31"/>
  </w:num>
  <w:num w:numId="7">
    <w:abstractNumId w:val="27"/>
  </w:num>
  <w:num w:numId="8">
    <w:abstractNumId w:val="30"/>
  </w:num>
  <w:num w:numId="9">
    <w:abstractNumId w:val="35"/>
  </w:num>
  <w:num w:numId="10">
    <w:abstractNumId w:val="8"/>
  </w:num>
  <w:num w:numId="11">
    <w:abstractNumId w:val="22"/>
  </w:num>
  <w:num w:numId="12">
    <w:abstractNumId w:val="26"/>
  </w:num>
  <w:num w:numId="13">
    <w:abstractNumId w:val="13"/>
  </w:num>
  <w:num w:numId="14">
    <w:abstractNumId w:val="20"/>
  </w:num>
  <w:num w:numId="15">
    <w:abstractNumId w:val="36"/>
  </w:num>
  <w:num w:numId="16">
    <w:abstractNumId w:val="7"/>
  </w:num>
  <w:num w:numId="17">
    <w:abstractNumId w:val="11"/>
  </w:num>
  <w:num w:numId="18">
    <w:abstractNumId w:val="37"/>
  </w:num>
  <w:num w:numId="19">
    <w:abstractNumId w:val="23"/>
  </w:num>
  <w:num w:numId="20">
    <w:abstractNumId w:val="9"/>
  </w:num>
  <w:num w:numId="21">
    <w:abstractNumId w:val="28"/>
  </w:num>
  <w:num w:numId="22">
    <w:abstractNumId w:val="29"/>
  </w:num>
  <w:num w:numId="23">
    <w:abstractNumId w:val="15"/>
  </w:num>
  <w:num w:numId="24">
    <w:abstractNumId w:val="4"/>
  </w:num>
  <w:num w:numId="25">
    <w:abstractNumId w:val="32"/>
  </w:num>
  <w:num w:numId="26">
    <w:abstractNumId w:val="2"/>
    <w:lvlOverride w:ilvl="0">
      <w:startOverride w:val="1"/>
    </w:lvlOverride>
  </w:num>
  <w:num w:numId="27">
    <w:abstractNumId w:val="2"/>
    <w:lvlOverride w:ilvl="0">
      <w:startOverride w:val="1"/>
    </w:lvlOverride>
  </w:num>
  <w:num w:numId="28">
    <w:abstractNumId w:val="6"/>
  </w:num>
  <w:num w:numId="29">
    <w:abstractNumId w:val="21"/>
  </w:num>
  <w:num w:numId="30">
    <w:abstractNumId w:val="17"/>
  </w:num>
  <w:num w:numId="31">
    <w:abstractNumId w:val="33"/>
  </w:num>
  <w:num w:numId="32">
    <w:abstractNumId w:val="19"/>
  </w:num>
  <w:num w:numId="33">
    <w:abstractNumId w:val="34"/>
  </w:num>
  <w:num w:numId="34">
    <w:abstractNumId w:val="16"/>
  </w:num>
  <w:num w:numId="35">
    <w:abstractNumId w:val="14"/>
  </w:num>
  <w:num w:numId="36">
    <w:abstractNumId w:val="25"/>
  </w:num>
  <w:num w:numId="37">
    <w:abstractNumId w:val="12"/>
  </w:num>
  <w:num w:numId="38">
    <w:abstractNumId w:val="5"/>
  </w:num>
  <w:num w:numId="39">
    <w:abstractNumId w:val="24"/>
  </w:num>
  <w:num w:numId="40">
    <w:abstractNumId w:val="10"/>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2"/>
    <w:lvlOverride w:ilvl="0">
      <w:startOverride w:val="1"/>
    </w:lvlOverride>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F0"/>
    <w:rsid w:val="00000BEF"/>
    <w:rsid w:val="00002836"/>
    <w:rsid w:val="000029E0"/>
    <w:rsid w:val="00003E77"/>
    <w:rsid w:val="00004C44"/>
    <w:rsid w:val="0000539A"/>
    <w:rsid w:val="000074DB"/>
    <w:rsid w:val="00007833"/>
    <w:rsid w:val="00010404"/>
    <w:rsid w:val="00011499"/>
    <w:rsid w:val="000116DB"/>
    <w:rsid w:val="00012A6E"/>
    <w:rsid w:val="00012AAF"/>
    <w:rsid w:val="000135E8"/>
    <w:rsid w:val="00013AE6"/>
    <w:rsid w:val="00013C99"/>
    <w:rsid w:val="00014B7A"/>
    <w:rsid w:val="00014D98"/>
    <w:rsid w:val="00014F4B"/>
    <w:rsid w:val="0001505D"/>
    <w:rsid w:val="000156A9"/>
    <w:rsid w:val="0001719C"/>
    <w:rsid w:val="0001751A"/>
    <w:rsid w:val="000179D0"/>
    <w:rsid w:val="00017CAD"/>
    <w:rsid w:val="00017CC7"/>
    <w:rsid w:val="000209CB"/>
    <w:rsid w:val="0002151B"/>
    <w:rsid w:val="00021A57"/>
    <w:rsid w:val="00023054"/>
    <w:rsid w:val="00023FC2"/>
    <w:rsid w:val="00025F5D"/>
    <w:rsid w:val="0002675A"/>
    <w:rsid w:val="00027186"/>
    <w:rsid w:val="00027446"/>
    <w:rsid w:val="00030010"/>
    <w:rsid w:val="0003006A"/>
    <w:rsid w:val="0003009E"/>
    <w:rsid w:val="000303B7"/>
    <w:rsid w:val="00030AF6"/>
    <w:rsid w:val="000316E4"/>
    <w:rsid w:val="0003233C"/>
    <w:rsid w:val="0003318A"/>
    <w:rsid w:val="000338B3"/>
    <w:rsid w:val="00033B3C"/>
    <w:rsid w:val="00033D90"/>
    <w:rsid w:val="00034165"/>
    <w:rsid w:val="000346B4"/>
    <w:rsid w:val="00034FC8"/>
    <w:rsid w:val="0003519F"/>
    <w:rsid w:val="00035DE0"/>
    <w:rsid w:val="0003712A"/>
    <w:rsid w:val="00037143"/>
    <w:rsid w:val="00037A08"/>
    <w:rsid w:val="00037D91"/>
    <w:rsid w:val="0004031B"/>
    <w:rsid w:val="00041876"/>
    <w:rsid w:val="00042DE7"/>
    <w:rsid w:val="00043496"/>
    <w:rsid w:val="00043D4E"/>
    <w:rsid w:val="000446CF"/>
    <w:rsid w:val="00044A22"/>
    <w:rsid w:val="00045A5A"/>
    <w:rsid w:val="00045E99"/>
    <w:rsid w:val="00047B31"/>
    <w:rsid w:val="00047F26"/>
    <w:rsid w:val="000511D7"/>
    <w:rsid w:val="000518E8"/>
    <w:rsid w:val="00051A63"/>
    <w:rsid w:val="00051D60"/>
    <w:rsid w:val="00053338"/>
    <w:rsid w:val="000534DF"/>
    <w:rsid w:val="00054034"/>
    <w:rsid w:val="000541B0"/>
    <w:rsid w:val="0005497E"/>
    <w:rsid w:val="00054B28"/>
    <w:rsid w:val="00054E76"/>
    <w:rsid w:val="00055240"/>
    <w:rsid w:val="000557D3"/>
    <w:rsid w:val="0005764D"/>
    <w:rsid w:val="00057746"/>
    <w:rsid w:val="00060843"/>
    <w:rsid w:val="00060920"/>
    <w:rsid w:val="000632A7"/>
    <w:rsid w:val="0006336F"/>
    <w:rsid w:val="000635CA"/>
    <w:rsid w:val="00063793"/>
    <w:rsid w:val="00063F0C"/>
    <w:rsid w:val="00064338"/>
    <w:rsid w:val="00064A54"/>
    <w:rsid w:val="00064E06"/>
    <w:rsid w:val="00064EA6"/>
    <w:rsid w:val="0006566F"/>
    <w:rsid w:val="00065E30"/>
    <w:rsid w:val="00066692"/>
    <w:rsid w:val="00066B2D"/>
    <w:rsid w:val="0006742A"/>
    <w:rsid w:val="00067AC6"/>
    <w:rsid w:val="0007036D"/>
    <w:rsid w:val="000705F4"/>
    <w:rsid w:val="00070998"/>
    <w:rsid w:val="00071606"/>
    <w:rsid w:val="00071D19"/>
    <w:rsid w:val="0007321A"/>
    <w:rsid w:val="00073F26"/>
    <w:rsid w:val="000749BE"/>
    <w:rsid w:val="00076AA9"/>
    <w:rsid w:val="000772A8"/>
    <w:rsid w:val="000772B5"/>
    <w:rsid w:val="000778DB"/>
    <w:rsid w:val="00077BF8"/>
    <w:rsid w:val="000803C0"/>
    <w:rsid w:val="0008139F"/>
    <w:rsid w:val="00082818"/>
    <w:rsid w:val="00082AD2"/>
    <w:rsid w:val="000839ED"/>
    <w:rsid w:val="00084C9B"/>
    <w:rsid w:val="0008560E"/>
    <w:rsid w:val="00085C51"/>
    <w:rsid w:val="00085FCC"/>
    <w:rsid w:val="00086F5E"/>
    <w:rsid w:val="00087B18"/>
    <w:rsid w:val="00087CFF"/>
    <w:rsid w:val="00087E5C"/>
    <w:rsid w:val="0009002C"/>
    <w:rsid w:val="00090542"/>
    <w:rsid w:val="00091487"/>
    <w:rsid w:val="00092321"/>
    <w:rsid w:val="000930C7"/>
    <w:rsid w:val="000931F5"/>
    <w:rsid w:val="00093C96"/>
    <w:rsid w:val="00093D97"/>
    <w:rsid w:val="00093EC3"/>
    <w:rsid w:val="00093F3A"/>
    <w:rsid w:val="00094CD6"/>
    <w:rsid w:val="000965A0"/>
    <w:rsid w:val="00096A44"/>
    <w:rsid w:val="00096C31"/>
    <w:rsid w:val="000977FA"/>
    <w:rsid w:val="000A0089"/>
    <w:rsid w:val="000A0D08"/>
    <w:rsid w:val="000A1229"/>
    <w:rsid w:val="000A161E"/>
    <w:rsid w:val="000A1E00"/>
    <w:rsid w:val="000A2CEA"/>
    <w:rsid w:val="000A33B8"/>
    <w:rsid w:val="000A3738"/>
    <w:rsid w:val="000A37D3"/>
    <w:rsid w:val="000A3902"/>
    <w:rsid w:val="000A3A70"/>
    <w:rsid w:val="000A4DE6"/>
    <w:rsid w:val="000A569E"/>
    <w:rsid w:val="000A618D"/>
    <w:rsid w:val="000A647A"/>
    <w:rsid w:val="000A7580"/>
    <w:rsid w:val="000B099A"/>
    <w:rsid w:val="000B0B26"/>
    <w:rsid w:val="000B1F31"/>
    <w:rsid w:val="000B2692"/>
    <w:rsid w:val="000B30B0"/>
    <w:rsid w:val="000B4203"/>
    <w:rsid w:val="000B4570"/>
    <w:rsid w:val="000B4BEB"/>
    <w:rsid w:val="000B5100"/>
    <w:rsid w:val="000C1234"/>
    <w:rsid w:val="000C1592"/>
    <w:rsid w:val="000C191A"/>
    <w:rsid w:val="000C1B1A"/>
    <w:rsid w:val="000C2503"/>
    <w:rsid w:val="000C25E4"/>
    <w:rsid w:val="000C2648"/>
    <w:rsid w:val="000C2992"/>
    <w:rsid w:val="000C2C96"/>
    <w:rsid w:val="000C3BEA"/>
    <w:rsid w:val="000C3E1F"/>
    <w:rsid w:val="000C40C5"/>
    <w:rsid w:val="000C4155"/>
    <w:rsid w:val="000C44FB"/>
    <w:rsid w:val="000C5449"/>
    <w:rsid w:val="000C5BEA"/>
    <w:rsid w:val="000C6490"/>
    <w:rsid w:val="000D00FD"/>
    <w:rsid w:val="000D019C"/>
    <w:rsid w:val="000D040D"/>
    <w:rsid w:val="000D04BD"/>
    <w:rsid w:val="000D0FDF"/>
    <w:rsid w:val="000D1108"/>
    <w:rsid w:val="000D1215"/>
    <w:rsid w:val="000D1239"/>
    <w:rsid w:val="000D2292"/>
    <w:rsid w:val="000D2DA9"/>
    <w:rsid w:val="000D346A"/>
    <w:rsid w:val="000D38F4"/>
    <w:rsid w:val="000D3C38"/>
    <w:rsid w:val="000D3E0E"/>
    <w:rsid w:val="000D5117"/>
    <w:rsid w:val="000D5B28"/>
    <w:rsid w:val="000D5FCA"/>
    <w:rsid w:val="000D6465"/>
    <w:rsid w:val="000D6717"/>
    <w:rsid w:val="000D72C2"/>
    <w:rsid w:val="000D74A7"/>
    <w:rsid w:val="000D7599"/>
    <w:rsid w:val="000E024B"/>
    <w:rsid w:val="000E0EDE"/>
    <w:rsid w:val="000E2415"/>
    <w:rsid w:val="000E333B"/>
    <w:rsid w:val="000E3572"/>
    <w:rsid w:val="000E35CF"/>
    <w:rsid w:val="000E3AC8"/>
    <w:rsid w:val="000E42A3"/>
    <w:rsid w:val="000E5114"/>
    <w:rsid w:val="000E5428"/>
    <w:rsid w:val="000E5A8A"/>
    <w:rsid w:val="000E62FC"/>
    <w:rsid w:val="000E6D34"/>
    <w:rsid w:val="000E6F18"/>
    <w:rsid w:val="000E750B"/>
    <w:rsid w:val="000E760B"/>
    <w:rsid w:val="000E7745"/>
    <w:rsid w:val="000E79DA"/>
    <w:rsid w:val="000E7A5D"/>
    <w:rsid w:val="000F0031"/>
    <w:rsid w:val="000F15D0"/>
    <w:rsid w:val="000F2A5B"/>
    <w:rsid w:val="000F3EA9"/>
    <w:rsid w:val="000F4BA2"/>
    <w:rsid w:val="000F4C4A"/>
    <w:rsid w:val="000F4F3B"/>
    <w:rsid w:val="000F4FD3"/>
    <w:rsid w:val="000F505E"/>
    <w:rsid w:val="000F5A27"/>
    <w:rsid w:val="000F6DD0"/>
    <w:rsid w:val="000F7015"/>
    <w:rsid w:val="000F71AA"/>
    <w:rsid w:val="000F7722"/>
    <w:rsid w:val="001002AC"/>
    <w:rsid w:val="001003FF"/>
    <w:rsid w:val="00100EDD"/>
    <w:rsid w:val="001010E0"/>
    <w:rsid w:val="00101E7A"/>
    <w:rsid w:val="00101F25"/>
    <w:rsid w:val="00102CEA"/>
    <w:rsid w:val="00103120"/>
    <w:rsid w:val="00103202"/>
    <w:rsid w:val="00103F7C"/>
    <w:rsid w:val="001041C2"/>
    <w:rsid w:val="001043ED"/>
    <w:rsid w:val="00105F38"/>
    <w:rsid w:val="00106D73"/>
    <w:rsid w:val="00111362"/>
    <w:rsid w:val="001116C6"/>
    <w:rsid w:val="001126BB"/>
    <w:rsid w:val="00112D10"/>
    <w:rsid w:val="0011378C"/>
    <w:rsid w:val="00114554"/>
    <w:rsid w:val="00115ADB"/>
    <w:rsid w:val="00115D67"/>
    <w:rsid w:val="00115F02"/>
    <w:rsid w:val="00116241"/>
    <w:rsid w:val="001166D7"/>
    <w:rsid w:val="0011680C"/>
    <w:rsid w:val="001169C9"/>
    <w:rsid w:val="00116F00"/>
    <w:rsid w:val="00117742"/>
    <w:rsid w:val="0011780F"/>
    <w:rsid w:val="00117B21"/>
    <w:rsid w:val="00120247"/>
    <w:rsid w:val="001204F3"/>
    <w:rsid w:val="001208DC"/>
    <w:rsid w:val="00121563"/>
    <w:rsid w:val="001215D5"/>
    <w:rsid w:val="00122561"/>
    <w:rsid w:val="001228FA"/>
    <w:rsid w:val="00123BD5"/>
    <w:rsid w:val="00123C33"/>
    <w:rsid w:val="00123C3B"/>
    <w:rsid w:val="00123DAC"/>
    <w:rsid w:val="00123E9B"/>
    <w:rsid w:val="00124145"/>
    <w:rsid w:val="00124D1D"/>
    <w:rsid w:val="0012568A"/>
    <w:rsid w:val="00126411"/>
    <w:rsid w:val="0012784B"/>
    <w:rsid w:val="00127E25"/>
    <w:rsid w:val="001303AC"/>
    <w:rsid w:val="00132E27"/>
    <w:rsid w:val="001346D8"/>
    <w:rsid w:val="00134DE0"/>
    <w:rsid w:val="0013505D"/>
    <w:rsid w:val="001353E2"/>
    <w:rsid w:val="00135B17"/>
    <w:rsid w:val="00135B8C"/>
    <w:rsid w:val="00135D48"/>
    <w:rsid w:val="001360F1"/>
    <w:rsid w:val="00136952"/>
    <w:rsid w:val="00140745"/>
    <w:rsid w:val="0014097E"/>
    <w:rsid w:val="00141835"/>
    <w:rsid w:val="00141AC7"/>
    <w:rsid w:val="00142071"/>
    <w:rsid w:val="001420CD"/>
    <w:rsid w:val="00143037"/>
    <w:rsid w:val="001430F6"/>
    <w:rsid w:val="0014443A"/>
    <w:rsid w:val="00145DAB"/>
    <w:rsid w:val="00146DB5"/>
    <w:rsid w:val="0014757E"/>
    <w:rsid w:val="00147EDD"/>
    <w:rsid w:val="00150D2B"/>
    <w:rsid w:val="0015229B"/>
    <w:rsid w:val="001523BC"/>
    <w:rsid w:val="00152A5E"/>
    <w:rsid w:val="00152FFF"/>
    <w:rsid w:val="001546DA"/>
    <w:rsid w:val="00155F1D"/>
    <w:rsid w:val="001563AC"/>
    <w:rsid w:val="00156902"/>
    <w:rsid w:val="00156C06"/>
    <w:rsid w:val="00156DDF"/>
    <w:rsid w:val="00156FC9"/>
    <w:rsid w:val="0015711F"/>
    <w:rsid w:val="00157378"/>
    <w:rsid w:val="00157401"/>
    <w:rsid w:val="0016082A"/>
    <w:rsid w:val="001609B4"/>
    <w:rsid w:val="00160C89"/>
    <w:rsid w:val="00160DFF"/>
    <w:rsid w:val="00161A28"/>
    <w:rsid w:val="00162531"/>
    <w:rsid w:val="00162E0B"/>
    <w:rsid w:val="00162EED"/>
    <w:rsid w:val="00163BEC"/>
    <w:rsid w:val="00164367"/>
    <w:rsid w:val="001648DA"/>
    <w:rsid w:val="00164E33"/>
    <w:rsid w:val="00165223"/>
    <w:rsid w:val="001654F3"/>
    <w:rsid w:val="00165C99"/>
    <w:rsid w:val="00166DBE"/>
    <w:rsid w:val="00167130"/>
    <w:rsid w:val="00167D9D"/>
    <w:rsid w:val="00170889"/>
    <w:rsid w:val="00170D63"/>
    <w:rsid w:val="00170E15"/>
    <w:rsid w:val="0017119E"/>
    <w:rsid w:val="001711F1"/>
    <w:rsid w:val="00171BA2"/>
    <w:rsid w:val="00171FA2"/>
    <w:rsid w:val="00171FE9"/>
    <w:rsid w:val="0017268B"/>
    <w:rsid w:val="00172BE2"/>
    <w:rsid w:val="001731A5"/>
    <w:rsid w:val="00173B83"/>
    <w:rsid w:val="001755DC"/>
    <w:rsid w:val="001768C2"/>
    <w:rsid w:val="001769E0"/>
    <w:rsid w:val="00177BA2"/>
    <w:rsid w:val="00180A8B"/>
    <w:rsid w:val="00180CFE"/>
    <w:rsid w:val="0018125D"/>
    <w:rsid w:val="00181501"/>
    <w:rsid w:val="0018198F"/>
    <w:rsid w:val="00181AD6"/>
    <w:rsid w:val="00182FB4"/>
    <w:rsid w:val="00184F37"/>
    <w:rsid w:val="00190031"/>
    <w:rsid w:val="0019097A"/>
    <w:rsid w:val="00192C1B"/>
    <w:rsid w:val="00193132"/>
    <w:rsid w:val="0019357C"/>
    <w:rsid w:val="00193AB3"/>
    <w:rsid w:val="00194E8F"/>
    <w:rsid w:val="0019610D"/>
    <w:rsid w:val="001961B5"/>
    <w:rsid w:val="0019737F"/>
    <w:rsid w:val="00197FE2"/>
    <w:rsid w:val="001A058E"/>
    <w:rsid w:val="001A0909"/>
    <w:rsid w:val="001A0E40"/>
    <w:rsid w:val="001A194B"/>
    <w:rsid w:val="001A19F0"/>
    <w:rsid w:val="001A1CBA"/>
    <w:rsid w:val="001A226E"/>
    <w:rsid w:val="001A37B7"/>
    <w:rsid w:val="001A4296"/>
    <w:rsid w:val="001A467B"/>
    <w:rsid w:val="001A51C2"/>
    <w:rsid w:val="001A5EF8"/>
    <w:rsid w:val="001A6E41"/>
    <w:rsid w:val="001A6FA9"/>
    <w:rsid w:val="001A7959"/>
    <w:rsid w:val="001A7A55"/>
    <w:rsid w:val="001A7D15"/>
    <w:rsid w:val="001A7E52"/>
    <w:rsid w:val="001B2211"/>
    <w:rsid w:val="001B28FC"/>
    <w:rsid w:val="001B3536"/>
    <w:rsid w:val="001B42E0"/>
    <w:rsid w:val="001B5DDE"/>
    <w:rsid w:val="001B61A4"/>
    <w:rsid w:val="001B707D"/>
    <w:rsid w:val="001B7210"/>
    <w:rsid w:val="001B7D07"/>
    <w:rsid w:val="001C0398"/>
    <w:rsid w:val="001C0666"/>
    <w:rsid w:val="001C14F4"/>
    <w:rsid w:val="001C17E9"/>
    <w:rsid w:val="001C1C8C"/>
    <w:rsid w:val="001C1E77"/>
    <w:rsid w:val="001C2349"/>
    <w:rsid w:val="001C2C49"/>
    <w:rsid w:val="001C2CC1"/>
    <w:rsid w:val="001C2D11"/>
    <w:rsid w:val="001C3F98"/>
    <w:rsid w:val="001C41B3"/>
    <w:rsid w:val="001C4687"/>
    <w:rsid w:val="001C4D3F"/>
    <w:rsid w:val="001C66B3"/>
    <w:rsid w:val="001C6C34"/>
    <w:rsid w:val="001C6EE1"/>
    <w:rsid w:val="001C72B1"/>
    <w:rsid w:val="001C7301"/>
    <w:rsid w:val="001C7B5E"/>
    <w:rsid w:val="001C7CB9"/>
    <w:rsid w:val="001D01F8"/>
    <w:rsid w:val="001D0789"/>
    <w:rsid w:val="001D0809"/>
    <w:rsid w:val="001D13E6"/>
    <w:rsid w:val="001D1780"/>
    <w:rsid w:val="001D20C9"/>
    <w:rsid w:val="001D216A"/>
    <w:rsid w:val="001D2820"/>
    <w:rsid w:val="001D2BEF"/>
    <w:rsid w:val="001D2CB1"/>
    <w:rsid w:val="001D34F3"/>
    <w:rsid w:val="001D388D"/>
    <w:rsid w:val="001D4D0A"/>
    <w:rsid w:val="001D6019"/>
    <w:rsid w:val="001D6079"/>
    <w:rsid w:val="001D6FAE"/>
    <w:rsid w:val="001E1217"/>
    <w:rsid w:val="001E1B4B"/>
    <w:rsid w:val="001E2AA7"/>
    <w:rsid w:val="001E37BC"/>
    <w:rsid w:val="001E3B23"/>
    <w:rsid w:val="001E3E36"/>
    <w:rsid w:val="001E4224"/>
    <w:rsid w:val="001E4928"/>
    <w:rsid w:val="001E4DCB"/>
    <w:rsid w:val="001E54B4"/>
    <w:rsid w:val="001E5B43"/>
    <w:rsid w:val="001E5EA8"/>
    <w:rsid w:val="001E5FA5"/>
    <w:rsid w:val="001E6229"/>
    <w:rsid w:val="001E6336"/>
    <w:rsid w:val="001E6561"/>
    <w:rsid w:val="001E6B1B"/>
    <w:rsid w:val="001E7021"/>
    <w:rsid w:val="001E7321"/>
    <w:rsid w:val="001F0E27"/>
    <w:rsid w:val="001F230C"/>
    <w:rsid w:val="001F340B"/>
    <w:rsid w:val="001F51C2"/>
    <w:rsid w:val="001F6266"/>
    <w:rsid w:val="001F6B80"/>
    <w:rsid w:val="001F72C9"/>
    <w:rsid w:val="00200422"/>
    <w:rsid w:val="00200E2F"/>
    <w:rsid w:val="002011EB"/>
    <w:rsid w:val="002022E5"/>
    <w:rsid w:val="002035DF"/>
    <w:rsid w:val="00203B59"/>
    <w:rsid w:val="002044AF"/>
    <w:rsid w:val="00204815"/>
    <w:rsid w:val="0020559A"/>
    <w:rsid w:val="00205F7F"/>
    <w:rsid w:val="00207414"/>
    <w:rsid w:val="00207DC9"/>
    <w:rsid w:val="002100FF"/>
    <w:rsid w:val="002106CE"/>
    <w:rsid w:val="002110BA"/>
    <w:rsid w:val="002111B5"/>
    <w:rsid w:val="00211997"/>
    <w:rsid w:val="0021336F"/>
    <w:rsid w:val="00213965"/>
    <w:rsid w:val="00214803"/>
    <w:rsid w:val="00214A71"/>
    <w:rsid w:val="00214C1D"/>
    <w:rsid w:val="002158F4"/>
    <w:rsid w:val="00215DD2"/>
    <w:rsid w:val="0021652D"/>
    <w:rsid w:val="00220FF7"/>
    <w:rsid w:val="00221917"/>
    <w:rsid w:val="00221AA8"/>
    <w:rsid w:val="00221DB5"/>
    <w:rsid w:val="00221E05"/>
    <w:rsid w:val="00222470"/>
    <w:rsid w:val="00223BB8"/>
    <w:rsid w:val="002253FB"/>
    <w:rsid w:val="00225B1D"/>
    <w:rsid w:val="00225F73"/>
    <w:rsid w:val="002261C3"/>
    <w:rsid w:val="00226414"/>
    <w:rsid w:val="002272AD"/>
    <w:rsid w:val="002275FB"/>
    <w:rsid w:val="0023073B"/>
    <w:rsid w:val="00231D30"/>
    <w:rsid w:val="002338F0"/>
    <w:rsid w:val="00233ED1"/>
    <w:rsid w:val="00233FE1"/>
    <w:rsid w:val="00234BFA"/>
    <w:rsid w:val="00235048"/>
    <w:rsid w:val="002352BF"/>
    <w:rsid w:val="002352C5"/>
    <w:rsid w:val="00235530"/>
    <w:rsid w:val="0023568A"/>
    <w:rsid w:val="00235CE9"/>
    <w:rsid w:val="00235F0D"/>
    <w:rsid w:val="0023642C"/>
    <w:rsid w:val="00237A41"/>
    <w:rsid w:val="00241029"/>
    <w:rsid w:val="00241529"/>
    <w:rsid w:val="00242603"/>
    <w:rsid w:val="00242BE4"/>
    <w:rsid w:val="00242CFF"/>
    <w:rsid w:val="00242E30"/>
    <w:rsid w:val="00242FB6"/>
    <w:rsid w:val="00243456"/>
    <w:rsid w:val="0024386D"/>
    <w:rsid w:val="00243B69"/>
    <w:rsid w:val="00244B95"/>
    <w:rsid w:val="00245207"/>
    <w:rsid w:val="00245BFC"/>
    <w:rsid w:val="002461B8"/>
    <w:rsid w:val="002466C9"/>
    <w:rsid w:val="00246E87"/>
    <w:rsid w:val="0025056A"/>
    <w:rsid w:val="002507CA"/>
    <w:rsid w:val="00251AF6"/>
    <w:rsid w:val="00251DF2"/>
    <w:rsid w:val="002521EC"/>
    <w:rsid w:val="002522B2"/>
    <w:rsid w:val="002523DB"/>
    <w:rsid w:val="0025324A"/>
    <w:rsid w:val="00253ACD"/>
    <w:rsid w:val="0025560B"/>
    <w:rsid w:val="00256B6D"/>
    <w:rsid w:val="0025735C"/>
    <w:rsid w:val="0026058A"/>
    <w:rsid w:val="00260A4F"/>
    <w:rsid w:val="00261766"/>
    <w:rsid w:val="002617F0"/>
    <w:rsid w:val="00261933"/>
    <w:rsid w:val="00262251"/>
    <w:rsid w:val="00262393"/>
    <w:rsid w:val="00262747"/>
    <w:rsid w:val="00263EEA"/>
    <w:rsid w:val="00264011"/>
    <w:rsid w:val="00264F66"/>
    <w:rsid w:val="002652BE"/>
    <w:rsid w:val="00265495"/>
    <w:rsid w:val="00265779"/>
    <w:rsid w:val="00265AFF"/>
    <w:rsid w:val="00265C43"/>
    <w:rsid w:val="00265D1C"/>
    <w:rsid w:val="00265F11"/>
    <w:rsid w:val="0026660E"/>
    <w:rsid w:val="00267F84"/>
    <w:rsid w:val="00267FF2"/>
    <w:rsid w:val="002709B8"/>
    <w:rsid w:val="002712F9"/>
    <w:rsid w:val="00271E90"/>
    <w:rsid w:val="002721FB"/>
    <w:rsid w:val="0027225D"/>
    <w:rsid w:val="002723BF"/>
    <w:rsid w:val="0027342F"/>
    <w:rsid w:val="00273631"/>
    <w:rsid w:val="0027399C"/>
    <w:rsid w:val="00273E05"/>
    <w:rsid w:val="0027429F"/>
    <w:rsid w:val="00274A3E"/>
    <w:rsid w:val="00274A80"/>
    <w:rsid w:val="00274DDC"/>
    <w:rsid w:val="00275BC2"/>
    <w:rsid w:val="00275EDA"/>
    <w:rsid w:val="00276165"/>
    <w:rsid w:val="0027662C"/>
    <w:rsid w:val="00276E1C"/>
    <w:rsid w:val="00276F7B"/>
    <w:rsid w:val="002774FF"/>
    <w:rsid w:val="00277CE2"/>
    <w:rsid w:val="00277DDD"/>
    <w:rsid w:val="0028036E"/>
    <w:rsid w:val="00280ED7"/>
    <w:rsid w:val="002826F7"/>
    <w:rsid w:val="00282DB1"/>
    <w:rsid w:val="00282F3C"/>
    <w:rsid w:val="00283D92"/>
    <w:rsid w:val="002845F0"/>
    <w:rsid w:val="0028491D"/>
    <w:rsid w:val="00284CAB"/>
    <w:rsid w:val="0028520B"/>
    <w:rsid w:val="002878AD"/>
    <w:rsid w:val="002902F5"/>
    <w:rsid w:val="0029158D"/>
    <w:rsid w:val="00291592"/>
    <w:rsid w:val="00291C3A"/>
    <w:rsid w:val="002922A2"/>
    <w:rsid w:val="002936E4"/>
    <w:rsid w:val="00293D1D"/>
    <w:rsid w:val="002945B1"/>
    <w:rsid w:val="00294794"/>
    <w:rsid w:val="00294B9F"/>
    <w:rsid w:val="00294E5E"/>
    <w:rsid w:val="00295248"/>
    <w:rsid w:val="00295373"/>
    <w:rsid w:val="00296506"/>
    <w:rsid w:val="002973B0"/>
    <w:rsid w:val="002A0F4B"/>
    <w:rsid w:val="002A1CFC"/>
    <w:rsid w:val="002A2968"/>
    <w:rsid w:val="002A4015"/>
    <w:rsid w:val="002A422F"/>
    <w:rsid w:val="002A46C3"/>
    <w:rsid w:val="002A6B99"/>
    <w:rsid w:val="002A6E7F"/>
    <w:rsid w:val="002A7724"/>
    <w:rsid w:val="002A794A"/>
    <w:rsid w:val="002B08DA"/>
    <w:rsid w:val="002B0BCB"/>
    <w:rsid w:val="002B0D78"/>
    <w:rsid w:val="002B1247"/>
    <w:rsid w:val="002B22D5"/>
    <w:rsid w:val="002B2950"/>
    <w:rsid w:val="002B30E5"/>
    <w:rsid w:val="002B317D"/>
    <w:rsid w:val="002B54CB"/>
    <w:rsid w:val="002B5730"/>
    <w:rsid w:val="002B5C01"/>
    <w:rsid w:val="002B6F3D"/>
    <w:rsid w:val="002B7048"/>
    <w:rsid w:val="002C0696"/>
    <w:rsid w:val="002C0DEB"/>
    <w:rsid w:val="002C3153"/>
    <w:rsid w:val="002C3239"/>
    <w:rsid w:val="002C3D16"/>
    <w:rsid w:val="002C40FA"/>
    <w:rsid w:val="002C478A"/>
    <w:rsid w:val="002C4B91"/>
    <w:rsid w:val="002C4E8A"/>
    <w:rsid w:val="002C5960"/>
    <w:rsid w:val="002C5A74"/>
    <w:rsid w:val="002D0EB8"/>
    <w:rsid w:val="002D0FED"/>
    <w:rsid w:val="002D17E2"/>
    <w:rsid w:val="002D3810"/>
    <w:rsid w:val="002D45DD"/>
    <w:rsid w:val="002D59FD"/>
    <w:rsid w:val="002D5EE2"/>
    <w:rsid w:val="002D5F99"/>
    <w:rsid w:val="002D6FDA"/>
    <w:rsid w:val="002D7B06"/>
    <w:rsid w:val="002D7DB4"/>
    <w:rsid w:val="002E02E4"/>
    <w:rsid w:val="002E059C"/>
    <w:rsid w:val="002E29FB"/>
    <w:rsid w:val="002E2D31"/>
    <w:rsid w:val="002E46F7"/>
    <w:rsid w:val="002E5166"/>
    <w:rsid w:val="002E5BB1"/>
    <w:rsid w:val="002E7056"/>
    <w:rsid w:val="002E71D6"/>
    <w:rsid w:val="002E7372"/>
    <w:rsid w:val="002F096F"/>
    <w:rsid w:val="002F0A6C"/>
    <w:rsid w:val="002F0E7D"/>
    <w:rsid w:val="002F1374"/>
    <w:rsid w:val="002F1B3D"/>
    <w:rsid w:val="002F1EAA"/>
    <w:rsid w:val="002F31B0"/>
    <w:rsid w:val="002F3C45"/>
    <w:rsid w:val="002F46B3"/>
    <w:rsid w:val="002F5AD1"/>
    <w:rsid w:val="002F5B5C"/>
    <w:rsid w:val="002F6471"/>
    <w:rsid w:val="002F695C"/>
    <w:rsid w:val="002F6B48"/>
    <w:rsid w:val="002F6F82"/>
    <w:rsid w:val="002F7263"/>
    <w:rsid w:val="002F7952"/>
    <w:rsid w:val="002F7C90"/>
    <w:rsid w:val="00300736"/>
    <w:rsid w:val="00300E45"/>
    <w:rsid w:val="00300ED6"/>
    <w:rsid w:val="00301417"/>
    <w:rsid w:val="003019C8"/>
    <w:rsid w:val="003026E5"/>
    <w:rsid w:val="0030271F"/>
    <w:rsid w:val="00303892"/>
    <w:rsid w:val="00303A5B"/>
    <w:rsid w:val="00303EDD"/>
    <w:rsid w:val="003048BE"/>
    <w:rsid w:val="00305F94"/>
    <w:rsid w:val="0030687B"/>
    <w:rsid w:val="00306A3F"/>
    <w:rsid w:val="003100DE"/>
    <w:rsid w:val="0031181D"/>
    <w:rsid w:val="00311EC7"/>
    <w:rsid w:val="00312335"/>
    <w:rsid w:val="0031255E"/>
    <w:rsid w:val="0031266A"/>
    <w:rsid w:val="003128DC"/>
    <w:rsid w:val="00312A7B"/>
    <w:rsid w:val="003136DB"/>
    <w:rsid w:val="00314301"/>
    <w:rsid w:val="00314B1A"/>
    <w:rsid w:val="00315B79"/>
    <w:rsid w:val="0031616D"/>
    <w:rsid w:val="003168C7"/>
    <w:rsid w:val="00321256"/>
    <w:rsid w:val="003230C3"/>
    <w:rsid w:val="003236FB"/>
    <w:rsid w:val="00323B5B"/>
    <w:rsid w:val="0032448A"/>
    <w:rsid w:val="00324DC4"/>
    <w:rsid w:val="003251C4"/>
    <w:rsid w:val="003253C6"/>
    <w:rsid w:val="003254C9"/>
    <w:rsid w:val="003256F8"/>
    <w:rsid w:val="00325DC6"/>
    <w:rsid w:val="00325E1A"/>
    <w:rsid w:val="0032611E"/>
    <w:rsid w:val="003264D7"/>
    <w:rsid w:val="00327065"/>
    <w:rsid w:val="00327B7C"/>
    <w:rsid w:val="00330884"/>
    <w:rsid w:val="00330E32"/>
    <w:rsid w:val="00330FA8"/>
    <w:rsid w:val="0033198D"/>
    <w:rsid w:val="003328F7"/>
    <w:rsid w:val="00332CDB"/>
    <w:rsid w:val="0033345D"/>
    <w:rsid w:val="00335A96"/>
    <w:rsid w:val="00335AFA"/>
    <w:rsid w:val="00335C61"/>
    <w:rsid w:val="00336722"/>
    <w:rsid w:val="00340DE2"/>
    <w:rsid w:val="0034113F"/>
    <w:rsid w:val="0034172B"/>
    <w:rsid w:val="003424A4"/>
    <w:rsid w:val="00342728"/>
    <w:rsid w:val="00342826"/>
    <w:rsid w:val="0034294E"/>
    <w:rsid w:val="00342AB3"/>
    <w:rsid w:val="003433D5"/>
    <w:rsid w:val="00343435"/>
    <w:rsid w:val="00343C11"/>
    <w:rsid w:val="00343D06"/>
    <w:rsid w:val="00344C70"/>
    <w:rsid w:val="003455EA"/>
    <w:rsid w:val="00345D09"/>
    <w:rsid w:val="003467EB"/>
    <w:rsid w:val="00347B6B"/>
    <w:rsid w:val="00347FF8"/>
    <w:rsid w:val="0035065E"/>
    <w:rsid w:val="00350CB3"/>
    <w:rsid w:val="00351D32"/>
    <w:rsid w:val="00352FDB"/>
    <w:rsid w:val="00353216"/>
    <w:rsid w:val="00355775"/>
    <w:rsid w:val="0035761B"/>
    <w:rsid w:val="00357F54"/>
    <w:rsid w:val="0036042F"/>
    <w:rsid w:val="00360519"/>
    <w:rsid w:val="00360D2C"/>
    <w:rsid w:val="00360E0B"/>
    <w:rsid w:val="00361632"/>
    <w:rsid w:val="00361D15"/>
    <w:rsid w:val="0036467C"/>
    <w:rsid w:val="00364FCA"/>
    <w:rsid w:val="00366247"/>
    <w:rsid w:val="00370107"/>
    <w:rsid w:val="0037107D"/>
    <w:rsid w:val="00371178"/>
    <w:rsid w:val="0037198F"/>
    <w:rsid w:val="00371F27"/>
    <w:rsid w:val="00372D69"/>
    <w:rsid w:val="0037388B"/>
    <w:rsid w:val="00374293"/>
    <w:rsid w:val="00374879"/>
    <w:rsid w:val="0037668A"/>
    <w:rsid w:val="003777AF"/>
    <w:rsid w:val="00377E3B"/>
    <w:rsid w:val="00380482"/>
    <w:rsid w:val="00380C50"/>
    <w:rsid w:val="00380CE0"/>
    <w:rsid w:val="00381186"/>
    <w:rsid w:val="0038125D"/>
    <w:rsid w:val="003812D6"/>
    <w:rsid w:val="00381A4D"/>
    <w:rsid w:val="003825A9"/>
    <w:rsid w:val="0038326D"/>
    <w:rsid w:val="003846FF"/>
    <w:rsid w:val="003847A3"/>
    <w:rsid w:val="00384993"/>
    <w:rsid w:val="00384F8E"/>
    <w:rsid w:val="00384FDD"/>
    <w:rsid w:val="003851AE"/>
    <w:rsid w:val="0038554E"/>
    <w:rsid w:val="00385E48"/>
    <w:rsid w:val="00385ED1"/>
    <w:rsid w:val="003865CF"/>
    <w:rsid w:val="0038695E"/>
    <w:rsid w:val="00387394"/>
    <w:rsid w:val="00387BB6"/>
    <w:rsid w:val="0039025F"/>
    <w:rsid w:val="003906D7"/>
    <w:rsid w:val="003907C5"/>
    <w:rsid w:val="00390E66"/>
    <w:rsid w:val="003914E6"/>
    <w:rsid w:val="003914EA"/>
    <w:rsid w:val="00392813"/>
    <w:rsid w:val="00393751"/>
    <w:rsid w:val="00393C13"/>
    <w:rsid w:val="00394612"/>
    <w:rsid w:val="003957FE"/>
    <w:rsid w:val="003969B0"/>
    <w:rsid w:val="00396A93"/>
    <w:rsid w:val="00397688"/>
    <w:rsid w:val="003979DF"/>
    <w:rsid w:val="00397A35"/>
    <w:rsid w:val="00397E33"/>
    <w:rsid w:val="003A1401"/>
    <w:rsid w:val="003A1F33"/>
    <w:rsid w:val="003A35F0"/>
    <w:rsid w:val="003A36D0"/>
    <w:rsid w:val="003A38DE"/>
    <w:rsid w:val="003A4574"/>
    <w:rsid w:val="003A4CB3"/>
    <w:rsid w:val="003A50AA"/>
    <w:rsid w:val="003A57A7"/>
    <w:rsid w:val="003A6FCE"/>
    <w:rsid w:val="003A765E"/>
    <w:rsid w:val="003A76D0"/>
    <w:rsid w:val="003B11AA"/>
    <w:rsid w:val="003B2299"/>
    <w:rsid w:val="003B2458"/>
    <w:rsid w:val="003B2814"/>
    <w:rsid w:val="003B29C9"/>
    <w:rsid w:val="003B2B22"/>
    <w:rsid w:val="003B3780"/>
    <w:rsid w:val="003B41B6"/>
    <w:rsid w:val="003B4CAE"/>
    <w:rsid w:val="003B50D3"/>
    <w:rsid w:val="003B57B9"/>
    <w:rsid w:val="003B5A89"/>
    <w:rsid w:val="003B614E"/>
    <w:rsid w:val="003B6316"/>
    <w:rsid w:val="003B65BF"/>
    <w:rsid w:val="003B6860"/>
    <w:rsid w:val="003B6AA9"/>
    <w:rsid w:val="003B6EA8"/>
    <w:rsid w:val="003B7119"/>
    <w:rsid w:val="003B7E34"/>
    <w:rsid w:val="003C087D"/>
    <w:rsid w:val="003C17DC"/>
    <w:rsid w:val="003C24F9"/>
    <w:rsid w:val="003C25BB"/>
    <w:rsid w:val="003C2B03"/>
    <w:rsid w:val="003C5A5C"/>
    <w:rsid w:val="003C5AA0"/>
    <w:rsid w:val="003C5E0A"/>
    <w:rsid w:val="003C62B0"/>
    <w:rsid w:val="003C675F"/>
    <w:rsid w:val="003C6B67"/>
    <w:rsid w:val="003C6CB2"/>
    <w:rsid w:val="003C74DA"/>
    <w:rsid w:val="003C7749"/>
    <w:rsid w:val="003C7896"/>
    <w:rsid w:val="003C7B5E"/>
    <w:rsid w:val="003C7C5A"/>
    <w:rsid w:val="003C7CC4"/>
    <w:rsid w:val="003D0097"/>
    <w:rsid w:val="003D009C"/>
    <w:rsid w:val="003D02CB"/>
    <w:rsid w:val="003D04B3"/>
    <w:rsid w:val="003D2B32"/>
    <w:rsid w:val="003D34DC"/>
    <w:rsid w:val="003D3742"/>
    <w:rsid w:val="003D3CCF"/>
    <w:rsid w:val="003D4B00"/>
    <w:rsid w:val="003D5064"/>
    <w:rsid w:val="003D5252"/>
    <w:rsid w:val="003D5511"/>
    <w:rsid w:val="003D56C1"/>
    <w:rsid w:val="003D60C7"/>
    <w:rsid w:val="003D6404"/>
    <w:rsid w:val="003D6F31"/>
    <w:rsid w:val="003D7038"/>
    <w:rsid w:val="003D757A"/>
    <w:rsid w:val="003D7774"/>
    <w:rsid w:val="003D7DCF"/>
    <w:rsid w:val="003E013C"/>
    <w:rsid w:val="003E0B03"/>
    <w:rsid w:val="003E0DF5"/>
    <w:rsid w:val="003E13A7"/>
    <w:rsid w:val="003E1F91"/>
    <w:rsid w:val="003E25AF"/>
    <w:rsid w:val="003E5567"/>
    <w:rsid w:val="003E5EAB"/>
    <w:rsid w:val="003E62E5"/>
    <w:rsid w:val="003E6662"/>
    <w:rsid w:val="003E6BC5"/>
    <w:rsid w:val="003E6E6E"/>
    <w:rsid w:val="003E6F85"/>
    <w:rsid w:val="003E74B6"/>
    <w:rsid w:val="003F03B3"/>
    <w:rsid w:val="003F1079"/>
    <w:rsid w:val="003F10DC"/>
    <w:rsid w:val="003F13B4"/>
    <w:rsid w:val="003F17A1"/>
    <w:rsid w:val="003F1A37"/>
    <w:rsid w:val="003F22F0"/>
    <w:rsid w:val="003F2567"/>
    <w:rsid w:val="003F2B23"/>
    <w:rsid w:val="003F30E5"/>
    <w:rsid w:val="003F3DEF"/>
    <w:rsid w:val="003F4F2A"/>
    <w:rsid w:val="003F5D94"/>
    <w:rsid w:val="003F6472"/>
    <w:rsid w:val="003F68B8"/>
    <w:rsid w:val="003F77B0"/>
    <w:rsid w:val="00400672"/>
    <w:rsid w:val="00401D9D"/>
    <w:rsid w:val="00401ECD"/>
    <w:rsid w:val="0040226B"/>
    <w:rsid w:val="00402E5B"/>
    <w:rsid w:val="0040451A"/>
    <w:rsid w:val="00404AB5"/>
    <w:rsid w:val="00404E9A"/>
    <w:rsid w:val="0040596F"/>
    <w:rsid w:val="00405DFC"/>
    <w:rsid w:val="004063D8"/>
    <w:rsid w:val="004067B3"/>
    <w:rsid w:val="00406A15"/>
    <w:rsid w:val="00406E47"/>
    <w:rsid w:val="00407072"/>
    <w:rsid w:val="0040716D"/>
    <w:rsid w:val="004075CF"/>
    <w:rsid w:val="00407B24"/>
    <w:rsid w:val="0041038A"/>
    <w:rsid w:val="004114FA"/>
    <w:rsid w:val="004117CC"/>
    <w:rsid w:val="00411B77"/>
    <w:rsid w:val="004122AE"/>
    <w:rsid w:val="00412820"/>
    <w:rsid w:val="00412B70"/>
    <w:rsid w:val="00412F78"/>
    <w:rsid w:val="00413168"/>
    <w:rsid w:val="00413535"/>
    <w:rsid w:val="00414142"/>
    <w:rsid w:val="0041445E"/>
    <w:rsid w:val="0041476F"/>
    <w:rsid w:val="00414EAD"/>
    <w:rsid w:val="004153CA"/>
    <w:rsid w:val="00415525"/>
    <w:rsid w:val="0041613D"/>
    <w:rsid w:val="004164F5"/>
    <w:rsid w:val="00416FC0"/>
    <w:rsid w:val="00417753"/>
    <w:rsid w:val="004178B2"/>
    <w:rsid w:val="00417B22"/>
    <w:rsid w:val="00421483"/>
    <w:rsid w:val="00421CC2"/>
    <w:rsid w:val="00421D5B"/>
    <w:rsid w:val="004227D2"/>
    <w:rsid w:val="00422A05"/>
    <w:rsid w:val="00422D52"/>
    <w:rsid w:val="004250AA"/>
    <w:rsid w:val="004264E9"/>
    <w:rsid w:val="004302E1"/>
    <w:rsid w:val="004307C1"/>
    <w:rsid w:val="00431360"/>
    <w:rsid w:val="00431402"/>
    <w:rsid w:val="00431675"/>
    <w:rsid w:val="00432363"/>
    <w:rsid w:val="00432D0A"/>
    <w:rsid w:val="0043519D"/>
    <w:rsid w:val="004353A0"/>
    <w:rsid w:val="00435839"/>
    <w:rsid w:val="0043625B"/>
    <w:rsid w:val="004363FF"/>
    <w:rsid w:val="0043692D"/>
    <w:rsid w:val="00436E34"/>
    <w:rsid w:val="0044050F"/>
    <w:rsid w:val="00442C76"/>
    <w:rsid w:val="0044364D"/>
    <w:rsid w:val="00443D87"/>
    <w:rsid w:val="00443EF3"/>
    <w:rsid w:val="0044402B"/>
    <w:rsid w:val="0044418D"/>
    <w:rsid w:val="00444394"/>
    <w:rsid w:val="004453FE"/>
    <w:rsid w:val="0044589B"/>
    <w:rsid w:val="004461BF"/>
    <w:rsid w:val="004465BC"/>
    <w:rsid w:val="00447A05"/>
    <w:rsid w:val="00451463"/>
    <w:rsid w:val="00451ED6"/>
    <w:rsid w:val="0045272F"/>
    <w:rsid w:val="0045291F"/>
    <w:rsid w:val="004529A5"/>
    <w:rsid w:val="0045547B"/>
    <w:rsid w:val="00455AC1"/>
    <w:rsid w:val="004566E0"/>
    <w:rsid w:val="004567D5"/>
    <w:rsid w:val="00456C62"/>
    <w:rsid w:val="00457FA7"/>
    <w:rsid w:val="00460CAA"/>
    <w:rsid w:val="0046138F"/>
    <w:rsid w:val="004613D2"/>
    <w:rsid w:val="0046189A"/>
    <w:rsid w:val="004621B2"/>
    <w:rsid w:val="004625EF"/>
    <w:rsid w:val="004627C0"/>
    <w:rsid w:val="00462820"/>
    <w:rsid w:val="004636C7"/>
    <w:rsid w:val="004636CF"/>
    <w:rsid w:val="004637CD"/>
    <w:rsid w:val="00465614"/>
    <w:rsid w:val="00465F38"/>
    <w:rsid w:val="00466216"/>
    <w:rsid w:val="00466F1A"/>
    <w:rsid w:val="0046737D"/>
    <w:rsid w:val="0046746A"/>
    <w:rsid w:val="00467A6B"/>
    <w:rsid w:val="004703EA"/>
    <w:rsid w:val="00470A7A"/>
    <w:rsid w:val="0047109C"/>
    <w:rsid w:val="00471946"/>
    <w:rsid w:val="004738CE"/>
    <w:rsid w:val="00473B8C"/>
    <w:rsid w:val="00474C1B"/>
    <w:rsid w:val="004757B8"/>
    <w:rsid w:val="00475E4B"/>
    <w:rsid w:val="00477BA4"/>
    <w:rsid w:val="00480CB5"/>
    <w:rsid w:val="00480D97"/>
    <w:rsid w:val="004828AB"/>
    <w:rsid w:val="00482ADD"/>
    <w:rsid w:val="00482B82"/>
    <w:rsid w:val="00482F92"/>
    <w:rsid w:val="00483627"/>
    <w:rsid w:val="00484171"/>
    <w:rsid w:val="004842FA"/>
    <w:rsid w:val="004847CA"/>
    <w:rsid w:val="00484BED"/>
    <w:rsid w:val="004871FB"/>
    <w:rsid w:val="00487DF6"/>
    <w:rsid w:val="00490424"/>
    <w:rsid w:val="004906A0"/>
    <w:rsid w:val="00490A49"/>
    <w:rsid w:val="00490F5B"/>
    <w:rsid w:val="00491608"/>
    <w:rsid w:val="0049184E"/>
    <w:rsid w:val="00491DAD"/>
    <w:rsid w:val="004926CD"/>
    <w:rsid w:val="004938CA"/>
    <w:rsid w:val="00493F80"/>
    <w:rsid w:val="0049436E"/>
    <w:rsid w:val="0049443B"/>
    <w:rsid w:val="00494F19"/>
    <w:rsid w:val="00496592"/>
    <w:rsid w:val="00497817"/>
    <w:rsid w:val="004A0117"/>
    <w:rsid w:val="004A0589"/>
    <w:rsid w:val="004A05FC"/>
    <w:rsid w:val="004A0D6B"/>
    <w:rsid w:val="004A1E54"/>
    <w:rsid w:val="004A2321"/>
    <w:rsid w:val="004A34D6"/>
    <w:rsid w:val="004A43BF"/>
    <w:rsid w:val="004A458E"/>
    <w:rsid w:val="004A74C3"/>
    <w:rsid w:val="004A7E2A"/>
    <w:rsid w:val="004B02A9"/>
    <w:rsid w:val="004B1659"/>
    <w:rsid w:val="004B16D0"/>
    <w:rsid w:val="004B1786"/>
    <w:rsid w:val="004B1A4A"/>
    <w:rsid w:val="004B1C2A"/>
    <w:rsid w:val="004B25F4"/>
    <w:rsid w:val="004B3809"/>
    <w:rsid w:val="004B3EB9"/>
    <w:rsid w:val="004B45DE"/>
    <w:rsid w:val="004B45EC"/>
    <w:rsid w:val="004B56C5"/>
    <w:rsid w:val="004B581D"/>
    <w:rsid w:val="004B5AAD"/>
    <w:rsid w:val="004B6086"/>
    <w:rsid w:val="004B730D"/>
    <w:rsid w:val="004B7764"/>
    <w:rsid w:val="004C0887"/>
    <w:rsid w:val="004C0957"/>
    <w:rsid w:val="004C2451"/>
    <w:rsid w:val="004C2E0E"/>
    <w:rsid w:val="004C44AF"/>
    <w:rsid w:val="004C5E13"/>
    <w:rsid w:val="004C66E0"/>
    <w:rsid w:val="004C6866"/>
    <w:rsid w:val="004C7A5B"/>
    <w:rsid w:val="004D0196"/>
    <w:rsid w:val="004D080E"/>
    <w:rsid w:val="004D2C9E"/>
    <w:rsid w:val="004D2DA6"/>
    <w:rsid w:val="004D3E3C"/>
    <w:rsid w:val="004D3E7A"/>
    <w:rsid w:val="004D4264"/>
    <w:rsid w:val="004D6D4B"/>
    <w:rsid w:val="004D73B2"/>
    <w:rsid w:val="004D7642"/>
    <w:rsid w:val="004E014F"/>
    <w:rsid w:val="004E1407"/>
    <w:rsid w:val="004E1C37"/>
    <w:rsid w:val="004E287C"/>
    <w:rsid w:val="004E2B95"/>
    <w:rsid w:val="004E2CFA"/>
    <w:rsid w:val="004E3973"/>
    <w:rsid w:val="004E3EA3"/>
    <w:rsid w:val="004E521F"/>
    <w:rsid w:val="004E61E1"/>
    <w:rsid w:val="004E6602"/>
    <w:rsid w:val="004E6C04"/>
    <w:rsid w:val="004E6E65"/>
    <w:rsid w:val="004E70C0"/>
    <w:rsid w:val="004E75C7"/>
    <w:rsid w:val="004E75F7"/>
    <w:rsid w:val="004E76A9"/>
    <w:rsid w:val="004E7FB6"/>
    <w:rsid w:val="004F0A9A"/>
    <w:rsid w:val="004F1034"/>
    <w:rsid w:val="004F291C"/>
    <w:rsid w:val="004F370B"/>
    <w:rsid w:val="004F3A9B"/>
    <w:rsid w:val="004F5AED"/>
    <w:rsid w:val="004F6A31"/>
    <w:rsid w:val="004F7EEA"/>
    <w:rsid w:val="00500804"/>
    <w:rsid w:val="00501B91"/>
    <w:rsid w:val="00501E4E"/>
    <w:rsid w:val="00501E94"/>
    <w:rsid w:val="005023D5"/>
    <w:rsid w:val="0050304D"/>
    <w:rsid w:val="00503B58"/>
    <w:rsid w:val="005045B6"/>
    <w:rsid w:val="00505A63"/>
    <w:rsid w:val="005072B5"/>
    <w:rsid w:val="00507863"/>
    <w:rsid w:val="00507D8D"/>
    <w:rsid w:val="00510C17"/>
    <w:rsid w:val="00510FC5"/>
    <w:rsid w:val="0051158F"/>
    <w:rsid w:val="005115F0"/>
    <w:rsid w:val="005122E0"/>
    <w:rsid w:val="005122FA"/>
    <w:rsid w:val="00513131"/>
    <w:rsid w:val="0051378E"/>
    <w:rsid w:val="00513B79"/>
    <w:rsid w:val="00514DB7"/>
    <w:rsid w:val="005165A7"/>
    <w:rsid w:val="00517BA2"/>
    <w:rsid w:val="00520382"/>
    <w:rsid w:val="0052087E"/>
    <w:rsid w:val="0052252D"/>
    <w:rsid w:val="005233C7"/>
    <w:rsid w:val="00523747"/>
    <w:rsid w:val="005252C8"/>
    <w:rsid w:val="00527D8E"/>
    <w:rsid w:val="005304BF"/>
    <w:rsid w:val="0053052F"/>
    <w:rsid w:val="00530552"/>
    <w:rsid w:val="0053127D"/>
    <w:rsid w:val="005314D0"/>
    <w:rsid w:val="005320EC"/>
    <w:rsid w:val="0053245F"/>
    <w:rsid w:val="00532AE6"/>
    <w:rsid w:val="00532D0F"/>
    <w:rsid w:val="00533BC9"/>
    <w:rsid w:val="0053435B"/>
    <w:rsid w:val="005344CA"/>
    <w:rsid w:val="005350BB"/>
    <w:rsid w:val="0053579E"/>
    <w:rsid w:val="005361B5"/>
    <w:rsid w:val="0053625A"/>
    <w:rsid w:val="005375CC"/>
    <w:rsid w:val="00537CFD"/>
    <w:rsid w:val="0054065E"/>
    <w:rsid w:val="00540E77"/>
    <w:rsid w:val="005411B7"/>
    <w:rsid w:val="005414BD"/>
    <w:rsid w:val="005431D6"/>
    <w:rsid w:val="00543451"/>
    <w:rsid w:val="005434E1"/>
    <w:rsid w:val="00543784"/>
    <w:rsid w:val="005451AF"/>
    <w:rsid w:val="005456C4"/>
    <w:rsid w:val="0054597B"/>
    <w:rsid w:val="005467A9"/>
    <w:rsid w:val="005468C2"/>
    <w:rsid w:val="005469AD"/>
    <w:rsid w:val="00546F61"/>
    <w:rsid w:val="005478A6"/>
    <w:rsid w:val="00547C85"/>
    <w:rsid w:val="005505F0"/>
    <w:rsid w:val="00550BFF"/>
    <w:rsid w:val="005510E1"/>
    <w:rsid w:val="005517A3"/>
    <w:rsid w:val="00551C26"/>
    <w:rsid w:val="00553370"/>
    <w:rsid w:val="00553740"/>
    <w:rsid w:val="005544CD"/>
    <w:rsid w:val="00554998"/>
    <w:rsid w:val="00554DD8"/>
    <w:rsid w:val="00554E61"/>
    <w:rsid w:val="00555148"/>
    <w:rsid w:val="005556ED"/>
    <w:rsid w:val="00556532"/>
    <w:rsid w:val="00557013"/>
    <w:rsid w:val="00557079"/>
    <w:rsid w:val="0055769D"/>
    <w:rsid w:val="005600ED"/>
    <w:rsid w:val="005603B2"/>
    <w:rsid w:val="00560762"/>
    <w:rsid w:val="005614DA"/>
    <w:rsid w:val="00561FA9"/>
    <w:rsid w:val="00562524"/>
    <w:rsid w:val="005635B9"/>
    <w:rsid w:val="00564876"/>
    <w:rsid w:val="00565166"/>
    <w:rsid w:val="00565821"/>
    <w:rsid w:val="00565D5D"/>
    <w:rsid w:val="00567150"/>
    <w:rsid w:val="005673E5"/>
    <w:rsid w:val="00567EC6"/>
    <w:rsid w:val="0057000C"/>
    <w:rsid w:val="0057026D"/>
    <w:rsid w:val="005707A4"/>
    <w:rsid w:val="005708BF"/>
    <w:rsid w:val="00570EE0"/>
    <w:rsid w:val="0057123C"/>
    <w:rsid w:val="00571428"/>
    <w:rsid w:val="00571CB8"/>
    <w:rsid w:val="00572627"/>
    <w:rsid w:val="00572809"/>
    <w:rsid w:val="00572932"/>
    <w:rsid w:val="00572A36"/>
    <w:rsid w:val="0057331F"/>
    <w:rsid w:val="0057376A"/>
    <w:rsid w:val="00573F93"/>
    <w:rsid w:val="005745C1"/>
    <w:rsid w:val="00574C69"/>
    <w:rsid w:val="00574EF5"/>
    <w:rsid w:val="0057502E"/>
    <w:rsid w:val="005755D2"/>
    <w:rsid w:val="00575DAE"/>
    <w:rsid w:val="005761AE"/>
    <w:rsid w:val="005762C1"/>
    <w:rsid w:val="0057679A"/>
    <w:rsid w:val="00576C81"/>
    <w:rsid w:val="005771CD"/>
    <w:rsid w:val="00577712"/>
    <w:rsid w:val="00580518"/>
    <w:rsid w:val="005817E8"/>
    <w:rsid w:val="00581EF9"/>
    <w:rsid w:val="00583102"/>
    <w:rsid w:val="00583585"/>
    <w:rsid w:val="0058386C"/>
    <w:rsid w:val="00584C75"/>
    <w:rsid w:val="00585157"/>
    <w:rsid w:val="00585710"/>
    <w:rsid w:val="00585932"/>
    <w:rsid w:val="00585C8F"/>
    <w:rsid w:val="0058740C"/>
    <w:rsid w:val="0058797E"/>
    <w:rsid w:val="00590935"/>
    <w:rsid w:val="00590EDD"/>
    <w:rsid w:val="00591742"/>
    <w:rsid w:val="00591EF8"/>
    <w:rsid w:val="00592A96"/>
    <w:rsid w:val="005940B0"/>
    <w:rsid w:val="005941DD"/>
    <w:rsid w:val="00594A84"/>
    <w:rsid w:val="0059564F"/>
    <w:rsid w:val="00596005"/>
    <w:rsid w:val="005969EF"/>
    <w:rsid w:val="005976CB"/>
    <w:rsid w:val="0059772F"/>
    <w:rsid w:val="00597C6D"/>
    <w:rsid w:val="005A06A8"/>
    <w:rsid w:val="005A07C2"/>
    <w:rsid w:val="005A1BE4"/>
    <w:rsid w:val="005A1C41"/>
    <w:rsid w:val="005A2F11"/>
    <w:rsid w:val="005A3102"/>
    <w:rsid w:val="005A3564"/>
    <w:rsid w:val="005A3918"/>
    <w:rsid w:val="005A39B9"/>
    <w:rsid w:val="005A4551"/>
    <w:rsid w:val="005A4A08"/>
    <w:rsid w:val="005A556C"/>
    <w:rsid w:val="005A596B"/>
    <w:rsid w:val="005A5DCC"/>
    <w:rsid w:val="005A617A"/>
    <w:rsid w:val="005A636E"/>
    <w:rsid w:val="005A73FB"/>
    <w:rsid w:val="005A7A73"/>
    <w:rsid w:val="005B07A0"/>
    <w:rsid w:val="005B1530"/>
    <w:rsid w:val="005B1664"/>
    <w:rsid w:val="005B25A6"/>
    <w:rsid w:val="005B29A3"/>
    <w:rsid w:val="005B33FC"/>
    <w:rsid w:val="005B399B"/>
    <w:rsid w:val="005B506A"/>
    <w:rsid w:val="005B523C"/>
    <w:rsid w:val="005B5DBE"/>
    <w:rsid w:val="005B5E9A"/>
    <w:rsid w:val="005B5F0C"/>
    <w:rsid w:val="005B6FE9"/>
    <w:rsid w:val="005B7072"/>
    <w:rsid w:val="005B7A46"/>
    <w:rsid w:val="005B7D28"/>
    <w:rsid w:val="005B7E50"/>
    <w:rsid w:val="005C0816"/>
    <w:rsid w:val="005C1A99"/>
    <w:rsid w:val="005C1CE3"/>
    <w:rsid w:val="005C250B"/>
    <w:rsid w:val="005C269B"/>
    <w:rsid w:val="005C2A16"/>
    <w:rsid w:val="005C2E81"/>
    <w:rsid w:val="005C3788"/>
    <w:rsid w:val="005C467B"/>
    <w:rsid w:val="005C5421"/>
    <w:rsid w:val="005C64CC"/>
    <w:rsid w:val="005C65BF"/>
    <w:rsid w:val="005C755C"/>
    <w:rsid w:val="005C7D0E"/>
    <w:rsid w:val="005D1DB4"/>
    <w:rsid w:val="005D2DA0"/>
    <w:rsid w:val="005D3200"/>
    <w:rsid w:val="005D46E3"/>
    <w:rsid w:val="005D4A9B"/>
    <w:rsid w:val="005D5599"/>
    <w:rsid w:val="005D5CBC"/>
    <w:rsid w:val="005D637A"/>
    <w:rsid w:val="005D66F6"/>
    <w:rsid w:val="005D67EE"/>
    <w:rsid w:val="005E0D4E"/>
    <w:rsid w:val="005E1C84"/>
    <w:rsid w:val="005E2202"/>
    <w:rsid w:val="005E2700"/>
    <w:rsid w:val="005E28B0"/>
    <w:rsid w:val="005E454C"/>
    <w:rsid w:val="005E49AB"/>
    <w:rsid w:val="005E5B35"/>
    <w:rsid w:val="005E5CE3"/>
    <w:rsid w:val="005E6493"/>
    <w:rsid w:val="005E7421"/>
    <w:rsid w:val="005E75F6"/>
    <w:rsid w:val="005F1A1B"/>
    <w:rsid w:val="005F22D7"/>
    <w:rsid w:val="005F231C"/>
    <w:rsid w:val="005F37F5"/>
    <w:rsid w:val="005F435B"/>
    <w:rsid w:val="005F4708"/>
    <w:rsid w:val="005F4783"/>
    <w:rsid w:val="005F494F"/>
    <w:rsid w:val="005F64D8"/>
    <w:rsid w:val="005F71EE"/>
    <w:rsid w:val="005F7310"/>
    <w:rsid w:val="005F75E1"/>
    <w:rsid w:val="005F7B2F"/>
    <w:rsid w:val="005F7D47"/>
    <w:rsid w:val="00601527"/>
    <w:rsid w:val="00602319"/>
    <w:rsid w:val="006023F1"/>
    <w:rsid w:val="006039C6"/>
    <w:rsid w:val="00603D42"/>
    <w:rsid w:val="006046A4"/>
    <w:rsid w:val="00604EF9"/>
    <w:rsid w:val="006053E6"/>
    <w:rsid w:val="00605C44"/>
    <w:rsid w:val="00605E88"/>
    <w:rsid w:val="0060689B"/>
    <w:rsid w:val="00612322"/>
    <w:rsid w:val="006123A7"/>
    <w:rsid w:val="0061256D"/>
    <w:rsid w:val="00613021"/>
    <w:rsid w:val="00613278"/>
    <w:rsid w:val="00613AFB"/>
    <w:rsid w:val="00613B80"/>
    <w:rsid w:val="00614066"/>
    <w:rsid w:val="00614535"/>
    <w:rsid w:val="00614A01"/>
    <w:rsid w:val="00615DE1"/>
    <w:rsid w:val="0061608E"/>
    <w:rsid w:val="00616155"/>
    <w:rsid w:val="0061668A"/>
    <w:rsid w:val="00617D86"/>
    <w:rsid w:val="0062200E"/>
    <w:rsid w:val="00624AE8"/>
    <w:rsid w:val="00624C32"/>
    <w:rsid w:val="006267FE"/>
    <w:rsid w:val="00626873"/>
    <w:rsid w:val="00627718"/>
    <w:rsid w:val="00630D7E"/>
    <w:rsid w:val="00632E7C"/>
    <w:rsid w:val="00633415"/>
    <w:rsid w:val="00633775"/>
    <w:rsid w:val="006338BF"/>
    <w:rsid w:val="006351B2"/>
    <w:rsid w:val="00635DA0"/>
    <w:rsid w:val="006368CA"/>
    <w:rsid w:val="0063739C"/>
    <w:rsid w:val="006373D6"/>
    <w:rsid w:val="00637EB7"/>
    <w:rsid w:val="00640438"/>
    <w:rsid w:val="0064123E"/>
    <w:rsid w:val="006417EF"/>
    <w:rsid w:val="006418F4"/>
    <w:rsid w:val="00641B46"/>
    <w:rsid w:val="00642992"/>
    <w:rsid w:val="0064308B"/>
    <w:rsid w:val="00645DD7"/>
    <w:rsid w:val="006463FF"/>
    <w:rsid w:val="00646518"/>
    <w:rsid w:val="006467C2"/>
    <w:rsid w:val="00652884"/>
    <w:rsid w:val="00652918"/>
    <w:rsid w:val="00652E3B"/>
    <w:rsid w:val="00654E1A"/>
    <w:rsid w:val="0065511F"/>
    <w:rsid w:val="006551D3"/>
    <w:rsid w:val="006553B3"/>
    <w:rsid w:val="00655BED"/>
    <w:rsid w:val="00657033"/>
    <w:rsid w:val="006570F6"/>
    <w:rsid w:val="00657DDA"/>
    <w:rsid w:val="0066096A"/>
    <w:rsid w:val="00660C6B"/>
    <w:rsid w:val="0066160C"/>
    <w:rsid w:val="00661E55"/>
    <w:rsid w:val="0066203F"/>
    <w:rsid w:val="0066316C"/>
    <w:rsid w:val="006638EA"/>
    <w:rsid w:val="006648EB"/>
    <w:rsid w:val="006650A1"/>
    <w:rsid w:val="00666C52"/>
    <w:rsid w:val="00666DC2"/>
    <w:rsid w:val="0066713F"/>
    <w:rsid w:val="006672E6"/>
    <w:rsid w:val="006676AC"/>
    <w:rsid w:val="006679A9"/>
    <w:rsid w:val="00667C95"/>
    <w:rsid w:val="006706B4"/>
    <w:rsid w:val="006706E9"/>
    <w:rsid w:val="006715AD"/>
    <w:rsid w:val="00672781"/>
    <w:rsid w:val="006733B9"/>
    <w:rsid w:val="006742BE"/>
    <w:rsid w:val="00675331"/>
    <w:rsid w:val="00675661"/>
    <w:rsid w:val="006765B4"/>
    <w:rsid w:val="006800AA"/>
    <w:rsid w:val="00680D0F"/>
    <w:rsid w:val="00680DFA"/>
    <w:rsid w:val="0068101E"/>
    <w:rsid w:val="00681E12"/>
    <w:rsid w:val="00681E13"/>
    <w:rsid w:val="00681FE9"/>
    <w:rsid w:val="006828A6"/>
    <w:rsid w:val="00682B1B"/>
    <w:rsid w:val="00683272"/>
    <w:rsid w:val="00683385"/>
    <w:rsid w:val="006836AE"/>
    <w:rsid w:val="0068443F"/>
    <w:rsid w:val="0068497A"/>
    <w:rsid w:val="00684ED3"/>
    <w:rsid w:val="00685330"/>
    <w:rsid w:val="0068534E"/>
    <w:rsid w:val="006853A6"/>
    <w:rsid w:val="00685EC9"/>
    <w:rsid w:val="00686F06"/>
    <w:rsid w:val="00686F90"/>
    <w:rsid w:val="00686FED"/>
    <w:rsid w:val="00687107"/>
    <w:rsid w:val="0068782B"/>
    <w:rsid w:val="00687F27"/>
    <w:rsid w:val="00690A8C"/>
    <w:rsid w:val="006910FB"/>
    <w:rsid w:val="00691DDA"/>
    <w:rsid w:val="006928D2"/>
    <w:rsid w:val="00692A9B"/>
    <w:rsid w:val="00692FA0"/>
    <w:rsid w:val="00693352"/>
    <w:rsid w:val="006939E7"/>
    <w:rsid w:val="00694517"/>
    <w:rsid w:val="00694980"/>
    <w:rsid w:val="00694F44"/>
    <w:rsid w:val="006954EA"/>
    <w:rsid w:val="006958F1"/>
    <w:rsid w:val="00695F75"/>
    <w:rsid w:val="0069696D"/>
    <w:rsid w:val="00697EAE"/>
    <w:rsid w:val="00697FDE"/>
    <w:rsid w:val="006A0282"/>
    <w:rsid w:val="006A08E9"/>
    <w:rsid w:val="006A08F3"/>
    <w:rsid w:val="006A30CB"/>
    <w:rsid w:val="006A3129"/>
    <w:rsid w:val="006A48C5"/>
    <w:rsid w:val="006A49AD"/>
    <w:rsid w:val="006A568E"/>
    <w:rsid w:val="006A5E00"/>
    <w:rsid w:val="006A66E3"/>
    <w:rsid w:val="006A6978"/>
    <w:rsid w:val="006A7806"/>
    <w:rsid w:val="006B0544"/>
    <w:rsid w:val="006B089D"/>
    <w:rsid w:val="006B0D40"/>
    <w:rsid w:val="006B0E54"/>
    <w:rsid w:val="006B11EF"/>
    <w:rsid w:val="006B134E"/>
    <w:rsid w:val="006B1577"/>
    <w:rsid w:val="006B1BEC"/>
    <w:rsid w:val="006B4FD9"/>
    <w:rsid w:val="006B5AB1"/>
    <w:rsid w:val="006B5F89"/>
    <w:rsid w:val="006B62EF"/>
    <w:rsid w:val="006B6329"/>
    <w:rsid w:val="006B67AF"/>
    <w:rsid w:val="006B694E"/>
    <w:rsid w:val="006B779B"/>
    <w:rsid w:val="006B7886"/>
    <w:rsid w:val="006B7AFF"/>
    <w:rsid w:val="006B7C59"/>
    <w:rsid w:val="006B7E97"/>
    <w:rsid w:val="006C0131"/>
    <w:rsid w:val="006C0281"/>
    <w:rsid w:val="006C099D"/>
    <w:rsid w:val="006C0A03"/>
    <w:rsid w:val="006C0AB9"/>
    <w:rsid w:val="006C1303"/>
    <w:rsid w:val="006C161A"/>
    <w:rsid w:val="006C1EC5"/>
    <w:rsid w:val="006C305F"/>
    <w:rsid w:val="006C44B9"/>
    <w:rsid w:val="006C4F3D"/>
    <w:rsid w:val="006C53BA"/>
    <w:rsid w:val="006C564B"/>
    <w:rsid w:val="006C61B7"/>
    <w:rsid w:val="006C6468"/>
    <w:rsid w:val="006C65B9"/>
    <w:rsid w:val="006C67B8"/>
    <w:rsid w:val="006C6CDB"/>
    <w:rsid w:val="006C724F"/>
    <w:rsid w:val="006C7D33"/>
    <w:rsid w:val="006D02DE"/>
    <w:rsid w:val="006D09CC"/>
    <w:rsid w:val="006D0CF8"/>
    <w:rsid w:val="006D1064"/>
    <w:rsid w:val="006D10D8"/>
    <w:rsid w:val="006D11D4"/>
    <w:rsid w:val="006D13E3"/>
    <w:rsid w:val="006D1579"/>
    <w:rsid w:val="006D228D"/>
    <w:rsid w:val="006D2560"/>
    <w:rsid w:val="006D25EE"/>
    <w:rsid w:val="006D27E1"/>
    <w:rsid w:val="006D29C4"/>
    <w:rsid w:val="006D3A27"/>
    <w:rsid w:val="006D3C09"/>
    <w:rsid w:val="006D4C9F"/>
    <w:rsid w:val="006D550A"/>
    <w:rsid w:val="006D5656"/>
    <w:rsid w:val="006D62C5"/>
    <w:rsid w:val="006D639C"/>
    <w:rsid w:val="006D68B4"/>
    <w:rsid w:val="006D6D68"/>
    <w:rsid w:val="006D7635"/>
    <w:rsid w:val="006D7769"/>
    <w:rsid w:val="006E1639"/>
    <w:rsid w:val="006E22CD"/>
    <w:rsid w:val="006E2FDC"/>
    <w:rsid w:val="006E40E5"/>
    <w:rsid w:val="006E4305"/>
    <w:rsid w:val="006E4F96"/>
    <w:rsid w:val="006E50FF"/>
    <w:rsid w:val="006E5858"/>
    <w:rsid w:val="006E5C17"/>
    <w:rsid w:val="006E60BE"/>
    <w:rsid w:val="006E6692"/>
    <w:rsid w:val="006E6D90"/>
    <w:rsid w:val="006E72F5"/>
    <w:rsid w:val="006E75CE"/>
    <w:rsid w:val="006F000F"/>
    <w:rsid w:val="006F143E"/>
    <w:rsid w:val="006F1700"/>
    <w:rsid w:val="006F1853"/>
    <w:rsid w:val="006F3544"/>
    <w:rsid w:val="006F3ABB"/>
    <w:rsid w:val="006F413D"/>
    <w:rsid w:val="006F4B18"/>
    <w:rsid w:val="006F5A2E"/>
    <w:rsid w:val="006F5C0D"/>
    <w:rsid w:val="006F66D2"/>
    <w:rsid w:val="006F6E92"/>
    <w:rsid w:val="006F7622"/>
    <w:rsid w:val="006F7B12"/>
    <w:rsid w:val="007014D7"/>
    <w:rsid w:val="00701652"/>
    <w:rsid w:val="00701927"/>
    <w:rsid w:val="00701FC6"/>
    <w:rsid w:val="0070232B"/>
    <w:rsid w:val="007029C6"/>
    <w:rsid w:val="0070348A"/>
    <w:rsid w:val="00703654"/>
    <w:rsid w:val="00703EFE"/>
    <w:rsid w:val="00705544"/>
    <w:rsid w:val="00706647"/>
    <w:rsid w:val="00706DE7"/>
    <w:rsid w:val="00706F72"/>
    <w:rsid w:val="007117CA"/>
    <w:rsid w:val="00711F25"/>
    <w:rsid w:val="00712E12"/>
    <w:rsid w:val="00713B2C"/>
    <w:rsid w:val="00713BCD"/>
    <w:rsid w:val="00714467"/>
    <w:rsid w:val="007146C1"/>
    <w:rsid w:val="00714F8B"/>
    <w:rsid w:val="00715557"/>
    <w:rsid w:val="00715E80"/>
    <w:rsid w:val="00716BFB"/>
    <w:rsid w:val="007175E1"/>
    <w:rsid w:val="007177C6"/>
    <w:rsid w:val="00720A9E"/>
    <w:rsid w:val="00721A99"/>
    <w:rsid w:val="00721CA6"/>
    <w:rsid w:val="0072209A"/>
    <w:rsid w:val="007229CB"/>
    <w:rsid w:val="00722C30"/>
    <w:rsid w:val="00722D9A"/>
    <w:rsid w:val="007233C4"/>
    <w:rsid w:val="00723910"/>
    <w:rsid w:val="00723A66"/>
    <w:rsid w:val="00724357"/>
    <w:rsid w:val="0072551B"/>
    <w:rsid w:val="00730D95"/>
    <w:rsid w:val="00732330"/>
    <w:rsid w:val="00732337"/>
    <w:rsid w:val="007324B8"/>
    <w:rsid w:val="00732AC5"/>
    <w:rsid w:val="00732E1D"/>
    <w:rsid w:val="007336A1"/>
    <w:rsid w:val="00733BE8"/>
    <w:rsid w:val="00733D9C"/>
    <w:rsid w:val="0073440D"/>
    <w:rsid w:val="00734703"/>
    <w:rsid w:val="007347C9"/>
    <w:rsid w:val="007361AA"/>
    <w:rsid w:val="0073674C"/>
    <w:rsid w:val="00736AA0"/>
    <w:rsid w:val="007377ED"/>
    <w:rsid w:val="00737CCE"/>
    <w:rsid w:val="007404BA"/>
    <w:rsid w:val="00740A9E"/>
    <w:rsid w:val="00742340"/>
    <w:rsid w:val="007425F5"/>
    <w:rsid w:val="00742EF1"/>
    <w:rsid w:val="0074336C"/>
    <w:rsid w:val="007439AE"/>
    <w:rsid w:val="00744898"/>
    <w:rsid w:val="0074663C"/>
    <w:rsid w:val="00746AE6"/>
    <w:rsid w:val="007479FD"/>
    <w:rsid w:val="00752095"/>
    <w:rsid w:val="00752558"/>
    <w:rsid w:val="0075261A"/>
    <w:rsid w:val="007533CC"/>
    <w:rsid w:val="00753C30"/>
    <w:rsid w:val="00753CFD"/>
    <w:rsid w:val="00754D3D"/>
    <w:rsid w:val="0075512E"/>
    <w:rsid w:val="00755221"/>
    <w:rsid w:val="00755407"/>
    <w:rsid w:val="007557AA"/>
    <w:rsid w:val="00755AFC"/>
    <w:rsid w:val="00755D1B"/>
    <w:rsid w:val="0075645C"/>
    <w:rsid w:val="0075649B"/>
    <w:rsid w:val="007572DB"/>
    <w:rsid w:val="00757699"/>
    <w:rsid w:val="00757FEC"/>
    <w:rsid w:val="007601D7"/>
    <w:rsid w:val="007604D8"/>
    <w:rsid w:val="0076095B"/>
    <w:rsid w:val="007613B5"/>
    <w:rsid w:val="00761465"/>
    <w:rsid w:val="007632CC"/>
    <w:rsid w:val="007638C8"/>
    <w:rsid w:val="00763A68"/>
    <w:rsid w:val="0076434A"/>
    <w:rsid w:val="0076455B"/>
    <w:rsid w:val="0076489E"/>
    <w:rsid w:val="0076512C"/>
    <w:rsid w:val="00765DDF"/>
    <w:rsid w:val="00766B7D"/>
    <w:rsid w:val="00767007"/>
    <w:rsid w:val="007678CC"/>
    <w:rsid w:val="00770F59"/>
    <w:rsid w:val="007728E2"/>
    <w:rsid w:val="00772D2A"/>
    <w:rsid w:val="00774A6C"/>
    <w:rsid w:val="00774EC7"/>
    <w:rsid w:val="007755B9"/>
    <w:rsid w:val="00775732"/>
    <w:rsid w:val="007760CF"/>
    <w:rsid w:val="00776CDE"/>
    <w:rsid w:val="00777298"/>
    <w:rsid w:val="0077731B"/>
    <w:rsid w:val="007773D6"/>
    <w:rsid w:val="00777AA6"/>
    <w:rsid w:val="00780185"/>
    <w:rsid w:val="007802CE"/>
    <w:rsid w:val="00780E2B"/>
    <w:rsid w:val="0078130B"/>
    <w:rsid w:val="00781709"/>
    <w:rsid w:val="00781984"/>
    <w:rsid w:val="00781F5B"/>
    <w:rsid w:val="00782195"/>
    <w:rsid w:val="007836EF"/>
    <w:rsid w:val="00783E82"/>
    <w:rsid w:val="00784BE2"/>
    <w:rsid w:val="00784C64"/>
    <w:rsid w:val="00784EA4"/>
    <w:rsid w:val="007855B1"/>
    <w:rsid w:val="00785CE3"/>
    <w:rsid w:val="00786171"/>
    <w:rsid w:val="00786FDB"/>
    <w:rsid w:val="0078740F"/>
    <w:rsid w:val="0079077F"/>
    <w:rsid w:val="00790A72"/>
    <w:rsid w:val="007913DF"/>
    <w:rsid w:val="00792471"/>
    <w:rsid w:val="0079259A"/>
    <w:rsid w:val="00792912"/>
    <w:rsid w:val="00792EA6"/>
    <w:rsid w:val="00793DB9"/>
    <w:rsid w:val="0079400B"/>
    <w:rsid w:val="00794958"/>
    <w:rsid w:val="00795059"/>
    <w:rsid w:val="007953C0"/>
    <w:rsid w:val="00795D21"/>
    <w:rsid w:val="00796652"/>
    <w:rsid w:val="00796847"/>
    <w:rsid w:val="00797103"/>
    <w:rsid w:val="0079765D"/>
    <w:rsid w:val="00797AA9"/>
    <w:rsid w:val="00797D3E"/>
    <w:rsid w:val="00797F1D"/>
    <w:rsid w:val="007A0840"/>
    <w:rsid w:val="007A09FC"/>
    <w:rsid w:val="007A10B2"/>
    <w:rsid w:val="007A1251"/>
    <w:rsid w:val="007A172F"/>
    <w:rsid w:val="007A3630"/>
    <w:rsid w:val="007A417B"/>
    <w:rsid w:val="007A48CF"/>
    <w:rsid w:val="007A4D85"/>
    <w:rsid w:val="007A5527"/>
    <w:rsid w:val="007A5789"/>
    <w:rsid w:val="007A5F0E"/>
    <w:rsid w:val="007A64B2"/>
    <w:rsid w:val="007A7FF0"/>
    <w:rsid w:val="007B009F"/>
    <w:rsid w:val="007B0EEF"/>
    <w:rsid w:val="007B174E"/>
    <w:rsid w:val="007B1798"/>
    <w:rsid w:val="007B1A3E"/>
    <w:rsid w:val="007B1D05"/>
    <w:rsid w:val="007B2262"/>
    <w:rsid w:val="007B244D"/>
    <w:rsid w:val="007B302D"/>
    <w:rsid w:val="007B3A73"/>
    <w:rsid w:val="007B4C0D"/>
    <w:rsid w:val="007B50CD"/>
    <w:rsid w:val="007B5134"/>
    <w:rsid w:val="007B591E"/>
    <w:rsid w:val="007B6626"/>
    <w:rsid w:val="007B700F"/>
    <w:rsid w:val="007B7342"/>
    <w:rsid w:val="007B7384"/>
    <w:rsid w:val="007C063D"/>
    <w:rsid w:val="007C06AD"/>
    <w:rsid w:val="007C2C6B"/>
    <w:rsid w:val="007C2CCA"/>
    <w:rsid w:val="007C2FD3"/>
    <w:rsid w:val="007C340D"/>
    <w:rsid w:val="007C34F7"/>
    <w:rsid w:val="007C3539"/>
    <w:rsid w:val="007C3F8B"/>
    <w:rsid w:val="007C4462"/>
    <w:rsid w:val="007C4653"/>
    <w:rsid w:val="007C47F7"/>
    <w:rsid w:val="007C4B57"/>
    <w:rsid w:val="007C64F0"/>
    <w:rsid w:val="007C6784"/>
    <w:rsid w:val="007C77A1"/>
    <w:rsid w:val="007D021A"/>
    <w:rsid w:val="007D05CC"/>
    <w:rsid w:val="007D07C4"/>
    <w:rsid w:val="007D0DBC"/>
    <w:rsid w:val="007D1983"/>
    <w:rsid w:val="007D1BE2"/>
    <w:rsid w:val="007D1D7E"/>
    <w:rsid w:val="007D262F"/>
    <w:rsid w:val="007D3B50"/>
    <w:rsid w:val="007D4A28"/>
    <w:rsid w:val="007D4F8F"/>
    <w:rsid w:val="007D54F5"/>
    <w:rsid w:val="007D6171"/>
    <w:rsid w:val="007D6295"/>
    <w:rsid w:val="007D642A"/>
    <w:rsid w:val="007D6432"/>
    <w:rsid w:val="007D694E"/>
    <w:rsid w:val="007D75FD"/>
    <w:rsid w:val="007D77F0"/>
    <w:rsid w:val="007D7A5F"/>
    <w:rsid w:val="007D7C24"/>
    <w:rsid w:val="007E116A"/>
    <w:rsid w:val="007E1996"/>
    <w:rsid w:val="007E1D5A"/>
    <w:rsid w:val="007E2B02"/>
    <w:rsid w:val="007E2E18"/>
    <w:rsid w:val="007E337B"/>
    <w:rsid w:val="007E41A2"/>
    <w:rsid w:val="007E4331"/>
    <w:rsid w:val="007E494D"/>
    <w:rsid w:val="007E52DC"/>
    <w:rsid w:val="007E67E2"/>
    <w:rsid w:val="007E7405"/>
    <w:rsid w:val="007E7B9A"/>
    <w:rsid w:val="007F02A5"/>
    <w:rsid w:val="007F0366"/>
    <w:rsid w:val="007F08AE"/>
    <w:rsid w:val="007F0E1B"/>
    <w:rsid w:val="007F227D"/>
    <w:rsid w:val="007F26EF"/>
    <w:rsid w:val="007F2A62"/>
    <w:rsid w:val="007F2C8D"/>
    <w:rsid w:val="007F322E"/>
    <w:rsid w:val="007F3FA5"/>
    <w:rsid w:val="007F478E"/>
    <w:rsid w:val="007F5189"/>
    <w:rsid w:val="007F5419"/>
    <w:rsid w:val="007F61E6"/>
    <w:rsid w:val="007F63C8"/>
    <w:rsid w:val="007F682A"/>
    <w:rsid w:val="007F6F99"/>
    <w:rsid w:val="007F754F"/>
    <w:rsid w:val="007F770F"/>
    <w:rsid w:val="007F77AF"/>
    <w:rsid w:val="007F7DBF"/>
    <w:rsid w:val="00800043"/>
    <w:rsid w:val="00800BFF"/>
    <w:rsid w:val="00800FDA"/>
    <w:rsid w:val="00801972"/>
    <w:rsid w:val="00801B0B"/>
    <w:rsid w:val="00801D93"/>
    <w:rsid w:val="008028ED"/>
    <w:rsid w:val="0080300E"/>
    <w:rsid w:val="00803183"/>
    <w:rsid w:val="00804C3A"/>
    <w:rsid w:val="00804E87"/>
    <w:rsid w:val="0080509C"/>
    <w:rsid w:val="0080514E"/>
    <w:rsid w:val="0080525E"/>
    <w:rsid w:val="00805A26"/>
    <w:rsid w:val="008070FB"/>
    <w:rsid w:val="0081103B"/>
    <w:rsid w:val="0081136F"/>
    <w:rsid w:val="008120FF"/>
    <w:rsid w:val="00812D99"/>
    <w:rsid w:val="008132A6"/>
    <w:rsid w:val="00813520"/>
    <w:rsid w:val="0081404F"/>
    <w:rsid w:val="008146FB"/>
    <w:rsid w:val="0081484A"/>
    <w:rsid w:val="008152CB"/>
    <w:rsid w:val="008156C0"/>
    <w:rsid w:val="0081624D"/>
    <w:rsid w:val="008203A2"/>
    <w:rsid w:val="00820524"/>
    <w:rsid w:val="008207D3"/>
    <w:rsid w:val="008208C9"/>
    <w:rsid w:val="008208ED"/>
    <w:rsid w:val="00820A55"/>
    <w:rsid w:val="00820B80"/>
    <w:rsid w:val="00820B97"/>
    <w:rsid w:val="00822906"/>
    <w:rsid w:val="00822D05"/>
    <w:rsid w:val="00822DC2"/>
    <w:rsid w:val="00823758"/>
    <w:rsid w:val="00823CF7"/>
    <w:rsid w:val="00824716"/>
    <w:rsid w:val="0082504B"/>
    <w:rsid w:val="00825471"/>
    <w:rsid w:val="0082593C"/>
    <w:rsid w:val="00825C0B"/>
    <w:rsid w:val="00825DB1"/>
    <w:rsid w:val="00826344"/>
    <w:rsid w:val="00827C66"/>
    <w:rsid w:val="00827E5F"/>
    <w:rsid w:val="00830095"/>
    <w:rsid w:val="00830526"/>
    <w:rsid w:val="00830939"/>
    <w:rsid w:val="00831151"/>
    <w:rsid w:val="00831D7C"/>
    <w:rsid w:val="00832058"/>
    <w:rsid w:val="00832640"/>
    <w:rsid w:val="00832D3B"/>
    <w:rsid w:val="00832D9F"/>
    <w:rsid w:val="008331BD"/>
    <w:rsid w:val="0083341A"/>
    <w:rsid w:val="00833812"/>
    <w:rsid w:val="00834986"/>
    <w:rsid w:val="008352DF"/>
    <w:rsid w:val="00835873"/>
    <w:rsid w:val="00835FF3"/>
    <w:rsid w:val="00836308"/>
    <w:rsid w:val="0083630E"/>
    <w:rsid w:val="00836471"/>
    <w:rsid w:val="00836FF7"/>
    <w:rsid w:val="008377C2"/>
    <w:rsid w:val="00837A99"/>
    <w:rsid w:val="00837E24"/>
    <w:rsid w:val="008404E1"/>
    <w:rsid w:val="0084065A"/>
    <w:rsid w:val="00840F3B"/>
    <w:rsid w:val="0084125B"/>
    <w:rsid w:val="00841997"/>
    <w:rsid w:val="00841FD5"/>
    <w:rsid w:val="00842F6D"/>
    <w:rsid w:val="00843E72"/>
    <w:rsid w:val="00844471"/>
    <w:rsid w:val="0084657E"/>
    <w:rsid w:val="008468E5"/>
    <w:rsid w:val="008471FD"/>
    <w:rsid w:val="00847A20"/>
    <w:rsid w:val="00850683"/>
    <w:rsid w:val="00850CE3"/>
    <w:rsid w:val="008511AD"/>
    <w:rsid w:val="008518DC"/>
    <w:rsid w:val="00851A0D"/>
    <w:rsid w:val="00852945"/>
    <w:rsid w:val="00854071"/>
    <w:rsid w:val="008541FB"/>
    <w:rsid w:val="00854966"/>
    <w:rsid w:val="00854DDF"/>
    <w:rsid w:val="00855274"/>
    <w:rsid w:val="008554A8"/>
    <w:rsid w:val="00855620"/>
    <w:rsid w:val="00855A3C"/>
    <w:rsid w:val="00856664"/>
    <w:rsid w:val="00856B69"/>
    <w:rsid w:val="00856FE4"/>
    <w:rsid w:val="008573A2"/>
    <w:rsid w:val="008608CF"/>
    <w:rsid w:val="00861584"/>
    <w:rsid w:val="00863524"/>
    <w:rsid w:val="00863B87"/>
    <w:rsid w:val="00864943"/>
    <w:rsid w:val="00864B46"/>
    <w:rsid w:val="00865261"/>
    <w:rsid w:val="00865691"/>
    <w:rsid w:val="00865A4A"/>
    <w:rsid w:val="008668DE"/>
    <w:rsid w:val="008668E0"/>
    <w:rsid w:val="00866935"/>
    <w:rsid w:val="00866BE6"/>
    <w:rsid w:val="00867129"/>
    <w:rsid w:val="00867670"/>
    <w:rsid w:val="008678F1"/>
    <w:rsid w:val="008679A4"/>
    <w:rsid w:val="00867EAF"/>
    <w:rsid w:val="0087057C"/>
    <w:rsid w:val="00871246"/>
    <w:rsid w:val="008715C8"/>
    <w:rsid w:val="00871800"/>
    <w:rsid w:val="00872191"/>
    <w:rsid w:val="008725D8"/>
    <w:rsid w:val="008726EA"/>
    <w:rsid w:val="008729C0"/>
    <w:rsid w:val="008729D2"/>
    <w:rsid w:val="00872CAD"/>
    <w:rsid w:val="008735C4"/>
    <w:rsid w:val="0087387B"/>
    <w:rsid w:val="00873E30"/>
    <w:rsid w:val="008740A1"/>
    <w:rsid w:val="0087411F"/>
    <w:rsid w:val="00874AC0"/>
    <w:rsid w:val="00875653"/>
    <w:rsid w:val="00875775"/>
    <w:rsid w:val="0087627F"/>
    <w:rsid w:val="008762BA"/>
    <w:rsid w:val="008762EC"/>
    <w:rsid w:val="00880511"/>
    <w:rsid w:val="00880CCB"/>
    <w:rsid w:val="00880EE3"/>
    <w:rsid w:val="00880F1B"/>
    <w:rsid w:val="00881552"/>
    <w:rsid w:val="008816D8"/>
    <w:rsid w:val="008825F0"/>
    <w:rsid w:val="0088371C"/>
    <w:rsid w:val="0088389B"/>
    <w:rsid w:val="008839B8"/>
    <w:rsid w:val="008841AF"/>
    <w:rsid w:val="008846EE"/>
    <w:rsid w:val="008849BC"/>
    <w:rsid w:val="00884A81"/>
    <w:rsid w:val="008850C6"/>
    <w:rsid w:val="008855D7"/>
    <w:rsid w:val="00885910"/>
    <w:rsid w:val="00885BFC"/>
    <w:rsid w:val="00885F82"/>
    <w:rsid w:val="00890545"/>
    <w:rsid w:val="00891D19"/>
    <w:rsid w:val="008922BC"/>
    <w:rsid w:val="0089230C"/>
    <w:rsid w:val="00892434"/>
    <w:rsid w:val="00892904"/>
    <w:rsid w:val="00892F43"/>
    <w:rsid w:val="0089329B"/>
    <w:rsid w:val="0089330E"/>
    <w:rsid w:val="00893D08"/>
    <w:rsid w:val="0089431D"/>
    <w:rsid w:val="00895D66"/>
    <w:rsid w:val="008968D5"/>
    <w:rsid w:val="0089773D"/>
    <w:rsid w:val="00897DA0"/>
    <w:rsid w:val="008A22A1"/>
    <w:rsid w:val="008A27EA"/>
    <w:rsid w:val="008A2835"/>
    <w:rsid w:val="008A2A52"/>
    <w:rsid w:val="008A338C"/>
    <w:rsid w:val="008A352F"/>
    <w:rsid w:val="008A3542"/>
    <w:rsid w:val="008A35EA"/>
    <w:rsid w:val="008A4B7B"/>
    <w:rsid w:val="008A51AB"/>
    <w:rsid w:val="008A6167"/>
    <w:rsid w:val="008A71D2"/>
    <w:rsid w:val="008A759E"/>
    <w:rsid w:val="008B0227"/>
    <w:rsid w:val="008B036A"/>
    <w:rsid w:val="008B071A"/>
    <w:rsid w:val="008B2114"/>
    <w:rsid w:val="008B27AA"/>
    <w:rsid w:val="008B3513"/>
    <w:rsid w:val="008B4509"/>
    <w:rsid w:val="008B48C0"/>
    <w:rsid w:val="008B5622"/>
    <w:rsid w:val="008B5F87"/>
    <w:rsid w:val="008B68C4"/>
    <w:rsid w:val="008B6A22"/>
    <w:rsid w:val="008B764E"/>
    <w:rsid w:val="008B79E6"/>
    <w:rsid w:val="008C0009"/>
    <w:rsid w:val="008C1083"/>
    <w:rsid w:val="008C1823"/>
    <w:rsid w:val="008C1ACE"/>
    <w:rsid w:val="008C2BAF"/>
    <w:rsid w:val="008C2BEA"/>
    <w:rsid w:val="008C345A"/>
    <w:rsid w:val="008C350F"/>
    <w:rsid w:val="008C3C6B"/>
    <w:rsid w:val="008C3CA4"/>
    <w:rsid w:val="008C53E6"/>
    <w:rsid w:val="008C58EF"/>
    <w:rsid w:val="008C5E3C"/>
    <w:rsid w:val="008C62A8"/>
    <w:rsid w:val="008C7C3E"/>
    <w:rsid w:val="008C7E33"/>
    <w:rsid w:val="008C7F45"/>
    <w:rsid w:val="008D2DB5"/>
    <w:rsid w:val="008D3024"/>
    <w:rsid w:val="008D334F"/>
    <w:rsid w:val="008D3521"/>
    <w:rsid w:val="008D3ACD"/>
    <w:rsid w:val="008D43DD"/>
    <w:rsid w:val="008D6675"/>
    <w:rsid w:val="008D68C8"/>
    <w:rsid w:val="008D6D12"/>
    <w:rsid w:val="008D784D"/>
    <w:rsid w:val="008E038B"/>
    <w:rsid w:val="008E26C8"/>
    <w:rsid w:val="008E2B47"/>
    <w:rsid w:val="008E2F9D"/>
    <w:rsid w:val="008E41EB"/>
    <w:rsid w:val="008E4530"/>
    <w:rsid w:val="008E4CA5"/>
    <w:rsid w:val="008E5612"/>
    <w:rsid w:val="008E5737"/>
    <w:rsid w:val="008E66CF"/>
    <w:rsid w:val="008E6B4A"/>
    <w:rsid w:val="008E6F43"/>
    <w:rsid w:val="008E72C8"/>
    <w:rsid w:val="008E7855"/>
    <w:rsid w:val="008E79B6"/>
    <w:rsid w:val="008F0303"/>
    <w:rsid w:val="008F09DB"/>
    <w:rsid w:val="008F0FBA"/>
    <w:rsid w:val="008F1C0F"/>
    <w:rsid w:val="008F2340"/>
    <w:rsid w:val="008F295F"/>
    <w:rsid w:val="008F29C8"/>
    <w:rsid w:val="008F3FC8"/>
    <w:rsid w:val="008F4915"/>
    <w:rsid w:val="008F52F8"/>
    <w:rsid w:val="008F5962"/>
    <w:rsid w:val="008F5C4D"/>
    <w:rsid w:val="008F5F06"/>
    <w:rsid w:val="008F6377"/>
    <w:rsid w:val="008F71F6"/>
    <w:rsid w:val="008F7CD6"/>
    <w:rsid w:val="009000E6"/>
    <w:rsid w:val="00900E69"/>
    <w:rsid w:val="00900F59"/>
    <w:rsid w:val="0090115C"/>
    <w:rsid w:val="009015B0"/>
    <w:rsid w:val="0090161B"/>
    <w:rsid w:val="00901E4D"/>
    <w:rsid w:val="009025AC"/>
    <w:rsid w:val="00903EE5"/>
    <w:rsid w:val="0090426D"/>
    <w:rsid w:val="00904BFF"/>
    <w:rsid w:val="00904DFE"/>
    <w:rsid w:val="00905034"/>
    <w:rsid w:val="00905EAE"/>
    <w:rsid w:val="0090643D"/>
    <w:rsid w:val="00906621"/>
    <w:rsid w:val="00906A87"/>
    <w:rsid w:val="00906D21"/>
    <w:rsid w:val="00906F94"/>
    <w:rsid w:val="0091148B"/>
    <w:rsid w:val="00912A0E"/>
    <w:rsid w:val="00912DE2"/>
    <w:rsid w:val="00913678"/>
    <w:rsid w:val="009138BC"/>
    <w:rsid w:val="00913D0A"/>
    <w:rsid w:val="009143E0"/>
    <w:rsid w:val="009145D9"/>
    <w:rsid w:val="0091478D"/>
    <w:rsid w:val="009149F9"/>
    <w:rsid w:val="0091568F"/>
    <w:rsid w:val="00916219"/>
    <w:rsid w:val="00920151"/>
    <w:rsid w:val="0092023A"/>
    <w:rsid w:val="009203A9"/>
    <w:rsid w:val="00920D08"/>
    <w:rsid w:val="00921A63"/>
    <w:rsid w:val="00922946"/>
    <w:rsid w:val="00922967"/>
    <w:rsid w:val="009233C2"/>
    <w:rsid w:val="00923B0E"/>
    <w:rsid w:val="009247EE"/>
    <w:rsid w:val="00924A3F"/>
    <w:rsid w:val="009250F8"/>
    <w:rsid w:val="00925104"/>
    <w:rsid w:val="00925557"/>
    <w:rsid w:val="00925C6A"/>
    <w:rsid w:val="00926BF3"/>
    <w:rsid w:val="009275C9"/>
    <w:rsid w:val="0092786D"/>
    <w:rsid w:val="0092794D"/>
    <w:rsid w:val="009309A4"/>
    <w:rsid w:val="00930BE0"/>
    <w:rsid w:val="00930FC1"/>
    <w:rsid w:val="009315C1"/>
    <w:rsid w:val="009322D6"/>
    <w:rsid w:val="009332F2"/>
    <w:rsid w:val="00933459"/>
    <w:rsid w:val="00933E23"/>
    <w:rsid w:val="009342FF"/>
    <w:rsid w:val="0093439D"/>
    <w:rsid w:val="00934A55"/>
    <w:rsid w:val="009368B8"/>
    <w:rsid w:val="00936F46"/>
    <w:rsid w:val="009373A5"/>
    <w:rsid w:val="00937949"/>
    <w:rsid w:val="00937CE5"/>
    <w:rsid w:val="00937ECB"/>
    <w:rsid w:val="009408A9"/>
    <w:rsid w:val="00940A75"/>
    <w:rsid w:val="00941031"/>
    <w:rsid w:val="009415AB"/>
    <w:rsid w:val="00941931"/>
    <w:rsid w:val="00941BDD"/>
    <w:rsid w:val="00943FC6"/>
    <w:rsid w:val="00944F6A"/>
    <w:rsid w:val="009452CA"/>
    <w:rsid w:val="0094664B"/>
    <w:rsid w:val="009468E6"/>
    <w:rsid w:val="00947747"/>
    <w:rsid w:val="0094785E"/>
    <w:rsid w:val="00950272"/>
    <w:rsid w:val="009508C1"/>
    <w:rsid w:val="00951AC7"/>
    <w:rsid w:val="00952DE3"/>
    <w:rsid w:val="00952F7B"/>
    <w:rsid w:val="00953CD5"/>
    <w:rsid w:val="009543A0"/>
    <w:rsid w:val="009548F7"/>
    <w:rsid w:val="0095567A"/>
    <w:rsid w:val="00956A06"/>
    <w:rsid w:val="009575CB"/>
    <w:rsid w:val="00957CCB"/>
    <w:rsid w:val="0096036A"/>
    <w:rsid w:val="009608B7"/>
    <w:rsid w:val="00960F8E"/>
    <w:rsid w:val="00960F9C"/>
    <w:rsid w:val="009618D8"/>
    <w:rsid w:val="00961D5C"/>
    <w:rsid w:val="00961FF0"/>
    <w:rsid w:val="009624AF"/>
    <w:rsid w:val="009629B9"/>
    <w:rsid w:val="00963325"/>
    <w:rsid w:val="00963CB3"/>
    <w:rsid w:val="0096404D"/>
    <w:rsid w:val="00964722"/>
    <w:rsid w:val="00964894"/>
    <w:rsid w:val="00964FD6"/>
    <w:rsid w:val="00965277"/>
    <w:rsid w:val="00965873"/>
    <w:rsid w:val="0096716A"/>
    <w:rsid w:val="00967CBD"/>
    <w:rsid w:val="00967EDC"/>
    <w:rsid w:val="00970108"/>
    <w:rsid w:val="00970113"/>
    <w:rsid w:val="00970589"/>
    <w:rsid w:val="0097094C"/>
    <w:rsid w:val="009712F6"/>
    <w:rsid w:val="00972966"/>
    <w:rsid w:val="00972A6B"/>
    <w:rsid w:val="00972AFA"/>
    <w:rsid w:val="00973F98"/>
    <w:rsid w:val="00974C41"/>
    <w:rsid w:val="00976239"/>
    <w:rsid w:val="00976721"/>
    <w:rsid w:val="00976965"/>
    <w:rsid w:val="009774FC"/>
    <w:rsid w:val="0097792E"/>
    <w:rsid w:val="00977C77"/>
    <w:rsid w:val="00977C85"/>
    <w:rsid w:val="0098052C"/>
    <w:rsid w:val="0098095D"/>
    <w:rsid w:val="009818D8"/>
    <w:rsid w:val="00982CCE"/>
    <w:rsid w:val="009832E3"/>
    <w:rsid w:val="00983346"/>
    <w:rsid w:val="0098397F"/>
    <w:rsid w:val="009841FC"/>
    <w:rsid w:val="009843D4"/>
    <w:rsid w:val="0098486C"/>
    <w:rsid w:val="00984A6B"/>
    <w:rsid w:val="00984EA4"/>
    <w:rsid w:val="0098549A"/>
    <w:rsid w:val="00985A51"/>
    <w:rsid w:val="00985FB0"/>
    <w:rsid w:val="0099018A"/>
    <w:rsid w:val="009903E1"/>
    <w:rsid w:val="009906A2"/>
    <w:rsid w:val="00990AC1"/>
    <w:rsid w:val="00990FFE"/>
    <w:rsid w:val="0099135E"/>
    <w:rsid w:val="00991D88"/>
    <w:rsid w:val="00992201"/>
    <w:rsid w:val="00993479"/>
    <w:rsid w:val="009939FE"/>
    <w:rsid w:val="00994EE9"/>
    <w:rsid w:val="00994F9B"/>
    <w:rsid w:val="0099554D"/>
    <w:rsid w:val="009958AC"/>
    <w:rsid w:val="009969D4"/>
    <w:rsid w:val="00996AC3"/>
    <w:rsid w:val="00997065"/>
    <w:rsid w:val="00997FEA"/>
    <w:rsid w:val="009A0086"/>
    <w:rsid w:val="009A09D5"/>
    <w:rsid w:val="009A0E52"/>
    <w:rsid w:val="009A111D"/>
    <w:rsid w:val="009A14F3"/>
    <w:rsid w:val="009A18B5"/>
    <w:rsid w:val="009A3067"/>
    <w:rsid w:val="009A3085"/>
    <w:rsid w:val="009A38B8"/>
    <w:rsid w:val="009A3ABF"/>
    <w:rsid w:val="009A4AFE"/>
    <w:rsid w:val="009A4C3F"/>
    <w:rsid w:val="009A61F5"/>
    <w:rsid w:val="009A64E0"/>
    <w:rsid w:val="009A6AC5"/>
    <w:rsid w:val="009B091B"/>
    <w:rsid w:val="009B186C"/>
    <w:rsid w:val="009B1A88"/>
    <w:rsid w:val="009B1EC8"/>
    <w:rsid w:val="009B2318"/>
    <w:rsid w:val="009B265B"/>
    <w:rsid w:val="009B2B29"/>
    <w:rsid w:val="009B2B79"/>
    <w:rsid w:val="009B3AE8"/>
    <w:rsid w:val="009B442C"/>
    <w:rsid w:val="009B47B4"/>
    <w:rsid w:val="009B691B"/>
    <w:rsid w:val="009B7957"/>
    <w:rsid w:val="009B7C74"/>
    <w:rsid w:val="009C0AF0"/>
    <w:rsid w:val="009C0B40"/>
    <w:rsid w:val="009C0E11"/>
    <w:rsid w:val="009C1642"/>
    <w:rsid w:val="009C193B"/>
    <w:rsid w:val="009C1D8F"/>
    <w:rsid w:val="009C20E7"/>
    <w:rsid w:val="009C212E"/>
    <w:rsid w:val="009C276B"/>
    <w:rsid w:val="009C4456"/>
    <w:rsid w:val="009C4928"/>
    <w:rsid w:val="009C53E1"/>
    <w:rsid w:val="009C60DB"/>
    <w:rsid w:val="009C6A58"/>
    <w:rsid w:val="009C6EC1"/>
    <w:rsid w:val="009C744C"/>
    <w:rsid w:val="009C7647"/>
    <w:rsid w:val="009C772C"/>
    <w:rsid w:val="009C7FEF"/>
    <w:rsid w:val="009D04C7"/>
    <w:rsid w:val="009D0738"/>
    <w:rsid w:val="009D2691"/>
    <w:rsid w:val="009D273A"/>
    <w:rsid w:val="009D2CFC"/>
    <w:rsid w:val="009D2FEC"/>
    <w:rsid w:val="009D3404"/>
    <w:rsid w:val="009D392C"/>
    <w:rsid w:val="009D6EA5"/>
    <w:rsid w:val="009D74AF"/>
    <w:rsid w:val="009D7B0E"/>
    <w:rsid w:val="009E0417"/>
    <w:rsid w:val="009E0D68"/>
    <w:rsid w:val="009E11CB"/>
    <w:rsid w:val="009E191E"/>
    <w:rsid w:val="009E2191"/>
    <w:rsid w:val="009E29E4"/>
    <w:rsid w:val="009E3B0F"/>
    <w:rsid w:val="009E3D8E"/>
    <w:rsid w:val="009E404F"/>
    <w:rsid w:val="009E45EA"/>
    <w:rsid w:val="009E470F"/>
    <w:rsid w:val="009E49FD"/>
    <w:rsid w:val="009E5949"/>
    <w:rsid w:val="009E5CD1"/>
    <w:rsid w:val="009E7823"/>
    <w:rsid w:val="009F089E"/>
    <w:rsid w:val="009F0B6C"/>
    <w:rsid w:val="009F0D69"/>
    <w:rsid w:val="009F20A5"/>
    <w:rsid w:val="009F2130"/>
    <w:rsid w:val="009F25CC"/>
    <w:rsid w:val="009F2628"/>
    <w:rsid w:val="009F28D2"/>
    <w:rsid w:val="009F292D"/>
    <w:rsid w:val="009F2EDB"/>
    <w:rsid w:val="009F384C"/>
    <w:rsid w:val="009F3AD0"/>
    <w:rsid w:val="009F3B32"/>
    <w:rsid w:val="009F4940"/>
    <w:rsid w:val="009F5316"/>
    <w:rsid w:val="009F58D3"/>
    <w:rsid w:val="009F7BA1"/>
    <w:rsid w:val="00A00737"/>
    <w:rsid w:val="00A00800"/>
    <w:rsid w:val="00A008F1"/>
    <w:rsid w:val="00A00B99"/>
    <w:rsid w:val="00A00BCA"/>
    <w:rsid w:val="00A01B9A"/>
    <w:rsid w:val="00A02173"/>
    <w:rsid w:val="00A024AE"/>
    <w:rsid w:val="00A024DE"/>
    <w:rsid w:val="00A04A41"/>
    <w:rsid w:val="00A04B56"/>
    <w:rsid w:val="00A05291"/>
    <w:rsid w:val="00A05632"/>
    <w:rsid w:val="00A05898"/>
    <w:rsid w:val="00A05F4B"/>
    <w:rsid w:val="00A07561"/>
    <w:rsid w:val="00A07F79"/>
    <w:rsid w:val="00A10F48"/>
    <w:rsid w:val="00A11846"/>
    <w:rsid w:val="00A11A57"/>
    <w:rsid w:val="00A13132"/>
    <w:rsid w:val="00A1365A"/>
    <w:rsid w:val="00A13889"/>
    <w:rsid w:val="00A13CB4"/>
    <w:rsid w:val="00A1401C"/>
    <w:rsid w:val="00A144A3"/>
    <w:rsid w:val="00A145E4"/>
    <w:rsid w:val="00A14F83"/>
    <w:rsid w:val="00A15EFA"/>
    <w:rsid w:val="00A1731F"/>
    <w:rsid w:val="00A17B19"/>
    <w:rsid w:val="00A17EE5"/>
    <w:rsid w:val="00A201BD"/>
    <w:rsid w:val="00A20EAE"/>
    <w:rsid w:val="00A21060"/>
    <w:rsid w:val="00A2123B"/>
    <w:rsid w:val="00A2199E"/>
    <w:rsid w:val="00A21D77"/>
    <w:rsid w:val="00A21FE6"/>
    <w:rsid w:val="00A22B44"/>
    <w:rsid w:val="00A22BDE"/>
    <w:rsid w:val="00A22F33"/>
    <w:rsid w:val="00A2320C"/>
    <w:rsid w:val="00A251F7"/>
    <w:rsid w:val="00A26334"/>
    <w:rsid w:val="00A264EE"/>
    <w:rsid w:val="00A27152"/>
    <w:rsid w:val="00A2768E"/>
    <w:rsid w:val="00A27802"/>
    <w:rsid w:val="00A27952"/>
    <w:rsid w:val="00A3239D"/>
    <w:rsid w:val="00A33844"/>
    <w:rsid w:val="00A33C3E"/>
    <w:rsid w:val="00A33CCF"/>
    <w:rsid w:val="00A355F4"/>
    <w:rsid w:val="00A3590F"/>
    <w:rsid w:val="00A36047"/>
    <w:rsid w:val="00A3652F"/>
    <w:rsid w:val="00A37093"/>
    <w:rsid w:val="00A37D1F"/>
    <w:rsid w:val="00A4017D"/>
    <w:rsid w:val="00A4063F"/>
    <w:rsid w:val="00A42024"/>
    <w:rsid w:val="00A42C65"/>
    <w:rsid w:val="00A4340B"/>
    <w:rsid w:val="00A43822"/>
    <w:rsid w:val="00A43E5C"/>
    <w:rsid w:val="00A43FAB"/>
    <w:rsid w:val="00A45561"/>
    <w:rsid w:val="00A455F8"/>
    <w:rsid w:val="00A45B8B"/>
    <w:rsid w:val="00A4749B"/>
    <w:rsid w:val="00A47FA4"/>
    <w:rsid w:val="00A506F7"/>
    <w:rsid w:val="00A509A0"/>
    <w:rsid w:val="00A52582"/>
    <w:rsid w:val="00A5259C"/>
    <w:rsid w:val="00A531A5"/>
    <w:rsid w:val="00A543A2"/>
    <w:rsid w:val="00A54EFA"/>
    <w:rsid w:val="00A55286"/>
    <w:rsid w:val="00A55C74"/>
    <w:rsid w:val="00A564B2"/>
    <w:rsid w:val="00A56696"/>
    <w:rsid w:val="00A56A9A"/>
    <w:rsid w:val="00A56B73"/>
    <w:rsid w:val="00A56D19"/>
    <w:rsid w:val="00A57974"/>
    <w:rsid w:val="00A60062"/>
    <w:rsid w:val="00A60602"/>
    <w:rsid w:val="00A608CD"/>
    <w:rsid w:val="00A61112"/>
    <w:rsid w:val="00A61887"/>
    <w:rsid w:val="00A61FF4"/>
    <w:rsid w:val="00A624A3"/>
    <w:rsid w:val="00A62D2C"/>
    <w:rsid w:val="00A62EB4"/>
    <w:rsid w:val="00A63D9C"/>
    <w:rsid w:val="00A63F76"/>
    <w:rsid w:val="00A657FC"/>
    <w:rsid w:val="00A65BAB"/>
    <w:rsid w:val="00A668A8"/>
    <w:rsid w:val="00A66A5C"/>
    <w:rsid w:val="00A67C17"/>
    <w:rsid w:val="00A67E53"/>
    <w:rsid w:val="00A7032A"/>
    <w:rsid w:val="00A71209"/>
    <w:rsid w:val="00A71D4B"/>
    <w:rsid w:val="00A74C9D"/>
    <w:rsid w:val="00A77CA5"/>
    <w:rsid w:val="00A77CC4"/>
    <w:rsid w:val="00A8077C"/>
    <w:rsid w:val="00A8096D"/>
    <w:rsid w:val="00A80BC1"/>
    <w:rsid w:val="00A80D58"/>
    <w:rsid w:val="00A80E24"/>
    <w:rsid w:val="00A827CF"/>
    <w:rsid w:val="00A8411F"/>
    <w:rsid w:val="00A84977"/>
    <w:rsid w:val="00A85B15"/>
    <w:rsid w:val="00A85BC7"/>
    <w:rsid w:val="00A85E64"/>
    <w:rsid w:val="00A85FED"/>
    <w:rsid w:val="00A86809"/>
    <w:rsid w:val="00A87449"/>
    <w:rsid w:val="00A90463"/>
    <w:rsid w:val="00A9096B"/>
    <w:rsid w:val="00A91487"/>
    <w:rsid w:val="00A915D7"/>
    <w:rsid w:val="00A915E2"/>
    <w:rsid w:val="00A93292"/>
    <w:rsid w:val="00A939F5"/>
    <w:rsid w:val="00A9583D"/>
    <w:rsid w:val="00A95B0B"/>
    <w:rsid w:val="00A95C85"/>
    <w:rsid w:val="00A95DA4"/>
    <w:rsid w:val="00A95EC6"/>
    <w:rsid w:val="00A96CB5"/>
    <w:rsid w:val="00A974C1"/>
    <w:rsid w:val="00A974F3"/>
    <w:rsid w:val="00A976A6"/>
    <w:rsid w:val="00A97A7E"/>
    <w:rsid w:val="00AA0CA7"/>
    <w:rsid w:val="00AA0F72"/>
    <w:rsid w:val="00AA140D"/>
    <w:rsid w:val="00AA1660"/>
    <w:rsid w:val="00AA313F"/>
    <w:rsid w:val="00AA3AEA"/>
    <w:rsid w:val="00AA3C05"/>
    <w:rsid w:val="00AA4F87"/>
    <w:rsid w:val="00AA521F"/>
    <w:rsid w:val="00AA5879"/>
    <w:rsid w:val="00AA6312"/>
    <w:rsid w:val="00AA63E5"/>
    <w:rsid w:val="00AA66CB"/>
    <w:rsid w:val="00AA6D9F"/>
    <w:rsid w:val="00AA7004"/>
    <w:rsid w:val="00AA7226"/>
    <w:rsid w:val="00AA7591"/>
    <w:rsid w:val="00AA759E"/>
    <w:rsid w:val="00AA7A3F"/>
    <w:rsid w:val="00AB0790"/>
    <w:rsid w:val="00AB0847"/>
    <w:rsid w:val="00AB1375"/>
    <w:rsid w:val="00AB1C88"/>
    <w:rsid w:val="00AB271F"/>
    <w:rsid w:val="00AB2D6B"/>
    <w:rsid w:val="00AB2ED4"/>
    <w:rsid w:val="00AB36EC"/>
    <w:rsid w:val="00AB37BC"/>
    <w:rsid w:val="00AB39F1"/>
    <w:rsid w:val="00AB3CB8"/>
    <w:rsid w:val="00AB3F95"/>
    <w:rsid w:val="00AB4CA2"/>
    <w:rsid w:val="00AB5395"/>
    <w:rsid w:val="00AB67EE"/>
    <w:rsid w:val="00AB752A"/>
    <w:rsid w:val="00AB79C0"/>
    <w:rsid w:val="00AC087E"/>
    <w:rsid w:val="00AC13F8"/>
    <w:rsid w:val="00AC1C41"/>
    <w:rsid w:val="00AC1F22"/>
    <w:rsid w:val="00AC41F4"/>
    <w:rsid w:val="00AC5CB6"/>
    <w:rsid w:val="00AC65DF"/>
    <w:rsid w:val="00AC6C5B"/>
    <w:rsid w:val="00AD04FA"/>
    <w:rsid w:val="00AD0650"/>
    <w:rsid w:val="00AD0752"/>
    <w:rsid w:val="00AD0857"/>
    <w:rsid w:val="00AD0CAA"/>
    <w:rsid w:val="00AD12AA"/>
    <w:rsid w:val="00AD146C"/>
    <w:rsid w:val="00AD1C11"/>
    <w:rsid w:val="00AD200C"/>
    <w:rsid w:val="00AD3364"/>
    <w:rsid w:val="00AD34E8"/>
    <w:rsid w:val="00AD4345"/>
    <w:rsid w:val="00AD4750"/>
    <w:rsid w:val="00AD47F0"/>
    <w:rsid w:val="00AD4CC4"/>
    <w:rsid w:val="00AD4DB9"/>
    <w:rsid w:val="00AD530C"/>
    <w:rsid w:val="00AD5423"/>
    <w:rsid w:val="00AD61C3"/>
    <w:rsid w:val="00AD6BBA"/>
    <w:rsid w:val="00AD6C6A"/>
    <w:rsid w:val="00AD6C7A"/>
    <w:rsid w:val="00AD6C9C"/>
    <w:rsid w:val="00AD7787"/>
    <w:rsid w:val="00AE087F"/>
    <w:rsid w:val="00AE1FA3"/>
    <w:rsid w:val="00AE21C2"/>
    <w:rsid w:val="00AE2203"/>
    <w:rsid w:val="00AE2327"/>
    <w:rsid w:val="00AE2ACB"/>
    <w:rsid w:val="00AE2E10"/>
    <w:rsid w:val="00AE30C3"/>
    <w:rsid w:val="00AE3675"/>
    <w:rsid w:val="00AE40BA"/>
    <w:rsid w:val="00AE4D78"/>
    <w:rsid w:val="00AE532F"/>
    <w:rsid w:val="00AE7EB8"/>
    <w:rsid w:val="00AF0018"/>
    <w:rsid w:val="00AF01EA"/>
    <w:rsid w:val="00AF070A"/>
    <w:rsid w:val="00AF0D41"/>
    <w:rsid w:val="00AF1218"/>
    <w:rsid w:val="00AF18BB"/>
    <w:rsid w:val="00AF1A8E"/>
    <w:rsid w:val="00AF22BA"/>
    <w:rsid w:val="00AF2D1B"/>
    <w:rsid w:val="00AF375D"/>
    <w:rsid w:val="00AF3C13"/>
    <w:rsid w:val="00AF443D"/>
    <w:rsid w:val="00AF4A7E"/>
    <w:rsid w:val="00AF5235"/>
    <w:rsid w:val="00AF525E"/>
    <w:rsid w:val="00AF5581"/>
    <w:rsid w:val="00AF5D3E"/>
    <w:rsid w:val="00AF5F91"/>
    <w:rsid w:val="00AF6135"/>
    <w:rsid w:val="00AF633C"/>
    <w:rsid w:val="00AF6EC0"/>
    <w:rsid w:val="00AF783F"/>
    <w:rsid w:val="00B00226"/>
    <w:rsid w:val="00B002F2"/>
    <w:rsid w:val="00B013B4"/>
    <w:rsid w:val="00B02B56"/>
    <w:rsid w:val="00B02FEA"/>
    <w:rsid w:val="00B03078"/>
    <w:rsid w:val="00B032AE"/>
    <w:rsid w:val="00B03628"/>
    <w:rsid w:val="00B04322"/>
    <w:rsid w:val="00B048AB"/>
    <w:rsid w:val="00B04D6C"/>
    <w:rsid w:val="00B04E52"/>
    <w:rsid w:val="00B04FFD"/>
    <w:rsid w:val="00B050D9"/>
    <w:rsid w:val="00B050EB"/>
    <w:rsid w:val="00B05B52"/>
    <w:rsid w:val="00B05CF9"/>
    <w:rsid w:val="00B06232"/>
    <w:rsid w:val="00B06B85"/>
    <w:rsid w:val="00B07370"/>
    <w:rsid w:val="00B0767C"/>
    <w:rsid w:val="00B103E6"/>
    <w:rsid w:val="00B106B8"/>
    <w:rsid w:val="00B107B1"/>
    <w:rsid w:val="00B11800"/>
    <w:rsid w:val="00B12609"/>
    <w:rsid w:val="00B1279F"/>
    <w:rsid w:val="00B12CB5"/>
    <w:rsid w:val="00B12FF9"/>
    <w:rsid w:val="00B13389"/>
    <w:rsid w:val="00B1348B"/>
    <w:rsid w:val="00B13831"/>
    <w:rsid w:val="00B13CD3"/>
    <w:rsid w:val="00B13F76"/>
    <w:rsid w:val="00B14695"/>
    <w:rsid w:val="00B14836"/>
    <w:rsid w:val="00B15727"/>
    <w:rsid w:val="00B159A2"/>
    <w:rsid w:val="00B15FB8"/>
    <w:rsid w:val="00B20605"/>
    <w:rsid w:val="00B21003"/>
    <w:rsid w:val="00B21278"/>
    <w:rsid w:val="00B21CCE"/>
    <w:rsid w:val="00B22BC7"/>
    <w:rsid w:val="00B235B4"/>
    <w:rsid w:val="00B2360D"/>
    <w:rsid w:val="00B236D0"/>
    <w:rsid w:val="00B24B84"/>
    <w:rsid w:val="00B24C29"/>
    <w:rsid w:val="00B2510B"/>
    <w:rsid w:val="00B251F5"/>
    <w:rsid w:val="00B25805"/>
    <w:rsid w:val="00B26BDF"/>
    <w:rsid w:val="00B26D13"/>
    <w:rsid w:val="00B27588"/>
    <w:rsid w:val="00B27B50"/>
    <w:rsid w:val="00B30412"/>
    <w:rsid w:val="00B3046E"/>
    <w:rsid w:val="00B30E8D"/>
    <w:rsid w:val="00B31433"/>
    <w:rsid w:val="00B33777"/>
    <w:rsid w:val="00B33A50"/>
    <w:rsid w:val="00B343F0"/>
    <w:rsid w:val="00B34731"/>
    <w:rsid w:val="00B36072"/>
    <w:rsid w:val="00B36FD3"/>
    <w:rsid w:val="00B37338"/>
    <w:rsid w:val="00B37F57"/>
    <w:rsid w:val="00B4001F"/>
    <w:rsid w:val="00B40D19"/>
    <w:rsid w:val="00B41A1A"/>
    <w:rsid w:val="00B42033"/>
    <w:rsid w:val="00B428FE"/>
    <w:rsid w:val="00B435BE"/>
    <w:rsid w:val="00B4398D"/>
    <w:rsid w:val="00B44273"/>
    <w:rsid w:val="00B44F6B"/>
    <w:rsid w:val="00B45D74"/>
    <w:rsid w:val="00B465CF"/>
    <w:rsid w:val="00B46F41"/>
    <w:rsid w:val="00B4728C"/>
    <w:rsid w:val="00B50BC0"/>
    <w:rsid w:val="00B50E5F"/>
    <w:rsid w:val="00B51955"/>
    <w:rsid w:val="00B51F15"/>
    <w:rsid w:val="00B520EE"/>
    <w:rsid w:val="00B52CBE"/>
    <w:rsid w:val="00B535CA"/>
    <w:rsid w:val="00B53F7C"/>
    <w:rsid w:val="00B53F98"/>
    <w:rsid w:val="00B54B0F"/>
    <w:rsid w:val="00B54C20"/>
    <w:rsid w:val="00B560C1"/>
    <w:rsid w:val="00B577CB"/>
    <w:rsid w:val="00B57C00"/>
    <w:rsid w:val="00B60812"/>
    <w:rsid w:val="00B612BC"/>
    <w:rsid w:val="00B61CF0"/>
    <w:rsid w:val="00B64EC7"/>
    <w:rsid w:val="00B655FA"/>
    <w:rsid w:val="00B65636"/>
    <w:rsid w:val="00B65665"/>
    <w:rsid w:val="00B65BBD"/>
    <w:rsid w:val="00B662EF"/>
    <w:rsid w:val="00B664C9"/>
    <w:rsid w:val="00B67501"/>
    <w:rsid w:val="00B70543"/>
    <w:rsid w:val="00B71CA7"/>
    <w:rsid w:val="00B720A8"/>
    <w:rsid w:val="00B73D2C"/>
    <w:rsid w:val="00B74745"/>
    <w:rsid w:val="00B74C4C"/>
    <w:rsid w:val="00B74E18"/>
    <w:rsid w:val="00B76BED"/>
    <w:rsid w:val="00B7798C"/>
    <w:rsid w:val="00B77F35"/>
    <w:rsid w:val="00B805EC"/>
    <w:rsid w:val="00B808E5"/>
    <w:rsid w:val="00B82BA0"/>
    <w:rsid w:val="00B84B63"/>
    <w:rsid w:val="00B8656F"/>
    <w:rsid w:val="00B86A16"/>
    <w:rsid w:val="00B9009B"/>
    <w:rsid w:val="00B90D94"/>
    <w:rsid w:val="00B91087"/>
    <w:rsid w:val="00B91491"/>
    <w:rsid w:val="00B920DA"/>
    <w:rsid w:val="00B93168"/>
    <w:rsid w:val="00B9318D"/>
    <w:rsid w:val="00B938D5"/>
    <w:rsid w:val="00B95730"/>
    <w:rsid w:val="00B9585C"/>
    <w:rsid w:val="00B95D46"/>
    <w:rsid w:val="00B95FB9"/>
    <w:rsid w:val="00B9618C"/>
    <w:rsid w:val="00B971D5"/>
    <w:rsid w:val="00B97287"/>
    <w:rsid w:val="00B974FE"/>
    <w:rsid w:val="00B976F3"/>
    <w:rsid w:val="00B9787B"/>
    <w:rsid w:val="00BA08EE"/>
    <w:rsid w:val="00BA0A36"/>
    <w:rsid w:val="00BA2CD4"/>
    <w:rsid w:val="00BA3A58"/>
    <w:rsid w:val="00BA3EDA"/>
    <w:rsid w:val="00BA44DB"/>
    <w:rsid w:val="00BA4DD9"/>
    <w:rsid w:val="00BA6018"/>
    <w:rsid w:val="00BA6034"/>
    <w:rsid w:val="00BA699C"/>
    <w:rsid w:val="00BA6A4B"/>
    <w:rsid w:val="00BA6E0D"/>
    <w:rsid w:val="00BA6F7E"/>
    <w:rsid w:val="00BA7AED"/>
    <w:rsid w:val="00BB0060"/>
    <w:rsid w:val="00BB0794"/>
    <w:rsid w:val="00BB1C15"/>
    <w:rsid w:val="00BB1D85"/>
    <w:rsid w:val="00BB32E7"/>
    <w:rsid w:val="00BB5291"/>
    <w:rsid w:val="00BB6056"/>
    <w:rsid w:val="00BB60FA"/>
    <w:rsid w:val="00BB6520"/>
    <w:rsid w:val="00BB7365"/>
    <w:rsid w:val="00BB7725"/>
    <w:rsid w:val="00BB7D3D"/>
    <w:rsid w:val="00BC0008"/>
    <w:rsid w:val="00BC1940"/>
    <w:rsid w:val="00BC237A"/>
    <w:rsid w:val="00BC28C1"/>
    <w:rsid w:val="00BC2919"/>
    <w:rsid w:val="00BC3239"/>
    <w:rsid w:val="00BC3345"/>
    <w:rsid w:val="00BC3893"/>
    <w:rsid w:val="00BC38E4"/>
    <w:rsid w:val="00BC3B4C"/>
    <w:rsid w:val="00BC3E2B"/>
    <w:rsid w:val="00BC3EBC"/>
    <w:rsid w:val="00BC4CE6"/>
    <w:rsid w:val="00BC5A3F"/>
    <w:rsid w:val="00BC6477"/>
    <w:rsid w:val="00BC7423"/>
    <w:rsid w:val="00BC77DC"/>
    <w:rsid w:val="00BC7B20"/>
    <w:rsid w:val="00BD02A5"/>
    <w:rsid w:val="00BD0B49"/>
    <w:rsid w:val="00BD2E40"/>
    <w:rsid w:val="00BD4736"/>
    <w:rsid w:val="00BD50D2"/>
    <w:rsid w:val="00BD5619"/>
    <w:rsid w:val="00BD56EC"/>
    <w:rsid w:val="00BD6D19"/>
    <w:rsid w:val="00BD792B"/>
    <w:rsid w:val="00BD7DA2"/>
    <w:rsid w:val="00BE02C3"/>
    <w:rsid w:val="00BE21C0"/>
    <w:rsid w:val="00BE4209"/>
    <w:rsid w:val="00BE4217"/>
    <w:rsid w:val="00BE4FC9"/>
    <w:rsid w:val="00BE642B"/>
    <w:rsid w:val="00BE66AF"/>
    <w:rsid w:val="00BE6FFE"/>
    <w:rsid w:val="00BE7373"/>
    <w:rsid w:val="00BF0243"/>
    <w:rsid w:val="00BF1604"/>
    <w:rsid w:val="00BF25BA"/>
    <w:rsid w:val="00BF2B3F"/>
    <w:rsid w:val="00BF3767"/>
    <w:rsid w:val="00BF41CE"/>
    <w:rsid w:val="00BF658E"/>
    <w:rsid w:val="00BF684B"/>
    <w:rsid w:val="00BF723D"/>
    <w:rsid w:val="00BF7B8D"/>
    <w:rsid w:val="00C000B6"/>
    <w:rsid w:val="00C00C17"/>
    <w:rsid w:val="00C00C4B"/>
    <w:rsid w:val="00C00FD0"/>
    <w:rsid w:val="00C01B92"/>
    <w:rsid w:val="00C01C43"/>
    <w:rsid w:val="00C023DE"/>
    <w:rsid w:val="00C028D8"/>
    <w:rsid w:val="00C0436A"/>
    <w:rsid w:val="00C04462"/>
    <w:rsid w:val="00C04472"/>
    <w:rsid w:val="00C04AC4"/>
    <w:rsid w:val="00C050B1"/>
    <w:rsid w:val="00C0565D"/>
    <w:rsid w:val="00C05D5B"/>
    <w:rsid w:val="00C06F22"/>
    <w:rsid w:val="00C07012"/>
    <w:rsid w:val="00C07FDF"/>
    <w:rsid w:val="00C117A0"/>
    <w:rsid w:val="00C1193F"/>
    <w:rsid w:val="00C11D57"/>
    <w:rsid w:val="00C12964"/>
    <w:rsid w:val="00C12D8D"/>
    <w:rsid w:val="00C12DD2"/>
    <w:rsid w:val="00C13758"/>
    <w:rsid w:val="00C14B91"/>
    <w:rsid w:val="00C15978"/>
    <w:rsid w:val="00C162E5"/>
    <w:rsid w:val="00C16CEB"/>
    <w:rsid w:val="00C17035"/>
    <w:rsid w:val="00C17F15"/>
    <w:rsid w:val="00C207A7"/>
    <w:rsid w:val="00C20D40"/>
    <w:rsid w:val="00C20D41"/>
    <w:rsid w:val="00C2110A"/>
    <w:rsid w:val="00C21822"/>
    <w:rsid w:val="00C224C4"/>
    <w:rsid w:val="00C23344"/>
    <w:rsid w:val="00C2382D"/>
    <w:rsid w:val="00C23EA9"/>
    <w:rsid w:val="00C24C19"/>
    <w:rsid w:val="00C26D09"/>
    <w:rsid w:val="00C2712B"/>
    <w:rsid w:val="00C2754F"/>
    <w:rsid w:val="00C27966"/>
    <w:rsid w:val="00C3072F"/>
    <w:rsid w:val="00C30FB4"/>
    <w:rsid w:val="00C3175D"/>
    <w:rsid w:val="00C317D1"/>
    <w:rsid w:val="00C336AE"/>
    <w:rsid w:val="00C338E1"/>
    <w:rsid w:val="00C33AEC"/>
    <w:rsid w:val="00C33ED0"/>
    <w:rsid w:val="00C340DC"/>
    <w:rsid w:val="00C34AAB"/>
    <w:rsid w:val="00C34E50"/>
    <w:rsid w:val="00C36FD3"/>
    <w:rsid w:val="00C3721F"/>
    <w:rsid w:val="00C37A16"/>
    <w:rsid w:val="00C418EC"/>
    <w:rsid w:val="00C42B7D"/>
    <w:rsid w:val="00C432E1"/>
    <w:rsid w:val="00C44706"/>
    <w:rsid w:val="00C468D8"/>
    <w:rsid w:val="00C46B74"/>
    <w:rsid w:val="00C4703A"/>
    <w:rsid w:val="00C47AFF"/>
    <w:rsid w:val="00C47BE8"/>
    <w:rsid w:val="00C5021F"/>
    <w:rsid w:val="00C503B5"/>
    <w:rsid w:val="00C5058D"/>
    <w:rsid w:val="00C50DC0"/>
    <w:rsid w:val="00C51918"/>
    <w:rsid w:val="00C51F80"/>
    <w:rsid w:val="00C53266"/>
    <w:rsid w:val="00C54AA1"/>
    <w:rsid w:val="00C54F59"/>
    <w:rsid w:val="00C55102"/>
    <w:rsid w:val="00C5540F"/>
    <w:rsid w:val="00C55E32"/>
    <w:rsid w:val="00C565AA"/>
    <w:rsid w:val="00C567B7"/>
    <w:rsid w:val="00C56C17"/>
    <w:rsid w:val="00C56CB8"/>
    <w:rsid w:val="00C56D24"/>
    <w:rsid w:val="00C57544"/>
    <w:rsid w:val="00C577C1"/>
    <w:rsid w:val="00C57C01"/>
    <w:rsid w:val="00C60404"/>
    <w:rsid w:val="00C6088E"/>
    <w:rsid w:val="00C60A20"/>
    <w:rsid w:val="00C60B9D"/>
    <w:rsid w:val="00C60E8B"/>
    <w:rsid w:val="00C625D1"/>
    <w:rsid w:val="00C62B44"/>
    <w:rsid w:val="00C63F42"/>
    <w:rsid w:val="00C6486F"/>
    <w:rsid w:val="00C64AA6"/>
    <w:rsid w:val="00C65CE3"/>
    <w:rsid w:val="00C66375"/>
    <w:rsid w:val="00C666C1"/>
    <w:rsid w:val="00C66995"/>
    <w:rsid w:val="00C673EC"/>
    <w:rsid w:val="00C6759A"/>
    <w:rsid w:val="00C6790F"/>
    <w:rsid w:val="00C713E4"/>
    <w:rsid w:val="00C7199B"/>
    <w:rsid w:val="00C72BC9"/>
    <w:rsid w:val="00C72F5E"/>
    <w:rsid w:val="00C742A0"/>
    <w:rsid w:val="00C74B5B"/>
    <w:rsid w:val="00C7578B"/>
    <w:rsid w:val="00C757AB"/>
    <w:rsid w:val="00C76235"/>
    <w:rsid w:val="00C77963"/>
    <w:rsid w:val="00C77EA3"/>
    <w:rsid w:val="00C80091"/>
    <w:rsid w:val="00C81347"/>
    <w:rsid w:val="00C81495"/>
    <w:rsid w:val="00C8157C"/>
    <w:rsid w:val="00C850CA"/>
    <w:rsid w:val="00C85385"/>
    <w:rsid w:val="00C86016"/>
    <w:rsid w:val="00C86091"/>
    <w:rsid w:val="00C866E9"/>
    <w:rsid w:val="00C873A1"/>
    <w:rsid w:val="00C876B3"/>
    <w:rsid w:val="00C90208"/>
    <w:rsid w:val="00C9042D"/>
    <w:rsid w:val="00C91C83"/>
    <w:rsid w:val="00C91CB4"/>
    <w:rsid w:val="00C924D6"/>
    <w:rsid w:val="00C93E88"/>
    <w:rsid w:val="00C941EF"/>
    <w:rsid w:val="00C94465"/>
    <w:rsid w:val="00C94EDB"/>
    <w:rsid w:val="00C95493"/>
    <w:rsid w:val="00C955BF"/>
    <w:rsid w:val="00C95F95"/>
    <w:rsid w:val="00C96471"/>
    <w:rsid w:val="00C96714"/>
    <w:rsid w:val="00C9681C"/>
    <w:rsid w:val="00C96BC5"/>
    <w:rsid w:val="00C972AF"/>
    <w:rsid w:val="00C97441"/>
    <w:rsid w:val="00C97B8A"/>
    <w:rsid w:val="00CA075D"/>
    <w:rsid w:val="00CA1066"/>
    <w:rsid w:val="00CA1E0C"/>
    <w:rsid w:val="00CA1E33"/>
    <w:rsid w:val="00CA1EE6"/>
    <w:rsid w:val="00CA2059"/>
    <w:rsid w:val="00CA2C7B"/>
    <w:rsid w:val="00CA4188"/>
    <w:rsid w:val="00CA45E6"/>
    <w:rsid w:val="00CA4E08"/>
    <w:rsid w:val="00CA551F"/>
    <w:rsid w:val="00CA56AF"/>
    <w:rsid w:val="00CA5BDE"/>
    <w:rsid w:val="00CA6BD6"/>
    <w:rsid w:val="00CA7957"/>
    <w:rsid w:val="00CB066D"/>
    <w:rsid w:val="00CB25D9"/>
    <w:rsid w:val="00CB276D"/>
    <w:rsid w:val="00CB4242"/>
    <w:rsid w:val="00CB492D"/>
    <w:rsid w:val="00CB4D0C"/>
    <w:rsid w:val="00CB5AFA"/>
    <w:rsid w:val="00CB65FF"/>
    <w:rsid w:val="00CB7301"/>
    <w:rsid w:val="00CB7D01"/>
    <w:rsid w:val="00CC0B49"/>
    <w:rsid w:val="00CC16A8"/>
    <w:rsid w:val="00CC1AE6"/>
    <w:rsid w:val="00CC1BC3"/>
    <w:rsid w:val="00CC21AD"/>
    <w:rsid w:val="00CC2E69"/>
    <w:rsid w:val="00CC30F7"/>
    <w:rsid w:val="00CC3B3F"/>
    <w:rsid w:val="00CC3C7F"/>
    <w:rsid w:val="00CC3F34"/>
    <w:rsid w:val="00CC4309"/>
    <w:rsid w:val="00CC5AAE"/>
    <w:rsid w:val="00CC5E5E"/>
    <w:rsid w:val="00CC5F7B"/>
    <w:rsid w:val="00CC6ED5"/>
    <w:rsid w:val="00CC7CC3"/>
    <w:rsid w:val="00CC7DE7"/>
    <w:rsid w:val="00CD000C"/>
    <w:rsid w:val="00CD0670"/>
    <w:rsid w:val="00CD1387"/>
    <w:rsid w:val="00CD225F"/>
    <w:rsid w:val="00CD26BE"/>
    <w:rsid w:val="00CD2DDA"/>
    <w:rsid w:val="00CD2F92"/>
    <w:rsid w:val="00CD3B95"/>
    <w:rsid w:val="00CD3CE8"/>
    <w:rsid w:val="00CD3F4A"/>
    <w:rsid w:val="00CD45C0"/>
    <w:rsid w:val="00CD475A"/>
    <w:rsid w:val="00CD4B20"/>
    <w:rsid w:val="00CD4E51"/>
    <w:rsid w:val="00CD5C2A"/>
    <w:rsid w:val="00CD610A"/>
    <w:rsid w:val="00CD690A"/>
    <w:rsid w:val="00CD7352"/>
    <w:rsid w:val="00CE107F"/>
    <w:rsid w:val="00CE177F"/>
    <w:rsid w:val="00CE1FA6"/>
    <w:rsid w:val="00CE3369"/>
    <w:rsid w:val="00CE4008"/>
    <w:rsid w:val="00CE4413"/>
    <w:rsid w:val="00CE4E4C"/>
    <w:rsid w:val="00CE5CFC"/>
    <w:rsid w:val="00CE5E64"/>
    <w:rsid w:val="00CE5F90"/>
    <w:rsid w:val="00CE6D73"/>
    <w:rsid w:val="00CE6F5A"/>
    <w:rsid w:val="00CE7297"/>
    <w:rsid w:val="00CE7308"/>
    <w:rsid w:val="00CF041B"/>
    <w:rsid w:val="00CF05C6"/>
    <w:rsid w:val="00CF08FE"/>
    <w:rsid w:val="00CF0E0F"/>
    <w:rsid w:val="00CF110E"/>
    <w:rsid w:val="00CF11CA"/>
    <w:rsid w:val="00CF1917"/>
    <w:rsid w:val="00CF19D3"/>
    <w:rsid w:val="00CF358D"/>
    <w:rsid w:val="00CF3949"/>
    <w:rsid w:val="00CF4404"/>
    <w:rsid w:val="00CF44D2"/>
    <w:rsid w:val="00CF46EA"/>
    <w:rsid w:val="00CF53EF"/>
    <w:rsid w:val="00CF55BC"/>
    <w:rsid w:val="00CF5959"/>
    <w:rsid w:val="00CF59C4"/>
    <w:rsid w:val="00CF617F"/>
    <w:rsid w:val="00CF6247"/>
    <w:rsid w:val="00CF647B"/>
    <w:rsid w:val="00CF64C7"/>
    <w:rsid w:val="00CF7989"/>
    <w:rsid w:val="00CF7A44"/>
    <w:rsid w:val="00D003AE"/>
    <w:rsid w:val="00D0075E"/>
    <w:rsid w:val="00D01590"/>
    <w:rsid w:val="00D015DF"/>
    <w:rsid w:val="00D02AB7"/>
    <w:rsid w:val="00D02DE8"/>
    <w:rsid w:val="00D02F0F"/>
    <w:rsid w:val="00D043B0"/>
    <w:rsid w:val="00D04DEE"/>
    <w:rsid w:val="00D0562E"/>
    <w:rsid w:val="00D05D89"/>
    <w:rsid w:val="00D067DF"/>
    <w:rsid w:val="00D06E7F"/>
    <w:rsid w:val="00D071F7"/>
    <w:rsid w:val="00D0774E"/>
    <w:rsid w:val="00D07C71"/>
    <w:rsid w:val="00D10440"/>
    <w:rsid w:val="00D11F1F"/>
    <w:rsid w:val="00D12B88"/>
    <w:rsid w:val="00D135B9"/>
    <w:rsid w:val="00D135E1"/>
    <w:rsid w:val="00D14EED"/>
    <w:rsid w:val="00D15799"/>
    <w:rsid w:val="00D15A6C"/>
    <w:rsid w:val="00D15F78"/>
    <w:rsid w:val="00D1640D"/>
    <w:rsid w:val="00D1652D"/>
    <w:rsid w:val="00D1666B"/>
    <w:rsid w:val="00D16677"/>
    <w:rsid w:val="00D16FC1"/>
    <w:rsid w:val="00D17382"/>
    <w:rsid w:val="00D17A76"/>
    <w:rsid w:val="00D21B20"/>
    <w:rsid w:val="00D21C95"/>
    <w:rsid w:val="00D223DE"/>
    <w:rsid w:val="00D2299D"/>
    <w:rsid w:val="00D22C19"/>
    <w:rsid w:val="00D23487"/>
    <w:rsid w:val="00D2375B"/>
    <w:rsid w:val="00D2380C"/>
    <w:rsid w:val="00D238C9"/>
    <w:rsid w:val="00D2464A"/>
    <w:rsid w:val="00D25799"/>
    <w:rsid w:val="00D2599D"/>
    <w:rsid w:val="00D26744"/>
    <w:rsid w:val="00D26DBC"/>
    <w:rsid w:val="00D2739A"/>
    <w:rsid w:val="00D273D7"/>
    <w:rsid w:val="00D2775A"/>
    <w:rsid w:val="00D30870"/>
    <w:rsid w:val="00D32612"/>
    <w:rsid w:val="00D3274B"/>
    <w:rsid w:val="00D32CE4"/>
    <w:rsid w:val="00D33101"/>
    <w:rsid w:val="00D33274"/>
    <w:rsid w:val="00D333DF"/>
    <w:rsid w:val="00D335F2"/>
    <w:rsid w:val="00D33EF8"/>
    <w:rsid w:val="00D34D7D"/>
    <w:rsid w:val="00D354FE"/>
    <w:rsid w:val="00D355D0"/>
    <w:rsid w:val="00D36857"/>
    <w:rsid w:val="00D36B84"/>
    <w:rsid w:val="00D36D50"/>
    <w:rsid w:val="00D36E3C"/>
    <w:rsid w:val="00D37869"/>
    <w:rsid w:val="00D40158"/>
    <w:rsid w:val="00D4073C"/>
    <w:rsid w:val="00D40819"/>
    <w:rsid w:val="00D414DD"/>
    <w:rsid w:val="00D415BA"/>
    <w:rsid w:val="00D4180C"/>
    <w:rsid w:val="00D42A43"/>
    <w:rsid w:val="00D42D29"/>
    <w:rsid w:val="00D432FB"/>
    <w:rsid w:val="00D43341"/>
    <w:rsid w:val="00D43D23"/>
    <w:rsid w:val="00D44E5D"/>
    <w:rsid w:val="00D4582B"/>
    <w:rsid w:val="00D4744F"/>
    <w:rsid w:val="00D47B11"/>
    <w:rsid w:val="00D501B3"/>
    <w:rsid w:val="00D522F0"/>
    <w:rsid w:val="00D52665"/>
    <w:rsid w:val="00D5323F"/>
    <w:rsid w:val="00D53557"/>
    <w:rsid w:val="00D538C6"/>
    <w:rsid w:val="00D55A91"/>
    <w:rsid w:val="00D5744C"/>
    <w:rsid w:val="00D57ACA"/>
    <w:rsid w:val="00D602B1"/>
    <w:rsid w:val="00D6098B"/>
    <w:rsid w:val="00D60999"/>
    <w:rsid w:val="00D6263F"/>
    <w:rsid w:val="00D62671"/>
    <w:rsid w:val="00D63069"/>
    <w:rsid w:val="00D634E1"/>
    <w:rsid w:val="00D6364D"/>
    <w:rsid w:val="00D63F0C"/>
    <w:rsid w:val="00D6482D"/>
    <w:rsid w:val="00D64974"/>
    <w:rsid w:val="00D65822"/>
    <w:rsid w:val="00D65E62"/>
    <w:rsid w:val="00D66379"/>
    <w:rsid w:val="00D666A4"/>
    <w:rsid w:val="00D66A60"/>
    <w:rsid w:val="00D66EF9"/>
    <w:rsid w:val="00D676E3"/>
    <w:rsid w:val="00D676EA"/>
    <w:rsid w:val="00D67A6A"/>
    <w:rsid w:val="00D67B40"/>
    <w:rsid w:val="00D7080E"/>
    <w:rsid w:val="00D7093F"/>
    <w:rsid w:val="00D70D45"/>
    <w:rsid w:val="00D7208A"/>
    <w:rsid w:val="00D73966"/>
    <w:rsid w:val="00D73AE9"/>
    <w:rsid w:val="00D73FE9"/>
    <w:rsid w:val="00D75E9D"/>
    <w:rsid w:val="00D765A7"/>
    <w:rsid w:val="00D76F5F"/>
    <w:rsid w:val="00D77715"/>
    <w:rsid w:val="00D77A70"/>
    <w:rsid w:val="00D8040C"/>
    <w:rsid w:val="00D8134E"/>
    <w:rsid w:val="00D81ABC"/>
    <w:rsid w:val="00D81F29"/>
    <w:rsid w:val="00D82E46"/>
    <w:rsid w:val="00D8314B"/>
    <w:rsid w:val="00D85165"/>
    <w:rsid w:val="00D85C93"/>
    <w:rsid w:val="00D8613F"/>
    <w:rsid w:val="00D863B2"/>
    <w:rsid w:val="00D86C60"/>
    <w:rsid w:val="00D92554"/>
    <w:rsid w:val="00D92C59"/>
    <w:rsid w:val="00D93945"/>
    <w:rsid w:val="00D93C0A"/>
    <w:rsid w:val="00D943E2"/>
    <w:rsid w:val="00D95D35"/>
    <w:rsid w:val="00D95D68"/>
    <w:rsid w:val="00D96863"/>
    <w:rsid w:val="00D976BD"/>
    <w:rsid w:val="00D977AB"/>
    <w:rsid w:val="00D97B27"/>
    <w:rsid w:val="00DA014B"/>
    <w:rsid w:val="00DA0C6A"/>
    <w:rsid w:val="00DA208F"/>
    <w:rsid w:val="00DA2B04"/>
    <w:rsid w:val="00DA2F15"/>
    <w:rsid w:val="00DA2FC3"/>
    <w:rsid w:val="00DA33D7"/>
    <w:rsid w:val="00DA4B15"/>
    <w:rsid w:val="00DA4ECE"/>
    <w:rsid w:val="00DA5C84"/>
    <w:rsid w:val="00DA633C"/>
    <w:rsid w:val="00DA7AFA"/>
    <w:rsid w:val="00DB00FD"/>
    <w:rsid w:val="00DB06BE"/>
    <w:rsid w:val="00DB1E31"/>
    <w:rsid w:val="00DB28FF"/>
    <w:rsid w:val="00DB2B91"/>
    <w:rsid w:val="00DB2E3A"/>
    <w:rsid w:val="00DB35F5"/>
    <w:rsid w:val="00DB3CE2"/>
    <w:rsid w:val="00DB3DD1"/>
    <w:rsid w:val="00DB41C9"/>
    <w:rsid w:val="00DB4439"/>
    <w:rsid w:val="00DB530E"/>
    <w:rsid w:val="00DB57D2"/>
    <w:rsid w:val="00DB5C73"/>
    <w:rsid w:val="00DB61C5"/>
    <w:rsid w:val="00DB6782"/>
    <w:rsid w:val="00DB6B42"/>
    <w:rsid w:val="00DB6BAA"/>
    <w:rsid w:val="00DB6C68"/>
    <w:rsid w:val="00DB729A"/>
    <w:rsid w:val="00DB73AB"/>
    <w:rsid w:val="00DC0006"/>
    <w:rsid w:val="00DC0076"/>
    <w:rsid w:val="00DC075F"/>
    <w:rsid w:val="00DC07A8"/>
    <w:rsid w:val="00DC0D47"/>
    <w:rsid w:val="00DC207D"/>
    <w:rsid w:val="00DC4629"/>
    <w:rsid w:val="00DC4B44"/>
    <w:rsid w:val="00DC5316"/>
    <w:rsid w:val="00DC57A0"/>
    <w:rsid w:val="00DC5E9B"/>
    <w:rsid w:val="00DC6230"/>
    <w:rsid w:val="00DC6269"/>
    <w:rsid w:val="00DC790F"/>
    <w:rsid w:val="00DD1DF8"/>
    <w:rsid w:val="00DD2262"/>
    <w:rsid w:val="00DD2499"/>
    <w:rsid w:val="00DD25D0"/>
    <w:rsid w:val="00DD269C"/>
    <w:rsid w:val="00DD3673"/>
    <w:rsid w:val="00DD3DB4"/>
    <w:rsid w:val="00DD4BCA"/>
    <w:rsid w:val="00DD4FBF"/>
    <w:rsid w:val="00DD65C1"/>
    <w:rsid w:val="00DD69E8"/>
    <w:rsid w:val="00DD6E00"/>
    <w:rsid w:val="00DE0004"/>
    <w:rsid w:val="00DE0F03"/>
    <w:rsid w:val="00DE1294"/>
    <w:rsid w:val="00DE1C11"/>
    <w:rsid w:val="00DE1DDC"/>
    <w:rsid w:val="00DE31A0"/>
    <w:rsid w:val="00DE3EFD"/>
    <w:rsid w:val="00DE6264"/>
    <w:rsid w:val="00DE777C"/>
    <w:rsid w:val="00DE7B62"/>
    <w:rsid w:val="00DF03FE"/>
    <w:rsid w:val="00DF04D6"/>
    <w:rsid w:val="00DF1028"/>
    <w:rsid w:val="00DF2188"/>
    <w:rsid w:val="00DF22E1"/>
    <w:rsid w:val="00DF23EE"/>
    <w:rsid w:val="00DF3293"/>
    <w:rsid w:val="00DF353D"/>
    <w:rsid w:val="00DF4BA3"/>
    <w:rsid w:val="00DF4F2E"/>
    <w:rsid w:val="00DF5C65"/>
    <w:rsid w:val="00DF6315"/>
    <w:rsid w:val="00DF6816"/>
    <w:rsid w:val="00DF7963"/>
    <w:rsid w:val="00E01A31"/>
    <w:rsid w:val="00E01DDB"/>
    <w:rsid w:val="00E02A9E"/>
    <w:rsid w:val="00E03486"/>
    <w:rsid w:val="00E035CB"/>
    <w:rsid w:val="00E036EA"/>
    <w:rsid w:val="00E04A35"/>
    <w:rsid w:val="00E04A8A"/>
    <w:rsid w:val="00E04F4B"/>
    <w:rsid w:val="00E04F90"/>
    <w:rsid w:val="00E062DF"/>
    <w:rsid w:val="00E06EDB"/>
    <w:rsid w:val="00E07054"/>
    <w:rsid w:val="00E0712A"/>
    <w:rsid w:val="00E0745A"/>
    <w:rsid w:val="00E10532"/>
    <w:rsid w:val="00E11ABC"/>
    <w:rsid w:val="00E1209D"/>
    <w:rsid w:val="00E122DD"/>
    <w:rsid w:val="00E124D1"/>
    <w:rsid w:val="00E12FDE"/>
    <w:rsid w:val="00E13694"/>
    <w:rsid w:val="00E14275"/>
    <w:rsid w:val="00E14C0E"/>
    <w:rsid w:val="00E15365"/>
    <w:rsid w:val="00E1577C"/>
    <w:rsid w:val="00E15879"/>
    <w:rsid w:val="00E15E65"/>
    <w:rsid w:val="00E16CA5"/>
    <w:rsid w:val="00E206D0"/>
    <w:rsid w:val="00E217FF"/>
    <w:rsid w:val="00E226D5"/>
    <w:rsid w:val="00E227D9"/>
    <w:rsid w:val="00E22E1D"/>
    <w:rsid w:val="00E22F29"/>
    <w:rsid w:val="00E233CD"/>
    <w:rsid w:val="00E2398C"/>
    <w:rsid w:val="00E23BCF"/>
    <w:rsid w:val="00E244C3"/>
    <w:rsid w:val="00E24BAF"/>
    <w:rsid w:val="00E24CB6"/>
    <w:rsid w:val="00E24F14"/>
    <w:rsid w:val="00E25554"/>
    <w:rsid w:val="00E25E71"/>
    <w:rsid w:val="00E2618D"/>
    <w:rsid w:val="00E26321"/>
    <w:rsid w:val="00E2639F"/>
    <w:rsid w:val="00E2644E"/>
    <w:rsid w:val="00E279C9"/>
    <w:rsid w:val="00E30267"/>
    <w:rsid w:val="00E30598"/>
    <w:rsid w:val="00E30897"/>
    <w:rsid w:val="00E311B8"/>
    <w:rsid w:val="00E31EB3"/>
    <w:rsid w:val="00E33D70"/>
    <w:rsid w:val="00E34420"/>
    <w:rsid w:val="00E35832"/>
    <w:rsid w:val="00E359AC"/>
    <w:rsid w:val="00E4029A"/>
    <w:rsid w:val="00E42575"/>
    <w:rsid w:val="00E42836"/>
    <w:rsid w:val="00E42A0F"/>
    <w:rsid w:val="00E43974"/>
    <w:rsid w:val="00E43AE2"/>
    <w:rsid w:val="00E43BF7"/>
    <w:rsid w:val="00E43C7A"/>
    <w:rsid w:val="00E44A35"/>
    <w:rsid w:val="00E44B73"/>
    <w:rsid w:val="00E45EF6"/>
    <w:rsid w:val="00E45F33"/>
    <w:rsid w:val="00E4622E"/>
    <w:rsid w:val="00E465E1"/>
    <w:rsid w:val="00E4681B"/>
    <w:rsid w:val="00E46B99"/>
    <w:rsid w:val="00E4761E"/>
    <w:rsid w:val="00E478DD"/>
    <w:rsid w:val="00E5075E"/>
    <w:rsid w:val="00E50814"/>
    <w:rsid w:val="00E50A14"/>
    <w:rsid w:val="00E51CA6"/>
    <w:rsid w:val="00E5247F"/>
    <w:rsid w:val="00E53214"/>
    <w:rsid w:val="00E53BDD"/>
    <w:rsid w:val="00E54CCA"/>
    <w:rsid w:val="00E55DB6"/>
    <w:rsid w:val="00E55ECA"/>
    <w:rsid w:val="00E564CB"/>
    <w:rsid w:val="00E56514"/>
    <w:rsid w:val="00E56EF0"/>
    <w:rsid w:val="00E57DBE"/>
    <w:rsid w:val="00E57FB4"/>
    <w:rsid w:val="00E605CA"/>
    <w:rsid w:val="00E6073C"/>
    <w:rsid w:val="00E6074C"/>
    <w:rsid w:val="00E61105"/>
    <w:rsid w:val="00E63702"/>
    <w:rsid w:val="00E6373C"/>
    <w:rsid w:val="00E63F46"/>
    <w:rsid w:val="00E64A57"/>
    <w:rsid w:val="00E66EF1"/>
    <w:rsid w:val="00E67041"/>
    <w:rsid w:val="00E670CA"/>
    <w:rsid w:val="00E709AA"/>
    <w:rsid w:val="00E717F6"/>
    <w:rsid w:val="00E71B04"/>
    <w:rsid w:val="00E71E5D"/>
    <w:rsid w:val="00E71E73"/>
    <w:rsid w:val="00E7250D"/>
    <w:rsid w:val="00E72649"/>
    <w:rsid w:val="00E72B61"/>
    <w:rsid w:val="00E72F68"/>
    <w:rsid w:val="00E73193"/>
    <w:rsid w:val="00E743A3"/>
    <w:rsid w:val="00E752E2"/>
    <w:rsid w:val="00E75595"/>
    <w:rsid w:val="00E758FD"/>
    <w:rsid w:val="00E7695A"/>
    <w:rsid w:val="00E77360"/>
    <w:rsid w:val="00E77804"/>
    <w:rsid w:val="00E80648"/>
    <w:rsid w:val="00E8073A"/>
    <w:rsid w:val="00E80937"/>
    <w:rsid w:val="00E80BBF"/>
    <w:rsid w:val="00E80E95"/>
    <w:rsid w:val="00E81A85"/>
    <w:rsid w:val="00E81FC1"/>
    <w:rsid w:val="00E8390D"/>
    <w:rsid w:val="00E84785"/>
    <w:rsid w:val="00E847B2"/>
    <w:rsid w:val="00E85093"/>
    <w:rsid w:val="00E85B0F"/>
    <w:rsid w:val="00E85F57"/>
    <w:rsid w:val="00E866A8"/>
    <w:rsid w:val="00E873C6"/>
    <w:rsid w:val="00E877F3"/>
    <w:rsid w:val="00E87F09"/>
    <w:rsid w:val="00E90C28"/>
    <w:rsid w:val="00E92150"/>
    <w:rsid w:val="00E92478"/>
    <w:rsid w:val="00E92697"/>
    <w:rsid w:val="00E92951"/>
    <w:rsid w:val="00E92CCC"/>
    <w:rsid w:val="00E92FCB"/>
    <w:rsid w:val="00E9367C"/>
    <w:rsid w:val="00E93878"/>
    <w:rsid w:val="00E94489"/>
    <w:rsid w:val="00E947A1"/>
    <w:rsid w:val="00E959E7"/>
    <w:rsid w:val="00E96DF2"/>
    <w:rsid w:val="00E970C9"/>
    <w:rsid w:val="00E971A6"/>
    <w:rsid w:val="00E97558"/>
    <w:rsid w:val="00E97F5B"/>
    <w:rsid w:val="00EA01F1"/>
    <w:rsid w:val="00EA06E4"/>
    <w:rsid w:val="00EA0C38"/>
    <w:rsid w:val="00EA182A"/>
    <w:rsid w:val="00EA2BC3"/>
    <w:rsid w:val="00EA303C"/>
    <w:rsid w:val="00EA343F"/>
    <w:rsid w:val="00EA3881"/>
    <w:rsid w:val="00EA4265"/>
    <w:rsid w:val="00EA4857"/>
    <w:rsid w:val="00EA531F"/>
    <w:rsid w:val="00EA5537"/>
    <w:rsid w:val="00EA55DC"/>
    <w:rsid w:val="00EA63EC"/>
    <w:rsid w:val="00EA7B4A"/>
    <w:rsid w:val="00EA7E8C"/>
    <w:rsid w:val="00EB0691"/>
    <w:rsid w:val="00EB0760"/>
    <w:rsid w:val="00EB0BEF"/>
    <w:rsid w:val="00EB0C71"/>
    <w:rsid w:val="00EB0D9F"/>
    <w:rsid w:val="00EB1B91"/>
    <w:rsid w:val="00EB2DAC"/>
    <w:rsid w:val="00EB3621"/>
    <w:rsid w:val="00EB384C"/>
    <w:rsid w:val="00EB43BB"/>
    <w:rsid w:val="00EB505F"/>
    <w:rsid w:val="00EB5E93"/>
    <w:rsid w:val="00EB5F7E"/>
    <w:rsid w:val="00EB64A8"/>
    <w:rsid w:val="00EB6650"/>
    <w:rsid w:val="00EB7554"/>
    <w:rsid w:val="00EB784F"/>
    <w:rsid w:val="00EC0367"/>
    <w:rsid w:val="00EC03E3"/>
    <w:rsid w:val="00EC04D6"/>
    <w:rsid w:val="00EC136B"/>
    <w:rsid w:val="00EC20C5"/>
    <w:rsid w:val="00EC2618"/>
    <w:rsid w:val="00EC2992"/>
    <w:rsid w:val="00EC29A5"/>
    <w:rsid w:val="00EC35D3"/>
    <w:rsid w:val="00EC3DAA"/>
    <w:rsid w:val="00EC47F0"/>
    <w:rsid w:val="00EC50E5"/>
    <w:rsid w:val="00EC5BCD"/>
    <w:rsid w:val="00EC64D1"/>
    <w:rsid w:val="00ED0554"/>
    <w:rsid w:val="00ED0581"/>
    <w:rsid w:val="00ED0D0C"/>
    <w:rsid w:val="00ED0D9D"/>
    <w:rsid w:val="00ED0E5A"/>
    <w:rsid w:val="00ED2211"/>
    <w:rsid w:val="00ED2820"/>
    <w:rsid w:val="00ED39E3"/>
    <w:rsid w:val="00ED4AC0"/>
    <w:rsid w:val="00ED59A8"/>
    <w:rsid w:val="00ED609E"/>
    <w:rsid w:val="00ED6450"/>
    <w:rsid w:val="00ED6577"/>
    <w:rsid w:val="00ED7264"/>
    <w:rsid w:val="00ED73B0"/>
    <w:rsid w:val="00ED76F1"/>
    <w:rsid w:val="00EE022B"/>
    <w:rsid w:val="00EE0B34"/>
    <w:rsid w:val="00EE240A"/>
    <w:rsid w:val="00EE25C1"/>
    <w:rsid w:val="00EE25CD"/>
    <w:rsid w:val="00EE2792"/>
    <w:rsid w:val="00EE335C"/>
    <w:rsid w:val="00EE3A02"/>
    <w:rsid w:val="00EE3D32"/>
    <w:rsid w:val="00EE4085"/>
    <w:rsid w:val="00EE4157"/>
    <w:rsid w:val="00EE4847"/>
    <w:rsid w:val="00EE5E9D"/>
    <w:rsid w:val="00EE6422"/>
    <w:rsid w:val="00EE64D1"/>
    <w:rsid w:val="00EE693E"/>
    <w:rsid w:val="00EE6B31"/>
    <w:rsid w:val="00EE6BFE"/>
    <w:rsid w:val="00EE7D66"/>
    <w:rsid w:val="00EF00AB"/>
    <w:rsid w:val="00EF15DE"/>
    <w:rsid w:val="00EF1CC8"/>
    <w:rsid w:val="00EF1ECC"/>
    <w:rsid w:val="00EF2529"/>
    <w:rsid w:val="00EF2F40"/>
    <w:rsid w:val="00EF35D2"/>
    <w:rsid w:val="00EF46E4"/>
    <w:rsid w:val="00EF4860"/>
    <w:rsid w:val="00EF4871"/>
    <w:rsid w:val="00EF48A6"/>
    <w:rsid w:val="00EF57C1"/>
    <w:rsid w:val="00EF58AD"/>
    <w:rsid w:val="00EF5B60"/>
    <w:rsid w:val="00EF5D80"/>
    <w:rsid w:val="00EF5D89"/>
    <w:rsid w:val="00EF5FED"/>
    <w:rsid w:val="00EF7ACC"/>
    <w:rsid w:val="00F005CD"/>
    <w:rsid w:val="00F01177"/>
    <w:rsid w:val="00F02915"/>
    <w:rsid w:val="00F02AE8"/>
    <w:rsid w:val="00F031D8"/>
    <w:rsid w:val="00F03E2D"/>
    <w:rsid w:val="00F062DB"/>
    <w:rsid w:val="00F065CF"/>
    <w:rsid w:val="00F069C7"/>
    <w:rsid w:val="00F07473"/>
    <w:rsid w:val="00F13007"/>
    <w:rsid w:val="00F136BF"/>
    <w:rsid w:val="00F141B5"/>
    <w:rsid w:val="00F141E6"/>
    <w:rsid w:val="00F14C28"/>
    <w:rsid w:val="00F14DC2"/>
    <w:rsid w:val="00F150CB"/>
    <w:rsid w:val="00F1535E"/>
    <w:rsid w:val="00F1570D"/>
    <w:rsid w:val="00F15946"/>
    <w:rsid w:val="00F1623F"/>
    <w:rsid w:val="00F168AB"/>
    <w:rsid w:val="00F17A88"/>
    <w:rsid w:val="00F20A2C"/>
    <w:rsid w:val="00F22581"/>
    <w:rsid w:val="00F2259E"/>
    <w:rsid w:val="00F23128"/>
    <w:rsid w:val="00F23488"/>
    <w:rsid w:val="00F23CC9"/>
    <w:rsid w:val="00F23CDC"/>
    <w:rsid w:val="00F24262"/>
    <w:rsid w:val="00F245C0"/>
    <w:rsid w:val="00F2523C"/>
    <w:rsid w:val="00F25241"/>
    <w:rsid w:val="00F25601"/>
    <w:rsid w:val="00F262E4"/>
    <w:rsid w:val="00F26DF7"/>
    <w:rsid w:val="00F3028E"/>
    <w:rsid w:val="00F32109"/>
    <w:rsid w:val="00F32529"/>
    <w:rsid w:val="00F326A6"/>
    <w:rsid w:val="00F33E51"/>
    <w:rsid w:val="00F34168"/>
    <w:rsid w:val="00F344A8"/>
    <w:rsid w:val="00F352F9"/>
    <w:rsid w:val="00F35417"/>
    <w:rsid w:val="00F370BB"/>
    <w:rsid w:val="00F40B8E"/>
    <w:rsid w:val="00F40E64"/>
    <w:rsid w:val="00F41EAD"/>
    <w:rsid w:val="00F42346"/>
    <w:rsid w:val="00F4246D"/>
    <w:rsid w:val="00F4265D"/>
    <w:rsid w:val="00F4266D"/>
    <w:rsid w:val="00F43484"/>
    <w:rsid w:val="00F43853"/>
    <w:rsid w:val="00F43975"/>
    <w:rsid w:val="00F4483B"/>
    <w:rsid w:val="00F44BAB"/>
    <w:rsid w:val="00F454DB"/>
    <w:rsid w:val="00F4714B"/>
    <w:rsid w:val="00F47384"/>
    <w:rsid w:val="00F4741A"/>
    <w:rsid w:val="00F4775C"/>
    <w:rsid w:val="00F5085E"/>
    <w:rsid w:val="00F50E58"/>
    <w:rsid w:val="00F518DC"/>
    <w:rsid w:val="00F51D2E"/>
    <w:rsid w:val="00F52AA5"/>
    <w:rsid w:val="00F52B85"/>
    <w:rsid w:val="00F52B98"/>
    <w:rsid w:val="00F53901"/>
    <w:rsid w:val="00F5482D"/>
    <w:rsid w:val="00F55747"/>
    <w:rsid w:val="00F5575A"/>
    <w:rsid w:val="00F55917"/>
    <w:rsid w:val="00F55BE7"/>
    <w:rsid w:val="00F56CE2"/>
    <w:rsid w:val="00F603D6"/>
    <w:rsid w:val="00F606E6"/>
    <w:rsid w:val="00F62316"/>
    <w:rsid w:val="00F62676"/>
    <w:rsid w:val="00F62AEC"/>
    <w:rsid w:val="00F62BCD"/>
    <w:rsid w:val="00F649B4"/>
    <w:rsid w:val="00F64F85"/>
    <w:rsid w:val="00F652AF"/>
    <w:rsid w:val="00F659DD"/>
    <w:rsid w:val="00F65D6D"/>
    <w:rsid w:val="00F66171"/>
    <w:rsid w:val="00F66441"/>
    <w:rsid w:val="00F66A3F"/>
    <w:rsid w:val="00F66FB7"/>
    <w:rsid w:val="00F672CE"/>
    <w:rsid w:val="00F7059B"/>
    <w:rsid w:val="00F70B0B"/>
    <w:rsid w:val="00F70D8F"/>
    <w:rsid w:val="00F72CE6"/>
    <w:rsid w:val="00F7470F"/>
    <w:rsid w:val="00F749CB"/>
    <w:rsid w:val="00F74B1B"/>
    <w:rsid w:val="00F753F5"/>
    <w:rsid w:val="00F75441"/>
    <w:rsid w:val="00F75798"/>
    <w:rsid w:val="00F7604A"/>
    <w:rsid w:val="00F768C7"/>
    <w:rsid w:val="00F76C59"/>
    <w:rsid w:val="00F76EBE"/>
    <w:rsid w:val="00F772DE"/>
    <w:rsid w:val="00F77A23"/>
    <w:rsid w:val="00F80047"/>
    <w:rsid w:val="00F8029A"/>
    <w:rsid w:val="00F80C48"/>
    <w:rsid w:val="00F819F2"/>
    <w:rsid w:val="00F81BA8"/>
    <w:rsid w:val="00F8218D"/>
    <w:rsid w:val="00F833A8"/>
    <w:rsid w:val="00F84311"/>
    <w:rsid w:val="00F84468"/>
    <w:rsid w:val="00F844DF"/>
    <w:rsid w:val="00F847E0"/>
    <w:rsid w:val="00F84EFD"/>
    <w:rsid w:val="00F85AA2"/>
    <w:rsid w:val="00F85D16"/>
    <w:rsid w:val="00F86041"/>
    <w:rsid w:val="00F8623F"/>
    <w:rsid w:val="00F868A5"/>
    <w:rsid w:val="00F87164"/>
    <w:rsid w:val="00F87544"/>
    <w:rsid w:val="00F876D7"/>
    <w:rsid w:val="00F87D16"/>
    <w:rsid w:val="00F90C17"/>
    <w:rsid w:val="00F91010"/>
    <w:rsid w:val="00F91152"/>
    <w:rsid w:val="00F91666"/>
    <w:rsid w:val="00F91A1A"/>
    <w:rsid w:val="00F91A44"/>
    <w:rsid w:val="00F91BA4"/>
    <w:rsid w:val="00F9235C"/>
    <w:rsid w:val="00F924FF"/>
    <w:rsid w:val="00F92FE4"/>
    <w:rsid w:val="00F935A4"/>
    <w:rsid w:val="00F937DB"/>
    <w:rsid w:val="00F9436C"/>
    <w:rsid w:val="00F94958"/>
    <w:rsid w:val="00F94C98"/>
    <w:rsid w:val="00F94D67"/>
    <w:rsid w:val="00F950A4"/>
    <w:rsid w:val="00F954DF"/>
    <w:rsid w:val="00F9569E"/>
    <w:rsid w:val="00F95949"/>
    <w:rsid w:val="00F97F03"/>
    <w:rsid w:val="00FA0641"/>
    <w:rsid w:val="00FA075E"/>
    <w:rsid w:val="00FA07A6"/>
    <w:rsid w:val="00FA0959"/>
    <w:rsid w:val="00FA0D0F"/>
    <w:rsid w:val="00FA0F44"/>
    <w:rsid w:val="00FA2789"/>
    <w:rsid w:val="00FA2B93"/>
    <w:rsid w:val="00FA3335"/>
    <w:rsid w:val="00FA3458"/>
    <w:rsid w:val="00FA3CAB"/>
    <w:rsid w:val="00FA4852"/>
    <w:rsid w:val="00FA4DC2"/>
    <w:rsid w:val="00FA538B"/>
    <w:rsid w:val="00FA542D"/>
    <w:rsid w:val="00FA5940"/>
    <w:rsid w:val="00FA59EB"/>
    <w:rsid w:val="00FA713E"/>
    <w:rsid w:val="00FA731E"/>
    <w:rsid w:val="00FB1CCB"/>
    <w:rsid w:val="00FB1F93"/>
    <w:rsid w:val="00FB3860"/>
    <w:rsid w:val="00FB393B"/>
    <w:rsid w:val="00FB4765"/>
    <w:rsid w:val="00FB5E88"/>
    <w:rsid w:val="00FB7277"/>
    <w:rsid w:val="00FB7AC9"/>
    <w:rsid w:val="00FB7F94"/>
    <w:rsid w:val="00FC09BD"/>
    <w:rsid w:val="00FC0B2D"/>
    <w:rsid w:val="00FC1075"/>
    <w:rsid w:val="00FC208F"/>
    <w:rsid w:val="00FC3B20"/>
    <w:rsid w:val="00FC415D"/>
    <w:rsid w:val="00FC4256"/>
    <w:rsid w:val="00FC4540"/>
    <w:rsid w:val="00FC45D3"/>
    <w:rsid w:val="00FC4EEF"/>
    <w:rsid w:val="00FC5718"/>
    <w:rsid w:val="00FC5A9A"/>
    <w:rsid w:val="00FC5F4C"/>
    <w:rsid w:val="00FC6DF8"/>
    <w:rsid w:val="00FC6ECF"/>
    <w:rsid w:val="00FC7530"/>
    <w:rsid w:val="00FC77F1"/>
    <w:rsid w:val="00FC79B7"/>
    <w:rsid w:val="00FD159B"/>
    <w:rsid w:val="00FD1F50"/>
    <w:rsid w:val="00FD2636"/>
    <w:rsid w:val="00FD2724"/>
    <w:rsid w:val="00FD2782"/>
    <w:rsid w:val="00FD28B1"/>
    <w:rsid w:val="00FD6232"/>
    <w:rsid w:val="00FD76C0"/>
    <w:rsid w:val="00FE133C"/>
    <w:rsid w:val="00FE2396"/>
    <w:rsid w:val="00FE264D"/>
    <w:rsid w:val="00FE2FC3"/>
    <w:rsid w:val="00FE34C3"/>
    <w:rsid w:val="00FE388E"/>
    <w:rsid w:val="00FE525D"/>
    <w:rsid w:val="00FE60F6"/>
    <w:rsid w:val="00FE6F45"/>
    <w:rsid w:val="00FE7746"/>
    <w:rsid w:val="00FF02A0"/>
    <w:rsid w:val="00FF0429"/>
    <w:rsid w:val="00FF16E2"/>
    <w:rsid w:val="00FF1C68"/>
    <w:rsid w:val="00FF2479"/>
    <w:rsid w:val="00FF292B"/>
    <w:rsid w:val="00FF2BA3"/>
    <w:rsid w:val="00FF4256"/>
    <w:rsid w:val="00FF46C8"/>
    <w:rsid w:val="00FF49E8"/>
    <w:rsid w:val="00FF4C09"/>
    <w:rsid w:val="00FF4FC3"/>
    <w:rsid w:val="00FF561C"/>
    <w:rsid w:val="00FF58EB"/>
    <w:rsid w:val="00FF5943"/>
    <w:rsid w:val="00FF5E1E"/>
    <w:rsid w:val="00FF634A"/>
    <w:rsid w:val="00FF76C7"/>
    <w:rsid w:val="020FC505"/>
    <w:rsid w:val="0E1844F1"/>
    <w:rsid w:val="10C00E0B"/>
    <w:rsid w:val="17411BE8"/>
    <w:rsid w:val="1A2C9882"/>
    <w:rsid w:val="34230C51"/>
    <w:rsid w:val="39A8D12B"/>
    <w:rsid w:val="3A1D77D4"/>
    <w:rsid w:val="40281E8B"/>
    <w:rsid w:val="422D5EF8"/>
    <w:rsid w:val="43C33813"/>
    <w:rsid w:val="48C37EEA"/>
    <w:rsid w:val="4C3F801C"/>
    <w:rsid w:val="4D550E9A"/>
    <w:rsid w:val="4FDBB012"/>
    <w:rsid w:val="525BCFBB"/>
    <w:rsid w:val="53A464E7"/>
    <w:rsid w:val="5C055DD7"/>
    <w:rsid w:val="5D937BA1"/>
    <w:rsid w:val="5E39B242"/>
    <w:rsid w:val="66B4A75F"/>
    <w:rsid w:val="6942FEE8"/>
    <w:rsid w:val="79B5E837"/>
    <w:rsid w:val="7CB5CBBF"/>
    <w:rsid w:val="7EDDE2DC"/>
    <w:rsid w:val="7FB03E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3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F8"/>
    <w:pPr>
      <w:spacing w:after="24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D522F0"/>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9"/>
    <w:qFormat/>
    <w:rsid w:val="00D522F0"/>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D522F0"/>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D522F0"/>
    <w:pPr>
      <w:outlineLvl w:val="3"/>
    </w:pPr>
    <w:rPr>
      <w:rFonts w:cs="Arial"/>
    </w:rPr>
  </w:style>
  <w:style w:type="paragraph" w:styleId="Heading5">
    <w:name w:val="heading 5"/>
    <w:basedOn w:val="Normal"/>
    <w:next w:val="Normal"/>
    <w:link w:val="Heading5Char"/>
    <w:semiHidden/>
    <w:qFormat/>
    <w:rsid w:val="00D522F0"/>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D522F0"/>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D522F0"/>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D522F0"/>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D522F0"/>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2F0"/>
    <w:rPr>
      <w:rFonts w:ascii="Arial" w:eastAsia="Times New Roman" w:hAnsi="Arial" w:cs="Arial"/>
      <w:bCs/>
      <w:color w:val="323232"/>
      <w:kern w:val="32"/>
      <w:sz w:val="53"/>
      <w:szCs w:val="32"/>
      <w:lang w:eastAsia="en-AU"/>
    </w:rPr>
  </w:style>
  <w:style w:type="character" w:customStyle="1" w:styleId="Heading2Char">
    <w:name w:val="Heading 2 Char"/>
    <w:basedOn w:val="DefaultParagraphFont"/>
    <w:link w:val="Heading2"/>
    <w:uiPriority w:val="9"/>
    <w:rsid w:val="00D522F0"/>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2"/>
    <w:rsid w:val="00D522F0"/>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2"/>
    <w:rsid w:val="00D522F0"/>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D522F0"/>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D522F0"/>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D522F0"/>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D522F0"/>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D522F0"/>
    <w:rPr>
      <w:rFonts w:ascii="Arial" w:eastAsia="Times New Roman" w:hAnsi="Arial" w:cs="Arial"/>
      <w:lang w:eastAsia="en-AU"/>
    </w:rPr>
  </w:style>
  <w:style w:type="paragraph" w:styleId="Header">
    <w:name w:val="header"/>
    <w:basedOn w:val="Normal"/>
    <w:link w:val="HeaderChar"/>
    <w:semiHidden/>
    <w:rsid w:val="00D522F0"/>
    <w:pPr>
      <w:tabs>
        <w:tab w:val="center" w:pos="4153"/>
        <w:tab w:val="right" w:pos="8306"/>
      </w:tabs>
      <w:spacing w:line="240" w:lineRule="auto"/>
    </w:pPr>
    <w:rPr>
      <w:sz w:val="16"/>
    </w:rPr>
  </w:style>
  <w:style w:type="character" w:customStyle="1" w:styleId="HeaderChar">
    <w:name w:val="Header Char"/>
    <w:basedOn w:val="DefaultParagraphFont"/>
    <w:link w:val="Header"/>
    <w:semiHidden/>
    <w:rsid w:val="00D522F0"/>
    <w:rPr>
      <w:rFonts w:ascii="Arial" w:eastAsia="Times New Roman" w:hAnsi="Arial" w:cs="Times New Roman"/>
      <w:sz w:val="16"/>
      <w:szCs w:val="24"/>
      <w:lang w:eastAsia="en-AU"/>
    </w:rPr>
  </w:style>
  <w:style w:type="paragraph" w:styleId="Footer">
    <w:name w:val="footer"/>
    <w:basedOn w:val="Normal"/>
    <w:link w:val="FooterChar"/>
    <w:semiHidden/>
    <w:qFormat/>
    <w:rsid w:val="00D522F0"/>
    <w:pPr>
      <w:tabs>
        <w:tab w:val="right" w:pos="113"/>
      </w:tabs>
      <w:spacing w:line="240" w:lineRule="auto"/>
    </w:pPr>
    <w:rPr>
      <w:color w:val="323232"/>
      <w:sz w:val="16"/>
    </w:rPr>
  </w:style>
  <w:style w:type="character" w:customStyle="1" w:styleId="FooterChar">
    <w:name w:val="Footer Char"/>
    <w:basedOn w:val="DefaultParagraphFont"/>
    <w:link w:val="Footer"/>
    <w:semiHidden/>
    <w:rsid w:val="00D522F0"/>
    <w:rPr>
      <w:rFonts w:ascii="Arial" w:eastAsia="Times New Roman" w:hAnsi="Arial" w:cs="Times New Roman"/>
      <w:color w:val="323232"/>
      <w:sz w:val="16"/>
      <w:szCs w:val="24"/>
      <w:lang w:eastAsia="en-AU"/>
    </w:rPr>
  </w:style>
  <w:style w:type="paragraph" w:customStyle="1" w:styleId="Reporttitle">
    <w:name w:val="Report title"/>
    <w:basedOn w:val="Normal"/>
    <w:uiPriority w:val="19"/>
    <w:qFormat/>
    <w:rsid w:val="00D522F0"/>
    <w:pPr>
      <w:spacing w:after="0" w:line="560" w:lineRule="exact"/>
    </w:pPr>
    <w:rPr>
      <w:b/>
      <w:spacing w:val="-28"/>
      <w:sz w:val="53"/>
    </w:rPr>
  </w:style>
  <w:style w:type="paragraph" w:customStyle="1" w:styleId="Reportsubtitle">
    <w:name w:val="Report subtitle"/>
    <w:basedOn w:val="Normal"/>
    <w:uiPriority w:val="20"/>
    <w:qFormat/>
    <w:rsid w:val="00D522F0"/>
    <w:pPr>
      <w:spacing w:after="200" w:line="560" w:lineRule="exact"/>
    </w:pPr>
    <w:rPr>
      <w:color w:val="323232"/>
      <w:spacing w:val="-28"/>
      <w:sz w:val="53"/>
    </w:rPr>
  </w:style>
  <w:style w:type="table" w:styleId="TableGrid">
    <w:name w:val="Table Grid"/>
    <w:basedOn w:val="TableNormal"/>
    <w:uiPriority w:val="59"/>
    <w:rsid w:val="00D522F0"/>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D522F0"/>
    <w:pPr>
      <w:spacing w:after="1200" w:line="240" w:lineRule="auto"/>
    </w:pPr>
    <w:rPr>
      <w:caps/>
      <w:spacing w:val="-10"/>
      <w:sz w:val="20"/>
    </w:rPr>
  </w:style>
  <w:style w:type="paragraph" w:customStyle="1" w:styleId="Tableheaderrow">
    <w:name w:val="Table header row"/>
    <w:basedOn w:val="Normal"/>
    <w:uiPriority w:val="14"/>
    <w:qFormat/>
    <w:rsid w:val="00D522F0"/>
    <w:pPr>
      <w:spacing w:after="0"/>
    </w:pPr>
    <w:rPr>
      <w:b/>
    </w:rPr>
  </w:style>
  <w:style w:type="paragraph" w:customStyle="1" w:styleId="PageNumber">
    <w:name w:val="PageNumber"/>
    <w:basedOn w:val="Normal"/>
    <w:semiHidden/>
    <w:rsid w:val="00D522F0"/>
    <w:pPr>
      <w:spacing w:line="240" w:lineRule="auto"/>
    </w:pPr>
    <w:rPr>
      <w:sz w:val="16"/>
    </w:rPr>
  </w:style>
  <w:style w:type="paragraph" w:customStyle="1" w:styleId="Copyright">
    <w:name w:val="Copyright"/>
    <w:basedOn w:val="Normal"/>
    <w:semiHidden/>
    <w:rsid w:val="00D522F0"/>
    <w:pPr>
      <w:spacing w:line="160" w:lineRule="exact"/>
    </w:pPr>
    <w:rPr>
      <w:color w:val="4D4D4F"/>
      <w:sz w:val="13"/>
    </w:rPr>
  </w:style>
  <w:style w:type="paragraph" w:styleId="TOCHeading">
    <w:name w:val="TOC Heading"/>
    <w:basedOn w:val="Normal"/>
    <w:semiHidden/>
    <w:qFormat/>
    <w:rsid w:val="00D522F0"/>
    <w:pPr>
      <w:spacing w:before="1200" w:line="240" w:lineRule="auto"/>
    </w:pPr>
    <w:rPr>
      <w:b/>
      <w:color w:val="323232"/>
      <w:spacing w:val="-28"/>
      <w:sz w:val="53"/>
    </w:rPr>
  </w:style>
  <w:style w:type="paragraph" w:styleId="Caption">
    <w:name w:val="caption"/>
    <w:aliases w:val="Caption table"/>
    <w:basedOn w:val="Normal"/>
    <w:next w:val="Normal"/>
    <w:uiPriority w:val="35"/>
    <w:qFormat/>
    <w:rsid w:val="00D522F0"/>
    <w:pPr>
      <w:numPr>
        <w:numId w:val="9"/>
      </w:numPr>
      <w:spacing w:after="0"/>
    </w:pPr>
    <w:rPr>
      <w:b/>
      <w:bCs/>
      <w:color w:val="323232"/>
      <w:szCs w:val="20"/>
    </w:rPr>
  </w:style>
  <w:style w:type="paragraph" w:customStyle="1" w:styleId="BodySubHeader">
    <w:name w:val="BodySubHeader"/>
    <w:basedOn w:val="Normal"/>
    <w:next w:val="Normal"/>
    <w:semiHidden/>
    <w:rsid w:val="00D522F0"/>
    <w:pPr>
      <w:spacing w:before="240" w:after="0"/>
    </w:pPr>
    <w:rPr>
      <w:b/>
      <w:i/>
    </w:rPr>
  </w:style>
  <w:style w:type="paragraph" w:styleId="ListBullet">
    <w:name w:val="List Bullet"/>
    <w:aliases w:val="List Bullet 1"/>
    <w:basedOn w:val="Normal"/>
    <w:qFormat/>
    <w:rsid w:val="00D522F0"/>
    <w:pPr>
      <w:numPr>
        <w:numId w:val="1"/>
      </w:numPr>
      <w:spacing w:after="80"/>
      <w:ind w:left="0" w:firstLine="0"/>
    </w:pPr>
  </w:style>
  <w:style w:type="paragraph" w:styleId="ListBullet2">
    <w:name w:val="List Bullet 2"/>
    <w:basedOn w:val="Normal"/>
    <w:semiHidden/>
    <w:qFormat/>
    <w:rsid w:val="00D522F0"/>
    <w:pPr>
      <w:numPr>
        <w:numId w:val="2"/>
      </w:numPr>
      <w:spacing w:after="80"/>
    </w:pPr>
  </w:style>
  <w:style w:type="paragraph" w:styleId="ListNumber">
    <w:name w:val="List Number"/>
    <w:basedOn w:val="Normal"/>
    <w:semiHidden/>
    <w:qFormat/>
    <w:rsid w:val="00D522F0"/>
    <w:pPr>
      <w:numPr>
        <w:numId w:val="3"/>
      </w:numPr>
      <w:spacing w:after="80"/>
    </w:pPr>
  </w:style>
  <w:style w:type="paragraph" w:styleId="ListNumber2">
    <w:name w:val="List Number 2"/>
    <w:basedOn w:val="Normal"/>
    <w:qFormat/>
    <w:rsid w:val="00D522F0"/>
    <w:pPr>
      <w:numPr>
        <w:numId w:val="4"/>
      </w:numPr>
      <w:spacing w:after="80"/>
      <w:ind w:left="828" w:hanging="357"/>
    </w:pPr>
  </w:style>
  <w:style w:type="paragraph" w:customStyle="1" w:styleId="URLEmail">
    <w:name w:val="URL/Email"/>
    <w:basedOn w:val="Normal"/>
    <w:semiHidden/>
    <w:rsid w:val="00D522F0"/>
    <w:rPr>
      <w:color w:val="4D4D4F"/>
      <w:spacing w:val="4"/>
    </w:rPr>
  </w:style>
  <w:style w:type="paragraph" w:customStyle="1" w:styleId="Execsummaryheading">
    <w:name w:val="Exec summary heading"/>
    <w:basedOn w:val="Normal"/>
    <w:uiPriority w:val="22"/>
    <w:qFormat/>
    <w:rsid w:val="00D522F0"/>
    <w:pPr>
      <w:pageBreakBefore/>
      <w:spacing w:after="1440" w:line="550" w:lineRule="exact"/>
    </w:pPr>
    <w:rPr>
      <w:b/>
      <w:color w:val="323232"/>
      <w:spacing w:val="-18"/>
      <w:sz w:val="53"/>
    </w:rPr>
  </w:style>
  <w:style w:type="character" w:styleId="PageNumber0">
    <w:name w:val="page number"/>
    <w:basedOn w:val="DefaultParagraphFont"/>
    <w:semiHidden/>
    <w:rsid w:val="00D522F0"/>
  </w:style>
  <w:style w:type="paragraph" w:styleId="ListContinue5">
    <w:name w:val="List Continue 5"/>
    <w:basedOn w:val="Normal"/>
    <w:semiHidden/>
    <w:rsid w:val="00D522F0"/>
    <w:pPr>
      <w:spacing w:after="120"/>
      <w:ind w:left="1415"/>
      <w:contextualSpacing/>
    </w:pPr>
  </w:style>
  <w:style w:type="paragraph" w:customStyle="1" w:styleId="Paragraphbeforelist">
    <w:name w:val="Paragraph before list"/>
    <w:basedOn w:val="Paragraph"/>
    <w:uiPriority w:val="4"/>
    <w:qFormat/>
    <w:rsid w:val="00D522F0"/>
    <w:pPr>
      <w:spacing w:after="80"/>
    </w:pPr>
  </w:style>
  <w:style w:type="paragraph" w:styleId="TOC1">
    <w:name w:val="toc 1"/>
    <w:basedOn w:val="Normal"/>
    <w:next w:val="Normal"/>
    <w:uiPriority w:val="39"/>
    <w:qFormat/>
    <w:rsid w:val="00D522F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D522F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D522F0"/>
    <w:pPr>
      <w:tabs>
        <w:tab w:val="right" w:pos="7615"/>
      </w:tabs>
      <w:spacing w:line="320" w:lineRule="exact"/>
    </w:pPr>
    <w:rPr>
      <w:noProof/>
      <w:color w:val="808285"/>
      <w:sz w:val="28"/>
    </w:rPr>
  </w:style>
  <w:style w:type="paragraph" w:styleId="TOC3">
    <w:name w:val="toc 3"/>
    <w:basedOn w:val="Normal"/>
    <w:next w:val="Normal"/>
    <w:uiPriority w:val="39"/>
    <w:qFormat/>
    <w:rsid w:val="00D522F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D522F0"/>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Style 13,FR"/>
    <w:basedOn w:val="DefaultParagraphFont"/>
    <w:qFormat/>
    <w:rsid w:val="00D522F0"/>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23"/>
    <w:qFormat/>
    <w:rsid w:val="00D522F0"/>
    <w:pPr>
      <w:spacing w:after="0"/>
    </w:pPr>
    <w:rPr>
      <w:sz w:val="16"/>
      <w:szCs w:val="16"/>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23"/>
    <w:qFormat/>
    <w:rsid w:val="00D522F0"/>
    <w:rPr>
      <w:rFonts w:ascii="Arial" w:eastAsia="Times New Roman" w:hAnsi="Arial" w:cs="Times New Roman"/>
      <w:sz w:val="16"/>
      <w:szCs w:val="16"/>
      <w:lang w:eastAsia="en-AU"/>
    </w:rPr>
  </w:style>
  <w:style w:type="paragraph" w:customStyle="1" w:styleId="TableBody">
    <w:name w:val="Table Body"/>
    <w:basedOn w:val="Normal"/>
    <w:qFormat/>
    <w:rsid w:val="00D522F0"/>
    <w:pPr>
      <w:spacing w:after="0" w:line="240" w:lineRule="auto"/>
    </w:pPr>
  </w:style>
  <w:style w:type="character" w:styleId="CommentReference">
    <w:name w:val="annotation reference"/>
    <w:basedOn w:val="DefaultParagraphFont"/>
    <w:rsid w:val="00D522F0"/>
    <w:rPr>
      <w:sz w:val="16"/>
      <w:szCs w:val="16"/>
    </w:rPr>
  </w:style>
  <w:style w:type="paragraph" w:styleId="CommentText">
    <w:name w:val="annotation text"/>
    <w:basedOn w:val="Normal"/>
    <w:link w:val="CommentTextChar"/>
    <w:uiPriority w:val="99"/>
    <w:qFormat/>
    <w:rsid w:val="00D522F0"/>
    <w:pPr>
      <w:spacing w:line="240" w:lineRule="auto"/>
    </w:pPr>
    <w:rPr>
      <w:szCs w:val="20"/>
    </w:rPr>
  </w:style>
  <w:style w:type="character" w:customStyle="1" w:styleId="CommentTextChar">
    <w:name w:val="Comment Text Char"/>
    <w:basedOn w:val="DefaultParagraphFont"/>
    <w:link w:val="CommentText"/>
    <w:uiPriority w:val="99"/>
    <w:rsid w:val="00D522F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D522F0"/>
    <w:rPr>
      <w:b/>
      <w:bCs/>
    </w:rPr>
  </w:style>
  <w:style w:type="character" w:customStyle="1" w:styleId="CommentSubjectChar">
    <w:name w:val="Comment Subject Char"/>
    <w:basedOn w:val="CommentTextChar"/>
    <w:link w:val="CommentSubject"/>
    <w:semiHidden/>
    <w:rsid w:val="00D522F0"/>
    <w:rPr>
      <w:rFonts w:ascii="Arial" w:eastAsia="Times New Roman" w:hAnsi="Arial" w:cs="Times New Roman"/>
      <w:b/>
      <w:bCs/>
      <w:sz w:val="20"/>
      <w:szCs w:val="20"/>
      <w:lang w:eastAsia="en-AU"/>
    </w:rPr>
  </w:style>
  <w:style w:type="character" w:styleId="FollowedHyperlink">
    <w:name w:val="FollowedHyperlink"/>
    <w:basedOn w:val="DefaultParagraphFont"/>
    <w:semiHidden/>
    <w:rsid w:val="00D522F0"/>
    <w:rPr>
      <w:color w:val="954F72" w:themeColor="followedHyperlink"/>
      <w:u w:val="single"/>
    </w:rPr>
  </w:style>
  <w:style w:type="character" w:styleId="PlaceholderText">
    <w:name w:val="Placeholder Text"/>
    <w:basedOn w:val="DefaultParagraphFont"/>
    <w:uiPriority w:val="99"/>
    <w:semiHidden/>
    <w:rsid w:val="00D522F0"/>
    <w:rPr>
      <w:color w:val="808080"/>
    </w:rPr>
  </w:style>
  <w:style w:type="paragraph" w:customStyle="1" w:styleId="ACMAInstructions">
    <w:name w:val="ACMA_Instructions"/>
    <w:basedOn w:val="Normal"/>
    <w:semiHidden/>
    <w:unhideWhenUsed/>
    <w:qFormat/>
    <w:rsid w:val="00D522F0"/>
    <w:pPr>
      <w:spacing w:after="200"/>
    </w:pPr>
    <w:rPr>
      <w:rFonts w:cs="Arial"/>
      <w:b/>
      <w:vanish/>
      <w:sz w:val="24"/>
    </w:rPr>
  </w:style>
  <w:style w:type="paragraph" w:customStyle="1" w:styleId="CorporateAddresses">
    <w:name w:val="Corporate Addresses"/>
    <w:basedOn w:val="Normal"/>
    <w:semiHidden/>
    <w:rsid w:val="00D522F0"/>
    <w:pPr>
      <w:spacing w:line="140" w:lineRule="exact"/>
    </w:pPr>
    <w:rPr>
      <w:color w:val="4D4D4F"/>
      <w:sz w:val="13"/>
    </w:rPr>
  </w:style>
  <w:style w:type="paragraph" w:customStyle="1" w:styleId="Bulletlevel1">
    <w:name w:val="Bullet level 1"/>
    <w:basedOn w:val="ListBullet"/>
    <w:uiPriority w:val="5"/>
    <w:qFormat/>
    <w:rsid w:val="00D522F0"/>
    <w:pPr>
      <w:ind w:left="720" w:hanging="360"/>
    </w:pPr>
    <w:rPr>
      <w:rFonts w:cs="Arial"/>
    </w:rPr>
  </w:style>
  <w:style w:type="paragraph" w:customStyle="1" w:styleId="ACMACorporateAddressHeader">
    <w:name w:val="ACMA_CorporateAddressHeader"/>
    <w:basedOn w:val="Normal"/>
    <w:next w:val="ACMACorporateAddresses"/>
    <w:semiHidden/>
    <w:unhideWhenUsed/>
    <w:qFormat/>
    <w:rsid w:val="00D522F0"/>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D522F0"/>
    <w:pPr>
      <w:spacing w:before="0" w:after="120"/>
    </w:pPr>
    <w:rPr>
      <w:b w:val="0"/>
    </w:rPr>
  </w:style>
  <w:style w:type="paragraph" w:customStyle="1" w:styleId="ACMACopyrightHeader">
    <w:name w:val="ACMA_CopyrightHeader"/>
    <w:basedOn w:val="ACMACorporateAddressHeader"/>
    <w:semiHidden/>
    <w:unhideWhenUsed/>
    <w:qFormat/>
    <w:rsid w:val="00D522F0"/>
    <w:pPr>
      <w:spacing w:before="3000"/>
    </w:pPr>
  </w:style>
  <w:style w:type="paragraph" w:customStyle="1" w:styleId="ACMACClogo">
    <w:name w:val="ACMA_CClogo"/>
    <w:semiHidden/>
    <w:unhideWhenUsed/>
    <w:qFormat/>
    <w:rsid w:val="00D522F0"/>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D522F0"/>
    <w:pPr>
      <w:spacing w:after="240"/>
    </w:pPr>
    <w:rPr>
      <w:rFonts w:cs="Arial"/>
    </w:rPr>
  </w:style>
  <w:style w:type="paragraph" w:customStyle="1" w:styleId="ListNumberLast">
    <w:name w:val="List Number Last"/>
    <w:basedOn w:val="ListNumber"/>
    <w:semiHidden/>
    <w:qFormat/>
    <w:rsid w:val="00D522F0"/>
    <w:pPr>
      <w:spacing w:after="240"/>
      <w:ind w:left="357" w:hanging="357"/>
    </w:pPr>
    <w:rPr>
      <w:rFonts w:cs="Arial"/>
    </w:rPr>
  </w:style>
  <w:style w:type="paragraph" w:customStyle="1" w:styleId="ACMATableHeader">
    <w:name w:val="ACMA_TableHeader"/>
    <w:semiHidden/>
    <w:qFormat/>
    <w:rsid w:val="00D522F0"/>
    <w:pPr>
      <w:numPr>
        <w:numId w:val="7"/>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D522F0"/>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D522F0"/>
  </w:style>
  <w:style w:type="character" w:styleId="Emphasis">
    <w:name w:val="Emphasis"/>
    <w:basedOn w:val="DefaultParagraphFont"/>
    <w:uiPriority w:val="20"/>
    <w:qFormat/>
    <w:rsid w:val="00D522F0"/>
    <w:rPr>
      <w:i/>
      <w:iCs/>
    </w:rPr>
  </w:style>
  <w:style w:type="paragraph" w:customStyle="1" w:styleId="ListNumber2Last">
    <w:name w:val="List Number 2 Last"/>
    <w:basedOn w:val="ListNumber2"/>
    <w:semiHidden/>
    <w:qFormat/>
    <w:rsid w:val="00D522F0"/>
    <w:pPr>
      <w:spacing w:after="240"/>
      <w:ind w:left="907"/>
    </w:pPr>
    <w:rPr>
      <w:rFonts w:cs="Arial"/>
    </w:rPr>
  </w:style>
  <w:style w:type="paragraph" w:customStyle="1" w:styleId="Spaceaftertable">
    <w:name w:val="Space after table"/>
    <w:basedOn w:val="Normal"/>
    <w:uiPriority w:val="99"/>
    <w:qFormat/>
    <w:rsid w:val="00D522F0"/>
    <w:rPr>
      <w:rFonts w:cs="Arial"/>
    </w:rPr>
  </w:style>
  <w:style w:type="paragraph" w:customStyle="1" w:styleId="FooterLeft">
    <w:name w:val="Footer Left"/>
    <w:basedOn w:val="Footer"/>
    <w:semiHidden/>
    <w:qFormat/>
    <w:rsid w:val="00D522F0"/>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D522F0"/>
    <w:pPr>
      <w:numPr>
        <w:numId w:val="6"/>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D522F0"/>
    <w:pPr>
      <w:keepNext/>
      <w:numPr>
        <w:numId w:val="8"/>
      </w:numPr>
    </w:pPr>
    <w:rPr>
      <w:rFonts w:cs="Arial"/>
    </w:rPr>
  </w:style>
  <w:style w:type="paragraph" w:customStyle="1" w:styleId="GridTable31">
    <w:name w:val="Grid Table 31"/>
    <w:basedOn w:val="Normal"/>
    <w:semiHidden/>
    <w:qFormat/>
    <w:rsid w:val="00D522F0"/>
    <w:pPr>
      <w:spacing w:after="0" w:line="240" w:lineRule="auto"/>
    </w:pPr>
    <w:rPr>
      <w:b/>
      <w:color w:val="4D4D4F"/>
      <w:spacing w:val="-28"/>
      <w:sz w:val="53"/>
    </w:rPr>
  </w:style>
  <w:style w:type="character" w:customStyle="1" w:styleId="UnresolvedMention1">
    <w:name w:val="Unresolved Mention1"/>
    <w:basedOn w:val="DefaultParagraphFont"/>
    <w:uiPriority w:val="99"/>
    <w:semiHidden/>
    <w:unhideWhenUsed/>
    <w:rsid w:val="00D522F0"/>
    <w:rPr>
      <w:color w:val="605E5C"/>
      <w:shd w:val="clear" w:color="auto" w:fill="E1DFDD"/>
    </w:rPr>
  </w:style>
  <w:style w:type="paragraph" w:customStyle="1" w:styleId="Paragraph">
    <w:name w:val="Paragraph"/>
    <w:basedOn w:val="Normal"/>
    <w:link w:val="ParagraphChar"/>
    <w:qFormat/>
    <w:rsid w:val="00D522F0"/>
    <w:rPr>
      <w:rFonts w:cs="Arial"/>
    </w:rPr>
  </w:style>
  <w:style w:type="paragraph" w:customStyle="1" w:styleId="Bulletlevel2">
    <w:name w:val="Bullet level 2"/>
    <w:basedOn w:val="ListBullet2"/>
    <w:uiPriority w:val="7"/>
    <w:qFormat/>
    <w:rsid w:val="00D522F0"/>
    <w:rPr>
      <w:rFonts w:cs="Arial"/>
    </w:rPr>
  </w:style>
  <w:style w:type="paragraph" w:customStyle="1" w:styleId="Bulletlevel1last">
    <w:name w:val="Bullet level 1 last"/>
    <w:basedOn w:val="ListBulletLast"/>
    <w:uiPriority w:val="6"/>
    <w:qFormat/>
    <w:rsid w:val="00D522F0"/>
  </w:style>
  <w:style w:type="paragraph" w:customStyle="1" w:styleId="Numberlistlevel2">
    <w:name w:val="Number list level 2"/>
    <w:basedOn w:val="ListNumber2"/>
    <w:uiPriority w:val="11"/>
    <w:qFormat/>
    <w:rsid w:val="00D522F0"/>
  </w:style>
  <w:style w:type="paragraph" w:customStyle="1" w:styleId="Numberlistlast">
    <w:name w:val="Number list last"/>
    <w:basedOn w:val="ListNumberLast"/>
    <w:uiPriority w:val="10"/>
    <w:qFormat/>
    <w:rsid w:val="00D522F0"/>
  </w:style>
  <w:style w:type="paragraph" w:customStyle="1" w:styleId="Numberlistlevel2last">
    <w:name w:val="Number list level 2 last"/>
    <w:basedOn w:val="Numberlistlevel2"/>
    <w:uiPriority w:val="12"/>
    <w:qFormat/>
    <w:rsid w:val="00D522F0"/>
    <w:pPr>
      <w:spacing w:after="240"/>
    </w:pPr>
  </w:style>
  <w:style w:type="paragraph" w:customStyle="1" w:styleId="Bulletlevel2last">
    <w:name w:val="Bullet level 2 last"/>
    <w:basedOn w:val="Bulletlevel2"/>
    <w:uiPriority w:val="8"/>
    <w:qFormat/>
    <w:rsid w:val="00D522F0"/>
    <w:pPr>
      <w:spacing w:after="240"/>
    </w:pPr>
  </w:style>
  <w:style w:type="table" w:customStyle="1" w:styleId="ACMAtablestyle">
    <w:name w:val="ACMA table style"/>
    <w:basedOn w:val="TableNormal"/>
    <w:uiPriority w:val="99"/>
    <w:rsid w:val="00D522F0"/>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D522F0"/>
    <w:pPr>
      <w:keepNext/>
      <w:spacing w:line="240" w:lineRule="atLeast"/>
    </w:pPr>
  </w:style>
  <w:style w:type="paragraph" w:customStyle="1" w:styleId="Tableorfigurenote">
    <w:name w:val="Table or figure note"/>
    <w:basedOn w:val="ACMANotes"/>
    <w:uiPriority w:val="17"/>
    <w:qFormat/>
    <w:rsid w:val="00D522F0"/>
    <w:pPr>
      <w:spacing w:after="240"/>
    </w:pPr>
  </w:style>
  <w:style w:type="paragraph" w:customStyle="1" w:styleId="Figureheading">
    <w:name w:val="Figure heading"/>
    <w:basedOn w:val="ACMAFigureHeader"/>
    <w:uiPriority w:val="16"/>
    <w:qFormat/>
    <w:rsid w:val="00D522F0"/>
    <w:pPr>
      <w:keepNext/>
      <w:spacing w:line="240" w:lineRule="atLeast"/>
    </w:pPr>
  </w:style>
  <w:style w:type="paragraph" w:customStyle="1" w:styleId="Tableorfigurenotemultiple">
    <w:name w:val="Table or figure note multiple"/>
    <w:basedOn w:val="Tableorfigurenote"/>
    <w:uiPriority w:val="18"/>
    <w:qFormat/>
    <w:rsid w:val="00D522F0"/>
    <w:pPr>
      <w:spacing w:after="80"/>
    </w:pPr>
  </w:style>
  <w:style w:type="paragraph" w:styleId="BalloonText">
    <w:name w:val="Balloon Text"/>
    <w:basedOn w:val="Normal"/>
    <w:link w:val="BalloonTextChar"/>
    <w:semiHidden/>
    <w:unhideWhenUsed/>
    <w:rsid w:val="00D52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522F0"/>
    <w:rPr>
      <w:rFonts w:ascii="Segoe UI" w:eastAsia="Times New Roman" w:hAnsi="Segoe UI" w:cs="Segoe UI"/>
      <w:sz w:val="18"/>
      <w:szCs w:val="18"/>
      <w:lang w:eastAsia="en-AU"/>
    </w:rPr>
  </w:style>
  <w:style w:type="paragraph" w:styleId="ListParagraph">
    <w:name w:val="List Paragraph"/>
    <w:basedOn w:val="Normal"/>
    <w:uiPriority w:val="34"/>
    <w:qFormat/>
    <w:rsid w:val="00D522F0"/>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semiHidden/>
    <w:rsid w:val="00D522F0"/>
    <w:pPr>
      <w:spacing w:after="0" w:line="240" w:lineRule="auto"/>
    </w:pPr>
    <w:rPr>
      <w:rFonts w:ascii="Arial" w:eastAsia="Times New Roman" w:hAnsi="Arial" w:cs="Times New Roman"/>
      <w:sz w:val="20"/>
      <w:szCs w:val="24"/>
      <w:lang w:eastAsia="en-AU"/>
    </w:rPr>
  </w:style>
  <w:style w:type="paragraph" w:customStyle="1" w:styleId="ACMABodyText">
    <w:name w:val="ACMA Body Text"/>
    <w:link w:val="ACMABodyTextChar"/>
    <w:rsid w:val="00D522F0"/>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letteredlist">
    <w:name w:val="ACMA lettered list"/>
    <w:rsid w:val="00D522F0"/>
    <w:pPr>
      <w:numPr>
        <w:numId w:val="10"/>
      </w:numPr>
      <w:tabs>
        <w:tab w:val="clear" w:pos="360"/>
      </w:tabs>
      <w:spacing w:before="20" w:after="20" w:line="240" w:lineRule="auto"/>
    </w:pPr>
    <w:rPr>
      <w:rFonts w:ascii="Times New Roman" w:eastAsia="Times New Roman" w:hAnsi="Times New Roman" w:cs="Times New Roman"/>
      <w:sz w:val="24"/>
      <w:szCs w:val="20"/>
    </w:rPr>
  </w:style>
  <w:style w:type="character" w:customStyle="1" w:styleId="ACMABodyTextChar">
    <w:name w:val="ACMA Body Text Char"/>
    <w:basedOn w:val="DefaultParagraphFont"/>
    <w:link w:val="ACMABodyText"/>
    <w:locked/>
    <w:rsid w:val="00D522F0"/>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D522F0"/>
    <w:rPr>
      <w:rFonts w:ascii="Times New Roman" w:hAnsi="Times New Roman"/>
      <w:sz w:val="24"/>
    </w:rPr>
  </w:style>
  <w:style w:type="paragraph" w:customStyle="1" w:styleId="paragraph0">
    <w:name w:val="paragraph"/>
    <w:basedOn w:val="Normal"/>
    <w:rsid w:val="009F0D69"/>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9F0D69"/>
    <w:pPr>
      <w:spacing w:before="100" w:beforeAutospacing="1" w:after="100" w:afterAutospacing="1" w:line="240" w:lineRule="auto"/>
    </w:pPr>
    <w:rPr>
      <w:rFonts w:ascii="Times New Roman" w:hAnsi="Times New Roman"/>
      <w:sz w:val="24"/>
    </w:rPr>
  </w:style>
  <w:style w:type="character" w:customStyle="1" w:styleId="UnresolvedMention10">
    <w:name w:val="Unresolved Mention10"/>
    <w:basedOn w:val="DefaultParagraphFont"/>
    <w:uiPriority w:val="99"/>
    <w:semiHidden/>
    <w:unhideWhenUsed/>
    <w:rsid w:val="003C7CC4"/>
    <w:rPr>
      <w:color w:val="605E5C"/>
      <w:shd w:val="clear" w:color="auto" w:fill="E1DFDD"/>
    </w:rPr>
  </w:style>
  <w:style w:type="paragraph" w:styleId="NoSpacing">
    <w:name w:val="No Spacing"/>
    <w:uiPriority w:val="1"/>
    <w:qFormat/>
    <w:rsid w:val="003C7CC4"/>
    <w:pPr>
      <w:spacing w:after="0" w:line="240" w:lineRule="auto"/>
    </w:pPr>
  </w:style>
  <w:style w:type="paragraph" w:customStyle="1" w:styleId="Bodysubheader0">
    <w:name w:val="Body sub header"/>
    <w:basedOn w:val="Normal"/>
    <w:next w:val="Normal"/>
    <w:rsid w:val="00CB25D9"/>
    <w:pPr>
      <w:spacing w:after="0"/>
    </w:pPr>
    <w:rPr>
      <w:rFonts w:ascii="HelveticaNeueLT Std" w:hAnsi="HelveticaNeueLT Std"/>
      <w:b/>
      <w:i/>
    </w:rPr>
  </w:style>
  <w:style w:type="character" w:customStyle="1" w:styleId="normaltextrun">
    <w:name w:val="normaltextrun"/>
    <w:basedOn w:val="DefaultParagraphFont"/>
    <w:rsid w:val="00360519"/>
  </w:style>
  <w:style w:type="character" w:customStyle="1" w:styleId="eop">
    <w:name w:val="eop"/>
    <w:basedOn w:val="DefaultParagraphFont"/>
    <w:rsid w:val="00360519"/>
  </w:style>
  <w:style w:type="paragraph" w:customStyle="1" w:styleId="TableHeading0">
    <w:name w:val="Table Heading"/>
    <w:basedOn w:val="Normal"/>
    <w:qFormat/>
    <w:rsid w:val="00F4265D"/>
    <w:pPr>
      <w:spacing w:after="0"/>
    </w:pPr>
    <w:rPr>
      <w:b/>
    </w:rPr>
  </w:style>
  <w:style w:type="character" w:customStyle="1" w:styleId="UnresolvedMention2">
    <w:name w:val="Unresolved Mention2"/>
    <w:basedOn w:val="DefaultParagraphFont"/>
    <w:uiPriority w:val="99"/>
    <w:semiHidden/>
    <w:unhideWhenUsed/>
    <w:rsid w:val="0019610D"/>
    <w:rPr>
      <w:color w:val="605E5C"/>
      <w:shd w:val="clear" w:color="auto" w:fill="E1DFDD"/>
    </w:rPr>
  </w:style>
  <w:style w:type="character" w:customStyle="1" w:styleId="UnresolvedMention3">
    <w:name w:val="Unresolved Mention3"/>
    <w:basedOn w:val="DefaultParagraphFont"/>
    <w:uiPriority w:val="99"/>
    <w:unhideWhenUsed/>
    <w:rsid w:val="00B51955"/>
    <w:rPr>
      <w:color w:val="605E5C"/>
      <w:shd w:val="clear" w:color="auto" w:fill="E1DFDD"/>
    </w:rPr>
  </w:style>
  <w:style w:type="character" w:customStyle="1" w:styleId="Mention1">
    <w:name w:val="Mention1"/>
    <w:basedOn w:val="DefaultParagraphFont"/>
    <w:uiPriority w:val="99"/>
    <w:unhideWhenUsed/>
    <w:rsid w:val="00782195"/>
    <w:rPr>
      <w:color w:val="2B579A"/>
      <w:shd w:val="clear" w:color="auto" w:fill="E1DFDD"/>
    </w:rPr>
  </w:style>
  <w:style w:type="character" w:customStyle="1" w:styleId="UnresolvedMention100">
    <w:name w:val="Unresolved Mention100"/>
    <w:basedOn w:val="DefaultParagraphFont"/>
    <w:uiPriority w:val="99"/>
    <w:semiHidden/>
    <w:unhideWhenUsed/>
    <w:rsid w:val="008729C0"/>
    <w:rPr>
      <w:color w:val="605E5C"/>
      <w:shd w:val="clear" w:color="auto" w:fill="E1DFDD"/>
    </w:rPr>
  </w:style>
  <w:style w:type="character" w:customStyle="1" w:styleId="ParagraphChar">
    <w:name w:val="Paragraph Char"/>
    <w:basedOn w:val="DefaultParagraphFont"/>
    <w:link w:val="Paragraph"/>
    <w:rsid w:val="00E26321"/>
    <w:rPr>
      <w:rFonts w:ascii="Arial" w:eastAsia="Times New Roman" w:hAnsi="Arial" w:cs="Arial"/>
      <w:sz w:val="20"/>
      <w:szCs w:val="24"/>
      <w:lang w:eastAsia="en-AU"/>
    </w:rPr>
  </w:style>
  <w:style w:type="character" w:customStyle="1" w:styleId="UnresolvedMention1000">
    <w:name w:val="Unresolved Mention1000"/>
    <w:basedOn w:val="DefaultParagraphFont"/>
    <w:uiPriority w:val="99"/>
    <w:semiHidden/>
    <w:unhideWhenUsed/>
    <w:rsid w:val="00880511"/>
    <w:rPr>
      <w:color w:val="605E5C"/>
      <w:shd w:val="clear" w:color="auto" w:fill="E1DFDD"/>
    </w:rPr>
  </w:style>
  <w:style w:type="character" w:customStyle="1" w:styleId="UnresolvedMention10000">
    <w:name w:val="Unresolved Mention10000"/>
    <w:basedOn w:val="DefaultParagraphFont"/>
    <w:uiPriority w:val="99"/>
    <w:semiHidden/>
    <w:unhideWhenUsed/>
    <w:rsid w:val="002B0D78"/>
    <w:rPr>
      <w:color w:val="605E5C"/>
      <w:shd w:val="clear" w:color="auto" w:fill="E1DFDD"/>
    </w:rPr>
  </w:style>
  <w:style w:type="character" w:customStyle="1" w:styleId="UnresolvedMention100000">
    <w:name w:val="Unresolved Mention100000"/>
    <w:basedOn w:val="DefaultParagraphFont"/>
    <w:uiPriority w:val="99"/>
    <w:semiHidden/>
    <w:unhideWhenUsed/>
    <w:rsid w:val="007404BA"/>
    <w:rPr>
      <w:color w:val="605E5C"/>
      <w:shd w:val="clear" w:color="auto" w:fill="E1DFDD"/>
    </w:rPr>
  </w:style>
  <w:style w:type="character" w:customStyle="1" w:styleId="UnresolvedMention1000000">
    <w:name w:val="Unresolved Mention1000000"/>
    <w:basedOn w:val="DefaultParagraphFont"/>
    <w:uiPriority w:val="99"/>
    <w:semiHidden/>
    <w:unhideWhenUsed/>
    <w:rsid w:val="000D38F4"/>
    <w:rPr>
      <w:color w:val="605E5C"/>
      <w:shd w:val="clear" w:color="auto" w:fill="E1DFDD"/>
    </w:rPr>
  </w:style>
  <w:style w:type="character" w:customStyle="1" w:styleId="UnresolvedMention10000000">
    <w:name w:val="Unresolved Mention10000000"/>
    <w:basedOn w:val="DefaultParagraphFont"/>
    <w:uiPriority w:val="99"/>
    <w:semiHidden/>
    <w:unhideWhenUsed/>
    <w:rsid w:val="009C7FEF"/>
    <w:rPr>
      <w:color w:val="605E5C"/>
      <w:shd w:val="clear" w:color="auto" w:fill="E1DFDD"/>
    </w:rPr>
  </w:style>
  <w:style w:type="character" w:customStyle="1" w:styleId="UnresolvedMention100000000">
    <w:name w:val="Unresolved Mention100000000"/>
    <w:basedOn w:val="DefaultParagraphFont"/>
    <w:uiPriority w:val="99"/>
    <w:semiHidden/>
    <w:unhideWhenUsed/>
    <w:rsid w:val="009C7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501">
      <w:bodyDiv w:val="1"/>
      <w:marLeft w:val="0"/>
      <w:marRight w:val="0"/>
      <w:marTop w:val="0"/>
      <w:marBottom w:val="0"/>
      <w:divBdr>
        <w:top w:val="none" w:sz="0" w:space="0" w:color="auto"/>
        <w:left w:val="none" w:sz="0" w:space="0" w:color="auto"/>
        <w:bottom w:val="none" w:sz="0" w:space="0" w:color="auto"/>
        <w:right w:val="none" w:sz="0" w:space="0" w:color="auto"/>
      </w:divBdr>
    </w:div>
    <w:div w:id="50812802">
      <w:bodyDiv w:val="1"/>
      <w:marLeft w:val="0"/>
      <w:marRight w:val="0"/>
      <w:marTop w:val="0"/>
      <w:marBottom w:val="0"/>
      <w:divBdr>
        <w:top w:val="none" w:sz="0" w:space="0" w:color="auto"/>
        <w:left w:val="none" w:sz="0" w:space="0" w:color="auto"/>
        <w:bottom w:val="none" w:sz="0" w:space="0" w:color="auto"/>
        <w:right w:val="none" w:sz="0" w:space="0" w:color="auto"/>
      </w:divBdr>
    </w:div>
    <w:div w:id="232661552">
      <w:bodyDiv w:val="1"/>
      <w:marLeft w:val="0"/>
      <w:marRight w:val="0"/>
      <w:marTop w:val="0"/>
      <w:marBottom w:val="0"/>
      <w:divBdr>
        <w:top w:val="none" w:sz="0" w:space="0" w:color="auto"/>
        <w:left w:val="none" w:sz="0" w:space="0" w:color="auto"/>
        <w:bottom w:val="none" w:sz="0" w:space="0" w:color="auto"/>
        <w:right w:val="none" w:sz="0" w:space="0" w:color="auto"/>
      </w:divBdr>
    </w:div>
    <w:div w:id="284580545">
      <w:bodyDiv w:val="1"/>
      <w:marLeft w:val="0"/>
      <w:marRight w:val="0"/>
      <w:marTop w:val="0"/>
      <w:marBottom w:val="0"/>
      <w:divBdr>
        <w:top w:val="none" w:sz="0" w:space="0" w:color="auto"/>
        <w:left w:val="none" w:sz="0" w:space="0" w:color="auto"/>
        <w:bottom w:val="none" w:sz="0" w:space="0" w:color="auto"/>
        <w:right w:val="none" w:sz="0" w:space="0" w:color="auto"/>
      </w:divBdr>
    </w:div>
    <w:div w:id="374238304">
      <w:bodyDiv w:val="1"/>
      <w:marLeft w:val="0"/>
      <w:marRight w:val="0"/>
      <w:marTop w:val="0"/>
      <w:marBottom w:val="0"/>
      <w:divBdr>
        <w:top w:val="none" w:sz="0" w:space="0" w:color="auto"/>
        <w:left w:val="none" w:sz="0" w:space="0" w:color="auto"/>
        <w:bottom w:val="none" w:sz="0" w:space="0" w:color="auto"/>
        <w:right w:val="none" w:sz="0" w:space="0" w:color="auto"/>
      </w:divBdr>
    </w:div>
    <w:div w:id="375199413">
      <w:bodyDiv w:val="1"/>
      <w:marLeft w:val="0"/>
      <w:marRight w:val="0"/>
      <w:marTop w:val="0"/>
      <w:marBottom w:val="0"/>
      <w:divBdr>
        <w:top w:val="none" w:sz="0" w:space="0" w:color="auto"/>
        <w:left w:val="none" w:sz="0" w:space="0" w:color="auto"/>
        <w:bottom w:val="none" w:sz="0" w:space="0" w:color="auto"/>
        <w:right w:val="none" w:sz="0" w:space="0" w:color="auto"/>
      </w:divBdr>
    </w:div>
    <w:div w:id="531378323">
      <w:bodyDiv w:val="1"/>
      <w:marLeft w:val="0"/>
      <w:marRight w:val="0"/>
      <w:marTop w:val="0"/>
      <w:marBottom w:val="0"/>
      <w:divBdr>
        <w:top w:val="none" w:sz="0" w:space="0" w:color="auto"/>
        <w:left w:val="none" w:sz="0" w:space="0" w:color="auto"/>
        <w:bottom w:val="none" w:sz="0" w:space="0" w:color="auto"/>
        <w:right w:val="none" w:sz="0" w:space="0" w:color="auto"/>
      </w:divBdr>
    </w:div>
    <w:div w:id="695545473">
      <w:bodyDiv w:val="1"/>
      <w:marLeft w:val="0"/>
      <w:marRight w:val="0"/>
      <w:marTop w:val="0"/>
      <w:marBottom w:val="0"/>
      <w:divBdr>
        <w:top w:val="none" w:sz="0" w:space="0" w:color="auto"/>
        <w:left w:val="none" w:sz="0" w:space="0" w:color="auto"/>
        <w:bottom w:val="none" w:sz="0" w:space="0" w:color="auto"/>
        <w:right w:val="none" w:sz="0" w:space="0" w:color="auto"/>
      </w:divBdr>
    </w:div>
    <w:div w:id="826629623">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151561807">
      <w:bodyDiv w:val="1"/>
      <w:marLeft w:val="0"/>
      <w:marRight w:val="0"/>
      <w:marTop w:val="0"/>
      <w:marBottom w:val="0"/>
      <w:divBdr>
        <w:top w:val="none" w:sz="0" w:space="0" w:color="auto"/>
        <w:left w:val="none" w:sz="0" w:space="0" w:color="auto"/>
        <w:bottom w:val="none" w:sz="0" w:space="0" w:color="auto"/>
        <w:right w:val="none" w:sz="0" w:space="0" w:color="auto"/>
      </w:divBdr>
      <w:divsChild>
        <w:div w:id="649402019">
          <w:marLeft w:val="0"/>
          <w:marRight w:val="0"/>
          <w:marTop w:val="0"/>
          <w:marBottom w:val="0"/>
          <w:divBdr>
            <w:top w:val="none" w:sz="0" w:space="0" w:color="auto"/>
            <w:left w:val="none" w:sz="0" w:space="0" w:color="auto"/>
            <w:bottom w:val="none" w:sz="0" w:space="0" w:color="auto"/>
            <w:right w:val="none" w:sz="0" w:space="0" w:color="auto"/>
          </w:divBdr>
        </w:div>
      </w:divsChild>
    </w:div>
    <w:div w:id="1436243337">
      <w:bodyDiv w:val="1"/>
      <w:marLeft w:val="0"/>
      <w:marRight w:val="0"/>
      <w:marTop w:val="0"/>
      <w:marBottom w:val="0"/>
      <w:divBdr>
        <w:top w:val="none" w:sz="0" w:space="0" w:color="auto"/>
        <w:left w:val="none" w:sz="0" w:space="0" w:color="auto"/>
        <w:bottom w:val="none" w:sz="0" w:space="0" w:color="auto"/>
        <w:right w:val="none" w:sz="0" w:space="0" w:color="auto"/>
      </w:divBdr>
    </w:div>
    <w:div w:id="1438138909">
      <w:bodyDiv w:val="1"/>
      <w:marLeft w:val="0"/>
      <w:marRight w:val="0"/>
      <w:marTop w:val="0"/>
      <w:marBottom w:val="0"/>
      <w:divBdr>
        <w:top w:val="none" w:sz="0" w:space="0" w:color="auto"/>
        <w:left w:val="none" w:sz="0" w:space="0" w:color="auto"/>
        <w:bottom w:val="none" w:sz="0" w:space="0" w:color="auto"/>
        <w:right w:val="none" w:sz="0" w:space="0" w:color="auto"/>
      </w:divBdr>
    </w:div>
    <w:div w:id="1667709481">
      <w:bodyDiv w:val="1"/>
      <w:marLeft w:val="0"/>
      <w:marRight w:val="0"/>
      <w:marTop w:val="0"/>
      <w:marBottom w:val="0"/>
      <w:divBdr>
        <w:top w:val="none" w:sz="0" w:space="0" w:color="auto"/>
        <w:left w:val="none" w:sz="0" w:space="0" w:color="auto"/>
        <w:bottom w:val="none" w:sz="0" w:space="0" w:color="auto"/>
        <w:right w:val="none" w:sz="0" w:space="0" w:color="auto"/>
      </w:divBdr>
    </w:div>
    <w:div w:id="1700162429">
      <w:bodyDiv w:val="1"/>
      <w:marLeft w:val="0"/>
      <w:marRight w:val="0"/>
      <w:marTop w:val="0"/>
      <w:marBottom w:val="0"/>
      <w:divBdr>
        <w:top w:val="none" w:sz="0" w:space="0" w:color="auto"/>
        <w:left w:val="none" w:sz="0" w:space="0" w:color="auto"/>
        <w:bottom w:val="none" w:sz="0" w:space="0" w:color="auto"/>
        <w:right w:val="none" w:sz="0" w:space="0" w:color="auto"/>
      </w:divBdr>
    </w:div>
    <w:div w:id="1802141279">
      <w:bodyDiv w:val="1"/>
      <w:marLeft w:val="0"/>
      <w:marRight w:val="0"/>
      <w:marTop w:val="0"/>
      <w:marBottom w:val="0"/>
      <w:divBdr>
        <w:top w:val="none" w:sz="0" w:space="0" w:color="auto"/>
        <w:left w:val="none" w:sz="0" w:space="0" w:color="auto"/>
        <w:bottom w:val="none" w:sz="0" w:space="0" w:color="auto"/>
        <w:right w:val="none" w:sz="0" w:space="0" w:color="auto"/>
      </w:divBdr>
    </w:div>
    <w:div w:id="1812137749">
      <w:bodyDiv w:val="1"/>
      <w:marLeft w:val="0"/>
      <w:marRight w:val="0"/>
      <w:marTop w:val="0"/>
      <w:marBottom w:val="0"/>
      <w:divBdr>
        <w:top w:val="none" w:sz="0" w:space="0" w:color="auto"/>
        <w:left w:val="none" w:sz="0" w:space="0" w:color="auto"/>
        <w:bottom w:val="none" w:sz="0" w:space="0" w:color="auto"/>
        <w:right w:val="none" w:sz="0" w:space="0" w:color="auto"/>
      </w:divBdr>
    </w:div>
    <w:div w:id="1842894564">
      <w:bodyDiv w:val="1"/>
      <w:marLeft w:val="0"/>
      <w:marRight w:val="0"/>
      <w:marTop w:val="0"/>
      <w:marBottom w:val="0"/>
      <w:divBdr>
        <w:top w:val="none" w:sz="0" w:space="0" w:color="auto"/>
        <w:left w:val="none" w:sz="0" w:space="0" w:color="auto"/>
        <w:bottom w:val="none" w:sz="0" w:space="0" w:color="auto"/>
        <w:right w:val="none" w:sz="0" w:space="0" w:color="auto"/>
      </w:divBdr>
    </w:div>
    <w:div w:id="1854763403">
      <w:bodyDiv w:val="1"/>
      <w:marLeft w:val="0"/>
      <w:marRight w:val="0"/>
      <w:marTop w:val="0"/>
      <w:marBottom w:val="0"/>
      <w:divBdr>
        <w:top w:val="none" w:sz="0" w:space="0" w:color="auto"/>
        <w:left w:val="none" w:sz="0" w:space="0" w:color="auto"/>
        <w:bottom w:val="none" w:sz="0" w:space="0" w:color="auto"/>
        <w:right w:val="none" w:sz="0" w:space="0" w:color="auto"/>
      </w:divBdr>
    </w:div>
    <w:div w:id="1875920446">
      <w:bodyDiv w:val="1"/>
      <w:marLeft w:val="0"/>
      <w:marRight w:val="0"/>
      <w:marTop w:val="0"/>
      <w:marBottom w:val="0"/>
      <w:divBdr>
        <w:top w:val="none" w:sz="0" w:space="0" w:color="auto"/>
        <w:left w:val="none" w:sz="0" w:space="0" w:color="auto"/>
        <w:bottom w:val="none" w:sz="0" w:space="0" w:color="auto"/>
        <w:right w:val="none" w:sz="0" w:space="0" w:color="auto"/>
      </w:divBdr>
    </w:div>
    <w:div w:id="1985161565">
      <w:bodyDiv w:val="1"/>
      <w:marLeft w:val="0"/>
      <w:marRight w:val="0"/>
      <w:marTop w:val="0"/>
      <w:marBottom w:val="0"/>
      <w:divBdr>
        <w:top w:val="none" w:sz="0" w:space="0" w:color="auto"/>
        <w:left w:val="none" w:sz="0" w:space="0" w:color="auto"/>
        <w:bottom w:val="none" w:sz="0" w:space="0" w:color="auto"/>
        <w:right w:val="none" w:sz="0" w:space="0" w:color="auto"/>
      </w:divBdr>
    </w:div>
    <w:div w:id="2029063728">
      <w:bodyDiv w:val="1"/>
      <w:marLeft w:val="0"/>
      <w:marRight w:val="0"/>
      <w:marTop w:val="0"/>
      <w:marBottom w:val="0"/>
      <w:divBdr>
        <w:top w:val="none" w:sz="0" w:space="0" w:color="auto"/>
        <w:left w:val="none" w:sz="0" w:space="0" w:color="auto"/>
        <w:bottom w:val="none" w:sz="0" w:space="0" w:color="auto"/>
        <w:right w:val="none" w:sz="0" w:space="0" w:color="auto"/>
      </w:divBdr>
    </w:div>
    <w:div w:id="2041934810">
      <w:bodyDiv w:val="1"/>
      <w:marLeft w:val="0"/>
      <w:marRight w:val="0"/>
      <w:marTop w:val="0"/>
      <w:marBottom w:val="0"/>
      <w:divBdr>
        <w:top w:val="none" w:sz="0" w:space="0" w:color="auto"/>
        <w:left w:val="none" w:sz="0" w:space="0" w:color="auto"/>
        <w:bottom w:val="none" w:sz="0" w:space="0" w:color="auto"/>
        <w:right w:val="none" w:sz="0" w:space="0" w:color="auto"/>
      </w:divBdr>
    </w:div>
    <w:div w:id="2063600995">
      <w:bodyDiv w:val="1"/>
      <w:marLeft w:val="0"/>
      <w:marRight w:val="0"/>
      <w:marTop w:val="0"/>
      <w:marBottom w:val="0"/>
      <w:divBdr>
        <w:top w:val="none" w:sz="0" w:space="0" w:color="auto"/>
        <w:left w:val="none" w:sz="0" w:space="0" w:color="auto"/>
        <w:bottom w:val="none" w:sz="0" w:space="0" w:color="auto"/>
        <w:right w:val="none" w:sz="0" w:space="0" w:color="auto"/>
      </w:divBdr>
    </w:div>
    <w:div w:id="2106028750">
      <w:bodyDiv w:val="1"/>
      <w:marLeft w:val="0"/>
      <w:marRight w:val="0"/>
      <w:marTop w:val="0"/>
      <w:marBottom w:val="0"/>
      <w:divBdr>
        <w:top w:val="none" w:sz="0" w:space="0" w:color="auto"/>
        <w:left w:val="none" w:sz="0" w:space="0" w:color="auto"/>
        <w:bottom w:val="none" w:sz="0" w:space="0" w:color="auto"/>
        <w:right w:val="none" w:sz="0" w:space="0" w:color="auto"/>
      </w:divBdr>
    </w:div>
    <w:div w:id="21073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ma.gov.au/consultations/2020-07/planning-options-3700-4200-mhz-band-consultation-222020" TargetMode="External"/><Relationship Id="rId21" Type="http://schemas.openxmlformats.org/officeDocument/2006/relationships/header" Target="header6.xml"/><Relationship Id="rId42" Type="http://schemas.openxmlformats.org/officeDocument/2006/relationships/hyperlink" Target="https://www.acma.gov.au/publications/2020-06/guide/apparatus-licence-fee-schedule" TargetMode="External"/><Relationship Id="rId47" Type="http://schemas.openxmlformats.org/officeDocument/2006/relationships/hyperlink" Target="https://www.acma.gov.au/consultations/2020-07/planning-options-3700-4200-mhz-band-consultation-222020" TargetMode="External"/><Relationship Id="rId63" Type="http://schemas.openxmlformats.org/officeDocument/2006/relationships/hyperlink" Target="https://www.legislation.gov.au/Details/F2018L00225/Html/Text" TargetMode="Externa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acma.gov.au" TargetMode="External"/><Relationship Id="rId29" Type="http://schemas.openxmlformats.org/officeDocument/2006/relationships/hyperlink" Target="https://obpr.pmc.gov.au/published-impact-analyses-and-reports/replanning-3700-4200-mhz-band" TargetMode="Externa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yperlink" Target="https://www.acma.gov.au/five-year-spectrum-outlook" TargetMode="External"/><Relationship Id="rId37" Type="http://schemas.openxmlformats.org/officeDocument/2006/relationships/image" Target="media/image5.png"/><Relationship Id="rId40" Type="http://schemas.openxmlformats.org/officeDocument/2006/relationships/hyperlink" Target="https://www.infrastructure.gov.au/department/media/publications/australian-communications-and-media-authority-statement-expectations" TargetMode="External"/><Relationship Id="rId45" Type="http://schemas.openxmlformats.org/officeDocument/2006/relationships/hyperlink" Target="https://www.acma.gov.au/consultations/2019-09/planning-3700-4200-mhz-band-consultation-272019" TargetMode="External"/><Relationship Id="rId53" Type="http://schemas.openxmlformats.org/officeDocument/2006/relationships/hyperlink" Target="https://www.acma.gov.au/consultations/2023-02/draft-allocation-and-technical-instruments-3437-ghz-bands-auction?utm_medium=email&amp;utm_campaign=Draft%20allocation%20and%20technical%20instruments%20for%20the%203437%20GHz%20bands%20auction&amp;utm_content=Draft%20allocation%20and%20technical%20instruments%20for%20the%203437%20GHz%20bands%20auction+CID_f28942993f10b21294aa1cd2053b038b&amp;utm_source=SendEmailCampaigns&amp;utm_term=prepared%20a%20consultation%20paper" TargetMode="External"/><Relationship Id="rId58" Type="http://schemas.openxmlformats.org/officeDocument/2006/relationships/header" Target="header8.xml"/><Relationship Id="rId66" Type="http://schemas.openxmlformats.org/officeDocument/2006/relationships/hyperlink" Target="https://www.acma.gov.au/australian-spectrum-map-grid" TargetMode="External"/><Relationship Id="rId5" Type="http://schemas.openxmlformats.org/officeDocument/2006/relationships/footnotes" Target="footnotes.xml"/><Relationship Id="rId61" Type="http://schemas.openxmlformats.org/officeDocument/2006/relationships/footer" Target="footer10.xml"/><Relationship Id="rId19" Type="http://schemas.openxmlformats.org/officeDocument/2006/relationships/footer" Target="footer4.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hyperlink" Target="https://www.acma.gov.au/consultations/2019-08/optimising-3400-3575-mhz-band-consultation-122019" TargetMode="External"/><Relationship Id="rId30" Type="http://schemas.openxmlformats.org/officeDocument/2006/relationships/hyperlink" Target="https://www.acma.gov.au/allocating-34-40-ghz-band" TargetMode="External"/><Relationship Id="rId35" Type="http://schemas.openxmlformats.org/officeDocument/2006/relationships/hyperlink" Target="https://www.acma.gov.au/five-year-spectrum-outlook" TargetMode="External"/><Relationship Id="rId43" Type="http://schemas.openxmlformats.org/officeDocument/2006/relationships/hyperlink" Target="https://www.acma.gov.au/consultations/2019-08/optimising-3400-3575-mhz-band-consultation-122019" TargetMode="External"/><Relationship Id="rId48" Type="http://schemas.openxmlformats.org/officeDocument/2006/relationships/hyperlink" Target="https://www.acma.gov.au/spectrum-licence-technical-liaison-groups" TargetMode="External"/><Relationship Id="rId56" Type="http://schemas.openxmlformats.org/officeDocument/2006/relationships/hyperlink" Target="https://www.legislation.gov.au/" TargetMode="External"/><Relationship Id="rId64" Type="http://schemas.openxmlformats.org/officeDocument/2006/relationships/hyperlink" Target="https://www.legislation.gov.au/Details/F2018L00221" TargetMode="External"/><Relationship Id="rId69"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s://www.acma.gov.au/spectrum-tune-ups"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image" Target="media/image4.png"/><Relationship Id="rId38" Type="http://schemas.openxmlformats.org/officeDocument/2006/relationships/hyperlink" Target="https://www.legislation.gov.au/Series/C2004A04465" TargetMode="External"/><Relationship Id="rId46" Type="http://schemas.openxmlformats.org/officeDocument/2006/relationships/hyperlink" Target="https://www.wispau.org/" TargetMode="External"/><Relationship Id="rId59" Type="http://schemas.openxmlformats.org/officeDocument/2006/relationships/header" Target="header9.xml"/><Relationship Id="rId67" Type="http://schemas.openxmlformats.org/officeDocument/2006/relationships/hyperlink" Target="https://www.acma.gov.au/convert-hcis-area-description-placemark" TargetMode="External"/><Relationship Id="rId20" Type="http://schemas.openxmlformats.org/officeDocument/2006/relationships/footer" Target="footer5.xml"/><Relationship Id="rId41" Type="http://schemas.openxmlformats.org/officeDocument/2006/relationships/hyperlink" Target="https://www.acma.gov.au/publications/2019-08/instruction/rali-fx14-point-multipoint-fixed-services-specified-parts-34-35-ghz-band" TargetMode="External"/><Relationship Id="rId54" Type="http://schemas.openxmlformats.org/officeDocument/2006/relationships/hyperlink" Target="https://www.acma.gov.au/consultations/2023-02/draft-allocation-and-technical-instruments-3437-ghz-bands-auction?utm_medium=email&amp;utm_campaign=Draft%20allocation%20and%20technical%20instruments%20for%20the%203437%20GHz%20bands%20auction&amp;utm_content=Draft%20allocation%20and%20technical%20instruments%20for%20the%203437%20GHz%20bands%20auction+CID_f28942993f10b21294aa1cd2053b038b&amp;utm_source=SendEmailCampaigns&amp;utm_term=prepared%20a%20consultation%20paper" TargetMode="External"/><Relationship Id="rId62" Type="http://schemas.openxmlformats.org/officeDocument/2006/relationships/hyperlink" Target="https://web.acma.gov.au/rrl/browse_licences.cat_listing"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eativecommons.org/licenses/by/4.0/" TargetMode="External"/><Relationship Id="rId23" Type="http://schemas.openxmlformats.org/officeDocument/2006/relationships/footer" Target="footer6.xml"/><Relationship Id="rId28" Type="http://schemas.openxmlformats.org/officeDocument/2006/relationships/hyperlink" Target="https://obpr.pmc.gov.au/published-impact-analyses-and-reports/optimisation-arrangements-3400-3575-mhz-band" TargetMode="External"/><Relationship Id="rId36" Type="http://schemas.openxmlformats.org/officeDocument/2006/relationships/hyperlink" Target="https://www.acma.gov.au/publications/2020-02/guide/area-wide-licensing-acma-approach-introducing-area-wide-licences" TargetMode="External"/><Relationship Id="rId49" Type="http://schemas.openxmlformats.org/officeDocument/2006/relationships/hyperlink" Target="https://www.acma.gov.au/consultations/2022-02/allocation-awls-34-40-ghz-band-remote-australia-ifc-112022" TargetMode="External"/><Relationship Id="rId57" Type="http://schemas.openxmlformats.org/officeDocument/2006/relationships/hyperlink" Target="https://www.acma.gov.au/publications/2022-09/plan/five-year-spectrum-outlook-2022-27" TargetMode="External"/><Relationship Id="rId10" Type="http://schemas.openxmlformats.org/officeDocument/2006/relationships/footer" Target="footer2.xml"/><Relationship Id="rId31" Type="http://schemas.openxmlformats.org/officeDocument/2006/relationships/hyperlink" Target="http://www.legislation.gov.au/Series/F2015L00322" TargetMode="External"/><Relationship Id="rId44" Type="http://schemas.openxmlformats.org/officeDocument/2006/relationships/hyperlink" Target="https://www.acma.gov.au/consultations/2020-07/planning-options-3700-4200-mhz-band-consultation-222020" TargetMode="External"/><Relationship Id="rId52" Type="http://schemas.openxmlformats.org/officeDocument/2006/relationships/hyperlink" Target="https://www.acma.gov.au/consultations/2023-02/draft-allocation-and-technical-instruments-3437-ghz-bands-auction?utm_medium=email&amp;utm_campaign=Draft%20allocation%20and%20technical%20instruments%20for%20the%203437%20GHz%20bands%20auction&amp;utm_content=Draft%20allocation%20and%20technical%20instruments%20for%20the%203437%20GHz%20bands%20auction+CID_f28942993f10b21294aa1cd2053b038b&amp;utm_source=SendEmailCampaigns&amp;utm_term=prepared%20a%20consultation%20paper" TargetMode="External"/><Relationship Id="rId60" Type="http://schemas.openxmlformats.org/officeDocument/2006/relationships/footer" Target="footer9.xml"/><Relationship Id="rId65" Type="http://schemas.openxmlformats.org/officeDocument/2006/relationships/hyperlink" Target="https://www.legislation.gov.au/Details/F2018L00222"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i.creativecommons.org/l/by/3.0/88x31.png" TargetMode="External"/><Relationship Id="rId18" Type="http://schemas.openxmlformats.org/officeDocument/2006/relationships/header" Target="header5.xml"/><Relationship Id="rId39" Type="http://schemas.openxmlformats.org/officeDocument/2006/relationships/hyperlink" Target="https://www.legislation.gov.au/Details/F2022N00015" TargetMode="External"/><Relationship Id="rId34" Type="http://schemas.openxmlformats.org/officeDocument/2006/relationships/hyperlink" Target="https://www.ericsson.com/en/reports-and-papers/mobility-report" TargetMode="External"/><Relationship Id="rId50" Type="http://schemas.openxmlformats.org/officeDocument/2006/relationships/hyperlink" Target="https://www.acma.gov.au/consultations/2022-02/allocation-awls-34-40-ghz-band-remote-australia-ifc-112022" TargetMode="External"/><Relationship Id="rId55" Type="http://schemas.openxmlformats.org/officeDocument/2006/relationships/hyperlink" Target="https://www.acma.gov.au/consultations/2023-02/draft-allocation-and-technical-instruments-3437-ghz-bands-auction?utm_medium=email&amp;utm_campaign=Draft%20allocation%20and%20technical%20instruments%20for%20the%203437%20GHz%20bands%20auction&amp;utm_content=Draft%20allocation%20and%20technical%20instruments%20for%20the%203437%20GHz%20bands%20auction+CID_f28942993f10b21294aa1cd2053b038b&amp;utm_source=SendEmailCampaigns&amp;utm_term=prepared%20a%20consultation%20paper" TargetMode="External"/><Relationship Id="rId7" Type="http://schemas.openxmlformats.org/officeDocument/2006/relationships/header" Target="header1.xml"/><Relationship Id="rId71"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ma.gov.au/spectrum-tune-ups" TargetMode="External"/><Relationship Id="rId3" Type="http://schemas.openxmlformats.org/officeDocument/2006/relationships/hyperlink" Target="https://www.analysysmason.com/research/content/articles/research-tmt-predictions-2022/" TargetMode="External"/><Relationship Id="rId7" Type="http://schemas.openxmlformats.org/officeDocument/2006/relationships/hyperlink" Target="https://obpr.pmc.gov.au/published-impact-analyses-and-reports/replanning-3700-4200-mhz-band" TargetMode="External"/><Relationship Id="rId2" Type="http://schemas.openxmlformats.org/officeDocument/2006/relationships/hyperlink" Target="https://www.acma.gov.au/spectrum-auctions" TargetMode="External"/><Relationship Id="rId1" Type="http://schemas.openxmlformats.org/officeDocument/2006/relationships/hyperlink" Target="https://www.acma.gov.au/area-wide-apparatus-licensing-26-and-28-ghz-bands" TargetMode="External"/><Relationship Id="rId6" Type="http://schemas.openxmlformats.org/officeDocument/2006/relationships/hyperlink" Target="https://obpr.pmc.gov.au/published-impact-analyses-and-reports/optimisation-arrangements-3400-3575-mhz-band" TargetMode="External"/><Relationship Id="rId5" Type="http://schemas.openxmlformats.org/officeDocument/2006/relationships/hyperlink" Target="https://www.acma.gov.au/australian-spectrum-map-grid" TargetMode="External"/><Relationship Id="rId10" Type="http://schemas.openxmlformats.org/officeDocument/2006/relationships/hyperlink" Target="https://www.acma.gov.au/publications/2019-08/instruction/rali-ms32-mid-west-radio-quiet-zone" TargetMode="External"/><Relationship Id="rId4" Type="http://schemas.openxmlformats.org/officeDocument/2006/relationships/hyperlink" Target="https://www.ericsson.com/en/reports-and-papers/mobility-report" TargetMode="External"/><Relationship Id="rId9" Type="http://schemas.openxmlformats.org/officeDocument/2006/relationships/hyperlink" Target="https://www.acma.gov.au/five-year-spectrum-outl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DOCID-322795542-34084</_dlc_DocId>
    <_dlc_DocIdUrl xmlns="4195ad5f-cdf2-4c4a-8d9b-b7944a108e98">
      <Url>https://pmc01.sharepoint.com/sites/CRMOBPR/_layouts/15/DocIdRedir.aspx?ID=DOCID-322795542-34084</Url>
      <Description>DOCID-322795542-34084</Description>
    </_dlc_DocIdUrl>
  </documentManagement>
</p:properties>
</file>

<file path=customXml/itemProps1.xml><?xml version="1.0" encoding="utf-8"?>
<ds:datastoreItem xmlns:ds="http://schemas.openxmlformats.org/officeDocument/2006/customXml" ds:itemID="{EE8E25A8-818C-48FE-A7D8-63B0EF6BCAF2}"/>
</file>

<file path=customXml/itemProps2.xml><?xml version="1.0" encoding="utf-8"?>
<ds:datastoreItem xmlns:ds="http://schemas.openxmlformats.org/officeDocument/2006/customXml" ds:itemID="{49325BE7-3FED-4F29-A014-E1F09E1626BD}"/>
</file>

<file path=customXml/itemProps3.xml><?xml version="1.0" encoding="utf-8"?>
<ds:datastoreItem xmlns:ds="http://schemas.openxmlformats.org/officeDocument/2006/customXml" ds:itemID="{018D2CC4-D061-4E84-9E66-5E617EB40272}"/>
</file>

<file path=customXml/itemProps4.xml><?xml version="1.0" encoding="utf-8"?>
<ds:datastoreItem xmlns:ds="http://schemas.openxmlformats.org/officeDocument/2006/customXml" ds:itemID="{E1161FC6-5930-4525-8B46-28BB796411DD}"/>
</file>

<file path=docProps/app.xml><?xml version="1.0" encoding="utf-8"?>
<Properties xmlns="http://schemas.openxmlformats.org/officeDocument/2006/extended-properties" xmlns:vt="http://schemas.openxmlformats.org/officeDocument/2006/docPropsVTypes">
  <Template>Normal</Template>
  <TotalTime>0</TotalTime>
  <Pages>31</Pages>
  <Words>8267</Words>
  <Characters>48494</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2023-06-20T05:26:00Z</dcterms:created>
  <dcterms:modified xsi:type="dcterms:W3CDTF">2023-06-20T05:26:00Z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fef0b979-8464-41c7-b984-13fb39088e23</vt:lpwstr>
  </property>
</Properties>
</file>