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diagrams/data2.xml" ContentType="application/vnd.openxmlformats-officedocument.drawingml.diagramData+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layout2.xml" ContentType="application/vnd.openxmlformats-officedocument.drawingml.diagramLayout+xml"/>
  <Override PartName="/word/diagrams/layout1.xml" ContentType="application/vnd.openxmlformats-officedocument.drawingml.diagramLayout+xml"/>
  <Override PartName="/word/diagrams/colors1.xml" ContentType="application/vnd.openxmlformats-officedocument.drawingml.diagramColors+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theme/theme1.xml" ContentType="application/vnd.openxmlformats-officedocument.theme+xml"/>
  <Override PartName="/word/diagrams/quickStyle1.xml" ContentType="application/vnd.openxmlformats-officedocument.drawingml.diagramStyle+xml"/>
  <Override PartName="/word/diagrams/drawing1.xml" ContentType="application/vnd.ms-office.drawingml.diagramDrawing+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F1F50" w14:textId="24454459" w:rsidR="0094433F" w:rsidRPr="00E67A4C" w:rsidRDefault="00CF6E59" w:rsidP="0094433F">
      <w:pPr>
        <w:ind w:left="-1134"/>
        <w:jc w:val="center"/>
        <w:rPr>
          <w:rFonts w:ascii="Arial" w:hAnsi="Arial" w:cs="Arial"/>
          <w:b/>
          <w:sz w:val="36"/>
          <w:szCs w:val="36"/>
        </w:rPr>
      </w:pPr>
      <w:r w:rsidRPr="00E67A4C">
        <w:rPr>
          <w:noProof/>
          <w:lang w:eastAsia="en-AU"/>
        </w:rPr>
        <w:drawing>
          <wp:inline distT="0" distB="0" distL="0" distR="0" wp14:anchorId="06416B22" wp14:editId="105BC8D3">
            <wp:extent cx="6664450" cy="1409700"/>
            <wp:effectExtent l="0" t="0" r="3175" b="0"/>
            <wp:docPr id="1" name="Picture 3" descr="Joint Food Regulation System" title="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Joint Food Regulation System" title="Banner"/>
                    <pic:cNvPicPr/>
                  </pic:nvPicPr>
                  <pic:blipFill>
                    <a:blip r:embed="rId11">
                      <a:extLst>
                        <a:ext uri="{28A0092B-C50C-407E-A947-70E740481C1C}">
                          <a14:useLocalDpi xmlns:a14="http://schemas.microsoft.com/office/drawing/2010/main" val="0"/>
                        </a:ext>
                      </a:extLst>
                    </a:blip>
                    <a:stretch>
                      <a:fillRect/>
                    </a:stretch>
                  </pic:blipFill>
                  <pic:spPr>
                    <a:xfrm>
                      <a:off x="0" y="0"/>
                      <a:ext cx="6664450" cy="1409700"/>
                    </a:xfrm>
                    <a:prstGeom prst="rect">
                      <a:avLst/>
                    </a:prstGeom>
                  </pic:spPr>
                </pic:pic>
              </a:graphicData>
            </a:graphic>
          </wp:inline>
        </w:drawing>
      </w:r>
    </w:p>
    <w:p w14:paraId="175132B5" w14:textId="72B87C27" w:rsidR="0094433F" w:rsidRPr="00E67A4C" w:rsidRDefault="0094433F" w:rsidP="0094433F">
      <w:pPr>
        <w:jc w:val="center"/>
        <w:rPr>
          <w:rFonts w:ascii="Arial" w:hAnsi="Arial" w:cs="Arial"/>
          <w:b/>
          <w:sz w:val="36"/>
          <w:szCs w:val="36"/>
        </w:rPr>
      </w:pPr>
    </w:p>
    <w:p w14:paraId="2112F9C9" w14:textId="77777777" w:rsidR="0094433F" w:rsidRPr="00E67A4C" w:rsidRDefault="0094433F" w:rsidP="0094433F">
      <w:pPr>
        <w:jc w:val="center"/>
        <w:rPr>
          <w:rFonts w:ascii="Arial" w:hAnsi="Arial" w:cs="Arial"/>
          <w:b/>
          <w:sz w:val="36"/>
          <w:szCs w:val="36"/>
        </w:rPr>
      </w:pPr>
    </w:p>
    <w:p w14:paraId="7005580D" w14:textId="746F8BAB" w:rsidR="0094433F" w:rsidRPr="00E67A4C" w:rsidRDefault="0094433F" w:rsidP="0094433F">
      <w:pPr>
        <w:jc w:val="center"/>
        <w:rPr>
          <w:rFonts w:ascii="Arial" w:hAnsi="Arial" w:cs="Arial"/>
          <w:b/>
          <w:sz w:val="36"/>
          <w:szCs w:val="36"/>
        </w:rPr>
      </w:pPr>
    </w:p>
    <w:p w14:paraId="354CDC80" w14:textId="1468F988" w:rsidR="0094433F" w:rsidRPr="00636434" w:rsidRDefault="00573BA6" w:rsidP="0094433F">
      <w:pPr>
        <w:jc w:val="center"/>
        <w:rPr>
          <w:b/>
          <w:sz w:val="48"/>
          <w:szCs w:val="48"/>
        </w:rPr>
      </w:pPr>
      <w:r>
        <w:rPr>
          <w:b/>
          <w:sz w:val="48"/>
          <w:szCs w:val="48"/>
        </w:rPr>
        <w:t>DECISION</w:t>
      </w:r>
      <w:r w:rsidR="0094433F" w:rsidRPr="00636434">
        <w:rPr>
          <w:b/>
          <w:sz w:val="48"/>
          <w:szCs w:val="48"/>
        </w:rPr>
        <w:t xml:space="preserve"> Regulation Impact Statement:</w:t>
      </w:r>
    </w:p>
    <w:p w14:paraId="60B3F5C3" w14:textId="38807A26" w:rsidR="003E3E51" w:rsidRPr="00636434" w:rsidRDefault="003E3E51" w:rsidP="0094433F">
      <w:pPr>
        <w:jc w:val="center"/>
        <w:rPr>
          <w:b/>
          <w:sz w:val="48"/>
          <w:szCs w:val="48"/>
        </w:rPr>
      </w:pPr>
    </w:p>
    <w:p w14:paraId="3B5F270F" w14:textId="77777777" w:rsidR="00AE68CF" w:rsidRPr="00636434" w:rsidRDefault="0033671D" w:rsidP="0094433F">
      <w:pPr>
        <w:jc w:val="center"/>
        <w:rPr>
          <w:b/>
          <w:i/>
          <w:sz w:val="48"/>
          <w:szCs w:val="48"/>
        </w:rPr>
      </w:pPr>
      <w:r w:rsidRPr="00636434">
        <w:rPr>
          <w:b/>
          <w:i/>
          <w:sz w:val="48"/>
          <w:szCs w:val="48"/>
        </w:rPr>
        <w:t>M</w:t>
      </w:r>
      <w:r w:rsidR="009826B2" w:rsidRPr="00636434">
        <w:rPr>
          <w:b/>
          <w:i/>
          <w:sz w:val="48"/>
          <w:szCs w:val="48"/>
        </w:rPr>
        <w:t>enu labelling</w:t>
      </w:r>
      <w:r w:rsidRPr="00636434">
        <w:rPr>
          <w:b/>
          <w:i/>
          <w:sz w:val="48"/>
          <w:szCs w:val="48"/>
        </w:rPr>
        <w:t xml:space="preserve"> in Australia and </w:t>
      </w:r>
    </w:p>
    <w:p w14:paraId="4DA67C1B" w14:textId="6791E645" w:rsidR="0094433F" w:rsidRDefault="0033671D" w:rsidP="0094433F">
      <w:pPr>
        <w:jc w:val="center"/>
        <w:rPr>
          <w:b/>
          <w:i/>
          <w:sz w:val="48"/>
          <w:szCs w:val="48"/>
        </w:rPr>
      </w:pPr>
      <w:r w:rsidRPr="00636434">
        <w:rPr>
          <w:b/>
          <w:i/>
          <w:sz w:val="48"/>
          <w:szCs w:val="48"/>
        </w:rPr>
        <w:t>New Zealand</w:t>
      </w:r>
    </w:p>
    <w:p w14:paraId="633BD23C" w14:textId="786097AA" w:rsidR="009E1B1C" w:rsidRDefault="009E1B1C" w:rsidP="0094433F">
      <w:pPr>
        <w:jc w:val="center"/>
        <w:rPr>
          <w:b/>
          <w:i/>
          <w:sz w:val="48"/>
          <w:szCs w:val="48"/>
        </w:rPr>
      </w:pPr>
    </w:p>
    <w:p w14:paraId="74E3292B" w14:textId="636162D0" w:rsidR="006A2A19" w:rsidRPr="009E1B1C" w:rsidRDefault="009E1B1C" w:rsidP="009E1B1C">
      <w:pPr>
        <w:jc w:val="center"/>
        <w:rPr>
          <w:b/>
          <w:i/>
          <w:sz w:val="48"/>
          <w:szCs w:val="48"/>
        </w:rPr>
      </w:pPr>
      <w:r>
        <w:rPr>
          <w:b/>
          <w:i/>
          <w:sz w:val="48"/>
          <w:szCs w:val="48"/>
        </w:rPr>
        <w:t xml:space="preserve">Policy </w:t>
      </w:r>
      <w:r w:rsidRPr="00E45CA5">
        <w:rPr>
          <w:b/>
          <w:i/>
          <w:sz w:val="48"/>
          <w:szCs w:val="48"/>
        </w:rPr>
        <w:t>Guidance for d</w:t>
      </w:r>
      <w:r w:rsidR="006A2A19" w:rsidRPr="00E45CA5">
        <w:rPr>
          <w:b/>
          <w:i/>
          <w:sz w:val="48"/>
          <w:szCs w:val="48"/>
        </w:rPr>
        <w:t xml:space="preserve">isplaying and providing energy information for standard food items </w:t>
      </w:r>
      <w:r w:rsidR="00BF3AA4" w:rsidRPr="00E45CA5">
        <w:rPr>
          <w:b/>
          <w:i/>
          <w:sz w:val="48"/>
          <w:szCs w:val="48"/>
        </w:rPr>
        <w:t xml:space="preserve">on menus and </w:t>
      </w:r>
      <w:r w:rsidR="006A2A19" w:rsidRPr="00E45CA5">
        <w:rPr>
          <w:b/>
          <w:i/>
          <w:sz w:val="48"/>
          <w:szCs w:val="48"/>
        </w:rPr>
        <w:t>at the point-of-sale in standard food outlets</w:t>
      </w:r>
    </w:p>
    <w:p w14:paraId="0FEA7AE0" w14:textId="31789B0C" w:rsidR="008C3F43" w:rsidRPr="00636434" w:rsidRDefault="008C3F43" w:rsidP="0094433F">
      <w:pPr>
        <w:jc w:val="center"/>
        <w:rPr>
          <w:b/>
          <w:i/>
          <w:sz w:val="48"/>
          <w:szCs w:val="48"/>
        </w:rPr>
      </w:pPr>
    </w:p>
    <w:p w14:paraId="32B09E67" w14:textId="6306F386" w:rsidR="001F21AA" w:rsidRPr="006A01BA" w:rsidRDefault="006A01BA" w:rsidP="0094433F">
      <w:pPr>
        <w:jc w:val="center"/>
        <w:rPr>
          <w:b/>
          <w:iCs/>
          <w:sz w:val="48"/>
          <w:szCs w:val="48"/>
        </w:rPr>
      </w:pPr>
      <w:r w:rsidRPr="006A01BA">
        <w:rPr>
          <w:b/>
          <w:iCs/>
          <w:sz w:val="48"/>
          <w:szCs w:val="48"/>
        </w:rPr>
        <w:t>202</w:t>
      </w:r>
      <w:r w:rsidR="005D34E3">
        <w:rPr>
          <w:b/>
          <w:iCs/>
          <w:sz w:val="48"/>
          <w:szCs w:val="48"/>
        </w:rPr>
        <w:t>2</w:t>
      </w:r>
    </w:p>
    <w:p w14:paraId="4ED355A5" w14:textId="77777777" w:rsidR="00E11379" w:rsidRDefault="00E11379" w:rsidP="00FC5B8F">
      <w:pPr>
        <w:jc w:val="center"/>
        <w:rPr>
          <w:rFonts w:ascii="Arial" w:hAnsi="Arial" w:cs="Arial"/>
          <w:b/>
          <w:sz w:val="36"/>
          <w:szCs w:val="36"/>
        </w:rPr>
      </w:pPr>
    </w:p>
    <w:p w14:paraId="614EE2F2" w14:textId="05F0D456" w:rsidR="004D3393" w:rsidRDefault="004D3393" w:rsidP="00FC5B8F">
      <w:pPr>
        <w:jc w:val="center"/>
        <w:rPr>
          <w:rFonts w:ascii="Arial" w:hAnsi="Arial" w:cs="Arial"/>
          <w:b/>
          <w:sz w:val="36"/>
          <w:szCs w:val="36"/>
        </w:rPr>
      </w:pPr>
    </w:p>
    <w:p w14:paraId="151E04C6" w14:textId="3134BC40" w:rsidR="00E43B20" w:rsidRPr="004D3393" w:rsidRDefault="00E43B20" w:rsidP="00FC5B8F">
      <w:pPr>
        <w:jc w:val="center"/>
        <w:rPr>
          <w:rFonts w:ascii="Arial" w:hAnsi="Arial" w:cs="Arial"/>
          <w:b/>
          <w:color w:val="FF0000"/>
          <w:sz w:val="36"/>
          <w:szCs w:val="36"/>
        </w:rPr>
        <w:sectPr w:rsidR="00E43B20" w:rsidRPr="004D3393" w:rsidSect="00D3659C">
          <w:headerReference w:type="default" r:id="rId12"/>
          <w:pgSz w:w="11906" w:h="16838"/>
          <w:pgMar w:top="1134" w:right="1418" w:bottom="1134" w:left="1418" w:header="708" w:footer="708" w:gutter="0"/>
          <w:cols w:space="708"/>
          <w:titlePg/>
          <w:docGrid w:linePitch="360"/>
        </w:sectPr>
      </w:pPr>
    </w:p>
    <w:p w14:paraId="7DC3E714" w14:textId="214C6B5C" w:rsidR="0004125A" w:rsidRPr="00812051" w:rsidRDefault="0004125A" w:rsidP="00F6154A">
      <w:pPr>
        <w:pStyle w:val="Heading2"/>
        <w:rPr>
          <w:rStyle w:val="Heading1Char"/>
          <w:rFonts w:ascii="Times New Roman" w:hAnsi="Times New Roman" w:cs="Times New Roman"/>
          <w:b/>
          <w:bCs/>
          <w:kern w:val="0"/>
          <w:szCs w:val="28"/>
        </w:rPr>
      </w:pPr>
      <w:bookmarkStart w:id="0" w:name="_Toc385256257"/>
      <w:bookmarkStart w:id="1" w:name="_Toc426380819"/>
      <w:bookmarkStart w:id="2" w:name="_Toc426380884"/>
      <w:bookmarkStart w:id="3" w:name="_Toc426380915"/>
      <w:bookmarkStart w:id="4" w:name="_Toc91189668"/>
      <w:bookmarkStart w:id="5" w:name="_Toc24103519"/>
      <w:bookmarkStart w:id="6" w:name="_Toc505871606"/>
      <w:r w:rsidRPr="00812051">
        <w:rPr>
          <w:rStyle w:val="Heading1Char"/>
          <w:rFonts w:ascii="Times New Roman" w:hAnsi="Times New Roman" w:cs="Times New Roman"/>
          <w:b/>
          <w:bCs/>
          <w:kern w:val="0"/>
          <w:szCs w:val="28"/>
        </w:rPr>
        <w:lastRenderedPageBreak/>
        <w:t>Executive summary</w:t>
      </w:r>
      <w:bookmarkEnd w:id="0"/>
      <w:bookmarkEnd w:id="1"/>
      <w:bookmarkEnd w:id="2"/>
      <w:bookmarkEnd w:id="3"/>
      <w:bookmarkEnd w:id="4"/>
    </w:p>
    <w:bookmarkEnd w:id="5"/>
    <w:p w14:paraId="3E1B8524" w14:textId="40CF9670" w:rsidR="003D64F3" w:rsidRDefault="003D64F3" w:rsidP="009C7324">
      <w:pPr>
        <w:pStyle w:val="Bodytext-TMRfont12"/>
      </w:pPr>
    </w:p>
    <w:p w14:paraId="346E8B43" w14:textId="69E9107D" w:rsidR="009D14E3" w:rsidRDefault="003D64F3" w:rsidP="00D81ECE">
      <w:pPr>
        <w:jc w:val="both"/>
      </w:pPr>
      <w:r w:rsidRPr="00E45CA5">
        <w:t xml:space="preserve">Menu labelling refers to the provision of nutritional information about food and drinks on menus to inform purchasing and consumption decisions. For this paper, menu labelling is limited to </w:t>
      </w:r>
      <w:r w:rsidR="00794186">
        <w:t xml:space="preserve">providing information on the </w:t>
      </w:r>
      <w:r w:rsidRPr="00E45CA5">
        <w:t xml:space="preserve">energy (kilojoules) </w:t>
      </w:r>
      <w:r w:rsidR="00824BBC">
        <w:t>content of</w:t>
      </w:r>
      <w:r w:rsidRPr="00E45CA5">
        <w:t xml:space="preserve"> standard food items</w:t>
      </w:r>
      <w:r w:rsidRPr="00E45CA5">
        <w:rPr>
          <w:rStyle w:val="FootnoteReference"/>
        </w:rPr>
        <w:footnoteReference w:id="2"/>
      </w:r>
      <w:r w:rsidRPr="00E45CA5">
        <w:t xml:space="preserve"> sold at standard food outlets</w:t>
      </w:r>
      <w:r w:rsidRPr="00E45CA5">
        <w:rPr>
          <w:rStyle w:val="FootnoteReference"/>
        </w:rPr>
        <w:footnoteReference w:id="3"/>
      </w:r>
      <w:r w:rsidRPr="00E45CA5">
        <w:t xml:space="preserve"> </w:t>
      </w:r>
      <w:r w:rsidR="00F20F00">
        <w:t xml:space="preserve">– </w:t>
      </w:r>
      <w:r w:rsidR="00F343B0">
        <w:t xml:space="preserve">that is, </w:t>
      </w:r>
      <w:r w:rsidR="00F343B0" w:rsidRPr="00E67A4C">
        <w:t xml:space="preserve">ready-to-eat food and drinks </w:t>
      </w:r>
      <w:r w:rsidR="00F343B0">
        <w:t xml:space="preserve">standardised for portion and content </w:t>
      </w:r>
      <w:r w:rsidR="00F343B0" w:rsidRPr="00E67A4C">
        <w:t>that are not required to bear a label</w:t>
      </w:r>
      <w:r w:rsidR="00F343B0" w:rsidRPr="00E67A4C">
        <w:rPr>
          <w:rStyle w:val="FootnoteReference"/>
        </w:rPr>
        <w:footnoteReference w:id="4"/>
      </w:r>
      <w:r w:rsidR="00F343B0">
        <w:t xml:space="preserve"> and which are sold by businesses including quick-service restaurants / fast food outlets, snack food and drink chains, bakery chains, convenience stores and supermarkets</w:t>
      </w:r>
      <w:r w:rsidRPr="00E45CA5">
        <w:t xml:space="preserve">. </w:t>
      </w:r>
    </w:p>
    <w:p w14:paraId="3A49BF89" w14:textId="798AF293" w:rsidR="00C0414E" w:rsidRDefault="00C0414E" w:rsidP="00D81ECE">
      <w:pPr>
        <w:jc w:val="both"/>
      </w:pPr>
    </w:p>
    <w:p w14:paraId="53236637" w14:textId="41A10EFD" w:rsidR="0085572F" w:rsidRDefault="00160626" w:rsidP="001465D1">
      <w:pPr>
        <w:spacing w:after="40"/>
        <w:jc w:val="both"/>
      </w:pPr>
      <w:r>
        <w:rPr>
          <w:lang w:eastAsia="zh-CN" w:bidi="th-TH"/>
        </w:rPr>
        <w:t xml:space="preserve">Menu labelling </w:t>
      </w:r>
      <w:r w:rsidR="00B22EF5">
        <w:rPr>
          <w:lang w:eastAsia="zh-CN" w:bidi="th-TH"/>
        </w:rPr>
        <w:t xml:space="preserve">aims to facilitate informed purchase decisions by providing </w:t>
      </w:r>
      <w:r>
        <w:rPr>
          <w:lang w:eastAsia="zh-CN" w:bidi="th-TH"/>
        </w:rPr>
        <w:t xml:space="preserve">all Australians and New Zealanders </w:t>
      </w:r>
      <w:r w:rsidR="009A75A4">
        <w:rPr>
          <w:lang w:eastAsia="zh-CN" w:bidi="th-TH"/>
        </w:rPr>
        <w:t xml:space="preserve">with </w:t>
      </w:r>
      <w:r>
        <w:rPr>
          <w:lang w:eastAsia="zh-CN" w:bidi="th-TH"/>
        </w:rPr>
        <w:t>access to information at the point-of-sale about the energy content of ready-to-eat food and drinks</w:t>
      </w:r>
      <w:r w:rsidRPr="00E45CA5">
        <w:rPr>
          <w:lang w:eastAsia="zh-CN" w:bidi="th-TH"/>
        </w:rPr>
        <w:t xml:space="preserve">. </w:t>
      </w:r>
      <w:r w:rsidR="001C70A3">
        <w:rPr>
          <w:lang w:eastAsia="zh-CN" w:bidi="th-TH"/>
        </w:rPr>
        <w:t>M</w:t>
      </w:r>
      <w:r w:rsidRPr="00E45CA5">
        <w:rPr>
          <w:lang w:eastAsia="zh-CN" w:bidi="th-TH"/>
        </w:rPr>
        <w:t xml:space="preserve">enu labelling </w:t>
      </w:r>
      <w:r w:rsidR="001C70A3">
        <w:rPr>
          <w:lang w:eastAsia="zh-CN" w:bidi="th-TH"/>
        </w:rPr>
        <w:t xml:space="preserve">is also intended to </w:t>
      </w:r>
      <w:r w:rsidRPr="00E45CA5">
        <w:rPr>
          <w:lang w:eastAsia="zh-CN" w:bidi="th-TH"/>
        </w:rPr>
        <w:t xml:space="preserve">support healthier food choices and contribute to the prevention of obesity and diet-related chronic diseases, thus providing a public health benefit. </w:t>
      </w:r>
      <w:r w:rsidRPr="00E45CA5">
        <w:t xml:space="preserve">If consumers use menu labelling to make healthier food choices, </w:t>
      </w:r>
      <w:r w:rsidR="001A439A">
        <w:t xml:space="preserve">this can lead to </w:t>
      </w:r>
      <w:r w:rsidRPr="00E45CA5">
        <w:t>reduced consumption of kilojoules and associated better health outcomes</w:t>
      </w:r>
      <w:r w:rsidR="00AC3A46">
        <w:t xml:space="preserve">. </w:t>
      </w:r>
    </w:p>
    <w:p w14:paraId="2105EDB9" w14:textId="77777777" w:rsidR="0085572F" w:rsidRDefault="0085572F" w:rsidP="001465D1">
      <w:pPr>
        <w:spacing w:after="40"/>
        <w:jc w:val="both"/>
      </w:pPr>
    </w:p>
    <w:p w14:paraId="104AB961" w14:textId="11839052" w:rsidR="001465D1" w:rsidRDefault="00AC3A46" w:rsidP="001465D1">
      <w:pPr>
        <w:spacing w:after="40"/>
        <w:jc w:val="both"/>
        <w:rPr>
          <w:lang w:val="en-US"/>
        </w:rPr>
      </w:pPr>
      <w:r>
        <w:t>It is important to recognise that menu labelling is just one element of a multi</w:t>
      </w:r>
      <w:r w:rsidR="005E4375">
        <w:t xml:space="preserve">-strategy approach to obesity prevention – it is not intended to be a </w:t>
      </w:r>
      <w:r w:rsidR="005E4375" w:rsidRPr="00E45CA5">
        <w:rPr>
          <w:lang w:val="en-US"/>
        </w:rPr>
        <w:t>comprehensive strategy for what the food regulation system can contribute to obesity prevention.</w:t>
      </w:r>
      <w:r w:rsidR="005E4375" w:rsidRPr="00541F1D">
        <w:rPr>
          <w:lang w:val="en-US"/>
        </w:rPr>
        <w:t xml:space="preserve"> </w:t>
      </w:r>
      <w:r w:rsidR="002C7CF9">
        <w:t>M</w:t>
      </w:r>
      <w:r w:rsidR="002C7CF9" w:rsidRPr="00E45CA5">
        <w:t>enu labelling is a tool to support consumers to make informed decisions (whether or not it changes their decision), in the same way that nutrition information panels and health star ratings provide information to consumers on packaged foods.</w:t>
      </w:r>
      <w:r w:rsidR="002C7CF9">
        <w:t xml:space="preserve"> </w:t>
      </w:r>
    </w:p>
    <w:p w14:paraId="6288D847" w14:textId="77777777" w:rsidR="00C0414E" w:rsidRDefault="00C0414E" w:rsidP="00C6212A">
      <w:pPr>
        <w:spacing w:after="40"/>
        <w:jc w:val="both"/>
      </w:pPr>
    </w:p>
    <w:p w14:paraId="7E408B52" w14:textId="06F09A23" w:rsidR="003C2A30" w:rsidRDefault="007A695D" w:rsidP="009C7324">
      <w:pPr>
        <w:pStyle w:val="Bodytext-TMRfont12"/>
      </w:pPr>
      <w:r w:rsidRPr="00E67A4C">
        <w:t xml:space="preserve">Five Australian jurisdictions (New South Wales, South Australia, Australian Capital Territory, Queensland, and Victoria) have introduced </w:t>
      </w:r>
      <w:r w:rsidR="00710141">
        <w:t xml:space="preserve">mandatory </w:t>
      </w:r>
      <w:r w:rsidRPr="00E67A4C">
        <w:t>menu labelling</w:t>
      </w:r>
      <w:r w:rsidR="00965ECD">
        <w:t xml:space="preserve"> based on a set of agreed principles</w:t>
      </w:r>
      <w:r w:rsidR="00526FA8">
        <w:t xml:space="preserve"> (the ‘2011 Principles’)</w:t>
      </w:r>
      <w:r w:rsidR="002042F5">
        <w:t xml:space="preserve">. Menu labelling has not been mandated in </w:t>
      </w:r>
      <w:r w:rsidRPr="00E67A4C">
        <w:t>New Zealand</w:t>
      </w:r>
      <w:r w:rsidR="002042F5">
        <w:t>, or the other three Australian state and territories</w:t>
      </w:r>
      <w:r w:rsidRPr="00E67A4C">
        <w:t>.</w:t>
      </w:r>
      <w:r w:rsidR="00210270">
        <w:t xml:space="preserve"> A review</w:t>
      </w:r>
      <w:r w:rsidR="00654D62">
        <w:rPr>
          <w:rStyle w:val="FootnoteReference"/>
        </w:rPr>
        <w:footnoteReference w:id="5"/>
      </w:r>
      <w:r w:rsidR="00210270">
        <w:t xml:space="preserve"> of menu labelling identified</w:t>
      </w:r>
      <w:r w:rsidR="0019490B">
        <w:t>:</w:t>
      </w:r>
    </w:p>
    <w:p w14:paraId="21851C42" w14:textId="7C09C9FE" w:rsidR="009D14E3" w:rsidRPr="00024F8F" w:rsidRDefault="009D14E3" w:rsidP="0055688D">
      <w:pPr>
        <w:pStyle w:val="ListParagraph"/>
        <w:numPr>
          <w:ilvl w:val="0"/>
          <w:numId w:val="22"/>
        </w:numPr>
        <w:spacing w:after="40"/>
        <w:jc w:val="both"/>
        <w:rPr>
          <w:lang w:eastAsia="zh-CN" w:bidi="th-TH"/>
        </w:rPr>
      </w:pPr>
      <w:r w:rsidRPr="00E67A4C">
        <w:rPr>
          <w:lang w:eastAsia="zh-CN" w:bidi="th-TH"/>
        </w:rPr>
        <w:t xml:space="preserve">inconsistent menu labelling </w:t>
      </w:r>
      <w:r w:rsidRPr="00024F8F">
        <w:rPr>
          <w:lang w:eastAsia="zh-CN" w:bidi="th-TH"/>
        </w:rPr>
        <w:t>legislation</w:t>
      </w:r>
      <w:r w:rsidR="004D3C35" w:rsidRPr="00024F8F">
        <w:rPr>
          <w:lang w:eastAsia="zh-CN" w:bidi="th-TH"/>
        </w:rPr>
        <w:t xml:space="preserve"> (</w:t>
      </w:r>
      <w:r w:rsidR="00493F34" w:rsidRPr="00024F8F">
        <w:t xml:space="preserve">for example, </w:t>
      </w:r>
      <w:r w:rsidR="00683066" w:rsidRPr="00024F8F">
        <w:rPr>
          <w:lang w:eastAsia="zh-CN" w:bidi="th-TH"/>
        </w:rPr>
        <w:t xml:space="preserve">differences </w:t>
      </w:r>
      <w:r w:rsidR="00C6201A" w:rsidRPr="00024F8F">
        <w:rPr>
          <w:lang w:eastAsia="zh-CN" w:bidi="th-TH"/>
        </w:rPr>
        <w:t xml:space="preserve">in </w:t>
      </w:r>
      <w:r w:rsidR="004D3C35" w:rsidRPr="00024F8F">
        <w:rPr>
          <w:lang w:eastAsia="zh-CN" w:bidi="th-TH"/>
        </w:rPr>
        <w:t xml:space="preserve">how and when to display energy information, </w:t>
      </w:r>
      <w:r w:rsidR="00CF2FD1" w:rsidRPr="00024F8F">
        <w:rPr>
          <w:lang w:eastAsia="zh-CN" w:bidi="th-TH"/>
        </w:rPr>
        <w:t xml:space="preserve">and differences in </w:t>
      </w:r>
      <w:r w:rsidR="00D2380F" w:rsidRPr="00024F8F">
        <w:rPr>
          <w:lang w:eastAsia="zh-CN" w:bidi="th-TH"/>
        </w:rPr>
        <w:t>businesses exempt from menu labelling);</w:t>
      </w:r>
    </w:p>
    <w:p w14:paraId="0A99C448" w14:textId="2395ECDD" w:rsidR="009D14E3" w:rsidRPr="00024F8F" w:rsidRDefault="009D14E3" w:rsidP="0055688D">
      <w:pPr>
        <w:pStyle w:val="ListParagraph"/>
        <w:numPr>
          <w:ilvl w:val="0"/>
          <w:numId w:val="22"/>
        </w:numPr>
        <w:spacing w:after="40"/>
        <w:jc w:val="both"/>
        <w:rPr>
          <w:lang w:eastAsia="zh-CN" w:bidi="th-TH"/>
        </w:rPr>
      </w:pPr>
      <w:r w:rsidRPr="00024F8F">
        <w:rPr>
          <w:lang w:eastAsia="zh-CN" w:bidi="th-TH"/>
        </w:rPr>
        <w:t>an uneven playing field with respect to menu labelling for businesses selling standard food items</w:t>
      </w:r>
      <w:r w:rsidR="00FB0515" w:rsidRPr="00024F8F">
        <w:rPr>
          <w:lang w:eastAsia="zh-CN" w:bidi="th-TH"/>
        </w:rPr>
        <w:t xml:space="preserve"> due to </w:t>
      </w:r>
      <w:r w:rsidR="00A83D93" w:rsidRPr="00024F8F">
        <w:rPr>
          <w:lang w:eastAsia="zh-CN" w:bidi="th-TH"/>
        </w:rPr>
        <w:t xml:space="preserve">legislated </w:t>
      </w:r>
      <w:r w:rsidR="00FB0515" w:rsidRPr="00024F8F">
        <w:rPr>
          <w:lang w:eastAsia="zh-CN" w:bidi="th-TH"/>
        </w:rPr>
        <w:t>exemptions</w:t>
      </w:r>
      <w:r w:rsidR="00A83D93" w:rsidRPr="00024F8F">
        <w:rPr>
          <w:lang w:eastAsia="zh-CN" w:bidi="th-TH"/>
        </w:rPr>
        <w:t xml:space="preserve"> of specific business types</w:t>
      </w:r>
      <w:r w:rsidR="0065596D" w:rsidRPr="00024F8F">
        <w:rPr>
          <w:lang w:eastAsia="zh-CN" w:bidi="th-TH"/>
        </w:rPr>
        <w:t>;</w:t>
      </w:r>
    </w:p>
    <w:p w14:paraId="43531EB7" w14:textId="7D1AF1CF" w:rsidR="001F5DB6" w:rsidRDefault="00FE26BD" w:rsidP="0055688D">
      <w:pPr>
        <w:pStyle w:val="ListParagraph"/>
        <w:numPr>
          <w:ilvl w:val="0"/>
          <w:numId w:val="22"/>
        </w:numPr>
        <w:spacing w:after="40"/>
        <w:jc w:val="both"/>
        <w:rPr>
          <w:lang w:eastAsia="zh-CN" w:bidi="th-TH"/>
        </w:rPr>
      </w:pPr>
      <w:r w:rsidRPr="00024F8F">
        <w:rPr>
          <w:lang w:eastAsia="zh-CN" w:bidi="th-TH"/>
        </w:rPr>
        <w:t xml:space="preserve">gaps in legislation resulting from </w:t>
      </w:r>
      <w:r w:rsidR="009D14E3" w:rsidRPr="00024F8F">
        <w:rPr>
          <w:lang w:eastAsia="zh-CN" w:bidi="th-TH"/>
        </w:rPr>
        <w:t xml:space="preserve">emerging trends for promoting, offering, and selling standard food items </w:t>
      </w:r>
      <w:r w:rsidR="00393C59" w:rsidRPr="00024F8F">
        <w:rPr>
          <w:lang w:eastAsia="zh-CN" w:bidi="th-TH"/>
        </w:rPr>
        <w:t>(</w:t>
      </w:r>
      <w:r w:rsidR="00493F34" w:rsidRPr="00024F8F">
        <w:t xml:space="preserve">for example, </w:t>
      </w:r>
      <w:r w:rsidR="001F5DB6" w:rsidRPr="00024F8F">
        <w:rPr>
          <w:lang w:eastAsia="zh-CN" w:bidi="th-TH"/>
        </w:rPr>
        <w:t>digital panel menus and self-service kiosks;</w:t>
      </w:r>
      <w:r w:rsidR="00393C59" w:rsidRPr="00024F8F">
        <w:rPr>
          <w:lang w:eastAsia="zh-CN" w:bidi="th-TH"/>
        </w:rPr>
        <w:t xml:space="preserve"> </w:t>
      </w:r>
      <w:r w:rsidR="001F5DB6" w:rsidRPr="00024F8F">
        <w:rPr>
          <w:lang w:eastAsia="zh-CN" w:bidi="th-TH"/>
        </w:rPr>
        <w:t>third-party food delivery platforms</w:t>
      </w:r>
      <w:r w:rsidR="00BA39AC" w:rsidRPr="00024F8F">
        <w:rPr>
          <w:lang w:eastAsia="zh-CN" w:bidi="th-TH"/>
        </w:rPr>
        <w:t>; build</w:t>
      </w:r>
      <w:r w:rsidR="00BA39AC" w:rsidRPr="00E67A4C">
        <w:rPr>
          <w:lang w:eastAsia="zh-CN" w:bidi="th-TH"/>
        </w:rPr>
        <w:t xml:space="preserve"> your own menu items </w:t>
      </w:r>
      <w:r w:rsidR="00BA39AC">
        <w:rPr>
          <w:lang w:eastAsia="zh-CN" w:bidi="th-TH"/>
        </w:rPr>
        <w:t>(customised)</w:t>
      </w:r>
      <w:r w:rsidR="00BA39AC" w:rsidRPr="00E67A4C">
        <w:rPr>
          <w:lang w:eastAsia="zh-CN" w:bidi="th-TH"/>
        </w:rPr>
        <w:t xml:space="preserve"> from a range of standardised ingredients</w:t>
      </w:r>
      <w:r w:rsidR="00BA39AC">
        <w:rPr>
          <w:lang w:eastAsia="zh-CN" w:bidi="th-TH"/>
        </w:rPr>
        <w:t xml:space="preserve">; </w:t>
      </w:r>
      <w:r w:rsidR="001F5DB6">
        <w:rPr>
          <w:lang w:eastAsia="zh-CN" w:bidi="th-TH"/>
        </w:rPr>
        <w:t>pop-up/hover advertising, digital links to off-menu information</w:t>
      </w:r>
      <w:r w:rsidR="0065596D">
        <w:rPr>
          <w:lang w:eastAsia="zh-CN" w:bidi="th-TH"/>
        </w:rPr>
        <w:t xml:space="preserve">); and </w:t>
      </w:r>
    </w:p>
    <w:p w14:paraId="3FA7BEBC" w14:textId="4FAD4446" w:rsidR="0065596D" w:rsidRPr="00A86A6E" w:rsidRDefault="00EE0173" w:rsidP="0055688D">
      <w:pPr>
        <w:pStyle w:val="ListParagraph"/>
        <w:numPr>
          <w:ilvl w:val="0"/>
          <w:numId w:val="22"/>
        </w:numPr>
        <w:spacing w:after="40"/>
        <w:jc w:val="both"/>
        <w:rPr>
          <w:lang w:eastAsia="zh-CN" w:bidi="th-TH"/>
        </w:rPr>
      </w:pPr>
      <w:r>
        <w:rPr>
          <w:lang w:eastAsia="zh-CN" w:bidi="th-TH"/>
        </w:rPr>
        <w:t>that the current approach to menu labelling is not achieving the greatest public health benefit.</w:t>
      </w:r>
    </w:p>
    <w:p w14:paraId="6BDC8CB9" w14:textId="33B4DC3E" w:rsidR="001F5DB6" w:rsidRPr="00E67A4C" w:rsidRDefault="001F5DB6" w:rsidP="00BA39AC">
      <w:pPr>
        <w:pStyle w:val="ListParagraph"/>
        <w:spacing w:after="40"/>
        <w:ind w:left="1440"/>
        <w:jc w:val="both"/>
        <w:rPr>
          <w:lang w:eastAsia="zh-CN" w:bidi="th-TH"/>
        </w:rPr>
      </w:pPr>
    </w:p>
    <w:p w14:paraId="3B312F14" w14:textId="2745F593" w:rsidR="000051D2" w:rsidRPr="00E45CA5" w:rsidRDefault="00B70C67" w:rsidP="000051D2">
      <w:pPr>
        <w:spacing w:after="40"/>
        <w:jc w:val="both"/>
        <w:rPr>
          <w:lang w:eastAsia="zh-CN" w:bidi="th-TH"/>
        </w:rPr>
      </w:pPr>
      <w:r w:rsidRPr="00E45CA5">
        <w:rPr>
          <w:lang w:eastAsia="zh-CN" w:bidi="th-TH"/>
        </w:rPr>
        <w:lastRenderedPageBreak/>
        <w:t>T</w:t>
      </w:r>
      <w:r w:rsidR="000051D2" w:rsidRPr="00E45CA5">
        <w:rPr>
          <w:lang w:eastAsia="zh-CN" w:bidi="th-TH"/>
        </w:rPr>
        <w:t>o address the</w:t>
      </w:r>
      <w:r w:rsidR="00742BD5">
        <w:rPr>
          <w:lang w:eastAsia="zh-CN" w:bidi="th-TH"/>
        </w:rPr>
        <w:t>se</w:t>
      </w:r>
      <w:r w:rsidR="000051D2" w:rsidRPr="00E45CA5">
        <w:rPr>
          <w:lang w:eastAsia="zh-CN" w:bidi="th-TH"/>
        </w:rPr>
        <w:t xml:space="preserve"> concerns and achieve the desired outcomes of menu labelling, the objective</w:t>
      </w:r>
      <w:r w:rsidR="00E008E0" w:rsidRPr="00E45CA5">
        <w:rPr>
          <w:lang w:eastAsia="zh-CN" w:bidi="th-TH"/>
        </w:rPr>
        <w:t xml:space="preserve"> </w:t>
      </w:r>
      <w:r w:rsidR="000051D2" w:rsidRPr="00E45CA5">
        <w:rPr>
          <w:lang w:eastAsia="zh-CN" w:bidi="th-TH"/>
        </w:rPr>
        <w:t>is to ensure any regulatory or non-regulatory measures developed for menu labelling in Australia and New Zealand</w:t>
      </w:r>
      <w:r w:rsidR="0027492C">
        <w:rPr>
          <w:lang w:eastAsia="zh-CN" w:bidi="th-TH"/>
        </w:rPr>
        <w:t xml:space="preserve"> will</w:t>
      </w:r>
      <w:r w:rsidR="000051D2" w:rsidRPr="00E45CA5">
        <w:rPr>
          <w:lang w:eastAsia="zh-CN" w:bidi="th-TH"/>
        </w:rPr>
        <w:t>:</w:t>
      </w:r>
    </w:p>
    <w:p w14:paraId="68E7F29F" w14:textId="77777777" w:rsidR="000051D2" w:rsidRPr="00E45CA5" w:rsidRDefault="000051D2" w:rsidP="000051D2">
      <w:pPr>
        <w:pStyle w:val="ListParagraph"/>
        <w:numPr>
          <w:ilvl w:val="0"/>
          <w:numId w:val="3"/>
        </w:numPr>
        <w:spacing w:after="40"/>
        <w:jc w:val="both"/>
        <w:rPr>
          <w:lang w:eastAsia="zh-CN" w:bidi="th-TH"/>
        </w:rPr>
      </w:pPr>
      <w:r w:rsidRPr="00E45CA5">
        <w:rPr>
          <w:lang w:eastAsia="zh-CN" w:bidi="th-TH"/>
        </w:rPr>
        <w:t>assist people to understand and use energy information to make informed, healthier food purchase choices at the point-of-sale;</w:t>
      </w:r>
    </w:p>
    <w:p w14:paraId="2553AE3B" w14:textId="5BB0671D" w:rsidR="000051D2" w:rsidRPr="00E45CA5" w:rsidRDefault="000051D2" w:rsidP="000051D2">
      <w:pPr>
        <w:pStyle w:val="ListParagraph"/>
        <w:numPr>
          <w:ilvl w:val="0"/>
          <w:numId w:val="3"/>
        </w:numPr>
        <w:spacing w:after="40"/>
        <w:jc w:val="both"/>
        <w:rPr>
          <w:lang w:eastAsia="zh-CN" w:bidi="th-TH"/>
        </w:rPr>
      </w:pPr>
      <w:r w:rsidRPr="00E45CA5">
        <w:rPr>
          <w:lang w:eastAsia="zh-CN" w:bidi="th-TH"/>
        </w:rPr>
        <w:t>ensure that all modes of sale and types of menus enable comparison of all menu options within and across businesses</w:t>
      </w:r>
      <w:r w:rsidR="00303E8A">
        <w:rPr>
          <w:lang w:eastAsia="zh-CN" w:bidi="th-TH"/>
        </w:rPr>
        <w:t xml:space="preserve"> that sell standard food items</w:t>
      </w:r>
      <w:r w:rsidRPr="00E45CA5">
        <w:rPr>
          <w:lang w:eastAsia="zh-CN" w:bidi="th-TH"/>
        </w:rPr>
        <w:t>;</w:t>
      </w:r>
      <w:r w:rsidRPr="00E45CA5">
        <w:rPr>
          <w:rStyle w:val="FootnoteReference"/>
          <w:lang w:eastAsia="zh-CN" w:bidi="th-TH"/>
        </w:rPr>
        <w:footnoteReference w:id="6"/>
      </w:r>
    </w:p>
    <w:p w14:paraId="164FD990" w14:textId="77777777" w:rsidR="000051D2" w:rsidRPr="00E45CA5" w:rsidRDefault="000051D2" w:rsidP="000051D2">
      <w:pPr>
        <w:pStyle w:val="ListParagraph"/>
        <w:numPr>
          <w:ilvl w:val="0"/>
          <w:numId w:val="3"/>
        </w:numPr>
        <w:spacing w:after="40"/>
        <w:jc w:val="both"/>
      </w:pPr>
      <w:r w:rsidRPr="00E45CA5">
        <w:rPr>
          <w:lang w:eastAsia="zh-CN" w:bidi="th-TH"/>
        </w:rPr>
        <w:t>create a level playing field (with respect to menu labelling) for all businesses that sell standard food items; and</w:t>
      </w:r>
    </w:p>
    <w:p w14:paraId="105A31C5" w14:textId="77777777" w:rsidR="000051D2" w:rsidRPr="00E45CA5" w:rsidRDefault="000051D2" w:rsidP="000051D2">
      <w:pPr>
        <w:pStyle w:val="ListParagraph"/>
        <w:numPr>
          <w:ilvl w:val="0"/>
          <w:numId w:val="3"/>
        </w:numPr>
        <w:spacing w:after="40"/>
        <w:jc w:val="both"/>
      </w:pPr>
      <w:r w:rsidRPr="00E45CA5">
        <w:rPr>
          <w:lang w:eastAsia="zh-CN" w:bidi="th-TH"/>
        </w:rPr>
        <w:t xml:space="preserve">minimise the proliferation of different menu labelling systems. </w:t>
      </w:r>
    </w:p>
    <w:p w14:paraId="528F0ADF" w14:textId="6E45C421" w:rsidR="009C7324" w:rsidRPr="00E45CA5" w:rsidRDefault="009C7324" w:rsidP="009C7324">
      <w:pPr>
        <w:pStyle w:val="Bodytext-TMRfont12"/>
      </w:pPr>
    </w:p>
    <w:p w14:paraId="6C0302ED" w14:textId="14C55E8F" w:rsidR="00E008E0" w:rsidRPr="00E45CA5" w:rsidRDefault="00E008E0" w:rsidP="00E008E0">
      <w:pPr>
        <w:pStyle w:val="Bodytext-TMRfont12"/>
      </w:pPr>
      <w:r w:rsidRPr="00E45CA5">
        <w:t>In August 2019, Food Ministers</w:t>
      </w:r>
      <w:r w:rsidR="00116529">
        <w:rPr>
          <w:rStyle w:val="FootnoteReference"/>
        </w:rPr>
        <w:footnoteReference w:id="7"/>
      </w:r>
      <w:r w:rsidRPr="00E45CA5">
        <w:t xml:space="preserve"> agreed that nationally consistent menu labelling is desirable for the food industry, public health organisations and governments. Ministers agreed the most effective way for this to occur would be to develop a food regulatory measure under the Australia New Zealand Food Standards Code (the Food Standards Code), and that development (in line with best practice regulatory requirements) of a Ministerial Policy Guideline should be the first step.</w:t>
      </w:r>
      <w:r w:rsidRPr="00E45CA5">
        <w:rPr>
          <w:rStyle w:val="FootnoteReference"/>
        </w:rPr>
        <w:footnoteReference w:id="8"/>
      </w:r>
      <w:r w:rsidR="007E785F" w:rsidRPr="00024F8F">
        <w:rPr>
          <w:vertAlign w:val="superscript"/>
        </w:rPr>
        <w:t>,</w:t>
      </w:r>
      <w:r w:rsidR="007E785F">
        <w:rPr>
          <w:rStyle w:val="FootnoteReference"/>
        </w:rPr>
        <w:footnoteReference w:id="9"/>
      </w:r>
      <w:r w:rsidRPr="00E45CA5">
        <w:t xml:space="preserve"> </w:t>
      </w:r>
    </w:p>
    <w:p w14:paraId="2F9B3B2D" w14:textId="2C7A74BA" w:rsidR="00E008E0" w:rsidRPr="00E45CA5" w:rsidRDefault="00E008E0" w:rsidP="00E008E0">
      <w:pPr>
        <w:pStyle w:val="Bodytext-TMRfont12"/>
      </w:pPr>
    </w:p>
    <w:p w14:paraId="616F6073" w14:textId="0AF42028" w:rsidR="00963FC2" w:rsidRPr="00E45CA5" w:rsidRDefault="00E008E0" w:rsidP="009C7324">
      <w:pPr>
        <w:pStyle w:val="Bodytext-TMRfont12"/>
      </w:pPr>
      <w:r w:rsidRPr="00E45CA5">
        <w:t>In line with best practice regulatory requirements, alternative regulatory and non-regulatory approaches to a food regulatory measure in the Food Standards Code</w:t>
      </w:r>
      <w:r w:rsidR="00583A16" w:rsidRPr="00E45CA5">
        <w:t xml:space="preserve"> were identified. </w:t>
      </w:r>
      <w:r w:rsidR="00D65130" w:rsidRPr="00E45CA5">
        <w:t xml:space="preserve">The </w:t>
      </w:r>
      <w:r w:rsidR="00B3354F" w:rsidRPr="00E45CA5">
        <w:t>options</w:t>
      </w:r>
      <w:r w:rsidR="00AA515F" w:rsidRPr="00E45CA5">
        <w:t xml:space="preserve"> presented </w:t>
      </w:r>
      <w:r w:rsidR="002949FF" w:rsidRPr="00E45CA5">
        <w:t>in the Consultation Regulation Impact Statement (CRIS)</w:t>
      </w:r>
      <w:r w:rsidR="005C7235" w:rsidRPr="00E45CA5">
        <w:t xml:space="preserve"> </w:t>
      </w:r>
      <w:r w:rsidR="006F6534" w:rsidRPr="00E45CA5">
        <w:t xml:space="preserve">were </w:t>
      </w:r>
      <w:r w:rsidR="00963FC2" w:rsidRPr="00E45CA5">
        <w:t xml:space="preserve">considered appropriate by most </w:t>
      </w:r>
      <w:r w:rsidR="00E05293" w:rsidRPr="00E45CA5">
        <w:t>stakeholders</w:t>
      </w:r>
      <w:r w:rsidR="001C4C08" w:rsidRPr="00E45CA5">
        <w:t>. The options have been reframed in this paper</w:t>
      </w:r>
      <w:r w:rsidR="00F0165F" w:rsidRPr="00E45CA5">
        <w:t xml:space="preserve"> to focus on the </w:t>
      </w:r>
      <w:r w:rsidR="00856674" w:rsidRPr="00E45CA5">
        <w:t>end-point</w:t>
      </w:r>
      <w:r w:rsidR="00BE0710" w:rsidRPr="00E45CA5">
        <w:t>. The four options are:</w:t>
      </w:r>
    </w:p>
    <w:p w14:paraId="3B49706E" w14:textId="5290B315" w:rsidR="009C7324" w:rsidRPr="00E45CA5" w:rsidRDefault="003B1256" w:rsidP="0055688D">
      <w:pPr>
        <w:pStyle w:val="Bodytext-TMRfont12"/>
        <w:numPr>
          <w:ilvl w:val="0"/>
          <w:numId w:val="61"/>
        </w:numPr>
        <w:rPr>
          <w:i/>
        </w:rPr>
      </w:pPr>
      <w:bookmarkStart w:id="8" w:name="_Hlk88226695"/>
      <w:r w:rsidRPr="00E45CA5">
        <w:rPr>
          <w:i/>
        </w:rPr>
        <w:t>A</w:t>
      </w:r>
      <w:r w:rsidR="009C7324" w:rsidRPr="00E45CA5">
        <w:rPr>
          <w:i/>
        </w:rPr>
        <w:t xml:space="preserve">llow jurisdictions to choose how to implement menu labelling </w:t>
      </w:r>
      <w:r w:rsidRPr="00E45CA5">
        <w:rPr>
          <w:i/>
        </w:rPr>
        <w:t xml:space="preserve">that is </w:t>
      </w:r>
      <w:r w:rsidR="009C7324" w:rsidRPr="00E45CA5">
        <w:rPr>
          <w:i/>
        </w:rPr>
        <w:t>consistent with the 2011 Principles</w:t>
      </w:r>
      <w:r w:rsidRPr="00E45CA5">
        <w:rPr>
          <w:i/>
        </w:rPr>
        <w:t xml:space="preserve"> (status quo)</w:t>
      </w:r>
      <w:r w:rsidR="009C7324" w:rsidRPr="00E45CA5">
        <w:rPr>
          <w:i/>
        </w:rPr>
        <w:t>.</w:t>
      </w:r>
    </w:p>
    <w:p w14:paraId="0B6AF6BE" w14:textId="75FB3B0D" w:rsidR="009C7324" w:rsidRDefault="00BE0710" w:rsidP="0055688D">
      <w:pPr>
        <w:pStyle w:val="Bodytext-TMRfont12"/>
        <w:numPr>
          <w:ilvl w:val="0"/>
          <w:numId w:val="61"/>
        </w:numPr>
        <w:rPr>
          <w:i/>
        </w:rPr>
      </w:pPr>
      <w:r w:rsidRPr="00E45CA5">
        <w:rPr>
          <w:i/>
        </w:rPr>
        <w:t>E</w:t>
      </w:r>
      <w:r w:rsidR="009C7324" w:rsidRPr="00E45CA5">
        <w:rPr>
          <w:i/>
        </w:rPr>
        <w:t>ncourage all jurisdictions to consistently implement menu labelling schemes in their own legislation</w:t>
      </w:r>
      <w:r w:rsidRPr="00E45CA5">
        <w:rPr>
          <w:i/>
        </w:rPr>
        <w:t xml:space="preserve">, in accordance with </w:t>
      </w:r>
      <w:r w:rsidR="00F059B2" w:rsidRPr="00E45CA5">
        <w:rPr>
          <w:i/>
        </w:rPr>
        <w:t>amended</w:t>
      </w:r>
      <w:r w:rsidRPr="00E45CA5">
        <w:rPr>
          <w:i/>
        </w:rPr>
        <w:t xml:space="preserve"> Principles.</w:t>
      </w:r>
    </w:p>
    <w:p w14:paraId="19A6C3F3" w14:textId="5D66973C" w:rsidR="0005422C" w:rsidRDefault="009C7324" w:rsidP="0055688D">
      <w:pPr>
        <w:pStyle w:val="Bodytext-TMRfont12"/>
        <w:numPr>
          <w:ilvl w:val="0"/>
          <w:numId w:val="61"/>
        </w:numPr>
        <w:rPr>
          <w:i/>
        </w:rPr>
      </w:pPr>
      <w:r w:rsidRPr="00E45CA5">
        <w:rPr>
          <w:i/>
        </w:rPr>
        <w:t xml:space="preserve">Develop </w:t>
      </w:r>
      <w:r w:rsidR="0005422C" w:rsidRPr="00E45CA5">
        <w:rPr>
          <w:i/>
        </w:rPr>
        <w:t xml:space="preserve">a mandatory </w:t>
      </w:r>
      <w:r w:rsidRPr="00E45CA5">
        <w:rPr>
          <w:i/>
        </w:rPr>
        <w:t xml:space="preserve">food regulatory measure </w:t>
      </w:r>
      <w:r w:rsidR="0005422C" w:rsidRPr="00E45CA5">
        <w:rPr>
          <w:i/>
        </w:rPr>
        <w:t xml:space="preserve">for menu labelling </w:t>
      </w:r>
      <w:r w:rsidRPr="00E45CA5">
        <w:rPr>
          <w:i/>
        </w:rPr>
        <w:t>in the Food Standards Code</w:t>
      </w:r>
      <w:r w:rsidR="00EB2A34" w:rsidRPr="00E45CA5">
        <w:rPr>
          <w:i/>
        </w:rPr>
        <w:t>.</w:t>
      </w:r>
      <w:r w:rsidRPr="00E45CA5">
        <w:rPr>
          <w:i/>
        </w:rPr>
        <w:t xml:space="preserve"> </w:t>
      </w:r>
    </w:p>
    <w:p w14:paraId="0FCE4FD0" w14:textId="77777777" w:rsidR="009C7324" w:rsidRPr="00E45CA5" w:rsidRDefault="009C7324" w:rsidP="0055688D">
      <w:pPr>
        <w:pStyle w:val="Bodytext-TMRfont12"/>
        <w:numPr>
          <w:ilvl w:val="0"/>
          <w:numId w:val="61"/>
        </w:numPr>
        <w:rPr>
          <w:i/>
        </w:rPr>
      </w:pPr>
      <w:r w:rsidRPr="00E45CA5">
        <w:rPr>
          <w:i/>
        </w:rPr>
        <w:t>Encourage industry to voluntarily implement enhancements to menu labelling.</w:t>
      </w:r>
    </w:p>
    <w:bookmarkEnd w:id="8"/>
    <w:p w14:paraId="78D887D8" w14:textId="331BF0C7" w:rsidR="009C7324" w:rsidRDefault="009C7324" w:rsidP="009C7324">
      <w:pPr>
        <w:pStyle w:val="Bodytext-TMRfont12"/>
        <w:rPr>
          <w:iCs/>
        </w:rPr>
      </w:pPr>
      <w:r w:rsidRPr="00E45CA5">
        <w:rPr>
          <w:iCs/>
        </w:rPr>
        <w:t>Consumer education about kilojoules, ready-to-eat foods, making healthier food purchase choices, and using menu labelling is proposed to complement any of the options.</w:t>
      </w:r>
    </w:p>
    <w:p w14:paraId="51F0CE1F" w14:textId="6F1B7D96" w:rsidR="00C52ABC" w:rsidRDefault="00C52ABC" w:rsidP="009C7324">
      <w:pPr>
        <w:pStyle w:val="Bodytext-TMRfont12"/>
        <w:rPr>
          <w:iCs/>
        </w:rPr>
      </w:pPr>
    </w:p>
    <w:p w14:paraId="3FD68800" w14:textId="635C4017" w:rsidR="002E3840" w:rsidRPr="00E45CA5" w:rsidRDefault="009F1E85" w:rsidP="00BC3539">
      <w:pPr>
        <w:spacing w:after="40"/>
        <w:jc w:val="both"/>
      </w:pPr>
      <w:r>
        <w:rPr>
          <w:iCs/>
        </w:rPr>
        <w:t xml:space="preserve">Public consultation in 2021 sought stakeholders’ views on which was the preferred option. </w:t>
      </w:r>
      <w:r w:rsidR="00D34563" w:rsidRPr="00E45CA5">
        <w:t xml:space="preserve">There were mixed views </w:t>
      </w:r>
      <w:r w:rsidR="00305DF4">
        <w:t xml:space="preserve">across stakeholder groups </w:t>
      </w:r>
      <w:r w:rsidR="00FC4847">
        <w:t xml:space="preserve">as well as </w:t>
      </w:r>
      <w:r w:rsidR="00D34563" w:rsidRPr="00E45CA5">
        <w:t xml:space="preserve">among industry stakeholders </w:t>
      </w:r>
      <w:r w:rsidR="001E34A0">
        <w:t>from both countries.</w:t>
      </w:r>
      <w:r w:rsidR="00FC4847">
        <w:t xml:space="preserve"> Option 3 had the most support as the preferred option.</w:t>
      </w:r>
      <w:r w:rsidR="00F21936" w:rsidRPr="00F21936">
        <w:t xml:space="preserve"> </w:t>
      </w:r>
      <w:r w:rsidR="00D11F80">
        <w:t xml:space="preserve">Overall, it </w:t>
      </w:r>
      <w:r w:rsidR="00E7776F">
        <w:t>was</w:t>
      </w:r>
      <w:r w:rsidR="00D11F80">
        <w:t xml:space="preserve"> </w:t>
      </w:r>
      <w:r w:rsidR="00F21936">
        <w:t xml:space="preserve">the only option that addresses the identified problems. It was also considered that this option would be best for all consumers as consistent implementation across all jurisdictions would enable access to energy information and easier comparison of menu items to make informed and healthier </w:t>
      </w:r>
      <w:r w:rsidR="00F21936">
        <w:lastRenderedPageBreak/>
        <w:t xml:space="preserve">choices at the point-of-sale. Stakeholders also noted that businesses would operate in a more level playing field and would experience reduced regulatory costs compared to the costs associated with implementing different regulation. More consistent enforcement and monitoring was also considered to be associated with Option 3. In implementing Option 3 it was recommended that it was essential that consumer education accompany menu labelling. </w:t>
      </w:r>
      <w:r w:rsidR="002D23F2">
        <w:t xml:space="preserve">While some </w:t>
      </w:r>
      <w:r w:rsidR="0019386E">
        <w:t xml:space="preserve">industry stakeholders in </w:t>
      </w:r>
      <w:r w:rsidR="002D23F2" w:rsidRPr="00E45CA5">
        <w:rPr>
          <w:lang w:eastAsia="en-AU"/>
        </w:rPr>
        <w:t>Australia and New Zealand supported Option 2</w:t>
      </w:r>
      <w:r w:rsidR="0045529D">
        <w:rPr>
          <w:lang w:eastAsia="en-AU"/>
        </w:rPr>
        <w:t xml:space="preserve">, </w:t>
      </w:r>
      <w:r w:rsidR="002037B6">
        <w:rPr>
          <w:lang w:eastAsia="en-AU"/>
        </w:rPr>
        <w:t>this option</w:t>
      </w:r>
      <w:r w:rsidR="002037B6" w:rsidRPr="00E45CA5">
        <w:rPr>
          <w:lang w:eastAsia="en-AU"/>
        </w:rPr>
        <w:t xml:space="preserve"> was not supported by public health organisations </w:t>
      </w:r>
      <w:r w:rsidR="00D0180C">
        <w:rPr>
          <w:lang w:eastAsia="en-AU"/>
        </w:rPr>
        <w:t>as it is</w:t>
      </w:r>
      <w:r w:rsidR="002037B6" w:rsidRPr="00E45CA5">
        <w:rPr>
          <w:lang w:eastAsia="en-AU"/>
        </w:rPr>
        <w:t xml:space="preserve"> dependent on jurisdictional action and therefore </w:t>
      </w:r>
      <w:r w:rsidR="00D0180C">
        <w:rPr>
          <w:lang w:eastAsia="en-AU"/>
        </w:rPr>
        <w:t>of little</w:t>
      </w:r>
      <w:r w:rsidR="002037B6" w:rsidRPr="00E45CA5">
        <w:rPr>
          <w:lang w:eastAsia="en-AU"/>
        </w:rPr>
        <w:t xml:space="preserve"> difference to the status quo. A voluntary approach to enhancing menu labelling was strongly opposed by </w:t>
      </w:r>
      <w:r w:rsidR="00D0180C">
        <w:rPr>
          <w:lang w:eastAsia="en-AU"/>
        </w:rPr>
        <w:t>public health</w:t>
      </w:r>
      <w:r w:rsidR="002037B6" w:rsidRPr="00E45CA5">
        <w:rPr>
          <w:lang w:eastAsia="en-AU"/>
        </w:rPr>
        <w:t xml:space="preserve"> stakeholders as industry self-regulation is viewed as ineffective.</w:t>
      </w:r>
    </w:p>
    <w:p w14:paraId="4B36C5CF" w14:textId="2053176C" w:rsidR="002E3840" w:rsidRPr="00E45CA5" w:rsidRDefault="002E3840" w:rsidP="00967C4B">
      <w:pPr>
        <w:spacing w:after="40"/>
        <w:jc w:val="both"/>
        <w:rPr>
          <w:lang w:eastAsia="en-AU"/>
        </w:rPr>
      </w:pPr>
    </w:p>
    <w:p w14:paraId="065E1432" w14:textId="7F7A29AA" w:rsidR="00237144" w:rsidRPr="00E45CA5" w:rsidRDefault="004B02B6" w:rsidP="00237144">
      <w:pPr>
        <w:spacing w:after="40"/>
        <w:jc w:val="both"/>
      </w:pPr>
      <w:bookmarkStart w:id="9" w:name="_Hlk88227044"/>
      <w:r w:rsidRPr="00E45CA5">
        <w:t xml:space="preserve">An independent economic evaluation </w:t>
      </w:r>
      <w:r w:rsidR="00B70C67" w:rsidRPr="00E45CA5">
        <w:t xml:space="preserve">was commissioned to compare </w:t>
      </w:r>
      <w:r w:rsidRPr="00E45CA5">
        <w:t xml:space="preserve">the policy options to the status quo (Option 1). </w:t>
      </w:r>
      <w:r w:rsidR="00E46194" w:rsidRPr="00E45CA5">
        <w:t>The evaluation considered business compliance costs</w:t>
      </w:r>
      <w:r w:rsidR="006465D6" w:rsidRPr="00E45CA5">
        <w:t>,</w:t>
      </w:r>
      <w:r w:rsidR="00E46194" w:rsidRPr="00E45CA5">
        <w:t xml:space="preserve"> </w:t>
      </w:r>
      <w:r w:rsidR="00677DF8" w:rsidRPr="00E45CA5">
        <w:t>government administration costs,</w:t>
      </w:r>
      <w:r w:rsidR="006465D6" w:rsidRPr="00E45CA5">
        <w:t xml:space="preserve"> and benefits to society</w:t>
      </w:r>
      <w:r w:rsidR="009371B3" w:rsidRPr="00E45CA5">
        <w:t xml:space="preserve"> from a reduced burden of disease due to high body mass</w:t>
      </w:r>
      <w:r w:rsidR="00391DAD" w:rsidRPr="00E45CA5">
        <w:t>, to calculate a net</w:t>
      </w:r>
      <w:r w:rsidR="003D7182" w:rsidRPr="00E45CA5">
        <w:t xml:space="preserve"> cost or</w:t>
      </w:r>
      <w:r w:rsidR="00391DAD" w:rsidRPr="00E45CA5">
        <w:t xml:space="preserve"> benefit for </w:t>
      </w:r>
      <w:r w:rsidR="00F81C88" w:rsidRPr="00E45CA5">
        <w:t>O</w:t>
      </w:r>
      <w:r w:rsidR="00391DAD" w:rsidRPr="00E45CA5">
        <w:t>ption</w:t>
      </w:r>
      <w:r w:rsidR="00F81C88" w:rsidRPr="00E45CA5">
        <w:t xml:space="preserve">s 2, </w:t>
      </w:r>
      <w:r w:rsidR="00D344A6" w:rsidRPr="00E45CA5">
        <w:t>3</w:t>
      </w:r>
      <w:r w:rsidR="00F81C88" w:rsidRPr="00E45CA5">
        <w:t xml:space="preserve"> and 4</w:t>
      </w:r>
      <w:r w:rsidR="009371B3" w:rsidRPr="00E45CA5">
        <w:t xml:space="preserve">. </w:t>
      </w:r>
      <w:r w:rsidR="00237144" w:rsidRPr="00E45CA5">
        <w:t>For Australia and New Zealand, all three options appear</w:t>
      </w:r>
      <w:r w:rsidR="00D344A6" w:rsidRPr="00E45CA5">
        <w:t>ed</w:t>
      </w:r>
      <w:r w:rsidR="00237144" w:rsidRPr="00E45CA5">
        <w:t xml:space="preserve"> to provide net benefits compared with the status quo. </w:t>
      </w:r>
    </w:p>
    <w:p w14:paraId="6239678D" w14:textId="77777777" w:rsidR="00237144" w:rsidRPr="00E45CA5" w:rsidRDefault="00237144" w:rsidP="00237144">
      <w:pPr>
        <w:spacing w:after="40"/>
        <w:jc w:val="both"/>
      </w:pPr>
    </w:p>
    <w:p w14:paraId="4F467E90" w14:textId="2D95AE22" w:rsidR="00237144" w:rsidRPr="00E45CA5" w:rsidRDefault="00237144" w:rsidP="00237144">
      <w:pPr>
        <w:spacing w:after="40"/>
        <w:jc w:val="both"/>
      </w:pPr>
      <w:r w:rsidRPr="00E45CA5">
        <w:t>For Australia nationally, the net benefit of Option 3 is $775.4 million over 10 years, while it is $568.4 million for Option 2 and $158.7 million for Option 4. For Australian society, progressing mandatory menu labelling via the Food Standards Code has the greatest net benefit.</w:t>
      </w:r>
    </w:p>
    <w:p w14:paraId="5E723B31" w14:textId="003A612E" w:rsidR="00237144" w:rsidRPr="00E45CA5" w:rsidRDefault="00237144" w:rsidP="00237144">
      <w:pPr>
        <w:spacing w:after="40"/>
        <w:jc w:val="both"/>
      </w:pPr>
      <w:r w:rsidRPr="00E45CA5">
        <w:t xml:space="preserve">Similarly, for seven of eight Australian states and territories, introducing mandatory menu labelling via the Food Standards Code has the greatest net benefit. </w:t>
      </w:r>
      <w:r w:rsidR="00D344A6" w:rsidRPr="00E45CA5">
        <w:t>For the Australian Capital Territory,</w:t>
      </w:r>
      <w:r w:rsidR="00835AA0" w:rsidRPr="00E45CA5">
        <w:t xml:space="preserve"> </w:t>
      </w:r>
      <w:r w:rsidR="00394EF7" w:rsidRPr="00E45CA5">
        <w:t xml:space="preserve">Option 4 </w:t>
      </w:r>
      <w:r w:rsidR="009E05EB" w:rsidRPr="00E45CA5">
        <w:t xml:space="preserve">(voluntary industry enhancement of menu labelling) </w:t>
      </w:r>
      <w:r w:rsidR="00E77336" w:rsidRPr="00E45CA5">
        <w:t>ha</w:t>
      </w:r>
      <w:r w:rsidR="003D7182" w:rsidRPr="00E45CA5">
        <w:t>s</w:t>
      </w:r>
      <w:r w:rsidR="00E77336" w:rsidRPr="00E45CA5">
        <w:t xml:space="preserve"> a </w:t>
      </w:r>
      <w:r w:rsidR="00394EF7" w:rsidRPr="00E45CA5">
        <w:t>marginally higher net benefit</w:t>
      </w:r>
      <w:r w:rsidR="009157AF" w:rsidRPr="00E45CA5">
        <w:t xml:space="preserve"> than Option 3 or Option 2.</w:t>
      </w:r>
      <w:r w:rsidR="003D7182" w:rsidRPr="00E45CA5">
        <w:t xml:space="preserve"> This is because the Australian Capital Territory already has comprehensive capture of businesses selling standard food items and it was assumed Option 4 would lead to greater voluntary implementation of menu labelling in the Australian Capital Territory. </w:t>
      </w:r>
    </w:p>
    <w:p w14:paraId="3D61ACDA" w14:textId="5F55C1AE" w:rsidR="004B02B6" w:rsidRPr="00E45CA5" w:rsidRDefault="004B02B6" w:rsidP="00BB284A">
      <w:pPr>
        <w:pStyle w:val="Bodytext-TMRfont12"/>
      </w:pPr>
    </w:p>
    <w:p w14:paraId="4C0BFD1F" w14:textId="5FE1A0B6" w:rsidR="00435F98" w:rsidRDefault="00435F98" w:rsidP="00435F98">
      <w:pPr>
        <w:spacing w:after="40"/>
        <w:jc w:val="both"/>
      </w:pPr>
      <w:r w:rsidRPr="00E45CA5">
        <w:t>In New Zealand, the net benefit of Option 2 and 4 is similar at $NZ25.8 million and $NZ24.9 million, respectively. The similarity is due to the underpinning assumptions that New Zealand is unlikely to introduce menu labelling legislation under Option 2, and that there will 10 per cent voluntary implementation of menu labelling under both Option 2 and 4. The net benefit of Option 3 ($NZ311.5 million) i</w:t>
      </w:r>
      <w:r w:rsidR="007D46BB" w:rsidRPr="00E45CA5">
        <w:t>s</w:t>
      </w:r>
      <w:r w:rsidRPr="00E45CA5">
        <w:t xml:space="preserve"> significantly higher. As for Australian society, progressing mandatory menu labelling via the Food Standards Code has the greatest net benefit for New Zealand society.</w:t>
      </w:r>
    </w:p>
    <w:p w14:paraId="6DDF57C8" w14:textId="77777777" w:rsidR="001E0B0A" w:rsidRPr="00E45CA5" w:rsidRDefault="001E0B0A" w:rsidP="00435F98">
      <w:pPr>
        <w:spacing w:after="40"/>
        <w:jc w:val="both"/>
      </w:pPr>
    </w:p>
    <w:bookmarkEnd w:id="9"/>
    <w:p w14:paraId="70DE3901" w14:textId="38A09D90" w:rsidR="001E0B0A" w:rsidRPr="00E45CA5" w:rsidRDefault="001E0B0A" w:rsidP="001E0B0A">
      <w:pPr>
        <w:spacing w:after="40"/>
        <w:jc w:val="both"/>
        <w:rPr>
          <w:iCs/>
        </w:rPr>
      </w:pPr>
      <w:r w:rsidRPr="00E45CA5">
        <w:rPr>
          <w:iCs/>
        </w:rPr>
        <w:t>While Option 3 involves a cost to parts of the industry, particularly New Zealand businesses and businesses currently exempt or not captured in Australia, a transition period could be included to reduce the impact on industry. The cost of overweight and obesity to the community in Australia and New Zealand is significant and is rising. Option 3 is most likely to</w:t>
      </w:r>
      <w:r w:rsidRPr="00E45CA5">
        <w:rPr>
          <w:lang w:eastAsia="zh-CN" w:bidi="th-TH"/>
        </w:rPr>
        <w:t xml:space="preserve"> support consumers to make healthier food and drink choices (i.e. fewer kilojoules) and contribute to the prevention of obesity and diet-related chronic diseases, thus providing a public health benefit ($828.6 million and $NZ336.4 million), which is</w:t>
      </w:r>
      <w:r w:rsidRPr="00E45CA5">
        <w:rPr>
          <w:iCs/>
        </w:rPr>
        <w:t xml:space="preserve"> far greater than the expected cost of menu labelling for industry and government ($53.2 million and $NZ24.9 million). Option 3 has the greatest net benefit to the community in Australia and New Zealand. It also ha</w:t>
      </w:r>
      <w:r w:rsidR="00D330C3">
        <w:rPr>
          <w:iCs/>
        </w:rPr>
        <w:t>s</w:t>
      </w:r>
      <w:r w:rsidRPr="00E45CA5">
        <w:rPr>
          <w:iCs/>
        </w:rPr>
        <w:t xml:space="preserve"> the most support from stakeholders in Australia and New Zealand.</w:t>
      </w:r>
    </w:p>
    <w:p w14:paraId="40FB42D6" w14:textId="77777777" w:rsidR="00663D51" w:rsidRPr="00E45CA5" w:rsidRDefault="00663D51" w:rsidP="00BB284A">
      <w:pPr>
        <w:pStyle w:val="Bodytext-TMRfont12"/>
      </w:pPr>
    </w:p>
    <w:p w14:paraId="486CC478" w14:textId="2C814DD3" w:rsidR="00EA2594" w:rsidRDefault="0099719C" w:rsidP="00BC3539">
      <w:pPr>
        <w:pStyle w:val="Bodytext-TMRfont12"/>
        <w:rPr>
          <w:b/>
        </w:rPr>
      </w:pPr>
      <w:r w:rsidRPr="00E45CA5">
        <w:t xml:space="preserve">It is </w:t>
      </w:r>
      <w:r w:rsidR="00C37CBE">
        <w:t xml:space="preserve">therefore </w:t>
      </w:r>
      <w:r w:rsidRPr="00E45CA5">
        <w:t xml:space="preserve">recommended that the best option to achieve the desired outcomes is </w:t>
      </w:r>
      <w:r w:rsidRPr="00E45CA5">
        <w:rPr>
          <w:b/>
          <w:bCs/>
          <w:i/>
        </w:rPr>
        <w:t>Option 3:</w:t>
      </w:r>
      <w:r w:rsidR="00B917BF" w:rsidRPr="00E45CA5">
        <w:rPr>
          <w:i/>
        </w:rPr>
        <w:t xml:space="preserve"> </w:t>
      </w:r>
      <w:r w:rsidR="00B917BF" w:rsidRPr="00E45CA5">
        <w:rPr>
          <w:b/>
          <w:bCs/>
          <w:i/>
        </w:rPr>
        <w:t>Develop a mandatory food regulatory measure for menu labelling in the Food Standards Code</w:t>
      </w:r>
      <w:r w:rsidR="00B917BF" w:rsidRPr="00E45CA5">
        <w:rPr>
          <w:i/>
        </w:rPr>
        <w:t xml:space="preserve">, </w:t>
      </w:r>
      <w:r w:rsidRPr="00E45CA5">
        <w:rPr>
          <w:iCs/>
        </w:rPr>
        <w:t>in combination with comprehensive, sustained consumer education in Australia and New Zealand</w:t>
      </w:r>
      <w:r w:rsidR="003D7182" w:rsidRPr="00E45CA5">
        <w:rPr>
          <w:iCs/>
        </w:rPr>
        <w:t xml:space="preserve"> to support the implementation of menu labelling</w:t>
      </w:r>
      <w:r w:rsidRPr="00E45CA5">
        <w:rPr>
          <w:iCs/>
        </w:rPr>
        <w:t>.</w:t>
      </w:r>
      <w:r w:rsidR="00EA2594">
        <w:rPr>
          <w:b/>
        </w:rPr>
        <w:br w:type="page"/>
      </w:r>
    </w:p>
    <w:p w14:paraId="17F87C2F" w14:textId="57789804" w:rsidR="0004125A" w:rsidRPr="000B54C4" w:rsidRDefault="00F85C1C" w:rsidP="000B54C4">
      <w:pPr>
        <w:spacing w:after="40"/>
        <w:jc w:val="both"/>
        <w:rPr>
          <w:iCs/>
        </w:rPr>
      </w:pPr>
      <w:r w:rsidRPr="000B54C4">
        <w:rPr>
          <w:b/>
          <w:i/>
          <w:iCs/>
          <w:sz w:val="28"/>
          <w:szCs w:val="28"/>
        </w:rPr>
        <w:lastRenderedPageBreak/>
        <w:t>Contents</w:t>
      </w:r>
    </w:p>
    <w:p w14:paraId="621C9B7D" w14:textId="77777777" w:rsidR="00BE7437" w:rsidRPr="002E1CE6" w:rsidRDefault="00BE7437" w:rsidP="006B4443">
      <w:pPr>
        <w:spacing w:after="40"/>
        <w:jc w:val="both"/>
        <w:rPr>
          <w:b/>
          <w:i/>
          <w:iCs/>
          <w:sz w:val="28"/>
          <w:szCs w:val="28"/>
        </w:rPr>
      </w:pPr>
    </w:p>
    <w:p w14:paraId="7ABDD409" w14:textId="5C40F7EC" w:rsidR="001168D9" w:rsidRDefault="0004125A">
      <w:pPr>
        <w:pStyle w:val="TOC2"/>
        <w:rPr>
          <w:rFonts w:asciiTheme="minorHAnsi" w:eastAsiaTheme="minorEastAsia" w:hAnsiTheme="minorHAnsi" w:cstheme="minorBidi"/>
          <w:kern w:val="0"/>
          <w:sz w:val="22"/>
          <w:szCs w:val="22"/>
          <w:lang w:eastAsia="en-AU"/>
        </w:rPr>
      </w:pPr>
      <w:r w:rsidRPr="002E1CE6">
        <w:fldChar w:fldCharType="begin"/>
      </w:r>
      <w:r w:rsidRPr="002E1CE6">
        <w:instrText xml:space="preserve"> TOC \o "1-2" \h \z \u </w:instrText>
      </w:r>
      <w:r w:rsidRPr="002E1CE6">
        <w:fldChar w:fldCharType="separate"/>
      </w:r>
      <w:hyperlink w:anchor="_Toc91189668" w:history="1">
        <w:r w:rsidR="001168D9" w:rsidRPr="0059621B">
          <w:rPr>
            <w:rStyle w:val="Hyperlink"/>
          </w:rPr>
          <w:t>Executive summary</w:t>
        </w:r>
        <w:r w:rsidR="001168D9">
          <w:rPr>
            <w:webHidden/>
          </w:rPr>
          <w:tab/>
        </w:r>
        <w:r w:rsidR="001168D9">
          <w:rPr>
            <w:webHidden/>
          </w:rPr>
          <w:fldChar w:fldCharType="begin"/>
        </w:r>
        <w:r w:rsidR="001168D9">
          <w:rPr>
            <w:webHidden/>
          </w:rPr>
          <w:instrText xml:space="preserve"> PAGEREF _Toc91189668 \h </w:instrText>
        </w:r>
        <w:r w:rsidR="001168D9">
          <w:rPr>
            <w:webHidden/>
          </w:rPr>
        </w:r>
        <w:r w:rsidR="001168D9">
          <w:rPr>
            <w:webHidden/>
          </w:rPr>
          <w:fldChar w:fldCharType="separate"/>
        </w:r>
        <w:r w:rsidR="00B86FD7">
          <w:rPr>
            <w:webHidden/>
          </w:rPr>
          <w:t>2</w:t>
        </w:r>
        <w:r w:rsidR="001168D9">
          <w:rPr>
            <w:webHidden/>
          </w:rPr>
          <w:fldChar w:fldCharType="end"/>
        </w:r>
      </w:hyperlink>
    </w:p>
    <w:p w14:paraId="5F7C4485" w14:textId="09308B95" w:rsidR="001168D9" w:rsidRDefault="00140853">
      <w:pPr>
        <w:pStyle w:val="TOC2"/>
        <w:rPr>
          <w:rFonts w:asciiTheme="minorHAnsi" w:eastAsiaTheme="minorEastAsia" w:hAnsiTheme="minorHAnsi" w:cstheme="minorBidi"/>
          <w:kern w:val="0"/>
          <w:sz w:val="22"/>
          <w:szCs w:val="22"/>
          <w:lang w:eastAsia="en-AU"/>
        </w:rPr>
      </w:pPr>
      <w:hyperlink w:anchor="_Toc91189669" w:history="1">
        <w:r w:rsidR="001168D9" w:rsidRPr="0059621B">
          <w:rPr>
            <w:rStyle w:val="Hyperlink"/>
          </w:rPr>
          <w:t>1 Introduction</w:t>
        </w:r>
        <w:r w:rsidR="001168D9">
          <w:rPr>
            <w:webHidden/>
          </w:rPr>
          <w:tab/>
        </w:r>
        <w:r w:rsidR="001168D9">
          <w:rPr>
            <w:webHidden/>
          </w:rPr>
          <w:fldChar w:fldCharType="begin"/>
        </w:r>
        <w:r w:rsidR="001168D9">
          <w:rPr>
            <w:webHidden/>
          </w:rPr>
          <w:instrText xml:space="preserve"> PAGEREF _Toc91189669 \h </w:instrText>
        </w:r>
        <w:r w:rsidR="001168D9">
          <w:rPr>
            <w:webHidden/>
          </w:rPr>
        </w:r>
        <w:r w:rsidR="001168D9">
          <w:rPr>
            <w:webHidden/>
          </w:rPr>
          <w:fldChar w:fldCharType="separate"/>
        </w:r>
        <w:r w:rsidR="00B86FD7">
          <w:rPr>
            <w:webHidden/>
          </w:rPr>
          <w:t>6</w:t>
        </w:r>
        <w:r w:rsidR="001168D9">
          <w:rPr>
            <w:webHidden/>
          </w:rPr>
          <w:fldChar w:fldCharType="end"/>
        </w:r>
      </w:hyperlink>
    </w:p>
    <w:p w14:paraId="3D5D87D8" w14:textId="7977D1EF" w:rsidR="001168D9" w:rsidRDefault="00140853">
      <w:pPr>
        <w:pStyle w:val="TOC2"/>
        <w:rPr>
          <w:rFonts w:asciiTheme="minorHAnsi" w:eastAsiaTheme="minorEastAsia" w:hAnsiTheme="minorHAnsi" w:cstheme="minorBidi"/>
          <w:kern w:val="0"/>
          <w:sz w:val="22"/>
          <w:szCs w:val="22"/>
          <w:lang w:eastAsia="en-AU"/>
        </w:rPr>
      </w:pPr>
      <w:hyperlink w:anchor="_Toc91189670" w:history="1">
        <w:r w:rsidR="001168D9" w:rsidRPr="0059621B">
          <w:rPr>
            <w:rStyle w:val="Hyperlink"/>
          </w:rPr>
          <w:t>2 Statement of the problem</w:t>
        </w:r>
        <w:r w:rsidR="001168D9">
          <w:rPr>
            <w:webHidden/>
          </w:rPr>
          <w:tab/>
        </w:r>
        <w:r w:rsidR="001168D9">
          <w:rPr>
            <w:webHidden/>
          </w:rPr>
          <w:fldChar w:fldCharType="begin"/>
        </w:r>
        <w:r w:rsidR="001168D9">
          <w:rPr>
            <w:webHidden/>
          </w:rPr>
          <w:instrText xml:space="preserve"> PAGEREF _Toc91189670 \h </w:instrText>
        </w:r>
        <w:r w:rsidR="001168D9">
          <w:rPr>
            <w:webHidden/>
          </w:rPr>
        </w:r>
        <w:r w:rsidR="001168D9">
          <w:rPr>
            <w:webHidden/>
          </w:rPr>
          <w:fldChar w:fldCharType="separate"/>
        </w:r>
        <w:r w:rsidR="00B86FD7">
          <w:rPr>
            <w:webHidden/>
          </w:rPr>
          <w:t>15</w:t>
        </w:r>
        <w:r w:rsidR="001168D9">
          <w:rPr>
            <w:webHidden/>
          </w:rPr>
          <w:fldChar w:fldCharType="end"/>
        </w:r>
      </w:hyperlink>
    </w:p>
    <w:p w14:paraId="48314807" w14:textId="3B89A5FE" w:rsidR="001168D9" w:rsidRDefault="00140853">
      <w:pPr>
        <w:pStyle w:val="TOC2"/>
        <w:rPr>
          <w:rFonts w:asciiTheme="minorHAnsi" w:eastAsiaTheme="minorEastAsia" w:hAnsiTheme="minorHAnsi" w:cstheme="minorBidi"/>
          <w:kern w:val="0"/>
          <w:sz w:val="22"/>
          <w:szCs w:val="22"/>
          <w:lang w:eastAsia="en-AU"/>
        </w:rPr>
      </w:pPr>
      <w:hyperlink w:anchor="_Toc91189671" w:history="1">
        <w:r w:rsidR="001168D9" w:rsidRPr="0059621B">
          <w:rPr>
            <w:rStyle w:val="Hyperlink"/>
          </w:rPr>
          <w:t>3 Objectives for government intervention</w:t>
        </w:r>
        <w:r w:rsidR="001168D9">
          <w:rPr>
            <w:webHidden/>
          </w:rPr>
          <w:tab/>
        </w:r>
        <w:r w:rsidR="001168D9">
          <w:rPr>
            <w:webHidden/>
          </w:rPr>
          <w:fldChar w:fldCharType="begin"/>
        </w:r>
        <w:r w:rsidR="001168D9">
          <w:rPr>
            <w:webHidden/>
          </w:rPr>
          <w:instrText xml:space="preserve"> PAGEREF _Toc91189671 \h </w:instrText>
        </w:r>
        <w:r w:rsidR="001168D9">
          <w:rPr>
            <w:webHidden/>
          </w:rPr>
        </w:r>
        <w:r w:rsidR="001168D9">
          <w:rPr>
            <w:webHidden/>
          </w:rPr>
          <w:fldChar w:fldCharType="separate"/>
        </w:r>
        <w:r w:rsidR="00B86FD7">
          <w:rPr>
            <w:webHidden/>
          </w:rPr>
          <w:t>21</w:t>
        </w:r>
        <w:r w:rsidR="001168D9">
          <w:rPr>
            <w:webHidden/>
          </w:rPr>
          <w:fldChar w:fldCharType="end"/>
        </w:r>
      </w:hyperlink>
    </w:p>
    <w:p w14:paraId="25A5173A" w14:textId="7EAE3C24" w:rsidR="001168D9" w:rsidRDefault="00140853">
      <w:pPr>
        <w:pStyle w:val="TOC2"/>
        <w:rPr>
          <w:rFonts w:asciiTheme="minorHAnsi" w:eastAsiaTheme="minorEastAsia" w:hAnsiTheme="minorHAnsi" w:cstheme="minorBidi"/>
          <w:kern w:val="0"/>
          <w:sz w:val="22"/>
          <w:szCs w:val="22"/>
          <w:lang w:eastAsia="en-AU"/>
        </w:rPr>
      </w:pPr>
      <w:hyperlink w:anchor="_Toc91189672" w:history="1">
        <w:r w:rsidR="001168D9" w:rsidRPr="0059621B">
          <w:rPr>
            <w:rStyle w:val="Hyperlink"/>
          </w:rPr>
          <w:t>4 Options</w:t>
        </w:r>
        <w:r w:rsidR="001168D9">
          <w:rPr>
            <w:webHidden/>
          </w:rPr>
          <w:tab/>
        </w:r>
        <w:r w:rsidR="001168D9">
          <w:rPr>
            <w:webHidden/>
          </w:rPr>
          <w:fldChar w:fldCharType="begin"/>
        </w:r>
        <w:r w:rsidR="001168D9">
          <w:rPr>
            <w:webHidden/>
          </w:rPr>
          <w:instrText xml:space="preserve"> PAGEREF _Toc91189672 \h </w:instrText>
        </w:r>
        <w:r w:rsidR="001168D9">
          <w:rPr>
            <w:webHidden/>
          </w:rPr>
        </w:r>
        <w:r w:rsidR="001168D9">
          <w:rPr>
            <w:webHidden/>
          </w:rPr>
          <w:fldChar w:fldCharType="separate"/>
        </w:r>
        <w:r w:rsidR="00B86FD7">
          <w:rPr>
            <w:webHidden/>
          </w:rPr>
          <w:t>23</w:t>
        </w:r>
        <w:r w:rsidR="001168D9">
          <w:rPr>
            <w:webHidden/>
          </w:rPr>
          <w:fldChar w:fldCharType="end"/>
        </w:r>
      </w:hyperlink>
    </w:p>
    <w:p w14:paraId="4978C803" w14:textId="586B77EF" w:rsidR="001168D9" w:rsidRDefault="00140853">
      <w:pPr>
        <w:pStyle w:val="TOC2"/>
        <w:rPr>
          <w:rFonts w:asciiTheme="minorHAnsi" w:eastAsiaTheme="minorEastAsia" w:hAnsiTheme="minorHAnsi" w:cstheme="minorBidi"/>
          <w:kern w:val="0"/>
          <w:sz w:val="22"/>
          <w:szCs w:val="22"/>
          <w:lang w:eastAsia="en-AU"/>
        </w:rPr>
      </w:pPr>
      <w:hyperlink w:anchor="_Toc91189673" w:history="1">
        <w:r w:rsidR="001168D9" w:rsidRPr="0059621B">
          <w:rPr>
            <w:rStyle w:val="Hyperlink"/>
          </w:rPr>
          <w:t>5 Impact analysis</w:t>
        </w:r>
        <w:r w:rsidR="001168D9">
          <w:rPr>
            <w:webHidden/>
          </w:rPr>
          <w:tab/>
        </w:r>
        <w:r w:rsidR="001168D9">
          <w:rPr>
            <w:webHidden/>
          </w:rPr>
          <w:fldChar w:fldCharType="begin"/>
        </w:r>
        <w:r w:rsidR="001168D9">
          <w:rPr>
            <w:webHidden/>
          </w:rPr>
          <w:instrText xml:space="preserve"> PAGEREF _Toc91189673 \h </w:instrText>
        </w:r>
        <w:r w:rsidR="001168D9">
          <w:rPr>
            <w:webHidden/>
          </w:rPr>
        </w:r>
        <w:r w:rsidR="001168D9">
          <w:rPr>
            <w:webHidden/>
          </w:rPr>
          <w:fldChar w:fldCharType="separate"/>
        </w:r>
        <w:r w:rsidR="00B86FD7">
          <w:rPr>
            <w:webHidden/>
          </w:rPr>
          <w:t>28</w:t>
        </w:r>
        <w:r w:rsidR="001168D9">
          <w:rPr>
            <w:webHidden/>
          </w:rPr>
          <w:fldChar w:fldCharType="end"/>
        </w:r>
      </w:hyperlink>
    </w:p>
    <w:p w14:paraId="399E00EB" w14:textId="17C41366" w:rsidR="001168D9" w:rsidRDefault="00140853">
      <w:pPr>
        <w:pStyle w:val="TOC2"/>
        <w:rPr>
          <w:rFonts w:asciiTheme="minorHAnsi" w:eastAsiaTheme="minorEastAsia" w:hAnsiTheme="minorHAnsi" w:cstheme="minorBidi"/>
          <w:kern w:val="0"/>
          <w:sz w:val="22"/>
          <w:szCs w:val="22"/>
          <w:lang w:eastAsia="en-AU"/>
        </w:rPr>
      </w:pPr>
      <w:hyperlink w:anchor="_Toc91189674" w:history="1">
        <w:r w:rsidR="001168D9" w:rsidRPr="0059621B">
          <w:rPr>
            <w:rStyle w:val="Hyperlink"/>
          </w:rPr>
          <w:t>6 Consultation</w:t>
        </w:r>
        <w:r w:rsidR="001168D9">
          <w:rPr>
            <w:webHidden/>
          </w:rPr>
          <w:tab/>
        </w:r>
        <w:r w:rsidR="001168D9">
          <w:rPr>
            <w:webHidden/>
          </w:rPr>
          <w:fldChar w:fldCharType="begin"/>
        </w:r>
        <w:r w:rsidR="001168D9">
          <w:rPr>
            <w:webHidden/>
          </w:rPr>
          <w:instrText xml:space="preserve"> PAGEREF _Toc91189674 \h </w:instrText>
        </w:r>
        <w:r w:rsidR="001168D9">
          <w:rPr>
            <w:webHidden/>
          </w:rPr>
        </w:r>
        <w:r w:rsidR="001168D9">
          <w:rPr>
            <w:webHidden/>
          </w:rPr>
          <w:fldChar w:fldCharType="separate"/>
        </w:r>
        <w:r w:rsidR="00B86FD7">
          <w:rPr>
            <w:webHidden/>
          </w:rPr>
          <w:t>44</w:t>
        </w:r>
        <w:r w:rsidR="001168D9">
          <w:rPr>
            <w:webHidden/>
          </w:rPr>
          <w:fldChar w:fldCharType="end"/>
        </w:r>
      </w:hyperlink>
    </w:p>
    <w:p w14:paraId="7D960B70" w14:textId="3FB1BFD9" w:rsidR="001168D9" w:rsidRDefault="00140853">
      <w:pPr>
        <w:pStyle w:val="TOC2"/>
        <w:rPr>
          <w:rFonts w:asciiTheme="minorHAnsi" w:eastAsiaTheme="minorEastAsia" w:hAnsiTheme="minorHAnsi" w:cstheme="minorBidi"/>
          <w:kern w:val="0"/>
          <w:sz w:val="22"/>
          <w:szCs w:val="22"/>
          <w:lang w:eastAsia="en-AU"/>
        </w:rPr>
      </w:pPr>
      <w:hyperlink w:anchor="_Toc91189675" w:history="1">
        <w:r w:rsidR="001168D9" w:rsidRPr="0059621B">
          <w:rPr>
            <w:rStyle w:val="Hyperlink"/>
          </w:rPr>
          <w:t>7 Preferred option</w:t>
        </w:r>
        <w:r w:rsidR="001168D9">
          <w:rPr>
            <w:webHidden/>
          </w:rPr>
          <w:tab/>
        </w:r>
        <w:r w:rsidR="001168D9">
          <w:rPr>
            <w:webHidden/>
          </w:rPr>
          <w:fldChar w:fldCharType="begin"/>
        </w:r>
        <w:r w:rsidR="001168D9">
          <w:rPr>
            <w:webHidden/>
          </w:rPr>
          <w:instrText xml:space="preserve"> PAGEREF _Toc91189675 \h </w:instrText>
        </w:r>
        <w:r w:rsidR="001168D9">
          <w:rPr>
            <w:webHidden/>
          </w:rPr>
        </w:r>
        <w:r w:rsidR="001168D9">
          <w:rPr>
            <w:webHidden/>
          </w:rPr>
          <w:fldChar w:fldCharType="separate"/>
        </w:r>
        <w:r w:rsidR="00B86FD7">
          <w:rPr>
            <w:webHidden/>
          </w:rPr>
          <w:t>51</w:t>
        </w:r>
        <w:r w:rsidR="001168D9">
          <w:rPr>
            <w:webHidden/>
          </w:rPr>
          <w:fldChar w:fldCharType="end"/>
        </w:r>
      </w:hyperlink>
    </w:p>
    <w:p w14:paraId="0041C040" w14:textId="55736DD1" w:rsidR="001168D9" w:rsidRDefault="00140853">
      <w:pPr>
        <w:pStyle w:val="TOC2"/>
        <w:rPr>
          <w:rFonts w:asciiTheme="minorHAnsi" w:eastAsiaTheme="minorEastAsia" w:hAnsiTheme="minorHAnsi" w:cstheme="minorBidi"/>
          <w:kern w:val="0"/>
          <w:sz w:val="22"/>
          <w:szCs w:val="22"/>
          <w:lang w:eastAsia="en-AU"/>
        </w:rPr>
      </w:pPr>
      <w:hyperlink w:anchor="_Toc91189676" w:history="1">
        <w:r w:rsidR="001168D9" w:rsidRPr="0059621B">
          <w:rPr>
            <w:rStyle w:val="Hyperlink"/>
          </w:rPr>
          <w:t>8 Implementation and review</w:t>
        </w:r>
        <w:r w:rsidR="001168D9">
          <w:rPr>
            <w:webHidden/>
          </w:rPr>
          <w:tab/>
        </w:r>
        <w:r w:rsidR="001168D9">
          <w:rPr>
            <w:webHidden/>
          </w:rPr>
          <w:fldChar w:fldCharType="begin"/>
        </w:r>
        <w:r w:rsidR="001168D9">
          <w:rPr>
            <w:webHidden/>
          </w:rPr>
          <w:instrText xml:space="preserve"> PAGEREF _Toc91189676 \h </w:instrText>
        </w:r>
        <w:r w:rsidR="001168D9">
          <w:rPr>
            <w:webHidden/>
          </w:rPr>
        </w:r>
        <w:r w:rsidR="001168D9">
          <w:rPr>
            <w:webHidden/>
          </w:rPr>
          <w:fldChar w:fldCharType="separate"/>
        </w:r>
        <w:r w:rsidR="00B86FD7">
          <w:rPr>
            <w:webHidden/>
          </w:rPr>
          <w:t>52</w:t>
        </w:r>
        <w:r w:rsidR="001168D9">
          <w:rPr>
            <w:webHidden/>
          </w:rPr>
          <w:fldChar w:fldCharType="end"/>
        </w:r>
      </w:hyperlink>
    </w:p>
    <w:p w14:paraId="757914C3" w14:textId="2CFBD5F7" w:rsidR="001168D9" w:rsidRDefault="00140853">
      <w:pPr>
        <w:pStyle w:val="TOC2"/>
        <w:rPr>
          <w:rFonts w:asciiTheme="minorHAnsi" w:eastAsiaTheme="minorEastAsia" w:hAnsiTheme="minorHAnsi" w:cstheme="minorBidi"/>
          <w:kern w:val="0"/>
          <w:sz w:val="22"/>
          <w:szCs w:val="22"/>
          <w:lang w:eastAsia="en-AU"/>
        </w:rPr>
      </w:pPr>
      <w:hyperlink w:anchor="_Toc91189677" w:history="1">
        <w:r w:rsidR="001168D9" w:rsidRPr="0059621B">
          <w:rPr>
            <w:rStyle w:val="Hyperlink"/>
          </w:rPr>
          <w:t>Appendix 1: Ministerial Policy Guideline on menu labelling</w:t>
        </w:r>
        <w:r w:rsidR="001168D9">
          <w:rPr>
            <w:webHidden/>
          </w:rPr>
          <w:tab/>
        </w:r>
        <w:r w:rsidR="001168D9">
          <w:rPr>
            <w:webHidden/>
          </w:rPr>
          <w:fldChar w:fldCharType="begin"/>
        </w:r>
        <w:r w:rsidR="001168D9">
          <w:rPr>
            <w:webHidden/>
          </w:rPr>
          <w:instrText xml:space="preserve"> PAGEREF _Toc91189677 \h </w:instrText>
        </w:r>
        <w:r w:rsidR="001168D9">
          <w:rPr>
            <w:webHidden/>
          </w:rPr>
        </w:r>
        <w:r w:rsidR="001168D9">
          <w:rPr>
            <w:webHidden/>
          </w:rPr>
          <w:fldChar w:fldCharType="separate"/>
        </w:r>
        <w:r w:rsidR="00B86FD7">
          <w:rPr>
            <w:webHidden/>
          </w:rPr>
          <w:t>58</w:t>
        </w:r>
        <w:r w:rsidR="001168D9">
          <w:rPr>
            <w:webHidden/>
          </w:rPr>
          <w:fldChar w:fldCharType="end"/>
        </w:r>
      </w:hyperlink>
    </w:p>
    <w:p w14:paraId="411E81EA" w14:textId="12487665" w:rsidR="001168D9" w:rsidRDefault="00140853">
      <w:pPr>
        <w:pStyle w:val="TOC2"/>
        <w:rPr>
          <w:rFonts w:asciiTheme="minorHAnsi" w:eastAsiaTheme="minorEastAsia" w:hAnsiTheme="minorHAnsi" w:cstheme="minorBidi"/>
          <w:kern w:val="0"/>
          <w:sz w:val="22"/>
          <w:szCs w:val="22"/>
          <w:lang w:eastAsia="en-AU"/>
        </w:rPr>
      </w:pPr>
      <w:hyperlink w:anchor="_Toc91189678" w:history="1">
        <w:r w:rsidR="001168D9" w:rsidRPr="0059621B">
          <w:rPr>
            <w:rStyle w:val="Hyperlink"/>
          </w:rPr>
          <w:t>Appendix 2: Summary of evidence for the effectiveness of menu labelling</w:t>
        </w:r>
        <w:r w:rsidR="001168D9">
          <w:rPr>
            <w:webHidden/>
          </w:rPr>
          <w:tab/>
        </w:r>
        <w:r w:rsidR="001168D9">
          <w:rPr>
            <w:webHidden/>
          </w:rPr>
          <w:fldChar w:fldCharType="begin"/>
        </w:r>
        <w:r w:rsidR="001168D9">
          <w:rPr>
            <w:webHidden/>
          </w:rPr>
          <w:instrText xml:space="preserve"> PAGEREF _Toc91189678 \h </w:instrText>
        </w:r>
        <w:r w:rsidR="001168D9">
          <w:rPr>
            <w:webHidden/>
          </w:rPr>
        </w:r>
        <w:r w:rsidR="001168D9">
          <w:rPr>
            <w:webHidden/>
          </w:rPr>
          <w:fldChar w:fldCharType="separate"/>
        </w:r>
        <w:r w:rsidR="00B86FD7">
          <w:rPr>
            <w:webHidden/>
          </w:rPr>
          <w:t>62</w:t>
        </w:r>
        <w:r w:rsidR="001168D9">
          <w:rPr>
            <w:webHidden/>
          </w:rPr>
          <w:fldChar w:fldCharType="end"/>
        </w:r>
      </w:hyperlink>
    </w:p>
    <w:p w14:paraId="4A6AC6A6" w14:textId="7AD52F09" w:rsidR="001168D9" w:rsidRDefault="00140853">
      <w:pPr>
        <w:pStyle w:val="TOC2"/>
        <w:rPr>
          <w:rFonts w:asciiTheme="minorHAnsi" w:eastAsiaTheme="minorEastAsia" w:hAnsiTheme="minorHAnsi" w:cstheme="minorBidi"/>
          <w:kern w:val="0"/>
          <w:sz w:val="22"/>
          <w:szCs w:val="22"/>
          <w:lang w:eastAsia="en-AU"/>
        </w:rPr>
      </w:pPr>
      <w:hyperlink w:anchor="_Toc91189679" w:history="1">
        <w:r w:rsidR="001168D9" w:rsidRPr="0059621B">
          <w:rPr>
            <w:rStyle w:val="Hyperlink"/>
          </w:rPr>
          <w:t>Appendix 3: Example national-level actions already underway in Australia and New Zealand to support purchasing and consumption of healthier ready-to-eat food and drinks (including ‘restaurant/takeaway’ and pre-packaged items) in retail and out-of-home settings</w:t>
        </w:r>
        <w:r w:rsidR="001168D9">
          <w:rPr>
            <w:webHidden/>
          </w:rPr>
          <w:tab/>
        </w:r>
        <w:r w:rsidR="001168D9">
          <w:rPr>
            <w:webHidden/>
          </w:rPr>
          <w:fldChar w:fldCharType="begin"/>
        </w:r>
        <w:r w:rsidR="001168D9">
          <w:rPr>
            <w:webHidden/>
          </w:rPr>
          <w:instrText xml:space="preserve"> PAGEREF _Toc91189679 \h </w:instrText>
        </w:r>
        <w:r w:rsidR="001168D9">
          <w:rPr>
            <w:webHidden/>
          </w:rPr>
        </w:r>
        <w:r w:rsidR="001168D9">
          <w:rPr>
            <w:webHidden/>
          </w:rPr>
          <w:fldChar w:fldCharType="separate"/>
        </w:r>
        <w:r w:rsidR="00B86FD7">
          <w:rPr>
            <w:webHidden/>
          </w:rPr>
          <w:t>69</w:t>
        </w:r>
        <w:r w:rsidR="001168D9">
          <w:rPr>
            <w:webHidden/>
          </w:rPr>
          <w:fldChar w:fldCharType="end"/>
        </w:r>
      </w:hyperlink>
    </w:p>
    <w:p w14:paraId="7D53A392" w14:textId="4CE0D7C8" w:rsidR="001168D9" w:rsidRDefault="00140853">
      <w:pPr>
        <w:pStyle w:val="TOC2"/>
        <w:rPr>
          <w:rFonts w:asciiTheme="minorHAnsi" w:eastAsiaTheme="minorEastAsia" w:hAnsiTheme="minorHAnsi" w:cstheme="minorBidi"/>
          <w:kern w:val="0"/>
          <w:sz w:val="22"/>
          <w:szCs w:val="22"/>
          <w:lang w:eastAsia="en-AU"/>
        </w:rPr>
      </w:pPr>
      <w:hyperlink w:anchor="_Toc91189680" w:history="1">
        <w:r w:rsidR="001168D9" w:rsidRPr="0059621B">
          <w:rPr>
            <w:rStyle w:val="Hyperlink"/>
          </w:rPr>
          <w:t>Appendix 4: Business types that may sell standard food items</w:t>
        </w:r>
        <w:r w:rsidR="001168D9">
          <w:rPr>
            <w:webHidden/>
          </w:rPr>
          <w:tab/>
        </w:r>
        <w:r w:rsidR="001168D9">
          <w:rPr>
            <w:webHidden/>
          </w:rPr>
          <w:fldChar w:fldCharType="begin"/>
        </w:r>
        <w:r w:rsidR="001168D9">
          <w:rPr>
            <w:webHidden/>
          </w:rPr>
          <w:instrText xml:space="preserve"> PAGEREF _Toc91189680 \h </w:instrText>
        </w:r>
        <w:r w:rsidR="001168D9">
          <w:rPr>
            <w:webHidden/>
          </w:rPr>
        </w:r>
        <w:r w:rsidR="001168D9">
          <w:rPr>
            <w:webHidden/>
          </w:rPr>
          <w:fldChar w:fldCharType="separate"/>
        </w:r>
        <w:r w:rsidR="00B86FD7">
          <w:rPr>
            <w:webHidden/>
          </w:rPr>
          <w:t>70</w:t>
        </w:r>
        <w:r w:rsidR="001168D9">
          <w:rPr>
            <w:webHidden/>
          </w:rPr>
          <w:fldChar w:fldCharType="end"/>
        </w:r>
      </w:hyperlink>
    </w:p>
    <w:p w14:paraId="0CB70D01" w14:textId="53FB82B8" w:rsidR="001168D9" w:rsidRDefault="00140853">
      <w:pPr>
        <w:pStyle w:val="TOC2"/>
        <w:rPr>
          <w:rFonts w:asciiTheme="minorHAnsi" w:eastAsiaTheme="minorEastAsia" w:hAnsiTheme="minorHAnsi" w:cstheme="minorBidi"/>
          <w:kern w:val="0"/>
          <w:sz w:val="22"/>
          <w:szCs w:val="22"/>
          <w:lang w:eastAsia="en-AU"/>
        </w:rPr>
      </w:pPr>
      <w:hyperlink w:anchor="_Toc91189681" w:history="1">
        <w:r w:rsidR="001168D9" w:rsidRPr="0059621B">
          <w:rPr>
            <w:rStyle w:val="Hyperlink"/>
          </w:rPr>
          <w:t>Appendix 5: Amended Principles for menu labelling (Option 2)</w:t>
        </w:r>
        <w:r w:rsidR="001168D9">
          <w:rPr>
            <w:webHidden/>
          </w:rPr>
          <w:tab/>
        </w:r>
        <w:r w:rsidR="001168D9">
          <w:rPr>
            <w:webHidden/>
          </w:rPr>
          <w:fldChar w:fldCharType="begin"/>
        </w:r>
        <w:r w:rsidR="001168D9">
          <w:rPr>
            <w:webHidden/>
          </w:rPr>
          <w:instrText xml:space="preserve"> PAGEREF _Toc91189681 \h </w:instrText>
        </w:r>
        <w:r w:rsidR="001168D9">
          <w:rPr>
            <w:webHidden/>
          </w:rPr>
        </w:r>
        <w:r w:rsidR="001168D9">
          <w:rPr>
            <w:webHidden/>
          </w:rPr>
          <w:fldChar w:fldCharType="separate"/>
        </w:r>
        <w:r w:rsidR="00B86FD7">
          <w:rPr>
            <w:webHidden/>
          </w:rPr>
          <w:t>73</w:t>
        </w:r>
        <w:r w:rsidR="001168D9">
          <w:rPr>
            <w:webHidden/>
          </w:rPr>
          <w:fldChar w:fldCharType="end"/>
        </w:r>
      </w:hyperlink>
    </w:p>
    <w:p w14:paraId="657AA7AB" w14:textId="3B715CF1" w:rsidR="001168D9" w:rsidRDefault="00140853">
      <w:pPr>
        <w:pStyle w:val="TOC2"/>
        <w:rPr>
          <w:rFonts w:asciiTheme="minorHAnsi" w:eastAsiaTheme="minorEastAsia" w:hAnsiTheme="minorHAnsi" w:cstheme="minorBidi"/>
          <w:kern w:val="0"/>
          <w:sz w:val="22"/>
          <w:szCs w:val="22"/>
          <w:lang w:eastAsia="en-AU"/>
        </w:rPr>
      </w:pPr>
      <w:hyperlink w:anchor="_Toc91189682" w:history="1">
        <w:r w:rsidR="001168D9" w:rsidRPr="0059621B">
          <w:rPr>
            <w:rStyle w:val="Hyperlink"/>
          </w:rPr>
          <w:t>Appendix 6: Consideration of 2018 stakeholder views in option development</w:t>
        </w:r>
        <w:r w:rsidR="001168D9">
          <w:rPr>
            <w:webHidden/>
          </w:rPr>
          <w:tab/>
        </w:r>
        <w:r w:rsidR="001168D9">
          <w:rPr>
            <w:webHidden/>
          </w:rPr>
          <w:fldChar w:fldCharType="begin"/>
        </w:r>
        <w:r w:rsidR="001168D9">
          <w:rPr>
            <w:webHidden/>
          </w:rPr>
          <w:instrText xml:space="preserve"> PAGEREF _Toc91189682 \h </w:instrText>
        </w:r>
        <w:r w:rsidR="001168D9">
          <w:rPr>
            <w:webHidden/>
          </w:rPr>
        </w:r>
        <w:r w:rsidR="001168D9">
          <w:rPr>
            <w:webHidden/>
          </w:rPr>
          <w:fldChar w:fldCharType="separate"/>
        </w:r>
        <w:r w:rsidR="00B86FD7">
          <w:rPr>
            <w:webHidden/>
          </w:rPr>
          <w:t>76</w:t>
        </w:r>
        <w:r w:rsidR="001168D9">
          <w:rPr>
            <w:webHidden/>
          </w:rPr>
          <w:fldChar w:fldCharType="end"/>
        </w:r>
      </w:hyperlink>
    </w:p>
    <w:p w14:paraId="2D7F2FD4" w14:textId="470C2110" w:rsidR="001168D9" w:rsidRDefault="00140853">
      <w:pPr>
        <w:pStyle w:val="TOC2"/>
        <w:rPr>
          <w:rFonts w:asciiTheme="minorHAnsi" w:eastAsiaTheme="minorEastAsia" w:hAnsiTheme="minorHAnsi" w:cstheme="minorBidi"/>
          <w:kern w:val="0"/>
          <w:sz w:val="22"/>
          <w:szCs w:val="22"/>
          <w:lang w:eastAsia="en-AU"/>
        </w:rPr>
      </w:pPr>
      <w:hyperlink w:anchor="_Toc91189683" w:history="1">
        <w:r w:rsidR="001168D9" w:rsidRPr="0059621B">
          <w:rPr>
            <w:rStyle w:val="Hyperlink"/>
          </w:rPr>
          <w:t>Appendix 7: Summary of submission analysis from 2021 consultation</w:t>
        </w:r>
        <w:r w:rsidR="001168D9">
          <w:rPr>
            <w:webHidden/>
          </w:rPr>
          <w:tab/>
        </w:r>
        <w:r w:rsidR="001168D9">
          <w:rPr>
            <w:webHidden/>
          </w:rPr>
          <w:fldChar w:fldCharType="begin"/>
        </w:r>
        <w:r w:rsidR="001168D9">
          <w:rPr>
            <w:webHidden/>
          </w:rPr>
          <w:instrText xml:space="preserve"> PAGEREF _Toc91189683 \h </w:instrText>
        </w:r>
        <w:r w:rsidR="001168D9">
          <w:rPr>
            <w:webHidden/>
          </w:rPr>
        </w:r>
        <w:r w:rsidR="001168D9">
          <w:rPr>
            <w:webHidden/>
          </w:rPr>
          <w:fldChar w:fldCharType="separate"/>
        </w:r>
        <w:r w:rsidR="00B86FD7">
          <w:rPr>
            <w:webHidden/>
          </w:rPr>
          <w:t>80</w:t>
        </w:r>
        <w:r w:rsidR="001168D9">
          <w:rPr>
            <w:webHidden/>
          </w:rPr>
          <w:fldChar w:fldCharType="end"/>
        </w:r>
      </w:hyperlink>
    </w:p>
    <w:p w14:paraId="352C83CD" w14:textId="035A904A" w:rsidR="0004125A" w:rsidRPr="00BB284A" w:rsidRDefault="0004125A" w:rsidP="00F6154A">
      <w:pPr>
        <w:pStyle w:val="Heading2"/>
        <w:rPr>
          <w:rStyle w:val="Heading1Char"/>
          <w:rFonts w:ascii="Times New Roman" w:hAnsi="Times New Roman" w:cs="Times New Roman"/>
          <w:b/>
          <w:bCs/>
          <w:kern w:val="0"/>
          <w:szCs w:val="28"/>
        </w:rPr>
      </w:pPr>
      <w:r w:rsidRPr="002E1CE6">
        <w:fldChar w:fldCharType="end"/>
      </w:r>
      <w:r w:rsidRPr="00E67A4C">
        <w:rPr>
          <w:sz w:val="22"/>
          <w:szCs w:val="22"/>
        </w:rPr>
        <w:br w:type="page"/>
      </w:r>
      <w:bookmarkStart w:id="10" w:name="_Toc426380820"/>
      <w:bookmarkStart w:id="11" w:name="_Toc426380885"/>
      <w:bookmarkStart w:id="12" w:name="_Toc426380916"/>
      <w:bookmarkStart w:id="13" w:name="_Toc91189669"/>
      <w:r w:rsidR="00EA1E18" w:rsidRPr="00BB284A">
        <w:rPr>
          <w:rStyle w:val="Heading1Char"/>
          <w:rFonts w:ascii="Times New Roman" w:hAnsi="Times New Roman" w:cs="Times New Roman"/>
          <w:b/>
          <w:bCs/>
          <w:kern w:val="0"/>
          <w:szCs w:val="28"/>
        </w:rPr>
        <w:lastRenderedPageBreak/>
        <w:t xml:space="preserve">1 </w:t>
      </w:r>
      <w:r w:rsidRPr="00BB284A">
        <w:rPr>
          <w:rStyle w:val="Heading1Char"/>
          <w:rFonts w:ascii="Times New Roman" w:hAnsi="Times New Roman" w:cs="Times New Roman"/>
          <w:b/>
          <w:bCs/>
          <w:kern w:val="0"/>
          <w:szCs w:val="28"/>
        </w:rPr>
        <w:t>Introduction</w:t>
      </w:r>
      <w:bookmarkEnd w:id="10"/>
      <w:bookmarkEnd w:id="11"/>
      <w:bookmarkEnd w:id="12"/>
      <w:bookmarkEnd w:id="13"/>
    </w:p>
    <w:p w14:paraId="07C91BC1" w14:textId="77777777" w:rsidR="00B542E6" w:rsidRPr="00BB284A" w:rsidRDefault="00735889" w:rsidP="00F53A05">
      <w:pPr>
        <w:pStyle w:val="Heading3"/>
      </w:pPr>
      <w:bookmarkStart w:id="14" w:name="_Toc24103526"/>
      <w:bookmarkStart w:id="15" w:name="_Toc51165262"/>
      <w:bookmarkStart w:id="16" w:name="_Toc426380821"/>
      <w:bookmarkStart w:id="17" w:name="_Toc426380886"/>
      <w:bookmarkStart w:id="18" w:name="_Toc426380917"/>
      <w:r w:rsidRPr="00BB284A">
        <w:t xml:space="preserve">1.1 </w:t>
      </w:r>
      <w:r w:rsidR="00B542E6" w:rsidRPr="00BB284A">
        <w:t>Purpose of this paper</w:t>
      </w:r>
      <w:bookmarkEnd w:id="14"/>
      <w:bookmarkEnd w:id="15"/>
    </w:p>
    <w:p w14:paraId="08D38FDB" w14:textId="7E8DE549" w:rsidR="00850663" w:rsidRDefault="007F595A" w:rsidP="00850663">
      <w:pPr>
        <w:pStyle w:val="Bodytext-TMRfont12"/>
      </w:pPr>
      <w:bookmarkStart w:id="19" w:name="_Hlk26281813"/>
      <w:r>
        <w:t>This Decision Regulatory Impact Statement (DRIS) has been prepared to provide a recommendation to the Food Ministers’ Meeting</w:t>
      </w:r>
      <w:r w:rsidR="00B55872">
        <w:t xml:space="preserve"> </w:t>
      </w:r>
      <w:r>
        <w:t xml:space="preserve">on the preferred option </w:t>
      </w:r>
      <w:r w:rsidR="0055609E">
        <w:t>and implementation to</w:t>
      </w:r>
      <w:r>
        <w:t xml:space="preserve"> </w:t>
      </w:r>
      <w:r w:rsidR="00284678">
        <w:t>enhanc</w:t>
      </w:r>
      <w:r w:rsidR="00720610">
        <w:t>e</w:t>
      </w:r>
      <w:r>
        <w:t xml:space="preserve"> menu labelling in Australia and New Zealand.</w:t>
      </w:r>
      <w:r w:rsidR="00850663">
        <w:t xml:space="preserve"> </w:t>
      </w:r>
      <w:r w:rsidR="00471F43">
        <w:rPr>
          <w:lang w:val="en-US"/>
        </w:rPr>
        <w:t xml:space="preserve">This DRIS is </w:t>
      </w:r>
      <w:r w:rsidR="008225A0">
        <w:rPr>
          <w:lang w:val="en-US"/>
        </w:rPr>
        <w:t xml:space="preserve">not </w:t>
      </w:r>
      <w:r w:rsidR="00471F43" w:rsidRPr="00E45CA5">
        <w:rPr>
          <w:lang w:val="en-US"/>
        </w:rPr>
        <w:t>a comprehensive strategy for what the food regulation system can contribute to obesity prevention.</w:t>
      </w:r>
    </w:p>
    <w:p w14:paraId="0B20AD29" w14:textId="77777777" w:rsidR="00850663" w:rsidRDefault="00850663" w:rsidP="00850663">
      <w:pPr>
        <w:pStyle w:val="Bodytext-TMRfont12"/>
      </w:pPr>
    </w:p>
    <w:bookmarkEnd w:id="19"/>
    <w:p w14:paraId="7D44E576" w14:textId="4F7933E2" w:rsidR="002B7BF8" w:rsidRDefault="00B542E6" w:rsidP="002B7BF8">
      <w:pPr>
        <w:pStyle w:val="Bodytext-TMRfont12"/>
      </w:pPr>
      <w:r w:rsidRPr="00E67A4C">
        <w:t xml:space="preserve">This </w:t>
      </w:r>
      <w:r w:rsidR="004D4D3E">
        <w:t xml:space="preserve">paper was </w:t>
      </w:r>
      <w:r w:rsidR="00E47B40" w:rsidRPr="00E67A4C">
        <w:t xml:space="preserve">prepared by </w:t>
      </w:r>
      <w:r w:rsidR="004D4D3E" w:rsidDel="00850663">
        <w:t xml:space="preserve">the </w:t>
      </w:r>
      <w:r w:rsidR="00E47B40" w:rsidRPr="00E67A4C" w:rsidDel="00850663">
        <w:t>F</w:t>
      </w:r>
      <w:r w:rsidR="004D4D3E" w:rsidDel="00850663">
        <w:t xml:space="preserve">ood </w:t>
      </w:r>
      <w:r w:rsidR="00E47B40" w:rsidRPr="00E67A4C" w:rsidDel="00850663">
        <w:t>R</w:t>
      </w:r>
      <w:r w:rsidR="004D4D3E" w:rsidDel="00850663">
        <w:t xml:space="preserve">egulation </w:t>
      </w:r>
      <w:r w:rsidR="00E47B40" w:rsidRPr="00E67A4C" w:rsidDel="00850663">
        <w:t>S</w:t>
      </w:r>
      <w:r w:rsidR="004D4D3E" w:rsidDel="00850663">
        <w:t xml:space="preserve">tanding </w:t>
      </w:r>
      <w:r w:rsidR="00E47B40" w:rsidRPr="00E67A4C" w:rsidDel="00850663">
        <w:t>C</w:t>
      </w:r>
      <w:r w:rsidR="004D4D3E" w:rsidDel="00850663">
        <w:t>ommittee (</w:t>
      </w:r>
      <w:r w:rsidR="004D4D3E">
        <w:t>FRSC</w:t>
      </w:r>
      <w:r w:rsidR="00F2303C">
        <w:t>)</w:t>
      </w:r>
      <w:r w:rsidR="00E47B40" w:rsidRPr="00E67A4C">
        <w:t xml:space="preserve"> and </w:t>
      </w:r>
      <w:r w:rsidRPr="00E67A4C">
        <w:t xml:space="preserve">is based on the </w:t>
      </w:r>
      <w:r w:rsidR="00F61AA1" w:rsidRPr="00796C0D">
        <w:rPr>
          <w:i/>
        </w:rPr>
        <w:t>Regulatory Impact Analysis Guide for Ministers’ Meetings and National Standard Setting Bodies</w:t>
      </w:r>
      <w:r w:rsidR="00F61AA1">
        <w:rPr>
          <w:i/>
        </w:rPr>
        <w:t xml:space="preserve"> </w:t>
      </w:r>
      <w:r w:rsidR="00F61AA1" w:rsidRPr="00796C0D">
        <w:rPr>
          <w:iCs/>
        </w:rPr>
        <w:t>(2021)</w:t>
      </w:r>
      <w:r w:rsidR="008820A1" w:rsidRPr="004F1B1B">
        <w:rPr>
          <w:i/>
        </w:rPr>
        <w:t>.</w:t>
      </w:r>
      <w:r w:rsidRPr="00D77ADC">
        <w:rPr>
          <w:vertAlign w:val="superscript"/>
        </w:rPr>
        <w:footnoteReference w:id="10"/>
      </w:r>
      <w:r w:rsidRPr="00E67A4C">
        <w:t xml:space="preserve"> </w:t>
      </w:r>
      <w:r w:rsidR="002B7BF8">
        <w:t xml:space="preserve">A Consultation Regulation Impact Statement (CRIS) on policy guidance for menu </w:t>
      </w:r>
      <w:r w:rsidR="002B7BF8" w:rsidRPr="00CE2FE2">
        <w:t xml:space="preserve">labelling in Australia and New Zealand was released for public consultation in Australia and New Zealand. </w:t>
      </w:r>
      <w:r w:rsidR="00F2303C" w:rsidRPr="00CE2FE2">
        <w:t>I</w:t>
      </w:r>
      <w:r w:rsidR="002B7BF8" w:rsidRPr="00CE2FE2">
        <w:t xml:space="preserve">nformation provided by stakeholders and </w:t>
      </w:r>
      <w:r w:rsidR="00F2303C" w:rsidRPr="00CE2FE2">
        <w:t>a commissioned</w:t>
      </w:r>
      <w:r w:rsidR="002B7BF8" w:rsidRPr="00CE2FE2">
        <w:t xml:space="preserve"> </w:t>
      </w:r>
      <w:r w:rsidR="009C2E43" w:rsidRPr="00CE2FE2">
        <w:t>economic evaluation of the policy options</w:t>
      </w:r>
      <w:r w:rsidR="002B7BF8" w:rsidRPr="00CE2FE2">
        <w:t xml:space="preserve"> informed the preparation of this DRIS</w:t>
      </w:r>
      <w:r w:rsidR="002B7BF8">
        <w:t xml:space="preserve">. </w:t>
      </w:r>
    </w:p>
    <w:p w14:paraId="7E769BDC" w14:textId="243DB6A0" w:rsidR="0030660D" w:rsidRDefault="0030660D" w:rsidP="00573BA6">
      <w:pPr>
        <w:pStyle w:val="Bodytext-TMRfont12"/>
        <w:rPr>
          <w:color w:val="222222"/>
        </w:rPr>
      </w:pPr>
      <w:r w:rsidRPr="00E67A4C">
        <w:rPr>
          <w:color w:val="222222"/>
        </w:rPr>
        <w:t xml:space="preserve"> </w:t>
      </w:r>
    </w:p>
    <w:p w14:paraId="36DFA5A7" w14:textId="5311F257" w:rsidR="003908F9" w:rsidRDefault="003908F9" w:rsidP="00F53A05">
      <w:pPr>
        <w:pStyle w:val="Heading3"/>
      </w:pPr>
      <w:r w:rsidRPr="00E67A4C">
        <w:t>1.</w:t>
      </w:r>
      <w:r>
        <w:t>2</w:t>
      </w:r>
      <w:r w:rsidRPr="00E67A4C">
        <w:t xml:space="preserve"> </w:t>
      </w:r>
      <w:r>
        <w:t>Reliance on ready-to-eat meals and snacks</w:t>
      </w:r>
      <w:r w:rsidRPr="00E67A4C">
        <w:t xml:space="preserve"> </w:t>
      </w:r>
      <w:r w:rsidR="000720A8">
        <w:t>in Australia and New Zealand</w:t>
      </w:r>
    </w:p>
    <w:p w14:paraId="3D1F02FF" w14:textId="5D828F27" w:rsidR="009A2390" w:rsidRDefault="00F618F5" w:rsidP="00F618F5">
      <w:pPr>
        <w:spacing w:after="40"/>
        <w:jc w:val="both"/>
        <w:rPr>
          <w:lang w:val="en-US"/>
        </w:rPr>
      </w:pPr>
      <w:r>
        <w:rPr>
          <w:lang w:val="en-US"/>
        </w:rPr>
        <w:t xml:space="preserve">The </w:t>
      </w:r>
      <w:r w:rsidR="00D85056">
        <w:rPr>
          <w:lang w:val="en-US"/>
        </w:rPr>
        <w:t>2011-12</w:t>
      </w:r>
      <w:r>
        <w:rPr>
          <w:lang w:val="en-US"/>
        </w:rPr>
        <w:t xml:space="preserve"> National Nutrition and Physical Activity Survey found that 35 per cent of </w:t>
      </w:r>
      <w:r w:rsidR="00160AC9">
        <w:rPr>
          <w:lang w:val="en-US"/>
        </w:rPr>
        <w:t xml:space="preserve">Australians’ </w:t>
      </w:r>
      <w:r>
        <w:rPr>
          <w:lang w:val="en-US"/>
        </w:rPr>
        <w:t>total energy is from consuming ‘discretionary foods’, such as sugar-sweetened beverages and snack foods. While discretionary food includes ready-to-eat meals that are typically considered ‘fast</w:t>
      </w:r>
      <w:r w:rsidR="00CE2FE2">
        <w:rPr>
          <w:lang w:val="en-US"/>
        </w:rPr>
        <w:t xml:space="preserve"> </w:t>
      </w:r>
      <w:r>
        <w:rPr>
          <w:lang w:val="en-US"/>
        </w:rPr>
        <w:t xml:space="preserve">food/takeaway’, data on the amount of energy consumed from food purchased from </w:t>
      </w:r>
      <w:r w:rsidR="00805892">
        <w:rPr>
          <w:lang w:val="en-US"/>
        </w:rPr>
        <w:t xml:space="preserve">businesses such as </w:t>
      </w:r>
      <w:r>
        <w:rPr>
          <w:lang w:val="en-US"/>
        </w:rPr>
        <w:t>fast food outlets, cafes and restaurants was not reported. Similarly</w:t>
      </w:r>
      <w:r w:rsidR="001B6AC9">
        <w:rPr>
          <w:lang w:val="en-US"/>
        </w:rPr>
        <w:t>,</w:t>
      </w:r>
      <w:r>
        <w:rPr>
          <w:lang w:val="en-US"/>
        </w:rPr>
        <w:t xml:space="preserve"> the </w:t>
      </w:r>
      <w:r w:rsidR="008B5CB6">
        <w:rPr>
          <w:lang w:val="en-US"/>
        </w:rPr>
        <w:t xml:space="preserve">Australian </w:t>
      </w:r>
      <w:r>
        <w:rPr>
          <w:lang w:val="en-US"/>
        </w:rPr>
        <w:t xml:space="preserve">Apparent Consumption of Selected Foodstuffs (2019-20) does not </w:t>
      </w:r>
      <w:r w:rsidR="001B6AC9">
        <w:rPr>
          <w:lang w:val="en-US"/>
        </w:rPr>
        <w:t>measure actual consum</w:t>
      </w:r>
      <w:r w:rsidR="005B1B53">
        <w:rPr>
          <w:lang w:val="en-US"/>
        </w:rPr>
        <w:t xml:space="preserve">ption as </w:t>
      </w:r>
      <w:r>
        <w:rPr>
          <w:lang w:val="en-US"/>
        </w:rPr>
        <w:t>food purchases from fast food outlets, cafes and restaurants</w:t>
      </w:r>
      <w:r w:rsidR="005B1B53">
        <w:rPr>
          <w:lang w:val="en-US"/>
        </w:rPr>
        <w:t xml:space="preserve"> </w:t>
      </w:r>
      <w:r w:rsidR="00805892">
        <w:rPr>
          <w:lang w:val="en-US"/>
        </w:rPr>
        <w:t>we</w:t>
      </w:r>
      <w:r w:rsidR="005B1B53">
        <w:rPr>
          <w:lang w:val="en-US"/>
        </w:rPr>
        <w:t>re not included</w:t>
      </w:r>
      <w:r>
        <w:rPr>
          <w:lang w:val="en-US"/>
        </w:rPr>
        <w:t>.</w:t>
      </w:r>
      <w:r w:rsidR="007E0B57">
        <w:rPr>
          <w:lang w:val="en-US"/>
        </w:rPr>
        <w:t xml:space="preserve"> </w:t>
      </w:r>
      <w:bookmarkStart w:id="20" w:name="_Hlk90906258"/>
      <w:r w:rsidR="007E0B57">
        <w:rPr>
          <w:lang w:val="en-US"/>
        </w:rPr>
        <w:t xml:space="preserve">The New Zealand Food Price Index includes a measure of the change in the price of restaurant meals and ready-to-eat food paid by households but does not measure actual consumption or household expenditure. </w:t>
      </w:r>
      <w:bookmarkEnd w:id="20"/>
    </w:p>
    <w:p w14:paraId="72068EAB" w14:textId="77777777" w:rsidR="009A2390" w:rsidRDefault="009A2390" w:rsidP="00F618F5">
      <w:pPr>
        <w:spacing w:after="40"/>
        <w:jc w:val="both"/>
        <w:rPr>
          <w:lang w:val="en-US"/>
        </w:rPr>
      </w:pPr>
    </w:p>
    <w:p w14:paraId="46A07CCF" w14:textId="49E6773F" w:rsidR="00F618F5" w:rsidRPr="007C6EA9" w:rsidRDefault="009A2390" w:rsidP="00F618F5">
      <w:pPr>
        <w:spacing w:after="40"/>
        <w:jc w:val="both"/>
        <w:rPr>
          <w:lang w:val="en-US"/>
        </w:rPr>
      </w:pPr>
      <w:r>
        <w:rPr>
          <w:lang w:val="en-US"/>
        </w:rPr>
        <w:t>The 2008-09 N</w:t>
      </w:r>
      <w:r w:rsidR="00BD1574">
        <w:rPr>
          <w:lang w:val="en-US"/>
        </w:rPr>
        <w:t>ew Zealand</w:t>
      </w:r>
      <w:r>
        <w:rPr>
          <w:lang w:val="en-US"/>
        </w:rPr>
        <w:t xml:space="preserve"> </w:t>
      </w:r>
      <w:r w:rsidR="00BD1574">
        <w:rPr>
          <w:lang w:val="en-US"/>
        </w:rPr>
        <w:t xml:space="preserve">Adult </w:t>
      </w:r>
      <w:r>
        <w:rPr>
          <w:lang w:val="en-US"/>
        </w:rPr>
        <w:t xml:space="preserve">Nutrition Survey </w:t>
      </w:r>
      <w:r w:rsidR="00E11492">
        <w:rPr>
          <w:lang w:val="en-US"/>
        </w:rPr>
        <w:t xml:space="preserve">reported that </w:t>
      </w:r>
      <w:r w:rsidR="009C7FE3">
        <w:rPr>
          <w:lang w:val="en-US"/>
        </w:rPr>
        <w:t>a third of adults consume</w:t>
      </w:r>
      <w:r w:rsidR="00CC3D18">
        <w:rPr>
          <w:lang w:val="en-US"/>
        </w:rPr>
        <w:t>d</w:t>
      </w:r>
      <w:r w:rsidR="009C7FE3">
        <w:rPr>
          <w:lang w:val="en-US"/>
        </w:rPr>
        <w:t xml:space="preserve"> fast food or takeaway at least weekly</w:t>
      </w:r>
      <w:r w:rsidR="00CC3D18">
        <w:rPr>
          <w:lang w:val="en-US"/>
        </w:rPr>
        <w:t>, with those aged 15 to 30 yea</w:t>
      </w:r>
      <w:r w:rsidR="00ED2FEB">
        <w:rPr>
          <w:lang w:val="en-US"/>
        </w:rPr>
        <w:t>rs more likely to have fast food or takeaway three or more times a week.</w:t>
      </w:r>
      <w:r w:rsidR="00253827">
        <w:rPr>
          <w:lang w:val="en-US"/>
        </w:rPr>
        <w:t xml:space="preserve"> Frequency of eating hot chips was assessed separately, with </w:t>
      </w:r>
      <w:r w:rsidR="00037671">
        <w:rPr>
          <w:lang w:val="en-US"/>
        </w:rPr>
        <w:t>nearly 45 per cent of adults having hot chips</w:t>
      </w:r>
      <w:r w:rsidR="00430BA3">
        <w:rPr>
          <w:lang w:val="en-US"/>
        </w:rPr>
        <w:t xml:space="preserve"> at least once a week.</w:t>
      </w:r>
      <w:r w:rsidR="00430BA3">
        <w:rPr>
          <w:rStyle w:val="FootnoteReference"/>
          <w:lang w:val="en-US"/>
        </w:rPr>
        <w:footnoteReference w:id="11"/>
      </w:r>
    </w:p>
    <w:p w14:paraId="3B475D21" w14:textId="77777777" w:rsidR="00F618F5" w:rsidRPr="003379D0" w:rsidRDefault="00F618F5" w:rsidP="00384863">
      <w:pPr>
        <w:spacing w:after="40"/>
        <w:jc w:val="both"/>
        <w:rPr>
          <w:highlight w:val="lightGray"/>
        </w:rPr>
      </w:pPr>
    </w:p>
    <w:p w14:paraId="190A571B" w14:textId="004E74AF" w:rsidR="002F63D9" w:rsidRDefault="00384863" w:rsidP="00384863">
      <w:pPr>
        <w:spacing w:after="40"/>
        <w:jc w:val="both"/>
      </w:pPr>
      <w:r w:rsidRPr="00877C81">
        <w:t xml:space="preserve">In 2015-16, </w:t>
      </w:r>
      <w:r w:rsidR="00CC6BDC" w:rsidRPr="00877C81">
        <w:t xml:space="preserve">on average, </w:t>
      </w:r>
      <w:r w:rsidRPr="00877C81">
        <w:t xml:space="preserve">Australian households spent 34 per cent of the </w:t>
      </w:r>
      <w:r w:rsidR="00511F02">
        <w:t xml:space="preserve">weekly </w:t>
      </w:r>
      <w:r w:rsidRPr="00877C81">
        <w:t>food dollar on eating out, fast food and takeaway</w:t>
      </w:r>
      <w:r w:rsidR="00AF5E71" w:rsidRPr="00877C81">
        <w:t xml:space="preserve"> ($80.43/week)</w:t>
      </w:r>
      <w:r w:rsidR="00B314E9" w:rsidRPr="00877C81">
        <w:t>.</w:t>
      </w:r>
      <w:r w:rsidR="00B314E9" w:rsidRPr="00877C81">
        <w:rPr>
          <w:rStyle w:val="FootnoteReference"/>
        </w:rPr>
        <w:footnoteReference w:id="12"/>
      </w:r>
      <w:r w:rsidR="006D529E" w:rsidRPr="00877C81">
        <w:rPr>
          <w:vertAlign w:val="superscript"/>
        </w:rPr>
        <w:t>,</w:t>
      </w:r>
      <w:r w:rsidR="00CC6BDC" w:rsidRPr="00877C81">
        <w:rPr>
          <w:rStyle w:val="FootnoteReference"/>
        </w:rPr>
        <w:footnoteReference w:id="13"/>
      </w:r>
      <w:r w:rsidRPr="00877C81">
        <w:t xml:space="preserve"> Australians aged 15 to 34 years spent the greatest amount (approximately $1,900 per annum) and the greatest share (41-42%) of food expenditure on eating out and fast food, while those aged 75 years and older spent considerably less.</w:t>
      </w:r>
      <w:r w:rsidRPr="00877C81">
        <w:rPr>
          <w:rStyle w:val="FootnoteReference"/>
        </w:rPr>
        <w:footnoteReference w:id="14"/>
      </w:r>
      <w:r w:rsidR="00B35088" w:rsidRPr="00877C81">
        <w:t xml:space="preserve"> </w:t>
      </w:r>
      <w:r w:rsidR="001918BC">
        <w:t xml:space="preserve">More recent data is available for New Zealand, with </w:t>
      </w:r>
      <w:r w:rsidR="00065C38">
        <w:t xml:space="preserve">29 per cent of the </w:t>
      </w:r>
      <w:r w:rsidR="00511F02">
        <w:t xml:space="preserve">weekly </w:t>
      </w:r>
      <w:r w:rsidR="00065C38">
        <w:t>food dollar used for restaurant meals and ready-to</w:t>
      </w:r>
      <w:r w:rsidR="00511F02">
        <w:t>-</w:t>
      </w:r>
      <w:r w:rsidR="00065C38">
        <w:t>eat food</w:t>
      </w:r>
      <w:r w:rsidR="00511F02">
        <w:t xml:space="preserve"> ($67.70/week) in 2018-19</w:t>
      </w:r>
      <w:r w:rsidR="007E0B57">
        <w:t>.</w:t>
      </w:r>
      <w:r w:rsidR="006411D7">
        <w:rPr>
          <w:rStyle w:val="FootnoteReference"/>
        </w:rPr>
        <w:footnoteReference w:id="15"/>
      </w:r>
      <w:r w:rsidR="00A625E6">
        <w:t xml:space="preserve"> </w:t>
      </w:r>
    </w:p>
    <w:p w14:paraId="68123329" w14:textId="77777777" w:rsidR="004C1DC0" w:rsidRDefault="004C1DC0" w:rsidP="00384863">
      <w:pPr>
        <w:spacing w:after="40"/>
        <w:jc w:val="both"/>
      </w:pPr>
    </w:p>
    <w:p w14:paraId="5F6583FC" w14:textId="3E612DC2" w:rsidR="00B3391B" w:rsidRPr="00692EFA" w:rsidRDefault="00A625E6" w:rsidP="00384863">
      <w:pPr>
        <w:spacing w:after="40"/>
        <w:jc w:val="both"/>
        <w:rPr>
          <w:lang w:val="en-US"/>
        </w:rPr>
      </w:pPr>
      <w:r w:rsidRPr="002F63D9">
        <w:rPr>
          <w:lang w:val="en-US"/>
        </w:rPr>
        <w:t xml:space="preserve">It is important to note that </w:t>
      </w:r>
      <w:r w:rsidR="002F63D9">
        <w:rPr>
          <w:lang w:val="en-US"/>
        </w:rPr>
        <w:t>this expenditure</w:t>
      </w:r>
      <w:r w:rsidR="006B6D8D">
        <w:rPr>
          <w:lang w:val="en-US"/>
        </w:rPr>
        <w:t xml:space="preserve"> </w:t>
      </w:r>
      <w:r w:rsidR="002F63D9">
        <w:rPr>
          <w:lang w:val="en-US"/>
        </w:rPr>
        <w:t>in Australia and New Zealand</w:t>
      </w:r>
      <w:r w:rsidR="00165282">
        <w:rPr>
          <w:lang w:val="en-US"/>
        </w:rPr>
        <w:t xml:space="preserve"> is not </w:t>
      </w:r>
      <w:r w:rsidR="002545A8">
        <w:rPr>
          <w:lang w:val="en-US"/>
        </w:rPr>
        <w:t xml:space="preserve">directly aligned with </w:t>
      </w:r>
      <w:r w:rsidRPr="002F63D9">
        <w:rPr>
          <w:lang w:val="en-US"/>
        </w:rPr>
        <w:t xml:space="preserve">purchases </w:t>
      </w:r>
      <w:r w:rsidR="006B6D8D">
        <w:rPr>
          <w:lang w:val="en-US"/>
        </w:rPr>
        <w:t xml:space="preserve">from </w:t>
      </w:r>
      <w:r w:rsidR="005300E6">
        <w:rPr>
          <w:lang w:val="en-US"/>
        </w:rPr>
        <w:t xml:space="preserve">businesses </w:t>
      </w:r>
      <w:r w:rsidRPr="002F63D9">
        <w:rPr>
          <w:lang w:val="en-US"/>
        </w:rPr>
        <w:t xml:space="preserve">where menu labelling </w:t>
      </w:r>
      <w:r w:rsidR="002545A8">
        <w:rPr>
          <w:lang w:val="en-US"/>
        </w:rPr>
        <w:t>could</w:t>
      </w:r>
      <w:r w:rsidRPr="002F63D9">
        <w:rPr>
          <w:lang w:val="en-US"/>
        </w:rPr>
        <w:t xml:space="preserve"> be required</w:t>
      </w:r>
      <w:r w:rsidR="002545A8">
        <w:rPr>
          <w:lang w:val="en-US"/>
        </w:rPr>
        <w:t xml:space="preserve">. </w:t>
      </w:r>
      <w:r w:rsidR="00863C72">
        <w:rPr>
          <w:lang w:val="en-US"/>
        </w:rPr>
        <w:t>Purchases from s</w:t>
      </w:r>
      <w:r w:rsidRPr="002F63D9">
        <w:rPr>
          <w:lang w:val="en-US"/>
        </w:rPr>
        <w:t xml:space="preserve">ome businesses </w:t>
      </w:r>
      <w:r w:rsidR="002545A8">
        <w:rPr>
          <w:lang w:val="en-US"/>
        </w:rPr>
        <w:t xml:space="preserve">that </w:t>
      </w:r>
      <w:r w:rsidR="00863C72">
        <w:rPr>
          <w:lang w:val="en-US"/>
        </w:rPr>
        <w:t>would not be applicable for menu labelling could be included</w:t>
      </w:r>
      <w:r w:rsidR="00995E2D">
        <w:rPr>
          <w:lang w:val="en-US"/>
        </w:rPr>
        <w:t xml:space="preserve">, and </w:t>
      </w:r>
      <w:r w:rsidRPr="002F63D9">
        <w:rPr>
          <w:lang w:val="en-US"/>
        </w:rPr>
        <w:t xml:space="preserve">similarly other food categories </w:t>
      </w:r>
      <w:r w:rsidR="00995E2D">
        <w:rPr>
          <w:lang w:val="en-US"/>
        </w:rPr>
        <w:t>in the household expenditure surveys</w:t>
      </w:r>
      <w:r w:rsidRPr="002F63D9">
        <w:rPr>
          <w:lang w:val="en-US"/>
        </w:rPr>
        <w:t xml:space="preserve"> may include food and drinks sold by businesses </w:t>
      </w:r>
      <w:r w:rsidR="00995E2D">
        <w:rPr>
          <w:lang w:val="en-US"/>
        </w:rPr>
        <w:t xml:space="preserve">that would be </w:t>
      </w:r>
      <w:r w:rsidRPr="002F63D9">
        <w:rPr>
          <w:lang w:val="en-US"/>
        </w:rPr>
        <w:t>required to implement menu labelling</w:t>
      </w:r>
      <w:r w:rsidR="007C6EA9">
        <w:rPr>
          <w:lang w:val="en-US"/>
        </w:rPr>
        <w:t>, such as</w:t>
      </w:r>
      <w:r w:rsidRPr="002F63D9">
        <w:rPr>
          <w:lang w:val="en-US"/>
        </w:rPr>
        <w:t xml:space="preserve"> bakery products and non-alcoholic </w:t>
      </w:r>
      <w:r w:rsidRPr="00692EFA">
        <w:rPr>
          <w:lang w:val="en-US"/>
        </w:rPr>
        <w:t>beverages.</w:t>
      </w:r>
      <w:r w:rsidR="00632925" w:rsidRPr="00692EFA">
        <w:rPr>
          <w:sz w:val="18"/>
          <w:szCs w:val="18"/>
          <w:lang w:val="en-US"/>
        </w:rPr>
        <w:t xml:space="preserve"> </w:t>
      </w:r>
      <w:r w:rsidR="00C56B06" w:rsidRPr="00692EFA">
        <w:rPr>
          <w:lang w:val="en-US"/>
        </w:rPr>
        <w:t xml:space="preserve">However, it is the best estimate </w:t>
      </w:r>
      <w:r w:rsidR="00340B22" w:rsidRPr="00692EFA">
        <w:rPr>
          <w:lang w:val="en-US"/>
        </w:rPr>
        <w:t>of national expenditure</w:t>
      </w:r>
      <w:r w:rsidR="00AF4943" w:rsidRPr="00692EFA">
        <w:rPr>
          <w:lang w:val="en-US"/>
        </w:rPr>
        <w:t xml:space="preserve"> on ready-to-eat meals and snacks</w:t>
      </w:r>
      <w:r w:rsidR="00340B22" w:rsidRPr="00692EFA">
        <w:rPr>
          <w:lang w:val="en-US"/>
        </w:rPr>
        <w:t xml:space="preserve"> </w:t>
      </w:r>
      <w:r w:rsidR="00C56B06" w:rsidRPr="00692EFA">
        <w:rPr>
          <w:lang w:val="en-US"/>
        </w:rPr>
        <w:t>available</w:t>
      </w:r>
      <w:r w:rsidR="009C2E43" w:rsidRPr="00692EFA">
        <w:rPr>
          <w:lang w:val="en-US"/>
        </w:rPr>
        <w:t xml:space="preserve"> in Australia and New Zealand</w:t>
      </w:r>
      <w:r w:rsidR="00C56B06" w:rsidRPr="00692EFA">
        <w:rPr>
          <w:lang w:val="en-US"/>
        </w:rPr>
        <w:t>.</w:t>
      </w:r>
    </w:p>
    <w:p w14:paraId="1C87D10C" w14:textId="23AE7766" w:rsidR="00384863" w:rsidRPr="00692EFA" w:rsidRDefault="00384863" w:rsidP="00573BA6">
      <w:pPr>
        <w:pStyle w:val="Bodytext-TMRfont12"/>
        <w:rPr>
          <w:b/>
          <w:bCs/>
        </w:rPr>
      </w:pPr>
    </w:p>
    <w:p w14:paraId="409354CC" w14:textId="1293760E" w:rsidR="00B73D58" w:rsidRPr="00692EFA" w:rsidRDefault="00B73D58" w:rsidP="00B73D58">
      <w:pPr>
        <w:spacing w:after="40"/>
        <w:jc w:val="both"/>
      </w:pPr>
      <w:r w:rsidRPr="00692EFA">
        <w:t>In 2017-18, over 17 million (84.5%) Australians</w:t>
      </w:r>
      <w:r w:rsidRPr="00692EFA">
        <w:rPr>
          <w:rStyle w:val="FootnoteReference"/>
        </w:rPr>
        <w:footnoteReference w:id="16"/>
      </w:r>
      <w:r w:rsidRPr="00692EFA">
        <w:t xml:space="preserve"> and over 3.2 million (84.8%) New Zealanders</w:t>
      </w:r>
      <w:r w:rsidRPr="00692EFA">
        <w:rPr>
          <w:rStyle w:val="FootnoteReference"/>
        </w:rPr>
        <w:footnoteReference w:id="17"/>
      </w:r>
      <w:r w:rsidRPr="00692EFA">
        <w:t xml:space="preserve"> purchased ready-to-eat meals and snacks from major fast food outlets, independent takeaway shops, and convenience stores. In both countries, the top five most frequented businesses were McDonald’s, KFC, Domino’s Pizza, Hungry Jacks/Burger King and Subway. In 2019, Australians averaged 65 takeaway food transactions, totalling 1.6 billion transactions.</w:t>
      </w:r>
      <w:r w:rsidRPr="00692EFA">
        <w:rPr>
          <w:rStyle w:val="FootnoteReference"/>
        </w:rPr>
        <w:footnoteReference w:id="18"/>
      </w:r>
      <w:r w:rsidRPr="00692EFA">
        <w:t xml:space="preserve"> In 2018, nearly 2 million (8%) Australians, particularly those aged between 14 and 42 years, used third-party food delivery platforms.</w:t>
      </w:r>
      <w:r w:rsidRPr="00692EFA">
        <w:rPr>
          <w:rStyle w:val="FootnoteReference"/>
        </w:rPr>
        <w:footnoteReference w:id="19"/>
      </w:r>
      <w:r w:rsidRPr="00692EFA">
        <w:t xml:space="preserve"> </w:t>
      </w:r>
      <w:r w:rsidR="009C2E43" w:rsidRPr="00692EFA">
        <w:t xml:space="preserve">Common adoption of technology such as mobile apps, convenience and being able to choose from multiple food outlets through a single platform </w:t>
      </w:r>
      <w:r w:rsidR="003D3798" w:rsidRPr="00692EFA">
        <w:t>may be</w:t>
      </w:r>
      <w:r w:rsidR="009C2E43" w:rsidRPr="00692EFA">
        <w:t xml:space="preserve"> drivers of increased use of third-party food delivery platforms.</w:t>
      </w:r>
      <w:r w:rsidR="009C2E43" w:rsidRPr="00692EFA">
        <w:rPr>
          <w:rStyle w:val="FootnoteReference"/>
        </w:rPr>
        <w:footnoteReference w:id="20"/>
      </w:r>
      <w:r w:rsidR="004C1DC0" w:rsidRPr="00692EFA">
        <w:t xml:space="preserve"> </w:t>
      </w:r>
      <w:bookmarkStart w:id="21" w:name="_Hlk90906051"/>
      <w:r w:rsidR="004C1DC0" w:rsidRPr="00692EFA">
        <w:t>In 2019, 45 percent of New Zealand</w:t>
      </w:r>
      <w:r w:rsidR="007E0B57" w:rsidRPr="00692EFA">
        <w:t xml:space="preserve"> adults (15 years and older) </w:t>
      </w:r>
      <w:r w:rsidR="004C1DC0" w:rsidRPr="00692EFA">
        <w:t>purchased takeaway once or twice a week, compared to one-third who ate at a restaurant or fast food chain and one in ten who used a third-party food delivery platform.</w:t>
      </w:r>
      <w:r w:rsidR="00762E8C" w:rsidRPr="00692EFA">
        <w:t xml:space="preserve"> Younger people (15 to 34 years) were more likely to eat out, purchase takeaway and use a third-party food delivery platform.</w:t>
      </w:r>
      <w:r w:rsidR="00762E8C" w:rsidRPr="00692EFA">
        <w:rPr>
          <w:rStyle w:val="FootnoteReference"/>
        </w:rPr>
        <w:footnoteReference w:id="21"/>
      </w:r>
      <w:bookmarkEnd w:id="21"/>
    </w:p>
    <w:p w14:paraId="6F28DD4A" w14:textId="77777777" w:rsidR="00B73D58" w:rsidRPr="00692EFA" w:rsidRDefault="00B73D58" w:rsidP="00B73D58">
      <w:pPr>
        <w:spacing w:after="40"/>
        <w:jc w:val="both"/>
      </w:pPr>
    </w:p>
    <w:p w14:paraId="0DBE4F28" w14:textId="6163F1E3" w:rsidR="00B73D58" w:rsidRPr="00CD3EA1" w:rsidRDefault="00B73D58" w:rsidP="00B73D58">
      <w:pPr>
        <w:spacing w:after="40"/>
        <w:jc w:val="both"/>
      </w:pPr>
      <w:r w:rsidRPr="00692EFA">
        <w:t>The Australian Household Impacts of COVID-19 Survey found that during the early stages of the pandemic (April-May 2020) three in ten Australians were consuming less takeaway or delivered meals; while a further 15.5% of men and 12.2% of women were consuming more takeaway or delivered meals.</w:t>
      </w:r>
      <w:r w:rsidRPr="00692EFA">
        <w:rPr>
          <w:rStyle w:val="FootnoteReference"/>
        </w:rPr>
        <w:footnoteReference w:id="22"/>
      </w:r>
      <w:r w:rsidRPr="00692EFA">
        <w:t xml:space="preserve"> The latest survey results from June 2021, found that some Australians were expecting their expenditure on takeaway or delivered meals, and at cafés, restaurants, pubs, clubs or bars to increase over the next 12 months.</w:t>
      </w:r>
      <w:r w:rsidRPr="00692EFA">
        <w:rPr>
          <w:rStyle w:val="FootnoteReference"/>
        </w:rPr>
        <w:footnoteReference w:id="23"/>
      </w:r>
      <w:r w:rsidRPr="00692EFA">
        <w:t xml:space="preserve"> </w:t>
      </w:r>
      <w:r w:rsidR="002109C3" w:rsidRPr="00692EFA">
        <w:t>Comparable data is not available for New Zealand.</w:t>
      </w:r>
      <w:r w:rsidRPr="00692EFA">
        <w:t xml:space="preserve"> </w:t>
      </w:r>
    </w:p>
    <w:p w14:paraId="77274863" w14:textId="35AA4DFE" w:rsidR="00B73D58" w:rsidRDefault="00B73D58" w:rsidP="00573BA6">
      <w:pPr>
        <w:pStyle w:val="Bodytext-TMRfont12"/>
        <w:rPr>
          <w:b/>
          <w:bCs/>
        </w:rPr>
      </w:pPr>
    </w:p>
    <w:p w14:paraId="536E35CE" w14:textId="1A2C73E7" w:rsidR="005A7A94" w:rsidRPr="00E67A4C" w:rsidRDefault="005A7A94" w:rsidP="00F53A05">
      <w:pPr>
        <w:pStyle w:val="Heading3"/>
      </w:pPr>
      <w:bookmarkStart w:id="22" w:name="_Toc24103535"/>
      <w:bookmarkStart w:id="23" w:name="_Toc51165265"/>
      <w:r w:rsidRPr="00E67A4C">
        <w:t>1.</w:t>
      </w:r>
      <w:r w:rsidR="003908F9">
        <w:t>3</w:t>
      </w:r>
      <w:r w:rsidRPr="00E67A4C">
        <w:t xml:space="preserve"> Menu labelling </w:t>
      </w:r>
      <w:bookmarkEnd w:id="22"/>
      <w:bookmarkEnd w:id="23"/>
    </w:p>
    <w:p w14:paraId="3594E947" w14:textId="369EC217" w:rsidR="008F4D3C" w:rsidRPr="00541F1D" w:rsidRDefault="00EE7682" w:rsidP="00AA7DF8">
      <w:pPr>
        <w:pStyle w:val="Bodytext-TMRfont12"/>
        <w:rPr>
          <w:lang w:val="en-US"/>
        </w:rPr>
      </w:pPr>
      <w:r>
        <w:t xml:space="preserve">Menu labelling </w:t>
      </w:r>
      <w:r w:rsidR="00FA288A">
        <w:t xml:space="preserve">refers to the </w:t>
      </w:r>
      <w:r w:rsidR="00C24CE6">
        <w:t>provision</w:t>
      </w:r>
      <w:r w:rsidR="00FA288A">
        <w:t xml:space="preserve"> of </w:t>
      </w:r>
      <w:r w:rsidR="001A6FBA">
        <w:t>nutritiona</w:t>
      </w:r>
      <w:r w:rsidR="00C24CE6">
        <w:t xml:space="preserve">l information </w:t>
      </w:r>
      <w:r w:rsidR="00FB20CA">
        <w:t xml:space="preserve">about food and drinks </w:t>
      </w:r>
      <w:r w:rsidR="00C24CE6">
        <w:t xml:space="preserve">on menus </w:t>
      </w:r>
      <w:r w:rsidR="00743B6F">
        <w:t xml:space="preserve">to </w:t>
      </w:r>
      <w:r w:rsidR="00E054EB">
        <w:t>inform purchasing and consumption decisions.</w:t>
      </w:r>
      <w:r w:rsidR="00263344">
        <w:t xml:space="preserve"> </w:t>
      </w:r>
      <w:r w:rsidR="00263344" w:rsidRPr="00E67A4C">
        <w:t xml:space="preserve">For this paper, menu labelling is </w:t>
      </w:r>
      <w:r w:rsidR="00263344" w:rsidRPr="00E67A4C">
        <w:lastRenderedPageBreak/>
        <w:t xml:space="preserve">limited to </w:t>
      </w:r>
      <w:r w:rsidR="00E13767">
        <w:t xml:space="preserve">providing information </w:t>
      </w:r>
      <w:r w:rsidR="00C76413">
        <w:t xml:space="preserve">on the </w:t>
      </w:r>
      <w:r w:rsidR="00263344" w:rsidRPr="00E67A4C">
        <w:t xml:space="preserve">energy (kilojoules) </w:t>
      </w:r>
      <w:r w:rsidR="00C76413">
        <w:t>content of</w:t>
      </w:r>
      <w:r w:rsidR="00263344" w:rsidRPr="00E67A4C">
        <w:t xml:space="preserve"> standard food items</w:t>
      </w:r>
      <w:r w:rsidR="00263344" w:rsidRPr="00E67A4C">
        <w:rPr>
          <w:rStyle w:val="FootnoteReference"/>
        </w:rPr>
        <w:footnoteReference w:id="24"/>
      </w:r>
      <w:r w:rsidR="00263344" w:rsidRPr="00E67A4C">
        <w:t xml:space="preserve"> sold at standard food outlets</w:t>
      </w:r>
      <w:r w:rsidR="00263344" w:rsidRPr="00E67A4C">
        <w:rPr>
          <w:rStyle w:val="FootnoteReference"/>
        </w:rPr>
        <w:footnoteReference w:id="25"/>
      </w:r>
      <w:r w:rsidR="008E6A18">
        <w:t xml:space="preserve"> </w:t>
      </w:r>
      <w:r w:rsidR="00F20F00">
        <w:t xml:space="preserve">– </w:t>
      </w:r>
      <w:r w:rsidR="008E6A18">
        <w:t xml:space="preserve">that is, </w:t>
      </w:r>
      <w:r w:rsidR="00F343B0" w:rsidRPr="00E67A4C">
        <w:t xml:space="preserve">ready-to-eat food and drinks </w:t>
      </w:r>
      <w:r w:rsidR="00F343B0">
        <w:t xml:space="preserve">standardised for portion and content </w:t>
      </w:r>
      <w:r w:rsidR="00263344" w:rsidRPr="00E67A4C">
        <w:t>that are not required to bear a label</w:t>
      </w:r>
      <w:r w:rsidR="00263344" w:rsidRPr="00E67A4C">
        <w:rPr>
          <w:rStyle w:val="FootnoteReference"/>
        </w:rPr>
        <w:footnoteReference w:id="26"/>
      </w:r>
      <w:r w:rsidR="00782C81">
        <w:t xml:space="preserve"> and which are sold </w:t>
      </w:r>
      <w:r w:rsidR="0087665D">
        <w:t xml:space="preserve">by </w:t>
      </w:r>
      <w:r w:rsidR="008515C9">
        <w:t xml:space="preserve">businesses </w:t>
      </w:r>
      <w:r w:rsidR="00026342">
        <w:t>including q</w:t>
      </w:r>
      <w:r w:rsidR="008515C9">
        <w:t xml:space="preserve">uick-service </w:t>
      </w:r>
      <w:r w:rsidR="008515C9" w:rsidRPr="00692EFA">
        <w:t>restaurants</w:t>
      </w:r>
      <w:r w:rsidR="00026342" w:rsidRPr="00692EFA">
        <w:t xml:space="preserve"> / fast food outlets</w:t>
      </w:r>
      <w:r w:rsidR="008515C9" w:rsidRPr="00692EFA">
        <w:t>,</w:t>
      </w:r>
      <w:r w:rsidR="009830F9" w:rsidRPr="00692EFA">
        <w:t xml:space="preserve"> snack food and drink </w:t>
      </w:r>
      <w:r w:rsidR="006C15E4" w:rsidRPr="00692EFA">
        <w:t>chains</w:t>
      </w:r>
      <w:r w:rsidR="009830F9" w:rsidRPr="00692EFA">
        <w:t>, baker</w:t>
      </w:r>
      <w:r w:rsidR="006C15E4" w:rsidRPr="00692EFA">
        <w:t>y chains, convenience stores</w:t>
      </w:r>
      <w:r w:rsidR="009830F9" w:rsidRPr="00692EFA">
        <w:t xml:space="preserve"> and supermarkets</w:t>
      </w:r>
      <w:r w:rsidR="00263344" w:rsidRPr="00692EFA">
        <w:t>. Labelling for other nutritional information (</w:t>
      </w:r>
      <w:r w:rsidR="00493F34" w:rsidRPr="00692EFA">
        <w:t xml:space="preserve">for example, </w:t>
      </w:r>
      <w:r w:rsidR="00263344" w:rsidRPr="00692EFA">
        <w:t>sodium, sugar, or saturated fat content</w:t>
      </w:r>
      <w:r w:rsidR="003D3798" w:rsidRPr="00692EFA">
        <w:t xml:space="preserve">, or </w:t>
      </w:r>
      <w:r w:rsidR="007A1B47" w:rsidRPr="00692EFA">
        <w:t>Health Star Rating</w:t>
      </w:r>
      <w:r w:rsidR="00263344" w:rsidRPr="00692EFA">
        <w:t>) at the point-of-sale</w:t>
      </w:r>
      <w:r w:rsidR="00F853AB" w:rsidRPr="00692EFA">
        <w:t xml:space="preserve"> is out-of-scope.</w:t>
      </w:r>
      <w:r w:rsidR="003D3798" w:rsidRPr="00692EFA">
        <w:t xml:space="preserve"> While important, other initiatives to improve the nutritional value of standard food items, such as reformulation and serving size control are also out-of-scope for this </w:t>
      </w:r>
      <w:r w:rsidR="00EC68DB" w:rsidRPr="00692EFA">
        <w:t>work</w:t>
      </w:r>
      <w:r w:rsidR="00284422" w:rsidRPr="00692EFA">
        <w:t>, however menu labelling can lead to</w:t>
      </w:r>
      <w:r w:rsidR="00F23F84" w:rsidRPr="00692EFA">
        <w:t xml:space="preserve"> </w:t>
      </w:r>
      <w:r w:rsidR="00284422" w:rsidRPr="00692EFA">
        <w:t>reform</w:t>
      </w:r>
      <w:r w:rsidR="000B2B81" w:rsidRPr="00692EFA">
        <w:t>ulation and serving size reductions</w:t>
      </w:r>
      <w:r w:rsidR="003D3798" w:rsidRPr="00692EFA">
        <w:t>.</w:t>
      </w:r>
      <w:r w:rsidR="0049260B">
        <w:t xml:space="preserve"> </w:t>
      </w:r>
      <w:r w:rsidR="00AA7DF8">
        <w:t xml:space="preserve"> </w:t>
      </w:r>
    </w:p>
    <w:p w14:paraId="0B6D510B" w14:textId="77777777" w:rsidR="00AF4943" w:rsidRDefault="00AF4943" w:rsidP="00517FD0">
      <w:pPr>
        <w:spacing w:after="40"/>
        <w:jc w:val="both"/>
      </w:pPr>
    </w:p>
    <w:p w14:paraId="39E32F49" w14:textId="4078DF87" w:rsidR="00EE72E8" w:rsidRDefault="00FC2775" w:rsidP="00EE72E8">
      <w:pPr>
        <w:spacing w:after="40"/>
        <w:jc w:val="both"/>
      </w:pPr>
      <w:r w:rsidRPr="00E67A4C">
        <w:t>The provision of information through menu labelling may be one important cost-effective mechanism which can support people to make more informed choices about the ready-to-eat foods they purchase and consume.</w:t>
      </w:r>
      <w:r w:rsidRPr="00467523">
        <w:rPr>
          <w:rStyle w:val="FootnoteReference"/>
        </w:rPr>
        <w:footnoteReference w:id="27"/>
      </w:r>
      <w:r w:rsidRPr="00467523">
        <w:rPr>
          <w:vertAlign w:val="superscript"/>
        </w:rPr>
        <w:t>,</w:t>
      </w:r>
      <w:r w:rsidRPr="00467523">
        <w:rPr>
          <w:rStyle w:val="FootnoteReference"/>
        </w:rPr>
        <w:footnoteReference w:id="28"/>
      </w:r>
      <w:r w:rsidRPr="00A476F5">
        <w:rPr>
          <w:vertAlign w:val="superscript"/>
        </w:rPr>
        <w:t xml:space="preserve"> </w:t>
      </w:r>
      <w:r w:rsidR="00EE72E8">
        <w:t xml:space="preserve">Menu labelling has been recommended </w:t>
      </w:r>
      <w:r>
        <w:t xml:space="preserve">as a key strategy </w:t>
      </w:r>
      <w:r w:rsidR="0025510B">
        <w:t>by international frameworks, including:</w:t>
      </w:r>
    </w:p>
    <w:p w14:paraId="3C93A216" w14:textId="6DC39FF6" w:rsidR="00950EDB" w:rsidRPr="00950EDB" w:rsidRDefault="00D4119C" w:rsidP="0055688D">
      <w:pPr>
        <w:pStyle w:val="ListParagraph"/>
        <w:numPr>
          <w:ilvl w:val="0"/>
          <w:numId w:val="43"/>
        </w:numPr>
        <w:spacing w:after="40"/>
        <w:jc w:val="both"/>
      </w:pPr>
      <w:r>
        <w:t>The International Network for Food and Obesity/Non-communicable diseases Research, Monitoring and Action Support (INFORMAS)</w:t>
      </w:r>
      <w:r w:rsidR="00581DA5">
        <w:t xml:space="preserve"> Healthy Food Envi</w:t>
      </w:r>
      <w:r w:rsidR="0024764C">
        <w:t>ronment Policy Index</w:t>
      </w:r>
      <w:r>
        <w:t xml:space="preserve"> </w:t>
      </w:r>
      <w:r w:rsidR="003839ED">
        <w:t xml:space="preserve">which </w:t>
      </w:r>
      <w:r w:rsidR="002B3633">
        <w:t>recommends action</w:t>
      </w:r>
      <w:r>
        <w:t xml:space="preserve"> </w:t>
      </w:r>
      <w:r w:rsidR="007A1F27">
        <w:t xml:space="preserve">on </w:t>
      </w:r>
      <w:r w:rsidRPr="00923375">
        <w:rPr>
          <w:i/>
          <w:iCs/>
        </w:rPr>
        <w:t>‘</w:t>
      </w:r>
      <w:r w:rsidRPr="00923375">
        <w:rPr>
          <w:bCs/>
          <w:i/>
          <w:iCs/>
          <w:color w:val="000000"/>
          <w:lang w:eastAsia="en-NZ"/>
        </w:rPr>
        <w:t>A consistent, single, simple, clearly visible system of labelling the menu boards of all quick-service restaurants (i.e. fast food chains) is applied by the government, which allows consumers to interpret the nutrient quality and energy content of foods and meals on sale’</w:t>
      </w:r>
      <w:r w:rsidR="00583311" w:rsidRPr="0025510B">
        <w:rPr>
          <w:bCs/>
          <w:color w:val="000000"/>
          <w:lang w:eastAsia="en-NZ"/>
        </w:rPr>
        <w:t>.</w:t>
      </w:r>
      <w:r w:rsidR="00A476F5">
        <w:rPr>
          <w:rStyle w:val="FootnoteReference"/>
          <w:bCs/>
          <w:color w:val="000000"/>
          <w:lang w:eastAsia="en-NZ"/>
        </w:rPr>
        <w:footnoteReference w:id="29"/>
      </w:r>
      <w:r w:rsidR="00A476F5" w:rsidRPr="00A476F5">
        <w:rPr>
          <w:bCs/>
          <w:color w:val="000000"/>
          <w:vertAlign w:val="superscript"/>
          <w:lang w:eastAsia="en-NZ"/>
        </w:rPr>
        <w:t>,</w:t>
      </w:r>
      <w:r>
        <w:rPr>
          <w:rStyle w:val="FootnoteReference"/>
          <w:bCs/>
          <w:color w:val="000000"/>
          <w:lang w:eastAsia="en-NZ"/>
        </w:rPr>
        <w:footnoteReference w:id="30"/>
      </w:r>
      <w:r w:rsidRPr="0025510B">
        <w:rPr>
          <w:bCs/>
          <w:color w:val="000000"/>
          <w:lang w:eastAsia="en-NZ"/>
        </w:rPr>
        <w:t xml:space="preserve"> </w:t>
      </w:r>
    </w:p>
    <w:p w14:paraId="09DCB985" w14:textId="6388367D" w:rsidR="0052441D" w:rsidRDefault="00950EDB" w:rsidP="0055688D">
      <w:pPr>
        <w:pStyle w:val="ListParagraph"/>
        <w:numPr>
          <w:ilvl w:val="0"/>
          <w:numId w:val="43"/>
        </w:numPr>
        <w:spacing w:after="40"/>
        <w:jc w:val="both"/>
      </w:pPr>
      <w:r>
        <w:rPr>
          <w:bCs/>
          <w:color w:val="000000"/>
          <w:lang w:eastAsia="en-NZ"/>
        </w:rPr>
        <w:t>The World Cancer Research F</w:t>
      </w:r>
      <w:r w:rsidR="004B778D">
        <w:rPr>
          <w:bCs/>
          <w:color w:val="000000"/>
          <w:lang w:eastAsia="en-NZ"/>
        </w:rPr>
        <w:t>und International</w:t>
      </w:r>
      <w:r w:rsidR="00FE788A">
        <w:rPr>
          <w:bCs/>
          <w:color w:val="000000"/>
          <w:lang w:eastAsia="en-NZ"/>
        </w:rPr>
        <w:t>’s NOURISHING F</w:t>
      </w:r>
      <w:r w:rsidR="00B66B92">
        <w:rPr>
          <w:bCs/>
          <w:color w:val="000000"/>
          <w:lang w:eastAsia="en-NZ"/>
        </w:rPr>
        <w:t>ramework</w:t>
      </w:r>
      <w:r w:rsidR="00923375">
        <w:rPr>
          <w:bCs/>
          <w:color w:val="000000"/>
          <w:lang w:eastAsia="en-NZ"/>
        </w:rPr>
        <w:t xml:space="preserve"> includes </w:t>
      </w:r>
      <w:r w:rsidR="00923375" w:rsidRPr="00923375">
        <w:rPr>
          <w:bCs/>
          <w:i/>
          <w:iCs/>
          <w:color w:val="000000"/>
          <w:lang w:eastAsia="en-NZ"/>
        </w:rPr>
        <w:t>‘</w:t>
      </w:r>
      <w:r w:rsidR="0052441D" w:rsidRPr="00923375">
        <w:rPr>
          <w:i/>
          <w:iCs/>
        </w:rPr>
        <w:t xml:space="preserve">Nutrition label standards and regulations on the use of claims and implied claims on </w:t>
      </w:r>
      <w:r w:rsidR="007A1F27" w:rsidRPr="00923375">
        <w:rPr>
          <w:i/>
          <w:iCs/>
        </w:rPr>
        <w:t>foods</w:t>
      </w:r>
      <w:r w:rsidR="007A1F27">
        <w:rPr>
          <w:i/>
          <w:iCs/>
        </w:rPr>
        <w:t xml:space="preserve">’, </w:t>
      </w:r>
      <w:r w:rsidR="007A1F27">
        <w:t>which includes menu labelling as well as labelling on packaged products</w:t>
      </w:r>
      <w:r w:rsidR="009B1C5E">
        <w:t>.</w:t>
      </w:r>
      <w:r w:rsidR="009B1C5E">
        <w:rPr>
          <w:rStyle w:val="FootnoteReference"/>
        </w:rPr>
        <w:footnoteReference w:id="31"/>
      </w:r>
    </w:p>
    <w:p w14:paraId="7B9F495A" w14:textId="04DC8A65" w:rsidR="00FC3B1D" w:rsidRPr="00950EDB" w:rsidRDefault="00D808D4" w:rsidP="0055688D">
      <w:pPr>
        <w:pStyle w:val="ListParagraph"/>
        <w:numPr>
          <w:ilvl w:val="0"/>
          <w:numId w:val="43"/>
        </w:numPr>
        <w:spacing w:after="40"/>
        <w:jc w:val="both"/>
      </w:pPr>
      <w:r>
        <w:t>The Organisation of Economic Co-operation and Development (OECD)</w:t>
      </w:r>
      <w:r w:rsidR="007560B3">
        <w:t xml:space="preserve"> recommends </w:t>
      </w:r>
      <w:r w:rsidR="00170076">
        <w:t>policies to influe</w:t>
      </w:r>
      <w:r w:rsidR="008F453F">
        <w:t xml:space="preserve">nce lifestyles through information and education, including </w:t>
      </w:r>
      <w:r w:rsidR="007560B3">
        <w:t>food and menu labelling</w:t>
      </w:r>
      <w:r w:rsidR="003839ED">
        <w:t>,</w:t>
      </w:r>
      <w:r w:rsidR="007560B3">
        <w:t xml:space="preserve"> to tac</w:t>
      </w:r>
      <w:r w:rsidR="00D334B0">
        <w:t>kle obesity.</w:t>
      </w:r>
      <w:r w:rsidR="00D334B0">
        <w:rPr>
          <w:rStyle w:val="FootnoteReference"/>
        </w:rPr>
        <w:footnoteReference w:id="32"/>
      </w:r>
    </w:p>
    <w:p w14:paraId="362F04B7" w14:textId="77777777" w:rsidR="00923375" w:rsidRDefault="00923375" w:rsidP="00517FD0">
      <w:pPr>
        <w:spacing w:after="40"/>
        <w:jc w:val="both"/>
      </w:pPr>
    </w:p>
    <w:p w14:paraId="15BC4D4D" w14:textId="31AA8732" w:rsidR="00FD4106" w:rsidRPr="003D3798" w:rsidRDefault="00323C69" w:rsidP="00517FD0">
      <w:pPr>
        <w:spacing w:after="40"/>
        <w:jc w:val="both"/>
      </w:pPr>
      <w:r w:rsidRPr="000753B9">
        <w:t>I</w:t>
      </w:r>
      <w:r w:rsidR="00517FD0" w:rsidRPr="000753B9">
        <w:t>f consumers use menu labelling to make healthier food choices, reduced consumption of kilojoules and associated better health outcomes could logically be expected</w:t>
      </w:r>
      <w:r w:rsidR="00B04271">
        <w:t xml:space="preserve">, as shown in Figure 1 </w:t>
      </w:r>
      <w:r w:rsidR="00B04271" w:rsidRPr="00692EFA">
        <w:t>below.</w:t>
      </w:r>
      <w:r w:rsidR="003D3798" w:rsidRPr="00692EFA">
        <w:t xml:space="preserve"> Cost-effectiveness modelling of national menu labelling in the United States </w:t>
      </w:r>
      <w:r w:rsidR="003D3798" w:rsidRPr="00692EFA">
        <w:lastRenderedPageBreak/>
        <w:t>showed that menu labelling would reduce new cases of cardiovascular disease, diabetes and some cancers, and lead to healthcare and societal cost savings.</w:t>
      </w:r>
      <w:r w:rsidR="003D3798" w:rsidRPr="00692EFA">
        <w:rPr>
          <w:rStyle w:val="FootnoteReference"/>
        </w:rPr>
        <w:footnoteReference w:id="33"/>
      </w:r>
      <w:r w:rsidR="003D3798" w:rsidRPr="00692EFA">
        <w:rPr>
          <w:vertAlign w:val="superscript"/>
        </w:rPr>
        <w:t>,</w:t>
      </w:r>
      <w:r w:rsidR="003D3798" w:rsidRPr="00692EFA">
        <w:rPr>
          <w:rStyle w:val="FootnoteReference"/>
        </w:rPr>
        <w:footnoteReference w:id="34"/>
      </w:r>
      <w:r w:rsidR="003D3798" w:rsidRPr="00692EFA">
        <w:rPr>
          <w:vertAlign w:val="superscript"/>
        </w:rPr>
        <w:t xml:space="preserve"> </w:t>
      </w:r>
      <w:r w:rsidR="003D3798" w:rsidRPr="00692EFA">
        <w:t>Similar modelling based on the impacts of the New South Wales menu labelling scheme indicated a possible national $672M saving in healthcare costs across the population’s lifetime.</w:t>
      </w:r>
      <w:r w:rsidR="003D3798" w:rsidRPr="00692EFA">
        <w:rPr>
          <w:rStyle w:val="FootnoteReference"/>
        </w:rPr>
        <w:footnoteReference w:id="35"/>
      </w:r>
      <w:r w:rsidR="003D3798">
        <w:t xml:space="preserve">  </w:t>
      </w:r>
    </w:p>
    <w:p w14:paraId="0B19F25A" w14:textId="77777777" w:rsidR="003D3798" w:rsidRDefault="003D3798" w:rsidP="00517FD0">
      <w:pPr>
        <w:spacing w:after="40"/>
        <w:jc w:val="both"/>
      </w:pPr>
    </w:p>
    <w:p w14:paraId="0E1B6315" w14:textId="42CBEB74" w:rsidR="00B01C71" w:rsidRDefault="00B01C71" w:rsidP="00B01C71">
      <w:r>
        <w:rPr>
          <w:lang w:eastAsia="zh-CN" w:bidi="th-TH"/>
        </w:rPr>
        <w:t>Figure 1</w:t>
      </w:r>
      <w:r w:rsidRPr="00E67A4C">
        <w:rPr>
          <w:lang w:eastAsia="zh-CN" w:bidi="th-TH"/>
        </w:rPr>
        <w:t xml:space="preserve">: </w:t>
      </w:r>
      <w:r>
        <w:rPr>
          <w:lang w:eastAsia="zh-CN" w:bidi="th-TH"/>
        </w:rPr>
        <w:t>Logic model for menu labelling</w:t>
      </w:r>
    </w:p>
    <w:p w14:paraId="1117235B" w14:textId="3FB41088" w:rsidR="00716BA4" w:rsidRDefault="00716BA4" w:rsidP="00517FD0">
      <w:pPr>
        <w:spacing w:after="40"/>
        <w:jc w:val="both"/>
      </w:pPr>
      <w:r>
        <w:rPr>
          <w:noProof/>
        </w:rPr>
        <w:drawing>
          <wp:inline distT="0" distB="0" distL="0" distR="0" wp14:anchorId="79EB0D44" wp14:editId="4C0A6BCA">
            <wp:extent cx="5724525" cy="1457325"/>
            <wp:effectExtent l="0" t="0" r="28575" b="0"/>
            <wp:docPr id="2" name="Diagram 2" descr="Anticipated steps between being exposed to menu labelling and the resulting impact on health risk.&#10;Intermediate steps are impact on meal section, impact on daily diet and impact on weight."/>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4075FB76" w14:textId="3C99AD72" w:rsidR="000B54C4" w:rsidRPr="00476A2B" w:rsidRDefault="000B54C4" w:rsidP="000B54C4">
      <w:pPr>
        <w:spacing w:after="40"/>
        <w:jc w:val="both"/>
      </w:pPr>
      <w:r w:rsidRPr="00476A2B">
        <w:t xml:space="preserve">This logic model is linear and represents a rational response to menu labelling and is </w:t>
      </w:r>
      <w:r w:rsidR="00E7776F" w:rsidRPr="00476A2B">
        <w:t>like</w:t>
      </w:r>
      <w:r w:rsidRPr="00476A2B">
        <w:t xml:space="preserve"> logic models described in the evidence-base for menu labelling.</w:t>
      </w:r>
      <w:r w:rsidRPr="00476A2B">
        <w:rPr>
          <w:rStyle w:val="FootnoteReference"/>
        </w:rPr>
        <w:footnoteReference w:id="36"/>
      </w:r>
      <w:r w:rsidRPr="00476A2B">
        <w:rPr>
          <w:vertAlign w:val="superscript"/>
        </w:rPr>
        <w:t>,</w:t>
      </w:r>
      <w:r w:rsidRPr="00476A2B">
        <w:rPr>
          <w:rStyle w:val="FootnoteReference"/>
        </w:rPr>
        <w:footnoteReference w:id="37"/>
      </w:r>
      <w:r w:rsidRPr="00476A2B">
        <w:t xml:space="preserve">  The logic model is limited to menu labelling and is neither a representation of the complex system for obesity or intended to establish causality between menu labelling and obesity. It is not necessarily reflective of the real-world environment, where many intermediate decisions and contributing factors influence the impact of menu labelling at each step in the logic model. For example, the model does not:</w:t>
      </w:r>
    </w:p>
    <w:p w14:paraId="093CC413" w14:textId="77777777" w:rsidR="000B54C4" w:rsidRPr="00476A2B" w:rsidRDefault="000B54C4" w:rsidP="000B54C4">
      <w:pPr>
        <w:pStyle w:val="ListParagraph"/>
        <w:numPr>
          <w:ilvl w:val="0"/>
          <w:numId w:val="80"/>
        </w:numPr>
        <w:spacing w:after="40"/>
        <w:jc w:val="both"/>
      </w:pPr>
      <w:r w:rsidRPr="00476A2B">
        <w:t>consider the intervening steps of noticing and understanding the energy information before the information can be used;</w:t>
      </w:r>
    </w:p>
    <w:p w14:paraId="7B3AB715" w14:textId="77777777" w:rsidR="000B54C4" w:rsidRPr="00476A2B" w:rsidRDefault="000B54C4" w:rsidP="000B54C4">
      <w:pPr>
        <w:pStyle w:val="ListParagraph"/>
        <w:numPr>
          <w:ilvl w:val="0"/>
          <w:numId w:val="80"/>
        </w:numPr>
        <w:spacing w:after="40"/>
        <w:jc w:val="both"/>
      </w:pPr>
      <w:r w:rsidRPr="00476A2B">
        <w:t>consider the motivations underlying purchasing decisions (for example, price, convenience, taste, dietary restrictions);</w:t>
      </w:r>
    </w:p>
    <w:p w14:paraId="168EAAF3" w14:textId="77777777" w:rsidR="000B54C4" w:rsidRPr="00476A2B" w:rsidRDefault="000B54C4" w:rsidP="000B54C4">
      <w:pPr>
        <w:pStyle w:val="ListParagraph"/>
        <w:numPr>
          <w:ilvl w:val="0"/>
          <w:numId w:val="80"/>
        </w:numPr>
        <w:spacing w:after="40"/>
        <w:jc w:val="both"/>
      </w:pPr>
      <w:r w:rsidRPr="00476A2B">
        <w:t>examine whether there are compensatory behaviours such as consuming less or more energy at other meals during the day or doing more physical activity to counteract the food purchased;</w:t>
      </w:r>
    </w:p>
    <w:p w14:paraId="7A40EBBD" w14:textId="77777777" w:rsidR="000B54C4" w:rsidRPr="00476A2B" w:rsidRDefault="000B54C4" w:rsidP="000B54C4">
      <w:pPr>
        <w:pStyle w:val="ListParagraph"/>
        <w:numPr>
          <w:ilvl w:val="0"/>
          <w:numId w:val="80"/>
        </w:numPr>
        <w:spacing w:after="40"/>
        <w:jc w:val="both"/>
      </w:pPr>
      <w:r w:rsidRPr="00476A2B">
        <w:t xml:space="preserve">consider that menu labelling may induce businesses to reformulate or resize menu items so that they contain less energy or introduce new healthier menu items, leading consumers to purchase lower-energy items not based on using the energy information, but because the menu items themselves have changed; or  </w:t>
      </w:r>
    </w:p>
    <w:p w14:paraId="27A0AC18" w14:textId="77777777" w:rsidR="000B54C4" w:rsidRPr="00476A2B" w:rsidRDefault="000B54C4" w:rsidP="000B54C4">
      <w:pPr>
        <w:pStyle w:val="ListParagraph"/>
        <w:numPr>
          <w:ilvl w:val="0"/>
          <w:numId w:val="80"/>
        </w:numPr>
        <w:spacing w:after="40"/>
        <w:jc w:val="both"/>
      </w:pPr>
      <w:r w:rsidRPr="00476A2B">
        <w:t>include all the other interventions that may have an impact on daily energy intake and weight, such as advertising and marketing restrictions of unhealthy food and drinks, nutrition information on packaged food and drinks, mandatory policies for food and drink supply in institutional settings, pricing policies for affordable nutritious food, compositional and serving size limits of packaged food and drinks, and healthy eating education campaigns.</w:t>
      </w:r>
    </w:p>
    <w:p w14:paraId="5B13824C" w14:textId="77777777" w:rsidR="006D0395" w:rsidRDefault="006D0395" w:rsidP="000E39E6">
      <w:pPr>
        <w:spacing w:after="40"/>
        <w:jc w:val="both"/>
      </w:pPr>
    </w:p>
    <w:p w14:paraId="19A48B05" w14:textId="30C86550" w:rsidR="00ED71B1" w:rsidRPr="00476A2B" w:rsidRDefault="000753B9" w:rsidP="00517FD0">
      <w:pPr>
        <w:spacing w:after="40"/>
        <w:jc w:val="both"/>
      </w:pPr>
      <w:r w:rsidRPr="00DB0680">
        <w:t>D</w:t>
      </w:r>
      <w:r w:rsidR="00DE699B" w:rsidRPr="00DB0680">
        <w:t>ue to the complexity of understanding consumer behaviour</w:t>
      </w:r>
      <w:r w:rsidR="004B428F" w:rsidRPr="00DB0680">
        <w:t>,</w:t>
      </w:r>
      <w:r w:rsidR="00DE699B" w:rsidRPr="00DB0680">
        <w:t xml:space="preserve"> </w:t>
      </w:r>
      <w:r w:rsidR="00517FD0" w:rsidRPr="00DB0680">
        <w:t xml:space="preserve">the evidence for the effectiveness of menu labelling schemes is equivocal. </w:t>
      </w:r>
      <w:r w:rsidR="00BE386F">
        <w:t>S</w:t>
      </w:r>
      <w:r w:rsidR="00517FD0" w:rsidRPr="00DB0680">
        <w:t xml:space="preserve">ome </w:t>
      </w:r>
      <w:r w:rsidR="006D12C5">
        <w:t xml:space="preserve">reviews and </w:t>
      </w:r>
      <w:r w:rsidR="00517FD0" w:rsidRPr="00DB0680">
        <w:t xml:space="preserve">meta-analyses indicate that consumers purchase fewer </w:t>
      </w:r>
      <w:r w:rsidR="003854B0" w:rsidRPr="00DB0680">
        <w:t>kilojoules,</w:t>
      </w:r>
      <w:r w:rsidR="00517FD0" w:rsidRPr="00DB0680">
        <w:t xml:space="preserve"> and that the energy content of menu items decreases when menu labelling is implemented. Other analyses and reviews suggest that menu labelling </w:t>
      </w:r>
      <w:r w:rsidR="00517FD0" w:rsidRPr="00DB0680">
        <w:lastRenderedPageBreak/>
        <w:t>has</w:t>
      </w:r>
      <w:r w:rsidR="003533D5">
        <w:t xml:space="preserve"> </w:t>
      </w:r>
      <w:r w:rsidR="00517FD0" w:rsidRPr="00DB0680">
        <w:t xml:space="preserve">a </w:t>
      </w:r>
      <w:r w:rsidR="00517FD0" w:rsidRPr="00476A2B">
        <w:t xml:space="preserve">minimal effect of food purchases and consumption. </w:t>
      </w:r>
      <w:r w:rsidR="00052A35" w:rsidRPr="00476A2B">
        <w:t xml:space="preserve">The individual studies included in the reviews and meta-analyses are a mix of real-world and laboratory/simulation studies, some are high-quality, while others are low-quality studies. The reviews and meta-analyses themselves are of different quality, measure different effects and for different populations. </w:t>
      </w:r>
      <w:r w:rsidR="00ED71B1" w:rsidRPr="00476A2B">
        <w:t xml:space="preserve">Appendix 2 provides a summary of </w:t>
      </w:r>
      <w:r w:rsidR="004F6AA5" w:rsidRPr="00476A2B">
        <w:t>reviews and analyses since 2015</w:t>
      </w:r>
      <w:r w:rsidR="00ED71B1" w:rsidRPr="00476A2B">
        <w:t>.</w:t>
      </w:r>
    </w:p>
    <w:p w14:paraId="0447BE94" w14:textId="77777777" w:rsidR="004F6AA5" w:rsidRPr="00476A2B" w:rsidRDefault="004F6AA5" w:rsidP="00517FD0">
      <w:pPr>
        <w:spacing w:after="40"/>
        <w:jc w:val="both"/>
      </w:pPr>
    </w:p>
    <w:p w14:paraId="4D5C6C80" w14:textId="77777777" w:rsidR="00052A35" w:rsidRPr="00476A2B" w:rsidRDefault="000278F2" w:rsidP="004F6AA5">
      <w:pPr>
        <w:spacing w:after="40"/>
        <w:jc w:val="both"/>
      </w:pPr>
      <w:r w:rsidRPr="00476A2B">
        <w:t>M</w:t>
      </w:r>
      <w:r w:rsidR="004F6AA5" w:rsidRPr="00476A2B">
        <w:t>any of the published studies analysed in the</w:t>
      </w:r>
      <w:r w:rsidR="00BE386F" w:rsidRPr="00476A2B">
        <w:t xml:space="preserve">se </w:t>
      </w:r>
      <w:r w:rsidR="004F6AA5" w:rsidRPr="00476A2B">
        <w:t xml:space="preserve">reviews and meta-analyses were focused on menu labelling in the United States, </w:t>
      </w:r>
      <w:r w:rsidRPr="00476A2B">
        <w:t xml:space="preserve">with a small number of studies from Canada, </w:t>
      </w:r>
      <w:r w:rsidR="004F6AA5" w:rsidRPr="00476A2B">
        <w:t xml:space="preserve">United </w:t>
      </w:r>
      <w:r w:rsidR="00052A35" w:rsidRPr="00476A2B">
        <w:t>Kingdom,</w:t>
      </w:r>
      <w:r w:rsidR="004F6AA5" w:rsidRPr="00476A2B">
        <w:t xml:space="preserve"> and </w:t>
      </w:r>
      <w:r w:rsidR="000B54C4" w:rsidRPr="00476A2B">
        <w:t xml:space="preserve">the </w:t>
      </w:r>
      <w:r w:rsidR="004F6AA5" w:rsidRPr="00476A2B">
        <w:t>European Union</w:t>
      </w:r>
      <w:r w:rsidRPr="00476A2B">
        <w:t>.</w:t>
      </w:r>
      <w:r w:rsidR="004F6AA5" w:rsidRPr="00476A2B">
        <w:t xml:space="preserve"> </w:t>
      </w:r>
      <w:r w:rsidR="00F227DC" w:rsidRPr="00476A2B">
        <w:t xml:space="preserve">Only </w:t>
      </w:r>
      <w:r w:rsidR="000B54C4" w:rsidRPr="00476A2B">
        <w:t xml:space="preserve">four </w:t>
      </w:r>
      <w:r w:rsidR="00F227DC" w:rsidRPr="00476A2B">
        <w:t xml:space="preserve">individual studies included in the reviews and meta-analyses were </w:t>
      </w:r>
      <w:r w:rsidR="00ED667D" w:rsidRPr="00476A2B">
        <w:t xml:space="preserve">based on menu labelling </w:t>
      </w:r>
      <w:r w:rsidR="000B54C4" w:rsidRPr="00476A2B">
        <w:t xml:space="preserve">in Australia </w:t>
      </w:r>
      <w:r w:rsidR="00ED667D" w:rsidRPr="00476A2B">
        <w:t xml:space="preserve">with </w:t>
      </w:r>
      <w:r w:rsidR="00574E6C" w:rsidRPr="00476A2B">
        <w:t xml:space="preserve">no </w:t>
      </w:r>
      <w:r w:rsidR="00ED667D" w:rsidRPr="00476A2B">
        <w:t>studies from New Zealand.</w:t>
      </w:r>
      <w:r w:rsidR="00F227DC" w:rsidRPr="00476A2B">
        <w:t xml:space="preserve"> </w:t>
      </w:r>
      <w:r w:rsidRPr="00476A2B">
        <w:t>Therefore, the outcomes of the reviews and meta-an</w:t>
      </w:r>
      <w:r w:rsidR="00C74BB1" w:rsidRPr="00476A2B">
        <w:t xml:space="preserve">alyses </w:t>
      </w:r>
      <w:r w:rsidRPr="00476A2B">
        <w:t>may not necessarily be replicated in Australia and New Zealand.</w:t>
      </w:r>
      <w:r w:rsidR="00D364CA" w:rsidRPr="00476A2B">
        <w:t xml:space="preserve"> </w:t>
      </w:r>
    </w:p>
    <w:p w14:paraId="45D49CC9" w14:textId="77777777" w:rsidR="00052A35" w:rsidRPr="00476A2B" w:rsidRDefault="00052A35" w:rsidP="004F6AA5">
      <w:pPr>
        <w:spacing w:after="40"/>
        <w:jc w:val="both"/>
      </w:pPr>
    </w:p>
    <w:p w14:paraId="3B64F13F" w14:textId="645EEB69" w:rsidR="000F2308" w:rsidRPr="00476A2B" w:rsidRDefault="00052A35" w:rsidP="004F6AA5">
      <w:pPr>
        <w:spacing w:after="40"/>
        <w:jc w:val="both"/>
      </w:pPr>
      <w:r w:rsidRPr="00476A2B">
        <w:t xml:space="preserve">There is limited peer-review evidence for the impact of real-world menu labelling in Australia. </w:t>
      </w:r>
      <w:r w:rsidR="000B54C4" w:rsidRPr="00476A2B">
        <w:t xml:space="preserve">The </w:t>
      </w:r>
      <w:r w:rsidR="002D0E97" w:rsidRPr="00476A2B">
        <w:t xml:space="preserve">only real-world study </w:t>
      </w:r>
      <w:r w:rsidR="00BC7600" w:rsidRPr="00476A2B">
        <w:t xml:space="preserve">of menu labelling </w:t>
      </w:r>
      <w:r w:rsidR="002D0E97" w:rsidRPr="00476A2B">
        <w:t xml:space="preserve">in Australia, </w:t>
      </w:r>
      <w:r w:rsidR="00BC7600" w:rsidRPr="00476A2B">
        <w:t xml:space="preserve">the </w:t>
      </w:r>
      <w:r w:rsidR="000B54C4" w:rsidRPr="00476A2B">
        <w:t>2011-2012 monitoring in New South Wales found a 15 percent (519 kilojoules) reduction in the kilojoules purchased after menu labelling was introduced.</w:t>
      </w:r>
      <w:r w:rsidR="000B54C4" w:rsidRPr="00476A2B">
        <w:rPr>
          <w:rStyle w:val="FootnoteReference"/>
        </w:rPr>
        <w:footnoteReference w:id="38"/>
      </w:r>
      <w:r w:rsidR="000B54C4" w:rsidRPr="00476A2B">
        <w:t xml:space="preserve"> This is consistent with the </w:t>
      </w:r>
      <w:r w:rsidR="00214857" w:rsidRPr="00476A2B">
        <w:t xml:space="preserve">2013 </w:t>
      </w:r>
      <w:r w:rsidR="000B54C4" w:rsidRPr="00476A2B">
        <w:t xml:space="preserve">simulated research of </w:t>
      </w:r>
      <w:r w:rsidR="00214857" w:rsidRPr="00476A2B">
        <w:t xml:space="preserve">how </w:t>
      </w:r>
      <w:r w:rsidR="000B54C4" w:rsidRPr="00476A2B">
        <w:t xml:space="preserve">Victorian adults </w:t>
      </w:r>
      <w:r w:rsidR="00214857" w:rsidRPr="00476A2B">
        <w:t>respond to menu labelling</w:t>
      </w:r>
      <w:r w:rsidR="000B54C4" w:rsidRPr="00476A2B">
        <w:t>.</w:t>
      </w:r>
      <w:r w:rsidR="000B54C4" w:rsidRPr="00476A2B">
        <w:rPr>
          <w:rStyle w:val="FootnoteReference"/>
        </w:rPr>
        <w:footnoteReference w:id="39"/>
      </w:r>
      <w:r w:rsidRPr="00476A2B">
        <w:t xml:space="preserve"> </w:t>
      </w:r>
      <w:r w:rsidR="003E06AC" w:rsidRPr="00476A2B">
        <w:t>Whereas, another simulated study of parents and children found no effect on energy selected.</w:t>
      </w:r>
      <w:r w:rsidR="003E06AC" w:rsidRPr="00476A2B">
        <w:rPr>
          <w:rStyle w:val="FootnoteReference"/>
        </w:rPr>
        <w:footnoteReference w:id="40"/>
      </w:r>
      <w:r w:rsidR="003E06AC" w:rsidRPr="00476A2B">
        <w:t xml:space="preserve"> </w:t>
      </w:r>
    </w:p>
    <w:p w14:paraId="29F8A7B4" w14:textId="77777777" w:rsidR="000F2308" w:rsidRPr="00476A2B" w:rsidRDefault="000F2308" w:rsidP="004F6AA5">
      <w:pPr>
        <w:spacing w:after="40"/>
        <w:jc w:val="both"/>
      </w:pPr>
    </w:p>
    <w:p w14:paraId="3271AAAA" w14:textId="075D0ABE" w:rsidR="004F6AA5" w:rsidRPr="00476A2B" w:rsidRDefault="000F2308" w:rsidP="004F6AA5">
      <w:pPr>
        <w:spacing w:after="40"/>
        <w:jc w:val="both"/>
      </w:pPr>
      <w:r w:rsidRPr="00476A2B">
        <w:t>In terms of secondary impacts, t</w:t>
      </w:r>
      <w:r w:rsidR="00052A35" w:rsidRPr="00476A2B">
        <w:t>wo other studies evaluated the impact of menu labelling on businesses’ actions. Results were mixed with one study indicating that menu labelling did not lead to reformulation of menu items;</w:t>
      </w:r>
      <w:r w:rsidR="00052A35" w:rsidRPr="00476A2B">
        <w:rPr>
          <w:rStyle w:val="FootnoteReference"/>
        </w:rPr>
        <w:footnoteReference w:id="41"/>
      </w:r>
      <w:r w:rsidR="00052A35" w:rsidRPr="00476A2B">
        <w:t xml:space="preserve"> and a second study found that changes in the energy content of children’s meals ranged from a reduction of 600 kilojoules to an increase of 345 kilojoules.</w:t>
      </w:r>
      <w:r w:rsidR="003E06AC" w:rsidRPr="00476A2B">
        <w:rPr>
          <w:rStyle w:val="FootnoteReference"/>
        </w:rPr>
        <w:footnoteReference w:id="42"/>
      </w:r>
      <w:r w:rsidR="004D7459" w:rsidRPr="00476A2B">
        <w:t xml:space="preserve"> It should be noted that reformulation is not required for menu labelling to have a positive impact on purchasing behaviour.</w:t>
      </w:r>
    </w:p>
    <w:p w14:paraId="488F2F8D" w14:textId="38200047" w:rsidR="003E06AC" w:rsidRPr="00476A2B" w:rsidRDefault="003E06AC" w:rsidP="004F6AA5">
      <w:pPr>
        <w:spacing w:after="40"/>
        <w:jc w:val="both"/>
      </w:pPr>
    </w:p>
    <w:p w14:paraId="70809164" w14:textId="77777777" w:rsidR="003E06AC" w:rsidRPr="00476A2B" w:rsidRDefault="00E774A0" w:rsidP="004F6AA5">
      <w:pPr>
        <w:spacing w:after="40"/>
        <w:jc w:val="both"/>
      </w:pPr>
      <w:r w:rsidRPr="00476A2B">
        <w:t xml:space="preserve">It </w:t>
      </w:r>
      <w:r w:rsidR="003E06AC" w:rsidRPr="00476A2B">
        <w:t xml:space="preserve">is </w:t>
      </w:r>
      <w:r w:rsidRPr="00476A2B">
        <w:t xml:space="preserve">noted that studies measuring only consumption of energy in a single meal </w:t>
      </w:r>
      <w:r w:rsidR="00214857" w:rsidRPr="00476A2B">
        <w:t>or eating occasion</w:t>
      </w:r>
      <w:r w:rsidR="00052A35" w:rsidRPr="00476A2B">
        <w:t xml:space="preserve"> </w:t>
      </w:r>
      <w:r w:rsidRPr="00476A2B">
        <w:t>do not allow an assessment of whether menu labelling has an impact on subsequent meals</w:t>
      </w:r>
      <w:r w:rsidR="00052A35" w:rsidRPr="00476A2B">
        <w:t>. T</w:t>
      </w:r>
      <w:r w:rsidRPr="00476A2B">
        <w:t>hat is, whether people eat less for other meals, or alternatively are more physically active. This limits the real-world applicability of such studies.</w:t>
      </w:r>
      <w:r w:rsidR="003E06AC" w:rsidRPr="00476A2B">
        <w:t xml:space="preserve"> </w:t>
      </w:r>
    </w:p>
    <w:p w14:paraId="07E6D86F" w14:textId="77777777" w:rsidR="003E06AC" w:rsidRPr="00476A2B" w:rsidRDefault="003E06AC" w:rsidP="004F6AA5">
      <w:pPr>
        <w:spacing w:after="40"/>
        <w:jc w:val="both"/>
      </w:pPr>
    </w:p>
    <w:p w14:paraId="52285172" w14:textId="4D1568F5" w:rsidR="005F43A4" w:rsidRPr="00476A2B" w:rsidRDefault="005F43A4" w:rsidP="00C8591A">
      <w:pPr>
        <w:spacing w:after="40"/>
        <w:jc w:val="both"/>
      </w:pPr>
      <w:r w:rsidRPr="00476A2B">
        <w:t xml:space="preserve">Use of digital panel menus and self-service kiosks rather than traditional static menu boards, the emergence of more third-party food delivery platforms, and more opportunities for consumers to customise menu items are now the norm in the Australian and New Zealand food environments. </w:t>
      </w:r>
      <w:r w:rsidR="005365E0" w:rsidRPr="00476A2B">
        <w:t xml:space="preserve">Digital menus, whether in-store or on a mobile app or website, may only display a segment of all menu items rather than display all menu items at the same time. </w:t>
      </w:r>
      <w:r w:rsidR="005A4332" w:rsidRPr="00476A2B">
        <w:t>Th</w:t>
      </w:r>
      <w:r w:rsidR="00234387" w:rsidRPr="00476A2B">
        <w:t xml:space="preserve">is </w:t>
      </w:r>
      <w:r w:rsidR="000814E0" w:rsidRPr="00476A2B">
        <w:t>may</w:t>
      </w:r>
      <w:r w:rsidR="009A4DB8" w:rsidRPr="00476A2B">
        <w:t xml:space="preserve"> </w:t>
      </w:r>
      <w:r w:rsidR="005A4332" w:rsidRPr="00476A2B">
        <w:t xml:space="preserve">result in </w:t>
      </w:r>
      <w:r w:rsidR="005A4332" w:rsidRPr="00476A2B">
        <w:rPr>
          <w:lang w:eastAsia="zh-CN" w:bidi="th-TH"/>
        </w:rPr>
        <w:t>the availability of energy information at the point-of-sale being inconsistent</w:t>
      </w:r>
      <w:r w:rsidR="00052A35" w:rsidRPr="00476A2B">
        <w:rPr>
          <w:lang w:eastAsia="zh-CN" w:bidi="th-TH"/>
        </w:rPr>
        <w:t xml:space="preserve"> within and across businesses</w:t>
      </w:r>
      <w:r w:rsidR="000814E0" w:rsidRPr="00476A2B">
        <w:rPr>
          <w:lang w:eastAsia="zh-CN" w:bidi="th-TH"/>
        </w:rPr>
        <w:t>. However, the digital nature may improve the consistency of nutrition information as changes may be able to be made virtually to all menus at the same time</w:t>
      </w:r>
      <w:r w:rsidR="00052A35" w:rsidRPr="00476A2B">
        <w:rPr>
          <w:lang w:eastAsia="zh-CN" w:bidi="th-TH"/>
        </w:rPr>
        <w:t xml:space="preserve">. </w:t>
      </w:r>
      <w:r w:rsidRPr="00476A2B">
        <w:t xml:space="preserve">As some of the evidence </w:t>
      </w:r>
      <w:r w:rsidR="00B615E8" w:rsidRPr="00476A2B">
        <w:t>of the impact of menu labelling pre-dates these industry innovations</w:t>
      </w:r>
      <w:r w:rsidRPr="00476A2B">
        <w:t xml:space="preserve">, the impact of these trends on consumers’ purchasing habits </w:t>
      </w:r>
      <w:r w:rsidR="00663D51" w:rsidRPr="00476A2B">
        <w:t>may</w:t>
      </w:r>
      <w:r w:rsidRPr="00476A2B">
        <w:t xml:space="preserve"> not necessarily </w:t>
      </w:r>
      <w:r w:rsidR="00663D51" w:rsidRPr="00476A2B">
        <w:t xml:space="preserve">be </w:t>
      </w:r>
      <w:r w:rsidRPr="00476A2B">
        <w:t xml:space="preserve">reflected in the </w:t>
      </w:r>
      <w:r w:rsidR="00663D51" w:rsidRPr="00476A2B">
        <w:t xml:space="preserve">current </w:t>
      </w:r>
      <w:r w:rsidRPr="00476A2B">
        <w:lastRenderedPageBreak/>
        <w:t xml:space="preserve">evidence. </w:t>
      </w:r>
      <w:r w:rsidR="00C8591A" w:rsidRPr="00476A2B">
        <w:t xml:space="preserve">Whether these trends lead to fewer kilojoules being purchased is not known at this time. </w:t>
      </w:r>
      <w:r w:rsidR="002E005E" w:rsidRPr="00476A2B">
        <w:t>The impact</w:t>
      </w:r>
      <w:r w:rsidR="005365E0" w:rsidRPr="00476A2B">
        <w:t>s</w:t>
      </w:r>
      <w:r w:rsidR="002E005E" w:rsidRPr="00476A2B">
        <w:t xml:space="preserve"> on the number of kilojoules purchased from changing what energy information must be displayed on digital menus at the point-of-sale, as proposed by the policy options, on consumers’ ability to undertake a comparison of </w:t>
      </w:r>
      <w:r w:rsidR="002E005E" w:rsidRPr="00476A2B">
        <w:rPr>
          <w:i/>
          <w:iCs/>
        </w:rPr>
        <w:t>all</w:t>
      </w:r>
      <w:r w:rsidR="002E005E" w:rsidRPr="00476A2B">
        <w:t xml:space="preserve"> menu items, as was possible with static menu boards, is also unknown. </w:t>
      </w:r>
      <w:r w:rsidR="00052A35" w:rsidRPr="00476A2B">
        <w:t>Further real-world research in Australia and New Zealand is required.</w:t>
      </w:r>
      <w:r w:rsidR="00563A6F" w:rsidRPr="00476A2B">
        <w:t xml:space="preserve"> </w:t>
      </w:r>
    </w:p>
    <w:p w14:paraId="3420DE8E" w14:textId="77777777" w:rsidR="00234387" w:rsidRPr="00476A2B" w:rsidRDefault="00234387" w:rsidP="004F6AA5">
      <w:pPr>
        <w:spacing w:after="40"/>
        <w:jc w:val="both"/>
      </w:pPr>
    </w:p>
    <w:p w14:paraId="3C4C423D" w14:textId="4A1E5584" w:rsidR="0016019B" w:rsidRPr="00476A2B" w:rsidRDefault="0016019B" w:rsidP="0016019B">
      <w:pPr>
        <w:spacing w:after="40"/>
        <w:jc w:val="both"/>
        <w:rPr>
          <w:vertAlign w:val="superscript"/>
        </w:rPr>
      </w:pPr>
      <w:r w:rsidRPr="00476A2B">
        <w:t>Furthermore, labelling can only be effective when it is firstly noticed by the consumer. Then, followed by an understanding of the information being communicated, it can be used in a meaningful manner according to consumer needs and wants.</w:t>
      </w:r>
      <w:r w:rsidRPr="00476A2B">
        <w:rPr>
          <w:rStyle w:val="FootnoteReference"/>
        </w:rPr>
        <w:footnoteReference w:id="43"/>
      </w:r>
      <w:r w:rsidRPr="00476A2B">
        <w:t xml:space="preserve"> The content, format and context of food labels all influence how useful they are for consumers.</w:t>
      </w:r>
      <w:r w:rsidRPr="00476A2B">
        <w:rPr>
          <w:rStyle w:val="FootnoteReference"/>
        </w:rPr>
        <w:footnoteReference w:id="44"/>
      </w:r>
      <w:r w:rsidRPr="00476A2B">
        <w:t xml:space="preserve"> Consumers also need to be motivated to use the provided information to choose healthier foods. The impact of menu labelling may also be influenced by an individual’s socioeconomic status, gender, body weight, taste preferences, emotional response to menu labelling and whether they are restricting energy intake, as well as by price and convenience on purchasing decisions.</w:t>
      </w:r>
      <w:r w:rsidRPr="00476A2B">
        <w:rPr>
          <w:rStyle w:val="FootnoteReference"/>
        </w:rPr>
        <w:footnoteReference w:id="45"/>
      </w:r>
      <w:r w:rsidRPr="00476A2B">
        <w:rPr>
          <w:vertAlign w:val="superscript"/>
        </w:rPr>
        <w:t>,</w:t>
      </w:r>
      <w:r w:rsidRPr="00476A2B">
        <w:rPr>
          <w:rStyle w:val="FootnoteReference"/>
        </w:rPr>
        <w:footnoteReference w:id="46"/>
      </w:r>
      <w:r w:rsidRPr="00476A2B">
        <w:rPr>
          <w:vertAlign w:val="superscript"/>
        </w:rPr>
        <w:t>,</w:t>
      </w:r>
      <w:r w:rsidRPr="00476A2B">
        <w:rPr>
          <w:rStyle w:val="FootnoteReference"/>
        </w:rPr>
        <w:footnoteReference w:id="47"/>
      </w:r>
      <w:r w:rsidRPr="00476A2B">
        <w:rPr>
          <w:vertAlign w:val="superscript"/>
        </w:rPr>
        <w:t>,</w:t>
      </w:r>
      <w:r w:rsidRPr="00476A2B">
        <w:rPr>
          <w:rStyle w:val="FootnoteReference"/>
        </w:rPr>
        <w:footnoteReference w:id="48"/>
      </w:r>
      <w:r w:rsidRPr="00476A2B">
        <w:rPr>
          <w:vertAlign w:val="superscript"/>
        </w:rPr>
        <w:t>,</w:t>
      </w:r>
      <w:r w:rsidRPr="00476A2B">
        <w:rPr>
          <w:rStyle w:val="FootnoteReference"/>
        </w:rPr>
        <w:footnoteReference w:id="49"/>
      </w:r>
      <w:r w:rsidRPr="00476A2B">
        <w:rPr>
          <w:vertAlign w:val="superscript"/>
        </w:rPr>
        <w:t xml:space="preserve"> </w:t>
      </w:r>
    </w:p>
    <w:p w14:paraId="4163E754" w14:textId="77777777" w:rsidR="00ED71B1" w:rsidRPr="00476A2B" w:rsidRDefault="00ED71B1" w:rsidP="00517FD0">
      <w:pPr>
        <w:spacing w:after="40"/>
        <w:jc w:val="both"/>
      </w:pPr>
    </w:p>
    <w:p w14:paraId="28FAA46C" w14:textId="505AF3F5" w:rsidR="0077339B" w:rsidRPr="00476A2B" w:rsidRDefault="003E06AC" w:rsidP="0077339B">
      <w:pPr>
        <w:spacing w:after="40"/>
        <w:jc w:val="both"/>
      </w:pPr>
      <w:r w:rsidRPr="00476A2B">
        <w:t>Despite these limiting factors of the current evidence-base,</w:t>
      </w:r>
      <w:r w:rsidR="00DF5FD2" w:rsidRPr="00476A2B">
        <w:t xml:space="preserve"> menu labelling is a tool to support consumers to make informed decisions (whether </w:t>
      </w:r>
      <w:r w:rsidR="008B2A43" w:rsidRPr="00476A2B">
        <w:t xml:space="preserve">or not </w:t>
      </w:r>
      <w:r w:rsidR="00DF5FD2" w:rsidRPr="00476A2B">
        <w:t>it changes their decision), in the same way that nutrition information panels and health star ratings provide information to consumers on packaged foods.</w:t>
      </w:r>
      <w:r w:rsidR="00503A54" w:rsidRPr="00476A2B">
        <w:t xml:space="preserve"> </w:t>
      </w:r>
      <w:r w:rsidR="008B6B09" w:rsidRPr="00476A2B">
        <w:t xml:space="preserve">Menu labelling </w:t>
      </w:r>
      <w:r w:rsidR="005F3387" w:rsidRPr="00476A2B">
        <w:t xml:space="preserve">increases the availability and timeliness </w:t>
      </w:r>
      <w:r w:rsidR="001530AB" w:rsidRPr="00476A2B">
        <w:t>of information to help inform consumer choices. Menu labelling does not limit choice</w:t>
      </w:r>
      <w:r w:rsidR="00034212" w:rsidRPr="00476A2B">
        <w:t xml:space="preserve"> or compel a specific response from consumers</w:t>
      </w:r>
      <w:r w:rsidR="009554D5" w:rsidRPr="00476A2B">
        <w:t>, and any consumer decisions reflect free choice.</w:t>
      </w:r>
      <w:r w:rsidR="004C7913" w:rsidRPr="00476A2B">
        <w:t xml:space="preserve"> As such, m</w:t>
      </w:r>
      <w:r w:rsidR="0077339B" w:rsidRPr="00476A2B">
        <w:t xml:space="preserve">enu labelling alone will not reduce overall kilojoule intake, overweight and obesity or diet-related chronic disease. It is an important part of a multi-strategy approach to supporting behaviour change. Other policy areas to support the purchase and consumption of healthier food and drinks </w:t>
      </w:r>
      <w:r w:rsidRPr="00476A2B">
        <w:t xml:space="preserve">in retail and out-of-home settings </w:t>
      </w:r>
      <w:r w:rsidR="00CA0273" w:rsidRPr="00476A2B">
        <w:t xml:space="preserve">are </w:t>
      </w:r>
      <w:r w:rsidR="00F94E0F" w:rsidRPr="00476A2B">
        <w:t xml:space="preserve">outlined in </w:t>
      </w:r>
      <w:r w:rsidR="0077339B" w:rsidRPr="00476A2B">
        <w:t xml:space="preserve">Appendix </w:t>
      </w:r>
      <w:r w:rsidR="00216578" w:rsidRPr="00476A2B">
        <w:t>3</w:t>
      </w:r>
      <w:r w:rsidR="00F94E0F" w:rsidRPr="00476A2B">
        <w:t>, along with</w:t>
      </w:r>
      <w:r w:rsidR="0077339B" w:rsidRPr="00476A2B">
        <w:t xml:space="preserve"> </w:t>
      </w:r>
      <w:r w:rsidRPr="00476A2B">
        <w:t xml:space="preserve">national-level </w:t>
      </w:r>
      <w:r w:rsidR="0077339B" w:rsidRPr="00476A2B">
        <w:t xml:space="preserve">example actions underway in Australia and New Zealand. </w:t>
      </w:r>
    </w:p>
    <w:p w14:paraId="2CACB281" w14:textId="30760024" w:rsidR="00C473F0" w:rsidRPr="00476A2B" w:rsidRDefault="00C473F0">
      <w:pPr>
        <w:rPr>
          <w:b/>
          <w:bCs/>
          <w:i/>
          <w:szCs w:val="26"/>
        </w:rPr>
      </w:pPr>
      <w:bookmarkStart w:id="24" w:name="_Toc51165266"/>
    </w:p>
    <w:p w14:paraId="5AFC7F0B" w14:textId="01AA969D" w:rsidR="00F03189" w:rsidRPr="00E67A4C" w:rsidRDefault="00413FAE" w:rsidP="00F53A05">
      <w:pPr>
        <w:pStyle w:val="Heading3"/>
      </w:pPr>
      <w:r w:rsidRPr="00476A2B">
        <w:t>1.</w:t>
      </w:r>
      <w:r w:rsidR="007D00AD" w:rsidRPr="00476A2B">
        <w:t>4</w:t>
      </w:r>
      <w:r w:rsidRPr="00476A2B">
        <w:t xml:space="preserve"> </w:t>
      </w:r>
      <w:r w:rsidR="00456F55" w:rsidRPr="00476A2B">
        <w:t>Current m</w:t>
      </w:r>
      <w:r w:rsidR="00BC2D61" w:rsidRPr="00476A2B">
        <w:t xml:space="preserve">enu labelling </w:t>
      </w:r>
      <w:r w:rsidR="00A71358" w:rsidRPr="00476A2B">
        <w:t>policy</w:t>
      </w:r>
      <w:r w:rsidR="00364CB5" w:rsidRPr="00476A2B">
        <w:t>,</w:t>
      </w:r>
      <w:r w:rsidR="0015763E" w:rsidRPr="00476A2B">
        <w:t xml:space="preserve"> </w:t>
      </w:r>
      <w:r w:rsidR="007D2C3D" w:rsidRPr="00476A2B">
        <w:t>regulation</w:t>
      </w:r>
      <w:bookmarkEnd w:id="24"/>
      <w:r w:rsidR="00364CB5" w:rsidRPr="00476A2B">
        <w:t xml:space="preserve"> and education</w:t>
      </w:r>
      <w:r w:rsidR="00C66CFB">
        <w:t xml:space="preserve"> in Australia and New Zealand</w:t>
      </w:r>
    </w:p>
    <w:p w14:paraId="07C3058B" w14:textId="548AE4C0" w:rsidR="00146260" w:rsidRDefault="00BB17A9" w:rsidP="00570A8A">
      <w:pPr>
        <w:pStyle w:val="Default"/>
        <w:jc w:val="both"/>
        <w:rPr>
          <w:color w:val="auto"/>
          <w:lang w:eastAsia="zh-CN" w:bidi="th-TH"/>
        </w:rPr>
      </w:pPr>
      <w:r>
        <w:t xml:space="preserve">Australia and New Zealand share a joint system for food labelling. </w:t>
      </w:r>
      <w:r w:rsidR="006B5FFC" w:rsidRPr="00E67A4C">
        <w:rPr>
          <w:color w:val="auto"/>
          <w:lang w:eastAsia="zh-CN" w:bidi="th-TH"/>
        </w:rPr>
        <w:t xml:space="preserve">In December 2010, Food Ministers </w:t>
      </w:r>
      <w:r>
        <w:rPr>
          <w:color w:val="auto"/>
          <w:lang w:eastAsia="zh-CN" w:bidi="th-TH"/>
        </w:rPr>
        <w:t>(convening as the Australia and New Zealand Food Regulation Ministerial Council</w:t>
      </w:r>
      <w:r w:rsidR="00DF5FD2">
        <w:rPr>
          <w:color w:val="auto"/>
          <w:lang w:eastAsia="zh-CN" w:bidi="th-TH"/>
        </w:rPr>
        <w:t xml:space="preserve"> (ANZFRMC)</w:t>
      </w:r>
      <w:r>
        <w:rPr>
          <w:color w:val="auto"/>
          <w:lang w:eastAsia="zh-CN" w:bidi="th-TH"/>
        </w:rPr>
        <w:t>)</w:t>
      </w:r>
      <w:r w:rsidR="00F61AA1">
        <w:rPr>
          <w:color w:val="auto"/>
          <w:lang w:eastAsia="zh-CN" w:bidi="th-TH"/>
        </w:rPr>
        <w:t xml:space="preserve"> </w:t>
      </w:r>
      <w:r w:rsidR="006B5FFC" w:rsidRPr="00E67A4C">
        <w:rPr>
          <w:color w:val="auto"/>
          <w:lang w:eastAsia="zh-CN" w:bidi="th-TH"/>
        </w:rPr>
        <w:t xml:space="preserve">agreed that Australians should have the opportunity when purchasing food from chain fast food outlets to know more about the nutritional content of foods prepared and served away from home. </w:t>
      </w:r>
      <w:r w:rsidR="00146260" w:rsidRPr="00E67A4C">
        <w:rPr>
          <w:color w:val="auto"/>
          <w:lang w:eastAsia="zh-CN" w:bidi="th-TH"/>
        </w:rPr>
        <w:t xml:space="preserve">Principles to guide the consistent implementation of menu labelling schemes </w:t>
      </w:r>
      <w:r w:rsidR="00146260" w:rsidRPr="00E67A4C">
        <w:rPr>
          <w:color w:val="auto"/>
          <w:lang w:eastAsia="zh-CN" w:bidi="th-TH"/>
        </w:rPr>
        <w:lastRenderedPageBreak/>
        <w:t>were subsequently developed</w:t>
      </w:r>
      <w:r w:rsidR="006B6FF2" w:rsidRPr="00E67A4C">
        <w:rPr>
          <w:color w:val="auto"/>
          <w:lang w:eastAsia="zh-CN" w:bidi="th-TH"/>
        </w:rPr>
        <w:t>,</w:t>
      </w:r>
      <w:r w:rsidR="00146260" w:rsidRPr="00E67A4C">
        <w:rPr>
          <w:rStyle w:val="FootnoteReference"/>
          <w:color w:val="auto"/>
          <w:lang w:eastAsia="zh-CN" w:bidi="th-TH"/>
        </w:rPr>
        <w:footnoteReference w:id="50"/>
      </w:r>
      <w:r w:rsidR="00146260" w:rsidRPr="00E67A4C">
        <w:rPr>
          <w:color w:val="auto"/>
          <w:lang w:eastAsia="zh-CN" w:bidi="th-TH"/>
        </w:rPr>
        <w:t xml:space="preserve"> and endorsed by Ministers in October 2011</w:t>
      </w:r>
      <w:r w:rsidR="006D6627">
        <w:rPr>
          <w:color w:val="auto"/>
          <w:lang w:eastAsia="zh-CN" w:bidi="th-TH"/>
        </w:rPr>
        <w:t xml:space="preserve"> (</w:t>
      </w:r>
      <w:r w:rsidR="00DA6F41">
        <w:rPr>
          <w:color w:val="auto"/>
          <w:lang w:eastAsia="zh-CN" w:bidi="th-TH"/>
        </w:rPr>
        <w:t>identified as the 2011 Principles in this paper)</w:t>
      </w:r>
      <w:r w:rsidR="00146260" w:rsidRPr="00E67A4C">
        <w:rPr>
          <w:color w:val="auto"/>
          <w:lang w:eastAsia="zh-CN" w:bidi="th-TH"/>
        </w:rPr>
        <w:t>.</w:t>
      </w:r>
      <w:r w:rsidR="0077339B">
        <w:rPr>
          <w:color w:val="auto"/>
          <w:lang w:eastAsia="zh-CN" w:bidi="th-TH"/>
        </w:rPr>
        <w:t xml:space="preserve"> </w:t>
      </w:r>
    </w:p>
    <w:p w14:paraId="6F766B1F" w14:textId="77777777" w:rsidR="00476A2B" w:rsidRDefault="00476A2B" w:rsidP="00570A8A">
      <w:pPr>
        <w:pStyle w:val="Default"/>
        <w:jc w:val="both"/>
        <w:rPr>
          <w:color w:val="auto"/>
          <w:lang w:eastAsia="zh-CN" w:bidi="th-TH"/>
        </w:rPr>
      </w:pPr>
    </w:p>
    <w:p w14:paraId="5A9BEBFA" w14:textId="5AD8B28D" w:rsidR="00F03189" w:rsidRPr="00E67A4C" w:rsidRDefault="00F03189" w:rsidP="00570A8A">
      <w:pPr>
        <w:spacing w:after="40"/>
        <w:jc w:val="both"/>
        <w:rPr>
          <w:lang w:eastAsia="zh-CN" w:bidi="th-TH"/>
        </w:rPr>
      </w:pPr>
      <w:r w:rsidRPr="00E67A4C">
        <w:rPr>
          <w:lang w:eastAsia="zh-CN" w:bidi="th-TH"/>
        </w:rPr>
        <w:t xml:space="preserve">The </w:t>
      </w:r>
      <w:r w:rsidR="00473905" w:rsidRPr="00E67A4C">
        <w:rPr>
          <w:lang w:eastAsia="zh-CN" w:bidi="th-TH"/>
        </w:rPr>
        <w:t>2011 P</w:t>
      </w:r>
      <w:r w:rsidRPr="00E67A4C">
        <w:rPr>
          <w:lang w:eastAsia="zh-CN" w:bidi="th-TH"/>
        </w:rPr>
        <w:t>rinciples</w:t>
      </w:r>
      <w:r w:rsidR="00146260" w:rsidRPr="00E67A4C">
        <w:rPr>
          <w:rStyle w:val="FootnoteReference"/>
          <w:lang w:eastAsia="zh-CN" w:bidi="th-TH"/>
        </w:rPr>
        <w:footnoteReference w:id="51"/>
      </w:r>
      <w:r w:rsidRPr="00E67A4C">
        <w:rPr>
          <w:lang w:eastAsia="zh-CN" w:bidi="th-TH"/>
        </w:rPr>
        <w:t xml:space="preserve"> </w:t>
      </w:r>
      <w:r w:rsidR="00FA640E">
        <w:rPr>
          <w:lang w:eastAsia="zh-CN" w:bidi="th-TH"/>
        </w:rPr>
        <w:t>outlined</w:t>
      </w:r>
      <w:r w:rsidR="001043FB" w:rsidRPr="00E67A4C">
        <w:rPr>
          <w:lang w:eastAsia="zh-CN" w:bidi="th-TH"/>
        </w:rPr>
        <w:t xml:space="preserve"> that menu labelling should</w:t>
      </w:r>
      <w:r w:rsidRPr="00E67A4C">
        <w:rPr>
          <w:lang w:eastAsia="zh-CN" w:bidi="th-TH"/>
        </w:rPr>
        <w:t>:</w:t>
      </w:r>
    </w:p>
    <w:p w14:paraId="2AB8AE63" w14:textId="77777777" w:rsidR="00F03189" w:rsidRPr="00E67A4C" w:rsidRDefault="00F03189" w:rsidP="00F76FDC">
      <w:pPr>
        <w:pStyle w:val="ListParagraph"/>
        <w:numPr>
          <w:ilvl w:val="0"/>
          <w:numId w:val="5"/>
        </w:numPr>
        <w:spacing w:after="40"/>
        <w:jc w:val="both"/>
        <w:rPr>
          <w:lang w:eastAsia="zh-CN" w:bidi="th-TH"/>
        </w:rPr>
      </w:pPr>
      <w:r w:rsidRPr="00E67A4C">
        <w:t xml:space="preserve">Recognise that any change should contribute to improving public health outcomes. </w:t>
      </w:r>
    </w:p>
    <w:p w14:paraId="0A06DA45" w14:textId="58A9DE46" w:rsidR="00F03189" w:rsidRPr="00E67A4C" w:rsidRDefault="00F03189" w:rsidP="00F76FDC">
      <w:pPr>
        <w:pStyle w:val="ListParagraph"/>
        <w:numPr>
          <w:ilvl w:val="0"/>
          <w:numId w:val="5"/>
        </w:numPr>
        <w:spacing w:after="40"/>
        <w:jc w:val="both"/>
        <w:rPr>
          <w:lang w:eastAsia="zh-CN" w:bidi="th-TH"/>
        </w:rPr>
      </w:pPr>
      <w:r w:rsidRPr="00E67A4C">
        <w:t xml:space="preserve">Be consistent with the nationally agreed approach outlined below: Any jurisdiction that chooses to introduce </w:t>
      </w:r>
      <w:r w:rsidR="00843410" w:rsidRPr="00E67A4C">
        <w:t>point-of-sale (</w:t>
      </w:r>
      <w:r w:rsidRPr="00E67A4C">
        <w:t>POS</w:t>
      </w:r>
      <w:r w:rsidR="00843410" w:rsidRPr="00E67A4C">
        <w:t>)</w:t>
      </w:r>
      <w:r w:rsidRPr="00E67A4C">
        <w:t xml:space="preserve"> nutrition information at standard food outlets should: </w:t>
      </w:r>
    </w:p>
    <w:p w14:paraId="43F0356D" w14:textId="77777777" w:rsidR="00F03189" w:rsidRPr="00E67A4C" w:rsidRDefault="00F03189" w:rsidP="00246032">
      <w:pPr>
        <w:pStyle w:val="ListParagraph"/>
        <w:numPr>
          <w:ilvl w:val="1"/>
          <w:numId w:val="5"/>
        </w:numPr>
        <w:spacing w:after="40"/>
        <w:ind w:left="1276" w:hanging="283"/>
        <w:jc w:val="both"/>
        <w:rPr>
          <w:lang w:eastAsia="zh-CN" w:bidi="th-TH"/>
        </w:rPr>
      </w:pPr>
      <w:r w:rsidRPr="00E67A4C">
        <w:t xml:space="preserve">Use the guideline definitions and explanation of terms agreed by the ANZFRMC. </w:t>
      </w:r>
    </w:p>
    <w:p w14:paraId="713E5E74" w14:textId="77777777" w:rsidR="00F03189" w:rsidRPr="00E67A4C" w:rsidRDefault="00F03189" w:rsidP="00246032">
      <w:pPr>
        <w:pStyle w:val="ListParagraph"/>
        <w:numPr>
          <w:ilvl w:val="1"/>
          <w:numId w:val="5"/>
        </w:numPr>
        <w:spacing w:after="40"/>
        <w:ind w:left="1276" w:hanging="283"/>
        <w:jc w:val="both"/>
      </w:pPr>
      <w:r w:rsidRPr="00E67A4C">
        <w:t xml:space="preserve">Require the disclosure of energy content at POS by placing the average kilojoule (kJ) content of each standard food item on each menu: </w:t>
      </w:r>
    </w:p>
    <w:p w14:paraId="5444F1D7" w14:textId="0BB129BE" w:rsidR="003F035B" w:rsidRPr="00E67A4C" w:rsidRDefault="00F03189" w:rsidP="00246032">
      <w:pPr>
        <w:pStyle w:val="ListParagraph"/>
        <w:numPr>
          <w:ilvl w:val="2"/>
          <w:numId w:val="5"/>
        </w:numPr>
        <w:spacing w:after="40"/>
        <w:ind w:left="1560" w:hanging="284"/>
        <w:jc w:val="both"/>
        <w:rPr>
          <w:lang w:eastAsia="zh-CN" w:bidi="th-TH"/>
        </w:rPr>
      </w:pPr>
      <w:r w:rsidRPr="00E67A4C">
        <w:t xml:space="preserve">adjacent to the name of the standard food item, and </w:t>
      </w:r>
    </w:p>
    <w:p w14:paraId="0A6A3F35" w14:textId="34DE6E94" w:rsidR="00F03189" w:rsidRPr="00E67A4C" w:rsidRDefault="00F03189" w:rsidP="00246032">
      <w:pPr>
        <w:pStyle w:val="ListParagraph"/>
        <w:numPr>
          <w:ilvl w:val="2"/>
          <w:numId w:val="5"/>
        </w:numPr>
        <w:spacing w:after="40"/>
        <w:ind w:left="1560" w:hanging="284"/>
        <w:jc w:val="both"/>
        <w:rPr>
          <w:lang w:eastAsia="zh-CN" w:bidi="th-TH"/>
        </w:rPr>
      </w:pPr>
      <w:r w:rsidRPr="00E67A4C">
        <w:t xml:space="preserve">in text at least at the same size as the price for each item (or at least the same size as the food name if there is no price listed). </w:t>
      </w:r>
    </w:p>
    <w:p w14:paraId="29077CDE" w14:textId="2BF78F38" w:rsidR="00F03189" w:rsidRPr="00E67A4C" w:rsidRDefault="00F03189" w:rsidP="00246032">
      <w:pPr>
        <w:pStyle w:val="ListParagraph"/>
        <w:numPr>
          <w:ilvl w:val="1"/>
          <w:numId w:val="5"/>
        </w:numPr>
        <w:spacing w:after="40"/>
        <w:ind w:left="1276" w:hanging="283"/>
        <w:jc w:val="both"/>
      </w:pPr>
      <w:r w:rsidRPr="00E67A4C">
        <w:t xml:space="preserve">Require that where standard food items have a range of portion sizes available (e.g. large, </w:t>
      </w:r>
      <w:r w:rsidR="007B3C47" w:rsidRPr="00E67A4C">
        <w:t>medium,</w:t>
      </w:r>
      <w:r w:rsidRPr="00E67A4C">
        <w:t xml:space="preserve"> or small) there needs to be a statement of the energy content (kJ content) for each portion size. </w:t>
      </w:r>
    </w:p>
    <w:p w14:paraId="699DC7BB" w14:textId="1962C51C" w:rsidR="00E265D2" w:rsidRPr="00E67A4C" w:rsidRDefault="00F03189" w:rsidP="00246032">
      <w:pPr>
        <w:pStyle w:val="ListParagraph"/>
        <w:numPr>
          <w:ilvl w:val="1"/>
          <w:numId w:val="5"/>
        </w:numPr>
        <w:spacing w:after="40"/>
        <w:ind w:left="1276" w:hanging="283"/>
        <w:jc w:val="both"/>
      </w:pPr>
      <w:r w:rsidRPr="00E67A4C">
        <w:t xml:space="preserve">Require that a statement advising of the average daily kJ intake for adults (8,700 kJ) be placed prominently on the menu so that consumers have a point of reference to make informed choices. </w:t>
      </w:r>
    </w:p>
    <w:p w14:paraId="134F6FB4" w14:textId="77777777" w:rsidR="00F03189" w:rsidRPr="00E67A4C" w:rsidRDefault="00F03189" w:rsidP="00246032">
      <w:pPr>
        <w:pStyle w:val="ListParagraph"/>
        <w:numPr>
          <w:ilvl w:val="1"/>
          <w:numId w:val="5"/>
        </w:numPr>
        <w:spacing w:after="40"/>
        <w:ind w:left="1276" w:hanging="283"/>
        <w:jc w:val="both"/>
      </w:pPr>
      <w:r w:rsidRPr="00E67A4C">
        <w:t xml:space="preserve">Provide at least a 12-month transition/ compliance period for industry. </w:t>
      </w:r>
    </w:p>
    <w:p w14:paraId="697D0B11" w14:textId="77777777" w:rsidR="00F03189" w:rsidRPr="00E67A4C" w:rsidRDefault="00F03189" w:rsidP="00F76FDC">
      <w:pPr>
        <w:pStyle w:val="ListParagraph"/>
        <w:numPr>
          <w:ilvl w:val="0"/>
          <w:numId w:val="5"/>
        </w:numPr>
        <w:spacing w:after="40"/>
        <w:jc w:val="both"/>
        <w:rPr>
          <w:lang w:eastAsia="zh-CN" w:bidi="th-TH"/>
        </w:rPr>
      </w:pPr>
      <w:r w:rsidRPr="00E67A4C">
        <w:t xml:space="preserve">Be supported by a communication strategy that engages and informs appropriate stakeholders. </w:t>
      </w:r>
    </w:p>
    <w:p w14:paraId="7D1E75FC" w14:textId="77777777" w:rsidR="00F03189" w:rsidRPr="00E67A4C" w:rsidRDefault="00F03189" w:rsidP="00F76FDC">
      <w:pPr>
        <w:pStyle w:val="ListParagraph"/>
        <w:numPr>
          <w:ilvl w:val="0"/>
          <w:numId w:val="5"/>
        </w:numPr>
        <w:spacing w:after="40"/>
        <w:jc w:val="both"/>
        <w:rPr>
          <w:lang w:eastAsia="zh-CN" w:bidi="th-TH"/>
        </w:rPr>
      </w:pPr>
      <w:r w:rsidRPr="00E67A4C">
        <w:t xml:space="preserve">Include an evaluation strategy to assess the impacts of any POS approach introduced. </w:t>
      </w:r>
    </w:p>
    <w:p w14:paraId="14A12ECC" w14:textId="77777777" w:rsidR="00F03189" w:rsidRPr="00E67A4C" w:rsidRDefault="00F03189" w:rsidP="00F76FDC">
      <w:pPr>
        <w:pStyle w:val="ListParagraph"/>
        <w:numPr>
          <w:ilvl w:val="0"/>
          <w:numId w:val="5"/>
        </w:numPr>
        <w:spacing w:after="40"/>
        <w:jc w:val="both"/>
        <w:rPr>
          <w:lang w:eastAsia="zh-CN" w:bidi="th-TH"/>
        </w:rPr>
      </w:pPr>
      <w:r w:rsidRPr="00E67A4C">
        <w:t>Not preclude jurisdictions from expanding POS nutrition information at a later date to also include disclosure of other information such as sugar, sodium and fat content.</w:t>
      </w:r>
    </w:p>
    <w:p w14:paraId="068D1178" w14:textId="77777777" w:rsidR="00F03189" w:rsidRPr="00E67A4C" w:rsidRDefault="00F03189" w:rsidP="00570A8A">
      <w:pPr>
        <w:spacing w:after="40"/>
        <w:jc w:val="both"/>
        <w:rPr>
          <w:lang w:eastAsia="zh-CN" w:bidi="th-TH"/>
        </w:rPr>
      </w:pPr>
    </w:p>
    <w:p w14:paraId="37446C30" w14:textId="7AD8D782" w:rsidR="00F03189" w:rsidRDefault="00F03189" w:rsidP="00570A8A">
      <w:pPr>
        <w:spacing w:after="40"/>
        <w:jc w:val="both"/>
        <w:rPr>
          <w:lang w:eastAsia="zh-CN" w:bidi="th-TH"/>
        </w:rPr>
      </w:pPr>
      <w:r w:rsidRPr="00E67A4C">
        <w:rPr>
          <w:lang w:eastAsia="zh-CN" w:bidi="th-TH"/>
        </w:rPr>
        <w:t xml:space="preserve">To support the principles, a set of </w:t>
      </w:r>
      <w:r w:rsidRPr="00E67A4C">
        <w:t>definitions and explanation of terms were developed to inform the drafting of jurisdictional legislation. The definitions include</w:t>
      </w:r>
      <w:r w:rsidR="0041760A" w:rsidRPr="00E67A4C">
        <w:t xml:space="preserve"> m</w:t>
      </w:r>
      <w:r w:rsidRPr="00E67A4C">
        <w:rPr>
          <w:lang w:eastAsia="zh-CN" w:bidi="th-TH"/>
        </w:rPr>
        <w:t>enu</w:t>
      </w:r>
      <w:r w:rsidR="0041760A" w:rsidRPr="00E67A4C">
        <w:rPr>
          <w:lang w:eastAsia="zh-CN" w:bidi="th-TH"/>
        </w:rPr>
        <w:t>; r</w:t>
      </w:r>
      <w:r w:rsidRPr="00E67A4C">
        <w:rPr>
          <w:lang w:eastAsia="zh-CN" w:bidi="th-TH"/>
        </w:rPr>
        <w:t xml:space="preserve">eady-to-eat </w:t>
      </w:r>
      <w:r w:rsidR="0041760A" w:rsidRPr="00E67A4C">
        <w:rPr>
          <w:lang w:eastAsia="zh-CN" w:bidi="th-TH"/>
        </w:rPr>
        <w:t>f</w:t>
      </w:r>
      <w:r w:rsidRPr="00E67A4C">
        <w:rPr>
          <w:lang w:eastAsia="zh-CN" w:bidi="th-TH"/>
        </w:rPr>
        <w:t>ood</w:t>
      </w:r>
      <w:r w:rsidR="0041760A" w:rsidRPr="00E67A4C">
        <w:rPr>
          <w:lang w:eastAsia="zh-CN" w:bidi="th-TH"/>
        </w:rPr>
        <w:t>; p</w:t>
      </w:r>
      <w:r w:rsidRPr="00E67A4C">
        <w:rPr>
          <w:lang w:eastAsia="zh-CN" w:bidi="th-TH"/>
        </w:rPr>
        <w:t xml:space="preserve">re-packaged </w:t>
      </w:r>
      <w:r w:rsidR="0041760A" w:rsidRPr="00E67A4C">
        <w:rPr>
          <w:lang w:eastAsia="zh-CN" w:bidi="th-TH"/>
        </w:rPr>
        <w:t>f</w:t>
      </w:r>
      <w:r w:rsidRPr="00E67A4C">
        <w:rPr>
          <w:lang w:eastAsia="zh-CN" w:bidi="th-TH"/>
        </w:rPr>
        <w:t>oo</w:t>
      </w:r>
      <w:r w:rsidR="0041760A" w:rsidRPr="00E67A4C">
        <w:rPr>
          <w:lang w:eastAsia="zh-CN" w:bidi="th-TH"/>
        </w:rPr>
        <w:t>d; standard food outlet; standard food item; nutrition information; energy content and voluntary display.</w:t>
      </w:r>
    </w:p>
    <w:p w14:paraId="6BD0987D" w14:textId="77777777" w:rsidR="00276F74" w:rsidRPr="00E67A4C" w:rsidRDefault="00276F74" w:rsidP="00570A8A">
      <w:pPr>
        <w:spacing w:after="40"/>
        <w:jc w:val="both"/>
        <w:rPr>
          <w:lang w:eastAsia="zh-CN" w:bidi="th-TH"/>
        </w:rPr>
      </w:pPr>
    </w:p>
    <w:p w14:paraId="604DE286" w14:textId="5C74CF68" w:rsidR="00F5217E" w:rsidRPr="00F5217E" w:rsidRDefault="00F5217E" w:rsidP="00570A8A">
      <w:pPr>
        <w:spacing w:after="40"/>
        <w:jc w:val="both"/>
        <w:rPr>
          <w:i/>
          <w:iCs/>
          <w:lang w:eastAsia="zh-CN" w:bidi="th-TH"/>
        </w:rPr>
      </w:pPr>
      <w:r>
        <w:rPr>
          <w:i/>
          <w:iCs/>
          <w:lang w:eastAsia="zh-CN" w:bidi="th-TH"/>
        </w:rPr>
        <w:t>Australia</w:t>
      </w:r>
    </w:p>
    <w:p w14:paraId="20426F02" w14:textId="23189561" w:rsidR="0004722F" w:rsidRDefault="00E7497A" w:rsidP="00F03B1F">
      <w:pPr>
        <w:spacing w:after="40"/>
        <w:jc w:val="both"/>
        <w:rPr>
          <w:lang w:eastAsia="zh-CN" w:bidi="th-TH"/>
        </w:rPr>
      </w:pPr>
      <w:r w:rsidRPr="00E67A4C">
        <w:rPr>
          <w:lang w:eastAsia="zh-CN" w:bidi="th-TH"/>
        </w:rPr>
        <w:t>Since 2011, f</w:t>
      </w:r>
      <w:r w:rsidR="00161ADB" w:rsidRPr="00E67A4C">
        <w:rPr>
          <w:lang w:eastAsia="zh-CN" w:bidi="th-TH"/>
        </w:rPr>
        <w:t xml:space="preserve">ive Australian jurisdictions have introduced menu labelling legislation (see Table </w:t>
      </w:r>
      <w:r w:rsidR="00DE5A0A">
        <w:rPr>
          <w:lang w:eastAsia="zh-CN" w:bidi="th-TH"/>
        </w:rPr>
        <w:t>1</w:t>
      </w:r>
      <w:r w:rsidR="00161ADB" w:rsidRPr="00E67A4C">
        <w:rPr>
          <w:lang w:eastAsia="zh-CN" w:bidi="th-TH"/>
        </w:rPr>
        <w:t xml:space="preserve"> below).</w:t>
      </w:r>
      <w:r w:rsidR="001E2703" w:rsidRPr="00E67A4C">
        <w:rPr>
          <w:lang w:eastAsia="zh-CN" w:bidi="th-TH"/>
        </w:rPr>
        <w:t xml:space="preserve"> Although, Western Australia, Tasmania, and Northern Territory have not implemented menu labelling, many businesses have </w:t>
      </w:r>
      <w:r w:rsidR="00816DAB" w:rsidRPr="00E67A4C">
        <w:rPr>
          <w:lang w:eastAsia="zh-CN" w:bidi="th-TH"/>
        </w:rPr>
        <w:t xml:space="preserve">voluntarily </w:t>
      </w:r>
      <w:r w:rsidR="001E2703" w:rsidRPr="00E67A4C">
        <w:rPr>
          <w:lang w:eastAsia="zh-CN" w:bidi="th-TH"/>
        </w:rPr>
        <w:t xml:space="preserve">implemented menu labelling in all their Australian outlets. </w:t>
      </w:r>
    </w:p>
    <w:p w14:paraId="11FD349F" w14:textId="77777777" w:rsidR="0004722F" w:rsidRDefault="0004722F" w:rsidP="00F03B1F">
      <w:pPr>
        <w:spacing w:after="40"/>
        <w:jc w:val="both"/>
        <w:rPr>
          <w:lang w:eastAsia="zh-CN" w:bidi="th-TH"/>
        </w:rPr>
      </w:pPr>
    </w:p>
    <w:p w14:paraId="7EF43830" w14:textId="58BC1361" w:rsidR="00A126C6" w:rsidRDefault="00A126C6" w:rsidP="00A126C6">
      <w:pPr>
        <w:spacing w:after="40"/>
        <w:jc w:val="both"/>
        <w:rPr>
          <w:lang w:eastAsia="zh-CN" w:bidi="th-TH"/>
        </w:rPr>
      </w:pPr>
      <w:r w:rsidRPr="00E67A4C">
        <w:rPr>
          <w:lang w:eastAsia="zh-CN" w:bidi="th-TH"/>
        </w:rPr>
        <w:t xml:space="preserve">The menu labelling legislation in </w:t>
      </w:r>
      <w:r>
        <w:rPr>
          <w:lang w:eastAsia="zh-CN" w:bidi="th-TH"/>
        </w:rPr>
        <w:t>force is</w:t>
      </w:r>
      <w:r w:rsidRPr="00E67A4C">
        <w:rPr>
          <w:lang w:eastAsia="zh-CN" w:bidi="th-TH"/>
        </w:rPr>
        <w:t xml:space="preserve"> largely consistent with the 2011 Principles. There is consistency in definitions of a menu, standard food item and ready-to-eat food; information that must be displayed; prescribed method for calculating energy content; and places on a menu </w:t>
      </w:r>
      <w:r w:rsidRPr="00E67A4C">
        <w:rPr>
          <w:lang w:eastAsia="zh-CN" w:bidi="th-TH"/>
        </w:rPr>
        <w:lastRenderedPageBreak/>
        <w:t xml:space="preserve">where information must be displayed. </w:t>
      </w:r>
      <w:r>
        <w:rPr>
          <w:lang w:eastAsia="zh-CN" w:bidi="th-TH"/>
        </w:rPr>
        <w:t>There are some elements in the existing legislation that were not covered by the 2011 Principles: business size threshold; different information display permissions for supermarkets; and exemptions from menu labelling.</w:t>
      </w:r>
      <w:r w:rsidRPr="0041221F">
        <w:rPr>
          <w:lang w:eastAsia="zh-CN" w:bidi="th-TH"/>
        </w:rPr>
        <w:t xml:space="preserve"> </w:t>
      </w:r>
      <w:r w:rsidR="00154F79">
        <w:rPr>
          <w:lang w:eastAsia="zh-CN" w:bidi="th-TH"/>
        </w:rPr>
        <w:t>De</w:t>
      </w:r>
      <w:r w:rsidR="00A57A51">
        <w:rPr>
          <w:lang w:eastAsia="zh-CN" w:bidi="th-TH"/>
        </w:rPr>
        <w:t>spite a degree of consistency, h</w:t>
      </w:r>
      <w:r w:rsidR="0004722F" w:rsidRPr="00A406C6">
        <w:rPr>
          <w:lang w:eastAsia="zh-CN" w:bidi="th-TH"/>
        </w:rPr>
        <w:t xml:space="preserve">armonisation of implementation between jurisdictions has not been possible since the </w:t>
      </w:r>
      <w:r w:rsidR="0004722F" w:rsidRPr="00F03B1F">
        <w:rPr>
          <w:lang w:eastAsia="zh-CN" w:bidi="th-TH"/>
        </w:rPr>
        <w:t xml:space="preserve">2011 </w:t>
      </w:r>
      <w:r w:rsidR="0004722F" w:rsidRPr="00A406C6">
        <w:rPr>
          <w:lang w:eastAsia="zh-CN" w:bidi="th-TH"/>
        </w:rPr>
        <w:t xml:space="preserve">Principles were </w:t>
      </w:r>
      <w:r w:rsidR="0004722F" w:rsidRPr="00F03B1F">
        <w:rPr>
          <w:lang w:eastAsia="zh-CN" w:bidi="th-TH"/>
        </w:rPr>
        <w:t xml:space="preserve">first </w:t>
      </w:r>
      <w:r w:rsidR="0004722F" w:rsidRPr="00A406C6">
        <w:rPr>
          <w:lang w:eastAsia="zh-CN" w:bidi="th-TH"/>
        </w:rPr>
        <w:t>endorsed by Food Ministers as most jurisdictions have implemented systems that deviate from the 2011 Principles to some degree.</w:t>
      </w:r>
      <w:r w:rsidR="0004722F">
        <w:rPr>
          <w:lang w:eastAsia="zh-CN" w:bidi="th-TH"/>
        </w:rPr>
        <w:t xml:space="preserve"> </w:t>
      </w:r>
      <w:r>
        <w:rPr>
          <w:lang w:eastAsia="zh-CN" w:bidi="th-TH"/>
        </w:rPr>
        <w:t>Refer to Sections 2.1 and 2.2 for more information.</w:t>
      </w:r>
    </w:p>
    <w:p w14:paraId="31C5D45E" w14:textId="5625784A" w:rsidR="003A77CA" w:rsidRDefault="003A77CA" w:rsidP="00161ADB">
      <w:pPr>
        <w:rPr>
          <w:lang w:eastAsia="zh-CN" w:bidi="th-TH"/>
        </w:rPr>
      </w:pPr>
    </w:p>
    <w:p w14:paraId="6259B266" w14:textId="77777777" w:rsidR="003E06AC" w:rsidRDefault="003E06AC" w:rsidP="003E06AC">
      <w:pPr>
        <w:spacing w:after="40"/>
        <w:jc w:val="both"/>
      </w:pPr>
      <w:r w:rsidRPr="00E67A4C">
        <w:t>If consumers do not understand kilojoules, their ability to use menu labelling optimally is impacted. To improve the effectiveness of its menu labelling legislation</w:t>
      </w:r>
      <w:r>
        <w:t>:</w:t>
      </w:r>
    </w:p>
    <w:p w14:paraId="261DE2C6" w14:textId="77777777" w:rsidR="003E06AC" w:rsidRDefault="003E06AC" w:rsidP="003E06AC">
      <w:pPr>
        <w:pStyle w:val="ListParagraph"/>
        <w:numPr>
          <w:ilvl w:val="0"/>
          <w:numId w:val="21"/>
        </w:numPr>
        <w:spacing w:after="40"/>
        <w:jc w:val="both"/>
      </w:pPr>
      <w:r w:rsidRPr="00E67A4C">
        <w:t>New South Wales implemented the 8700kJ app and website as an ongoing means of consumer self-education</w:t>
      </w:r>
      <w:r>
        <w:t>.</w:t>
      </w:r>
      <w:r w:rsidRPr="00E67A4C">
        <w:rPr>
          <w:rStyle w:val="FootnoteReference"/>
        </w:rPr>
        <w:footnoteReference w:id="52"/>
      </w:r>
      <w:r w:rsidRPr="00E67A4C">
        <w:t xml:space="preserve"> </w:t>
      </w:r>
    </w:p>
    <w:p w14:paraId="63919919" w14:textId="77777777" w:rsidR="003E06AC" w:rsidRPr="00476A2B" w:rsidRDefault="003E06AC" w:rsidP="003E06AC">
      <w:pPr>
        <w:pStyle w:val="ListParagraph"/>
        <w:numPr>
          <w:ilvl w:val="0"/>
          <w:numId w:val="21"/>
        </w:numPr>
        <w:spacing w:after="40"/>
        <w:jc w:val="both"/>
      </w:pPr>
      <w:r w:rsidRPr="00476A2B">
        <w:t>Queensland delivered ‘Straight Answers’ and ‘Kilojoules on the Menu’ campaigns in 2016-2017, and some resources remain available online.</w:t>
      </w:r>
      <w:r w:rsidRPr="00476A2B">
        <w:rPr>
          <w:rStyle w:val="FootnoteReference"/>
        </w:rPr>
        <w:footnoteReference w:id="53"/>
      </w:r>
      <w:r w:rsidRPr="00476A2B">
        <w:t xml:space="preserve"> </w:t>
      </w:r>
    </w:p>
    <w:p w14:paraId="63AB45BF" w14:textId="77777777" w:rsidR="003E06AC" w:rsidRPr="00476A2B" w:rsidRDefault="003E06AC" w:rsidP="003E06AC">
      <w:pPr>
        <w:pStyle w:val="ListParagraph"/>
        <w:numPr>
          <w:ilvl w:val="0"/>
          <w:numId w:val="21"/>
        </w:numPr>
        <w:spacing w:after="40"/>
        <w:jc w:val="both"/>
      </w:pPr>
      <w:r w:rsidRPr="00476A2B">
        <w:t>Australian Capital Territory delivered a four-week ‘kilojoules on the menu’ campaign (including a dedicated webpage on the ACT Health website (now inactive), social media and out-of-home signage) in June 2018.</w:t>
      </w:r>
      <w:r w:rsidRPr="00476A2B">
        <w:rPr>
          <w:rStyle w:val="FootnoteReference"/>
        </w:rPr>
        <w:footnoteReference w:id="54"/>
      </w:r>
    </w:p>
    <w:p w14:paraId="3C9F9F48" w14:textId="208727A3" w:rsidR="003E06AC" w:rsidRPr="00476A2B" w:rsidRDefault="003E06AC" w:rsidP="003E06AC">
      <w:pPr>
        <w:pStyle w:val="ListParagraph"/>
        <w:numPr>
          <w:ilvl w:val="0"/>
          <w:numId w:val="21"/>
        </w:numPr>
        <w:spacing w:after="40"/>
        <w:jc w:val="both"/>
      </w:pPr>
      <w:r w:rsidRPr="00476A2B">
        <w:t xml:space="preserve">Victoria ran a ‘Kilojoules on the menu – check before you choose’ consumer campaign (including radio, social </w:t>
      </w:r>
      <w:r w:rsidR="001F6F56" w:rsidRPr="00476A2B">
        <w:t>media,</w:t>
      </w:r>
      <w:r w:rsidRPr="00476A2B">
        <w:t xml:space="preserve"> and out-of-home signage) in May-June 2018. This also included a dedicated webpage on the Better Health Channel website with supporting information, videos (in multiple languages), and energy calculators.</w:t>
      </w:r>
      <w:r w:rsidRPr="00476A2B">
        <w:rPr>
          <w:rStyle w:val="FootnoteReference"/>
        </w:rPr>
        <w:footnoteReference w:id="55"/>
      </w:r>
      <w:r w:rsidRPr="00476A2B">
        <w:t xml:space="preserve"> </w:t>
      </w:r>
    </w:p>
    <w:p w14:paraId="3A14BD6D" w14:textId="77777777" w:rsidR="003E06AC" w:rsidRDefault="003E06AC" w:rsidP="00161ADB">
      <w:pPr>
        <w:rPr>
          <w:lang w:eastAsia="zh-CN" w:bidi="th-TH"/>
        </w:rPr>
      </w:pPr>
    </w:p>
    <w:p w14:paraId="11B33C4D" w14:textId="00200BA8" w:rsidR="00246032" w:rsidRDefault="003E06AC" w:rsidP="00161ADB">
      <w:pPr>
        <w:rPr>
          <w:lang w:eastAsia="zh-CN" w:bidi="th-TH"/>
        </w:rPr>
      </w:pPr>
      <w:r>
        <w:rPr>
          <w:lang w:eastAsia="zh-CN" w:bidi="th-TH"/>
        </w:rPr>
        <w:t>T</w:t>
      </w:r>
      <w:r w:rsidR="00161ADB" w:rsidRPr="00E67A4C">
        <w:rPr>
          <w:lang w:eastAsia="zh-CN" w:bidi="th-TH"/>
        </w:rPr>
        <w:t xml:space="preserve">able </w:t>
      </w:r>
      <w:r w:rsidR="00DE5A0A">
        <w:rPr>
          <w:lang w:eastAsia="zh-CN" w:bidi="th-TH"/>
        </w:rPr>
        <w:t>1</w:t>
      </w:r>
      <w:r w:rsidR="00161ADB" w:rsidRPr="00E67A4C">
        <w:rPr>
          <w:lang w:eastAsia="zh-CN" w:bidi="th-TH"/>
        </w:rPr>
        <w:t>: Australian legislation for menu labelling</w:t>
      </w:r>
    </w:p>
    <w:tbl>
      <w:tblPr>
        <w:tblStyle w:val="PlainTable3"/>
        <w:tblW w:w="9072" w:type="dxa"/>
        <w:tblLook w:val="04A0" w:firstRow="1" w:lastRow="0" w:firstColumn="1" w:lastColumn="0" w:noHBand="0" w:noVBand="1"/>
        <w:tblCaption w:val="Australian legislation for menu labelling"/>
        <w:tblDescription w:val="4 columns. 1. Jurisdiction. 2. Primary legisation. 3. Subordinate legislation. 4. Effective date. 6 rows. 1. Heading. 2. New South Wales. 3. South Australia. 4. Australian Capital Territory. 5. Queensland. 6. Victoria"/>
      </w:tblPr>
      <w:tblGrid>
        <w:gridCol w:w="1443"/>
        <w:gridCol w:w="3022"/>
        <w:gridCol w:w="3022"/>
        <w:gridCol w:w="1585"/>
      </w:tblGrid>
      <w:tr w:rsidR="00161ADB" w:rsidRPr="00E67A4C" w14:paraId="17DB999B" w14:textId="77777777" w:rsidTr="0062284B">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443" w:type="dxa"/>
          </w:tcPr>
          <w:p w14:paraId="7C52BCBF" w14:textId="77777777" w:rsidR="00E15858" w:rsidRDefault="00E15858" w:rsidP="00936543">
            <w:pPr>
              <w:spacing w:after="40"/>
              <w:rPr>
                <w:rFonts w:eastAsia="Calibri"/>
                <w:b w:val="0"/>
                <w:bCs w:val="0"/>
                <w:lang w:eastAsia="zh-CN" w:bidi="th-TH"/>
              </w:rPr>
            </w:pPr>
          </w:p>
          <w:p w14:paraId="2F11CD20" w14:textId="4D3EC685" w:rsidR="00161ADB" w:rsidRPr="0062284B" w:rsidRDefault="00A07E8C" w:rsidP="00936543">
            <w:pPr>
              <w:spacing w:after="40"/>
              <w:rPr>
                <w:rFonts w:eastAsia="Calibri"/>
                <w:b w:val="0"/>
                <w:lang w:eastAsia="zh-CN" w:bidi="th-TH"/>
              </w:rPr>
            </w:pPr>
            <w:r w:rsidRPr="0062284B">
              <w:rPr>
                <w:rFonts w:eastAsia="Calibri"/>
                <w:caps w:val="0"/>
                <w:lang w:eastAsia="zh-CN" w:bidi="th-TH"/>
              </w:rPr>
              <w:t>Jurisdiction</w:t>
            </w:r>
          </w:p>
        </w:tc>
        <w:tc>
          <w:tcPr>
            <w:tcW w:w="3022" w:type="dxa"/>
          </w:tcPr>
          <w:p w14:paraId="58F7000B" w14:textId="5CF80405" w:rsidR="00161ADB" w:rsidRPr="0062284B" w:rsidRDefault="00A07E8C" w:rsidP="00936543">
            <w:pPr>
              <w:spacing w:after="40"/>
              <w:cnfStyle w:val="100000000000" w:firstRow="1" w:lastRow="0" w:firstColumn="0" w:lastColumn="0" w:oddVBand="0" w:evenVBand="0" w:oddHBand="0" w:evenHBand="0" w:firstRowFirstColumn="0" w:firstRowLastColumn="0" w:lastRowFirstColumn="0" w:lastRowLastColumn="0"/>
              <w:rPr>
                <w:rFonts w:eastAsia="Calibri"/>
                <w:b w:val="0"/>
                <w:lang w:eastAsia="zh-CN" w:bidi="th-TH"/>
              </w:rPr>
            </w:pPr>
            <w:r w:rsidRPr="0062284B">
              <w:rPr>
                <w:rFonts w:eastAsia="Calibri"/>
                <w:caps w:val="0"/>
                <w:lang w:eastAsia="zh-CN" w:bidi="th-TH"/>
              </w:rPr>
              <w:t>Primary Legislation</w:t>
            </w:r>
          </w:p>
        </w:tc>
        <w:tc>
          <w:tcPr>
            <w:tcW w:w="3022" w:type="dxa"/>
          </w:tcPr>
          <w:p w14:paraId="16C98169" w14:textId="04DF5D0C" w:rsidR="00161ADB" w:rsidRPr="0062284B" w:rsidRDefault="00A07E8C" w:rsidP="00936543">
            <w:pPr>
              <w:spacing w:after="40"/>
              <w:cnfStyle w:val="100000000000" w:firstRow="1" w:lastRow="0" w:firstColumn="0" w:lastColumn="0" w:oddVBand="0" w:evenVBand="0" w:oddHBand="0" w:evenHBand="0" w:firstRowFirstColumn="0" w:firstRowLastColumn="0" w:lastRowFirstColumn="0" w:lastRowLastColumn="0"/>
              <w:rPr>
                <w:rFonts w:eastAsia="Calibri"/>
                <w:b w:val="0"/>
                <w:lang w:eastAsia="zh-CN" w:bidi="th-TH"/>
              </w:rPr>
            </w:pPr>
            <w:r w:rsidRPr="0062284B">
              <w:rPr>
                <w:rFonts w:eastAsia="Calibri"/>
                <w:caps w:val="0"/>
                <w:lang w:eastAsia="zh-CN" w:bidi="th-TH"/>
              </w:rPr>
              <w:t>Subordinate Legislation</w:t>
            </w:r>
          </w:p>
        </w:tc>
        <w:tc>
          <w:tcPr>
            <w:tcW w:w="1585" w:type="dxa"/>
          </w:tcPr>
          <w:p w14:paraId="4B7663B3" w14:textId="33DB50D9" w:rsidR="00161ADB" w:rsidRPr="0062284B" w:rsidRDefault="00A07E8C" w:rsidP="00936543">
            <w:pPr>
              <w:spacing w:after="40"/>
              <w:cnfStyle w:val="100000000000" w:firstRow="1" w:lastRow="0" w:firstColumn="0" w:lastColumn="0" w:oddVBand="0" w:evenVBand="0" w:oddHBand="0" w:evenHBand="0" w:firstRowFirstColumn="0" w:firstRowLastColumn="0" w:lastRowFirstColumn="0" w:lastRowLastColumn="0"/>
              <w:rPr>
                <w:rFonts w:eastAsia="Calibri"/>
                <w:b w:val="0"/>
                <w:lang w:eastAsia="zh-CN" w:bidi="th-TH"/>
              </w:rPr>
            </w:pPr>
            <w:r w:rsidRPr="0062284B">
              <w:rPr>
                <w:rFonts w:eastAsia="Calibri"/>
                <w:caps w:val="0"/>
                <w:lang w:eastAsia="zh-CN" w:bidi="th-TH"/>
              </w:rPr>
              <w:t>Effective Date</w:t>
            </w:r>
          </w:p>
        </w:tc>
      </w:tr>
      <w:tr w:rsidR="00161ADB" w:rsidRPr="00E67A4C" w14:paraId="4033E359" w14:textId="77777777" w:rsidTr="006228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3" w:type="dxa"/>
          </w:tcPr>
          <w:p w14:paraId="5EA07F09" w14:textId="04F7AF45" w:rsidR="00161ADB" w:rsidRPr="0062284B" w:rsidRDefault="00A07E8C" w:rsidP="00936543">
            <w:pPr>
              <w:spacing w:after="40"/>
              <w:rPr>
                <w:rFonts w:eastAsia="Calibri"/>
                <w:lang w:eastAsia="zh-CN" w:bidi="th-TH"/>
              </w:rPr>
            </w:pPr>
            <w:r w:rsidRPr="0062284B">
              <w:rPr>
                <w:rFonts w:eastAsia="Calibri"/>
                <w:caps w:val="0"/>
                <w:lang w:eastAsia="zh-CN" w:bidi="th-TH"/>
              </w:rPr>
              <w:t>New South Wales</w:t>
            </w:r>
          </w:p>
        </w:tc>
        <w:tc>
          <w:tcPr>
            <w:tcW w:w="3022" w:type="dxa"/>
          </w:tcPr>
          <w:p w14:paraId="4E367128" w14:textId="77777777" w:rsidR="00161ADB" w:rsidRPr="0062284B" w:rsidRDefault="00161ADB" w:rsidP="00936543">
            <w:pPr>
              <w:spacing w:after="40"/>
              <w:cnfStyle w:val="000000100000" w:firstRow="0" w:lastRow="0" w:firstColumn="0" w:lastColumn="0" w:oddVBand="0" w:evenVBand="0" w:oddHBand="1" w:evenHBand="0" w:firstRowFirstColumn="0" w:firstRowLastColumn="0" w:lastRowFirstColumn="0" w:lastRowLastColumn="0"/>
              <w:rPr>
                <w:rFonts w:eastAsia="Calibri"/>
                <w:lang w:eastAsia="zh-CN" w:bidi="th-TH"/>
              </w:rPr>
            </w:pPr>
            <w:r w:rsidRPr="0062284B">
              <w:rPr>
                <w:rFonts w:eastAsia="Calibri"/>
                <w:i/>
                <w:iCs/>
                <w:lang w:eastAsia="zh-CN" w:bidi="th-TH"/>
              </w:rPr>
              <w:t>Food Act 2003</w:t>
            </w:r>
            <w:r w:rsidRPr="0062284B">
              <w:rPr>
                <w:rFonts w:eastAsia="Calibri"/>
                <w:lang w:eastAsia="zh-CN" w:bidi="th-TH"/>
              </w:rPr>
              <w:t xml:space="preserve">: Part 8, Division 4 – Requirements for display of nutritional information </w:t>
            </w:r>
          </w:p>
        </w:tc>
        <w:tc>
          <w:tcPr>
            <w:tcW w:w="3022" w:type="dxa"/>
          </w:tcPr>
          <w:p w14:paraId="199FF329" w14:textId="77777777" w:rsidR="00161ADB" w:rsidRPr="0062284B" w:rsidRDefault="00161ADB" w:rsidP="00936543">
            <w:pPr>
              <w:spacing w:after="40"/>
              <w:cnfStyle w:val="000000100000" w:firstRow="0" w:lastRow="0" w:firstColumn="0" w:lastColumn="0" w:oddVBand="0" w:evenVBand="0" w:oddHBand="1" w:evenHBand="0" w:firstRowFirstColumn="0" w:firstRowLastColumn="0" w:lastRowFirstColumn="0" w:lastRowLastColumn="0"/>
              <w:rPr>
                <w:rFonts w:eastAsia="Calibri"/>
                <w:lang w:eastAsia="zh-CN" w:bidi="th-TH"/>
              </w:rPr>
            </w:pPr>
            <w:r w:rsidRPr="0062284B">
              <w:rPr>
                <w:rFonts w:eastAsia="Calibri"/>
                <w:i/>
                <w:iCs/>
                <w:lang w:eastAsia="zh-CN" w:bidi="th-TH"/>
              </w:rPr>
              <w:t>Food Regulation 2015</w:t>
            </w:r>
            <w:r w:rsidRPr="0062284B">
              <w:rPr>
                <w:rFonts w:eastAsia="Calibri"/>
                <w:lang w:eastAsia="zh-CN" w:bidi="th-TH"/>
              </w:rPr>
              <w:t xml:space="preserve">: Part 5 – Requirements for display of nutritional information </w:t>
            </w:r>
          </w:p>
        </w:tc>
        <w:tc>
          <w:tcPr>
            <w:tcW w:w="1585" w:type="dxa"/>
          </w:tcPr>
          <w:p w14:paraId="28402764" w14:textId="77777777" w:rsidR="00161ADB" w:rsidRPr="0062284B" w:rsidRDefault="00161ADB" w:rsidP="00936543">
            <w:pPr>
              <w:spacing w:after="40"/>
              <w:cnfStyle w:val="000000100000" w:firstRow="0" w:lastRow="0" w:firstColumn="0" w:lastColumn="0" w:oddVBand="0" w:evenVBand="0" w:oddHBand="1" w:evenHBand="0" w:firstRowFirstColumn="0" w:firstRowLastColumn="0" w:lastRowFirstColumn="0" w:lastRowLastColumn="0"/>
              <w:rPr>
                <w:rFonts w:eastAsia="Calibri"/>
                <w:lang w:eastAsia="zh-CN" w:bidi="th-TH"/>
              </w:rPr>
            </w:pPr>
            <w:r w:rsidRPr="0062284B">
              <w:rPr>
                <w:rFonts w:eastAsia="Calibri"/>
                <w:lang w:eastAsia="zh-CN" w:bidi="th-TH"/>
              </w:rPr>
              <w:t>1 February 2011</w:t>
            </w:r>
          </w:p>
        </w:tc>
      </w:tr>
      <w:tr w:rsidR="00161ADB" w:rsidRPr="00E67A4C" w14:paraId="259A990D" w14:textId="77777777" w:rsidTr="0062284B">
        <w:tc>
          <w:tcPr>
            <w:cnfStyle w:val="001000000000" w:firstRow="0" w:lastRow="0" w:firstColumn="1" w:lastColumn="0" w:oddVBand="0" w:evenVBand="0" w:oddHBand="0" w:evenHBand="0" w:firstRowFirstColumn="0" w:firstRowLastColumn="0" w:lastRowFirstColumn="0" w:lastRowLastColumn="0"/>
            <w:tcW w:w="1443" w:type="dxa"/>
          </w:tcPr>
          <w:p w14:paraId="21A593C4" w14:textId="2EBC50CB" w:rsidR="00161ADB" w:rsidRPr="0062284B" w:rsidRDefault="00A07E8C" w:rsidP="00936543">
            <w:pPr>
              <w:spacing w:after="40"/>
              <w:rPr>
                <w:rFonts w:eastAsia="Calibri"/>
                <w:lang w:eastAsia="zh-CN" w:bidi="th-TH"/>
              </w:rPr>
            </w:pPr>
            <w:r w:rsidRPr="0062284B">
              <w:rPr>
                <w:rFonts w:eastAsia="Calibri"/>
                <w:caps w:val="0"/>
                <w:lang w:eastAsia="zh-CN" w:bidi="th-TH"/>
              </w:rPr>
              <w:t>South Australia</w:t>
            </w:r>
          </w:p>
        </w:tc>
        <w:tc>
          <w:tcPr>
            <w:tcW w:w="3022" w:type="dxa"/>
          </w:tcPr>
          <w:p w14:paraId="68229626" w14:textId="77777777" w:rsidR="00161ADB" w:rsidRPr="0062284B" w:rsidRDefault="00161ADB" w:rsidP="00936543">
            <w:pPr>
              <w:spacing w:after="40"/>
              <w:cnfStyle w:val="000000000000" w:firstRow="0" w:lastRow="0" w:firstColumn="0" w:lastColumn="0" w:oddVBand="0" w:evenVBand="0" w:oddHBand="0" w:evenHBand="0" w:firstRowFirstColumn="0" w:firstRowLastColumn="0" w:lastRowFirstColumn="0" w:lastRowLastColumn="0"/>
              <w:rPr>
                <w:rFonts w:eastAsia="Calibri"/>
                <w:lang w:eastAsia="zh-CN" w:bidi="th-TH"/>
              </w:rPr>
            </w:pPr>
            <w:r w:rsidRPr="0062284B">
              <w:rPr>
                <w:rFonts w:eastAsia="Calibri"/>
                <w:i/>
                <w:iCs/>
                <w:lang w:eastAsia="zh-CN" w:bidi="th-TH"/>
              </w:rPr>
              <w:t>Food Act 2001</w:t>
            </w:r>
            <w:r w:rsidRPr="0062284B">
              <w:rPr>
                <w:rFonts w:eastAsia="Calibri"/>
                <w:lang w:eastAsia="zh-CN" w:bidi="th-TH"/>
              </w:rPr>
              <w:t xml:space="preserve">: Part 11 – Miscellaneous </w:t>
            </w:r>
          </w:p>
        </w:tc>
        <w:tc>
          <w:tcPr>
            <w:tcW w:w="3022" w:type="dxa"/>
          </w:tcPr>
          <w:p w14:paraId="11E728BE" w14:textId="77777777" w:rsidR="00161ADB" w:rsidRPr="0062284B" w:rsidRDefault="00161ADB" w:rsidP="00936543">
            <w:pPr>
              <w:spacing w:after="40"/>
              <w:cnfStyle w:val="000000000000" w:firstRow="0" w:lastRow="0" w:firstColumn="0" w:lastColumn="0" w:oddVBand="0" w:evenVBand="0" w:oddHBand="0" w:evenHBand="0" w:firstRowFirstColumn="0" w:firstRowLastColumn="0" w:lastRowFirstColumn="0" w:lastRowLastColumn="0"/>
              <w:rPr>
                <w:rFonts w:eastAsia="Calibri"/>
                <w:lang w:eastAsia="zh-CN" w:bidi="th-TH"/>
              </w:rPr>
            </w:pPr>
            <w:r w:rsidRPr="0062284B">
              <w:rPr>
                <w:rFonts w:eastAsia="Calibri"/>
                <w:i/>
                <w:iCs/>
                <w:lang w:eastAsia="zh-CN" w:bidi="th-TH"/>
              </w:rPr>
              <w:t>Food Regulation 2017</w:t>
            </w:r>
            <w:r w:rsidRPr="0062284B">
              <w:rPr>
                <w:rFonts w:eastAsia="Calibri"/>
                <w:lang w:eastAsia="zh-CN" w:bidi="th-TH"/>
              </w:rPr>
              <w:t xml:space="preserve">: Part 4 – Miscellaneous </w:t>
            </w:r>
          </w:p>
        </w:tc>
        <w:tc>
          <w:tcPr>
            <w:tcW w:w="1585" w:type="dxa"/>
          </w:tcPr>
          <w:p w14:paraId="6C12BAF1" w14:textId="77777777" w:rsidR="00161ADB" w:rsidRPr="0062284B" w:rsidRDefault="00161ADB" w:rsidP="00936543">
            <w:pPr>
              <w:spacing w:after="40"/>
              <w:cnfStyle w:val="000000000000" w:firstRow="0" w:lastRow="0" w:firstColumn="0" w:lastColumn="0" w:oddVBand="0" w:evenVBand="0" w:oddHBand="0" w:evenHBand="0" w:firstRowFirstColumn="0" w:firstRowLastColumn="0" w:lastRowFirstColumn="0" w:lastRowLastColumn="0"/>
              <w:rPr>
                <w:rFonts w:eastAsia="Calibri"/>
                <w:lang w:eastAsia="zh-CN" w:bidi="th-TH"/>
              </w:rPr>
            </w:pPr>
            <w:r w:rsidRPr="0062284B">
              <w:rPr>
                <w:rFonts w:eastAsia="Calibri"/>
                <w:lang w:eastAsia="zh-CN" w:bidi="th-TH"/>
              </w:rPr>
              <w:t>23 February 2012</w:t>
            </w:r>
          </w:p>
        </w:tc>
      </w:tr>
      <w:tr w:rsidR="00161ADB" w:rsidRPr="00E67A4C" w14:paraId="0BCA15FA" w14:textId="77777777" w:rsidTr="006228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3" w:type="dxa"/>
          </w:tcPr>
          <w:p w14:paraId="36EE57F9" w14:textId="4E8B7298" w:rsidR="00161ADB" w:rsidRPr="0062284B" w:rsidRDefault="00A07E8C" w:rsidP="00936543">
            <w:pPr>
              <w:spacing w:after="40"/>
              <w:rPr>
                <w:rFonts w:eastAsia="Calibri"/>
                <w:lang w:eastAsia="zh-CN" w:bidi="th-TH"/>
              </w:rPr>
            </w:pPr>
            <w:r w:rsidRPr="0062284B">
              <w:rPr>
                <w:rFonts w:eastAsia="Calibri"/>
                <w:caps w:val="0"/>
                <w:lang w:eastAsia="zh-CN" w:bidi="th-TH"/>
              </w:rPr>
              <w:t>Australian Capital Territory</w:t>
            </w:r>
          </w:p>
        </w:tc>
        <w:tc>
          <w:tcPr>
            <w:tcW w:w="3022" w:type="dxa"/>
          </w:tcPr>
          <w:p w14:paraId="70B1B389" w14:textId="77777777" w:rsidR="00161ADB" w:rsidRPr="0062284B" w:rsidRDefault="00161ADB" w:rsidP="00936543">
            <w:pPr>
              <w:spacing w:after="40"/>
              <w:cnfStyle w:val="000000100000" w:firstRow="0" w:lastRow="0" w:firstColumn="0" w:lastColumn="0" w:oddVBand="0" w:evenVBand="0" w:oddHBand="1" w:evenHBand="0" w:firstRowFirstColumn="0" w:firstRowLastColumn="0" w:lastRowFirstColumn="0" w:lastRowLastColumn="0"/>
              <w:rPr>
                <w:rFonts w:eastAsia="Calibri"/>
                <w:lang w:eastAsia="zh-CN" w:bidi="th-TH"/>
              </w:rPr>
            </w:pPr>
            <w:r w:rsidRPr="0062284B">
              <w:rPr>
                <w:rFonts w:eastAsia="Calibri"/>
                <w:i/>
                <w:iCs/>
                <w:lang w:eastAsia="zh-CN" w:bidi="th-TH"/>
              </w:rPr>
              <w:t>Food Act 2001</w:t>
            </w:r>
            <w:r w:rsidRPr="0062284B">
              <w:rPr>
                <w:rFonts w:eastAsia="Calibri"/>
                <w:lang w:eastAsia="zh-CN" w:bidi="th-TH"/>
              </w:rPr>
              <w:t>: Part 9 – Display of nutritional information for food</w:t>
            </w:r>
          </w:p>
        </w:tc>
        <w:tc>
          <w:tcPr>
            <w:tcW w:w="3022" w:type="dxa"/>
          </w:tcPr>
          <w:p w14:paraId="6C4184EE" w14:textId="77777777" w:rsidR="00161ADB" w:rsidRPr="0062284B" w:rsidRDefault="00161ADB" w:rsidP="00936543">
            <w:pPr>
              <w:spacing w:after="40"/>
              <w:cnfStyle w:val="000000100000" w:firstRow="0" w:lastRow="0" w:firstColumn="0" w:lastColumn="0" w:oddVBand="0" w:evenVBand="0" w:oddHBand="1" w:evenHBand="0" w:firstRowFirstColumn="0" w:firstRowLastColumn="0" w:lastRowFirstColumn="0" w:lastRowLastColumn="0"/>
              <w:rPr>
                <w:rFonts w:eastAsia="Calibri"/>
                <w:lang w:eastAsia="zh-CN" w:bidi="th-TH"/>
              </w:rPr>
            </w:pPr>
            <w:r w:rsidRPr="0062284B">
              <w:rPr>
                <w:rFonts w:eastAsia="Calibri"/>
                <w:i/>
                <w:iCs/>
                <w:lang w:eastAsia="zh-CN" w:bidi="th-TH"/>
              </w:rPr>
              <w:t>Food Regulation 2002</w:t>
            </w:r>
            <w:r w:rsidRPr="0062284B">
              <w:rPr>
                <w:rFonts w:eastAsia="Calibri"/>
                <w:lang w:eastAsia="zh-CN" w:bidi="th-TH"/>
              </w:rPr>
              <w:t>: Part 4 – Display of nutritional information for food</w:t>
            </w:r>
          </w:p>
        </w:tc>
        <w:tc>
          <w:tcPr>
            <w:tcW w:w="1585" w:type="dxa"/>
          </w:tcPr>
          <w:p w14:paraId="28958989" w14:textId="77777777" w:rsidR="00161ADB" w:rsidRPr="0062284B" w:rsidRDefault="00161ADB" w:rsidP="00936543">
            <w:pPr>
              <w:spacing w:after="40"/>
              <w:cnfStyle w:val="000000100000" w:firstRow="0" w:lastRow="0" w:firstColumn="0" w:lastColumn="0" w:oddVBand="0" w:evenVBand="0" w:oddHBand="1" w:evenHBand="0" w:firstRowFirstColumn="0" w:firstRowLastColumn="0" w:lastRowFirstColumn="0" w:lastRowLastColumn="0"/>
              <w:rPr>
                <w:rFonts w:eastAsia="Calibri"/>
                <w:lang w:eastAsia="zh-CN" w:bidi="th-TH"/>
              </w:rPr>
            </w:pPr>
            <w:r w:rsidRPr="0062284B">
              <w:rPr>
                <w:rFonts w:eastAsia="Calibri"/>
                <w:lang w:eastAsia="zh-CN" w:bidi="th-TH"/>
              </w:rPr>
              <w:t>1 January 2013</w:t>
            </w:r>
          </w:p>
        </w:tc>
      </w:tr>
      <w:tr w:rsidR="00161ADB" w:rsidRPr="00E67A4C" w14:paraId="4D363E32" w14:textId="77777777" w:rsidTr="0062284B">
        <w:tc>
          <w:tcPr>
            <w:cnfStyle w:val="001000000000" w:firstRow="0" w:lastRow="0" w:firstColumn="1" w:lastColumn="0" w:oddVBand="0" w:evenVBand="0" w:oddHBand="0" w:evenHBand="0" w:firstRowFirstColumn="0" w:firstRowLastColumn="0" w:lastRowFirstColumn="0" w:lastRowLastColumn="0"/>
            <w:tcW w:w="1443" w:type="dxa"/>
          </w:tcPr>
          <w:p w14:paraId="62B9DD0D" w14:textId="706CEF03" w:rsidR="00161ADB" w:rsidRPr="0062284B" w:rsidRDefault="00A07E8C" w:rsidP="00936543">
            <w:pPr>
              <w:spacing w:after="40"/>
              <w:rPr>
                <w:rFonts w:eastAsia="Calibri"/>
                <w:lang w:eastAsia="zh-CN" w:bidi="th-TH"/>
              </w:rPr>
            </w:pPr>
            <w:r w:rsidRPr="0062284B">
              <w:rPr>
                <w:rFonts w:eastAsia="Calibri"/>
                <w:caps w:val="0"/>
                <w:lang w:eastAsia="zh-CN" w:bidi="th-TH"/>
              </w:rPr>
              <w:t>Queensland</w:t>
            </w:r>
          </w:p>
        </w:tc>
        <w:tc>
          <w:tcPr>
            <w:tcW w:w="3022" w:type="dxa"/>
          </w:tcPr>
          <w:p w14:paraId="0F6235A2" w14:textId="77777777" w:rsidR="00161ADB" w:rsidRPr="0062284B" w:rsidRDefault="00161ADB" w:rsidP="00936543">
            <w:pPr>
              <w:spacing w:after="40"/>
              <w:cnfStyle w:val="000000000000" w:firstRow="0" w:lastRow="0" w:firstColumn="0" w:lastColumn="0" w:oddVBand="0" w:evenVBand="0" w:oddHBand="0" w:evenHBand="0" w:firstRowFirstColumn="0" w:firstRowLastColumn="0" w:lastRowFirstColumn="0" w:lastRowLastColumn="0"/>
              <w:rPr>
                <w:rFonts w:eastAsia="Calibri"/>
                <w:lang w:eastAsia="zh-CN" w:bidi="th-TH"/>
              </w:rPr>
            </w:pPr>
            <w:r w:rsidRPr="0062284B">
              <w:rPr>
                <w:rFonts w:eastAsia="Calibri"/>
                <w:i/>
                <w:iCs/>
                <w:lang w:eastAsia="zh-CN" w:bidi="th-TH"/>
              </w:rPr>
              <w:t>Food Act 2006</w:t>
            </w:r>
            <w:r w:rsidRPr="0062284B">
              <w:rPr>
                <w:rFonts w:eastAsia="Calibri"/>
                <w:lang w:eastAsia="zh-CN" w:bidi="th-TH"/>
              </w:rPr>
              <w:t>: Chapter 6A – Display of nutritional information for food</w:t>
            </w:r>
          </w:p>
        </w:tc>
        <w:tc>
          <w:tcPr>
            <w:tcW w:w="3022" w:type="dxa"/>
          </w:tcPr>
          <w:p w14:paraId="45B04FA2" w14:textId="77777777" w:rsidR="00161ADB" w:rsidRPr="0062284B" w:rsidRDefault="00161ADB" w:rsidP="00936543">
            <w:pPr>
              <w:spacing w:after="40"/>
              <w:cnfStyle w:val="000000000000" w:firstRow="0" w:lastRow="0" w:firstColumn="0" w:lastColumn="0" w:oddVBand="0" w:evenVBand="0" w:oddHBand="0" w:evenHBand="0" w:firstRowFirstColumn="0" w:firstRowLastColumn="0" w:lastRowFirstColumn="0" w:lastRowLastColumn="0"/>
              <w:rPr>
                <w:rFonts w:eastAsia="Calibri"/>
                <w:lang w:eastAsia="zh-CN" w:bidi="th-TH"/>
              </w:rPr>
            </w:pPr>
            <w:r w:rsidRPr="0062284B">
              <w:rPr>
                <w:rFonts w:eastAsia="Calibri"/>
                <w:i/>
                <w:iCs/>
                <w:lang w:eastAsia="zh-CN" w:bidi="th-TH"/>
              </w:rPr>
              <w:t>Food Regulation 2016</w:t>
            </w:r>
            <w:r w:rsidRPr="0062284B">
              <w:rPr>
                <w:rFonts w:eastAsia="Calibri"/>
                <w:lang w:eastAsia="zh-CN" w:bidi="th-TH"/>
              </w:rPr>
              <w:t>: Part 4 – Nutritional information for food</w:t>
            </w:r>
          </w:p>
        </w:tc>
        <w:tc>
          <w:tcPr>
            <w:tcW w:w="1585" w:type="dxa"/>
          </w:tcPr>
          <w:p w14:paraId="17EBD425" w14:textId="77777777" w:rsidR="00161ADB" w:rsidRPr="0062284B" w:rsidRDefault="00161ADB" w:rsidP="00936543">
            <w:pPr>
              <w:spacing w:after="40"/>
              <w:cnfStyle w:val="000000000000" w:firstRow="0" w:lastRow="0" w:firstColumn="0" w:lastColumn="0" w:oddVBand="0" w:evenVBand="0" w:oddHBand="0" w:evenHBand="0" w:firstRowFirstColumn="0" w:firstRowLastColumn="0" w:lastRowFirstColumn="0" w:lastRowLastColumn="0"/>
              <w:rPr>
                <w:rFonts w:eastAsia="Calibri"/>
                <w:lang w:eastAsia="zh-CN" w:bidi="th-TH"/>
              </w:rPr>
            </w:pPr>
            <w:r w:rsidRPr="0062284B">
              <w:rPr>
                <w:rFonts w:eastAsia="Calibri"/>
                <w:lang w:eastAsia="zh-CN" w:bidi="th-TH"/>
              </w:rPr>
              <w:t>26 March 2016</w:t>
            </w:r>
          </w:p>
        </w:tc>
      </w:tr>
      <w:tr w:rsidR="00161ADB" w:rsidRPr="00E67A4C" w14:paraId="0A7A3778" w14:textId="77777777" w:rsidTr="006228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3" w:type="dxa"/>
          </w:tcPr>
          <w:p w14:paraId="34FCEB31" w14:textId="6E165EE0" w:rsidR="00161ADB" w:rsidRPr="0062284B" w:rsidRDefault="00A07E8C" w:rsidP="00936543">
            <w:pPr>
              <w:spacing w:after="40"/>
              <w:rPr>
                <w:rFonts w:eastAsia="Calibri"/>
                <w:lang w:eastAsia="zh-CN" w:bidi="th-TH"/>
              </w:rPr>
            </w:pPr>
            <w:r w:rsidRPr="0062284B">
              <w:rPr>
                <w:rFonts w:eastAsia="Calibri"/>
                <w:caps w:val="0"/>
                <w:lang w:eastAsia="zh-CN" w:bidi="th-TH"/>
              </w:rPr>
              <w:t>Victoria</w:t>
            </w:r>
          </w:p>
        </w:tc>
        <w:tc>
          <w:tcPr>
            <w:tcW w:w="3022" w:type="dxa"/>
          </w:tcPr>
          <w:p w14:paraId="186D656B" w14:textId="5BB0554E" w:rsidR="00161ADB" w:rsidRPr="0062284B" w:rsidRDefault="00161ADB" w:rsidP="00936543">
            <w:pPr>
              <w:spacing w:after="40"/>
              <w:cnfStyle w:val="000000100000" w:firstRow="0" w:lastRow="0" w:firstColumn="0" w:lastColumn="0" w:oddVBand="0" w:evenVBand="0" w:oddHBand="1" w:evenHBand="0" w:firstRowFirstColumn="0" w:firstRowLastColumn="0" w:lastRowFirstColumn="0" w:lastRowLastColumn="0"/>
              <w:rPr>
                <w:rFonts w:eastAsia="Calibri"/>
                <w:lang w:eastAsia="zh-CN" w:bidi="th-TH"/>
              </w:rPr>
            </w:pPr>
            <w:r w:rsidRPr="0062284B">
              <w:rPr>
                <w:rFonts w:eastAsia="Calibri"/>
                <w:i/>
                <w:iCs/>
                <w:lang w:eastAsia="zh-CN" w:bidi="th-TH"/>
              </w:rPr>
              <w:t>Food Act 1984</w:t>
            </w:r>
            <w:r w:rsidRPr="0062284B">
              <w:rPr>
                <w:rFonts w:eastAsia="Calibri"/>
                <w:lang w:eastAsia="zh-CN" w:bidi="th-TH"/>
              </w:rPr>
              <w:t>: Part IIA – Kilojoule labelling scheme</w:t>
            </w:r>
          </w:p>
        </w:tc>
        <w:tc>
          <w:tcPr>
            <w:tcW w:w="3022" w:type="dxa"/>
          </w:tcPr>
          <w:p w14:paraId="37D87D4F" w14:textId="0F48303A" w:rsidR="00161ADB" w:rsidRPr="0062284B" w:rsidRDefault="00161ADB" w:rsidP="00936543">
            <w:pPr>
              <w:spacing w:after="40"/>
              <w:cnfStyle w:val="000000100000" w:firstRow="0" w:lastRow="0" w:firstColumn="0" w:lastColumn="0" w:oddVBand="0" w:evenVBand="0" w:oddHBand="1" w:evenHBand="0" w:firstRowFirstColumn="0" w:firstRowLastColumn="0" w:lastRowFirstColumn="0" w:lastRowLastColumn="0"/>
              <w:rPr>
                <w:rFonts w:eastAsia="Calibri"/>
                <w:lang w:eastAsia="zh-CN" w:bidi="th-TH"/>
              </w:rPr>
            </w:pPr>
            <w:r w:rsidRPr="0062284B">
              <w:rPr>
                <w:rFonts w:eastAsia="Calibri"/>
                <w:lang w:eastAsia="zh-CN" w:bidi="th-TH"/>
              </w:rPr>
              <w:t xml:space="preserve">Not applicable </w:t>
            </w:r>
          </w:p>
        </w:tc>
        <w:tc>
          <w:tcPr>
            <w:tcW w:w="1585" w:type="dxa"/>
          </w:tcPr>
          <w:p w14:paraId="074C0576" w14:textId="77777777" w:rsidR="00161ADB" w:rsidRPr="0062284B" w:rsidRDefault="00161ADB" w:rsidP="00936543">
            <w:pPr>
              <w:spacing w:after="40"/>
              <w:cnfStyle w:val="000000100000" w:firstRow="0" w:lastRow="0" w:firstColumn="0" w:lastColumn="0" w:oddVBand="0" w:evenVBand="0" w:oddHBand="1" w:evenHBand="0" w:firstRowFirstColumn="0" w:firstRowLastColumn="0" w:lastRowFirstColumn="0" w:lastRowLastColumn="0"/>
              <w:rPr>
                <w:rFonts w:eastAsia="Calibri"/>
                <w:lang w:eastAsia="zh-CN" w:bidi="th-TH"/>
              </w:rPr>
            </w:pPr>
            <w:r w:rsidRPr="0062284B">
              <w:rPr>
                <w:rFonts w:eastAsia="Calibri"/>
                <w:lang w:eastAsia="zh-CN" w:bidi="th-TH"/>
              </w:rPr>
              <w:t>1 May 2018</w:t>
            </w:r>
          </w:p>
        </w:tc>
      </w:tr>
    </w:tbl>
    <w:p w14:paraId="50656558" w14:textId="77777777" w:rsidR="00276F74" w:rsidRDefault="00276F74" w:rsidP="00664A21">
      <w:pPr>
        <w:spacing w:after="40"/>
        <w:jc w:val="both"/>
      </w:pPr>
    </w:p>
    <w:p w14:paraId="3AF33350" w14:textId="77777777" w:rsidR="00476A2B" w:rsidRDefault="00476A2B" w:rsidP="00E65037">
      <w:pPr>
        <w:spacing w:after="40"/>
        <w:jc w:val="both"/>
        <w:rPr>
          <w:i/>
          <w:iCs/>
          <w:lang w:eastAsia="zh-CN" w:bidi="th-TH"/>
        </w:rPr>
      </w:pPr>
    </w:p>
    <w:p w14:paraId="05681A89" w14:textId="77777777" w:rsidR="00476A2B" w:rsidRDefault="00476A2B" w:rsidP="00E65037">
      <w:pPr>
        <w:spacing w:after="40"/>
        <w:jc w:val="both"/>
        <w:rPr>
          <w:i/>
          <w:iCs/>
          <w:lang w:eastAsia="zh-CN" w:bidi="th-TH"/>
        </w:rPr>
      </w:pPr>
    </w:p>
    <w:p w14:paraId="739632C2" w14:textId="1F045CC8" w:rsidR="00F5217E" w:rsidRPr="00F5217E" w:rsidRDefault="00F5217E" w:rsidP="00E65037">
      <w:pPr>
        <w:spacing w:after="40"/>
        <w:jc w:val="both"/>
        <w:rPr>
          <w:i/>
          <w:iCs/>
          <w:lang w:eastAsia="zh-CN" w:bidi="th-TH"/>
        </w:rPr>
      </w:pPr>
      <w:r>
        <w:rPr>
          <w:i/>
          <w:iCs/>
          <w:lang w:eastAsia="zh-CN" w:bidi="th-TH"/>
        </w:rPr>
        <w:lastRenderedPageBreak/>
        <w:t>New Zealand</w:t>
      </w:r>
    </w:p>
    <w:p w14:paraId="59F3FC07" w14:textId="628BD612" w:rsidR="00BA0D38" w:rsidRDefault="00F61AA1" w:rsidP="00BA0D38">
      <w:pPr>
        <w:pStyle w:val="Default"/>
        <w:jc w:val="both"/>
      </w:pPr>
      <w:bookmarkStart w:id="25" w:name="_Toc51165268"/>
      <w:r w:rsidRPr="00E67A4C">
        <w:t>Menu labelling</w:t>
      </w:r>
      <w:r>
        <w:t xml:space="preserve"> legislation has not been introduced </w:t>
      </w:r>
      <w:r w:rsidRPr="00E67A4C">
        <w:t>in New Zealand.</w:t>
      </w:r>
      <w:r>
        <w:t xml:space="preserve"> </w:t>
      </w:r>
      <w:bookmarkEnd w:id="25"/>
      <w:r w:rsidR="00570AD8" w:rsidRPr="00E67A4C">
        <w:t xml:space="preserve">A survey of </w:t>
      </w:r>
      <w:r w:rsidR="008F079F">
        <w:t xml:space="preserve">food and beverage companies </w:t>
      </w:r>
      <w:r w:rsidR="00383342">
        <w:t xml:space="preserve">in 2018 by the </w:t>
      </w:r>
      <w:r w:rsidR="00570AD8" w:rsidRPr="00E67A4C">
        <w:t xml:space="preserve">New Zealand Food </w:t>
      </w:r>
      <w:r w:rsidR="00E97DB9">
        <w:t>Industry</w:t>
      </w:r>
      <w:r w:rsidR="00570AD8" w:rsidRPr="00E67A4C">
        <w:t xml:space="preserve"> Taskforce</w:t>
      </w:r>
      <w:r w:rsidR="00570AD8" w:rsidRPr="00C41D6A">
        <w:rPr>
          <w:rStyle w:val="FootnoteReference"/>
        </w:rPr>
        <w:footnoteReference w:id="56"/>
      </w:r>
      <w:r w:rsidR="00E97DB9">
        <w:t xml:space="preserve"> </w:t>
      </w:r>
      <w:r w:rsidR="00383208">
        <w:t xml:space="preserve">found that a small number of companies used menu labelling and would use menu labelling as a mechanism to </w:t>
      </w:r>
      <w:r w:rsidR="00476A2B">
        <w:t>address</w:t>
      </w:r>
      <w:r w:rsidR="00383208">
        <w:t xml:space="preserve"> obesity. </w:t>
      </w:r>
      <w:r w:rsidR="0035241D">
        <w:t>This was confirmed by stakeholders in 2021</w:t>
      </w:r>
      <w:r w:rsidR="005D7F0C">
        <w:t>, with submis</w:t>
      </w:r>
      <w:r w:rsidR="0035241D">
        <w:t>sions from food industry organisations in New Zealand and Australia indicat</w:t>
      </w:r>
      <w:r w:rsidR="005D7F0C">
        <w:t>ing</w:t>
      </w:r>
      <w:r w:rsidR="0035241D">
        <w:t xml:space="preserve"> that large New Zealand national (and/or international chains operating in New Zealand and Australia) typically display kilojoule and nutrition information on websites and apps, but not on menus. </w:t>
      </w:r>
      <w:r w:rsidR="00BA0D38">
        <w:t xml:space="preserve">New Zealand stakeholders suggested alternative approaches to menu labelling including nutrition labelling on food packages, offering healthy options, providing advice about healthy options if requested by customers, and nutrition guidelines. </w:t>
      </w:r>
    </w:p>
    <w:p w14:paraId="69CE473B" w14:textId="77777777" w:rsidR="00056894" w:rsidRDefault="00056894" w:rsidP="00E65037">
      <w:pPr>
        <w:spacing w:after="40"/>
        <w:jc w:val="both"/>
      </w:pPr>
    </w:p>
    <w:p w14:paraId="3505683D" w14:textId="76E36ACE" w:rsidR="00056894" w:rsidRDefault="00056894" w:rsidP="00E65037">
      <w:pPr>
        <w:spacing w:after="40"/>
        <w:jc w:val="both"/>
      </w:pPr>
      <w:r>
        <w:t>The New Zealand Food Industry Taskforce made 51 recommendations to the New Zealand Government</w:t>
      </w:r>
      <w:r w:rsidR="00BD47AD">
        <w:t xml:space="preserve"> to address factors contributing to obesity. The areas of action considered to be the highest priority for industry were reformulation targets, increased uptake of the Health Star Rating labelling system complemented by consumer education, and education to support understanding of nutrition and kilojoules. Recommendations r</w:t>
      </w:r>
      <w:r>
        <w:t>elevant to menu labelling</w:t>
      </w:r>
      <w:r w:rsidR="00BD47AD">
        <w:t xml:space="preserve"> were</w:t>
      </w:r>
      <w:r>
        <w:t>:</w:t>
      </w:r>
    </w:p>
    <w:p w14:paraId="75CAA3C9" w14:textId="3FD8188E" w:rsidR="00056894" w:rsidRPr="00DB4340" w:rsidRDefault="00056894" w:rsidP="0055688D">
      <w:pPr>
        <w:pStyle w:val="ListParagraph"/>
        <w:numPr>
          <w:ilvl w:val="0"/>
          <w:numId w:val="7"/>
        </w:numPr>
        <w:spacing w:after="40"/>
        <w:jc w:val="both"/>
        <w:rPr>
          <w:lang w:eastAsia="zh-CN" w:bidi="th-TH"/>
        </w:rPr>
      </w:pPr>
      <w:r w:rsidRPr="00DB4340">
        <w:rPr>
          <w:lang w:eastAsia="zh-CN" w:bidi="th-TH"/>
        </w:rPr>
        <w:t>Recommendation 47: M</w:t>
      </w:r>
      <w:r>
        <w:rPr>
          <w:lang w:eastAsia="zh-CN" w:bidi="th-TH"/>
        </w:rPr>
        <w:t xml:space="preserve">inistry of </w:t>
      </w:r>
      <w:r w:rsidRPr="00DB4340">
        <w:rPr>
          <w:lang w:eastAsia="zh-CN" w:bidi="th-TH"/>
        </w:rPr>
        <w:t>P</w:t>
      </w:r>
      <w:r>
        <w:rPr>
          <w:lang w:eastAsia="zh-CN" w:bidi="th-TH"/>
        </w:rPr>
        <w:t xml:space="preserve">rimary </w:t>
      </w:r>
      <w:r w:rsidRPr="00DB4340">
        <w:rPr>
          <w:lang w:eastAsia="zh-CN" w:bidi="th-TH"/>
        </w:rPr>
        <w:t>I</w:t>
      </w:r>
      <w:r>
        <w:rPr>
          <w:lang w:eastAsia="zh-CN" w:bidi="th-TH"/>
        </w:rPr>
        <w:t>ndustries</w:t>
      </w:r>
      <w:r w:rsidRPr="00DB4340">
        <w:rPr>
          <w:lang w:eastAsia="zh-CN" w:bidi="th-TH"/>
        </w:rPr>
        <w:t xml:space="preserve"> and industry to review the regulatory provisions for menu labelling in various Australian States and Territories with a view to voluntary application of the best elements in New Zealand. This review to be complete for implementation end 2019. </w:t>
      </w:r>
    </w:p>
    <w:p w14:paraId="79FA4702" w14:textId="77D5CDB5" w:rsidR="00056894" w:rsidRPr="00DB4340" w:rsidRDefault="00056894" w:rsidP="0055688D">
      <w:pPr>
        <w:pStyle w:val="ListParagraph"/>
        <w:numPr>
          <w:ilvl w:val="0"/>
          <w:numId w:val="7"/>
        </w:numPr>
        <w:spacing w:after="40"/>
        <w:jc w:val="both"/>
        <w:rPr>
          <w:lang w:eastAsia="zh-CN" w:bidi="th-TH"/>
        </w:rPr>
      </w:pPr>
      <w:r w:rsidRPr="00DB4340">
        <w:rPr>
          <w:lang w:eastAsia="zh-CN" w:bidi="th-TH"/>
        </w:rPr>
        <w:t>Recommendation 48: Fast food outlets to agree a voluntary approach to provide customers with guidance on healthier eating options</w:t>
      </w:r>
      <w:r>
        <w:rPr>
          <w:lang w:eastAsia="zh-CN" w:bidi="th-TH"/>
        </w:rPr>
        <w:t xml:space="preserve"> </w:t>
      </w:r>
      <w:r w:rsidRPr="00DB4340">
        <w:rPr>
          <w:lang w:eastAsia="zh-CN" w:bidi="th-TH"/>
        </w:rPr>
        <w:t xml:space="preserve">(both on menus and if asked) and nutrition information by December 2019. Evidence of this might include reference in frontline training. </w:t>
      </w:r>
    </w:p>
    <w:p w14:paraId="069D9989" w14:textId="0159A83B" w:rsidR="00E97DB9" w:rsidRDefault="00056894" w:rsidP="0055688D">
      <w:pPr>
        <w:pStyle w:val="ListParagraph"/>
        <w:numPr>
          <w:ilvl w:val="0"/>
          <w:numId w:val="7"/>
        </w:numPr>
        <w:spacing w:after="40"/>
        <w:jc w:val="both"/>
        <w:rPr>
          <w:lang w:eastAsia="zh-CN" w:bidi="th-TH"/>
        </w:rPr>
      </w:pPr>
      <w:r w:rsidRPr="00DB4340">
        <w:rPr>
          <w:lang w:eastAsia="zh-CN" w:bidi="th-TH"/>
        </w:rPr>
        <w:t xml:space="preserve">Recommendation 49: Companies/associations to voluntarily add nutrition information to recipes they publish on-line. A baseline survey is necessary </w:t>
      </w:r>
      <w:r w:rsidR="00E7776F" w:rsidRPr="00DB4340">
        <w:rPr>
          <w:lang w:eastAsia="zh-CN" w:bidi="th-TH"/>
        </w:rPr>
        <w:t>to</w:t>
      </w:r>
      <w:r w:rsidRPr="00DB4340">
        <w:rPr>
          <w:lang w:eastAsia="zh-CN" w:bidi="th-TH"/>
        </w:rPr>
        <w:t xml:space="preserve"> assess progress in this over time.</w:t>
      </w:r>
    </w:p>
    <w:p w14:paraId="6FB9A63F" w14:textId="402BBEF1" w:rsidR="00895434" w:rsidRDefault="00895434" w:rsidP="00E65037">
      <w:pPr>
        <w:spacing w:after="40"/>
        <w:jc w:val="both"/>
      </w:pPr>
    </w:p>
    <w:p w14:paraId="3D3C6049" w14:textId="581B5A92" w:rsidR="00A023C2" w:rsidRDefault="00890533" w:rsidP="00A023C2">
      <w:pPr>
        <w:pStyle w:val="Default"/>
        <w:jc w:val="both"/>
      </w:pPr>
      <w:r>
        <w:t>In 2019, t</w:t>
      </w:r>
      <w:r w:rsidR="00BA0D38">
        <w:t>he New Zealand Government’s response to the Food Industry Taskforce recommendations</w:t>
      </w:r>
      <w:r w:rsidR="003A67E9">
        <w:t xml:space="preserve"> with respect to menu labelling</w:t>
      </w:r>
      <w:r w:rsidR="0080309D">
        <w:t xml:space="preserve">, </w:t>
      </w:r>
      <w:r w:rsidR="00666D92">
        <w:t xml:space="preserve">was for the Taskforce to prioritise </w:t>
      </w:r>
      <w:r w:rsidR="003A67E9">
        <w:t xml:space="preserve">recommendations 47 and </w:t>
      </w:r>
      <w:r w:rsidR="00037BBA">
        <w:t>48.</w:t>
      </w:r>
      <w:r w:rsidR="00F4654B">
        <w:rPr>
          <w:rStyle w:val="FootnoteReference"/>
        </w:rPr>
        <w:footnoteReference w:id="57"/>
      </w:r>
      <w:r w:rsidR="00D35407">
        <w:t xml:space="preserve"> </w:t>
      </w:r>
      <w:r w:rsidR="00053FE7">
        <w:t xml:space="preserve">The New Zealand Government proposed </w:t>
      </w:r>
      <w:r w:rsidR="00CA5BB0">
        <w:t>establishing a joint work program with industry</w:t>
      </w:r>
      <w:r w:rsidR="00A023C2">
        <w:t xml:space="preserve"> and identified four priorities for addressing obesity:</w:t>
      </w:r>
    </w:p>
    <w:p w14:paraId="067370EB" w14:textId="057AC659" w:rsidR="00A023C2" w:rsidRDefault="00770C44" w:rsidP="0055688D">
      <w:pPr>
        <w:pStyle w:val="Default"/>
        <w:numPr>
          <w:ilvl w:val="0"/>
          <w:numId w:val="21"/>
        </w:numPr>
        <w:jc w:val="both"/>
      </w:pPr>
      <w:r>
        <w:t>l</w:t>
      </w:r>
      <w:r w:rsidR="007C1E9E">
        <w:t xml:space="preserve">imiting </w:t>
      </w:r>
      <w:r>
        <w:t>advertising,</w:t>
      </w:r>
      <w:r w:rsidR="007C1E9E">
        <w:t xml:space="preserve"> marketing</w:t>
      </w:r>
      <w:r>
        <w:t xml:space="preserve"> and sponsorship</w:t>
      </w:r>
      <w:r w:rsidR="007C1E9E">
        <w:t xml:space="preserve"> of </w:t>
      </w:r>
      <w:r>
        <w:t>energy-dense, nutrient poor food and beverages;</w:t>
      </w:r>
    </w:p>
    <w:p w14:paraId="4FE25725" w14:textId="369B8587" w:rsidR="007C1E9E" w:rsidRDefault="0057619B" w:rsidP="0055688D">
      <w:pPr>
        <w:pStyle w:val="Default"/>
        <w:numPr>
          <w:ilvl w:val="0"/>
          <w:numId w:val="21"/>
        </w:numPr>
        <w:jc w:val="both"/>
      </w:pPr>
      <w:r>
        <w:t>improving reformulation and labelling of food and beverages;</w:t>
      </w:r>
    </w:p>
    <w:p w14:paraId="075E63CA" w14:textId="1FBCF67B" w:rsidR="0057619B" w:rsidRDefault="0057619B" w:rsidP="0055688D">
      <w:pPr>
        <w:pStyle w:val="Default"/>
        <w:numPr>
          <w:ilvl w:val="0"/>
          <w:numId w:val="21"/>
        </w:numPr>
        <w:jc w:val="both"/>
      </w:pPr>
      <w:r>
        <w:t>creating healthier retail environments; and</w:t>
      </w:r>
    </w:p>
    <w:p w14:paraId="2F489537" w14:textId="1288CA78" w:rsidR="0057619B" w:rsidRDefault="00F4654B" w:rsidP="0055688D">
      <w:pPr>
        <w:pStyle w:val="Default"/>
        <w:numPr>
          <w:ilvl w:val="0"/>
          <w:numId w:val="21"/>
        </w:numPr>
        <w:jc w:val="both"/>
      </w:pPr>
      <w:r>
        <w:t>government-led monitoring and evaluation.</w:t>
      </w:r>
    </w:p>
    <w:p w14:paraId="72C3239D" w14:textId="4415FCDD" w:rsidR="009619EC" w:rsidRDefault="009619EC" w:rsidP="00D35407">
      <w:pPr>
        <w:pStyle w:val="Default"/>
        <w:jc w:val="both"/>
      </w:pPr>
    </w:p>
    <w:p w14:paraId="1A927A63" w14:textId="7D9C2AB1" w:rsidR="00F5217E" w:rsidRPr="00F5217E" w:rsidRDefault="00F5217E" w:rsidP="00D35407">
      <w:pPr>
        <w:pStyle w:val="Default"/>
        <w:jc w:val="both"/>
        <w:rPr>
          <w:i/>
          <w:iCs/>
        </w:rPr>
      </w:pPr>
      <w:r>
        <w:rPr>
          <w:i/>
          <w:iCs/>
        </w:rPr>
        <w:t>Australia New Zealand</w:t>
      </w:r>
      <w:r w:rsidR="003F06B1">
        <w:rPr>
          <w:i/>
          <w:iCs/>
        </w:rPr>
        <w:t xml:space="preserve"> Food Standards Code</w:t>
      </w:r>
    </w:p>
    <w:p w14:paraId="04167A06" w14:textId="0936537E" w:rsidR="003A4CBF" w:rsidRDefault="00855A02" w:rsidP="00796C0D">
      <w:pPr>
        <w:jc w:val="both"/>
        <w:rPr>
          <w:lang w:eastAsia="zh-CN" w:bidi="th-TH"/>
        </w:rPr>
      </w:pPr>
      <w:r>
        <w:t xml:space="preserve">The provision of adequate information relating to food to enable consumers to make informed choices is the second priority objective of Food Standards Australia New Zealand </w:t>
      </w:r>
      <w:r w:rsidR="004A4B3B">
        <w:t xml:space="preserve">(FSANZ) </w:t>
      </w:r>
      <w:r>
        <w:t>when developing or reviewing food regulatory measures and variations of food regulatory measures</w:t>
      </w:r>
      <w:r w:rsidR="003A4CBF">
        <w:t>.</w:t>
      </w:r>
      <w:r w:rsidR="003A4CBF">
        <w:rPr>
          <w:rStyle w:val="FootnoteReference"/>
        </w:rPr>
        <w:footnoteReference w:id="58"/>
      </w:r>
      <w:r w:rsidR="003A4CBF">
        <w:t xml:space="preserve"> </w:t>
      </w:r>
      <w:r w:rsidR="00790843" w:rsidRPr="00E67A4C">
        <w:rPr>
          <w:lang w:eastAsia="zh-CN" w:bidi="th-TH"/>
        </w:rPr>
        <w:t xml:space="preserve">The </w:t>
      </w:r>
      <w:r w:rsidR="00F2303C" w:rsidRPr="00E67A4C">
        <w:t>Food Standards Code</w:t>
      </w:r>
      <w:r w:rsidR="00790843" w:rsidRPr="00E67A4C">
        <w:t xml:space="preserve"> </w:t>
      </w:r>
      <w:r w:rsidR="00790843" w:rsidRPr="00E67A4C">
        <w:rPr>
          <w:lang w:eastAsia="zh-CN" w:bidi="th-TH"/>
        </w:rPr>
        <w:t>does not regulate menu labelling.</w:t>
      </w:r>
      <w:r w:rsidR="00E46A6C">
        <w:rPr>
          <w:lang w:eastAsia="zh-CN" w:bidi="th-TH"/>
        </w:rPr>
        <w:t xml:space="preserve"> </w:t>
      </w:r>
    </w:p>
    <w:p w14:paraId="4761DF41" w14:textId="77777777" w:rsidR="003A4CBF" w:rsidRDefault="003A4CBF" w:rsidP="00796C0D">
      <w:pPr>
        <w:jc w:val="both"/>
        <w:rPr>
          <w:lang w:eastAsia="zh-CN" w:bidi="th-TH"/>
        </w:rPr>
      </w:pPr>
    </w:p>
    <w:p w14:paraId="0A801655" w14:textId="34CBB99B" w:rsidR="00E7290C" w:rsidRDefault="00E46A6C" w:rsidP="00796C0D">
      <w:pPr>
        <w:jc w:val="both"/>
      </w:pPr>
      <w:r>
        <w:rPr>
          <w:lang w:eastAsia="zh-CN" w:bidi="th-TH"/>
        </w:rPr>
        <w:lastRenderedPageBreak/>
        <w:t>Under</w:t>
      </w:r>
      <w:r w:rsidR="00642FDC">
        <w:rPr>
          <w:lang w:eastAsia="zh-CN" w:bidi="th-TH"/>
        </w:rPr>
        <w:t xml:space="preserve"> the</w:t>
      </w:r>
      <w:r>
        <w:rPr>
          <w:lang w:eastAsia="zh-CN" w:bidi="th-TH"/>
        </w:rPr>
        <w:t xml:space="preserve"> Food Standards Code</w:t>
      </w:r>
      <w:r w:rsidR="00642FDC">
        <w:rPr>
          <w:lang w:eastAsia="zh-CN" w:bidi="th-TH"/>
        </w:rPr>
        <w:t>,</w:t>
      </w:r>
      <w:r w:rsidR="00396A8F">
        <w:rPr>
          <w:lang w:eastAsia="zh-CN" w:bidi="th-TH"/>
        </w:rPr>
        <w:t xml:space="preserve"> Standard 1.2.1</w:t>
      </w:r>
      <w:r w:rsidR="007B0950">
        <w:rPr>
          <w:lang w:eastAsia="zh-CN" w:bidi="th-TH"/>
        </w:rPr>
        <w:t xml:space="preserve">, </w:t>
      </w:r>
      <w:r w:rsidR="007B0950" w:rsidRPr="00E67A4C">
        <w:rPr>
          <w:lang w:eastAsia="zh-CN" w:bidi="th-TH"/>
        </w:rPr>
        <w:t xml:space="preserve">ready-to-eat </w:t>
      </w:r>
      <w:r w:rsidR="003D5B45">
        <w:rPr>
          <w:lang w:eastAsia="zh-CN" w:bidi="th-TH"/>
        </w:rPr>
        <w:t>food and drinks</w:t>
      </w:r>
      <w:r w:rsidR="007B0950" w:rsidRPr="00E67A4C">
        <w:rPr>
          <w:lang w:eastAsia="zh-CN" w:bidi="th-TH"/>
        </w:rPr>
        <w:t xml:space="preserve"> are not required to bear a label</w:t>
      </w:r>
      <w:r w:rsidR="007B0950">
        <w:rPr>
          <w:lang w:eastAsia="zh-CN" w:bidi="th-TH"/>
        </w:rPr>
        <w:t xml:space="preserve"> if they are (1) made and packaged on the premises from which it is sold; (2) packaged in the presence of the purchaser; or (3) delivered packaged and ready for consumption at the express order of the purchaser.</w:t>
      </w:r>
      <w:r w:rsidR="006B483B">
        <w:rPr>
          <w:rStyle w:val="FootnoteReference"/>
          <w:lang w:eastAsia="zh-CN" w:bidi="th-TH"/>
        </w:rPr>
        <w:footnoteReference w:id="59"/>
      </w:r>
      <w:r w:rsidR="000B066D">
        <w:rPr>
          <w:lang w:eastAsia="zh-CN" w:bidi="th-TH"/>
        </w:rPr>
        <w:t xml:space="preserve"> </w:t>
      </w:r>
      <w:r w:rsidR="00EB6501">
        <w:rPr>
          <w:lang w:eastAsia="zh-CN" w:bidi="th-TH"/>
        </w:rPr>
        <w:t>F</w:t>
      </w:r>
      <w:r w:rsidR="00A07C43">
        <w:rPr>
          <w:lang w:eastAsia="zh-CN" w:bidi="th-TH"/>
        </w:rPr>
        <w:t xml:space="preserve">or </w:t>
      </w:r>
      <w:r w:rsidR="00637589">
        <w:t>f</w:t>
      </w:r>
      <w:r w:rsidR="006B483B">
        <w:t>oods not required to bear a label</w:t>
      </w:r>
      <w:r w:rsidR="00CD29D1">
        <w:t xml:space="preserve">, </w:t>
      </w:r>
      <w:r w:rsidR="00A07C43">
        <w:t>some information is required to be</w:t>
      </w:r>
      <w:r w:rsidR="007B0950">
        <w:t xml:space="preserve"> either display</w:t>
      </w:r>
      <w:r w:rsidR="00A07C43">
        <w:t>ed</w:t>
      </w:r>
      <w:r w:rsidR="00E7290C">
        <w:t xml:space="preserve"> in connection with the display of food or provided to the purchaser on request</w:t>
      </w:r>
      <w:r w:rsidR="00EB6501">
        <w:t>. However</w:t>
      </w:r>
      <w:r w:rsidR="00E7290C">
        <w:t xml:space="preserve">, the information </w:t>
      </w:r>
      <w:r w:rsidR="000B066D">
        <w:t xml:space="preserve">relates primarily to food safety information, and not </w:t>
      </w:r>
      <w:r w:rsidR="00E8489A">
        <w:t xml:space="preserve">energy </w:t>
      </w:r>
      <w:r w:rsidR="006904EF">
        <w:t>or nutrient information (unless a nutrition or health claim is made)</w:t>
      </w:r>
      <w:r w:rsidR="000B066D">
        <w:t>.</w:t>
      </w:r>
    </w:p>
    <w:p w14:paraId="069C41CF" w14:textId="33955527" w:rsidR="003824E9" w:rsidRDefault="003824E9" w:rsidP="00796C0D">
      <w:pPr>
        <w:jc w:val="both"/>
      </w:pPr>
    </w:p>
    <w:p w14:paraId="02F0806E" w14:textId="24A1284A" w:rsidR="003824E9" w:rsidRPr="00BC0B32" w:rsidRDefault="00BC0B32" w:rsidP="00796C0D">
      <w:pPr>
        <w:jc w:val="both"/>
        <w:rPr>
          <w:i/>
          <w:iCs/>
        </w:rPr>
      </w:pPr>
      <w:r w:rsidRPr="00BC0B32">
        <w:rPr>
          <w:i/>
          <w:iCs/>
        </w:rPr>
        <w:t>Food Regulation System – Ministerial Policy Guidelines</w:t>
      </w:r>
    </w:p>
    <w:p w14:paraId="6E8B308D" w14:textId="77777777" w:rsidR="009C68FF" w:rsidRDefault="00F61AA1" w:rsidP="00F61AA1">
      <w:pPr>
        <w:spacing w:after="40"/>
        <w:jc w:val="both"/>
      </w:pPr>
      <w:r w:rsidRPr="00E67A4C">
        <w:t>In August 2019, Food Ministers</w:t>
      </w:r>
      <w:r>
        <w:t xml:space="preserve"> (</w:t>
      </w:r>
      <w:r w:rsidRPr="00E67A4C">
        <w:t>convening as the Australia and New Zealand Ministerial Forum on Food Regulation), agreed that nationally consistent menu labelling is the desired outcome for the Australian food industry, public health organisations and governments. The Fo</w:t>
      </w:r>
      <w:r>
        <w:t>od Ministers</w:t>
      </w:r>
      <w:r w:rsidRPr="00E67A4C">
        <w:t xml:space="preserve"> agreed that the most effective way to achieve this is to develop a food regulatory measure under the Food Standards Code and that as a first step a Ministerial Policy Guideline should be developed. Ministers agreed to FRSC developing a Ministerial Policy Guideline, in line with best practice regulatory requirements, and ongoing consultation with Australian and New Zealand stakeholders.</w:t>
      </w:r>
      <w:r w:rsidR="00DA29B4">
        <w:rPr>
          <w:rStyle w:val="FootnoteReference"/>
        </w:rPr>
        <w:footnoteReference w:id="60"/>
      </w:r>
    </w:p>
    <w:p w14:paraId="63AF051A" w14:textId="77777777" w:rsidR="009C68FF" w:rsidRDefault="009C68FF" w:rsidP="00F61AA1">
      <w:pPr>
        <w:spacing w:after="40"/>
        <w:jc w:val="both"/>
      </w:pPr>
    </w:p>
    <w:p w14:paraId="1EEFCE1C" w14:textId="2B00F508" w:rsidR="00BE56A0" w:rsidRDefault="00E20408" w:rsidP="00F61AA1">
      <w:pPr>
        <w:spacing w:after="40"/>
        <w:jc w:val="both"/>
      </w:pPr>
      <w:r>
        <w:t xml:space="preserve">To support </w:t>
      </w:r>
      <w:r w:rsidR="00C64712">
        <w:t>the development o</w:t>
      </w:r>
      <w:r w:rsidR="00440A33">
        <w:t>f</w:t>
      </w:r>
      <w:r w:rsidR="00C64712">
        <w:t xml:space="preserve"> nutritional labelling includ</w:t>
      </w:r>
      <w:r w:rsidR="00987331">
        <w:t>ing</w:t>
      </w:r>
      <w:r w:rsidR="00C64712">
        <w:t xml:space="preserve"> added sugar labelling and energy labelling on alcoholic beverages, </w:t>
      </w:r>
      <w:r w:rsidR="00182A56">
        <w:t>the</w:t>
      </w:r>
      <w:r w:rsidR="00C64712">
        <w:t xml:space="preserve"> </w:t>
      </w:r>
      <w:r w:rsidR="006F24B4" w:rsidRPr="00182A56">
        <w:rPr>
          <w:i/>
          <w:iCs/>
        </w:rPr>
        <w:t>Ministerial Policy Guideline</w:t>
      </w:r>
      <w:r w:rsidR="00241409" w:rsidRPr="00182A56">
        <w:rPr>
          <w:i/>
          <w:iCs/>
        </w:rPr>
        <w:t xml:space="preserve"> on Food Labelling to Support</w:t>
      </w:r>
      <w:r w:rsidR="00182A56" w:rsidRPr="00182A56">
        <w:rPr>
          <w:i/>
          <w:iCs/>
        </w:rPr>
        <w:t xml:space="preserve"> Consumers Make Informed Healthy Choices</w:t>
      </w:r>
      <w:r w:rsidR="00241409">
        <w:t xml:space="preserve"> </w:t>
      </w:r>
      <w:r w:rsidR="00C64712">
        <w:t>was endorsed in August 2020.</w:t>
      </w:r>
      <w:r w:rsidR="003E06AC">
        <w:rPr>
          <w:rStyle w:val="FootnoteReference"/>
        </w:rPr>
        <w:footnoteReference w:id="61"/>
      </w:r>
      <w:r w:rsidR="009358B8">
        <w:t xml:space="preserve"> </w:t>
      </w:r>
      <w:r w:rsidR="009A65BF">
        <w:t xml:space="preserve">While focused on food labels on packaging, this policy guideline </w:t>
      </w:r>
      <w:r w:rsidR="00017A2F">
        <w:t xml:space="preserve">should also be considered </w:t>
      </w:r>
      <w:r w:rsidR="00313C5E">
        <w:t xml:space="preserve">in developing </w:t>
      </w:r>
      <w:r w:rsidR="009A65BF">
        <w:t xml:space="preserve">off-pack labelling, including menu labelling. </w:t>
      </w:r>
      <w:r w:rsidR="00BE56A0">
        <w:t>It is expected that information on food labels is in a format that:</w:t>
      </w:r>
    </w:p>
    <w:p w14:paraId="365486B7" w14:textId="77777777" w:rsidR="00222319" w:rsidRDefault="009A65BF" w:rsidP="0055688D">
      <w:pPr>
        <w:pStyle w:val="Default"/>
        <w:numPr>
          <w:ilvl w:val="0"/>
          <w:numId w:val="21"/>
        </w:numPr>
        <w:jc w:val="both"/>
      </w:pPr>
      <w:r>
        <w:t>is easily accessed and understood by consumers;</w:t>
      </w:r>
    </w:p>
    <w:p w14:paraId="5D421BB0" w14:textId="77777777" w:rsidR="00222319" w:rsidRDefault="009A65BF" w:rsidP="0055688D">
      <w:pPr>
        <w:pStyle w:val="Default"/>
        <w:numPr>
          <w:ilvl w:val="0"/>
          <w:numId w:val="21"/>
        </w:numPr>
        <w:jc w:val="both"/>
      </w:pPr>
      <w:r>
        <w:t xml:space="preserve">supports consumers to manage energy intakes to assist with achieving and maintaining a healthy body weight; </w:t>
      </w:r>
    </w:p>
    <w:p w14:paraId="20D58F5C" w14:textId="77777777" w:rsidR="00222319" w:rsidRDefault="009A65BF" w:rsidP="0055688D">
      <w:pPr>
        <w:pStyle w:val="Default"/>
        <w:numPr>
          <w:ilvl w:val="0"/>
          <w:numId w:val="21"/>
        </w:numPr>
        <w:jc w:val="both"/>
      </w:pPr>
      <w:r>
        <w:t xml:space="preserve">supports consumers to compare foods; </w:t>
      </w:r>
    </w:p>
    <w:p w14:paraId="09958CC5" w14:textId="77777777" w:rsidR="00222319" w:rsidRDefault="009A65BF" w:rsidP="0055688D">
      <w:pPr>
        <w:pStyle w:val="Default"/>
        <w:numPr>
          <w:ilvl w:val="0"/>
          <w:numId w:val="21"/>
        </w:numPr>
        <w:jc w:val="both"/>
      </w:pPr>
      <w:r>
        <w:t>does not promote consumption of foods inconsistent with Dietary Guidelines (such as those high in saturated fat, added sugars, added salt and or foods with little or no nutritional value); and</w:t>
      </w:r>
    </w:p>
    <w:p w14:paraId="4CA85DB0" w14:textId="42337C3B" w:rsidR="00F61AA1" w:rsidRDefault="009A65BF" w:rsidP="0055688D">
      <w:pPr>
        <w:pStyle w:val="Default"/>
        <w:numPr>
          <w:ilvl w:val="0"/>
          <w:numId w:val="21"/>
        </w:numPr>
        <w:jc w:val="both"/>
      </w:pPr>
      <w:r>
        <w:t>takes into account the nutritional content of the whole food, particularly risk nutrients identified in the Dietary Guidelines, so as not to mislead the consumer.</w:t>
      </w:r>
      <w:r w:rsidR="00F61AA1" w:rsidRPr="00E67A4C">
        <w:t xml:space="preserve"> </w:t>
      </w:r>
    </w:p>
    <w:p w14:paraId="4C31C06B" w14:textId="77777777" w:rsidR="00313C5E" w:rsidRDefault="00313C5E" w:rsidP="00313C5E">
      <w:pPr>
        <w:pStyle w:val="Default"/>
        <w:ind w:left="780"/>
        <w:jc w:val="both"/>
      </w:pPr>
    </w:p>
    <w:p w14:paraId="702E3A54" w14:textId="5DE415D9" w:rsidR="0004125A" w:rsidRPr="00BB284A" w:rsidRDefault="0004125A" w:rsidP="00F6154A">
      <w:pPr>
        <w:pStyle w:val="Heading2"/>
        <w:rPr>
          <w:rStyle w:val="Heading1Char"/>
          <w:rFonts w:ascii="Times New Roman" w:hAnsi="Times New Roman" w:cs="Times New Roman"/>
          <w:kern w:val="0"/>
          <w:szCs w:val="28"/>
        </w:rPr>
      </w:pPr>
      <w:bookmarkStart w:id="26" w:name="_Toc91189670"/>
      <w:r w:rsidRPr="00BB284A">
        <w:rPr>
          <w:rStyle w:val="Heading1Char"/>
          <w:rFonts w:ascii="Times New Roman" w:hAnsi="Times New Roman" w:cs="Times New Roman"/>
          <w:b/>
          <w:bCs/>
          <w:kern w:val="0"/>
          <w:szCs w:val="28"/>
        </w:rPr>
        <w:t>2</w:t>
      </w:r>
      <w:r w:rsidR="00EA1E18" w:rsidRPr="00BB284A">
        <w:rPr>
          <w:rStyle w:val="Heading1Char"/>
          <w:rFonts w:ascii="Times New Roman" w:hAnsi="Times New Roman" w:cs="Times New Roman"/>
          <w:b/>
          <w:bCs/>
          <w:kern w:val="0"/>
          <w:szCs w:val="28"/>
        </w:rPr>
        <w:t xml:space="preserve"> Statement of the </w:t>
      </w:r>
      <w:r w:rsidR="009F6EB3">
        <w:rPr>
          <w:rStyle w:val="Heading1Char"/>
          <w:rFonts w:ascii="Times New Roman" w:hAnsi="Times New Roman" w:cs="Times New Roman"/>
          <w:b/>
          <w:bCs/>
          <w:kern w:val="0"/>
          <w:szCs w:val="28"/>
        </w:rPr>
        <w:t>p</w:t>
      </w:r>
      <w:r w:rsidRPr="00BB284A">
        <w:rPr>
          <w:rStyle w:val="Heading1Char"/>
          <w:rFonts w:ascii="Times New Roman" w:hAnsi="Times New Roman" w:cs="Times New Roman"/>
          <w:b/>
          <w:bCs/>
          <w:kern w:val="0"/>
          <w:szCs w:val="28"/>
        </w:rPr>
        <w:t>roblem</w:t>
      </w:r>
      <w:bookmarkEnd w:id="16"/>
      <w:bookmarkEnd w:id="17"/>
      <w:bookmarkEnd w:id="18"/>
      <w:bookmarkEnd w:id="26"/>
    </w:p>
    <w:p w14:paraId="4CAF5B27" w14:textId="13D753DB" w:rsidR="000D35C8" w:rsidRDefault="00CE3B2C" w:rsidP="00A27CAE">
      <w:pPr>
        <w:spacing w:after="40"/>
        <w:jc w:val="both"/>
        <w:rPr>
          <w:lang w:eastAsia="zh-CN" w:bidi="th-TH"/>
        </w:rPr>
      </w:pPr>
      <w:r>
        <w:rPr>
          <w:lang w:eastAsia="zh-CN" w:bidi="th-TH"/>
        </w:rPr>
        <w:t>A</w:t>
      </w:r>
      <w:r w:rsidR="007F03B2" w:rsidRPr="00E67A4C">
        <w:rPr>
          <w:lang w:eastAsia="zh-CN" w:bidi="th-TH"/>
        </w:rPr>
        <w:t xml:space="preserve"> </w:t>
      </w:r>
      <w:r>
        <w:rPr>
          <w:lang w:eastAsia="zh-CN" w:bidi="th-TH"/>
        </w:rPr>
        <w:t xml:space="preserve">2017 </w:t>
      </w:r>
      <w:r w:rsidR="001410B8" w:rsidRPr="00E67A4C">
        <w:rPr>
          <w:lang w:eastAsia="zh-CN" w:bidi="th-TH"/>
        </w:rPr>
        <w:t>review</w:t>
      </w:r>
      <w:r w:rsidR="002A25D5">
        <w:rPr>
          <w:rStyle w:val="FootnoteReference"/>
          <w:lang w:eastAsia="zh-CN" w:bidi="th-TH"/>
        </w:rPr>
        <w:footnoteReference w:id="62"/>
      </w:r>
      <w:r w:rsidR="001410B8" w:rsidRPr="00E67A4C">
        <w:rPr>
          <w:lang w:eastAsia="zh-CN" w:bidi="th-TH"/>
        </w:rPr>
        <w:t xml:space="preserve"> of fast food menu labelling</w:t>
      </w:r>
      <w:r w:rsidR="00D37110">
        <w:rPr>
          <w:lang w:eastAsia="zh-CN" w:bidi="th-TH"/>
        </w:rPr>
        <w:t xml:space="preserve"> in Australia</w:t>
      </w:r>
      <w:r>
        <w:rPr>
          <w:lang w:eastAsia="zh-CN" w:bidi="th-TH"/>
        </w:rPr>
        <w:t xml:space="preserve"> </w:t>
      </w:r>
      <w:r w:rsidR="000D35C8">
        <w:rPr>
          <w:lang w:eastAsia="zh-CN" w:bidi="th-TH"/>
        </w:rPr>
        <w:t xml:space="preserve">identified </w:t>
      </w:r>
      <w:r w:rsidR="009A4433" w:rsidRPr="00E67A4C">
        <w:rPr>
          <w:lang w:eastAsia="zh-CN" w:bidi="th-TH"/>
        </w:rPr>
        <w:t>n</w:t>
      </w:r>
      <w:r w:rsidR="00AF1BFD" w:rsidRPr="00E67A4C">
        <w:rPr>
          <w:lang w:eastAsia="zh-CN" w:bidi="th-TH"/>
        </w:rPr>
        <w:t xml:space="preserve">ationally inconsistent </w:t>
      </w:r>
      <w:r w:rsidR="00783914" w:rsidRPr="00E67A4C">
        <w:rPr>
          <w:lang w:eastAsia="zh-CN" w:bidi="th-TH"/>
        </w:rPr>
        <w:t>menu labelling legislation;</w:t>
      </w:r>
      <w:r w:rsidR="000D35C8">
        <w:rPr>
          <w:lang w:eastAsia="zh-CN" w:bidi="th-TH"/>
        </w:rPr>
        <w:t xml:space="preserve"> </w:t>
      </w:r>
      <w:r w:rsidR="009A4433" w:rsidRPr="00E67A4C">
        <w:rPr>
          <w:lang w:eastAsia="zh-CN" w:bidi="th-TH"/>
        </w:rPr>
        <w:t>a</w:t>
      </w:r>
      <w:r w:rsidR="00451427" w:rsidRPr="00E67A4C">
        <w:rPr>
          <w:lang w:eastAsia="zh-CN" w:bidi="th-TH"/>
        </w:rPr>
        <w:t>n u</w:t>
      </w:r>
      <w:r w:rsidR="006F7032" w:rsidRPr="00E67A4C">
        <w:rPr>
          <w:lang w:eastAsia="zh-CN" w:bidi="th-TH"/>
        </w:rPr>
        <w:t xml:space="preserve">neven </w:t>
      </w:r>
      <w:r w:rsidR="00B1608C" w:rsidRPr="00E67A4C">
        <w:rPr>
          <w:lang w:eastAsia="zh-CN" w:bidi="th-TH"/>
        </w:rPr>
        <w:t xml:space="preserve">playing field </w:t>
      </w:r>
      <w:r w:rsidR="00A52004" w:rsidRPr="00E67A4C">
        <w:rPr>
          <w:lang w:eastAsia="zh-CN" w:bidi="th-TH"/>
        </w:rPr>
        <w:t xml:space="preserve">with respect to menu labelling </w:t>
      </w:r>
      <w:r w:rsidR="00200A58" w:rsidRPr="00E67A4C">
        <w:rPr>
          <w:lang w:eastAsia="zh-CN" w:bidi="th-TH"/>
        </w:rPr>
        <w:t>for businesses selling standard food items</w:t>
      </w:r>
      <w:r w:rsidR="00A52004" w:rsidRPr="00E67A4C">
        <w:rPr>
          <w:lang w:eastAsia="zh-CN" w:bidi="th-TH"/>
        </w:rPr>
        <w:t>; and</w:t>
      </w:r>
      <w:r w:rsidR="000D35C8">
        <w:rPr>
          <w:lang w:eastAsia="zh-CN" w:bidi="th-TH"/>
        </w:rPr>
        <w:t xml:space="preserve"> </w:t>
      </w:r>
      <w:r w:rsidR="00B31F87">
        <w:rPr>
          <w:lang w:eastAsia="zh-CN" w:bidi="th-TH"/>
        </w:rPr>
        <w:t xml:space="preserve">gaps in legislation from </w:t>
      </w:r>
      <w:r w:rsidR="009A4433" w:rsidRPr="00E67A4C">
        <w:rPr>
          <w:lang w:eastAsia="zh-CN" w:bidi="th-TH"/>
        </w:rPr>
        <w:t>e</w:t>
      </w:r>
      <w:r w:rsidR="00EF7DD7" w:rsidRPr="00E67A4C">
        <w:rPr>
          <w:lang w:eastAsia="zh-CN" w:bidi="th-TH"/>
        </w:rPr>
        <w:t xml:space="preserve">merging trends for </w:t>
      </w:r>
      <w:r w:rsidR="006C0536" w:rsidRPr="00E67A4C">
        <w:rPr>
          <w:lang w:eastAsia="zh-CN" w:bidi="th-TH"/>
        </w:rPr>
        <w:t xml:space="preserve">promoting, </w:t>
      </w:r>
      <w:r w:rsidR="002874EA" w:rsidRPr="00E67A4C">
        <w:rPr>
          <w:lang w:eastAsia="zh-CN" w:bidi="th-TH"/>
        </w:rPr>
        <w:t>offering,</w:t>
      </w:r>
      <w:r w:rsidR="000C48FD" w:rsidRPr="00E67A4C">
        <w:rPr>
          <w:lang w:eastAsia="zh-CN" w:bidi="th-TH"/>
        </w:rPr>
        <w:t xml:space="preserve"> and s</w:t>
      </w:r>
      <w:r w:rsidR="006C0536" w:rsidRPr="00E67A4C">
        <w:rPr>
          <w:lang w:eastAsia="zh-CN" w:bidi="th-TH"/>
        </w:rPr>
        <w:t xml:space="preserve">elling </w:t>
      </w:r>
      <w:r w:rsidR="00EF7DD7" w:rsidRPr="00E67A4C">
        <w:rPr>
          <w:lang w:eastAsia="zh-CN" w:bidi="th-TH"/>
        </w:rPr>
        <w:t>standard food items</w:t>
      </w:r>
      <w:r w:rsidR="00102C9D" w:rsidRPr="00E67A4C">
        <w:rPr>
          <w:lang w:eastAsia="zh-CN" w:bidi="th-TH"/>
        </w:rPr>
        <w:t>.</w:t>
      </w:r>
      <w:r w:rsidR="000D35C8">
        <w:rPr>
          <w:lang w:eastAsia="zh-CN" w:bidi="th-TH"/>
        </w:rPr>
        <w:t xml:space="preserve"> </w:t>
      </w:r>
      <w:r>
        <w:rPr>
          <w:lang w:eastAsia="zh-CN" w:bidi="th-TH"/>
        </w:rPr>
        <w:t xml:space="preserve">These concerns were confirmed </w:t>
      </w:r>
      <w:r w:rsidR="0067447C">
        <w:rPr>
          <w:lang w:eastAsia="zh-CN" w:bidi="th-TH"/>
        </w:rPr>
        <w:t>during public c</w:t>
      </w:r>
      <w:r w:rsidR="00A27CAE" w:rsidRPr="00E67A4C">
        <w:rPr>
          <w:lang w:eastAsia="zh-CN" w:bidi="th-TH"/>
        </w:rPr>
        <w:t xml:space="preserve">onsultation with key Australian industry, public health and consumer organisations </w:t>
      </w:r>
      <w:r w:rsidR="0067447C">
        <w:rPr>
          <w:lang w:eastAsia="zh-CN" w:bidi="th-TH"/>
        </w:rPr>
        <w:t xml:space="preserve">in 2018. </w:t>
      </w:r>
      <w:r w:rsidR="00540FF8">
        <w:rPr>
          <w:lang w:eastAsia="zh-CN" w:bidi="th-TH"/>
        </w:rPr>
        <w:t>The consultation</w:t>
      </w:r>
      <w:r w:rsidR="0067447C">
        <w:rPr>
          <w:lang w:eastAsia="zh-CN" w:bidi="th-TH"/>
        </w:rPr>
        <w:t xml:space="preserve"> </w:t>
      </w:r>
      <w:r w:rsidR="00A27CAE" w:rsidRPr="00E67A4C">
        <w:rPr>
          <w:lang w:eastAsia="zh-CN" w:bidi="th-TH"/>
        </w:rPr>
        <w:t xml:space="preserve">identified that there was strong support for national consistency and that new </w:t>
      </w:r>
      <w:r w:rsidR="00A27CAE" w:rsidRPr="00E67A4C">
        <w:rPr>
          <w:lang w:eastAsia="zh-CN" w:bidi="th-TH"/>
        </w:rPr>
        <w:lastRenderedPageBreak/>
        <w:t xml:space="preserve">ways of promoting, </w:t>
      </w:r>
      <w:r w:rsidR="005E12BC" w:rsidRPr="00E67A4C">
        <w:rPr>
          <w:lang w:eastAsia="zh-CN" w:bidi="th-TH"/>
        </w:rPr>
        <w:t>offering,</w:t>
      </w:r>
      <w:r w:rsidR="00A27CAE" w:rsidRPr="00E67A4C">
        <w:rPr>
          <w:lang w:eastAsia="zh-CN" w:bidi="th-TH"/>
        </w:rPr>
        <w:t xml:space="preserve"> and selling food needed to be considered within menu labelling schemes.</w:t>
      </w:r>
      <w:r w:rsidR="009A538E">
        <w:rPr>
          <w:rStyle w:val="FootnoteReference"/>
          <w:lang w:eastAsia="zh-CN" w:bidi="th-TH"/>
        </w:rPr>
        <w:footnoteReference w:id="63"/>
      </w:r>
      <w:r w:rsidR="005E12BC" w:rsidRPr="00E67A4C">
        <w:rPr>
          <w:lang w:eastAsia="zh-CN" w:bidi="th-TH"/>
        </w:rPr>
        <w:t xml:space="preserve"> </w:t>
      </w:r>
    </w:p>
    <w:p w14:paraId="4C4567BD" w14:textId="77777777" w:rsidR="000D35C8" w:rsidRDefault="000D35C8" w:rsidP="00A27CAE">
      <w:pPr>
        <w:spacing w:after="40"/>
        <w:jc w:val="both"/>
        <w:rPr>
          <w:lang w:eastAsia="zh-CN" w:bidi="th-TH"/>
        </w:rPr>
      </w:pPr>
    </w:p>
    <w:p w14:paraId="66F0AADC" w14:textId="1498FD98" w:rsidR="0066382E" w:rsidRDefault="00310EA3" w:rsidP="00A27CAE">
      <w:pPr>
        <w:spacing w:after="40"/>
        <w:jc w:val="both"/>
        <w:rPr>
          <w:lang w:eastAsia="zh-CN" w:bidi="th-TH"/>
        </w:rPr>
      </w:pPr>
      <w:r>
        <w:rPr>
          <w:lang w:eastAsia="zh-CN" w:bidi="th-TH"/>
        </w:rPr>
        <w:t>It is important to note that as menu labelling was not being implemented in New Zealand in 2017-2018, the review</w:t>
      </w:r>
      <w:r w:rsidR="00A27CAE" w:rsidRPr="00E67A4C">
        <w:rPr>
          <w:lang w:eastAsia="zh-CN" w:bidi="th-TH"/>
        </w:rPr>
        <w:t xml:space="preserve"> </w:t>
      </w:r>
      <w:r>
        <w:rPr>
          <w:lang w:eastAsia="zh-CN" w:bidi="th-TH"/>
        </w:rPr>
        <w:t>and subsequent consultation did not consider what was happening in New Zealand.</w:t>
      </w:r>
      <w:r w:rsidR="00605117">
        <w:rPr>
          <w:lang w:eastAsia="zh-CN" w:bidi="th-TH"/>
        </w:rPr>
        <w:t xml:space="preserve"> Further public consultation with Australian and New Zealand stakeholders occurred </w:t>
      </w:r>
      <w:r w:rsidR="00A43E68">
        <w:rPr>
          <w:lang w:eastAsia="zh-CN" w:bidi="th-TH"/>
        </w:rPr>
        <w:t xml:space="preserve">between </w:t>
      </w:r>
      <w:r w:rsidR="00605117">
        <w:rPr>
          <w:lang w:eastAsia="zh-CN" w:bidi="th-TH"/>
        </w:rPr>
        <w:t>April</w:t>
      </w:r>
      <w:r w:rsidR="00A43E68">
        <w:rPr>
          <w:lang w:eastAsia="zh-CN" w:bidi="th-TH"/>
        </w:rPr>
        <w:t xml:space="preserve"> and </w:t>
      </w:r>
      <w:r w:rsidR="00605117">
        <w:rPr>
          <w:lang w:eastAsia="zh-CN" w:bidi="th-TH"/>
        </w:rPr>
        <w:t>June 2021</w:t>
      </w:r>
      <w:r w:rsidR="00302A28">
        <w:rPr>
          <w:lang w:eastAsia="zh-CN" w:bidi="th-TH"/>
        </w:rPr>
        <w:t xml:space="preserve">, </w:t>
      </w:r>
      <w:r w:rsidR="003B2505">
        <w:rPr>
          <w:lang w:eastAsia="zh-CN" w:bidi="th-TH"/>
        </w:rPr>
        <w:t>and the findings from th</w:t>
      </w:r>
      <w:r w:rsidR="00D37110">
        <w:rPr>
          <w:lang w:eastAsia="zh-CN" w:bidi="th-TH"/>
        </w:rPr>
        <w:t xml:space="preserve">e 2021 </w:t>
      </w:r>
      <w:r w:rsidR="003B2505">
        <w:rPr>
          <w:lang w:eastAsia="zh-CN" w:bidi="th-TH"/>
        </w:rPr>
        <w:t xml:space="preserve">consultation </w:t>
      </w:r>
      <w:r w:rsidR="004E34D8">
        <w:rPr>
          <w:lang w:eastAsia="zh-CN" w:bidi="th-TH"/>
        </w:rPr>
        <w:t xml:space="preserve">have further refined the </w:t>
      </w:r>
      <w:r w:rsidR="005A7451">
        <w:rPr>
          <w:lang w:eastAsia="zh-CN" w:bidi="th-TH"/>
        </w:rPr>
        <w:t xml:space="preserve">statement of the </w:t>
      </w:r>
      <w:r w:rsidR="00621D38">
        <w:rPr>
          <w:lang w:eastAsia="zh-CN" w:bidi="th-TH"/>
        </w:rPr>
        <w:t>problem</w:t>
      </w:r>
      <w:r w:rsidR="005A7451">
        <w:rPr>
          <w:lang w:eastAsia="zh-CN" w:bidi="th-TH"/>
        </w:rPr>
        <w:t>.</w:t>
      </w:r>
      <w:r w:rsidR="0030562A">
        <w:rPr>
          <w:rStyle w:val="FootnoteReference"/>
          <w:lang w:eastAsia="zh-CN" w:bidi="th-TH"/>
        </w:rPr>
        <w:footnoteReference w:id="64"/>
      </w:r>
      <w:r w:rsidR="008E0B12">
        <w:rPr>
          <w:lang w:eastAsia="zh-CN" w:bidi="th-TH"/>
        </w:rPr>
        <w:t xml:space="preserve"> </w:t>
      </w:r>
      <w:r w:rsidR="00DC3890">
        <w:rPr>
          <w:lang w:eastAsia="zh-CN" w:bidi="th-TH"/>
        </w:rPr>
        <w:t xml:space="preserve">In response to stakeholder views, a </w:t>
      </w:r>
      <w:r w:rsidR="008E0B12">
        <w:rPr>
          <w:lang w:eastAsia="zh-CN" w:bidi="th-TH"/>
        </w:rPr>
        <w:t xml:space="preserve">fourth </w:t>
      </w:r>
      <w:r w:rsidR="008463C4">
        <w:rPr>
          <w:lang w:eastAsia="zh-CN" w:bidi="th-TH"/>
        </w:rPr>
        <w:t>concern has been added:</w:t>
      </w:r>
      <w:r w:rsidR="00F912D0">
        <w:rPr>
          <w:lang w:eastAsia="zh-CN" w:bidi="th-TH"/>
        </w:rPr>
        <w:t xml:space="preserve"> that </w:t>
      </w:r>
      <w:r w:rsidR="00D37110">
        <w:rPr>
          <w:lang w:eastAsia="zh-CN" w:bidi="th-TH"/>
        </w:rPr>
        <w:t xml:space="preserve">the current approach to </w:t>
      </w:r>
      <w:r w:rsidR="00B43213">
        <w:rPr>
          <w:lang w:eastAsia="zh-CN" w:bidi="th-TH"/>
        </w:rPr>
        <w:t xml:space="preserve">menu labelling is not achieving </w:t>
      </w:r>
      <w:r w:rsidR="0066382E">
        <w:rPr>
          <w:lang w:eastAsia="zh-CN" w:bidi="th-TH"/>
        </w:rPr>
        <w:t xml:space="preserve">the </w:t>
      </w:r>
      <w:r w:rsidR="00D37110">
        <w:rPr>
          <w:lang w:eastAsia="zh-CN" w:bidi="th-TH"/>
        </w:rPr>
        <w:t>greatest</w:t>
      </w:r>
      <w:r w:rsidR="0066382E">
        <w:rPr>
          <w:lang w:eastAsia="zh-CN" w:bidi="th-TH"/>
        </w:rPr>
        <w:t xml:space="preserve"> public health </w:t>
      </w:r>
      <w:r w:rsidR="00D37110">
        <w:rPr>
          <w:lang w:eastAsia="zh-CN" w:bidi="th-TH"/>
        </w:rPr>
        <w:t>benefit</w:t>
      </w:r>
      <w:r w:rsidR="0066382E">
        <w:rPr>
          <w:lang w:eastAsia="zh-CN" w:bidi="th-TH"/>
        </w:rPr>
        <w:t>.</w:t>
      </w:r>
    </w:p>
    <w:p w14:paraId="61BB8D99" w14:textId="77777777" w:rsidR="00A43E68" w:rsidRDefault="00A43E68" w:rsidP="00A27CAE">
      <w:pPr>
        <w:spacing w:after="40"/>
        <w:jc w:val="both"/>
        <w:rPr>
          <w:lang w:eastAsia="zh-CN" w:bidi="th-TH"/>
        </w:rPr>
      </w:pPr>
    </w:p>
    <w:p w14:paraId="05E0BE0C" w14:textId="7EA7B65D" w:rsidR="00B542E6" w:rsidRPr="00E67A4C" w:rsidRDefault="00863D6E" w:rsidP="00F53A05">
      <w:pPr>
        <w:pStyle w:val="Heading3"/>
      </w:pPr>
      <w:bookmarkStart w:id="27" w:name="_Toc51165270"/>
      <w:r w:rsidRPr="00E67A4C">
        <w:t>2</w:t>
      </w:r>
      <w:r w:rsidR="00B542E6" w:rsidRPr="00E67A4C">
        <w:t>.</w:t>
      </w:r>
      <w:r w:rsidR="001410B8" w:rsidRPr="00E67A4C">
        <w:t>1</w:t>
      </w:r>
      <w:r w:rsidR="00B542E6" w:rsidRPr="00E67A4C">
        <w:t xml:space="preserve"> </w:t>
      </w:r>
      <w:r w:rsidR="00200A58" w:rsidRPr="00E67A4C">
        <w:t>N</w:t>
      </w:r>
      <w:r w:rsidR="00B542E6" w:rsidRPr="00E67A4C">
        <w:t xml:space="preserve">ationally </w:t>
      </w:r>
      <w:r w:rsidR="00200A58" w:rsidRPr="00E67A4C">
        <w:t>in</w:t>
      </w:r>
      <w:r w:rsidR="00B542E6" w:rsidRPr="00E67A4C">
        <w:t xml:space="preserve">consistent </w:t>
      </w:r>
      <w:r w:rsidR="00200A58" w:rsidRPr="00E67A4C">
        <w:t xml:space="preserve">menu labelling </w:t>
      </w:r>
      <w:r w:rsidR="00B542E6" w:rsidRPr="00E67A4C">
        <w:t>legislation</w:t>
      </w:r>
      <w:bookmarkEnd w:id="27"/>
    </w:p>
    <w:p w14:paraId="4CDAD4B7" w14:textId="63B95B64" w:rsidR="00C936B5" w:rsidRDefault="0047243A" w:rsidP="00D37110">
      <w:pPr>
        <w:spacing w:after="40"/>
        <w:jc w:val="both"/>
      </w:pPr>
      <w:r>
        <w:rPr>
          <w:lang w:eastAsia="zh-CN" w:bidi="th-TH"/>
        </w:rPr>
        <w:t xml:space="preserve">The five Australian </w:t>
      </w:r>
      <w:r w:rsidR="00CD71FF" w:rsidRPr="00E67A4C">
        <w:rPr>
          <w:lang w:eastAsia="zh-CN" w:bidi="th-TH"/>
        </w:rPr>
        <w:t xml:space="preserve">jurisdictions </w:t>
      </w:r>
      <w:r w:rsidR="00D37110">
        <w:rPr>
          <w:lang w:eastAsia="zh-CN" w:bidi="th-TH"/>
        </w:rPr>
        <w:t>that introduced</w:t>
      </w:r>
      <w:r>
        <w:rPr>
          <w:lang w:eastAsia="zh-CN" w:bidi="th-TH"/>
        </w:rPr>
        <w:t xml:space="preserve"> menu labelling legislation took</w:t>
      </w:r>
      <w:r w:rsidR="00CD71FF" w:rsidRPr="00E67A4C">
        <w:rPr>
          <w:lang w:eastAsia="zh-CN" w:bidi="th-TH"/>
        </w:rPr>
        <w:t xml:space="preserve"> </w:t>
      </w:r>
      <w:r w:rsidR="00B542E6" w:rsidRPr="00E67A4C">
        <w:rPr>
          <w:lang w:eastAsia="zh-CN" w:bidi="th-TH"/>
        </w:rPr>
        <w:t>different approaches</w:t>
      </w:r>
      <w:r w:rsidR="00CD71FF" w:rsidRPr="00E67A4C">
        <w:rPr>
          <w:lang w:eastAsia="zh-CN" w:bidi="th-TH"/>
        </w:rPr>
        <w:t xml:space="preserve"> </w:t>
      </w:r>
      <w:r w:rsidR="00CD71FF" w:rsidRPr="00476A2B">
        <w:rPr>
          <w:lang w:eastAsia="zh-CN" w:bidi="th-TH"/>
        </w:rPr>
        <w:t>to businesses that are exempt from menu labelling</w:t>
      </w:r>
      <w:r w:rsidR="0033677C" w:rsidRPr="00476A2B">
        <w:rPr>
          <w:lang w:eastAsia="zh-CN" w:bidi="th-TH"/>
        </w:rPr>
        <w:t xml:space="preserve"> (</w:t>
      </w:r>
      <w:r w:rsidR="00EA1E18" w:rsidRPr="00476A2B">
        <w:rPr>
          <w:lang w:eastAsia="zh-CN" w:bidi="th-TH"/>
        </w:rPr>
        <w:t>see</w:t>
      </w:r>
      <w:r w:rsidR="0033677C" w:rsidRPr="00476A2B">
        <w:rPr>
          <w:lang w:eastAsia="zh-CN" w:bidi="th-TH"/>
        </w:rPr>
        <w:t xml:space="preserve"> Table </w:t>
      </w:r>
      <w:r w:rsidR="00DE5A0A" w:rsidRPr="00476A2B">
        <w:rPr>
          <w:lang w:eastAsia="zh-CN" w:bidi="th-TH"/>
        </w:rPr>
        <w:t>2</w:t>
      </w:r>
      <w:r w:rsidR="00897452" w:rsidRPr="00476A2B">
        <w:rPr>
          <w:lang w:eastAsia="zh-CN" w:bidi="th-TH"/>
        </w:rPr>
        <w:t xml:space="preserve"> below</w:t>
      </w:r>
      <w:r w:rsidR="00603956" w:rsidRPr="00476A2B">
        <w:rPr>
          <w:lang w:eastAsia="zh-CN" w:bidi="th-TH"/>
        </w:rPr>
        <w:t>)</w:t>
      </w:r>
      <w:r w:rsidR="00957204" w:rsidRPr="00476A2B">
        <w:rPr>
          <w:lang w:eastAsia="zh-CN" w:bidi="th-TH"/>
        </w:rPr>
        <w:t xml:space="preserve">. </w:t>
      </w:r>
      <w:r w:rsidR="001043FB" w:rsidRPr="00476A2B">
        <w:rPr>
          <w:lang w:eastAsia="zh-CN" w:bidi="th-TH"/>
        </w:rPr>
        <w:t xml:space="preserve">Most jurisdictions specify between </w:t>
      </w:r>
      <w:r w:rsidR="000A55F9" w:rsidRPr="00476A2B">
        <w:rPr>
          <w:lang w:eastAsia="zh-CN" w:bidi="th-TH"/>
        </w:rPr>
        <w:t>five</w:t>
      </w:r>
      <w:r w:rsidR="001043FB" w:rsidRPr="00476A2B">
        <w:rPr>
          <w:lang w:eastAsia="zh-CN" w:bidi="th-TH"/>
        </w:rPr>
        <w:t xml:space="preserve"> and </w:t>
      </w:r>
      <w:r w:rsidR="000A55F9" w:rsidRPr="00476A2B">
        <w:rPr>
          <w:lang w:eastAsia="zh-CN" w:bidi="th-TH"/>
        </w:rPr>
        <w:t>nine</w:t>
      </w:r>
      <w:r w:rsidR="001043FB" w:rsidRPr="00476A2B">
        <w:rPr>
          <w:lang w:eastAsia="zh-CN" w:bidi="th-TH"/>
        </w:rPr>
        <w:t xml:space="preserve"> business types that are exempt from menu labelling. </w:t>
      </w:r>
      <w:r w:rsidR="005C2A0C" w:rsidRPr="00476A2B">
        <w:rPr>
          <w:lang w:eastAsia="zh-CN" w:bidi="th-TH"/>
        </w:rPr>
        <w:t xml:space="preserve">Only businesses providing catering services are </w:t>
      </w:r>
      <w:r w:rsidR="000A55F9" w:rsidRPr="00476A2B">
        <w:rPr>
          <w:lang w:eastAsia="zh-CN" w:bidi="th-TH"/>
        </w:rPr>
        <w:t xml:space="preserve">specifically exempt </w:t>
      </w:r>
      <w:r w:rsidR="00137E9D" w:rsidRPr="00476A2B">
        <w:rPr>
          <w:lang w:eastAsia="zh-CN" w:bidi="th-TH"/>
        </w:rPr>
        <w:t>in</w:t>
      </w:r>
      <w:r w:rsidR="000A55F9" w:rsidRPr="00476A2B">
        <w:rPr>
          <w:lang w:eastAsia="zh-CN" w:bidi="th-TH"/>
        </w:rPr>
        <w:t xml:space="preserve"> all jurisdictions.</w:t>
      </w:r>
      <w:r w:rsidR="00F3685E" w:rsidRPr="00476A2B">
        <w:rPr>
          <w:lang w:eastAsia="zh-CN" w:bidi="th-TH"/>
        </w:rPr>
        <w:t xml:space="preserve"> </w:t>
      </w:r>
      <w:r w:rsidR="00D37110" w:rsidRPr="00476A2B">
        <w:rPr>
          <w:lang w:eastAsia="zh-CN" w:bidi="th-TH"/>
        </w:rPr>
        <w:t>Stakeholders have noted that t</w:t>
      </w:r>
      <w:r w:rsidR="00DD0FFF" w:rsidRPr="00476A2B">
        <w:t>hese exemptions do not align with the intent of the 2011</w:t>
      </w:r>
      <w:r w:rsidR="00DD0FFF" w:rsidRPr="00E67A4C">
        <w:t xml:space="preserve"> Principles (noting that </w:t>
      </w:r>
      <w:r w:rsidR="00D916BD">
        <w:t xml:space="preserve">the </w:t>
      </w:r>
      <w:r w:rsidR="00AC2162">
        <w:t xml:space="preserve">2011 Principles </w:t>
      </w:r>
      <w:r w:rsidR="00D916BD">
        <w:t>is</w:t>
      </w:r>
      <w:r w:rsidR="00AC2162">
        <w:t xml:space="preserve"> silent on </w:t>
      </w:r>
      <w:r w:rsidR="00DD0FFF" w:rsidRPr="00E67A4C">
        <w:t>exemptions); resulting in inconsistency for Australian businesses, and inequitable access to energy information at the point-of-sale for Australian consumers.</w:t>
      </w:r>
      <w:r w:rsidR="00DA0285" w:rsidRPr="00E67A4C">
        <w:rPr>
          <w:rStyle w:val="FootnoteReference"/>
        </w:rPr>
        <w:footnoteReference w:id="65"/>
      </w:r>
    </w:p>
    <w:p w14:paraId="387FF7D9" w14:textId="77777777" w:rsidR="003379D0" w:rsidRDefault="003379D0" w:rsidP="003379D0">
      <w:pPr>
        <w:spacing w:after="40"/>
        <w:jc w:val="both"/>
      </w:pPr>
    </w:p>
    <w:p w14:paraId="05DF3AAD" w14:textId="275FF290" w:rsidR="0020514D" w:rsidRDefault="0020514D" w:rsidP="003379D0">
      <w:pPr>
        <w:spacing w:after="40"/>
        <w:jc w:val="both"/>
        <w:rPr>
          <w:lang w:eastAsia="zh-CN" w:bidi="th-TH"/>
        </w:rPr>
      </w:pPr>
      <w:r w:rsidRPr="00E67A4C">
        <w:rPr>
          <w:lang w:eastAsia="zh-CN" w:bidi="th-TH"/>
        </w:rPr>
        <w:t xml:space="preserve">Table </w:t>
      </w:r>
      <w:r w:rsidR="00DE5A0A">
        <w:rPr>
          <w:lang w:eastAsia="zh-CN" w:bidi="th-TH"/>
        </w:rPr>
        <w:t>2</w:t>
      </w:r>
      <w:r w:rsidRPr="00E67A4C">
        <w:rPr>
          <w:lang w:eastAsia="zh-CN" w:bidi="th-TH"/>
        </w:rPr>
        <w:t>: Business types (X) specifically exempt in Australian jurisdictions’ legislation</w:t>
      </w:r>
    </w:p>
    <w:p w14:paraId="0B6DC261" w14:textId="77777777" w:rsidR="00246032" w:rsidRDefault="00246032" w:rsidP="0020514D">
      <w:pPr>
        <w:rPr>
          <w:lang w:eastAsia="zh-CN" w:bidi="th-TH"/>
        </w:rPr>
      </w:pPr>
    </w:p>
    <w:tbl>
      <w:tblPr>
        <w:tblStyle w:val="PlainTable3"/>
        <w:tblW w:w="0" w:type="auto"/>
        <w:tblLook w:val="04A0" w:firstRow="1" w:lastRow="0" w:firstColumn="1" w:lastColumn="0" w:noHBand="0" w:noVBand="1"/>
        <w:tblCaption w:val="Business types (X) specifically exempt in Australian jurisdictions' legislation"/>
        <w:tblDescription w:val="6 columns. 1. Business type. 2. New South Wales. 3. South Australia. 4. Australian Capital Territory. 5. Queensland. 6. Victoria. 16 rows. 1. Heading. 2 to 16. Different business types."/>
      </w:tblPr>
      <w:tblGrid>
        <w:gridCol w:w="4582"/>
        <w:gridCol w:w="894"/>
        <w:gridCol w:w="894"/>
        <w:gridCol w:w="895"/>
        <w:gridCol w:w="894"/>
        <w:gridCol w:w="895"/>
      </w:tblGrid>
      <w:tr w:rsidR="0020514D" w:rsidRPr="00E67A4C" w14:paraId="604BB783" w14:textId="77777777" w:rsidTr="009D51AF">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4582" w:type="dxa"/>
          </w:tcPr>
          <w:p w14:paraId="5FDABC96" w14:textId="00FF79F7" w:rsidR="0020514D" w:rsidRPr="003A419B" w:rsidRDefault="00267D40" w:rsidP="006F692E">
            <w:pPr>
              <w:spacing w:after="40"/>
              <w:rPr>
                <w:lang w:eastAsia="zh-CN" w:bidi="th-TH"/>
              </w:rPr>
            </w:pPr>
            <w:r w:rsidRPr="003A419B">
              <w:rPr>
                <w:caps w:val="0"/>
                <w:lang w:eastAsia="zh-CN" w:bidi="th-TH"/>
              </w:rPr>
              <w:t>Business Type</w:t>
            </w:r>
          </w:p>
        </w:tc>
        <w:tc>
          <w:tcPr>
            <w:tcW w:w="894" w:type="dxa"/>
          </w:tcPr>
          <w:p w14:paraId="6581BA1B" w14:textId="77777777" w:rsidR="0020514D" w:rsidRPr="003A419B" w:rsidRDefault="0020514D" w:rsidP="006F692E">
            <w:pPr>
              <w:spacing w:after="40"/>
              <w:jc w:val="center"/>
              <w:cnfStyle w:val="100000000000" w:firstRow="1" w:lastRow="0" w:firstColumn="0" w:lastColumn="0" w:oddVBand="0" w:evenVBand="0" w:oddHBand="0" w:evenHBand="0" w:firstRowFirstColumn="0" w:firstRowLastColumn="0" w:lastRowFirstColumn="0" w:lastRowLastColumn="0"/>
              <w:rPr>
                <w:lang w:eastAsia="zh-CN" w:bidi="th-TH"/>
              </w:rPr>
            </w:pPr>
            <w:r w:rsidRPr="003A419B">
              <w:rPr>
                <w:lang w:eastAsia="zh-CN" w:bidi="th-TH"/>
              </w:rPr>
              <w:t>NSW</w:t>
            </w:r>
          </w:p>
        </w:tc>
        <w:tc>
          <w:tcPr>
            <w:tcW w:w="894" w:type="dxa"/>
          </w:tcPr>
          <w:p w14:paraId="3CCD8210" w14:textId="77777777" w:rsidR="0020514D" w:rsidRPr="003A419B" w:rsidRDefault="0020514D" w:rsidP="006F692E">
            <w:pPr>
              <w:spacing w:after="40"/>
              <w:jc w:val="center"/>
              <w:cnfStyle w:val="100000000000" w:firstRow="1" w:lastRow="0" w:firstColumn="0" w:lastColumn="0" w:oddVBand="0" w:evenVBand="0" w:oddHBand="0" w:evenHBand="0" w:firstRowFirstColumn="0" w:firstRowLastColumn="0" w:lastRowFirstColumn="0" w:lastRowLastColumn="0"/>
              <w:rPr>
                <w:lang w:eastAsia="zh-CN" w:bidi="th-TH"/>
              </w:rPr>
            </w:pPr>
            <w:r w:rsidRPr="003A419B">
              <w:rPr>
                <w:lang w:eastAsia="zh-CN" w:bidi="th-TH"/>
              </w:rPr>
              <w:t>SA</w:t>
            </w:r>
          </w:p>
        </w:tc>
        <w:tc>
          <w:tcPr>
            <w:tcW w:w="895" w:type="dxa"/>
          </w:tcPr>
          <w:p w14:paraId="33037B00" w14:textId="77777777" w:rsidR="0020514D" w:rsidRPr="003A419B" w:rsidRDefault="0020514D" w:rsidP="006F692E">
            <w:pPr>
              <w:spacing w:after="40"/>
              <w:jc w:val="center"/>
              <w:cnfStyle w:val="100000000000" w:firstRow="1" w:lastRow="0" w:firstColumn="0" w:lastColumn="0" w:oddVBand="0" w:evenVBand="0" w:oddHBand="0" w:evenHBand="0" w:firstRowFirstColumn="0" w:firstRowLastColumn="0" w:lastRowFirstColumn="0" w:lastRowLastColumn="0"/>
              <w:rPr>
                <w:lang w:eastAsia="zh-CN" w:bidi="th-TH"/>
              </w:rPr>
            </w:pPr>
            <w:r w:rsidRPr="003A419B">
              <w:rPr>
                <w:lang w:eastAsia="zh-CN" w:bidi="th-TH"/>
              </w:rPr>
              <w:t>ACT</w:t>
            </w:r>
          </w:p>
        </w:tc>
        <w:tc>
          <w:tcPr>
            <w:tcW w:w="894" w:type="dxa"/>
          </w:tcPr>
          <w:p w14:paraId="27928B04" w14:textId="77777777" w:rsidR="0020514D" w:rsidRPr="003A419B" w:rsidRDefault="0020514D" w:rsidP="006F692E">
            <w:pPr>
              <w:spacing w:after="40"/>
              <w:jc w:val="center"/>
              <w:cnfStyle w:val="100000000000" w:firstRow="1" w:lastRow="0" w:firstColumn="0" w:lastColumn="0" w:oddVBand="0" w:evenVBand="0" w:oddHBand="0" w:evenHBand="0" w:firstRowFirstColumn="0" w:firstRowLastColumn="0" w:lastRowFirstColumn="0" w:lastRowLastColumn="0"/>
              <w:rPr>
                <w:lang w:eastAsia="zh-CN" w:bidi="th-TH"/>
              </w:rPr>
            </w:pPr>
            <w:r w:rsidRPr="003A419B">
              <w:rPr>
                <w:lang w:eastAsia="zh-CN" w:bidi="th-TH"/>
              </w:rPr>
              <w:t>QLD</w:t>
            </w:r>
          </w:p>
        </w:tc>
        <w:tc>
          <w:tcPr>
            <w:tcW w:w="895" w:type="dxa"/>
          </w:tcPr>
          <w:p w14:paraId="3BEBCE07" w14:textId="77777777" w:rsidR="0020514D" w:rsidRPr="003A419B" w:rsidRDefault="0020514D" w:rsidP="006F692E">
            <w:pPr>
              <w:spacing w:after="40"/>
              <w:jc w:val="center"/>
              <w:cnfStyle w:val="100000000000" w:firstRow="1" w:lastRow="0" w:firstColumn="0" w:lastColumn="0" w:oddVBand="0" w:evenVBand="0" w:oddHBand="0" w:evenHBand="0" w:firstRowFirstColumn="0" w:firstRowLastColumn="0" w:lastRowFirstColumn="0" w:lastRowLastColumn="0"/>
              <w:rPr>
                <w:lang w:eastAsia="zh-CN" w:bidi="th-TH"/>
              </w:rPr>
            </w:pPr>
            <w:r w:rsidRPr="003A419B">
              <w:rPr>
                <w:lang w:eastAsia="zh-CN" w:bidi="th-TH"/>
              </w:rPr>
              <w:t>VIC</w:t>
            </w:r>
          </w:p>
        </w:tc>
      </w:tr>
      <w:tr w:rsidR="0020514D" w:rsidRPr="00E67A4C" w14:paraId="7350D750" w14:textId="77777777" w:rsidTr="00267D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2" w:type="dxa"/>
          </w:tcPr>
          <w:p w14:paraId="53CBF5AE" w14:textId="4E359D2D" w:rsidR="00267D40" w:rsidRPr="006F692E" w:rsidRDefault="00267D40" w:rsidP="006F692E">
            <w:pPr>
              <w:spacing w:after="40"/>
              <w:rPr>
                <w:b w:val="0"/>
                <w:bCs w:val="0"/>
                <w:lang w:eastAsia="zh-CN" w:bidi="th-TH"/>
              </w:rPr>
            </w:pPr>
            <w:r w:rsidRPr="003A419B">
              <w:rPr>
                <w:caps w:val="0"/>
                <w:lang w:eastAsia="zh-CN" w:bidi="th-TH"/>
              </w:rPr>
              <w:t>Supermarkets</w:t>
            </w:r>
          </w:p>
        </w:tc>
        <w:tc>
          <w:tcPr>
            <w:tcW w:w="894" w:type="dxa"/>
            <w:vAlign w:val="center"/>
          </w:tcPr>
          <w:p w14:paraId="529CECED" w14:textId="77777777" w:rsidR="0020514D" w:rsidRPr="003A419B" w:rsidRDefault="0020514D" w:rsidP="006F692E">
            <w:pPr>
              <w:spacing w:after="40"/>
              <w:jc w:val="center"/>
              <w:cnfStyle w:val="000000100000" w:firstRow="0" w:lastRow="0" w:firstColumn="0" w:lastColumn="0" w:oddVBand="0" w:evenVBand="0" w:oddHBand="1" w:evenHBand="0" w:firstRowFirstColumn="0" w:firstRowLastColumn="0" w:lastRowFirstColumn="0" w:lastRowLastColumn="0"/>
              <w:rPr>
                <w:lang w:eastAsia="zh-CN" w:bidi="th-TH"/>
              </w:rPr>
            </w:pPr>
          </w:p>
        </w:tc>
        <w:tc>
          <w:tcPr>
            <w:tcW w:w="894" w:type="dxa"/>
            <w:vAlign w:val="center"/>
          </w:tcPr>
          <w:p w14:paraId="693A1C55" w14:textId="77777777" w:rsidR="0020514D" w:rsidRPr="003A419B" w:rsidRDefault="0020514D" w:rsidP="006F692E">
            <w:pPr>
              <w:spacing w:after="40"/>
              <w:jc w:val="center"/>
              <w:cnfStyle w:val="000000100000" w:firstRow="0" w:lastRow="0" w:firstColumn="0" w:lastColumn="0" w:oddVBand="0" w:evenVBand="0" w:oddHBand="1" w:evenHBand="0" w:firstRowFirstColumn="0" w:firstRowLastColumn="0" w:lastRowFirstColumn="0" w:lastRowLastColumn="0"/>
              <w:rPr>
                <w:lang w:eastAsia="zh-CN" w:bidi="th-TH"/>
              </w:rPr>
            </w:pPr>
            <w:r w:rsidRPr="003A419B">
              <w:rPr>
                <w:lang w:eastAsia="zh-CN" w:bidi="th-TH"/>
              </w:rPr>
              <w:t>X</w:t>
            </w:r>
          </w:p>
        </w:tc>
        <w:tc>
          <w:tcPr>
            <w:tcW w:w="895" w:type="dxa"/>
            <w:vAlign w:val="center"/>
          </w:tcPr>
          <w:p w14:paraId="755DD9B8" w14:textId="77777777" w:rsidR="0020514D" w:rsidRPr="003A419B" w:rsidRDefault="0020514D" w:rsidP="006F692E">
            <w:pPr>
              <w:spacing w:after="40"/>
              <w:jc w:val="center"/>
              <w:cnfStyle w:val="000000100000" w:firstRow="0" w:lastRow="0" w:firstColumn="0" w:lastColumn="0" w:oddVBand="0" w:evenVBand="0" w:oddHBand="1" w:evenHBand="0" w:firstRowFirstColumn="0" w:firstRowLastColumn="0" w:lastRowFirstColumn="0" w:lastRowLastColumn="0"/>
              <w:rPr>
                <w:lang w:eastAsia="zh-CN" w:bidi="th-TH"/>
              </w:rPr>
            </w:pPr>
          </w:p>
        </w:tc>
        <w:tc>
          <w:tcPr>
            <w:tcW w:w="894" w:type="dxa"/>
            <w:vAlign w:val="center"/>
          </w:tcPr>
          <w:p w14:paraId="2C7656D0" w14:textId="77777777" w:rsidR="0020514D" w:rsidRPr="003A419B" w:rsidRDefault="0020514D" w:rsidP="006F692E">
            <w:pPr>
              <w:spacing w:after="40"/>
              <w:jc w:val="center"/>
              <w:cnfStyle w:val="000000100000" w:firstRow="0" w:lastRow="0" w:firstColumn="0" w:lastColumn="0" w:oddVBand="0" w:evenVBand="0" w:oddHBand="1" w:evenHBand="0" w:firstRowFirstColumn="0" w:firstRowLastColumn="0" w:lastRowFirstColumn="0" w:lastRowLastColumn="0"/>
              <w:rPr>
                <w:lang w:eastAsia="zh-CN" w:bidi="th-TH"/>
              </w:rPr>
            </w:pPr>
          </w:p>
        </w:tc>
        <w:tc>
          <w:tcPr>
            <w:tcW w:w="895" w:type="dxa"/>
            <w:vAlign w:val="center"/>
          </w:tcPr>
          <w:p w14:paraId="52ED43DA" w14:textId="77777777" w:rsidR="0020514D" w:rsidRPr="003A419B" w:rsidRDefault="0020514D" w:rsidP="006F692E">
            <w:pPr>
              <w:spacing w:after="40"/>
              <w:jc w:val="center"/>
              <w:cnfStyle w:val="000000100000" w:firstRow="0" w:lastRow="0" w:firstColumn="0" w:lastColumn="0" w:oddVBand="0" w:evenVBand="0" w:oddHBand="1" w:evenHBand="0" w:firstRowFirstColumn="0" w:firstRowLastColumn="0" w:lastRowFirstColumn="0" w:lastRowLastColumn="0"/>
              <w:rPr>
                <w:lang w:eastAsia="zh-CN" w:bidi="th-TH"/>
              </w:rPr>
            </w:pPr>
          </w:p>
        </w:tc>
      </w:tr>
      <w:tr w:rsidR="0020514D" w:rsidRPr="00E67A4C" w14:paraId="0F276D37" w14:textId="77777777" w:rsidTr="00267D40">
        <w:tc>
          <w:tcPr>
            <w:cnfStyle w:val="001000000000" w:firstRow="0" w:lastRow="0" w:firstColumn="1" w:lastColumn="0" w:oddVBand="0" w:evenVBand="0" w:oddHBand="0" w:evenHBand="0" w:firstRowFirstColumn="0" w:firstRowLastColumn="0" w:lastRowFirstColumn="0" w:lastRowLastColumn="0"/>
            <w:tcW w:w="4582" w:type="dxa"/>
          </w:tcPr>
          <w:p w14:paraId="7F60FF16" w14:textId="442BD4E8" w:rsidR="00267D40" w:rsidRPr="006F692E" w:rsidRDefault="00267D40" w:rsidP="006F692E">
            <w:pPr>
              <w:spacing w:after="40"/>
              <w:rPr>
                <w:b w:val="0"/>
                <w:bCs w:val="0"/>
                <w:lang w:eastAsia="zh-CN" w:bidi="th-TH"/>
              </w:rPr>
            </w:pPr>
            <w:r w:rsidRPr="003A419B">
              <w:rPr>
                <w:caps w:val="0"/>
                <w:lang w:eastAsia="zh-CN" w:bidi="th-TH"/>
              </w:rPr>
              <w:t>Convenience Stores</w:t>
            </w:r>
          </w:p>
        </w:tc>
        <w:tc>
          <w:tcPr>
            <w:tcW w:w="894" w:type="dxa"/>
            <w:vAlign w:val="center"/>
          </w:tcPr>
          <w:p w14:paraId="4726E5E7" w14:textId="77777777" w:rsidR="0020514D" w:rsidRPr="003A419B" w:rsidRDefault="0020514D" w:rsidP="006F692E">
            <w:pPr>
              <w:spacing w:after="40"/>
              <w:jc w:val="center"/>
              <w:cnfStyle w:val="000000000000" w:firstRow="0" w:lastRow="0" w:firstColumn="0" w:lastColumn="0" w:oddVBand="0" w:evenVBand="0" w:oddHBand="0" w:evenHBand="0" w:firstRowFirstColumn="0" w:firstRowLastColumn="0" w:lastRowFirstColumn="0" w:lastRowLastColumn="0"/>
              <w:rPr>
                <w:lang w:eastAsia="zh-CN" w:bidi="th-TH"/>
              </w:rPr>
            </w:pPr>
            <w:r w:rsidRPr="003A419B">
              <w:rPr>
                <w:lang w:eastAsia="zh-CN" w:bidi="th-TH"/>
              </w:rPr>
              <w:t>X</w:t>
            </w:r>
          </w:p>
        </w:tc>
        <w:tc>
          <w:tcPr>
            <w:tcW w:w="894" w:type="dxa"/>
            <w:vAlign w:val="center"/>
          </w:tcPr>
          <w:p w14:paraId="3A4EB2F3" w14:textId="77777777" w:rsidR="0020514D" w:rsidRPr="003A419B" w:rsidRDefault="0020514D" w:rsidP="006F692E">
            <w:pPr>
              <w:spacing w:after="40"/>
              <w:jc w:val="center"/>
              <w:cnfStyle w:val="000000000000" w:firstRow="0" w:lastRow="0" w:firstColumn="0" w:lastColumn="0" w:oddVBand="0" w:evenVBand="0" w:oddHBand="0" w:evenHBand="0" w:firstRowFirstColumn="0" w:firstRowLastColumn="0" w:lastRowFirstColumn="0" w:lastRowLastColumn="0"/>
              <w:rPr>
                <w:lang w:eastAsia="zh-CN" w:bidi="th-TH"/>
              </w:rPr>
            </w:pPr>
            <w:r w:rsidRPr="003A419B">
              <w:rPr>
                <w:lang w:eastAsia="zh-CN" w:bidi="th-TH"/>
              </w:rPr>
              <w:t>X</w:t>
            </w:r>
          </w:p>
        </w:tc>
        <w:tc>
          <w:tcPr>
            <w:tcW w:w="895" w:type="dxa"/>
            <w:vAlign w:val="center"/>
          </w:tcPr>
          <w:p w14:paraId="7833DA8F" w14:textId="77777777" w:rsidR="0020514D" w:rsidRPr="003A419B" w:rsidRDefault="0020514D" w:rsidP="006F692E">
            <w:pPr>
              <w:spacing w:after="40"/>
              <w:jc w:val="center"/>
              <w:cnfStyle w:val="000000000000" w:firstRow="0" w:lastRow="0" w:firstColumn="0" w:lastColumn="0" w:oddVBand="0" w:evenVBand="0" w:oddHBand="0" w:evenHBand="0" w:firstRowFirstColumn="0" w:firstRowLastColumn="0" w:lastRowFirstColumn="0" w:lastRowLastColumn="0"/>
              <w:rPr>
                <w:lang w:eastAsia="zh-CN" w:bidi="th-TH"/>
              </w:rPr>
            </w:pPr>
          </w:p>
        </w:tc>
        <w:tc>
          <w:tcPr>
            <w:tcW w:w="894" w:type="dxa"/>
            <w:vAlign w:val="center"/>
          </w:tcPr>
          <w:p w14:paraId="78548852" w14:textId="77777777" w:rsidR="0020514D" w:rsidRPr="003A419B" w:rsidRDefault="0020514D" w:rsidP="006F692E">
            <w:pPr>
              <w:spacing w:after="40"/>
              <w:jc w:val="center"/>
              <w:cnfStyle w:val="000000000000" w:firstRow="0" w:lastRow="0" w:firstColumn="0" w:lastColumn="0" w:oddVBand="0" w:evenVBand="0" w:oddHBand="0" w:evenHBand="0" w:firstRowFirstColumn="0" w:firstRowLastColumn="0" w:lastRowFirstColumn="0" w:lastRowLastColumn="0"/>
              <w:rPr>
                <w:lang w:eastAsia="zh-CN" w:bidi="th-TH"/>
              </w:rPr>
            </w:pPr>
            <w:r w:rsidRPr="003A419B">
              <w:rPr>
                <w:lang w:eastAsia="zh-CN" w:bidi="th-TH"/>
              </w:rPr>
              <w:t>X</w:t>
            </w:r>
          </w:p>
        </w:tc>
        <w:tc>
          <w:tcPr>
            <w:tcW w:w="895" w:type="dxa"/>
            <w:vAlign w:val="center"/>
          </w:tcPr>
          <w:p w14:paraId="5DFEB30A" w14:textId="77777777" w:rsidR="0020514D" w:rsidRPr="003A419B" w:rsidRDefault="0020514D" w:rsidP="006F692E">
            <w:pPr>
              <w:spacing w:after="40"/>
              <w:jc w:val="center"/>
              <w:cnfStyle w:val="000000000000" w:firstRow="0" w:lastRow="0" w:firstColumn="0" w:lastColumn="0" w:oddVBand="0" w:evenVBand="0" w:oddHBand="0" w:evenHBand="0" w:firstRowFirstColumn="0" w:firstRowLastColumn="0" w:lastRowFirstColumn="0" w:lastRowLastColumn="0"/>
              <w:rPr>
                <w:lang w:eastAsia="zh-CN" w:bidi="th-TH"/>
              </w:rPr>
            </w:pPr>
          </w:p>
        </w:tc>
      </w:tr>
      <w:tr w:rsidR="0020514D" w:rsidRPr="00E67A4C" w14:paraId="3B7A1AA1" w14:textId="77777777" w:rsidTr="00267D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2" w:type="dxa"/>
          </w:tcPr>
          <w:p w14:paraId="76957DA4" w14:textId="6D602538" w:rsidR="00267D40" w:rsidRPr="006F692E" w:rsidRDefault="00267D40" w:rsidP="006F692E">
            <w:pPr>
              <w:spacing w:after="40"/>
              <w:rPr>
                <w:b w:val="0"/>
                <w:bCs w:val="0"/>
                <w:lang w:eastAsia="zh-CN" w:bidi="th-TH"/>
              </w:rPr>
            </w:pPr>
            <w:r w:rsidRPr="003A419B">
              <w:rPr>
                <w:caps w:val="0"/>
                <w:lang w:eastAsia="zh-CN" w:bidi="th-TH"/>
              </w:rPr>
              <w:t>Service Stations</w:t>
            </w:r>
          </w:p>
        </w:tc>
        <w:tc>
          <w:tcPr>
            <w:tcW w:w="894" w:type="dxa"/>
            <w:vAlign w:val="center"/>
          </w:tcPr>
          <w:p w14:paraId="6001F24A" w14:textId="77777777" w:rsidR="0020514D" w:rsidRPr="003A419B" w:rsidRDefault="0020514D" w:rsidP="006F692E">
            <w:pPr>
              <w:spacing w:after="40"/>
              <w:jc w:val="center"/>
              <w:cnfStyle w:val="000000100000" w:firstRow="0" w:lastRow="0" w:firstColumn="0" w:lastColumn="0" w:oddVBand="0" w:evenVBand="0" w:oddHBand="1" w:evenHBand="0" w:firstRowFirstColumn="0" w:firstRowLastColumn="0" w:lastRowFirstColumn="0" w:lastRowLastColumn="0"/>
              <w:rPr>
                <w:lang w:eastAsia="zh-CN" w:bidi="th-TH"/>
              </w:rPr>
            </w:pPr>
            <w:r w:rsidRPr="003A419B">
              <w:rPr>
                <w:lang w:eastAsia="zh-CN" w:bidi="th-TH"/>
              </w:rPr>
              <w:t>X</w:t>
            </w:r>
          </w:p>
        </w:tc>
        <w:tc>
          <w:tcPr>
            <w:tcW w:w="894" w:type="dxa"/>
            <w:vAlign w:val="center"/>
          </w:tcPr>
          <w:p w14:paraId="45B8E882" w14:textId="77777777" w:rsidR="0020514D" w:rsidRPr="003A419B" w:rsidRDefault="0020514D" w:rsidP="006F692E">
            <w:pPr>
              <w:spacing w:after="40"/>
              <w:jc w:val="center"/>
              <w:cnfStyle w:val="000000100000" w:firstRow="0" w:lastRow="0" w:firstColumn="0" w:lastColumn="0" w:oddVBand="0" w:evenVBand="0" w:oddHBand="1" w:evenHBand="0" w:firstRowFirstColumn="0" w:firstRowLastColumn="0" w:lastRowFirstColumn="0" w:lastRowLastColumn="0"/>
              <w:rPr>
                <w:lang w:eastAsia="zh-CN" w:bidi="th-TH"/>
              </w:rPr>
            </w:pPr>
          </w:p>
        </w:tc>
        <w:tc>
          <w:tcPr>
            <w:tcW w:w="895" w:type="dxa"/>
            <w:vAlign w:val="center"/>
          </w:tcPr>
          <w:p w14:paraId="61BCA515" w14:textId="77777777" w:rsidR="0020514D" w:rsidRPr="003A419B" w:rsidRDefault="0020514D" w:rsidP="006F692E">
            <w:pPr>
              <w:spacing w:after="40"/>
              <w:jc w:val="center"/>
              <w:cnfStyle w:val="000000100000" w:firstRow="0" w:lastRow="0" w:firstColumn="0" w:lastColumn="0" w:oddVBand="0" w:evenVBand="0" w:oddHBand="1" w:evenHBand="0" w:firstRowFirstColumn="0" w:firstRowLastColumn="0" w:lastRowFirstColumn="0" w:lastRowLastColumn="0"/>
              <w:rPr>
                <w:lang w:eastAsia="zh-CN" w:bidi="th-TH"/>
              </w:rPr>
            </w:pPr>
          </w:p>
        </w:tc>
        <w:tc>
          <w:tcPr>
            <w:tcW w:w="894" w:type="dxa"/>
            <w:vAlign w:val="center"/>
          </w:tcPr>
          <w:p w14:paraId="1D15F903" w14:textId="77777777" w:rsidR="0020514D" w:rsidRPr="003A419B" w:rsidRDefault="0020514D" w:rsidP="006F692E">
            <w:pPr>
              <w:spacing w:after="40"/>
              <w:jc w:val="center"/>
              <w:cnfStyle w:val="000000100000" w:firstRow="0" w:lastRow="0" w:firstColumn="0" w:lastColumn="0" w:oddVBand="0" w:evenVBand="0" w:oddHBand="1" w:evenHBand="0" w:firstRowFirstColumn="0" w:firstRowLastColumn="0" w:lastRowFirstColumn="0" w:lastRowLastColumn="0"/>
              <w:rPr>
                <w:lang w:eastAsia="zh-CN" w:bidi="th-TH"/>
              </w:rPr>
            </w:pPr>
            <w:r w:rsidRPr="003A419B">
              <w:rPr>
                <w:lang w:eastAsia="zh-CN" w:bidi="th-TH"/>
              </w:rPr>
              <w:t>X</w:t>
            </w:r>
          </w:p>
        </w:tc>
        <w:tc>
          <w:tcPr>
            <w:tcW w:w="895" w:type="dxa"/>
            <w:vAlign w:val="center"/>
          </w:tcPr>
          <w:p w14:paraId="6EFEAE85" w14:textId="77777777" w:rsidR="0020514D" w:rsidRPr="003A419B" w:rsidRDefault="0020514D" w:rsidP="006F692E">
            <w:pPr>
              <w:spacing w:after="40"/>
              <w:jc w:val="center"/>
              <w:cnfStyle w:val="000000100000" w:firstRow="0" w:lastRow="0" w:firstColumn="0" w:lastColumn="0" w:oddVBand="0" w:evenVBand="0" w:oddHBand="1" w:evenHBand="0" w:firstRowFirstColumn="0" w:firstRowLastColumn="0" w:lastRowFirstColumn="0" w:lastRowLastColumn="0"/>
              <w:rPr>
                <w:lang w:eastAsia="zh-CN" w:bidi="th-TH"/>
              </w:rPr>
            </w:pPr>
            <w:r w:rsidRPr="003A419B">
              <w:rPr>
                <w:lang w:eastAsia="zh-CN" w:bidi="th-TH"/>
              </w:rPr>
              <w:t>X</w:t>
            </w:r>
          </w:p>
        </w:tc>
      </w:tr>
      <w:tr w:rsidR="0020514D" w:rsidRPr="00E67A4C" w14:paraId="42B9CD9F" w14:textId="77777777" w:rsidTr="00267D40">
        <w:tc>
          <w:tcPr>
            <w:cnfStyle w:val="001000000000" w:firstRow="0" w:lastRow="0" w:firstColumn="1" w:lastColumn="0" w:oddVBand="0" w:evenVBand="0" w:oddHBand="0" w:evenHBand="0" w:firstRowFirstColumn="0" w:firstRowLastColumn="0" w:lastRowFirstColumn="0" w:lastRowLastColumn="0"/>
            <w:tcW w:w="4582" w:type="dxa"/>
          </w:tcPr>
          <w:p w14:paraId="565C6522" w14:textId="0DDBFDBE" w:rsidR="00267D40" w:rsidRPr="006F692E" w:rsidRDefault="00267D40" w:rsidP="006F692E">
            <w:pPr>
              <w:spacing w:after="40"/>
              <w:rPr>
                <w:b w:val="0"/>
                <w:bCs w:val="0"/>
                <w:lang w:eastAsia="zh-CN" w:bidi="th-TH"/>
              </w:rPr>
            </w:pPr>
            <w:r w:rsidRPr="003A419B">
              <w:rPr>
                <w:caps w:val="0"/>
                <w:lang w:eastAsia="zh-CN" w:bidi="th-TH"/>
              </w:rPr>
              <w:t>Cinemas</w:t>
            </w:r>
          </w:p>
        </w:tc>
        <w:tc>
          <w:tcPr>
            <w:tcW w:w="894" w:type="dxa"/>
            <w:vAlign w:val="center"/>
          </w:tcPr>
          <w:p w14:paraId="31A0B09B" w14:textId="77777777" w:rsidR="0020514D" w:rsidRPr="003A419B" w:rsidRDefault="0020514D" w:rsidP="006F692E">
            <w:pPr>
              <w:spacing w:after="40"/>
              <w:jc w:val="center"/>
              <w:cnfStyle w:val="000000000000" w:firstRow="0" w:lastRow="0" w:firstColumn="0" w:lastColumn="0" w:oddVBand="0" w:evenVBand="0" w:oddHBand="0" w:evenHBand="0" w:firstRowFirstColumn="0" w:firstRowLastColumn="0" w:lastRowFirstColumn="0" w:lastRowLastColumn="0"/>
              <w:rPr>
                <w:lang w:eastAsia="zh-CN" w:bidi="th-TH"/>
              </w:rPr>
            </w:pPr>
          </w:p>
        </w:tc>
        <w:tc>
          <w:tcPr>
            <w:tcW w:w="894" w:type="dxa"/>
            <w:vAlign w:val="center"/>
          </w:tcPr>
          <w:p w14:paraId="7CA3E952" w14:textId="77777777" w:rsidR="0020514D" w:rsidRPr="003A419B" w:rsidRDefault="0020514D" w:rsidP="006F692E">
            <w:pPr>
              <w:spacing w:after="40"/>
              <w:jc w:val="center"/>
              <w:cnfStyle w:val="000000000000" w:firstRow="0" w:lastRow="0" w:firstColumn="0" w:lastColumn="0" w:oddVBand="0" w:evenVBand="0" w:oddHBand="0" w:evenHBand="0" w:firstRowFirstColumn="0" w:firstRowLastColumn="0" w:lastRowFirstColumn="0" w:lastRowLastColumn="0"/>
              <w:rPr>
                <w:lang w:eastAsia="zh-CN" w:bidi="th-TH"/>
              </w:rPr>
            </w:pPr>
          </w:p>
        </w:tc>
        <w:tc>
          <w:tcPr>
            <w:tcW w:w="895" w:type="dxa"/>
            <w:vAlign w:val="center"/>
          </w:tcPr>
          <w:p w14:paraId="373AE5C7" w14:textId="77777777" w:rsidR="0020514D" w:rsidRPr="003A419B" w:rsidRDefault="0020514D" w:rsidP="006F692E">
            <w:pPr>
              <w:spacing w:after="40"/>
              <w:jc w:val="center"/>
              <w:cnfStyle w:val="000000000000" w:firstRow="0" w:lastRow="0" w:firstColumn="0" w:lastColumn="0" w:oddVBand="0" w:evenVBand="0" w:oddHBand="0" w:evenHBand="0" w:firstRowFirstColumn="0" w:firstRowLastColumn="0" w:lastRowFirstColumn="0" w:lastRowLastColumn="0"/>
              <w:rPr>
                <w:lang w:eastAsia="zh-CN" w:bidi="th-TH"/>
              </w:rPr>
            </w:pPr>
          </w:p>
        </w:tc>
        <w:tc>
          <w:tcPr>
            <w:tcW w:w="894" w:type="dxa"/>
            <w:vAlign w:val="center"/>
          </w:tcPr>
          <w:p w14:paraId="698DC7DA" w14:textId="77777777" w:rsidR="0020514D" w:rsidRPr="003A419B" w:rsidRDefault="0020514D" w:rsidP="006F692E">
            <w:pPr>
              <w:spacing w:after="40"/>
              <w:jc w:val="center"/>
              <w:cnfStyle w:val="000000000000" w:firstRow="0" w:lastRow="0" w:firstColumn="0" w:lastColumn="0" w:oddVBand="0" w:evenVBand="0" w:oddHBand="0" w:evenHBand="0" w:firstRowFirstColumn="0" w:firstRowLastColumn="0" w:lastRowFirstColumn="0" w:lastRowLastColumn="0"/>
              <w:rPr>
                <w:lang w:eastAsia="zh-CN" w:bidi="th-TH"/>
              </w:rPr>
            </w:pPr>
            <w:r w:rsidRPr="003A419B">
              <w:rPr>
                <w:lang w:eastAsia="zh-CN" w:bidi="th-TH"/>
              </w:rPr>
              <w:t>X</w:t>
            </w:r>
          </w:p>
        </w:tc>
        <w:tc>
          <w:tcPr>
            <w:tcW w:w="895" w:type="dxa"/>
            <w:vAlign w:val="center"/>
          </w:tcPr>
          <w:p w14:paraId="7F38D7C0" w14:textId="77777777" w:rsidR="0020514D" w:rsidRPr="003A419B" w:rsidRDefault="0020514D" w:rsidP="006F692E">
            <w:pPr>
              <w:spacing w:after="40"/>
              <w:jc w:val="center"/>
              <w:cnfStyle w:val="000000000000" w:firstRow="0" w:lastRow="0" w:firstColumn="0" w:lastColumn="0" w:oddVBand="0" w:evenVBand="0" w:oddHBand="0" w:evenHBand="0" w:firstRowFirstColumn="0" w:firstRowLastColumn="0" w:lastRowFirstColumn="0" w:lastRowLastColumn="0"/>
              <w:rPr>
                <w:lang w:eastAsia="zh-CN" w:bidi="th-TH"/>
              </w:rPr>
            </w:pPr>
            <w:r w:rsidRPr="003A419B">
              <w:rPr>
                <w:lang w:eastAsia="zh-CN" w:bidi="th-TH"/>
              </w:rPr>
              <w:t>X</w:t>
            </w:r>
          </w:p>
        </w:tc>
      </w:tr>
      <w:tr w:rsidR="0020514D" w:rsidRPr="00E67A4C" w14:paraId="162FB79F" w14:textId="77777777" w:rsidTr="00267D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2" w:type="dxa"/>
          </w:tcPr>
          <w:p w14:paraId="6D1223C0" w14:textId="1F213B1B" w:rsidR="00267D40" w:rsidRPr="006F692E" w:rsidRDefault="00267D40" w:rsidP="006F692E">
            <w:pPr>
              <w:spacing w:after="40"/>
              <w:rPr>
                <w:b w:val="0"/>
                <w:bCs w:val="0"/>
                <w:lang w:eastAsia="zh-CN" w:bidi="th-TH"/>
              </w:rPr>
            </w:pPr>
            <w:r w:rsidRPr="003A419B">
              <w:rPr>
                <w:caps w:val="0"/>
                <w:lang w:eastAsia="zh-CN" w:bidi="th-TH"/>
              </w:rPr>
              <w:t>Dine-In Restaurants</w:t>
            </w:r>
          </w:p>
        </w:tc>
        <w:tc>
          <w:tcPr>
            <w:tcW w:w="894" w:type="dxa"/>
            <w:vAlign w:val="center"/>
          </w:tcPr>
          <w:p w14:paraId="6BF27887" w14:textId="77777777" w:rsidR="0020514D" w:rsidRPr="003A419B" w:rsidRDefault="0020514D" w:rsidP="006F692E">
            <w:pPr>
              <w:spacing w:after="40"/>
              <w:jc w:val="center"/>
              <w:cnfStyle w:val="000000100000" w:firstRow="0" w:lastRow="0" w:firstColumn="0" w:lastColumn="0" w:oddVBand="0" w:evenVBand="0" w:oddHBand="1" w:evenHBand="0" w:firstRowFirstColumn="0" w:firstRowLastColumn="0" w:lastRowFirstColumn="0" w:lastRowLastColumn="0"/>
              <w:rPr>
                <w:lang w:eastAsia="zh-CN" w:bidi="th-TH"/>
              </w:rPr>
            </w:pPr>
            <w:r w:rsidRPr="003A419B">
              <w:rPr>
                <w:lang w:eastAsia="zh-CN" w:bidi="th-TH"/>
              </w:rPr>
              <w:t>X</w:t>
            </w:r>
          </w:p>
        </w:tc>
        <w:tc>
          <w:tcPr>
            <w:tcW w:w="894" w:type="dxa"/>
            <w:vAlign w:val="center"/>
          </w:tcPr>
          <w:p w14:paraId="5006D5F1" w14:textId="77777777" w:rsidR="0020514D" w:rsidRPr="003A419B" w:rsidRDefault="0020514D" w:rsidP="006F692E">
            <w:pPr>
              <w:spacing w:after="40"/>
              <w:jc w:val="center"/>
              <w:cnfStyle w:val="000000100000" w:firstRow="0" w:lastRow="0" w:firstColumn="0" w:lastColumn="0" w:oddVBand="0" w:evenVBand="0" w:oddHBand="1" w:evenHBand="0" w:firstRowFirstColumn="0" w:firstRowLastColumn="0" w:lastRowFirstColumn="0" w:lastRowLastColumn="0"/>
              <w:rPr>
                <w:lang w:eastAsia="zh-CN" w:bidi="th-TH"/>
              </w:rPr>
            </w:pPr>
            <w:r w:rsidRPr="003A419B">
              <w:rPr>
                <w:lang w:eastAsia="zh-CN" w:bidi="th-TH"/>
              </w:rPr>
              <w:t>X</w:t>
            </w:r>
          </w:p>
        </w:tc>
        <w:tc>
          <w:tcPr>
            <w:tcW w:w="895" w:type="dxa"/>
            <w:vAlign w:val="center"/>
          </w:tcPr>
          <w:p w14:paraId="314A64FB" w14:textId="77777777" w:rsidR="0020514D" w:rsidRPr="003A419B" w:rsidRDefault="0020514D" w:rsidP="006F692E">
            <w:pPr>
              <w:spacing w:after="40"/>
              <w:jc w:val="center"/>
              <w:cnfStyle w:val="000000100000" w:firstRow="0" w:lastRow="0" w:firstColumn="0" w:lastColumn="0" w:oddVBand="0" w:evenVBand="0" w:oddHBand="1" w:evenHBand="0" w:firstRowFirstColumn="0" w:firstRowLastColumn="0" w:lastRowFirstColumn="0" w:lastRowLastColumn="0"/>
              <w:rPr>
                <w:lang w:eastAsia="zh-CN" w:bidi="th-TH"/>
              </w:rPr>
            </w:pPr>
          </w:p>
        </w:tc>
        <w:tc>
          <w:tcPr>
            <w:tcW w:w="894" w:type="dxa"/>
            <w:vAlign w:val="center"/>
          </w:tcPr>
          <w:p w14:paraId="0E10B047" w14:textId="77777777" w:rsidR="0020514D" w:rsidRPr="003A419B" w:rsidRDefault="0020514D" w:rsidP="006F692E">
            <w:pPr>
              <w:spacing w:after="40"/>
              <w:jc w:val="center"/>
              <w:cnfStyle w:val="000000100000" w:firstRow="0" w:lastRow="0" w:firstColumn="0" w:lastColumn="0" w:oddVBand="0" w:evenVBand="0" w:oddHBand="1" w:evenHBand="0" w:firstRowFirstColumn="0" w:firstRowLastColumn="0" w:lastRowFirstColumn="0" w:lastRowLastColumn="0"/>
              <w:rPr>
                <w:lang w:eastAsia="zh-CN" w:bidi="th-TH"/>
              </w:rPr>
            </w:pPr>
            <w:r w:rsidRPr="003A419B">
              <w:rPr>
                <w:lang w:eastAsia="zh-CN" w:bidi="th-TH"/>
              </w:rPr>
              <w:t>X</w:t>
            </w:r>
          </w:p>
        </w:tc>
        <w:tc>
          <w:tcPr>
            <w:tcW w:w="895" w:type="dxa"/>
            <w:vAlign w:val="center"/>
          </w:tcPr>
          <w:p w14:paraId="31474506" w14:textId="77777777" w:rsidR="0020514D" w:rsidRPr="003A419B" w:rsidRDefault="0020514D" w:rsidP="006F692E">
            <w:pPr>
              <w:spacing w:after="40"/>
              <w:jc w:val="center"/>
              <w:cnfStyle w:val="000000100000" w:firstRow="0" w:lastRow="0" w:firstColumn="0" w:lastColumn="0" w:oddVBand="0" w:evenVBand="0" w:oddHBand="1" w:evenHBand="0" w:firstRowFirstColumn="0" w:firstRowLastColumn="0" w:lastRowFirstColumn="0" w:lastRowLastColumn="0"/>
              <w:rPr>
                <w:lang w:eastAsia="zh-CN" w:bidi="th-TH"/>
              </w:rPr>
            </w:pPr>
          </w:p>
        </w:tc>
      </w:tr>
      <w:tr w:rsidR="0020514D" w:rsidRPr="00E67A4C" w14:paraId="571AE108" w14:textId="77777777" w:rsidTr="00267D40">
        <w:tc>
          <w:tcPr>
            <w:cnfStyle w:val="001000000000" w:firstRow="0" w:lastRow="0" w:firstColumn="1" w:lastColumn="0" w:oddVBand="0" w:evenVBand="0" w:oddHBand="0" w:evenHBand="0" w:firstRowFirstColumn="0" w:firstRowLastColumn="0" w:lastRowFirstColumn="0" w:lastRowLastColumn="0"/>
            <w:tcW w:w="4582" w:type="dxa"/>
          </w:tcPr>
          <w:p w14:paraId="3FA40A54" w14:textId="69729BBF" w:rsidR="00267D40" w:rsidRPr="006F692E" w:rsidRDefault="00267D40" w:rsidP="006F692E">
            <w:pPr>
              <w:spacing w:after="40"/>
              <w:rPr>
                <w:b w:val="0"/>
                <w:bCs w:val="0"/>
                <w:lang w:eastAsia="zh-CN" w:bidi="th-TH"/>
              </w:rPr>
            </w:pPr>
            <w:r w:rsidRPr="003A419B">
              <w:rPr>
                <w:caps w:val="0"/>
                <w:lang w:eastAsia="zh-CN" w:bidi="th-TH"/>
              </w:rPr>
              <w:t>Mobile Vendors</w:t>
            </w:r>
          </w:p>
        </w:tc>
        <w:tc>
          <w:tcPr>
            <w:tcW w:w="894" w:type="dxa"/>
            <w:vAlign w:val="center"/>
          </w:tcPr>
          <w:p w14:paraId="132D21DE" w14:textId="77777777" w:rsidR="0020514D" w:rsidRPr="003A419B" w:rsidRDefault="0020514D" w:rsidP="006F692E">
            <w:pPr>
              <w:spacing w:after="40"/>
              <w:jc w:val="center"/>
              <w:cnfStyle w:val="000000000000" w:firstRow="0" w:lastRow="0" w:firstColumn="0" w:lastColumn="0" w:oddVBand="0" w:evenVBand="0" w:oddHBand="0" w:evenHBand="0" w:firstRowFirstColumn="0" w:firstRowLastColumn="0" w:lastRowFirstColumn="0" w:lastRowLastColumn="0"/>
              <w:rPr>
                <w:lang w:eastAsia="zh-CN" w:bidi="th-TH"/>
              </w:rPr>
            </w:pPr>
          </w:p>
        </w:tc>
        <w:tc>
          <w:tcPr>
            <w:tcW w:w="894" w:type="dxa"/>
            <w:vAlign w:val="center"/>
          </w:tcPr>
          <w:p w14:paraId="457903F6" w14:textId="77777777" w:rsidR="0020514D" w:rsidRPr="003A419B" w:rsidRDefault="0020514D" w:rsidP="006F692E">
            <w:pPr>
              <w:spacing w:after="40"/>
              <w:jc w:val="center"/>
              <w:cnfStyle w:val="000000000000" w:firstRow="0" w:lastRow="0" w:firstColumn="0" w:lastColumn="0" w:oddVBand="0" w:evenVBand="0" w:oddHBand="0" w:evenHBand="0" w:firstRowFirstColumn="0" w:firstRowLastColumn="0" w:lastRowFirstColumn="0" w:lastRowLastColumn="0"/>
              <w:rPr>
                <w:lang w:eastAsia="zh-CN" w:bidi="th-TH"/>
              </w:rPr>
            </w:pPr>
          </w:p>
        </w:tc>
        <w:tc>
          <w:tcPr>
            <w:tcW w:w="895" w:type="dxa"/>
            <w:vAlign w:val="center"/>
          </w:tcPr>
          <w:p w14:paraId="4E99C4B1" w14:textId="77777777" w:rsidR="0020514D" w:rsidRPr="003A419B" w:rsidRDefault="0020514D" w:rsidP="006F692E">
            <w:pPr>
              <w:spacing w:after="40"/>
              <w:jc w:val="center"/>
              <w:cnfStyle w:val="000000000000" w:firstRow="0" w:lastRow="0" w:firstColumn="0" w:lastColumn="0" w:oddVBand="0" w:evenVBand="0" w:oddHBand="0" w:evenHBand="0" w:firstRowFirstColumn="0" w:firstRowLastColumn="0" w:lastRowFirstColumn="0" w:lastRowLastColumn="0"/>
              <w:rPr>
                <w:lang w:eastAsia="zh-CN" w:bidi="th-TH"/>
              </w:rPr>
            </w:pPr>
          </w:p>
        </w:tc>
        <w:tc>
          <w:tcPr>
            <w:tcW w:w="894" w:type="dxa"/>
            <w:vAlign w:val="center"/>
          </w:tcPr>
          <w:p w14:paraId="7C1B8959" w14:textId="77777777" w:rsidR="0020514D" w:rsidRPr="003A419B" w:rsidRDefault="0020514D" w:rsidP="006F692E">
            <w:pPr>
              <w:spacing w:after="40"/>
              <w:jc w:val="center"/>
              <w:cnfStyle w:val="000000000000" w:firstRow="0" w:lastRow="0" w:firstColumn="0" w:lastColumn="0" w:oddVBand="0" w:evenVBand="0" w:oddHBand="0" w:evenHBand="0" w:firstRowFirstColumn="0" w:firstRowLastColumn="0" w:lastRowFirstColumn="0" w:lastRowLastColumn="0"/>
              <w:rPr>
                <w:lang w:eastAsia="zh-CN" w:bidi="th-TH"/>
              </w:rPr>
            </w:pPr>
            <w:r w:rsidRPr="003A419B">
              <w:rPr>
                <w:lang w:eastAsia="zh-CN" w:bidi="th-TH"/>
              </w:rPr>
              <w:t>X</w:t>
            </w:r>
          </w:p>
        </w:tc>
        <w:tc>
          <w:tcPr>
            <w:tcW w:w="895" w:type="dxa"/>
            <w:vAlign w:val="center"/>
          </w:tcPr>
          <w:p w14:paraId="47710D5F" w14:textId="77777777" w:rsidR="0020514D" w:rsidRPr="003A419B" w:rsidRDefault="0020514D" w:rsidP="006F692E">
            <w:pPr>
              <w:spacing w:after="40"/>
              <w:jc w:val="center"/>
              <w:cnfStyle w:val="000000000000" w:firstRow="0" w:lastRow="0" w:firstColumn="0" w:lastColumn="0" w:oddVBand="0" w:evenVBand="0" w:oddHBand="0" w:evenHBand="0" w:firstRowFirstColumn="0" w:firstRowLastColumn="0" w:lastRowFirstColumn="0" w:lastRowLastColumn="0"/>
              <w:rPr>
                <w:lang w:eastAsia="zh-CN" w:bidi="th-TH"/>
              </w:rPr>
            </w:pPr>
            <w:r w:rsidRPr="003A419B">
              <w:rPr>
                <w:lang w:eastAsia="zh-CN" w:bidi="th-TH"/>
              </w:rPr>
              <w:t>X</w:t>
            </w:r>
          </w:p>
        </w:tc>
      </w:tr>
      <w:tr w:rsidR="0020514D" w:rsidRPr="00E67A4C" w14:paraId="0E935FA5" w14:textId="77777777" w:rsidTr="00267D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2" w:type="dxa"/>
          </w:tcPr>
          <w:p w14:paraId="3D37E2D9" w14:textId="72670440" w:rsidR="00267D40" w:rsidRPr="006F692E" w:rsidRDefault="00267D40" w:rsidP="006F692E">
            <w:pPr>
              <w:spacing w:after="40"/>
              <w:rPr>
                <w:b w:val="0"/>
                <w:bCs w:val="0"/>
                <w:lang w:eastAsia="zh-CN" w:bidi="th-TH"/>
              </w:rPr>
            </w:pPr>
            <w:r w:rsidRPr="003A419B">
              <w:rPr>
                <w:caps w:val="0"/>
                <w:lang w:eastAsia="zh-CN" w:bidi="th-TH"/>
              </w:rPr>
              <w:t>Caterers</w:t>
            </w:r>
          </w:p>
        </w:tc>
        <w:tc>
          <w:tcPr>
            <w:tcW w:w="894" w:type="dxa"/>
            <w:vAlign w:val="center"/>
          </w:tcPr>
          <w:p w14:paraId="24066ABD" w14:textId="77777777" w:rsidR="0020514D" w:rsidRPr="003A419B" w:rsidRDefault="0020514D" w:rsidP="006F692E">
            <w:pPr>
              <w:spacing w:after="40"/>
              <w:jc w:val="center"/>
              <w:cnfStyle w:val="000000100000" w:firstRow="0" w:lastRow="0" w:firstColumn="0" w:lastColumn="0" w:oddVBand="0" w:evenVBand="0" w:oddHBand="1" w:evenHBand="0" w:firstRowFirstColumn="0" w:firstRowLastColumn="0" w:lastRowFirstColumn="0" w:lastRowLastColumn="0"/>
              <w:rPr>
                <w:lang w:eastAsia="zh-CN" w:bidi="th-TH"/>
              </w:rPr>
            </w:pPr>
            <w:r w:rsidRPr="003A419B">
              <w:rPr>
                <w:lang w:eastAsia="zh-CN" w:bidi="th-TH"/>
              </w:rPr>
              <w:t>X</w:t>
            </w:r>
          </w:p>
        </w:tc>
        <w:tc>
          <w:tcPr>
            <w:tcW w:w="894" w:type="dxa"/>
            <w:vAlign w:val="center"/>
          </w:tcPr>
          <w:p w14:paraId="25398836" w14:textId="77777777" w:rsidR="0020514D" w:rsidRPr="003A419B" w:rsidRDefault="0020514D" w:rsidP="006F692E">
            <w:pPr>
              <w:spacing w:after="40"/>
              <w:jc w:val="center"/>
              <w:cnfStyle w:val="000000100000" w:firstRow="0" w:lastRow="0" w:firstColumn="0" w:lastColumn="0" w:oddVBand="0" w:evenVBand="0" w:oddHBand="1" w:evenHBand="0" w:firstRowFirstColumn="0" w:firstRowLastColumn="0" w:lastRowFirstColumn="0" w:lastRowLastColumn="0"/>
              <w:rPr>
                <w:lang w:eastAsia="zh-CN" w:bidi="th-TH"/>
              </w:rPr>
            </w:pPr>
            <w:r w:rsidRPr="003A419B">
              <w:rPr>
                <w:lang w:eastAsia="zh-CN" w:bidi="th-TH"/>
              </w:rPr>
              <w:t>X</w:t>
            </w:r>
          </w:p>
        </w:tc>
        <w:tc>
          <w:tcPr>
            <w:tcW w:w="895" w:type="dxa"/>
            <w:vAlign w:val="center"/>
          </w:tcPr>
          <w:p w14:paraId="2B2B5842" w14:textId="77777777" w:rsidR="0020514D" w:rsidRPr="003A419B" w:rsidRDefault="0020514D" w:rsidP="006F692E">
            <w:pPr>
              <w:spacing w:after="40"/>
              <w:jc w:val="center"/>
              <w:cnfStyle w:val="000000100000" w:firstRow="0" w:lastRow="0" w:firstColumn="0" w:lastColumn="0" w:oddVBand="0" w:evenVBand="0" w:oddHBand="1" w:evenHBand="0" w:firstRowFirstColumn="0" w:firstRowLastColumn="0" w:lastRowFirstColumn="0" w:lastRowLastColumn="0"/>
              <w:rPr>
                <w:lang w:eastAsia="zh-CN" w:bidi="th-TH"/>
              </w:rPr>
            </w:pPr>
            <w:r w:rsidRPr="003A419B">
              <w:rPr>
                <w:lang w:eastAsia="zh-CN" w:bidi="th-TH"/>
              </w:rPr>
              <w:t>X</w:t>
            </w:r>
          </w:p>
        </w:tc>
        <w:tc>
          <w:tcPr>
            <w:tcW w:w="894" w:type="dxa"/>
            <w:vAlign w:val="center"/>
          </w:tcPr>
          <w:p w14:paraId="38E5B13F" w14:textId="77777777" w:rsidR="0020514D" w:rsidRPr="003A419B" w:rsidRDefault="0020514D" w:rsidP="006F692E">
            <w:pPr>
              <w:spacing w:after="40"/>
              <w:jc w:val="center"/>
              <w:cnfStyle w:val="000000100000" w:firstRow="0" w:lastRow="0" w:firstColumn="0" w:lastColumn="0" w:oddVBand="0" w:evenVBand="0" w:oddHBand="1" w:evenHBand="0" w:firstRowFirstColumn="0" w:firstRowLastColumn="0" w:lastRowFirstColumn="0" w:lastRowLastColumn="0"/>
              <w:rPr>
                <w:lang w:eastAsia="zh-CN" w:bidi="th-TH"/>
              </w:rPr>
            </w:pPr>
            <w:r w:rsidRPr="003A419B">
              <w:rPr>
                <w:lang w:eastAsia="zh-CN" w:bidi="th-TH"/>
              </w:rPr>
              <w:t>X</w:t>
            </w:r>
          </w:p>
        </w:tc>
        <w:tc>
          <w:tcPr>
            <w:tcW w:w="895" w:type="dxa"/>
            <w:vAlign w:val="center"/>
          </w:tcPr>
          <w:p w14:paraId="5ECD8C7C" w14:textId="3968B15D" w:rsidR="0020514D" w:rsidRPr="003A419B" w:rsidRDefault="005C2A0C" w:rsidP="006F692E">
            <w:pPr>
              <w:spacing w:after="40"/>
              <w:jc w:val="center"/>
              <w:cnfStyle w:val="000000100000" w:firstRow="0" w:lastRow="0" w:firstColumn="0" w:lastColumn="0" w:oddVBand="0" w:evenVBand="0" w:oddHBand="1" w:evenHBand="0" w:firstRowFirstColumn="0" w:firstRowLastColumn="0" w:lastRowFirstColumn="0" w:lastRowLastColumn="0"/>
              <w:rPr>
                <w:lang w:eastAsia="zh-CN" w:bidi="th-TH"/>
              </w:rPr>
            </w:pPr>
            <w:r w:rsidRPr="00A03C25">
              <w:rPr>
                <w:lang w:eastAsia="zh-CN" w:bidi="th-TH"/>
              </w:rPr>
              <w:t>X</w:t>
            </w:r>
          </w:p>
        </w:tc>
      </w:tr>
      <w:tr w:rsidR="0020514D" w:rsidRPr="00E67A4C" w14:paraId="04977ABB" w14:textId="77777777" w:rsidTr="00267D40">
        <w:tc>
          <w:tcPr>
            <w:cnfStyle w:val="001000000000" w:firstRow="0" w:lastRow="0" w:firstColumn="1" w:lastColumn="0" w:oddVBand="0" w:evenVBand="0" w:oddHBand="0" w:evenHBand="0" w:firstRowFirstColumn="0" w:firstRowLastColumn="0" w:lastRowFirstColumn="0" w:lastRowLastColumn="0"/>
            <w:tcW w:w="4582" w:type="dxa"/>
          </w:tcPr>
          <w:p w14:paraId="46C8F450" w14:textId="0D4F27D1" w:rsidR="00267D40" w:rsidRPr="006F692E" w:rsidRDefault="00267D40" w:rsidP="006F692E">
            <w:pPr>
              <w:spacing w:after="40"/>
              <w:rPr>
                <w:b w:val="0"/>
                <w:bCs w:val="0"/>
                <w:lang w:eastAsia="zh-CN" w:bidi="th-TH"/>
              </w:rPr>
            </w:pPr>
            <w:r w:rsidRPr="003A419B">
              <w:rPr>
                <w:caps w:val="0"/>
                <w:lang w:eastAsia="zh-CN" w:bidi="th-TH"/>
              </w:rPr>
              <w:t>Vending Machines</w:t>
            </w:r>
          </w:p>
        </w:tc>
        <w:tc>
          <w:tcPr>
            <w:tcW w:w="894" w:type="dxa"/>
            <w:vAlign w:val="center"/>
          </w:tcPr>
          <w:p w14:paraId="265183D2" w14:textId="77777777" w:rsidR="0020514D" w:rsidRPr="003A419B" w:rsidRDefault="0020514D" w:rsidP="006F692E">
            <w:pPr>
              <w:spacing w:after="40"/>
              <w:jc w:val="center"/>
              <w:cnfStyle w:val="000000000000" w:firstRow="0" w:lastRow="0" w:firstColumn="0" w:lastColumn="0" w:oddVBand="0" w:evenVBand="0" w:oddHBand="0" w:evenHBand="0" w:firstRowFirstColumn="0" w:firstRowLastColumn="0" w:lastRowFirstColumn="0" w:lastRowLastColumn="0"/>
              <w:rPr>
                <w:lang w:eastAsia="zh-CN" w:bidi="th-TH"/>
              </w:rPr>
            </w:pPr>
          </w:p>
        </w:tc>
        <w:tc>
          <w:tcPr>
            <w:tcW w:w="894" w:type="dxa"/>
            <w:vAlign w:val="center"/>
          </w:tcPr>
          <w:p w14:paraId="203AD234" w14:textId="77777777" w:rsidR="0020514D" w:rsidRPr="003A419B" w:rsidRDefault="0020514D" w:rsidP="006F692E">
            <w:pPr>
              <w:spacing w:after="40"/>
              <w:jc w:val="center"/>
              <w:cnfStyle w:val="000000000000" w:firstRow="0" w:lastRow="0" w:firstColumn="0" w:lastColumn="0" w:oddVBand="0" w:evenVBand="0" w:oddHBand="0" w:evenHBand="0" w:firstRowFirstColumn="0" w:firstRowLastColumn="0" w:lastRowFirstColumn="0" w:lastRowLastColumn="0"/>
              <w:rPr>
                <w:lang w:eastAsia="zh-CN" w:bidi="th-TH"/>
              </w:rPr>
            </w:pPr>
          </w:p>
        </w:tc>
        <w:tc>
          <w:tcPr>
            <w:tcW w:w="895" w:type="dxa"/>
            <w:vAlign w:val="center"/>
          </w:tcPr>
          <w:p w14:paraId="0B9ED03D" w14:textId="77777777" w:rsidR="0020514D" w:rsidRPr="003A419B" w:rsidRDefault="0020514D" w:rsidP="006F692E">
            <w:pPr>
              <w:spacing w:after="40"/>
              <w:jc w:val="center"/>
              <w:cnfStyle w:val="000000000000" w:firstRow="0" w:lastRow="0" w:firstColumn="0" w:lastColumn="0" w:oddVBand="0" w:evenVBand="0" w:oddHBand="0" w:evenHBand="0" w:firstRowFirstColumn="0" w:firstRowLastColumn="0" w:lastRowFirstColumn="0" w:lastRowLastColumn="0"/>
              <w:rPr>
                <w:lang w:eastAsia="zh-CN" w:bidi="th-TH"/>
              </w:rPr>
            </w:pPr>
          </w:p>
        </w:tc>
        <w:tc>
          <w:tcPr>
            <w:tcW w:w="894" w:type="dxa"/>
            <w:vAlign w:val="center"/>
          </w:tcPr>
          <w:p w14:paraId="66A7623D" w14:textId="77777777" w:rsidR="0020514D" w:rsidRPr="003A419B" w:rsidRDefault="0020514D" w:rsidP="006F692E">
            <w:pPr>
              <w:spacing w:after="40"/>
              <w:jc w:val="center"/>
              <w:cnfStyle w:val="000000000000" w:firstRow="0" w:lastRow="0" w:firstColumn="0" w:lastColumn="0" w:oddVBand="0" w:evenVBand="0" w:oddHBand="0" w:evenHBand="0" w:firstRowFirstColumn="0" w:firstRowLastColumn="0" w:lastRowFirstColumn="0" w:lastRowLastColumn="0"/>
              <w:rPr>
                <w:lang w:eastAsia="zh-CN" w:bidi="th-TH"/>
              </w:rPr>
            </w:pPr>
          </w:p>
        </w:tc>
        <w:tc>
          <w:tcPr>
            <w:tcW w:w="895" w:type="dxa"/>
            <w:vAlign w:val="center"/>
          </w:tcPr>
          <w:p w14:paraId="3E70B333" w14:textId="77777777" w:rsidR="0020514D" w:rsidRPr="003A419B" w:rsidRDefault="0020514D" w:rsidP="006F692E">
            <w:pPr>
              <w:spacing w:after="40"/>
              <w:jc w:val="center"/>
              <w:cnfStyle w:val="000000000000" w:firstRow="0" w:lastRow="0" w:firstColumn="0" w:lastColumn="0" w:oddVBand="0" w:evenVBand="0" w:oddHBand="0" w:evenHBand="0" w:firstRowFirstColumn="0" w:firstRowLastColumn="0" w:lastRowFirstColumn="0" w:lastRowLastColumn="0"/>
              <w:rPr>
                <w:lang w:eastAsia="zh-CN" w:bidi="th-TH"/>
              </w:rPr>
            </w:pPr>
            <w:r w:rsidRPr="003A419B">
              <w:rPr>
                <w:lang w:eastAsia="zh-CN" w:bidi="th-TH"/>
              </w:rPr>
              <w:t>X</w:t>
            </w:r>
          </w:p>
        </w:tc>
      </w:tr>
      <w:tr w:rsidR="0020514D" w:rsidRPr="00E67A4C" w14:paraId="1D6CD572" w14:textId="77777777" w:rsidTr="00267D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2" w:type="dxa"/>
          </w:tcPr>
          <w:p w14:paraId="424C0B2F" w14:textId="60DC58C9" w:rsidR="00267D40" w:rsidRPr="006F692E" w:rsidRDefault="00267D40" w:rsidP="006F692E">
            <w:pPr>
              <w:spacing w:after="40"/>
              <w:rPr>
                <w:b w:val="0"/>
                <w:bCs w:val="0"/>
                <w:lang w:eastAsia="zh-CN" w:bidi="th-TH"/>
              </w:rPr>
            </w:pPr>
            <w:r w:rsidRPr="003A419B">
              <w:rPr>
                <w:caps w:val="0"/>
                <w:lang w:eastAsia="zh-CN" w:bidi="th-TH"/>
              </w:rPr>
              <w:t>Temporary Food Premises</w:t>
            </w:r>
          </w:p>
        </w:tc>
        <w:tc>
          <w:tcPr>
            <w:tcW w:w="894" w:type="dxa"/>
            <w:vAlign w:val="center"/>
          </w:tcPr>
          <w:p w14:paraId="7A55ED33" w14:textId="77777777" w:rsidR="0020514D" w:rsidRPr="003A419B" w:rsidRDefault="0020514D" w:rsidP="006F692E">
            <w:pPr>
              <w:spacing w:after="40"/>
              <w:jc w:val="center"/>
              <w:cnfStyle w:val="000000100000" w:firstRow="0" w:lastRow="0" w:firstColumn="0" w:lastColumn="0" w:oddVBand="0" w:evenVBand="0" w:oddHBand="1" w:evenHBand="0" w:firstRowFirstColumn="0" w:firstRowLastColumn="0" w:lastRowFirstColumn="0" w:lastRowLastColumn="0"/>
              <w:rPr>
                <w:lang w:eastAsia="zh-CN" w:bidi="th-TH"/>
              </w:rPr>
            </w:pPr>
          </w:p>
        </w:tc>
        <w:tc>
          <w:tcPr>
            <w:tcW w:w="894" w:type="dxa"/>
            <w:vAlign w:val="center"/>
          </w:tcPr>
          <w:p w14:paraId="4D79C9A5" w14:textId="77777777" w:rsidR="0020514D" w:rsidRPr="003A419B" w:rsidRDefault="0020514D" w:rsidP="006F692E">
            <w:pPr>
              <w:spacing w:after="40"/>
              <w:jc w:val="center"/>
              <w:cnfStyle w:val="000000100000" w:firstRow="0" w:lastRow="0" w:firstColumn="0" w:lastColumn="0" w:oddVBand="0" w:evenVBand="0" w:oddHBand="1" w:evenHBand="0" w:firstRowFirstColumn="0" w:firstRowLastColumn="0" w:lastRowFirstColumn="0" w:lastRowLastColumn="0"/>
              <w:rPr>
                <w:lang w:eastAsia="zh-CN" w:bidi="th-TH"/>
              </w:rPr>
            </w:pPr>
          </w:p>
        </w:tc>
        <w:tc>
          <w:tcPr>
            <w:tcW w:w="895" w:type="dxa"/>
            <w:vAlign w:val="center"/>
          </w:tcPr>
          <w:p w14:paraId="54398C31" w14:textId="77777777" w:rsidR="0020514D" w:rsidRPr="003A419B" w:rsidRDefault="0020514D" w:rsidP="006F692E">
            <w:pPr>
              <w:spacing w:after="40"/>
              <w:jc w:val="center"/>
              <w:cnfStyle w:val="000000100000" w:firstRow="0" w:lastRow="0" w:firstColumn="0" w:lastColumn="0" w:oddVBand="0" w:evenVBand="0" w:oddHBand="1" w:evenHBand="0" w:firstRowFirstColumn="0" w:firstRowLastColumn="0" w:lastRowFirstColumn="0" w:lastRowLastColumn="0"/>
              <w:rPr>
                <w:lang w:eastAsia="zh-CN" w:bidi="th-TH"/>
              </w:rPr>
            </w:pPr>
          </w:p>
        </w:tc>
        <w:tc>
          <w:tcPr>
            <w:tcW w:w="894" w:type="dxa"/>
            <w:vAlign w:val="center"/>
          </w:tcPr>
          <w:p w14:paraId="3EC4180E" w14:textId="77777777" w:rsidR="0020514D" w:rsidRPr="003A419B" w:rsidRDefault="0020514D" w:rsidP="006F692E">
            <w:pPr>
              <w:spacing w:after="40"/>
              <w:jc w:val="center"/>
              <w:cnfStyle w:val="000000100000" w:firstRow="0" w:lastRow="0" w:firstColumn="0" w:lastColumn="0" w:oddVBand="0" w:evenVBand="0" w:oddHBand="1" w:evenHBand="0" w:firstRowFirstColumn="0" w:firstRowLastColumn="0" w:lastRowFirstColumn="0" w:lastRowLastColumn="0"/>
              <w:rPr>
                <w:lang w:eastAsia="zh-CN" w:bidi="th-TH"/>
              </w:rPr>
            </w:pPr>
          </w:p>
        </w:tc>
        <w:tc>
          <w:tcPr>
            <w:tcW w:w="895" w:type="dxa"/>
            <w:vAlign w:val="center"/>
          </w:tcPr>
          <w:p w14:paraId="03DBAC47" w14:textId="77777777" w:rsidR="0020514D" w:rsidRPr="003A419B" w:rsidRDefault="0020514D" w:rsidP="006F692E">
            <w:pPr>
              <w:spacing w:after="40"/>
              <w:jc w:val="center"/>
              <w:cnfStyle w:val="000000100000" w:firstRow="0" w:lastRow="0" w:firstColumn="0" w:lastColumn="0" w:oddVBand="0" w:evenVBand="0" w:oddHBand="1" w:evenHBand="0" w:firstRowFirstColumn="0" w:firstRowLastColumn="0" w:lastRowFirstColumn="0" w:lastRowLastColumn="0"/>
              <w:rPr>
                <w:lang w:eastAsia="zh-CN" w:bidi="th-TH"/>
              </w:rPr>
            </w:pPr>
            <w:r w:rsidRPr="003A419B">
              <w:rPr>
                <w:lang w:eastAsia="zh-CN" w:bidi="th-TH"/>
              </w:rPr>
              <w:t>X</w:t>
            </w:r>
          </w:p>
        </w:tc>
      </w:tr>
      <w:tr w:rsidR="0020514D" w:rsidRPr="00E67A4C" w14:paraId="16981294" w14:textId="77777777" w:rsidTr="00267D40">
        <w:tc>
          <w:tcPr>
            <w:cnfStyle w:val="001000000000" w:firstRow="0" w:lastRow="0" w:firstColumn="1" w:lastColumn="0" w:oddVBand="0" w:evenVBand="0" w:oddHBand="0" w:evenHBand="0" w:firstRowFirstColumn="0" w:firstRowLastColumn="0" w:lastRowFirstColumn="0" w:lastRowLastColumn="0"/>
            <w:tcW w:w="4582" w:type="dxa"/>
          </w:tcPr>
          <w:p w14:paraId="73452BFC" w14:textId="619848CC" w:rsidR="00267D40" w:rsidRPr="006F692E" w:rsidRDefault="00267D40" w:rsidP="006F692E">
            <w:pPr>
              <w:spacing w:after="40"/>
              <w:rPr>
                <w:b w:val="0"/>
                <w:bCs w:val="0"/>
                <w:lang w:eastAsia="zh-CN" w:bidi="th-TH"/>
              </w:rPr>
            </w:pPr>
            <w:r w:rsidRPr="003A419B">
              <w:rPr>
                <w:caps w:val="0"/>
                <w:lang w:eastAsia="zh-CN" w:bidi="th-TH"/>
              </w:rPr>
              <w:t>Not-For-Profit Home Delivery of Meals</w:t>
            </w:r>
          </w:p>
        </w:tc>
        <w:tc>
          <w:tcPr>
            <w:tcW w:w="894" w:type="dxa"/>
            <w:vAlign w:val="center"/>
          </w:tcPr>
          <w:p w14:paraId="3FB55DE1" w14:textId="77777777" w:rsidR="0020514D" w:rsidRPr="003A419B" w:rsidRDefault="0020514D" w:rsidP="006F692E">
            <w:pPr>
              <w:spacing w:after="40"/>
              <w:jc w:val="center"/>
              <w:cnfStyle w:val="000000000000" w:firstRow="0" w:lastRow="0" w:firstColumn="0" w:lastColumn="0" w:oddVBand="0" w:evenVBand="0" w:oddHBand="0" w:evenHBand="0" w:firstRowFirstColumn="0" w:firstRowLastColumn="0" w:lastRowFirstColumn="0" w:lastRowLastColumn="0"/>
              <w:rPr>
                <w:lang w:eastAsia="zh-CN" w:bidi="th-TH"/>
              </w:rPr>
            </w:pPr>
          </w:p>
        </w:tc>
        <w:tc>
          <w:tcPr>
            <w:tcW w:w="894" w:type="dxa"/>
            <w:vAlign w:val="center"/>
          </w:tcPr>
          <w:p w14:paraId="2BDF59FB" w14:textId="77777777" w:rsidR="0020514D" w:rsidRPr="003A419B" w:rsidRDefault="0020514D" w:rsidP="006F692E">
            <w:pPr>
              <w:spacing w:after="40"/>
              <w:jc w:val="center"/>
              <w:cnfStyle w:val="000000000000" w:firstRow="0" w:lastRow="0" w:firstColumn="0" w:lastColumn="0" w:oddVBand="0" w:evenVBand="0" w:oddHBand="0" w:evenHBand="0" w:firstRowFirstColumn="0" w:firstRowLastColumn="0" w:lastRowFirstColumn="0" w:lastRowLastColumn="0"/>
              <w:rPr>
                <w:lang w:eastAsia="zh-CN" w:bidi="th-TH"/>
              </w:rPr>
            </w:pPr>
            <w:r w:rsidRPr="003A419B">
              <w:rPr>
                <w:lang w:eastAsia="zh-CN" w:bidi="th-TH"/>
              </w:rPr>
              <w:t>X</w:t>
            </w:r>
          </w:p>
        </w:tc>
        <w:tc>
          <w:tcPr>
            <w:tcW w:w="895" w:type="dxa"/>
            <w:vAlign w:val="center"/>
          </w:tcPr>
          <w:p w14:paraId="328BB279" w14:textId="77777777" w:rsidR="0020514D" w:rsidRPr="003A419B" w:rsidRDefault="0020514D" w:rsidP="006F692E">
            <w:pPr>
              <w:spacing w:after="40"/>
              <w:jc w:val="center"/>
              <w:cnfStyle w:val="000000000000" w:firstRow="0" w:lastRow="0" w:firstColumn="0" w:lastColumn="0" w:oddVBand="0" w:evenVBand="0" w:oddHBand="0" w:evenHBand="0" w:firstRowFirstColumn="0" w:firstRowLastColumn="0" w:lastRowFirstColumn="0" w:lastRowLastColumn="0"/>
              <w:rPr>
                <w:lang w:eastAsia="zh-CN" w:bidi="th-TH"/>
              </w:rPr>
            </w:pPr>
            <w:r w:rsidRPr="003A419B">
              <w:rPr>
                <w:lang w:eastAsia="zh-CN" w:bidi="th-TH"/>
              </w:rPr>
              <w:t>X</w:t>
            </w:r>
          </w:p>
        </w:tc>
        <w:tc>
          <w:tcPr>
            <w:tcW w:w="894" w:type="dxa"/>
            <w:vAlign w:val="center"/>
          </w:tcPr>
          <w:p w14:paraId="344A9FF4" w14:textId="77777777" w:rsidR="0020514D" w:rsidRPr="003A419B" w:rsidRDefault="0020514D" w:rsidP="006F692E">
            <w:pPr>
              <w:spacing w:after="40"/>
              <w:jc w:val="center"/>
              <w:cnfStyle w:val="000000000000" w:firstRow="0" w:lastRow="0" w:firstColumn="0" w:lastColumn="0" w:oddVBand="0" w:evenVBand="0" w:oddHBand="0" w:evenHBand="0" w:firstRowFirstColumn="0" w:firstRowLastColumn="0" w:lastRowFirstColumn="0" w:lastRowLastColumn="0"/>
              <w:rPr>
                <w:lang w:eastAsia="zh-CN" w:bidi="th-TH"/>
              </w:rPr>
            </w:pPr>
            <w:r w:rsidRPr="003A419B">
              <w:rPr>
                <w:lang w:eastAsia="zh-CN" w:bidi="th-TH"/>
              </w:rPr>
              <w:t>X</w:t>
            </w:r>
          </w:p>
        </w:tc>
        <w:tc>
          <w:tcPr>
            <w:tcW w:w="895" w:type="dxa"/>
            <w:vAlign w:val="center"/>
          </w:tcPr>
          <w:p w14:paraId="2DE71EDF" w14:textId="77777777" w:rsidR="0020514D" w:rsidRPr="003A419B" w:rsidRDefault="0020514D" w:rsidP="006F692E">
            <w:pPr>
              <w:spacing w:after="40"/>
              <w:jc w:val="center"/>
              <w:cnfStyle w:val="000000000000" w:firstRow="0" w:lastRow="0" w:firstColumn="0" w:lastColumn="0" w:oddVBand="0" w:evenVBand="0" w:oddHBand="0" w:evenHBand="0" w:firstRowFirstColumn="0" w:firstRowLastColumn="0" w:lastRowFirstColumn="0" w:lastRowLastColumn="0"/>
              <w:rPr>
                <w:lang w:eastAsia="zh-CN" w:bidi="th-TH"/>
              </w:rPr>
            </w:pPr>
            <w:r w:rsidRPr="003A419B">
              <w:rPr>
                <w:lang w:eastAsia="zh-CN" w:bidi="th-TH"/>
              </w:rPr>
              <w:t>X</w:t>
            </w:r>
          </w:p>
        </w:tc>
      </w:tr>
      <w:tr w:rsidR="0020514D" w:rsidRPr="00E67A4C" w14:paraId="00CE1C35" w14:textId="77777777" w:rsidTr="00267D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2" w:type="dxa"/>
          </w:tcPr>
          <w:p w14:paraId="630D68C4" w14:textId="6FD56B91" w:rsidR="00267D40" w:rsidRPr="006F692E" w:rsidRDefault="00267D40" w:rsidP="006F692E">
            <w:pPr>
              <w:spacing w:after="40"/>
              <w:rPr>
                <w:b w:val="0"/>
                <w:bCs w:val="0"/>
                <w:lang w:eastAsia="zh-CN" w:bidi="th-TH"/>
              </w:rPr>
            </w:pPr>
            <w:r w:rsidRPr="003A419B">
              <w:rPr>
                <w:caps w:val="0"/>
                <w:lang w:eastAsia="zh-CN" w:bidi="th-TH"/>
              </w:rPr>
              <w:t>Health Care Facilities</w:t>
            </w:r>
          </w:p>
        </w:tc>
        <w:tc>
          <w:tcPr>
            <w:tcW w:w="894" w:type="dxa"/>
            <w:vAlign w:val="center"/>
          </w:tcPr>
          <w:p w14:paraId="14791F77" w14:textId="77777777" w:rsidR="0020514D" w:rsidRPr="003A419B" w:rsidRDefault="0020514D" w:rsidP="006F692E">
            <w:pPr>
              <w:spacing w:after="40"/>
              <w:jc w:val="center"/>
              <w:cnfStyle w:val="000000100000" w:firstRow="0" w:lastRow="0" w:firstColumn="0" w:lastColumn="0" w:oddVBand="0" w:evenVBand="0" w:oddHBand="1" w:evenHBand="0" w:firstRowFirstColumn="0" w:firstRowLastColumn="0" w:lastRowFirstColumn="0" w:lastRowLastColumn="0"/>
              <w:rPr>
                <w:lang w:eastAsia="zh-CN" w:bidi="th-TH"/>
              </w:rPr>
            </w:pPr>
            <w:r w:rsidRPr="003A419B">
              <w:rPr>
                <w:lang w:eastAsia="zh-CN" w:bidi="th-TH"/>
              </w:rPr>
              <w:t>X</w:t>
            </w:r>
          </w:p>
        </w:tc>
        <w:tc>
          <w:tcPr>
            <w:tcW w:w="894" w:type="dxa"/>
            <w:vAlign w:val="center"/>
          </w:tcPr>
          <w:p w14:paraId="05B8E02A" w14:textId="77777777" w:rsidR="0020514D" w:rsidRPr="003A419B" w:rsidRDefault="0020514D" w:rsidP="006F692E">
            <w:pPr>
              <w:spacing w:after="40"/>
              <w:jc w:val="center"/>
              <w:cnfStyle w:val="000000100000" w:firstRow="0" w:lastRow="0" w:firstColumn="0" w:lastColumn="0" w:oddVBand="0" w:evenVBand="0" w:oddHBand="1" w:evenHBand="0" w:firstRowFirstColumn="0" w:firstRowLastColumn="0" w:lastRowFirstColumn="0" w:lastRowLastColumn="0"/>
              <w:rPr>
                <w:lang w:eastAsia="zh-CN" w:bidi="th-TH"/>
              </w:rPr>
            </w:pPr>
          </w:p>
        </w:tc>
        <w:tc>
          <w:tcPr>
            <w:tcW w:w="895" w:type="dxa"/>
            <w:vAlign w:val="center"/>
          </w:tcPr>
          <w:p w14:paraId="207C6D1F" w14:textId="77777777" w:rsidR="0020514D" w:rsidRPr="003A419B" w:rsidRDefault="0020514D" w:rsidP="006F692E">
            <w:pPr>
              <w:spacing w:after="40"/>
              <w:jc w:val="center"/>
              <w:cnfStyle w:val="000000100000" w:firstRow="0" w:lastRow="0" w:firstColumn="0" w:lastColumn="0" w:oddVBand="0" w:evenVBand="0" w:oddHBand="1" w:evenHBand="0" w:firstRowFirstColumn="0" w:firstRowLastColumn="0" w:lastRowFirstColumn="0" w:lastRowLastColumn="0"/>
              <w:rPr>
                <w:lang w:eastAsia="zh-CN" w:bidi="th-TH"/>
              </w:rPr>
            </w:pPr>
            <w:r w:rsidRPr="003A419B">
              <w:rPr>
                <w:lang w:eastAsia="zh-CN" w:bidi="th-TH"/>
              </w:rPr>
              <w:t>X</w:t>
            </w:r>
          </w:p>
        </w:tc>
        <w:tc>
          <w:tcPr>
            <w:tcW w:w="894" w:type="dxa"/>
            <w:vAlign w:val="center"/>
          </w:tcPr>
          <w:p w14:paraId="60730B23" w14:textId="77777777" w:rsidR="0020514D" w:rsidRPr="003A419B" w:rsidRDefault="0020514D" w:rsidP="006F692E">
            <w:pPr>
              <w:spacing w:after="40"/>
              <w:jc w:val="center"/>
              <w:cnfStyle w:val="000000100000" w:firstRow="0" w:lastRow="0" w:firstColumn="0" w:lastColumn="0" w:oddVBand="0" w:evenVBand="0" w:oddHBand="1" w:evenHBand="0" w:firstRowFirstColumn="0" w:firstRowLastColumn="0" w:lastRowFirstColumn="0" w:lastRowLastColumn="0"/>
              <w:rPr>
                <w:lang w:eastAsia="zh-CN" w:bidi="th-TH"/>
              </w:rPr>
            </w:pPr>
            <w:r w:rsidRPr="003A419B">
              <w:rPr>
                <w:lang w:eastAsia="zh-CN" w:bidi="th-TH"/>
              </w:rPr>
              <w:t>X</w:t>
            </w:r>
          </w:p>
        </w:tc>
        <w:tc>
          <w:tcPr>
            <w:tcW w:w="895" w:type="dxa"/>
            <w:vAlign w:val="center"/>
          </w:tcPr>
          <w:p w14:paraId="387F257E" w14:textId="77777777" w:rsidR="0020514D" w:rsidRPr="003A419B" w:rsidRDefault="0020514D" w:rsidP="006F692E">
            <w:pPr>
              <w:spacing w:after="40"/>
              <w:jc w:val="center"/>
              <w:cnfStyle w:val="000000100000" w:firstRow="0" w:lastRow="0" w:firstColumn="0" w:lastColumn="0" w:oddVBand="0" w:evenVBand="0" w:oddHBand="1" w:evenHBand="0" w:firstRowFirstColumn="0" w:firstRowLastColumn="0" w:lastRowFirstColumn="0" w:lastRowLastColumn="0"/>
              <w:rPr>
                <w:lang w:eastAsia="zh-CN" w:bidi="th-TH"/>
              </w:rPr>
            </w:pPr>
          </w:p>
        </w:tc>
      </w:tr>
      <w:tr w:rsidR="0020514D" w:rsidRPr="00E67A4C" w14:paraId="4476E9F3" w14:textId="77777777" w:rsidTr="00267D40">
        <w:tc>
          <w:tcPr>
            <w:cnfStyle w:val="001000000000" w:firstRow="0" w:lastRow="0" w:firstColumn="1" w:lastColumn="0" w:oddVBand="0" w:evenVBand="0" w:oddHBand="0" w:evenHBand="0" w:firstRowFirstColumn="0" w:firstRowLastColumn="0" w:lastRowFirstColumn="0" w:lastRowLastColumn="0"/>
            <w:tcW w:w="4582" w:type="dxa"/>
          </w:tcPr>
          <w:p w14:paraId="7E1CD107" w14:textId="530A6BCB" w:rsidR="003A419B" w:rsidRPr="006F692E" w:rsidRDefault="00267D40" w:rsidP="006F692E">
            <w:pPr>
              <w:spacing w:after="40"/>
              <w:rPr>
                <w:b w:val="0"/>
                <w:bCs w:val="0"/>
                <w:lang w:eastAsia="zh-CN" w:bidi="th-TH"/>
              </w:rPr>
            </w:pPr>
            <w:r w:rsidRPr="003A419B">
              <w:rPr>
                <w:caps w:val="0"/>
                <w:lang w:eastAsia="zh-CN" w:bidi="th-TH"/>
              </w:rPr>
              <w:t>Aged Care Facilities, Hospices, Respite Care Facilities and Crisis Accommodation</w:t>
            </w:r>
          </w:p>
        </w:tc>
        <w:tc>
          <w:tcPr>
            <w:tcW w:w="894" w:type="dxa"/>
            <w:vAlign w:val="center"/>
          </w:tcPr>
          <w:p w14:paraId="328BE717" w14:textId="77777777" w:rsidR="0020514D" w:rsidRPr="003A419B" w:rsidRDefault="0020514D" w:rsidP="006F692E">
            <w:pPr>
              <w:spacing w:after="40"/>
              <w:jc w:val="center"/>
              <w:cnfStyle w:val="000000000000" w:firstRow="0" w:lastRow="0" w:firstColumn="0" w:lastColumn="0" w:oddVBand="0" w:evenVBand="0" w:oddHBand="0" w:evenHBand="0" w:firstRowFirstColumn="0" w:firstRowLastColumn="0" w:lastRowFirstColumn="0" w:lastRowLastColumn="0"/>
              <w:rPr>
                <w:lang w:eastAsia="zh-CN" w:bidi="th-TH"/>
              </w:rPr>
            </w:pPr>
          </w:p>
        </w:tc>
        <w:tc>
          <w:tcPr>
            <w:tcW w:w="894" w:type="dxa"/>
            <w:vAlign w:val="center"/>
          </w:tcPr>
          <w:p w14:paraId="3C2D31CD" w14:textId="77777777" w:rsidR="0020514D" w:rsidRPr="003A419B" w:rsidRDefault="0020514D" w:rsidP="006F692E">
            <w:pPr>
              <w:spacing w:after="40"/>
              <w:jc w:val="center"/>
              <w:cnfStyle w:val="000000000000" w:firstRow="0" w:lastRow="0" w:firstColumn="0" w:lastColumn="0" w:oddVBand="0" w:evenVBand="0" w:oddHBand="0" w:evenHBand="0" w:firstRowFirstColumn="0" w:firstRowLastColumn="0" w:lastRowFirstColumn="0" w:lastRowLastColumn="0"/>
              <w:rPr>
                <w:lang w:eastAsia="zh-CN" w:bidi="th-TH"/>
              </w:rPr>
            </w:pPr>
          </w:p>
        </w:tc>
        <w:tc>
          <w:tcPr>
            <w:tcW w:w="895" w:type="dxa"/>
            <w:vAlign w:val="center"/>
          </w:tcPr>
          <w:p w14:paraId="2CDC5426" w14:textId="77777777" w:rsidR="0020514D" w:rsidRPr="003A419B" w:rsidRDefault="0020514D" w:rsidP="006F692E">
            <w:pPr>
              <w:spacing w:after="40"/>
              <w:jc w:val="center"/>
              <w:cnfStyle w:val="000000000000" w:firstRow="0" w:lastRow="0" w:firstColumn="0" w:lastColumn="0" w:oddVBand="0" w:evenVBand="0" w:oddHBand="0" w:evenHBand="0" w:firstRowFirstColumn="0" w:firstRowLastColumn="0" w:lastRowFirstColumn="0" w:lastRowLastColumn="0"/>
              <w:rPr>
                <w:lang w:eastAsia="zh-CN" w:bidi="th-TH"/>
              </w:rPr>
            </w:pPr>
            <w:r w:rsidRPr="003A419B">
              <w:rPr>
                <w:lang w:eastAsia="zh-CN" w:bidi="th-TH"/>
              </w:rPr>
              <w:t>X</w:t>
            </w:r>
          </w:p>
        </w:tc>
        <w:tc>
          <w:tcPr>
            <w:tcW w:w="894" w:type="dxa"/>
            <w:vAlign w:val="center"/>
          </w:tcPr>
          <w:p w14:paraId="1B950502" w14:textId="77777777" w:rsidR="0020514D" w:rsidRPr="003A419B" w:rsidRDefault="0020514D" w:rsidP="006F692E">
            <w:pPr>
              <w:spacing w:after="40"/>
              <w:jc w:val="center"/>
              <w:cnfStyle w:val="000000000000" w:firstRow="0" w:lastRow="0" w:firstColumn="0" w:lastColumn="0" w:oddVBand="0" w:evenVBand="0" w:oddHBand="0" w:evenHBand="0" w:firstRowFirstColumn="0" w:firstRowLastColumn="0" w:lastRowFirstColumn="0" w:lastRowLastColumn="0"/>
              <w:rPr>
                <w:lang w:eastAsia="zh-CN" w:bidi="th-TH"/>
              </w:rPr>
            </w:pPr>
          </w:p>
        </w:tc>
        <w:tc>
          <w:tcPr>
            <w:tcW w:w="895" w:type="dxa"/>
            <w:vAlign w:val="center"/>
          </w:tcPr>
          <w:p w14:paraId="3EEDD0FA" w14:textId="77777777" w:rsidR="0020514D" w:rsidRPr="003A419B" w:rsidRDefault="0020514D" w:rsidP="006F692E">
            <w:pPr>
              <w:spacing w:after="40"/>
              <w:jc w:val="center"/>
              <w:cnfStyle w:val="000000000000" w:firstRow="0" w:lastRow="0" w:firstColumn="0" w:lastColumn="0" w:oddVBand="0" w:evenVBand="0" w:oddHBand="0" w:evenHBand="0" w:firstRowFirstColumn="0" w:firstRowLastColumn="0" w:lastRowFirstColumn="0" w:lastRowLastColumn="0"/>
              <w:rPr>
                <w:lang w:eastAsia="zh-CN" w:bidi="th-TH"/>
              </w:rPr>
            </w:pPr>
          </w:p>
        </w:tc>
      </w:tr>
      <w:tr w:rsidR="0020514D" w:rsidRPr="00E67A4C" w14:paraId="681C84BB" w14:textId="77777777" w:rsidTr="00267D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2" w:type="dxa"/>
          </w:tcPr>
          <w:p w14:paraId="20F9F508" w14:textId="41E861A9" w:rsidR="00267D40" w:rsidRPr="006F692E" w:rsidRDefault="00267D40" w:rsidP="006F692E">
            <w:pPr>
              <w:spacing w:after="40"/>
              <w:rPr>
                <w:b w:val="0"/>
                <w:bCs w:val="0"/>
                <w:lang w:eastAsia="zh-CN" w:bidi="th-TH"/>
              </w:rPr>
            </w:pPr>
            <w:r w:rsidRPr="003A419B">
              <w:rPr>
                <w:caps w:val="0"/>
                <w:lang w:eastAsia="zh-CN" w:bidi="th-TH"/>
              </w:rPr>
              <w:t>Not-For-Profit Food Businesses Operated by Schools, Sports Clubs, Workplace Social Clubs</w:t>
            </w:r>
          </w:p>
        </w:tc>
        <w:tc>
          <w:tcPr>
            <w:tcW w:w="894" w:type="dxa"/>
            <w:vAlign w:val="center"/>
          </w:tcPr>
          <w:p w14:paraId="303A0102" w14:textId="77777777" w:rsidR="0020514D" w:rsidRPr="003A419B" w:rsidRDefault="0020514D" w:rsidP="006F692E">
            <w:pPr>
              <w:spacing w:after="40"/>
              <w:jc w:val="center"/>
              <w:cnfStyle w:val="000000100000" w:firstRow="0" w:lastRow="0" w:firstColumn="0" w:lastColumn="0" w:oddVBand="0" w:evenVBand="0" w:oddHBand="1" w:evenHBand="0" w:firstRowFirstColumn="0" w:firstRowLastColumn="0" w:lastRowFirstColumn="0" w:lastRowLastColumn="0"/>
              <w:rPr>
                <w:lang w:eastAsia="zh-CN" w:bidi="th-TH"/>
              </w:rPr>
            </w:pPr>
          </w:p>
        </w:tc>
        <w:tc>
          <w:tcPr>
            <w:tcW w:w="894" w:type="dxa"/>
            <w:vAlign w:val="center"/>
          </w:tcPr>
          <w:p w14:paraId="3C45800B" w14:textId="77777777" w:rsidR="0020514D" w:rsidRPr="003A419B" w:rsidRDefault="0020514D" w:rsidP="006F692E">
            <w:pPr>
              <w:spacing w:after="40"/>
              <w:jc w:val="center"/>
              <w:cnfStyle w:val="000000100000" w:firstRow="0" w:lastRow="0" w:firstColumn="0" w:lastColumn="0" w:oddVBand="0" w:evenVBand="0" w:oddHBand="1" w:evenHBand="0" w:firstRowFirstColumn="0" w:firstRowLastColumn="0" w:lastRowFirstColumn="0" w:lastRowLastColumn="0"/>
              <w:rPr>
                <w:lang w:eastAsia="zh-CN" w:bidi="th-TH"/>
              </w:rPr>
            </w:pPr>
          </w:p>
        </w:tc>
        <w:tc>
          <w:tcPr>
            <w:tcW w:w="895" w:type="dxa"/>
            <w:vAlign w:val="center"/>
          </w:tcPr>
          <w:p w14:paraId="514E096D" w14:textId="77777777" w:rsidR="0020514D" w:rsidRPr="003A419B" w:rsidRDefault="0020514D" w:rsidP="006F692E">
            <w:pPr>
              <w:spacing w:after="40"/>
              <w:jc w:val="center"/>
              <w:cnfStyle w:val="000000100000" w:firstRow="0" w:lastRow="0" w:firstColumn="0" w:lastColumn="0" w:oddVBand="0" w:evenVBand="0" w:oddHBand="1" w:evenHBand="0" w:firstRowFirstColumn="0" w:firstRowLastColumn="0" w:lastRowFirstColumn="0" w:lastRowLastColumn="0"/>
              <w:rPr>
                <w:lang w:eastAsia="zh-CN" w:bidi="th-TH"/>
              </w:rPr>
            </w:pPr>
          </w:p>
        </w:tc>
        <w:tc>
          <w:tcPr>
            <w:tcW w:w="894" w:type="dxa"/>
            <w:vAlign w:val="center"/>
          </w:tcPr>
          <w:p w14:paraId="39CC75DC" w14:textId="77777777" w:rsidR="0020514D" w:rsidRPr="003A419B" w:rsidRDefault="0020514D" w:rsidP="006F692E">
            <w:pPr>
              <w:spacing w:after="40"/>
              <w:jc w:val="center"/>
              <w:cnfStyle w:val="000000100000" w:firstRow="0" w:lastRow="0" w:firstColumn="0" w:lastColumn="0" w:oddVBand="0" w:evenVBand="0" w:oddHBand="1" w:evenHBand="0" w:firstRowFirstColumn="0" w:firstRowLastColumn="0" w:lastRowFirstColumn="0" w:lastRowLastColumn="0"/>
              <w:rPr>
                <w:lang w:eastAsia="zh-CN" w:bidi="th-TH"/>
              </w:rPr>
            </w:pPr>
            <w:r w:rsidRPr="003A419B">
              <w:rPr>
                <w:lang w:eastAsia="zh-CN" w:bidi="th-TH"/>
              </w:rPr>
              <w:t>X</w:t>
            </w:r>
          </w:p>
        </w:tc>
        <w:tc>
          <w:tcPr>
            <w:tcW w:w="895" w:type="dxa"/>
            <w:vAlign w:val="center"/>
          </w:tcPr>
          <w:p w14:paraId="73D25BE6" w14:textId="77777777" w:rsidR="0020514D" w:rsidRPr="003A419B" w:rsidRDefault="0020514D" w:rsidP="006F692E">
            <w:pPr>
              <w:spacing w:after="40"/>
              <w:jc w:val="center"/>
              <w:cnfStyle w:val="000000100000" w:firstRow="0" w:lastRow="0" w:firstColumn="0" w:lastColumn="0" w:oddVBand="0" w:evenVBand="0" w:oddHBand="1" w:evenHBand="0" w:firstRowFirstColumn="0" w:firstRowLastColumn="0" w:lastRowFirstColumn="0" w:lastRowLastColumn="0"/>
              <w:rPr>
                <w:lang w:eastAsia="zh-CN" w:bidi="th-TH"/>
              </w:rPr>
            </w:pPr>
          </w:p>
        </w:tc>
      </w:tr>
      <w:tr w:rsidR="0020514D" w:rsidRPr="00E67A4C" w14:paraId="3A35DC66" w14:textId="77777777" w:rsidTr="00267D40">
        <w:tc>
          <w:tcPr>
            <w:cnfStyle w:val="001000000000" w:firstRow="0" w:lastRow="0" w:firstColumn="1" w:lastColumn="0" w:oddVBand="0" w:evenVBand="0" w:oddHBand="0" w:evenHBand="0" w:firstRowFirstColumn="0" w:firstRowLastColumn="0" w:lastRowFirstColumn="0" w:lastRowLastColumn="0"/>
            <w:tcW w:w="4582" w:type="dxa"/>
          </w:tcPr>
          <w:p w14:paraId="291CF5A4" w14:textId="57419DEF" w:rsidR="00267D40" w:rsidRPr="006F692E" w:rsidRDefault="00267D40" w:rsidP="006F692E">
            <w:pPr>
              <w:spacing w:after="40"/>
              <w:rPr>
                <w:b w:val="0"/>
                <w:bCs w:val="0"/>
                <w:lang w:eastAsia="zh-CN" w:bidi="th-TH"/>
              </w:rPr>
            </w:pPr>
            <w:r w:rsidRPr="003A419B">
              <w:rPr>
                <w:caps w:val="0"/>
                <w:lang w:eastAsia="zh-CN" w:bidi="th-TH"/>
              </w:rPr>
              <w:t>Charitable Organisations</w:t>
            </w:r>
          </w:p>
        </w:tc>
        <w:tc>
          <w:tcPr>
            <w:tcW w:w="894" w:type="dxa"/>
            <w:vAlign w:val="center"/>
          </w:tcPr>
          <w:p w14:paraId="57086A25" w14:textId="77777777" w:rsidR="0020514D" w:rsidRPr="003A419B" w:rsidRDefault="0020514D" w:rsidP="006F692E">
            <w:pPr>
              <w:spacing w:after="40"/>
              <w:jc w:val="center"/>
              <w:cnfStyle w:val="000000000000" w:firstRow="0" w:lastRow="0" w:firstColumn="0" w:lastColumn="0" w:oddVBand="0" w:evenVBand="0" w:oddHBand="0" w:evenHBand="0" w:firstRowFirstColumn="0" w:firstRowLastColumn="0" w:lastRowFirstColumn="0" w:lastRowLastColumn="0"/>
              <w:rPr>
                <w:lang w:eastAsia="zh-CN" w:bidi="th-TH"/>
              </w:rPr>
            </w:pPr>
          </w:p>
        </w:tc>
        <w:tc>
          <w:tcPr>
            <w:tcW w:w="894" w:type="dxa"/>
            <w:vAlign w:val="center"/>
          </w:tcPr>
          <w:p w14:paraId="78DCF7E9" w14:textId="77777777" w:rsidR="0020514D" w:rsidRPr="003A419B" w:rsidRDefault="0020514D" w:rsidP="006F692E">
            <w:pPr>
              <w:spacing w:after="40"/>
              <w:jc w:val="center"/>
              <w:cnfStyle w:val="000000000000" w:firstRow="0" w:lastRow="0" w:firstColumn="0" w:lastColumn="0" w:oddVBand="0" w:evenVBand="0" w:oddHBand="0" w:evenHBand="0" w:firstRowFirstColumn="0" w:firstRowLastColumn="0" w:lastRowFirstColumn="0" w:lastRowLastColumn="0"/>
              <w:rPr>
                <w:lang w:eastAsia="zh-CN" w:bidi="th-TH"/>
              </w:rPr>
            </w:pPr>
          </w:p>
        </w:tc>
        <w:tc>
          <w:tcPr>
            <w:tcW w:w="895" w:type="dxa"/>
            <w:vAlign w:val="center"/>
          </w:tcPr>
          <w:p w14:paraId="501FAA1E" w14:textId="77777777" w:rsidR="0020514D" w:rsidRPr="003A419B" w:rsidRDefault="0020514D" w:rsidP="006F692E">
            <w:pPr>
              <w:spacing w:after="40"/>
              <w:jc w:val="center"/>
              <w:cnfStyle w:val="000000000000" w:firstRow="0" w:lastRow="0" w:firstColumn="0" w:lastColumn="0" w:oddVBand="0" w:evenVBand="0" w:oddHBand="0" w:evenHBand="0" w:firstRowFirstColumn="0" w:firstRowLastColumn="0" w:lastRowFirstColumn="0" w:lastRowLastColumn="0"/>
              <w:rPr>
                <w:lang w:eastAsia="zh-CN" w:bidi="th-TH"/>
              </w:rPr>
            </w:pPr>
            <w:r w:rsidRPr="003A419B">
              <w:rPr>
                <w:lang w:eastAsia="zh-CN" w:bidi="th-TH"/>
              </w:rPr>
              <w:t>X</w:t>
            </w:r>
          </w:p>
        </w:tc>
        <w:tc>
          <w:tcPr>
            <w:tcW w:w="894" w:type="dxa"/>
            <w:vAlign w:val="center"/>
          </w:tcPr>
          <w:p w14:paraId="69CE2021" w14:textId="77777777" w:rsidR="0020514D" w:rsidRPr="003A419B" w:rsidRDefault="0020514D" w:rsidP="006F692E">
            <w:pPr>
              <w:spacing w:after="40"/>
              <w:jc w:val="center"/>
              <w:cnfStyle w:val="000000000000" w:firstRow="0" w:lastRow="0" w:firstColumn="0" w:lastColumn="0" w:oddVBand="0" w:evenVBand="0" w:oddHBand="0" w:evenHBand="0" w:firstRowFirstColumn="0" w:firstRowLastColumn="0" w:lastRowFirstColumn="0" w:lastRowLastColumn="0"/>
              <w:rPr>
                <w:lang w:eastAsia="zh-CN" w:bidi="th-TH"/>
              </w:rPr>
            </w:pPr>
          </w:p>
        </w:tc>
        <w:tc>
          <w:tcPr>
            <w:tcW w:w="895" w:type="dxa"/>
            <w:vAlign w:val="center"/>
          </w:tcPr>
          <w:p w14:paraId="23B38D06" w14:textId="77777777" w:rsidR="0020514D" w:rsidRPr="003A419B" w:rsidRDefault="0020514D" w:rsidP="006F692E">
            <w:pPr>
              <w:spacing w:after="40"/>
              <w:jc w:val="center"/>
              <w:cnfStyle w:val="000000000000" w:firstRow="0" w:lastRow="0" w:firstColumn="0" w:lastColumn="0" w:oddVBand="0" w:evenVBand="0" w:oddHBand="0" w:evenHBand="0" w:firstRowFirstColumn="0" w:firstRowLastColumn="0" w:lastRowFirstColumn="0" w:lastRowLastColumn="0"/>
              <w:rPr>
                <w:lang w:eastAsia="zh-CN" w:bidi="th-TH"/>
              </w:rPr>
            </w:pPr>
          </w:p>
        </w:tc>
      </w:tr>
      <w:tr w:rsidR="0020514D" w:rsidRPr="00E67A4C" w14:paraId="16521D32" w14:textId="77777777" w:rsidTr="00267D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2" w:type="dxa"/>
          </w:tcPr>
          <w:p w14:paraId="3F54F7E4" w14:textId="6ADB9610" w:rsidR="00267D40" w:rsidRPr="006F692E" w:rsidRDefault="00267D40" w:rsidP="006F692E">
            <w:pPr>
              <w:spacing w:after="40"/>
              <w:rPr>
                <w:b w:val="0"/>
                <w:bCs w:val="0"/>
                <w:lang w:eastAsia="zh-CN" w:bidi="th-TH"/>
              </w:rPr>
            </w:pPr>
            <w:r w:rsidRPr="003A419B">
              <w:rPr>
                <w:caps w:val="0"/>
                <w:lang w:eastAsia="zh-CN" w:bidi="th-TH"/>
              </w:rPr>
              <w:t>Schools and Childcare Centres</w:t>
            </w:r>
          </w:p>
        </w:tc>
        <w:tc>
          <w:tcPr>
            <w:tcW w:w="894" w:type="dxa"/>
            <w:vAlign w:val="center"/>
          </w:tcPr>
          <w:p w14:paraId="39B6C091" w14:textId="77777777" w:rsidR="0020514D" w:rsidRPr="003A419B" w:rsidRDefault="0020514D" w:rsidP="006F692E">
            <w:pPr>
              <w:spacing w:after="40"/>
              <w:jc w:val="center"/>
              <w:cnfStyle w:val="000000100000" w:firstRow="0" w:lastRow="0" w:firstColumn="0" w:lastColumn="0" w:oddVBand="0" w:evenVBand="0" w:oddHBand="1" w:evenHBand="0" w:firstRowFirstColumn="0" w:firstRowLastColumn="0" w:lastRowFirstColumn="0" w:lastRowLastColumn="0"/>
              <w:rPr>
                <w:lang w:eastAsia="zh-CN" w:bidi="th-TH"/>
              </w:rPr>
            </w:pPr>
          </w:p>
        </w:tc>
        <w:tc>
          <w:tcPr>
            <w:tcW w:w="894" w:type="dxa"/>
            <w:vAlign w:val="center"/>
          </w:tcPr>
          <w:p w14:paraId="3306533E" w14:textId="77777777" w:rsidR="0020514D" w:rsidRPr="003A419B" w:rsidRDefault="0020514D" w:rsidP="006F692E">
            <w:pPr>
              <w:spacing w:after="40"/>
              <w:jc w:val="center"/>
              <w:cnfStyle w:val="000000100000" w:firstRow="0" w:lastRow="0" w:firstColumn="0" w:lastColumn="0" w:oddVBand="0" w:evenVBand="0" w:oddHBand="1" w:evenHBand="0" w:firstRowFirstColumn="0" w:firstRowLastColumn="0" w:lastRowFirstColumn="0" w:lastRowLastColumn="0"/>
              <w:rPr>
                <w:lang w:eastAsia="zh-CN" w:bidi="th-TH"/>
              </w:rPr>
            </w:pPr>
          </w:p>
        </w:tc>
        <w:tc>
          <w:tcPr>
            <w:tcW w:w="895" w:type="dxa"/>
            <w:vAlign w:val="center"/>
          </w:tcPr>
          <w:p w14:paraId="14B43FD4" w14:textId="77777777" w:rsidR="0020514D" w:rsidRPr="003A419B" w:rsidRDefault="0020514D" w:rsidP="006F692E">
            <w:pPr>
              <w:spacing w:after="40"/>
              <w:jc w:val="center"/>
              <w:cnfStyle w:val="000000100000" w:firstRow="0" w:lastRow="0" w:firstColumn="0" w:lastColumn="0" w:oddVBand="0" w:evenVBand="0" w:oddHBand="1" w:evenHBand="0" w:firstRowFirstColumn="0" w:firstRowLastColumn="0" w:lastRowFirstColumn="0" w:lastRowLastColumn="0"/>
              <w:rPr>
                <w:lang w:eastAsia="zh-CN" w:bidi="th-TH"/>
              </w:rPr>
            </w:pPr>
            <w:r w:rsidRPr="003A419B">
              <w:rPr>
                <w:lang w:eastAsia="zh-CN" w:bidi="th-TH"/>
              </w:rPr>
              <w:t>X</w:t>
            </w:r>
          </w:p>
        </w:tc>
        <w:tc>
          <w:tcPr>
            <w:tcW w:w="894" w:type="dxa"/>
            <w:vAlign w:val="center"/>
          </w:tcPr>
          <w:p w14:paraId="6201545F" w14:textId="77777777" w:rsidR="0020514D" w:rsidRPr="003A419B" w:rsidRDefault="0020514D" w:rsidP="006F692E">
            <w:pPr>
              <w:spacing w:after="40"/>
              <w:jc w:val="center"/>
              <w:cnfStyle w:val="000000100000" w:firstRow="0" w:lastRow="0" w:firstColumn="0" w:lastColumn="0" w:oddVBand="0" w:evenVBand="0" w:oddHBand="1" w:evenHBand="0" w:firstRowFirstColumn="0" w:firstRowLastColumn="0" w:lastRowFirstColumn="0" w:lastRowLastColumn="0"/>
              <w:rPr>
                <w:lang w:eastAsia="zh-CN" w:bidi="th-TH"/>
              </w:rPr>
            </w:pPr>
          </w:p>
        </w:tc>
        <w:tc>
          <w:tcPr>
            <w:tcW w:w="895" w:type="dxa"/>
            <w:vAlign w:val="center"/>
          </w:tcPr>
          <w:p w14:paraId="680EAEBB" w14:textId="77777777" w:rsidR="0020514D" w:rsidRPr="003A419B" w:rsidRDefault="0020514D" w:rsidP="006F692E">
            <w:pPr>
              <w:spacing w:after="40"/>
              <w:jc w:val="center"/>
              <w:cnfStyle w:val="000000100000" w:firstRow="0" w:lastRow="0" w:firstColumn="0" w:lastColumn="0" w:oddVBand="0" w:evenVBand="0" w:oddHBand="1" w:evenHBand="0" w:firstRowFirstColumn="0" w:firstRowLastColumn="0" w:lastRowFirstColumn="0" w:lastRowLastColumn="0"/>
              <w:rPr>
                <w:lang w:eastAsia="zh-CN" w:bidi="th-TH"/>
              </w:rPr>
            </w:pPr>
          </w:p>
        </w:tc>
      </w:tr>
    </w:tbl>
    <w:p w14:paraId="36031F9D" w14:textId="77777777" w:rsidR="00277CD4" w:rsidRPr="00E67A4C" w:rsidRDefault="00277CD4" w:rsidP="00EA1E18">
      <w:pPr>
        <w:spacing w:after="40"/>
        <w:jc w:val="both"/>
        <w:rPr>
          <w:lang w:eastAsia="zh-CN" w:bidi="th-TH"/>
        </w:rPr>
      </w:pPr>
    </w:p>
    <w:p w14:paraId="3711A428" w14:textId="34CCCC47" w:rsidR="00897452" w:rsidRPr="00E67A4C" w:rsidRDefault="00897452" w:rsidP="00897452">
      <w:pPr>
        <w:spacing w:after="40"/>
        <w:jc w:val="both"/>
        <w:rPr>
          <w:lang w:eastAsia="zh-CN" w:bidi="th-TH"/>
        </w:rPr>
      </w:pPr>
      <w:r w:rsidRPr="00E67A4C">
        <w:rPr>
          <w:lang w:eastAsia="zh-CN" w:bidi="th-TH"/>
        </w:rPr>
        <w:lastRenderedPageBreak/>
        <w:t>There are also some differences with respect to how and when to display energy information, as well as some definitions</w:t>
      </w:r>
      <w:r w:rsidR="00087D01" w:rsidRPr="00E67A4C">
        <w:rPr>
          <w:lang w:eastAsia="zh-CN" w:bidi="th-TH"/>
        </w:rPr>
        <w:t>, including</w:t>
      </w:r>
      <w:r w:rsidRPr="00E67A4C">
        <w:rPr>
          <w:lang w:eastAsia="zh-CN" w:bidi="th-TH"/>
        </w:rPr>
        <w:t xml:space="preserve">: </w:t>
      </w:r>
    </w:p>
    <w:p w14:paraId="3AD3548B" w14:textId="2CA4A0EC" w:rsidR="00897452" w:rsidRPr="00E67A4C" w:rsidRDefault="004C17A3" w:rsidP="00F76FDC">
      <w:pPr>
        <w:pStyle w:val="ListParagraph"/>
        <w:numPr>
          <w:ilvl w:val="0"/>
          <w:numId w:val="3"/>
        </w:numPr>
        <w:spacing w:after="40"/>
        <w:jc w:val="both"/>
        <w:rPr>
          <w:lang w:eastAsia="zh-CN" w:bidi="th-TH"/>
        </w:rPr>
      </w:pPr>
      <w:r w:rsidRPr="00E67A4C">
        <w:rPr>
          <w:lang w:eastAsia="zh-CN" w:bidi="th-TH"/>
        </w:rPr>
        <w:t xml:space="preserve">only </w:t>
      </w:r>
      <w:r w:rsidR="00973F64" w:rsidRPr="00E67A4C">
        <w:rPr>
          <w:lang w:eastAsia="zh-CN" w:bidi="th-TH"/>
        </w:rPr>
        <w:t xml:space="preserve">Queensland </w:t>
      </w:r>
      <w:r w:rsidR="00897452" w:rsidRPr="00E67A4C">
        <w:rPr>
          <w:lang w:eastAsia="zh-CN" w:bidi="th-TH"/>
        </w:rPr>
        <w:t>has a requirement relating to font colour, in addition to font type and size</w:t>
      </w:r>
      <w:r w:rsidR="00F475D8" w:rsidRPr="00E67A4C">
        <w:rPr>
          <w:lang w:eastAsia="zh-CN" w:bidi="th-TH"/>
        </w:rPr>
        <w:t>;</w:t>
      </w:r>
    </w:p>
    <w:p w14:paraId="585F334F" w14:textId="3EF5C37E" w:rsidR="00897452" w:rsidRPr="00E67A4C" w:rsidRDefault="00973F64" w:rsidP="00F76FDC">
      <w:pPr>
        <w:pStyle w:val="ListParagraph"/>
        <w:numPr>
          <w:ilvl w:val="0"/>
          <w:numId w:val="3"/>
        </w:numPr>
        <w:spacing w:after="40"/>
        <w:jc w:val="both"/>
        <w:rPr>
          <w:lang w:eastAsia="zh-CN" w:bidi="th-TH"/>
        </w:rPr>
      </w:pPr>
      <w:r w:rsidRPr="00E67A4C">
        <w:t>Queensland</w:t>
      </w:r>
      <w:r w:rsidR="00897452" w:rsidRPr="00E67A4C">
        <w:t xml:space="preserve"> specifically legislates simultaneous display of kilojoules </w:t>
      </w:r>
      <w:r w:rsidR="006440E3" w:rsidRPr="00E67A4C">
        <w:t>with</w:t>
      </w:r>
      <w:r w:rsidR="00897452" w:rsidRPr="00E67A4C">
        <w:t xml:space="preserve"> name </w:t>
      </w:r>
      <w:r w:rsidR="006440E3" w:rsidRPr="00E67A4C">
        <w:t>or</w:t>
      </w:r>
      <w:r w:rsidR="00897452" w:rsidRPr="00E67A4C">
        <w:t xml:space="preserve"> price on menus (noting that some jurisdictions interpret their legislation to provide for this already); </w:t>
      </w:r>
    </w:p>
    <w:p w14:paraId="066600F1" w14:textId="5D89F388" w:rsidR="007342A7" w:rsidRPr="00E67A4C" w:rsidRDefault="007013DB" w:rsidP="00F76FDC">
      <w:pPr>
        <w:pStyle w:val="ListParagraph"/>
        <w:numPr>
          <w:ilvl w:val="0"/>
          <w:numId w:val="3"/>
        </w:numPr>
        <w:spacing w:after="40"/>
        <w:jc w:val="both"/>
        <w:rPr>
          <w:lang w:eastAsia="zh-CN" w:bidi="th-TH"/>
        </w:rPr>
      </w:pPr>
      <w:r w:rsidRPr="00E67A4C">
        <w:t xml:space="preserve">only </w:t>
      </w:r>
      <w:r w:rsidR="007342A7" w:rsidRPr="00E67A4C">
        <w:t xml:space="preserve">Australian Capital Territory does not exempt businesses from displaying energy information for menu items sold on a trial basis; </w:t>
      </w:r>
    </w:p>
    <w:p w14:paraId="5679F0FA" w14:textId="1C9A929D" w:rsidR="00897452" w:rsidRPr="00E67A4C" w:rsidRDefault="007013DB" w:rsidP="00F76FDC">
      <w:pPr>
        <w:pStyle w:val="ListParagraph"/>
        <w:numPr>
          <w:ilvl w:val="0"/>
          <w:numId w:val="3"/>
        </w:numPr>
        <w:spacing w:after="40"/>
        <w:jc w:val="both"/>
        <w:rPr>
          <w:lang w:eastAsia="zh-CN" w:bidi="th-TH"/>
        </w:rPr>
      </w:pPr>
      <w:r w:rsidRPr="00E67A4C">
        <w:t xml:space="preserve">only </w:t>
      </w:r>
      <w:r w:rsidR="00973F64" w:rsidRPr="00E67A4C">
        <w:t>Victoria</w:t>
      </w:r>
      <w:r w:rsidR="00897452" w:rsidRPr="00E67A4C">
        <w:t xml:space="preserve"> does not specify requirements for the voluntary display of </w:t>
      </w:r>
      <w:r w:rsidR="001A2494" w:rsidRPr="00E67A4C">
        <w:t>energy</w:t>
      </w:r>
      <w:r w:rsidR="00897452" w:rsidRPr="00E67A4C">
        <w:t xml:space="preserve"> information; </w:t>
      </w:r>
    </w:p>
    <w:p w14:paraId="3C1D09AE" w14:textId="6B711038" w:rsidR="00D0772D" w:rsidRPr="00E67A4C" w:rsidRDefault="001477DC" w:rsidP="00F76FDC">
      <w:pPr>
        <w:pStyle w:val="ListParagraph"/>
        <w:numPr>
          <w:ilvl w:val="0"/>
          <w:numId w:val="3"/>
        </w:numPr>
        <w:spacing w:after="40"/>
        <w:jc w:val="both"/>
        <w:rPr>
          <w:lang w:eastAsia="zh-CN" w:bidi="th-TH"/>
        </w:rPr>
      </w:pPr>
      <w:r w:rsidRPr="00E67A4C">
        <w:rPr>
          <w:lang w:eastAsia="zh-CN" w:bidi="th-TH"/>
        </w:rPr>
        <w:t>South Australia</w:t>
      </w:r>
      <w:r w:rsidR="001075A3" w:rsidRPr="00E67A4C">
        <w:rPr>
          <w:lang w:eastAsia="zh-CN" w:bidi="th-TH"/>
        </w:rPr>
        <w:t xml:space="preserve"> </w:t>
      </w:r>
      <w:r w:rsidR="009C644B" w:rsidRPr="00E67A4C">
        <w:rPr>
          <w:lang w:eastAsia="zh-CN" w:bidi="th-TH"/>
        </w:rPr>
        <w:t xml:space="preserve">uses the </w:t>
      </w:r>
      <w:r w:rsidR="00792A97" w:rsidRPr="00E67A4C">
        <w:rPr>
          <w:lang w:eastAsia="zh-CN" w:bidi="th-TH"/>
        </w:rPr>
        <w:t>term</w:t>
      </w:r>
      <w:r w:rsidR="006663C0" w:rsidRPr="00E67A4C">
        <w:rPr>
          <w:lang w:eastAsia="zh-CN" w:bidi="th-TH"/>
        </w:rPr>
        <w:t xml:space="preserve"> </w:t>
      </w:r>
      <w:r w:rsidR="00792A97" w:rsidRPr="00E67A4C">
        <w:rPr>
          <w:lang w:eastAsia="zh-CN" w:bidi="th-TH"/>
        </w:rPr>
        <w:t>‘</w:t>
      </w:r>
      <w:r w:rsidR="00F97528" w:rsidRPr="00E67A4C">
        <w:rPr>
          <w:lang w:eastAsia="zh-CN" w:bidi="th-TH"/>
        </w:rPr>
        <w:t>multiple-site businesses</w:t>
      </w:r>
      <w:r w:rsidR="00792A97" w:rsidRPr="00E67A4C">
        <w:rPr>
          <w:lang w:eastAsia="zh-CN" w:bidi="th-TH"/>
        </w:rPr>
        <w:t>’</w:t>
      </w:r>
      <w:r w:rsidR="006663C0" w:rsidRPr="00E67A4C">
        <w:rPr>
          <w:lang w:eastAsia="zh-CN" w:bidi="th-TH"/>
        </w:rPr>
        <w:t xml:space="preserve"> </w:t>
      </w:r>
      <w:r w:rsidR="009C644B" w:rsidRPr="00E67A4C">
        <w:rPr>
          <w:lang w:eastAsia="zh-CN" w:bidi="th-TH"/>
        </w:rPr>
        <w:t>(</w:t>
      </w:r>
      <w:r w:rsidR="00501B3D" w:rsidRPr="00E67A4C">
        <w:rPr>
          <w:lang w:eastAsia="zh-CN" w:bidi="th-TH"/>
        </w:rPr>
        <w:t>operat</w:t>
      </w:r>
      <w:r w:rsidR="00BB2040" w:rsidRPr="00E67A4C">
        <w:rPr>
          <w:lang w:eastAsia="zh-CN" w:bidi="th-TH"/>
        </w:rPr>
        <w:t>ing</w:t>
      </w:r>
      <w:r w:rsidR="00501B3D" w:rsidRPr="00E67A4C">
        <w:rPr>
          <w:lang w:eastAsia="zh-CN" w:bidi="th-TH"/>
        </w:rPr>
        <w:t xml:space="preserve"> at five or more </w:t>
      </w:r>
      <w:r w:rsidR="00217CDD" w:rsidRPr="00E67A4C">
        <w:rPr>
          <w:lang w:eastAsia="zh-CN" w:bidi="th-TH"/>
        </w:rPr>
        <w:t xml:space="preserve">separate </w:t>
      </w:r>
      <w:r w:rsidR="00501B3D" w:rsidRPr="00E67A4C">
        <w:rPr>
          <w:lang w:eastAsia="zh-CN" w:bidi="th-TH"/>
        </w:rPr>
        <w:t>locations</w:t>
      </w:r>
      <w:r w:rsidR="009C644B" w:rsidRPr="00E67A4C">
        <w:rPr>
          <w:lang w:eastAsia="zh-CN" w:bidi="th-TH"/>
        </w:rPr>
        <w:t>)</w:t>
      </w:r>
      <w:r w:rsidR="007D5B1C" w:rsidRPr="00E67A4C">
        <w:rPr>
          <w:lang w:eastAsia="zh-CN" w:bidi="th-TH"/>
        </w:rPr>
        <w:t xml:space="preserve">, </w:t>
      </w:r>
      <w:r w:rsidR="00A937B1" w:rsidRPr="00E67A4C">
        <w:rPr>
          <w:lang w:eastAsia="zh-CN" w:bidi="th-TH"/>
        </w:rPr>
        <w:t xml:space="preserve">Victoria uses the </w:t>
      </w:r>
      <w:r w:rsidR="00792A97" w:rsidRPr="00E67A4C">
        <w:rPr>
          <w:lang w:eastAsia="zh-CN" w:bidi="th-TH"/>
        </w:rPr>
        <w:t>term</w:t>
      </w:r>
      <w:r w:rsidR="00A937B1" w:rsidRPr="00E67A4C">
        <w:rPr>
          <w:lang w:eastAsia="zh-CN" w:bidi="th-TH"/>
        </w:rPr>
        <w:t xml:space="preserve"> </w:t>
      </w:r>
      <w:r w:rsidR="00792A97" w:rsidRPr="00E67A4C">
        <w:rPr>
          <w:lang w:eastAsia="zh-CN" w:bidi="th-TH"/>
        </w:rPr>
        <w:t>‘</w:t>
      </w:r>
      <w:r w:rsidR="00A937B1" w:rsidRPr="00E67A4C">
        <w:rPr>
          <w:lang w:eastAsia="zh-CN" w:bidi="th-TH"/>
        </w:rPr>
        <w:t xml:space="preserve">chain </w:t>
      </w:r>
      <w:r w:rsidR="009E2768" w:rsidRPr="00E67A4C">
        <w:rPr>
          <w:lang w:eastAsia="zh-CN" w:bidi="th-TH"/>
        </w:rPr>
        <w:t>food premises</w:t>
      </w:r>
      <w:r w:rsidR="00792A97" w:rsidRPr="00E67A4C">
        <w:rPr>
          <w:lang w:eastAsia="zh-CN" w:bidi="th-TH"/>
        </w:rPr>
        <w:t>’</w:t>
      </w:r>
      <w:r w:rsidR="00A937B1" w:rsidRPr="00E67A4C">
        <w:rPr>
          <w:lang w:eastAsia="zh-CN" w:bidi="th-TH"/>
        </w:rPr>
        <w:t xml:space="preserve">, and </w:t>
      </w:r>
      <w:r w:rsidR="00501B3D" w:rsidRPr="00E67A4C">
        <w:rPr>
          <w:lang w:eastAsia="zh-CN" w:bidi="th-TH"/>
        </w:rPr>
        <w:t>the</w:t>
      </w:r>
      <w:r w:rsidR="007D5B1C" w:rsidRPr="00E67A4C">
        <w:rPr>
          <w:lang w:eastAsia="zh-CN" w:bidi="th-TH"/>
        </w:rPr>
        <w:t xml:space="preserve"> other jurisdictions</w:t>
      </w:r>
      <w:r w:rsidR="00B61B38" w:rsidRPr="00E67A4C">
        <w:rPr>
          <w:lang w:eastAsia="zh-CN" w:bidi="th-TH"/>
        </w:rPr>
        <w:t xml:space="preserve"> </w:t>
      </w:r>
      <w:r w:rsidR="00A375B3" w:rsidRPr="00E67A4C">
        <w:rPr>
          <w:lang w:eastAsia="zh-CN" w:bidi="th-TH"/>
        </w:rPr>
        <w:t>use</w:t>
      </w:r>
      <w:r w:rsidR="000A60E1" w:rsidRPr="00E67A4C">
        <w:rPr>
          <w:lang w:eastAsia="zh-CN" w:bidi="th-TH"/>
        </w:rPr>
        <w:t xml:space="preserve"> </w:t>
      </w:r>
      <w:r w:rsidR="00A375B3" w:rsidRPr="00E67A4C">
        <w:rPr>
          <w:lang w:eastAsia="zh-CN" w:bidi="th-TH"/>
        </w:rPr>
        <w:t>‘</w:t>
      </w:r>
      <w:r w:rsidR="00B61B38" w:rsidRPr="00E67A4C">
        <w:rPr>
          <w:lang w:eastAsia="zh-CN" w:bidi="th-TH"/>
        </w:rPr>
        <w:t>standard food outlets</w:t>
      </w:r>
      <w:r w:rsidR="00A375B3" w:rsidRPr="00E67A4C">
        <w:rPr>
          <w:lang w:eastAsia="zh-CN" w:bidi="th-TH"/>
        </w:rPr>
        <w:t>’</w:t>
      </w:r>
      <w:r w:rsidR="000A60E1" w:rsidRPr="00E67A4C">
        <w:rPr>
          <w:lang w:eastAsia="zh-CN" w:bidi="th-TH"/>
        </w:rPr>
        <w:t xml:space="preserve"> </w:t>
      </w:r>
      <w:r w:rsidR="008144C7" w:rsidRPr="00E67A4C">
        <w:rPr>
          <w:lang w:eastAsia="zh-CN" w:bidi="th-TH"/>
        </w:rPr>
        <w:t xml:space="preserve">to </w:t>
      </w:r>
      <w:r w:rsidR="00113515" w:rsidRPr="00E67A4C">
        <w:rPr>
          <w:lang w:eastAsia="zh-CN" w:bidi="th-TH"/>
        </w:rPr>
        <w:t xml:space="preserve">include businesses selling at </w:t>
      </w:r>
      <w:r w:rsidR="00BB2040" w:rsidRPr="00E67A4C">
        <w:rPr>
          <w:lang w:eastAsia="zh-CN" w:bidi="th-TH"/>
        </w:rPr>
        <w:t xml:space="preserve">least one </w:t>
      </w:r>
      <w:r w:rsidR="00113515" w:rsidRPr="00E67A4C">
        <w:rPr>
          <w:lang w:eastAsia="zh-CN" w:bidi="th-TH"/>
        </w:rPr>
        <w:t xml:space="preserve">standard food </w:t>
      </w:r>
      <w:r w:rsidR="006C6B57" w:rsidRPr="00E67A4C">
        <w:rPr>
          <w:lang w:eastAsia="zh-CN" w:bidi="th-TH"/>
        </w:rPr>
        <w:t xml:space="preserve">item at </w:t>
      </w:r>
      <w:r w:rsidR="00217CDD" w:rsidRPr="00E67A4C">
        <w:rPr>
          <w:lang w:eastAsia="zh-CN" w:bidi="th-TH"/>
        </w:rPr>
        <w:t>other</w:t>
      </w:r>
      <w:r w:rsidR="006C6B57" w:rsidRPr="00E67A4C">
        <w:rPr>
          <w:lang w:eastAsia="zh-CN" w:bidi="th-TH"/>
        </w:rPr>
        <w:t xml:space="preserve"> premises</w:t>
      </w:r>
      <w:r w:rsidR="00243AFF" w:rsidRPr="00E67A4C">
        <w:rPr>
          <w:lang w:eastAsia="zh-CN" w:bidi="th-TH"/>
        </w:rPr>
        <w:t xml:space="preserve"> or as a chain</w:t>
      </w:r>
      <w:r w:rsidR="008144C7" w:rsidRPr="00E67A4C">
        <w:rPr>
          <w:lang w:eastAsia="zh-CN" w:bidi="th-TH"/>
        </w:rPr>
        <w:t xml:space="preserve"> (</w:t>
      </w:r>
      <w:r w:rsidR="00C03151" w:rsidRPr="00E67A4C">
        <w:rPr>
          <w:lang w:eastAsia="zh-CN" w:bidi="th-TH"/>
        </w:rPr>
        <w:t xml:space="preserve">including under franchise arrangements, </w:t>
      </w:r>
      <w:r w:rsidR="00B76666" w:rsidRPr="00E67A4C">
        <w:rPr>
          <w:lang w:eastAsia="zh-CN" w:bidi="th-TH"/>
        </w:rPr>
        <w:t>same trading name/brand,</w:t>
      </w:r>
      <w:r w:rsidR="00CC1AB9" w:rsidRPr="00E67A4C">
        <w:rPr>
          <w:lang w:eastAsia="zh-CN" w:bidi="th-TH"/>
        </w:rPr>
        <w:t xml:space="preserve"> common ownership/control)</w:t>
      </w:r>
      <w:r w:rsidR="00CD2A17" w:rsidRPr="00E67A4C">
        <w:rPr>
          <w:lang w:eastAsia="zh-CN" w:bidi="th-TH"/>
        </w:rPr>
        <w:t>;</w:t>
      </w:r>
      <w:r w:rsidR="007D5B1C" w:rsidRPr="00E67A4C">
        <w:rPr>
          <w:lang w:eastAsia="zh-CN" w:bidi="th-TH"/>
        </w:rPr>
        <w:t xml:space="preserve"> </w:t>
      </w:r>
      <w:r w:rsidR="00501B3D" w:rsidRPr="00E67A4C">
        <w:rPr>
          <w:lang w:eastAsia="zh-CN" w:bidi="th-TH"/>
        </w:rPr>
        <w:t xml:space="preserve">  </w:t>
      </w:r>
    </w:p>
    <w:p w14:paraId="1F1E79EB" w14:textId="1E5E5DBB" w:rsidR="00897452" w:rsidRPr="00E67A4C" w:rsidRDefault="000112F2" w:rsidP="00F76FDC">
      <w:pPr>
        <w:pStyle w:val="ListParagraph"/>
        <w:numPr>
          <w:ilvl w:val="0"/>
          <w:numId w:val="3"/>
        </w:numPr>
        <w:spacing w:after="40"/>
        <w:jc w:val="both"/>
        <w:rPr>
          <w:lang w:eastAsia="zh-CN" w:bidi="th-TH"/>
        </w:rPr>
      </w:pPr>
      <w:bookmarkStart w:id="28" w:name="_Hlk40430835"/>
      <w:r w:rsidRPr="00E67A4C">
        <w:t>New South Wales</w:t>
      </w:r>
      <w:r w:rsidR="00353618" w:rsidRPr="00E67A4C">
        <w:t xml:space="preserve"> and Victoria</w:t>
      </w:r>
      <w:r w:rsidR="00897452" w:rsidRPr="00E67A4C">
        <w:t xml:space="preserve"> include a retail floor space threshold (1000m</w:t>
      </w:r>
      <w:r w:rsidR="00897452" w:rsidRPr="00E67A4C">
        <w:rPr>
          <w:vertAlign w:val="superscript"/>
        </w:rPr>
        <w:t>2</w:t>
      </w:r>
      <w:r w:rsidR="00897452" w:rsidRPr="00E67A4C">
        <w:t xml:space="preserve">) in the definition of supermarkets, </w:t>
      </w:r>
      <w:r w:rsidR="00734DEF" w:rsidRPr="00E67A4C">
        <w:t>South Australia</w:t>
      </w:r>
      <w:r w:rsidR="005F4EC7" w:rsidRPr="00E67A4C">
        <w:t xml:space="preserve"> </w:t>
      </w:r>
      <w:r w:rsidR="00A937B1" w:rsidRPr="00E67A4C">
        <w:t xml:space="preserve">(noting supermarkets are exempt) </w:t>
      </w:r>
      <w:r w:rsidR="005F4EC7" w:rsidRPr="00E67A4C">
        <w:t xml:space="preserve">and </w:t>
      </w:r>
      <w:r w:rsidRPr="00E67A4C">
        <w:t>Australian Capital Territory</w:t>
      </w:r>
      <w:r w:rsidR="00897452" w:rsidRPr="00E67A4C">
        <w:t xml:space="preserve"> focus on</w:t>
      </w:r>
      <w:r w:rsidR="005F4EC7" w:rsidRPr="00E67A4C">
        <w:t>ly on the</w:t>
      </w:r>
      <w:r w:rsidR="00897452" w:rsidRPr="00E67A4C">
        <w:t xml:space="preserve"> products sold, and </w:t>
      </w:r>
      <w:r w:rsidR="00C72CBD" w:rsidRPr="00E67A4C">
        <w:t>Queensland</w:t>
      </w:r>
      <w:r w:rsidR="00897452" w:rsidRPr="00E67A4C">
        <w:t xml:space="preserve"> does not define supermarkets</w:t>
      </w:r>
      <w:r w:rsidR="002F7383">
        <w:t xml:space="preserve"> (but defines convenience stores as not being a supermarket)</w:t>
      </w:r>
      <w:r w:rsidR="00897452" w:rsidRPr="00E67A4C">
        <w:t>;</w:t>
      </w:r>
    </w:p>
    <w:bookmarkEnd w:id="28"/>
    <w:p w14:paraId="25D5885D" w14:textId="428360E1" w:rsidR="00F735A0" w:rsidRPr="00E67A4C" w:rsidRDefault="007013DB" w:rsidP="00F76FDC">
      <w:pPr>
        <w:pStyle w:val="ListParagraph"/>
        <w:numPr>
          <w:ilvl w:val="0"/>
          <w:numId w:val="3"/>
        </w:numPr>
        <w:spacing w:after="40"/>
        <w:jc w:val="both"/>
        <w:rPr>
          <w:lang w:eastAsia="zh-CN" w:bidi="th-TH"/>
        </w:rPr>
      </w:pPr>
      <w:r w:rsidRPr="00E67A4C">
        <w:t>o</w:t>
      </w:r>
      <w:r w:rsidR="009E7E9B" w:rsidRPr="00E67A4C">
        <w:t xml:space="preserve">nly </w:t>
      </w:r>
      <w:r w:rsidR="00817705" w:rsidRPr="00E67A4C">
        <w:t>Victoria</w:t>
      </w:r>
      <w:r w:rsidR="00F735A0" w:rsidRPr="00E67A4C">
        <w:t xml:space="preserve"> specifically exempts alcoholic beverages from the definition of a standard food item</w:t>
      </w:r>
      <w:r w:rsidR="00F02306" w:rsidRPr="00E67A4C">
        <w:t xml:space="preserve">; </w:t>
      </w:r>
      <w:r w:rsidR="00F22238" w:rsidRPr="00E67A4C">
        <w:t xml:space="preserve">and </w:t>
      </w:r>
    </w:p>
    <w:p w14:paraId="2B6DCB67" w14:textId="0509F046" w:rsidR="00F97C2E" w:rsidRPr="00E67A4C" w:rsidRDefault="00BE091B" w:rsidP="00F76FDC">
      <w:pPr>
        <w:pStyle w:val="ListParagraph"/>
        <w:numPr>
          <w:ilvl w:val="0"/>
          <w:numId w:val="3"/>
        </w:numPr>
        <w:spacing w:after="40"/>
        <w:jc w:val="both"/>
        <w:rPr>
          <w:lang w:eastAsia="zh-CN" w:bidi="th-TH"/>
        </w:rPr>
      </w:pPr>
      <w:r w:rsidRPr="00E67A4C">
        <w:t>only</w:t>
      </w:r>
      <w:r w:rsidR="00264BAC" w:rsidRPr="00E67A4C">
        <w:t xml:space="preserve"> Victoria</w:t>
      </w:r>
      <w:r w:rsidRPr="00E67A4C">
        <w:t xml:space="preserve"> </w:t>
      </w:r>
      <w:r w:rsidR="00A43E68">
        <w:t xml:space="preserve">specifically </w:t>
      </w:r>
      <w:r w:rsidRPr="00E67A4C">
        <w:t>allows</w:t>
      </w:r>
      <w:r w:rsidR="00264BAC" w:rsidRPr="00E67A4C">
        <w:t xml:space="preserve"> </w:t>
      </w:r>
      <w:r w:rsidRPr="00E67A4C">
        <w:t xml:space="preserve">the energy information for </w:t>
      </w:r>
      <w:r w:rsidR="00264BAC" w:rsidRPr="00E67A4C">
        <w:t>combination meals containing pre-packaged products</w:t>
      </w:r>
      <w:r w:rsidR="004C17A3" w:rsidRPr="00E67A4C">
        <w:t xml:space="preserve"> to not include the energy from any pre-packaged products</w:t>
      </w:r>
      <w:r w:rsidR="00F22238" w:rsidRPr="00E67A4C">
        <w:t>.</w:t>
      </w:r>
    </w:p>
    <w:p w14:paraId="6A8A5815" w14:textId="77777777" w:rsidR="00C80B05" w:rsidRPr="00E67A4C" w:rsidRDefault="00C80B05" w:rsidP="00C80B05">
      <w:pPr>
        <w:pStyle w:val="ListParagraph"/>
        <w:spacing w:after="40"/>
        <w:jc w:val="both"/>
        <w:rPr>
          <w:lang w:eastAsia="zh-CN" w:bidi="th-TH"/>
        </w:rPr>
      </w:pPr>
    </w:p>
    <w:p w14:paraId="5129375C" w14:textId="37FB8F61" w:rsidR="00E11753" w:rsidRDefault="00E11753" w:rsidP="00E11753">
      <w:pPr>
        <w:spacing w:after="40"/>
        <w:jc w:val="both"/>
        <w:rPr>
          <w:lang w:eastAsia="zh-CN" w:bidi="th-TH"/>
        </w:rPr>
      </w:pPr>
      <w:r w:rsidRPr="00E67A4C">
        <w:rPr>
          <w:lang w:eastAsia="zh-CN" w:bidi="th-TH"/>
        </w:rPr>
        <w:t>Although there is consistency in requirements among the four jurisdictions which capture supermarkets, the flexibility afforded to supermarkets in displaying energy information is not an element of the 2011 Principles. The state and territory regulations allow supermarkets to display energy information for standard food items differently to all other standard food outlets. Supermarkets are permitted to display energy information for standard food items as ‘per 100 grams’ on menus (including price labels/tags), while other businesses must display the information as the energy ‘per item’. Supermarkets are also permitted to display energy information in the same font size as the unit price, which is typically in smaller font than the price of the item.</w:t>
      </w:r>
      <w:r w:rsidR="00A43A22">
        <w:rPr>
          <w:lang w:eastAsia="zh-CN" w:bidi="th-TH"/>
        </w:rPr>
        <w:t xml:space="preserve"> </w:t>
      </w:r>
    </w:p>
    <w:p w14:paraId="6159E814" w14:textId="77777777" w:rsidR="00E11753" w:rsidRDefault="00E11753" w:rsidP="00380BDE">
      <w:pPr>
        <w:spacing w:after="40"/>
        <w:jc w:val="both"/>
        <w:rPr>
          <w:lang w:eastAsia="zh-CN" w:bidi="th-TH"/>
        </w:rPr>
      </w:pPr>
    </w:p>
    <w:p w14:paraId="0696754B" w14:textId="1ECEE28C" w:rsidR="0002011D" w:rsidRDefault="001820A9" w:rsidP="00AE01A1">
      <w:pPr>
        <w:spacing w:after="40"/>
        <w:jc w:val="both"/>
        <w:rPr>
          <w:lang w:eastAsia="zh-CN" w:bidi="th-TH"/>
        </w:rPr>
      </w:pPr>
      <w:r w:rsidRPr="00E67A4C">
        <w:rPr>
          <w:lang w:eastAsia="zh-CN" w:bidi="th-TH"/>
        </w:rPr>
        <w:t>The impact of the differences</w:t>
      </w:r>
      <w:r w:rsidR="00636CCC" w:rsidRPr="00E67A4C">
        <w:rPr>
          <w:lang w:eastAsia="zh-CN" w:bidi="th-TH"/>
        </w:rPr>
        <w:t xml:space="preserve"> between jurisdictions</w:t>
      </w:r>
      <w:r w:rsidRPr="00E67A4C">
        <w:rPr>
          <w:lang w:eastAsia="zh-CN" w:bidi="th-TH"/>
        </w:rPr>
        <w:t xml:space="preserve"> </w:t>
      </w:r>
      <w:r w:rsidR="00AA4AD1" w:rsidRPr="00E67A4C">
        <w:rPr>
          <w:lang w:eastAsia="zh-CN" w:bidi="th-TH"/>
        </w:rPr>
        <w:t xml:space="preserve">is likely to </w:t>
      </w:r>
      <w:r w:rsidRPr="00E67A4C">
        <w:rPr>
          <w:lang w:eastAsia="zh-CN" w:bidi="th-TH"/>
        </w:rPr>
        <w:t xml:space="preserve">be greatest on cross-border businesses </w:t>
      </w:r>
      <w:r w:rsidR="000755CB" w:rsidRPr="00E67A4C">
        <w:rPr>
          <w:lang w:eastAsia="zh-CN" w:bidi="th-TH"/>
        </w:rPr>
        <w:t xml:space="preserve">and </w:t>
      </w:r>
      <w:r w:rsidR="00AD064C" w:rsidRPr="00E67A4C">
        <w:rPr>
          <w:lang w:eastAsia="zh-CN" w:bidi="th-TH"/>
        </w:rPr>
        <w:t xml:space="preserve">parent companies with both </w:t>
      </w:r>
      <w:r w:rsidR="007C0803" w:rsidRPr="00E67A4C">
        <w:rPr>
          <w:lang w:eastAsia="zh-CN" w:bidi="th-TH"/>
        </w:rPr>
        <w:t>captured and exempt outlets</w:t>
      </w:r>
      <w:r w:rsidR="00D36A92" w:rsidRPr="00E67A4C">
        <w:rPr>
          <w:lang w:eastAsia="zh-CN" w:bidi="th-TH"/>
        </w:rPr>
        <w:t>, and/or outlets with different requirements</w:t>
      </w:r>
      <w:r w:rsidR="00A934A6" w:rsidRPr="00E67A4C">
        <w:rPr>
          <w:lang w:eastAsia="zh-CN" w:bidi="th-TH"/>
        </w:rPr>
        <w:t>, as</w:t>
      </w:r>
      <w:r w:rsidRPr="00E67A4C">
        <w:rPr>
          <w:lang w:eastAsia="zh-CN" w:bidi="th-TH"/>
        </w:rPr>
        <w:t xml:space="preserve"> </w:t>
      </w:r>
      <w:r w:rsidR="00A934A6" w:rsidRPr="00E67A4C">
        <w:rPr>
          <w:lang w:eastAsia="zh-CN" w:bidi="th-TH"/>
        </w:rPr>
        <w:t xml:space="preserve">they </w:t>
      </w:r>
      <w:r w:rsidRPr="00E67A4C">
        <w:rPr>
          <w:lang w:eastAsia="zh-CN" w:bidi="th-TH"/>
        </w:rPr>
        <w:t xml:space="preserve">may </w:t>
      </w:r>
      <w:r w:rsidR="00AA4AD1" w:rsidRPr="00E67A4C">
        <w:rPr>
          <w:lang w:eastAsia="zh-CN" w:bidi="th-TH"/>
        </w:rPr>
        <w:t>experience</w:t>
      </w:r>
      <w:r w:rsidRPr="00E67A4C">
        <w:rPr>
          <w:lang w:eastAsia="zh-CN" w:bidi="th-TH"/>
        </w:rPr>
        <w:t xml:space="preserve"> unnecessary </w:t>
      </w:r>
      <w:r w:rsidR="005D45E4" w:rsidRPr="00E67A4C">
        <w:rPr>
          <w:lang w:eastAsia="zh-CN" w:bidi="th-TH"/>
        </w:rPr>
        <w:t>complexit</w:t>
      </w:r>
      <w:r w:rsidR="00B32A92" w:rsidRPr="00E67A4C">
        <w:rPr>
          <w:lang w:eastAsia="zh-CN" w:bidi="th-TH"/>
        </w:rPr>
        <w:t>ies</w:t>
      </w:r>
      <w:r w:rsidR="009235A9" w:rsidRPr="00E67A4C">
        <w:rPr>
          <w:lang w:eastAsia="zh-CN" w:bidi="th-TH"/>
        </w:rPr>
        <w:t>, uncertainty</w:t>
      </w:r>
      <w:r w:rsidR="00C07B43" w:rsidRPr="00E67A4C">
        <w:rPr>
          <w:lang w:eastAsia="zh-CN" w:bidi="th-TH"/>
        </w:rPr>
        <w:t xml:space="preserve">, and </w:t>
      </w:r>
      <w:r w:rsidR="00BE5EDD" w:rsidRPr="00E67A4C">
        <w:rPr>
          <w:lang w:eastAsia="zh-CN" w:bidi="th-TH"/>
        </w:rPr>
        <w:t>increased costs and regulatory burden.</w:t>
      </w:r>
      <w:r w:rsidR="00EF45FE">
        <w:rPr>
          <w:lang w:eastAsia="zh-CN" w:bidi="th-TH"/>
        </w:rPr>
        <w:t xml:space="preserve"> </w:t>
      </w:r>
      <w:r w:rsidR="009A7572" w:rsidRPr="00E67A4C">
        <w:rPr>
          <w:lang w:eastAsia="zh-CN" w:bidi="th-TH"/>
        </w:rPr>
        <w:t xml:space="preserve">Some of these costs include interpretational/legal costs to review multiple legislative instruments; </w:t>
      </w:r>
      <w:r w:rsidR="00695BF3" w:rsidRPr="00E67A4C">
        <w:rPr>
          <w:lang w:eastAsia="zh-CN" w:bidi="th-TH"/>
        </w:rPr>
        <w:t xml:space="preserve">higher </w:t>
      </w:r>
      <w:r w:rsidR="009A7572" w:rsidRPr="00E67A4C">
        <w:rPr>
          <w:lang w:eastAsia="zh-CN" w:bidi="th-TH"/>
        </w:rPr>
        <w:t xml:space="preserve">costs to design </w:t>
      </w:r>
      <w:r w:rsidR="00695BF3" w:rsidRPr="00E67A4C">
        <w:rPr>
          <w:lang w:eastAsia="zh-CN" w:bidi="th-TH"/>
        </w:rPr>
        <w:t xml:space="preserve">different </w:t>
      </w:r>
      <w:r w:rsidR="009A7572" w:rsidRPr="00E67A4C">
        <w:rPr>
          <w:lang w:eastAsia="zh-CN" w:bidi="th-TH"/>
        </w:rPr>
        <w:t>menus</w:t>
      </w:r>
      <w:r w:rsidR="00695BF3" w:rsidRPr="00E67A4C">
        <w:rPr>
          <w:lang w:eastAsia="zh-CN" w:bidi="th-TH"/>
        </w:rPr>
        <w:t xml:space="preserve"> and train staff</w:t>
      </w:r>
      <w:r w:rsidR="009A7572" w:rsidRPr="00E67A4C">
        <w:rPr>
          <w:lang w:eastAsia="zh-CN" w:bidi="th-TH"/>
        </w:rPr>
        <w:t xml:space="preserve"> if implemented on a jurisdictional basis (rather than nationally)</w:t>
      </w:r>
      <w:r w:rsidR="00397A83">
        <w:rPr>
          <w:lang w:eastAsia="zh-CN" w:bidi="th-TH"/>
        </w:rPr>
        <w:t xml:space="preserve">; </w:t>
      </w:r>
      <w:r w:rsidR="00F93EB3">
        <w:rPr>
          <w:lang w:eastAsia="zh-CN" w:bidi="th-TH"/>
        </w:rPr>
        <w:t xml:space="preserve">and </w:t>
      </w:r>
      <w:r w:rsidR="00397A83">
        <w:rPr>
          <w:lang w:eastAsia="zh-CN" w:bidi="th-TH"/>
        </w:rPr>
        <w:t>additional time and resources to meet different requirements</w:t>
      </w:r>
      <w:r w:rsidR="00695BF3" w:rsidRPr="00E67A4C">
        <w:rPr>
          <w:lang w:eastAsia="zh-CN" w:bidi="th-TH"/>
        </w:rPr>
        <w:t xml:space="preserve">. </w:t>
      </w:r>
    </w:p>
    <w:p w14:paraId="0E5EFC77" w14:textId="77777777" w:rsidR="0002011D" w:rsidRDefault="0002011D" w:rsidP="00AE01A1">
      <w:pPr>
        <w:spacing w:after="40"/>
        <w:jc w:val="both"/>
        <w:rPr>
          <w:lang w:eastAsia="zh-CN" w:bidi="th-TH"/>
        </w:rPr>
      </w:pPr>
    </w:p>
    <w:p w14:paraId="085F93E8" w14:textId="5848CFCC" w:rsidR="00141D80" w:rsidRDefault="00F93EB3" w:rsidP="00380BDE">
      <w:pPr>
        <w:spacing w:after="40"/>
        <w:jc w:val="both"/>
        <w:rPr>
          <w:rFonts w:eastAsia="Calibri"/>
        </w:rPr>
      </w:pPr>
      <w:r>
        <w:rPr>
          <w:lang w:eastAsia="zh-CN" w:bidi="th-TH"/>
        </w:rPr>
        <w:t>Additionally, there may be some confusion about which legislation to follow</w:t>
      </w:r>
      <w:r w:rsidR="00C8779F">
        <w:rPr>
          <w:lang w:eastAsia="zh-CN" w:bidi="th-TH"/>
        </w:rPr>
        <w:t xml:space="preserve">. Some stakeholders in 2021, questioned whether </w:t>
      </w:r>
      <w:r w:rsidR="004F6F7A">
        <w:rPr>
          <w:lang w:eastAsia="zh-CN" w:bidi="th-TH"/>
        </w:rPr>
        <w:t xml:space="preserve">businesses </w:t>
      </w:r>
      <w:r w:rsidR="00AE2BB9">
        <w:rPr>
          <w:lang w:eastAsia="zh-CN" w:bidi="th-TH"/>
        </w:rPr>
        <w:t xml:space="preserve">should </w:t>
      </w:r>
      <w:r w:rsidR="004F6F7A">
        <w:rPr>
          <w:lang w:eastAsia="zh-CN" w:bidi="th-TH"/>
        </w:rPr>
        <w:t xml:space="preserve">follow </w:t>
      </w:r>
      <w:r w:rsidR="00C37ABA">
        <w:rPr>
          <w:lang w:eastAsia="zh-CN" w:bidi="th-TH"/>
        </w:rPr>
        <w:t xml:space="preserve">menu labelling requirements </w:t>
      </w:r>
      <w:r>
        <w:rPr>
          <w:lang w:eastAsia="zh-CN" w:bidi="th-TH"/>
        </w:rPr>
        <w:t xml:space="preserve">based on where </w:t>
      </w:r>
      <w:r w:rsidR="004F6F7A">
        <w:rPr>
          <w:lang w:eastAsia="zh-CN" w:bidi="th-TH"/>
        </w:rPr>
        <w:t xml:space="preserve">its </w:t>
      </w:r>
      <w:r w:rsidR="00A43A22">
        <w:rPr>
          <w:lang w:eastAsia="zh-CN" w:bidi="th-TH"/>
        </w:rPr>
        <w:t xml:space="preserve">head office is located, or the </w:t>
      </w:r>
      <w:r w:rsidR="004F6F7A">
        <w:rPr>
          <w:lang w:eastAsia="zh-CN" w:bidi="th-TH"/>
        </w:rPr>
        <w:t xml:space="preserve">jurisdiction </w:t>
      </w:r>
      <w:r w:rsidR="00A43A22">
        <w:rPr>
          <w:lang w:eastAsia="zh-CN" w:bidi="th-TH"/>
        </w:rPr>
        <w:t xml:space="preserve">with the strictest </w:t>
      </w:r>
      <w:r w:rsidR="004F6F7A">
        <w:rPr>
          <w:lang w:eastAsia="zh-CN" w:bidi="th-TH"/>
        </w:rPr>
        <w:t xml:space="preserve">legislative </w:t>
      </w:r>
      <w:r w:rsidR="00A43A22">
        <w:rPr>
          <w:lang w:eastAsia="zh-CN" w:bidi="th-TH"/>
        </w:rPr>
        <w:t>requirements.</w:t>
      </w:r>
      <w:r>
        <w:rPr>
          <w:lang w:eastAsia="zh-CN" w:bidi="th-TH"/>
        </w:rPr>
        <w:t xml:space="preserve"> </w:t>
      </w:r>
      <w:r w:rsidR="00AE01A1">
        <w:rPr>
          <w:lang w:eastAsia="zh-CN" w:bidi="th-TH"/>
        </w:rPr>
        <w:t>There is also some confusion within the grocery sector, about which businesses are in or out-of-scope of the existing legislation</w:t>
      </w:r>
      <w:r w:rsidR="0002011D">
        <w:rPr>
          <w:lang w:eastAsia="zh-CN" w:bidi="th-TH"/>
        </w:rPr>
        <w:t>,</w:t>
      </w:r>
      <w:r w:rsidR="00616D0D">
        <w:rPr>
          <w:lang w:eastAsia="zh-CN" w:bidi="th-TH"/>
        </w:rPr>
        <w:t xml:space="preserve"> based on </w:t>
      </w:r>
      <w:r w:rsidR="0002011D">
        <w:rPr>
          <w:lang w:eastAsia="zh-CN" w:bidi="th-TH"/>
        </w:rPr>
        <w:t>business type</w:t>
      </w:r>
      <w:r w:rsidR="00616D0D">
        <w:rPr>
          <w:lang w:eastAsia="zh-CN" w:bidi="th-TH"/>
        </w:rPr>
        <w:t xml:space="preserve"> or</w:t>
      </w:r>
      <w:r w:rsidR="0002011D">
        <w:rPr>
          <w:lang w:eastAsia="zh-CN" w:bidi="th-TH"/>
        </w:rPr>
        <w:t xml:space="preserve"> business model.</w:t>
      </w:r>
      <w:r w:rsidR="00695BF3" w:rsidRPr="00E67A4C">
        <w:rPr>
          <w:lang w:eastAsia="zh-CN" w:bidi="th-TH"/>
        </w:rPr>
        <w:t xml:space="preserve"> </w:t>
      </w:r>
      <w:r w:rsidR="00EC3133" w:rsidRPr="00E67A4C">
        <w:rPr>
          <w:rFonts w:eastAsia="Calibri"/>
        </w:rPr>
        <w:t xml:space="preserve">Smaller businesses may incur a more significant and administrative burden to comply </w:t>
      </w:r>
      <w:r w:rsidR="00EC3133" w:rsidRPr="00E67A4C">
        <w:rPr>
          <w:rFonts w:eastAsia="Calibri"/>
        </w:rPr>
        <w:lastRenderedPageBreak/>
        <w:t xml:space="preserve">with different menu labelling requirements compared to larger businesses which </w:t>
      </w:r>
      <w:r w:rsidR="009B2CF6" w:rsidRPr="00E67A4C">
        <w:rPr>
          <w:rFonts w:eastAsia="Calibri"/>
        </w:rPr>
        <w:t>may</w:t>
      </w:r>
      <w:r w:rsidR="00EC3133" w:rsidRPr="00E67A4C">
        <w:rPr>
          <w:rFonts w:eastAsia="Calibri"/>
        </w:rPr>
        <w:t xml:space="preserve"> have greater resources and capacity to absorb regulatory costs.</w:t>
      </w:r>
      <w:r w:rsidR="003912CA">
        <w:rPr>
          <w:rFonts w:eastAsia="Calibri"/>
        </w:rPr>
        <w:t xml:space="preserve"> </w:t>
      </w:r>
    </w:p>
    <w:p w14:paraId="58193956" w14:textId="77777777" w:rsidR="00141D80" w:rsidRDefault="00141D80" w:rsidP="00380BDE">
      <w:pPr>
        <w:spacing w:after="40"/>
        <w:jc w:val="both"/>
        <w:rPr>
          <w:rFonts w:eastAsia="Calibri"/>
        </w:rPr>
      </w:pPr>
    </w:p>
    <w:p w14:paraId="48EBAD56" w14:textId="27960A21" w:rsidR="009615D5" w:rsidRPr="00E67A4C" w:rsidRDefault="00616D0D" w:rsidP="00380BDE">
      <w:pPr>
        <w:spacing w:after="40"/>
        <w:jc w:val="both"/>
        <w:rPr>
          <w:lang w:eastAsia="zh-CN" w:bidi="th-TH"/>
        </w:rPr>
      </w:pPr>
      <w:r>
        <w:rPr>
          <w:lang w:eastAsia="zh-CN" w:bidi="th-TH"/>
        </w:rPr>
        <w:t>D</w:t>
      </w:r>
      <w:r w:rsidR="001C396D">
        <w:rPr>
          <w:lang w:eastAsia="zh-CN" w:bidi="th-TH"/>
        </w:rPr>
        <w:t>ifferences</w:t>
      </w:r>
      <w:r w:rsidR="00EE01A6" w:rsidRPr="00E67A4C">
        <w:rPr>
          <w:lang w:eastAsia="zh-CN" w:bidi="th-TH"/>
        </w:rPr>
        <w:t xml:space="preserve"> </w:t>
      </w:r>
      <w:r w:rsidR="00B04D9E" w:rsidRPr="00E67A4C">
        <w:rPr>
          <w:lang w:eastAsia="zh-CN" w:bidi="th-TH"/>
        </w:rPr>
        <w:t xml:space="preserve">in </w:t>
      </w:r>
      <w:r w:rsidR="00707E88" w:rsidRPr="00E67A4C">
        <w:rPr>
          <w:lang w:eastAsia="zh-CN" w:bidi="th-TH"/>
        </w:rPr>
        <w:t xml:space="preserve">jurisdictional </w:t>
      </w:r>
      <w:r w:rsidR="00B04D9E" w:rsidRPr="00E67A4C">
        <w:rPr>
          <w:lang w:eastAsia="zh-CN" w:bidi="th-TH"/>
        </w:rPr>
        <w:t>requirements</w:t>
      </w:r>
      <w:r w:rsidR="003C7976" w:rsidRPr="00E67A4C">
        <w:rPr>
          <w:lang w:eastAsia="zh-CN" w:bidi="th-TH"/>
        </w:rPr>
        <w:t xml:space="preserve"> </w:t>
      </w:r>
      <w:r>
        <w:rPr>
          <w:lang w:eastAsia="zh-CN" w:bidi="th-TH"/>
        </w:rPr>
        <w:t>may</w:t>
      </w:r>
      <w:r w:rsidR="0042335C">
        <w:rPr>
          <w:lang w:eastAsia="zh-CN" w:bidi="th-TH"/>
        </w:rPr>
        <w:t xml:space="preserve"> also</w:t>
      </w:r>
      <w:r w:rsidR="003C7976" w:rsidRPr="00E67A4C">
        <w:rPr>
          <w:lang w:eastAsia="zh-CN" w:bidi="th-TH"/>
        </w:rPr>
        <w:t xml:space="preserve"> impact consumers</w:t>
      </w:r>
      <w:r w:rsidR="00F906A3">
        <w:rPr>
          <w:lang w:eastAsia="zh-CN" w:bidi="th-TH"/>
        </w:rPr>
        <w:t>,</w:t>
      </w:r>
      <w:r w:rsidR="00B04D9E" w:rsidRPr="00E67A4C">
        <w:rPr>
          <w:lang w:eastAsia="zh-CN" w:bidi="th-TH"/>
        </w:rPr>
        <w:t xml:space="preserve"> for example</w:t>
      </w:r>
      <w:r w:rsidR="00AE140C" w:rsidRPr="00E67A4C">
        <w:rPr>
          <w:lang w:eastAsia="zh-CN" w:bidi="th-TH"/>
        </w:rPr>
        <w:t>:</w:t>
      </w:r>
    </w:p>
    <w:p w14:paraId="4CBA9378" w14:textId="6123DBA8" w:rsidR="00EC638C" w:rsidRDefault="00EC638C" w:rsidP="00F76FDC">
      <w:pPr>
        <w:pStyle w:val="ListParagraph"/>
        <w:numPr>
          <w:ilvl w:val="0"/>
          <w:numId w:val="3"/>
        </w:numPr>
        <w:spacing w:after="40"/>
        <w:jc w:val="both"/>
      </w:pPr>
      <w:r>
        <w:t>some consumers may not have access to nutrition information</w:t>
      </w:r>
      <w:r w:rsidR="00E8707F">
        <w:t xml:space="preserve"> for all food and drinks on all </w:t>
      </w:r>
      <w:r w:rsidR="00626519">
        <w:t>menus (</w:t>
      </w:r>
      <w:r w:rsidR="000F38C3">
        <w:t xml:space="preserve">Australian </w:t>
      </w:r>
      <w:r w:rsidR="00626519">
        <w:t xml:space="preserve">stakeholders noted differences in provisions for </w:t>
      </w:r>
      <w:r w:rsidR="00E8707F">
        <w:t>combination meals, alcohol and online/digital menus</w:t>
      </w:r>
      <w:r w:rsidR="00626519">
        <w:t xml:space="preserve"> were of concern)</w:t>
      </w:r>
      <w:r w:rsidR="000F38C3">
        <w:t>;</w:t>
      </w:r>
    </w:p>
    <w:p w14:paraId="2D25950B" w14:textId="77777777" w:rsidR="00D921E9" w:rsidRPr="00476A2B" w:rsidRDefault="00D440DC" w:rsidP="00D921E9">
      <w:pPr>
        <w:pStyle w:val="ListParagraph"/>
        <w:numPr>
          <w:ilvl w:val="0"/>
          <w:numId w:val="3"/>
        </w:numPr>
        <w:spacing w:after="40"/>
        <w:jc w:val="both"/>
      </w:pPr>
      <w:r w:rsidRPr="00E67A4C">
        <w:t>some consumers</w:t>
      </w:r>
      <w:r w:rsidR="003C7976" w:rsidRPr="00E67A4C">
        <w:t xml:space="preserve"> </w:t>
      </w:r>
      <w:r w:rsidR="000063CD" w:rsidRPr="00E67A4C">
        <w:t xml:space="preserve">may have </w:t>
      </w:r>
      <w:r w:rsidR="00CE49F7" w:rsidRPr="00E67A4C">
        <w:t>difficulty in noticing the kilojoules</w:t>
      </w:r>
      <w:r w:rsidR="007921BC">
        <w:t xml:space="preserve"> (</w:t>
      </w:r>
      <w:r w:rsidR="0079765E">
        <w:t xml:space="preserve">for example, </w:t>
      </w:r>
      <w:r w:rsidR="009615D5" w:rsidRPr="00E67A4C">
        <w:t>the same font colour requirement can make the energy information indistinguishable from the price</w:t>
      </w:r>
      <w:r w:rsidR="0079765E">
        <w:t xml:space="preserve">, and </w:t>
      </w:r>
      <w:r w:rsidR="00535007" w:rsidRPr="00476A2B">
        <w:t xml:space="preserve">permitting </w:t>
      </w:r>
      <w:r w:rsidR="000C5C55" w:rsidRPr="00476A2B">
        <w:t>kilojoules</w:t>
      </w:r>
      <w:r w:rsidR="00535007" w:rsidRPr="00476A2B">
        <w:t xml:space="preserve"> to be in the </w:t>
      </w:r>
      <w:r w:rsidR="000C5C55" w:rsidRPr="00476A2B">
        <w:t xml:space="preserve">same font size as unit price </w:t>
      </w:r>
      <w:r w:rsidR="000C5C55" w:rsidRPr="00476A2B">
        <w:rPr>
          <w:lang w:eastAsia="zh-CN" w:bidi="th-TH"/>
        </w:rPr>
        <w:t>may reduce the visibility of the energy information on the price label/tag</w:t>
      </w:r>
      <w:r w:rsidR="007921BC" w:rsidRPr="00476A2B">
        <w:rPr>
          <w:lang w:eastAsia="zh-CN" w:bidi="th-TH"/>
        </w:rPr>
        <w:t>)</w:t>
      </w:r>
      <w:r w:rsidR="0064749A" w:rsidRPr="00476A2B">
        <w:t>;</w:t>
      </w:r>
      <w:r w:rsidR="004947F6" w:rsidRPr="00476A2B">
        <w:t xml:space="preserve"> </w:t>
      </w:r>
      <w:r w:rsidRPr="00476A2B">
        <w:t xml:space="preserve"> </w:t>
      </w:r>
    </w:p>
    <w:p w14:paraId="4839A02A" w14:textId="59948F55" w:rsidR="00D921E9" w:rsidRPr="00476A2B" w:rsidRDefault="002A57C5" w:rsidP="00D921E9">
      <w:pPr>
        <w:pStyle w:val="ListParagraph"/>
        <w:numPr>
          <w:ilvl w:val="0"/>
          <w:numId w:val="3"/>
        </w:numPr>
        <w:spacing w:after="40"/>
        <w:jc w:val="both"/>
      </w:pPr>
      <w:r w:rsidRPr="00476A2B">
        <w:t xml:space="preserve">some consumers </w:t>
      </w:r>
      <w:r w:rsidR="00D921E9" w:rsidRPr="00476A2B">
        <w:rPr>
          <w:lang w:eastAsia="zh-CN" w:bidi="th-TH"/>
        </w:rPr>
        <w:t>wishing to compare the same item across business types may find it more difficult (</w:t>
      </w:r>
      <w:r w:rsidR="00D921E9" w:rsidRPr="00476A2B">
        <w:t xml:space="preserve">for example, </w:t>
      </w:r>
      <w:r w:rsidR="00D921E9" w:rsidRPr="00476A2B">
        <w:rPr>
          <w:lang w:eastAsia="zh-CN" w:bidi="th-TH"/>
        </w:rPr>
        <w:t xml:space="preserve">hot cross buns sold by a supermarket may </w:t>
      </w:r>
      <w:r w:rsidR="004D5695" w:rsidRPr="00476A2B">
        <w:rPr>
          <w:lang w:eastAsia="zh-CN" w:bidi="th-TH"/>
        </w:rPr>
        <w:t>have energy information displayed per 100 grams</w:t>
      </w:r>
      <w:r w:rsidR="00427D17" w:rsidRPr="00476A2B">
        <w:rPr>
          <w:lang w:eastAsia="zh-CN" w:bidi="th-TH"/>
        </w:rPr>
        <w:t>, while</w:t>
      </w:r>
      <w:r w:rsidR="00D921E9" w:rsidRPr="00476A2B">
        <w:rPr>
          <w:lang w:eastAsia="zh-CN" w:bidi="th-TH"/>
        </w:rPr>
        <w:t xml:space="preserve"> a bakery chain </w:t>
      </w:r>
      <w:r w:rsidR="004D5695" w:rsidRPr="00476A2B">
        <w:rPr>
          <w:lang w:eastAsia="zh-CN" w:bidi="th-TH"/>
        </w:rPr>
        <w:t>displays the energy as per serving/pack</w:t>
      </w:r>
      <w:r w:rsidR="00D921E9" w:rsidRPr="00476A2B">
        <w:rPr>
          <w:lang w:eastAsia="zh-CN" w:bidi="th-TH"/>
        </w:rPr>
        <w:t>).</w:t>
      </w:r>
    </w:p>
    <w:p w14:paraId="1D75C219" w14:textId="63F0E63A" w:rsidR="004776FF" w:rsidRPr="00476A2B" w:rsidRDefault="003C7976" w:rsidP="00440A33">
      <w:pPr>
        <w:pStyle w:val="ListParagraph"/>
        <w:numPr>
          <w:ilvl w:val="0"/>
          <w:numId w:val="3"/>
        </w:numPr>
        <w:spacing w:after="40"/>
        <w:jc w:val="both"/>
      </w:pPr>
      <w:r w:rsidRPr="00476A2B">
        <w:t xml:space="preserve">some </w:t>
      </w:r>
      <w:r w:rsidR="009C7DA0" w:rsidRPr="00476A2B">
        <w:t>consumers</w:t>
      </w:r>
      <w:r w:rsidR="0071780E" w:rsidRPr="00476A2B">
        <w:t xml:space="preserve"> </w:t>
      </w:r>
      <w:r w:rsidR="000063CD" w:rsidRPr="00476A2B">
        <w:t xml:space="preserve">may </w:t>
      </w:r>
      <w:r w:rsidR="001A0E97" w:rsidRPr="00476A2B">
        <w:t>receiv</w:t>
      </w:r>
      <w:r w:rsidR="000063CD" w:rsidRPr="00476A2B">
        <w:t>e</w:t>
      </w:r>
      <w:r w:rsidR="001A0E97" w:rsidRPr="00476A2B">
        <w:t xml:space="preserve"> </w:t>
      </w:r>
      <w:r w:rsidR="009D2F4A" w:rsidRPr="00476A2B">
        <w:t>c</w:t>
      </w:r>
      <w:r w:rsidRPr="00476A2B">
        <w:t xml:space="preserve">onfusing </w:t>
      </w:r>
      <w:r w:rsidR="001A0E97" w:rsidRPr="00476A2B">
        <w:t>information if the kilojoules displayed are inconsistent with product image promoted</w:t>
      </w:r>
      <w:r w:rsidRPr="00476A2B">
        <w:t xml:space="preserve"> (</w:t>
      </w:r>
      <w:r w:rsidR="00493F34" w:rsidRPr="00476A2B">
        <w:t xml:space="preserve">for example, </w:t>
      </w:r>
      <w:r w:rsidR="001A0E97" w:rsidRPr="00476A2B">
        <w:t xml:space="preserve">if a combination meal of burger, chips and </w:t>
      </w:r>
      <w:r w:rsidR="005B731C" w:rsidRPr="00476A2B">
        <w:t xml:space="preserve">can of </w:t>
      </w:r>
      <w:r w:rsidR="001A0E97" w:rsidRPr="00476A2B">
        <w:t xml:space="preserve">soft drink is displayed, but the kilojoules are </w:t>
      </w:r>
      <w:r w:rsidR="00261B93" w:rsidRPr="00476A2B">
        <w:t xml:space="preserve">calculated </w:t>
      </w:r>
      <w:r w:rsidR="00E3432F" w:rsidRPr="00476A2B">
        <w:t>without the soft drink</w:t>
      </w:r>
      <w:r w:rsidR="009D2F4A" w:rsidRPr="00476A2B">
        <w:t>)</w:t>
      </w:r>
      <w:r w:rsidR="00A47D31" w:rsidRPr="00476A2B">
        <w:t>;</w:t>
      </w:r>
      <w:r w:rsidR="003C2E8C" w:rsidRPr="00476A2B">
        <w:t xml:space="preserve"> and</w:t>
      </w:r>
    </w:p>
    <w:p w14:paraId="08E0A1C3" w14:textId="531E981F" w:rsidR="004776FF" w:rsidRPr="00476A2B" w:rsidRDefault="00A47D31" w:rsidP="004776FF">
      <w:pPr>
        <w:pStyle w:val="ListParagraph"/>
        <w:numPr>
          <w:ilvl w:val="0"/>
          <w:numId w:val="3"/>
        </w:numPr>
        <w:spacing w:after="40"/>
        <w:jc w:val="both"/>
      </w:pPr>
      <w:r w:rsidRPr="00476A2B">
        <w:t>some consumers may experience confusion</w:t>
      </w:r>
      <w:r w:rsidR="00A43E68" w:rsidRPr="00476A2B">
        <w:t xml:space="preserve"> if menu labelling differs across locations</w:t>
      </w:r>
      <w:r w:rsidR="009A46F7" w:rsidRPr="00476A2B">
        <w:t>;</w:t>
      </w:r>
      <w:r w:rsidRPr="00476A2B">
        <w:t xml:space="preserve"> </w:t>
      </w:r>
      <w:r w:rsidR="004776FF" w:rsidRPr="00476A2B">
        <w:t xml:space="preserve">noting, there </w:t>
      </w:r>
      <w:r w:rsidR="004947F6" w:rsidRPr="00476A2B">
        <w:t>were some mixed views</w:t>
      </w:r>
      <w:r w:rsidR="0042335C" w:rsidRPr="00476A2B">
        <w:t xml:space="preserve"> among stakeholders</w:t>
      </w:r>
      <w:r w:rsidR="004947F6" w:rsidRPr="00476A2B">
        <w:t xml:space="preserve">, with </w:t>
      </w:r>
      <w:r w:rsidR="005369CD" w:rsidRPr="00476A2B">
        <w:t xml:space="preserve">most </w:t>
      </w:r>
      <w:r w:rsidR="00FC5B86" w:rsidRPr="00476A2B">
        <w:t>indicating t</w:t>
      </w:r>
      <w:r w:rsidR="005369CD" w:rsidRPr="00476A2B">
        <w:t>hat consumers may experience confusion when travelling across states and territories with different menu labelling</w:t>
      </w:r>
      <w:r w:rsidR="0095661C" w:rsidRPr="00476A2B">
        <w:t>. However, there was also the view that this was a lesser problem as consumers would not be comparing menus across different jurisdictions</w:t>
      </w:r>
      <w:r w:rsidR="003C2E8C" w:rsidRPr="00476A2B">
        <w:t>.</w:t>
      </w:r>
    </w:p>
    <w:p w14:paraId="3B54E5C6" w14:textId="5E2B8980" w:rsidR="007959DC" w:rsidRPr="00476A2B" w:rsidRDefault="007959DC" w:rsidP="007959DC">
      <w:pPr>
        <w:spacing w:after="40"/>
        <w:jc w:val="both"/>
      </w:pPr>
    </w:p>
    <w:p w14:paraId="1B027A52" w14:textId="128E662E" w:rsidR="004947F6" w:rsidRPr="00476A2B" w:rsidRDefault="00800A3F" w:rsidP="007959DC">
      <w:pPr>
        <w:spacing w:after="40"/>
        <w:jc w:val="both"/>
      </w:pPr>
      <w:r w:rsidRPr="00476A2B">
        <w:t>The extent that consumer education is delivered to support the understanding of energy content and use of menu labelling, and whether jurisdictions require menu labelling may also impact</w:t>
      </w:r>
      <w:r w:rsidR="009D5D44" w:rsidRPr="00476A2B">
        <w:t xml:space="preserve"> consumers</w:t>
      </w:r>
      <w:r w:rsidRPr="00476A2B">
        <w:t>. Some consumers, including</w:t>
      </w:r>
      <w:r w:rsidR="00DF6821" w:rsidRPr="00476A2B">
        <w:t xml:space="preserve"> </w:t>
      </w:r>
      <w:r w:rsidR="00253EDE" w:rsidRPr="00476A2B">
        <w:t xml:space="preserve">people </w:t>
      </w:r>
      <w:r w:rsidR="00DF6821" w:rsidRPr="00476A2B">
        <w:t>with low literacy or numeracy skills</w:t>
      </w:r>
      <w:r w:rsidR="00253EDE" w:rsidRPr="00476A2B">
        <w:t xml:space="preserve">, </w:t>
      </w:r>
      <w:r w:rsidR="005113E6" w:rsidRPr="00476A2B">
        <w:t xml:space="preserve">First Nations </w:t>
      </w:r>
      <w:r w:rsidR="006D3CD1" w:rsidRPr="00476A2B">
        <w:t>Australians people</w:t>
      </w:r>
      <w:r w:rsidR="005113E6" w:rsidRPr="00476A2B">
        <w:t xml:space="preserve">, </w:t>
      </w:r>
      <w:r w:rsidR="00253EDE" w:rsidRPr="00476A2B">
        <w:t xml:space="preserve">and people where English is </w:t>
      </w:r>
      <w:r w:rsidR="00A940B2" w:rsidRPr="00476A2B">
        <w:t>not a first</w:t>
      </w:r>
      <w:r w:rsidR="00253EDE" w:rsidRPr="00476A2B">
        <w:t xml:space="preserve"> language</w:t>
      </w:r>
      <w:r w:rsidR="00A940B2" w:rsidRPr="00476A2B">
        <w:t>,</w:t>
      </w:r>
      <w:r w:rsidR="00253EDE" w:rsidRPr="00476A2B">
        <w:t xml:space="preserve"> </w:t>
      </w:r>
      <w:r w:rsidR="009D5D44" w:rsidRPr="00476A2B">
        <w:t xml:space="preserve">may </w:t>
      </w:r>
      <w:r w:rsidR="00625983" w:rsidRPr="00476A2B">
        <w:t xml:space="preserve">experience barriers </w:t>
      </w:r>
      <w:r w:rsidR="002E397E" w:rsidRPr="00476A2B">
        <w:t xml:space="preserve">in </w:t>
      </w:r>
      <w:r w:rsidR="004776FF" w:rsidRPr="00476A2B">
        <w:t xml:space="preserve">understanding </w:t>
      </w:r>
      <w:r w:rsidR="006578F9" w:rsidRPr="00476A2B">
        <w:t>of</w:t>
      </w:r>
      <w:r w:rsidR="004776FF" w:rsidRPr="00476A2B">
        <w:t xml:space="preserve"> energy content</w:t>
      </w:r>
      <w:r w:rsidR="0095661C" w:rsidRPr="00476A2B">
        <w:t>.</w:t>
      </w:r>
      <w:r w:rsidR="00A47D31" w:rsidRPr="00476A2B">
        <w:t xml:space="preserve"> </w:t>
      </w:r>
      <w:r w:rsidR="00A43E68" w:rsidRPr="00476A2B">
        <w:t xml:space="preserve">Consumers </w:t>
      </w:r>
      <w:r w:rsidR="0032192E" w:rsidRPr="00476A2B">
        <w:t>may</w:t>
      </w:r>
      <w:r w:rsidR="00D077B3" w:rsidRPr="00476A2B">
        <w:t xml:space="preserve"> also have difficulty in </w:t>
      </w:r>
      <w:r w:rsidR="0032192E" w:rsidRPr="00476A2B">
        <w:t xml:space="preserve">knowing </w:t>
      </w:r>
      <w:r w:rsidR="00D077B3" w:rsidRPr="00476A2B">
        <w:t xml:space="preserve">how to use menu labelling or estimate energy content </w:t>
      </w:r>
      <w:r w:rsidR="00E75722" w:rsidRPr="00476A2B">
        <w:t>when it is not displayed.</w:t>
      </w:r>
      <w:r w:rsidR="00A47D31" w:rsidRPr="00476A2B">
        <w:t xml:space="preserve"> </w:t>
      </w:r>
    </w:p>
    <w:p w14:paraId="207A28DA" w14:textId="77777777" w:rsidR="0085000C" w:rsidRPr="00476A2B" w:rsidRDefault="0085000C" w:rsidP="00DB4340">
      <w:pPr>
        <w:spacing w:after="40"/>
        <w:jc w:val="both"/>
      </w:pPr>
    </w:p>
    <w:p w14:paraId="5052958D" w14:textId="0E17EF80" w:rsidR="00B50751" w:rsidRDefault="00B50751" w:rsidP="006376CE">
      <w:pPr>
        <w:spacing w:after="40"/>
        <w:jc w:val="both"/>
        <w:rPr>
          <w:lang w:eastAsia="zh-CN" w:bidi="th-TH"/>
        </w:rPr>
      </w:pPr>
      <w:r w:rsidRPr="00476A2B">
        <w:rPr>
          <w:lang w:eastAsia="zh-CN" w:bidi="th-TH"/>
        </w:rPr>
        <w:t xml:space="preserve">While </w:t>
      </w:r>
      <w:r w:rsidR="00FB0B24" w:rsidRPr="00476A2B">
        <w:rPr>
          <w:lang w:eastAsia="zh-CN" w:bidi="th-TH"/>
        </w:rPr>
        <w:t xml:space="preserve">the issue of inconsistency </w:t>
      </w:r>
      <w:r w:rsidR="00D91394" w:rsidRPr="00476A2B">
        <w:rPr>
          <w:lang w:eastAsia="zh-CN" w:bidi="th-TH"/>
        </w:rPr>
        <w:t xml:space="preserve">has been </w:t>
      </w:r>
      <w:r w:rsidR="00FB0B24" w:rsidRPr="00476A2B">
        <w:rPr>
          <w:lang w:eastAsia="zh-CN" w:bidi="th-TH"/>
        </w:rPr>
        <w:t xml:space="preserve">focused on menu labelling in Australia, there </w:t>
      </w:r>
      <w:r w:rsidR="00640665" w:rsidRPr="00476A2B">
        <w:rPr>
          <w:lang w:eastAsia="zh-CN" w:bidi="th-TH"/>
        </w:rPr>
        <w:t xml:space="preserve">are mixed </w:t>
      </w:r>
      <w:r w:rsidR="009E05E1" w:rsidRPr="00476A2B">
        <w:rPr>
          <w:lang w:eastAsia="zh-CN" w:bidi="th-TH"/>
        </w:rPr>
        <w:t xml:space="preserve">stakeholder </w:t>
      </w:r>
      <w:r w:rsidR="00640665" w:rsidRPr="00476A2B">
        <w:rPr>
          <w:lang w:eastAsia="zh-CN" w:bidi="th-TH"/>
        </w:rPr>
        <w:t xml:space="preserve">views about the applicability </w:t>
      </w:r>
      <w:r w:rsidR="0074580B" w:rsidRPr="00476A2B">
        <w:rPr>
          <w:lang w:eastAsia="zh-CN" w:bidi="th-TH"/>
        </w:rPr>
        <w:t xml:space="preserve">of this issue </w:t>
      </w:r>
      <w:r w:rsidR="00640665" w:rsidRPr="00476A2B">
        <w:rPr>
          <w:lang w:eastAsia="zh-CN" w:bidi="th-TH"/>
        </w:rPr>
        <w:t>to New Zea</w:t>
      </w:r>
      <w:r w:rsidR="007F6B15" w:rsidRPr="00476A2B">
        <w:rPr>
          <w:lang w:eastAsia="zh-CN" w:bidi="th-TH"/>
        </w:rPr>
        <w:t>l</w:t>
      </w:r>
      <w:r w:rsidR="00640665" w:rsidRPr="00476A2B">
        <w:rPr>
          <w:lang w:eastAsia="zh-CN" w:bidi="th-TH"/>
        </w:rPr>
        <w:t>and.</w:t>
      </w:r>
      <w:r w:rsidR="007F6B15" w:rsidRPr="00476A2B">
        <w:rPr>
          <w:lang w:eastAsia="zh-CN" w:bidi="th-TH"/>
        </w:rPr>
        <w:t xml:space="preserve"> One </w:t>
      </w:r>
      <w:r w:rsidR="00B17EDB" w:rsidRPr="00476A2B">
        <w:rPr>
          <w:lang w:eastAsia="zh-CN" w:bidi="th-TH"/>
        </w:rPr>
        <w:t xml:space="preserve">view is that </w:t>
      </w:r>
      <w:r w:rsidR="00131DC7" w:rsidRPr="00476A2B">
        <w:rPr>
          <w:lang w:eastAsia="zh-CN" w:bidi="th-TH"/>
        </w:rPr>
        <w:t>national inconsistency is an issue as there is no agreed framework for menu labelling in New Zealand</w:t>
      </w:r>
      <w:r w:rsidR="00307A75" w:rsidRPr="00476A2B">
        <w:rPr>
          <w:lang w:eastAsia="zh-CN" w:bidi="th-TH"/>
        </w:rPr>
        <w:t xml:space="preserve">. Another view </w:t>
      </w:r>
      <w:r w:rsidR="00B17EDB" w:rsidRPr="00476A2B">
        <w:rPr>
          <w:lang w:eastAsia="zh-CN" w:bidi="th-TH"/>
        </w:rPr>
        <w:t>is</w:t>
      </w:r>
      <w:r w:rsidR="00307A75" w:rsidRPr="00476A2B">
        <w:rPr>
          <w:lang w:eastAsia="zh-CN" w:bidi="th-TH"/>
        </w:rPr>
        <w:t xml:space="preserve"> that </w:t>
      </w:r>
      <w:r w:rsidR="006B0389" w:rsidRPr="00476A2B">
        <w:rPr>
          <w:lang w:eastAsia="zh-CN" w:bidi="th-TH"/>
        </w:rPr>
        <w:t xml:space="preserve">national inconsistency is only an issue for Australia. </w:t>
      </w:r>
      <w:r w:rsidR="007C295A" w:rsidRPr="00476A2B">
        <w:rPr>
          <w:lang w:eastAsia="zh-CN" w:bidi="th-TH"/>
        </w:rPr>
        <w:t>As Australia and New Zealand operate within a shar</w:t>
      </w:r>
      <w:r w:rsidR="005316A5" w:rsidRPr="00476A2B">
        <w:rPr>
          <w:lang w:eastAsia="zh-CN" w:bidi="th-TH"/>
        </w:rPr>
        <w:t xml:space="preserve">ed food regulation system, it could </w:t>
      </w:r>
      <w:r w:rsidR="00B17EDB" w:rsidRPr="00476A2B">
        <w:rPr>
          <w:lang w:eastAsia="zh-CN" w:bidi="th-TH"/>
        </w:rPr>
        <w:t xml:space="preserve">also </w:t>
      </w:r>
      <w:r w:rsidR="005316A5" w:rsidRPr="00476A2B">
        <w:rPr>
          <w:lang w:eastAsia="zh-CN" w:bidi="th-TH"/>
        </w:rPr>
        <w:t xml:space="preserve">be said that there is inconsistency </w:t>
      </w:r>
      <w:r w:rsidR="00D91394" w:rsidRPr="00476A2B">
        <w:rPr>
          <w:lang w:eastAsia="zh-CN" w:bidi="th-TH"/>
        </w:rPr>
        <w:t>with respect to menu labelling, as one party has mandatory menu labelling</w:t>
      </w:r>
      <w:r w:rsidR="006E2137" w:rsidRPr="00476A2B">
        <w:rPr>
          <w:lang w:eastAsia="zh-CN" w:bidi="th-TH"/>
        </w:rPr>
        <w:t xml:space="preserve"> in some parts of the country</w:t>
      </w:r>
      <w:r w:rsidR="00D91394" w:rsidRPr="00476A2B">
        <w:rPr>
          <w:lang w:eastAsia="zh-CN" w:bidi="th-TH"/>
        </w:rPr>
        <w:t>, and the other party does not</w:t>
      </w:r>
      <w:r w:rsidR="00A43E68" w:rsidRPr="00476A2B">
        <w:rPr>
          <w:lang w:eastAsia="zh-CN" w:bidi="th-TH"/>
        </w:rPr>
        <w:t xml:space="preserve"> have mandatory menu labelling</w:t>
      </w:r>
      <w:r w:rsidR="00D91394" w:rsidRPr="00476A2B">
        <w:rPr>
          <w:lang w:eastAsia="zh-CN" w:bidi="th-TH"/>
        </w:rPr>
        <w:t>.</w:t>
      </w:r>
    </w:p>
    <w:p w14:paraId="474BC7EF" w14:textId="77777777" w:rsidR="00936543" w:rsidRDefault="00936543" w:rsidP="006376CE">
      <w:pPr>
        <w:spacing w:after="40"/>
        <w:jc w:val="both"/>
        <w:rPr>
          <w:lang w:eastAsia="zh-CN" w:bidi="th-TH"/>
        </w:rPr>
      </w:pPr>
    </w:p>
    <w:p w14:paraId="0DDA27B3" w14:textId="1C47F5AE" w:rsidR="00040CDA" w:rsidRPr="00E67A4C" w:rsidRDefault="00044F66" w:rsidP="00F53A05">
      <w:pPr>
        <w:pStyle w:val="Heading3"/>
      </w:pPr>
      <w:bookmarkStart w:id="29" w:name="_Toc51165271"/>
      <w:r w:rsidRPr="00E67A4C">
        <w:t xml:space="preserve">2.2 </w:t>
      </w:r>
      <w:r w:rsidR="00040CDA" w:rsidRPr="00E67A4C">
        <w:t>An uneven playing field for businesses selling standard food items</w:t>
      </w:r>
      <w:bookmarkEnd w:id="29"/>
    </w:p>
    <w:p w14:paraId="37D0839E" w14:textId="0C1E3159" w:rsidR="00C936B5" w:rsidRDefault="0054433F" w:rsidP="00650306">
      <w:pPr>
        <w:spacing w:after="40"/>
        <w:jc w:val="both"/>
      </w:pPr>
      <w:r w:rsidRPr="00E67A4C">
        <w:t>While s</w:t>
      </w:r>
      <w:r w:rsidR="00E412C9" w:rsidRPr="00E67A4C">
        <w:t xml:space="preserve">tandard food items </w:t>
      </w:r>
      <w:r w:rsidR="003F4560" w:rsidRPr="00E67A4C">
        <w:t xml:space="preserve">(i.e. food and drinks standardised for portion and content) </w:t>
      </w:r>
      <w:r w:rsidR="0086230C" w:rsidRPr="00E67A4C">
        <w:t xml:space="preserve">are </w:t>
      </w:r>
      <w:r w:rsidR="003436FA" w:rsidRPr="00E67A4C">
        <w:t>typically</w:t>
      </w:r>
      <w:r w:rsidR="0086230C" w:rsidRPr="00E67A4C">
        <w:t xml:space="preserve"> sold by fast food and takeaway chains, </w:t>
      </w:r>
      <w:r w:rsidR="00961D40" w:rsidRPr="00E67A4C">
        <w:t xml:space="preserve">a </w:t>
      </w:r>
      <w:r w:rsidR="0086230C" w:rsidRPr="00E67A4C">
        <w:t xml:space="preserve">broad range of </w:t>
      </w:r>
      <w:r w:rsidRPr="00E67A4C">
        <w:t xml:space="preserve">other </w:t>
      </w:r>
      <w:r w:rsidR="0086230C" w:rsidRPr="00E67A4C">
        <w:t>business types</w:t>
      </w:r>
      <w:r w:rsidRPr="00E67A4C">
        <w:t xml:space="preserve"> may sell standard</w:t>
      </w:r>
      <w:r w:rsidR="00364EA3" w:rsidRPr="00E67A4C">
        <w:t xml:space="preserve"> food items</w:t>
      </w:r>
      <w:r w:rsidR="006C2646" w:rsidRPr="00E67A4C">
        <w:t xml:space="preserve">, for example </w:t>
      </w:r>
      <w:r w:rsidR="00263539" w:rsidRPr="00E67A4C">
        <w:t>convenience stores, service stations, cinemas</w:t>
      </w:r>
      <w:r w:rsidR="00155190" w:rsidRPr="00E67A4C">
        <w:t>, caterers, pubs and clubs, dine-in restaurants</w:t>
      </w:r>
      <w:r w:rsidR="00BC0B76">
        <w:t>, ente</w:t>
      </w:r>
      <w:r w:rsidR="00215B3F">
        <w:t>rtainment and recreation venues</w:t>
      </w:r>
      <w:r w:rsidR="00082638">
        <w:t>, mobile vendors, vending machines</w:t>
      </w:r>
      <w:r w:rsidR="00AD6915" w:rsidRPr="00E67A4C">
        <w:rPr>
          <w:lang w:eastAsia="zh-CN" w:bidi="th-TH"/>
        </w:rPr>
        <w:t xml:space="preserve"> </w:t>
      </w:r>
      <w:r w:rsidR="00215B3F">
        <w:rPr>
          <w:lang w:eastAsia="zh-CN" w:bidi="th-TH"/>
        </w:rPr>
        <w:t>and home delivery services</w:t>
      </w:r>
      <w:r w:rsidR="00AD6915" w:rsidRPr="00E67A4C">
        <w:rPr>
          <w:lang w:eastAsia="zh-CN" w:bidi="th-TH"/>
        </w:rPr>
        <w:t xml:space="preserve"> (refer to </w:t>
      </w:r>
      <w:r w:rsidR="00605EC6" w:rsidRPr="00E67A4C">
        <w:rPr>
          <w:lang w:eastAsia="zh-CN" w:bidi="th-TH"/>
        </w:rPr>
        <w:t xml:space="preserve">Appendix </w:t>
      </w:r>
      <w:r w:rsidR="00216578">
        <w:rPr>
          <w:lang w:eastAsia="zh-CN" w:bidi="th-TH"/>
        </w:rPr>
        <w:t>4</w:t>
      </w:r>
      <w:r w:rsidR="00605EC6" w:rsidRPr="00E67A4C">
        <w:rPr>
          <w:lang w:eastAsia="zh-CN" w:bidi="th-TH"/>
        </w:rPr>
        <w:t>)</w:t>
      </w:r>
      <w:r w:rsidR="00E412C9" w:rsidRPr="00E67A4C">
        <w:t>.</w:t>
      </w:r>
      <w:r w:rsidR="00AD6915" w:rsidRPr="00E67A4C">
        <w:t xml:space="preserve"> </w:t>
      </w:r>
      <w:r w:rsidR="00364EA3" w:rsidRPr="00E67A4C">
        <w:t>However, n</w:t>
      </w:r>
      <w:r w:rsidR="001811EC" w:rsidRPr="00E67A4C">
        <w:t xml:space="preserve">ot all these business types are required to display energy information due to </w:t>
      </w:r>
      <w:r w:rsidR="00C936B5">
        <w:t xml:space="preserve">either </w:t>
      </w:r>
      <w:r w:rsidR="00215B3F">
        <w:t xml:space="preserve">specific </w:t>
      </w:r>
      <w:r w:rsidR="001811EC" w:rsidRPr="00E67A4C">
        <w:t>exemptions in jurisdictional legislation (</w:t>
      </w:r>
      <w:r w:rsidR="00C936B5">
        <w:t xml:space="preserve">as per </w:t>
      </w:r>
      <w:r w:rsidR="006F6EB9">
        <w:t>S</w:t>
      </w:r>
      <w:r w:rsidR="00C936B5">
        <w:t>ection 2.1) or due</w:t>
      </w:r>
      <w:r w:rsidR="001811EC" w:rsidRPr="00E67A4C">
        <w:t xml:space="preserve"> to </w:t>
      </w:r>
      <w:r w:rsidR="00C936B5">
        <w:t xml:space="preserve">not </w:t>
      </w:r>
      <w:r w:rsidR="00A43E68">
        <w:t xml:space="preserve">currently </w:t>
      </w:r>
      <w:r w:rsidR="00C936B5">
        <w:t>meeting the business size threshold</w:t>
      </w:r>
      <w:r w:rsidR="00514A40">
        <w:t>.</w:t>
      </w:r>
      <w:r w:rsidR="00C936B5">
        <w:t xml:space="preserve"> </w:t>
      </w:r>
      <w:r w:rsidR="00C936B5">
        <w:rPr>
          <w:lang w:eastAsia="zh-CN" w:bidi="th-TH"/>
        </w:rPr>
        <w:t xml:space="preserve">Under the current regulation in </w:t>
      </w:r>
      <w:r w:rsidR="006E2137">
        <w:rPr>
          <w:lang w:eastAsia="zh-CN" w:bidi="th-TH"/>
        </w:rPr>
        <w:t xml:space="preserve">Australian </w:t>
      </w:r>
      <w:r w:rsidR="00C936B5">
        <w:rPr>
          <w:lang w:eastAsia="zh-CN" w:bidi="th-TH"/>
        </w:rPr>
        <w:t>States and Territories, o</w:t>
      </w:r>
      <w:r w:rsidR="00C936B5" w:rsidRPr="00AB434D">
        <w:rPr>
          <w:lang w:eastAsia="zh-CN" w:bidi="th-TH"/>
        </w:rPr>
        <w:t xml:space="preserve">nly food </w:t>
      </w:r>
      <w:r w:rsidR="00C936B5" w:rsidRPr="00AB434D">
        <w:rPr>
          <w:lang w:eastAsia="zh-CN" w:bidi="th-TH"/>
        </w:rPr>
        <w:lastRenderedPageBreak/>
        <w:t xml:space="preserve">businesses that meet the threshold of 50 or more outlets </w:t>
      </w:r>
      <w:r w:rsidR="00C936B5">
        <w:rPr>
          <w:lang w:eastAsia="zh-CN" w:bidi="th-TH"/>
        </w:rPr>
        <w:t>nationally</w:t>
      </w:r>
      <w:r w:rsidR="00C936B5" w:rsidRPr="00AB434D">
        <w:rPr>
          <w:lang w:eastAsia="zh-CN" w:bidi="th-TH"/>
        </w:rPr>
        <w:t xml:space="preserve">, 20 or more outlets in a State, or 7 or </w:t>
      </w:r>
      <w:r w:rsidR="00C936B5">
        <w:rPr>
          <w:lang w:eastAsia="zh-CN" w:bidi="th-TH"/>
        </w:rPr>
        <w:t>m</w:t>
      </w:r>
      <w:r w:rsidR="00C936B5" w:rsidRPr="00AB434D">
        <w:rPr>
          <w:lang w:eastAsia="zh-CN" w:bidi="th-TH"/>
        </w:rPr>
        <w:t>ore outlets in a Territory are required to display energy information.</w:t>
      </w:r>
    </w:p>
    <w:p w14:paraId="622118B5" w14:textId="77777777" w:rsidR="00C936B5" w:rsidRDefault="00C936B5" w:rsidP="00650306">
      <w:pPr>
        <w:spacing w:after="40"/>
        <w:jc w:val="both"/>
      </w:pPr>
    </w:p>
    <w:p w14:paraId="5ED170FE" w14:textId="25499DFE" w:rsidR="00C936B5" w:rsidRDefault="00C936B5" w:rsidP="00C936B5">
      <w:pPr>
        <w:spacing w:after="40"/>
        <w:jc w:val="both"/>
        <w:rPr>
          <w:lang w:eastAsia="zh-CN" w:bidi="th-TH"/>
        </w:rPr>
      </w:pPr>
      <w:r>
        <w:t>The exemptions and the</w:t>
      </w:r>
      <w:r w:rsidR="00810F68">
        <w:t xml:space="preserve"> business</w:t>
      </w:r>
      <w:r>
        <w:t xml:space="preserve"> size threshold</w:t>
      </w:r>
      <w:r w:rsidR="001811EC" w:rsidRPr="00E67A4C">
        <w:t xml:space="preserve"> lead to an uneven playing </w:t>
      </w:r>
      <w:r w:rsidR="001811EC" w:rsidRPr="00E67A4C">
        <w:rPr>
          <w:lang w:eastAsia="zh-CN" w:bidi="th-TH"/>
        </w:rPr>
        <w:t xml:space="preserve">field with respect to menu labelling regulatory requirements across businesses that sell standard food items. </w:t>
      </w:r>
      <w:r>
        <w:rPr>
          <w:lang w:eastAsia="zh-CN" w:bidi="th-TH"/>
        </w:rPr>
        <w:t>Some businesses exempt from menu labelling are increasingly selling standard food items</w:t>
      </w:r>
      <w:r w:rsidRPr="00E67A4C">
        <w:t>.</w:t>
      </w:r>
      <w:r>
        <w:t xml:space="preserve"> </w:t>
      </w:r>
      <w:r w:rsidR="008250DA">
        <w:rPr>
          <w:lang w:eastAsia="zh-CN" w:bidi="th-TH"/>
        </w:rPr>
        <w:t>T</w:t>
      </w:r>
      <w:r w:rsidR="00FA763C" w:rsidRPr="00E67A4C">
        <w:rPr>
          <w:lang w:eastAsia="zh-CN" w:bidi="th-TH"/>
        </w:rPr>
        <w:t>he</w:t>
      </w:r>
      <w:r w:rsidR="007942B8" w:rsidRPr="00E67A4C">
        <w:rPr>
          <w:lang w:eastAsia="zh-CN" w:bidi="th-TH"/>
        </w:rPr>
        <w:t xml:space="preserve"> differences</w:t>
      </w:r>
      <w:r w:rsidR="001811EC" w:rsidRPr="00E67A4C">
        <w:rPr>
          <w:lang w:eastAsia="zh-CN" w:bidi="th-TH"/>
        </w:rPr>
        <w:t xml:space="preserve"> </w:t>
      </w:r>
      <w:r w:rsidR="00FA0E83" w:rsidRPr="00E67A4C">
        <w:rPr>
          <w:lang w:eastAsia="zh-CN" w:bidi="th-TH"/>
        </w:rPr>
        <w:t xml:space="preserve">in coverage </w:t>
      </w:r>
      <w:r w:rsidR="008250DA">
        <w:rPr>
          <w:lang w:eastAsia="zh-CN" w:bidi="th-TH"/>
        </w:rPr>
        <w:t xml:space="preserve">may </w:t>
      </w:r>
      <w:r w:rsidR="001811EC" w:rsidRPr="00E67A4C">
        <w:rPr>
          <w:lang w:eastAsia="zh-CN" w:bidi="th-TH"/>
        </w:rPr>
        <w:t>contribute to an anti-competitive market as only some business types are required to display energy information</w:t>
      </w:r>
      <w:r w:rsidR="00FA0E83" w:rsidRPr="00E67A4C">
        <w:rPr>
          <w:lang w:eastAsia="zh-CN" w:bidi="th-TH"/>
        </w:rPr>
        <w:t>.</w:t>
      </w:r>
      <w:r w:rsidR="00BD608F" w:rsidRPr="00E67A4C">
        <w:rPr>
          <w:lang w:eastAsia="zh-CN" w:bidi="th-TH"/>
        </w:rPr>
        <w:t xml:space="preserve"> </w:t>
      </w:r>
      <w:r>
        <w:rPr>
          <w:lang w:eastAsia="zh-CN" w:bidi="th-TH"/>
        </w:rPr>
        <w:t xml:space="preserve">This inconsistency has been particularly noted by stakeholders in food courts and on third-party food delivery platforms, with some businesses captured by menu labelling legislation, and others not captured despite selling similar energy-dense menu items. </w:t>
      </w:r>
    </w:p>
    <w:p w14:paraId="30611A32" w14:textId="77777777" w:rsidR="00C936B5" w:rsidRDefault="00C936B5" w:rsidP="00C936B5">
      <w:pPr>
        <w:spacing w:after="40"/>
        <w:jc w:val="both"/>
        <w:rPr>
          <w:lang w:eastAsia="zh-CN" w:bidi="th-TH"/>
        </w:rPr>
      </w:pPr>
    </w:p>
    <w:p w14:paraId="7ED2890A" w14:textId="6E9E3263" w:rsidR="00544C57" w:rsidRPr="00476A2B" w:rsidRDefault="00C936B5" w:rsidP="00650306">
      <w:pPr>
        <w:spacing w:after="40"/>
        <w:jc w:val="both"/>
        <w:rPr>
          <w:lang w:eastAsia="zh-CN" w:bidi="th-TH"/>
        </w:rPr>
      </w:pPr>
      <w:r w:rsidRPr="00476A2B">
        <w:rPr>
          <w:lang w:eastAsia="zh-CN" w:bidi="th-TH"/>
        </w:rPr>
        <w:t xml:space="preserve">There is a stakeholder view that stronger growth in independent outlets and third-party food delivery platforms may mean that the focus of menu labelling on medium and large chains is disproportionate. </w:t>
      </w:r>
      <w:r w:rsidR="00FC5E19" w:rsidRPr="00476A2B">
        <w:t xml:space="preserve">It was </w:t>
      </w:r>
      <w:r w:rsidRPr="00476A2B">
        <w:t xml:space="preserve">also </w:t>
      </w:r>
      <w:r w:rsidR="00FC5E19" w:rsidRPr="00476A2B">
        <w:t xml:space="preserve">noted during the consultation that as </w:t>
      </w:r>
      <w:r w:rsidR="00810F68" w:rsidRPr="00476A2B">
        <w:t xml:space="preserve">businesses providing </w:t>
      </w:r>
      <w:r w:rsidR="00FC5E19" w:rsidRPr="00476A2B">
        <w:t xml:space="preserve">catering </w:t>
      </w:r>
      <w:r w:rsidR="00810F68" w:rsidRPr="00476A2B">
        <w:t>are</w:t>
      </w:r>
      <w:r w:rsidRPr="00476A2B">
        <w:t xml:space="preserve"> </w:t>
      </w:r>
      <w:r w:rsidR="00FC5E19" w:rsidRPr="00476A2B">
        <w:t>exempt from menu labelling</w:t>
      </w:r>
      <w:r w:rsidR="00E55D3C" w:rsidRPr="00476A2B">
        <w:t xml:space="preserve">, this could provide a loophole for otherwise captured businesses to </w:t>
      </w:r>
      <w:r w:rsidR="00135C87" w:rsidRPr="00476A2B">
        <w:t xml:space="preserve">sell standard food items </w:t>
      </w:r>
      <w:r w:rsidR="00810F68" w:rsidRPr="00476A2B">
        <w:t xml:space="preserve">as “catering” </w:t>
      </w:r>
      <w:r w:rsidR="00135C87" w:rsidRPr="00476A2B">
        <w:t xml:space="preserve">without </w:t>
      </w:r>
      <w:r w:rsidR="00810F68" w:rsidRPr="00476A2B">
        <w:t xml:space="preserve">the need to </w:t>
      </w:r>
      <w:r w:rsidR="00135C87" w:rsidRPr="00476A2B">
        <w:t>display energy information.</w:t>
      </w:r>
      <w:r w:rsidR="003240A9" w:rsidRPr="00476A2B">
        <w:t xml:space="preserve"> This is considered unlikely as it could limit sales. A possible scenario is that a business offering exclusive dine-in operations in jurisdictions where menu labelling does not apply or capture dine-in restaurants, may quietly offer take-away food operations at the same time and then not display energy information. </w:t>
      </w:r>
      <w:r w:rsidR="00514A40" w:rsidRPr="00476A2B">
        <w:t xml:space="preserve"> </w:t>
      </w:r>
    </w:p>
    <w:p w14:paraId="508F1502" w14:textId="77777777" w:rsidR="00DE422A" w:rsidRPr="00476A2B" w:rsidRDefault="00DE422A" w:rsidP="00C610B1">
      <w:pPr>
        <w:spacing w:after="40"/>
        <w:jc w:val="both"/>
        <w:rPr>
          <w:lang w:eastAsia="zh-CN" w:bidi="th-TH"/>
        </w:rPr>
      </w:pPr>
    </w:p>
    <w:p w14:paraId="72DE3AE5" w14:textId="777E4D89" w:rsidR="00DE422A" w:rsidRDefault="00A746A2" w:rsidP="00C610B1">
      <w:pPr>
        <w:spacing w:after="40"/>
        <w:jc w:val="both"/>
        <w:rPr>
          <w:lang w:eastAsia="zh-CN" w:bidi="th-TH"/>
        </w:rPr>
      </w:pPr>
      <w:r w:rsidRPr="00476A2B">
        <w:rPr>
          <w:lang w:eastAsia="zh-CN" w:bidi="th-TH"/>
        </w:rPr>
        <w:t>Apart from inconsistencies for businesses</w:t>
      </w:r>
      <w:r w:rsidR="00A41394" w:rsidRPr="00476A2B">
        <w:rPr>
          <w:lang w:eastAsia="zh-CN" w:bidi="th-TH"/>
        </w:rPr>
        <w:t xml:space="preserve">, </w:t>
      </w:r>
      <w:r w:rsidR="00E61142" w:rsidRPr="00476A2B">
        <w:rPr>
          <w:lang w:eastAsia="zh-CN" w:bidi="th-TH"/>
        </w:rPr>
        <w:t xml:space="preserve">an uneven playing field </w:t>
      </w:r>
      <w:r w:rsidR="00C936B5" w:rsidRPr="00476A2B">
        <w:rPr>
          <w:lang w:eastAsia="zh-CN" w:bidi="th-TH"/>
        </w:rPr>
        <w:t>may</w:t>
      </w:r>
      <w:r w:rsidR="00E61142" w:rsidRPr="00476A2B">
        <w:rPr>
          <w:lang w:eastAsia="zh-CN" w:bidi="th-TH"/>
        </w:rPr>
        <w:t xml:space="preserve"> also </w:t>
      </w:r>
      <w:r w:rsidR="00C936B5" w:rsidRPr="00476A2B">
        <w:rPr>
          <w:lang w:eastAsia="zh-CN" w:bidi="th-TH"/>
        </w:rPr>
        <w:t xml:space="preserve">be </w:t>
      </w:r>
      <w:r w:rsidR="00E61142" w:rsidRPr="00476A2B">
        <w:rPr>
          <w:lang w:eastAsia="zh-CN" w:bidi="th-TH"/>
        </w:rPr>
        <w:t xml:space="preserve">an issue for consumers. </w:t>
      </w:r>
      <w:r w:rsidR="00F853BB" w:rsidRPr="00476A2B">
        <w:rPr>
          <w:lang w:eastAsia="zh-CN" w:bidi="th-TH"/>
        </w:rPr>
        <w:t xml:space="preserve">Difficulty in comparing menu items </w:t>
      </w:r>
      <w:r w:rsidR="00127884" w:rsidRPr="00476A2B">
        <w:rPr>
          <w:lang w:eastAsia="zh-CN" w:bidi="th-TH"/>
        </w:rPr>
        <w:t xml:space="preserve">within and between businesses </w:t>
      </w:r>
      <w:r w:rsidR="00F853BB" w:rsidRPr="00476A2B">
        <w:rPr>
          <w:lang w:eastAsia="zh-CN" w:bidi="th-TH"/>
        </w:rPr>
        <w:t>and making informed choices</w:t>
      </w:r>
      <w:r w:rsidR="00EB4755" w:rsidRPr="00476A2B">
        <w:rPr>
          <w:lang w:eastAsia="zh-CN" w:bidi="th-TH"/>
        </w:rPr>
        <w:t xml:space="preserve"> </w:t>
      </w:r>
      <w:r w:rsidR="00E152C1" w:rsidRPr="00476A2B">
        <w:rPr>
          <w:lang w:eastAsia="zh-CN" w:bidi="th-TH"/>
        </w:rPr>
        <w:t>are</w:t>
      </w:r>
      <w:r w:rsidR="00EB4755" w:rsidRPr="00476A2B">
        <w:rPr>
          <w:lang w:eastAsia="zh-CN" w:bidi="th-TH"/>
        </w:rPr>
        <w:t xml:space="preserve"> the main concerns</w:t>
      </w:r>
      <w:r w:rsidR="00C0252D" w:rsidRPr="00476A2B">
        <w:rPr>
          <w:lang w:eastAsia="zh-CN" w:bidi="th-TH"/>
        </w:rPr>
        <w:t xml:space="preserve"> </w:t>
      </w:r>
      <w:r w:rsidR="006011D8" w:rsidRPr="00476A2B">
        <w:rPr>
          <w:lang w:eastAsia="zh-CN" w:bidi="th-TH"/>
        </w:rPr>
        <w:t xml:space="preserve">of stakeholders </w:t>
      </w:r>
      <w:r w:rsidR="00C0252D" w:rsidRPr="00476A2B">
        <w:rPr>
          <w:lang w:eastAsia="zh-CN" w:bidi="th-TH"/>
        </w:rPr>
        <w:t>that energy information is</w:t>
      </w:r>
      <w:r w:rsidR="00E152C1" w:rsidRPr="00476A2B">
        <w:rPr>
          <w:lang w:eastAsia="zh-CN" w:bidi="th-TH"/>
        </w:rPr>
        <w:t xml:space="preserve"> </w:t>
      </w:r>
      <w:r w:rsidR="00C0252D" w:rsidRPr="00476A2B">
        <w:rPr>
          <w:lang w:eastAsia="zh-CN" w:bidi="th-TH"/>
        </w:rPr>
        <w:t>n</w:t>
      </w:r>
      <w:r w:rsidR="00E152C1" w:rsidRPr="00476A2B">
        <w:rPr>
          <w:lang w:eastAsia="zh-CN" w:bidi="th-TH"/>
        </w:rPr>
        <w:t>o</w:t>
      </w:r>
      <w:r w:rsidR="00C0252D" w:rsidRPr="00476A2B">
        <w:rPr>
          <w:lang w:eastAsia="zh-CN" w:bidi="th-TH"/>
        </w:rPr>
        <w:t>t at the point-of-sale in all businesses selling standard food items.</w:t>
      </w:r>
      <w:r w:rsidR="00127884" w:rsidRPr="00476A2B">
        <w:rPr>
          <w:lang w:eastAsia="zh-CN" w:bidi="th-TH"/>
        </w:rPr>
        <w:t xml:space="preserve"> </w:t>
      </w:r>
      <w:r w:rsidR="00E152C1" w:rsidRPr="00476A2B">
        <w:rPr>
          <w:lang w:eastAsia="zh-CN" w:bidi="th-TH"/>
        </w:rPr>
        <w:t>C</w:t>
      </w:r>
      <w:r w:rsidR="00127884" w:rsidRPr="00476A2B">
        <w:rPr>
          <w:lang w:eastAsia="zh-CN" w:bidi="th-TH"/>
        </w:rPr>
        <w:t>onsumers may think that menu items without kilojoule information on display may be healthier</w:t>
      </w:r>
      <w:r w:rsidR="001F61EF" w:rsidRPr="00476A2B">
        <w:rPr>
          <w:lang w:eastAsia="zh-CN" w:bidi="th-TH"/>
        </w:rPr>
        <w:t xml:space="preserve">, </w:t>
      </w:r>
      <w:r w:rsidR="007C0121" w:rsidRPr="00476A2B">
        <w:rPr>
          <w:lang w:eastAsia="zh-CN" w:bidi="th-TH"/>
        </w:rPr>
        <w:t xml:space="preserve">which is particularly a problem for </w:t>
      </w:r>
      <w:r w:rsidR="001F61EF" w:rsidRPr="00476A2B">
        <w:rPr>
          <w:lang w:eastAsia="zh-CN" w:bidi="th-TH"/>
        </w:rPr>
        <w:t xml:space="preserve">consumers </w:t>
      </w:r>
      <w:r w:rsidR="006E2137" w:rsidRPr="00476A2B">
        <w:rPr>
          <w:lang w:eastAsia="zh-CN" w:bidi="th-TH"/>
        </w:rPr>
        <w:t>who</w:t>
      </w:r>
      <w:r w:rsidR="001F61EF" w:rsidRPr="00476A2B">
        <w:rPr>
          <w:lang w:eastAsia="zh-CN" w:bidi="th-TH"/>
        </w:rPr>
        <w:t xml:space="preserve"> do not know the </w:t>
      </w:r>
      <w:r w:rsidR="00810F68" w:rsidRPr="00476A2B">
        <w:rPr>
          <w:lang w:eastAsia="zh-CN" w:bidi="th-TH"/>
        </w:rPr>
        <w:t>energy</w:t>
      </w:r>
      <w:r w:rsidR="001F61EF" w:rsidRPr="00476A2B">
        <w:rPr>
          <w:lang w:eastAsia="zh-CN" w:bidi="th-TH"/>
        </w:rPr>
        <w:t xml:space="preserve"> content of a food without a label.</w:t>
      </w:r>
    </w:p>
    <w:p w14:paraId="78ADC097" w14:textId="49A54105" w:rsidR="00C610B1" w:rsidRPr="00E67A4C" w:rsidRDefault="00E33EDD" w:rsidP="00650306">
      <w:pPr>
        <w:spacing w:after="40"/>
        <w:jc w:val="both"/>
        <w:rPr>
          <w:lang w:eastAsia="zh-CN" w:bidi="th-TH"/>
        </w:rPr>
      </w:pPr>
      <w:r>
        <w:rPr>
          <w:lang w:eastAsia="zh-CN" w:bidi="th-TH"/>
        </w:rPr>
        <w:t xml:space="preserve"> </w:t>
      </w:r>
      <w:r w:rsidR="00AF5D31">
        <w:rPr>
          <w:lang w:eastAsia="zh-CN" w:bidi="th-TH"/>
        </w:rPr>
        <w:t xml:space="preserve">  </w:t>
      </w:r>
    </w:p>
    <w:p w14:paraId="269CFEDF" w14:textId="720B4589" w:rsidR="00330B73" w:rsidRPr="00E67A4C" w:rsidRDefault="00330B73" w:rsidP="00F53A05">
      <w:pPr>
        <w:pStyle w:val="Heading3"/>
      </w:pPr>
      <w:bookmarkStart w:id="30" w:name="_Toc51165272"/>
      <w:r w:rsidRPr="00E67A4C">
        <w:t xml:space="preserve">2.3 Emerging trends for promoting, </w:t>
      </w:r>
      <w:r w:rsidR="00EA7DEA" w:rsidRPr="00E67A4C">
        <w:t>offering,</w:t>
      </w:r>
      <w:r w:rsidRPr="00E67A4C">
        <w:t xml:space="preserve"> and selling standard food items </w:t>
      </w:r>
      <w:bookmarkEnd w:id="30"/>
    </w:p>
    <w:p w14:paraId="6CCEE12E" w14:textId="6454A46A" w:rsidR="0035575B" w:rsidRPr="00E67A4C" w:rsidRDefault="00330B73" w:rsidP="00330B73">
      <w:pPr>
        <w:spacing w:after="40"/>
        <w:jc w:val="both"/>
        <w:rPr>
          <w:lang w:eastAsia="zh-CN" w:bidi="th-TH"/>
        </w:rPr>
      </w:pPr>
      <w:r w:rsidRPr="00E67A4C">
        <w:rPr>
          <w:lang w:eastAsia="zh-CN" w:bidi="th-TH"/>
        </w:rPr>
        <w:t xml:space="preserve">The food industry is a dynamic environment with sophisticated stakeholders that is continually evolving with new products and new ways of </w:t>
      </w:r>
      <w:bookmarkStart w:id="31" w:name="_Hlk35341319"/>
      <w:r w:rsidRPr="00E67A4C">
        <w:rPr>
          <w:lang w:eastAsia="zh-CN" w:bidi="th-TH"/>
        </w:rPr>
        <w:t xml:space="preserve">promoting, </w:t>
      </w:r>
      <w:r w:rsidR="00EA7DEA" w:rsidRPr="00E67A4C">
        <w:rPr>
          <w:lang w:eastAsia="zh-CN" w:bidi="th-TH"/>
        </w:rPr>
        <w:t>offering,</w:t>
      </w:r>
      <w:r w:rsidR="00D83D40" w:rsidRPr="00E67A4C">
        <w:rPr>
          <w:lang w:eastAsia="zh-CN" w:bidi="th-TH"/>
        </w:rPr>
        <w:t xml:space="preserve"> </w:t>
      </w:r>
      <w:r w:rsidRPr="00E67A4C">
        <w:rPr>
          <w:lang w:eastAsia="zh-CN" w:bidi="th-TH"/>
        </w:rPr>
        <w:t>and selling products</w:t>
      </w:r>
      <w:bookmarkEnd w:id="31"/>
      <w:r w:rsidRPr="00E67A4C">
        <w:rPr>
          <w:lang w:eastAsia="zh-CN" w:bidi="th-TH"/>
        </w:rPr>
        <w:t xml:space="preserve">. Since the 2011 Principles were developed the methods of displaying </w:t>
      </w:r>
      <w:r w:rsidR="00507C00">
        <w:rPr>
          <w:lang w:eastAsia="zh-CN" w:bidi="th-TH"/>
        </w:rPr>
        <w:t xml:space="preserve">and selling </w:t>
      </w:r>
      <w:r w:rsidRPr="00E67A4C">
        <w:rPr>
          <w:lang w:eastAsia="zh-CN" w:bidi="th-TH"/>
        </w:rPr>
        <w:t>standard food items ha</w:t>
      </w:r>
      <w:r w:rsidR="0005393A" w:rsidRPr="00E67A4C">
        <w:rPr>
          <w:lang w:eastAsia="zh-CN" w:bidi="th-TH"/>
        </w:rPr>
        <w:t>ve</w:t>
      </w:r>
      <w:r w:rsidRPr="00E67A4C">
        <w:rPr>
          <w:lang w:eastAsia="zh-CN" w:bidi="th-TH"/>
        </w:rPr>
        <w:t xml:space="preserve"> changed</w:t>
      </w:r>
      <w:r w:rsidR="0035575B" w:rsidRPr="00E67A4C">
        <w:rPr>
          <w:lang w:eastAsia="zh-CN" w:bidi="th-TH"/>
        </w:rPr>
        <w:t>, for example</w:t>
      </w:r>
      <w:r w:rsidR="004C525F" w:rsidRPr="00E67A4C">
        <w:rPr>
          <w:lang w:eastAsia="zh-CN" w:bidi="th-TH"/>
        </w:rPr>
        <w:t xml:space="preserve"> some businesses</w:t>
      </w:r>
      <w:r w:rsidR="0035575B" w:rsidRPr="00E67A4C">
        <w:rPr>
          <w:lang w:eastAsia="zh-CN" w:bidi="th-TH"/>
        </w:rPr>
        <w:t>:</w:t>
      </w:r>
    </w:p>
    <w:p w14:paraId="6E82887F" w14:textId="7597D6D4" w:rsidR="0035575B" w:rsidRPr="00E67A4C" w:rsidRDefault="00330B73" w:rsidP="0055688D">
      <w:pPr>
        <w:pStyle w:val="ListParagraph"/>
        <w:numPr>
          <w:ilvl w:val="0"/>
          <w:numId w:val="8"/>
        </w:numPr>
        <w:spacing w:after="40"/>
        <w:jc w:val="both"/>
        <w:rPr>
          <w:lang w:eastAsia="zh-CN" w:bidi="th-TH"/>
        </w:rPr>
      </w:pPr>
      <w:r w:rsidRPr="00E67A4C">
        <w:rPr>
          <w:lang w:eastAsia="zh-CN" w:bidi="th-TH"/>
        </w:rPr>
        <w:t>no longer use traditional ‘menu boards’, and have instead introduced digital panel menus</w:t>
      </w:r>
      <w:r w:rsidR="001817E0">
        <w:rPr>
          <w:lang w:eastAsia="zh-CN" w:bidi="th-TH"/>
        </w:rPr>
        <w:t xml:space="preserve"> and self-service kiosks</w:t>
      </w:r>
      <w:r w:rsidR="0035575B" w:rsidRPr="00E67A4C">
        <w:rPr>
          <w:lang w:eastAsia="zh-CN" w:bidi="th-TH"/>
        </w:rPr>
        <w:t>;</w:t>
      </w:r>
    </w:p>
    <w:p w14:paraId="1E2DADCA" w14:textId="5F962F0F" w:rsidR="004C525F" w:rsidRPr="00E67A4C" w:rsidRDefault="00330B73" w:rsidP="0055688D">
      <w:pPr>
        <w:pStyle w:val="ListParagraph"/>
        <w:numPr>
          <w:ilvl w:val="0"/>
          <w:numId w:val="8"/>
        </w:numPr>
        <w:spacing w:after="40"/>
        <w:jc w:val="both"/>
        <w:rPr>
          <w:lang w:eastAsia="zh-CN" w:bidi="th-TH"/>
        </w:rPr>
      </w:pPr>
      <w:r w:rsidRPr="00E67A4C">
        <w:rPr>
          <w:lang w:eastAsia="zh-CN" w:bidi="th-TH"/>
        </w:rPr>
        <w:t>us</w:t>
      </w:r>
      <w:r w:rsidR="00473BB2">
        <w:rPr>
          <w:lang w:eastAsia="zh-CN" w:bidi="th-TH"/>
        </w:rPr>
        <w:t>e</w:t>
      </w:r>
      <w:r w:rsidRPr="00E67A4C">
        <w:rPr>
          <w:lang w:eastAsia="zh-CN" w:bidi="th-TH"/>
        </w:rPr>
        <w:t xml:space="preserve"> third-party food delivery platforms</w:t>
      </w:r>
      <w:r w:rsidR="0035575B" w:rsidRPr="00E67A4C">
        <w:rPr>
          <w:lang w:eastAsia="zh-CN" w:bidi="th-TH"/>
        </w:rPr>
        <w:t xml:space="preserve"> to supplement </w:t>
      </w:r>
      <w:r w:rsidR="004C525F" w:rsidRPr="00E67A4C">
        <w:rPr>
          <w:lang w:eastAsia="zh-CN" w:bidi="th-TH"/>
        </w:rPr>
        <w:t xml:space="preserve">existing customer base; </w:t>
      </w:r>
    </w:p>
    <w:p w14:paraId="4D5E38E0" w14:textId="77777777" w:rsidR="00651273" w:rsidRDefault="00651273" w:rsidP="0055688D">
      <w:pPr>
        <w:pStyle w:val="ListParagraph"/>
        <w:numPr>
          <w:ilvl w:val="0"/>
          <w:numId w:val="8"/>
        </w:numPr>
        <w:spacing w:after="40"/>
        <w:jc w:val="both"/>
        <w:rPr>
          <w:lang w:eastAsia="zh-CN" w:bidi="th-TH"/>
        </w:rPr>
      </w:pPr>
      <w:r>
        <w:rPr>
          <w:lang w:eastAsia="zh-CN" w:bidi="th-TH"/>
        </w:rPr>
        <w:t>offer 24/7 home delivery;</w:t>
      </w:r>
    </w:p>
    <w:p w14:paraId="32B8C4DD" w14:textId="77777777" w:rsidR="00651273" w:rsidRPr="00E67A4C" w:rsidRDefault="00651273" w:rsidP="0055688D">
      <w:pPr>
        <w:pStyle w:val="ListParagraph"/>
        <w:numPr>
          <w:ilvl w:val="0"/>
          <w:numId w:val="8"/>
        </w:numPr>
        <w:spacing w:after="40"/>
        <w:jc w:val="both"/>
        <w:rPr>
          <w:lang w:eastAsia="zh-CN" w:bidi="th-TH"/>
        </w:rPr>
      </w:pPr>
      <w:r>
        <w:rPr>
          <w:lang w:eastAsia="zh-CN" w:bidi="th-TH"/>
        </w:rPr>
        <w:t xml:space="preserve">focus </w:t>
      </w:r>
      <w:r w:rsidRPr="00674672">
        <w:rPr>
          <w:lang w:eastAsia="zh-CN" w:bidi="th-TH"/>
        </w:rPr>
        <w:t xml:space="preserve">on selling </w:t>
      </w:r>
      <w:r w:rsidRPr="00674672">
        <w:rPr>
          <w:szCs w:val="22"/>
          <w:lang w:eastAsia="en-AU"/>
        </w:rPr>
        <w:t>home delivered meal packages for home-based preparation;</w:t>
      </w:r>
    </w:p>
    <w:p w14:paraId="51DFC86C" w14:textId="694AC1C8" w:rsidR="00450AB8" w:rsidRPr="00E67A4C" w:rsidRDefault="004C525F" w:rsidP="0055688D">
      <w:pPr>
        <w:pStyle w:val="ListParagraph"/>
        <w:numPr>
          <w:ilvl w:val="0"/>
          <w:numId w:val="8"/>
        </w:numPr>
        <w:spacing w:after="40"/>
        <w:jc w:val="both"/>
        <w:rPr>
          <w:lang w:eastAsia="zh-CN" w:bidi="th-TH"/>
        </w:rPr>
      </w:pPr>
      <w:r w:rsidRPr="00E67A4C">
        <w:rPr>
          <w:lang w:eastAsia="zh-CN" w:bidi="th-TH"/>
        </w:rPr>
        <w:t>n</w:t>
      </w:r>
      <w:r w:rsidR="00330B73" w:rsidRPr="00E67A4C">
        <w:rPr>
          <w:lang w:eastAsia="zh-CN" w:bidi="th-TH"/>
        </w:rPr>
        <w:t xml:space="preserve">ow </w:t>
      </w:r>
      <w:r w:rsidR="00534221" w:rsidRPr="00E67A4C">
        <w:rPr>
          <w:lang w:eastAsia="zh-CN" w:bidi="th-TH"/>
        </w:rPr>
        <w:t xml:space="preserve">actively promote </w:t>
      </w:r>
      <w:r w:rsidR="00330B73" w:rsidRPr="00E67A4C">
        <w:rPr>
          <w:lang w:eastAsia="zh-CN" w:bidi="th-TH"/>
        </w:rPr>
        <w:t xml:space="preserve">build your own menu items </w:t>
      </w:r>
      <w:r w:rsidR="001C10D1">
        <w:rPr>
          <w:lang w:eastAsia="zh-CN" w:bidi="th-TH"/>
        </w:rPr>
        <w:t>(customised)</w:t>
      </w:r>
      <w:r w:rsidR="00330B73" w:rsidRPr="00E67A4C">
        <w:rPr>
          <w:lang w:eastAsia="zh-CN" w:bidi="th-TH"/>
        </w:rPr>
        <w:t xml:space="preserve"> from a range of standardised ingredients</w:t>
      </w:r>
      <w:r w:rsidR="00450AB8" w:rsidRPr="00E67A4C">
        <w:rPr>
          <w:lang w:eastAsia="zh-CN" w:bidi="th-TH"/>
        </w:rPr>
        <w:t xml:space="preserve">; </w:t>
      </w:r>
    </w:p>
    <w:p w14:paraId="23F7CCA2" w14:textId="54F92458" w:rsidR="002E71D4" w:rsidRPr="00A86A6E" w:rsidRDefault="005A762F" w:rsidP="0055688D">
      <w:pPr>
        <w:pStyle w:val="ListParagraph"/>
        <w:numPr>
          <w:ilvl w:val="0"/>
          <w:numId w:val="8"/>
        </w:numPr>
        <w:spacing w:after="40"/>
        <w:jc w:val="both"/>
        <w:rPr>
          <w:lang w:eastAsia="zh-CN" w:bidi="th-TH"/>
        </w:rPr>
      </w:pPr>
      <w:r>
        <w:rPr>
          <w:lang w:eastAsia="zh-CN" w:bidi="th-TH"/>
        </w:rPr>
        <w:t>us</w:t>
      </w:r>
      <w:r w:rsidR="00473BB2">
        <w:rPr>
          <w:lang w:eastAsia="zh-CN" w:bidi="th-TH"/>
        </w:rPr>
        <w:t>e</w:t>
      </w:r>
      <w:r w:rsidR="003529CC">
        <w:rPr>
          <w:lang w:eastAsia="zh-CN" w:bidi="th-TH"/>
        </w:rPr>
        <w:t xml:space="preserve"> </w:t>
      </w:r>
      <w:r w:rsidR="002F6261">
        <w:rPr>
          <w:lang w:eastAsia="zh-CN" w:bidi="th-TH"/>
        </w:rPr>
        <w:t>techn</w:t>
      </w:r>
      <w:r w:rsidR="00131426">
        <w:rPr>
          <w:lang w:eastAsia="zh-CN" w:bidi="th-TH"/>
        </w:rPr>
        <w:t xml:space="preserve">ology such as </w:t>
      </w:r>
      <w:r w:rsidR="003529CC">
        <w:rPr>
          <w:lang w:eastAsia="zh-CN" w:bidi="th-TH"/>
        </w:rPr>
        <w:t>pop-up</w:t>
      </w:r>
      <w:r w:rsidR="000B0902">
        <w:rPr>
          <w:lang w:eastAsia="zh-CN" w:bidi="th-TH"/>
        </w:rPr>
        <w:t>/hover</w:t>
      </w:r>
      <w:r w:rsidR="002022A4">
        <w:rPr>
          <w:lang w:eastAsia="zh-CN" w:bidi="th-TH"/>
        </w:rPr>
        <w:t xml:space="preserve"> advertising</w:t>
      </w:r>
      <w:r>
        <w:rPr>
          <w:lang w:eastAsia="zh-CN" w:bidi="th-TH"/>
        </w:rPr>
        <w:t>, QR codes</w:t>
      </w:r>
      <w:r w:rsidR="00763096">
        <w:rPr>
          <w:lang w:eastAsia="zh-CN" w:bidi="th-TH"/>
        </w:rPr>
        <w:t xml:space="preserve"> (digital links to off-menu information)</w:t>
      </w:r>
      <w:r w:rsidR="0049530F">
        <w:rPr>
          <w:lang w:eastAsia="zh-CN" w:bidi="th-TH"/>
        </w:rPr>
        <w:t xml:space="preserve">, purchase history </w:t>
      </w:r>
      <w:r w:rsidR="0049530F" w:rsidRPr="00A86A6E">
        <w:rPr>
          <w:lang w:eastAsia="zh-CN" w:bidi="th-TH"/>
        </w:rPr>
        <w:t>recognition</w:t>
      </w:r>
      <w:r w:rsidR="000D5EB9" w:rsidRPr="00A86A6E">
        <w:rPr>
          <w:lang w:eastAsia="zh-CN" w:bidi="th-TH"/>
        </w:rPr>
        <w:t xml:space="preserve"> on online platforms</w:t>
      </w:r>
      <w:r w:rsidR="001817E0" w:rsidRPr="00A86A6E">
        <w:rPr>
          <w:lang w:eastAsia="zh-CN" w:bidi="th-TH"/>
        </w:rPr>
        <w:t xml:space="preserve">; </w:t>
      </w:r>
    </w:p>
    <w:p w14:paraId="1DD9F469" w14:textId="471CD7E3" w:rsidR="00A86A6E" w:rsidRPr="00A86A6E" w:rsidRDefault="00A86A6E" w:rsidP="0055688D">
      <w:pPr>
        <w:pStyle w:val="ListParagraph"/>
        <w:numPr>
          <w:ilvl w:val="0"/>
          <w:numId w:val="8"/>
        </w:numPr>
        <w:jc w:val="both"/>
        <w:rPr>
          <w:szCs w:val="22"/>
          <w:lang w:eastAsia="en-AU"/>
        </w:rPr>
      </w:pPr>
      <w:r w:rsidRPr="00A86A6E">
        <w:rPr>
          <w:lang w:eastAsia="zh-CN" w:bidi="th-TH"/>
        </w:rPr>
        <w:t xml:space="preserve">use marketing approaches such as </w:t>
      </w:r>
      <w:r w:rsidRPr="00A86A6E">
        <w:rPr>
          <w:szCs w:val="22"/>
          <w:lang w:eastAsia="en-AU"/>
        </w:rPr>
        <w:t>apps and games targeting children</w:t>
      </w:r>
      <w:r>
        <w:rPr>
          <w:szCs w:val="22"/>
          <w:lang w:eastAsia="en-AU"/>
        </w:rPr>
        <w:t xml:space="preserve"> and </w:t>
      </w:r>
      <w:r w:rsidRPr="00A86A6E">
        <w:rPr>
          <w:szCs w:val="22"/>
          <w:lang w:eastAsia="en-AU"/>
        </w:rPr>
        <w:t>discount offers via social media a</w:t>
      </w:r>
      <w:r>
        <w:rPr>
          <w:szCs w:val="22"/>
          <w:lang w:eastAsia="en-AU"/>
        </w:rPr>
        <w:t>p</w:t>
      </w:r>
      <w:r w:rsidRPr="00A86A6E">
        <w:rPr>
          <w:szCs w:val="22"/>
          <w:lang w:eastAsia="en-AU"/>
        </w:rPr>
        <w:t xml:space="preserve">ps, </w:t>
      </w:r>
      <w:r w:rsidR="002314C9">
        <w:rPr>
          <w:szCs w:val="22"/>
          <w:lang w:eastAsia="en-AU"/>
        </w:rPr>
        <w:t>to complement</w:t>
      </w:r>
      <w:r w:rsidRPr="00A86A6E">
        <w:rPr>
          <w:szCs w:val="22"/>
          <w:lang w:eastAsia="en-AU"/>
        </w:rPr>
        <w:t xml:space="preserve"> traditional advertising (i.e. buses, bus stops, </w:t>
      </w:r>
      <w:r w:rsidR="002314C9">
        <w:rPr>
          <w:szCs w:val="22"/>
          <w:lang w:eastAsia="en-AU"/>
        </w:rPr>
        <w:t xml:space="preserve">television, </w:t>
      </w:r>
      <w:r w:rsidRPr="00A86A6E">
        <w:rPr>
          <w:szCs w:val="22"/>
          <w:lang w:eastAsia="en-AU"/>
        </w:rPr>
        <w:t>radio)</w:t>
      </w:r>
      <w:r w:rsidR="002314C9">
        <w:rPr>
          <w:szCs w:val="22"/>
          <w:lang w:eastAsia="en-AU"/>
        </w:rPr>
        <w:t xml:space="preserve"> and</w:t>
      </w:r>
    </w:p>
    <w:p w14:paraId="0808C20F" w14:textId="05DEC681" w:rsidR="00FD0A7E" w:rsidRPr="00E67A4C" w:rsidRDefault="00450AB8" w:rsidP="0055688D">
      <w:pPr>
        <w:pStyle w:val="ListParagraph"/>
        <w:numPr>
          <w:ilvl w:val="0"/>
          <w:numId w:val="8"/>
        </w:numPr>
        <w:spacing w:after="40"/>
        <w:jc w:val="both"/>
        <w:rPr>
          <w:lang w:eastAsia="zh-CN" w:bidi="th-TH"/>
        </w:rPr>
      </w:pPr>
      <w:r w:rsidRPr="00E67A4C">
        <w:rPr>
          <w:lang w:eastAsia="zh-CN" w:bidi="th-TH"/>
        </w:rPr>
        <w:t>offer contactless ordering, payment and/or delivery</w:t>
      </w:r>
      <w:r w:rsidR="00335765" w:rsidRPr="00E67A4C">
        <w:rPr>
          <w:lang w:eastAsia="zh-CN" w:bidi="th-TH"/>
        </w:rPr>
        <w:t xml:space="preserve"> through mobile apps or other digital platforms</w:t>
      </w:r>
      <w:r w:rsidR="00C22624">
        <w:rPr>
          <w:lang w:eastAsia="zh-CN" w:bidi="th-TH"/>
        </w:rPr>
        <w:t>.</w:t>
      </w:r>
    </w:p>
    <w:p w14:paraId="3F24FC8C" w14:textId="77777777" w:rsidR="00C2027E" w:rsidRDefault="00C2027E" w:rsidP="00C2027E">
      <w:pPr>
        <w:spacing w:after="40"/>
        <w:jc w:val="both"/>
        <w:rPr>
          <w:lang w:eastAsia="zh-CN" w:bidi="th-TH"/>
        </w:rPr>
      </w:pPr>
    </w:p>
    <w:p w14:paraId="493F146B" w14:textId="55A92ECB" w:rsidR="008A20E2" w:rsidRDefault="00C2027E" w:rsidP="008A20E2">
      <w:pPr>
        <w:spacing w:after="40"/>
        <w:jc w:val="both"/>
        <w:rPr>
          <w:lang w:eastAsia="zh-CN" w:bidi="th-TH"/>
        </w:rPr>
      </w:pPr>
      <w:r w:rsidRPr="00E67A4C">
        <w:rPr>
          <w:lang w:eastAsia="zh-CN" w:bidi="th-TH"/>
        </w:rPr>
        <w:lastRenderedPageBreak/>
        <w:t xml:space="preserve">Future technological advancements may increase the number of creative approaches that businesses </w:t>
      </w:r>
      <w:r w:rsidRPr="00476A2B">
        <w:rPr>
          <w:lang w:eastAsia="zh-CN" w:bidi="th-TH"/>
        </w:rPr>
        <w:t>use to promote, offer, and sell standard food items. Consequently, the 2011 Principles and jurisdictional legislation are unlikely to capture all new approaches within existing definitions and provisions/principles</w:t>
      </w:r>
      <w:r w:rsidR="00810F68" w:rsidRPr="00476A2B">
        <w:rPr>
          <w:lang w:eastAsia="zh-CN" w:bidi="th-TH"/>
        </w:rPr>
        <w:t>. While it may be technically feasible to use new technologies to display energy information, w</w:t>
      </w:r>
      <w:r w:rsidR="009A3652" w:rsidRPr="00476A2B">
        <w:rPr>
          <w:lang w:eastAsia="zh-CN" w:bidi="th-TH"/>
        </w:rPr>
        <w:t xml:space="preserve">ithout </w:t>
      </w:r>
      <w:r w:rsidR="008B6181" w:rsidRPr="00476A2B">
        <w:rPr>
          <w:lang w:eastAsia="zh-CN" w:bidi="th-TH"/>
        </w:rPr>
        <w:t>t</w:t>
      </w:r>
      <w:r w:rsidR="00724912" w:rsidRPr="00476A2B">
        <w:rPr>
          <w:lang w:eastAsia="zh-CN" w:bidi="th-TH"/>
        </w:rPr>
        <w:t>he 2011 Principles</w:t>
      </w:r>
      <w:r w:rsidR="00593371" w:rsidRPr="00476A2B">
        <w:rPr>
          <w:lang w:eastAsia="zh-CN" w:bidi="th-TH"/>
        </w:rPr>
        <w:t xml:space="preserve"> and jurisdiction legislation</w:t>
      </w:r>
      <w:r w:rsidR="00724912" w:rsidRPr="00476A2B">
        <w:rPr>
          <w:lang w:eastAsia="zh-CN" w:bidi="th-TH"/>
        </w:rPr>
        <w:t xml:space="preserve"> specifically refer</w:t>
      </w:r>
      <w:r w:rsidR="008B6181" w:rsidRPr="00476A2B">
        <w:rPr>
          <w:lang w:eastAsia="zh-CN" w:bidi="th-TH"/>
        </w:rPr>
        <w:t>ring</w:t>
      </w:r>
      <w:r w:rsidR="00724912" w:rsidRPr="00476A2B">
        <w:rPr>
          <w:lang w:eastAsia="zh-CN" w:bidi="th-TH"/>
        </w:rPr>
        <w:t xml:space="preserve"> to </w:t>
      </w:r>
      <w:r w:rsidR="00E87471" w:rsidRPr="00476A2B">
        <w:rPr>
          <w:lang w:eastAsia="zh-CN" w:bidi="th-TH"/>
        </w:rPr>
        <w:t xml:space="preserve">these </w:t>
      </w:r>
      <w:r w:rsidRPr="00476A2B">
        <w:rPr>
          <w:lang w:eastAsia="zh-CN" w:bidi="th-TH"/>
        </w:rPr>
        <w:t xml:space="preserve">and future </w:t>
      </w:r>
      <w:r w:rsidR="00E87471" w:rsidRPr="00476A2B">
        <w:rPr>
          <w:lang w:eastAsia="zh-CN" w:bidi="th-TH"/>
        </w:rPr>
        <w:t>approaches,</w:t>
      </w:r>
      <w:r w:rsidR="00D758AA" w:rsidRPr="00476A2B">
        <w:rPr>
          <w:lang w:eastAsia="zh-CN" w:bidi="th-TH"/>
        </w:rPr>
        <w:t xml:space="preserve"> businesses may not </w:t>
      </w:r>
      <w:r w:rsidR="00722238" w:rsidRPr="00476A2B">
        <w:rPr>
          <w:lang w:eastAsia="zh-CN" w:bidi="th-TH"/>
        </w:rPr>
        <w:t xml:space="preserve">be required to </w:t>
      </w:r>
      <w:r w:rsidR="00D758AA" w:rsidRPr="00476A2B">
        <w:rPr>
          <w:lang w:eastAsia="zh-CN" w:bidi="th-TH"/>
        </w:rPr>
        <w:t>display energy information</w:t>
      </w:r>
      <w:r w:rsidR="00AA1DCC" w:rsidRPr="00476A2B">
        <w:rPr>
          <w:lang w:eastAsia="zh-CN" w:bidi="th-TH"/>
        </w:rPr>
        <w:t xml:space="preserve"> on all</w:t>
      </w:r>
      <w:r w:rsidR="00865AA2" w:rsidRPr="00476A2B">
        <w:rPr>
          <w:lang w:eastAsia="zh-CN" w:bidi="th-TH"/>
        </w:rPr>
        <w:t xml:space="preserve"> </w:t>
      </w:r>
      <w:r w:rsidR="0095665E" w:rsidRPr="00476A2B">
        <w:rPr>
          <w:lang w:eastAsia="zh-CN" w:bidi="th-TH"/>
        </w:rPr>
        <w:t xml:space="preserve">menu infrastructure and </w:t>
      </w:r>
      <w:r w:rsidR="00865AA2" w:rsidRPr="00476A2B">
        <w:rPr>
          <w:lang w:eastAsia="zh-CN" w:bidi="th-TH"/>
        </w:rPr>
        <w:t>platforms or for all standard</w:t>
      </w:r>
      <w:r w:rsidR="00ED05E8" w:rsidRPr="00476A2B">
        <w:rPr>
          <w:lang w:eastAsia="zh-CN" w:bidi="th-TH"/>
        </w:rPr>
        <w:t xml:space="preserve"> food items</w:t>
      </w:r>
      <w:r w:rsidR="00D758AA" w:rsidRPr="00476A2B">
        <w:rPr>
          <w:lang w:eastAsia="zh-CN" w:bidi="th-TH"/>
        </w:rPr>
        <w:t>.</w:t>
      </w:r>
      <w:r w:rsidR="00E87471" w:rsidRPr="00476A2B">
        <w:rPr>
          <w:lang w:eastAsia="zh-CN" w:bidi="th-TH"/>
        </w:rPr>
        <w:t xml:space="preserve"> </w:t>
      </w:r>
      <w:r w:rsidR="00E439C4" w:rsidRPr="00476A2B">
        <w:rPr>
          <w:lang w:eastAsia="zh-CN" w:bidi="th-TH"/>
        </w:rPr>
        <w:t xml:space="preserve">As such, </w:t>
      </w:r>
      <w:r w:rsidR="00042BF0" w:rsidRPr="00476A2B">
        <w:rPr>
          <w:lang w:eastAsia="zh-CN" w:bidi="th-TH"/>
        </w:rPr>
        <w:t xml:space="preserve">the </w:t>
      </w:r>
      <w:r w:rsidR="00EE271F" w:rsidRPr="00476A2B">
        <w:rPr>
          <w:lang w:eastAsia="zh-CN" w:bidi="th-TH"/>
        </w:rPr>
        <w:t>availability</w:t>
      </w:r>
      <w:r w:rsidR="00042BF0" w:rsidRPr="00476A2B">
        <w:rPr>
          <w:lang w:eastAsia="zh-CN" w:bidi="th-TH"/>
        </w:rPr>
        <w:t xml:space="preserve"> of energy information </w:t>
      </w:r>
      <w:r w:rsidR="00EE271F" w:rsidRPr="00476A2B">
        <w:rPr>
          <w:lang w:eastAsia="zh-CN" w:bidi="th-TH"/>
        </w:rPr>
        <w:t xml:space="preserve">at the point-of-sale </w:t>
      </w:r>
      <w:r w:rsidR="00F21C93" w:rsidRPr="00476A2B">
        <w:rPr>
          <w:lang w:eastAsia="zh-CN" w:bidi="th-TH"/>
        </w:rPr>
        <w:t>may</w:t>
      </w:r>
      <w:r w:rsidR="00EE271F" w:rsidRPr="00476A2B">
        <w:rPr>
          <w:lang w:eastAsia="zh-CN" w:bidi="th-TH"/>
        </w:rPr>
        <w:t xml:space="preserve"> be</w:t>
      </w:r>
      <w:r w:rsidR="00042BF0" w:rsidRPr="00476A2B">
        <w:rPr>
          <w:lang w:eastAsia="zh-CN" w:bidi="th-TH"/>
        </w:rPr>
        <w:t xml:space="preserve"> inconsistent</w:t>
      </w:r>
      <w:r w:rsidR="00220D92" w:rsidRPr="00476A2B">
        <w:rPr>
          <w:lang w:eastAsia="zh-CN" w:bidi="th-TH"/>
        </w:rPr>
        <w:t xml:space="preserve"> and this could </w:t>
      </w:r>
      <w:r w:rsidR="00E750D8" w:rsidRPr="00476A2B">
        <w:rPr>
          <w:lang w:eastAsia="zh-CN" w:bidi="th-TH"/>
        </w:rPr>
        <w:t>impact c</w:t>
      </w:r>
      <w:r w:rsidR="007D3C13" w:rsidRPr="00476A2B">
        <w:rPr>
          <w:lang w:eastAsia="zh-CN" w:bidi="th-TH"/>
        </w:rPr>
        <w:t xml:space="preserve">onsumers’ ability to </w:t>
      </w:r>
      <w:r w:rsidR="00CC133F" w:rsidRPr="00476A2B">
        <w:rPr>
          <w:lang w:eastAsia="zh-CN" w:bidi="th-TH"/>
        </w:rPr>
        <w:t xml:space="preserve">compare </w:t>
      </w:r>
      <w:r w:rsidR="002D6EA6" w:rsidRPr="00476A2B">
        <w:rPr>
          <w:lang w:eastAsia="zh-CN" w:bidi="th-TH"/>
        </w:rPr>
        <w:t>products and</w:t>
      </w:r>
      <w:r w:rsidR="002D6EA6" w:rsidRPr="00E67A4C">
        <w:rPr>
          <w:lang w:eastAsia="zh-CN" w:bidi="th-TH"/>
        </w:rPr>
        <w:t xml:space="preserve"> </w:t>
      </w:r>
      <w:r w:rsidR="007D3C13" w:rsidRPr="00E67A4C">
        <w:rPr>
          <w:lang w:eastAsia="zh-CN" w:bidi="th-TH"/>
        </w:rPr>
        <w:t xml:space="preserve">make fully informed </w:t>
      </w:r>
      <w:r w:rsidR="00220D92" w:rsidRPr="00E67A4C">
        <w:rPr>
          <w:lang w:eastAsia="zh-CN" w:bidi="th-TH"/>
        </w:rPr>
        <w:t xml:space="preserve">purchasing </w:t>
      </w:r>
      <w:r w:rsidR="007D3C13" w:rsidRPr="00E67A4C">
        <w:rPr>
          <w:lang w:eastAsia="zh-CN" w:bidi="th-TH"/>
        </w:rPr>
        <w:t>decisions</w:t>
      </w:r>
      <w:r w:rsidR="00220D92" w:rsidRPr="00E67A4C">
        <w:rPr>
          <w:lang w:eastAsia="zh-CN" w:bidi="th-TH"/>
        </w:rPr>
        <w:t>.</w:t>
      </w:r>
      <w:r w:rsidR="008A20E2" w:rsidRPr="008A20E2">
        <w:rPr>
          <w:lang w:eastAsia="zh-CN" w:bidi="th-TH"/>
        </w:rPr>
        <w:t xml:space="preserve"> </w:t>
      </w:r>
      <w:r w:rsidR="00C077B4">
        <w:rPr>
          <w:lang w:eastAsia="zh-CN" w:bidi="th-TH"/>
        </w:rPr>
        <w:t xml:space="preserve">Consumers may also underestimate the impact of their </w:t>
      </w:r>
      <w:r w:rsidR="00AE19DB">
        <w:rPr>
          <w:lang w:eastAsia="zh-CN" w:bidi="th-TH"/>
        </w:rPr>
        <w:t xml:space="preserve">food and drink </w:t>
      </w:r>
      <w:r w:rsidR="00C077B4">
        <w:rPr>
          <w:lang w:eastAsia="zh-CN" w:bidi="th-TH"/>
        </w:rPr>
        <w:t>purchases on daily energy intake</w:t>
      </w:r>
      <w:r w:rsidR="00AE19DB">
        <w:rPr>
          <w:lang w:eastAsia="zh-CN" w:bidi="th-TH"/>
        </w:rPr>
        <w:t xml:space="preserve">. </w:t>
      </w:r>
      <w:r w:rsidR="007328B8">
        <w:rPr>
          <w:lang w:eastAsia="zh-CN" w:bidi="th-TH"/>
        </w:rPr>
        <w:t>Conversely, i</w:t>
      </w:r>
      <w:r w:rsidR="008A20E2">
        <w:rPr>
          <w:lang w:eastAsia="zh-CN" w:bidi="th-TH"/>
        </w:rPr>
        <w:t>t is also important to note that consumers may make purchasing decisions without reference to a menu,</w:t>
      </w:r>
      <w:r w:rsidR="00BD1CC9">
        <w:rPr>
          <w:lang w:eastAsia="zh-CN" w:bidi="th-TH"/>
        </w:rPr>
        <w:t xml:space="preserve"> and that declining numeracy levels </w:t>
      </w:r>
      <w:r w:rsidR="00C45A76">
        <w:rPr>
          <w:lang w:eastAsia="zh-CN" w:bidi="th-TH"/>
        </w:rPr>
        <w:t xml:space="preserve">and a lack of awareness of menu labelling may </w:t>
      </w:r>
      <w:r w:rsidR="00597B4D">
        <w:rPr>
          <w:lang w:eastAsia="zh-CN" w:bidi="th-TH"/>
        </w:rPr>
        <w:t>minimise the issue that energy information is not universally available</w:t>
      </w:r>
      <w:r w:rsidR="00810F68">
        <w:rPr>
          <w:lang w:eastAsia="zh-CN" w:bidi="th-TH"/>
        </w:rPr>
        <w:t xml:space="preserve"> at the point-of-sale</w:t>
      </w:r>
      <w:r w:rsidR="00597B4D">
        <w:rPr>
          <w:lang w:eastAsia="zh-CN" w:bidi="th-TH"/>
        </w:rPr>
        <w:t>.</w:t>
      </w:r>
      <w:r w:rsidR="00BD1CC9">
        <w:rPr>
          <w:lang w:eastAsia="zh-CN" w:bidi="th-TH"/>
        </w:rPr>
        <w:t xml:space="preserve"> </w:t>
      </w:r>
      <w:r w:rsidR="008A20E2">
        <w:rPr>
          <w:lang w:eastAsia="zh-CN" w:bidi="th-TH"/>
        </w:rPr>
        <w:t xml:space="preserve"> </w:t>
      </w:r>
    </w:p>
    <w:p w14:paraId="72E3D3FE" w14:textId="77777777" w:rsidR="00810F68" w:rsidRPr="00E67A4C" w:rsidRDefault="00810F68" w:rsidP="008A20E2">
      <w:pPr>
        <w:spacing w:after="40"/>
        <w:jc w:val="both"/>
        <w:rPr>
          <w:lang w:eastAsia="zh-CN" w:bidi="th-TH"/>
        </w:rPr>
      </w:pPr>
    </w:p>
    <w:p w14:paraId="378ADC5E" w14:textId="408027EE" w:rsidR="00874F1F" w:rsidRPr="00DA44CE" w:rsidRDefault="00874F1F" w:rsidP="00F53A05">
      <w:pPr>
        <w:pStyle w:val="Heading3"/>
      </w:pPr>
      <w:r w:rsidRPr="00DA44CE">
        <w:t xml:space="preserve">2.4 </w:t>
      </w:r>
      <w:bookmarkStart w:id="32" w:name="_Hlk83629227"/>
      <w:r w:rsidRPr="00DA44CE">
        <w:t>Current approach to menu labelling is not achieving the greatest public health benefit</w:t>
      </w:r>
      <w:bookmarkEnd w:id="32"/>
    </w:p>
    <w:p w14:paraId="7C016353" w14:textId="77777777" w:rsidR="00E76E78" w:rsidRDefault="00834803" w:rsidP="00834803">
      <w:pPr>
        <w:spacing w:after="40"/>
        <w:jc w:val="both"/>
        <w:rPr>
          <w:lang w:eastAsia="zh-CN" w:bidi="th-TH"/>
        </w:rPr>
      </w:pPr>
      <w:r>
        <w:rPr>
          <w:lang w:eastAsia="zh-CN" w:bidi="th-TH"/>
        </w:rPr>
        <w:t>There is a need to address overweight and obesity in both Australia and New Zealand</w:t>
      </w:r>
      <w:r w:rsidR="000E6100">
        <w:rPr>
          <w:lang w:eastAsia="zh-CN" w:bidi="th-TH"/>
        </w:rPr>
        <w:t xml:space="preserve">, as it affects </w:t>
      </w:r>
      <w:r w:rsidR="00E76E78">
        <w:rPr>
          <w:lang w:eastAsia="zh-CN" w:bidi="th-TH"/>
        </w:rPr>
        <w:t>most of</w:t>
      </w:r>
      <w:r w:rsidR="000E6100">
        <w:rPr>
          <w:lang w:eastAsia="zh-CN" w:bidi="th-TH"/>
        </w:rPr>
        <w:t xml:space="preserve"> the population</w:t>
      </w:r>
      <w:r w:rsidR="008D73ED">
        <w:rPr>
          <w:lang w:eastAsia="zh-CN" w:bidi="th-TH"/>
        </w:rPr>
        <w:t xml:space="preserve">, is a leading risk factor </w:t>
      </w:r>
      <w:r w:rsidR="006E7199">
        <w:rPr>
          <w:lang w:eastAsia="zh-CN" w:bidi="th-TH"/>
        </w:rPr>
        <w:t>for chronic diseases and</w:t>
      </w:r>
      <w:r w:rsidR="00795C4D">
        <w:rPr>
          <w:lang w:eastAsia="zh-CN" w:bidi="th-TH"/>
        </w:rPr>
        <w:t xml:space="preserve"> has an economic cost</w:t>
      </w:r>
      <w:r w:rsidR="00E76E78">
        <w:rPr>
          <w:lang w:eastAsia="zh-CN" w:bidi="th-TH"/>
        </w:rPr>
        <w:t xml:space="preserve"> for</w:t>
      </w:r>
      <w:r w:rsidR="00795C4D">
        <w:rPr>
          <w:lang w:eastAsia="zh-CN" w:bidi="th-TH"/>
        </w:rPr>
        <w:t xml:space="preserve"> government and society.</w:t>
      </w:r>
      <w:r w:rsidR="000E6100">
        <w:rPr>
          <w:lang w:eastAsia="zh-CN" w:bidi="th-TH"/>
        </w:rPr>
        <w:t xml:space="preserve"> </w:t>
      </w:r>
      <w:r>
        <w:rPr>
          <w:lang w:eastAsia="zh-CN" w:bidi="th-TH"/>
        </w:rPr>
        <w:t xml:space="preserve"> </w:t>
      </w:r>
    </w:p>
    <w:p w14:paraId="5BE64629" w14:textId="77777777" w:rsidR="00E76E78" w:rsidRDefault="00E76E78" w:rsidP="0055688D">
      <w:pPr>
        <w:pStyle w:val="ListParagraph"/>
        <w:numPr>
          <w:ilvl w:val="0"/>
          <w:numId w:val="44"/>
        </w:numPr>
        <w:spacing w:after="40"/>
        <w:jc w:val="both"/>
        <w:rPr>
          <w:lang w:eastAsia="en-NZ"/>
        </w:rPr>
      </w:pPr>
      <w:r w:rsidRPr="00E76E78">
        <w:t>In 2017-18, two-thirds (67%) of adults (18 years and older) and one-quarter (24.9%) of children (5-17 years) were overweight or obese in Australia.</w:t>
      </w:r>
      <w:r w:rsidRPr="00E76E78">
        <w:rPr>
          <w:vertAlign w:val="superscript"/>
        </w:rPr>
        <w:footnoteReference w:id="66"/>
      </w:r>
      <w:r w:rsidRPr="00E76E78">
        <w:t xml:space="preserve"> In 2018-19, 71 per cent of Aboriginal and Torres Strait Islander adults (15 years and older) and more than one-third (37%) of Aboriginal and Torres Strait Islander children were overweight or obese.</w:t>
      </w:r>
      <w:r w:rsidRPr="00E76E78">
        <w:rPr>
          <w:rStyle w:val="FootnoteReference"/>
        </w:rPr>
        <w:footnoteReference w:id="67"/>
      </w:r>
      <w:r w:rsidRPr="00E76E78">
        <w:t xml:space="preserve"> </w:t>
      </w:r>
    </w:p>
    <w:p w14:paraId="0B1D3759" w14:textId="77777777" w:rsidR="00E76E78" w:rsidRDefault="00E76E78" w:rsidP="0055688D">
      <w:pPr>
        <w:pStyle w:val="ListParagraph"/>
        <w:numPr>
          <w:ilvl w:val="0"/>
          <w:numId w:val="44"/>
        </w:numPr>
        <w:spacing w:after="40"/>
        <w:jc w:val="both"/>
        <w:rPr>
          <w:lang w:eastAsia="en-NZ"/>
        </w:rPr>
      </w:pPr>
      <w:r w:rsidRPr="00E76E78">
        <w:t>Results were similar in New Zealand with 66.2 per cent of adults (15 years and older) and 29.6 per cent of children overweight or obese in 2019-20.</w:t>
      </w:r>
      <w:r w:rsidRPr="00E76E78">
        <w:rPr>
          <w:vertAlign w:val="superscript"/>
        </w:rPr>
        <w:footnoteReference w:id="68"/>
      </w:r>
      <w:r w:rsidRPr="00E76E78">
        <w:rPr>
          <w:lang w:eastAsia="en-NZ"/>
        </w:rPr>
        <w:t xml:space="preserve"> After adjusting for age and gender, Pacific and Māori adults were 2.3 times and 1.8 times more likely to be overweight or obese as non-Pacific and non-Māori, respectively.</w:t>
      </w:r>
      <w:r w:rsidRPr="00E76E78">
        <w:rPr>
          <w:vertAlign w:val="superscript"/>
        </w:rPr>
        <w:footnoteReference w:id="69"/>
      </w:r>
    </w:p>
    <w:p w14:paraId="2AA6E2D1" w14:textId="141BD73F" w:rsidR="00834803" w:rsidRPr="00834803" w:rsidRDefault="00834803" w:rsidP="0055688D">
      <w:pPr>
        <w:pStyle w:val="ListParagraph"/>
        <w:numPr>
          <w:ilvl w:val="0"/>
          <w:numId w:val="44"/>
        </w:numPr>
        <w:spacing w:after="40"/>
        <w:jc w:val="both"/>
        <w:rPr>
          <w:lang w:eastAsia="en-NZ"/>
        </w:rPr>
      </w:pPr>
      <w:r w:rsidRPr="00834803">
        <w:t>In Australia and New Zealand, high body mass index was the second leading cause of health loss (8.36% and 8.15%, respectively) and combined dietary risks were the fourth leading cause of health loss (6.27% and 7.41%, respectively) in 2019.</w:t>
      </w:r>
      <w:r w:rsidRPr="00834803">
        <w:rPr>
          <w:rStyle w:val="FootnoteReference"/>
        </w:rPr>
        <w:footnoteReference w:id="70"/>
      </w:r>
      <w:r w:rsidRPr="00834803">
        <w:t xml:space="preserve"> </w:t>
      </w:r>
    </w:p>
    <w:p w14:paraId="009F9994" w14:textId="77777777" w:rsidR="00E76E78" w:rsidRPr="00E76E78" w:rsidRDefault="00E76E78" w:rsidP="0055688D">
      <w:pPr>
        <w:pStyle w:val="ListParagraph"/>
        <w:numPr>
          <w:ilvl w:val="0"/>
          <w:numId w:val="44"/>
        </w:numPr>
        <w:spacing w:after="40"/>
        <w:jc w:val="both"/>
      </w:pPr>
      <w:r w:rsidRPr="00E76E78">
        <w:t>In 2015, PricewaterhouseCoopers (PwC) estimated the cost of obesity at $8.6 billion (AUD) per year in Australia. This included health system costs, tax foregone and productivity losses such as absenteeism.</w:t>
      </w:r>
      <w:r w:rsidRPr="00E76E78">
        <w:rPr>
          <w:rStyle w:val="FootnoteReference"/>
        </w:rPr>
        <w:footnoteReference w:id="71"/>
      </w:r>
      <w:r w:rsidRPr="00E76E78">
        <w:t xml:space="preserve"> The Obesity Collective calculated that this cost had grown to $11.8 billion (AUD) in 2017-18, with $5.4 billion in direct health costs and $6.4 billion in indirect costs.</w:t>
      </w:r>
      <w:r w:rsidRPr="00E76E78">
        <w:rPr>
          <w:rStyle w:val="FootnoteReference"/>
        </w:rPr>
        <w:footnoteReference w:id="72"/>
      </w:r>
      <w:r w:rsidRPr="00E76E78">
        <w:t xml:space="preserve"> PwC also estimated in 2015 the annual cost of loss of wellbeing and early death at $47.4 billion</w:t>
      </w:r>
      <w:r w:rsidRPr="00E76E78">
        <w:rPr>
          <w:vertAlign w:val="superscript"/>
        </w:rPr>
        <w:t xml:space="preserve"> </w:t>
      </w:r>
      <w:r w:rsidRPr="00E76E78">
        <w:t>(AUD)</w:t>
      </w:r>
      <w:r w:rsidRPr="00E76E78">
        <w:rPr>
          <w:vertAlign w:val="superscript"/>
        </w:rPr>
        <w:footnoteReference w:id="73"/>
      </w:r>
      <w:r w:rsidRPr="00E76E78">
        <w:t xml:space="preserve"> and that if the growth of </w:t>
      </w:r>
      <w:r w:rsidRPr="00E76E78">
        <w:lastRenderedPageBreak/>
        <w:t xml:space="preserve">obesity does not slow down, 2.4 million Australians would be obese by 2025, costing society $87.7 billion (AUD).  </w:t>
      </w:r>
    </w:p>
    <w:p w14:paraId="6D5F307B" w14:textId="77777777" w:rsidR="00E255D0" w:rsidRDefault="00E76E78" w:rsidP="0055688D">
      <w:pPr>
        <w:pStyle w:val="ListParagraph"/>
        <w:numPr>
          <w:ilvl w:val="0"/>
          <w:numId w:val="44"/>
        </w:numPr>
        <w:spacing w:after="40"/>
        <w:jc w:val="both"/>
      </w:pPr>
      <w:r w:rsidRPr="00E76E78">
        <w:t>Comparable data on the cost of obesity in New Zealand is not available. However, in 2006, New Zealand healthcare costs due to the treatment of overweight and obesity-related conditions were estimated at $624 million (NZD). Given increased obesity rates since then, costs in New Zealand are now likely to be substantially higher.</w:t>
      </w:r>
      <w:r w:rsidRPr="00E76E78">
        <w:rPr>
          <w:rStyle w:val="FootnoteReference"/>
        </w:rPr>
        <w:footnoteReference w:id="74"/>
      </w:r>
      <w:r w:rsidRPr="00E76E78">
        <w:t xml:space="preserve"> </w:t>
      </w:r>
    </w:p>
    <w:p w14:paraId="1BAE42BC" w14:textId="05AD527E" w:rsidR="00E76E78" w:rsidRPr="00882E5C" w:rsidRDefault="00E76E78" w:rsidP="0055688D">
      <w:pPr>
        <w:pStyle w:val="ListParagraph"/>
        <w:numPr>
          <w:ilvl w:val="0"/>
          <w:numId w:val="44"/>
        </w:numPr>
        <w:spacing w:after="40"/>
        <w:jc w:val="both"/>
      </w:pPr>
      <w:r w:rsidRPr="00882E5C">
        <w:t>For OECD countries, which includes Australia and New Zealand, it was estimated that 8.4% of health expenditure would be spent on the treatment of overweight and related conditions between 2020 and 2050.</w:t>
      </w:r>
      <w:r w:rsidR="00CB2667" w:rsidRPr="00882E5C">
        <w:rPr>
          <w:rStyle w:val="FootnoteReference"/>
        </w:rPr>
        <w:footnoteReference w:id="75"/>
      </w:r>
    </w:p>
    <w:p w14:paraId="5CB52E27" w14:textId="5F583069" w:rsidR="00834803" w:rsidRDefault="00834803" w:rsidP="00BC45BC">
      <w:pPr>
        <w:spacing w:after="40"/>
        <w:jc w:val="both"/>
        <w:rPr>
          <w:lang w:eastAsia="zh-CN" w:bidi="th-TH"/>
        </w:rPr>
      </w:pPr>
    </w:p>
    <w:p w14:paraId="6F4FB97C" w14:textId="12939BBF" w:rsidR="00E255D0" w:rsidRPr="00476A2B" w:rsidRDefault="00A87A29" w:rsidP="00E255D0">
      <w:pPr>
        <w:spacing w:after="40"/>
        <w:jc w:val="both"/>
        <w:rPr>
          <w:lang w:eastAsia="zh-CN" w:bidi="th-TH"/>
        </w:rPr>
      </w:pPr>
      <w:r w:rsidRPr="00A87A29">
        <w:t>Overweight and obesity is a complex problem with multiple causes. The supply and availability of ready-to-eat food and drinks which are energy dense and nutrient poor is one of the key drivers of overweight and obesity.</w:t>
      </w:r>
      <w:r w:rsidRPr="00A87A29">
        <w:rPr>
          <w:vertAlign w:val="superscript"/>
        </w:rPr>
        <w:footnoteReference w:id="76"/>
      </w:r>
      <w:r w:rsidRPr="00A87A29">
        <w:rPr>
          <w:vertAlign w:val="superscript"/>
        </w:rPr>
        <w:t xml:space="preserve"> </w:t>
      </w:r>
      <w:r w:rsidR="00E255D0" w:rsidRPr="00DA44CE">
        <w:rPr>
          <w:lang w:eastAsia="zh-CN" w:bidi="th-TH"/>
        </w:rPr>
        <w:t>The logic underpinning menu labelling (</w:t>
      </w:r>
      <w:r w:rsidR="00234CDD">
        <w:rPr>
          <w:lang w:eastAsia="zh-CN" w:bidi="th-TH"/>
        </w:rPr>
        <w:t>r</w:t>
      </w:r>
      <w:r w:rsidR="00E255D0" w:rsidRPr="00DA44CE">
        <w:rPr>
          <w:lang w:eastAsia="zh-CN" w:bidi="th-TH"/>
        </w:rPr>
        <w:t xml:space="preserve">efer to Figure 1) is that </w:t>
      </w:r>
      <w:r w:rsidR="00E255D0" w:rsidRPr="00476A2B">
        <w:rPr>
          <w:lang w:eastAsia="zh-CN" w:bidi="th-TH"/>
        </w:rPr>
        <w:t>being aware of and understanding the energy content of food and drinks will encourage consumers to make healthier choices, and lead to a reduction in energy intake. Over time a reduction in daily energy intake should contribute to a healthier body weight and reduce the risk and prevalence of chronic diseases related to high body mass (</w:t>
      </w:r>
      <w:r w:rsidR="00493F34" w:rsidRPr="00476A2B">
        <w:t xml:space="preserve">for example, </w:t>
      </w:r>
      <w:r w:rsidR="00E255D0" w:rsidRPr="00476A2B">
        <w:rPr>
          <w:lang w:eastAsia="zh-CN" w:bidi="th-TH"/>
        </w:rPr>
        <w:t xml:space="preserve">cardiovascular disease, diabetes and kidney diseases, and </w:t>
      </w:r>
      <w:r w:rsidR="009A0B80" w:rsidRPr="00476A2B">
        <w:rPr>
          <w:lang w:eastAsia="zh-CN" w:bidi="th-TH"/>
        </w:rPr>
        <w:t>some cancers</w:t>
      </w:r>
      <w:r w:rsidR="00E255D0" w:rsidRPr="00476A2B">
        <w:rPr>
          <w:lang w:eastAsia="zh-CN" w:bidi="th-TH"/>
        </w:rPr>
        <w:t>). At a population-level, the result would be improved public health outcomes.</w:t>
      </w:r>
    </w:p>
    <w:p w14:paraId="1ACD23B0" w14:textId="5ECF0611" w:rsidR="007376EE" w:rsidRPr="00476A2B" w:rsidRDefault="007376EE" w:rsidP="00E255D0">
      <w:pPr>
        <w:spacing w:after="40"/>
        <w:jc w:val="both"/>
        <w:rPr>
          <w:lang w:eastAsia="zh-CN" w:bidi="th-TH"/>
        </w:rPr>
      </w:pPr>
    </w:p>
    <w:p w14:paraId="7EBCC157" w14:textId="3F6EFAFC" w:rsidR="00A024A3" w:rsidRDefault="00A024A3" w:rsidP="00A024A3">
      <w:pPr>
        <w:spacing w:after="40"/>
        <w:jc w:val="both"/>
        <w:rPr>
          <w:lang w:eastAsia="zh-CN" w:bidi="th-TH"/>
        </w:rPr>
      </w:pPr>
      <w:r w:rsidRPr="00476A2B">
        <w:rPr>
          <w:lang w:eastAsia="zh-CN" w:bidi="th-TH"/>
        </w:rPr>
        <w:t>The 2011 Principles explicitly stated that ‘menu labelling should r</w:t>
      </w:r>
      <w:r w:rsidRPr="00476A2B">
        <w:t xml:space="preserve">ecognise that any change should contribute to improving public health outcomes’. </w:t>
      </w:r>
      <w:r w:rsidR="006A6922" w:rsidRPr="00476A2B">
        <w:t>W</w:t>
      </w:r>
      <w:r w:rsidR="00D30C66" w:rsidRPr="00476A2B">
        <w:t xml:space="preserve">hile </w:t>
      </w:r>
      <w:r w:rsidRPr="00476A2B">
        <w:t xml:space="preserve">the current approach to menu labelling </w:t>
      </w:r>
      <w:r w:rsidR="00D30C66" w:rsidRPr="00476A2B">
        <w:t xml:space="preserve">may be </w:t>
      </w:r>
      <w:r w:rsidR="004875FE" w:rsidRPr="00476A2B">
        <w:t xml:space="preserve">contributing to improved </w:t>
      </w:r>
      <w:r w:rsidR="004400C7" w:rsidRPr="00476A2B">
        <w:t xml:space="preserve">public </w:t>
      </w:r>
      <w:r w:rsidR="004875FE" w:rsidRPr="00476A2B">
        <w:t>health outcomes</w:t>
      </w:r>
      <w:r w:rsidR="00D30C66" w:rsidRPr="00476A2B">
        <w:t xml:space="preserve">, </w:t>
      </w:r>
      <w:r w:rsidR="00EA4224" w:rsidRPr="00476A2B">
        <w:t xml:space="preserve">public health stakeholders considered </w:t>
      </w:r>
      <w:r w:rsidR="00D30C66" w:rsidRPr="00476A2B">
        <w:t xml:space="preserve">it is not having the greatest </w:t>
      </w:r>
      <w:r w:rsidR="00CA3CB3" w:rsidRPr="00476A2B">
        <w:t xml:space="preserve">possible public health benefit. </w:t>
      </w:r>
      <w:r w:rsidR="00A745A6" w:rsidRPr="00476A2B">
        <w:t xml:space="preserve">Without sufficient evidence of the impact of mandatory menu labelling in Australia on </w:t>
      </w:r>
      <w:r w:rsidR="004400C7" w:rsidRPr="00476A2B">
        <w:t xml:space="preserve">public </w:t>
      </w:r>
      <w:r w:rsidR="00A745A6" w:rsidRPr="00476A2B">
        <w:t>health outcomes it is difficult to say whether menu labelling is having the desired effect.</w:t>
      </w:r>
      <w:r w:rsidRPr="00E67A4C">
        <w:t xml:space="preserve"> </w:t>
      </w:r>
      <w:r>
        <w:rPr>
          <w:lang w:eastAsia="zh-CN" w:bidi="th-TH"/>
        </w:rPr>
        <w:t xml:space="preserve"> </w:t>
      </w:r>
    </w:p>
    <w:p w14:paraId="4728AE8A" w14:textId="77777777" w:rsidR="00A024A3" w:rsidRDefault="00A024A3" w:rsidP="00E255D0">
      <w:pPr>
        <w:spacing w:after="40"/>
        <w:jc w:val="both"/>
        <w:rPr>
          <w:lang w:eastAsia="zh-CN" w:bidi="th-TH"/>
        </w:rPr>
      </w:pPr>
    </w:p>
    <w:p w14:paraId="33D38395" w14:textId="6A2FCB9E" w:rsidR="007D00AD" w:rsidRDefault="00C8665F" w:rsidP="004D5602">
      <w:pPr>
        <w:spacing w:after="40"/>
        <w:jc w:val="both"/>
        <w:rPr>
          <w:lang w:eastAsia="zh-CN" w:bidi="th-TH"/>
        </w:rPr>
      </w:pPr>
      <w:r>
        <w:rPr>
          <w:lang w:eastAsia="zh-CN" w:bidi="th-TH"/>
        </w:rPr>
        <w:t xml:space="preserve">To be effective, </w:t>
      </w:r>
      <w:r w:rsidR="00C526B8" w:rsidRPr="00DC3A42">
        <w:rPr>
          <w:lang w:eastAsia="zh-CN" w:bidi="th-TH"/>
        </w:rPr>
        <w:t>repeated exposure to menu labelling</w:t>
      </w:r>
      <w:r w:rsidR="0096513E" w:rsidRPr="00DC3A42">
        <w:rPr>
          <w:lang w:eastAsia="zh-CN" w:bidi="th-TH"/>
        </w:rPr>
        <w:t xml:space="preserve"> </w:t>
      </w:r>
      <w:r w:rsidR="00DB5E02" w:rsidRPr="00DC3A42">
        <w:rPr>
          <w:lang w:eastAsia="zh-CN" w:bidi="th-TH"/>
        </w:rPr>
        <w:t xml:space="preserve">may </w:t>
      </w:r>
      <w:r w:rsidR="0096513E" w:rsidRPr="00DC3A42">
        <w:rPr>
          <w:lang w:eastAsia="zh-CN" w:bidi="th-TH"/>
        </w:rPr>
        <w:t xml:space="preserve">support </w:t>
      </w:r>
      <w:r w:rsidR="00690FC1" w:rsidRPr="00DC3A42">
        <w:rPr>
          <w:lang w:eastAsia="zh-CN" w:bidi="th-TH"/>
        </w:rPr>
        <w:t xml:space="preserve">consumer </w:t>
      </w:r>
      <w:r w:rsidR="0096513E" w:rsidRPr="00DC3A42">
        <w:rPr>
          <w:lang w:eastAsia="zh-CN" w:bidi="th-TH"/>
        </w:rPr>
        <w:t>awareness and understanding</w:t>
      </w:r>
      <w:r w:rsidR="00690FC1" w:rsidRPr="00DC3A42">
        <w:rPr>
          <w:lang w:eastAsia="zh-CN" w:bidi="th-TH"/>
        </w:rPr>
        <w:t>.</w:t>
      </w:r>
      <w:r w:rsidR="00C526B8" w:rsidRPr="00DC3A42">
        <w:rPr>
          <w:rStyle w:val="FootnoteReference"/>
          <w:lang w:eastAsia="zh-CN" w:bidi="th-TH"/>
        </w:rPr>
        <w:footnoteReference w:id="77"/>
      </w:r>
      <w:r w:rsidR="00116D09">
        <w:rPr>
          <w:lang w:eastAsia="zh-CN" w:bidi="th-TH"/>
        </w:rPr>
        <w:t xml:space="preserve"> The combination of </w:t>
      </w:r>
      <w:r w:rsidR="00AA5D78">
        <w:rPr>
          <w:lang w:eastAsia="zh-CN" w:bidi="th-TH"/>
        </w:rPr>
        <w:t xml:space="preserve">menu labelling not being implemented in all jurisdictions, </w:t>
      </w:r>
      <w:r w:rsidR="00116D09">
        <w:rPr>
          <w:lang w:eastAsia="zh-CN" w:bidi="th-TH"/>
        </w:rPr>
        <w:t>exemptions for businesses selling standard food items, and lack of energy information on some menus and at some points-of-sale, reduces consumer’s exposure to menu labelling</w:t>
      </w:r>
      <w:r w:rsidR="00430E4A">
        <w:rPr>
          <w:lang w:eastAsia="zh-CN" w:bidi="th-TH"/>
        </w:rPr>
        <w:t xml:space="preserve">. </w:t>
      </w:r>
      <w:r w:rsidR="000531CB">
        <w:rPr>
          <w:lang w:eastAsia="zh-CN" w:bidi="th-TH"/>
        </w:rPr>
        <w:t xml:space="preserve">Without energy information universally available, it is more difficult </w:t>
      </w:r>
      <w:r w:rsidR="00E8350D">
        <w:rPr>
          <w:lang w:eastAsia="zh-CN" w:bidi="th-TH"/>
        </w:rPr>
        <w:t>to make an informed choice</w:t>
      </w:r>
      <w:r w:rsidR="00CD4B23">
        <w:rPr>
          <w:lang w:eastAsia="zh-CN" w:bidi="th-TH"/>
        </w:rPr>
        <w:t>. I</w:t>
      </w:r>
      <w:r w:rsidR="00771F28">
        <w:rPr>
          <w:lang w:eastAsia="zh-CN" w:bidi="th-TH"/>
        </w:rPr>
        <w:t xml:space="preserve">f </w:t>
      </w:r>
      <w:r w:rsidR="00CD4B23">
        <w:rPr>
          <w:lang w:eastAsia="zh-CN" w:bidi="th-TH"/>
        </w:rPr>
        <w:t>a lack of informatio</w:t>
      </w:r>
      <w:r w:rsidR="00794812">
        <w:rPr>
          <w:lang w:eastAsia="zh-CN" w:bidi="th-TH"/>
        </w:rPr>
        <w:t xml:space="preserve">n leads to </w:t>
      </w:r>
      <w:r w:rsidR="00E8350D">
        <w:rPr>
          <w:lang w:eastAsia="zh-CN" w:bidi="th-TH"/>
        </w:rPr>
        <w:t>no reduction o</w:t>
      </w:r>
      <w:r w:rsidR="00794812">
        <w:rPr>
          <w:lang w:eastAsia="zh-CN" w:bidi="th-TH"/>
        </w:rPr>
        <w:t>f</w:t>
      </w:r>
      <w:r w:rsidR="00E8350D">
        <w:rPr>
          <w:lang w:eastAsia="zh-CN" w:bidi="th-TH"/>
        </w:rPr>
        <w:t xml:space="preserve"> the amount of energy purchased</w:t>
      </w:r>
      <w:r w:rsidR="00771F28">
        <w:rPr>
          <w:lang w:eastAsia="zh-CN" w:bidi="th-TH"/>
        </w:rPr>
        <w:t>, the long</w:t>
      </w:r>
      <w:r w:rsidR="00D66ADC">
        <w:rPr>
          <w:lang w:eastAsia="zh-CN" w:bidi="th-TH"/>
        </w:rPr>
        <w:t>er</w:t>
      </w:r>
      <w:r w:rsidR="00771F28">
        <w:rPr>
          <w:lang w:eastAsia="zh-CN" w:bidi="th-TH"/>
        </w:rPr>
        <w:t xml:space="preserve"> term </w:t>
      </w:r>
      <w:r w:rsidR="00BE266F">
        <w:rPr>
          <w:lang w:eastAsia="zh-CN" w:bidi="th-TH"/>
        </w:rPr>
        <w:t xml:space="preserve">public health </w:t>
      </w:r>
      <w:r w:rsidR="00771F28">
        <w:rPr>
          <w:lang w:eastAsia="zh-CN" w:bidi="th-TH"/>
        </w:rPr>
        <w:t xml:space="preserve">benefits </w:t>
      </w:r>
      <w:r w:rsidR="00BE266F">
        <w:rPr>
          <w:lang w:eastAsia="zh-CN" w:bidi="th-TH"/>
        </w:rPr>
        <w:t>associated with decreased energy consumption and</w:t>
      </w:r>
      <w:r w:rsidR="00771F28">
        <w:rPr>
          <w:lang w:eastAsia="zh-CN" w:bidi="th-TH"/>
        </w:rPr>
        <w:t xml:space="preserve"> </w:t>
      </w:r>
      <w:r w:rsidR="00BE266F">
        <w:rPr>
          <w:lang w:eastAsia="zh-CN" w:bidi="th-TH"/>
        </w:rPr>
        <w:t xml:space="preserve">body </w:t>
      </w:r>
      <w:r w:rsidR="00771F28">
        <w:rPr>
          <w:lang w:eastAsia="zh-CN" w:bidi="th-TH"/>
        </w:rPr>
        <w:t>weight reduction</w:t>
      </w:r>
      <w:r w:rsidR="00BE266F">
        <w:rPr>
          <w:lang w:eastAsia="zh-CN" w:bidi="th-TH"/>
        </w:rPr>
        <w:t xml:space="preserve"> </w:t>
      </w:r>
      <w:r w:rsidR="00CD4B23">
        <w:rPr>
          <w:lang w:eastAsia="zh-CN" w:bidi="th-TH"/>
        </w:rPr>
        <w:t>may not be realised.</w:t>
      </w:r>
    </w:p>
    <w:p w14:paraId="42147176" w14:textId="77777777" w:rsidR="007D00AD" w:rsidRDefault="007D00AD" w:rsidP="004D5602">
      <w:pPr>
        <w:spacing w:after="40"/>
        <w:jc w:val="both"/>
        <w:rPr>
          <w:lang w:eastAsia="zh-CN" w:bidi="th-TH"/>
        </w:rPr>
      </w:pPr>
    </w:p>
    <w:p w14:paraId="67A8C44D" w14:textId="450B13CB" w:rsidR="0004125A" w:rsidRPr="00E67A4C" w:rsidRDefault="0004125A" w:rsidP="00F6154A">
      <w:pPr>
        <w:pStyle w:val="Heading2"/>
        <w:rPr>
          <w:rStyle w:val="Heading1Char"/>
          <w:rFonts w:ascii="Times New Roman" w:hAnsi="Times New Roman" w:cs="Times New Roman"/>
          <w:b/>
          <w:szCs w:val="28"/>
        </w:rPr>
      </w:pPr>
      <w:bookmarkStart w:id="33" w:name="_Toc91189671"/>
      <w:r w:rsidRPr="00246032">
        <w:rPr>
          <w:rStyle w:val="Heading1Char"/>
          <w:rFonts w:ascii="Times New Roman" w:hAnsi="Times New Roman" w:cs="Times New Roman"/>
          <w:b/>
          <w:bCs/>
          <w:kern w:val="0"/>
          <w:szCs w:val="28"/>
        </w:rPr>
        <w:t>3</w:t>
      </w:r>
      <w:r w:rsidR="00EA1E18" w:rsidRPr="00246032">
        <w:rPr>
          <w:rStyle w:val="Heading1Char"/>
          <w:rFonts w:ascii="Times New Roman" w:hAnsi="Times New Roman" w:cs="Times New Roman"/>
          <w:b/>
          <w:bCs/>
          <w:kern w:val="0"/>
          <w:szCs w:val="28"/>
        </w:rPr>
        <w:t xml:space="preserve"> </w:t>
      </w:r>
      <w:r w:rsidRPr="00246032">
        <w:rPr>
          <w:rStyle w:val="Heading1Char"/>
          <w:rFonts w:ascii="Times New Roman" w:hAnsi="Times New Roman" w:cs="Times New Roman"/>
          <w:b/>
          <w:bCs/>
          <w:kern w:val="0"/>
          <w:szCs w:val="28"/>
        </w:rPr>
        <w:t>Objectives</w:t>
      </w:r>
      <w:r w:rsidR="006011D8">
        <w:rPr>
          <w:rStyle w:val="Heading1Char"/>
          <w:rFonts w:ascii="Times New Roman" w:hAnsi="Times New Roman" w:cs="Times New Roman"/>
          <w:b/>
          <w:bCs/>
          <w:kern w:val="0"/>
          <w:szCs w:val="28"/>
        </w:rPr>
        <w:t xml:space="preserve"> for government intervention</w:t>
      </w:r>
      <w:bookmarkEnd w:id="33"/>
      <w:r w:rsidRPr="00E67A4C">
        <w:rPr>
          <w:rStyle w:val="Heading1Char"/>
          <w:rFonts w:ascii="Times New Roman" w:hAnsi="Times New Roman" w:cs="Times New Roman"/>
          <w:b/>
          <w:szCs w:val="28"/>
        </w:rPr>
        <w:tab/>
      </w:r>
    </w:p>
    <w:p w14:paraId="007B413F" w14:textId="4C824554" w:rsidR="003726C9" w:rsidRPr="00476A2B" w:rsidRDefault="003726C9" w:rsidP="003726C9">
      <w:pPr>
        <w:spacing w:after="40"/>
        <w:jc w:val="both"/>
        <w:rPr>
          <w:lang w:eastAsia="zh-CN" w:bidi="th-TH"/>
        </w:rPr>
      </w:pPr>
      <w:r>
        <w:rPr>
          <w:lang w:eastAsia="zh-CN" w:bidi="th-TH"/>
        </w:rPr>
        <w:t xml:space="preserve">The </w:t>
      </w:r>
      <w:r w:rsidR="00A95B93">
        <w:rPr>
          <w:lang w:eastAsia="zh-CN" w:bidi="th-TH"/>
        </w:rPr>
        <w:t xml:space="preserve">desired outcome </w:t>
      </w:r>
      <w:r w:rsidR="000F4CE3">
        <w:rPr>
          <w:lang w:eastAsia="zh-CN" w:bidi="th-TH"/>
        </w:rPr>
        <w:t>of</w:t>
      </w:r>
      <w:r>
        <w:rPr>
          <w:lang w:eastAsia="zh-CN" w:bidi="th-TH"/>
        </w:rPr>
        <w:t xml:space="preserve"> menu labelling is </w:t>
      </w:r>
      <w:r w:rsidR="00C11257">
        <w:rPr>
          <w:lang w:eastAsia="zh-CN" w:bidi="th-TH"/>
        </w:rPr>
        <w:t xml:space="preserve">that all </w:t>
      </w:r>
      <w:r w:rsidR="00236B69">
        <w:rPr>
          <w:lang w:eastAsia="zh-CN" w:bidi="th-TH"/>
        </w:rPr>
        <w:t>Australians and New Zealanders have access to</w:t>
      </w:r>
      <w:r>
        <w:rPr>
          <w:lang w:eastAsia="zh-CN" w:bidi="th-TH"/>
        </w:rPr>
        <w:t xml:space="preserve"> information </w:t>
      </w:r>
      <w:r w:rsidR="0065068F">
        <w:rPr>
          <w:lang w:eastAsia="zh-CN" w:bidi="th-TH"/>
        </w:rPr>
        <w:t xml:space="preserve">at the point-of-sale </w:t>
      </w:r>
      <w:r>
        <w:rPr>
          <w:lang w:eastAsia="zh-CN" w:bidi="th-TH"/>
        </w:rPr>
        <w:t>about the energy content of ready-to-eat food and drinks</w:t>
      </w:r>
      <w:r w:rsidR="00BC45BC">
        <w:rPr>
          <w:lang w:eastAsia="zh-CN" w:bidi="th-TH"/>
        </w:rPr>
        <w:t xml:space="preserve"> </w:t>
      </w:r>
      <w:r>
        <w:rPr>
          <w:lang w:eastAsia="zh-CN" w:bidi="th-TH"/>
        </w:rPr>
        <w:t>to help make informed purchasing decisions.</w:t>
      </w:r>
      <w:r w:rsidR="0065068F">
        <w:rPr>
          <w:lang w:eastAsia="zh-CN" w:bidi="th-TH"/>
        </w:rPr>
        <w:t xml:space="preserve"> The secondary </w:t>
      </w:r>
      <w:r w:rsidR="0052156B">
        <w:rPr>
          <w:lang w:eastAsia="zh-CN" w:bidi="th-TH"/>
        </w:rPr>
        <w:t xml:space="preserve">desired </w:t>
      </w:r>
      <w:r w:rsidR="0065068F">
        <w:rPr>
          <w:lang w:eastAsia="zh-CN" w:bidi="th-TH"/>
        </w:rPr>
        <w:t>outcome</w:t>
      </w:r>
      <w:r w:rsidR="0052156B">
        <w:rPr>
          <w:lang w:eastAsia="zh-CN" w:bidi="th-TH"/>
        </w:rPr>
        <w:t xml:space="preserve"> is that menu </w:t>
      </w:r>
      <w:r w:rsidR="0052156B">
        <w:rPr>
          <w:lang w:eastAsia="zh-CN" w:bidi="th-TH"/>
        </w:rPr>
        <w:lastRenderedPageBreak/>
        <w:t xml:space="preserve">labelling </w:t>
      </w:r>
      <w:r w:rsidR="0052156B" w:rsidRPr="00476A2B">
        <w:rPr>
          <w:lang w:eastAsia="zh-CN" w:bidi="th-TH"/>
        </w:rPr>
        <w:t>supports healt</w:t>
      </w:r>
      <w:r w:rsidR="00DF75D3" w:rsidRPr="00476A2B">
        <w:rPr>
          <w:lang w:eastAsia="zh-CN" w:bidi="th-TH"/>
        </w:rPr>
        <w:t>hier food choices</w:t>
      </w:r>
      <w:r w:rsidR="0052156B" w:rsidRPr="00476A2B">
        <w:rPr>
          <w:lang w:eastAsia="zh-CN" w:bidi="th-TH"/>
        </w:rPr>
        <w:t xml:space="preserve"> </w:t>
      </w:r>
      <w:r w:rsidR="00AA5D78" w:rsidRPr="00476A2B">
        <w:rPr>
          <w:lang w:eastAsia="zh-CN" w:bidi="th-TH"/>
        </w:rPr>
        <w:t xml:space="preserve">and </w:t>
      </w:r>
      <w:r w:rsidR="00F95C60" w:rsidRPr="00476A2B">
        <w:rPr>
          <w:lang w:eastAsia="zh-CN" w:bidi="th-TH"/>
        </w:rPr>
        <w:t>contributes to the prevention of obesity and diet-related chronic diseases</w:t>
      </w:r>
      <w:r w:rsidR="00ED29CB" w:rsidRPr="00476A2B">
        <w:rPr>
          <w:lang w:eastAsia="zh-CN" w:bidi="th-TH"/>
        </w:rPr>
        <w:t xml:space="preserve">, </w:t>
      </w:r>
      <w:r w:rsidR="006F5CA2" w:rsidRPr="00476A2B">
        <w:rPr>
          <w:lang w:eastAsia="zh-CN" w:bidi="th-TH"/>
        </w:rPr>
        <w:t>thus providing a public health benefit</w:t>
      </w:r>
      <w:r w:rsidR="00F95C60" w:rsidRPr="00476A2B">
        <w:rPr>
          <w:lang w:eastAsia="zh-CN" w:bidi="th-TH"/>
        </w:rPr>
        <w:t>.</w:t>
      </w:r>
    </w:p>
    <w:p w14:paraId="6C57AC90" w14:textId="7A840353" w:rsidR="000F4CE3" w:rsidRPr="00476A2B" w:rsidRDefault="000F4CE3" w:rsidP="003726C9">
      <w:pPr>
        <w:spacing w:after="40"/>
        <w:jc w:val="both"/>
        <w:rPr>
          <w:lang w:eastAsia="zh-CN" w:bidi="th-TH"/>
        </w:rPr>
      </w:pPr>
    </w:p>
    <w:p w14:paraId="793EFF14" w14:textId="2DAFD3E5" w:rsidR="00E53F3B" w:rsidRDefault="000F4CE3" w:rsidP="00AD1415">
      <w:pPr>
        <w:spacing w:after="40"/>
        <w:jc w:val="both"/>
      </w:pPr>
      <w:r w:rsidRPr="00476A2B">
        <w:rPr>
          <w:lang w:eastAsia="zh-CN" w:bidi="th-TH"/>
        </w:rPr>
        <w:t xml:space="preserve">The </w:t>
      </w:r>
      <w:r w:rsidR="00DD673A" w:rsidRPr="00476A2B">
        <w:rPr>
          <w:lang w:eastAsia="zh-CN" w:bidi="th-TH"/>
        </w:rPr>
        <w:t xml:space="preserve">key </w:t>
      </w:r>
      <w:r w:rsidRPr="00476A2B">
        <w:rPr>
          <w:lang w:eastAsia="zh-CN" w:bidi="th-TH"/>
        </w:rPr>
        <w:t xml:space="preserve">barriers preventing the </w:t>
      </w:r>
      <w:r w:rsidR="00001E6B" w:rsidRPr="00476A2B">
        <w:rPr>
          <w:lang w:eastAsia="zh-CN" w:bidi="th-TH"/>
        </w:rPr>
        <w:t>desired outcome</w:t>
      </w:r>
      <w:r w:rsidR="008A52E2" w:rsidRPr="00476A2B">
        <w:rPr>
          <w:lang w:eastAsia="zh-CN" w:bidi="th-TH"/>
        </w:rPr>
        <w:t>s</w:t>
      </w:r>
      <w:r w:rsidRPr="00476A2B">
        <w:rPr>
          <w:lang w:eastAsia="zh-CN" w:bidi="th-TH"/>
        </w:rPr>
        <w:t xml:space="preserve"> being achieved are </w:t>
      </w:r>
      <w:r w:rsidR="00E53F3B" w:rsidRPr="00476A2B">
        <w:rPr>
          <w:lang w:eastAsia="zh-CN" w:bidi="th-TH"/>
        </w:rPr>
        <w:t>outline</w:t>
      </w:r>
      <w:r w:rsidR="006011D8" w:rsidRPr="00476A2B">
        <w:rPr>
          <w:lang w:eastAsia="zh-CN" w:bidi="th-TH"/>
        </w:rPr>
        <w:t>d</w:t>
      </w:r>
      <w:r w:rsidRPr="00476A2B">
        <w:rPr>
          <w:lang w:eastAsia="zh-CN" w:bidi="th-TH"/>
        </w:rPr>
        <w:t xml:space="preserve"> in Section 2 above. Menu labelling that is not consistently implemented across Australia and New Zealand at the point-of-sale in all businesses that sell standardised ready-to-eat food and drink</w:t>
      </w:r>
      <w:r w:rsidR="00DD673A" w:rsidRPr="00476A2B">
        <w:rPr>
          <w:lang w:eastAsia="zh-CN" w:bidi="th-TH"/>
        </w:rPr>
        <w:t xml:space="preserve">, </w:t>
      </w:r>
      <w:r w:rsidRPr="00476A2B">
        <w:rPr>
          <w:lang w:eastAsia="zh-CN" w:bidi="th-TH"/>
        </w:rPr>
        <w:t>can</w:t>
      </w:r>
      <w:r w:rsidR="007D4EDC" w:rsidRPr="00476A2B">
        <w:rPr>
          <w:lang w:eastAsia="zh-CN" w:bidi="th-TH"/>
        </w:rPr>
        <w:t>not achiev</w:t>
      </w:r>
      <w:r w:rsidR="00DD673A" w:rsidRPr="00476A2B">
        <w:rPr>
          <w:lang w:eastAsia="zh-CN" w:bidi="th-TH"/>
        </w:rPr>
        <w:t>e</w:t>
      </w:r>
      <w:r w:rsidR="007D4EDC" w:rsidRPr="00476A2B">
        <w:rPr>
          <w:lang w:eastAsia="zh-CN" w:bidi="th-TH"/>
        </w:rPr>
        <w:t xml:space="preserve"> the </w:t>
      </w:r>
      <w:r w:rsidR="00874F1F" w:rsidRPr="00476A2B">
        <w:rPr>
          <w:lang w:eastAsia="zh-CN" w:bidi="th-TH"/>
        </w:rPr>
        <w:t>greatest</w:t>
      </w:r>
      <w:r w:rsidR="007D4EDC" w:rsidRPr="00476A2B">
        <w:rPr>
          <w:lang w:eastAsia="zh-CN" w:bidi="th-TH"/>
        </w:rPr>
        <w:t xml:space="preserve"> </w:t>
      </w:r>
      <w:r w:rsidR="00DD673A" w:rsidRPr="00476A2B">
        <w:rPr>
          <w:lang w:eastAsia="zh-CN" w:bidi="th-TH"/>
        </w:rPr>
        <w:t xml:space="preserve">possible </w:t>
      </w:r>
      <w:r w:rsidR="007D4EDC" w:rsidRPr="00476A2B">
        <w:rPr>
          <w:lang w:eastAsia="zh-CN" w:bidi="th-TH"/>
        </w:rPr>
        <w:t xml:space="preserve">public health </w:t>
      </w:r>
      <w:r w:rsidR="00874F1F" w:rsidRPr="00476A2B">
        <w:rPr>
          <w:lang w:eastAsia="zh-CN" w:bidi="th-TH"/>
        </w:rPr>
        <w:t>benefit</w:t>
      </w:r>
      <w:r w:rsidR="00DD673A" w:rsidRPr="00476A2B">
        <w:rPr>
          <w:lang w:eastAsia="zh-CN" w:bidi="th-TH"/>
        </w:rPr>
        <w:t>.</w:t>
      </w:r>
      <w:r w:rsidR="00FA287C" w:rsidRPr="00476A2B">
        <w:rPr>
          <w:lang w:eastAsia="zh-CN" w:bidi="th-TH"/>
        </w:rPr>
        <w:t xml:space="preserve"> Another important barrier to successful menu labelling is if consumers lack the knowledge and skills to</w:t>
      </w:r>
      <w:r w:rsidR="00FA287C" w:rsidRPr="00476A2B">
        <w:t xml:space="preserve"> understand kilojoules, energy density and energy needs</w:t>
      </w:r>
      <w:r w:rsidR="00A745A6" w:rsidRPr="00476A2B">
        <w:t>, which are fundamental to be able to use menu labelling to make h</w:t>
      </w:r>
      <w:r w:rsidR="00FA287C" w:rsidRPr="00476A2B">
        <w:t>ealthier food choices.</w:t>
      </w:r>
    </w:p>
    <w:p w14:paraId="318F099F" w14:textId="77777777" w:rsidR="00BC45BC" w:rsidRDefault="00BC45BC" w:rsidP="00AD1415">
      <w:pPr>
        <w:spacing w:after="40"/>
        <w:jc w:val="both"/>
      </w:pPr>
    </w:p>
    <w:p w14:paraId="44365DBE" w14:textId="1D388899" w:rsidR="00BC45BC" w:rsidRDefault="00BC45BC" w:rsidP="00BC45BC">
      <w:pPr>
        <w:spacing w:after="40"/>
        <w:jc w:val="both"/>
        <w:rPr>
          <w:lang w:eastAsia="zh-CN" w:bidi="th-TH"/>
        </w:rPr>
      </w:pPr>
      <w:r>
        <w:rPr>
          <w:lang w:eastAsia="zh-CN" w:bidi="th-TH"/>
        </w:rPr>
        <w:t xml:space="preserve">Although maintaining the government’s current approach of menu labelling in Australia and New Zealand is one option, it does not address the problem. There was broad support from most stakeholder submissions in 2021 for further government intervention to improve and strengthen the current approach. The primary reasons given was that the 2011 Principles and jurisdictional implementation of menu labelling legislation has not achieved consistent menu labelling. Stakeholders, particularly from public health and consumer organisations, highlighted that a mandatory approach to menu labelling is required, and consider that the alternative of voluntary action by industry is ineffective in improving health outcomes. Five state and territory governments have implemented menu labelling legislation in existing Food Acts, and there is a robust food regulation system operating in Australia and New Zealand. Given this, it is considered within the government’s capacity to successfully intervene to improve and strengthen menu labelling. </w:t>
      </w:r>
    </w:p>
    <w:p w14:paraId="5251E26B" w14:textId="77777777" w:rsidR="00FA287C" w:rsidRDefault="00FA287C" w:rsidP="00AD1415">
      <w:pPr>
        <w:spacing w:after="40"/>
        <w:jc w:val="both"/>
        <w:rPr>
          <w:lang w:eastAsia="zh-CN" w:bidi="th-TH"/>
        </w:rPr>
      </w:pPr>
    </w:p>
    <w:p w14:paraId="57FF303E" w14:textId="46B8B5ED" w:rsidR="00804C83" w:rsidRPr="00AE68CF" w:rsidRDefault="008965D8" w:rsidP="00AD1415">
      <w:pPr>
        <w:spacing w:after="40"/>
        <w:jc w:val="both"/>
        <w:rPr>
          <w:lang w:eastAsia="zh-CN" w:bidi="th-TH"/>
        </w:rPr>
      </w:pPr>
      <w:r w:rsidRPr="00AE68CF">
        <w:rPr>
          <w:lang w:eastAsia="zh-CN" w:bidi="th-TH"/>
        </w:rPr>
        <w:t>To address the</w:t>
      </w:r>
      <w:r w:rsidR="003726C9">
        <w:rPr>
          <w:lang w:eastAsia="zh-CN" w:bidi="th-TH"/>
        </w:rPr>
        <w:t xml:space="preserve"> </w:t>
      </w:r>
      <w:r w:rsidR="005511B8">
        <w:rPr>
          <w:lang w:eastAsia="zh-CN" w:bidi="th-TH"/>
        </w:rPr>
        <w:t>stated problem</w:t>
      </w:r>
      <w:r w:rsidRPr="00AE68CF">
        <w:rPr>
          <w:lang w:eastAsia="zh-CN" w:bidi="th-TH"/>
        </w:rPr>
        <w:t xml:space="preserve"> </w:t>
      </w:r>
      <w:r w:rsidR="003726C9">
        <w:rPr>
          <w:lang w:eastAsia="zh-CN" w:bidi="th-TH"/>
        </w:rPr>
        <w:t xml:space="preserve">and achieve the </w:t>
      </w:r>
      <w:r w:rsidR="00AE2A0F">
        <w:rPr>
          <w:lang w:eastAsia="zh-CN" w:bidi="th-TH"/>
        </w:rPr>
        <w:t>desired outcome</w:t>
      </w:r>
      <w:r w:rsidR="008447A8">
        <w:rPr>
          <w:lang w:eastAsia="zh-CN" w:bidi="th-TH"/>
        </w:rPr>
        <w:t>s</w:t>
      </w:r>
      <w:r w:rsidR="003726C9">
        <w:rPr>
          <w:lang w:eastAsia="zh-CN" w:bidi="th-TH"/>
        </w:rPr>
        <w:t xml:space="preserve"> of menu labelling</w:t>
      </w:r>
      <w:r w:rsidR="00B02813" w:rsidRPr="00AE68CF">
        <w:rPr>
          <w:lang w:eastAsia="zh-CN" w:bidi="th-TH"/>
        </w:rPr>
        <w:t>, t</w:t>
      </w:r>
      <w:r w:rsidR="008442F3" w:rsidRPr="00AE68CF">
        <w:rPr>
          <w:lang w:eastAsia="zh-CN" w:bidi="th-TH"/>
        </w:rPr>
        <w:t xml:space="preserve">he </w:t>
      </w:r>
      <w:r w:rsidR="00371122" w:rsidRPr="00AE68CF">
        <w:rPr>
          <w:lang w:eastAsia="zh-CN" w:bidi="th-TH"/>
        </w:rPr>
        <w:t>objective</w:t>
      </w:r>
      <w:r w:rsidR="00A745A6">
        <w:rPr>
          <w:lang w:eastAsia="zh-CN" w:bidi="th-TH"/>
        </w:rPr>
        <w:t>s</w:t>
      </w:r>
      <w:r w:rsidR="00B871FA">
        <w:rPr>
          <w:rStyle w:val="FootnoteReference"/>
          <w:lang w:eastAsia="zh-CN" w:bidi="th-TH"/>
        </w:rPr>
        <w:footnoteReference w:id="78"/>
      </w:r>
      <w:r w:rsidR="00371122" w:rsidRPr="00AE68CF">
        <w:rPr>
          <w:lang w:eastAsia="zh-CN" w:bidi="th-TH"/>
        </w:rPr>
        <w:t xml:space="preserve"> </w:t>
      </w:r>
      <w:r w:rsidR="00A745A6">
        <w:rPr>
          <w:lang w:eastAsia="zh-CN" w:bidi="th-TH"/>
        </w:rPr>
        <w:t>are</w:t>
      </w:r>
      <w:r w:rsidR="00B7302C" w:rsidRPr="00AE68CF">
        <w:rPr>
          <w:lang w:eastAsia="zh-CN" w:bidi="th-TH"/>
        </w:rPr>
        <w:t xml:space="preserve"> to</w:t>
      </w:r>
      <w:r w:rsidR="009A02BA" w:rsidRPr="00AE68CF">
        <w:rPr>
          <w:lang w:eastAsia="zh-CN" w:bidi="th-TH"/>
        </w:rPr>
        <w:t xml:space="preserve"> ensure</w:t>
      </w:r>
      <w:r w:rsidR="0079405A" w:rsidRPr="00AE68CF">
        <w:rPr>
          <w:lang w:eastAsia="zh-CN" w:bidi="th-TH"/>
        </w:rPr>
        <w:t xml:space="preserve"> </w:t>
      </w:r>
      <w:r w:rsidR="003027E1" w:rsidRPr="00AE68CF">
        <w:rPr>
          <w:lang w:eastAsia="zh-CN" w:bidi="th-TH"/>
        </w:rPr>
        <w:t>any regulat</w:t>
      </w:r>
      <w:r w:rsidR="004B6DC0" w:rsidRPr="00AE68CF">
        <w:rPr>
          <w:lang w:eastAsia="zh-CN" w:bidi="th-TH"/>
        </w:rPr>
        <w:t xml:space="preserve">ory </w:t>
      </w:r>
      <w:r w:rsidR="00C56257" w:rsidRPr="00AE68CF">
        <w:rPr>
          <w:lang w:eastAsia="zh-CN" w:bidi="th-TH"/>
        </w:rPr>
        <w:t>o</w:t>
      </w:r>
      <w:r w:rsidR="009A3991" w:rsidRPr="00AE68CF">
        <w:rPr>
          <w:lang w:eastAsia="zh-CN" w:bidi="th-TH"/>
        </w:rPr>
        <w:t>r</w:t>
      </w:r>
      <w:r w:rsidR="00C56257" w:rsidRPr="00AE68CF">
        <w:rPr>
          <w:lang w:eastAsia="zh-CN" w:bidi="th-TH"/>
        </w:rPr>
        <w:t xml:space="preserve"> non-regulatory </w:t>
      </w:r>
      <w:r w:rsidR="004B6DC0" w:rsidRPr="00AE68CF">
        <w:rPr>
          <w:lang w:eastAsia="zh-CN" w:bidi="th-TH"/>
        </w:rPr>
        <w:t>measure</w:t>
      </w:r>
      <w:r w:rsidR="00C56257" w:rsidRPr="00AE68CF">
        <w:rPr>
          <w:lang w:eastAsia="zh-CN" w:bidi="th-TH"/>
        </w:rPr>
        <w:t>s</w:t>
      </w:r>
      <w:r w:rsidR="004B6DC0" w:rsidRPr="00AE68CF">
        <w:rPr>
          <w:lang w:eastAsia="zh-CN" w:bidi="th-TH"/>
        </w:rPr>
        <w:t xml:space="preserve"> developed</w:t>
      </w:r>
      <w:r w:rsidR="008D2601" w:rsidRPr="00AE68CF">
        <w:rPr>
          <w:lang w:eastAsia="zh-CN" w:bidi="th-TH"/>
        </w:rPr>
        <w:t xml:space="preserve"> for menu labelling</w:t>
      </w:r>
      <w:r w:rsidR="00F56D32">
        <w:rPr>
          <w:lang w:eastAsia="zh-CN" w:bidi="th-TH"/>
        </w:rPr>
        <w:t xml:space="preserve"> in Australia and New Zealand</w:t>
      </w:r>
      <w:r w:rsidR="0027492C">
        <w:rPr>
          <w:lang w:eastAsia="zh-CN" w:bidi="th-TH"/>
        </w:rPr>
        <w:t xml:space="preserve"> will</w:t>
      </w:r>
      <w:r w:rsidR="00641F9C" w:rsidRPr="00AE68CF">
        <w:rPr>
          <w:lang w:eastAsia="zh-CN" w:bidi="th-TH"/>
        </w:rPr>
        <w:t>:</w:t>
      </w:r>
    </w:p>
    <w:p w14:paraId="56130287" w14:textId="334B0259" w:rsidR="00FA287C" w:rsidRDefault="00FA287C" w:rsidP="00F76FDC">
      <w:pPr>
        <w:pStyle w:val="ListParagraph"/>
        <w:numPr>
          <w:ilvl w:val="0"/>
          <w:numId w:val="3"/>
        </w:numPr>
        <w:spacing w:after="40"/>
        <w:jc w:val="both"/>
        <w:rPr>
          <w:lang w:eastAsia="zh-CN" w:bidi="th-TH"/>
        </w:rPr>
      </w:pPr>
      <w:bookmarkStart w:id="34" w:name="_Hlk88228413"/>
      <w:r w:rsidRPr="00AE68CF">
        <w:rPr>
          <w:lang w:eastAsia="zh-CN" w:bidi="th-TH"/>
        </w:rPr>
        <w:t xml:space="preserve">assist people to </w:t>
      </w:r>
      <w:r>
        <w:rPr>
          <w:lang w:eastAsia="zh-CN" w:bidi="th-TH"/>
        </w:rPr>
        <w:t xml:space="preserve">understand and use energy information to </w:t>
      </w:r>
      <w:r w:rsidRPr="00AE68CF">
        <w:rPr>
          <w:lang w:eastAsia="zh-CN" w:bidi="th-TH"/>
        </w:rPr>
        <w:t xml:space="preserve">make </w:t>
      </w:r>
      <w:r>
        <w:rPr>
          <w:lang w:eastAsia="zh-CN" w:bidi="th-TH"/>
        </w:rPr>
        <w:t xml:space="preserve">informed, </w:t>
      </w:r>
      <w:r w:rsidRPr="00AE68CF">
        <w:rPr>
          <w:lang w:eastAsia="zh-CN" w:bidi="th-TH"/>
        </w:rPr>
        <w:t>healthier food purchase choices at the point-of-sale</w:t>
      </w:r>
      <w:r>
        <w:rPr>
          <w:lang w:eastAsia="zh-CN" w:bidi="th-TH"/>
        </w:rPr>
        <w:t>;</w:t>
      </w:r>
    </w:p>
    <w:bookmarkEnd w:id="34"/>
    <w:p w14:paraId="06C297C4" w14:textId="045CD8C7" w:rsidR="00B871FA" w:rsidRDefault="00B871FA" w:rsidP="00F76FDC">
      <w:pPr>
        <w:pStyle w:val="ListParagraph"/>
        <w:numPr>
          <w:ilvl w:val="0"/>
          <w:numId w:val="3"/>
        </w:numPr>
        <w:spacing w:after="40"/>
        <w:jc w:val="both"/>
        <w:rPr>
          <w:lang w:eastAsia="zh-CN" w:bidi="th-TH"/>
        </w:rPr>
      </w:pPr>
      <w:r w:rsidRPr="00AE68CF">
        <w:rPr>
          <w:lang w:eastAsia="zh-CN" w:bidi="th-TH"/>
        </w:rPr>
        <w:t xml:space="preserve">ensure that </w:t>
      </w:r>
      <w:r>
        <w:rPr>
          <w:lang w:eastAsia="zh-CN" w:bidi="th-TH"/>
        </w:rPr>
        <w:t>all</w:t>
      </w:r>
      <w:r w:rsidRPr="00AE68CF">
        <w:rPr>
          <w:lang w:eastAsia="zh-CN" w:bidi="th-TH"/>
        </w:rPr>
        <w:t xml:space="preserve"> modes of sale and types of menus enable comparison of </w:t>
      </w:r>
      <w:r w:rsidR="00CA13A9">
        <w:rPr>
          <w:lang w:eastAsia="zh-CN" w:bidi="th-TH"/>
        </w:rPr>
        <w:t xml:space="preserve">all </w:t>
      </w:r>
      <w:r w:rsidRPr="00AE68CF">
        <w:rPr>
          <w:lang w:eastAsia="zh-CN" w:bidi="th-TH"/>
        </w:rPr>
        <w:t xml:space="preserve">menu options </w:t>
      </w:r>
      <w:r>
        <w:rPr>
          <w:lang w:eastAsia="zh-CN" w:bidi="th-TH"/>
        </w:rPr>
        <w:t>within and across businesses</w:t>
      </w:r>
      <w:r w:rsidR="00303E8A">
        <w:rPr>
          <w:lang w:eastAsia="zh-CN" w:bidi="th-TH"/>
        </w:rPr>
        <w:t xml:space="preserve"> that sell standard food items</w:t>
      </w:r>
      <w:r>
        <w:rPr>
          <w:lang w:eastAsia="zh-CN" w:bidi="th-TH"/>
        </w:rPr>
        <w:t>;</w:t>
      </w:r>
      <w:r w:rsidRPr="00AE68CF">
        <w:rPr>
          <w:rStyle w:val="FootnoteReference"/>
          <w:lang w:eastAsia="zh-CN" w:bidi="th-TH"/>
        </w:rPr>
        <w:footnoteReference w:id="79"/>
      </w:r>
    </w:p>
    <w:p w14:paraId="19B6FDB9" w14:textId="282EF0DF" w:rsidR="006531D8" w:rsidRPr="00476A2B" w:rsidRDefault="002F6CC5" w:rsidP="00F76FDC">
      <w:pPr>
        <w:pStyle w:val="ListParagraph"/>
        <w:numPr>
          <w:ilvl w:val="0"/>
          <w:numId w:val="3"/>
        </w:numPr>
        <w:spacing w:after="40"/>
        <w:jc w:val="both"/>
      </w:pPr>
      <w:bookmarkStart w:id="35" w:name="_Hlk88228570"/>
      <w:r w:rsidRPr="00AE68CF">
        <w:rPr>
          <w:lang w:eastAsia="zh-CN" w:bidi="th-TH"/>
        </w:rPr>
        <w:t xml:space="preserve">create a level playing field (with respect to menu labelling) for all businesses that sell </w:t>
      </w:r>
      <w:r w:rsidRPr="00476A2B">
        <w:rPr>
          <w:lang w:eastAsia="zh-CN" w:bidi="th-TH"/>
        </w:rPr>
        <w:t xml:space="preserve">standard food items; </w:t>
      </w:r>
      <w:r w:rsidR="00B871FA" w:rsidRPr="00476A2B">
        <w:rPr>
          <w:lang w:eastAsia="zh-CN" w:bidi="th-TH"/>
        </w:rPr>
        <w:t>and</w:t>
      </w:r>
    </w:p>
    <w:p w14:paraId="7B6125D6" w14:textId="47F78350" w:rsidR="00A74EA8" w:rsidRPr="00476A2B" w:rsidRDefault="00B871FA" w:rsidP="00796C0D">
      <w:pPr>
        <w:pStyle w:val="ListParagraph"/>
        <w:numPr>
          <w:ilvl w:val="0"/>
          <w:numId w:val="3"/>
        </w:numPr>
        <w:spacing w:after="40"/>
        <w:jc w:val="both"/>
      </w:pPr>
      <w:bookmarkStart w:id="36" w:name="_Hlk88228597"/>
      <w:bookmarkEnd w:id="35"/>
      <w:r w:rsidRPr="00476A2B">
        <w:rPr>
          <w:lang w:eastAsia="zh-CN" w:bidi="th-TH"/>
        </w:rPr>
        <w:t>minimise the proliferation of different menu labelling systems.</w:t>
      </w:r>
      <w:r w:rsidR="00155112" w:rsidRPr="00476A2B">
        <w:rPr>
          <w:lang w:eastAsia="zh-CN" w:bidi="th-TH"/>
        </w:rPr>
        <w:t xml:space="preserve"> </w:t>
      </w:r>
    </w:p>
    <w:bookmarkEnd w:id="36"/>
    <w:p w14:paraId="58E844CD" w14:textId="02A9941E" w:rsidR="00B871FA" w:rsidRPr="00476A2B" w:rsidRDefault="00B871FA" w:rsidP="00796C0D">
      <w:pPr>
        <w:spacing w:after="40"/>
        <w:jc w:val="both"/>
      </w:pPr>
    </w:p>
    <w:p w14:paraId="5B6F95E1" w14:textId="249C7A8F" w:rsidR="00AC352C" w:rsidRPr="00476A2B" w:rsidRDefault="0021219F" w:rsidP="00796C0D">
      <w:pPr>
        <w:spacing w:after="40"/>
        <w:jc w:val="both"/>
      </w:pPr>
      <w:r w:rsidRPr="00476A2B">
        <w:t xml:space="preserve">In recognition that the review of menu labelling schemes </w:t>
      </w:r>
      <w:r w:rsidR="009E6607" w:rsidRPr="00476A2B">
        <w:t>commenced in 2017</w:t>
      </w:r>
      <w:r w:rsidR="0000481B" w:rsidRPr="00476A2B">
        <w:t xml:space="preserve"> </w:t>
      </w:r>
      <w:r w:rsidR="002E27C7" w:rsidRPr="00476A2B">
        <w:t xml:space="preserve">the timeframe for achieving these objectives is as expeditious as </w:t>
      </w:r>
      <w:r w:rsidR="003F1D03" w:rsidRPr="00476A2B">
        <w:t xml:space="preserve">is </w:t>
      </w:r>
      <w:r w:rsidR="002E27C7" w:rsidRPr="00476A2B">
        <w:t xml:space="preserve">possible. </w:t>
      </w:r>
      <w:r w:rsidR="00F53A05" w:rsidRPr="00476A2B">
        <w:t xml:space="preserve">Given the increase in consumption of ready-to-eat foods purchased out of the home, providing </w:t>
      </w:r>
      <w:r w:rsidR="00AF0196" w:rsidRPr="00476A2B">
        <w:t xml:space="preserve">energy </w:t>
      </w:r>
      <w:r w:rsidR="00F53A05" w:rsidRPr="00476A2B">
        <w:t xml:space="preserve">information on these foods to enable </w:t>
      </w:r>
      <w:r w:rsidR="00AF0196" w:rsidRPr="00476A2B">
        <w:t xml:space="preserve">consumers to make </w:t>
      </w:r>
      <w:r w:rsidR="00F53A05" w:rsidRPr="00476A2B">
        <w:t xml:space="preserve">informed choice and protect public health is important. </w:t>
      </w:r>
      <w:r w:rsidR="00AF0196" w:rsidRPr="00476A2B">
        <w:t xml:space="preserve">Furthermore, </w:t>
      </w:r>
      <w:r w:rsidR="002C3FEC" w:rsidRPr="00476A2B">
        <w:t xml:space="preserve">food businesses deserve </w:t>
      </w:r>
      <w:r w:rsidR="002E27C7" w:rsidRPr="00476A2B">
        <w:t>clarity about governments’ expectations for menu labelling.</w:t>
      </w:r>
      <w:r w:rsidR="00AC352C" w:rsidRPr="00476A2B">
        <w:t xml:space="preserve"> Measuring the achievement of these objectives is further described in Section 8.</w:t>
      </w:r>
    </w:p>
    <w:p w14:paraId="3ECE3FCC" w14:textId="77777777" w:rsidR="00AC352C" w:rsidRPr="00476A2B" w:rsidRDefault="00AC352C" w:rsidP="00796C0D">
      <w:pPr>
        <w:spacing w:after="40"/>
        <w:jc w:val="both"/>
      </w:pPr>
    </w:p>
    <w:p w14:paraId="72B926F1" w14:textId="6CB93648" w:rsidR="00DC5CD0" w:rsidRPr="00DC5CD0" w:rsidRDefault="00DC5CD0" w:rsidP="00796C0D">
      <w:pPr>
        <w:spacing w:after="40"/>
        <w:jc w:val="both"/>
      </w:pPr>
      <w:r w:rsidRPr="00476A2B">
        <w:t xml:space="preserve">It is important to note that while there was broad support from stakeholders for the objectives proposed in the CRIS, there was one food industry organisation in New Zealand that did not support the objectives. The lack of support was because New Zealand does not have menu </w:t>
      </w:r>
      <w:r w:rsidRPr="00476A2B">
        <w:lastRenderedPageBreak/>
        <w:t xml:space="preserve">labelling and addressing the problem was not applicable to New Zealand. The other six submissions from New Zealand </w:t>
      </w:r>
      <w:r w:rsidR="00A745A6" w:rsidRPr="00476A2B">
        <w:t xml:space="preserve">food industry and public health organisations </w:t>
      </w:r>
      <w:r w:rsidRPr="00476A2B">
        <w:t>supported the objectives.</w:t>
      </w:r>
    </w:p>
    <w:p w14:paraId="78341239" w14:textId="5D4D3453" w:rsidR="0004125A" w:rsidRPr="00246032" w:rsidRDefault="0004125A" w:rsidP="00F6154A">
      <w:pPr>
        <w:pStyle w:val="Heading2"/>
        <w:rPr>
          <w:rStyle w:val="Heading1Char"/>
          <w:rFonts w:ascii="Times New Roman" w:hAnsi="Times New Roman" w:cs="Times New Roman"/>
          <w:b/>
          <w:bCs/>
          <w:kern w:val="0"/>
          <w:szCs w:val="28"/>
        </w:rPr>
      </w:pPr>
      <w:bookmarkStart w:id="37" w:name="_Toc426380825"/>
      <w:bookmarkStart w:id="38" w:name="_Toc426380890"/>
      <w:bookmarkStart w:id="39" w:name="_Toc426380921"/>
      <w:bookmarkStart w:id="40" w:name="_Toc91189672"/>
      <w:r w:rsidRPr="00246032">
        <w:rPr>
          <w:rStyle w:val="Heading1Char"/>
          <w:rFonts w:ascii="Times New Roman" w:hAnsi="Times New Roman" w:cs="Times New Roman"/>
          <w:b/>
          <w:bCs/>
          <w:kern w:val="0"/>
          <w:szCs w:val="28"/>
        </w:rPr>
        <w:t>4</w:t>
      </w:r>
      <w:r w:rsidR="00EA1E18" w:rsidRPr="00246032">
        <w:rPr>
          <w:rStyle w:val="Heading1Char"/>
          <w:rFonts w:ascii="Times New Roman" w:hAnsi="Times New Roman" w:cs="Times New Roman"/>
          <w:b/>
          <w:bCs/>
          <w:kern w:val="0"/>
          <w:szCs w:val="28"/>
        </w:rPr>
        <w:t xml:space="preserve"> </w:t>
      </w:r>
      <w:r w:rsidRPr="00246032">
        <w:rPr>
          <w:rStyle w:val="Heading1Char"/>
          <w:rFonts w:ascii="Times New Roman" w:hAnsi="Times New Roman" w:cs="Times New Roman"/>
          <w:b/>
          <w:bCs/>
          <w:kern w:val="0"/>
          <w:szCs w:val="28"/>
        </w:rPr>
        <w:t>Options</w:t>
      </w:r>
      <w:bookmarkEnd w:id="37"/>
      <w:bookmarkEnd w:id="38"/>
      <w:bookmarkEnd w:id="39"/>
      <w:bookmarkEnd w:id="40"/>
    </w:p>
    <w:p w14:paraId="50047F3D" w14:textId="208B6357" w:rsidR="00BD005E" w:rsidRPr="00476A2B" w:rsidRDefault="009D3D96" w:rsidP="00091538">
      <w:pPr>
        <w:spacing w:after="40"/>
        <w:jc w:val="both"/>
      </w:pPr>
      <w:r>
        <w:rPr>
          <w:lang w:eastAsia="zh-CN" w:bidi="th-TH"/>
        </w:rPr>
        <w:t>T</w:t>
      </w:r>
      <w:r w:rsidR="000C618B">
        <w:rPr>
          <w:lang w:eastAsia="zh-CN" w:bidi="th-TH"/>
        </w:rPr>
        <w:t xml:space="preserve">o </w:t>
      </w:r>
      <w:r w:rsidR="009277AD">
        <w:rPr>
          <w:lang w:eastAsia="zh-CN" w:bidi="th-TH"/>
        </w:rPr>
        <w:t xml:space="preserve">address the problem and </w:t>
      </w:r>
      <w:r w:rsidR="000C618B">
        <w:rPr>
          <w:lang w:eastAsia="zh-CN" w:bidi="th-TH"/>
        </w:rPr>
        <w:t xml:space="preserve">achieve the </w:t>
      </w:r>
      <w:r>
        <w:rPr>
          <w:lang w:eastAsia="zh-CN" w:bidi="th-TH"/>
        </w:rPr>
        <w:t>objectives described above, several regulatory and non-</w:t>
      </w:r>
      <w:r w:rsidRPr="00476A2B">
        <w:rPr>
          <w:lang w:eastAsia="zh-CN" w:bidi="th-TH"/>
        </w:rPr>
        <w:t xml:space="preserve">regulatory options were considered. </w:t>
      </w:r>
      <w:r w:rsidR="003F7613" w:rsidRPr="00476A2B">
        <w:t xml:space="preserve">Four </w:t>
      </w:r>
      <w:r w:rsidR="00C24C23" w:rsidRPr="00476A2B">
        <w:t xml:space="preserve">viable </w:t>
      </w:r>
      <w:r w:rsidR="003F7613" w:rsidRPr="00476A2B">
        <w:t>o</w:t>
      </w:r>
      <w:r w:rsidR="00F92999" w:rsidRPr="00476A2B">
        <w:t>ption</w:t>
      </w:r>
      <w:r w:rsidR="00A960DE" w:rsidRPr="00476A2B">
        <w:t>s</w:t>
      </w:r>
      <w:r w:rsidR="00F92999" w:rsidRPr="00476A2B">
        <w:t xml:space="preserve"> </w:t>
      </w:r>
      <w:r w:rsidR="003F7613" w:rsidRPr="00476A2B">
        <w:t>were</w:t>
      </w:r>
      <w:r w:rsidR="001A3F7A" w:rsidRPr="00476A2B">
        <w:t xml:space="preserve"> identified</w:t>
      </w:r>
      <w:r w:rsidR="00C24C23" w:rsidRPr="00476A2B">
        <w:t xml:space="preserve"> following stakeholder consultation in 2018 and further discussion among government stakeholders. Further </w:t>
      </w:r>
      <w:r w:rsidR="003F7613" w:rsidRPr="00476A2B">
        <w:t xml:space="preserve">stakeholder views </w:t>
      </w:r>
      <w:r w:rsidR="00C24C23" w:rsidRPr="00476A2B">
        <w:t xml:space="preserve">on each option were </w:t>
      </w:r>
      <w:r w:rsidR="003F7613" w:rsidRPr="00476A2B">
        <w:t xml:space="preserve">sought </w:t>
      </w:r>
      <w:r w:rsidR="00C24C23" w:rsidRPr="00476A2B">
        <w:t xml:space="preserve">in 2021. </w:t>
      </w:r>
    </w:p>
    <w:p w14:paraId="6B097A0A" w14:textId="659BBE5A" w:rsidR="00A745A6" w:rsidRPr="00476A2B" w:rsidRDefault="00A745A6" w:rsidP="002310D8">
      <w:pPr>
        <w:pStyle w:val="ListParagraph"/>
        <w:tabs>
          <w:tab w:val="left" w:pos="8295"/>
        </w:tabs>
        <w:spacing w:after="40"/>
        <w:ind w:left="0"/>
        <w:jc w:val="both"/>
      </w:pPr>
    </w:p>
    <w:p w14:paraId="64CE4BF5" w14:textId="701D99A9" w:rsidR="004240ED" w:rsidRPr="00476A2B" w:rsidRDefault="003E008C" w:rsidP="002310D8">
      <w:pPr>
        <w:pStyle w:val="ListParagraph"/>
        <w:tabs>
          <w:tab w:val="left" w:pos="8295"/>
        </w:tabs>
        <w:spacing w:after="40"/>
        <w:ind w:left="0"/>
        <w:jc w:val="both"/>
      </w:pPr>
      <w:r w:rsidRPr="00476A2B">
        <w:t>T</w:t>
      </w:r>
      <w:r w:rsidR="00F414F9" w:rsidRPr="00476A2B">
        <w:t xml:space="preserve">he option to </w:t>
      </w:r>
      <w:r w:rsidR="00902DE8" w:rsidRPr="00476A2B">
        <w:t>re</w:t>
      </w:r>
      <w:r w:rsidR="00F53477" w:rsidRPr="00476A2B">
        <w:t>move</w:t>
      </w:r>
      <w:r w:rsidR="00902DE8" w:rsidRPr="00476A2B">
        <w:t xml:space="preserve"> current menu labelling regulation was </w:t>
      </w:r>
      <w:r w:rsidR="001E2DCA" w:rsidRPr="00476A2B">
        <w:t>not considered a viable option.</w:t>
      </w:r>
      <w:r w:rsidR="004058C0" w:rsidRPr="00476A2B">
        <w:t xml:space="preserve"> </w:t>
      </w:r>
      <w:r w:rsidR="00A745A6" w:rsidRPr="00476A2B">
        <w:t xml:space="preserve">This </w:t>
      </w:r>
      <w:r w:rsidR="004058C0" w:rsidRPr="00476A2B">
        <w:t>wa</w:t>
      </w:r>
      <w:r w:rsidR="00A745A6" w:rsidRPr="00476A2B">
        <w:t xml:space="preserve">s because </w:t>
      </w:r>
      <w:r w:rsidR="00EC5517" w:rsidRPr="00476A2B">
        <w:t>all Australian states have some menu labelling (whether mandatory or voluntary</w:t>
      </w:r>
      <w:r w:rsidR="00F53477" w:rsidRPr="00476A2B">
        <w:t>),</w:t>
      </w:r>
      <w:r w:rsidR="00EC5517" w:rsidRPr="00476A2B">
        <w:t xml:space="preserve"> and significant regulatory and business changes would be required to remove it.</w:t>
      </w:r>
      <w:r w:rsidR="00B97114" w:rsidRPr="00476A2B">
        <w:t xml:space="preserve"> </w:t>
      </w:r>
      <w:r w:rsidR="000C58F7" w:rsidRPr="00476A2B">
        <w:t>Additionally, w</w:t>
      </w:r>
      <w:r w:rsidR="00B97114" w:rsidRPr="00476A2B">
        <w:t xml:space="preserve">ith packaged food, there is a recognition of the importance of providing information to enable informed choice, such as via the nutrition information panel (NIP). Given the increase in consumption of ready-to-eat foods purchased out of the home, providing some </w:t>
      </w:r>
      <w:r w:rsidR="000A0E20" w:rsidRPr="00476A2B">
        <w:t xml:space="preserve">energy </w:t>
      </w:r>
      <w:r w:rsidR="00B97114" w:rsidRPr="00476A2B">
        <w:t xml:space="preserve">information </w:t>
      </w:r>
      <w:r w:rsidR="000A0E20" w:rsidRPr="00476A2B">
        <w:t>for</w:t>
      </w:r>
      <w:r w:rsidR="00B97114" w:rsidRPr="00476A2B">
        <w:t xml:space="preserve"> these</w:t>
      </w:r>
      <w:r w:rsidR="00F53A05" w:rsidRPr="00476A2B">
        <w:t xml:space="preserve"> foods</w:t>
      </w:r>
      <w:r w:rsidR="00B97114" w:rsidRPr="00476A2B">
        <w:t xml:space="preserve"> to enable informed choice and protect public health is equally as important.</w:t>
      </w:r>
      <w:r w:rsidR="00BE1590" w:rsidRPr="00476A2B">
        <w:t xml:space="preserve"> </w:t>
      </w:r>
      <w:r w:rsidR="00A86FEB" w:rsidRPr="00476A2B">
        <w:t xml:space="preserve">Consumer education in the absence of menu labelling was also not considered to be an appropriate option as it could not </w:t>
      </w:r>
      <w:r w:rsidR="00BF16AA" w:rsidRPr="00476A2B">
        <w:t xml:space="preserve">address the problem and </w:t>
      </w:r>
      <w:r w:rsidR="00A86FEB" w:rsidRPr="00476A2B">
        <w:t>achieve the objectives.</w:t>
      </w:r>
    </w:p>
    <w:p w14:paraId="4389B93D" w14:textId="15943A0C" w:rsidR="004240ED" w:rsidRPr="00476A2B" w:rsidRDefault="004240ED" w:rsidP="002310D8">
      <w:pPr>
        <w:pStyle w:val="ListParagraph"/>
        <w:tabs>
          <w:tab w:val="left" w:pos="8295"/>
        </w:tabs>
        <w:spacing w:after="40"/>
        <w:ind w:left="0"/>
        <w:jc w:val="both"/>
      </w:pPr>
    </w:p>
    <w:tbl>
      <w:tblPr>
        <w:tblStyle w:val="PlainTable3"/>
        <w:tblW w:w="0" w:type="auto"/>
        <w:tblLook w:val="04A0" w:firstRow="1" w:lastRow="0" w:firstColumn="1" w:lastColumn="0" w:noHBand="0" w:noVBand="1"/>
      </w:tblPr>
      <w:tblGrid>
        <w:gridCol w:w="4527"/>
        <w:gridCol w:w="4527"/>
      </w:tblGrid>
      <w:tr w:rsidR="001D780F" w:rsidRPr="00476A2B" w14:paraId="1DA30D79" w14:textId="77777777" w:rsidTr="00A50B6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27" w:type="dxa"/>
          </w:tcPr>
          <w:p w14:paraId="72331B79" w14:textId="1536CFB3" w:rsidR="001D780F" w:rsidRPr="00476A2B" w:rsidRDefault="004240ED" w:rsidP="002310D8">
            <w:pPr>
              <w:pStyle w:val="ListParagraph"/>
              <w:tabs>
                <w:tab w:val="left" w:pos="8295"/>
              </w:tabs>
              <w:spacing w:after="40"/>
              <w:ind w:left="0"/>
              <w:jc w:val="both"/>
            </w:pPr>
            <w:r w:rsidRPr="00476A2B">
              <w:rPr>
                <w:caps w:val="0"/>
              </w:rPr>
              <w:t>O</w:t>
            </w:r>
            <w:r w:rsidR="00911E6B" w:rsidRPr="00476A2B">
              <w:rPr>
                <w:caps w:val="0"/>
              </w:rPr>
              <w:t>ptions presented in CRIS</w:t>
            </w:r>
          </w:p>
        </w:tc>
        <w:tc>
          <w:tcPr>
            <w:tcW w:w="4527" w:type="dxa"/>
          </w:tcPr>
          <w:p w14:paraId="2DB1EB77" w14:textId="3BD3CFFB" w:rsidR="001D780F" w:rsidRPr="00476A2B" w:rsidRDefault="00911E6B" w:rsidP="002310D8">
            <w:pPr>
              <w:pStyle w:val="ListParagraph"/>
              <w:tabs>
                <w:tab w:val="left" w:pos="8295"/>
              </w:tabs>
              <w:spacing w:after="40"/>
              <w:ind w:left="0"/>
              <w:jc w:val="both"/>
              <w:cnfStyle w:val="100000000000" w:firstRow="1" w:lastRow="0" w:firstColumn="0" w:lastColumn="0" w:oddVBand="0" w:evenVBand="0" w:oddHBand="0" w:evenHBand="0" w:firstRowFirstColumn="0" w:firstRowLastColumn="0" w:lastRowFirstColumn="0" w:lastRowLastColumn="0"/>
            </w:pPr>
            <w:r w:rsidRPr="00476A2B">
              <w:rPr>
                <w:caps w:val="0"/>
              </w:rPr>
              <w:t>Options following consultation</w:t>
            </w:r>
          </w:p>
        </w:tc>
      </w:tr>
      <w:tr w:rsidR="001D780F" w:rsidRPr="00476A2B" w14:paraId="23CE1055" w14:textId="77777777" w:rsidTr="00A50B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7" w:type="dxa"/>
          </w:tcPr>
          <w:p w14:paraId="2B0BA8B0" w14:textId="16059A1E" w:rsidR="008E6B07" w:rsidRPr="00476A2B" w:rsidRDefault="00911E6B" w:rsidP="0055688D">
            <w:pPr>
              <w:pStyle w:val="ListParagraph"/>
              <w:numPr>
                <w:ilvl w:val="0"/>
                <w:numId w:val="71"/>
              </w:numPr>
              <w:spacing w:after="40"/>
              <w:jc w:val="both"/>
              <w:rPr>
                <w:rFonts w:eastAsia="Calibri"/>
                <w:b w:val="0"/>
                <w:bCs w:val="0"/>
                <w:i/>
              </w:rPr>
            </w:pPr>
            <w:bookmarkStart w:id="41" w:name="_Hlk88230843"/>
            <w:r w:rsidRPr="00476A2B">
              <w:rPr>
                <w:rFonts w:eastAsia="Calibri"/>
                <w:b w:val="0"/>
                <w:bCs w:val="0"/>
                <w:i/>
                <w:caps w:val="0"/>
              </w:rPr>
              <w:t>Maintain the status quo, allowing jurisdictions to choose</w:t>
            </w:r>
            <w:r w:rsidR="008E6B07" w:rsidRPr="00476A2B">
              <w:rPr>
                <w:rFonts w:eastAsia="Calibri"/>
                <w:b w:val="0"/>
                <w:bCs w:val="0"/>
                <w:i/>
              </w:rPr>
              <w:t xml:space="preserve"> </w:t>
            </w:r>
            <w:r w:rsidRPr="00476A2B">
              <w:rPr>
                <w:rFonts w:eastAsia="Calibri"/>
                <w:b w:val="0"/>
                <w:bCs w:val="0"/>
                <w:i/>
                <w:caps w:val="0"/>
              </w:rPr>
              <w:t>how to implement menu labelling consistent with the 2011 Principles.</w:t>
            </w:r>
          </w:p>
          <w:p w14:paraId="13489B40" w14:textId="77777777" w:rsidR="001D780F" w:rsidRPr="00476A2B" w:rsidRDefault="001D780F" w:rsidP="002310D8">
            <w:pPr>
              <w:pStyle w:val="ListParagraph"/>
              <w:tabs>
                <w:tab w:val="left" w:pos="8295"/>
              </w:tabs>
              <w:spacing w:after="40"/>
              <w:ind w:left="0"/>
              <w:jc w:val="both"/>
              <w:rPr>
                <w:b w:val="0"/>
                <w:bCs w:val="0"/>
              </w:rPr>
            </w:pPr>
          </w:p>
        </w:tc>
        <w:tc>
          <w:tcPr>
            <w:tcW w:w="4527" w:type="dxa"/>
          </w:tcPr>
          <w:p w14:paraId="1E438C93" w14:textId="517FA514" w:rsidR="001D780F" w:rsidRPr="00476A2B" w:rsidRDefault="001D780F" w:rsidP="0055688D">
            <w:pPr>
              <w:pStyle w:val="Bodytext-TMRfont12"/>
              <w:numPr>
                <w:ilvl w:val="0"/>
                <w:numId w:val="70"/>
              </w:numPr>
              <w:cnfStyle w:val="000000100000" w:firstRow="0" w:lastRow="0" w:firstColumn="0" w:lastColumn="0" w:oddVBand="0" w:evenVBand="0" w:oddHBand="1" w:evenHBand="0" w:firstRowFirstColumn="0" w:firstRowLastColumn="0" w:lastRowFirstColumn="0" w:lastRowLastColumn="0"/>
              <w:rPr>
                <w:i/>
              </w:rPr>
            </w:pPr>
            <w:r w:rsidRPr="00476A2B">
              <w:rPr>
                <w:i/>
              </w:rPr>
              <w:t>Allow jurisdictions to choose how to implement menu labelling that is consistent with the 2011 Principles (status quo).</w:t>
            </w:r>
          </w:p>
          <w:p w14:paraId="637893E1" w14:textId="77777777" w:rsidR="001D780F" w:rsidRPr="00476A2B" w:rsidRDefault="001D780F" w:rsidP="002310D8">
            <w:pPr>
              <w:pStyle w:val="ListParagraph"/>
              <w:tabs>
                <w:tab w:val="left" w:pos="8295"/>
              </w:tabs>
              <w:spacing w:after="40"/>
              <w:ind w:left="0"/>
              <w:jc w:val="both"/>
              <w:cnfStyle w:val="000000100000" w:firstRow="0" w:lastRow="0" w:firstColumn="0" w:lastColumn="0" w:oddVBand="0" w:evenVBand="0" w:oddHBand="1" w:evenHBand="0" w:firstRowFirstColumn="0" w:firstRowLastColumn="0" w:lastRowFirstColumn="0" w:lastRowLastColumn="0"/>
            </w:pPr>
          </w:p>
        </w:tc>
      </w:tr>
      <w:tr w:rsidR="001D780F" w:rsidRPr="00476A2B" w14:paraId="5AE206C4" w14:textId="77777777" w:rsidTr="00A50B68">
        <w:tc>
          <w:tcPr>
            <w:cnfStyle w:val="001000000000" w:firstRow="0" w:lastRow="0" w:firstColumn="1" w:lastColumn="0" w:oddVBand="0" w:evenVBand="0" w:oddHBand="0" w:evenHBand="0" w:firstRowFirstColumn="0" w:firstRowLastColumn="0" w:lastRowFirstColumn="0" w:lastRowLastColumn="0"/>
            <w:tcW w:w="4527" w:type="dxa"/>
          </w:tcPr>
          <w:p w14:paraId="7ECC997C" w14:textId="62B0247C" w:rsidR="008E6B07" w:rsidRPr="00476A2B" w:rsidRDefault="00911E6B" w:rsidP="0055688D">
            <w:pPr>
              <w:pStyle w:val="ListParagraph"/>
              <w:numPr>
                <w:ilvl w:val="0"/>
                <w:numId w:val="70"/>
              </w:numPr>
              <w:spacing w:after="40"/>
              <w:jc w:val="both"/>
              <w:rPr>
                <w:rFonts w:eastAsia="Calibri"/>
                <w:b w:val="0"/>
                <w:bCs w:val="0"/>
                <w:i/>
              </w:rPr>
            </w:pPr>
            <w:r w:rsidRPr="00476A2B">
              <w:rPr>
                <w:rFonts w:eastAsia="Calibri"/>
                <w:b w:val="0"/>
                <w:bCs w:val="0"/>
                <w:i/>
                <w:caps w:val="0"/>
                <w:lang w:eastAsia="en-GB"/>
              </w:rPr>
              <w:t>Amend the 2011 Principles and encourage all jurisdictions to consistently implement menu labelling schemes in their own legislation.</w:t>
            </w:r>
            <w:r w:rsidR="008E6B07" w:rsidRPr="00476A2B">
              <w:rPr>
                <w:rFonts w:eastAsia="Calibri"/>
                <w:b w:val="0"/>
                <w:bCs w:val="0"/>
                <w:lang w:eastAsia="en-GB"/>
              </w:rPr>
              <w:t xml:space="preserve"> </w:t>
            </w:r>
          </w:p>
          <w:p w14:paraId="33554E71" w14:textId="77777777" w:rsidR="001D780F" w:rsidRPr="00476A2B" w:rsidRDefault="001D780F" w:rsidP="002310D8">
            <w:pPr>
              <w:pStyle w:val="ListParagraph"/>
              <w:tabs>
                <w:tab w:val="left" w:pos="8295"/>
              </w:tabs>
              <w:spacing w:after="40"/>
              <w:ind w:left="0"/>
              <w:jc w:val="both"/>
              <w:rPr>
                <w:b w:val="0"/>
                <w:bCs w:val="0"/>
              </w:rPr>
            </w:pPr>
          </w:p>
        </w:tc>
        <w:tc>
          <w:tcPr>
            <w:tcW w:w="4527" w:type="dxa"/>
          </w:tcPr>
          <w:p w14:paraId="73A0C9E2" w14:textId="77777777" w:rsidR="001D780F" w:rsidRPr="00476A2B" w:rsidRDefault="001D780F" w:rsidP="0055688D">
            <w:pPr>
              <w:pStyle w:val="Bodytext-TMRfont12"/>
              <w:numPr>
                <w:ilvl w:val="0"/>
                <w:numId w:val="72"/>
              </w:numPr>
              <w:cnfStyle w:val="000000000000" w:firstRow="0" w:lastRow="0" w:firstColumn="0" w:lastColumn="0" w:oddVBand="0" w:evenVBand="0" w:oddHBand="0" w:evenHBand="0" w:firstRowFirstColumn="0" w:firstRowLastColumn="0" w:lastRowFirstColumn="0" w:lastRowLastColumn="0"/>
              <w:rPr>
                <w:i/>
              </w:rPr>
            </w:pPr>
            <w:r w:rsidRPr="00476A2B">
              <w:rPr>
                <w:i/>
              </w:rPr>
              <w:t>Encourage all jurisdictions to consistently implement menu labelling schemes in their own legislation, in accordance with amended Principles.</w:t>
            </w:r>
          </w:p>
          <w:p w14:paraId="6AAF1C6A" w14:textId="77777777" w:rsidR="001D780F" w:rsidRPr="00476A2B" w:rsidRDefault="001D780F" w:rsidP="002310D8">
            <w:pPr>
              <w:pStyle w:val="ListParagraph"/>
              <w:tabs>
                <w:tab w:val="left" w:pos="8295"/>
              </w:tabs>
              <w:spacing w:after="40"/>
              <w:ind w:left="0"/>
              <w:jc w:val="both"/>
              <w:cnfStyle w:val="000000000000" w:firstRow="0" w:lastRow="0" w:firstColumn="0" w:lastColumn="0" w:oddVBand="0" w:evenVBand="0" w:oddHBand="0" w:evenHBand="0" w:firstRowFirstColumn="0" w:firstRowLastColumn="0" w:lastRowFirstColumn="0" w:lastRowLastColumn="0"/>
            </w:pPr>
          </w:p>
        </w:tc>
      </w:tr>
      <w:tr w:rsidR="001D780F" w14:paraId="027E7FAA" w14:textId="77777777" w:rsidTr="00A50B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7" w:type="dxa"/>
          </w:tcPr>
          <w:p w14:paraId="2C2A7B80" w14:textId="533FE8A0" w:rsidR="001D780F" w:rsidRPr="00476A2B" w:rsidRDefault="00911E6B" w:rsidP="0055688D">
            <w:pPr>
              <w:pStyle w:val="ListParagraph"/>
              <w:numPr>
                <w:ilvl w:val="0"/>
                <w:numId w:val="72"/>
              </w:numPr>
              <w:tabs>
                <w:tab w:val="left" w:pos="8295"/>
              </w:tabs>
              <w:spacing w:after="40"/>
              <w:jc w:val="both"/>
              <w:rPr>
                <w:rFonts w:eastAsia="Calibri"/>
                <w:b w:val="0"/>
                <w:bCs w:val="0"/>
                <w:i/>
              </w:rPr>
            </w:pPr>
            <w:r w:rsidRPr="00476A2B">
              <w:rPr>
                <w:rFonts w:eastAsia="Calibri"/>
                <w:b w:val="0"/>
                <w:bCs w:val="0"/>
                <w:i/>
                <w:caps w:val="0"/>
              </w:rPr>
              <w:t>Develop a Ministerial Policy Guideline for menu labelling to inform the development of a proposed bi-national food regulatory measure in the food standards code (jurisdictions to repeal own legislation once regulatory measure developed).</w:t>
            </w:r>
          </w:p>
        </w:tc>
        <w:tc>
          <w:tcPr>
            <w:tcW w:w="4527" w:type="dxa"/>
          </w:tcPr>
          <w:p w14:paraId="1BE20FBC" w14:textId="77777777" w:rsidR="001D780F" w:rsidRPr="00476A2B" w:rsidRDefault="001D780F" w:rsidP="0055688D">
            <w:pPr>
              <w:pStyle w:val="Bodytext-TMRfont12"/>
              <w:numPr>
                <w:ilvl w:val="0"/>
                <w:numId w:val="73"/>
              </w:numPr>
              <w:cnfStyle w:val="000000100000" w:firstRow="0" w:lastRow="0" w:firstColumn="0" w:lastColumn="0" w:oddVBand="0" w:evenVBand="0" w:oddHBand="1" w:evenHBand="0" w:firstRowFirstColumn="0" w:firstRowLastColumn="0" w:lastRowFirstColumn="0" w:lastRowLastColumn="0"/>
              <w:rPr>
                <w:i/>
              </w:rPr>
            </w:pPr>
            <w:r w:rsidRPr="00476A2B">
              <w:rPr>
                <w:i/>
              </w:rPr>
              <w:t xml:space="preserve">Develop a mandatory food regulatory measure for menu labelling in the Food Standards Code. </w:t>
            </w:r>
          </w:p>
          <w:p w14:paraId="74D09F5C" w14:textId="77777777" w:rsidR="001D780F" w:rsidRPr="00476A2B" w:rsidRDefault="001D780F" w:rsidP="002310D8">
            <w:pPr>
              <w:pStyle w:val="ListParagraph"/>
              <w:tabs>
                <w:tab w:val="left" w:pos="8295"/>
              </w:tabs>
              <w:spacing w:after="40"/>
              <w:ind w:left="0"/>
              <w:jc w:val="both"/>
              <w:cnfStyle w:val="000000100000" w:firstRow="0" w:lastRow="0" w:firstColumn="0" w:lastColumn="0" w:oddVBand="0" w:evenVBand="0" w:oddHBand="1" w:evenHBand="0" w:firstRowFirstColumn="0" w:firstRowLastColumn="0" w:lastRowFirstColumn="0" w:lastRowLastColumn="0"/>
            </w:pPr>
          </w:p>
        </w:tc>
      </w:tr>
      <w:tr w:rsidR="001D780F" w14:paraId="4A5DB26E" w14:textId="77777777" w:rsidTr="00A50B68">
        <w:tc>
          <w:tcPr>
            <w:cnfStyle w:val="001000000000" w:firstRow="0" w:lastRow="0" w:firstColumn="1" w:lastColumn="0" w:oddVBand="0" w:evenVBand="0" w:oddHBand="0" w:evenHBand="0" w:firstRowFirstColumn="0" w:firstRowLastColumn="0" w:lastRowFirstColumn="0" w:lastRowLastColumn="0"/>
            <w:tcW w:w="4527" w:type="dxa"/>
          </w:tcPr>
          <w:p w14:paraId="7ECA007F" w14:textId="7EBB3A0A" w:rsidR="008E6B07" w:rsidRPr="00A50B68" w:rsidRDefault="00911E6B" w:rsidP="0055688D">
            <w:pPr>
              <w:pStyle w:val="ListParagraph"/>
              <w:numPr>
                <w:ilvl w:val="0"/>
                <w:numId w:val="73"/>
              </w:numPr>
              <w:spacing w:after="40"/>
              <w:jc w:val="both"/>
              <w:rPr>
                <w:rFonts w:eastAsia="Calibri"/>
                <w:b w:val="0"/>
                <w:bCs w:val="0"/>
                <w:i/>
              </w:rPr>
            </w:pPr>
            <w:r w:rsidRPr="00A50B68">
              <w:rPr>
                <w:rFonts w:eastAsia="Calibri"/>
                <w:b w:val="0"/>
                <w:bCs w:val="0"/>
                <w:i/>
                <w:caps w:val="0"/>
              </w:rPr>
              <w:t>Encourage industry to voluntarily implement enhancements to menu labelling.</w:t>
            </w:r>
          </w:p>
          <w:p w14:paraId="49F45E52" w14:textId="77777777" w:rsidR="001D780F" w:rsidRPr="00A50B68" w:rsidRDefault="001D780F" w:rsidP="002310D8">
            <w:pPr>
              <w:pStyle w:val="ListParagraph"/>
              <w:tabs>
                <w:tab w:val="left" w:pos="8295"/>
              </w:tabs>
              <w:spacing w:after="40"/>
              <w:ind w:left="0"/>
              <w:jc w:val="both"/>
              <w:rPr>
                <w:b w:val="0"/>
                <w:bCs w:val="0"/>
              </w:rPr>
            </w:pPr>
          </w:p>
        </w:tc>
        <w:tc>
          <w:tcPr>
            <w:tcW w:w="4527" w:type="dxa"/>
          </w:tcPr>
          <w:p w14:paraId="2EB268C7" w14:textId="77777777" w:rsidR="001D780F" w:rsidRPr="001D780F" w:rsidRDefault="001D780F" w:rsidP="0055688D">
            <w:pPr>
              <w:pStyle w:val="ListParagraph"/>
              <w:numPr>
                <w:ilvl w:val="0"/>
                <w:numId w:val="74"/>
              </w:numPr>
              <w:spacing w:after="40"/>
              <w:jc w:val="both"/>
              <w:cnfStyle w:val="000000000000" w:firstRow="0" w:lastRow="0" w:firstColumn="0" w:lastColumn="0" w:oddVBand="0" w:evenVBand="0" w:oddHBand="0" w:evenHBand="0" w:firstRowFirstColumn="0" w:firstRowLastColumn="0" w:lastRowFirstColumn="0" w:lastRowLastColumn="0"/>
              <w:rPr>
                <w:rFonts w:eastAsia="Calibri"/>
                <w:i/>
              </w:rPr>
            </w:pPr>
            <w:r w:rsidRPr="001D780F">
              <w:rPr>
                <w:rFonts w:eastAsia="Calibri"/>
                <w:i/>
              </w:rPr>
              <w:t>Encourage industry to voluntarily implement enhancements to menu labelling.</w:t>
            </w:r>
          </w:p>
          <w:p w14:paraId="3ED34728" w14:textId="77777777" w:rsidR="001D780F" w:rsidRDefault="001D780F" w:rsidP="002310D8">
            <w:pPr>
              <w:pStyle w:val="ListParagraph"/>
              <w:tabs>
                <w:tab w:val="left" w:pos="8295"/>
              </w:tabs>
              <w:spacing w:after="40"/>
              <w:ind w:left="0"/>
              <w:jc w:val="both"/>
              <w:cnfStyle w:val="000000000000" w:firstRow="0" w:lastRow="0" w:firstColumn="0" w:lastColumn="0" w:oddVBand="0" w:evenVBand="0" w:oddHBand="0" w:evenHBand="0" w:firstRowFirstColumn="0" w:firstRowLastColumn="0" w:lastRowFirstColumn="0" w:lastRowLastColumn="0"/>
            </w:pPr>
          </w:p>
        </w:tc>
      </w:tr>
    </w:tbl>
    <w:p w14:paraId="4245609C" w14:textId="29C9E705" w:rsidR="0004125A" w:rsidRPr="00E67A4C" w:rsidRDefault="007C77C7" w:rsidP="00F53A05">
      <w:pPr>
        <w:pStyle w:val="Heading3"/>
      </w:pPr>
      <w:bookmarkStart w:id="42" w:name="_Toc426380826"/>
      <w:bookmarkStart w:id="43" w:name="_Toc426380891"/>
      <w:bookmarkStart w:id="44" w:name="_Toc426380922"/>
      <w:bookmarkStart w:id="45" w:name="_Toc51165275"/>
      <w:bookmarkEnd w:id="41"/>
      <w:r w:rsidRPr="00E67A4C">
        <w:t xml:space="preserve">4.1 </w:t>
      </w:r>
      <w:r w:rsidR="0004125A" w:rsidRPr="00E67A4C">
        <w:t xml:space="preserve">Option 1 </w:t>
      </w:r>
      <w:bookmarkEnd w:id="42"/>
      <w:bookmarkEnd w:id="43"/>
      <w:bookmarkEnd w:id="44"/>
      <w:bookmarkEnd w:id="45"/>
    </w:p>
    <w:p w14:paraId="75DC8A5B" w14:textId="5E5B7891" w:rsidR="00C24C23" w:rsidRPr="00476A2B" w:rsidRDefault="00622357" w:rsidP="00DE7BB7">
      <w:pPr>
        <w:spacing w:after="40"/>
        <w:jc w:val="both"/>
        <w:rPr>
          <w:lang w:eastAsia="zh-CN" w:bidi="th-TH"/>
        </w:rPr>
      </w:pPr>
      <w:r w:rsidRPr="00E67A4C">
        <w:rPr>
          <w:lang w:eastAsia="zh-CN" w:bidi="th-TH"/>
        </w:rPr>
        <w:t xml:space="preserve">Under Option 1, </w:t>
      </w:r>
      <w:r w:rsidR="00403DD4" w:rsidRPr="00E67A4C">
        <w:rPr>
          <w:lang w:eastAsia="zh-CN" w:bidi="th-TH"/>
        </w:rPr>
        <w:t>t</w:t>
      </w:r>
      <w:r w:rsidR="00120266" w:rsidRPr="00E67A4C">
        <w:rPr>
          <w:lang w:eastAsia="zh-CN" w:bidi="th-TH"/>
        </w:rPr>
        <w:t xml:space="preserve">he 2011 Principles would remain as the only statement concerning menu labelling in </w:t>
      </w:r>
      <w:r w:rsidR="00120266" w:rsidRPr="00476A2B">
        <w:rPr>
          <w:lang w:eastAsia="zh-CN" w:bidi="th-TH"/>
        </w:rPr>
        <w:t>Australia</w:t>
      </w:r>
      <w:r w:rsidR="004C7449" w:rsidRPr="00476A2B">
        <w:rPr>
          <w:lang w:eastAsia="zh-CN" w:bidi="th-TH"/>
        </w:rPr>
        <w:t>, noting they are not reflective</w:t>
      </w:r>
      <w:r w:rsidR="007428E5" w:rsidRPr="00476A2B">
        <w:rPr>
          <w:lang w:eastAsia="zh-CN" w:bidi="th-TH"/>
        </w:rPr>
        <w:t xml:space="preserve"> of current industry trends and practices</w:t>
      </w:r>
      <w:r w:rsidR="00C24C23" w:rsidRPr="00476A2B">
        <w:rPr>
          <w:lang w:eastAsia="zh-CN" w:bidi="th-TH"/>
        </w:rPr>
        <w:t xml:space="preserve">. While applicability of the Principles to New </w:t>
      </w:r>
      <w:r w:rsidR="00BB5B29" w:rsidRPr="00476A2B">
        <w:rPr>
          <w:lang w:eastAsia="zh-CN" w:bidi="th-TH"/>
        </w:rPr>
        <w:t>Zealand</w:t>
      </w:r>
      <w:r w:rsidR="00C24C23" w:rsidRPr="00476A2B">
        <w:rPr>
          <w:lang w:eastAsia="zh-CN" w:bidi="th-TH"/>
        </w:rPr>
        <w:t xml:space="preserve"> is not made explicit in the 2011 Principles, the Principles do not </w:t>
      </w:r>
      <w:r w:rsidR="00A745A6" w:rsidRPr="00476A2B">
        <w:rPr>
          <w:lang w:eastAsia="zh-CN" w:bidi="th-TH"/>
        </w:rPr>
        <w:t xml:space="preserve">specifically </w:t>
      </w:r>
      <w:r w:rsidR="003F7613" w:rsidRPr="00476A2B">
        <w:rPr>
          <w:lang w:eastAsia="zh-CN" w:bidi="th-TH"/>
        </w:rPr>
        <w:t>exclude New Zealand</w:t>
      </w:r>
      <w:r w:rsidR="00C24C23" w:rsidRPr="00476A2B">
        <w:rPr>
          <w:lang w:eastAsia="zh-CN" w:bidi="th-TH"/>
        </w:rPr>
        <w:t xml:space="preserve"> or indicate that are for Australia only.</w:t>
      </w:r>
    </w:p>
    <w:p w14:paraId="0610F0B6" w14:textId="77777777" w:rsidR="00C24C23" w:rsidRPr="00476A2B" w:rsidRDefault="00C24C23" w:rsidP="00DE7BB7">
      <w:pPr>
        <w:spacing w:after="40"/>
        <w:jc w:val="both"/>
        <w:rPr>
          <w:lang w:eastAsia="zh-CN" w:bidi="th-TH"/>
        </w:rPr>
      </w:pPr>
    </w:p>
    <w:p w14:paraId="7D74CFDA" w14:textId="7F72FE56" w:rsidR="008A1FBD" w:rsidRPr="00476A2B" w:rsidRDefault="00C24C23" w:rsidP="00DE7BB7">
      <w:pPr>
        <w:spacing w:after="40"/>
        <w:jc w:val="both"/>
      </w:pPr>
      <w:r w:rsidRPr="00476A2B">
        <w:rPr>
          <w:lang w:eastAsia="zh-CN" w:bidi="th-TH"/>
        </w:rPr>
        <w:lastRenderedPageBreak/>
        <w:t>The five Australian state and territory governments</w:t>
      </w:r>
      <w:r w:rsidR="00695BF3" w:rsidRPr="00476A2B">
        <w:t xml:space="preserve"> </w:t>
      </w:r>
      <w:r w:rsidR="004D3E0E" w:rsidRPr="00476A2B">
        <w:t>with</w:t>
      </w:r>
      <w:r w:rsidR="00A13352" w:rsidRPr="00476A2B">
        <w:t xml:space="preserve"> menu</w:t>
      </w:r>
      <w:r w:rsidRPr="00476A2B">
        <w:t xml:space="preserve"> labelling legislation</w:t>
      </w:r>
      <w:r w:rsidR="004D3E0E" w:rsidRPr="00476A2B">
        <w:t xml:space="preserve"> would continue to enforce their legislation</w:t>
      </w:r>
      <w:r w:rsidR="00695BF3" w:rsidRPr="00476A2B">
        <w:t xml:space="preserve">. </w:t>
      </w:r>
      <w:r w:rsidRPr="00476A2B">
        <w:t xml:space="preserve">The remaining three </w:t>
      </w:r>
      <w:r w:rsidRPr="00476A2B">
        <w:rPr>
          <w:lang w:eastAsia="zh-CN" w:bidi="th-TH"/>
        </w:rPr>
        <w:t xml:space="preserve">Australian state and territory </w:t>
      </w:r>
      <w:r w:rsidRPr="00476A2B">
        <w:t>governments and the New Zealand government could choose to introduce menu labelling provisions within their respective Food Acts</w:t>
      </w:r>
      <w:r w:rsidR="00F269F6" w:rsidRPr="00476A2B">
        <w:t xml:space="preserve"> in response to the 2011 Principles</w:t>
      </w:r>
      <w:r w:rsidRPr="00476A2B">
        <w:t xml:space="preserve">. </w:t>
      </w:r>
      <w:r w:rsidR="00F269F6" w:rsidRPr="00476A2B">
        <w:t>J</w:t>
      </w:r>
      <w:r w:rsidR="00DE7BB7" w:rsidRPr="00476A2B">
        <w:t>urisdictions could continue</w:t>
      </w:r>
      <w:r w:rsidR="00F269F6" w:rsidRPr="00476A2B">
        <w:t xml:space="preserve"> (or commence)</w:t>
      </w:r>
      <w:r w:rsidR="00DE7BB7" w:rsidRPr="00476A2B">
        <w:t xml:space="preserve"> to deliver a range of consumer education strategies and provide support to businesses to complement their legislation</w:t>
      </w:r>
      <w:r w:rsidR="00EA7DEA" w:rsidRPr="00476A2B">
        <w:t>.</w:t>
      </w:r>
      <w:r w:rsidR="00DE7BB7" w:rsidRPr="00476A2B">
        <w:t xml:space="preserve"> </w:t>
      </w:r>
    </w:p>
    <w:p w14:paraId="67D3D19D" w14:textId="441D6819" w:rsidR="00735799" w:rsidRPr="00476A2B" w:rsidRDefault="00735799" w:rsidP="00DE7BB7">
      <w:pPr>
        <w:spacing w:after="40"/>
        <w:jc w:val="both"/>
      </w:pPr>
    </w:p>
    <w:p w14:paraId="0BD29487" w14:textId="41B073CC" w:rsidR="0046136B" w:rsidRPr="00476A2B" w:rsidRDefault="0004125A" w:rsidP="00F53A05">
      <w:pPr>
        <w:pStyle w:val="Heading3"/>
      </w:pPr>
      <w:bookmarkStart w:id="46" w:name="_Toc51165276"/>
      <w:bookmarkStart w:id="47" w:name="_Toc426380829"/>
      <w:bookmarkStart w:id="48" w:name="_Toc426380894"/>
      <w:bookmarkStart w:id="49" w:name="_Toc426380925"/>
      <w:r w:rsidRPr="00476A2B">
        <w:t>4.</w:t>
      </w:r>
      <w:r w:rsidR="00114267" w:rsidRPr="00476A2B">
        <w:t>2</w:t>
      </w:r>
      <w:r w:rsidR="00F140BC" w:rsidRPr="00476A2B">
        <w:t xml:space="preserve"> </w:t>
      </w:r>
      <w:r w:rsidR="0046136B" w:rsidRPr="00476A2B">
        <w:t xml:space="preserve">Option 2 </w:t>
      </w:r>
      <w:bookmarkEnd w:id="46"/>
    </w:p>
    <w:p w14:paraId="605CB859" w14:textId="3CE71247" w:rsidR="007F3C1B" w:rsidRDefault="0046136B" w:rsidP="0030774C">
      <w:pPr>
        <w:spacing w:after="40"/>
        <w:jc w:val="both"/>
      </w:pPr>
      <w:r w:rsidRPr="00476A2B">
        <w:t>Th</w:t>
      </w:r>
      <w:r w:rsidR="000D475F" w:rsidRPr="00476A2B">
        <w:t xml:space="preserve">e first step for this </w:t>
      </w:r>
      <w:r w:rsidRPr="00476A2B">
        <w:t>option involve</w:t>
      </w:r>
      <w:r w:rsidR="00D7691E" w:rsidRPr="00476A2B">
        <w:t>d</w:t>
      </w:r>
      <w:r w:rsidRPr="00476A2B">
        <w:t xml:space="preserve"> amending the 2011 Principles to have a policy statement for menu labelling for Australia and New Zealand</w:t>
      </w:r>
      <w:r w:rsidR="008A1FBD" w:rsidRPr="00476A2B">
        <w:t xml:space="preserve"> (</w:t>
      </w:r>
      <w:r w:rsidR="00F249E5" w:rsidRPr="00476A2B">
        <w:t xml:space="preserve">drafted amended Principles </w:t>
      </w:r>
      <w:r w:rsidR="008A1FBD" w:rsidRPr="00476A2B">
        <w:t xml:space="preserve">available at Appendix </w:t>
      </w:r>
      <w:r w:rsidR="00E43E68" w:rsidRPr="00476A2B">
        <w:t>5</w:t>
      </w:r>
      <w:r w:rsidR="008A1FBD" w:rsidRPr="00476A2B">
        <w:t>)</w:t>
      </w:r>
      <w:r w:rsidR="00DA48CB" w:rsidRPr="00476A2B">
        <w:t xml:space="preserve">. The second step </w:t>
      </w:r>
      <w:r w:rsidR="00962E8D" w:rsidRPr="00476A2B">
        <w:t xml:space="preserve">is encouraging </w:t>
      </w:r>
      <w:r w:rsidRPr="00476A2B">
        <w:t xml:space="preserve">all jurisdictions </w:t>
      </w:r>
      <w:r w:rsidR="00F269F6" w:rsidRPr="00476A2B">
        <w:t xml:space="preserve">(excluding the Australian Government) </w:t>
      </w:r>
      <w:r w:rsidR="00962E8D" w:rsidRPr="00476A2B">
        <w:t xml:space="preserve">to </w:t>
      </w:r>
      <w:r w:rsidRPr="00476A2B">
        <w:t xml:space="preserve">choose to voluntarily implement </w:t>
      </w:r>
      <w:r w:rsidR="00962E8D" w:rsidRPr="00476A2B">
        <w:t xml:space="preserve">menu labelling </w:t>
      </w:r>
      <w:r w:rsidRPr="00476A2B">
        <w:t>in their own legislation</w:t>
      </w:r>
      <w:r w:rsidR="00F269F6" w:rsidRPr="00476A2B">
        <w:t xml:space="preserve"> (Food Acts)</w:t>
      </w:r>
      <w:r w:rsidR="00412DF8" w:rsidRPr="00476A2B">
        <w:t>, in accordance with the amended Principles</w:t>
      </w:r>
      <w:r w:rsidRPr="00476A2B">
        <w:t>.</w:t>
      </w:r>
      <w:r w:rsidRPr="00E67A4C">
        <w:t xml:space="preserve"> </w:t>
      </w:r>
    </w:p>
    <w:p w14:paraId="3E7A6DB4" w14:textId="77777777" w:rsidR="007F3C1B" w:rsidRDefault="007F3C1B" w:rsidP="0030774C">
      <w:pPr>
        <w:spacing w:after="40"/>
        <w:jc w:val="both"/>
      </w:pPr>
    </w:p>
    <w:p w14:paraId="5A9E0112" w14:textId="60191D00" w:rsidR="0030774C" w:rsidRDefault="0046136B" w:rsidP="0030774C">
      <w:pPr>
        <w:spacing w:after="40"/>
        <w:jc w:val="both"/>
      </w:pPr>
      <w:r w:rsidRPr="00E67A4C">
        <w:t xml:space="preserve">The amended Principles address the identified issues of business coverage and emerging trends and provide direction on a consistent approach to address the current jurisdictional inconsistencies. </w:t>
      </w:r>
      <w:r w:rsidR="0030774C" w:rsidRPr="00E67A4C">
        <w:t>The intent is that</w:t>
      </w:r>
      <w:r w:rsidR="002629AB">
        <w:t xml:space="preserve"> within a jurisdiction that </w:t>
      </w:r>
      <w:r w:rsidR="008D0657">
        <w:t xml:space="preserve">amended or </w:t>
      </w:r>
      <w:r w:rsidR="002629AB">
        <w:t>adopted menu labelling:</w:t>
      </w:r>
    </w:p>
    <w:p w14:paraId="7A9BFD4E" w14:textId="6785F6FC" w:rsidR="0030774C" w:rsidRDefault="0030774C" w:rsidP="0055688D">
      <w:pPr>
        <w:pStyle w:val="ListParagraph"/>
        <w:numPr>
          <w:ilvl w:val="0"/>
          <w:numId w:val="58"/>
        </w:numPr>
        <w:spacing w:after="40"/>
        <w:jc w:val="both"/>
        <w:rPr>
          <w:lang w:eastAsia="zh-CN" w:bidi="th-TH"/>
        </w:rPr>
      </w:pPr>
      <w:r w:rsidRPr="00E67A4C">
        <w:t xml:space="preserve">menu labelling would be mandatory for all businesses that </w:t>
      </w:r>
      <w:r w:rsidRPr="00E839E7">
        <w:rPr>
          <w:lang w:eastAsia="zh-CN" w:bidi="th-TH"/>
        </w:rPr>
        <w:t xml:space="preserve">sell standard food items </w:t>
      </w:r>
      <w:r>
        <w:rPr>
          <w:lang w:eastAsia="zh-CN" w:bidi="th-TH"/>
        </w:rPr>
        <w:t>(</w:t>
      </w:r>
      <w:r w:rsidRPr="00E839E7">
        <w:rPr>
          <w:lang w:eastAsia="zh-CN" w:bidi="th-TH"/>
        </w:rPr>
        <w:t xml:space="preserve">50 or more outlets </w:t>
      </w:r>
      <w:r>
        <w:rPr>
          <w:lang w:eastAsia="zh-CN" w:bidi="th-TH"/>
        </w:rPr>
        <w:t>in Australia</w:t>
      </w:r>
      <w:r w:rsidRPr="00E839E7">
        <w:rPr>
          <w:lang w:eastAsia="zh-CN" w:bidi="th-TH"/>
        </w:rPr>
        <w:t>, 20 or more outlets in a</w:t>
      </w:r>
      <w:r>
        <w:rPr>
          <w:lang w:eastAsia="zh-CN" w:bidi="th-TH"/>
        </w:rPr>
        <w:t>n Australian</w:t>
      </w:r>
      <w:r w:rsidRPr="00E839E7">
        <w:rPr>
          <w:lang w:eastAsia="zh-CN" w:bidi="th-TH"/>
        </w:rPr>
        <w:t xml:space="preserve"> State or 7 or more outlets in a</w:t>
      </w:r>
      <w:r>
        <w:rPr>
          <w:lang w:eastAsia="zh-CN" w:bidi="th-TH"/>
        </w:rPr>
        <w:t>n Australian</w:t>
      </w:r>
      <w:r w:rsidRPr="00E839E7">
        <w:rPr>
          <w:lang w:eastAsia="zh-CN" w:bidi="th-TH"/>
        </w:rPr>
        <w:t xml:space="preserve"> Territory</w:t>
      </w:r>
      <w:r>
        <w:rPr>
          <w:lang w:eastAsia="zh-CN" w:bidi="th-TH"/>
        </w:rPr>
        <w:t>, 20 or more outlets in New Zealand)</w:t>
      </w:r>
      <w:r w:rsidR="002629AB">
        <w:rPr>
          <w:lang w:eastAsia="zh-CN" w:bidi="th-TH"/>
        </w:rPr>
        <w:t>;</w:t>
      </w:r>
      <w:r>
        <w:rPr>
          <w:lang w:eastAsia="zh-CN" w:bidi="th-TH"/>
        </w:rPr>
        <w:t xml:space="preserve"> </w:t>
      </w:r>
    </w:p>
    <w:p w14:paraId="4D519D82" w14:textId="36DD4731" w:rsidR="0030774C" w:rsidRPr="00E839E7" w:rsidRDefault="0030774C" w:rsidP="0055688D">
      <w:pPr>
        <w:pStyle w:val="ListParagraph"/>
        <w:numPr>
          <w:ilvl w:val="0"/>
          <w:numId w:val="58"/>
        </w:numPr>
        <w:spacing w:after="40"/>
        <w:jc w:val="both"/>
        <w:rPr>
          <w:lang w:eastAsia="zh-CN" w:bidi="th-TH"/>
        </w:rPr>
      </w:pPr>
      <w:r>
        <w:rPr>
          <w:lang w:eastAsia="zh-CN" w:bidi="th-TH"/>
        </w:rPr>
        <w:t>a</w:t>
      </w:r>
      <w:r w:rsidRPr="00E839E7">
        <w:rPr>
          <w:lang w:eastAsia="zh-CN" w:bidi="th-TH"/>
        </w:rPr>
        <w:t>ll standard food outlets would need to:</w:t>
      </w:r>
    </w:p>
    <w:p w14:paraId="4F146DF3" w14:textId="77777777" w:rsidR="0030774C" w:rsidRPr="00E839E7" w:rsidRDefault="0030774C" w:rsidP="0055688D">
      <w:pPr>
        <w:pStyle w:val="ListParagraph"/>
        <w:numPr>
          <w:ilvl w:val="1"/>
          <w:numId w:val="59"/>
        </w:numPr>
        <w:spacing w:after="40"/>
        <w:rPr>
          <w:lang w:eastAsia="zh-CN" w:bidi="th-TH"/>
        </w:rPr>
      </w:pPr>
      <w:r w:rsidRPr="00E839E7">
        <w:rPr>
          <w:lang w:eastAsia="zh-CN" w:bidi="th-TH"/>
        </w:rPr>
        <w:t>display the energy information of all available standard food items on all menus and at all physical and electronic points-of-sale;</w:t>
      </w:r>
    </w:p>
    <w:p w14:paraId="5DCAE86E" w14:textId="77777777" w:rsidR="0030774C" w:rsidRPr="00E839E7" w:rsidRDefault="0030774C" w:rsidP="0055688D">
      <w:pPr>
        <w:pStyle w:val="ListParagraph"/>
        <w:numPr>
          <w:ilvl w:val="1"/>
          <w:numId w:val="59"/>
        </w:numPr>
        <w:spacing w:after="40"/>
        <w:rPr>
          <w:lang w:eastAsia="zh-CN" w:bidi="th-TH"/>
        </w:rPr>
      </w:pPr>
      <w:r w:rsidRPr="00E839E7">
        <w:rPr>
          <w:lang w:eastAsia="zh-CN" w:bidi="th-TH"/>
        </w:rPr>
        <w:t>display the energy information for combination meals including any pre-packaged items with the combination;</w:t>
      </w:r>
    </w:p>
    <w:p w14:paraId="4C43A60B" w14:textId="77777777" w:rsidR="0030774C" w:rsidRPr="00E839E7" w:rsidRDefault="0030774C" w:rsidP="0055688D">
      <w:pPr>
        <w:pStyle w:val="ListParagraph"/>
        <w:numPr>
          <w:ilvl w:val="1"/>
          <w:numId w:val="59"/>
        </w:numPr>
        <w:spacing w:after="40"/>
        <w:rPr>
          <w:lang w:eastAsia="zh-CN" w:bidi="th-TH"/>
        </w:rPr>
      </w:pPr>
      <w:r w:rsidRPr="00E839E7">
        <w:rPr>
          <w:lang w:eastAsia="zh-CN" w:bidi="th-TH"/>
        </w:rPr>
        <w:t>display the energy information for multi-serve items as the whole item and per serving; and</w:t>
      </w:r>
    </w:p>
    <w:p w14:paraId="5A45C4EB" w14:textId="6A8C6380" w:rsidR="0030774C" w:rsidRDefault="0030774C" w:rsidP="0055688D">
      <w:pPr>
        <w:pStyle w:val="ListParagraph"/>
        <w:numPr>
          <w:ilvl w:val="1"/>
          <w:numId w:val="59"/>
        </w:numPr>
        <w:spacing w:after="40"/>
        <w:jc w:val="both"/>
        <w:rPr>
          <w:lang w:eastAsia="zh-CN" w:bidi="th-TH"/>
        </w:rPr>
      </w:pPr>
      <w:r w:rsidRPr="00E839E7">
        <w:rPr>
          <w:lang w:eastAsia="zh-CN" w:bidi="th-TH"/>
        </w:rPr>
        <w:t>ensure that customers have access to the energy information for standardised single ingredients and customisable menu items</w:t>
      </w:r>
    </w:p>
    <w:p w14:paraId="41A04BCE" w14:textId="64FD755D" w:rsidR="0030774C" w:rsidRDefault="0030774C" w:rsidP="0055688D">
      <w:pPr>
        <w:pStyle w:val="ListParagraph"/>
        <w:numPr>
          <w:ilvl w:val="0"/>
          <w:numId w:val="58"/>
        </w:numPr>
        <w:spacing w:after="40"/>
        <w:jc w:val="both"/>
        <w:rPr>
          <w:lang w:eastAsia="zh-CN" w:bidi="th-TH"/>
        </w:rPr>
      </w:pPr>
      <w:r>
        <w:rPr>
          <w:lang w:eastAsia="zh-CN" w:bidi="th-TH"/>
        </w:rPr>
        <w:t>s</w:t>
      </w:r>
      <w:r w:rsidRPr="00E839E7">
        <w:rPr>
          <w:lang w:eastAsia="zh-CN" w:bidi="th-TH"/>
        </w:rPr>
        <w:t>upermarkets would be required to display the energy information for each standard food in the same font and font size as price</w:t>
      </w:r>
    </w:p>
    <w:p w14:paraId="3D88EEE9" w14:textId="2F8D90EC" w:rsidR="0030774C" w:rsidRDefault="0030774C" w:rsidP="0055688D">
      <w:pPr>
        <w:pStyle w:val="ListParagraph"/>
        <w:numPr>
          <w:ilvl w:val="0"/>
          <w:numId w:val="58"/>
        </w:numPr>
        <w:spacing w:after="40"/>
        <w:jc w:val="both"/>
        <w:rPr>
          <w:lang w:eastAsia="zh-CN" w:bidi="th-TH"/>
        </w:rPr>
      </w:pPr>
      <w:r>
        <w:rPr>
          <w:lang w:eastAsia="zh-CN" w:bidi="th-TH"/>
        </w:rPr>
        <w:t>b</w:t>
      </w:r>
      <w:r w:rsidRPr="00EF6CEE">
        <w:rPr>
          <w:lang w:eastAsia="zh-CN" w:bidi="th-TH"/>
        </w:rPr>
        <w:t>usinesses that are not required to implement menu labelling could voluntarily do so</w:t>
      </w:r>
      <w:r>
        <w:rPr>
          <w:lang w:eastAsia="zh-CN" w:bidi="th-TH"/>
        </w:rPr>
        <w:t xml:space="preserve"> but </w:t>
      </w:r>
      <w:r w:rsidRPr="00E839E7">
        <w:rPr>
          <w:lang w:eastAsia="zh-CN" w:bidi="th-TH"/>
        </w:rPr>
        <w:t>would need to comply with the mandatory menu labelling requirements</w:t>
      </w:r>
    </w:p>
    <w:p w14:paraId="494228A6" w14:textId="77777777" w:rsidR="0030774C" w:rsidRDefault="0030774C" w:rsidP="0055688D">
      <w:pPr>
        <w:pStyle w:val="ListParagraph"/>
        <w:numPr>
          <w:ilvl w:val="0"/>
          <w:numId w:val="58"/>
        </w:numPr>
        <w:spacing w:after="40"/>
        <w:jc w:val="both"/>
        <w:rPr>
          <w:lang w:eastAsia="zh-CN" w:bidi="th-TH"/>
        </w:rPr>
      </w:pPr>
      <w:r>
        <w:rPr>
          <w:lang w:eastAsia="zh-CN" w:bidi="th-TH"/>
        </w:rPr>
        <w:t>i</w:t>
      </w:r>
      <w:r w:rsidRPr="00E839E7">
        <w:rPr>
          <w:lang w:eastAsia="zh-CN" w:bidi="th-TH"/>
        </w:rPr>
        <w:t>f any business uses a third-party to facilitate the sale of standard food items, the food business would need to provide the energy information to the third-party.</w:t>
      </w:r>
    </w:p>
    <w:p w14:paraId="43136888" w14:textId="77777777" w:rsidR="0030774C" w:rsidRDefault="0030774C" w:rsidP="0046136B">
      <w:pPr>
        <w:spacing w:after="40"/>
        <w:jc w:val="both"/>
      </w:pPr>
    </w:p>
    <w:p w14:paraId="6DF0539B" w14:textId="2CBD723D" w:rsidR="00A02281" w:rsidRDefault="00AD2E01" w:rsidP="004244EC">
      <w:pPr>
        <w:spacing w:after="40"/>
        <w:jc w:val="both"/>
      </w:pPr>
      <w:r w:rsidRPr="00E67A4C">
        <w:t>The implementation mechanism for Option 2 is the same as the status quo</w:t>
      </w:r>
      <w:r w:rsidR="008D0657">
        <w:t xml:space="preserve">, i.e. </w:t>
      </w:r>
      <w:r w:rsidR="00206661">
        <w:t>jurisdictions can choose to amend or adopt menu labelling via jurisdictional Food Acts</w:t>
      </w:r>
      <w:r w:rsidRPr="00E67A4C">
        <w:t xml:space="preserve">. </w:t>
      </w:r>
      <w:r w:rsidR="0046136B" w:rsidRPr="00E67A4C">
        <w:t xml:space="preserve">If jurisdictions </w:t>
      </w:r>
      <w:r w:rsidR="0046136B" w:rsidRPr="009D2688">
        <w:t>cho</w:t>
      </w:r>
      <w:r w:rsidR="008A1FBD" w:rsidRPr="009D2688">
        <w:t>o</w:t>
      </w:r>
      <w:r w:rsidR="0046136B" w:rsidRPr="009D2688">
        <w:t>se to amend their legislation, they would most likely be required to prepare a RIS</w:t>
      </w:r>
      <w:r w:rsidR="009D2688" w:rsidRPr="009D2688">
        <w:t xml:space="preserve"> and</w:t>
      </w:r>
      <w:r w:rsidR="009D2688" w:rsidRPr="00A406C6">
        <w:rPr>
          <w:lang w:eastAsia="zh-CN" w:bidi="th-TH"/>
        </w:rPr>
        <w:t xml:space="preserve"> determine the impact on industry</w:t>
      </w:r>
      <w:r w:rsidR="009D2688">
        <w:rPr>
          <w:lang w:eastAsia="zh-CN" w:bidi="th-TH"/>
        </w:rPr>
        <w:t xml:space="preserve"> and consumers</w:t>
      </w:r>
      <w:r w:rsidR="009D2688" w:rsidRPr="00A406C6">
        <w:rPr>
          <w:lang w:eastAsia="zh-CN" w:bidi="th-TH"/>
        </w:rPr>
        <w:t xml:space="preserve"> </w:t>
      </w:r>
      <w:r w:rsidR="009D2688">
        <w:rPr>
          <w:lang w:eastAsia="zh-CN" w:bidi="th-TH"/>
        </w:rPr>
        <w:t xml:space="preserve">by </w:t>
      </w:r>
      <w:r w:rsidR="00E30012">
        <w:rPr>
          <w:lang w:eastAsia="zh-CN" w:bidi="th-TH"/>
        </w:rPr>
        <w:t>assessing</w:t>
      </w:r>
      <w:r w:rsidR="009D2688" w:rsidRPr="00A406C6">
        <w:rPr>
          <w:lang w:eastAsia="zh-CN" w:bidi="th-TH"/>
        </w:rPr>
        <w:t xml:space="preserve"> which and how many businesses are captured by changing legislation or introducing new legislation</w:t>
      </w:r>
      <w:r w:rsidR="0046136B" w:rsidRPr="009D2688">
        <w:t>.</w:t>
      </w:r>
      <w:r w:rsidR="0046136B" w:rsidRPr="00E67A4C">
        <w:t xml:space="preserve"> </w:t>
      </w:r>
      <w:r w:rsidR="00DA7FB6">
        <w:t xml:space="preserve">It is likely that public consultation would also need to be undertaken. </w:t>
      </w:r>
      <w:r w:rsidR="0046136B" w:rsidRPr="00E67A4C">
        <w:t>This option become</w:t>
      </w:r>
      <w:r w:rsidR="008A1FBD">
        <w:t>s</w:t>
      </w:r>
      <w:r w:rsidR="0046136B" w:rsidRPr="00E67A4C">
        <w:t xml:space="preserve"> a regulatory approach to </w:t>
      </w:r>
      <w:r w:rsidR="004F3C4C" w:rsidRPr="00E67A4C">
        <w:t xml:space="preserve">enhancing </w:t>
      </w:r>
      <w:r w:rsidR="0046136B" w:rsidRPr="00E67A4C">
        <w:t>menu labelling if the amended Principles</w:t>
      </w:r>
      <w:r w:rsidR="008A1FBD">
        <w:t xml:space="preserve"> a</w:t>
      </w:r>
      <w:r w:rsidR="0046136B" w:rsidRPr="00E67A4C">
        <w:t xml:space="preserve">re implemented by jurisdictions; but </w:t>
      </w:r>
      <w:r w:rsidR="008A1FBD">
        <w:t xml:space="preserve">is </w:t>
      </w:r>
      <w:r w:rsidR="0046136B" w:rsidRPr="00E67A4C">
        <w:t>not</w:t>
      </w:r>
      <w:r w:rsidR="008A1FBD">
        <w:t xml:space="preserve"> a regulatory approach</w:t>
      </w:r>
      <w:r w:rsidR="0046136B" w:rsidRPr="00E67A4C">
        <w:t xml:space="preserve"> </w:t>
      </w:r>
      <w:r w:rsidR="008A1FBD">
        <w:t xml:space="preserve">in </w:t>
      </w:r>
      <w:r w:rsidR="0046136B" w:rsidRPr="00E67A4C">
        <w:t xml:space="preserve">jurisdictions </w:t>
      </w:r>
      <w:r w:rsidR="008A1FBD">
        <w:t xml:space="preserve">that </w:t>
      </w:r>
      <w:r w:rsidR="0046136B" w:rsidRPr="00E67A4C">
        <w:t>cho</w:t>
      </w:r>
      <w:r w:rsidR="008A1FBD">
        <w:t>o</w:t>
      </w:r>
      <w:r w:rsidR="0046136B" w:rsidRPr="00E67A4C">
        <w:t xml:space="preserve">se not to implement the amended Principles. </w:t>
      </w:r>
    </w:p>
    <w:p w14:paraId="66D95139" w14:textId="3A0DF596" w:rsidR="00A63C0B" w:rsidRDefault="00A63C0B" w:rsidP="004244EC">
      <w:pPr>
        <w:spacing w:after="40"/>
        <w:jc w:val="both"/>
      </w:pPr>
    </w:p>
    <w:p w14:paraId="64236534" w14:textId="0E7F163A" w:rsidR="00A63C0B" w:rsidRPr="00476A2B" w:rsidRDefault="00A63C0B" w:rsidP="00A63C0B">
      <w:pPr>
        <w:spacing w:after="40"/>
        <w:jc w:val="both"/>
      </w:pPr>
      <w:r w:rsidRPr="00A63C0B">
        <w:t xml:space="preserve">If </w:t>
      </w:r>
      <w:r w:rsidRPr="00476A2B">
        <w:t>not all jurisdictions implemented this option, cross-border businesses (i.e. businesses with a national</w:t>
      </w:r>
      <w:r w:rsidR="008E7127" w:rsidRPr="00476A2B">
        <w:t>/international</w:t>
      </w:r>
      <w:r w:rsidRPr="00476A2B">
        <w:t xml:space="preserve"> head office and national</w:t>
      </w:r>
      <w:r w:rsidR="00CB219C" w:rsidRPr="00476A2B">
        <w:t>/international</w:t>
      </w:r>
      <w:r w:rsidRPr="00476A2B">
        <w:t xml:space="preserve"> reach) may choose to voluntarily implement menu labelling in the same manner nationally</w:t>
      </w:r>
      <w:r w:rsidR="00CB219C" w:rsidRPr="00476A2B">
        <w:t xml:space="preserve"> or internationally</w:t>
      </w:r>
      <w:r w:rsidRPr="00476A2B">
        <w:t xml:space="preserve"> (if would remain compliant with existing legislation in other jurisdictions). This would be a business decision that could not be enforced beyond the jurisdictions that chose to strengthen their legislation.</w:t>
      </w:r>
    </w:p>
    <w:p w14:paraId="2B170569" w14:textId="2D374D23" w:rsidR="00E5643D" w:rsidRPr="00476A2B" w:rsidRDefault="00E5643D" w:rsidP="004244EC">
      <w:pPr>
        <w:spacing w:after="40"/>
        <w:jc w:val="both"/>
      </w:pPr>
    </w:p>
    <w:p w14:paraId="3D96EFD6" w14:textId="03884D3E" w:rsidR="00E5643D" w:rsidRPr="00476A2B" w:rsidRDefault="005B374A" w:rsidP="004244EC">
      <w:pPr>
        <w:spacing w:after="40"/>
        <w:jc w:val="both"/>
      </w:pPr>
      <w:r w:rsidRPr="00476A2B">
        <w:rPr>
          <w:lang w:eastAsia="en-AU"/>
        </w:rPr>
        <w:t xml:space="preserve">During the 2021 consultation, </w:t>
      </w:r>
      <w:r w:rsidR="00E5643D" w:rsidRPr="00476A2B">
        <w:rPr>
          <w:lang w:eastAsia="en-AU"/>
        </w:rPr>
        <w:t xml:space="preserve">Option 2 was supported by </w:t>
      </w:r>
      <w:r w:rsidR="00B6530F" w:rsidRPr="00476A2B">
        <w:rPr>
          <w:lang w:eastAsia="en-AU"/>
        </w:rPr>
        <w:t xml:space="preserve">some food industry stakeholders </w:t>
      </w:r>
      <w:r w:rsidR="001260E4" w:rsidRPr="00476A2B">
        <w:rPr>
          <w:lang w:eastAsia="en-AU"/>
        </w:rPr>
        <w:t>as it was a consistent approach.</w:t>
      </w:r>
      <w:r w:rsidR="00B6530F" w:rsidRPr="00476A2B">
        <w:rPr>
          <w:lang w:eastAsia="en-AU"/>
        </w:rPr>
        <w:t xml:space="preserve"> However, it was </w:t>
      </w:r>
      <w:r w:rsidR="00E5643D" w:rsidRPr="00476A2B">
        <w:rPr>
          <w:lang w:eastAsia="en-AU"/>
        </w:rPr>
        <w:t xml:space="preserve">not supported by public health organisations based on it being dependent on </w:t>
      </w:r>
      <w:r w:rsidR="00416CAC" w:rsidRPr="00476A2B">
        <w:rPr>
          <w:lang w:eastAsia="en-AU"/>
        </w:rPr>
        <w:t xml:space="preserve">voluntary </w:t>
      </w:r>
      <w:r w:rsidR="00E5643D" w:rsidRPr="00476A2B">
        <w:rPr>
          <w:lang w:eastAsia="en-AU"/>
        </w:rPr>
        <w:t xml:space="preserve">jurisdictional action and therefore </w:t>
      </w:r>
      <w:r w:rsidR="001B1D7E" w:rsidRPr="00476A2B">
        <w:rPr>
          <w:lang w:eastAsia="en-AU"/>
        </w:rPr>
        <w:t xml:space="preserve">having </w:t>
      </w:r>
      <w:r w:rsidR="00E5643D" w:rsidRPr="00476A2B">
        <w:rPr>
          <w:lang w:eastAsia="en-AU"/>
        </w:rPr>
        <w:t>minimal difference to the status quo.</w:t>
      </w:r>
    </w:p>
    <w:p w14:paraId="6E1E9FD0" w14:textId="77777777" w:rsidR="0046136B" w:rsidRPr="00476A2B" w:rsidRDefault="0046136B" w:rsidP="0046136B"/>
    <w:p w14:paraId="2B0CD2B5" w14:textId="29572FCE" w:rsidR="0004125A" w:rsidRPr="00476A2B" w:rsidRDefault="0046136B" w:rsidP="00F53A05">
      <w:pPr>
        <w:pStyle w:val="Heading3"/>
      </w:pPr>
      <w:bookmarkStart w:id="50" w:name="_Toc51165277"/>
      <w:r w:rsidRPr="00476A2B">
        <w:t xml:space="preserve">4.3 </w:t>
      </w:r>
      <w:r w:rsidR="0004125A" w:rsidRPr="00476A2B">
        <w:t xml:space="preserve">Option </w:t>
      </w:r>
      <w:r w:rsidRPr="00476A2B">
        <w:t>3</w:t>
      </w:r>
      <w:r w:rsidR="0004125A" w:rsidRPr="00476A2B">
        <w:t xml:space="preserve"> </w:t>
      </w:r>
      <w:bookmarkEnd w:id="47"/>
      <w:bookmarkEnd w:id="48"/>
      <w:bookmarkEnd w:id="49"/>
      <w:bookmarkEnd w:id="50"/>
    </w:p>
    <w:p w14:paraId="6468549E" w14:textId="1C1C4BA2" w:rsidR="000B155C" w:rsidRPr="00476A2B" w:rsidRDefault="00211E59" w:rsidP="007253F0">
      <w:pPr>
        <w:spacing w:after="40"/>
        <w:jc w:val="both"/>
      </w:pPr>
      <w:r w:rsidRPr="00476A2B">
        <w:t xml:space="preserve">The first step for this option involved </w:t>
      </w:r>
      <w:r w:rsidR="00455A50" w:rsidRPr="00476A2B">
        <w:t xml:space="preserve">developing a </w:t>
      </w:r>
      <w:r w:rsidR="00EB0A97" w:rsidRPr="00476A2B">
        <w:rPr>
          <w:i/>
          <w:iCs/>
        </w:rPr>
        <w:t xml:space="preserve">Ministerial Policy Guideline on </w:t>
      </w:r>
      <w:r w:rsidR="001F544E" w:rsidRPr="00476A2B">
        <w:rPr>
          <w:i/>
          <w:iCs/>
        </w:rPr>
        <w:t>M</w:t>
      </w:r>
      <w:r w:rsidR="00EB0A97" w:rsidRPr="00476A2B">
        <w:rPr>
          <w:i/>
          <w:iCs/>
        </w:rPr>
        <w:t xml:space="preserve">enu </w:t>
      </w:r>
      <w:r w:rsidR="001F544E" w:rsidRPr="00476A2B">
        <w:rPr>
          <w:i/>
          <w:iCs/>
        </w:rPr>
        <w:t>L</w:t>
      </w:r>
      <w:r w:rsidR="00EB0A97" w:rsidRPr="00476A2B">
        <w:rPr>
          <w:i/>
          <w:iCs/>
        </w:rPr>
        <w:t>abelling</w:t>
      </w:r>
      <w:r w:rsidR="00450BFC" w:rsidRPr="00476A2B">
        <w:rPr>
          <w:i/>
          <w:iCs/>
        </w:rPr>
        <w:t xml:space="preserve">: </w:t>
      </w:r>
      <w:r w:rsidR="00A06EE8" w:rsidRPr="00476A2B">
        <w:rPr>
          <w:i/>
          <w:iCs/>
        </w:rPr>
        <w:t xml:space="preserve">Displaying energy information for standard food items </w:t>
      </w:r>
      <w:r w:rsidR="00E87EF9" w:rsidRPr="00476A2B">
        <w:rPr>
          <w:i/>
          <w:iCs/>
        </w:rPr>
        <w:t xml:space="preserve">on menus and </w:t>
      </w:r>
      <w:r w:rsidR="00A06EE8" w:rsidRPr="00476A2B">
        <w:rPr>
          <w:i/>
          <w:iCs/>
        </w:rPr>
        <w:t>at the point-of-sale in standard food outlets</w:t>
      </w:r>
      <w:r w:rsidR="00ED12CD" w:rsidRPr="00476A2B">
        <w:t xml:space="preserve"> (the Policy Guideline</w:t>
      </w:r>
      <w:r w:rsidR="00A02281" w:rsidRPr="00476A2B">
        <w:t xml:space="preserve"> – at Appendix </w:t>
      </w:r>
      <w:r w:rsidR="002B225B" w:rsidRPr="00476A2B">
        <w:t>1</w:t>
      </w:r>
      <w:r w:rsidR="00A02281" w:rsidRPr="00476A2B">
        <w:t>)</w:t>
      </w:r>
      <w:r w:rsidR="00A94D2E" w:rsidRPr="00476A2B">
        <w:t xml:space="preserve">. </w:t>
      </w:r>
      <w:r w:rsidR="00D57CCC" w:rsidRPr="00476A2B">
        <w:t xml:space="preserve">The </w:t>
      </w:r>
      <w:r w:rsidR="000A36C5" w:rsidRPr="00476A2B">
        <w:t>intent is that</w:t>
      </w:r>
      <w:r w:rsidR="000B155C" w:rsidRPr="00476A2B">
        <w:t>:</w:t>
      </w:r>
    </w:p>
    <w:p w14:paraId="3293B2F1" w14:textId="6F1C9717" w:rsidR="0030774C" w:rsidRPr="00476A2B" w:rsidRDefault="00D57CCC" w:rsidP="0055688D">
      <w:pPr>
        <w:pStyle w:val="ListParagraph"/>
        <w:numPr>
          <w:ilvl w:val="0"/>
          <w:numId w:val="58"/>
        </w:numPr>
        <w:spacing w:after="40"/>
        <w:jc w:val="both"/>
        <w:rPr>
          <w:lang w:eastAsia="zh-CN" w:bidi="th-TH"/>
        </w:rPr>
      </w:pPr>
      <w:r w:rsidRPr="00476A2B">
        <w:t xml:space="preserve">menu labelling would be mandatory for </w:t>
      </w:r>
      <w:r w:rsidR="00105D83" w:rsidRPr="00476A2B">
        <w:t xml:space="preserve">all </w:t>
      </w:r>
      <w:r w:rsidR="00AD23E3" w:rsidRPr="00476A2B">
        <w:t xml:space="preserve">Australian and New Zealand </w:t>
      </w:r>
      <w:r w:rsidRPr="00476A2B">
        <w:t xml:space="preserve">businesses that </w:t>
      </w:r>
      <w:r w:rsidR="00AD23E3" w:rsidRPr="00476A2B">
        <w:rPr>
          <w:lang w:eastAsia="zh-CN" w:bidi="th-TH"/>
        </w:rPr>
        <w:t xml:space="preserve">sell standard food items (50 or more outlets </w:t>
      </w:r>
      <w:r w:rsidR="00066DB4" w:rsidRPr="00476A2B">
        <w:rPr>
          <w:lang w:eastAsia="zh-CN" w:bidi="th-TH"/>
        </w:rPr>
        <w:t>in Australia</w:t>
      </w:r>
      <w:r w:rsidR="00AD23E3" w:rsidRPr="00476A2B">
        <w:rPr>
          <w:lang w:eastAsia="zh-CN" w:bidi="th-TH"/>
        </w:rPr>
        <w:t>, 20 or more outlets in a</w:t>
      </w:r>
      <w:r w:rsidR="00066DB4" w:rsidRPr="00476A2B">
        <w:rPr>
          <w:lang w:eastAsia="zh-CN" w:bidi="th-TH"/>
        </w:rPr>
        <w:t>n Australian</w:t>
      </w:r>
      <w:r w:rsidR="00AD23E3" w:rsidRPr="00476A2B">
        <w:rPr>
          <w:lang w:eastAsia="zh-CN" w:bidi="th-TH"/>
        </w:rPr>
        <w:t xml:space="preserve"> State or 7 or more outlets in a</w:t>
      </w:r>
      <w:r w:rsidR="00066DB4" w:rsidRPr="00476A2B">
        <w:rPr>
          <w:lang w:eastAsia="zh-CN" w:bidi="th-TH"/>
        </w:rPr>
        <w:t>n Australian</w:t>
      </w:r>
      <w:r w:rsidR="00AD23E3" w:rsidRPr="00476A2B">
        <w:rPr>
          <w:lang w:eastAsia="zh-CN" w:bidi="th-TH"/>
        </w:rPr>
        <w:t xml:space="preserve"> Territory</w:t>
      </w:r>
      <w:r w:rsidR="0049376B" w:rsidRPr="00476A2B">
        <w:rPr>
          <w:lang w:eastAsia="zh-CN" w:bidi="th-TH"/>
        </w:rPr>
        <w:t xml:space="preserve">, </w:t>
      </w:r>
      <w:r w:rsidR="00AD23E3" w:rsidRPr="00476A2B">
        <w:rPr>
          <w:lang w:eastAsia="zh-CN" w:bidi="th-TH"/>
        </w:rPr>
        <w:t xml:space="preserve">20 or more outlets </w:t>
      </w:r>
      <w:r w:rsidR="0049376B" w:rsidRPr="00476A2B">
        <w:rPr>
          <w:lang w:eastAsia="zh-CN" w:bidi="th-TH"/>
        </w:rPr>
        <w:t>in New Zealand)</w:t>
      </w:r>
      <w:r w:rsidR="002629AB" w:rsidRPr="00476A2B">
        <w:rPr>
          <w:lang w:eastAsia="zh-CN" w:bidi="th-TH"/>
        </w:rPr>
        <w:t>;</w:t>
      </w:r>
    </w:p>
    <w:p w14:paraId="61F52D9B" w14:textId="4E8BAF87" w:rsidR="0049376B" w:rsidRPr="00476A2B" w:rsidRDefault="0030774C" w:rsidP="0055688D">
      <w:pPr>
        <w:pStyle w:val="ListParagraph"/>
        <w:numPr>
          <w:ilvl w:val="0"/>
          <w:numId w:val="58"/>
        </w:numPr>
        <w:spacing w:after="40"/>
        <w:jc w:val="both"/>
        <w:rPr>
          <w:lang w:eastAsia="zh-CN" w:bidi="th-TH"/>
        </w:rPr>
      </w:pPr>
      <w:r w:rsidRPr="00476A2B">
        <w:rPr>
          <w:lang w:eastAsia="zh-CN" w:bidi="th-TH"/>
        </w:rPr>
        <w:t>a</w:t>
      </w:r>
      <w:r w:rsidR="0049376B" w:rsidRPr="00476A2B">
        <w:rPr>
          <w:lang w:eastAsia="zh-CN" w:bidi="th-TH"/>
        </w:rPr>
        <w:t>ll standard food outlets in Australia and New Zealand would need to:</w:t>
      </w:r>
    </w:p>
    <w:p w14:paraId="525A8B68" w14:textId="77777777" w:rsidR="0049376B" w:rsidRPr="00476A2B" w:rsidRDefault="0049376B" w:rsidP="0055688D">
      <w:pPr>
        <w:pStyle w:val="ListParagraph"/>
        <w:numPr>
          <w:ilvl w:val="1"/>
          <w:numId w:val="59"/>
        </w:numPr>
        <w:spacing w:after="40"/>
        <w:rPr>
          <w:lang w:eastAsia="zh-CN" w:bidi="th-TH"/>
        </w:rPr>
      </w:pPr>
      <w:r w:rsidRPr="00476A2B">
        <w:rPr>
          <w:lang w:eastAsia="zh-CN" w:bidi="th-TH"/>
        </w:rPr>
        <w:t>display the energy information of all available standard food items on all menus and at all physical and electronic points-of-sale;</w:t>
      </w:r>
    </w:p>
    <w:p w14:paraId="76A2E746" w14:textId="77777777" w:rsidR="0049376B" w:rsidRPr="00476A2B" w:rsidRDefault="0049376B" w:rsidP="0055688D">
      <w:pPr>
        <w:pStyle w:val="ListParagraph"/>
        <w:numPr>
          <w:ilvl w:val="1"/>
          <w:numId w:val="59"/>
        </w:numPr>
        <w:spacing w:after="40"/>
        <w:rPr>
          <w:lang w:eastAsia="zh-CN" w:bidi="th-TH"/>
        </w:rPr>
      </w:pPr>
      <w:r w:rsidRPr="00476A2B">
        <w:rPr>
          <w:lang w:eastAsia="zh-CN" w:bidi="th-TH"/>
        </w:rPr>
        <w:t>display the energy information for combination meals including any pre-packaged items with the combination;</w:t>
      </w:r>
    </w:p>
    <w:p w14:paraId="628F681B" w14:textId="77777777" w:rsidR="0049376B" w:rsidRPr="00476A2B" w:rsidRDefault="0049376B" w:rsidP="0055688D">
      <w:pPr>
        <w:pStyle w:val="ListParagraph"/>
        <w:numPr>
          <w:ilvl w:val="1"/>
          <w:numId w:val="59"/>
        </w:numPr>
        <w:spacing w:after="40"/>
        <w:rPr>
          <w:lang w:eastAsia="zh-CN" w:bidi="th-TH"/>
        </w:rPr>
      </w:pPr>
      <w:r w:rsidRPr="00476A2B">
        <w:rPr>
          <w:lang w:eastAsia="zh-CN" w:bidi="th-TH"/>
        </w:rPr>
        <w:t>display the energy information for multi-serve items as the whole item and per serving; and</w:t>
      </w:r>
    </w:p>
    <w:p w14:paraId="32682F8E" w14:textId="5872491A" w:rsidR="0049376B" w:rsidRPr="00476A2B" w:rsidRDefault="0049376B" w:rsidP="0055688D">
      <w:pPr>
        <w:pStyle w:val="ListParagraph"/>
        <w:numPr>
          <w:ilvl w:val="1"/>
          <w:numId w:val="59"/>
        </w:numPr>
        <w:spacing w:after="40"/>
        <w:jc w:val="both"/>
        <w:rPr>
          <w:lang w:eastAsia="zh-CN" w:bidi="th-TH"/>
        </w:rPr>
      </w:pPr>
      <w:r w:rsidRPr="00476A2B">
        <w:rPr>
          <w:lang w:eastAsia="zh-CN" w:bidi="th-TH"/>
        </w:rPr>
        <w:t>ensure that customers have access to the energy information for standardised single ingredients and customisable menu items</w:t>
      </w:r>
      <w:r w:rsidR="00A10E3C" w:rsidRPr="00476A2B">
        <w:rPr>
          <w:lang w:eastAsia="zh-CN" w:bidi="th-TH"/>
        </w:rPr>
        <w:t>;</w:t>
      </w:r>
    </w:p>
    <w:p w14:paraId="56696D80" w14:textId="09666BA8" w:rsidR="00AD23E3" w:rsidRPr="00476A2B" w:rsidRDefault="00AD23E3" w:rsidP="0055688D">
      <w:pPr>
        <w:pStyle w:val="ListParagraph"/>
        <w:numPr>
          <w:ilvl w:val="0"/>
          <w:numId w:val="58"/>
        </w:numPr>
        <w:spacing w:after="40"/>
        <w:jc w:val="both"/>
        <w:rPr>
          <w:lang w:eastAsia="zh-CN" w:bidi="th-TH"/>
        </w:rPr>
      </w:pPr>
      <w:r w:rsidRPr="00476A2B">
        <w:rPr>
          <w:lang w:eastAsia="zh-CN" w:bidi="th-TH"/>
        </w:rPr>
        <w:t>supermarkets would be required to display the energy information for each standard food in the same font and font size as pri</w:t>
      </w:r>
      <w:r w:rsidR="00E74226" w:rsidRPr="00476A2B">
        <w:rPr>
          <w:lang w:eastAsia="zh-CN" w:bidi="th-TH"/>
        </w:rPr>
        <w:t>ze</w:t>
      </w:r>
      <w:r w:rsidR="00A10E3C" w:rsidRPr="00476A2B">
        <w:rPr>
          <w:lang w:eastAsia="zh-CN" w:bidi="th-TH"/>
        </w:rPr>
        <w:t>;</w:t>
      </w:r>
      <w:r w:rsidR="006D0A99" w:rsidRPr="00476A2B">
        <w:rPr>
          <w:lang w:eastAsia="zh-CN" w:bidi="th-TH"/>
        </w:rPr>
        <w:t xml:space="preserve"> and</w:t>
      </w:r>
    </w:p>
    <w:p w14:paraId="352EFFA4" w14:textId="393CCD38" w:rsidR="000B155C" w:rsidRPr="00476A2B" w:rsidRDefault="00AD23E3" w:rsidP="0055688D">
      <w:pPr>
        <w:pStyle w:val="ListParagraph"/>
        <w:numPr>
          <w:ilvl w:val="0"/>
          <w:numId w:val="58"/>
        </w:numPr>
        <w:spacing w:after="40"/>
        <w:jc w:val="both"/>
        <w:rPr>
          <w:lang w:eastAsia="zh-CN" w:bidi="th-TH"/>
        </w:rPr>
      </w:pPr>
      <w:r w:rsidRPr="00476A2B">
        <w:rPr>
          <w:lang w:eastAsia="zh-CN" w:bidi="th-TH"/>
        </w:rPr>
        <w:t>i</w:t>
      </w:r>
      <w:r w:rsidR="000B155C" w:rsidRPr="00476A2B">
        <w:rPr>
          <w:lang w:eastAsia="zh-CN" w:bidi="th-TH"/>
        </w:rPr>
        <w:t>f any business uses a third-party to facilitate the sale of standard food items, the food business would need to provide the energy information to the third-party.</w:t>
      </w:r>
    </w:p>
    <w:p w14:paraId="6C99B83B" w14:textId="4911159D" w:rsidR="006D0A99" w:rsidRPr="00476A2B" w:rsidRDefault="006D0A99" w:rsidP="006D0A99">
      <w:pPr>
        <w:spacing w:after="40"/>
        <w:jc w:val="both"/>
        <w:rPr>
          <w:lang w:eastAsia="zh-CN" w:bidi="th-TH"/>
        </w:rPr>
      </w:pPr>
    </w:p>
    <w:p w14:paraId="677267C8" w14:textId="198583C7" w:rsidR="006D0A99" w:rsidRPr="00476A2B" w:rsidRDefault="006D0A99" w:rsidP="006D0A99">
      <w:pPr>
        <w:spacing w:after="40"/>
        <w:jc w:val="both"/>
        <w:rPr>
          <w:lang w:eastAsia="zh-CN" w:bidi="th-TH"/>
        </w:rPr>
      </w:pPr>
      <w:r w:rsidRPr="00476A2B">
        <w:rPr>
          <w:lang w:eastAsia="zh-CN" w:bidi="th-TH"/>
        </w:rPr>
        <w:t>Additionally,</w:t>
      </w:r>
      <w:r w:rsidR="009064E7" w:rsidRPr="00476A2B">
        <w:rPr>
          <w:lang w:eastAsia="zh-CN" w:bidi="th-TH"/>
        </w:rPr>
        <w:t xml:space="preserve"> the intent is that</w:t>
      </w:r>
      <w:r w:rsidRPr="00476A2B">
        <w:rPr>
          <w:lang w:eastAsia="zh-CN" w:bidi="th-TH"/>
        </w:rPr>
        <w:t xml:space="preserve"> businesses that are not required to implement menu labelling could voluntarily do so but would need to comply with the mandatory menu labelling requirements</w:t>
      </w:r>
      <w:r w:rsidR="009064E7" w:rsidRPr="00476A2B">
        <w:rPr>
          <w:lang w:eastAsia="zh-CN" w:bidi="th-TH"/>
        </w:rPr>
        <w:t xml:space="preserve">. </w:t>
      </w:r>
      <w:r w:rsidR="00593D8D" w:rsidRPr="00476A2B">
        <w:rPr>
          <w:lang w:eastAsia="zh-CN" w:bidi="th-TH"/>
        </w:rPr>
        <w:t xml:space="preserve">This is </w:t>
      </w:r>
      <w:r w:rsidR="00F17621" w:rsidRPr="00476A2B">
        <w:rPr>
          <w:lang w:eastAsia="zh-CN" w:bidi="th-TH"/>
        </w:rPr>
        <w:t>a form of quasi-regulation, as is a mandatory-voluntary approach.</w:t>
      </w:r>
      <w:r w:rsidR="00C8197C" w:rsidRPr="00476A2B">
        <w:rPr>
          <w:lang w:eastAsia="zh-CN" w:bidi="th-TH"/>
        </w:rPr>
        <w:t xml:space="preserve"> </w:t>
      </w:r>
      <w:r w:rsidR="003F1D03" w:rsidRPr="00476A2B">
        <w:rPr>
          <w:lang w:eastAsia="zh-CN" w:bidi="th-TH"/>
        </w:rPr>
        <w:t>The rationale behind voluntary implementation following the same approach as mandatory implementation is to prevent voluntary implementation adopting a self-select approach on what menu items to label, that is</w:t>
      </w:r>
      <w:r w:rsidR="003A33AD" w:rsidRPr="00476A2B">
        <w:rPr>
          <w:lang w:eastAsia="zh-CN" w:bidi="th-TH"/>
        </w:rPr>
        <w:t>,</w:t>
      </w:r>
      <w:r w:rsidR="003F1D03" w:rsidRPr="00476A2B">
        <w:rPr>
          <w:lang w:eastAsia="zh-CN" w:bidi="th-TH"/>
        </w:rPr>
        <w:t xml:space="preserve"> a marketing driver to label </w:t>
      </w:r>
      <w:r w:rsidR="003F1D03" w:rsidRPr="00476A2B">
        <w:rPr>
          <w:i/>
          <w:iCs/>
          <w:lang w:eastAsia="zh-CN" w:bidi="th-TH"/>
        </w:rPr>
        <w:t>some</w:t>
      </w:r>
      <w:r w:rsidR="003F1D03" w:rsidRPr="00476A2B">
        <w:rPr>
          <w:lang w:eastAsia="zh-CN" w:bidi="th-TH"/>
        </w:rPr>
        <w:t xml:space="preserve"> menu items, rather than a consumer information/comparison driver of labelling </w:t>
      </w:r>
      <w:r w:rsidR="003F1D03" w:rsidRPr="00476A2B">
        <w:rPr>
          <w:i/>
          <w:iCs/>
          <w:lang w:eastAsia="zh-CN" w:bidi="th-TH"/>
        </w:rPr>
        <w:t>all</w:t>
      </w:r>
      <w:r w:rsidR="003F1D03" w:rsidRPr="00476A2B">
        <w:rPr>
          <w:lang w:eastAsia="zh-CN" w:bidi="th-TH"/>
        </w:rPr>
        <w:t xml:space="preserve"> menu items.</w:t>
      </w:r>
    </w:p>
    <w:p w14:paraId="790F9095" w14:textId="652A9D23" w:rsidR="002F5B98" w:rsidRPr="00476A2B" w:rsidRDefault="002F5B98" w:rsidP="007253F0">
      <w:pPr>
        <w:spacing w:after="40"/>
        <w:jc w:val="both"/>
        <w:rPr>
          <w:lang w:eastAsia="zh-CN" w:bidi="th-TH"/>
        </w:rPr>
      </w:pPr>
    </w:p>
    <w:p w14:paraId="2CBDEDB9" w14:textId="7129DEEE" w:rsidR="009D5ABD" w:rsidRPr="00476A2B" w:rsidRDefault="00ED12CD" w:rsidP="00A17127">
      <w:pPr>
        <w:pStyle w:val="Bodytext-TMRfont12"/>
        <w:rPr>
          <w:i/>
        </w:rPr>
      </w:pPr>
      <w:r w:rsidRPr="00476A2B">
        <w:t>T</w:t>
      </w:r>
      <w:r w:rsidR="000535E1" w:rsidRPr="00476A2B">
        <w:t xml:space="preserve">o </w:t>
      </w:r>
      <w:r w:rsidR="00C05360" w:rsidRPr="00476A2B">
        <w:t>achieve</w:t>
      </w:r>
      <w:r w:rsidR="000535E1" w:rsidRPr="00476A2B">
        <w:t xml:space="preserve"> a bi-nationally</w:t>
      </w:r>
      <w:r w:rsidR="00B05A66" w:rsidRPr="00476A2B">
        <w:t xml:space="preserve"> consistent approach to menu labelling, t</w:t>
      </w:r>
      <w:r w:rsidRPr="00476A2B">
        <w:t xml:space="preserve">he </w:t>
      </w:r>
      <w:r w:rsidR="00CC4CA3" w:rsidRPr="00476A2B">
        <w:t>second step is to</w:t>
      </w:r>
      <w:r w:rsidR="003A388B" w:rsidRPr="00476A2B">
        <w:t xml:space="preserve"> </w:t>
      </w:r>
      <w:r w:rsidR="003A388B" w:rsidRPr="00476A2B">
        <w:rPr>
          <w:iCs/>
        </w:rPr>
        <w:t>develop a mandatory food regulatory measure</w:t>
      </w:r>
      <w:r w:rsidR="007F2121" w:rsidRPr="00476A2B">
        <w:rPr>
          <w:rStyle w:val="FootnoteReference"/>
        </w:rPr>
        <w:footnoteReference w:id="80"/>
      </w:r>
      <w:r w:rsidR="003A388B" w:rsidRPr="00476A2B">
        <w:rPr>
          <w:iCs/>
        </w:rPr>
        <w:t xml:space="preserve"> for menu labelling </w:t>
      </w:r>
      <w:r w:rsidR="007F2121" w:rsidRPr="00476A2B">
        <w:rPr>
          <w:iCs/>
        </w:rPr>
        <w:t>under</w:t>
      </w:r>
      <w:r w:rsidR="003A388B" w:rsidRPr="00476A2B">
        <w:rPr>
          <w:iCs/>
        </w:rPr>
        <w:t xml:space="preserve"> the Food Standards Code.</w:t>
      </w:r>
      <w:r w:rsidR="003A388B" w:rsidRPr="00476A2B">
        <w:rPr>
          <w:i/>
        </w:rPr>
        <w:t xml:space="preserve"> </w:t>
      </w:r>
      <w:r w:rsidR="009D5ABD" w:rsidRPr="00476A2B">
        <w:t xml:space="preserve">As outlined in the </w:t>
      </w:r>
      <w:r w:rsidR="009D5ABD" w:rsidRPr="00476A2B">
        <w:rPr>
          <w:i/>
          <w:iCs/>
        </w:rPr>
        <w:t>FSANZ Act 1991</w:t>
      </w:r>
      <w:r w:rsidR="009D5ABD" w:rsidRPr="00476A2B">
        <w:t xml:space="preserve">, </w:t>
      </w:r>
      <w:r w:rsidR="00A17127" w:rsidRPr="00476A2B">
        <w:t xml:space="preserve">in developing a food regulatory measure </w:t>
      </w:r>
      <w:r w:rsidR="009D5ABD" w:rsidRPr="00476A2B">
        <w:t>FSANZ must</w:t>
      </w:r>
      <w:r w:rsidR="002D0BAA" w:rsidRPr="00476A2B">
        <w:t>, among other matters,</w:t>
      </w:r>
      <w:r w:rsidR="009D5ABD" w:rsidRPr="00476A2B">
        <w:t xml:space="preserve"> have regard to policy guidelines</w:t>
      </w:r>
      <w:r w:rsidR="00A17127" w:rsidRPr="00476A2B">
        <w:t>,</w:t>
      </w:r>
      <w:r w:rsidR="009D5ABD" w:rsidRPr="00476A2B">
        <w:t xml:space="preserve"> </w:t>
      </w:r>
      <w:r w:rsidR="009730D2" w:rsidRPr="00476A2B">
        <w:t xml:space="preserve">whether costs of the </w:t>
      </w:r>
      <w:r w:rsidR="00667755" w:rsidRPr="00476A2B">
        <w:t xml:space="preserve">food regulatory </w:t>
      </w:r>
      <w:r w:rsidR="009730D2" w:rsidRPr="00476A2B">
        <w:t xml:space="preserve">measure outweigh the benefits </w:t>
      </w:r>
      <w:r w:rsidR="006E7C7D" w:rsidRPr="00476A2B">
        <w:t xml:space="preserve">to the community, </w:t>
      </w:r>
      <w:r w:rsidR="009C0DE0" w:rsidRPr="00476A2B">
        <w:t>industry,</w:t>
      </w:r>
      <w:r w:rsidR="006E7C7D" w:rsidRPr="00476A2B">
        <w:t xml:space="preserve"> and government</w:t>
      </w:r>
      <w:r w:rsidR="00EF6CEE" w:rsidRPr="00476A2B">
        <w:t xml:space="preserve"> (Section</w:t>
      </w:r>
      <w:r w:rsidR="00EF6CEE">
        <w:t xml:space="preserve"> 5 provides details of costs and benefits)</w:t>
      </w:r>
      <w:r w:rsidR="007E68ED" w:rsidRPr="00E67A4C">
        <w:t>; and whether any other measures would be more cost-effective</w:t>
      </w:r>
      <w:r w:rsidR="00667755" w:rsidRPr="00E67A4C">
        <w:t xml:space="preserve"> than a food regulatory measure</w:t>
      </w:r>
      <w:r w:rsidR="002A68DE" w:rsidRPr="00E67A4C">
        <w:t xml:space="preserve">. </w:t>
      </w:r>
      <w:r w:rsidR="003538B8">
        <w:t>The</w:t>
      </w:r>
      <w:r w:rsidR="00A07D1F" w:rsidRPr="00A406C6">
        <w:t xml:space="preserve"> food regulatory measure w</w:t>
      </w:r>
      <w:r w:rsidR="00A07D1F">
        <w:t>ould</w:t>
      </w:r>
      <w:r w:rsidR="00A07D1F" w:rsidRPr="00A406C6">
        <w:t xml:space="preserve"> require FSANZ Board approval</w:t>
      </w:r>
      <w:r w:rsidR="00821A92">
        <w:t xml:space="preserve"> and Food </w:t>
      </w:r>
      <w:r w:rsidR="00821A92" w:rsidRPr="00476A2B">
        <w:t>Minister approval</w:t>
      </w:r>
      <w:r w:rsidR="00A07D1F" w:rsidRPr="00476A2B">
        <w:t>.</w:t>
      </w:r>
      <w:r w:rsidR="00B96C73" w:rsidRPr="00476A2B">
        <w:t xml:space="preserve"> The intent is that the food regulatory measure would be automatically adopted in all Australian jurisdictions and New Zealand through their Food Acts.</w:t>
      </w:r>
    </w:p>
    <w:p w14:paraId="0B89DBFB" w14:textId="77777777" w:rsidR="003F1D03" w:rsidRPr="00476A2B" w:rsidRDefault="003F1D03" w:rsidP="003F1D03">
      <w:pPr>
        <w:spacing w:after="40"/>
        <w:jc w:val="both"/>
        <w:rPr>
          <w:color w:val="FF0000"/>
          <w:lang w:eastAsia="zh-CN" w:bidi="th-TH"/>
        </w:rPr>
      </w:pPr>
    </w:p>
    <w:p w14:paraId="66C86AF2" w14:textId="2D2A8B16" w:rsidR="00DA7FB6" w:rsidRPr="00476A2B" w:rsidRDefault="003E26FF">
      <w:pPr>
        <w:pStyle w:val="ISCbulleted"/>
        <w:numPr>
          <w:ilvl w:val="0"/>
          <w:numId w:val="0"/>
        </w:numPr>
        <w:tabs>
          <w:tab w:val="clear" w:pos="567"/>
        </w:tabs>
        <w:spacing w:after="0"/>
        <w:jc w:val="both"/>
      </w:pPr>
      <w:r w:rsidRPr="00476A2B">
        <w:rPr>
          <w:lang w:eastAsia="zh-CN" w:bidi="th-TH"/>
        </w:rPr>
        <w:t xml:space="preserve">The third step is for </w:t>
      </w:r>
      <w:r w:rsidR="0030774C" w:rsidRPr="00476A2B">
        <w:t>f</w:t>
      </w:r>
      <w:r w:rsidR="00DF1B2D" w:rsidRPr="00476A2B">
        <w:t xml:space="preserve">ive </w:t>
      </w:r>
      <w:r w:rsidR="00260C7A" w:rsidRPr="00476A2B">
        <w:t xml:space="preserve">Australian </w:t>
      </w:r>
      <w:r w:rsidR="00CF2F8A" w:rsidRPr="00476A2B">
        <w:t>j</w:t>
      </w:r>
      <w:r w:rsidR="000C00E0" w:rsidRPr="00476A2B">
        <w:t xml:space="preserve">urisdictions to repeal menu labelling legislation </w:t>
      </w:r>
      <w:r w:rsidR="00EC0832" w:rsidRPr="00476A2B">
        <w:t xml:space="preserve">once a food regulatory measure was in place </w:t>
      </w:r>
      <w:r w:rsidR="000C00E0" w:rsidRPr="00476A2B">
        <w:t xml:space="preserve">to ensure there was only one </w:t>
      </w:r>
      <w:r w:rsidR="00EF6CEE" w:rsidRPr="00476A2B">
        <w:t xml:space="preserve">menu labelling </w:t>
      </w:r>
      <w:r w:rsidR="000C00E0" w:rsidRPr="00476A2B">
        <w:t>system</w:t>
      </w:r>
      <w:r w:rsidR="00BA4C89" w:rsidRPr="00476A2B">
        <w:t xml:space="preserve"> across </w:t>
      </w:r>
      <w:r w:rsidR="00BA4C89" w:rsidRPr="00476A2B">
        <w:lastRenderedPageBreak/>
        <w:t>Australia and New Zealand</w:t>
      </w:r>
      <w:r w:rsidR="000C00E0" w:rsidRPr="00476A2B">
        <w:t>.</w:t>
      </w:r>
      <w:r w:rsidR="00113284" w:rsidRPr="00476A2B">
        <w:t xml:space="preserve"> </w:t>
      </w:r>
      <w:r w:rsidR="00431B97" w:rsidRPr="00476A2B">
        <w:t xml:space="preserve">Repealing legislation is expected to be a less resource-intensive process and of shorter </w:t>
      </w:r>
      <w:r w:rsidR="00DA7FB6" w:rsidRPr="00476A2B">
        <w:t>duration</w:t>
      </w:r>
      <w:r w:rsidR="00431B97" w:rsidRPr="00476A2B">
        <w:t>, compared to changing legislation to align with the amended Principles (Option 2).</w:t>
      </w:r>
      <w:r w:rsidR="00DA7FB6" w:rsidRPr="00476A2B">
        <w:t xml:space="preserve"> This is due to the repealing action on the states and territories being de-regulatory in nature, therefore avoiding the need for a RIS and extensive public consultation periods. It is important to note that one issue that may need to be retained in jurisdictional legislation is voluntary use of menu labelling if this cannot be regulated by the Food Standards Code. All jurisdictions would then need to amend their legislation to ensure that voluntary use was done in accordance with the Food Standards Code to ensure a consistent, single menu labelling system was in place.</w:t>
      </w:r>
    </w:p>
    <w:p w14:paraId="31F47D5C" w14:textId="69079092" w:rsidR="00540239" w:rsidRPr="00476A2B" w:rsidRDefault="00540239">
      <w:pPr>
        <w:pStyle w:val="ISCbulleted"/>
        <w:numPr>
          <w:ilvl w:val="0"/>
          <w:numId w:val="0"/>
        </w:numPr>
        <w:tabs>
          <w:tab w:val="clear" w:pos="567"/>
        </w:tabs>
        <w:spacing w:after="0"/>
        <w:jc w:val="both"/>
      </w:pPr>
    </w:p>
    <w:p w14:paraId="6242190A" w14:textId="79FC7F6E" w:rsidR="00540239" w:rsidRPr="00476A2B" w:rsidRDefault="00540239">
      <w:pPr>
        <w:pStyle w:val="ISCbulleted"/>
        <w:numPr>
          <w:ilvl w:val="0"/>
          <w:numId w:val="0"/>
        </w:numPr>
        <w:tabs>
          <w:tab w:val="clear" w:pos="567"/>
        </w:tabs>
        <w:spacing w:after="0"/>
        <w:jc w:val="both"/>
      </w:pPr>
      <w:r w:rsidRPr="00476A2B">
        <w:t xml:space="preserve">It is also important to note that </w:t>
      </w:r>
      <w:r w:rsidR="00C6796E" w:rsidRPr="00476A2B">
        <w:t xml:space="preserve">a jurisdiction could </w:t>
      </w:r>
      <w:r w:rsidR="002060B5" w:rsidRPr="00476A2B">
        <w:t>decide to not</w:t>
      </w:r>
      <w:r w:rsidR="00766FE2" w:rsidRPr="00476A2B">
        <w:t xml:space="preserve"> repeal their legislation and not adopt</w:t>
      </w:r>
      <w:r w:rsidR="002060B5" w:rsidRPr="00476A2B">
        <w:t xml:space="preserve"> the food regulatory measure</w:t>
      </w:r>
      <w:r w:rsidR="00766FE2" w:rsidRPr="00476A2B">
        <w:t xml:space="preserve">. </w:t>
      </w:r>
      <w:r w:rsidR="00957800" w:rsidRPr="00476A2B">
        <w:t>For some jurisdictions, their legislation may take precedent if there is a conflict with a requirement in the Food Standards Code, or where their legislation specifically states a partial or full Standard does not apply.</w:t>
      </w:r>
      <w:r w:rsidR="00957800" w:rsidRPr="00476A2B">
        <w:rPr>
          <w:rStyle w:val="FootnoteReference"/>
        </w:rPr>
        <w:footnoteReference w:id="81"/>
      </w:r>
      <w:r w:rsidR="00957800" w:rsidRPr="00476A2B">
        <w:t xml:space="preserve">  However, t</w:t>
      </w:r>
      <w:r w:rsidR="001C66CA" w:rsidRPr="00476A2B">
        <w:rPr>
          <w:lang w:eastAsia="zh-CN" w:bidi="th-TH"/>
        </w:rPr>
        <w:t>he Food Regulation Agreement (FRA)</w:t>
      </w:r>
      <w:r w:rsidR="001C66CA" w:rsidRPr="00476A2B">
        <w:rPr>
          <w:rStyle w:val="FootnoteReference"/>
          <w:lang w:eastAsia="zh-CN" w:bidi="th-TH"/>
        </w:rPr>
        <w:footnoteReference w:id="82"/>
      </w:r>
      <w:r w:rsidR="001C66CA" w:rsidRPr="00476A2B">
        <w:rPr>
          <w:lang w:eastAsia="zh-CN" w:bidi="th-TH"/>
        </w:rPr>
        <w:t xml:space="preserve"> provides an obligation on all jurisdictions to implement regulatory measures of the Food Standards Code. Furthermore, the FRA exclusively provides that in the absence of an identified health and safety risk, no state or territory shall amend the Food Standards Code in giving it effect within constitutional boundaries.</w:t>
      </w:r>
      <w:r w:rsidR="001C66CA" w:rsidRPr="00476A2B">
        <w:t xml:space="preserve"> </w:t>
      </w:r>
      <w:r w:rsidR="00C6796E" w:rsidRPr="00476A2B">
        <w:t xml:space="preserve"> </w:t>
      </w:r>
    </w:p>
    <w:p w14:paraId="379EF6E1" w14:textId="77777777" w:rsidR="0032404B" w:rsidRPr="00476A2B" w:rsidRDefault="0032404B" w:rsidP="00E45CA5">
      <w:pPr>
        <w:pStyle w:val="ISCbulleted"/>
        <w:numPr>
          <w:ilvl w:val="0"/>
          <w:numId w:val="0"/>
        </w:numPr>
        <w:tabs>
          <w:tab w:val="clear" w:pos="567"/>
        </w:tabs>
        <w:spacing w:after="0"/>
        <w:jc w:val="both"/>
      </w:pPr>
    </w:p>
    <w:p w14:paraId="02E65F21" w14:textId="6476940A" w:rsidR="00334DCC" w:rsidRPr="00476A2B" w:rsidRDefault="0078523C" w:rsidP="007253F0">
      <w:pPr>
        <w:spacing w:after="40"/>
        <w:jc w:val="both"/>
        <w:rPr>
          <w:lang w:eastAsia="en-AU"/>
        </w:rPr>
      </w:pPr>
      <w:r w:rsidRPr="00476A2B">
        <w:rPr>
          <w:lang w:eastAsia="en-AU"/>
        </w:rPr>
        <w:t>During the 2021 consultation, t</w:t>
      </w:r>
      <w:r w:rsidR="00334DCC" w:rsidRPr="00476A2B">
        <w:rPr>
          <w:lang w:eastAsia="en-AU"/>
        </w:rPr>
        <w:t xml:space="preserve">his option was supported by some food industry stakeholders as it was a consistent, </w:t>
      </w:r>
      <w:r w:rsidR="00E57EFA" w:rsidRPr="00476A2B">
        <w:rPr>
          <w:lang w:eastAsia="en-AU"/>
        </w:rPr>
        <w:t xml:space="preserve">compulsory </w:t>
      </w:r>
      <w:r w:rsidR="00334DCC" w:rsidRPr="00476A2B">
        <w:rPr>
          <w:lang w:eastAsia="en-AU"/>
        </w:rPr>
        <w:t>approach</w:t>
      </w:r>
      <w:r w:rsidR="00A97B91" w:rsidRPr="00476A2B">
        <w:rPr>
          <w:lang w:eastAsia="en-AU"/>
        </w:rPr>
        <w:t xml:space="preserve">; and all public health and consumer organisations and two Australian state governments </w:t>
      </w:r>
      <w:r w:rsidR="00F249E5" w:rsidRPr="00476A2B">
        <w:rPr>
          <w:lang w:eastAsia="en-AU"/>
        </w:rPr>
        <w:t xml:space="preserve">supported it </w:t>
      </w:r>
      <w:r w:rsidR="00A97B91" w:rsidRPr="00476A2B">
        <w:rPr>
          <w:lang w:eastAsia="en-AU"/>
        </w:rPr>
        <w:t xml:space="preserve">as it was best for consumers and </w:t>
      </w:r>
      <w:r w:rsidR="005B374A" w:rsidRPr="00476A2B">
        <w:rPr>
          <w:lang w:eastAsia="en-AU"/>
        </w:rPr>
        <w:t>best for businesses</w:t>
      </w:r>
      <w:r w:rsidRPr="00476A2B">
        <w:rPr>
          <w:lang w:eastAsia="en-AU"/>
        </w:rPr>
        <w:t>.</w:t>
      </w:r>
    </w:p>
    <w:p w14:paraId="5182E12A" w14:textId="77777777" w:rsidR="00CE0B71" w:rsidRPr="00476A2B" w:rsidRDefault="00CE0B71" w:rsidP="007253F0">
      <w:pPr>
        <w:spacing w:after="40"/>
        <w:jc w:val="both"/>
      </w:pPr>
    </w:p>
    <w:p w14:paraId="12757D69" w14:textId="10D1AB62" w:rsidR="005C0AF7" w:rsidRPr="00476A2B" w:rsidRDefault="009A0678" w:rsidP="00F53A05">
      <w:pPr>
        <w:pStyle w:val="Heading3"/>
      </w:pPr>
      <w:bookmarkStart w:id="51" w:name="_Toc51165278"/>
      <w:r w:rsidRPr="00476A2B">
        <w:t>4.</w:t>
      </w:r>
      <w:r w:rsidR="00A960DE" w:rsidRPr="00476A2B">
        <w:t xml:space="preserve">4 </w:t>
      </w:r>
      <w:r w:rsidRPr="00476A2B">
        <w:t xml:space="preserve">Option </w:t>
      </w:r>
      <w:r w:rsidR="00A960DE" w:rsidRPr="00476A2B">
        <w:t>4</w:t>
      </w:r>
      <w:r w:rsidRPr="00476A2B">
        <w:t xml:space="preserve"> </w:t>
      </w:r>
      <w:bookmarkEnd w:id="51"/>
    </w:p>
    <w:p w14:paraId="72317C3F" w14:textId="52E44173" w:rsidR="00D00319" w:rsidRDefault="00ED777E" w:rsidP="00D00319">
      <w:pPr>
        <w:spacing w:after="40"/>
        <w:jc w:val="both"/>
      </w:pPr>
      <w:r w:rsidRPr="00476A2B">
        <w:t xml:space="preserve">This option </w:t>
      </w:r>
      <w:r w:rsidR="000A1DEC" w:rsidRPr="00476A2B">
        <w:t>involves</w:t>
      </w:r>
      <w:r w:rsidRPr="00476A2B">
        <w:t xml:space="preserve"> </w:t>
      </w:r>
      <w:r w:rsidR="001E07CC" w:rsidRPr="00476A2B">
        <w:t xml:space="preserve">maintaining </w:t>
      </w:r>
      <w:r w:rsidR="00034029" w:rsidRPr="00476A2B">
        <w:t xml:space="preserve">the existing regulatory </w:t>
      </w:r>
      <w:r w:rsidR="00A80B14" w:rsidRPr="00476A2B">
        <w:t>framework (the status quo) and</w:t>
      </w:r>
      <w:r w:rsidR="008C1705" w:rsidRPr="00476A2B">
        <w:t xml:space="preserve"> </w:t>
      </w:r>
      <w:r w:rsidR="00B77EF5" w:rsidRPr="00476A2B">
        <w:t xml:space="preserve">encouraging </w:t>
      </w:r>
      <w:r w:rsidR="002B44D6" w:rsidRPr="00476A2B">
        <w:t>businesses</w:t>
      </w:r>
      <w:r w:rsidR="007A4921" w:rsidRPr="00476A2B">
        <w:t xml:space="preserve"> in Australia and New Zealand</w:t>
      </w:r>
      <w:r w:rsidRPr="00E67A4C">
        <w:t xml:space="preserve"> to </w:t>
      </w:r>
      <w:r w:rsidR="002B44D6" w:rsidRPr="00E67A4C">
        <w:t xml:space="preserve">voluntarily implement </w:t>
      </w:r>
      <w:r w:rsidR="00D237DE" w:rsidRPr="00E67A4C">
        <w:t xml:space="preserve">a range of </w:t>
      </w:r>
      <w:r w:rsidR="002B44D6" w:rsidRPr="00E67A4C">
        <w:t>enhancements to menu labelling.</w:t>
      </w:r>
      <w:r w:rsidR="00EA7DEA" w:rsidRPr="00E67A4C">
        <w:t xml:space="preserve"> </w:t>
      </w:r>
      <w:r w:rsidR="000D3886" w:rsidRPr="00E67A4C">
        <w:t>Enhancements</w:t>
      </w:r>
      <w:r w:rsidR="009B489D" w:rsidRPr="00E67A4C">
        <w:t xml:space="preserve"> to menu labelling</w:t>
      </w:r>
      <w:r w:rsidR="00F406F2">
        <w:t xml:space="preserve"> include</w:t>
      </w:r>
      <w:r w:rsidR="00D00319">
        <w:t xml:space="preserve"> </w:t>
      </w:r>
      <w:r w:rsidR="00D00319" w:rsidRPr="00E67A4C">
        <w:t xml:space="preserve">displaying energy information for combination meals (inclusive of pre-packaged drinks) and standardised ingredients for customised menu items and increasing the availability of energy information at all points-of-sale, including third-party food delivery platforms. </w:t>
      </w:r>
    </w:p>
    <w:p w14:paraId="19AFC161" w14:textId="069A6F99" w:rsidR="00791D4D" w:rsidRDefault="00791D4D" w:rsidP="00D00319">
      <w:pPr>
        <w:spacing w:after="40"/>
        <w:jc w:val="both"/>
      </w:pPr>
    </w:p>
    <w:p w14:paraId="441AE0A2" w14:textId="70AB9280" w:rsidR="00791D4D" w:rsidRPr="00791D4D" w:rsidRDefault="00791D4D" w:rsidP="00791D4D">
      <w:pPr>
        <w:spacing w:after="40"/>
        <w:rPr>
          <w:lang w:eastAsia="zh-CN" w:bidi="th-TH"/>
        </w:rPr>
      </w:pPr>
      <w:r w:rsidRPr="00791D4D">
        <w:rPr>
          <w:lang w:eastAsia="zh-CN" w:bidi="th-TH"/>
        </w:rPr>
        <w:t xml:space="preserve">Any business that chooses to voluntarily implement enhancements could: </w:t>
      </w:r>
    </w:p>
    <w:p w14:paraId="56286F75" w14:textId="77777777" w:rsidR="00791D4D" w:rsidRPr="00791D4D" w:rsidRDefault="00791D4D" w:rsidP="00791D4D">
      <w:pPr>
        <w:pStyle w:val="ListParagraph"/>
        <w:numPr>
          <w:ilvl w:val="0"/>
          <w:numId w:val="3"/>
        </w:numPr>
        <w:spacing w:after="40"/>
        <w:ind w:left="328" w:hanging="284"/>
        <w:rPr>
          <w:lang w:eastAsia="zh-CN" w:bidi="th-TH"/>
        </w:rPr>
      </w:pPr>
      <w:r w:rsidRPr="00791D4D">
        <w:rPr>
          <w:lang w:eastAsia="zh-CN" w:bidi="th-TH"/>
        </w:rPr>
        <w:t>display the energy information of all available standard food items on all menus and at all physical and electronic points-of-sale;</w:t>
      </w:r>
    </w:p>
    <w:p w14:paraId="6848B5B7" w14:textId="77777777" w:rsidR="00791D4D" w:rsidRPr="00791D4D" w:rsidRDefault="00791D4D" w:rsidP="00791D4D">
      <w:pPr>
        <w:pStyle w:val="ListParagraph"/>
        <w:numPr>
          <w:ilvl w:val="0"/>
          <w:numId w:val="3"/>
        </w:numPr>
        <w:spacing w:after="40"/>
        <w:ind w:left="328" w:hanging="284"/>
        <w:rPr>
          <w:lang w:eastAsia="zh-CN" w:bidi="th-TH"/>
        </w:rPr>
      </w:pPr>
      <w:r w:rsidRPr="00791D4D">
        <w:rPr>
          <w:lang w:eastAsia="zh-CN" w:bidi="th-TH"/>
        </w:rPr>
        <w:t>display the energy information for combination meals including any pre-packaged items with the combination;</w:t>
      </w:r>
    </w:p>
    <w:p w14:paraId="2EE3ED3A" w14:textId="5B7F1380" w:rsidR="00791D4D" w:rsidRDefault="00791D4D" w:rsidP="00791D4D">
      <w:pPr>
        <w:pStyle w:val="ListParagraph"/>
        <w:numPr>
          <w:ilvl w:val="0"/>
          <w:numId w:val="3"/>
        </w:numPr>
        <w:spacing w:after="40"/>
        <w:ind w:left="328" w:hanging="284"/>
        <w:rPr>
          <w:lang w:eastAsia="zh-CN" w:bidi="th-TH"/>
        </w:rPr>
      </w:pPr>
      <w:r w:rsidRPr="00791D4D">
        <w:rPr>
          <w:lang w:eastAsia="zh-CN" w:bidi="th-TH"/>
        </w:rPr>
        <w:t xml:space="preserve">display the energy information for multi-serve items as the whole item and per serving; </w:t>
      </w:r>
    </w:p>
    <w:p w14:paraId="68D1AD6A" w14:textId="77777777" w:rsidR="003255ED" w:rsidRDefault="00791D4D" w:rsidP="003255ED">
      <w:pPr>
        <w:pStyle w:val="ListParagraph"/>
        <w:numPr>
          <w:ilvl w:val="0"/>
          <w:numId w:val="3"/>
        </w:numPr>
        <w:spacing w:after="40"/>
        <w:ind w:left="328" w:hanging="284"/>
        <w:rPr>
          <w:lang w:eastAsia="zh-CN" w:bidi="th-TH"/>
        </w:rPr>
      </w:pPr>
      <w:r w:rsidRPr="00791D4D">
        <w:rPr>
          <w:lang w:eastAsia="zh-CN" w:bidi="th-TH"/>
        </w:rPr>
        <w:t>ensure that customers have access to the energy information for standardised single ingredients and customisable menu items</w:t>
      </w:r>
      <w:r w:rsidR="003255ED">
        <w:rPr>
          <w:lang w:eastAsia="zh-CN" w:bidi="th-TH"/>
        </w:rPr>
        <w:t>;</w:t>
      </w:r>
    </w:p>
    <w:p w14:paraId="1616DA26" w14:textId="4EF6A5C2" w:rsidR="00791D4D" w:rsidRDefault="008A1176" w:rsidP="003255ED">
      <w:pPr>
        <w:pStyle w:val="ListParagraph"/>
        <w:numPr>
          <w:ilvl w:val="0"/>
          <w:numId w:val="3"/>
        </w:numPr>
        <w:spacing w:after="40"/>
        <w:ind w:left="328" w:hanging="284"/>
        <w:rPr>
          <w:lang w:eastAsia="zh-CN" w:bidi="th-TH"/>
        </w:rPr>
      </w:pPr>
      <w:r w:rsidRPr="00791D4D">
        <w:rPr>
          <w:lang w:eastAsia="zh-CN" w:bidi="th-TH"/>
        </w:rPr>
        <w:t>provide the energy information to third-parties.</w:t>
      </w:r>
    </w:p>
    <w:p w14:paraId="5D8869CE" w14:textId="7BF84080" w:rsidR="00791D4D" w:rsidRDefault="003255ED" w:rsidP="00791D4D">
      <w:pPr>
        <w:spacing w:after="40"/>
        <w:ind w:left="44"/>
        <w:rPr>
          <w:lang w:eastAsia="zh-CN" w:bidi="th-TH"/>
        </w:rPr>
      </w:pPr>
      <w:r>
        <w:rPr>
          <w:lang w:eastAsia="zh-CN" w:bidi="th-TH"/>
        </w:rPr>
        <w:t>Additionally, s</w:t>
      </w:r>
      <w:r w:rsidR="00791D4D" w:rsidRPr="00791D4D">
        <w:rPr>
          <w:lang w:eastAsia="zh-CN" w:bidi="th-TH"/>
        </w:rPr>
        <w:t xml:space="preserve">upermarkets that choose to implement the enhancements to menu labelling could display the energy information for each standard food in the same font and font size as price. </w:t>
      </w:r>
      <w:r w:rsidR="008A1176" w:rsidRPr="00791D4D">
        <w:rPr>
          <w:lang w:eastAsia="zh-CN" w:bidi="th-TH"/>
        </w:rPr>
        <w:t>All small businesses that choose to voluntarily implement enhancements could do so.</w:t>
      </w:r>
    </w:p>
    <w:p w14:paraId="3F129E67" w14:textId="6F7877FE" w:rsidR="00F406F2" w:rsidRDefault="00F406F2" w:rsidP="00ED777E">
      <w:pPr>
        <w:spacing w:after="40"/>
        <w:jc w:val="both"/>
      </w:pPr>
    </w:p>
    <w:p w14:paraId="20F2391F" w14:textId="6A71D06F" w:rsidR="00017388" w:rsidRDefault="00D93305" w:rsidP="00017388">
      <w:pPr>
        <w:spacing w:after="40"/>
        <w:jc w:val="both"/>
        <w:rPr>
          <w:lang w:eastAsia="en-AU"/>
        </w:rPr>
      </w:pPr>
      <w:r>
        <w:rPr>
          <w:lang w:eastAsia="en-AU"/>
        </w:rPr>
        <w:lastRenderedPageBreak/>
        <w:t>T</w:t>
      </w:r>
      <w:r w:rsidRPr="00A406C6">
        <w:rPr>
          <w:lang w:eastAsia="en-AU"/>
        </w:rPr>
        <w:t xml:space="preserve">here is not an existing well-resourced, co-ordinated approach </w:t>
      </w:r>
      <w:r>
        <w:rPr>
          <w:lang w:eastAsia="en-AU"/>
        </w:rPr>
        <w:t xml:space="preserve">for governments </w:t>
      </w:r>
      <w:r w:rsidRPr="00A406C6">
        <w:rPr>
          <w:lang w:eastAsia="en-AU"/>
        </w:rPr>
        <w:t>to work with industry and encourage businesses to implement enhancements to menu labelling</w:t>
      </w:r>
      <w:r w:rsidRPr="00D93305">
        <w:rPr>
          <w:lang w:eastAsia="en-AU"/>
        </w:rPr>
        <w:t>.</w:t>
      </w:r>
      <w:r w:rsidR="008465A6">
        <w:rPr>
          <w:lang w:eastAsia="en-AU"/>
        </w:rPr>
        <w:t xml:space="preserve"> </w:t>
      </w:r>
      <w:r w:rsidR="002E1E87" w:rsidRPr="00E67A4C">
        <w:rPr>
          <w:lang w:eastAsia="en-AU"/>
        </w:rPr>
        <w:t xml:space="preserve">The mechanism for operationalising this </w:t>
      </w:r>
      <w:r w:rsidR="002B7EEB" w:rsidRPr="00E67A4C">
        <w:rPr>
          <w:lang w:eastAsia="en-AU"/>
        </w:rPr>
        <w:t xml:space="preserve">option could include the provision of support </w:t>
      </w:r>
      <w:r w:rsidR="00C32443">
        <w:rPr>
          <w:lang w:eastAsia="en-AU"/>
        </w:rPr>
        <w:t xml:space="preserve">to individual businesses </w:t>
      </w:r>
      <w:r w:rsidR="002B7EEB" w:rsidRPr="00E67A4C">
        <w:rPr>
          <w:lang w:eastAsia="en-AU"/>
        </w:rPr>
        <w:t>by peak industry bodies</w:t>
      </w:r>
      <w:r w:rsidR="00C32443">
        <w:rPr>
          <w:lang w:eastAsia="en-AU"/>
        </w:rPr>
        <w:t xml:space="preserve"> or have one peak body responsible for oversight and governance, with individual businesses informing decisions through a voting system</w:t>
      </w:r>
      <w:r w:rsidR="002B7EEB" w:rsidRPr="00E67A4C">
        <w:rPr>
          <w:lang w:eastAsia="en-AU"/>
        </w:rPr>
        <w:t xml:space="preserve">. </w:t>
      </w:r>
      <w:r w:rsidR="00FF5714" w:rsidRPr="00E67A4C">
        <w:rPr>
          <w:lang w:eastAsia="en-AU"/>
        </w:rPr>
        <w:t xml:space="preserve">This option is a </w:t>
      </w:r>
      <w:r w:rsidR="002B44D6" w:rsidRPr="00E67A4C">
        <w:rPr>
          <w:lang w:eastAsia="en-AU"/>
        </w:rPr>
        <w:t>non</w:t>
      </w:r>
      <w:r w:rsidR="00FF5714" w:rsidRPr="00E67A4C">
        <w:rPr>
          <w:lang w:eastAsia="en-AU"/>
        </w:rPr>
        <w:t xml:space="preserve">-regulatory approach to </w:t>
      </w:r>
      <w:r w:rsidR="002B44D6" w:rsidRPr="00E67A4C">
        <w:rPr>
          <w:lang w:eastAsia="en-AU"/>
        </w:rPr>
        <w:t xml:space="preserve">enhancing </w:t>
      </w:r>
      <w:r w:rsidR="00FF5714" w:rsidRPr="00E67A4C">
        <w:rPr>
          <w:lang w:eastAsia="en-AU"/>
        </w:rPr>
        <w:t>menu labelling.</w:t>
      </w:r>
      <w:r w:rsidR="00113284" w:rsidRPr="00E67A4C">
        <w:rPr>
          <w:lang w:eastAsia="en-AU"/>
        </w:rPr>
        <w:t xml:space="preserve"> </w:t>
      </w:r>
    </w:p>
    <w:p w14:paraId="3F6D5EF1" w14:textId="77777777" w:rsidR="00017388" w:rsidRDefault="00017388" w:rsidP="00017388">
      <w:pPr>
        <w:spacing w:after="40"/>
        <w:jc w:val="both"/>
      </w:pPr>
    </w:p>
    <w:p w14:paraId="3CB72A6A" w14:textId="501D212B" w:rsidR="00C32443" w:rsidRPr="00476A2B" w:rsidRDefault="00C32443" w:rsidP="00017388">
      <w:pPr>
        <w:spacing w:after="40"/>
        <w:jc w:val="both"/>
        <w:rPr>
          <w:lang w:eastAsia="en-AU"/>
        </w:rPr>
      </w:pPr>
      <w:r>
        <w:rPr>
          <w:lang w:eastAsia="en-AU"/>
        </w:rPr>
        <w:t xml:space="preserve">The </w:t>
      </w:r>
      <w:r w:rsidR="0009569A">
        <w:rPr>
          <w:lang w:eastAsia="en-AU"/>
        </w:rPr>
        <w:t xml:space="preserve">industry </w:t>
      </w:r>
      <w:r>
        <w:rPr>
          <w:lang w:eastAsia="en-AU"/>
        </w:rPr>
        <w:t>peak bodies that responded to the 2021 consultation did not indicate interest in this option, nor did they provide views on implementation matters.</w:t>
      </w:r>
      <w:r w:rsidR="0009569A">
        <w:rPr>
          <w:lang w:eastAsia="en-AU"/>
        </w:rPr>
        <w:t xml:space="preserve"> One New Zealand food industry peak body</w:t>
      </w:r>
      <w:r>
        <w:rPr>
          <w:lang w:eastAsia="en-AU"/>
        </w:rPr>
        <w:t xml:space="preserve"> </w:t>
      </w:r>
      <w:r w:rsidR="0009569A">
        <w:rPr>
          <w:lang w:eastAsia="en-AU"/>
        </w:rPr>
        <w:t xml:space="preserve">indicated that this option </w:t>
      </w:r>
      <w:r w:rsidR="0009569A" w:rsidRPr="00476A2B">
        <w:rPr>
          <w:lang w:eastAsia="en-AU"/>
        </w:rPr>
        <w:t xml:space="preserve">could be viable for New Zealand, however had concerns (not specified) about this option for New Zealand businesses. </w:t>
      </w:r>
      <w:r w:rsidR="00F249E5" w:rsidRPr="00476A2B">
        <w:rPr>
          <w:lang w:eastAsia="en-AU"/>
        </w:rPr>
        <w:t xml:space="preserve">One Australian food industry organisation supported this option as it allows industry to decide how menu labelling is implemented. </w:t>
      </w:r>
      <w:r w:rsidRPr="00476A2B">
        <w:rPr>
          <w:lang w:eastAsia="en-AU"/>
        </w:rPr>
        <w:t>This option was strongly opposed by all Australian public health organisations, one Australian state government and one member of the public</w:t>
      </w:r>
      <w:r w:rsidR="00A02281" w:rsidRPr="00476A2B">
        <w:rPr>
          <w:lang w:eastAsia="en-AU"/>
        </w:rPr>
        <w:t>, with the view that voluntary action is inadequate and would n</w:t>
      </w:r>
      <w:r w:rsidR="004206FA" w:rsidRPr="00476A2B">
        <w:rPr>
          <w:lang w:eastAsia="en-AU"/>
        </w:rPr>
        <w:t>ot</w:t>
      </w:r>
      <w:r w:rsidR="00A02281" w:rsidRPr="00476A2B">
        <w:rPr>
          <w:lang w:eastAsia="en-AU"/>
        </w:rPr>
        <w:t xml:space="preserve"> </w:t>
      </w:r>
      <w:r w:rsidR="004F66B4" w:rsidRPr="00476A2B">
        <w:rPr>
          <w:lang w:eastAsia="en-AU"/>
        </w:rPr>
        <w:t>achieve</w:t>
      </w:r>
      <w:r w:rsidR="00A02281" w:rsidRPr="00476A2B">
        <w:rPr>
          <w:lang w:eastAsia="en-AU"/>
        </w:rPr>
        <w:t xml:space="preserve"> the objectives of menu labelli</w:t>
      </w:r>
      <w:r w:rsidR="004F66B4" w:rsidRPr="00476A2B">
        <w:rPr>
          <w:lang w:eastAsia="en-AU"/>
        </w:rPr>
        <w:t>n</w:t>
      </w:r>
      <w:r w:rsidR="00A02281" w:rsidRPr="00476A2B">
        <w:rPr>
          <w:lang w:eastAsia="en-AU"/>
        </w:rPr>
        <w:t>g</w:t>
      </w:r>
      <w:r w:rsidRPr="00476A2B">
        <w:rPr>
          <w:lang w:eastAsia="en-AU"/>
        </w:rPr>
        <w:t>.</w:t>
      </w:r>
    </w:p>
    <w:p w14:paraId="088E4757" w14:textId="77777777" w:rsidR="002753A0" w:rsidRPr="00476A2B" w:rsidRDefault="002753A0" w:rsidP="00017388">
      <w:pPr>
        <w:spacing w:after="40"/>
        <w:jc w:val="both"/>
        <w:rPr>
          <w:lang w:eastAsia="en-AU"/>
        </w:rPr>
      </w:pPr>
    </w:p>
    <w:p w14:paraId="39AC9B09" w14:textId="06AAF1F1" w:rsidR="00916FD2" w:rsidRPr="00476A2B" w:rsidRDefault="00004074" w:rsidP="00F53A05">
      <w:pPr>
        <w:pStyle w:val="Heading3"/>
      </w:pPr>
      <w:bookmarkStart w:id="52" w:name="_Toc51165279"/>
      <w:bookmarkStart w:id="53" w:name="_Toc41900508"/>
      <w:bookmarkStart w:id="54" w:name="_Hlk33167205"/>
      <w:r w:rsidRPr="00476A2B">
        <w:t>4.5 Complementary strategies</w:t>
      </w:r>
      <w:bookmarkEnd w:id="52"/>
    </w:p>
    <w:p w14:paraId="51A054CB" w14:textId="2E88F1CF" w:rsidR="00010440" w:rsidRPr="00476A2B" w:rsidRDefault="00E109A8" w:rsidP="00A72138">
      <w:pPr>
        <w:spacing w:after="40"/>
        <w:jc w:val="both"/>
      </w:pPr>
      <w:bookmarkStart w:id="55" w:name="_Hlk33167249"/>
      <w:bookmarkEnd w:id="53"/>
      <w:bookmarkEnd w:id="54"/>
      <w:r w:rsidRPr="00476A2B">
        <w:t xml:space="preserve">Regardless of the preferred option, </w:t>
      </w:r>
      <w:r w:rsidR="00E93E28" w:rsidRPr="00476A2B">
        <w:t xml:space="preserve">it is proposed that an </w:t>
      </w:r>
      <w:r w:rsidR="005C29B3" w:rsidRPr="00476A2B">
        <w:t xml:space="preserve">education </w:t>
      </w:r>
      <w:r w:rsidR="00D33156" w:rsidRPr="00476A2B">
        <w:t>strategy</w:t>
      </w:r>
      <w:r w:rsidR="00AC4204" w:rsidRPr="00476A2B">
        <w:t xml:space="preserve"> </w:t>
      </w:r>
      <w:r w:rsidR="0046136B" w:rsidRPr="00476A2B">
        <w:t xml:space="preserve">be developed </w:t>
      </w:r>
      <w:r w:rsidR="00AC4204" w:rsidRPr="00476A2B">
        <w:t xml:space="preserve">to </w:t>
      </w:r>
      <w:r w:rsidR="00AB4699" w:rsidRPr="00476A2B">
        <w:t xml:space="preserve">increase </w:t>
      </w:r>
      <w:r w:rsidR="0076043A" w:rsidRPr="00476A2B">
        <w:t>consumer</w:t>
      </w:r>
      <w:r w:rsidR="00AB4699" w:rsidRPr="00476A2B">
        <w:t xml:space="preserve"> </w:t>
      </w:r>
      <w:r w:rsidR="0083176E" w:rsidRPr="00476A2B">
        <w:t xml:space="preserve">awareness and </w:t>
      </w:r>
      <w:r w:rsidR="00AB4699" w:rsidRPr="00476A2B">
        <w:t>understanding of</w:t>
      </w:r>
      <w:r w:rsidR="0076043A" w:rsidRPr="00476A2B">
        <w:t xml:space="preserve"> kilojoules</w:t>
      </w:r>
      <w:r w:rsidR="0083176E" w:rsidRPr="00476A2B">
        <w:t>, energy density</w:t>
      </w:r>
      <w:r w:rsidR="00F1328B" w:rsidRPr="00476A2B">
        <w:t>,</w:t>
      </w:r>
      <w:r w:rsidR="000A062F" w:rsidRPr="00476A2B">
        <w:t xml:space="preserve"> </w:t>
      </w:r>
      <w:r w:rsidR="0083176E" w:rsidRPr="00476A2B">
        <w:t>energy needs</w:t>
      </w:r>
      <w:r w:rsidR="0046136B" w:rsidRPr="00476A2B">
        <w:t xml:space="preserve">, </w:t>
      </w:r>
      <w:r w:rsidR="00F1328B" w:rsidRPr="00476A2B">
        <w:t>making healthier food choices</w:t>
      </w:r>
      <w:r w:rsidR="0046136B" w:rsidRPr="00476A2B">
        <w:t>,</w:t>
      </w:r>
      <w:r w:rsidR="00C1406E" w:rsidRPr="00476A2B">
        <w:t xml:space="preserve"> </w:t>
      </w:r>
      <w:r w:rsidR="0046136B" w:rsidRPr="00476A2B">
        <w:t xml:space="preserve">and </w:t>
      </w:r>
      <w:r w:rsidR="0076043A" w:rsidRPr="00476A2B">
        <w:t xml:space="preserve">how to use menu labelling </w:t>
      </w:r>
      <w:r w:rsidR="009C0908" w:rsidRPr="00476A2B">
        <w:t xml:space="preserve">(including the energy reference statement) </w:t>
      </w:r>
      <w:r w:rsidR="005D78FF" w:rsidRPr="00476A2B">
        <w:t>at the point-of-sale</w:t>
      </w:r>
      <w:r w:rsidR="003D27AC" w:rsidRPr="00476A2B">
        <w:t>.</w:t>
      </w:r>
      <w:r w:rsidR="003500DD" w:rsidRPr="00476A2B">
        <w:t xml:space="preserve"> </w:t>
      </w:r>
      <w:r w:rsidR="00F26079" w:rsidRPr="00476A2B">
        <w:t xml:space="preserve">Pending agreement, </w:t>
      </w:r>
      <w:r w:rsidR="0083176E" w:rsidRPr="00476A2B">
        <w:t>Governments would fund</w:t>
      </w:r>
      <w:r w:rsidR="00D06461" w:rsidRPr="00476A2B">
        <w:t xml:space="preserve"> and manage</w:t>
      </w:r>
      <w:r w:rsidR="0083176E" w:rsidRPr="00476A2B">
        <w:t xml:space="preserve"> the development, </w:t>
      </w:r>
      <w:r w:rsidR="00EA7DEA" w:rsidRPr="00476A2B">
        <w:t>implementation,</w:t>
      </w:r>
      <w:r w:rsidR="0083176E" w:rsidRPr="00476A2B">
        <w:t xml:space="preserve"> and evaluation of </w:t>
      </w:r>
      <w:r w:rsidR="00610015" w:rsidRPr="00476A2B">
        <w:t>all education activities</w:t>
      </w:r>
      <w:r w:rsidR="0083176E" w:rsidRPr="00476A2B">
        <w:t>.</w:t>
      </w:r>
      <w:r w:rsidR="00CC3C93" w:rsidRPr="00476A2B">
        <w:t xml:space="preserve"> </w:t>
      </w:r>
      <w:r w:rsidR="005E4EEF" w:rsidRPr="00476A2B">
        <w:t xml:space="preserve">Governments may </w:t>
      </w:r>
      <w:r w:rsidR="000A263E" w:rsidRPr="00476A2B">
        <w:t xml:space="preserve">liaise with </w:t>
      </w:r>
      <w:r w:rsidR="00D70F53" w:rsidRPr="00476A2B">
        <w:t xml:space="preserve">food </w:t>
      </w:r>
      <w:r w:rsidR="005E4EEF" w:rsidRPr="00476A2B">
        <w:t>businesses’ communications and marketing exper</w:t>
      </w:r>
      <w:r w:rsidR="00D70F53" w:rsidRPr="00476A2B">
        <w:t>ts</w:t>
      </w:r>
      <w:r w:rsidR="005E4EEF" w:rsidRPr="00476A2B">
        <w:t xml:space="preserve"> </w:t>
      </w:r>
      <w:r w:rsidR="00F73857" w:rsidRPr="00476A2B">
        <w:t>in</w:t>
      </w:r>
      <w:r w:rsidR="005E4EEF" w:rsidRPr="00476A2B">
        <w:t xml:space="preserve"> </w:t>
      </w:r>
      <w:r w:rsidR="00D70F53" w:rsidRPr="00476A2B">
        <w:t>developing a</w:t>
      </w:r>
      <w:r w:rsidR="00F73857" w:rsidRPr="00476A2B">
        <w:t>n education strategy</w:t>
      </w:r>
      <w:r w:rsidR="005E4EEF" w:rsidRPr="00476A2B">
        <w:t xml:space="preserve">. </w:t>
      </w:r>
    </w:p>
    <w:p w14:paraId="0AE1E46C" w14:textId="77777777" w:rsidR="00010440" w:rsidRPr="00476A2B" w:rsidRDefault="00010440" w:rsidP="00A72138">
      <w:pPr>
        <w:spacing w:after="40"/>
        <w:jc w:val="both"/>
      </w:pPr>
    </w:p>
    <w:p w14:paraId="1CA49708" w14:textId="68668C41" w:rsidR="008712A4" w:rsidRPr="00476A2B" w:rsidRDefault="00A73692" w:rsidP="00A72138">
      <w:pPr>
        <w:spacing w:after="40"/>
        <w:jc w:val="both"/>
      </w:pPr>
      <w:r w:rsidRPr="00476A2B">
        <w:t>In developing the strategy, c</w:t>
      </w:r>
      <w:r w:rsidR="00D06461" w:rsidRPr="00476A2B">
        <w:t xml:space="preserve">onsideration would need to be given to the modes of education and key messages </w:t>
      </w:r>
      <w:r w:rsidRPr="00476A2B">
        <w:t>needed</w:t>
      </w:r>
      <w:r w:rsidR="00D06461" w:rsidRPr="00476A2B">
        <w:t xml:space="preserve">; however, it is proposed that a </w:t>
      </w:r>
      <w:r w:rsidR="00AC1B78" w:rsidRPr="00476A2B">
        <w:t xml:space="preserve">comprehensive </w:t>
      </w:r>
      <w:r w:rsidR="00D06461" w:rsidRPr="00476A2B">
        <w:t xml:space="preserve">multi-media strategy </w:t>
      </w:r>
      <w:r w:rsidR="004D0F0D" w:rsidRPr="00476A2B">
        <w:t xml:space="preserve">that achieves the desired reach </w:t>
      </w:r>
      <w:r w:rsidR="0088776B" w:rsidRPr="00476A2B">
        <w:t xml:space="preserve">and sustained effectiveness </w:t>
      </w:r>
      <w:r w:rsidR="00D06461" w:rsidRPr="00476A2B">
        <w:t>would be required.</w:t>
      </w:r>
      <w:r w:rsidR="0083176E" w:rsidRPr="00476A2B">
        <w:t xml:space="preserve"> </w:t>
      </w:r>
      <w:r w:rsidR="00A4608B" w:rsidRPr="00476A2B">
        <w:t>E</w:t>
      </w:r>
      <w:r w:rsidR="00317263" w:rsidRPr="00476A2B">
        <w:t>ducation activities would be tailored separately for Australian and New Zealand consumers</w:t>
      </w:r>
      <w:r w:rsidR="007F5C5E" w:rsidRPr="00476A2B">
        <w:t xml:space="preserve">, and for different sub-population groups </w:t>
      </w:r>
      <w:r w:rsidR="007B2C1A" w:rsidRPr="00476A2B">
        <w:t>(</w:t>
      </w:r>
      <w:r w:rsidR="0015385D" w:rsidRPr="00476A2B">
        <w:t>such as</w:t>
      </w:r>
      <w:r w:rsidR="00010440" w:rsidRPr="00476A2B">
        <w:t xml:space="preserve"> </w:t>
      </w:r>
      <w:r w:rsidR="00CF595A" w:rsidRPr="00476A2B">
        <w:rPr>
          <w:lang w:eastAsia="en-NZ"/>
        </w:rPr>
        <w:t xml:space="preserve">Pacific and Māori adults, </w:t>
      </w:r>
      <w:r w:rsidR="00612BA3" w:rsidRPr="00476A2B">
        <w:rPr>
          <w:lang w:eastAsia="en-NZ"/>
        </w:rPr>
        <w:t xml:space="preserve">First Nation Australians, culturally and linguistically diverse groups, </w:t>
      </w:r>
      <w:r w:rsidR="0015385D" w:rsidRPr="00476A2B">
        <w:rPr>
          <w:lang w:eastAsia="en-NZ"/>
        </w:rPr>
        <w:t>vulnerable groups with lower literacy/numeracy skills</w:t>
      </w:r>
      <w:r w:rsidR="00FD16DA" w:rsidRPr="00476A2B">
        <w:t xml:space="preserve">) </w:t>
      </w:r>
      <w:r w:rsidR="007F5C5E" w:rsidRPr="00476A2B">
        <w:t>within each country</w:t>
      </w:r>
      <w:r w:rsidR="00EA7DEA" w:rsidRPr="00476A2B">
        <w:t xml:space="preserve">. </w:t>
      </w:r>
      <w:r w:rsidR="007E1AC4" w:rsidRPr="00476A2B">
        <w:t>Working with different population groups and u</w:t>
      </w:r>
      <w:r w:rsidR="003069D9" w:rsidRPr="00476A2B">
        <w:t xml:space="preserve">ndertaking consumer testing </w:t>
      </w:r>
      <w:r w:rsidR="00BD6DC5" w:rsidRPr="00476A2B">
        <w:t>are</w:t>
      </w:r>
      <w:r w:rsidR="007E1AC4" w:rsidRPr="00476A2B">
        <w:t xml:space="preserve"> critical step</w:t>
      </w:r>
      <w:r w:rsidR="00BD6DC5" w:rsidRPr="00476A2B">
        <w:t>s</w:t>
      </w:r>
      <w:r w:rsidR="007E1AC4" w:rsidRPr="00476A2B">
        <w:t xml:space="preserve"> in developing a multi-media strategy. </w:t>
      </w:r>
      <w:r w:rsidR="00D06461" w:rsidRPr="00476A2B">
        <w:t xml:space="preserve">Consideration could be given to an overarching consumer education strategy about food labelling, healthy </w:t>
      </w:r>
      <w:r w:rsidR="00EA7DEA" w:rsidRPr="00476A2B">
        <w:t>eating,</w:t>
      </w:r>
      <w:r w:rsidR="00D06461" w:rsidRPr="00476A2B">
        <w:t xml:space="preserve"> and nutrition literacy to manage the costs</w:t>
      </w:r>
      <w:r w:rsidR="00C05D6B" w:rsidRPr="00476A2B">
        <w:t xml:space="preserve"> and to encompass future labelling changes on packaged food</w:t>
      </w:r>
      <w:r w:rsidR="00D06461" w:rsidRPr="00476A2B">
        <w:t>.</w:t>
      </w:r>
      <w:r w:rsidR="0087462F" w:rsidRPr="00476A2B">
        <w:t xml:space="preserve"> </w:t>
      </w:r>
      <w:r w:rsidR="00335CBC" w:rsidRPr="00476A2B">
        <w:t>Alternatively, t</w:t>
      </w:r>
      <w:r w:rsidR="00967882" w:rsidRPr="00476A2B">
        <w:t xml:space="preserve">he consumer education </w:t>
      </w:r>
      <w:r w:rsidR="00AF69C4" w:rsidRPr="00476A2B">
        <w:t xml:space="preserve">for menu labelling </w:t>
      </w:r>
      <w:r w:rsidR="00902AED" w:rsidRPr="00476A2B">
        <w:t xml:space="preserve">previously or currently </w:t>
      </w:r>
      <w:r w:rsidR="00967882" w:rsidRPr="00476A2B">
        <w:t xml:space="preserve">delivered by </w:t>
      </w:r>
      <w:r w:rsidR="00902AED" w:rsidRPr="00476A2B">
        <w:t xml:space="preserve">jurisdictions could be </w:t>
      </w:r>
      <w:r w:rsidR="00335CBC" w:rsidRPr="00476A2B">
        <w:t>adapted to manage costs</w:t>
      </w:r>
      <w:r w:rsidR="00AF69C4" w:rsidRPr="00476A2B">
        <w:t>.</w:t>
      </w:r>
      <w:r w:rsidR="00335CBC" w:rsidRPr="00476A2B">
        <w:t xml:space="preserve"> </w:t>
      </w:r>
      <w:r w:rsidR="00902AED" w:rsidRPr="00476A2B">
        <w:t xml:space="preserve"> </w:t>
      </w:r>
    </w:p>
    <w:p w14:paraId="228F1A9E" w14:textId="357230D4" w:rsidR="00C15F2A" w:rsidRPr="00476A2B" w:rsidRDefault="00C15F2A" w:rsidP="00A72138">
      <w:pPr>
        <w:spacing w:after="40"/>
        <w:jc w:val="both"/>
      </w:pPr>
    </w:p>
    <w:p w14:paraId="5737DDF0" w14:textId="2A9E487F" w:rsidR="00C15F2A" w:rsidRPr="00476A2B" w:rsidRDefault="00010440" w:rsidP="00C15F2A">
      <w:pPr>
        <w:spacing w:after="40"/>
        <w:jc w:val="both"/>
      </w:pPr>
      <w:r w:rsidRPr="00476A2B">
        <w:t xml:space="preserve">There was strong support for consumer education to accompany menu labelling. </w:t>
      </w:r>
      <w:r w:rsidR="00C15F2A" w:rsidRPr="00476A2B">
        <w:t xml:space="preserve">Consumer education in the absence of menu labelling was not considered to be an appropriate option as it could not achieve the objectives. This view was supported by Australian public health and consumer organisations during the 2021 consultation. </w:t>
      </w:r>
    </w:p>
    <w:bookmarkEnd w:id="55"/>
    <w:p w14:paraId="6B601882" w14:textId="277FBBCA" w:rsidR="0009569A" w:rsidRPr="00476A2B" w:rsidRDefault="0009569A" w:rsidP="00F53A05">
      <w:pPr>
        <w:pStyle w:val="Heading3"/>
      </w:pPr>
      <w:r w:rsidRPr="00476A2B">
        <w:t>4.6 Other possible options</w:t>
      </w:r>
    </w:p>
    <w:p w14:paraId="550A0441" w14:textId="04BFA487" w:rsidR="009F01AF" w:rsidRPr="00476A2B" w:rsidRDefault="001E79FD" w:rsidP="00F853AB">
      <w:pPr>
        <w:pStyle w:val="Bodytext-TMRfont12"/>
      </w:pPr>
      <w:r w:rsidRPr="00476A2B">
        <w:t>Another option would be to amend the Food Standards Code and require all ready-to-eat meals and snacks to bear a label</w:t>
      </w:r>
      <w:r w:rsidR="009F01AF" w:rsidRPr="00476A2B">
        <w:t xml:space="preserve"> (those that are currently exempt). However, this was not considered viable</w:t>
      </w:r>
      <w:r w:rsidR="000F64CF" w:rsidRPr="00476A2B">
        <w:t xml:space="preserve"> as </w:t>
      </w:r>
      <w:r w:rsidR="009B4B43" w:rsidRPr="00476A2B">
        <w:t>customers would not be able to access the energy information before making a purchasing decision.</w:t>
      </w:r>
      <w:r w:rsidR="000F64CF" w:rsidRPr="00476A2B">
        <w:t xml:space="preserve"> </w:t>
      </w:r>
      <w:r w:rsidR="00F61CC2" w:rsidRPr="00476A2B">
        <w:t>M</w:t>
      </w:r>
      <w:r w:rsidR="000F64CF" w:rsidRPr="00476A2B">
        <w:t>any ready-to-eat meals and snacks are made directly following a customer’s order, rather than being pre-made, and</w:t>
      </w:r>
      <w:r w:rsidR="00F61CC2" w:rsidRPr="00476A2B">
        <w:t xml:space="preserve"> not all meals and snacks are given to the customer in </w:t>
      </w:r>
      <w:r w:rsidR="00132BA5" w:rsidRPr="00476A2B">
        <w:t>some</w:t>
      </w:r>
      <w:r w:rsidR="00F61CC2" w:rsidRPr="00476A2B">
        <w:t xml:space="preserve"> form of packaging.</w:t>
      </w:r>
    </w:p>
    <w:p w14:paraId="74C75934" w14:textId="77777777" w:rsidR="009F01AF" w:rsidRPr="00476A2B" w:rsidRDefault="009F01AF" w:rsidP="00F853AB">
      <w:pPr>
        <w:pStyle w:val="Bodytext-TMRfont12"/>
      </w:pPr>
    </w:p>
    <w:p w14:paraId="78F019E7" w14:textId="5B224CC3" w:rsidR="00104D2B" w:rsidRPr="00476A2B" w:rsidRDefault="008D2E35" w:rsidP="00F853AB">
      <w:pPr>
        <w:pStyle w:val="Bodytext-TMRfont12"/>
      </w:pPr>
      <w:r w:rsidRPr="00476A2B">
        <w:lastRenderedPageBreak/>
        <w:t xml:space="preserve">During the 2021 consultation, </w:t>
      </w:r>
      <w:r w:rsidR="009B5F01" w:rsidRPr="00476A2B">
        <w:t xml:space="preserve">there were </w:t>
      </w:r>
      <w:r w:rsidRPr="00476A2B">
        <w:t>some suggested alternative options</w:t>
      </w:r>
      <w:r w:rsidR="0005277F" w:rsidRPr="00476A2B">
        <w:t xml:space="preserve">, including </w:t>
      </w:r>
      <w:r w:rsidR="006C2904" w:rsidRPr="00476A2B">
        <w:t xml:space="preserve">restrictions on unhealthy </w:t>
      </w:r>
      <w:r w:rsidR="00481CD6" w:rsidRPr="00476A2B">
        <w:t>ingredients,</w:t>
      </w:r>
      <w:r w:rsidR="006C2904" w:rsidRPr="00476A2B">
        <w:t xml:space="preserve"> and serving sizes</w:t>
      </w:r>
      <w:r w:rsidR="009B5F01" w:rsidRPr="00476A2B">
        <w:t xml:space="preserve">. </w:t>
      </w:r>
      <w:r w:rsidR="00F853AB" w:rsidRPr="00476A2B">
        <w:t>Composition and package labelling of ready-to-eat food and drink; and other strategies to support health</w:t>
      </w:r>
      <w:r w:rsidR="0030667C" w:rsidRPr="00476A2B">
        <w:t>ier food choices</w:t>
      </w:r>
      <w:r w:rsidR="00F853AB" w:rsidRPr="00476A2B">
        <w:t xml:space="preserve"> eating when eating ready-to-eat meals and snacks were out-of-scope of this process as </w:t>
      </w:r>
      <w:r w:rsidR="0029388E" w:rsidRPr="00476A2B">
        <w:t xml:space="preserve">they </w:t>
      </w:r>
      <w:r w:rsidR="00D077D7" w:rsidRPr="00476A2B">
        <w:t xml:space="preserve">are being addressed through other mechanisms (refer to Appendix </w:t>
      </w:r>
      <w:r w:rsidR="00FB1BDA" w:rsidRPr="00476A2B">
        <w:t>3</w:t>
      </w:r>
      <w:r w:rsidR="00D077D7" w:rsidRPr="00476A2B">
        <w:t>).</w:t>
      </w:r>
    </w:p>
    <w:p w14:paraId="18A5E1D6" w14:textId="77777777" w:rsidR="0057391C" w:rsidRPr="00476A2B" w:rsidRDefault="0057391C" w:rsidP="00F853AB">
      <w:pPr>
        <w:pStyle w:val="Bodytext-TMRfont12"/>
      </w:pPr>
    </w:p>
    <w:p w14:paraId="03A32410" w14:textId="301725A5" w:rsidR="0004125A" w:rsidRPr="00476A2B" w:rsidRDefault="0004125A" w:rsidP="00F6154A">
      <w:pPr>
        <w:pStyle w:val="Heading2"/>
        <w:rPr>
          <w:rStyle w:val="Heading1Char"/>
          <w:rFonts w:ascii="Times New Roman" w:hAnsi="Times New Roman" w:cs="Times New Roman"/>
          <w:b/>
          <w:bCs/>
          <w:kern w:val="0"/>
          <w:szCs w:val="28"/>
        </w:rPr>
      </w:pPr>
      <w:bookmarkStart w:id="56" w:name="_Toc426380830"/>
      <w:bookmarkStart w:id="57" w:name="_Toc426380895"/>
      <w:bookmarkStart w:id="58" w:name="_Toc426380926"/>
      <w:bookmarkStart w:id="59" w:name="_Toc91189673"/>
      <w:r w:rsidRPr="00476A2B">
        <w:rPr>
          <w:rStyle w:val="Heading1Char"/>
          <w:rFonts w:ascii="Times New Roman" w:hAnsi="Times New Roman" w:cs="Times New Roman"/>
          <w:b/>
          <w:bCs/>
          <w:kern w:val="0"/>
          <w:szCs w:val="28"/>
        </w:rPr>
        <w:t>5</w:t>
      </w:r>
      <w:r w:rsidR="00EA1E18" w:rsidRPr="00476A2B">
        <w:rPr>
          <w:rStyle w:val="Heading1Char"/>
          <w:rFonts w:ascii="Times New Roman" w:hAnsi="Times New Roman" w:cs="Times New Roman"/>
          <w:b/>
          <w:bCs/>
          <w:kern w:val="0"/>
          <w:szCs w:val="28"/>
        </w:rPr>
        <w:t xml:space="preserve"> </w:t>
      </w:r>
      <w:r w:rsidRPr="00476A2B">
        <w:rPr>
          <w:rStyle w:val="Heading1Char"/>
          <w:rFonts w:ascii="Times New Roman" w:hAnsi="Times New Roman" w:cs="Times New Roman"/>
          <w:b/>
          <w:bCs/>
          <w:kern w:val="0"/>
          <w:szCs w:val="28"/>
        </w:rPr>
        <w:t>Impact analysis</w:t>
      </w:r>
      <w:bookmarkEnd w:id="56"/>
      <w:bookmarkEnd w:id="57"/>
      <w:bookmarkEnd w:id="58"/>
      <w:bookmarkEnd w:id="59"/>
    </w:p>
    <w:p w14:paraId="6CFFE4D4" w14:textId="1C83A1F7" w:rsidR="005806A2" w:rsidRPr="00476A2B" w:rsidRDefault="00CF7344" w:rsidP="00EA1E18">
      <w:pPr>
        <w:spacing w:after="40"/>
        <w:jc w:val="both"/>
        <w:rPr>
          <w:lang w:eastAsia="zh-CN" w:bidi="th-TH"/>
        </w:rPr>
      </w:pPr>
      <w:bookmarkStart w:id="60" w:name="_Toc426380831"/>
      <w:bookmarkStart w:id="61" w:name="_Toc426380896"/>
      <w:bookmarkStart w:id="62" w:name="_Toc426380927"/>
      <w:r w:rsidRPr="00476A2B">
        <w:t>An</w:t>
      </w:r>
      <w:r w:rsidR="00C35DCD" w:rsidRPr="00476A2B">
        <w:t xml:space="preserve"> impact analysis </w:t>
      </w:r>
      <w:r w:rsidR="00961AD1" w:rsidRPr="00476A2B">
        <w:t>helps to</w:t>
      </w:r>
      <w:r w:rsidR="00C35DCD" w:rsidRPr="00476A2B">
        <w:t xml:space="preserve"> determine</w:t>
      </w:r>
      <w:r w:rsidR="00961AD1" w:rsidRPr="00476A2B">
        <w:t xml:space="preserve"> the preferred option. </w:t>
      </w:r>
      <w:r w:rsidR="00A71371" w:rsidRPr="00476A2B">
        <w:t>For this paper, t</w:t>
      </w:r>
      <w:r w:rsidR="00961AD1" w:rsidRPr="00476A2B">
        <w:t>he analysis included consideration of</w:t>
      </w:r>
      <w:r w:rsidR="006F18D6" w:rsidRPr="00476A2B">
        <w:t xml:space="preserve"> </w:t>
      </w:r>
      <w:r w:rsidR="00961AD1" w:rsidRPr="00476A2B">
        <w:rPr>
          <w:lang w:eastAsia="zh-CN" w:bidi="th-TH"/>
        </w:rPr>
        <w:t xml:space="preserve">how well the options </w:t>
      </w:r>
      <w:r w:rsidR="00DF7A5C" w:rsidRPr="00476A2B">
        <w:rPr>
          <w:lang w:eastAsia="zh-CN" w:bidi="th-TH"/>
        </w:rPr>
        <w:t>could rectify the problem and achieve the objectives;</w:t>
      </w:r>
      <w:r w:rsidR="006F18D6" w:rsidRPr="00476A2B">
        <w:rPr>
          <w:lang w:eastAsia="zh-CN" w:bidi="th-TH"/>
        </w:rPr>
        <w:t xml:space="preserve"> and </w:t>
      </w:r>
      <w:r w:rsidR="00025A62" w:rsidRPr="00476A2B">
        <w:rPr>
          <w:lang w:eastAsia="zh-CN" w:bidi="th-TH"/>
        </w:rPr>
        <w:t xml:space="preserve">the costs and benefits of each option </w:t>
      </w:r>
      <w:r w:rsidR="006F18D6" w:rsidRPr="00476A2B">
        <w:rPr>
          <w:lang w:eastAsia="zh-CN" w:bidi="th-TH"/>
        </w:rPr>
        <w:t>for the groups most likely to be affected.</w:t>
      </w:r>
      <w:r w:rsidR="00DF7A5C" w:rsidRPr="00476A2B">
        <w:rPr>
          <w:lang w:eastAsia="zh-CN" w:bidi="th-TH"/>
        </w:rPr>
        <w:t xml:space="preserve"> </w:t>
      </w:r>
      <w:r w:rsidR="008263CC" w:rsidRPr="00476A2B">
        <w:rPr>
          <w:lang w:eastAsia="zh-CN" w:bidi="th-TH"/>
        </w:rPr>
        <w:t>The analysis</w:t>
      </w:r>
      <w:r w:rsidR="00210CE4" w:rsidRPr="00476A2B">
        <w:t xml:space="preserve"> draws on </w:t>
      </w:r>
      <w:r w:rsidR="006736F1" w:rsidRPr="00476A2B">
        <w:t xml:space="preserve">stakeholder views and </w:t>
      </w:r>
      <w:r w:rsidR="008306A9" w:rsidRPr="00476A2B">
        <w:t>a commissioned</w:t>
      </w:r>
      <w:r w:rsidR="00454EDE" w:rsidRPr="00476A2B">
        <w:t xml:space="preserve"> economic evaluation</w:t>
      </w:r>
      <w:r w:rsidR="004B482C" w:rsidRPr="00476A2B">
        <w:t xml:space="preserve"> of the options.</w:t>
      </w:r>
      <w:r w:rsidR="004B482C" w:rsidRPr="00476A2B">
        <w:rPr>
          <w:rStyle w:val="FootnoteReference"/>
        </w:rPr>
        <w:footnoteReference w:id="83"/>
      </w:r>
    </w:p>
    <w:p w14:paraId="0397784D" w14:textId="74649DC3" w:rsidR="009B24D8" w:rsidRPr="00476A2B" w:rsidRDefault="009B24D8" w:rsidP="00EA1E18">
      <w:pPr>
        <w:spacing w:after="40"/>
        <w:jc w:val="both"/>
      </w:pPr>
    </w:p>
    <w:p w14:paraId="7B258B19" w14:textId="24F89F3C" w:rsidR="009B24D8" w:rsidRDefault="009B24D8" w:rsidP="009B24D8">
      <w:pPr>
        <w:spacing w:after="40"/>
        <w:jc w:val="both"/>
      </w:pPr>
      <w:r w:rsidRPr="00476A2B">
        <w:t>The economic evaluation involved comparing the costs and benefits of the three options (Options 2, 3, 4) to the status quo (Option 1). No estimate of the costs and benefits associated with Option 1 was calculated. Rather the econo</w:t>
      </w:r>
      <w:r w:rsidR="006C4B02" w:rsidRPr="00476A2B">
        <w:t>mic evaluation</w:t>
      </w:r>
      <w:r w:rsidRPr="00476A2B">
        <w:t xml:space="preserve"> considered the additional costs and benefits associated with the proposed options compared to the status quo.  </w:t>
      </w:r>
      <w:r w:rsidR="006C4B02" w:rsidRPr="00476A2B">
        <w:t xml:space="preserve">The </w:t>
      </w:r>
      <w:r w:rsidR="00293678" w:rsidRPr="00476A2B">
        <w:t xml:space="preserve">estimated </w:t>
      </w:r>
      <w:r w:rsidR="006C4B02" w:rsidRPr="00476A2B">
        <w:t xml:space="preserve">costs and benefits </w:t>
      </w:r>
      <w:r w:rsidR="00246AF4" w:rsidRPr="00476A2B">
        <w:t>included in the evaluation are described below in Section 5.</w:t>
      </w:r>
      <w:r w:rsidR="00AE26C5" w:rsidRPr="00476A2B">
        <w:t>3</w:t>
      </w:r>
      <w:r w:rsidR="00246AF4" w:rsidRPr="00476A2B">
        <w:t>, 5.</w:t>
      </w:r>
      <w:r w:rsidR="00AE26C5" w:rsidRPr="00476A2B">
        <w:t>4</w:t>
      </w:r>
      <w:r w:rsidR="00246AF4" w:rsidRPr="00476A2B">
        <w:t xml:space="preserve"> and 5.</w:t>
      </w:r>
      <w:r w:rsidR="00AE26C5" w:rsidRPr="00476A2B">
        <w:t>5</w:t>
      </w:r>
      <w:r w:rsidR="00246AF4" w:rsidRPr="00476A2B">
        <w:t>.</w:t>
      </w:r>
      <w:r w:rsidR="00293678" w:rsidRPr="00476A2B">
        <w:t xml:space="preserve"> </w:t>
      </w:r>
      <w:r w:rsidR="007D7CA2" w:rsidRPr="00476A2B">
        <w:t xml:space="preserve">The </w:t>
      </w:r>
      <w:r w:rsidR="004B7E76" w:rsidRPr="00476A2B">
        <w:t xml:space="preserve">costs and benefits were monetised and compared to </w:t>
      </w:r>
      <w:r w:rsidR="0003225B" w:rsidRPr="00476A2B">
        <w:t>calculate</w:t>
      </w:r>
      <w:r w:rsidR="00BA1FE7" w:rsidRPr="00476A2B">
        <w:t xml:space="preserve"> net benefit (benefits minus costs)</w:t>
      </w:r>
      <w:r w:rsidR="001A396D" w:rsidRPr="00476A2B">
        <w:t xml:space="preserve">. A positive net benefit </w:t>
      </w:r>
      <w:r w:rsidR="00485F2D" w:rsidRPr="00476A2B">
        <w:t xml:space="preserve">typically </w:t>
      </w:r>
      <w:r w:rsidR="00DC11B5" w:rsidRPr="00476A2B">
        <w:t xml:space="preserve">signifies a positive outcome resulting from the policy option. However, this does not </w:t>
      </w:r>
      <w:r w:rsidR="00C01F3C" w:rsidRPr="00476A2B">
        <w:t>necessarily mean that the policy option should be adopted, as alter</w:t>
      </w:r>
      <w:r w:rsidR="00132BA5" w:rsidRPr="00476A2B">
        <w:t>n</w:t>
      </w:r>
      <w:r w:rsidR="00C01F3C" w:rsidRPr="00476A2B">
        <w:t>ative options could yield higher net benefits.</w:t>
      </w:r>
      <w:r w:rsidR="00293678" w:rsidRPr="00476A2B">
        <w:t xml:space="preserve"> </w:t>
      </w:r>
      <w:r w:rsidR="00300F6E" w:rsidRPr="00476A2B">
        <w:t>Sensitivity tests and ris</w:t>
      </w:r>
      <w:r w:rsidR="008A0338" w:rsidRPr="00476A2B">
        <w:t xml:space="preserve">k analysis </w:t>
      </w:r>
      <w:r w:rsidR="007A7F66" w:rsidRPr="00476A2B">
        <w:t>were conducted</w:t>
      </w:r>
      <w:r w:rsidR="006C6617" w:rsidRPr="00476A2B">
        <w:t xml:space="preserve"> </w:t>
      </w:r>
      <w:r w:rsidR="00EE587D" w:rsidRPr="00476A2B">
        <w:t xml:space="preserve">to highlight </w:t>
      </w:r>
      <w:r w:rsidR="00A62994" w:rsidRPr="00476A2B">
        <w:t>critical success factors</w:t>
      </w:r>
      <w:r w:rsidR="00320FB7" w:rsidRPr="00476A2B">
        <w:t xml:space="preserve"> and </w:t>
      </w:r>
      <w:r w:rsidR="00403285" w:rsidRPr="00476A2B">
        <w:t xml:space="preserve">the level of confidence </w:t>
      </w:r>
      <w:r w:rsidR="00253D51" w:rsidRPr="00476A2B">
        <w:t>in the cost-benefit estimates.</w:t>
      </w:r>
      <w:r w:rsidR="006C6617" w:rsidRPr="00476A2B">
        <w:t xml:space="preserve"> </w:t>
      </w:r>
      <w:r w:rsidR="00BA139E" w:rsidRPr="00476A2B">
        <w:t xml:space="preserve">The </w:t>
      </w:r>
      <w:r w:rsidR="00301863" w:rsidRPr="00476A2B">
        <w:t xml:space="preserve">overall </w:t>
      </w:r>
      <w:r w:rsidR="00BA139E" w:rsidRPr="00476A2B">
        <w:t xml:space="preserve">results </w:t>
      </w:r>
      <w:r w:rsidR="00253D51" w:rsidRPr="00476A2B">
        <w:t xml:space="preserve">of the economic evaluation </w:t>
      </w:r>
      <w:r w:rsidR="00BA139E" w:rsidRPr="00476A2B">
        <w:t xml:space="preserve">are </w:t>
      </w:r>
      <w:r w:rsidR="00E12027" w:rsidRPr="00476A2B">
        <w:t>described in Section 5.</w:t>
      </w:r>
      <w:r w:rsidR="004B02B6" w:rsidRPr="00476A2B">
        <w:t>6</w:t>
      </w:r>
      <w:r w:rsidR="00301863" w:rsidRPr="00476A2B">
        <w:t>.</w:t>
      </w:r>
      <w:r w:rsidR="008306A9" w:rsidRPr="00476A2B">
        <w:t xml:space="preserve"> Full details of the economic evaluation including the </w:t>
      </w:r>
      <w:r w:rsidR="009E7AD7" w:rsidRPr="00476A2B">
        <w:t>sensitivity tests</w:t>
      </w:r>
      <w:r w:rsidR="00E7004B" w:rsidRPr="00476A2B">
        <w:t xml:space="preserve"> and </w:t>
      </w:r>
      <w:r w:rsidR="008063E3" w:rsidRPr="00476A2B">
        <w:t>risk analysis for each jurisdiction are described elsewhere.</w:t>
      </w:r>
      <w:r w:rsidR="001E2C00" w:rsidRPr="00476A2B">
        <w:rPr>
          <w:rStyle w:val="FootnoteReference"/>
        </w:rPr>
        <w:footnoteReference w:id="84"/>
      </w:r>
      <w:r w:rsidR="00FE4AF7" w:rsidRPr="00476A2B">
        <w:t xml:space="preserve"> </w:t>
      </w:r>
      <w:r w:rsidR="00F45ACC" w:rsidRPr="00476A2B">
        <w:t>Possible l</w:t>
      </w:r>
      <w:r w:rsidR="00FE4AF7" w:rsidRPr="00476A2B">
        <w:t xml:space="preserve">imitations associated with the </w:t>
      </w:r>
      <w:r w:rsidR="00E5342C" w:rsidRPr="00476A2B">
        <w:t xml:space="preserve">economic evaluation </w:t>
      </w:r>
      <w:r w:rsidR="00CD40EE" w:rsidRPr="00476A2B">
        <w:t xml:space="preserve">and changes to some estimates </w:t>
      </w:r>
      <w:r w:rsidR="00E5342C" w:rsidRPr="00476A2B">
        <w:t>are noted within the relevant sections below.</w:t>
      </w:r>
      <w:r w:rsidR="00632488" w:rsidRPr="00476A2B">
        <w:rPr>
          <w:rStyle w:val="FootnoteReference"/>
        </w:rPr>
        <w:footnoteReference w:id="85"/>
      </w:r>
    </w:p>
    <w:p w14:paraId="5B08F2EB" w14:textId="015C0B36" w:rsidR="00BC1CEF" w:rsidRDefault="00BC1CEF" w:rsidP="00EA1E18">
      <w:pPr>
        <w:spacing w:after="40"/>
        <w:jc w:val="both"/>
      </w:pPr>
    </w:p>
    <w:p w14:paraId="278E8867" w14:textId="26F7E4FF" w:rsidR="007D06F3" w:rsidRPr="00BC1CEF" w:rsidRDefault="007D06F3" w:rsidP="00F53A05">
      <w:pPr>
        <w:pStyle w:val="Heading3"/>
      </w:pPr>
      <w:r w:rsidRPr="00BC1CEF">
        <w:t>5.1 G</w:t>
      </w:r>
      <w:r w:rsidR="005C3D14" w:rsidRPr="00BC1CEF">
        <w:t>roups</w:t>
      </w:r>
      <w:r w:rsidR="00BF52D8" w:rsidRPr="00BC1CEF">
        <w:t xml:space="preserve"> most </w:t>
      </w:r>
      <w:r w:rsidR="0079223A" w:rsidRPr="00BC1CEF">
        <w:t xml:space="preserve">likely to be </w:t>
      </w:r>
      <w:r w:rsidR="00BF52D8" w:rsidRPr="00BC1CEF">
        <w:t xml:space="preserve">affected by </w:t>
      </w:r>
      <w:r w:rsidR="00E26F69" w:rsidRPr="00BC1CEF">
        <w:t>options for menu labelling</w:t>
      </w:r>
    </w:p>
    <w:p w14:paraId="1149D87D" w14:textId="0900CD37" w:rsidR="005E0956" w:rsidRPr="005E0956" w:rsidRDefault="00DB2BF7" w:rsidP="005E0956">
      <w:pPr>
        <w:autoSpaceDE w:val="0"/>
        <w:autoSpaceDN w:val="0"/>
        <w:adjustRightInd w:val="0"/>
        <w:rPr>
          <w:rFonts w:ascii="Cambria" w:hAnsi="Cambria" w:cs="Cambria"/>
          <w:color w:val="000000"/>
          <w:lang w:eastAsia="en-AU"/>
        </w:rPr>
      </w:pPr>
      <w:r w:rsidRPr="00BC1CEF">
        <w:t>The grou</w:t>
      </w:r>
      <w:r w:rsidR="002F0FCD" w:rsidRPr="00BC1CEF">
        <w:t xml:space="preserve">ps most </w:t>
      </w:r>
      <w:r w:rsidR="007D06F3" w:rsidRPr="00BC1CEF">
        <w:t xml:space="preserve">likely to either bear a cost or </w:t>
      </w:r>
      <w:r w:rsidR="00105A57" w:rsidRPr="00BC1CEF">
        <w:t xml:space="preserve">receive a </w:t>
      </w:r>
      <w:r w:rsidR="007D06F3" w:rsidRPr="00BC1CEF">
        <w:t xml:space="preserve">benefit from </w:t>
      </w:r>
      <w:r w:rsidR="002F0FCD" w:rsidRPr="00BC1CEF">
        <w:t xml:space="preserve">the </w:t>
      </w:r>
      <w:r w:rsidR="007D06F3" w:rsidRPr="00BC1CEF">
        <w:t>menu labelling options</w:t>
      </w:r>
      <w:r w:rsidR="002F0FCD" w:rsidRPr="00BC1CEF">
        <w:t xml:space="preserve"> are:</w:t>
      </w:r>
    </w:p>
    <w:p w14:paraId="5902F725" w14:textId="4EC31FB5" w:rsidR="005E0956" w:rsidRPr="005E0956" w:rsidRDefault="002F0FCD" w:rsidP="005E0956">
      <w:pPr>
        <w:pStyle w:val="ListParagraph"/>
        <w:numPr>
          <w:ilvl w:val="0"/>
          <w:numId w:val="3"/>
        </w:numPr>
        <w:spacing w:after="40"/>
        <w:ind w:left="360"/>
        <w:jc w:val="both"/>
        <w:rPr>
          <w:lang w:eastAsia="zh-CN" w:bidi="th-TH"/>
        </w:rPr>
      </w:pPr>
      <w:r w:rsidRPr="00BC1CEF">
        <w:rPr>
          <w:lang w:eastAsia="zh-CN" w:bidi="th-TH"/>
        </w:rPr>
        <w:t>Australian and New Zealand</w:t>
      </w:r>
      <w:r w:rsidR="00D826B1" w:rsidRPr="00BC1CEF">
        <w:rPr>
          <w:lang w:eastAsia="zh-CN" w:bidi="th-TH"/>
        </w:rPr>
        <w:t xml:space="preserve"> individuals that are customers at </w:t>
      </w:r>
      <w:r w:rsidR="005E0956" w:rsidRPr="005E0956">
        <w:rPr>
          <w:lang w:eastAsia="zh-CN" w:bidi="th-TH"/>
        </w:rPr>
        <w:t>standard food outlet</w:t>
      </w:r>
      <w:r w:rsidR="00D826B1" w:rsidRPr="00BC1CEF">
        <w:rPr>
          <w:lang w:eastAsia="zh-CN" w:bidi="th-TH"/>
        </w:rPr>
        <w:t>s</w:t>
      </w:r>
      <w:r w:rsidR="005E0956" w:rsidRPr="005E0956">
        <w:rPr>
          <w:lang w:eastAsia="zh-CN" w:bidi="th-TH"/>
        </w:rPr>
        <w:t xml:space="preserve"> who will potentially be influenced by exposure to menu labelling and subsequently reduce</w:t>
      </w:r>
      <w:r w:rsidR="00D826B1" w:rsidRPr="00BC1CEF">
        <w:rPr>
          <w:lang w:eastAsia="zh-CN" w:bidi="th-TH"/>
        </w:rPr>
        <w:t xml:space="preserve"> energy intake and lead to reduced</w:t>
      </w:r>
      <w:r w:rsidR="005E0956" w:rsidRPr="005E0956">
        <w:rPr>
          <w:lang w:eastAsia="zh-CN" w:bidi="th-TH"/>
        </w:rPr>
        <w:t xml:space="preserve"> </w:t>
      </w:r>
      <w:r w:rsidR="00D826B1" w:rsidRPr="00BC1CEF">
        <w:rPr>
          <w:lang w:eastAsia="zh-CN" w:bidi="th-TH"/>
        </w:rPr>
        <w:t xml:space="preserve">body </w:t>
      </w:r>
      <w:r w:rsidR="005E0956" w:rsidRPr="005E0956">
        <w:rPr>
          <w:lang w:eastAsia="zh-CN" w:bidi="th-TH"/>
        </w:rPr>
        <w:t>weight and health risks</w:t>
      </w:r>
      <w:r w:rsidR="00D826B1" w:rsidRPr="00BC1CEF">
        <w:rPr>
          <w:lang w:eastAsia="zh-CN" w:bidi="th-TH"/>
        </w:rPr>
        <w:t>.</w:t>
      </w:r>
      <w:r w:rsidR="005E0956" w:rsidRPr="005E0956">
        <w:rPr>
          <w:lang w:eastAsia="zh-CN" w:bidi="th-TH"/>
        </w:rPr>
        <w:t xml:space="preserve"> </w:t>
      </w:r>
    </w:p>
    <w:p w14:paraId="61D02812" w14:textId="3B74DBE3" w:rsidR="005E0956" w:rsidRPr="005E0956" w:rsidRDefault="0062077D" w:rsidP="005E0956">
      <w:pPr>
        <w:pStyle w:val="ListParagraph"/>
        <w:numPr>
          <w:ilvl w:val="0"/>
          <w:numId w:val="3"/>
        </w:numPr>
        <w:spacing w:after="40"/>
        <w:ind w:left="360"/>
        <w:jc w:val="both"/>
        <w:rPr>
          <w:lang w:eastAsia="zh-CN" w:bidi="th-TH"/>
        </w:rPr>
      </w:pPr>
      <w:r w:rsidRPr="00BC1CEF">
        <w:rPr>
          <w:lang w:eastAsia="zh-CN" w:bidi="th-TH"/>
        </w:rPr>
        <w:t xml:space="preserve">Other Australian and New Zealand </w:t>
      </w:r>
      <w:r w:rsidR="005A25F8" w:rsidRPr="00BC1CEF">
        <w:rPr>
          <w:lang w:eastAsia="zh-CN" w:bidi="th-TH"/>
        </w:rPr>
        <w:t>individuals</w:t>
      </w:r>
      <w:r w:rsidR="00B26777" w:rsidRPr="00BC1CEF">
        <w:rPr>
          <w:lang w:eastAsia="zh-CN" w:bidi="th-TH"/>
        </w:rPr>
        <w:t xml:space="preserve">, specifically </w:t>
      </w:r>
      <w:r w:rsidR="005E0956" w:rsidRPr="005E0956">
        <w:rPr>
          <w:lang w:eastAsia="zh-CN" w:bidi="th-TH"/>
        </w:rPr>
        <w:t>friends, family, acquaintances who will potentially benefit from health benefits accruing to standard food outlet customers</w:t>
      </w:r>
      <w:r w:rsidR="00B26777" w:rsidRPr="00BC1CEF">
        <w:rPr>
          <w:lang w:eastAsia="zh-CN" w:bidi="th-TH"/>
        </w:rPr>
        <w:t>.</w:t>
      </w:r>
      <w:r w:rsidR="005E0956" w:rsidRPr="005E0956">
        <w:rPr>
          <w:lang w:eastAsia="zh-CN" w:bidi="th-TH"/>
        </w:rPr>
        <w:t xml:space="preserve"> </w:t>
      </w:r>
    </w:p>
    <w:p w14:paraId="099E2E62" w14:textId="34FF1063" w:rsidR="005E0956" w:rsidRPr="005E0956" w:rsidRDefault="00B26777" w:rsidP="005E0956">
      <w:pPr>
        <w:pStyle w:val="ListParagraph"/>
        <w:numPr>
          <w:ilvl w:val="0"/>
          <w:numId w:val="3"/>
        </w:numPr>
        <w:spacing w:after="40"/>
        <w:ind w:left="360"/>
        <w:jc w:val="both"/>
        <w:rPr>
          <w:lang w:eastAsia="zh-CN" w:bidi="th-TH"/>
        </w:rPr>
      </w:pPr>
      <w:r w:rsidRPr="00BC1CEF">
        <w:rPr>
          <w:lang w:eastAsia="zh-CN" w:bidi="th-TH"/>
        </w:rPr>
        <w:t xml:space="preserve">Australian and New Zealand </w:t>
      </w:r>
      <w:r w:rsidR="005E0956" w:rsidRPr="005E0956">
        <w:rPr>
          <w:lang w:eastAsia="zh-CN" w:bidi="th-TH"/>
        </w:rPr>
        <w:t xml:space="preserve">businesses who </w:t>
      </w:r>
      <w:r w:rsidR="00D8704E" w:rsidRPr="00BC1CEF">
        <w:rPr>
          <w:lang w:eastAsia="zh-CN" w:bidi="th-TH"/>
        </w:rPr>
        <w:t>must</w:t>
      </w:r>
      <w:r w:rsidR="005E0956" w:rsidRPr="005E0956">
        <w:rPr>
          <w:lang w:eastAsia="zh-CN" w:bidi="th-TH"/>
        </w:rPr>
        <w:t xml:space="preserve"> comply with menu labelling regulations will face compliance costs</w:t>
      </w:r>
      <w:r w:rsidR="00105A57" w:rsidRPr="00BC1CEF">
        <w:rPr>
          <w:lang w:eastAsia="zh-CN" w:bidi="th-TH"/>
        </w:rPr>
        <w:t>.</w:t>
      </w:r>
      <w:r w:rsidR="005E0956" w:rsidRPr="005E0956">
        <w:rPr>
          <w:lang w:eastAsia="zh-CN" w:bidi="th-TH"/>
        </w:rPr>
        <w:t xml:space="preserve"> </w:t>
      </w:r>
      <w:r w:rsidR="00D261C7">
        <w:rPr>
          <w:lang w:eastAsia="zh-CN" w:bidi="th-TH"/>
        </w:rPr>
        <w:t xml:space="preserve">These may include </w:t>
      </w:r>
      <w:r w:rsidR="00D261C7">
        <w:t>quick service restaurants, cafés, coffee shops and restaurants, supermarkets and convenience stores, bread and cake retailers, fuel retailers selling standard food items, cinemas</w:t>
      </w:r>
      <w:r w:rsidR="00A54148">
        <w:t xml:space="preserve">, </w:t>
      </w:r>
      <w:r w:rsidR="00D261C7">
        <w:t>catering services</w:t>
      </w:r>
      <w:r w:rsidR="00A54148">
        <w:t xml:space="preserve">, </w:t>
      </w:r>
      <w:r w:rsidR="003168A6">
        <w:t>pubs,</w:t>
      </w:r>
      <w:r w:rsidR="00D261C7">
        <w:t xml:space="preserve"> and clubs.</w:t>
      </w:r>
    </w:p>
    <w:p w14:paraId="14661209" w14:textId="6DF91083" w:rsidR="005E0956" w:rsidRPr="005E0956" w:rsidRDefault="001769BA" w:rsidP="005E0956">
      <w:pPr>
        <w:pStyle w:val="ListParagraph"/>
        <w:numPr>
          <w:ilvl w:val="0"/>
          <w:numId w:val="3"/>
        </w:numPr>
        <w:spacing w:after="40"/>
        <w:ind w:left="360"/>
        <w:jc w:val="both"/>
        <w:rPr>
          <w:lang w:eastAsia="zh-CN" w:bidi="th-TH"/>
        </w:rPr>
      </w:pPr>
      <w:r w:rsidRPr="00BC1CEF">
        <w:rPr>
          <w:lang w:eastAsia="zh-CN" w:bidi="th-TH"/>
        </w:rPr>
        <w:t xml:space="preserve">Australian and New Zealand </w:t>
      </w:r>
      <w:r w:rsidR="005E0956" w:rsidRPr="005E0956">
        <w:rPr>
          <w:lang w:eastAsia="zh-CN" w:bidi="th-TH"/>
        </w:rPr>
        <w:t xml:space="preserve">taxpayers who will have to fund the administration costs associated with the development, implementation, and enforcement of the options. Taxpayers are also potential beneficiaries of the policies, for example lower </w:t>
      </w:r>
      <w:r w:rsidR="0004760A" w:rsidRPr="00BC1CEF">
        <w:rPr>
          <w:lang w:eastAsia="zh-CN" w:bidi="th-TH"/>
        </w:rPr>
        <w:t xml:space="preserve">weight-related </w:t>
      </w:r>
      <w:r w:rsidR="005E0956" w:rsidRPr="005E0956">
        <w:rPr>
          <w:lang w:eastAsia="zh-CN" w:bidi="th-TH"/>
        </w:rPr>
        <w:t xml:space="preserve">health risks will free up public health resources to address other public issues. </w:t>
      </w:r>
    </w:p>
    <w:p w14:paraId="1C1928EA" w14:textId="19D2E4D6" w:rsidR="006D62D9" w:rsidRDefault="006D62D9">
      <w:pPr>
        <w:rPr>
          <w:b/>
          <w:bCs/>
          <w:i/>
          <w:szCs w:val="26"/>
        </w:rPr>
      </w:pPr>
      <w:bookmarkStart w:id="63" w:name="_Toc51165281"/>
    </w:p>
    <w:p w14:paraId="650FAC26" w14:textId="18DBA1F1" w:rsidR="00D647C5" w:rsidRDefault="00D647C5" w:rsidP="00F53A05">
      <w:pPr>
        <w:pStyle w:val="Heading3"/>
      </w:pPr>
      <w:r>
        <w:lastRenderedPageBreak/>
        <w:t xml:space="preserve">5.2 </w:t>
      </w:r>
      <w:r w:rsidR="00584A88">
        <w:t xml:space="preserve">How </w:t>
      </w:r>
      <w:r w:rsidR="00132BA5">
        <w:t>effectively</w:t>
      </w:r>
      <w:r w:rsidR="00584A88">
        <w:t xml:space="preserve"> options </w:t>
      </w:r>
      <w:r w:rsidR="00132BA5">
        <w:t xml:space="preserve">could </w:t>
      </w:r>
      <w:r w:rsidR="00584A88">
        <w:t xml:space="preserve">achieve </w:t>
      </w:r>
      <w:r w:rsidR="004A2BF2">
        <w:t xml:space="preserve">the </w:t>
      </w:r>
      <w:r w:rsidR="00584A88">
        <w:t>objectives</w:t>
      </w:r>
      <w:r w:rsidR="00A10F45">
        <w:t xml:space="preserve"> </w:t>
      </w:r>
      <w:r>
        <w:t xml:space="preserve"> </w:t>
      </w:r>
    </w:p>
    <w:p w14:paraId="31212FCD" w14:textId="0E937BFD" w:rsidR="0035557B" w:rsidRPr="0035557B" w:rsidRDefault="0035557B" w:rsidP="00CD7446">
      <w:pPr>
        <w:spacing w:after="40"/>
        <w:jc w:val="both"/>
        <w:rPr>
          <w:i/>
          <w:iCs/>
        </w:rPr>
      </w:pPr>
      <w:r>
        <w:rPr>
          <w:i/>
          <w:iCs/>
        </w:rPr>
        <w:t>All options</w:t>
      </w:r>
    </w:p>
    <w:p w14:paraId="58916068" w14:textId="07F4487F" w:rsidR="009F0967" w:rsidRDefault="009D1B6B" w:rsidP="00CD7446">
      <w:pPr>
        <w:spacing w:after="40"/>
        <w:jc w:val="both"/>
        <w:rPr>
          <w:lang w:eastAsia="zh-CN" w:bidi="th-TH"/>
        </w:rPr>
      </w:pPr>
      <w:r w:rsidRPr="00CD7446">
        <w:t>As c</w:t>
      </w:r>
      <w:r w:rsidR="00E032EA" w:rsidRPr="00CD7446">
        <w:t xml:space="preserve">onsumer education </w:t>
      </w:r>
      <w:r w:rsidR="00642056" w:rsidRPr="00CD7446">
        <w:t xml:space="preserve">is intended to complement any of the policy options, it </w:t>
      </w:r>
      <w:r w:rsidR="00B66BDA" w:rsidRPr="00CD7446">
        <w:t>should</w:t>
      </w:r>
      <w:r w:rsidR="00642056" w:rsidRPr="00CD7446">
        <w:t xml:space="preserve"> </w:t>
      </w:r>
      <w:r w:rsidR="00E032EA" w:rsidRPr="00CD7446">
        <w:t>m</w:t>
      </w:r>
      <w:r w:rsidR="00E032EA" w:rsidRPr="00A406C6">
        <w:t>aximise the effectiveness of menu labelling in supporting consumer choice.</w:t>
      </w:r>
      <w:r w:rsidR="00B66BDA" w:rsidRPr="00CD7446">
        <w:t xml:space="preserve"> Therefore, all options </w:t>
      </w:r>
      <w:r w:rsidR="00EA7A81">
        <w:t xml:space="preserve">implemented in conjunction with consumer education </w:t>
      </w:r>
      <w:r w:rsidR="00B66BDA" w:rsidRPr="00CD7446">
        <w:t xml:space="preserve">are likely to achieve the objective: </w:t>
      </w:r>
      <w:r w:rsidR="00B66BDA" w:rsidRPr="00CD7446">
        <w:rPr>
          <w:i/>
          <w:iCs/>
        </w:rPr>
        <w:t xml:space="preserve">Assist people to understand and use energy information to make informed, healthier food purchase choices at the point-of-sale. </w:t>
      </w:r>
      <w:r w:rsidR="00E032EA" w:rsidRPr="00A406C6">
        <w:rPr>
          <w:lang w:eastAsia="zh-CN" w:bidi="th-TH"/>
        </w:rPr>
        <w:t>Providing consumers with a tool (i.e. menu labelling) and the means to understand how to use that tool to make healthier food choice can help in addressing the health system impacts.</w:t>
      </w:r>
      <w:r w:rsidR="00CD7446" w:rsidRPr="00CD7446">
        <w:rPr>
          <w:lang w:eastAsia="zh-CN" w:bidi="th-TH"/>
        </w:rPr>
        <w:t xml:space="preserve"> </w:t>
      </w:r>
      <w:r w:rsidR="00E032EA" w:rsidRPr="00A406C6">
        <w:rPr>
          <w:lang w:eastAsia="zh-CN" w:bidi="th-TH"/>
        </w:rPr>
        <w:t>Consumers may have</w:t>
      </w:r>
      <w:r w:rsidR="009F0967">
        <w:rPr>
          <w:lang w:eastAsia="zh-CN" w:bidi="th-TH"/>
        </w:rPr>
        <w:t>:</w:t>
      </w:r>
    </w:p>
    <w:p w14:paraId="5E0230CE" w14:textId="4AEE4103" w:rsidR="009F0967" w:rsidRDefault="00E032EA" w:rsidP="0055688D">
      <w:pPr>
        <w:pStyle w:val="ListParagraph"/>
        <w:numPr>
          <w:ilvl w:val="0"/>
          <w:numId w:val="52"/>
        </w:numPr>
        <w:spacing w:after="40"/>
        <w:jc w:val="both"/>
      </w:pPr>
      <w:r w:rsidRPr="00A406C6">
        <w:rPr>
          <w:lang w:eastAsia="zh-CN" w:bidi="th-TH"/>
        </w:rPr>
        <w:t>an improved understanding of kilojoules and the 8700kJ average daily intake; greater opportunities to learn how many kilojoules they require; a greater awareness of healthier ready-to-eat food choices; and support to make healthier food purchasing decisions</w:t>
      </w:r>
      <w:r w:rsidR="009F0967">
        <w:rPr>
          <w:lang w:eastAsia="zh-CN" w:bidi="th-TH"/>
        </w:rPr>
        <w:t xml:space="preserve">; and </w:t>
      </w:r>
    </w:p>
    <w:p w14:paraId="225C6FF6" w14:textId="69619431" w:rsidR="00E032EA" w:rsidRDefault="00E032EA" w:rsidP="0055688D">
      <w:pPr>
        <w:pStyle w:val="ListParagraph"/>
        <w:numPr>
          <w:ilvl w:val="0"/>
          <w:numId w:val="52"/>
        </w:numPr>
        <w:spacing w:after="40"/>
        <w:jc w:val="both"/>
      </w:pPr>
      <w:r w:rsidRPr="00A406C6">
        <w:rPr>
          <w:lang w:eastAsia="zh-CN" w:bidi="th-TH"/>
        </w:rPr>
        <w:t>a better awareness of menu labelling; and an improved understanding how to interpret and use energy information to make healthier food choices.</w:t>
      </w:r>
    </w:p>
    <w:p w14:paraId="245A7CE1" w14:textId="2DF17FF7" w:rsidR="003F5A9B" w:rsidRDefault="003F5A9B" w:rsidP="00025918">
      <w:pPr>
        <w:spacing w:after="40"/>
        <w:jc w:val="both"/>
      </w:pPr>
    </w:p>
    <w:p w14:paraId="24C6F961" w14:textId="6A654FAF" w:rsidR="0035557B" w:rsidRDefault="0035557B" w:rsidP="00025918">
      <w:pPr>
        <w:spacing w:after="40"/>
        <w:jc w:val="both"/>
        <w:rPr>
          <w:i/>
          <w:iCs/>
        </w:rPr>
      </w:pPr>
      <w:r w:rsidRPr="0035557B">
        <w:rPr>
          <w:i/>
          <w:iCs/>
        </w:rPr>
        <w:t>Option 1</w:t>
      </w:r>
    </w:p>
    <w:p w14:paraId="0EC476BB" w14:textId="2A46D8C4" w:rsidR="0035557B" w:rsidRPr="00476A2B" w:rsidRDefault="0035557B" w:rsidP="00657836">
      <w:pPr>
        <w:spacing w:after="40"/>
        <w:jc w:val="both"/>
      </w:pPr>
      <w:r w:rsidRPr="00EA7A81">
        <w:t>Option 1 has not achieved the objectives in the</w:t>
      </w:r>
      <w:r w:rsidR="00EA7A81">
        <w:t xml:space="preserve"> decade</w:t>
      </w:r>
      <w:r w:rsidRPr="00EA7A81">
        <w:t xml:space="preserve"> since the 2011 Principles were endorsed. Additionally, it took seven years </w:t>
      </w:r>
      <w:r w:rsidRPr="00476A2B">
        <w:t xml:space="preserve">between the development of the 2011 Principles and menu labelling becoming effective in the most recent jurisdiction to implement the 2011 Principles. Three Australian jurisdictions and New Zealand have not implemented the 2011 Principles to </w:t>
      </w:r>
      <w:r w:rsidR="003168A6" w:rsidRPr="00476A2B">
        <w:t>date,</w:t>
      </w:r>
      <w:r w:rsidR="00CD40EE" w:rsidRPr="00476A2B">
        <w:t xml:space="preserve"> and t</w:t>
      </w:r>
      <w:r w:rsidR="00132BA5" w:rsidRPr="00476A2B">
        <w:t>his is unlikely to change</w:t>
      </w:r>
      <w:r w:rsidR="00CD40EE" w:rsidRPr="00476A2B">
        <w:t>.</w:t>
      </w:r>
    </w:p>
    <w:p w14:paraId="144F3DBC" w14:textId="109600B3" w:rsidR="00657836" w:rsidRPr="00476A2B" w:rsidRDefault="00657836" w:rsidP="00657836">
      <w:pPr>
        <w:pStyle w:val="Bodytextwithbullets-TMRfont12"/>
        <w:numPr>
          <w:ilvl w:val="0"/>
          <w:numId w:val="0"/>
        </w:numPr>
      </w:pPr>
    </w:p>
    <w:p w14:paraId="65A583F4" w14:textId="35E77180" w:rsidR="00657836" w:rsidRPr="00476A2B" w:rsidRDefault="00657836" w:rsidP="00657836">
      <w:pPr>
        <w:pStyle w:val="Bodytextwithbullets-TMRfont12"/>
        <w:numPr>
          <w:ilvl w:val="0"/>
          <w:numId w:val="0"/>
        </w:numPr>
        <w:rPr>
          <w:i/>
          <w:iCs/>
        </w:rPr>
      </w:pPr>
      <w:r w:rsidRPr="00476A2B">
        <w:rPr>
          <w:i/>
          <w:iCs/>
        </w:rPr>
        <w:t>Option 2</w:t>
      </w:r>
    </w:p>
    <w:p w14:paraId="1F7248EB" w14:textId="77777777" w:rsidR="00481E1D" w:rsidRPr="00476A2B" w:rsidRDefault="00657836" w:rsidP="00481E1D">
      <w:pPr>
        <w:spacing w:after="40"/>
        <w:jc w:val="both"/>
      </w:pPr>
      <w:bookmarkStart w:id="64" w:name="_Hlk90640578"/>
      <w:r w:rsidRPr="00476A2B">
        <w:t xml:space="preserve">Achieving the objectives through Option 2 is dependent on whether all jurisdictions implement the amended Principles and would require all eight Australian jurisdictions to change their legislation </w:t>
      </w:r>
      <w:r w:rsidR="00880BEC" w:rsidRPr="00476A2B">
        <w:t>(</w:t>
      </w:r>
      <w:r w:rsidR="00481E1D" w:rsidRPr="00476A2B">
        <w:t xml:space="preserve">Food Acts) </w:t>
      </w:r>
      <w:r w:rsidRPr="00476A2B">
        <w:t xml:space="preserve">to align exactly with the amended Principles. </w:t>
      </w:r>
      <w:r w:rsidR="00CD40EE" w:rsidRPr="00476A2B">
        <w:t xml:space="preserve">As the objectives are for Australia and New Zealand, it would also require New Zealand to change its legislation. </w:t>
      </w:r>
      <w:r w:rsidRPr="00476A2B">
        <w:t>There is no indication that all jurisdictions would change their legislation</w:t>
      </w:r>
      <w:r w:rsidR="00451CFD" w:rsidRPr="00476A2B">
        <w:t xml:space="preserve"> </w:t>
      </w:r>
      <w:r w:rsidR="00903233" w:rsidRPr="00476A2B">
        <w:t>in a timely or identical manner</w:t>
      </w:r>
      <w:r w:rsidRPr="00476A2B">
        <w:t>.</w:t>
      </w:r>
      <w:r w:rsidR="00481E1D" w:rsidRPr="00476A2B">
        <w:t xml:space="preserve"> No effect is given to the amended Principles until jurisdictions amend their legislation.</w:t>
      </w:r>
    </w:p>
    <w:p w14:paraId="0E27C1C7" w14:textId="6DA144C6" w:rsidR="00D475F2" w:rsidRPr="00476A2B" w:rsidRDefault="00D475F2" w:rsidP="00657836">
      <w:pPr>
        <w:spacing w:after="40"/>
        <w:jc w:val="both"/>
      </w:pPr>
    </w:p>
    <w:p w14:paraId="2D4BD158" w14:textId="5B903346" w:rsidR="00D475F2" w:rsidRPr="00476A2B" w:rsidRDefault="00D475F2" w:rsidP="00D475F2">
      <w:pPr>
        <w:spacing w:after="40"/>
        <w:jc w:val="both"/>
      </w:pPr>
      <w:r w:rsidRPr="00476A2B">
        <w:t>However, Option 2 may result in most standard food outlets consistently implementing the strengthened menu labelling elements outlined in the amended Principles, even if only one jurisdiction changes their legislation. It is possible that some cross-border businesses may choose to voluntarily implement menu labelling in the same manner in all outlets in Australia and/or New Zealand. However, this would not be enforceable in jurisdictions that have not adopted the amended Principles</w:t>
      </w:r>
      <w:r w:rsidR="00EA31CA" w:rsidRPr="00476A2B">
        <w:t>, and it could lead to businesses being non-compliant with existing legislation</w:t>
      </w:r>
      <w:r w:rsidRPr="00476A2B">
        <w:t>.</w:t>
      </w:r>
    </w:p>
    <w:p w14:paraId="4BF002CE" w14:textId="51A8676F" w:rsidR="008D1FD0" w:rsidRPr="00476A2B" w:rsidRDefault="008D1FD0" w:rsidP="00657836">
      <w:pPr>
        <w:spacing w:after="40"/>
        <w:jc w:val="both"/>
      </w:pPr>
    </w:p>
    <w:p w14:paraId="2291441C" w14:textId="12DF5797" w:rsidR="008D1FD0" w:rsidRPr="00476A2B" w:rsidRDefault="008D1FD0" w:rsidP="008D1FD0">
      <w:pPr>
        <w:spacing w:after="40"/>
        <w:jc w:val="both"/>
      </w:pPr>
      <w:r w:rsidRPr="00476A2B">
        <w:t>Under Option 2, there is a likelihood that future jurisdictional legislative setting processes would result in deviations from the amended Principles. No guarantees can be offered that jurisdictions could implement modified or new legislation that identically mirrors the amended Principles. Therefore, there is a risk that the current inconsistencies will remain, and additional inconsistencies may emerge if jurisdictional action does not occur in a timely (within 1-2 years) and uniform manner. A jurisdiction’s ability to amend their legislation is dependent on their work plan, competing priorities, complexity of the issues and parliamentary debate. Since the 2011 Principles were created, only five jurisdictions have implemented menu labelling legislation, with the most recent scheme becoming effective seven years after the 2011 Principles were developed.</w:t>
      </w:r>
    </w:p>
    <w:bookmarkEnd w:id="64"/>
    <w:p w14:paraId="683553CF" w14:textId="77777777" w:rsidR="004213F7" w:rsidRPr="00476A2B" w:rsidRDefault="004213F7" w:rsidP="00657836">
      <w:pPr>
        <w:pStyle w:val="Bodytextwithbullets-TMRfont12"/>
        <w:numPr>
          <w:ilvl w:val="0"/>
          <w:numId w:val="0"/>
        </w:numPr>
      </w:pPr>
    </w:p>
    <w:p w14:paraId="19402770" w14:textId="52370300" w:rsidR="00657836" w:rsidRPr="00476A2B" w:rsidRDefault="00657836" w:rsidP="00657836">
      <w:pPr>
        <w:pStyle w:val="Bodytextwithbullets-TMRfont12"/>
        <w:numPr>
          <w:ilvl w:val="0"/>
          <w:numId w:val="0"/>
        </w:numPr>
        <w:rPr>
          <w:i/>
          <w:iCs/>
        </w:rPr>
      </w:pPr>
      <w:r w:rsidRPr="00476A2B">
        <w:rPr>
          <w:i/>
          <w:iCs/>
        </w:rPr>
        <w:lastRenderedPageBreak/>
        <w:t>Option 3</w:t>
      </w:r>
    </w:p>
    <w:p w14:paraId="7B844E43" w14:textId="51ADBA60" w:rsidR="00657836" w:rsidRPr="00476A2B" w:rsidRDefault="00BC2395" w:rsidP="00BC2395">
      <w:pPr>
        <w:spacing w:after="40"/>
        <w:jc w:val="both"/>
      </w:pPr>
      <w:r w:rsidRPr="00476A2B">
        <w:t xml:space="preserve">Option 3 would result in one consistent menu labelling system for Australia and New Zealand. This is an outcome that has not been achieved in the decade of the current menu labelling policy principles. </w:t>
      </w:r>
      <w:r w:rsidR="002F5B98" w:rsidRPr="00476A2B">
        <w:t xml:space="preserve">The mechanism of a food regulatory measure under the Food Standards Code has the benefit of generating a uniform set of menu labelling requirements and having applicability in all Australian states and territories and New Zealand, through automatic adoption in jurisdictional legislation (i.e. Food Acts). </w:t>
      </w:r>
      <w:r w:rsidR="00295F3A" w:rsidRPr="00476A2B">
        <w:t xml:space="preserve">Therefore, </w:t>
      </w:r>
      <w:r w:rsidRPr="00476A2B">
        <w:t>it</w:t>
      </w:r>
      <w:r w:rsidR="00657836" w:rsidRPr="00476A2B">
        <w:t xml:space="preserve"> would be most likely to</w:t>
      </w:r>
      <w:r w:rsidRPr="00476A2B">
        <w:t xml:space="preserve"> </w:t>
      </w:r>
      <w:r w:rsidR="00657836" w:rsidRPr="00476A2B">
        <w:t>ensure that all modes of sale and types of menus enable comparison of all menu options within and across businesses</w:t>
      </w:r>
      <w:r w:rsidRPr="00476A2B">
        <w:t xml:space="preserve"> and to </w:t>
      </w:r>
      <w:r w:rsidR="00657836" w:rsidRPr="00476A2B">
        <w:t>create a level playing field for all businesses across Australia and New Zealand that sell standard food items</w:t>
      </w:r>
      <w:r w:rsidR="002F5B98" w:rsidRPr="00476A2B">
        <w:t>.</w:t>
      </w:r>
      <w:r w:rsidR="00657836" w:rsidRPr="00476A2B">
        <w:t xml:space="preserve"> </w:t>
      </w:r>
    </w:p>
    <w:p w14:paraId="0B7BE7A1" w14:textId="48C8F7B0" w:rsidR="00657836" w:rsidRPr="00476A2B" w:rsidRDefault="00657836" w:rsidP="00657836">
      <w:pPr>
        <w:pStyle w:val="Bodytextwithbullets-TMRfont12"/>
        <w:numPr>
          <w:ilvl w:val="0"/>
          <w:numId w:val="0"/>
        </w:numPr>
      </w:pPr>
    </w:p>
    <w:p w14:paraId="4CB13D2A" w14:textId="4CABDA64" w:rsidR="00D86435" w:rsidRPr="00476A2B" w:rsidRDefault="00DE0B92" w:rsidP="00D86435">
      <w:pPr>
        <w:spacing w:after="40"/>
        <w:jc w:val="both"/>
      </w:pPr>
      <w:r w:rsidRPr="00476A2B">
        <w:t xml:space="preserve">While the proposed Policy Guideline is intended to guide FSANZ in developing a food regulatory measure, there is no guarantee that a food regulatory measure for menu labelling would align exactly with the Policy Guideline. </w:t>
      </w:r>
      <w:r w:rsidR="003245B5" w:rsidRPr="00476A2B">
        <w:t>Should the food regulatory measure deviate from the proposed Policy Guideline, the regulatory requirements will still be carried uniformly across all jurisdictions at the same time, creating bi-nationally consistent requirements for menu labelling as an outcome.</w:t>
      </w:r>
      <w:r w:rsidR="00D86435" w:rsidRPr="00476A2B">
        <w:t xml:space="preserve"> However, there is a risk that some of the progress made by jurisdictional legislation could be lost. </w:t>
      </w:r>
      <w:r w:rsidR="003352B3" w:rsidRPr="00476A2B">
        <w:t xml:space="preserve">The </w:t>
      </w:r>
      <w:r w:rsidR="002D21D6" w:rsidRPr="00476A2B">
        <w:t xml:space="preserve">legislated </w:t>
      </w:r>
      <w:r w:rsidR="003352B3" w:rsidRPr="00476A2B">
        <w:t xml:space="preserve">FSANZ standards setting process would provide the opportunity to test all elements </w:t>
      </w:r>
      <w:r w:rsidR="00B325CD" w:rsidRPr="00476A2B">
        <w:t xml:space="preserve">proposed </w:t>
      </w:r>
      <w:r w:rsidR="00EC7C43" w:rsidRPr="00476A2B">
        <w:t xml:space="preserve">to be </w:t>
      </w:r>
      <w:r w:rsidR="007762CB" w:rsidRPr="00476A2B">
        <w:t>incorporated</w:t>
      </w:r>
      <w:r w:rsidR="00EC7C43" w:rsidRPr="00476A2B">
        <w:t xml:space="preserve"> in a food regulatory measure for menu labelling. </w:t>
      </w:r>
      <w:r w:rsidR="00196EBB" w:rsidRPr="00476A2B">
        <w:t>I</w:t>
      </w:r>
      <w:r w:rsidR="004F4954" w:rsidRPr="00476A2B">
        <w:t xml:space="preserve">f there are pertinent additional factors to consider in the future, </w:t>
      </w:r>
      <w:r w:rsidR="00D86435" w:rsidRPr="00476A2B">
        <w:t xml:space="preserve">Food Ministers </w:t>
      </w:r>
      <w:r w:rsidR="00ED21D2" w:rsidRPr="00476A2B">
        <w:t xml:space="preserve">can </w:t>
      </w:r>
      <w:r w:rsidR="00D737C8" w:rsidRPr="00476A2B">
        <w:t xml:space="preserve">request that </w:t>
      </w:r>
      <w:r w:rsidR="00D86435" w:rsidRPr="00476A2B">
        <w:t>FSANZ review a</w:t>
      </w:r>
      <w:r w:rsidR="009C1C64" w:rsidRPr="00476A2B">
        <w:t>n existing</w:t>
      </w:r>
      <w:r w:rsidR="00D86435" w:rsidRPr="00476A2B">
        <w:t xml:space="preserve"> food regulatory measure</w:t>
      </w:r>
      <w:r w:rsidR="004F4954" w:rsidRPr="00476A2B">
        <w:t>.</w:t>
      </w:r>
      <w:r w:rsidR="00D86435" w:rsidRPr="00476A2B">
        <w:t xml:space="preserve"> </w:t>
      </w:r>
    </w:p>
    <w:p w14:paraId="0D53137D" w14:textId="77777777" w:rsidR="00F81E02" w:rsidRPr="00476A2B" w:rsidRDefault="00F81E02" w:rsidP="00657836">
      <w:pPr>
        <w:pStyle w:val="Bodytextwithbullets-TMRfont12"/>
        <w:numPr>
          <w:ilvl w:val="0"/>
          <w:numId w:val="0"/>
        </w:numPr>
      </w:pPr>
    </w:p>
    <w:p w14:paraId="65483C01" w14:textId="1C7D855F" w:rsidR="00657836" w:rsidRPr="00476A2B" w:rsidRDefault="00657836" w:rsidP="00657836">
      <w:pPr>
        <w:pStyle w:val="Bodytextwithbullets-TMRfont12"/>
        <w:numPr>
          <w:ilvl w:val="0"/>
          <w:numId w:val="0"/>
        </w:numPr>
        <w:rPr>
          <w:i/>
          <w:iCs/>
        </w:rPr>
      </w:pPr>
      <w:r w:rsidRPr="00476A2B">
        <w:rPr>
          <w:i/>
          <w:iCs/>
        </w:rPr>
        <w:t>Option 4</w:t>
      </w:r>
    </w:p>
    <w:p w14:paraId="2E097551" w14:textId="4F77433D" w:rsidR="00E73CF3" w:rsidRPr="00476A2B" w:rsidRDefault="00B27967" w:rsidP="00E73CF3">
      <w:pPr>
        <w:spacing w:after="40"/>
        <w:jc w:val="both"/>
      </w:pPr>
      <w:r w:rsidRPr="00476A2B">
        <w:t xml:space="preserve">Option 4 lacks the mandatory onus of a regulatory arrangement, so </w:t>
      </w:r>
      <w:r w:rsidR="00D63D1C" w:rsidRPr="00476A2B">
        <w:t xml:space="preserve">it is likely there would be </w:t>
      </w:r>
      <w:r w:rsidRPr="00476A2B">
        <w:t xml:space="preserve">less adoption and </w:t>
      </w:r>
      <w:r w:rsidR="00D63D1C" w:rsidRPr="00476A2B">
        <w:t xml:space="preserve">take </w:t>
      </w:r>
      <w:r w:rsidRPr="00476A2B">
        <w:t xml:space="preserve">longer to adopt the enhancements to the menu labelling system </w:t>
      </w:r>
      <w:r w:rsidR="00AE525D" w:rsidRPr="00476A2B">
        <w:t xml:space="preserve">(i.e. improvements to energy information on all modes of sale and types of menus) </w:t>
      </w:r>
      <w:r w:rsidRPr="00476A2B">
        <w:t>by industry participants compared to what can be achieved under a regulatory arrangement.</w:t>
      </w:r>
      <w:r w:rsidR="00AE3C48" w:rsidRPr="00476A2B">
        <w:t xml:space="preserve"> </w:t>
      </w:r>
      <w:r w:rsidR="00E73CF3" w:rsidRPr="00476A2B">
        <w:t>The current inconsistencies would remain, and additional inconsistencies could emerge depending on how businesses implement any enhancements, leading to a proliferation of different menu labelling systems.</w:t>
      </w:r>
    </w:p>
    <w:p w14:paraId="54FBB4D0" w14:textId="77777777" w:rsidR="002F5B98" w:rsidRPr="00476A2B" w:rsidRDefault="002F5B98" w:rsidP="00E73CF3">
      <w:pPr>
        <w:spacing w:after="40"/>
        <w:jc w:val="both"/>
      </w:pPr>
    </w:p>
    <w:p w14:paraId="71C62033" w14:textId="53CA180A" w:rsidR="00D63D1C" w:rsidRDefault="00AC2D95" w:rsidP="0009424B">
      <w:pPr>
        <w:spacing w:after="40"/>
        <w:jc w:val="both"/>
      </w:pPr>
      <w:r w:rsidRPr="00476A2B">
        <w:t xml:space="preserve">Having the </w:t>
      </w:r>
      <w:r w:rsidR="00EA58E8" w:rsidRPr="00476A2B">
        <w:t>choice</w:t>
      </w:r>
      <w:r w:rsidR="00AD4F90" w:rsidRPr="00476A2B">
        <w:t xml:space="preserve"> to voluntarily enhance </w:t>
      </w:r>
      <w:r w:rsidRPr="00476A2B">
        <w:t>menu labelling in their outlets,</w:t>
      </w:r>
      <w:r w:rsidR="00EA58E8" w:rsidRPr="00476A2B">
        <w:t xml:space="preserve"> provides a level playing field for businesses on one hand. </w:t>
      </w:r>
      <w:r w:rsidR="00286F70" w:rsidRPr="00476A2B">
        <w:t xml:space="preserve">However, as not all businesses are likely to make this choice, </w:t>
      </w:r>
      <w:r w:rsidR="00377E78" w:rsidRPr="00476A2B">
        <w:t xml:space="preserve">it would still mean that some businesses are displaying energy information and others </w:t>
      </w:r>
      <w:r w:rsidR="007253E0" w:rsidRPr="00476A2B">
        <w:t>not, despite selling similar food and drinks, or being co-located (</w:t>
      </w:r>
      <w:r w:rsidR="00493F34" w:rsidRPr="00476A2B">
        <w:t>for example,</w:t>
      </w:r>
      <w:r w:rsidR="007253E0" w:rsidRPr="00476A2B">
        <w:t xml:space="preserve"> in food courts), or using the same </w:t>
      </w:r>
      <w:r w:rsidR="00E73CF3" w:rsidRPr="00476A2B">
        <w:t>third-party food delivery platforms.</w:t>
      </w:r>
      <w:r w:rsidR="00E73CF3">
        <w:t xml:space="preserve"> </w:t>
      </w:r>
    </w:p>
    <w:p w14:paraId="37C3CE7D" w14:textId="77777777" w:rsidR="00443559" w:rsidRDefault="00443559" w:rsidP="0009424B">
      <w:pPr>
        <w:spacing w:after="40"/>
        <w:jc w:val="both"/>
      </w:pPr>
    </w:p>
    <w:p w14:paraId="7F543BA0" w14:textId="77777777" w:rsidR="00617040" w:rsidRPr="00E45CA5" w:rsidRDefault="002F0B20" w:rsidP="00617040">
      <w:pPr>
        <w:pStyle w:val="Bodytext-TMRfont12"/>
      </w:pPr>
      <w:r>
        <w:t>B</w:t>
      </w:r>
      <w:r w:rsidRPr="00740E49">
        <w:t>usinesses voluntarily implementing the menu labelling enhancements could support their customers to make healthier choices</w:t>
      </w:r>
      <w:r>
        <w:t xml:space="preserve">. </w:t>
      </w:r>
      <w:r w:rsidR="00397A26">
        <w:t>As</w:t>
      </w:r>
      <w:r w:rsidR="00C76B1A">
        <w:t xml:space="preserve"> Option 4 relies on a voluntary </w:t>
      </w:r>
      <w:r w:rsidR="00C76B1A" w:rsidRPr="00A406C6">
        <w:t xml:space="preserve">approach to </w:t>
      </w:r>
      <w:r w:rsidR="00397A26">
        <w:t xml:space="preserve">increasing </w:t>
      </w:r>
      <w:r w:rsidR="00C76B1A" w:rsidRPr="00A406C6">
        <w:t>consistency of menu labelling</w:t>
      </w:r>
      <w:r>
        <w:t xml:space="preserve">, </w:t>
      </w:r>
      <w:r w:rsidR="00C76B1A" w:rsidRPr="00025918">
        <w:t xml:space="preserve">it is uncertain that businesses would provide consumers with enough information </w:t>
      </w:r>
      <w:r>
        <w:t>on menus and at the point-of-sale t</w:t>
      </w:r>
      <w:r w:rsidR="00C76B1A" w:rsidRPr="00025918">
        <w:t xml:space="preserve">o </w:t>
      </w:r>
      <w:r w:rsidR="00DE0B92">
        <w:t xml:space="preserve">support </w:t>
      </w:r>
      <w:r w:rsidR="00C76B1A">
        <w:t xml:space="preserve">use </w:t>
      </w:r>
      <w:r w:rsidR="00DE0B92">
        <w:t xml:space="preserve">of </w:t>
      </w:r>
      <w:r w:rsidR="00C76B1A">
        <w:t xml:space="preserve">energy information to </w:t>
      </w:r>
      <w:r w:rsidR="00C76B1A" w:rsidRPr="00025918">
        <w:t>make healthier choices at the point-of-sale.</w:t>
      </w:r>
      <w:bookmarkStart w:id="65" w:name="_Hlk84843504"/>
      <w:r w:rsidR="00617040">
        <w:t xml:space="preserve"> </w:t>
      </w:r>
      <w:r w:rsidR="00617040" w:rsidRPr="00E45CA5">
        <w:t xml:space="preserve">For example, businesses could display energy information for only some menu items, namely the healthier choices, but consumers could choose the less healthy options as a lack of information may be perceived as a menu item being a healthier choice. </w:t>
      </w:r>
    </w:p>
    <w:p w14:paraId="0B5EE758" w14:textId="77777777" w:rsidR="00C27F75" w:rsidRDefault="00C27F75" w:rsidP="006D5F14">
      <w:pPr>
        <w:spacing w:after="40"/>
        <w:jc w:val="both"/>
      </w:pPr>
    </w:p>
    <w:p w14:paraId="4CDDCFDF" w14:textId="4784F452" w:rsidR="00884636" w:rsidRDefault="00884636" w:rsidP="00F53A05">
      <w:pPr>
        <w:pStyle w:val="Heading3"/>
      </w:pPr>
      <w:r>
        <w:t>5.</w:t>
      </w:r>
      <w:r w:rsidR="00EB738A">
        <w:t>3</w:t>
      </w:r>
      <w:r>
        <w:t xml:space="preserve"> </w:t>
      </w:r>
      <w:r w:rsidR="00750CBB">
        <w:t>Business compliance costs</w:t>
      </w:r>
    </w:p>
    <w:bookmarkEnd w:id="65"/>
    <w:p w14:paraId="20326459" w14:textId="15DB1944" w:rsidR="00BA7F06" w:rsidRPr="00476A2B" w:rsidRDefault="00A7060A" w:rsidP="00BA7F06">
      <w:pPr>
        <w:spacing w:after="40"/>
        <w:jc w:val="both"/>
        <w:rPr>
          <w:lang w:eastAsia="zh-CN" w:bidi="th-TH"/>
        </w:rPr>
      </w:pPr>
      <w:r>
        <w:t xml:space="preserve">Under the status quo, </w:t>
      </w:r>
      <w:r>
        <w:rPr>
          <w:lang w:eastAsia="zh-CN" w:bidi="th-TH"/>
        </w:rPr>
        <w:t>t</w:t>
      </w:r>
      <w:r w:rsidR="00857058" w:rsidRPr="00857058">
        <w:rPr>
          <w:lang w:eastAsia="zh-CN" w:bidi="th-TH"/>
        </w:rPr>
        <w:t xml:space="preserve">he estimated cost to implement menu labelling is $1,585 (AUD) per </w:t>
      </w:r>
      <w:r w:rsidR="00BA7F06">
        <w:rPr>
          <w:lang w:eastAsia="zh-CN" w:bidi="th-TH"/>
        </w:rPr>
        <w:t xml:space="preserve">Australian </w:t>
      </w:r>
      <w:r w:rsidR="00857058" w:rsidRPr="00857058">
        <w:rPr>
          <w:lang w:eastAsia="zh-CN" w:bidi="th-TH"/>
        </w:rPr>
        <w:t xml:space="preserve">standard food outlet in start-up costs, </w:t>
      </w:r>
      <w:r w:rsidR="00857058" w:rsidRPr="00476A2B">
        <w:rPr>
          <w:lang w:eastAsia="zh-CN" w:bidi="th-TH"/>
        </w:rPr>
        <w:t xml:space="preserve">and a further $560 (AUD) per outlet in ongoing </w:t>
      </w:r>
      <w:r w:rsidR="00857058" w:rsidRPr="00476A2B">
        <w:rPr>
          <w:lang w:eastAsia="zh-CN" w:bidi="th-TH"/>
        </w:rPr>
        <w:lastRenderedPageBreak/>
        <w:t>annual maintenance costs.</w:t>
      </w:r>
      <w:r w:rsidR="00857058" w:rsidRPr="00476A2B">
        <w:rPr>
          <w:rStyle w:val="FootnoteReference"/>
          <w:lang w:eastAsia="zh-CN" w:bidi="th-TH"/>
        </w:rPr>
        <w:footnoteReference w:id="86"/>
      </w:r>
      <w:r w:rsidR="00857058" w:rsidRPr="00476A2B">
        <w:rPr>
          <w:lang w:eastAsia="zh-CN" w:bidi="th-TH"/>
        </w:rPr>
        <w:t xml:space="preserve"> </w:t>
      </w:r>
      <w:r w:rsidR="00BA7F06" w:rsidRPr="00476A2B">
        <w:rPr>
          <w:lang w:eastAsia="zh-CN" w:bidi="th-TH"/>
        </w:rPr>
        <w:t xml:space="preserve">These compliance costs may cover menu design and </w:t>
      </w:r>
      <w:r w:rsidR="00407FDB" w:rsidRPr="00476A2B">
        <w:rPr>
          <w:lang w:eastAsia="zh-CN" w:bidi="th-TH"/>
        </w:rPr>
        <w:t>production</w:t>
      </w:r>
      <w:r w:rsidR="00D54A93" w:rsidRPr="00476A2B">
        <w:rPr>
          <w:rStyle w:val="FootnoteReference"/>
          <w:lang w:eastAsia="zh-CN" w:bidi="th-TH"/>
        </w:rPr>
        <w:footnoteReference w:id="87"/>
      </w:r>
      <w:r w:rsidR="00BA7F06" w:rsidRPr="00476A2B">
        <w:rPr>
          <w:lang w:eastAsia="zh-CN" w:bidi="th-TH"/>
        </w:rPr>
        <w:t>, nutritional analysis</w:t>
      </w:r>
      <w:r w:rsidR="00407FDB" w:rsidRPr="00476A2B">
        <w:rPr>
          <w:rStyle w:val="FootnoteReference"/>
          <w:lang w:eastAsia="zh-CN" w:bidi="th-TH"/>
        </w:rPr>
        <w:footnoteReference w:id="88"/>
      </w:r>
      <w:r w:rsidR="00BA7F06" w:rsidRPr="00476A2B">
        <w:rPr>
          <w:lang w:eastAsia="zh-CN" w:bidi="th-TH"/>
        </w:rPr>
        <w:t>, staff training, professional services for external marketing and legal counsel, and record keeping.</w:t>
      </w:r>
      <w:r w:rsidR="00A5257B" w:rsidRPr="00476A2B">
        <w:rPr>
          <w:lang w:eastAsia="zh-CN" w:bidi="th-TH"/>
        </w:rPr>
        <w:t xml:space="preserve"> </w:t>
      </w:r>
      <w:r w:rsidR="000E0BB4" w:rsidRPr="00476A2B">
        <w:rPr>
          <w:lang w:eastAsia="zh-CN" w:bidi="th-TH"/>
        </w:rPr>
        <w:t xml:space="preserve">Since </w:t>
      </w:r>
      <w:r w:rsidR="00AD5083" w:rsidRPr="00476A2B">
        <w:rPr>
          <w:lang w:eastAsia="zh-CN" w:bidi="th-TH"/>
        </w:rPr>
        <w:t xml:space="preserve">menu labelling legislation was first introduced and </w:t>
      </w:r>
      <w:r w:rsidR="000E0BB4" w:rsidRPr="00476A2B">
        <w:rPr>
          <w:lang w:eastAsia="zh-CN" w:bidi="th-TH"/>
        </w:rPr>
        <w:t>th</w:t>
      </w:r>
      <w:r w:rsidR="00AD5083" w:rsidRPr="00476A2B">
        <w:rPr>
          <w:lang w:eastAsia="zh-CN" w:bidi="th-TH"/>
        </w:rPr>
        <w:t>ese</w:t>
      </w:r>
      <w:r w:rsidR="000E0BB4" w:rsidRPr="00476A2B">
        <w:rPr>
          <w:lang w:eastAsia="zh-CN" w:bidi="th-TH"/>
        </w:rPr>
        <w:t xml:space="preserve"> costs were estimated, </w:t>
      </w:r>
      <w:r w:rsidR="0030477A" w:rsidRPr="00476A2B">
        <w:rPr>
          <w:lang w:eastAsia="zh-CN" w:bidi="th-TH"/>
        </w:rPr>
        <w:t>one of the most significant changes in how food businesses display and sell menu items</w:t>
      </w:r>
      <w:r w:rsidR="0003305C" w:rsidRPr="00476A2B">
        <w:rPr>
          <w:lang w:eastAsia="zh-CN" w:bidi="th-TH"/>
        </w:rPr>
        <w:t xml:space="preserve"> has been a shift from physical static menu boards to digital platforms </w:t>
      </w:r>
      <w:r w:rsidR="00DB164C" w:rsidRPr="00476A2B">
        <w:rPr>
          <w:lang w:eastAsia="zh-CN" w:bidi="th-TH"/>
        </w:rPr>
        <w:t xml:space="preserve">in-store and online. </w:t>
      </w:r>
      <w:bookmarkStart w:id="66" w:name="_Hlk91099653"/>
      <w:r w:rsidR="00DB164C" w:rsidRPr="00476A2B">
        <w:rPr>
          <w:lang w:eastAsia="zh-CN" w:bidi="th-TH"/>
        </w:rPr>
        <w:t xml:space="preserve">The use of digital platforms and infrastructure </w:t>
      </w:r>
      <w:r w:rsidR="00E7648B" w:rsidRPr="00476A2B">
        <w:rPr>
          <w:lang w:eastAsia="zh-CN" w:bidi="th-TH"/>
        </w:rPr>
        <w:t xml:space="preserve">allows for lower-cost </w:t>
      </w:r>
      <w:r w:rsidR="00B75BA5" w:rsidRPr="00476A2B">
        <w:rPr>
          <w:lang w:eastAsia="zh-CN" w:bidi="th-TH"/>
        </w:rPr>
        <w:t>changes</w:t>
      </w:r>
      <w:r w:rsidR="00E7648B" w:rsidRPr="00476A2B">
        <w:rPr>
          <w:lang w:eastAsia="zh-CN" w:bidi="th-TH"/>
        </w:rPr>
        <w:t xml:space="preserve"> to menus</w:t>
      </w:r>
      <w:r w:rsidR="00B75BA5" w:rsidRPr="00476A2B">
        <w:rPr>
          <w:lang w:eastAsia="zh-CN" w:bidi="th-TH"/>
        </w:rPr>
        <w:t xml:space="preserve"> as changes can be made virtually and the</w:t>
      </w:r>
      <w:r w:rsidR="002E55AE" w:rsidRPr="00476A2B">
        <w:rPr>
          <w:lang w:eastAsia="zh-CN" w:bidi="th-TH"/>
        </w:rPr>
        <w:t>n</w:t>
      </w:r>
      <w:r w:rsidR="00B75BA5" w:rsidRPr="00476A2B">
        <w:rPr>
          <w:lang w:eastAsia="zh-CN" w:bidi="th-TH"/>
        </w:rPr>
        <w:t xml:space="preserve"> displayed on a screen.</w:t>
      </w:r>
      <w:bookmarkEnd w:id="66"/>
    </w:p>
    <w:p w14:paraId="687E6131" w14:textId="1CCF1B7F" w:rsidR="00D32E96" w:rsidRPr="00476A2B" w:rsidRDefault="00D32E96" w:rsidP="00BA7F06">
      <w:pPr>
        <w:spacing w:after="40"/>
        <w:jc w:val="both"/>
        <w:rPr>
          <w:lang w:eastAsia="zh-CN" w:bidi="th-TH"/>
        </w:rPr>
      </w:pPr>
    </w:p>
    <w:p w14:paraId="593CF512" w14:textId="31D2C926" w:rsidR="00D32E96" w:rsidRDefault="00D32E96" w:rsidP="00D32E96">
      <w:pPr>
        <w:spacing w:after="40"/>
        <w:jc w:val="both"/>
      </w:pPr>
      <w:r w:rsidRPr="00476A2B">
        <w:t>The 2021 consultation sought views on the accuracy of these costs</w:t>
      </w:r>
      <w:r>
        <w:t>. While some</w:t>
      </w:r>
      <w:r w:rsidR="001964BD">
        <w:t xml:space="preserve"> Australian</w:t>
      </w:r>
      <w:r>
        <w:t xml:space="preserve"> industry stakeholders questioned whether the costs were too low, the costs provided by these stakeholders suggest that the compliance costs assumed within the CRIS were more likely to err on the higher side.</w:t>
      </w:r>
      <w:r w:rsidRPr="003953BE">
        <w:t xml:space="preserve"> </w:t>
      </w:r>
      <w:r w:rsidRPr="00796C0D">
        <w:rPr>
          <w:color w:val="000000"/>
        </w:rPr>
        <w:t xml:space="preserve">One </w:t>
      </w:r>
      <w:r w:rsidR="001964BD">
        <w:rPr>
          <w:color w:val="000000"/>
        </w:rPr>
        <w:t xml:space="preserve">industry </w:t>
      </w:r>
      <w:r w:rsidRPr="00796C0D">
        <w:rPr>
          <w:color w:val="000000"/>
        </w:rPr>
        <w:t>organisation noted that</w:t>
      </w:r>
      <w:r w:rsidRPr="00796C0D">
        <w:rPr>
          <w:lang w:eastAsia="en-AU"/>
        </w:rPr>
        <w:t xml:space="preserve"> </w:t>
      </w:r>
      <w:r>
        <w:rPr>
          <w:lang w:eastAsia="en-AU"/>
        </w:rPr>
        <w:t xml:space="preserve">each </w:t>
      </w:r>
      <w:r w:rsidRPr="00796C0D">
        <w:rPr>
          <w:lang w:eastAsia="en-AU"/>
        </w:rPr>
        <w:t>change cost</w:t>
      </w:r>
      <w:r>
        <w:rPr>
          <w:lang w:eastAsia="en-AU"/>
        </w:rPr>
        <w:t>s</w:t>
      </w:r>
      <w:r w:rsidRPr="00796C0D">
        <w:rPr>
          <w:lang w:eastAsia="en-AU"/>
        </w:rPr>
        <w:t xml:space="preserve"> $30,000 across the business. </w:t>
      </w:r>
      <w:r w:rsidRPr="00796C0D">
        <w:t>Further analysis indicate</w:t>
      </w:r>
      <w:r>
        <w:t>d</w:t>
      </w:r>
      <w:r w:rsidRPr="00796C0D">
        <w:t xml:space="preserve"> that this equates to $62.50 per outlet for that business</w:t>
      </w:r>
      <w:r>
        <w:t>, which is significantly less than the annual compliance cost of $560 per outlet included in this paper.</w:t>
      </w:r>
      <w:r w:rsidR="004A3148">
        <w:t xml:space="preserve"> </w:t>
      </w:r>
      <w:r w:rsidR="001D296F" w:rsidRPr="002D293B">
        <w:t xml:space="preserve">Australian </w:t>
      </w:r>
      <w:r w:rsidR="001964BD">
        <w:t>public health and consumer organisations</w:t>
      </w:r>
      <w:r w:rsidR="004A3148" w:rsidRPr="002D293B">
        <w:t xml:space="preserve"> </w:t>
      </w:r>
      <w:r w:rsidR="000C1975" w:rsidRPr="002D293B">
        <w:t xml:space="preserve">while not </w:t>
      </w:r>
      <w:r w:rsidR="00C34392" w:rsidRPr="002D293B">
        <w:t>aware of the costs incurred</w:t>
      </w:r>
      <w:r w:rsidR="003301C6" w:rsidRPr="002D293B">
        <w:t xml:space="preserve"> </w:t>
      </w:r>
      <w:r w:rsidR="000A4F4C" w:rsidRPr="002D293B">
        <w:t>by business</w:t>
      </w:r>
      <w:r w:rsidR="001964BD">
        <w:t>,</w:t>
      </w:r>
      <w:r w:rsidR="000A4F4C" w:rsidRPr="002D293B">
        <w:t xml:space="preserve"> </w:t>
      </w:r>
      <w:r w:rsidR="00514EF1" w:rsidRPr="002D293B">
        <w:t xml:space="preserve">were of the view that </w:t>
      </w:r>
      <w:r w:rsidR="001D296F" w:rsidRPr="002D293B">
        <w:t xml:space="preserve">costs </w:t>
      </w:r>
      <w:r w:rsidR="000A4F4C" w:rsidRPr="002D293B">
        <w:t xml:space="preserve">for menu labelling </w:t>
      </w:r>
      <w:r w:rsidR="001D296F" w:rsidRPr="002D293B">
        <w:t>are low</w:t>
      </w:r>
      <w:r w:rsidR="003301C6" w:rsidRPr="002D293B">
        <w:t>, particularly in comparison to cost savings from dietary improvements and reduced diet-related chronic disease</w:t>
      </w:r>
      <w:r w:rsidR="000A4F4C" w:rsidRPr="002D293B">
        <w:t>, and that compliance costs</w:t>
      </w:r>
      <w:r w:rsidR="002D293B" w:rsidRPr="002D293B">
        <w:t xml:space="preserve"> should not be a reason to not display energy information on menus.</w:t>
      </w:r>
    </w:p>
    <w:p w14:paraId="33E28B42" w14:textId="77777777" w:rsidR="00173940" w:rsidRPr="006E3B7E" w:rsidRDefault="00173940" w:rsidP="00BA7F06">
      <w:pPr>
        <w:spacing w:after="40"/>
        <w:jc w:val="both"/>
        <w:rPr>
          <w:lang w:eastAsia="zh-CN" w:bidi="th-TH"/>
        </w:rPr>
      </w:pPr>
    </w:p>
    <w:p w14:paraId="37F0FE09" w14:textId="0341BEAB" w:rsidR="00A53D71" w:rsidRDefault="00BA7F06" w:rsidP="00857058">
      <w:pPr>
        <w:spacing w:after="40"/>
        <w:jc w:val="both"/>
      </w:pPr>
      <w:r>
        <w:t>Business compliance costs for Options 2, 3 and 4 were calculated based on the increase in coverage (compared to the status quo) associated with each option.</w:t>
      </w:r>
      <w:r w:rsidR="00A53D71">
        <w:t xml:space="preserve"> It was assumed that the </w:t>
      </w:r>
      <w:r w:rsidR="00A653A4">
        <w:t>start-up and annual maintenance costs would be the same as for the status quo</w:t>
      </w:r>
      <w:r w:rsidR="003D69B4">
        <w:t xml:space="preserve">. A </w:t>
      </w:r>
      <w:r w:rsidR="002867E2">
        <w:t xml:space="preserve">20 per cent </w:t>
      </w:r>
      <w:r w:rsidR="003D69B4">
        <w:t xml:space="preserve">reduction </w:t>
      </w:r>
      <w:r w:rsidR="002867E2">
        <w:t>(</w:t>
      </w:r>
      <w:r w:rsidR="000457AC">
        <w:t>$120 per outlet</w:t>
      </w:r>
      <w:r w:rsidR="002867E2">
        <w:t>)</w:t>
      </w:r>
      <w:r w:rsidR="000457AC">
        <w:t xml:space="preserve"> in annual compliance costs associated with </w:t>
      </w:r>
      <w:r w:rsidR="006D738F">
        <w:t xml:space="preserve">a single regulatory </w:t>
      </w:r>
      <w:r w:rsidR="00642FD3">
        <w:t xml:space="preserve">mechanism </w:t>
      </w:r>
      <w:r w:rsidR="000457AC">
        <w:t xml:space="preserve">provided by Option 3 </w:t>
      </w:r>
      <w:r w:rsidR="003D69B4">
        <w:t xml:space="preserve">was </w:t>
      </w:r>
      <w:r w:rsidR="00F17A9E">
        <w:t>assumed.</w:t>
      </w:r>
      <w:r w:rsidR="00825E3A">
        <w:t xml:space="preserve"> In 2012, most cross-border businesses indicated that it was more cost-effective to produce menus nationally, rather than produce different menus for each jurisdiction’s requirements.</w:t>
      </w:r>
      <w:r w:rsidR="009256AB">
        <w:rPr>
          <w:rStyle w:val="FootnoteReference"/>
        </w:rPr>
        <w:footnoteReference w:id="89"/>
      </w:r>
      <w:r w:rsidR="00F17A9E">
        <w:t xml:space="preserve"> </w:t>
      </w:r>
      <w:r w:rsidR="00A53D71">
        <w:t xml:space="preserve">Costs for New Zealand outlets </w:t>
      </w:r>
      <w:r w:rsidR="002867E2">
        <w:t>we</w:t>
      </w:r>
      <w:r w:rsidR="00A53D71">
        <w:t xml:space="preserve">re assumed to be the same </w:t>
      </w:r>
      <w:r w:rsidR="004864C8">
        <w:t xml:space="preserve">as for Australia </w:t>
      </w:r>
      <w:r w:rsidR="00A53D71">
        <w:t>but translated into New Zealand prices</w:t>
      </w:r>
      <w:r w:rsidR="0043762A">
        <w:t>.</w:t>
      </w:r>
      <w:r w:rsidR="0043762A">
        <w:rPr>
          <w:rStyle w:val="FootnoteReference"/>
        </w:rPr>
        <w:footnoteReference w:id="90"/>
      </w:r>
      <w:r w:rsidR="00A53D71">
        <w:t xml:space="preserve"> </w:t>
      </w:r>
    </w:p>
    <w:p w14:paraId="5875EC9C" w14:textId="5A14BD17" w:rsidR="00813793" w:rsidRDefault="00813793" w:rsidP="00857058">
      <w:pPr>
        <w:spacing w:after="40"/>
        <w:jc w:val="both"/>
      </w:pPr>
    </w:p>
    <w:p w14:paraId="6BEE6653" w14:textId="34F685DF" w:rsidR="004864C8" w:rsidRDefault="00907317" w:rsidP="004864C8">
      <w:pPr>
        <w:spacing w:after="40"/>
        <w:jc w:val="both"/>
      </w:pPr>
      <w:r w:rsidRPr="00857058">
        <w:rPr>
          <w:lang w:eastAsia="zh-CN" w:bidi="th-TH"/>
        </w:rPr>
        <w:t xml:space="preserve">As </w:t>
      </w:r>
      <w:r w:rsidRPr="00476A2B">
        <w:rPr>
          <w:lang w:eastAsia="zh-CN" w:bidi="th-TH"/>
        </w:rPr>
        <w:t>of June 2020, it was estimated that approximately 75 chain businesses with over 13,750 outlets were implementing or were required to implement menu labelling in Australia.</w:t>
      </w:r>
      <w:r w:rsidR="00CD40EE" w:rsidRPr="00476A2B">
        <w:rPr>
          <w:rStyle w:val="FootnoteReference"/>
          <w:lang w:eastAsia="zh-CN" w:bidi="th-TH"/>
        </w:rPr>
        <w:footnoteReference w:id="91"/>
      </w:r>
      <w:r w:rsidR="00264CF8" w:rsidRPr="00476A2B">
        <w:rPr>
          <w:lang w:eastAsia="zh-CN" w:bidi="th-TH"/>
        </w:rPr>
        <w:t xml:space="preserve"> As</w:t>
      </w:r>
      <w:r w:rsidR="006D5F14" w:rsidRPr="00476A2B">
        <w:rPr>
          <w:lang w:eastAsia="zh-CN" w:bidi="th-TH"/>
        </w:rPr>
        <w:t xml:space="preserve"> many businesses </w:t>
      </w:r>
      <w:r w:rsidR="00CD40EE" w:rsidRPr="00476A2B">
        <w:rPr>
          <w:lang w:eastAsia="zh-CN" w:bidi="th-TH"/>
        </w:rPr>
        <w:t>chose</w:t>
      </w:r>
      <w:r w:rsidR="006D5F14" w:rsidRPr="00476A2B">
        <w:rPr>
          <w:lang w:eastAsia="zh-CN" w:bidi="th-TH"/>
        </w:rPr>
        <w:t xml:space="preserve"> to implement menu labelling in all </w:t>
      </w:r>
      <w:r w:rsidR="005A4084" w:rsidRPr="00476A2B">
        <w:rPr>
          <w:lang w:eastAsia="zh-CN" w:bidi="th-TH"/>
        </w:rPr>
        <w:t>their outlets, even in the absence of a legislated requirement</w:t>
      </w:r>
      <w:r w:rsidR="003B3F0F" w:rsidRPr="00476A2B">
        <w:rPr>
          <w:lang w:eastAsia="zh-CN" w:bidi="th-TH"/>
        </w:rPr>
        <w:t xml:space="preserve"> (Tasmania, Western Australia and Northern Territory)</w:t>
      </w:r>
      <w:r w:rsidR="00835343" w:rsidRPr="00476A2B">
        <w:rPr>
          <w:lang w:eastAsia="zh-CN" w:bidi="th-TH"/>
        </w:rPr>
        <w:t xml:space="preserve">, the estimation of outlet numbers is based on the total number of outlets </w:t>
      </w:r>
      <w:r w:rsidR="00B66C00" w:rsidRPr="00476A2B">
        <w:rPr>
          <w:lang w:eastAsia="zh-CN" w:bidi="th-TH"/>
        </w:rPr>
        <w:t>a business has in Australia.</w:t>
      </w:r>
      <w:r w:rsidR="00EF190A" w:rsidRPr="00476A2B">
        <w:rPr>
          <w:lang w:eastAsia="zh-CN" w:bidi="th-TH"/>
        </w:rPr>
        <w:t xml:space="preserve"> This may be an over-estimation of the number of businesses</w:t>
      </w:r>
      <w:r w:rsidR="00046240" w:rsidRPr="00476A2B">
        <w:rPr>
          <w:lang w:eastAsia="zh-CN" w:bidi="th-TH"/>
        </w:rPr>
        <w:t xml:space="preserve"> currently implementing menu labelling</w:t>
      </w:r>
      <w:r w:rsidR="00142BAA" w:rsidRPr="00476A2B">
        <w:rPr>
          <w:lang w:eastAsia="zh-CN" w:bidi="th-TH"/>
        </w:rPr>
        <w:t>, and therefore, ma</w:t>
      </w:r>
      <w:r w:rsidR="004110D5" w:rsidRPr="00476A2B">
        <w:rPr>
          <w:lang w:eastAsia="zh-CN" w:bidi="th-TH"/>
        </w:rPr>
        <w:t>y contribut</w:t>
      </w:r>
      <w:r w:rsidR="005B3481" w:rsidRPr="00476A2B">
        <w:rPr>
          <w:lang w:eastAsia="zh-CN" w:bidi="th-TH"/>
        </w:rPr>
        <w:t>e</w:t>
      </w:r>
      <w:r w:rsidR="004110D5" w:rsidRPr="00476A2B">
        <w:rPr>
          <w:lang w:eastAsia="zh-CN" w:bidi="th-TH"/>
        </w:rPr>
        <w:t xml:space="preserve"> to an over-estimation </w:t>
      </w:r>
      <w:r w:rsidR="005B3481" w:rsidRPr="00476A2B">
        <w:rPr>
          <w:lang w:eastAsia="zh-CN" w:bidi="th-TH"/>
        </w:rPr>
        <w:t>of the likely benefits of menu labelling</w:t>
      </w:r>
      <w:r w:rsidR="00046240" w:rsidRPr="00476A2B">
        <w:rPr>
          <w:lang w:eastAsia="zh-CN" w:bidi="th-TH"/>
        </w:rPr>
        <w:t>.</w:t>
      </w:r>
      <w:r w:rsidR="00B66C00" w:rsidRPr="00476A2B">
        <w:rPr>
          <w:lang w:eastAsia="zh-CN" w:bidi="th-TH"/>
        </w:rPr>
        <w:t xml:space="preserve"> </w:t>
      </w:r>
      <w:r w:rsidR="00835343" w:rsidRPr="00476A2B">
        <w:rPr>
          <w:lang w:eastAsia="zh-CN" w:bidi="th-TH"/>
        </w:rPr>
        <w:t xml:space="preserve"> </w:t>
      </w:r>
      <w:r w:rsidR="00046240" w:rsidRPr="00476A2B">
        <w:rPr>
          <w:lang w:eastAsia="zh-CN" w:bidi="th-TH"/>
        </w:rPr>
        <w:t>From this baseline, t</w:t>
      </w:r>
      <w:r w:rsidR="004864C8" w:rsidRPr="00476A2B">
        <w:rPr>
          <w:lang w:eastAsia="zh-CN" w:bidi="th-TH"/>
        </w:rPr>
        <w:t>he potential increase in coverage for each option was estimated.</w:t>
      </w:r>
      <w:r w:rsidR="004864C8" w:rsidRPr="00476A2B">
        <w:t xml:space="preserve"> The assumptions underpinning these estimations are described in Table 3 below.</w:t>
      </w:r>
    </w:p>
    <w:p w14:paraId="4F3B5247" w14:textId="77777777" w:rsidR="00CD40EE" w:rsidRDefault="00CD40EE" w:rsidP="004864C8">
      <w:pPr>
        <w:spacing w:after="40"/>
        <w:jc w:val="both"/>
      </w:pPr>
    </w:p>
    <w:p w14:paraId="488645E9" w14:textId="07535BF8" w:rsidR="000E062B" w:rsidRDefault="000E062B" w:rsidP="000E062B">
      <w:pPr>
        <w:spacing w:after="40"/>
        <w:jc w:val="both"/>
      </w:pPr>
      <w:r w:rsidRPr="00411AF8">
        <w:t xml:space="preserve">Table </w:t>
      </w:r>
      <w:r w:rsidR="00471983">
        <w:t>3</w:t>
      </w:r>
      <w:r w:rsidRPr="00411AF8">
        <w:t xml:space="preserve">: </w:t>
      </w:r>
      <w:r w:rsidR="000F51DD" w:rsidRPr="00411AF8">
        <w:t>Assumptions underpinning increased coverage under each option</w:t>
      </w:r>
    </w:p>
    <w:p w14:paraId="23FBF99C" w14:textId="77777777" w:rsidR="00E15858" w:rsidRPr="00411AF8" w:rsidRDefault="00E15858" w:rsidP="000E062B">
      <w:pPr>
        <w:spacing w:after="40"/>
        <w:jc w:val="both"/>
      </w:pPr>
    </w:p>
    <w:tbl>
      <w:tblPr>
        <w:tblStyle w:val="PlainTable3"/>
        <w:tblW w:w="0" w:type="auto"/>
        <w:tblLook w:val="04A0" w:firstRow="1" w:lastRow="0" w:firstColumn="1" w:lastColumn="0" w:noHBand="0" w:noVBand="1"/>
      </w:tblPr>
      <w:tblGrid>
        <w:gridCol w:w="1134"/>
        <w:gridCol w:w="7920"/>
      </w:tblGrid>
      <w:tr w:rsidR="008B7F77" w:rsidRPr="00411AF8" w14:paraId="5047ABD0" w14:textId="77777777" w:rsidTr="008B7F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34" w:type="dxa"/>
          </w:tcPr>
          <w:p w14:paraId="796AEB53" w14:textId="18834CD0" w:rsidR="008B7F77" w:rsidRPr="00411AF8" w:rsidRDefault="008B7F77" w:rsidP="00E15858">
            <w:pPr>
              <w:spacing w:after="40"/>
            </w:pPr>
            <w:r w:rsidRPr="00411AF8">
              <w:rPr>
                <w:caps w:val="0"/>
              </w:rPr>
              <w:t>Option</w:t>
            </w:r>
          </w:p>
        </w:tc>
        <w:tc>
          <w:tcPr>
            <w:tcW w:w="7920" w:type="dxa"/>
          </w:tcPr>
          <w:p w14:paraId="15D2BA74" w14:textId="6AB88C3C" w:rsidR="008B7F77" w:rsidRPr="00411AF8" w:rsidRDefault="008B7F77" w:rsidP="00E15858">
            <w:pPr>
              <w:spacing w:after="40"/>
              <w:cnfStyle w:val="100000000000" w:firstRow="1" w:lastRow="0" w:firstColumn="0" w:lastColumn="0" w:oddVBand="0" w:evenVBand="0" w:oddHBand="0" w:evenHBand="0" w:firstRowFirstColumn="0" w:firstRowLastColumn="0" w:lastRowFirstColumn="0" w:lastRowLastColumn="0"/>
            </w:pPr>
            <w:r w:rsidRPr="00411AF8">
              <w:rPr>
                <w:caps w:val="0"/>
              </w:rPr>
              <w:t>Assumptions Underpinning Analysis</w:t>
            </w:r>
            <w:r w:rsidR="00CB26AE" w:rsidRPr="00411AF8">
              <w:rPr>
                <w:caps w:val="0"/>
              </w:rPr>
              <w:t xml:space="preserve"> of Outlet numbers</w:t>
            </w:r>
          </w:p>
        </w:tc>
      </w:tr>
      <w:tr w:rsidR="008B7F77" w:rsidRPr="00411AF8" w14:paraId="14F88310" w14:textId="77777777" w:rsidTr="008B7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689722D3" w14:textId="79380108" w:rsidR="008B7F77" w:rsidRPr="00411AF8" w:rsidRDefault="008B7F77" w:rsidP="00E15858">
            <w:pPr>
              <w:pStyle w:val="NormalWeb"/>
              <w:spacing w:before="0" w:beforeAutospacing="0" w:after="40" w:afterAutospacing="0"/>
              <w:rPr>
                <w:rFonts w:eastAsia="+mn-ea"/>
                <w:color w:val="000000"/>
                <w:lang w:eastAsia="en-AU"/>
              </w:rPr>
            </w:pPr>
            <w:r w:rsidRPr="00411AF8">
              <w:rPr>
                <w:rFonts w:eastAsia="+mn-ea"/>
                <w:caps w:val="0"/>
                <w:color w:val="000000"/>
              </w:rPr>
              <w:t>Option 2</w:t>
            </w:r>
          </w:p>
          <w:p w14:paraId="091FF7CF" w14:textId="77777777" w:rsidR="008B7F77" w:rsidRPr="00411AF8" w:rsidRDefault="008B7F77" w:rsidP="00E15858">
            <w:pPr>
              <w:spacing w:after="40"/>
            </w:pPr>
          </w:p>
        </w:tc>
        <w:tc>
          <w:tcPr>
            <w:tcW w:w="7920" w:type="dxa"/>
          </w:tcPr>
          <w:p w14:paraId="2A727D0B" w14:textId="6E28A738" w:rsidR="008B7F77" w:rsidRPr="00411AF8" w:rsidRDefault="00FE034A" w:rsidP="00E15858">
            <w:pPr>
              <w:pStyle w:val="ListParagraph"/>
              <w:numPr>
                <w:ilvl w:val="0"/>
                <w:numId w:val="45"/>
              </w:numPr>
              <w:spacing w:after="40"/>
              <w:cnfStyle w:val="000000100000" w:firstRow="0" w:lastRow="0" w:firstColumn="0" w:lastColumn="0" w:oddVBand="0" w:evenVBand="0" w:oddHBand="1" w:evenHBand="0" w:firstRowFirstColumn="0" w:firstRowLastColumn="0" w:lastRowFirstColumn="0" w:lastRowLastColumn="0"/>
              <w:rPr>
                <w:rFonts w:eastAsia="Calibri"/>
              </w:rPr>
            </w:pPr>
            <w:r w:rsidRPr="00411AF8">
              <w:t xml:space="preserve">There will be a </w:t>
            </w:r>
            <w:r w:rsidR="007A6A2C" w:rsidRPr="00411AF8">
              <w:t>widening and conformity in coverage in jurisdictions that already enforce menu labelling regulations</w:t>
            </w:r>
            <w:r w:rsidRPr="00411AF8">
              <w:t>.</w:t>
            </w:r>
            <w:r w:rsidR="006156A7" w:rsidRPr="00411AF8">
              <w:t xml:space="preserve"> It is assumed that all jurisdictions with menu labelling regulation will update their regulation to align with the amended Principles. However, it is noted that there has not been a commitment from any jurisdiction at this time.</w:t>
            </w:r>
          </w:p>
          <w:p w14:paraId="28A3F672" w14:textId="4E9D2C6A" w:rsidR="009E4803" w:rsidRPr="00411AF8" w:rsidRDefault="009E4803" w:rsidP="00E15858">
            <w:pPr>
              <w:pStyle w:val="ListParagraph"/>
              <w:numPr>
                <w:ilvl w:val="0"/>
                <w:numId w:val="45"/>
              </w:numPr>
              <w:spacing w:after="40"/>
              <w:cnfStyle w:val="000000100000" w:firstRow="0" w:lastRow="0" w:firstColumn="0" w:lastColumn="0" w:oddVBand="0" w:evenVBand="0" w:oddHBand="1" w:evenHBand="0" w:firstRowFirstColumn="0" w:firstRowLastColumn="0" w:lastRowFirstColumn="0" w:lastRowLastColumn="0"/>
            </w:pPr>
            <w:r w:rsidRPr="00411AF8">
              <w:t>It is assumed that the coverage of menu labelling in the Australian Capital Territory is already consistent with Option 2, so no further expansion in coverage is expected.</w:t>
            </w:r>
          </w:p>
          <w:p w14:paraId="2543175E" w14:textId="27BE0B8E" w:rsidR="00A740B2" w:rsidRPr="00411AF8" w:rsidRDefault="006D3C32" w:rsidP="00E15858">
            <w:pPr>
              <w:pStyle w:val="ListParagraph"/>
              <w:numPr>
                <w:ilvl w:val="0"/>
                <w:numId w:val="45"/>
              </w:numPr>
              <w:spacing w:after="40"/>
              <w:cnfStyle w:val="000000100000" w:firstRow="0" w:lastRow="0" w:firstColumn="0" w:lastColumn="0" w:oddVBand="0" w:evenVBand="0" w:oddHBand="1" w:evenHBand="0" w:firstRowFirstColumn="0" w:firstRowLastColumn="0" w:lastRowFirstColumn="0" w:lastRowLastColumn="0"/>
            </w:pPr>
            <w:r w:rsidRPr="00411AF8">
              <w:t xml:space="preserve">No introduction of menu labelling by Western Australia, Tasmania, Northern Territory or New Zealand, </w:t>
            </w:r>
            <w:r w:rsidR="00A740B2" w:rsidRPr="00411AF8">
              <w:t>based on not introducing menu labelling legislation</w:t>
            </w:r>
            <w:r w:rsidR="00AE22BE" w:rsidRPr="00411AF8">
              <w:t xml:space="preserve"> since 2011 Principles. </w:t>
            </w:r>
          </w:p>
          <w:p w14:paraId="24A2CF54" w14:textId="59F3C086" w:rsidR="008B7F77" w:rsidRPr="00411AF8" w:rsidRDefault="00FE034A" w:rsidP="00E15858">
            <w:pPr>
              <w:pStyle w:val="ListParagraph"/>
              <w:numPr>
                <w:ilvl w:val="0"/>
                <w:numId w:val="45"/>
              </w:numPr>
              <w:spacing w:after="40"/>
              <w:cnfStyle w:val="000000100000" w:firstRow="0" w:lastRow="0" w:firstColumn="0" w:lastColumn="0" w:oddVBand="0" w:evenVBand="0" w:oddHBand="1" w:evenHBand="0" w:firstRowFirstColumn="0" w:firstRowLastColumn="0" w:lastRowFirstColumn="0" w:lastRowLastColumn="0"/>
            </w:pPr>
            <w:r w:rsidRPr="00411AF8">
              <w:t>There will be limited</w:t>
            </w:r>
            <w:r w:rsidR="00362CA7" w:rsidRPr="00411AF8">
              <w:t xml:space="preserve"> (10%)</w:t>
            </w:r>
            <w:r w:rsidRPr="00411AF8">
              <w:t>, voluntary-type expansion of coverage in jurisdictions that do not introduce menu labelling regulations, based on the assumption that national businesses roll out menu labelling across all standard food outlets</w:t>
            </w:r>
            <w:r w:rsidR="00BB2DB4" w:rsidRPr="00411AF8">
              <w:t>.</w:t>
            </w:r>
          </w:p>
        </w:tc>
      </w:tr>
      <w:tr w:rsidR="008B7F77" w:rsidRPr="00476A2B" w14:paraId="672C698F" w14:textId="77777777" w:rsidTr="008B7F77">
        <w:tc>
          <w:tcPr>
            <w:cnfStyle w:val="001000000000" w:firstRow="0" w:lastRow="0" w:firstColumn="1" w:lastColumn="0" w:oddVBand="0" w:evenVBand="0" w:oddHBand="0" w:evenHBand="0" w:firstRowFirstColumn="0" w:firstRowLastColumn="0" w:lastRowFirstColumn="0" w:lastRowLastColumn="0"/>
            <w:tcW w:w="1134" w:type="dxa"/>
          </w:tcPr>
          <w:p w14:paraId="1CC8C379" w14:textId="139FAF55" w:rsidR="004B7A05" w:rsidRPr="00476A2B" w:rsidRDefault="008B7F77" w:rsidP="00E15858">
            <w:pPr>
              <w:spacing w:after="40"/>
              <w:rPr>
                <w:rFonts w:eastAsia="Calibri"/>
              </w:rPr>
            </w:pPr>
            <w:r w:rsidRPr="00476A2B">
              <w:rPr>
                <w:rFonts w:eastAsia="Calibri"/>
                <w:caps w:val="0"/>
              </w:rPr>
              <w:t>Option 3</w:t>
            </w:r>
          </w:p>
          <w:p w14:paraId="5CFFB772" w14:textId="77777777" w:rsidR="008B7F77" w:rsidRPr="00476A2B" w:rsidRDefault="008B7F77" w:rsidP="00E15858">
            <w:pPr>
              <w:spacing w:after="40"/>
            </w:pPr>
          </w:p>
        </w:tc>
        <w:tc>
          <w:tcPr>
            <w:tcW w:w="7920" w:type="dxa"/>
          </w:tcPr>
          <w:p w14:paraId="18C1B616" w14:textId="2E0791E4" w:rsidR="00681847" w:rsidRPr="00476A2B" w:rsidRDefault="00681847" w:rsidP="00E15858">
            <w:pPr>
              <w:pStyle w:val="ListParagraph"/>
              <w:numPr>
                <w:ilvl w:val="0"/>
                <w:numId w:val="46"/>
              </w:numPr>
              <w:spacing w:after="40"/>
              <w:cnfStyle w:val="000000000000" w:firstRow="0" w:lastRow="0" w:firstColumn="0" w:lastColumn="0" w:oddVBand="0" w:evenVBand="0" w:oddHBand="0" w:evenHBand="0" w:firstRowFirstColumn="0" w:firstRowLastColumn="0" w:lastRowFirstColumn="0" w:lastRowLastColumn="0"/>
              <w:rPr>
                <w:rFonts w:eastAsia="Calibri"/>
              </w:rPr>
            </w:pPr>
            <w:r w:rsidRPr="00476A2B">
              <w:t>There will be a widening and conformity in coverage in jurisdictions that already enforce menu labelling regulations</w:t>
            </w:r>
            <w:r w:rsidR="00C53331" w:rsidRPr="00476A2B">
              <w:t>, as per Option 2</w:t>
            </w:r>
            <w:r w:rsidRPr="00476A2B">
              <w:t>.</w:t>
            </w:r>
          </w:p>
          <w:p w14:paraId="3D80814F" w14:textId="7EBDC070" w:rsidR="009E4803" w:rsidRPr="00476A2B" w:rsidRDefault="009E4803" w:rsidP="00E15858">
            <w:pPr>
              <w:pStyle w:val="ListParagraph"/>
              <w:numPr>
                <w:ilvl w:val="0"/>
                <w:numId w:val="46"/>
              </w:numPr>
              <w:spacing w:after="40"/>
              <w:cnfStyle w:val="000000000000" w:firstRow="0" w:lastRow="0" w:firstColumn="0" w:lastColumn="0" w:oddVBand="0" w:evenVBand="0" w:oddHBand="0" w:evenHBand="0" w:firstRowFirstColumn="0" w:firstRowLastColumn="0" w:lastRowFirstColumn="0" w:lastRowLastColumn="0"/>
            </w:pPr>
            <w:r w:rsidRPr="00476A2B">
              <w:t>It is assumed that the coverage of menu labelling in the Australian Capital Territory is already consistent with Option 3, so no further expansion in coverage is expected.</w:t>
            </w:r>
          </w:p>
          <w:p w14:paraId="592D7CFC" w14:textId="06AEDAC0" w:rsidR="008B7F77" w:rsidRPr="00476A2B" w:rsidRDefault="00681847" w:rsidP="00E15858">
            <w:pPr>
              <w:pStyle w:val="ListParagraph"/>
              <w:numPr>
                <w:ilvl w:val="0"/>
                <w:numId w:val="46"/>
              </w:numPr>
              <w:spacing w:after="40"/>
              <w:cnfStyle w:val="000000000000" w:firstRow="0" w:lastRow="0" w:firstColumn="0" w:lastColumn="0" w:oddVBand="0" w:evenVBand="0" w:oddHBand="0" w:evenHBand="0" w:firstRowFirstColumn="0" w:firstRowLastColumn="0" w:lastRowFirstColumn="0" w:lastRowLastColumn="0"/>
            </w:pPr>
            <w:r w:rsidRPr="00476A2B">
              <w:t>There will be an increase to similar levels of coverage in the jurisdictions that have not already introduced menu labelling regulations.</w:t>
            </w:r>
            <w:r w:rsidR="00126245" w:rsidRPr="00476A2B">
              <w:t xml:space="preserve"> </w:t>
            </w:r>
            <w:r w:rsidR="005F5126" w:rsidRPr="00476A2B">
              <w:t xml:space="preserve">Increase in coverage </w:t>
            </w:r>
            <w:r w:rsidR="005F21D9" w:rsidRPr="00476A2B">
              <w:t xml:space="preserve">in these </w:t>
            </w:r>
            <w:r w:rsidR="00790C64" w:rsidRPr="00476A2B">
              <w:t xml:space="preserve">jurisdictions </w:t>
            </w:r>
            <w:r w:rsidR="000B2E62" w:rsidRPr="00476A2B">
              <w:t xml:space="preserve">is estimated by </w:t>
            </w:r>
            <w:r w:rsidR="005F5126" w:rsidRPr="00476A2B">
              <w:t>applying the proportion</w:t>
            </w:r>
            <w:r w:rsidR="004207DC" w:rsidRPr="00476A2B">
              <w:t xml:space="preserve"> of coverage expected under Option 2 for </w:t>
            </w:r>
            <w:r w:rsidR="00163785" w:rsidRPr="00476A2B">
              <w:t>jurisdictions with regulation to industry business count data</w:t>
            </w:r>
            <w:r w:rsidR="000252A8" w:rsidRPr="00476A2B">
              <w:t>.</w:t>
            </w:r>
          </w:p>
          <w:p w14:paraId="1E315F94" w14:textId="34D569B6" w:rsidR="008B7F77" w:rsidRPr="00476A2B" w:rsidRDefault="006B7CB4" w:rsidP="00E15858">
            <w:pPr>
              <w:pStyle w:val="ListParagraph"/>
              <w:numPr>
                <w:ilvl w:val="0"/>
                <w:numId w:val="46"/>
              </w:numPr>
              <w:spacing w:after="40"/>
              <w:cnfStyle w:val="000000000000" w:firstRow="0" w:lastRow="0" w:firstColumn="0" w:lastColumn="0" w:oddVBand="0" w:evenVBand="0" w:oddHBand="0" w:evenHBand="0" w:firstRowFirstColumn="0" w:firstRowLastColumn="0" w:lastRowFirstColumn="0" w:lastRowLastColumn="0"/>
            </w:pPr>
            <w:r w:rsidRPr="00476A2B">
              <w:t>T</w:t>
            </w:r>
            <w:r w:rsidR="00BA5DD2" w:rsidRPr="00476A2B">
              <w:t xml:space="preserve">he proportion of outlets qualifying for menu labelling under Option 3 will be equivalent in all jurisdictions. There is a risk that this </w:t>
            </w:r>
            <w:r w:rsidR="00074E4D" w:rsidRPr="00476A2B">
              <w:t>assumption</w:t>
            </w:r>
            <w:r w:rsidR="00BA5DD2" w:rsidRPr="00476A2B">
              <w:t xml:space="preserve"> might overstate the impact of Option 3, as the proportion of qualifying outlets might be smaller in lower population jurisdictions. </w:t>
            </w:r>
          </w:p>
        </w:tc>
      </w:tr>
      <w:tr w:rsidR="008B7F77" w:rsidRPr="00411AF8" w14:paraId="6F983D01" w14:textId="77777777" w:rsidTr="008B7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2DDA8704" w14:textId="6BF570F2" w:rsidR="004B7A05" w:rsidRPr="00476A2B" w:rsidRDefault="008B7F77" w:rsidP="00E15858">
            <w:pPr>
              <w:spacing w:after="40"/>
              <w:rPr>
                <w:rFonts w:eastAsia="Calibri"/>
              </w:rPr>
            </w:pPr>
            <w:r w:rsidRPr="00476A2B">
              <w:rPr>
                <w:rFonts w:eastAsia="Calibri"/>
                <w:caps w:val="0"/>
              </w:rPr>
              <w:t>Option 4</w:t>
            </w:r>
          </w:p>
          <w:p w14:paraId="337A65CB" w14:textId="77777777" w:rsidR="008B7F77" w:rsidRPr="00476A2B" w:rsidRDefault="008B7F77" w:rsidP="00E15858">
            <w:pPr>
              <w:spacing w:after="40"/>
            </w:pPr>
          </w:p>
        </w:tc>
        <w:tc>
          <w:tcPr>
            <w:tcW w:w="7920" w:type="dxa"/>
          </w:tcPr>
          <w:p w14:paraId="7CEBFEEB" w14:textId="15DD3DB4" w:rsidR="008B7F77" w:rsidRPr="00476A2B" w:rsidRDefault="00114E9C" w:rsidP="00E15858">
            <w:pPr>
              <w:pStyle w:val="ListParagraph"/>
              <w:numPr>
                <w:ilvl w:val="0"/>
                <w:numId w:val="46"/>
              </w:numPr>
              <w:spacing w:after="40"/>
              <w:cnfStyle w:val="000000100000" w:firstRow="0" w:lastRow="0" w:firstColumn="0" w:lastColumn="0" w:oddVBand="0" w:evenVBand="0" w:oddHBand="1" w:evenHBand="0" w:firstRowFirstColumn="0" w:firstRowLastColumn="0" w:lastRowFirstColumn="0" w:lastRowLastColumn="0"/>
            </w:pPr>
            <w:r w:rsidRPr="00476A2B">
              <w:t xml:space="preserve">The coverage of </w:t>
            </w:r>
            <w:r w:rsidR="00CD40EE" w:rsidRPr="00476A2B">
              <w:t xml:space="preserve">voluntary </w:t>
            </w:r>
            <w:r w:rsidRPr="00476A2B">
              <w:t>menu labelling will expand relative to the status quo by a factor equivalent to 10% of what is expected in Option 3.</w:t>
            </w:r>
            <w:r w:rsidR="0063367F" w:rsidRPr="00476A2B">
              <w:t xml:space="preserve"> Sensitivity analysis </w:t>
            </w:r>
            <w:r w:rsidR="002C0946" w:rsidRPr="00476A2B">
              <w:t xml:space="preserve">also </w:t>
            </w:r>
            <w:r w:rsidR="0063367F" w:rsidRPr="00476A2B">
              <w:t>considered 5%</w:t>
            </w:r>
            <w:r w:rsidR="002C0946" w:rsidRPr="00476A2B">
              <w:t xml:space="preserve"> and 20%.</w:t>
            </w:r>
          </w:p>
          <w:p w14:paraId="6F92D8E8" w14:textId="479011B8" w:rsidR="00D30605" w:rsidRPr="00476A2B" w:rsidRDefault="00114E9C" w:rsidP="00E15858">
            <w:pPr>
              <w:pStyle w:val="ListParagraph"/>
              <w:numPr>
                <w:ilvl w:val="0"/>
                <w:numId w:val="46"/>
              </w:numPr>
              <w:spacing w:after="40"/>
              <w:cnfStyle w:val="000000100000" w:firstRow="0" w:lastRow="0" w:firstColumn="0" w:lastColumn="0" w:oddVBand="0" w:evenVBand="0" w:oddHBand="1" w:evenHBand="0" w:firstRowFirstColumn="0" w:firstRowLastColumn="0" w:lastRowFirstColumn="0" w:lastRowLastColumn="0"/>
            </w:pPr>
            <w:r w:rsidRPr="00476A2B">
              <w:t>Consumer education</w:t>
            </w:r>
            <w:r w:rsidR="00725F21" w:rsidRPr="00476A2B">
              <w:t xml:space="preserve"> will raise </w:t>
            </w:r>
            <w:r w:rsidR="00310DD4" w:rsidRPr="00476A2B">
              <w:t xml:space="preserve">awareness of </w:t>
            </w:r>
            <w:r w:rsidR="00725F21" w:rsidRPr="00476A2B">
              <w:t xml:space="preserve">menu labelling </w:t>
            </w:r>
            <w:r w:rsidR="0094604E" w:rsidRPr="00476A2B">
              <w:t xml:space="preserve">and may induce </w:t>
            </w:r>
            <w:r w:rsidR="00A34947" w:rsidRPr="00476A2B">
              <w:t>some businesses to introduce menu labelling</w:t>
            </w:r>
          </w:p>
        </w:tc>
      </w:tr>
    </w:tbl>
    <w:p w14:paraId="2F921F50" w14:textId="67B1598E" w:rsidR="00990FB2" w:rsidRDefault="00990FB2" w:rsidP="00622BE6">
      <w:pPr>
        <w:spacing w:after="40"/>
        <w:jc w:val="both"/>
      </w:pPr>
    </w:p>
    <w:p w14:paraId="6F7CA469" w14:textId="4525724F" w:rsidR="000C3AA4" w:rsidRPr="00476A2B" w:rsidRDefault="000C3AA4" w:rsidP="000C3AA4">
      <w:pPr>
        <w:spacing w:after="40"/>
        <w:jc w:val="both"/>
      </w:pPr>
      <w:r w:rsidRPr="000F4651">
        <w:t xml:space="preserve">Under Option 2, the potential increase in outlets captured by menu labelling regulations is 4,910, </w:t>
      </w:r>
      <w:r w:rsidRPr="00476A2B">
        <w:t>with 2,060 in New South Wales, 1,000 in Victoria, 1,380 in Queensland and 470 in South Australia. The expansion of menu labelling in these jurisdictions is expected to be in convenience stores</w:t>
      </w:r>
      <w:r w:rsidR="00C343BC" w:rsidRPr="00476A2B">
        <w:t xml:space="preserve">, </w:t>
      </w:r>
      <w:r w:rsidR="00BD692D" w:rsidRPr="00476A2B">
        <w:t>fuel retailers</w:t>
      </w:r>
      <w:r w:rsidR="00C343BC" w:rsidRPr="00476A2B">
        <w:t xml:space="preserve"> and dine-in restaurants</w:t>
      </w:r>
      <w:r w:rsidRPr="00476A2B">
        <w:t xml:space="preserve">, </w:t>
      </w:r>
      <w:r w:rsidR="006441CE" w:rsidRPr="00476A2B">
        <w:t xml:space="preserve">as well as supermarkets in South Australia, </w:t>
      </w:r>
      <w:r w:rsidRPr="00476A2B">
        <w:t xml:space="preserve">which are either specifically exempt from or not intended to be captured by </w:t>
      </w:r>
      <w:r w:rsidR="00C343BC" w:rsidRPr="00476A2B">
        <w:t xml:space="preserve">one of more of the </w:t>
      </w:r>
      <w:r w:rsidRPr="00476A2B">
        <w:t xml:space="preserve">existing menu labelling regulations. </w:t>
      </w:r>
      <w:r w:rsidR="00C343BC" w:rsidRPr="00476A2B">
        <w:t xml:space="preserve">These numbers could be an over-estimation as not all businesses may sell standard food </w:t>
      </w:r>
      <w:r w:rsidR="003168A6" w:rsidRPr="00476A2B">
        <w:t>items,</w:t>
      </w:r>
      <w:r w:rsidR="00C343BC" w:rsidRPr="00476A2B">
        <w:t xml:space="preserve"> or some businesses may choose to not sell standard food items in the future. </w:t>
      </w:r>
    </w:p>
    <w:p w14:paraId="1BBC3766" w14:textId="77777777" w:rsidR="000C3AA4" w:rsidRPr="00476A2B" w:rsidRDefault="000C3AA4" w:rsidP="000C3AA4">
      <w:pPr>
        <w:spacing w:after="40"/>
        <w:jc w:val="both"/>
      </w:pPr>
    </w:p>
    <w:p w14:paraId="61D659E7" w14:textId="702F3A04" w:rsidR="000C3AA4" w:rsidRPr="00476A2B" w:rsidRDefault="000C3AA4" w:rsidP="000C3AA4">
      <w:pPr>
        <w:spacing w:after="40"/>
        <w:jc w:val="both"/>
      </w:pPr>
      <w:r w:rsidRPr="00476A2B">
        <w:t xml:space="preserve">In addition to the increase in outlets under Option 2, a further 2,550 Australian outlets (1,840 in Western Australia, 480 in Tasmania and 230 in Northern Territory) and 3,050 New Zealand </w:t>
      </w:r>
      <w:r w:rsidRPr="00476A2B">
        <w:lastRenderedPageBreak/>
        <w:t xml:space="preserve">outlets may be captured under Option 3 (10,510 outlets in total). </w:t>
      </w:r>
      <w:r w:rsidR="00B5343D" w:rsidRPr="00476A2B">
        <w:t>These estimations include</w:t>
      </w:r>
      <w:r w:rsidR="00C02061" w:rsidRPr="00476A2B">
        <w:t xml:space="preserve"> </w:t>
      </w:r>
      <w:r w:rsidR="00E577FD" w:rsidRPr="00476A2B">
        <w:t xml:space="preserve">quick service </w:t>
      </w:r>
      <w:r w:rsidR="00540D10" w:rsidRPr="00476A2B">
        <w:t xml:space="preserve">and dine-in </w:t>
      </w:r>
      <w:r w:rsidR="00E577FD" w:rsidRPr="00476A2B">
        <w:t>restaurants, cafes, supermarkets</w:t>
      </w:r>
      <w:r w:rsidR="00C02061" w:rsidRPr="00476A2B">
        <w:t xml:space="preserve">, convenience stores, </w:t>
      </w:r>
      <w:r w:rsidR="00E577FD" w:rsidRPr="00476A2B">
        <w:t xml:space="preserve">and </w:t>
      </w:r>
      <w:r w:rsidR="00C02061" w:rsidRPr="00476A2B">
        <w:t>ser</w:t>
      </w:r>
      <w:r w:rsidR="00E577FD" w:rsidRPr="00476A2B">
        <w:t xml:space="preserve">vice stations. </w:t>
      </w:r>
      <w:r w:rsidR="004710F5" w:rsidRPr="00476A2B">
        <w:t>It is important to note that these estimations are ba</w:t>
      </w:r>
      <w:r w:rsidR="000A75B4" w:rsidRPr="00476A2B">
        <w:t xml:space="preserve">sed on what businesses would be required to implement menu labelling, and do not take into consideration the </w:t>
      </w:r>
      <w:r w:rsidR="00D442B9" w:rsidRPr="00476A2B">
        <w:t xml:space="preserve">number of </w:t>
      </w:r>
      <w:r w:rsidR="000A75B4" w:rsidRPr="00476A2B">
        <w:t xml:space="preserve">businesses </w:t>
      </w:r>
      <w:r w:rsidR="00300005" w:rsidRPr="00476A2B">
        <w:t>which have rolled out menu labelling nationally</w:t>
      </w:r>
      <w:r w:rsidR="00C343BC" w:rsidRPr="00476A2B">
        <w:t xml:space="preserve"> in Australia</w:t>
      </w:r>
      <w:r w:rsidR="00300005" w:rsidRPr="00476A2B">
        <w:t xml:space="preserve"> </w:t>
      </w:r>
      <w:r w:rsidR="00B527A1" w:rsidRPr="00476A2B">
        <w:t>because of</w:t>
      </w:r>
      <w:r w:rsidR="00300005" w:rsidRPr="00476A2B">
        <w:t xml:space="preserve"> legislation in other jurisdictions.</w:t>
      </w:r>
      <w:r w:rsidR="00D442B9" w:rsidRPr="00476A2B">
        <w:t xml:space="preserve"> Therefore, the expected </w:t>
      </w:r>
      <w:r w:rsidR="00BE4DF5" w:rsidRPr="00476A2B">
        <w:t>number of businesses which would need to introduce menu labelling for the first time, is anticipated to be lower.</w:t>
      </w:r>
    </w:p>
    <w:p w14:paraId="499AE9F6" w14:textId="77777777" w:rsidR="00300005" w:rsidRPr="00476A2B" w:rsidRDefault="00300005" w:rsidP="000C3AA4">
      <w:pPr>
        <w:spacing w:after="40"/>
        <w:jc w:val="both"/>
      </w:pPr>
    </w:p>
    <w:p w14:paraId="7743D598" w14:textId="1F6635B2" w:rsidR="000C3AA4" w:rsidRDefault="000C3AA4" w:rsidP="000C3AA4">
      <w:pPr>
        <w:spacing w:after="40"/>
        <w:jc w:val="both"/>
      </w:pPr>
      <w:r w:rsidRPr="00476A2B">
        <w:t>The number of businesses voluntarily implementing menu labelling in Australia and New Zealand as of June 2020 was not known.</w:t>
      </w:r>
      <w:r w:rsidR="00C343BC" w:rsidRPr="00476A2B">
        <w:t xml:space="preserve"> Responses to the 2021 consultation did not provide data to clarify this situation.</w:t>
      </w:r>
      <w:r w:rsidRPr="00476A2B">
        <w:t xml:space="preserve"> The numbers above for Option 2 and 3 do not include the potential for voluntary expansions in menu labelling. While account is made for potential benefits resulting from increases in customers’ exposure</w:t>
      </w:r>
      <w:r>
        <w:t xml:space="preserve"> to voluntary increases in menu labelling, it is presumed, that any voluntary actions do not bear any compliance costs.</w:t>
      </w:r>
      <w:r>
        <w:rPr>
          <w:rStyle w:val="FootnoteReference"/>
        </w:rPr>
        <w:footnoteReference w:id="92"/>
      </w:r>
      <w:r>
        <w:t xml:space="preserve"> This does not mean that the voluntary introduction of menu labelling is costless, but that their voluntary basis means that these costs should not be included as compliance costs. </w:t>
      </w:r>
    </w:p>
    <w:p w14:paraId="006630E4" w14:textId="77777777" w:rsidR="000C3AA4" w:rsidRDefault="000C3AA4" w:rsidP="000C3AA4">
      <w:pPr>
        <w:spacing w:after="40"/>
        <w:jc w:val="both"/>
      </w:pPr>
    </w:p>
    <w:p w14:paraId="6B6E5A4A" w14:textId="7E03188F" w:rsidR="000C3AA4" w:rsidRDefault="000C3AA4" w:rsidP="000C3AA4">
      <w:pPr>
        <w:spacing w:after="40"/>
        <w:jc w:val="both"/>
        <w:rPr>
          <w:lang w:eastAsia="zh-CN" w:bidi="th-TH"/>
        </w:rPr>
      </w:pPr>
      <w:r w:rsidRPr="00E67A4C">
        <w:rPr>
          <w:lang w:eastAsia="zh-CN" w:bidi="th-TH"/>
        </w:rPr>
        <w:t xml:space="preserve">As the food industry is a dynamic one and subject to changing consumer demands and economic climate, the number of businesses and outlets that may be required to implement menu labelling would be expected to change over time. </w:t>
      </w:r>
      <w:r w:rsidRPr="00C5266B">
        <w:rPr>
          <w:lang w:eastAsia="zh-CN" w:bidi="th-TH"/>
        </w:rPr>
        <w:t>Additionally, the long-term impact of the COVID-19 pandemic on business remains unknown. There could be a considerable reduction in the size of the overall industry, and the size of individual businesses.</w:t>
      </w:r>
      <w:r>
        <w:rPr>
          <w:lang w:eastAsia="zh-CN" w:bidi="th-TH"/>
        </w:rPr>
        <w:t xml:space="preserve"> However, for the purposes of this paper, compliance costs were based on the outlet numbers described above. The compliance costs are described in Table 4.</w:t>
      </w:r>
    </w:p>
    <w:p w14:paraId="57D2264D" w14:textId="341437A8" w:rsidR="00B32497" w:rsidRDefault="00B32497" w:rsidP="000C3AA4">
      <w:pPr>
        <w:spacing w:after="40"/>
        <w:jc w:val="both"/>
        <w:rPr>
          <w:lang w:eastAsia="zh-CN" w:bidi="th-TH"/>
        </w:rPr>
      </w:pPr>
    </w:p>
    <w:p w14:paraId="7925E68E" w14:textId="77777777" w:rsidR="00C343BC" w:rsidRDefault="00C343BC">
      <w:r>
        <w:br w:type="page"/>
      </w:r>
    </w:p>
    <w:p w14:paraId="61270BA6" w14:textId="6F80EA0A" w:rsidR="00622BE6" w:rsidRDefault="00622BE6" w:rsidP="00622BE6">
      <w:pPr>
        <w:spacing w:after="40"/>
        <w:jc w:val="both"/>
      </w:pPr>
      <w:r w:rsidRPr="006E3B7E">
        <w:lastRenderedPageBreak/>
        <w:t xml:space="preserve">Table </w:t>
      </w:r>
      <w:r w:rsidR="004D3789">
        <w:t>4</w:t>
      </w:r>
      <w:r w:rsidRPr="006E3B7E">
        <w:t xml:space="preserve">: </w:t>
      </w:r>
      <w:r>
        <w:t xml:space="preserve">Total </w:t>
      </w:r>
      <w:r w:rsidR="004D664E">
        <w:t>Compliance</w:t>
      </w:r>
      <w:r>
        <w:t xml:space="preserve"> Cost over 10</w:t>
      </w:r>
      <w:r w:rsidR="00BA5A9D">
        <w:t>-</w:t>
      </w:r>
      <w:r>
        <w:t>year period</w:t>
      </w:r>
      <w:r w:rsidR="00555FE2">
        <w:t xml:space="preserve"> – central estimation</w:t>
      </w:r>
      <w:r w:rsidR="00555FE2">
        <w:rPr>
          <w:rStyle w:val="FootnoteReference"/>
        </w:rPr>
        <w:footnoteReference w:id="93"/>
      </w:r>
    </w:p>
    <w:p w14:paraId="3F9F7A0B" w14:textId="77777777" w:rsidR="00555FE2" w:rsidRDefault="00555FE2" w:rsidP="00622BE6">
      <w:pPr>
        <w:spacing w:after="40"/>
        <w:jc w:val="both"/>
      </w:pPr>
    </w:p>
    <w:tbl>
      <w:tblPr>
        <w:tblStyle w:val="PlainTable3"/>
        <w:tblW w:w="9067" w:type="dxa"/>
        <w:tblLayout w:type="fixed"/>
        <w:tblLook w:val="04A0" w:firstRow="1" w:lastRow="0" w:firstColumn="1" w:lastColumn="0" w:noHBand="0" w:noVBand="1"/>
      </w:tblPr>
      <w:tblGrid>
        <w:gridCol w:w="3261"/>
        <w:gridCol w:w="1935"/>
        <w:gridCol w:w="1935"/>
        <w:gridCol w:w="1936"/>
      </w:tblGrid>
      <w:tr w:rsidR="00622BE6" w:rsidRPr="00B03297" w14:paraId="0D914243" w14:textId="77777777" w:rsidTr="00411AF8">
        <w:trPr>
          <w:cnfStyle w:val="100000000000" w:firstRow="1" w:lastRow="0" w:firstColumn="0" w:lastColumn="0" w:oddVBand="0" w:evenVBand="0" w:oddHBand="0" w:evenHBand="0" w:firstRowFirstColumn="0" w:firstRowLastColumn="0" w:lastRowFirstColumn="0" w:lastRowLastColumn="0"/>
          <w:trHeight w:val="470"/>
        </w:trPr>
        <w:tc>
          <w:tcPr>
            <w:cnfStyle w:val="001000000100" w:firstRow="0" w:lastRow="0" w:firstColumn="1" w:lastColumn="0" w:oddVBand="0" w:evenVBand="0" w:oddHBand="0" w:evenHBand="0" w:firstRowFirstColumn="1" w:firstRowLastColumn="0" w:lastRowFirstColumn="0" w:lastRowLastColumn="0"/>
            <w:tcW w:w="3261" w:type="dxa"/>
          </w:tcPr>
          <w:p w14:paraId="5ADCFC84" w14:textId="77777777" w:rsidR="00622BE6" w:rsidRPr="00411AF8" w:rsidRDefault="00622BE6" w:rsidP="00E15858">
            <w:pPr>
              <w:spacing w:after="40"/>
            </w:pPr>
            <w:r w:rsidRPr="00411AF8">
              <w:rPr>
                <w:caps w:val="0"/>
              </w:rPr>
              <w:t>Jurisdiction</w:t>
            </w:r>
          </w:p>
        </w:tc>
        <w:tc>
          <w:tcPr>
            <w:tcW w:w="1935" w:type="dxa"/>
          </w:tcPr>
          <w:p w14:paraId="5042CD5D" w14:textId="6CB5CCB8" w:rsidR="00622BE6" w:rsidRPr="00555FE2" w:rsidRDefault="00555FE2" w:rsidP="00E15858">
            <w:pPr>
              <w:spacing w:after="40"/>
              <w:jc w:val="center"/>
              <w:cnfStyle w:val="100000000000" w:firstRow="1" w:lastRow="0" w:firstColumn="0" w:lastColumn="0" w:oddVBand="0" w:evenVBand="0" w:oddHBand="0" w:evenHBand="0" w:firstRowFirstColumn="0" w:firstRowLastColumn="0" w:lastRowFirstColumn="0" w:lastRowLastColumn="0"/>
              <w:rPr>
                <w:caps w:val="0"/>
              </w:rPr>
            </w:pPr>
            <w:r w:rsidRPr="00555FE2">
              <w:rPr>
                <w:caps w:val="0"/>
              </w:rPr>
              <w:t xml:space="preserve">Compliance cost of </w:t>
            </w:r>
            <w:r>
              <w:rPr>
                <w:caps w:val="0"/>
              </w:rPr>
              <w:t>O</w:t>
            </w:r>
            <w:r w:rsidRPr="00555FE2">
              <w:rPr>
                <w:caps w:val="0"/>
              </w:rPr>
              <w:t>ption 2</w:t>
            </w:r>
          </w:p>
        </w:tc>
        <w:tc>
          <w:tcPr>
            <w:tcW w:w="1935" w:type="dxa"/>
          </w:tcPr>
          <w:p w14:paraId="2DCD549C" w14:textId="290A66EC" w:rsidR="00622BE6" w:rsidRPr="00555FE2" w:rsidRDefault="00555FE2" w:rsidP="00E15858">
            <w:pPr>
              <w:spacing w:after="40"/>
              <w:jc w:val="center"/>
              <w:cnfStyle w:val="100000000000" w:firstRow="1" w:lastRow="0" w:firstColumn="0" w:lastColumn="0" w:oddVBand="0" w:evenVBand="0" w:oddHBand="0" w:evenHBand="0" w:firstRowFirstColumn="0" w:firstRowLastColumn="0" w:lastRowFirstColumn="0" w:lastRowLastColumn="0"/>
              <w:rPr>
                <w:caps w:val="0"/>
                <w:lang w:eastAsia="zh-CN" w:bidi="th-TH"/>
              </w:rPr>
            </w:pPr>
            <w:r w:rsidRPr="00555FE2">
              <w:rPr>
                <w:caps w:val="0"/>
              </w:rPr>
              <w:t>Compliance cost of</w:t>
            </w:r>
            <w:r w:rsidRPr="00555FE2">
              <w:t xml:space="preserve"> </w:t>
            </w:r>
            <w:r>
              <w:rPr>
                <w:caps w:val="0"/>
              </w:rPr>
              <w:t>O</w:t>
            </w:r>
            <w:r w:rsidRPr="00555FE2">
              <w:rPr>
                <w:caps w:val="0"/>
              </w:rPr>
              <w:t>ption 3</w:t>
            </w:r>
            <w:r w:rsidR="00C343BC" w:rsidRPr="00555FE2">
              <w:rPr>
                <w:rStyle w:val="FootnoteReference"/>
              </w:rPr>
              <w:footnoteReference w:id="94"/>
            </w:r>
          </w:p>
        </w:tc>
        <w:tc>
          <w:tcPr>
            <w:tcW w:w="1936" w:type="dxa"/>
          </w:tcPr>
          <w:p w14:paraId="3933A6C2" w14:textId="0F1B32B2" w:rsidR="00622BE6" w:rsidRPr="00555FE2" w:rsidRDefault="00555FE2" w:rsidP="00E15858">
            <w:pPr>
              <w:spacing w:after="40"/>
              <w:jc w:val="center"/>
              <w:cnfStyle w:val="100000000000" w:firstRow="1" w:lastRow="0" w:firstColumn="0" w:lastColumn="0" w:oddVBand="0" w:evenVBand="0" w:oddHBand="0" w:evenHBand="0" w:firstRowFirstColumn="0" w:firstRowLastColumn="0" w:lastRowFirstColumn="0" w:lastRowLastColumn="0"/>
              <w:rPr>
                <w:lang w:eastAsia="zh-CN" w:bidi="th-TH"/>
              </w:rPr>
            </w:pPr>
            <w:r w:rsidRPr="00555FE2">
              <w:rPr>
                <w:caps w:val="0"/>
              </w:rPr>
              <w:t xml:space="preserve">Compliance cost of </w:t>
            </w:r>
            <w:r>
              <w:rPr>
                <w:caps w:val="0"/>
              </w:rPr>
              <w:t>O</w:t>
            </w:r>
            <w:r w:rsidRPr="00555FE2">
              <w:rPr>
                <w:caps w:val="0"/>
              </w:rPr>
              <w:t xml:space="preserve">ption </w:t>
            </w:r>
            <w:r w:rsidR="00622BE6" w:rsidRPr="00555FE2">
              <w:rPr>
                <w:caps w:val="0"/>
              </w:rPr>
              <w:t>4</w:t>
            </w:r>
            <w:r w:rsidR="00BA5DD2" w:rsidRPr="00555FE2">
              <w:rPr>
                <w:rStyle w:val="FootnoteReference"/>
                <w:caps w:val="0"/>
              </w:rPr>
              <w:footnoteReference w:id="95"/>
            </w:r>
          </w:p>
        </w:tc>
      </w:tr>
      <w:tr w:rsidR="00C8686C" w:rsidRPr="00C15249" w14:paraId="38DCF64D" w14:textId="77777777" w:rsidTr="00411A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vAlign w:val="center"/>
          </w:tcPr>
          <w:p w14:paraId="4A257377" w14:textId="70A6E020" w:rsidR="00C8686C" w:rsidRPr="00E15858" w:rsidRDefault="00C8686C" w:rsidP="00E15858">
            <w:pPr>
              <w:spacing w:after="40"/>
              <w:rPr>
                <w:b w:val="0"/>
                <w:bCs w:val="0"/>
              </w:rPr>
            </w:pPr>
            <w:r w:rsidRPr="00411AF8">
              <w:rPr>
                <w:caps w:val="0"/>
              </w:rPr>
              <w:t>New South Wales</w:t>
            </w:r>
          </w:p>
        </w:tc>
        <w:tc>
          <w:tcPr>
            <w:tcW w:w="1935" w:type="dxa"/>
            <w:vAlign w:val="center"/>
          </w:tcPr>
          <w:p w14:paraId="19CB74B9" w14:textId="77777777" w:rsidR="00C8686C" w:rsidRPr="00411AF8" w:rsidRDefault="00C8686C" w:rsidP="00E15858">
            <w:pPr>
              <w:spacing w:after="40"/>
              <w:jc w:val="center"/>
              <w:cnfStyle w:val="000000100000" w:firstRow="0" w:lastRow="0" w:firstColumn="0" w:lastColumn="0" w:oddVBand="0" w:evenVBand="0" w:oddHBand="1" w:evenHBand="0" w:firstRowFirstColumn="0" w:firstRowLastColumn="0" w:lastRowFirstColumn="0" w:lastRowLastColumn="0"/>
              <w:rPr>
                <w:lang w:eastAsia="zh-CN" w:bidi="th-TH"/>
              </w:rPr>
            </w:pPr>
            <w:r w:rsidRPr="00411AF8">
              <w:rPr>
                <w:lang w:eastAsia="zh-CN" w:bidi="th-TH"/>
              </w:rPr>
              <w:t>10.1M</w:t>
            </w:r>
          </w:p>
        </w:tc>
        <w:tc>
          <w:tcPr>
            <w:tcW w:w="1935" w:type="dxa"/>
            <w:vAlign w:val="center"/>
          </w:tcPr>
          <w:p w14:paraId="2D49A48A" w14:textId="77777777" w:rsidR="00C8686C" w:rsidRPr="00411AF8" w:rsidRDefault="00C8686C" w:rsidP="00E15858">
            <w:pPr>
              <w:spacing w:after="40"/>
              <w:jc w:val="center"/>
              <w:cnfStyle w:val="000000100000" w:firstRow="0" w:lastRow="0" w:firstColumn="0" w:lastColumn="0" w:oddVBand="0" w:evenVBand="0" w:oddHBand="1" w:evenHBand="0" w:firstRowFirstColumn="0" w:firstRowLastColumn="0" w:lastRowFirstColumn="0" w:lastRowLastColumn="0"/>
              <w:rPr>
                <w:lang w:eastAsia="zh-CN" w:bidi="th-TH"/>
              </w:rPr>
            </w:pPr>
            <w:r w:rsidRPr="00411AF8">
              <w:rPr>
                <w:lang w:eastAsia="zh-CN" w:bidi="th-TH"/>
              </w:rPr>
              <w:t>5.3M</w:t>
            </w:r>
          </w:p>
        </w:tc>
        <w:tc>
          <w:tcPr>
            <w:tcW w:w="1936" w:type="dxa"/>
            <w:vAlign w:val="center"/>
          </w:tcPr>
          <w:p w14:paraId="7D3A18F9" w14:textId="77777777" w:rsidR="00C8686C" w:rsidRPr="00411AF8" w:rsidRDefault="00C8686C" w:rsidP="00E15858">
            <w:pPr>
              <w:spacing w:after="40"/>
              <w:jc w:val="center"/>
              <w:cnfStyle w:val="000000100000" w:firstRow="0" w:lastRow="0" w:firstColumn="0" w:lastColumn="0" w:oddVBand="0" w:evenVBand="0" w:oddHBand="1" w:evenHBand="0" w:firstRowFirstColumn="0" w:firstRowLastColumn="0" w:lastRowFirstColumn="0" w:lastRowLastColumn="0"/>
              <w:rPr>
                <w:lang w:eastAsia="zh-CN" w:bidi="th-TH"/>
              </w:rPr>
            </w:pPr>
            <w:r w:rsidRPr="00411AF8">
              <w:rPr>
                <w:lang w:eastAsia="zh-CN" w:bidi="th-TH"/>
              </w:rPr>
              <w:t>0.4M</w:t>
            </w:r>
          </w:p>
        </w:tc>
      </w:tr>
      <w:tr w:rsidR="00C8686C" w:rsidRPr="00C15249" w14:paraId="639ABC1F" w14:textId="77777777" w:rsidTr="00411AF8">
        <w:tc>
          <w:tcPr>
            <w:cnfStyle w:val="001000000000" w:firstRow="0" w:lastRow="0" w:firstColumn="1" w:lastColumn="0" w:oddVBand="0" w:evenVBand="0" w:oddHBand="0" w:evenHBand="0" w:firstRowFirstColumn="0" w:firstRowLastColumn="0" w:lastRowFirstColumn="0" w:lastRowLastColumn="0"/>
            <w:tcW w:w="3261" w:type="dxa"/>
            <w:vAlign w:val="center"/>
          </w:tcPr>
          <w:p w14:paraId="0FE1CCE8" w14:textId="2D7B08BB" w:rsidR="00C8686C" w:rsidRPr="00E15858" w:rsidRDefault="00C8686C" w:rsidP="00E15858">
            <w:pPr>
              <w:spacing w:after="40"/>
              <w:rPr>
                <w:b w:val="0"/>
                <w:bCs w:val="0"/>
              </w:rPr>
            </w:pPr>
            <w:r w:rsidRPr="00411AF8">
              <w:rPr>
                <w:caps w:val="0"/>
              </w:rPr>
              <w:t>Victoria</w:t>
            </w:r>
          </w:p>
        </w:tc>
        <w:tc>
          <w:tcPr>
            <w:tcW w:w="1935" w:type="dxa"/>
            <w:vAlign w:val="center"/>
          </w:tcPr>
          <w:p w14:paraId="647E8718" w14:textId="77777777" w:rsidR="00C8686C" w:rsidRPr="00411AF8" w:rsidRDefault="00C8686C" w:rsidP="00E15858">
            <w:pPr>
              <w:spacing w:after="40"/>
              <w:jc w:val="center"/>
              <w:cnfStyle w:val="000000000000" w:firstRow="0" w:lastRow="0" w:firstColumn="0" w:lastColumn="0" w:oddVBand="0" w:evenVBand="0" w:oddHBand="0" w:evenHBand="0" w:firstRowFirstColumn="0" w:firstRowLastColumn="0" w:lastRowFirstColumn="0" w:lastRowLastColumn="0"/>
              <w:rPr>
                <w:lang w:eastAsia="zh-CN" w:bidi="th-TH"/>
              </w:rPr>
            </w:pPr>
            <w:r w:rsidRPr="00411AF8">
              <w:rPr>
                <w:lang w:eastAsia="zh-CN" w:bidi="th-TH"/>
              </w:rPr>
              <w:t>4.9M</w:t>
            </w:r>
          </w:p>
        </w:tc>
        <w:tc>
          <w:tcPr>
            <w:tcW w:w="1935" w:type="dxa"/>
            <w:vAlign w:val="center"/>
          </w:tcPr>
          <w:p w14:paraId="65118101" w14:textId="3AB941CF" w:rsidR="00C8686C" w:rsidRPr="00411AF8" w:rsidRDefault="00C8686C" w:rsidP="00E15858">
            <w:pPr>
              <w:spacing w:after="40"/>
              <w:jc w:val="center"/>
              <w:cnfStyle w:val="000000000000" w:firstRow="0" w:lastRow="0" w:firstColumn="0" w:lastColumn="0" w:oddVBand="0" w:evenVBand="0" w:oddHBand="0" w:evenHBand="0" w:firstRowFirstColumn="0" w:firstRowLastColumn="0" w:lastRowFirstColumn="0" w:lastRowLastColumn="0"/>
              <w:rPr>
                <w:lang w:eastAsia="zh-CN" w:bidi="th-TH"/>
              </w:rPr>
            </w:pPr>
            <w:r w:rsidRPr="00C343BC">
              <w:rPr>
                <w:lang w:eastAsia="zh-CN" w:bidi="th-TH"/>
              </w:rPr>
              <w:t>0.5M</w:t>
            </w:r>
          </w:p>
        </w:tc>
        <w:tc>
          <w:tcPr>
            <w:tcW w:w="1936" w:type="dxa"/>
            <w:vAlign w:val="center"/>
          </w:tcPr>
          <w:p w14:paraId="6B8EE2AB" w14:textId="77777777" w:rsidR="00C8686C" w:rsidRPr="00411AF8" w:rsidRDefault="00C8686C" w:rsidP="00E15858">
            <w:pPr>
              <w:spacing w:after="40"/>
              <w:jc w:val="center"/>
              <w:cnfStyle w:val="000000000000" w:firstRow="0" w:lastRow="0" w:firstColumn="0" w:lastColumn="0" w:oddVBand="0" w:evenVBand="0" w:oddHBand="0" w:evenHBand="0" w:firstRowFirstColumn="0" w:firstRowLastColumn="0" w:lastRowFirstColumn="0" w:lastRowLastColumn="0"/>
              <w:rPr>
                <w:lang w:eastAsia="zh-CN" w:bidi="th-TH"/>
              </w:rPr>
            </w:pPr>
            <w:r w:rsidRPr="00411AF8">
              <w:rPr>
                <w:lang w:eastAsia="zh-CN" w:bidi="th-TH"/>
              </w:rPr>
              <w:t>0.4M</w:t>
            </w:r>
          </w:p>
        </w:tc>
      </w:tr>
      <w:tr w:rsidR="00C8686C" w:rsidRPr="00C15249" w14:paraId="3C1084F8" w14:textId="77777777" w:rsidTr="00411A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vAlign w:val="center"/>
          </w:tcPr>
          <w:p w14:paraId="422FD0CC" w14:textId="7D8320F5" w:rsidR="00C8686C" w:rsidRPr="00E15858" w:rsidRDefault="00C8686C" w:rsidP="00E15858">
            <w:pPr>
              <w:spacing w:after="40"/>
              <w:rPr>
                <w:b w:val="0"/>
                <w:bCs w:val="0"/>
              </w:rPr>
            </w:pPr>
            <w:r w:rsidRPr="00411AF8">
              <w:rPr>
                <w:caps w:val="0"/>
              </w:rPr>
              <w:t>Queensland</w:t>
            </w:r>
          </w:p>
        </w:tc>
        <w:tc>
          <w:tcPr>
            <w:tcW w:w="1935" w:type="dxa"/>
            <w:vAlign w:val="center"/>
          </w:tcPr>
          <w:p w14:paraId="3F69EC4A" w14:textId="77777777" w:rsidR="00C8686C" w:rsidRPr="00411AF8" w:rsidRDefault="00C8686C" w:rsidP="00E15858">
            <w:pPr>
              <w:spacing w:after="40"/>
              <w:jc w:val="center"/>
              <w:cnfStyle w:val="000000100000" w:firstRow="0" w:lastRow="0" w:firstColumn="0" w:lastColumn="0" w:oddVBand="0" w:evenVBand="0" w:oddHBand="1" w:evenHBand="0" w:firstRowFirstColumn="0" w:firstRowLastColumn="0" w:lastRowFirstColumn="0" w:lastRowLastColumn="0"/>
              <w:rPr>
                <w:lang w:eastAsia="zh-CN" w:bidi="th-TH"/>
              </w:rPr>
            </w:pPr>
            <w:r w:rsidRPr="00411AF8">
              <w:rPr>
                <w:lang w:eastAsia="zh-CN" w:bidi="th-TH"/>
              </w:rPr>
              <w:t>6.8M</w:t>
            </w:r>
          </w:p>
        </w:tc>
        <w:tc>
          <w:tcPr>
            <w:tcW w:w="1935" w:type="dxa"/>
            <w:vAlign w:val="center"/>
          </w:tcPr>
          <w:p w14:paraId="5D9AA5FA" w14:textId="77777777" w:rsidR="00C8686C" w:rsidRPr="00411AF8" w:rsidRDefault="00C8686C" w:rsidP="00E15858">
            <w:pPr>
              <w:spacing w:after="40"/>
              <w:jc w:val="center"/>
              <w:cnfStyle w:val="000000100000" w:firstRow="0" w:lastRow="0" w:firstColumn="0" w:lastColumn="0" w:oddVBand="0" w:evenVBand="0" w:oddHBand="1" w:evenHBand="0" w:firstRowFirstColumn="0" w:firstRowLastColumn="0" w:lastRowFirstColumn="0" w:lastRowLastColumn="0"/>
              <w:rPr>
                <w:lang w:eastAsia="zh-CN" w:bidi="th-TH"/>
              </w:rPr>
            </w:pPr>
            <w:r w:rsidRPr="00411AF8">
              <w:rPr>
                <w:lang w:eastAsia="zh-CN" w:bidi="th-TH"/>
              </w:rPr>
              <w:t>4.1M</w:t>
            </w:r>
          </w:p>
        </w:tc>
        <w:tc>
          <w:tcPr>
            <w:tcW w:w="1936" w:type="dxa"/>
            <w:vAlign w:val="center"/>
          </w:tcPr>
          <w:p w14:paraId="10DE5285" w14:textId="77777777" w:rsidR="00C8686C" w:rsidRPr="00411AF8" w:rsidRDefault="00C8686C" w:rsidP="00E15858">
            <w:pPr>
              <w:spacing w:after="40"/>
              <w:jc w:val="center"/>
              <w:cnfStyle w:val="000000100000" w:firstRow="0" w:lastRow="0" w:firstColumn="0" w:lastColumn="0" w:oddVBand="0" w:evenVBand="0" w:oddHBand="1" w:evenHBand="0" w:firstRowFirstColumn="0" w:firstRowLastColumn="0" w:lastRowFirstColumn="0" w:lastRowLastColumn="0"/>
              <w:rPr>
                <w:lang w:eastAsia="zh-CN" w:bidi="th-TH"/>
              </w:rPr>
            </w:pPr>
            <w:r w:rsidRPr="00411AF8">
              <w:rPr>
                <w:lang w:eastAsia="zh-CN" w:bidi="th-TH"/>
              </w:rPr>
              <w:t>0.4M</w:t>
            </w:r>
          </w:p>
        </w:tc>
      </w:tr>
      <w:tr w:rsidR="00C8686C" w:rsidRPr="00C15249" w14:paraId="5CEAA480" w14:textId="77777777" w:rsidTr="00411AF8">
        <w:tc>
          <w:tcPr>
            <w:cnfStyle w:val="001000000000" w:firstRow="0" w:lastRow="0" w:firstColumn="1" w:lastColumn="0" w:oddVBand="0" w:evenVBand="0" w:oddHBand="0" w:evenHBand="0" w:firstRowFirstColumn="0" w:firstRowLastColumn="0" w:lastRowFirstColumn="0" w:lastRowLastColumn="0"/>
            <w:tcW w:w="3261" w:type="dxa"/>
            <w:vAlign w:val="center"/>
          </w:tcPr>
          <w:p w14:paraId="60C9F0F6" w14:textId="449AC391" w:rsidR="00C8686C" w:rsidRPr="00E15858" w:rsidRDefault="00C8686C" w:rsidP="00E15858">
            <w:pPr>
              <w:spacing w:after="40"/>
              <w:rPr>
                <w:b w:val="0"/>
                <w:bCs w:val="0"/>
              </w:rPr>
            </w:pPr>
            <w:r w:rsidRPr="00411AF8">
              <w:rPr>
                <w:caps w:val="0"/>
              </w:rPr>
              <w:t>South Australia</w:t>
            </w:r>
          </w:p>
        </w:tc>
        <w:tc>
          <w:tcPr>
            <w:tcW w:w="1935" w:type="dxa"/>
            <w:vAlign w:val="center"/>
          </w:tcPr>
          <w:p w14:paraId="3E2E0986" w14:textId="77777777" w:rsidR="00C8686C" w:rsidRPr="00411AF8" w:rsidRDefault="00C8686C" w:rsidP="00E15858">
            <w:pPr>
              <w:spacing w:after="40"/>
              <w:jc w:val="center"/>
              <w:cnfStyle w:val="000000000000" w:firstRow="0" w:lastRow="0" w:firstColumn="0" w:lastColumn="0" w:oddVBand="0" w:evenVBand="0" w:oddHBand="0" w:evenHBand="0" w:firstRowFirstColumn="0" w:firstRowLastColumn="0" w:lastRowFirstColumn="0" w:lastRowLastColumn="0"/>
              <w:rPr>
                <w:lang w:eastAsia="zh-CN" w:bidi="th-TH"/>
              </w:rPr>
            </w:pPr>
            <w:r w:rsidRPr="00411AF8">
              <w:rPr>
                <w:lang w:eastAsia="zh-CN" w:bidi="th-TH"/>
              </w:rPr>
              <w:t>2.3M</w:t>
            </w:r>
          </w:p>
        </w:tc>
        <w:tc>
          <w:tcPr>
            <w:tcW w:w="1935" w:type="dxa"/>
            <w:vAlign w:val="center"/>
          </w:tcPr>
          <w:p w14:paraId="073032B3" w14:textId="77777777" w:rsidR="00C8686C" w:rsidRPr="00411AF8" w:rsidRDefault="00C8686C" w:rsidP="00E15858">
            <w:pPr>
              <w:spacing w:after="40"/>
              <w:jc w:val="center"/>
              <w:cnfStyle w:val="000000000000" w:firstRow="0" w:lastRow="0" w:firstColumn="0" w:lastColumn="0" w:oddVBand="0" w:evenVBand="0" w:oddHBand="0" w:evenHBand="0" w:firstRowFirstColumn="0" w:firstRowLastColumn="0" w:lastRowFirstColumn="0" w:lastRowLastColumn="0"/>
              <w:rPr>
                <w:lang w:eastAsia="zh-CN" w:bidi="th-TH"/>
              </w:rPr>
            </w:pPr>
            <w:r w:rsidRPr="00411AF8">
              <w:rPr>
                <w:lang w:eastAsia="zh-CN" w:bidi="th-TH"/>
              </w:rPr>
              <w:t>1.3M</w:t>
            </w:r>
          </w:p>
        </w:tc>
        <w:tc>
          <w:tcPr>
            <w:tcW w:w="1936" w:type="dxa"/>
            <w:vAlign w:val="center"/>
          </w:tcPr>
          <w:p w14:paraId="5F15A869" w14:textId="77777777" w:rsidR="00C8686C" w:rsidRPr="00411AF8" w:rsidRDefault="00C8686C" w:rsidP="00E15858">
            <w:pPr>
              <w:spacing w:after="40"/>
              <w:jc w:val="center"/>
              <w:cnfStyle w:val="000000000000" w:firstRow="0" w:lastRow="0" w:firstColumn="0" w:lastColumn="0" w:oddVBand="0" w:evenVBand="0" w:oddHBand="0" w:evenHBand="0" w:firstRowFirstColumn="0" w:firstRowLastColumn="0" w:lastRowFirstColumn="0" w:lastRowLastColumn="0"/>
              <w:rPr>
                <w:lang w:eastAsia="zh-CN" w:bidi="th-TH"/>
              </w:rPr>
            </w:pPr>
            <w:r w:rsidRPr="00411AF8">
              <w:rPr>
                <w:lang w:eastAsia="zh-CN" w:bidi="th-TH"/>
              </w:rPr>
              <w:t>0.4M</w:t>
            </w:r>
          </w:p>
        </w:tc>
      </w:tr>
      <w:tr w:rsidR="00C8686C" w:rsidRPr="00C15249" w14:paraId="269E042A" w14:textId="77777777" w:rsidTr="00411A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vAlign w:val="center"/>
          </w:tcPr>
          <w:p w14:paraId="30B5B2F8" w14:textId="2DBB5FDD" w:rsidR="00411AF8" w:rsidRPr="00E15858" w:rsidRDefault="00C8686C" w:rsidP="00E15858">
            <w:pPr>
              <w:spacing w:after="40"/>
              <w:rPr>
                <w:b w:val="0"/>
                <w:bCs w:val="0"/>
              </w:rPr>
            </w:pPr>
            <w:r w:rsidRPr="00411AF8">
              <w:rPr>
                <w:caps w:val="0"/>
              </w:rPr>
              <w:t>Australian Capital Territory</w:t>
            </w:r>
          </w:p>
        </w:tc>
        <w:tc>
          <w:tcPr>
            <w:tcW w:w="1935" w:type="dxa"/>
            <w:vAlign w:val="center"/>
          </w:tcPr>
          <w:p w14:paraId="459FA039" w14:textId="77777777" w:rsidR="00C8686C" w:rsidRPr="00411AF8" w:rsidRDefault="00C8686C" w:rsidP="00E15858">
            <w:pPr>
              <w:spacing w:after="40"/>
              <w:jc w:val="center"/>
              <w:cnfStyle w:val="000000100000" w:firstRow="0" w:lastRow="0" w:firstColumn="0" w:lastColumn="0" w:oddVBand="0" w:evenVBand="0" w:oddHBand="1" w:evenHBand="0" w:firstRowFirstColumn="0" w:firstRowLastColumn="0" w:lastRowFirstColumn="0" w:lastRowLastColumn="0"/>
              <w:rPr>
                <w:lang w:eastAsia="zh-CN" w:bidi="th-TH"/>
              </w:rPr>
            </w:pPr>
            <w:r w:rsidRPr="00411AF8">
              <w:rPr>
                <w:lang w:eastAsia="zh-CN" w:bidi="th-TH"/>
              </w:rPr>
              <w:t>0</w:t>
            </w:r>
          </w:p>
        </w:tc>
        <w:tc>
          <w:tcPr>
            <w:tcW w:w="1935" w:type="dxa"/>
            <w:vAlign w:val="center"/>
          </w:tcPr>
          <w:p w14:paraId="17D2732A" w14:textId="77777777" w:rsidR="00C8686C" w:rsidRPr="00411AF8" w:rsidRDefault="00C8686C" w:rsidP="00E15858">
            <w:pPr>
              <w:spacing w:after="40"/>
              <w:jc w:val="center"/>
              <w:cnfStyle w:val="000000100000" w:firstRow="0" w:lastRow="0" w:firstColumn="0" w:lastColumn="0" w:oddVBand="0" w:evenVBand="0" w:oddHBand="1" w:evenHBand="0" w:firstRowFirstColumn="0" w:firstRowLastColumn="0" w:lastRowFirstColumn="0" w:lastRowLastColumn="0"/>
              <w:rPr>
                <w:lang w:eastAsia="zh-CN" w:bidi="th-TH"/>
              </w:rPr>
            </w:pPr>
            <w:r w:rsidRPr="00411AF8">
              <w:rPr>
                <w:lang w:eastAsia="zh-CN" w:bidi="th-TH"/>
              </w:rPr>
              <w:t>-0.2M</w:t>
            </w:r>
          </w:p>
        </w:tc>
        <w:tc>
          <w:tcPr>
            <w:tcW w:w="1936" w:type="dxa"/>
            <w:vAlign w:val="center"/>
          </w:tcPr>
          <w:p w14:paraId="7F98DE88" w14:textId="77777777" w:rsidR="00C8686C" w:rsidRPr="00411AF8" w:rsidRDefault="00C8686C" w:rsidP="00E15858">
            <w:pPr>
              <w:spacing w:after="40"/>
              <w:jc w:val="center"/>
              <w:cnfStyle w:val="000000100000" w:firstRow="0" w:lastRow="0" w:firstColumn="0" w:lastColumn="0" w:oddVBand="0" w:evenVBand="0" w:oddHBand="1" w:evenHBand="0" w:firstRowFirstColumn="0" w:firstRowLastColumn="0" w:lastRowFirstColumn="0" w:lastRowLastColumn="0"/>
              <w:rPr>
                <w:lang w:eastAsia="zh-CN" w:bidi="th-TH"/>
              </w:rPr>
            </w:pPr>
            <w:r w:rsidRPr="00411AF8">
              <w:rPr>
                <w:lang w:eastAsia="zh-CN" w:bidi="th-TH"/>
              </w:rPr>
              <w:t>0.4M</w:t>
            </w:r>
          </w:p>
        </w:tc>
      </w:tr>
      <w:tr w:rsidR="00C8686C" w:rsidRPr="00C15249" w14:paraId="7788623F" w14:textId="77777777" w:rsidTr="00411AF8">
        <w:tc>
          <w:tcPr>
            <w:cnfStyle w:val="001000000000" w:firstRow="0" w:lastRow="0" w:firstColumn="1" w:lastColumn="0" w:oddVBand="0" w:evenVBand="0" w:oddHBand="0" w:evenHBand="0" w:firstRowFirstColumn="0" w:firstRowLastColumn="0" w:lastRowFirstColumn="0" w:lastRowLastColumn="0"/>
            <w:tcW w:w="3261" w:type="dxa"/>
            <w:vAlign w:val="center"/>
          </w:tcPr>
          <w:p w14:paraId="1712835F" w14:textId="187B24AB" w:rsidR="00C8686C" w:rsidRPr="00411AF8" w:rsidRDefault="00C8686C" w:rsidP="00E15858">
            <w:pPr>
              <w:spacing w:after="40"/>
              <w:rPr>
                <w:b w:val="0"/>
                <w:bCs w:val="0"/>
              </w:rPr>
            </w:pPr>
            <w:r w:rsidRPr="00411AF8">
              <w:rPr>
                <w:caps w:val="0"/>
              </w:rPr>
              <w:t>Western Australia</w:t>
            </w:r>
          </w:p>
        </w:tc>
        <w:tc>
          <w:tcPr>
            <w:tcW w:w="1935" w:type="dxa"/>
            <w:vAlign w:val="center"/>
          </w:tcPr>
          <w:p w14:paraId="3C468B42" w14:textId="77777777" w:rsidR="00C8686C" w:rsidRPr="00411AF8" w:rsidRDefault="00C8686C" w:rsidP="00E15858">
            <w:pPr>
              <w:spacing w:after="40"/>
              <w:jc w:val="center"/>
              <w:cnfStyle w:val="000000000000" w:firstRow="0" w:lastRow="0" w:firstColumn="0" w:lastColumn="0" w:oddVBand="0" w:evenVBand="0" w:oddHBand="0" w:evenHBand="0" w:firstRowFirstColumn="0" w:firstRowLastColumn="0" w:lastRowFirstColumn="0" w:lastRowLastColumn="0"/>
              <w:rPr>
                <w:lang w:eastAsia="zh-CN" w:bidi="th-TH"/>
              </w:rPr>
            </w:pPr>
            <w:r w:rsidRPr="00411AF8">
              <w:rPr>
                <w:lang w:eastAsia="zh-CN" w:bidi="th-TH"/>
              </w:rPr>
              <w:t>0</w:t>
            </w:r>
          </w:p>
        </w:tc>
        <w:tc>
          <w:tcPr>
            <w:tcW w:w="1935" w:type="dxa"/>
            <w:vAlign w:val="center"/>
          </w:tcPr>
          <w:p w14:paraId="79594235" w14:textId="77777777" w:rsidR="00C8686C" w:rsidRPr="00411AF8" w:rsidRDefault="00C8686C" w:rsidP="00E15858">
            <w:pPr>
              <w:spacing w:after="40"/>
              <w:jc w:val="center"/>
              <w:cnfStyle w:val="000000000000" w:firstRow="0" w:lastRow="0" w:firstColumn="0" w:lastColumn="0" w:oddVBand="0" w:evenVBand="0" w:oddHBand="0" w:evenHBand="0" w:firstRowFirstColumn="0" w:firstRowLastColumn="0" w:lastRowFirstColumn="0" w:lastRowLastColumn="0"/>
              <w:rPr>
                <w:lang w:eastAsia="zh-CN" w:bidi="th-TH"/>
              </w:rPr>
            </w:pPr>
            <w:r w:rsidRPr="00411AF8">
              <w:rPr>
                <w:lang w:eastAsia="zh-CN" w:bidi="th-TH"/>
              </w:rPr>
              <w:t>7.6M</w:t>
            </w:r>
          </w:p>
        </w:tc>
        <w:tc>
          <w:tcPr>
            <w:tcW w:w="1936" w:type="dxa"/>
            <w:vAlign w:val="center"/>
          </w:tcPr>
          <w:p w14:paraId="704DE649" w14:textId="77777777" w:rsidR="00C8686C" w:rsidRPr="00411AF8" w:rsidRDefault="00C8686C" w:rsidP="00E15858">
            <w:pPr>
              <w:spacing w:after="40"/>
              <w:jc w:val="center"/>
              <w:cnfStyle w:val="000000000000" w:firstRow="0" w:lastRow="0" w:firstColumn="0" w:lastColumn="0" w:oddVBand="0" w:evenVBand="0" w:oddHBand="0" w:evenHBand="0" w:firstRowFirstColumn="0" w:firstRowLastColumn="0" w:lastRowFirstColumn="0" w:lastRowLastColumn="0"/>
              <w:rPr>
                <w:lang w:eastAsia="zh-CN" w:bidi="th-TH"/>
              </w:rPr>
            </w:pPr>
            <w:r w:rsidRPr="00411AF8">
              <w:rPr>
                <w:lang w:eastAsia="zh-CN" w:bidi="th-TH"/>
              </w:rPr>
              <w:t>0</w:t>
            </w:r>
          </w:p>
        </w:tc>
      </w:tr>
      <w:tr w:rsidR="00C8686C" w:rsidRPr="00C15249" w14:paraId="70AEB936" w14:textId="77777777" w:rsidTr="00411A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vAlign w:val="center"/>
          </w:tcPr>
          <w:p w14:paraId="462E0219" w14:textId="446FC653" w:rsidR="00C8686C" w:rsidRPr="00E15858" w:rsidRDefault="00C8686C" w:rsidP="00E15858">
            <w:pPr>
              <w:spacing w:after="40"/>
              <w:rPr>
                <w:b w:val="0"/>
                <w:bCs w:val="0"/>
              </w:rPr>
            </w:pPr>
            <w:r w:rsidRPr="00411AF8">
              <w:rPr>
                <w:caps w:val="0"/>
              </w:rPr>
              <w:t>Tasmania</w:t>
            </w:r>
          </w:p>
        </w:tc>
        <w:tc>
          <w:tcPr>
            <w:tcW w:w="1935" w:type="dxa"/>
            <w:vAlign w:val="center"/>
          </w:tcPr>
          <w:p w14:paraId="6E13529E" w14:textId="77777777" w:rsidR="00C8686C" w:rsidRPr="00411AF8" w:rsidRDefault="00C8686C" w:rsidP="00E15858">
            <w:pPr>
              <w:spacing w:after="40"/>
              <w:jc w:val="center"/>
              <w:cnfStyle w:val="000000100000" w:firstRow="0" w:lastRow="0" w:firstColumn="0" w:lastColumn="0" w:oddVBand="0" w:evenVBand="0" w:oddHBand="1" w:evenHBand="0" w:firstRowFirstColumn="0" w:firstRowLastColumn="0" w:lastRowFirstColumn="0" w:lastRowLastColumn="0"/>
              <w:rPr>
                <w:lang w:eastAsia="zh-CN" w:bidi="th-TH"/>
              </w:rPr>
            </w:pPr>
            <w:r w:rsidRPr="00411AF8">
              <w:rPr>
                <w:lang w:eastAsia="zh-CN" w:bidi="th-TH"/>
              </w:rPr>
              <w:t>0</w:t>
            </w:r>
          </w:p>
        </w:tc>
        <w:tc>
          <w:tcPr>
            <w:tcW w:w="1935" w:type="dxa"/>
            <w:vAlign w:val="center"/>
          </w:tcPr>
          <w:p w14:paraId="765579EC" w14:textId="77777777" w:rsidR="00C8686C" w:rsidRPr="00411AF8" w:rsidRDefault="00C8686C" w:rsidP="00E15858">
            <w:pPr>
              <w:spacing w:after="40"/>
              <w:jc w:val="center"/>
              <w:cnfStyle w:val="000000100000" w:firstRow="0" w:lastRow="0" w:firstColumn="0" w:lastColumn="0" w:oddVBand="0" w:evenVBand="0" w:oddHBand="1" w:evenHBand="0" w:firstRowFirstColumn="0" w:firstRowLastColumn="0" w:lastRowFirstColumn="0" w:lastRowLastColumn="0"/>
              <w:rPr>
                <w:lang w:eastAsia="zh-CN" w:bidi="th-TH"/>
              </w:rPr>
            </w:pPr>
            <w:r w:rsidRPr="00411AF8">
              <w:rPr>
                <w:lang w:eastAsia="zh-CN" w:bidi="th-TH"/>
              </w:rPr>
              <w:t>2.0M</w:t>
            </w:r>
          </w:p>
        </w:tc>
        <w:tc>
          <w:tcPr>
            <w:tcW w:w="1936" w:type="dxa"/>
            <w:vAlign w:val="center"/>
          </w:tcPr>
          <w:p w14:paraId="48333CC2" w14:textId="77777777" w:rsidR="00C8686C" w:rsidRPr="00411AF8" w:rsidRDefault="00C8686C" w:rsidP="00E15858">
            <w:pPr>
              <w:spacing w:after="40"/>
              <w:jc w:val="center"/>
              <w:cnfStyle w:val="000000100000" w:firstRow="0" w:lastRow="0" w:firstColumn="0" w:lastColumn="0" w:oddVBand="0" w:evenVBand="0" w:oddHBand="1" w:evenHBand="0" w:firstRowFirstColumn="0" w:firstRowLastColumn="0" w:lastRowFirstColumn="0" w:lastRowLastColumn="0"/>
              <w:rPr>
                <w:lang w:eastAsia="zh-CN" w:bidi="th-TH"/>
              </w:rPr>
            </w:pPr>
            <w:r w:rsidRPr="00411AF8">
              <w:rPr>
                <w:lang w:eastAsia="zh-CN" w:bidi="th-TH"/>
              </w:rPr>
              <w:t>0</w:t>
            </w:r>
          </w:p>
        </w:tc>
      </w:tr>
      <w:tr w:rsidR="00C8686C" w:rsidRPr="00C15249" w14:paraId="3030412B" w14:textId="77777777" w:rsidTr="00411AF8">
        <w:tc>
          <w:tcPr>
            <w:cnfStyle w:val="001000000000" w:firstRow="0" w:lastRow="0" w:firstColumn="1" w:lastColumn="0" w:oddVBand="0" w:evenVBand="0" w:oddHBand="0" w:evenHBand="0" w:firstRowFirstColumn="0" w:firstRowLastColumn="0" w:lastRowFirstColumn="0" w:lastRowLastColumn="0"/>
            <w:tcW w:w="3261" w:type="dxa"/>
            <w:vAlign w:val="center"/>
          </w:tcPr>
          <w:p w14:paraId="7A044B8B" w14:textId="76F7FED1" w:rsidR="00C8686C" w:rsidRPr="00E15858" w:rsidRDefault="00C8686C" w:rsidP="00E15858">
            <w:pPr>
              <w:spacing w:after="40"/>
              <w:rPr>
                <w:b w:val="0"/>
                <w:bCs w:val="0"/>
              </w:rPr>
            </w:pPr>
            <w:r w:rsidRPr="00411AF8">
              <w:rPr>
                <w:caps w:val="0"/>
              </w:rPr>
              <w:t>Northern Territory</w:t>
            </w:r>
          </w:p>
        </w:tc>
        <w:tc>
          <w:tcPr>
            <w:tcW w:w="1935" w:type="dxa"/>
            <w:vAlign w:val="center"/>
          </w:tcPr>
          <w:p w14:paraId="11D30850" w14:textId="77777777" w:rsidR="00C8686C" w:rsidRPr="00411AF8" w:rsidRDefault="00C8686C" w:rsidP="00E15858">
            <w:pPr>
              <w:spacing w:after="40"/>
              <w:jc w:val="center"/>
              <w:cnfStyle w:val="000000000000" w:firstRow="0" w:lastRow="0" w:firstColumn="0" w:lastColumn="0" w:oddVBand="0" w:evenVBand="0" w:oddHBand="0" w:evenHBand="0" w:firstRowFirstColumn="0" w:firstRowLastColumn="0" w:lastRowFirstColumn="0" w:lastRowLastColumn="0"/>
              <w:rPr>
                <w:lang w:eastAsia="zh-CN" w:bidi="th-TH"/>
              </w:rPr>
            </w:pPr>
            <w:r w:rsidRPr="00411AF8">
              <w:rPr>
                <w:lang w:eastAsia="zh-CN" w:bidi="th-TH"/>
              </w:rPr>
              <w:t>0</w:t>
            </w:r>
          </w:p>
        </w:tc>
        <w:tc>
          <w:tcPr>
            <w:tcW w:w="1935" w:type="dxa"/>
            <w:vAlign w:val="center"/>
          </w:tcPr>
          <w:p w14:paraId="67F29F6E" w14:textId="77777777" w:rsidR="00C8686C" w:rsidRPr="00411AF8" w:rsidRDefault="00C8686C" w:rsidP="00E15858">
            <w:pPr>
              <w:spacing w:after="40"/>
              <w:jc w:val="center"/>
              <w:cnfStyle w:val="000000000000" w:firstRow="0" w:lastRow="0" w:firstColumn="0" w:lastColumn="0" w:oddVBand="0" w:evenVBand="0" w:oddHBand="0" w:evenHBand="0" w:firstRowFirstColumn="0" w:firstRowLastColumn="0" w:lastRowFirstColumn="0" w:lastRowLastColumn="0"/>
              <w:rPr>
                <w:lang w:eastAsia="zh-CN" w:bidi="th-TH"/>
              </w:rPr>
            </w:pPr>
            <w:r w:rsidRPr="00411AF8">
              <w:rPr>
                <w:lang w:eastAsia="zh-CN" w:bidi="th-TH"/>
              </w:rPr>
              <w:t>0.9M</w:t>
            </w:r>
          </w:p>
        </w:tc>
        <w:tc>
          <w:tcPr>
            <w:tcW w:w="1936" w:type="dxa"/>
            <w:vAlign w:val="center"/>
          </w:tcPr>
          <w:p w14:paraId="61DB2BE8" w14:textId="77777777" w:rsidR="00C8686C" w:rsidRPr="00411AF8" w:rsidRDefault="00C8686C" w:rsidP="00E15858">
            <w:pPr>
              <w:spacing w:after="40"/>
              <w:jc w:val="center"/>
              <w:cnfStyle w:val="000000000000" w:firstRow="0" w:lastRow="0" w:firstColumn="0" w:lastColumn="0" w:oddVBand="0" w:evenVBand="0" w:oddHBand="0" w:evenHBand="0" w:firstRowFirstColumn="0" w:firstRowLastColumn="0" w:lastRowFirstColumn="0" w:lastRowLastColumn="0"/>
              <w:rPr>
                <w:lang w:eastAsia="zh-CN" w:bidi="th-TH"/>
              </w:rPr>
            </w:pPr>
            <w:r w:rsidRPr="00411AF8">
              <w:rPr>
                <w:lang w:eastAsia="zh-CN" w:bidi="th-TH"/>
              </w:rPr>
              <w:t>0</w:t>
            </w:r>
          </w:p>
        </w:tc>
      </w:tr>
      <w:tr w:rsidR="00C8686C" w:rsidRPr="00C15249" w14:paraId="179F2649" w14:textId="77777777" w:rsidTr="00411A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vAlign w:val="center"/>
          </w:tcPr>
          <w:p w14:paraId="4640D8F3" w14:textId="4603294B" w:rsidR="00C8686C" w:rsidRPr="00411AF8" w:rsidRDefault="00C8686C" w:rsidP="00E15858">
            <w:pPr>
              <w:spacing w:after="40"/>
              <w:rPr>
                <w:b w:val="0"/>
                <w:bCs w:val="0"/>
              </w:rPr>
            </w:pPr>
            <w:r w:rsidRPr="00411AF8">
              <w:rPr>
                <w:caps w:val="0"/>
              </w:rPr>
              <w:t>Australia</w:t>
            </w:r>
          </w:p>
        </w:tc>
        <w:tc>
          <w:tcPr>
            <w:tcW w:w="1935" w:type="dxa"/>
            <w:vAlign w:val="center"/>
          </w:tcPr>
          <w:p w14:paraId="7D849027" w14:textId="77777777" w:rsidR="00C8686C" w:rsidRPr="00411AF8" w:rsidRDefault="00C8686C" w:rsidP="00E15858">
            <w:pPr>
              <w:spacing w:after="40"/>
              <w:jc w:val="center"/>
              <w:cnfStyle w:val="000000100000" w:firstRow="0" w:lastRow="0" w:firstColumn="0" w:lastColumn="0" w:oddVBand="0" w:evenVBand="0" w:oddHBand="1" w:evenHBand="0" w:firstRowFirstColumn="0" w:firstRowLastColumn="0" w:lastRowFirstColumn="0" w:lastRowLastColumn="0"/>
              <w:rPr>
                <w:lang w:eastAsia="zh-CN" w:bidi="th-TH"/>
              </w:rPr>
            </w:pPr>
            <w:r w:rsidRPr="00411AF8">
              <w:rPr>
                <w:lang w:eastAsia="zh-CN" w:bidi="th-TH"/>
              </w:rPr>
              <w:t>24.0M</w:t>
            </w:r>
          </w:p>
        </w:tc>
        <w:tc>
          <w:tcPr>
            <w:tcW w:w="1935" w:type="dxa"/>
            <w:vAlign w:val="center"/>
          </w:tcPr>
          <w:p w14:paraId="168B6BBB" w14:textId="77777777" w:rsidR="00C8686C" w:rsidRPr="00411AF8" w:rsidRDefault="00C8686C" w:rsidP="00E15858">
            <w:pPr>
              <w:spacing w:after="40"/>
              <w:jc w:val="center"/>
              <w:cnfStyle w:val="000000100000" w:firstRow="0" w:lastRow="0" w:firstColumn="0" w:lastColumn="0" w:oddVBand="0" w:evenVBand="0" w:oddHBand="1" w:evenHBand="0" w:firstRowFirstColumn="0" w:firstRowLastColumn="0" w:lastRowFirstColumn="0" w:lastRowLastColumn="0"/>
              <w:rPr>
                <w:lang w:eastAsia="zh-CN" w:bidi="th-TH"/>
              </w:rPr>
            </w:pPr>
            <w:r w:rsidRPr="00411AF8">
              <w:rPr>
                <w:lang w:eastAsia="zh-CN" w:bidi="th-TH"/>
              </w:rPr>
              <w:t>21.7M</w:t>
            </w:r>
          </w:p>
        </w:tc>
        <w:tc>
          <w:tcPr>
            <w:tcW w:w="1936" w:type="dxa"/>
            <w:vAlign w:val="center"/>
          </w:tcPr>
          <w:p w14:paraId="7AD6A5AF" w14:textId="77777777" w:rsidR="00C8686C" w:rsidRPr="00411AF8" w:rsidRDefault="00C8686C" w:rsidP="00E15858">
            <w:pPr>
              <w:spacing w:after="40"/>
              <w:jc w:val="center"/>
              <w:cnfStyle w:val="000000100000" w:firstRow="0" w:lastRow="0" w:firstColumn="0" w:lastColumn="0" w:oddVBand="0" w:evenVBand="0" w:oddHBand="1" w:evenHBand="0" w:firstRowFirstColumn="0" w:firstRowLastColumn="0" w:lastRowFirstColumn="0" w:lastRowLastColumn="0"/>
              <w:rPr>
                <w:lang w:eastAsia="zh-CN" w:bidi="th-TH"/>
              </w:rPr>
            </w:pPr>
            <w:r w:rsidRPr="00411AF8">
              <w:rPr>
                <w:lang w:eastAsia="zh-CN" w:bidi="th-TH"/>
              </w:rPr>
              <w:t>3.7M</w:t>
            </w:r>
          </w:p>
        </w:tc>
      </w:tr>
      <w:tr w:rsidR="00C8686C" w:rsidRPr="00C15249" w14:paraId="3D81AB91" w14:textId="77777777" w:rsidTr="00411AF8">
        <w:tc>
          <w:tcPr>
            <w:cnfStyle w:val="001000000000" w:firstRow="0" w:lastRow="0" w:firstColumn="1" w:lastColumn="0" w:oddVBand="0" w:evenVBand="0" w:oddHBand="0" w:evenHBand="0" w:firstRowFirstColumn="0" w:firstRowLastColumn="0" w:lastRowFirstColumn="0" w:lastRowLastColumn="0"/>
            <w:tcW w:w="3261" w:type="dxa"/>
            <w:vAlign w:val="center"/>
          </w:tcPr>
          <w:p w14:paraId="641D2736" w14:textId="7A633134" w:rsidR="00C8686C" w:rsidRPr="00411AF8" w:rsidRDefault="00C8686C" w:rsidP="00E15858">
            <w:pPr>
              <w:spacing w:after="40"/>
              <w:rPr>
                <w:b w:val="0"/>
                <w:bCs w:val="0"/>
              </w:rPr>
            </w:pPr>
            <w:r w:rsidRPr="00411AF8">
              <w:rPr>
                <w:caps w:val="0"/>
              </w:rPr>
              <w:t>New Zealand</w:t>
            </w:r>
          </w:p>
        </w:tc>
        <w:tc>
          <w:tcPr>
            <w:tcW w:w="1935" w:type="dxa"/>
            <w:vAlign w:val="center"/>
          </w:tcPr>
          <w:p w14:paraId="480BDC38" w14:textId="77777777" w:rsidR="00C8686C" w:rsidRPr="00411AF8" w:rsidRDefault="00C8686C" w:rsidP="00E15858">
            <w:pPr>
              <w:spacing w:after="40"/>
              <w:jc w:val="center"/>
              <w:cnfStyle w:val="000000000000" w:firstRow="0" w:lastRow="0" w:firstColumn="0" w:lastColumn="0" w:oddVBand="0" w:evenVBand="0" w:oddHBand="0" w:evenHBand="0" w:firstRowFirstColumn="0" w:firstRowLastColumn="0" w:lastRowFirstColumn="0" w:lastRowLastColumn="0"/>
              <w:rPr>
                <w:lang w:eastAsia="zh-CN" w:bidi="th-TH"/>
              </w:rPr>
            </w:pPr>
            <w:r w:rsidRPr="00411AF8">
              <w:rPr>
                <w:lang w:eastAsia="zh-CN" w:bidi="th-TH"/>
              </w:rPr>
              <w:t>0</w:t>
            </w:r>
          </w:p>
        </w:tc>
        <w:tc>
          <w:tcPr>
            <w:tcW w:w="1935" w:type="dxa"/>
            <w:vAlign w:val="center"/>
          </w:tcPr>
          <w:p w14:paraId="0E1A5180" w14:textId="77777777" w:rsidR="00C8686C" w:rsidRPr="00411AF8" w:rsidRDefault="00C8686C" w:rsidP="00E15858">
            <w:pPr>
              <w:spacing w:after="40"/>
              <w:jc w:val="center"/>
              <w:cnfStyle w:val="000000000000" w:firstRow="0" w:lastRow="0" w:firstColumn="0" w:lastColumn="0" w:oddVBand="0" w:evenVBand="0" w:oddHBand="0" w:evenHBand="0" w:firstRowFirstColumn="0" w:firstRowLastColumn="0" w:lastRowFirstColumn="0" w:lastRowLastColumn="0"/>
              <w:rPr>
                <w:lang w:eastAsia="zh-CN" w:bidi="th-TH"/>
              </w:rPr>
            </w:pPr>
            <w:r w:rsidRPr="00411AF8">
              <w:rPr>
                <w:lang w:eastAsia="zh-CN" w:bidi="th-TH"/>
              </w:rPr>
              <w:t>16.0M</w:t>
            </w:r>
          </w:p>
        </w:tc>
        <w:tc>
          <w:tcPr>
            <w:tcW w:w="1936" w:type="dxa"/>
            <w:vAlign w:val="center"/>
          </w:tcPr>
          <w:p w14:paraId="23E2591E" w14:textId="77777777" w:rsidR="00C8686C" w:rsidRPr="00411AF8" w:rsidRDefault="00C8686C" w:rsidP="00E15858">
            <w:pPr>
              <w:spacing w:after="40"/>
              <w:jc w:val="center"/>
              <w:cnfStyle w:val="000000000000" w:firstRow="0" w:lastRow="0" w:firstColumn="0" w:lastColumn="0" w:oddVBand="0" w:evenVBand="0" w:oddHBand="0" w:evenHBand="0" w:firstRowFirstColumn="0" w:firstRowLastColumn="0" w:lastRowFirstColumn="0" w:lastRowLastColumn="0"/>
              <w:rPr>
                <w:lang w:eastAsia="zh-CN" w:bidi="th-TH"/>
              </w:rPr>
            </w:pPr>
            <w:r w:rsidRPr="00411AF8">
              <w:rPr>
                <w:lang w:eastAsia="zh-CN" w:bidi="th-TH"/>
              </w:rPr>
              <w:t>1.0M</w:t>
            </w:r>
          </w:p>
        </w:tc>
      </w:tr>
    </w:tbl>
    <w:p w14:paraId="40E67610" w14:textId="77777777" w:rsidR="00C343BC" w:rsidRDefault="00C343BC" w:rsidP="000C3AA4">
      <w:pPr>
        <w:spacing w:after="40"/>
        <w:jc w:val="both"/>
      </w:pPr>
    </w:p>
    <w:p w14:paraId="17BEAB70" w14:textId="0948CFAF" w:rsidR="000C3AA4" w:rsidRDefault="000C3AA4" w:rsidP="000C3AA4">
      <w:pPr>
        <w:spacing w:after="40"/>
        <w:jc w:val="both"/>
      </w:pPr>
      <w:r>
        <w:t>Other potential costs for businesses that were identified</w:t>
      </w:r>
      <w:r w:rsidR="00541F1D">
        <w:t xml:space="preserve"> (</w:t>
      </w:r>
      <w:r w:rsidR="00C53331">
        <w:t xml:space="preserve">but not included in the compliance costs </w:t>
      </w:r>
      <w:r w:rsidR="003168A6">
        <w:t>above as</w:t>
      </w:r>
      <w:r w:rsidR="00541F1D">
        <w:t xml:space="preserve"> are </w:t>
      </w:r>
      <w:r w:rsidR="00C53331">
        <w:t>less tangible, qualitative costs)</w:t>
      </w:r>
      <w:r>
        <w:t>:</w:t>
      </w:r>
    </w:p>
    <w:p w14:paraId="08C3A86E" w14:textId="16119F55" w:rsidR="000C3AA4" w:rsidRPr="00A406C6" w:rsidRDefault="000C3AA4" w:rsidP="0055688D">
      <w:pPr>
        <w:pStyle w:val="ListParagraph"/>
        <w:numPr>
          <w:ilvl w:val="0"/>
          <w:numId w:val="51"/>
        </w:numPr>
        <w:spacing w:after="40"/>
        <w:jc w:val="both"/>
        <w:rPr>
          <w:rFonts w:eastAsia="Calibri"/>
        </w:rPr>
      </w:pPr>
      <w:r>
        <w:rPr>
          <w:rFonts w:eastAsia="Calibri"/>
        </w:rPr>
        <w:t>As businesses would be more likely to be participating in a level playing field with respect to menu labelling, s</w:t>
      </w:r>
      <w:r w:rsidRPr="00A406C6">
        <w:rPr>
          <w:rFonts w:eastAsia="Calibri"/>
        </w:rPr>
        <w:t>ome Australian businesses may lose some</w:t>
      </w:r>
      <w:r>
        <w:rPr>
          <w:rFonts w:eastAsia="Calibri"/>
        </w:rPr>
        <w:t xml:space="preserve"> </w:t>
      </w:r>
      <w:r w:rsidRPr="00A406C6">
        <w:rPr>
          <w:rFonts w:eastAsia="Calibri"/>
        </w:rPr>
        <w:t xml:space="preserve">competitive advantage or a point-of-difference by no longer being exempt from menu labelling. </w:t>
      </w:r>
      <w:r>
        <w:rPr>
          <w:rFonts w:eastAsia="Calibri"/>
        </w:rPr>
        <w:t>For other businesses, a level playing field</w:t>
      </w:r>
      <w:r w:rsidRPr="00A406C6">
        <w:rPr>
          <w:rFonts w:eastAsia="Calibri"/>
        </w:rPr>
        <w:t xml:space="preserve"> </w:t>
      </w:r>
      <w:r>
        <w:rPr>
          <w:rFonts w:eastAsia="Calibri"/>
        </w:rPr>
        <w:t xml:space="preserve">may </w:t>
      </w:r>
      <w:r w:rsidRPr="00A406C6">
        <w:rPr>
          <w:rFonts w:eastAsia="Calibri"/>
        </w:rPr>
        <w:t>remov</w:t>
      </w:r>
      <w:r>
        <w:rPr>
          <w:rFonts w:eastAsia="Calibri"/>
        </w:rPr>
        <w:t>e</w:t>
      </w:r>
      <w:r w:rsidRPr="00A406C6">
        <w:rPr>
          <w:rFonts w:eastAsia="Calibri"/>
        </w:rPr>
        <w:t xml:space="preserve"> the anti-competitive disadvantage</w:t>
      </w:r>
      <w:r>
        <w:rPr>
          <w:rFonts w:eastAsia="Calibri"/>
        </w:rPr>
        <w:t xml:space="preserve"> </w:t>
      </w:r>
      <w:r w:rsidRPr="00CB2051">
        <w:rPr>
          <w:rFonts w:eastAsia="Calibri"/>
        </w:rPr>
        <w:t>experienced by some businesses being exempt from menu labelling.</w:t>
      </w:r>
    </w:p>
    <w:p w14:paraId="5521350A" w14:textId="2100F534" w:rsidR="000C3AA4" w:rsidRPr="00056BA3" w:rsidRDefault="000C3AA4" w:rsidP="0055688D">
      <w:pPr>
        <w:pStyle w:val="ListParagraph"/>
        <w:numPr>
          <w:ilvl w:val="0"/>
          <w:numId w:val="51"/>
        </w:numPr>
        <w:spacing w:after="40"/>
        <w:jc w:val="both"/>
        <w:rPr>
          <w:rFonts w:eastAsia="Calibri"/>
        </w:rPr>
      </w:pPr>
      <w:r w:rsidRPr="008D7CA6">
        <w:rPr>
          <w:rFonts w:eastAsia="Calibri"/>
        </w:rPr>
        <w:t>Businesses may experience reduced revenue if consumers</w:t>
      </w:r>
      <w:r w:rsidR="00C53331">
        <w:rPr>
          <w:rFonts w:eastAsia="Calibri"/>
        </w:rPr>
        <w:t>’</w:t>
      </w:r>
      <w:r w:rsidRPr="008D7CA6">
        <w:rPr>
          <w:rFonts w:eastAsia="Calibri"/>
        </w:rPr>
        <w:t xml:space="preserve"> purchasing patterns change because of consumer education raising awareness of menu labelling and h</w:t>
      </w:r>
      <w:r w:rsidRPr="00A03C25">
        <w:rPr>
          <w:rFonts w:eastAsia="Calibri"/>
        </w:rPr>
        <w:t>ealth</w:t>
      </w:r>
      <w:r w:rsidR="004100B1" w:rsidRPr="00A03C25">
        <w:rPr>
          <w:rFonts w:eastAsia="Calibri"/>
        </w:rPr>
        <w:t>ier</w:t>
      </w:r>
      <w:r w:rsidRPr="008D7CA6">
        <w:rPr>
          <w:rFonts w:eastAsia="Calibri"/>
        </w:rPr>
        <w:t xml:space="preserve"> choices. On the other hand, </w:t>
      </w:r>
      <w:r>
        <w:t>b</w:t>
      </w:r>
      <w:r w:rsidRPr="00A406C6">
        <w:t xml:space="preserve">usinesses </w:t>
      </w:r>
      <w:r w:rsidRPr="008D7CA6">
        <w:rPr>
          <w:rFonts w:eastAsia="Calibri"/>
        </w:rPr>
        <w:t>may experience changes in consumer demand and therefore revenue growth if sales of healthier choices rise.</w:t>
      </w:r>
    </w:p>
    <w:p w14:paraId="75FC997F" w14:textId="77777777" w:rsidR="000C3AA4" w:rsidRPr="00E749C3" w:rsidRDefault="000C3AA4" w:rsidP="0055688D">
      <w:pPr>
        <w:pStyle w:val="ListParagraph"/>
        <w:numPr>
          <w:ilvl w:val="0"/>
          <w:numId w:val="51"/>
        </w:numPr>
        <w:spacing w:after="40"/>
        <w:jc w:val="both"/>
        <w:rPr>
          <w:rFonts w:eastAsia="Calibri"/>
        </w:rPr>
      </w:pPr>
      <w:r w:rsidRPr="00A406C6">
        <w:rPr>
          <w:rFonts w:eastAsia="Calibri"/>
        </w:rPr>
        <w:t>Incurred costs may negatively impact the sustainability of businesses that are not already required to implement menu labelling</w:t>
      </w:r>
      <w:r>
        <w:rPr>
          <w:rFonts w:eastAsia="Calibri"/>
        </w:rPr>
        <w:t>, this is particularly important to note, as some businesses have already been negatively impacted by the COVID-19 pandemic and associated restrictions on trade.</w:t>
      </w:r>
    </w:p>
    <w:p w14:paraId="7699874F" w14:textId="77777777" w:rsidR="000C3AA4" w:rsidRPr="000F5DA6" w:rsidRDefault="000C3AA4" w:rsidP="0055688D">
      <w:pPr>
        <w:pStyle w:val="ListParagraph"/>
        <w:numPr>
          <w:ilvl w:val="0"/>
          <w:numId w:val="51"/>
        </w:numPr>
        <w:spacing w:after="40"/>
        <w:jc w:val="both"/>
        <w:rPr>
          <w:rFonts w:eastAsia="Calibri"/>
        </w:rPr>
      </w:pPr>
      <w:r>
        <w:rPr>
          <w:rFonts w:eastAsia="Calibri"/>
        </w:rPr>
        <w:t xml:space="preserve">Without a consistent approach, cross-border businesses may experience a disruption to trading each time a jurisdiction amends and/or adopts menu labelling. </w:t>
      </w:r>
    </w:p>
    <w:p w14:paraId="7AE8CA5F" w14:textId="77777777" w:rsidR="000C3AA4" w:rsidRPr="008909D6" w:rsidRDefault="000C3AA4" w:rsidP="0055688D">
      <w:pPr>
        <w:pStyle w:val="ListParagraph"/>
        <w:numPr>
          <w:ilvl w:val="0"/>
          <w:numId w:val="51"/>
        </w:numPr>
        <w:spacing w:after="40"/>
        <w:jc w:val="both"/>
        <w:rPr>
          <w:rFonts w:eastAsia="Calibri"/>
        </w:rPr>
      </w:pPr>
      <w:r>
        <w:rPr>
          <w:rFonts w:eastAsia="Calibri"/>
        </w:rPr>
        <w:t>Under Option 4, t</w:t>
      </w:r>
      <w:r w:rsidRPr="00A406C6">
        <w:rPr>
          <w:rFonts w:eastAsia="Calibri"/>
        </w:rPr>
        <w:t xml:space="preserve">here is </w:t>
      </w:r>
      <w:r w:rsidRPr="008909D6">
        <w:rPr>
          <w:rFonts w:eastAsia="Calibri"/>
        </w:rPr>
        <w:t>u</w:t>
      </w:r>
      <w:r w:rsidRPr="00A406C6">
        <w:rPr>
          <w:rFonts w:eastAsia="Calibri"/>
        </w:rPr>
        <w:t>nlikely to be implementation support from government</w:t>
      </w:r>
      <w:r>
        <w:rPr>
          <w:rFonts w:eastAsia="Calibri"/>
        </w:rPr>
        <w:t xml:space="preserve">, so businesses and/or peak industry bodies may incur additional costs to support implementation. </w:t>
      </w:r>
    </w:p>
    <w:p w14:paraId="1F90F974" w14:textId="77777777" w:rsidR="000C3AA4" w:rsidRDefault="000C3AA4" w:rsidP="009C0B61">
      <w:pPr>
        <w:spacing w:after="40"/>
        <w:jc w:val="both"/>
      </w:pPr>
    </w:p>
    <w:p w14:paraId="14E5416D" w14:textId="24236E38" w:rsidR="00E50650" w:rsidRDefault="001C6582" w:rsidP="009C0B61">
      <w:pPr>
        <w:spacing w:after="40"/>
        <w:jc w:val="both"/>
      </w:pPr>
      <w:r>
        <w:t>Offsetting these costs</w:t>
      </w:r>
      <w:r w:rsidR="00E50650">
        <w:t xml:space="preserve"> </w:t>
      </w:r>
      <w:r w:rsidR="00335444">
        <w:t xml:space="preserve">by </w:t>
      </w:r>
      <w:r w:rsidR="00E50650">
        <w:t xml:space="preserve">benefits </w:t>
      </w:r>
      <w:r w:rsidR="00335444">
        <w:t xml:space="preserve">potentially realised </w:t>
      </w:r>
      <w:r w:rsidR="00E50650">
        <w:t xml:space="preserve">for businesses were </w:t>
      </w:r>
      <w:r w:rsidR="00133CEC">
        <w:t xml:space="preserve">also </w:t>
      </w:r>
      <w:r w:rsidR="00E50650">
        <w:t xml:space="preserve">not included </w:t>
      </w:r>
      <w:r>
        <w:t>i</w:t>
      </w:r>
      <w:r w:rsidR="00E50650">
        <w:t xml:space="preserve">n the </w:t>
      </w:r>
      <w:r>
        <w:t>calculation</w:t>
      </w:r>
      <w:r w:rsidR="00A55489">
        <w:t xml:space="preserve"> of compliance costs</w:t>
      </w:r>
      <w:r w:rsidR="00335444">
        <w:t>.</w:t>
      </w:r>
      <w:r w:rsidR="00A55489">
        <w:t xml:space="preserve"> Potential benefits include</w:t>
      </w:r>
      <w:r w:rsidR="000F5DA6">
        <w:t>:</w:t>
      </w:r>
    </w:p>
    <w:p w14:paraId="328E5635" w14:textId="6E31C856" w:rsidR="00F10A4D" w:rsidRDefault="00F10A4D" w:rsidP="00F10A4D">
      <w:pPr>
        <w:numPr>
          <w:ilvl w:val="0"/>
          <w:numId w:val="3"/>
        </w:numPr>
        <w:spacing w:after="40"/>
        <w:ind w:left="313" w:hanging="284"/>
        <w:contextualSpacing/>
        <w:rPr>
          <w:b/>
          <w:bCs/>
          <w:lang w:eastAsia="zh-CN" w:bidi="th-TH"/>
        </w:rPr>
      </w:pPr>
      <w:r w:rsidRPr="00AF09F5">
        <w:rPr>
          <w:lang w:eastAsia="zh-CN" w:bidi="th-TH"/>
        </w:rPr>
        <w:t xml:space="preserve">Businesses </w:t>
      </w:r>
      <w:r w:rsidR="00541F1D">
        <w:rPr>
          <w:lang w:eastAsia="zh-CN" w:bidi="th-TH"/>
        </w:rPr>
        <w:t xml:space="preserve">located </w:t>
      </w:r>
      <w:r w:rsidRPr="00AF09F5">
        <w:rPr>
          <w:lang w:eastAsia="zh-CN" w:bidi="th-TH"/>
        </w:rPr>
        <w:t xml:space="preserve">in jurisdictions that chose to implement menu labelling would be more likely to be participating in a level playing field, especially if all five jurisdictions removed existing exemptions in the same way. </w:t>
      </w:r>
      <w:r>
        <w:rPr>
          <w:lang w:eastAsia="zh-CN" w:bidi="th-TH"/>
        </w:rPr>
        <w:t>(Option 2)</w:t>
      </w:r>
    </w:p>
    <w:p w14:paraId="4113B351" w14:textId="3DE1FC32" w:rsidR="00F10A4D" w:rsidRPr="00AF09F5" w:rsidRDefault="00F10A4D" w:rsidP="00F10A4D">
      <w:pPr>
        <w:numPr>
          <w:ilvl w:val="0"/>
          <w:numId w:val="3"/>
        </w:numPr>
        <w:spacing w:after="40"/>
        <w:ind w:left="313" w:hanging="284"/>
        <w:contextualSpacing/>
        <w:rPr>
          <w:lang w:eastAsia="zh-CN" w:bidi="th-TH"/>
        </w:rPr>
      </w:pPr>
      <w:r w:rsidRPr="00AF09F5">
        <w:rPr>
          <w:lang w:eastAsia="zh-CN" w:bidi="th-TH"/>
        </w:rPr>
        <w:lastRenderedPageBreak/>
        <w:t>All businesses selling standard food items would have assurance that all Australian and New Zealand jurisdictions have consistent requirements, a consistent approach to compliance, consistent interpretation of legislative provisions and clear expectations for menu labelling.</w:t>
      </w:r>
      <w:r>
        <w:rPr>
          <w:lang w:eastAsia="zh-CN" w:bidi="th-TH"/>
        </w:rPr>
        <w:t xml:space="preserve"> (Option 3)</w:t>
      </w:r>
    </w:p>
    <w:p w14:paraId="7A6B610E" w14:textId="77777777" w:rsidR="00541F1D" w:rsidRDefault="00F10A4D" w:rsidP="00541F1D">
      <w:pPr>
        <w:numPr>
          <w:ilvl w:val="0"/>
          <w:numId w:val="3"/>
        </w:numPr>
        <w:spacing w:after="40"/>
        <w:ind w:left="313" w:hanging="284"/>
        <w:contextualSpacing/>
        <w:rPr>
          <w:b/>
          <w:bCs/>
          <w:lang w:eastAsia="zh-CN" w:bidi="th-TH"/>
        </w:rPr>
      </w:pPr>
      <w:r w:rsidRPr="00AF09F5">
        <w:rPr>
          <w:lang w:eastAsia="zh-CN" w:bidi="th-TH"/>
        </w:rPr>
        <w:t>Australian businesses would be more likely to be participating in a level playing field, removing the anti-competitive disadvantage experienced by some businesses being exempt from menu labelling.</w:t>
      </w:r>
      <w:r>
        <w:rPr>
          <w:lang w:eastAsia="zh-CN" w:bidi="th-TH"/>
        </w:rPr>
        <w:t xml:space="preserve"> (Option 3)</w:t>
      </w:r>
    </w:p>
    <w:p w14:paraId="4D23A71A" w14:textId="04774D9A" w:rsidR="00F10A4D" w:rsidRPr="00541F1D" w:rsidRDefault="00541F1D" w:rsidP="00541F1D">
      <w:pPr>
        <w:numPr>
          <w:ilvl w:val="0"/>
          <w:numId w:val="3"/>
        </w:numPr>
        <w:spacing w:after="40"/>
        <w:ind w:left="313" w:hanging="284"/>
        <w:contextualSpacing/>
        <w:rPr>
          <w:b/>
          <w:bCs/>
          <w:lang w:eastAsia="zh-CN" w:bidi="th-TH"/>
        </w:rPr>
      </w:pPr>
      <w:r w:rsidRPr="00541F1D">
        <w:rPr>
          <w:lang w:eastAsia="zh-CN" w:bidi="th-TH"/>
        </w:rPr>
        <w:t>B</w:t>
      </w:r>
      <w:r w:rsidR="00F10A4D" w:rsidRPr="00541F1D">
        <w:rPr>
          <w:lang w:eastAsia="zh-CN" w:bidi="th-TH"/>
        </w:rPr>
        <w:t>u</w:t>
      </w:r>
      <w:r w:rsidR="00F10A4D" w:rsidRPr="00AF09F5">
        <w:rPr>
          <w:lang w:eastAsia="zh-CN" w:bidi="th-TH"/>
        </w:rPr>
        <w:t>sinesses would have the autonomy/ownership for decision to implement enhancements to menu labelling.</w:t>
      </w:r>
      <w:r w:rsidR="00F10A4D">
        <w:rPr>
          <w:lang w:eastAsia="zh-CN" w:bidi="th-TH"/>
        </w:rPr>
        <w:t xml:space="preserve"> (Option 4)</w:t>
      </w:r>
    </w:p>
    <w:p w14:paraId="33C4CFF7" w14:textId="77777777" w:rsidR="001F22BD" w:rsidRDefault="001F22BD" w:rsidP="001F22BD">
      <w:pPr>
        <w:spacing w:after="40"/>
        <w:jc w:val="both"/>
      </w:pPr>
    </w:p>
    <w:p w14:paraId="747C8170" w14:textId="6EA10EE1" w:rsidR="00884636" w:rsidRDefault="00884636" w:rsidP="00F53A05">
      <w:pPr>
        <w:pStyle w:val="Heading3"/>
      </w:pPr>
      <w:r>
        <w:t>5.</w:t>
      </w:r>
      <w:r w:rsidR="00EB738A">
        <w:t>4</w:t>
      </w:r>
      <w:r>
        <w:t xml:space="preserve"> </w:t>
      </w:r>
      <w:r w:rsidR="00750CBB">
        <w:t>Government administration costs</w:t>
      </w:r>
    </w:p>
    <w:p w14:paraId="335F5537" w14:textId="62529D11" w:rsidR="00781742" w:rsidRDefault="00781742" w:rsidP="009C0B61">
      <w:pPr>
        <w:spacing w:after="40"/>
        <w:jc w:val="both"/>
      </w:pPr>
      <w:r>
        <w:t>Four types of administration costs were estimated</w:t>
      </w:r>
      <w:r w:rsidR="00C63D97">
        <w:t xml:space="preserve"> in terms of the amount of full-time equivalent </w:t>
      </w:r>
      <w:r w:rsidR="00511AF4">
        <w:t xml:space="preserve">(FTE) </w:t>
      </w:r>
      <w:r w:rsidR="00C63D97">
        <w:t>years</w:t>
      </w:r>
      <w:r w:rsidR="00821301">
        <w:t xml:space="preserve"> </w:t>
      </w:r>
      <w:r w:rsidR="008E1B16">
        <w:t xml:space="preserve">expected to be </w:t>
      </w:r>
      <w:r w:rsidR="00821301">
        <w:t xml:space="preserve">needed </w:t>
      </w:r>
      <w:r w:rsidR="007E7B7D">
        <w:t xml:space="preserve">over a ten-year period </w:t>
      </w:r>
      <w:r w:rsidR="008E1B16">
        <w:t>by each jurisdiction</w:t>
      </w:r>
      <w:r w:rsidR="00981E8A">
        <w:rPr>
          <w:rStyle w:val="FootnoteReference"/>
        </w:rPr>
        <w:footnoteReference w:id="96"/>
      </w:r>
      <w:r>
        <w:t>:</w:t>
      </w:r>
    </w:p>
    <w:p w14:paraId="615F8271" w14:textId="3AA90DDD" w:rsidR="00D42E56" w:rsidRPr="00476A2B" w:rsidRDefault="00781742" w:rsidP="0055688D">
      <w:pPr>
        <w:pStyle w:val="ListParagraph"/>
        <w:numPr>
          <w:ilvl w:val="0"/>
          <w:numId w:val="49"/>
        </w:numPr>
        <w:spacing w:after="40"/>
        <w:jc w:val="both"/>
        <w:rPr>
          <w:lang w:eastAsia="zh-CN" w:bidi="th-TH"/>
        </w:rPr>
      </w:pPr>
      <w:r w:rsidRPr="00134C72">
        <w:rPr>
          <w:i/>
          <w:iCs/>
          <w:lang w:eastAsia="zh-CN" w:bidi="th-TH"/>
        </w:rPr>
        <w:t>Policy change and consultation costs</w:t>
      </w:r>
      <w:r w:rsidRPr="00134C72">
        <w:rPr>
          <w:lang w:eastAsia="zh-CN" w:bidi="th-TH"/>
        </w:rPr>
        <w:t xml:space="preserve"> – public sector costs associated with redrafting policy, consulting with interested parties and advising public sector decision makers, amending and/or repealing menu labelling regulation</w:t>
      </w:r>
      <w:r w:rsidR="00BA482A">
        <w:rPr>
          <w:lang w:eastAsia="zh-CN" w:bidi="th-TH"/>
        </w:rPr>
        <w:t xml:space="preserve"> over 18</w:t>
      </w:r>
      <w:r w:rsidR="00CC7A18">
        <w:rPr>
          <w:lang w:eastAsia="zh-CN" w:bidi="th-TH"/>
        </w:rPr>
        <w:t xml:space="preserve"> </w:t>
      </w:r>
      <w:r w:rsidR="00BA482A">
        <w:rPr>
          <w:lang w:eastAsia="zh-CN" w:bidi="th-TH"/>
        </w:rPr>
        <w:t>months</w:t>
      </w:r>
      <w:r w:rsidRPr="00134C72">
        <w:rPr>
          <w:lang w:eastAsia="zh-CN" w:bidi="th-TH"/>
        </w:rPr>
        <w:t xml:space="preserve">. Also included in this category are the specific costs for FSANZ to </w:t>
      </w:r>
      <w:r w:rsidR="007C080B">
        <w:rPr>
          <w:lang w:eastAsia="zh-CN" w:bidi="th-TH"/>
        </w:rPr>
        <w:t xml:space="preserve">raise a Proposal to </w:t>
      </w:r>
      <w:r w:rsidRPr="00134C72">
        <w:rPr>
          <w:lang w:eastAsia="zh-CN" w:bidi="th-TH"/>
        </w:rPr>
        <w:t xml:space="preserve">develop a new regulatory measure </w:t>
      </w:r>
      <w:r w:rsidRPr="00476A2B">
        <w:rPr>
          <w:lang w:eastAsia="zh-CN" w:bidi="th-TH"/>
        </w:rPr>
        <w:t xml:space="preserve">under the Food Standards Code (option 3 only). </w:t>
      </w:r>
    </w:p>
    <w:p w14:paraId="48E57BF0" w14:textId="7B7A7BEE" w:rsidR="007C080B" w:rsidRPr="00476A2B" w:rsidRDefault="007E7B7D" w:rsidP="0055688D">
      <w:pPr>
        <w:pStyle w:val="ListParagraph"/>
        <w:numPr>
          <w:ilvl w:val="1"/>
          <w:numId w:val="49"/>
        </w:numPr>
        <w:spacing w:after="40"/>
        <w:jc w:val="both"/>
        <w:rPr>
          <w:lang w:eastAsia="zh-CN" w:bidi="th-TH"/>
        </w:rPr>
      </w:pPr>
      <w:r w:rsidRPr="00476A2B">
        <w:rPr>
          <w:i/>
          <w:iCs/>
          <w:lang w:eastAsia="zh-CN" w:bidi="th-TH"/>
        </w:rPr>
        <w:t>Estimated</w:t>
      </w:r>
      <w:r w:rsidR="000C7108" w:rsidRPr="00476A2B">
        <w:rPr>
          <w:i/>
          <w:iCs/>
          <w:lang w:eastAsia="zh-CN" w:bidi="th-TH"/>
        </w:rPr>
        <w:t xml:space="preserve"> 0.2</w:t>
      </w:r>
      <w:r w:rsidR="00953FC9" w:rsidRPr="00476A2B">
        <w:rPr>
          <w:i/>
          <w:iCs/>
          <w:lang w:eastAsia="zh-CN" w:bidi="th-TH"/>
        </w:rPr>
        <w:t>-0.75</w:t>
      </w:r>
      <w:r w:rsidR="000C7108" w:rsidRPr="00476A2B">
        <w:rPr>
          <w:i/>
          <w:iCs/>
          <w:lang w:eastAsia="zh-CN" w:bidi="th-TH"/>
        </w:rPr>
        <w:t xml:space="preserve">FTE </w:t>
      </w:r>
      <w:r w:rsidR="00C45847" w:rsidRPr="00476A2B">
        <w:rPr>
          <w:i/>
          <w:iCs/>
          <w:lang w:eastAsia="zh-CN" w:bidi="th-TH"/>
        </w:rPr>
        <w:t>for the provision of advice</w:t>
      </w:r>
      <w:r w:rsidR="0094322D" w:rsidRPr="00476A2B">
        <w:rPr>
          <w:i/>
          <w:iCs/>
          <w:lang w:eastAsia="zh-CN" w:bidi="th-TH"/>
        </w:rPr>
        <w:t>,</w:t>
      </w:r>
      <w:r w:rsidR="000C7108" w:rsidRPr="00476A2B">
        <w:rPr>
          <w:i/>
          <w:iCs/>
          <w:lang w:eastAsia="zh-CN" w:bidi="th-TH"/>
        </w:rPr>
        <w:t xml:space="preserve"> </w:t>
      </w:r>
      <w:r w:rsidR="00BC44E5" w:rsidRPr="00476A2B">
        <w:rPr>
          <w:i/>
          <w:iCs/>
          <w:lang w:eastAsia="zh-CN" w:bidi="th-TH"/>
        </w:rPr>
        <w:t>1FTE to repeal existing legislation</w:t>
      </w:r>
      <w:r w:rsidR="0094322D" w:rsidRPr="00476A2B">
        <w:rPr>
          <w:i/>
          <w:iCs/>
          <w:lang w:eastAsia="zh-CN" w:bidi="th-TH"/>
        </w:rPr>
        <w:t>,</w:t>
      </w:r>
      <w:r w:rsidR="00BC44E5" w:rsidRPr="00476A2B">
        <w:rPr>
          <w:i/>
          <w:iCs/>
          <w:lang w:eastAsia="zh-CN" w:bidi="th-TH"/>
        </w:rPr>
        <w:t xml:space="preserve"> </w:t>
      </w:r>
      <w:r w:rsidR="00AB14B2" w:rsidRPr="00476A2B">
        <w:rPr>
          <w:i/>
          <w:iCs/>
          <w:lang w:eastAsia="zh-CN" w:bidi="th-TH"/>
        </w:rPr>
        <w:t>1.5FTE to amend</w:t>
      </w:r>
      <w:r w:rsidR="002E36F2" w:rsidRPr="00476A2B">
        <w:rPr>
          <w:i/>
          <w:iCs/>
          <w:lang w:eastAsia="zh-CN" w:bidi="th-TH"/>
        </w:rPr>
        <w:t xml:space="preserve"> legislation, </w:t>
      </w:r>
      <w:r w:rsidR="0001426F" w:rsidRPr="00476A2B">
        <w:rPr>
          <w:i/>
          <w:iCs/>
          <w:lang w:eastAsia="zh-CN" w:bidi="th-TH"/>
        </w:rPr>
        <w:t>0</w:t>
      </w:r>
      <w:r w:rsidR="00CF775D" w:rsidRPr="00476A2B">
        <w:rPr>
          <w:i/>
          <w:iCs/>
          <w:lang w:eastAsia="zh-CN" w:bidi="th-TH"/>
        </w:rPr>
        <w:t>.5-</w:t>
      </w:r>
      <w:r w:rsidR="000C7108" w:rsidRPr="00476A2B">
        <w:rPr>
          <w:i/>
          <w:iCs/>
          <w:lang w:eastAsia="zh-CN" w:bidi="th-TH"/>
        </w:rPr>
        <w:t>3FTE</w:t>
      </w:r>
      <w:r w:rsidR="004B4582" w:rsidRPr="00476A2B">
        <w:rPr>
          <w:i/>
          <w:iCs/>
          <w:lang w:eastAsia="zh-CN" w:bidi="th-TH"/>
        </w:rPr>
        <w:t xml:space="preserve"> for responding to FSANZ processes</w:t>
      </w:r>
      <w:r w:rsidR="00CD796B" w:rsidRPr="00476A2B">
        <w:rPr>
          <w:i/>
          <w:iCs/>
          <w:lang w:eastAsia="zh-CN" w:bidi="th-TH"/>
        </w:rPr>
        <w:t xml:space="preserve"> over 18 months.</w:t>
      </w:r>
    </w:p>
    <w:p w14:paraId="7C17655E" w14:textId="2E9BCD91" w:rsidR="007C080B" w:rsidRPr="00476A2B" w:rsidRDefault="007C080B" w:rsidP="0055688D">
      <w:pPr>
        <w:pStyle w:val="ListParagraph"/>
        <w:numPr>
          <w:ilvl w:val="1"/>
          <w:numId w:val="49"/>
        </w:numPr>
        <w:spacing w:after="40"/>
        <w:jc w:val="both"/>
        <w:rPr>
          <w:i/>
          <w:iCs/>
          <w:lang w:eastAsia="zh-CN" w:bidi="th-TH"/>
        </w:rPr>
      </w:pPr>
      <w:r w:rsidRPr="00476A2B">
        <w:rPr>
          <w:i/>
          <w:iCs/>
          <w:lang w:eastAsia="zh-CN" w:bidi="th-TH"/>
        </w:rPr>
        <w:t>$200,000 for FSANZ to raise a Proposal.</w:t>
      </w:r>
      <w:r w:rsidRPr="00476A2B">
        <w:rPr>
          <w:rStyle w:val="FootnoteReference"/>
          <w:i/>
          <w:iCs/>
          <w:lang w:eastAsia="zh-CN" w:bidi="th-TH"/>
        </w:rPr>
        <w:footnoteReference w:id="97"/>
      </w:r>
    </w:p>
    <w:p w14:paraId="2A2A0041" w14:textId="77777777" w:rsidR="00541F1D" w:rsidRPr="00476A2B" w:rsidRDefault="00541F1D" w:rsidP="00541F1D">
      <w:pPr>
        <w:pStyle w:val="ListParagraph"/>
        <w:spacing w:after="40"/>
        <w:ind w:left="1440"/>
        <w:jc w:val="both"/>
        <w:rPr>
          <w:i/>
          <w:iCs/>
          <w:lang w:eastAsia="zh-CN" w:bidi="th-TH"/>
        </w:rPr>
      </w:pPr>
    </w:p>
    <w:p w14:paraId="4D3AD657" w14:textId="77777777" w:rsidR="008D4631" w:rsidRPr="00476A2B" w:rsidRDefault="008D5345" w:rsidP="0055688D">
      <w:pPr>
        <w:pStyle w:val="ListParagraph"/>
        <w:numPr>
          <w:ilvl w:val="0"/>
          <w:numId w:val="49"/>
        </w:numPr>
        <w:spacing w:after="40"/>
        <w:jc w:val="both"/>
        <w:rPr>
          <w:lang w:eastAsia="zh-CN" w:bidi="th-TH"/>
        </w:rPr>
      </w:pPr>
      <w:r w:rsidRPr="00476A2B">
        <w:rPr>
          <w:i/>
          <w:iCs/>
          <w:lang w:eastAsia="zh-CN" w:bidi="th-TH"/>
        </w:rPr>
        <w:t>Consumer education</w:t>
      </w:r>
      <w:r w:rsidR="00781742" w:rsidRPr="00476A2B">
        <w:rPr>
          <w:lang w:eastAsia="zh-CN" w:bidi="th-TH"/>
        </w:rPr>
        <w:t xml:space="preserve"> – the public sector costs associated with developing and delivering national-level education messages </w:t>
      </w:r>
      <w:r w:rsidR="00D46F48" w:rsidRPr="00476A2B">
        <w:rPr>
          <w:lang w:eastAsia="zh-CN" w:bidi="th-TH"/>
        </w:rPr>
        <w:t xml:space="preserve">over three years </w:t>
      </w:r>
      <w:r w:rsidR="00781742" w:rsidRPr="00476A2B">
        <w:rPr>
          <w:lang w:eastAsia="zh-CN" w:bidi="th-TH"/>
        </w:rPr>
        <w:t xml:space="preserve">to support consumers to understand and use menu labelling. </w:t>
      </w:r>
    </w:p>
    <w:p w14:paraId="4298E0E1" w14:textId="2D3A0906" w:rsidR="00781742" w:rsidRPr="00476A2B" w:rsidRDefault="007E7B7D" w:rsidP="0055688D">
      <w:pPr>
        <w:pStyle w:val="ListParagraph"/>
        <w:numPr>
          <w:ilvl w:val="1"/>
          <w:numId w:val="49"/>
        </w:numPr>
        <w:spacing w:after="40"/>
        <w:jc w:val="both"/>
        <w:rPr>
          <w:i/>
          <w:iCs/>
          <w:lang w:eastAsia="zh-CN" w:bidi="th-TH"/>
        </w:rPr>
      </w:pPr>
      <w:r w:rsidRPr="00476A2B">
        <w:rPr>
          <w:i/>
          <w:iCs/>
          <w:lang w:eastAsia="zh-CN" w:bidi="th-TH"/>
        </w:rPr>
        <w:t xml:space="preserve">Estimated </w:t>
      </w:r>
      <w:r w:rsidR="006E7A82" w:rsidRPr="00476A2B">
        <w:rPr>
          <w:i/>
          <w:iCs/>
          <w:lang w:eastAsia="zh-CN" w:bidi="th-TH"/>
        </w:rPr>
        <w:t>6</w:t>
      </w:r>
      <w:r w:rsidRPr="00476A2B">
        <w:rPr>
          <w:i/>
          <w:iCs/>
          <w:lang w:eastAsia="zh-CN" w:bidi="th-TH"/>
        </w:rPr>
        <w:t xml:space="preserve">FTE </w:t>
      </w:r>
      <w:r w:rsidR="004F7FD5" w:rsidRPr="00476A2B">
        <w:rPr>
          <w:i/>
          <w:iCs/>
          <w:lang w:eastAsia="zh-CN" w:bidi="th-TH"/>
        </w:rPr>
        <w:t xml:space="preserve">for New Zealand </w:t>
      </w:r>
      <w:r w:rsidRPr="00476A2B">
        <w:rPr>
          <w:i/>
          <w:iCs/>
          <w:lang w:eastAsia="zh-CN" w:bidi="th-TH"/>
        </w:rPr>
        <w:t xml:space="preserve">to </w:t>
      </w:r>
      <w:r w:rsidR="006E7A82" w:rsidRPr="00476A2B">
        <w:rPr>
          <w:i/>
          <w:iCs/>
          <w:lang w:eastAsia="zh-CN" w:bidi="th-TH"/>
        </w:rPr>
        <w:t>12</w:t>
      </w:r>
      <w:r w:rsidRPr="00476A2B">
        <w:rPr>
          <w:i/>
          <w:iCs/>
          <w:lang w:eastAsia="zh-CN" w:bidi="th-TH"/>
        </w:rPr>
        <w:t>FTE</w:t>
      </w:r>
      <w:r w:rsidR="004F7FD5" w:rsidRPr="00476A2B">
        <w:rPr>
          <w:i/>
          <w:iCs/>
          <w:lang w:eastAsia="zh-CN" w:bidi="th-TH"/>
        </w:rPr>
        <w:t xml:space="preserve"> for Commonwealth government agencies</w:t>
      </w:r>
      <w:r w:rsidR="00CD796B" w:rsidRPr="00476A2B">
        <w:rPr>
          <w:i/>
          <w:iCs/>
          <w:lang w:eastAsia="zh-CN" w:bidi="th-TH"/>
        </w:rPr>
        <w:t xml:space="preserve"> over three years.</w:t>
      </w:r>
    </w:p>
    <w:p w14:paraId="5EA16827" w14:textId="28588984" w:rsidR="00BF3CFF" w:rsidRPr="00476A2B" w:rsidRDefault="00FD2902" w:rsidP="0055688D">
      <w:pPr>
        <w:pStyle w:val="ListParagraph"/>
        <w:numPr>
          <w:ilvl w:val="1"/>
          <w:numId w:val="49"/>
        </w:numPr>
        <w:spacing w:after="40"/>
        <w:jc w:val="both"/>
        <w:rPr>
          <w:i/>
          <w:iCs/>
          <w:lang w:eastAsia="zh-CN" w:bidi="th-TH"/>
        </w:rPr>
      </w:pPr>
      <w:r w:rsidRPr="00476A2B">
        <w:rPr>
          <w:i/>
          <w:iCs/>
          <w:lang w:eastAsia="zh-CN" w:bidi="th-TH"/>
        </w:rPr>
        <w:t xml:space="preserve">As well as </w:t>
      </w:r>
      <w:r w:rsidR="00BF3CFF" w:rsidRPr="00476A2B">
        <w:rPr>
          <w:i/>
          <w:iCs/>
          <w:lang w:eastAsia="zh-CN" w:bidi="th-TH"/>
        </w:rPr>
        <w:t>$6 million over three years for Australia and $3 million over three years for New Zealand.</w:t>
      </w:r>
    </w:p>
    <w:p w14:paraId="67A066DD" w14:textId="77777777" w:rsidR="00541F1D" w:rsidRPr="004F7FD5" w:rsidRDefault="00541F1D" w:rsidP="00541F1D">
      <w:pPr>
        <w:pStyle w:val="ListParagraph"/>
        <w:spacing w:after="40"/>
        <w:ind w:left="1440"/>
        <w:jc w:val="both"/>
        <w:rPr>
          <w:i/>
          <w:iCs/>
          <w:lang w:eastAsia="zh-CN" w:bidi="th-TH"/>
        </w:rPr>
      </w:pPr>
    </w:p>
    <w:p w14:paraId="62FB0B47" w14:textId="77777777" w:rsidR="008D4631" w:rsidRDefault="00781742" w:rsidP="0055688D">
      <w:pPr>
        <w:pStyle w:val="ListParagraph"/>
        <w:numPr>
          <w:ilvl w:val="0"/>
          <w:numId w:val="49"/>
        </w:numPr>
        <w:spacing w:after="40"/>
        <w:jc w:val="both"/>
        <w:rPr>
          <w:lang w:eastAsia="zh-CN" w:bidi="th-TH"/>
        </w:rPr>
      </w:pPr>
      <w:r w:rsidRPr="00134C72">
        <w:rPr>
          <w:i/>
          <w:iCs/>
          <w:lang w:eastAsia="zh-CN" w:bidi="th-TH"/>
        </w:rPr>
        <w:t>Public notification</w:t>
      </w:r>
      <w:r w:rsidRPr="00134C72">
        <w:rPr>
          <w:lang w:eastAsia="zh-CN" w:bidi="th-TH"/>
        </w:rPr>
        <w:t xml:space="preserve"> – the costs of notifying the public and affected industry of regulatory requirements. </w:t>
      </w:r>
    </w:p>
    <w:p w14:paraId="2E123462" w14:textId="623694E5" w:rsidR="00781742" w:rsidRPr="00134C72" w:rsidRDefault="007E7B7D" w:rsidP="0055688D">
      <w:pPr>
        <w:pStyle w:val="ListParagraph"/>
        <w:numPr>
          <w:ilvl w:val="1"/>
          <w:numId w:val="49"/>
        </w:numPr>
        <w:spacing w:after="40"/>
        <w:jc w:val="both"/>
        <w:rPr>
          <w:lang w:eastAsia="zh-CN" w:bidi="th-TH"/>
        </w:rPr>
      </w:pPr>
      <w:r w:rsidRPr="007E7B7D">
        <w:rPr>
          <w:i/>
          <w:iCs/>
          <w:lang w:eastAsia="zh-CN" w:bidi="th-TH"/>
        </w:rPr>
        <w:t xml:space="preserve">Estimated </w:t>
      </w:r>
      <w:r w:rsidR="00F3117B">
        <w:rPr>
          <w:i/>
          <w:iCs/>
          <w:lang w:eastAsia="zh-CN" w:bidi="th-TH"/>
        </w:rPr>
        <w:t>0.5</w:t>
      </w:r>
      <w:r w:rsidRPr="007E7B7D">
        <w:rPr>
          <w:i/>
          <w:iCs/>
          <w:lang w:eastAsia="zh-CN" w:bidi="th-TH"/>
        </w:rPr>
        <w:t>FTE</w:t>
      </w:r>
      <w:r w:rsidR="008D4631">
        <w:rPr>
          <w:i/>
          <w:iCs/>
          <w:lang w:eastAsia="zh-CN" w:bidi="th-TH"/>
        </w:rPr>
        <w:t xml:space="preserve"> across different options and jurisdictions.</w:t>
      </w:r>
    </w:p>
    <w:p w14:paraId="3C4F042B" w14:textId="77777777" w:rsidR="003C6A22" w:rsidRDefault="00781742" w:rsidP="0055688D">
      <w:pPr>
        <w:pStyle w:val="ListParagraph"/>
        <w:numPr>
          <w:ilvl w:val="0"/>
          <w:numId w:val="49"/>
        </w:numPr>
        <w:spacing w:after="40"/>
        <w:jc w:val="both"/>
        <w:rPr>
          <w:lang w:eastAsia="zh-CN" w:bidi="th-TH"/>
        </w:rPr>
      </w:pPr>
      <w:r w:rsidRPr="00134C72">
        <w:rPr>
          <w:i/>
          <w:iCs/>
          <w:lang w:eastAsia="zh-CN" w:bidi="th-TH"/>
        </w:rPr>
        <w:t>Monitoring</w:t>
      </w:r>
      <w:r w:rsidRPr="00134C72">
        <w:rPr>
          <w:lang w:eastAsia="zh-CN" w:bidi="th-TH"/>
        </w:rPr>
        <w:t xml:space="preserve"> –</w:t>
      </w:r>
      <w:r w:rsidR="00827F01">
        <w:rPr>
          <w:lang w:eastAsia="zh-CN" w:bidi="th-TH"/>
        </w:rPr>
        <w:t xml:space="preserve"> the costs with expanding </w:t>
      </w:r>
      <w:r w:rsidRPr="00134C72">
        <w:rPr>
          <w:lang w:eastAsia="zh-CN" w:bidi="th-TH"/>
        </w:rPr>
        <w:t>monitoring and enforcement operations</w:t>
      </w:r>
      <w:r w:rsidR="00BB6079">
        <w:rPr>
          <w:lang w:eastAsia="zh-CN" w:bidi="th-TH"/>
        </w:rPr>
        <w:t xml:space="preserve"> over 10</w:t>
      </w:r>
      <w:r w:rsidR="00CC7A18">
        <w:rPr>
          <w:lang w:eastAsia="zh-CN" w:bidi="th-TH"/>
        </w:rPr>
        <w:t xml:space="preserve"> </w:t>
      </w:r>
      <w:r w:rsidR="00BB6079">
        <w:rPr>
          <w:lang w:eastAsia="zh-CN" w:bidi="th-TH"/>
        </w:rPr>
        <w:t>years</w:t>
      </w:r>
      <w:r w:rsidRPr="00134C72">
        <w:rPr>
          <w:lang w:eastAsia="zh-CN" w:bidi="th-TH"/>
        </w:rPr>
        <w:t>.</w:t>
      </w:r>
      <w:r w:rsidR="007E7B7D">
        <w:rPr>
          <w:lang w:eastAsia="zh-CN" w:bidi="th-TH"/>
        </w:rPr>
        <w:t xml:space="preserve"> </w:t>
      </w:r>
    </w:p>
    <w:p w14:paraId="1A68603F" w14:textId="06844C39" w:rsidR="001B42D2" w:rsidRPr="00476A2B" w:rsidRDefault="007E7B7D" w:rsidP="0055688D">
      <w:pPr>
        <w:pStyle w:val="ListParagraph"/>
        <w:numPr>
          <w:ilvl w:val="0"/>
          <w:numId w:val="60"/>
        </w:numPr>
        <w:spacing w:after="40"/>
        <w:jc w:val="both"/>
        <w:rPr>
          <w:lang w:eastAsia="zh-CN" w:bidi="th-TH"/>
        </w:rPr>
      </w:pPr>
      <w:r w:rsidRPr="007E7B7D">
        <w:rPr>
          <w:i/>
          <w:iCs/>
          <w:lang w:eastAsia="zh-CN" w:bidi="th-TH"/>
        </w:rPr>
        <w:t xml:space="preserve">Estimated </w:t>
      </w:r>
      <w:r w:rsidR="00F3117B">
        <w:rPr>
          <w:i/>
          <w:iCs/>
          <w:lang w:eastAsia="zh-CN" w:bidi="th-TH"/>
        </w:rPr>
        <w:t>5</w:t>
      </w:r>
      <w:r w:rsidRPr="007E7B7D">
        <w:rPr>
          <w:i/>
          <w:iCs/>
          <w:lang w:eastAsia="zh-CN" w:bidi="th-TH"/>
        </w:rPr>
        <w:t>FTE</w:t>
      </w:r>
      <w:r w:rsidR="009269AA">
        <w:rPr>
          <w:i/>
          <w:iCs/>
          <w:lang w:eastAsia="zh-CN" w:bidi="th-TH"/>
        </w:rPr>
        <w:t xml:space="preserve"> for jurisdictions with existing menu labelling</w:t>
      </w:r>
      <w:r w:rsidRPr="007E7B7D">
        <w:rPr>
          <w:i/>
          <w:iCs/>
          <w:lang w:eastAsia="zh-CN" w:bidi="th-TH"/>
        </w:rPr>
        <w:t xml:space="preserve"> to </w:t>
      </w:r>
      <w:r w:rsidR="00F3117B">
        <w:rPr>
          <w:i/>
          <w:iCs/>
          <w:lang w:eastAsia="zh-CN" w:bidi="th-TH"/>
        </w:rPr>
        <w:t>20</w:t>
      </w:r>
      <w:r w:rsidRPr="007E7B7D">
        <w:rPr>
          <w:i/>
          <w:iCs/>
          <w:lang w:eastAsia="zh-CN" w:bidi="th-TH"/>
        </w:rPr>
        <w:t>FTE</w:t>
      </w:r>
      <w:r w:rsidR="009269AA">
        <w:rPr>
          <w:i/>
          <w:iCs/>
          <w:lang w:eastAsia="zh-CN" w:bidi="th-TH"/>
        </w:rPr>
        <w:t xml:space="preserve"> for jurisdictions without existing</w:t>
      </w:r>
      <w:r w:rsidR="003C6A22">
        <w:rPr>
          <w:i/>
          <w:iCs/>
          <w:lang w:eastAsia="zh-CN" w:bidi="th-TH"/>
        </w:rPr>
        <w:t xml:space="preserve"> </w:t>
      </w:r>
      <w:r w:rsidR="009269AA" w:rsidRPr="00476A2B">
        <w:rPr>
          <w:i/>
          <w:iCs/>
          <w:lang w:eastAsia="zh-CN" w:bidi="th-TH"/>
        </w:rPr>
        <w:t>menu labelling</w:t>
      </w:r>
      <w:r w:rsidR="00CD796B" w:rsidRPr="00476A2B">
        <w:rPr>
          <w:i/>
          <w:iCs/>
          <w:lang w:eastAsia="zh-CN" w:bidi="th-TH"/>
        </w:rPr>
        <w:t xml:space="preserve"> over 10 years.</w:t>
      </w:r>
      <w:r w:rsidR="00816477" w:rsidRPr="00476A2B">
        <w:rPr>
          <w:rStyle w:val="FootnoteReference"/>
          <w:i/>
          <w:iCs/>
          <w:lang w:eastAsia="zh-CN" w:bidi="th-TH"/>
        </w:rPr>
        <w:footnoteReference w:id="98"/>
      </w:r>
    </w:p>
    <w:p w14:paraId="0CA67D86" w14:textId="77777777" w:rsidR="008E1B16" w:rsidRPr="00476A2B" w:rsidRDefault="008E1B16" w:rsidP="001A202C">
      <w:pPr>
        <w:spacing w:after="40"/>
        <w:jc w:val="both"/>
        <w:rPr>
          <w:lang w:eastAsia="zh-CN" w:bidi="th-TH"/>
        </w:rPr>
      </w:pPr>
    </w:p>
    <w:p w14:paraId="3CED8FA3" w14:textId="49668576" w:rsidR="00AD32AF" w:rsidRPr="00476A2B" w:rsidRDefault="00AD32AF" w:rsidP="001A202C">
      <w:pPr>
        <w:spacing w:after="40"/>
        <w:jc w:val="both"/>
        <w:rPr>
          <w:lang w:eastAsia="zh-CN" w:bidi="th-TH"/>
        </w:rPr>
      </w:pPr>
      <w:r w:rsidRPr="00476A2B">
        <w:rPr>
          <w:lang w:eastAsia="zh-CN" w:bidi="th-TH"/>
        </w:rPr>
        <w:lastRenderedPageBreak/>
        <w:t xml:space="preserve">The value </w:t>
      </w:r>
      <w:r w:rsidR="00702039" w:rsidRPr="00476A2B">
        <w:rPr>
          <w:lang w:eastAsia="zh-CN" w:bidi="th-TH"/>
        </w:rPr>
        <w:t xml:space="preserve">of government administration inputs </w:t>
      </w:r>
      <w:r w:rsidR="001D65B8" w:rsidRPr="00476A2B">
        <w:rPr>
          <w:lang w:eastAsia="zh-CN" w:bidi="th-TH"/>
        </w:rPr>
        <w:t>is</w:t>
      </w:r>
      <w:r w:rsidR="00D3264C" w:rsidRPr="00476A2B">
        <w:rPr>
          <w:lang w:eastAsia="zh-CN" w:bidi="th-TH"/>
        </w:rPr>
        <w:t xml:space="preserve"> $A249,500 per Australian public sector </w:t>
      </w:r>
      <w:r w:rsidR="001D65B8" w:rsidRPr="00476A2B">
        <w:rPr>
          <w:lang w:eastAsia="zh-CN" w:bidi="th-TH"/>
        </w:rPr>
        <w:t>fulltime equivalent (FTE) year, and $NZ</w:t>
      </w:r>
      <w:r w:rsidR="00586F1E" w:rsidRPr="00476A2B">
        <w:rPr>
          <w:lang w:eastAsia="zh-CN" w:bidi="th-TH"/>
        </w:rPr>
        <w:t>228,000 per New Zealand public sector FTE year.</w:t>
      </w:r>
      <w:r w:rsidR="00586F1E" w:rsidRPr="00476A2B">
        <w:rPr>
          <w:rStyle w:val="FootnoteReference"/>
          <w:lang w:eastAsia="zh-CN" w:bidi="th-TH"/>
        </w:rPr>
        <w:footnoteReference w:id="99"/>
      </w:r>
      <w:r w:rsidR="00A23BF8" w:rsidRPr="00476A2B">
        <w:rPr>
          <w:lang w:eastAsia="zh-CN" w:bidi="th-TH"/>
        </w:rPr>
        <w:t xml:space="preserve"> </w:t>
      </w:r>
      <w:r w:rsidR="0005788E" w:rsidRPr="00476A2B">
        <w:rPr>
          <w:lang w:eastAsia="zh-CN" w:bidi="th-TH"/>
        </w:rPr>
        <w:t>The total administration cost was calculated over a 10-year period</w:t>
      </w:r>
      <w:r w:rsidR="00282CCE" w:rsidRPr="00476A2B">
        <w:rPr>
          <w:lang w:eastAsia="zh-CN" w:bidi="th-TH"/>
        </w:rPr>
        <w:t xml:space="preserve"> (refer to Table </w:t>
      </w:r>
      <w:r w:rsidR="00D63FF6" w:rsidRPr="00476A2B">
        <w:rPr>
          <w:lang w:eastAsia="zh-CN" w:bidi="th-TH"/>
        </w:rPr>
        <w:t>5</w:t>
      </w:r>
      <w:r w:rsidR="00282CCE" w:rsidRPr="00476A2B">
        <w:rPr>
          <w:lang w:eastAsia="zh-CN" w:bidi="th-TH"/>
        </w:rPr>
        <w:t xml:space="preserve"> below). The costs for Commonwealth government agencies</w:t>
      </w:r>
      <w:r w:rsidR="00980BEA" w:rsidRPr="00476A2B">
        <w:rPr>
          <w:lang w:eastAsia="zh-CN" w:bidi="th-TH"/>
        </w:rPr>
        <w:t xml:space="preserve"> (Australia) and New Zealand are higher tha</w:t>
      </w:r>
      <w:r w:rsidR="00ED00B4" w:rsidRPr="00476A2B">
        <w:rPr>
          <w:lang w:eastAsia="zh-CN" w:bidi="th-TH"/>
        </w:rPr>
        <w:t>n</w:t>
      </w:r>
      <w:r w:rsidR="00980BEA" w:rsidRPr="00476A2B">
        <w:rPr>
          <w:lang w:eastAsia="zh-CN" w:bidi="th-TH"/>
        </w:rPr>
        <w:t xml:space="preserve"> State and Territory jurisdictions </w:t>
      </w:r>
      <w:r w:rsidR="00ED00B4" w:rsidRPr="00476A2B">
        <w:rPr>
          <w:lang w:eastAsia="zh-CN" w:bidi="th-TH"/>
        </w:rPr>
        <w:t xml:space="preserve">largely </w:t>
      </w:r>
      <w:r w:rsidR="00980BEA" w:rsidRPr="00476A2B">
        <w:rPr>
          <w:lang w:eastAsia="zh-CN" w:bidi="th-TH"/>
        </w:rPr>
        <w:t>due to costs associated with consumer education.</w:t>
      </w:r>
      <w:r w:rsidR="00D47D9F" w:rsidRPr="00476A2B">
        <w:rPr>
          <w:lang w:eastAsia="zh-CN" w:bidi="th-TH"/>
        </w:rPr>
        <w:t xml:space="preserve"> For the purposes of the economic evaluation, it was assumed that </w:t>
      </w:r>
      <w:r w:rsidR="003B5F31" w:rsidRPr="00476A2B">
        <w:rPr>
          <w:lang w:eastAsia="zh-CN" w:bidi="th-TH"/>
        </w:rPr>
        <w:t xml:space="preserve">the Australian Government would bear all the costs for a national </w:t>
      </w:r>
      <w:r w:rsidR="006A7E50" w:rsidRPr="00476A2B">
        <w:rPr>
          <w:lang w:eastAsia="zh-CN" w:bidi="th-TH"/>
        </w:rPr>
        <w:t xml:space="preserve">Australian </w:t>
      </w:r>
      <w:r w:rsidR="003B5F31" w:rsidRPr="00476A2B">
        <w:rPr>
          <w:lang w:eastAsia="zh-CN" w:bidi="th-TH"/>
        </w:rPr>
        <w:t>consumer education strategy</w:t>
      </w:r>
      <w:r w:rsidR="00A25BF9" w:rsidRPr="00476A2B">
        <w:rPr>
          <w:lang w:eastAsia="zh-CN" w:bidi="th-TH"/>
        </w:rPr>
        <w:t xml:space="preserve">, although it is noted that </w:t>
      </w:r>
      <w:r w:rsidR="00C120E7" w:rsidRPr="00476A2B">
        <w:rPr>
          <w:lang w:eastAsia="zh-CN" w:bidi="th-TH"/>
        </w:rPr>
        <w:t xml:space="preserve">State and Territory governments </w:t>
      </w:r>
      <w:r w:rsidR="00495C1D" w:rsidRPr="00476A2B">
        <w:rPr>
          <w:lang w:eastAsia="zh-CN" w:bidi="th-TH"/>
        </w:rPr>
        <w:t xml:space="preserve">are likely to be asked to </w:t>
      </w:r>
      <w:r w:rsidR="00C120E7" w:rsidRPr="00476A2B">
        <w:rPr>
          <w:lang w:eastAsia="zh-CN" w:bidi="th-TH"/>
        </w:rPr>
        <w:t xml:space="preserve">contribute to the cost of consumer education, based on the </w:t>
      </w:r>
      <w:r w:rsidR="00541F1D" w:rsidRPr="00476A2B">
        <w:rPr>
          <w:lang w:eastAsia="zh-CN" w:bidi="th-TH"/>
        </w:rPr>
        <w:t xml:space="preserve">Health Chief Executives’ Forum </w:t>
      </w:r>
      <w:r w:rsidR="00C120E7" w:rsidRPr="00476A2B">
        <w:rPr>
          <w:lang w:eastAsia="zh-CN" w:bidi="th-TH"/>
        </w:rPr>
        <w:t>cost-share formula</w:t>
      </w:r>
      <w:r w:rsidR="00541F1D" w:rsidRPr="00476A2B">
        <w:rPr>
          <w:lang w:eastAsia="zh-CN" w:bidi="th-TH"/>
        </w:rPr>
        <w:t>, as was the case for the Health Star Rating consumer education.</w:t>
      </w:r>
      <w:r w:rsidR="00C120E7" w:rsidRPr="00476A2B">
        <w:rPr>
          <w:lang w:eastAsia="zh-CN" w:bidi="th-TH"/>
        </w:rPr>
        <w:t xml:space="preserve"> </w:t>
      </w:r>
    </w:p>
    <w:p w14:paraId="24BA3DAA" w14:textId="6D4B4405" w:rsidR="00A23BF8" w:rsidRPr="00476A2B" w:rsidRDefault="00A23BF8" w:rsidP="0035645F">
      <w:pPr>
        <w:spacing w:after="40"/>
        <w:jc w:val="both"/>
      </w:pPr>
    </w:p>
    <w:p w14:paraId="4B4161C3" w14:textId="40EF54B2" w:rsidR="003F660C" w:rsidRDefault="0035645F" w:rsidP="0035645F">
      <w:pPr>
        <w:spacing w:after="40"/>
        <w:jc w:val="both"/>
      </w:pPr>
      <w:r w:rsidRPr="00476A2B">
        <w:t xml:space="preserve">Table </w:t>
      </w:r>
      <w:r w:rsidR="00044ACF" w:rsidRPr="00476A2B">
        <w:t>5</w:t>
      </w:r>
      <w:r w:rsidRPr="00476A2B">
        <w:t xml:space="preserve">: </w:t>
      </w:r>
      <w:r w:rsidR="003F660C" w:rsidRPr="00476A2B">
        <w:t>Total Administration Cost</w:t>
      </w:r>
      <w:r w:rsidR="00EF4EA2" w:rsidRPr="00476A2B">
        <w:t xml:space="preserve"> over 10</w:t>
      </w:r>
      <w:r w:rsidR="0012205D" w:rsidRPr="00476A2B">
        <w:t>-</w:t>
      </w:r>
      <w:r w:rsidR="00EF4EA2" w:rsidRPr="00476A2B">
        <w:t>year period</w:t>
      </w:r>
      <w:r w:rsidR="00555FE2" w:rsidRPr="00476A2B">
        <w:t xml:space="preserve"> – central estimation</w:t>
      </w:r>
      <w:r w:rsidR="00555FE2" w:rsidRPr="00476A2B">
        <w:rPr>
          <w:rStyle w:val="FootnoteReference"/>
        </w:rPr>
        <w:footnoteReference w:id="100"/>
      </w:r>
    </w:p>
    <w:p w14:paraId="3890FCB8" w14:textId="77777777" w:rsidR="00555FE2" w:rsidRDefault="00555FE2" w:rsidP="0035645F">
      <w:pPr>
        <w:spacing w:after="40"/>
        <w:jc w:val="both"/>
      </w:pPr>
    </w:p>
    <w:tbl>
      <w:tblPr>
        <w:tblStyle w:val="PlainTable3"/>
        <w:tblW w:w="9067" w:type="dxa"/>
        <w:tblLayout w:type="fixed"/>
        <w:tblLook w:val="04A0" w:firstRow="1" w:lastRow="0" w:firstColumn="1" w:lastColumn="0" w:noHBand="0" w:noVBand="1"/>
      </w:tblPr>
      <w:tblGrid>
        <w:gridCol w:w="3261"/>
        <w:gridCol w:w="1935"/>
        <w:gridCol w:w="1935"/>
        <w:gridCol w:w="1936"/>
      </w:tblGrid>
      <w:tr w:rsidR="005E6918" w:rsidRPr="00B03297" w14:paraId="02858497" w14:textId="77777777" w:rsidTr="000D2ED0">
        <w:trPr>
          <w:cnfStyle w:val="100000000000" w:firstRow="1" w:lastRow="0" w:firstColumn="0" w:lastColumn="0" w:oddVBand="0" w:evenVBand="0" w:oddHBand="0" w:evenHBand="0" w:firstRowFirstColumn="0" w:firstRowLastColumn="0" w:lastRowFirstColumn="0" w:lastRowLastColumn="0"/>
          <w:trHeight w:val="290"/>
        </w:trPr>
        <w:tc>
          <w:tcPr>
            <w:cnfStyle w:val="001000000100" w:firstRow="0" w:lastRow="0" w:firstColumn="1" w:lastColumn="0" w:oddVBand="0" w:evenVBand="0" w:oddHBand="0" w:evenHBand="0" w:firstRowFirstColumn="1" w:firstRowLastColumn="0" w:lastRowFirstColumn="0" w:lastRowLastColumn="0"/>
            <w:tcW w:w="3261" w:type="dxa"/>
          </w:tcPr>
          <w:p w14:paraId="690F6519" w14:textId="77777777" w:rsidR="005E6918" w:rsidRPr="00AF09F5" w:rsidRDefault="005E6918" w:rsidP="00E15858">
            <w:pPr>
              <w:spacing w:after="40"/>
            </w:pPr>
            <w:r w:rsidRPr="00AF09F5">
              <w:rPr>
                <w:caps w:val="0"/>
              </w:rPr>
              <w:t>Jurisdiction</w:t>
            </w:r>
          </w:p>
        </w:tc>
        <w:tc>
          <w:tcPr>
            <w:tcW w:w="1935" w:type="dxa"/>
          </w:tcPr>
          <w:p w14:paraId="6ADF9B30" w14:textId="0FDBE973" w:rsidR="005E6918" w:rsidRPr="00E45CA5" w:rsidRDefault="00E15858" w:rsidP="00E15858">
            <w:pPr>
              <w:spacing w:after="40"/>
              <w:jc w:val="center"/>
              <w:cnfStyle w:val="100000000000" w:firstRow="1" w:lastRow="0" w:firstColumn="0" w:lastColumn="0" w:oddVBand="0" w:evenVBand="0" w:oddHBand="0" w:evenHBand="0" w:firstRowFirstColumn="0" w:firstRowLastColumn="0" w:lastRowFirstColumn="0" w:lastRowLastColumn="0"/>
              <w:rPr>
                <w:caps w:val="0"/>
              </w:rPr>
            </w:pPr>
            <w:r w:rsidRPr="00F95554">
              <w:rPr>
                <w:caps w:val="0"/>
              </w:rPr>
              <w:t xml:space="preserve">Administration cost of </w:t>
            </w:r>
            <w:r w:rsidR="00555FE2">
              <w:rPr>
                <w:caps w:val="0"/>
              </w:rPr>
              <w:t>Option</w:t>
            </w:r>
            <w:r w:rsidR="00555FE2" w:rsidRPr="00F95554">
              <w:t xml:space="preserve"> 2</w:t>
            </w:r>
          </w:p>
        </w:tc>
        <w:tc>
          <w:tcPr>
            <w:tcW w:w="1935" w:type="dxa"/>
          </w:tcPr>
          <w:p w14:paraId="1F517507" w14:textId="0C057474" w:rsidR="005E6918" w:rsidRPr="00E45CA5" w:rsidRDefault="00E15858" w:rsidP="00E15858">
            <w:pPr>
              <w:spacing w:after="40"/>
              <w:jc w:val="center"/>
              <w:cnfStyle w:val="100000000000" w:firstRow="1" w:lastRow="0" w:firstColumn="0" w:lastColumn="0" w:oddVBand="0" w:evenVBand="0" w:oddHBand="0" w:evenHBand="0" w:firstRowFirstColumn="0" w:firstRowLastColumn="0" w:lastRowFirstColumn="0" w:lastRowLastColumn="0"/>
              <w:rPr>
                <w:caps w:val="0"/>
                <w:lang w:eastAsia="zh-CN" w:bidi="th-TH"/>
              </w:rPr>
            </w:pPr>
            <w:r w:rsidRPr="00F95554">
              <w:rPr>
                <w:caps w:val="0"/>
              </w:rPr>
              <w:t xml:space="preserve">Administration cost of </w:t>
            </w:r>
            <w:r w:rsidR="00555FE2">
              <w:rPr>
                <w:caps w:val="0"/>
              </w:rPr>
              <w:t>Option</w:t>
            </w:r>
            <w:r w:rsidR="00C15249" w:rsidRPr="00F95554">
              <w:t xml:space="preserve"> 3</w:t>
            </w:r>
          </w:p>
        </w:tc>
        <w:tc>
          <w:tcPr>
            <w:tcW w:w="1936" w:type="dxa"/>
          </w:tcPr>
          <w:p w14:paraId="1303594C" w14:textId="6EDA2E09" w:rsidR="005E6918" w:rsidRPr="00E45CA5" w:rsidRDefault="00E15858" w:rsidP="00E15858">
            <w:pPr>
              <w:spacing w:after="40"/>
              <w:jc w:val="center"/>
              <w:cnfStyle w:val="100000000000" w:firstRow="1" w:lastRow="0" w:firstColumn="0" w:lastColumn="0" w:oddVBand="0" w:evenVBand="0" w:oddHBand="0" w:evenHBand="0" w:firstRowFirstColumn="0" w:firstRowLastColumn="0" w:lastRowFirstColumn="0" w:lastRowLastColumn="0"/>
              <w:rPr>
                <w:lang w:eastAsia="zh-CN" w:bidi="th-TH"/>
              </w:rPr>
            </w:pPr>
            <w:r w:rsidRPr="00F95554">
              <w:rPr>
                <w:caps w:val="0"/>
              </w:rPr>
              <w:t xml:space="preserve">Administration cost of </w:t>
            </w:r>
            <w:r w:rsidR="00555FE2">
              <w:rPr>
                <w:caps w:val="0"/>
              </w:rPr>
              <w:t>Option</w:t>
            </w:r>
            <w:r w:rsidR="00C15249" w:rsidRPr="00F95554">
              <w:t xml:space="preserve"> </w:t>
            </w:r>
            <w:r w:rsidR="005E6918" w:rsidRPr="00F95554">
              <w:t>4</w:t>
            </w:r>
          </w:p>
        </w:tc>
      </w:tr>
      <w:tr w:rsidR="00E6650B" w:rsidRPr="007303DE" w14:paraId="7EB9646B" w14:textId="77777777" w:rsidTr="00E45CA5">
        <w:trPr>
          <w:cnfStyle w:val="000000100000" w:firstRow="0" w:lastRow="0" w:firstColumn="0" w:lastColumn="0" w:oddVBand="0" w:evenVBand="0" w:oddHBand="1"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0" w:type="dxa"/>
            <w:vAlign w:val="center"/>
          </w:tcPr>
          <w:p w14:paraId="2EF11B7B" w14:textId="1948C49E" w:rsidR="00E6650B" w:rsidRPr="00AF09F5" w:rsidRDefault="00E6650B" w:rsidP="00E15858">
            <w:pPr>
              <w:spacing w:after="40"/>
              <w:rPr>
                <w:b w:val="0"/>
                <w:bCs w:val="0"/>
              </w:rPr>
            </w:pPr>
            <w:r w:rsidRPr="00AF09F5">
              <w:rPr>
                <w:caps w:val="0"/>
              </w:rPr>
              <w:t>Australian jurisdictions already with menu labelling</w:t>
            </w:r>
          </w:p>
        </w:tc>
        <w:tc>
          <w:tcPr>
            <w:tcW w:w="0" w:type="dxa"/>
            <w:vAlign w:val="center"/>
          </w:tcPr>
          <w:p w14:paraId="72B8137A" w14:textId="77777777" w:rsidR="00E6650B" w:rsidRPr="00AF09F5" w:rsidRDefault="00E6650B" w:rsidP="00E15858">
            <w:pPr>
              <w:spacing w:after="40"/>
              <w:jc w:val="center"/>
              <w:cnfStyle w:val="000000100000" w:firstRow="0" w:lastRow="0" w:firstColumn="0" w:lastColumn="0" w:oddVBand="0" w:evenVBand="0" w:oddHBand="1" w:evenHBand="0" w:firstRowFirstColumn="0" w:firstRowLastColumn="0" w:lastRowFirstColumn="0" w:lastRowLastColumn="0"/>
              <w:rPr>
                <w:lang w:eastAsia="zh-CN" w:bidi="th-TH"/>
              </w:rPr>
            </w:pPr>
            <w:r w:rsidRPr="00AF09F5">
              <w:rPr>
                <w:lang w:eastAsia="zh-CN" w:bidi="th-TH"/>
              </w:rPr>
              <w:t>1.6M</w:t>
            </w:r>
          </w:p>
        </w:tc>
        <w:tc>
          <w:tcPr>
            <w:tcW w:w="0" w:type="dxa"/>
            <w:vAlign w:val="center"/>
          </w:tcPr>
          <w:p w14:paraId="1AD013D7" w14:textId="77777777" w:rsidR="00E6650B" w:rsidRPr="00AF09F5" w:rsidRDefault="00E6650B" w:rsidP="00E15858">
            <w:pPr>
              <w:spacing w:after="40"/>
              <w:jc w:val="center"/>
              <w:cnfStyle w:val="000000100000" w:firstRow="0" w:lastRow="0" w:firstColumn="0" w:lastColumn="0" w:oddVBand="0" w:evenVBand="0" w:oddHBand="1" w:evenHBand="0" w:firstRowFirstColumn="0" w:firstRowLastColumn="0" w:lastRowFirstColumn="0" w:lastRowLastColumn="0"/>
              <w:rPr>
                <w:lang w:eastAsia="zh-CN" w:bidi="th-TH"/>
              </w:rPr>
            </w:pPr>
            <w:r w:rsidRPr="00AF09F5">
              <w:rPr>
                <w:lang w:eastAsia="zh-CN" w:bidi="th-TH"/>
              </w:rPr>
              <w:t>1.5M</w:t>
            </w:r>
          </w:p>
        </w:tc>
        <w:tc>
          <w:tcPr>
            <w:tcW w:w="0" w:type="dxa"/>
            <w:vAlign w:val="center"/>
          </w:tcPr>
          <w:p w14:paraId="3B95D92D" w14:textId="77777777" w:rsidR="00E6650B" w:rsidRPr="00AF09F5" w:rsidRDefault="00E6650B" w:rsidP="00E15858">
            <w:pPr>
              <w:spacing w:after="40"/>
              <w:jc w:val="center"/>
              <w:cnfStyle w:val="000000100000" w:firstRow="0" w:lastRow="0" w:firstColumn="0" w:lastColumn="0" w:oddVBand="0" w:evenVBand="0" w:oddHBand="1" w:evenHBand="0" w:firstRowFirstColumn="0" w:firstRowLastColumn="0" w:lastRowFirstColumn="0" w:lastRowLastColumn="0"/>
              <w:rPr>
                <w:lang w:eastAsia="zh-CN" w:bidi="th-TH"/>
              </w:rPr>
            </w:pPr>
            <w:r w:rsidRPr="00AF09F5">
              <w:rPr>
                <w:lang w:eastAsia="zh-CN" w:bidi="th-TH"/>
              </w:rPr>
              <w:t>0.5M</w:t>
            </w:r>
          </w:p>
        </w:tc>
      </w:tr>
      <w:tr w:rsidR="00E6650B" w:rsidRPr="007303DE" w14:paraId="2E650698" w14:textId="77777777" w:rsidTr="00AF09F5">
        <w:tc>
          <w:tcPr>
            <w:cnfStyle w:val="001000000000" w:firstRow="0" w:lastRow="0" w:firstColumn="1" w:lastColumn="0" w:oddVBand="0" w:evenVBand="0" w:oddHBand="0" w:evenHBand="0" w:firstRowFirstColumn="0" w:firstRowLastColumn="0" w:lastRowFirstColumn="0" w:lastRowLastColumn="0"/>
            <w:tcW w:w="3261" w:type="dxa"/>
            <w:vAlign w:val="center"/>
          </w:tcPr>
          <w:p w14:paraId="294E4B3E" w14:textId="17ABB373" w:rsidR="00E6650B" w:rsidRPr="00AF09F5" w:rsidRDefault="00E6650B" w:rsidP="00E15858">
            <w:pPr>
              <w:spacing w:after="40"/>
              <w:rPr>
                <w:b w:val="0"/>
                <w:bCs w:val="0"/>
              </w:rPr>
            </w:pPr>
            <w:r w:rsidRPr="00AF09F5">
              <w:rPr>
                <w:caps w:val="0"/>
              </w:rPr>
              <w:t>Australian jurisdictions without menu labelling</w:t>
            </w:r>
          </w:p>
        </w:tc>
        <w:tc>
          <w:tcPr>
            <w:tcW w:w="1935" w:type="dxa"/>
            <w:vAlign w:val="center"/>
          </w:tcPr>
          <w:p w14:paraId="3BA9526E" w14:textId="77777777" w:rsidR="00E6650B" w:rsidRPr="00AF09F5" w:rsidRDefault="00E6650B" w:rsidP="00E15858">
            <w:pPr>
              <w:spacing w:after="40"/>
              <w:jc w:val="center"/>
              <w:cnfStyle w:val="000000000000" w:firstRow="0" w:lastRow="0" w:firstColumn="0" w:lastColumn="0" w:oddVBand="0" w:evenVBand="0" w:oddHBand="0" w:evenHBand="0" w:firstRowFirstColumn="0" w:firstRowLastColumn="0" w:lastRowFirstColumn="0" w:lastRowLastColumn="0"/>
              <w:rPr>
                <w:lang w:eastAsia="zh-CN" w:bidi="th-TH"/>
              </w:rPr>
            </w:pPr>
            <w:r w:rsidRPr="00AF09F5">
              <w:rPr>
                <w:lang w:eastAsia="zh-CN" w:bidi="th-TH"/>
              </w:rPr>
              <w:t>0.1M</w:t>
            </w:r>
          </w:p>
        </w:tc>
        <w:tc>
          <w:tcPr>
            <w:tcW w:w="1935" w:type="dxa"/>
            <w:vAlign w:val="center"/>
          </w:tcPr>
          <w:p w14:paraId="69CC15AF" w14:textId="77777777" w:rsidR="00E6650B" w:rsidRPr="00AF09F5" w:rsidRDefault="00E6650B" w:rsidP="00E15858">
            <w:pPr>
              <w:spacing w:after="40"/>
              <w:jc w:val="center"/>
              <w:cnfStyle w:val="000000000000" w:firstRow="0" w:lastRow="0" w:firstColumn="0" w:lastColumn="0" w:oddVBand="0" w:evenVBand="0" w:oddHBand="0" w:evenHBand="0" w:firstRowFirstColumn="0" w:firstRowLastColumn="0" w:lastRowFirstColumn="0" w:lastRowLastColumn="0"/>
              <w:rPr>
                <w:lang w:eastAsia="zh-CN" w:bidi="th-TH"/>
              </w:rPr>
            </w:pPr>
            <w:r w:rsidRPr="00AF09F5">
              <w:rPr>
                <w:lang w:eastAsia="zh-CN" w:bidi="th-TH"/>
              </w:rPr>
              <w:t>4.5M</w:t>
            </w:r>
          </w:p>
        </w:tc>
        <w:tc>
          <w:tcPr>
            <w:tcW w:w="1936" w:type="dxa"/>
            <w:vAlign w:val="center"/>
          </w:tcPr>
          <w:p w14:paraId="5568BE9A" w14:textId="77777777" w:rsidR="00E6650B" w:rsidRPr="00AF09F5" w:rsidRDefault="00E6650B" w:rsidP="00E15858">
            <w:pPr>
              <w:spacing w:after="40"/>
              <w:jc w:val="center"/>
              <w:cnfStyle w:val="000000000000" w:firstRow="0" w:lastRow="0" w:firstColumn="0" w:lastColumn="0" w:oddVBand="0" w:evenVBand="0" w:oddHBand="0" w:evenHBand="0" w:firstRowFirstColumn="0" w:firstRowLastColumn="0" w:lastRowFirstColumn="0" w:lastRowLastColumn="0"/>
              <w:rPr>
                <w:lang w:eastAsia="zh-CN" w:bidi="th-TH"/>
              </w:rPr>
            </w:pPr>
            <w:r w:rsidRPr="00AF09F5">
              <w:rPr>
                <w:lang w:eastAsia="zh-CN" w:bidi="th-TH"/>
              </w:rPr>
              <w:t>0.1M</w:t>
            </w:r>
          </w:p>
        </w:tc>
      </w:tr>
      <w:tr w:rsidR="00E6650B" w:rsidRPr="007303DE" w14:paraId="442FFD17" w14:textId="77777777" w:rsidTr="00AF09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vAlign w:val="center"/>
          </w:tcPr>
          <w:p w14:paraId="74BAB73A" w14:textId="77777777" w:rsidR="00E6650B" w:rsidRPr="00AF09F5" w:rsidRDefault="00E6650B" w:rsidP="00E15858">
            <w:pPr>
              <w:spacing w:after="40"/>
              <w:rPr>
                <w:b w:val="0"/>
                <w:bCs w:val="0"/>
              </w:rPr>
            </w:pPr>
            <w:r w:rsidRPr="00AF09F5">
              <w:rPr>
                <w:caps w:val="0"/>
              </w:rPr>
              <w:t>Commonwealth government agencies: Australia</w:t>
            </w:r>
          </w:p>
        </w:tc>
        <w:tc>
          <w:tcPr>
            <w:tcW w:w="1935" w:type="dxa"/>
            <w:vAlign w:val="center"/>
          </w:tcPr>
          <w:p w14:paraId="3318A96C" w14:textId="77777777" w:rsidR="00E6650B" w:rsidRPr="00AF09F5" w:rsidRDefault="00E6650B" w:rsidP="00E15858">
            <w:pPr>
              <w:spacing w:after="40"/>
              <w:jc w:val="center"/>
              <w:cnfStyle w:val="000000100000" w:firstRow="0" w:lastRow="0" w:firstColumn="0" w:lastColumn="0" w:oddVBand="0" w:evenVBand="0" w:oddHBand="1" w:evenHBand="0" w:firstRowFirstColumn="0" w:firstRowLastColumn="0" w:lastRowFirstColumn="0" w:lastRowLastColumn="0"/>
              <w:rPr>
                <w:lang w:eastAsia="zh-CN" w:bidi="th-TH"/>
              </w:rPr>
            </w:pPr>
            <w:r w:rsidRPr="00AF09F5">
              <w:rPr>
                <w:lang w:eastAsia="zh-CN" w:bidi="th-TH"/>
              </w:rPr>
              <w:t>18.3M</w:t>
            </w:r>
          </w:p>
        </w:tc>
        <w:tc>
          <w:tcPr>
            <w:tcW w:w="1935" w:type="dxa"/>
            <w:vAlign w:val="center"/>
          </w:tcPr>
          <w:p w14:paraId="2BBADB9B" w14:textId="77777777" w:rsidR="00E6650B" w:rsidRPr="00AF09F5" w:rsidRDefault="00E6650B" w:rsidP="00E15858">
            <w:pPr>
              <w:spacing w:after="40"/>
              <w:jc w:val="center"/>
              <w:cnfStyle w:val="000000100000" w:firstRow="0" w:lastRow="0" w:firstColumn="0" w:lastColumn="0" w:oddVBand="0" w:evenVBand="0" w:oddHBand="1" w:evenHBand="0" w:firstRowFirstColumn="0" w:firstRowLastColumn="0" w:lastRowFirstColumn="0" w:lastRowLastColumn="0"/>
              <w:rPr>
                <w:lang w:eastAsia="zh-CN" w:bidi="th-TH"/>
              </w:rPr>
            </w:pPr>
            <w:r w:rsidRPr="00AF09F5">
              <w:rPr>
                <w:lang w:eastAsia="zh-CN" w:bidi="th-TH"/>
              </w:rPr>
              <w:t>31.5M</w:t>
            </w:r>
          </w:p>
        </w:tc>
        <w:tc>
          <w:tcPr>
            <w:tcW w:w="1936" w:type="dxa"/>
            <w:vAlign w:val="center"/>
          </w:tcPr>
          <w:p w14:paraId="7D51BF97" w14:textId="77777777" w:rsidR="00E6650B" w:rsidRPr="00AF09F5" w:rsidRDefault="00E6650B" w:rsidP="00E15858">
            <w:pPr>
              <w:spacing w:after="40"/>
              <w:jc w:val="center"/>
              <w:cnfStyle w:val="000000100000" w:firstRow="0" w:lastRow="0" w:firstColumn="0" w:lastColumn="0" w:oddVBand="0" w:evenVBand="0" w:oddHBand="1" w:evenHBand="0" w:firstRowFirstColumn="0" w:firstRowLastColumn="0" w:lastRowFirstColumn="0" w:lastRowLastColumn="0"/>
              <w:rPr>
                <w:lang w:eastAsia="zh-CN" w:bidi="th-TH"/>
              </w:rPr>
            </w:pPr>
            <w:r w:rsidRPr="00AF09F5">
              <w:rPr>
                <w:lang w:eastAsia="zh-CN" w:bidi="th-TH"/>
              </w:rPr>
              <w:t>12.2M</w:t>
            </w:r>
          </w:p>
        </w:tc>
      </w:tr>
      <w:tr w:rsidR="00E6650B" w:rsidRPr="007303DE" w14:paraId="6193B0CA" w14:textId="77777777" w:rsidTr="000D2ED0">
        <w:trPr>
          <w:trHeight w:val="611"/>
        </w:trPr>
        <w:tc>
          <w:tcPr>
            <w:cnfStyle w:val="001000000000" w:firstRow="0" w:lastRow="0" w:firstColumn="1" w:lastColumn="0" w:oddVBand="0" w:evenVBand="0" w:oddHBand="0" w:evenHBand="0" w:firstRowFirstColumn="0" w:firstRowLastColumn="0" w:lastRowFirstColumn="0" w:lastRowLastColumn="0"/>
            <w:tcW w:w="3261" w:type="dxa"/>
            <w:vAlign w:val="center"/>
          </w:tcPr>
          <w:p w14:paraId="6479B8D1" w14:textId="6FDB24EB" w:rsidR="000D2ED0" w:rsidRPr="000D2ED0" w:rsidRDefault="00E6650B" w:rsidP="00E15858">
            <w:pPr>
              <w:spacing w:after="40"/>
              <w:rPr>
                <w:b w:val="0"/>
                <w:bCs w:val="0"/>
              </w:rPr>
            </w:pPr>
            <w:r w:rsidRPr="00AF09F5">
              <w:rPr>
                <w:caps w:val="0"/>
              </w:rPr>
              <w:t>New Zealand</w:t>
            </w:r>
          </w:p>
        </w:tc>
        <w:tc>
          <w:tcPr>
            <w:tcW w:w="1935" w:type="dxa"/>
            <w:vAlign w:val="center"/>
          </w:tcPr>
          <w:p w14:paraId="1423FBBF" w14:textId="77777777" w:rsidR="00E6650B" w:rsidRPr="00AF09F5" w:rsidRDefault="00E6650B" w:rsidP="00E15858">
            <w:pPr>
              <w:spacing w:after="40"/>
              <w:jc w:val="center"/>
              <w:cnfStyle w:val="000000000000" w:firstRow="0" w:lastRow="0" w:firstColumn="0" w:lastColumn="0" w:oddVBand="0" w:evenVBand="0" w:oddHBand="0" w:evenHBand="0" w:firstRowFirstColumn="0" w:firstRowLastColumn="0" w:lastRowFirstColumn="0" w:lastRowLastColumn="0"/>
              <w:rPr>
                <w:lang w:eastAsia="zh-CN" w:bidi="th-TH"/>
              </w:rPr>
            </w:pPr>
            <w:r w:rsidRPr="00AF09F5">
              <w:rPr>
                <w:lang w:eastAsia="zh-CN" w:bidi="th-TH"/>
              </w:rPr>
              <w:t>4.8M</w:t>
            </w:r>
          </w:p>
        </w:tc>
        <w:tc>
          <w:tcPr>
            <w:tcW w:w="1935" w:type="dxa"/>
            <w:vAlign w:val="center"/>
          </w:tcPr>
          <w:p w14:paraId="409B5094" w14:textId="77777777" w:rsidR="00E6650B" w:rsidRPr="00AF09F5" w:rsidRDefault="00E6650B" w:rsidP="00E15858">
            <w:pPr>
              <w:spacing w:after="40"/>
              <w:jc w:val="center"/>
              <w:cnfStyle w:val="000000000000" w:firstRow="0" w:lastRow="0" w:firstColumn="0" w:lastColumn="0" w:oddVBand="0" w:evenVBand="0" w:oddHBand="0" w:evenHBand="0" w:firstRowFirstColumn="0" w:firstRowLastColumn="0" w:lastRowFirstColumn="0" w:lastRowLastColumn="0"/>
              <w:rPr>
                <w:lang w:eastAsia="zh-CN" w:bidi="th-TH"/>
              </w:rPr>
            </w:pPr>
            <w:r w:rsidRPr="00AF09F5">
              <w:rPr>
                <w:lang w:eastAsia="zh-CN" w:bidi="th-TH"/>
              </w:rPr>
              <w:t>9.0M</w:t>
            </w:r>
          </w:p>
        </w:tc>
        <w:tc>
          <w:tcPr>
            <w:tcW w:w="1936" w:type="dxa"/>
            <w:vAlign w:val="center"/>
          </w:tcPr>
          <w:p w14:paraId="3DE3A73D" w14:textId="77777777" w:rsidR="00E6650B" w:rsidRPr="00AF09F5" w:rsidRDefault="00E6650B" w:rsidP="00E15858">
            <w:pPr>
              <w:spacing w:after="40"/>
              <w:jc w:val="center"/>
              <w:cnfStyle w:val="000000000000" w:firstRow="0" w:lastRow="0" w:firstColumn="0" w:lastColumn="0" w:oddVBand="0" w:evenVBand="0" w:oddHBand="0" w:evenHBand="0" w:firstRowFirstColumn="0" w:firstRowLastColumn="0" w:lastRowFirstColumn="0" w:lastRowLastColumn="0"/>
              <w:rPr>
                <w:lang w:eastAsia="zh-CN" w:bidi="th-TH"/>
              </w:rPr>
            </w:pPr>
            <w:r w:rsidRPr="00AF09F5">
              <w:rPr>
                <w:lang w:eastAsia="zh-CN" w:bidi="th-TH"/>
              </w:rPr>
              <w:t>4.7M</w:t>
            </w:r>
          </w:p>
        </w:tc>
      </w:tr>
    </w:tbl>
    <w:p w14:paraId="2BB65128" w14:textId="77777777" w:rsidR="00541F1D" w:rsidRDefault="00541F1D" w:rsidP="00541F1D">
      <w:pPr>
        <w:spacing w:after="40"/>
        <w:jc w:val="both"/>
      </w:pPr>
    </w:p>
    <w:p w14:paraId="61B2CA17" w14:textId="63B82D7F" w:rsidR="00750CBB" w:rsidRDefault="00750CBB" w:rsidP="00F53A05">
      <w:pPr>
        <w:pStyle w:val="Heading3"/>
      </w:pPr>
      <w:r>
        <w:t>5.</w:t>
      </w:r>
      <w:r w:rsidR="00EB738A">
        <w:t>5</w:t>
      </w:r>
      <w:r>
        <w:t xml:space="preserve"> Benefits</w:t>
      </w:r>
      <w:r w:rsidR="001424CC">
        <w:t xml:space="preserve"> to society</w:t>
      </w:r>
    </w:p>
    <w:p w14:paraId="73780008" w14:textId="3BFEA780" w:rsidR="004B7429" w:rsidRPr="004B7429" w:rsidRDefault="00A10AE8" w:rsidP="007F2E20">
      <w:pPr>
        <w:jc w:val="both"/>
      </w:pPr>
      <w:r>
        <w:t>Compared to the status quo, i</w:t>
      </w:r>
      <w:r w:rsidR="004B7429">
        <w:t>t is anticipated that c</w:t>
      </w:r>
      <w:r w:rsidR="004B7429" w:rsidRPr="004B7429">
        <w:t xml:space="preserve">onsumers living in jurisdictions </w:t>
      </w:r>
      <w:r w:rsidR="004B7429">
        <w:t>where</w:t>
      </w:r>
      <w:r w:rsidR="004B7429" w:rsidRPr="004B7429">
        <w:t xml:space="preserve"> menu labelling</w:t>
      </w:r>
      <w:r w:rsidR="004B7429">
        <w:t xml:space="preserve"> is implemented</w:t>
      </w:r>
      <w:r w:rsidR="004B7429" w:rsidRPr="004B7429">
        <w:t>:</w:t>
      </w:r>
    </w:p>
    <w:p w14:paraId="5DA618BB" w14:textId="772BEB71" w:rsidR="004B7429" w:rsidRPr="00A406C6" w:rsidRDefault="0095527D" w:rsidP="007F2E20">
      <w:pPr>
        <w:pStyle w:val="ListParagraph"/>
        <w:numPr>
          <w:ilvl w:val="0"/>
          <w:numId w:val="3"/>
        </w:numPr>
        <w:spacing w:after="40"/>
        <w:jc w:val="both"/>
        <w:rPr>
          <w:lang w:eastAsia="zh-CN" w:bidi="th-TH"/>
        </w:rPr>
      </w:pPr>
      <w:r>
        <w:rPr>
          <w:lang w:eastAsia="zh-CN" w:bidi="th-TH"/>
        </w:rPr>
        <w:t xml:space="preserve">would have </w:t>
      </w:r>
      <w:r w:rsidR="004B7429">
        <w:rPr>
          <w:lang w:eastAsia="zh-CN" w:bidi="th-TH"/>
        </w:rPr>
        <w:t>a</w:t>
      </w:r>
      <w:r w:rsidR="004B7429" w:rsidRPr="00A406C6">
        <w:rPr>
          <w:lang w:eastAsia="zh-CN" w:bidi="th-TH"/>
        </w:rPr>
        <w:t xml:space="preserve">ccessible, clear, legible, easy-to-read, easy-to-interpret and easy-to-compare energy information for </w:t>
      </w:r>
      <w:r w:rsidR="004B7429" w:rsidRPr="004B7429">
        <w:rPr>
          <w:lang w:eastAsia="zh-CN" w:bidi="th-TH"/>
        </w:rPr>
        <w:t xml:space="preserve">more </w:t>
      </w:r>
      <w:r w:rsidR="004B7429" w:rsidRPr="00A406C6">
        <w:rPr>
          <w:lang w:eastAsia="zh-CN" w:bidi="th-TH"/>
        </w:rPr>
        <w:t>food and drinks at the point-of-sale in more businesses that sell standard food items</w:t>
      </w:r>
      <w:r w:rsidR="00441F4D">
        <w:rPr>
          <w:lang w:eastAsia="zh-CN" w:bidi="th-TH"/>
        </w:rPr>
        <w:t>;</w:t>
      </w:r>
    </w:p>
    <w:p w14:paraId="5FCD78D1" w14:textId="6522D3D2" w:rsidR="00036FB7" w:rsidRPr="00476A2B" w:rsidRDefault="0095527D" w:rsidP="007F2E20">
      <w:pPr>
        <w:pStyle w:val="ListParagraph"/>
        <w:numPr>
          <w:ilvl w:val="0"/>
          <w:numId w:val="3"/>
        </w:numPr>
        <w:spacing w:after="40"/>
        <w:jc w:val="both"/>
        <w:rPr>
          <w:lang w:eastAsia="zh-CN" w:bidi="th-TH"/>
        </w:rPr>
      </w:pPr>
      <w:r>
        <w:rPr>
          <w:lang w:eastAsia="zh-CN" w:bidi="th-TH"/>
        </w:rPr>
        <w:t xml:space="preserve">could make </w:t>
      </w:r>
      <w:r w:rsidR="007B6BD6">
        <w:rPr>
          <w:lang w:eastAsia="zh-CN" w:bidi="th-TH"/>
        </w:rPr>
        <w:t>e</w:t>
      </w:r>
      <w:r w:rsidR="004B7429" w:rsidRPr="00A406C6">
        <w:rPr>
          <w:lang w:eastAsia="zh-CN" w:bidi="th-TH"/>
        </w:rPr>
        <w:t>asier comparison</w:t>
      </w:r>
      <w:r>
        <w:rPr>
          <w:lang w:eastAsia="zh-CN" w:bidi="th-TH"/>
        </w:rPr>
        <w:t>s</w:t>
      </w:r>
      <w:r w:rsidR="004B7429" w:rsidRPr="00A406C6">
        <w:rPr>
          <w:lang w:eastAsia="zh-CN" w:bidi="th-TH"/>
        </w:rPr>
        <w:t xml:space="preserve"> of menu choices within a business, and across different </w:t>
      </w:r>
      <w:r w:rsidR="004B7429" w:rsidRPr="00476A2B">
        <w:rPr>
          <w:lang w:eastAsia="zh-CN" w:bidi="th-TH"/>
        </w:rPr>
        <w:t>businesses on third-party food delivery platforms</w:t>
      </w:r>
      <w:r w:rsidR="00441F4D" w:rsidRPr="00476A2B">
        <w:rPr>
          <w:lang w:eastAsia="zh-CN" w:bidi="th-TH"/>
        </w:rPr>
        <w:t>;</w:t>
      </w:r>
      <w:r w:rsidR="009F6D8F" w:rsidRPr="00476A2B">
        <w:rPr>
          <w:lang w:eastAsia="zh-CN" w:bidi="th-TH"/>
        </w:rPr>
        <w:t xml:space="preserve"> and</w:t>
      </w:r>
    </w:p>
    <w:p w14:paraId="5983AF71" w14:textId="4D5DCCC7" w:rsidR="00036FB7" w:rsidRPr="00476A2B" w:rsidRDefault="00036FB7" w:rsidP="007F2E20">
      <w:pPr>
        <w:pStyle w:val="ListParagraph"/>
        <w:numPr>
          <w:ilvl w:val="0"/>
          <w:numId w:val="3"/>
        </w:numPr>
        <w:jc w:val="both"/>
      </w:pPr>
      <w:r w:rsidRPr="00476A2B">
        <w:rPr>
          <w:lang w:eastAsia="zh-CN" w:bidi="th-TH"/>
        </w:rPr>
        <w:t xml:space="preserve">would have more opportunities to use menu labelling to make healthier eating decisions </w:t>
      </w:r>
      <w:r w:rsidR="003D737D" w:rsidRPr="00476A2B">
        <w:rPr>
          <w:lang w:eastAsia="zh-CN" w:bidi="th-TH"/>
        </w:rPr>
        <w:t xml:space="preserve">which </w:t>
      </w:r>
      <w:r w:rsidRPr="00476A2B">
        <w:rPr>
          <w:lang w:eastAsia="zh-CN" w:bidi="th-TH"/>
        </w:rPr>
        <w:t>could contribute to more individuals reducing their daily energy intake and body weight, thus reducing the risk of obesity and other chronic diseases.</w:t>
      </w:r>
    </w:p>
    <w:p w14:paraId="382A4D76" w14:textId="77777777" w:rsidR="00C60812" w:rsidRDefault="00C60812" w:rsidP="00513D6B"/>
    <w:p w14:paraId="003C1F2D" w14:textId="40875824" w:rsidR="004B7429" w:rsidRPr="00476A2B" w:rsidRDefault="00C047C0" w:rsidP="007F2E20">
      <w:pPr>
        <w:jc w:val="both"/>
      </w:pPr>
      <w:r>
        <w:t xml:space="preserve">The degree to which this could occur is dependent on </w:t>
      </w:r>
      <w:r w:rsidR="00C60812">
        <w:t xml:space="preserve">the policy option. For Option 2, it applies to consumers living in </w:t>
      </w:r>
      <w:r w:rsidR="00AF42D6">
        <w:t>jurisdictions that chose to implement menu labe</w:t>
      </w:r>
      <w:r w:rsidR="004C2421">
        <w:t>l</w:t>
      </w:r>
      <w:r w:rsidR="00AF42D6">
        <w:t>ling legislation.</w:t>
      </w:r>
      <w:r w:rsidR="00C60812">
        <w:t xml:space="preserve"> </w:t>
      </w:r>
      <w:r w:rsidR="00AF42D6">
        <w:t xml:space="preserve">For Option 3, </w:t>
      </w:r>
      <w:r w:rsidR="008921E5">
        <w:t xml:space="preserve">it </w:t>
      </w:r>
      <w:r w:rsidR="008921E5" w:rsidRPr="00476A2B">
        <w:t xml:space="preserve">applies to all Australian and New Zealand consumers. For Option 4, it applies to consumers visiting businesses that voluntarily </w:t>
      </w:r>
      <w:r w:rsidR="00FF5B44" w:rsidRPr="00476A2B">
        <w:t xml:space="preserve">implement menu labelling </w:t>
      </w:r>
      <w:r w:rsidR="008921E5" w:rsidRPr="00476A2B">
        <w:t>enhance</w:t>
      </w:r>
      <w:r w:rsidR="00FF5B44" w:rsidRPr="00476A2B">
        <w:t>ments.</w:t>
      </w:r>
      <w:r w:rsidR="008921E5" w:rsidRPr="00476A2B">
        <w:t xml:space="preserve"> </w:t>
      </w:r>
    </w:p>
    <w:p w14:paraId="1ED43AD8" w14:textId="4EE23C85" w:rsidR="009F6D8F" w:rsidRPr="00476A2B" w:rsidRDefault="009F6D8F" w:rsidP="007F2E20">
      <w:pPr>
        <w:jc w:val="both"/>
      </w:pPr>
    </w:p>
    <w:p w14:paraId="5838A22A" w14:textId="04008AB2" w:rsidR="009F6D8F" w:rsidRPr="00476A2B" w:rsidRDefault="009F6D8F" w:rsidP="00E07F31">
      <w:pPr>
        <w:spacing w:after="40"/>
        <w:jc w:val="both"/>
      </w:pPr>
      <w:r w:rsidRPr="00476A2B">
        <w:t xml:space="preserve">It is also anticipated that </w:t>
      </w:r>
      <w:r w:rsidR="00087BDB" w:rsidRPr="00476A2B">
        <w:t>for jurisdictions implementing menu labelling legislation (Option 2) and for a bi-national approach (Option 3)</w:t>
      </w:r>
      <w:r w:rsidR="00E07F31" w:rsidRPr="00476A2B">
        <w:t>, there</w:t>
      </w:r>
      <w:r w:rsidRPr="00476A2B">
        <w:t xml:space="preserve"> </w:t>
      </w:r>
      <w:r w:rsidRPr="00476A2B">
        <w:rPr>
          <w:lang w:eastAsia="zh-CN" w:bidi="th-TH"/>
        </w:rPr>
        <w:t xml:space="preserve">would </w:t>
      </w:r>
      <w:r w:rsidR="00E07F31" w:rsidRPr="00476A2B">
        <w:rPr>
          <w:lang w:eastAsia="zh-CN" w:bidi="th-TH"/>
        </w:rPr>
        <w:t>be</w:t>
      </w:r>
      <w:r w:rsidRPr="00476A2B">
        <w:rPr>
          <w:lang w:eastAsia="zh-CN" w:bidi="th-TH"/>
        </w:rPr>
        <w:t xml:space="preserve"> greater equity among consumers as information would be available at standard food outlets regardless of which business standard </w:t>
      </w:r>
      <w:r w:rsidRPr="00476A2B">
        <w:rPr>
          <w:lang w:eastAsia="zh-CN" w:bidi="th-TH"/>
        </w:rPr>
        <w:lastRenderedPageBreak/>
        <w:t>food items are purchased</w:t>
      </w:r>
      <w:r w:rsidR="00E07F31" w:rsidRPr="00476A2B">
        <w:rPr>
          <w:lang w:eastAsia="zh-CN" w:bidi="th-TH"/>
        </w:rPr>
        <w:t>.</w:t>
      </w:r>
      <w:r w:rsidR="00214237" w:rsidRPr="00476A2B">
        <w:rPr>
          <w:lang w:eastAsia="zh-CN" w:bidi="th-TH"/>
        </w:rPr>
        <w:t xml:space="preserve"> This would not </w:t>
      </w:r>
      <w:r w:rsidR="00541F1D" w:rsidRPr="00476A2B">
        <w:rPr>
          <w:lang w:eastAsia="zh-CN" w:bidi="th-TH"/>
        </w:rPr>
        <w:t xml:space="preserve">necessarily </w:t>
      </w:r>
      <w:r w:rsidR="00214237" w:rsidRPr="00476A2B">
        <w:rPr>
          <w:lang w:eastAsia="zh-CN" w:bidi="th-TH"/>
        </w:rPr>
        <w:t>be the case for Option 4</w:t>
      </w:r>
      <w:r w:rsidR="00541F1D" w:rsidRPr="00476A2B">
        <w:rPr>
          <w:lang w:eastAsia="zh-CN" w:bidi="th-TH"/>
        </w:rPr>
        <w:t>, given its voluntary nature</w:t>
      </w:r>
      <w:r w:rsidR="00214237" w:rsidRPr="00476A2B">
        <w:rPr>
          <w:lang w:eastAsia="zh-CN" w:bidi="th-TH"/>
        </w:rPr>
        <w:t>.</w:t>
      </w:r>
    </w:p>
    <w:p w14:paraId="27939C19" w14:textId="77777777" w:rsidR="00C60812" w:rsidRPr="00476A2B" w:rsidRDefault="00C60812" w:rsidP="007F2E20">
      <w:pPr>
        <w:jc w:val="both"/>
      </w:pPr>
    </w:p>
    <w:p w14:paraId="6BB35E26" w14:textId="4074608C" w:rsidR="00513D6B" w:rsidRPr="00476A2B" w:rsidRDefault="00B816AA" w:rsidP="007F2E20">
      <w:pPr>
        <w:jc w:val="both"/>
      </w:pPr>
      <w:r w:rsidRPr="00476A2B">
        <w:t xml:space="preserve">Determining the likely benefits to society </w:t>
      </w:r>
      <w:r w:rsidR="001358E9" w:rsidRPr="00476A2B">
        <w:t xml:space="preserve">centres </w:t>
      </w:r>
      <w:r w:rsidR="00407AEA" w:rsidRPr="00476A2B">
        <w:t>on the potential</w:t>
      </w:r>
      <w:r w:rsidR="00541F1D" w:rsidRPr="00476A2B">
        <w:t xml:space="preserve"> of menu labelling</w:t>
      </w:r>
      <w:r w:rsidR="00407AEA" w:rsidRPr="00476A2B">
        <w:t xml:space="preserve"> to encourage consumers to make healthier food purchasing decisions</w:t>
      </w:r>
      <w:r w:rsidR="00462C02" w:rsidRPr="00476A2B">
        <w:t xml:space="preserve"> and the </w:t>
      </w:r>
      <w:r w:rsidR="009F2FB1" w:rsidRPr="00476A2B">
        <w:t>subsequent impact of these decisions on health outcomes.</w:t>
      </w:r>
      <w:r w:rsidR="008518A6" w:rsidRPr="00476A2B">
        <w:t xml:space="preserve"> </w:t>
      </w:r>
      <w:r w:rsidR="00643C49" w:rsidRPr="00476A2B">
        <w:t xml:space="preserve">This involves a complex and uncertain pathway as </w:t>
      </w:r>
      <w:r w:rsidR="00032FC1" w:rsidRPr="00476A2B">
        <w:t>shown below</w:t>
      </w:r>
      <w:r w:rsidR="00104050" w:rsidRPr="00476A2B">
        <w:t xml:space="preserve"> in Figure 2, and the extent to which </w:t>
      </w:r>
      <w:r w:rsidR="00625189" w:rsidRPr="00476A2B">
        <w:t xml:space="preserve">each of </w:t>
      </w:r>
      <w:r w:rsidR="00104050" w:rsidRPr="00476A2B">
        <w:t>the impacts will be realised.</w:t>
      </w:r>
      <w:r w:rsidR="00DE08E6" w:rsidRPr="00476A2B">
        <w:rPr>
          <w:rStyle w:val="FootnoteReference"/>
        </w:rPr>
        <w:footnoteReference w:id="101"/>
      </w:r>
      <w:r w:rsidR="00384A02" w:rsidRPr="00476A2B">
        <w:t xml:space="preserve"> </w:t>
      </w:r>
    </w:p>
    <w:p w14:paraId="5FBF40D4" w14:textId="4726FB07" w:rsidR="004B7429" w:rsidRPr="00476A2B" w:rsidRDefault="004B7429" w:rsidP="00513D6B"/>
    <w:p w14:paraId="22AA1DC8" w14:textId="7CCC011D" w:rsidR="00CE7206" w:rsidRPr="00476A2B" w:rsidRDefault="00CE7206" w:rsidP="00CE7206">
      <w:r w:rsidRPr="00476A2B">
        <w:rPr>
          <w:lang w:eastAsia="zh-CN" w:bidi="th-TH"/>
        </w:rPr>
        <w:t xml:space="preserve">Figure </w:t>
      </w:r>
      <w:r w:rsidR="00E23152" w:rsidRPr="00476A2B">
        <w:rPr>
          <w:lang w:eastAsia="zh-CN" w:bidi="th-TH"/>
        </w:rPr>
        <w:t>2</w:t>
      </w:r>
      <w:r w:rsidRPr="00476A2B">
        <w:rPr>
          <w:lang w:eastAsia="zh-CN" w:bidi="th-TH"/>
        </w:rPr>
        <w:t xml:space="preserve">: </w:t>
      </w:r>
      <w:r w:rsidR="00190C34" w:rsidRPr="00476A2B">
        <w:rPr>
          <w:lang w:eastAsia="zh-CN" w:bidi="th-TH"/>
        </w:rPr>
        <w:t>Extended l</w:t>
      </w:r>
      <w:r w:rsidRPr="00476A2B">
        <w:rPr>
          <w:lang w:eastAsia="zh-CN" w:bidi="th-TH"/>
        </w:rPr>
        <w:t>ogic model for menu labelling</w:t>
      </w:r>
      <w:r w:rsidR="00B85998" w:rsidRPr="00476A2B">
        <w:rPr>
          <w:lang w:eastAsia="zh-CN" w:bidi="th-TH"/>
        </w:rPr>
        <w:t xml:space="preserve"> options</w:t>
      </w:r>
    </w:p>
    <w:p w14:paraId="6823A6F5" w14:textId="19349955" w:rsidR="00AB03F2" w:rsidRPr="00476A2B" w:rsidRDefault="001704C0" w:rsidP="00150932">
      <w:pPr>
        <w:spacing w:after="40"/>
        <w:jc w:val="both"/>
      </w:pPr>
      <w:r w:rsidRPr="00476A2B">
        <w:rPr>
          <w:noProof/>
        </w:rPr>
        <w:drawing>
          <wp:inline distT="0" distB="0" distL="0" distR="0" wp14:anchorId="11EB02A9" wp14:editId="46EE88D2">
            <wp:extent cx="5819775" cy="1428750"/>
            <wp:effectExtent l="19050" t="0" r="47625" b="0"/>
            <wp:docPr id="3" name="Diagram 3" descr="Anticipated steps between being exposed to menu labelling and the value that society places on improved health.&#10;Intermediate steps are impact on meal section, impact on daily diet,  impact on weight and impact on health risk."/>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tbl>
      <w:tblPr>
        <w:tblStyle w:val="PlainTable3"/>
        <w:tblW w:w="0" w:type="auto"/>
        <w:tblLook w:val="04A0" w:firstRow="1" w:lastRow="0" w:firstColumn="1" w:lastColumn="0" w:noHBand="0" w:noVBand="1"/>
      </w:tblPr>
      <w:tblGrid>
        <w:gridCol w:w="1443"/>
        <w:gridCol w:w="7621"/>
      </w:tblGrid>
      <w:tr w:rsidR="00B63856" w:rsidRPr="00476A2B" w14:paraId="3C964785" w14:textId="77777777" w:rsidTr="0046374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418" w:type="dxa"/>
          </w:tcPr>
          <w:p w14:paraId="5CA9ECE3" w14:textId="469B4BCD" w:rsidR="00B63856" w:rsidRPr="00476A2B" w:rsidRDefault="00202CA8" w:rsidP="00F606C1">
            <w:pPr>
              <w:spacing w:after="40"/>
            </w:pPr>
            <w:r w:rsidRPr="00476A2B">
              <w:rPr>
                <w:caps w:val="0"/>
              </w:rPr>
              <w:t>Pathway Element</w:t>
            </w:r>
          </w:p>
        </w:tc>
        <w:tc>
          <w:tcPr>
            <w:tcW w:w="7636" w:type="dxa"/>
          </w:tcPr>
          <w:p w14:paraId="7DF1B413" w14:textId="262873AE" w:rsidR="00B63856" w:rsidRPr="00476A2B" w:rsidRDefault="00202CA8" w:rsidP="00F606C1">
            <w:pPr>
              <w:spacing w:after="40"/>
              <w:cnfStyle w:val="100000000000" w:firstRow="1" w:lastRow="0" w:firstColumn="0" w:lastColumn="0" w:oddVBand="0" w:evenVBand="0" w:oddHBand="0" w:evenHBand="0" w:firstRowFirstColumn="0" w:firstRowLastColumn="0" w:lastRowFirstColumn="0" w:lastRowLastColumn="0"/>
            </w:pPr>
            <w:r w:rsidRPr="00476A2B">
              <w:rPr>
                <w:caps w:val="0"/>
              </w:rPr>
              <w:t>Assumptions Underpinning Analysis</w:t>
            </w:r>
          </w:p>
        </w:tc>
      </w:tr>
      <w:tr w:rsidR="00B63856" w:rsidRPr="00AF09F5" w14:paraId="2D16E53F" w14:textId="77777777" w:rsidTr="004454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1E4A2ED8" w14:textId="441BCEA6" w:rsidR="004B7A05" w:rsidRPr="00476A2B" w:rsidRDefault="00202CA8" w:rsidP="00F606C1">
            <w:pPr>
              <w:pStyle w:val="NormalWeb"/>
              <w:spacing w:before="0" w:beforeAutospacing="0" w:after="0" w:afterAutospacing="0"/>
              <w:rPr>
                <w:rFonts w:eastAsia="+mn-ea"/>
                <w:color w:val="000000"/>
                <w:lang w:eastAsia="en-AU"/>
              </w:rPr>
            </w:pPr>
            <w:r w:rsidRPr="00476A2B">
              <w:rPr>
                <w:rFonts w:eastAsia="+mn-ea"/>
                <w:caps w:val="0"/>
                <w:color w:val="000000"/>
              </w:rPr>
              <w:t>Increased exposure to energy information on menus</w:t>
            </w:r>
          </w:p>
          <w:p w14:paraId="6C4294A7" w14:textId="77777777" w:rsidR="00B63856" w:rsidRPr="00476A2B" w:rsidRDefault="00B63856" w:rsidP="00F606C1">
            <w:pPr>
              <w:spacing w:after="40"/>
            </w:pPr>
          </w:p>
        </w:tc>
        <w:tc>
          <w:tcPr>
            <w:tcW w:w="7636" w:type="dxa"/>
          </w:tcPr>
          <w:p w14:paraId="4EFD4318" w14:textId="5CA4230B" w:rsidR="00B63856" w:rsidRPr="00476A2B" w:rsidRDefault="006F2229" w:rsidP="0055688D">
            <w:pPr>
              <w:pStyle w:val="ListParagraph"/>
              <w:numPr>
                <w:ilvl w:val="0"/>
                <w:numId w:val="45"/>
              </w:numPr>
              <w:spacing w:after="40"/>
              <w:cnfStyle w:val="000000100000" w:firstRow="0" w:lastRow="0" w:firstColumn="0" w:lastColumn="0" w:oddVBand="0" w:evenVBand="0" w:oddHBand="1" w:evenHBand="0" w:firstRowFirstColumn="0" w:firstRowLastColumn="0" w:lastRowFirstColumn="0" w:lastRowLastColumn="0"/>
            </w:pPr>
            <w:r w:rsidRPr="00476A2B">
              <w:t>Exposure is based on the e</w:t>
            </w:r>
            <w:r w:rsidR="00F01B65" w:rsidRPr="00476A2B">
              <w:t>xpected increase</w:t>
            </w:r>
            <w:r w:rsidR="005F1912" w:rsidRPr="00476A2B">
              <w:t xml:space="preserve"> in outlets that must </w:t>
            </w:r>
            <w:r w:rsidR="001F4F3B" w:rsidRPr="00476A2B">
              <w:t>implement</w:t>
            </w:r>
            <w:r w:rsidR="005F1912" w:rsidRPr="00476A2B">
              <w:t xml:space="preserve"> menu </w:t>
            </w:r>
            <w:r w:rsidR="00F62A43" w:rsidRPr="00476A2B">
              <w:t>labelling under each option.</w:t>
            </w:r>
          </w:p>
          <w:p w14:paraId="694F0FFA" w14:textId="4BDC9072" w:rsidR="00F62A43" w:rsidRPr="00476A2B" w:rsidRDefault="006F2229" w:rsidP="0055688D">
            <w:pPr>
              <w:pStyle w:val="ListParagraph"/>
              <w:numPr>
                <w:ilvl w:val="0"/>
                <w:numId w:val="45"/>
              </w:numPr>
              <w:spacing w:after="40"/>
              <w:cnfStyle w:val="000000100000" w:firstRow="0" w:lastRow="0" w:firstColumn="0" w:lastColumn="0" w:oddVBand="0" w:evenVBand="0" w:oddHBand="1" w:evenHBand="0" w:firstRowFirstColumn="0" w:firstRowLastColumn="0" w:lastRowFirstColumn="0" w:lastRowLastColumn="0"/>
            </w:pPr>
            <w:r w:rsidRPr="00476A2B">
              <w:t>There is the p</w:t>
            </w:r>
            <w:r w:rsidR="00F62A43" w:rsidRPr="00476A2B">
              <w:t>otential for increases in voluntary menu labelling</w:t>
            </w:r>
            <w:r w:rsidR="00A6188A" w:rsidRPr="00476A2B">
              <w:t>.</w:t>
            </w:r>
          </w:p>
          <w:p w14:paraId="0D8AF2EC" w14:textId="0CFAC8F0" w:rsidR="00A6188A" w:rsidRPr="00476A2B" w:rsidRDefault="001E2503" w:rsidP="0055688D">
            <w:pPr>
              <w:pStyle w:val="ListParagraph"/>
              <w:numPr>
                <w:ilvl w:val="0"/>
                <w:numId w:val="45"/>
              </w:numPr>
              <w:spacing w:after="40"/>
              <w:cnfStyle w:val="000000100000" w:firstRow="0" w:lastRow="0" w:firstColumn="0" w:lastColumn="0" w:oddVBand="0" w:evenVBand="0" w:oddHBand="1" w:evenHBand="0" w:firstRowFirstColumn="0" w:firstRowLastColumn="0" w:lastRowFirstColumn="0" w:lastRowLastColumn="0"/>
            </w:pPr>
            <w:r w:rsidRPr="00476A2B">
              <w:t>A</w:t>
            </w:r>
            <w:r w:rsidR="00A6188A" w:rsidRPr="00476A2B">
              <w:t>ny change in the number of menus displaying energy information</w:t>
            </w:r>
            <w:r w:rsidR="0019276B" w:rsidRPr="00476A2B">
              <w:t xml:space="preserve"> </w:t>
            </w:r>
            <w:r w:rsidRPr="00476A2B">
              <w:t>(</w:t>
            </w:r>
            <w:r w:rsidR="00493F34" w:rsidRPr="00476A2B">
              <w:t xml:space="preserve">for example, </w:t>
            </w:r>
            <w:r w:rsidR="0019276B" w:rsidRPr="00476A2B">
              <w:t>expanding requirements to menus on third-party food delivery platforms</w:t>
            </w:r>
            <w:r w:rsidRPr="00476A2B">
              <w:t>) was excluded.</w:t>
            </w:r>
          </w:p>
          <w:p w14:paraId="514DB49E" w14:textId="635C5B36" w:rsidR="00E3231E" w:rsidRPr="00476A2B" w:rsidRDefault="00E3231E" w:rsidP="0055688D">
            <w:pPr>
              <w:pStyle w:val="ListParagraph"/>
              <w:numPr>
                <w:ilvl w:val="0"/>
                <w:numId w:val="45"/>
              </w:numPr>
              <w:spacing w:after="40"/>
              <w:cnfStyle w:val="000000100000" w:firstRow="0" w:lastRow="0" w:firstColumn="0" w:lastColumn="0" w:oddVBand="0" w:evenVBand="0" w:oddHBand="1" w:evenHBand="0" w:firstRowFirstColumn="0" w:firstRowLastColumn="0" w:lastRowFirstColumn="0" w:lastRowLastColumn="0"/>
              <w:rPr>
                <w:rFonts w:eastAsia="Calibri"/>
              </w:rPr>
            </w:pPr>
            <w:r w:rsidRPr="00476A2B">
              <w:t>The impact of menu labelling is instantaneous and has a sustained impact on eating habits.</w:t>
            </w:r>
          </w:p>
        </w:tc>
      </w:tr>
      <w:tr w:rsidR="00B63856" w:rsidRPr="00AF09F5" w14:paraId="56D56B92" w14:textId="77777777" w:rsidTr="004454EE">
        <w:tc>
          <w:tcPr>
            <w:cnfStyle w:val="001000000000" w:firstRow="0" w:lastRow="0" w:firstColumn="1" w:lastColumn="0" w:oddVBand="0" w:evenVBand="0" w:oddHBand="0" w:evenHBand="0" w:firstRowFirstColumn="0" w:firstRowLastColumn="0" w:lastRowFirstColumn="0" w:lastRowLastColumn="0"/>
            <w:tcW w:w="1418" w:type="dxa"/>
          </w:tcPr>
          <w:p w14:paraId="62655F2D" w14:textId="1BE5D83B" w:rsidR="00B63856" w:rsidRPr="009D265E" w:rsidRDefault="00202CA8" w:rsidP="00F606C1">
            <w:pPr>
              <w:spacing w:after="40"/>
              <w:rPr>
                <w:rFonts w:eastAsia="Calibri"/>
              </w:rPr>
            </w:pPr>
            <w:r w:rsidRPr="00AF09F5">
              <w:rPr>
                <w:rFonts w:eastAsia="Calibri"/>
                <w:caps w:val="0"/>
              </w:rPr>
              <w:t>Impact on meal selection</w:t>
            </w:r>
          </w:p>
        </w:tc>
        <w:tc>
          <w:tcPr>
            <w:tcW w:w="7636" w:type="dxa"/>
          </w:tcPr>
          <w:p w14:paraId="51EB83F0" w14:textId="77777777" w:rsidR="00B63856" w:rsidRPr="00AF09F5" w:rsidRDefault="00862289" w:rsidP="0055688D">
            <w:pPr>
              <w:pStyle w:val="ListParagraph"/>
              <w:numPr>
                <w:ilvl w:val="0"/>
                <w:numId w:val="68"/>
              </w:numPr>
              <w:spacing w:after="40"/>
              <w:cnfStyle w:val="000000000000" w:firstRow="0" w:lastRow="0" w:firstColumn="0" w:lastColumn="0" w:oddVBand="0" w:evenVBand="0" w:oddHBand="0" w:evenHBand="0" w:firstRowFirstColumn="0" w:firstRowLastColumn="0" w:lastRowFirstColumn="0" w:lastRowLastColumn="0"/>
            </w:pPr>
            <w:r w:rsidRPr="00AF09F5">
              <w:t>Average reduction of 217 kilojoules purchased per visit to a standard food outlet</w:t>
            </w:r>
            <w:r w:rsidR="00A00DA3" w:rsidRPr="00AF09F5">
              <w:t>.</w:t>
            </w:r>
            <w:r w:rsidR="00A00DA3" w:rsidRPr="00AF09F5">
              <w:rPr>
                <w:rStyle w:val="FootnoteReference"/>
              </w:rPr>
              <w:footnoteReference w:id="102"/>
            </w:r>
          </w:p>
          <w:p w14:paraId="66013183" w14:textId="61B18C65" w:rsidR="00C31216" w:rsidRPr="009D265E" w:rsidRDefault="00D26FCE" w:rsidP="009D265E">
            <w:pPr>
              <w:pStyle w:val="ListParagraph"/>
              <w:numPr>
                <w:ilvl w:val="0"/>
                <w:numId w:val="68"/>
              </w:numPr>
              <w:spacing w:after="40"/>
              <w:cnfStyle w:val="000000000000" w:firstRow="0" w:lastRow="0" w:firstColumn="0" w:lastColumn="0" w:oddVBand="0" w:evenVBand="0" w:oddHBand="0" w:evenHBand="0" w:firstRowFirstColumn="0" w:firstRowLastColumn="0" w:lastRowFirstColumn="0" w:lastRowLastColumn="0"/>
              <w:rPr>
                <w:rFonts w:eastAsia="Calibri"/>
              </w:rPr>
            </w:pPr>
            <w:r w:rsidRPr="00AF09F5">
              <w:t>Any impact from reformulation of menu items</w:t>
            </w:r>
            <w:r w:rsidR="001E2503" w:rsidRPr="00AF09F5">
              <w:t xml:space="preserve"> was excluded.</w:t>
            </w:r>
            <w:r w:rsidR="001F4F3B">
              <w:t xml:space="preserve"> </w:t>
            </w:r>
          </w:p>
        </w:tc>
      </w:tr>
      <w:tr w:rsidR="00B63856" w:rsidRPr="00AF09F5" w14:paraId="0E6684D9" w14:textId="77777777" w:rsidTr="004454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33A92060" w14:textId="504650A3" w:rsidR="004B7A05" w:rsidRPr="00AF09F5" w:rsidRDefault="00202CA8" w:rsidP="00F606C1">
            <w:pPr>
              <w:spacing w:after="40"/>
              <w:rPr>
                <w:rFonts w:eastAsia="Calibri"/>
              </w:rPr>
            </w:pPr>
            <w:r w:rsidRPr="00AF09F5">
              <w:rPr>
                <w:rFonts w:eastAsia="Calibri"/>
                <w:caps w:val="0"/>
              </w:rPr>
              <w:t>Impact on daily diet</w:t>
            </w:r>
          </w:p>
          <w:p w14:paraId="548C98FA" w14:textId="77777777" w:rsidR="00B63856" w:rsidRPr="00AF09F5" w:rsidRDefault="00B63856" w:rsidP="00F606C1">
            <w:pPr>
              <w:spacing w:after="40"/>
            </w:pPr>
          </w:p>
        </w:tc>
        <w:tc>
          <w:tcPr>
            <w:tcW w:w="7636" w:type="dxa"/>
          </w:tcPr>
          <w:p w14:paraId="44E318C0" w14:textId="238603B4" w:rsidR="00AC4A3D" w:rsidRPr="00AF09F5" w:rsidRDefault="0005279A" w:rsidP="0055688D">
            <w:pPr>
              <w:pStyle w:val="ListParagraph"/>
              <w:numPr>
                <w:ilvl w:val="0"/>
                <w:numId w:val="47"/>
              </w:numPr>
              <w:spacing w:after="40"/>
              <w:cnfStyle w:val="000000100000" w:firstRow="0" w:lastRow="0" w:firstColumn="0" w:lastColumn="0" w:oddVBand="0" w:evenVBand="0" w:oddHBand="1" w:evenHBand="0" w:firstRowFirstColumn="0" w:firstRowLastColumn="0" w:lastRowFirstColumn="0" w:lastRowLastColumn="0"/>
            </w:pPr>
            <w:r w:rsidRPr="00AF09F5">
              <w:t>Decline in energy intake</w:t>
            </w:r>
            <w:r w:rsidR="002364EA" w:rsidRPr="00AF09F5">
              <w:t xml:space="preserve"> proportional to household expenditure on fast food </w:t>
            </w:r>
            <w:r w:rsidR="00281772" w:rsidRPr="00AF09F5">
              <w:t>as a percentage of expenditure on food and alcohol.</w:t>
            </w:r>
            <w:r w:rsidR="00E93274" w:rsidRPr="00AF09F5">
              <w:t xml:space="preserve"> </w:t>
            </w:r>
            <w:r w:rsidR="002D717F" w:rsidRPr="00AF09F5">
              <w:t>Ratio of fast food expenditure to total food expenditure</w:t>
            </w:r>
            <w:r w:rsidR="000720C8" w:rsidRPr="00AF09F5">
              <w:t xml:space="preserve"> </w:t>
            </w:r>
            <w:r w:rsidR="00626233" w:rsidRPr="00AF09F5">
              <w:t xml:space="preserve">equals ratio of energy intake from fast food </w:t>
            </w:r>
            <w:r w:rsidR="004878B3" w:rsidRPr="00AF09F5">
              <w:t>to daily energy intake.</w:t>
            </w:r>
            <w:r w:rsidR="007458C7" w:rsidRPr="00AF09F5">
              <w:rPr>
                <w:rStyle w:val="FootnoteReference"/>
              </w:rPr>
              <w:footnoteReference w:id="103"/>
            </w:r>
          </w:p>
          <w:p w14:paraId="2212C39F" w14:textId="360DEC74" w:rsidR="008C1E77" w:rsidRPr="00AF09F5" w:rsidRDefault="00E93274" w:rsidP="0055688D">
            <w:pPr>
              <w:pStyle w:val="ListParagraph"/>
              <w:numPr>
                <w:ilvl w:val="0"/>
                <w:numId w:val="47"/>
              </w:numPr>
              <w:spacing w:after="40"/>
              <w:cnfStyle w:val="000000100000" w:firstRow="0" w:lastRow="0" w:firstColumn="0" w:lastColumn="0" w:oddVBand="0" w:evenVBand="0" w:oddHBand="1" w:evenHBand="0" w:firstRowFirstColumn="0" w:firstRowLastColumn="0" w:lastRowFirstColumn="0" w:lastRowLastColumn="0"/>
            </w:pPr>
            <w:r w:rsidRPr="00AF09F5">
              <w:t>Australia –</w:t>
            </w:r>
            <w:r w:rsidR="00B3022E" w:rsidRPr="00AF09F5">
              <w:t xml:space="preserve"> </w:t>
            </w:r>
            <w:r w:rsidR="00C0780D" w:rsidRPr="00AF09F5">
              <w:t>25 kilojoule reduction</w:t>
            </w:r>
            <w:r w:rsidR="00EF7ACA" w:rsidRPr="00AF09F5">
              <w:t xml:space="preserve"> </w:t>
            </w:r>
            <w:r w:rsidR="00B3022E" w:rsidRPr="00AF09F5">
              <w:t>in daily energy intake</w:t>
            </w:r>
            <w:r w:rsidR="00113E92" w:rsidRPr="00AF09F5">
              <w:t>.</w:t>
            </w:r>
            <w:r w:rsidR="004F1CF6" w:rsidRPr="00AF09F5">
              <w:rPr>
                <w:rStyle w:val="FootnoteReference"/>
              </w:rPr>
              <w:footnoteReference w:id="104"/>
            </w:r>
            <w:r w:rsidR="00957F25" w:rsidRPr="00AF09F5">
              <w:t xml:space="preserve"> </w:t>
            </w:r>
            <w:r w:rsidR="008C1E77" w:rsidRPr="00AF09F5">
              <w:t xml:space="preserve"> </w:t>
            </w:r>
          </w:p>
          <w:p w14:paraId="30D59FF7" w14:textId="4B831740" w:rsidR="00123C52" w:rsidRPr="00C97AD3" w:rsidRDefault="008C1E77" w:rsidP="00C97AD3">
            <w:pPr>
              <w:pStyle w:val="ListParagraph"/>
              <w:numPr>
                <w:ilvl w:val="0"/>
                <w:numId w:val="47"/>
              </w:numPr>
              <w:spacing w:after="40"/>
              <w:cnfStyle w:val="000000100000" w:firstRow="0" w:lastRow="0" w:firstColumn="0" w:lastColumn="0" w:oddVBand="0" w:evenVBand="0" w:oddHBand="1" w:evenHBand="0" w:firstRowFirstColumn="0" w:firstRowLastColumn="0" w:lastRowFirstColumn="0" w:lastRowLastColumn="0"/>
              <w:rPr>
                <w:rFonts w:eastAsia="Calibri"/>
              </w:rPr>
            </w:pPr>
            <w:r w:rsidRPr="00AF09F5">
              <w:t>New Zealand –</w:t>
            </w:r>
            <w:r w:rsidR="00B3022E" w:rsidRPr="00AF09F5">
              <w:t xml:space="preserve"> </w:t>
            </w:r>
            <w:r w:rsidR="00C0780D" w:rsidRPr="00AF09F5">
              <w:t>22.4kJ kilojoule reduction</w:t>
            </w:r>
            <w:r w:rsidR="00B3022E" w:rsidRPr="00AF09F5">
              <w:t xml:space="preserve"> in daily energy intake</w:t>
            </w:r>
            <w:r w:rsidR="00113E92" w:rsidRPr="00AF09F5">
              <w:t>.</w:t>
            </w:r>
          </w:p>
        </w:tc>
      </w:tr>
      <w:tr w:rsidR="00B63856" w:rsidRPr="00AF09F5" w14:paraId="37AA836E" w14:textId="77777777" w:rsidTr="004454EE">
        <w:tc>
          <w:tcPr>
            <w:cnfStyle w:val="001000000000" w:firstRow="0" w:lastRow="0" w:firstColumn="1" w:lastColumn="0" w:oddVBand="0" w:evenVBand="0" w:oddHBand="0" w:evenHBand="0" w:firstRowFirstColumn="0" w:firstRowLastColumn="0" w:lastRowFirstColumn="0" w:lastRowLastColumn="0"/>
            <w:tcW w:w="1418" w:type="dxa"/>
          </w:tcPr>
          <w:p w14:paraId="3DE0F72E" w14:textId="755AF482" w:rsidR="00B63856" w:rsidRPr="00AF09F5" w:rsidRDefault="00202CA8" w:rsidP="00F606C1">
            <w:pPr>
              <w:spacing w:after="40"/>
            </w:pPr>
            <w:r w:rsidRPr="00AF09F5">
              <w:rPr>
                <w:caps w:val="0"/>
              </w:rPr>
              <w:t>Impact on weight</w:t>
            </w:r>
          </w:p>
          <w:p w14:paraId="0E034291" w14:textId="4D5B2D2D" w:rsidR="004B7A05" w:rsidRPr="00AF09F5" w:rsidRDefault="004B7A05" w:rsidP="00F606C1">
            <w:pPr>
              <w:spacing w:after="40"/>
            </w:pPr>
          </w:p>
        </w:tc>
        <w:tc>
          <w:tcPr>
            <w:tcW w:w="7636" w:type="dxa"/>
          </w:tcPr>
          <w:p w14:paraId="3DE55782" w14:textId="7942E011" w:rsidR="00414848" w:rsidRPr="00AF09F5" w:rsidRDefault="00D66ED5" w:rsidP="0055688D">
            <w:pPr>
              <w:pStyle w:val="ListParagraph"/>
              <w:numPr>
                <w:ilvl w:val="0"/>
                <w:numId w:val="48"/>
              </w:numPr>
              <w:spacing w:after="40"/>
              <w:cnfStyle w:val="000000000000" w:firstRow="0" w:lastRow="0" w:firstColumn="0" w:lastColumn="0" w:oddVBand="0" w:evenVBand="0" w:oddHBand="0" w:evenHBand="0" w:firstRowFirstColumn="0" w:firstRowLastColumn="0" w:lastRowFirstColumn="0" w:lastRowLastColumn="0"/>
            </w:pPr>
            <w:r w:rsidRPr="00AF09F5">
              <w:lastRenderedPageBreak/>
              <w:t xml:space="preserve">Weight reduction of </w:t>
            </w:r>
            <w:bookmarkStart w:id="68" w:name="_Hlk88231454"/>
            <w:r w:rsidRPr="00AF09F5">
              <w:t>0.25kg</w:t>
            </w:r>
            <w:r w:rsidR="002F2F08" w:rsidRPr="00AF09F5">
              <w:t xml:space="preserve"> in Australia and 0.224kg in New Zealand within 3 years</w:t>
            </w:r>
            <w:bookmarkEnd w:id="68"/>
            <w:r w:rsidR="002F2F08" w:rsidRPr="00AF09F5">
              <w:t>.</w:t>
            </w:r>
            <w:r w:rsidR="002F2F08" w:rsidRPr="00AF09F5">
              <w:rPr>
                <w:rStyle w:val="FootnoteReference"/>
              </w:rPr>
              <w:footnoteReference w:id="105"/>
            </w:r>
          </w:p>
          <w:p w14:paraId="2E1D5DF6" w14:textId="21A1D395" w:rsidR="008F51DB" w:rsidRPr="00AF09F5" w:rsidRDefault="008F51DB" w:rsidP="0055688D">
            <w:pPr>
              <w:pStyle w:val="ListParagraph"/>
              <w:numPr>
                <w:ilvl w:val="0"/>
                <w:numId w:val="48"/>
              </w:numPr>
              <w:spacing w:after="40"/>
              <w:cnfStyle w:val="000000000000" w:firstRow="0" w:lastRow="0" w:firstColumn="0" w:lastColumn="0" w:oddVBand="0" w:evenVBand="0" w:oddHBand="0" w:evenHBand="0" w:firstRowFirstColumn="0" w:firstRowLastColumn="0" w:lastRowFirstColumn="0" w:lastRowLastColumn="0"/>
              <w:rPr>
                <w:rFonts w:eastAsia="Calibri"/>
              </w:rPr>
            </w:pPr>
            <w:r w:rsidRPr="00AF09F5">
              <w:lastRenderedPageBreak/>
              <w:t>Represents 0.32% decline in average Australian adult weight and 0.28% decline in average New Zealand adult weight.</w:t>
            </w:r>
            <w:r w:rsidRPr="00AF09F5">
              <w:rPr>
                <w:rStyle w:val="FootnoteReference"/>
              </w:rPr>
              <w:footnoteReference w:id="106"/>
            </w:r>
          </w:p>
        </w:tc>
      </w:tr>
      <w:tr w:rsidR="00B63856" w:rsidRPr="00AF09F5" w14:paraId="562B9D5A" w14:textId="77777777" w:rsidTr="004454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3E30A4D3" w14:textId="66EA12B1" w:rsidR="00B63856" w:rsidRDefault="00202CA8" w:rsidP="00F606C1">
            <w:pPr>
              <w:spacing w:after="40"/>
              <w:rPr>
                <w:b w:val="0"/>
                <w:bCs w:val="0"/>
              </w:rPr>
            </w:pPr>
            <w:r w:rsidRPr="00AF09F5">
              <w:rPr>
                <w:caps w:val="0"/>
              </w:rPr>
              <w:lastRenderedPageBreak/>
              <w:t>Impact on health risk</w:t>
            </w:r>
          </w:p>
          <w:p w14:paraId="3CDC07E3" w14:textId="60276568" w:rsidR="001A586C" w:rsidRDefault="001A586C" w:rsidP="00F606C1">
            <w:pPr>
              <w:spacing w:after="40"/>
              <w:rPr>
                <w:b w:val="0"/>
                <w:bCs w:val="0"/>
                <w:caps w:val="0"/>
              </w:rPr>
            </w:pPr>
          </w:p>
          <w:p w14:paraId="626A2DBB" w14:textId="50C12188" w:rsidR="001A586C" w:rsidRPr="001A586C" w:rsidRDefault="001A586C" w:rsidP="00F606C1">
            <w:pPr>
              <w:spacing w:after="40"/>
              <w:rPr>
                <w:b w:val="0"/>
                <w:bCs w:val="0"/>
                <w:i/>
                <w:iCs/>
              </w:rPr>
            </w:pPr>
            <w:r w:rsidRPr="001A586C">
              <w:rPr>
                <w:b w:val="0"/>
                <w:bCs w:val="0"/>
                <w:i/>
                <w:iCs/>
                <w:caps w:val="0"/>
              </w:rPr>
              <w:t xml:space="preserve">(See </w:t>
            </w:r>
            <w:r>
              <w:rPr>
                <w:b w:val="0"/>
                <w:bCs w:val="0"/>
                <w:i/>
                <w:iCs/>
                <w:caps w:val="0"/>
              </w:rPr>
              <w:t>T</w:t>
            </w:r>
            <w:r w:rsidRPr="001A586C">
              <w:rPr>
                <w:b w:val="0"/>
                <w:bCs w:val="0"/>
                <w:i/>
                <w:iCs/>
                <w:caps w:val="0"/>
              </w:rPr>
              <w:t>able 6 below)</w:t>
            </w:r>
          </w:p>
          <w:p w14:paraId="2380DD5E" w14:textId="040E932C" w:rsidR="004B7A05" w:rsidRPr="00AF09F5" w:rsidRDefault="004B7A05" w:rsidP="00F606C1">
            <w:pPr>
              <w:spacing w:after="40"/>
            </w:pPr>
          </w:p>
        </w:tc>
        <w:tc>
          <w:tcPr>
            <w:tcW w:w="7636" w:type="dxa"/>
          </w:tcPr>
          <w:p w14:paraId="6A05FDCA" w14:textId="20D17FE7" w:rsidR="00B63856" w:rsidRPr="00AF09F5" w:rsidRDefault="00D63456" w:rsidP="0055688D">
            <w:pPr>
              <w:pStyle w:val="ListParagraph"/>
              <w:numPr>
                <w:ilvl w:val="0"/>
                <w:numId w:val="48"/>
              </w:numPr>
              <w:spacing w:after="40"/>
              <w:cnfStyle w:val="000000100000" w:firstRow="0" w:lastRow="0" w:firstColumn="0" w:lastColumn="0" w:oddVBand="0" w:evenVBand="0" w:oddHBand="1" w:evenHBand="0" w:firstRowFirstColumn="0" w:firstRowLastColumn="0" w:lastRowFirstColumn="0" w:lastRowLastColumn="0"/>
            </w:pPr>
            <w:r w:rsidRPr="00AF09F5">
              <w:t>For every 100,000 Australians, high body mass</w:t>
            </w:r>
            <w:r w:rsidR="000F4EF6" w:rsidRPr="00AF09F5">
              <w:t xml:space="preserve"> imposes a health burden equivalent </w:t>
            </w:r>
            <w:r w:rsidR="008624F9" w:rsidRPr="00AF09F5">
              <w:t>to 2,137 disability adjusted life years (DALYs)</w:t>
            </w:r>
            <w:r w:rsidR="00321ABE" w:rsidRPr="00AF09F5">
              <w:t>.</w:t>
            </w:r>
            <w:r w:rsidR="000B70B8" w:rsidRPr="00AF09F5">
              <w:rPr>
                <w:rStyle w:val="FootnoteReference"/>
              </w:rPr>
              <w:footnoteReference w:id="107"/>
            </w:r>
          </w:p>
          <w:p w14:paraId="38303508" w14:textId="1C5CE027" w:rsidR="00B50434" w:rsidRDefault="00B50434" w:rsidP="0055688D">
            <w:pPr>
              <w:pStyle w:val="ListParagraph"/>
              <w:numPr>
                <w:ilvl w:val="0"/>
                <w:numId w:val="48"/>
              </w:numPr>
              <w:spacing w:after="40"/>
              <w:cnfStyle w:val="000000100000" w:firstRow="0" w:lastRow="0" w:firstColumn="0" w:lastColumn="0" w:oddVBand="0" w:evenVBand="0" w:oddHBand="1" w:evenHBand="0" w:firstRowFirstColumn="0" w:firstRowLastColumn="0" w:lastRowFirstColumn="0" w:lastRowLastColumn="0"/>
            </w:pPr>
            <w:r w:rsidRPr="00AF09F5">
              <w:t>For every 100,000 New Zealanders, high body mass imposes a health burden equivalent to 2,1</w:t>
            </w:r>
            <w:r w:rsidR="00DE2730" w:rsidRPr="00AF09F5">
              <w:t>99</w:t>
            </w:r>
            <w:r w:rsidRPr="00AF09F5">
              <w:t xml:space="preserve"> disability adjusted life years (DALYs).</w:t>
            </w:r>
            <w:r w:rsidRPr="00AF09F5">
              <w:rPr>
                <w:rStyle w:val="FootnoteReference"/>
              </w:rPr>
              <w:footnoteReference w:id="108"/>
            </w:r>
          </w:p>
          <w:p w14:paraId="383AD7DA" w14:textId="77777777" w:rsidR="000B70B8" w:rsidRPr="00AF09F5" w:rsidRDefault="00B20B05" w:rsidP="0055688D">
            <w:pPr>
              <w:pStyle w:val="ListParagraph"/>
              <w:numPr>
                <w:ilvl w:val="0"/>
                <w:numId w:val="48"/>
              </w:numPr>
              <w:spacing w:after="40"/>
              <w:cnfStyle w:val="000000100000" w:firstRow="0" w:lastRow="0" w:firstColumn="0" w:lastColumn="0" w:oddVBand="0" w:evenVBand="0" w:oddHBand="1" w:evenHBand="0" w:firstRowFirstColumn="0" w:firstRowLastColumn="0" w:lastRowFirstColumn="0" w:lastRowLastColumn="0"/>
            </w:pPr>
            <w:r w:rsidRPr="00AF09F5">
              <w:t xml:space="preserve">Decline in average weight (%) is equivalent to </w:t>
            </w:r>
            <w:r w:rsidR="008E6174" w:rsidRPr="00AF09F5">
              <w:t xml:space="preserve">reduction in health burden </w:t>
            </w:r>
            <w:r w:rsidR="00D70770" w:rsidRPr="00AF09F5">
              <w:t>imposed by high body mass.</w:t>
            </w:r>
            <w:r w:rsidRPr="00AF09F5">
              <w:t xml:space="preserve"> </w:t>
            </w:r>
          </w:p>
          <w:p w14:paraId="21B920CA" w14:textId="09827152" w:rsidR="001A586C" w:rsidRPr="001A586C" w:rsidRDefault="0098435B" w:rsidP="001A586C">
            <w:pPr>
              <w:pStyle w:val="ListParagraph"/>
              <w:numPr>
                <w:ilvl w:val="0"/>
                <w:numId w:val="48"/>
              </w:numPr>
              <w:spacing w:after="40"/>
              <w:cnfStyle w:val="000000100000" w:firstRow="0" w:lastRow="0" w:firstColumn="0" w:lastColumn="0" w:oddVBand="0" w:evenVBand="0" w:oddHBand="1" w:evenHBand="0" w:firstRowFirstColumn="0" w:firstRowLastColumn="0" w:lastRowFirstColumn="0" w:lastRowLastColumn="0"/>
              <w:rPr>
                <w:rFonts w:eastAsia="Calibri"/>
              </w:rPr>
            </w:pPr>
            <w:r w:rsidRPr="00AF09F5">
              <w:t>Calculation of reduced health risk is dependent on proportion of p</w:t>
            </w:r>
            <w:r w:rsidR="00D2438B" w:rsidRPr="00AF09F5">
              <w:t>opulation likely to have increased exposure to menu labelling under each option.</w:t>
            </w:r>
          </w:p>
        </w:tc>
      </w:tr>
      <w:tr w:rsidR="00B63856" w:rsidRPr="00AF09F5" w14:paraId="27A9E411" w14:textId="77777777" w:rsidTr="004454EE">
        <w:tc>
          <w:tcPr>
            <w:cnfStyle w:val="001000000000" w:firstRow="0" w:lastRow="0" w:firstColumn="1" w:lastColumn="0" w:oddVBand="0" w:evenVBand="0" w:oddHBand="0" w:evenHBand="0" w:firstRowFirstColumn="0" w:firstRowLastColumn="0" w:lastRowFirstColumn="0" w:lastRowLastColumn="0"/>
            <w:tcW w:w="1418" w:type="dxa"/>
          </w:tcPr>
          <w:p w14:paraId="6011C3FB" w14:textId="77777777" w:rsidR="00B63856" w:rsidRDefault="00202CA8" w:rsidP="00F606C1">
            <w:pPr>
              <w:spacing w:after="40"/>
              <w:rPr>
                <w:b w:val="0"/>
                <w:bCs w:val="0"/>
              </w:rPr>
            </w:pPr>
            <w:r w:rsidRPr="00AF09F5">
              <w:rPr>
                <w:caps w:val="0"/>
              </w:rPr>
              <w:t>Valuing health impact</w:t>
            </w:r>
          </w:p>
          <w:p w14:paraId="05C761E2" w14:textId="77777777" w:rsidR="001A586C" w:rsidRDefault="001A586C" w:rsidP="00F606C1">
            <w:pPr>
              <w:spacing w:after="40"/>
              <w:rPr>
                <w:b w:val="0"/>
                <w:bCs w:val="0"/>
                <w:caps w:val="0"/>
              </w:rPr>
            </w:pPr>
          </w:p>
          <w:p w14:paraId="4D02E069" w14:textId="696E750D" w:rsidR="001A586C" w:rsidRPr="001A586C" w:rsidRDefault="001A586C" w:rsidP="001A586C">
            <w:pPr>
              <w:spacing w:after="40"/>
              <w:rPr>
                <w:b w:val="0"/>
                <w:bCs w:val="0"/>
                <w:i/>
                <w:iCs/>
              </w:rPr>
            </w:pPr>
            <w:r w:rsidRPr="001A586C">
              <w:rPr>
                <w:b w:val="0"/>
                <w:bCs w:val="0"/>
                <w:i/>
                <w:iCs/>
                <w:caps w:val="0"/>
              </w:rPr>
              <w:t xml:space="preserve">(See </w:t>
            </w:r>
            <w:r>
              <w:rPr>
                <w:b w:val="0"/>
                <w:bCs w:val="0"/>
                <w:i/>
                <w:iCs/>
                <w:caps w:val="0"/>
              </w:rPr>
              <w:t>T</w:t>
            </w:r>
            <w:r w:rsidRPr="001A586C">
              <w:rPr>
                <w:b w:val="0"/>
                <w:bCs w:val="0"/>
                <w:i/>
                <w:iCs/>
                <w:caps w:val="0"/>
              </w:rPr>
              <w:t xml:space="preserve">able </w:t>
            </w:r>
            <w:r>
              <w:rPr>
                <w:b w:val="0"/>
                <w:bCs w:val="0"/>
                <w:i/>
                <w:iCs/>
                <w:caps w:val="0"/>
              </w:rPr>
              <w:t>7</w:t>
            </w:r>
            <w:r w:rsidRPr="001A586C">
              <w:rPr>
                <w:b w:val="0"/>
                <w:bCs w:val="0"/>
                <w:i/>
                <w:iCs/>
                <w:caps w:val="0"/>
              </w:rPr>
              <w:t xml:space="preserve"> below)</w:t>
            </w:r>
          </w:p>
          <w:p w14:paraId="624079D5" w14:textId="24986780" w:rsidR="001A586C" w:rsidRPr="00AF09F5" w:rsidRDefault="001A586C" w:rsidP="00F606C1">
            <w:pPr>
              <w:spacing w:after="40"/>
            </w:pPr>
          </w:p>
        </w:tc>
        <w:tc>
          <w:tcPr>
            <w:tcW w:w="7636" w:type="dxa"/>
          </w:tcPr>
          <w:p w14:paraId="7EC465D0" w14:textId="575967E3" w:rsidR="001154B2" w:rsidRPr="00AF09F5" w:rsidRDefault="00384DB7" w:rsidP="0055688D">
            <w:pPr>
              <w:pStyle w:val="ListParagraph"/>
              <w:numPr>
                <w:ilvl w:val="0"/>
                <w:numId w:val="48"/>
              </w:numPr>
              <w:spacing w:after="40"/>
              <w:cnfStyle w:val="000000000000" w:firstRow="0" w:lastRow="0" w:firstColumn="0" w:lastColumn="0" w:oddVBand="0" w:evenVBand="0" w:oddHBand="0" w:evenHBand="0" w:firstRowFirstColumn="0" w:firstRowLastColumn="0" w:lastRowFirstColumn="0" w:lastRowLastColumn="0"/>
            </w:pPr>
            <w:r w:rsidRPr="00AF09F5">
              <w:t xml:space="preserve">Australia – </w:t>
            </w:r>
            <w:r w:rsidR="00B6101E" w:rsidRPr="00AF09F5">
              <w:t>Value of statistical life year</w:t>
            </w:r>
            <w:r w:rsidR="00850FDF" w:rsidRPr="00AF09F5">
              <w:t xml:space="preserve"> estimate is $217,000.</w:t>
            </w:r>
            <w:r w:rsidR="00850FDF" w:rsidRPr="00AF09F5">
              <w:rPr>
                <w:rStyle w:val="FootnoteReference"/>
              </w:rPr>
              <w:footnoteReference w:id="109"/>
            </w:r>
            <w:r w:rsidR="00EC2C09" w:rsidRPr="00AF09F5">
              <w:t xml:space="preserve"> $5M</w:t>
            </w:r>
            <w:r w:rsidRPr="00AF09F5">
              <w:t xml:space="preserve"> over a 40</w:t>
            </w:r>
            <w:r w:rsidR="00303071">
              <w:t>-</w:t>
            </w:r>
            <w:r w:rsidRPr="00AF09F5">
              <w:t>year period using a 3% discount rate.</w:t>
            </w:r>
          </w:p>
          <w:p w14:paraId="17410BCC" w14:textId="62B9DFB1" w:rsidR="00D3355C" w:rsidRPr="00AF09F5" w:rsidRDefault="00D3355C" w:rsidP="0055688D">
            <w:pPr>
              <w:pStyle w:val="ListParagraph"/>
              <w:numPr>
                <w:ilvl w:val="0"/>
                <w:numId w:val="48"/>
              </w:numPr>
              <w:spacing w:after="40"/>
              <w:cnfStyle w:val="000000000000" w:firstRow="0" w:lastRow="0" w:firstColumn="0" w:lastColumn="0" w:oddVBand="0" w:evenVBand="0" w:oddHBand="0" w:evenHBand="0" w:firstRowFirstColumn="0" w:firstRowLastColumn="0" w:lastRowFirstColumn="0" w:lastRowLastColumn="0"/>
            </w:pPr>
            <w:r w:rsidRPr="00AF09F5">
              <w:t>New Zealand – Value of statistical life year estimate is $NZ197,000. $NZ</w:t>
            </w:r>
            <w:r w:rsidR="00256EBB" w:rsidRPr="00AF09F5">
              <w:t>4.</w:t>
            </w:r>
            <w:r w:rsidRPr="00AF09F5">
              <w:t>5</w:t>
            </w:r>
            <w:r w:rsidR="00256EBB" w:rsidRPr="00AF09F5">
              <w:t>6</w:t>
            </w:r>
            <w:r w:rsidRPr="00AF09F5">
              <w:t>M over a 40</w:t>
            </w:r>
            <w:r w:rsidR="00303071">
              <w:t>-</w:t>
            </w:r>
            <w:r w:rsidRPr="00AF09F5">
              <w:t>year period using a 3% discount rate.</w:t>
            </w:r>
          </w:p>
          <w:p w14:paraId="1E2EFB58" w14:textId="776D67A3" w:rsidR="008E0FCE" w:rsidRPr="00AF09F5" w:rsidRDefault="00497721" w:rsidP="0055688D">
            <w:pPr>
              <w:pStyle w:val="ListParagraph"/>
              <w:numPr>
                <w:ilvl w:val="0"/>
                <w:numId w:val="48"/>
              </w:numPr>
              <w:spacing w:after="40"/>
              <w:cnfStyle w:val="000000000000" w:firstRow="0" w:lastRow="0" w:firstColumn="0" w:lastColumn="0" w:oddVBand="0" w:evenVBand="0" w:oddHBand="0" w:evenHBand="0" w:firstRowFirstColumn="0" w:firstRowLastColumn="0" w:lastRowFirstColumn="0" w:lastRowLastColumn="0"/>
            </w:pPr>
            <w:r w:rsidRPr="00AF09F5">
              <w:t>V</w:t>
            </w:r>
            <w:r w:rsidR="001154B2" w:rsidRPr="00AF09F5">
              <w:t xml:space="preserve">alue of statistical life is an estimate of the financial value society places on reducing the average number of deaths by one. </w:t>
            </w:r>
            <w:r w:rsidRPr="00AF09F5">
              <w:t>V</w:t>
            </w:r>
            <w:r w:rsidR="001154B2" w:rsidRPr="00AF09F5">
              <w:t xml:space="preserve">alue of statistical life year, </w:t>
            </w:r>
            <w:r w:rsidR="00734CB0" w:rsidRPr="00AF09F5">
              <w:t xml:space="preserve">is an </w:t>
            </w:r>
            <w:r w:rsidR="001154B2" w:rsidRPr="00AF09F5">
              <w:t>estimate</w:t>
            </w:r>
            <w:r w:rsidR="00734CB0" w:rsidRPr="00AF09F5">
              <w:t xml:space="preserve"> of</w:t>
            </w:r>
            <w:r w:rsidR="001154B2" w:rsidRPr="00AF09F5">
              <w:t xml:space="preserve"> the value society places on reducing the risk of premature death, expressed in terms of saving a statistical life year. </w:t>
            </w:r>
          </w:p>
          <w:p w14:paraId="5E8ECF0C" w14:textId="0C26F0DC" w:rsidR="00B63856" w:rsidRPr="00B40CB3" w:rsidRDefault="00E463CD" w:rsidP="0055688D">
            <w:pPr>
              <w:pStyle w:val="ListParagraph"/>
              <w:numPr>
                <w:ilvl w:val="0"/>
                <w:numId w:val="48"/>
              </w:numPr>
              <w:spacing w:after="40"/>
              <w:cnfStyle w:val="000000000000" w:firstRow="0" w:lastRow="0" w:firstColumn="0" w:lastColumn="0" w:oddVBand="0" w:evenVBand="0" w:oddHBand="0" w:evenHBand="0" w:firstRowFirstColumn="0" w:firstRowLastColumn="0" w:lastRowFirstColumn="0" w:lastRowLastColumn="0"/>
              <w:rPr>
                <w:rFonts w:eastAsia="Calibri"/>
              </w:rPr>
            </w:pPr>
            <w:r w:rsidRPr="00AF09F5">
              <w:t>Statistical life measures are a whole-of-society perspective</w:t>
            </w:r>
            <w:r w:rsidR="006F47D7" w:rsidRPr="00AF09F5">
              <w:t xml:space="preserve"> </w:t>
            </w:r>
            <w:r w:rsidRPr="00AF09F5">
              <w:t>and incorporate</w:t>
            </w:r>
            <w:r w:rsidR="007954D5" w:rsidRPr="00AF09F5">
              <w:t xml:space="preserve"> </w:t>
            </w:r>
            <w:r w:rsidR="001154B2" w:rsidRPr="00AF09F5">
              <w:rPr>
                <w:rFonts w:eastAsia="Calibri"/>
              </w:rPr>
              <w:t xml:space="preserve">all the indirect and intangible values associated with life and health, without the need for explicit estimates of the contributing factors such as the gain to individuals, the increased contribution to the economy and society, reduced burdens on the health sector and other public services, and so on. </w:t>
            </w:r>
          </w:p>
        </w:tc>
      </w:tr>
    </w:tbl>
    <w:p w14:paraId="17619580" w14:textId="14C4F5C2" w:rsidR="00240A4A" w:rsidRDefault="00240A4A" w:rsidP="009C0B61">
      <w:pPr>
        <w:spacing w:after="40"/>
        <w:jc w:val="both"/>
      </w:pPr>
    </w:p>
    <w:p w14:paraId="20D36C66" w14:textId="77777777" w:rsidR="00E15858" w:rsidRDefault="00E15858">
      <w:r>
        <w:br w:type="page"/>
      </w:r>
    </w:p>
    <w:p w14:paraId="4AC01677" w14:textId="2084C702" w:rsidR="00AF213A" w:rsidRDefault="00AF213A" w:rsidP="00AF213A">
      <w:pPr>
        <w:spacing w:after="40"/>
        <w:jc w:val="both"/>
      </w:pPr>
      <w:r w:rsidRPr="00AF09F5">
        <w:lastRenderedPageBreak/>
        <w:t xml:space="preserve">Table </w:t>
      </w:r>
      <w:r>
        <w:t>6</w:t>
      </w:r>
      <w:r w:rsidRPr="00AF09F5">
        <w:t>: DALY averted after three years</w:t>
      </w:r>
      <w:r>
        <w:rPr>
          <w:rStyle w:val="FootnoteReference"/>
        </w:rPr>
        <w:footnoteReference w:id="110"/>
      </w:r>
    </w:p>
    <w:p w14:paraId="462AB84F" w14:textId="77777777" w:rsidR="00AF213A" w:rsidRDefault="00AF213A" w:rsidP="00AF213A">
      <w:pPr>
        <w:spacing w:after="40"/>
        <w:jc w:val="both"/>
      </w:pPr>
    </w:p>
    <w:tbl>
      <w:tblPr>
        <w:tblStyle w:val="PlainTable3"/>
        <w:tblW w:w="9054" w:type="dxa"/>
        <w:tblLook w:val="04A0" w:firstRow="1" w:lastRow="0" w:firstColumn="1" w:lastColumn="0" w:noHBand="0" w:noVBand="1"/>
      </w:tblPr>
      <w:tblGrid>
        <w:gridCol w:w="3261"/>
        <w:gridCol w:w="1931"/>
        <w:gridCol w:w="1931"/>
        <w:gridCol w:w="1931"/>
      </w:tblGrid>
      <w:tr w:rsidR="00AF213A" w14:paraId="386504AD" w14:textId="77777777" w:rsidTr="005A17D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61" w:type="dxa"/>
          </w:tcPr>
          <w:p w14:paraId="6FED89CF" w14:textId="77777777" w:rsidR="00AF213A" w:rsidRDefault="00AF213A" w:rsidP="00E15858">
            <w:pPr>
              <w:spacing w:after="40"/>
              <w:jc w:val="both"/>
            </w:pPr>
            <w:r>
              <w:t>J</w:t>
            </w:r>
            <w:r>
              <w:rPr>
                <w:caps w:val="0"/>
              </w:rPr>
              <w:t>urisdiction</w:t>
            </w:r>
          </w:p>
        </w:tc>
        <w:tc>
          <w:tcPr>
            <w:tcW w:w="1931" w:type="dxa"/>
          </w:tcPr>
          <w:p w14:paraId="06CCC59C" w14:textId="77777777" w:rsidR="00AF213A" w:rsidRDefault="00AF213A" w:rsidP="00E15858">
            <w:pPr>
              <w:spacing w:after="40"/>
              <w:jc w:val="center"/>
              <w:cnfStyle w:val="100000000000" w:firstRow="1" w:lastRow="0" w:firstColumn="0" w:lastColumn="0" w:oddVBand="0" w:evenVBand="0" w:oddHBand="0" w:evenHBand="0" w:firstRowFirstColumn="0" w:firstRowLastColumn="0" w:lastRowFirstColumn="0" w:lastRowLastColumn="0"/>
            </w:pPr>
            <w:r w:rsidRPr="00AF09F5">
              <w:rPr>
                <w:caps w:val="0"/>
                <w:lang w:eastAsia="zh-CN" w:bidi="th-TH"/>
              </w:rPr>
              <w:t>D</w:t>
            </w:r>
            <w:r>
              <w:rPr>
                <w:caps w:val="0"/>
                <w:lang w:eastAsia="zh-CN" w:bidi="th-TH"/>
              </w:rPr>
              <w:t>ALY</w:t>
            </w:r>
            <w:r w:rsidRPr="00AF09F5">
              <w:rPr>
                <w:caps w:val="0"/>
                <w:lang w:eastAsia="zh-CN" w:bidi="th-TH"/>
              </w:rPr>
              <w:t xml:space="preserve"> averted</w:t>
            </w:r>
            <w:r>
              <w:rPr>
                <w:lang w:eastAsia="zh-CN" w:bidi="th-TH"/>
              </w:rPr>
              <w:t xml:space="preserve"> </w:t>
            </w:r>
            <w:r>
              <w:rPr>
                <w:caps w:val="0"/>
                <w:lang w:eastAsia="zh-CN" w:bidi="th-TH"/>
              </w:rPr>
              <w:t>for Option 2</w:t>
            </w:r>
          </w:p>
        </w:tc>
        <w:tc>
          <w:tcPr>
            <w:tcW w:w="1931" w:type="dxa"/>
          </w:tcPr>
          <w:p w14:paraId="78C5AB70" w14:textId="77777777" w:rsidR="00AF213A" w:rsidRDefault="00AF213A" w:rsidP="00E15858">
            <w:pPr>
              <w:spacing w:after="40"/>
              <w:jc w:val="center"/>
              <w:cnfStyle w:val="100000000000" w:firstRow="1" w:lastRow="0" w:firstColumn="0" w:lastColumn="0" w:oddVBand="0" w:evenVBand="0" w:oddHBand="0" w:evenHBand="0" w:firstRowFirstColumn="0" w:firstRowLastColumn="0" w:lastRowFirstColumn="0" w:lastRowLastColumn="0"/>
            </w:pPr>
            <w:r w:rsidRPr="00AF09F5">
              <w:rPr>
                <w:caps w:val="0"/>
                <w:lang w:eastAsia="zh-CN" w:bidi="th-TH"/>
              </w:rPr>
              <w:t>D</w:t>
            </w:r>
            <w:r>
              <w:rPr>
                <w:caps w:val="0"/>
                <w:lang w:eastAsia="zh-CN" w:bidi="th-TH"/>
              </w:rPr>
              <w:t xml:space="preserve">ALY </w:t>
            </w:r>
            <w:r w:rsidRPr="00AF09F5">
              <w:rPr>
                <w:caps w:val="0"/>
                <w:lang w:eastAsia="zh-CN" w:bidi="th-TH"/>
              </w:rPr>
              <w:t>averted</w:t>
            </w:r>
            <w:r>
              <w:rPr>
                <w:caps w:val="0"/>
                <w:lang w:eastAsia="zh-CN" w:bidi="th-TH"/>
              </w:rPr>
              <w:t xml:space="preserve"> for Option </w:t>
            </w:r>
            <w:r>
              <w:rPr>
                <w:lang w:eastAsia="zh-CN" w:bidi="th-TH"/>
              </w:rPr>
              <w:t>3</w:t>
            </w:r>
          </w:p>
        </w:tc>
        <w:tc>
          <w:tcPr>
            <w:tcW w:w="1931" w:type="dxa"/>
          </w:tcPr>
          <w:p w14:paraId="524EE99D" w14:textId="77777777" w:rsidR="00AF213A" w:rsidRDefault="00AF213A" w:rsidP="00E15858">
            <w:pPr>
              <w:spacing w:after="40"/>
              <w:jc w:val="center"/>
              <w:cnfStyle w:val="100000000000" w:firstRow="1" w:lastRow="0" w:firstColumn="0" w:lastColumn="0" w:oddVBand="0" w:evenVBand="0" w:oddHBand="0" w:evenHBand="0" w:firstRowFirstColumn="0" w:firstRowLastColumn="0" w:lastRowFirstColumn="0" w:lastRowLastColumn="0"/>
            </w:pPr>
            <w:r w:rsidRPr="00AF09F5">
              <w:rPr>
                <w:caps w:val="0"/>
                <w:lang w:eastAsia="zh-CN" w:bidi="th-TH"/>
              </w:rPr>
              <w:t>D</w:t>
            </w:r>
            <w:r>
              <w:rPr>
                <w:caps w:val="0"/>
                <w:lang w:eastAsia="zh-CN" w:bidi="th-TH"/>
              </w:rPr>
              <w:t>ALY</w:t>
            </w:r>
            <w:r w:rsidRPr="00AF09F5">
              <w:rPr>
                <w:caps w:val="0"/>
                <w:lang w:eastAsia="zh-CN" w:bidi="th-TH"/>
              </w:rPr>
              <w:t xml:space="preserve"> averted</w:t>
            </w:r>
            <w:r>
              <w:rPr>
                <w:caps w:val="0"/>
                <w:lang w:eastAsia="zh-CN" w:bidi="th-TH"/>
              </w:rPr>
              <w:t xml:space="preserve"> for Option 4</w:t>
            </w:r>
          </w:p>
        </w:tc>
      </w:tr>
      <w:tr w:rsidR="00AF213A" w14:paraId="1E8D7886" w14:textId="77777777" w:rsidTr="005A17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vAlign w:val="center"/>
          </w:tcPr>
          <w:p w14:paraId="1035EB80" w14:textId="1E7D7688" w:rsidR="00AF213A" w:rsidRPr="00E45CA5" w:rsidRDefault="00AF213A" w:rsidP="00E15858">
            <w:pPr>
              <w:spacing w:after="40"/>
              <w:rPr>
                <w:b w:val="0"/>
                <w:bCs w:val="0"/>
              </w:rPr>
            </w:pPr>
            <w:r w:rsidRPr="00AF09F5">
              <w:rPr>
                <w:caps w:val="0"/>
              </w:rPr>
              <w:t>New South Wales</w:t>
            </w:r>
          </w:p>
        </w:tc>
        <w:tc>
          <w:tcPr>
            <w:tcW w:w="1931" w:type="dxa"/>
            <w:vAlign w:val="center"/>
          </w:tcPr>
          <w:p w14:paraId="7F9855BA" w14:textId="77777777" w:rsidR="00AF213A" w:rsidRDefault="00AF213A" w:rsidP="00E15858">
            <w:pPr>
              <w:spacing w:after="40"/>
              <w:jc w:val="center"/>
              <w:cnfStyle w:val="000000100000" w:firstRow="0" w:lastRow="0" w:firstColumn="0" w:lastColumn="0" w:oddVBand="0" w:evenVBand="0" w:oddHBand="1" w:evenHBand="0" w:firstRowFirstColumn="0" w:firstRowLastColumn="0" w:lastRowFirstColumn="0" w:lastRowLastColumn="0"/>
            </w:pPr>
            <w:r w:rsidRPr="00AF09F5">
              <w:rPr>
                <w:lang w:eastAsia="zh-CN" w:bidi="th-TH"/>
              </w:rPr>
              <w:t>170.8</w:t>
            </w:r>
          </w:p>
        </w:tc>
        <w:tc>
          <w:tcPr>
            <w:tcW w:w="1931" w:type="dxa"/>
            <w:vAlign w:val="center"/>
          </w:tcPr>
          <w:p w14:paraId="121DC4AC" w14:textId="77777777" w:rsidR="00AF213A" w:rsidRDefault="00AF213A" w:rsidP="00E15858">
            <w:pPr>
              <w:spacing w:after="40"/>
              <w:jc w:val="center"/>
              <w:cnfStyle w:val="000000100000" w:firstRow="0" w:lastRow="0" w:firstColumn="0" w:lastColumn="0" w:oddVBand="0" w:evenVBand="0" w:oddHBand="1" w:evenHBand="0" w:firstRowFirstColumn="0" w:firstRowLastColumn="0" w:lastRowFirstColumn="0" w:lastRowLastColumn="0"/>
            </w:pPr>
            <w:r w:rsidRPr="00AF09F5">
              <w:rPr>
                <w:lang w:eastAsia="zh-CN" w:bidi="th-TH"/>
              </w:rPr>
              <w:t>170.8</w:t>
            </w:r>
          </w:p>
        </w:tc>
        <w:tc>
          <w:tcPr>
            <w:tcW w:w="1931" w:type="dxa"/>
            <w:vAlign w:val="center"/>
          </w:tcPr>
          <w:p w14:paraId="1B0EB6F4" w14:textId="77777777" w:rsidR="00AF213A" w:rsidRDefault="00AF213A" w:rsidP="00E15858">
            <w:pPr>
              <w:spacing w:after="40"/>
              <w:jc w:val="center"/>
              <w:cnfStyle w:val="000000100000" w:firstRow="0" w:lastRow="0" w:firstColumn="0" w:lastColumn="0" w:oddVBand="0" w:evenVBand="0" w:oddHBand="1" w:evenHBand="0" w:firstRowFirstColumn="0" w:firstRowLastColumn="0" w:lastRowFirstColumn="0" w:lastRowLastColumn="0"/>
            </w:pPr>
            <w:r w:rsidRPr="00AF09F5">
              <w:rPr>
                <w:lang w:eastAsia="zh-CN" w:bidi="th-TH"/>
              </w:rPr>
              <w:t>41.2</w:t>
            </w:r>
          </w:p>
        </w:tc>
      </w:tr>
      <w:tr w:rsidR="00AF213A" w14:paraId="2A2C6B5C" w14:textId="77777777" w:rsidTr="005A17D8">
        <w:tc>
          <w:tcPr>
            <w:cnfStyle w:val="001000000000" w:firstRow="0" w:lastRow="0" w:firstColumn="1" w:lastColumn="0" w:oddVBand="0" w:evenVBand="0" w:oddHBand="0" w:evenHBand="0" w:firstRowFirstColumn="0" w:firstRowLastColumn="0" w:lastRowFirstColumn="0" w:lastRowLastColumn="0"/>
            <w:tcW w:w="3261" w:type="dxa"/>
            <w:vAlign w:val="center"/>
          </w:tcPr>
          <w:p w14:paraId="4AE669BD" w14:textId="5E30F504" w:rsidR="00AF213A" w:rsidRPr="00E45CA5" w:rsidRDefault="00AF213A" w:rsidP="00E15858">
            <w:pPr>
              <w:spacing w:after="40"/>
              <w:rPr>
                <w:b w:val="0"/>
                <w:bCs w:val="0"/>
              </w:rPr>
            </w:pPr>
            <w:r w:rsidRPr="00AF09F5">
              <w:rPr>
                <w:caps w:val="0"/>
              </w:rPr>
              <w:t>Victoria</w:t>
            </w:r>
          </w:p>
        </w:tc>
        <w:tc>
          <w:tcPr>
            <w:tcW w:w="1931" w:type="dxa"/>
            <w:vAlign w:val="center"/>
          </w:tcPr>
          <w:p w14:paraId="047342D1" w14:textId="77777777" w:rsidR="00AF213A" w:rsidRDefault="00AF213A" w:rsidP="00E15858">
            <w:pPr>
              <w:spacing w:after="40"/>
              <w:jc w:val="center"/>
              <w:cnfStyle w:val="000000000000" w:firstRow="0" w:lastRow="0" w:firstColumn="0" w:lastColumn="0" w:oddVBand="0" w:evenVBand="0" w:oddHBand="0" w:evenHBand="0" w:firstRowFirstColumn="0" w:firstRowLastColumn="0" w:lastRowFirstColumn="0" w:lastRowLastColumn="0"/>
            </w:pPr>
            <w:r w:rsidRPr="00AF09F5">
              <w:rPr>
                <w:lang w:eastAsia="zh-CN" w:bidi="th-TH"/>
              </w:rPr>
              <w:t>87.8</w:t>
            </w:r>
          </w:p>
        </w:tc>
        <w:tc>
          <w:tcPr>
            <w:tcW w:w="1931" w:type="dxa"/>
            <w:vAlign w:val="center"/>
          </w:tcPr>
          <w:p w14:paraId="54D70685" w14:textId="77777777" w:rsidR="00AF213A" w:rsidRDefault="00AF213A" w:rsidP="00E15858">
            <w:pPr>
              <w:spacing w:after="40"/>
              <w:jc w:val="center"/>
              <w:cnfStyle w:val="000000000000" w:firstRow="0" w:lastRow="0" w:firstColumn="0" w:lastColumn="0" w:oddVBand="0" w:evenVBand="0" w:oddHBand="0" w:evenHBand="0" w:firstRowFirstColumn="0" w:firstRowLastColumn="0" w:lastRowFirstColumn="0" w:lastRowLastColumn="0"/>
            </w:pPr>
            <w:r w:rsidRPr="00AF09F5">
              <w:rPr>
                <w:lang w:eastAsia="zh-CN" w:bidi="th-TH"/>
              </w:rPr>
              <w:t>87.8</w:t>
            </w:r>
          </w:p>
        </w:tc>
        <w:tc>
          <w:tcPr>
            <w:tcW w:w="1931" w:type="dxa"/>
            <w:vAlign w:val="center"/>
          </w:tcPr>
          <w:p w14:paraId="5821F7CD" w14:textId="77777777" w:rsidR="00AF213A" w:rsidRDefault="00AF213A" w:rsidP="00E15858">
            <w:pPr>
              <w:spacing w:after="40"/>
              <w:jc w:val="center"/>
              <w:cnfStyle w:val="000000000000" w:firstRow="0" w:lastRow="0" w:firstColumn="0" w:lastColumn="0" w:oddVBand="0" w:evenVBand="0" w:oddHBand="0" w:evenHBand="0" w:firstRowFirstColumn="0" w:firstRowLastColumn="0" w:lastRowFirstColumn="0" w:lastRowLastColumn="0"/>
            </w:pPr>
            <w:r w:rsidRPr="00AF09F5">
              <w:rPr>
                <w:lang w:eastAsia="zh-CN" w:bidi="th-TH"/>
              </w:rPr>
              <w:t>32.7</w:t>
            </w:r>
          </w:p>
        </w:tc>
      </w:tr>
      <w:tr w:rsidR="00AF213A" w14:paraId="7F0892FE" w14:textId="77777777" w:rsidTr="005A17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vAlign w:val="center"/>
          </w:tcPr>
          <w:p w14:paraId="22AD2ED8" w14:textId="4B633D0C" w:rsidR="00AF213A" w:rsidRPr="00E45CA5" w:rsidRDefault="00AF213A" w:rsidP="00E15858">
            <w:pPr>
              <w:spacing w:after="40"/>
              <w:rPr>
                <w:b w:val="0"/>
                <w:bCs w:val="0"/>
              </w:rPr>
            </w:pPr>
            <w:r w:rsidRPr="00AF09F5">
              <w:rPr>
                <w:caps w:val="0"/>
              </w:rPr>
              <w:t>Queensland</w:t>
            </w:r>
          </w:p>
        </w:tc>
        <w:tc>
          <w:tcPr>
            <w:tcW w:w="1931" w:type="dxa"/>
            <w:vAlign w:val="center"/>
          </w:tcPr>
          <w:p w14:paraId="68EADF78" w14:textId="77777777" w:rsidR="00AF213A" w:rsidRDefault="00AF213A" w:rsidP="00E15858">
            <w:pPr>
              <w:spacing w:after="40"/>
              <w:jc w:val="center"/>
              <w:cnfStyle w:val="000000100000" w:firstRow="0" w:lastRow="0" w:firstColumn="0" w:lastColumn="0" w:oddVBand="0" w:evenVBand="0" w:oddHBand="1" w:evenHBand="0" w:firstRowFirstColumn="0" w:firstRowLastColumn="0" w:lastRowFirstColumn="0" w:lastRowLastColumn="0"/>
            </w:pPr>
            <w:r w:rsidRPr="00AF09F5">
              <w:rPr>
                <w:lang w:eastAsia="zh-CN" w:bidi="th-TH"/>
              </w:rPr>
              <w:t>128.8</w:t>
            </w:r>
          </w:p>
        </w:tc>
        <w:tc>
          <w:tcPr>
            <w:tcW w:w="1931" w:type="dxa"/>
            <w:vAlign w:val="center"/>
          </w:tcPr>
          <w:p w14:paraId="158BF7FB" w14:textId="77777777" w:rsidR="00AF213A" w:rsidRDefault="00AF213A" w:rsidP="00E15858">
            <w:pPr>
              <w:spacing w:after="40"/>
              <w:jc w:val="center"/>
              <w:cnfStyle w:val="000000100000" w:firstRow="0" w:lastRow="0" w:firstColumn="0" w:lastColumn="0" w:oddVBand="0" w:evenVBand="0" w:oddHBand="1" w:evenHBand="0" w:firstRowFirstColumn="0" w:firstRowLastColumn="0" w:lastRowFirstColumn="0" w:lastRowLastColumn="0"/>
            </w:pPr>
            <w:r w:rsidRPr="00AF09F5">
              <w:rPr>
                <w:lang w:eastAsia="zh-CN" w:bidi="th-TH"/>
              </w:rPr>
              <w:t>128.8</w:t>
            </w:r>
          </w:p>
        </w:tc>
        <w:tc>
          <w:tcPr>
            <w:tcW w:w="1931" w:type="dxa"/>
            <w:vAlign w:val="center"/>
          </w:tcPr>
          <w:p w14:paraId="35B5158D" w14:textId="77777777" w:rsidR="00AF213A" w:rsidRDefault="00AF213A" w:rsidP="00E15858">
            <w:pPr>
              <w:spacing w:after="40"/>
              <w:jc w:val="center"/>
              <w:cnfStyle w:val="000000100000" w:firstRow="0" w:lastRow="0" w:firstColumn="0" w:lastColumn="0" w:oddVBand="0" w:evenVBand="0" w:oddHBand="1" w:evenHBand="0" w:firstRowFirstColumn="0" w:firstRowLastColumn="0" w:lastRowFirstColumn="0" w:lastRowLastColumn="0"/>
            </w:pPr>
            <w:r w:rsidRPr="00AF09F5">
              <w:rPr>
                <w:lang w:eastAsia="zh-CN" w:bidi="th-TH"/>
              </w:rPr>
              <w:t>26.7</w:t>
            </w:r>
          </w:p>
        </w:tc>
      </w:tr>
      <w:tr w:rsidR="00AF213A" w14:paraId="40994A7D" w14:textId="77777777" w:rsidTr="005A17D8">
        <w:tc>
          <w:tcPr>
            <w:cnfStyle w:val="001000000000" w:firstRow="0" w:lastRow="0" w:firstColumn="1" w:lastColumn="0" w:oddVBand="0" w:evenVBand="0" w:oddHBand="0" w:evenHBand="0" w:firstRowFirstColumn="0" w:firstRowLastColumn="0" w:lastRowFirstColumn="0" w:lastRowLastColumn="0"/>
            <w:tcW w:w="3261" w:type="dxa"/>
            <w:vAlign w:val="center"/>
          </w:tcPr>
          <w:p w14:paraId="0F76D8BF" w14:textId="45030948" w:rsidR="00AF213A" w:rsidRPr="00E15858" w:rsidRDefault="00AF213A" w:rsidP="00E15858">
            <w:pPr>
              <w:spacing w:after="40"/>
              <w:rPr>
                <w:b w:val="0"/>
                <w:bCs w:val="0"/>
              </w:rPr>
            </w:pPr>
            <w:r w:rsidRPr="00AF09F5">
              <w:rPr>
                <w:caps w:val="0"/>
              </w:rPr>
              <w:t>South Australia</w:t>
            </w:r>
          </w:p>
        </w:tc>
        <w:tc>
          <w:tcPr>
            <w:tcW w:w="1931" w:type="dxa"/>
            <w:vAlign w:val="center"/>
          </w:tcPr>
          <w:p w14:paraId="5D65BF3F" w14:textId="77777777" w:rsidR="00AF213A" w:rsidRDefault="00AF213A" w:rsidP="00E15858">
            <w:pPr>
              <w:spacing w:after="40"/>
              <w:jc w:val="center"/>
              <w:cnfStyle w:val="000000000000" w:firstRow="0" w:lastRow="0" w:firstColumn="0" w:lastColumn="0" w:oddVBand="0" w:evenVBand="0" w:oddHBand="0" w:evenHBand="0" w:firstRowFirstColumn="0" w:firstRowLastColumn="0" w:lastRowFirstColumn="0" w:lastRowLastColumn="0"/>
            </w:pPr>
            <w:r w:rsidRPr="00AF09F5">
              <w:rPr>
                <w:lang w:eastAsia="zh-CN" w:bidi="th-TH"/>
              </w:rPr>
              <w:t>38.7</w:t>
            </w:r>
          </w:p>
        </w:tc>
        <w:tc>
          <w:tcPr>
            <w:tcW w:w="1931" w:type="dxa"/>
            <w:vAlign w:val="center"/>
          </w:tcPr>
          <w:p w14:paraId="2366C601" w14:textId="77777777" w:rsidR="00AF213A" w:rsidRDefault="00AF213A" w:rsidP="00E15858">
            <w:pPr>
              <w:spacing w:after="40"/>
              <w:jc w:val="center"/>
              <w:cnfStyle w:val="000000000000" w:firstRow="0" w:lastRow="0" w:firstColumn="0" w:lastColumn="0" w:oddVBand="0" w:evenVBand="0" w:oddHBand="0" w:evenHBand="0" w:firstRowFirstColumn="0" w:firstRowLastColumn="0" w:lastRowFirstColumn="0" w:lastRowLastColumn="0"/>
            </w:pPr>
            <w:r w:rsidRPr="00AF09F5">
              <w:rPr>
                <w:lang w:eastAsia="zh-CN" w:bidi="th-TH"/>
              </w:rPr>
              <w:t>38.7</w:t>
            </w:r>
          </w:p>
        </w:tc>
        <w:tc>
          <w:tcPr>
            <w:tcW w:w="1931" w:type="dxa"/>
            <w:vAlign w:val="center"/>
          </w:tcPr>
          <w:p w14:paraId="38C6E057" w14:textId="77777777" w:rsidR="00AF213A" w:rsidRDefault="00AF213A" w:rsidP="00E15858">
            <w:pPr>
              <w:spacing w:after="40"/>
              <w:jc w:val="center"/>
              <w:cnfStyle w:val="000000000000" w:firstRow="0" w:lastRow="0" w:firstColumn="0" w:lastColumn="0" w:oddVBand="0" w:evenVBand="0" w:oddHBand="0" w:evenHBand="0" w:firstRowFirstColumn="0" w:firstRowLastColumn="0" w:lastRowFirstColumn="0" w:lastRowLastColumn="0"/>
            </w:pPr>
            <w:r w:rsidRPr="00AF09F5">
              <w:rPr>
                <w:lang w:eastAsia="zh-CN" w:bidi="th-TH"/>
              </w:rPr>
              <w:t>8.3</w:t>
            </w:r>
          </w:p>
        </w:tc>
      </w:tr>
      <w:tr w:rsidR="00AF213A" w14:paraId="1572ACC5" w14:textId="77777777" w:rsidTr="005A17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vAlign w:val="center"/>
          </w:tcPr>
          <w:p w14:paraId="3EDE8D1B" w14:textId="36039AD7" w:rsidR="00AF213A" w:rsidRPr="00E15858" w:rsidRDefault="00AF213A" w:rsidP="00E15858">
            <w:pPr>
              <w:spacing w:after="40"/>
              <w:rPr>
                <w:b w:val="0"/>
                <w:bCs w:val="0"/>
              </w:rPr>
            </w:pPr>
            <w:r w:rsidRPr="00AF09F5">
              <w:rPr>
                <w:caps w:val="0"/>
              </w:rPr>
              <w:t>Australian Capital Territory</w:t>
            </w:r>
          </w:p>
        </w:tc>
        <w:tc>
          <w:tcPr>
            <w:tcW w:w="1931" w:type="dxa"/>
            <w:vAlign w:val="center"/>
          </w:tcPr>
          <w:p w14:paraId="7AD80FE2" w14:textId="77777777" w:rsidR="00AF213A" w:rsidRDefault="00AF213A" w:rsidP="00E15858">
            <w:pPr>
              <w:spacing w:after="40"/>
              <w:jc w:val="center"/>
              <w:cnfStyle w:val="000000100000" w:firstRow="0" w:lastRow="0" w:firstColumn="0" w:lastColumn="0" w:oddVBand="0" w:evenVBand="0" w:oddHBand="1" w:evenHBand="0" w:firstRowFirstColumn="0" w:firstRowLastColumn="0" w:lastRowFirstColumn="0" w:lastRowLastColumn="0"/>
            </w:pPr>
            <w:r w:rsidRPr="00AF09F5">
              <w:rPr>
                <w:lang w:eastAsia="zh-CN" w:bidi="th-TH"/>
              </w:rPr>
              <w:t>2.1</w:t>
            </w:r>
          </w:p>
        </w:tc>
        <w:tc>
          <w:tcPr>
            <w:tcW w:w="1931" w:type="dxa"/>
            <w:vAlign w:val="center"/>
          </w:tcPr>
          <w:p w14:paraId="4DE65174" w14:textId="77777777" w:rsidR="00AF213A" w:rsidRDefault="00AF213A" w:rsidP="00E15858">
            <w:pPr>
              <w:spacing w:after="40"/>
              <w:jc w:val="center"/>
              <w:cnfStyle w:val="000000100000" w:firstRow="0" w:lastRow="0" w:firstColumn="0" w:lastColumn="0" w:oddVBand="0" w:evenVBand="0" w:oddHBand="1" w:evenHBand="0" w:firstRowFirstColumn="0" w:firstRowLastColumn="0" w:lastRowFirstColumn="0" w:lastRowLastColumn="0"/>
            </w:pPr>
            <w:r w:rsidRPr="00AF09F5">
              <w:rPr>
                <w:lang w:eastAsia="zh-CN" w:bidi="th-TH"/>
              </w:rPr>
              <w:t>2.1</w:t>
            </w:r>
          </w:p>
        </w:tc>
        <w:tc>
          <w:tcPr>
            <w:tcW w:w="1931" w:type="dxa"/>
            <w:vAlign w:val="center"/>
          </w:tcPr>
          <w:p w14:paraId="17CFAED4" w14:textId="77777777" w:rsidR="00AF213A" w:rsidRDefault="00AF213A" w:rsidP="00E15858">
            <w:pPr>
              <w:spacing w:after="40"/>
              <w:jc w:val="center"/>
              <w:cnfStyle w:val="000000100000" w:firstRow="0" w:lastRow="0" w:firstColumn="0" w:lastColumn="0" w:oddVBand="0" w:evenVBand="0" w:oddHBand="1" w:evenHBand="0" w:firstRowFirstColumn="0" w:firstRowLastColumn="0" w:lastRowFirstColumn="0" w:lastRowLastColumn="0"/>
            </w:pPr>
            <w:r w:rsidRPr="00AF09F5">
              <w:rPr>
                <w:lang w:eastAsia="zh-CN" w:bidi="th-TH"/>
              </w:rPr>
              <w:t>2.1</w:t>
            </w:r>
          </w:p>
        </w:tc>
      </w:tr>
      <w:tr w:rsidR="00AF213A" w14:paraId="78FDCF66" w14:textId="77777777" w:rsidTr="005A17D8">
        <w:tc>
          <w:tcPr>
            <w:cnfStyle w:val="001000000000" w:firstRow="0" w:lastRow="0" w:firstColumn="1" w:lastColumn="0" w:oddVBand="0" w:evenVBand="0" w:oddHBand="0" w:evenHBand="0" w:firstRowFirstColumn="0" w:firstRowLastColumn="0" w:lastRowFirstColumn="0" w:lastRowLastColumn="0"/>
            <w:tcW w:w="3261" w:type="dxa"/>
            <w:vAlign w:val="center"/>
          </w:tcPr>
          <w:p w14:paraId="15611052" w14:textId="492C1F51" w:rsidR="00AF213A" w:rsidRPr="00E15858" w:rsidRDefault="00AF213A" w:rsidP="00E15858">
            <w:pPr>
              <w:spacing w:after="40"/>
              <w:rPr>
                <w:b w:val="0"/>
                <w:bCs w:val="0"/>
              </w:rPr>
            </w:pPr>
            <w:r w:rsidRPr="00AF09F5">
              <w:rPr>
                <w:caps w:val="0"/>
              </w:rPr>
              <w:t>Western Australia</w:t>
            </w:r>
          </w:p>
        </w:tc>
        <w:tc>
          <w:tcPr>
            <w:tcW w:w="1931" w:type="dxa"/>
            <w:vAlign w:val="center"/>
          </w:tcPr>
          <w:p w14:paraId="47BBDF8C" w14:textId="77777777" w:rsidR="00AF213A" w:rsidRDefault="00AF213A" w:rsidP="00E15858">
            <w:pPr>
              <w:spacing w:after="40"/>
              <w:jc w:val="center"/>
              <w:cnfStyle w:val="000000000000" w:firstRow="0" w:lastRow="0" w:firstColumn="0" w:lastColumn="0" w:oddVBand="0" w:evenVBand="0" w:oddHBand="0" w:evenHBand="0" w:firstRowFirstColumn="0" w:firstRowLastColumn="0" w:lastRowFirstColumn="0" w:lastRowLastColumn="0"/>
            </w:pPr>
            <w:r w:rsidRPr="00AF09F5">
              <w:rPr>
                <w:lang w:eastAsia="zh-CN" w:bidi="th-TH"/>
              </w:rPr>
              <w:t>12.3</w:t>
            </w:r>
          </w:p>
        </w:tc>
        <w:tc>
          <w:tcPr>
            <w:tcW w:w="1931" w:type="dxa"/>
            <w:vAlign w:val="center"/>
          </w:tcPr>
          <w:p w14:paraId="0D7BDBD3" w14:textId="77777777" w:rsidR="00AF213A" w:rsidRDefault="00AF213A" w:rsidP="00E15858">
            <w:pPr>
              <w:spacing w:after="40"/>
              <w:jc w:val="center"/>
              <w:cnfStyle w:val="000000000000" w:firstRow="0" w:lastRow="0" w:firstColumn="0" w:lastColumn="0" w:oddVBand="0" w:evenVBand="0" w:oddHBand="0" w:evenHBand="0" w:firstRowFirstColumn="0" w:firstRowLastColumn="0" w:lastRowFirstColumn="0" w:lastRowLastColumn="0"/>
            </w:pPr>
            <w:r w:rsidRPr="00AF09F5">
              <w:rPr>
                <w:lang w:eastAsia="zh-CN" w:bidi="th-TH"/>
              </w:rPr>
              <w:t>135.1</w:t>
            </w:r>
          </w:p>
        </w:tc>
        <w:tc>
          <w:tcPr>
            <w:tcW w:w="1931" w:type="dxa"/>
            <w:vAlign w:val="center"/>
          </w:tcPr>
          <w:p w14:paraId="63ACD896" w14:textId="77777777" w:rsidR="00AF213A" w:rsidRDefault="00AF213A" w:rsidP="00E15858">
            <w:pPr>
              <w:spacing w:after="40"/>
              <w:jc w:val="center"/>
              <w:cnfStyle w:val="000000000000" w:firstRow="0" w:lastRow="0" w:firstColumn="0" w:lastColumn="0" w:oddVBand="0" w:evenVBand="0" w:oddHBand="0" w:evenHBand="0" w:firstRowFirstColumn="0" w:firstRowLastColumn="0" w:lastRowFirstColumn="0" w:lastRowLastColumn="0"/>
            </w:pPr>
            <w:r w:rsidRPr="00AF09F5">
              <w:rPr>
                <w:lang w:eastAsia="zh-CN" w:bidi="th-TH"/>
              </w:rPr>
              <w:t>12.3</w:t>
            </w:r>
          </w:p>
        </w:tc>
      </w:tr>
      <w:tr w:rsidR="00AF213A" w14:paraId="304A7E08" w14:textId="77777777" w:rsidTr="005A17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vAlign w:val="center"/>
          </w:tcPr>
          <w:p w14:paraId="7AA6B233" w14:textId="624308ED" w:rsidR="00AF213A" w:rsidRPr="00E15858" w:rsidRDefault="00AF213A" w:rsidP="00E15858">
            <w:pPr>
              <w:spacing w:after="40"/>
              <w:rPr>
                <w:b w:val="0"/>
                <w:bCs w:val="0"/>
              </w:rPr>
            </w:pPr>
            <w:r w:rsidRPr="00AF09F5">
              <w:rPr>
                <w:caps w:val="0"/>
              </w:rPr>
              <w:t>Tasmania</w:t>
            </w:r>
          </w:p>
        </w:tc>
        <w:tc>
          <w:tcPr>
            <w:tcW w:w="1931" w:type="dxa"/>
            <w:vAlign w:val="center"/>
          </w:tcPr>
          <w:p w14:paraId="680F5971" w14:textId="77777777" w:rsidR="00AF213A" w:rsidRDefault="00AF213A" w:rsidP="00E15858">
            <w:pPr>
              <w:spacing w:after="40"/>
              <w:jc w:val="center"/>
              <w:cnfStyle w:val="000000100000" w:firstRow="0" w:lastRow="0" w:firstColumn="0" w:lastColumn="0" w:oddVBand="0" w:evenVBand="0" w:oddHBand="1" w:evenHBand="0" w:firstRowFirstColumn="0" w:firstRowLastColumn="0" w:lastRowFirstColumn="0" w:lastRowLastColumn="0"/>
            </w:pPr>
            <w:r w:rsidRPr="00AF09F5">
              <w:rPr>
                <w:lang w:eastAsia="zh-CN" w:bidi="th-TH"/>
              </w:rPr>
              <w:t>2.5</w:t>
            </w:r>
          </w:p>
        </w:tc>
        <w:tc>
          <w:tcPr>
            <w:tcW w:w="1931" w:type="dxa"/>
            <w:vAlign w:val="center"/>
          </w:tcPr>
          <w:p w14:paraId="2FE73B43" w14:textId="77777777" w:rsidR="00AF213A" w:rsidRDefault="00AF213A" w:rsidP="00E15858">
            <w:pPr>
              <w:spacing w:after="40"/>
              <w:jc w:val="center"/>
              <w:cnfStyle w:val="000000100000" w:firstRow="0" w:lastRow="0" w:firstColumn="0" w:lastColumn="0" w:oddVBand="0" w:evenVBand="0" w:oddHBand="1" w:evenHBand="0" w:firstRowFirstColumn="0" w:firstRowLastColumn="0" w:lastRowFirstColumn="0" w:lastRowLastColumn="0"/>
            </w:pPr>
            <w:r w:rsidRPr="00AF09F5">
              <w:rPr>
                <w:lang w:eastAsia="zh-CN" w:bidi="th-TH"/>
              </w:rPr>
              <w:t>27.8</w:t>
            </w:r>
          </w:p>
        </w:tc>
        <w:tc>
          <w:tcPr>
            <w:tcW w:w="1931" w:type="dxa"/>
            <w:vAlign w:val="center"/>
          </w:tcPr>
          <w:p w14:paraId="54D952CE" w14:textId="77777777" w:rsidR="00AF213A" w:rsidRDefault="00AF213A" w:rsidP="00E15858">
            <w:pPr>
              <w:spacing w:after="40"/>
              <w:jc w:val="center"/>
              <w:cnfStyle w:val="000000100000" w:firstRow="0" w:lastRow="0" w:firstColumn="0" w:lastColumn="0" w:oddVBand="0" w:evenVBand="0" w:oddHBand="1" w:evenHBand="0" w:firstRowFirstColumn="0" w:firstRowLastColumn="0" w:lastRowFirstColumn="0" w:lastRowLastColumn="0"/>
            </w:pPr>
            <w:r w:rsidRPr="00AF09F5">
              <w:rPr>
                <w:lang w:eastAsia="zh-CN" w:bidi="th-TH"/>
              </w:rPr>
              <w:t>2.5</w:t>
            </w:r>
          </w:p>
        </w:tc>
      </w:tr>
      <w:tr w:rsidR="00AF213A" w14:paraId="3AADBC59" w14:textId="77777777" w:rsidTr="005A17D8">
        <w:tc>
          <w:tcPr>
            <w:cnfStyle w:val="001000000000" w:firstRow="0" w:lastRow="0" w:firstColumn="1" w:lastColumn="0" w:oddVBand="0" w:evenVBand="0" w:oddHBand="0" w:evenHBand="0" w:firstRowFirstColumn="0" w:firstRowLastColumn="0" w:lastRowFirstColumn="0" w:lastRowLastColumn="0"/>
            <w:tcW w:w="3261" w:type="dxa"/>
            <w:vAlign w:val="center"/>
          </w:tcPr>
          <w:p w14:paraId="6DD43A7B" w14:textId="5BB3FEA4" w:rsidR="00AF213A" w:rsidRPr="00E15858" w:rsidRDefault="00AF213A" w:rsidP="00E15858">
            <w:pPr>
              <w:spacing w:after="40"/>
              <w:rPr>
                <w:b w:val="0"/>
                <w:bCs w:val="0"/>
              </w:rPr>
            </w:pPr>
            <w:r w:rsidRPr="00AF09F5">
              <w:rPr>
                <w:caps w:val="0"/>
              </w:rPr>
              <w:t>Northern Territory</w:t>
            </w:r>
          </w:p>
        </w:tc>
        <w:tc>
          <w:tcPr>
            <w:tcW w:w="1931" w:type="dxa"/>
            <w:vAlign w:val="center"/>
          </w:tcPr>
          <w:p w14:paraId="01D48469" w14:textId="77777777" w:rsidR="00AF213A" w:rsidRDefault="00AF213A" w:rsidP="00E15858">
            <w:pPr>
              <w:spacing w:after="40"/>
              <w:jc w:val="center"/>
              <w:cnfStyle w:val="000000000000" w:firstRow="0" w:lastRow="0" w:firstColumn="0" w:lastColumn="0" w:oddVBand="0" w:evenVBand="0" w:oddHBand="0" w:evenHBand="0" w:firstRowFirstColumn="0" w:firstRowLastColumn="0" w:lastRowFirstColumn="0" w:lastRowLastColumn="0"/>
            </w:pPr>
            <w:r w:rsidRPr="00AF09F5">
              <w:rPr>
                <w:lang w:eastAsia="zh-CN" w:bidi="th-TH"/>
              </w:rPr>
              <w:t>1.0</w:t>
            </w:r>
          </w:p>
        </w:tc>
        <w:tc>
          <w:tcPr>
            <w:tcW w:w="1931" w:type="dxa"/>
            <w:vAlign w:val="center"/>
          </w:tcPr>
          <w:p w14:paraId="50E87035" w14:textId="77777777" w:rsidR="00AF213A" w:rsidRDefault="00AF213A" w:rsidP="00E15858">
            <w:pPr>
              <w:spacing w:after="40"/>
              <w:jc w:val="center"/>
              <w:cnfStyle w:val="000000000000" w:firstRow="0" w:lastRow="0" w:firstColumn="0" w:lastColumn="0" w:oddVBand="0" w:evenVBand="0" w:oddHBand="0" w:evenHBand="0" w:firstRowFirstColumn="0" w:firstRowLastColumn="0" w:lastRowFirstColumn="0" w:lastRowLastColumn="0"/>
            </w:pPr>
            <w:r w:rsidRPr="00AF09F5">
              <w:rPr>
                <w:lang w:eastAsia="zh-CN" w:bidi="th-TH"/>
              </w:rPr>
              <w:t>11.4</w:t>
            </w:r>
          </w:p>
        </w:tc>
        <w:tc>
          <w:tcPr>
            <w:tcW w:w="1931" w:type="dxa"/>
            <w:vAlign w:val="center"/>
          </w:tcPr>
          <w:p w14:paraId="002586B7" w14:textId="77777777" w:rsidR="00AF213A" w:rsidRDefault="00AF213A" w:rsidP="00E15858">
            <w:pPr>
              <w:spacing w:after="40"/>
              <w:jc w:val="center"/>
              <w:cnfStyle w:val="000000000000" w:firstRow="0" w:lastRow="0" w:firstColumn="0" w:lastColumn="0" w:oddVBand="0" w:evenVBand="0" w:oddHBand="0" w:evenHBand="0" w:firstRowFirstColumn="0" w:firstRowLastColumn="0" w:lastRowFirstColumn="0" w:lastRowLastColumn="0"/>
            </w:pPr>
            <w:r w:rsidRPr="00AF09F5">
              <w:rPr>
                <w:lang w:eastAsia="zh-CN" w:bidi="th-TH"/>
              </w:rPr>
              <w:t>1.0</w:t>
            </w:r>
          </w:p>
        </w:tc>
      </w:tr>
      <w:tr w:rsidR="00AF213A" w14:paraId="454AA17C" w14:textId="77777777" w:rsidTr="005A17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vAlign w:val="center"/>
          </w:tcPr>
          <w:p w14:paraId="7180FD51" w14:textId="5C74E766" w:rsidR="00AF213A" w:rsidRPr="00E15858" w:rsidRDefault="00AF213A" w:rsidP="00E15858">
            <w:pPr>
              <w:spacing w:after="40"/>
              <w:rPr>
                <w:b w:val="0"/>
                <w:bCs w:val="0"/>
              </w:rPr>
            </w:pPr>
            <w:r w:rsidRPr="00AF09F5">
              <w:rPr>
                <w:caps w:val="0"/>
              </w:rPr>
              <w:t>Australia</w:t>
            </w:r>
          </w:p>
        </w:tc>
        <w:tc>
          <w:tcPr>
            <w:tcW w:w="1931" w:type="dxa"/>
            <w:vAlign w:val="center"/>
          </w:tcPr>
          <w:p w14:paraId="7C82F0E7" w14:textId="77777777" w:rsidR="00AF213A" w:rsidRDefault="00AF213A" w:rsidP="00E15858">
            <w:pPr>
              <w:spacing w:after="40"/>
              <w:jc w:val="center"/>
              <w:cnfStyle w:val="000000100000" w:firstRow="0" w:lastRow="0" w:firstColumn="0" w:lastColumn="0" w:oddVBand="0" w:evenVBand="0" w:oddHBand="1" w:evenHBand="0" w:firstRowFirstColumn="0" w:firstRowLastColumn="0" w:lastRowFirstColumn="0" w:lastRowLastColumn="0"/>
            </w:pPr>
            <w:r w:rsidRPr="00AF09F5">
              <w:rPr>
                <w:lang w:eastAsia="zh-CN" w:bidi="th-TH"/>
              </w:rPr>
              <w:t>440.0</w:t>
            </w:r>
          </w:p>
        </w:tc>
        <w:tc>
          <w:tcPr>
            <w:tcW w:w="1931" w:type="dxa"/>
            <w:vAlign w:val="center"/>
          </w:tcPr>
          <w:p w14:paraId="4660BE16" w14:textId="77777777" w:rsidR="00AF213A" w:rsidRDefault="00AF213A" w:rsidP="00E15858">
            <w:pPr>
              <w:spacing w:after="40"/>
              <w:jc w:val="center"/>
              <w:cnfStyle w:val="000000100000" w:firstRow="0" w:lastRow="0" w:firstColumn="0" w:lastColumn="0" w:oddVBand="0" w:evenVBand="0" w:oddHBand="1" w:evenHBand="0" w:firstRowFirstColumn="0" w:firstRowLastColumn="0" w:lastRowFirstColumn="0" w:lastRowLastColumn="0"/>
            </w:pPr>
            <w:r w:rsidRPr="00AF09F5">
              <w:rPr>
                <w:lang w:eastAsia="zh-CN" w:bidi="th-TH"/>
              </w:rPr>
              <w:t>595.3</w:t>
            </w:r>
          </w:p>
        </w:tc>
        <w:tc>
          <w:tcPr>
            <w:tcW w:w="1931" w:type="dxa"/>
            <w:vAlign w:val="center"/>
          </w:tcPr>
          <w:p w14:paraId="086928B0" w14:textId="77777777" w:rsidR="00AF213A" w:rsidRDefault="00AF213A" w:rsidP="00E15858">
            <w:pPr>
              <w:spacing w:after="40"/>
              <w:jc w:val="center"/>
              <w:cnfStyle w:val="000000100000" w:firstRow="0" w:lastRow="0" w:firstColumn="0" w:lastColumn="0" w:oddVBand="0" w:evenVBand="0" w:oddHBand="1" w:evenHBand="0" w:firstRowFirstColumn="0" w:firstRowLastColumn="0" w:lastRowFirstColumn="0" w:lastRowLastColumn="0"/>
            </w:pPr>
            <w:r w:rsidRPr="00AF09F5">
              <w:rPr>
                <w:lang w:eastAsia="zh-CN" w:bidi="th-TH"/>
              </w:rPr>
              <w:t>127.0</w:t>
            </w:r>
          </w:p>
        </w:tc>
      </w:tr>
      <w:tr w:rsidR="00AF213A" w14:paraId="3605221C" w14:textId="77777777" w:rsidTr="005A17D8">
        <w:tc>
          <w:tcPr>
            <w:cnfStyle w:val="001000000000" w:firstRow="0" w:lastRow="0" w:firstColumn="1" w:lastColumn="0" w:oddVBand="0" w:evenVBand="0" w:oddHBand="0" w:evenHBand="0" w:firstRowFirstColumn="0" w:firstRowLastColumn="0" w:lastRowFirstColumn="0" w:lastRowLastColumn="0"/>
            <w:tcW w:w="3261" w:type="dxa"/>
            <w:vAlign w:val="center"/>
          </w:tcPr>
          <w:p w14:paraId="3C83563F" w14:textId="2CDAA037" w:rsidR="00AF213A" w:rsidRPr="00E15858" w:rsidRDefault="00AF213A" w:rsidP="00E15858">
            <w:pPr>
              <w:spacing w:after="40"/>
              <w:rPr>
                <w:b w:val="0"/>
                <w:bCs w:val="0"/>
              </w:rPr>
            </w:pPr>
            <w:r w:rsidRPr="00AF09F5">
              <w:rPr>
                <w:caps w:val="0"/>
              </w:rPr>
              <w:t>New Zealand</w:t>
            </w:r>
          </w:p>
        </w:tc>
        <w:tc>
          <w:tcPr>
            <w:tcW w:w="1931" w:type="dxa"/>
            <w:vAlign w:val="center"/>
          </w:tcPr>
          <w:p w14:paraId="15907519" w14:textId="77777777" w:rsidR="00AF213A" w:rsidRDefault="00AF213A" w:rsidP="00E15858">
            <w:pPr>
              <w:spacing w:after="40"/>
              <w:jc w:val="center"/>
              <w:cnfStyle w:val="000000000000" w:firstRow="0" w:lastRow="0" w:firstColumn="0" w:lastColumn="0" w:oddVBand="0" w:evenVBand="0" w:oddHBand="0" w:evenHBand="0" w:firstRowFirstColumn="0" w:firstRowLastColumn="0" w:lastRowFirstColumn="0" w:lastRowLastColumn="0"/>
            </w:pPr>
            <w:r w:rsidRPr="00AF09F5">
              <w:rPr>
                <w:lang w:eastAsia="zh-CN" w:bidi="th-TH"/>
              </w:rPr>
              <w:t>24.5</w:t>
            </w:r>
          </w:p>
        </w:tc>
        <w:tc>
          <w:tcPr>
            <w:tcW w:w="1931" w:type="dxa"/>
            <w:vAlign w:val="center"/>
          </w:tcPr>
          <w:p w14:paraId="61E8FB20" w14:textId="77777777" w:rsidR="00AF213A" w:rsidRDefault="00AF213A" w:rsidP="00E15858">
            <w:pPr>
              <w:spacing w:after="40"/>
              <w:jc w:val="center"/>
              <w:cnfStyle w:val="000000000000" w:firstRow="0" w:lastRow="0" w:firstColumn="0" w:lastColumn="0" w:oddVBand="0" w:evenVBand="0" w:oddHBand="0" w:evenHBand="0" w:firstRowFirstColumn="0" w:firstRowLastColumn="0" w:lastRowFirstColumn="0" w:lastRowLastColumn="0"/>
            </w:pPr>
            <w:r w:rsidRPr="00AF09F5">
              <w:rPr>
                <w:lang w:eastAsia="zh-CN" w:bidi="th-TH"/>
              </w:rPr>
              <w:t>269.1</w:t>
            </w:r>
          </w:p>
        </w:tc>
        <w:tc>
          <w:tcPr>
            <w:tcW w:w="1931" w:type="dxa"/>
            <w:vAlign w:val="center"/>
          </w:tcPr>
          <w:p w14:paraId="41F6D98F" w14:textId="77777777" w:rsidR="00AF213A" w:rsidRDefault="00AF213A" w:rsidP="00E15858">
            <w:pPr>
              <w:spacing w:after="40"/>
              <w:jc w:val="center"/>
              <w:cnfStyle w:val="000000000000" w:firstRow="0" w:lastRow="0" w:firstColumn="0" w:lastColumn="0" w:oddVBand="0" w:evenVBand="0" w:oddHBand="0" w:evenHBand="0" w:firstRowFirstColumn="0" w:firstRowLastColumn="0" w:lastRowFirstColumn="0" w:lastRowLastColumn="0"/>
            </w:pPr>
            <w:r w:rsidRPr="00AF09F5">
              <w:rPr>
                <w:lang w:eastAsia="zh-CN" w:bidi="th-TH"/>
              </w:rPr>
              <w:t>24.5</w:t>
            </w:r>
          </w:p>
        </w:tc>
      </w:tr>
    </w:tbl>
    <w:p w14:paraId="7DFA59DE" w14:textId="77777777" w:rsidR="00AF213A" w:rsidRDefault="00AF213A" w:rsidP="00AF213A">
      <w:pPr>
        <w:spacing w:after="40"/>
        <w:jc w:val="both"/>
        <w:rPr>
          <w:lang w:eastAsia="zh-CN" w:bidi="th-TH"/>
        </w:rPr>
      </w:pPr>
    </w:p>
    <w:p w14:paraId="0856A7B7" w14:textId="77777777" w:rsidR="00AF213A" w:rsidRDefault="00AF213A" w:rsidP="00AF213A">
      <w:pPr>
        <w:spacing w:after="40"/>
        <w:jc w:val="both"/>
      </w:pPr>
      <w:r w:rsidRPr="00AF09F5">
        <w:t xml:space="preserve">Table </w:t>
      </w:r>
      <w:r>
        <w:t>7</w:t>
      </w:r>
      <w:r w:rsidRPr="00AF09F5">
        <w:t>: Benefits (monetised) over 10</w:t>
      </w:r>
      <w:r>
        <w:t>-</w:t>
      </w:r>
      <w:r w:rsidRPr="00AF09F5">
        <w:t>year period</w:t>
      </w:r>
      <w:r>
        <w:rPr>
          <w:rStyle w:val="FootnoteReference"/>
        </w:rPr>
        <w:footnoteReference w:id="111"/>
      </w:r>
    </w:p>
    <w:p w14:paraId="7F6CD9F0" w14:textId="77777777" w:rsidR="00AF213A" w:rsidRDefault="00AF213A" w:rsidP="00AF213A">
      <w:pPr>
        <w:spacing w:after="40"/>
        <w:jc w:val="both"/>
      </w:pPr>
    </w:p>
    <w:tbl>
      <w:tblPr>
        <w:tblStyle w:val="PlainTable3"/>
        <w:tblW w:w="9054" w:type="dxa"/>
        <w:tblLook w:val="04A0" w:firstRow="1" w:lastRow="0" w:firstColumn="1" w:lastColumn="0" w:noHBand="0" w:noVBand="1"/>
      </w:tblPr>
      <w:tblGrid>
        <w:gridCol w:w="3261"/>
        <w:gridCol w:w="1931"/>
        <w:gridCol w:w="1931"/>
        <w:gridCol w:w="1931"/>
      </w:tblGrid>
      <w:tr w:rsidR="00AF213A" w14:paraId="7822AB83" w14:textId="77777777" w:rsidTr="005A17D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61" w:type="dxa"/>
          </w:tcPr>
          <w:p w14:paraId="0DF1D0D0" w14:textId="77777777" w:rsidR="00AF213A" w:rsidRDefault="00AF213A" w:rsidP="00E15858">
            <w:pPr>
              <w:spacing w:after="40"/>
              <w:jc w:val="both"/>
            </w:pPr>
            <w:r>
              <w:t>J</w:t>
            </w:r>
            <w:r>
              <w:rPr>
                <w:caps w:val="0"/>
              </w:rPr>
              <w:t>urisdiction</w:t>
            </w:r>
          </w:p>
        </w:tc>
        <w:tc>
          <w:tcPr>
            <w:tcW w:w="1931" w:type="dxa"/>
          </w:tcPr>
          <w:p w14:paraId="10E48286" w14:textId="77777777" w:rsidR="00AF213A" w:rsidRDefault="00AF213A" w:rsidP="00E15858">
            <w:pPr>
              <w:spacing w:after="40"/>
              <w:jc w:val="center"/>
              <w:cnfStyle w:val="100000000000" w:firstRow="1" w:lastRow="0" w:firstColumn="0" w:lastColumn="0" w:oddVBand="0" w:evenVBand="0" w:oddHBand="0" w:evenHBand="0" w:firstRowFirstColumn="0" w:firstRowLastColumn="0" w:lastRowFirstColumn="0" w:lastRowLastColumn="0"/>
            </w:pPr>
            <w:r>
              <w:rPr>
                <w:caps w:val="0"/>
                <w:lang w:eastAsia="zh-CN" w:bidi="th-TH"/>
              </w:rPr>
              <w:t>Benefit of Option 2</w:t>
            </w:r>
          </w:p>
        </w:tc>
        <w:tc>
          <w:tcPr>
            <w:tcW w:w="1931" w:type="dxa"/>
          </w:tcPr>
          <w:p w14:paraId="297002AE" w14:textId="77777777" w:rsidR="00AF213A" w:rsidRDefault="00AF213A" w:rsidP="00E15858">
            <w:pPr>
              <w:spacing w:after="40"/>
              <w:jc w:val="center"/>
              <w:cnfStyle w:val="100000000000" w:firstRow="1" w:lastRow="0" w:firstColumn="0" w:lastColumn="0" w:oddVBand="0" w:evenVBand="0" w:oddHBand="0" w:evenHBand="0" w:firstRowFirstColumn="0" w:firstRowLastColumn="0" w:lastRowFirstColumn="0" w:lastRowLastColumn="0"/>
            </w:pPr>
            <w:r>
              <w:rPr>
                <w:caps w:val="0"/>
                <w:lang w:eastAsia="zh-CN" w:bidi="th-TH"/>
              </w:rPr>
              <w:t xml:space="preserve">Benefit of Option </w:t>
            </w:r>
            <w:r>
              <w:rPr>
                <w:lang w:eastAsia="zh-CN" w:bidi="th-TH"/>
              </w:rPr>
              <w:t>3</w:t>
            </w:r>
          </w:p>
        </w:tc>
        <w:tc>
          <w:tcPr>
            <w:tcW w:w="1931" w:type="dxa"/>
          </w:tcPr>
          <w:p w14:paraId="4923A94C" w14:textId="77777777" w:rsidR="00AF213A" w:rsidRDefault="00AF213A" w:rsidP="00E15858">
            <w:pPr>
              <w:spacing w:after="40"/>
              <w:jc w:val="center"/>
              <w:cnfStyle w:val="100000000000" w:firstRow="1" w:lastRow="0" w:firstColumn="0" w:lastColumn="0" w:oddVBand="0" w:evenVBand="0" w:oddHBand="0" w:evenHBand="0" w:firstRowFirstColumn="0" w:firstRowLastColumn="0" w:lastRowFirstColumn="0" w:lastRowLastColumn="0"/>
            </w:pPr>
            <w:r>
              <w:rPr>
                <w:caps w:val="0"/>
                <w:lang w:eastAsia="zh-CN" w:bidi="th-TH"/>
              </w:rPr>
              <w:t>Benefit of Option 4</w:t>
            </w:r>
          </w:p>
        </w:tc>
      </w:tr>
      <w:tr w:rsidR="00AF213A" w14:paraId="4860FF89" w14:textId="77777777" w:rsidTr="005A17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vAlign w:val="center"/>
          </w:tcPr>
          <w:p w14:paraId="4D0A0D03" w14:textId="119AA19C" w:rsidR="00AF213A" w:rsidRPr="0028215C" w:rsidRDefault="00AF213A" w:rsidP="00E15858">
            <w:pPr>
              <w:spacing w:after="40"/>
              <w:rPr>
                <w:b w:val="0"/>
                <w:bCs w:val="0"/>
              </w:rPr>
            </w:pPr>
            <w:r w:rsidRPr="00AF09F5">
              <w:rPr>
                <w:caps w:val="0"/>
              </w:rPr>
              <w:t>New South Wales</w:t>
            </w:r>
          </w:p>
        </w:tc>
        <w:tc>
          <w:tcPr>
            <w:tcW w:w="1931" w:type="dxa"/>
            <w:vAlign w:val="center"/>
          </w:tcPr>
          <w:p w14:paraId="15A20841" w14:textId="77777777" w:rsidR="00AF213A" w:rsidRDefault="00AF213A" w:rsidP="00E15858">
            <w:pPr>
              <w:spacing w:after="40"/>
              <w:jc w:val="center"/>
              <w:cnfStyle w:val="000000100000" w:firstRow="0" w:lastRow="0" w:firstColumn="0" w:lastColumn="0" w:oddVBand="0" w:evenVBand="0" w:oddHBand="1" w:evenHBand="0" w:firstRowFirstColumn="0" w:firstRowLastColumn="0" w:lastRowFirstColumn="0" w:lastRowLastColumn="0"/>
            </w:pPr>
            <w:r w:rsidRPr="00AF09F5">
              <w:rPr>
                <w:lang w:eastAsia="zh-CN" w:bidi="th-TH"/>
              </w:rPr>
              <w:t>234.9M</w:t>
            </w:r>
          </w:p>
        </w:tc>
        <w:tc>
          <w:tcPr>
            <w:tcW w:w="1931" w:type="dxa"/>
            <w:vAlign w:val="center"/>
          </w:tcPr>
          <w:p w14:paraId="04236921" w14:textId="77777777" w:rsidR="00AF213A" w:rsidRDefault="00AF213A" w:rsidP="00E15858">
            <w:pPr>
              <w:spacing w:after="40"/>
              <w:jc w:val="center"/>
              <w:cnfStyle w:val="000000100000" w:firstRow="0" w:lastRow="0" w:firstColumn="0" w:lastColumn="0" w:oddVBand="0" w:evenVBand="0" w:oddHBand="1" w:evenHBand="0" w:firstRowFirstColumn="0" w:firstRowLastColumn="0" w:lastRowFirstColumn="0" w:lastRowLastColumn="0"/>
            </w:pPr>
            <w:r w:rsidRPr="00AF09F5">
              <w:rPr>
                <w:lang w:eastAsia="zh-CN" w:bidi="th-TH"/>
              </w:rPr>
              <w:t>234.9M</w:t>
            </w:r>
          </w:p>
        </w:tc>
        <w:tc>
          <w:tcPr>
            <w:tcW w:w="1931" w:type="dxa"/>
            <w:vAlign w:val="center"/>
          </w:tcPr>
          <w:p w14:paraId="5D84BD5A" w14:textId="77777777" w:rsidR="00AF213A" w:rsidRDefault="00AF213A" w:rsidP="00E15858">
            <w:pPr>
              <w:spacing w:after="40"/>
              <w:jc w:val="center"/>
              <w:cnfStyle w:val="000000100000" w:firstRow="0" w:lastRow="0" w:firstColumn="0" w:lastColumn="0" w:oddVBand="0" w:evenVBand="0" w:oddHBand="1" w:evenHBand="0" w:firstRowFirstColumn="0" w:firstRowLastColumn="0" w:lastRowFirstColumn="0" w:lastRowLastColumn="0"/>
            </w:pPr>
            <w:r w:rsidRPr="00AF09F5">
              <w:rPr>
                <w:lang w:eastAsia="zh-CN" w:bidi="th-TH"/>
              </w:rPr>
              <w:t>56.7M</w:t>
            </w:r>
          </w:p>
        </w:tc>
      </w:tr>
      <w:tr w:rsidR="00AF213A" w14:paraId="7B184C9F" w14:textId="77777777" w:rsidTr="005A17D8">
        <w:tc>
          <w:tcPr>
            <w:cnfStyle w:val="001000000000" w:firstRow="0" w:lastRow="0" w:firstColumn="1" w:lastColumn="0" w:oddVBand="0" w:evenVBand="0" w:oddHBand="0" w:evenHBand="0" w:firstRowFirstColumn="0" w:firstRowLastColumn="0" w:lastRowFirstColumn="0" w:lastRowLastColumn="0"/>
            <w:tcW w:w="3261" w:type="dxa"/>
            <w:vAlign w:val="center"/>
          </w:tcPr>
          <w:p w14:paraId="1ADC5471" w14:textId="0C6A84F7" w:rsidR="00AF213A" w:rsidRPr="0028215C" w:rsidRDefault="00AF213A" w:rsidP="00E15858">
            <w:pPr>
              <w:spacing w:after="40"/>
              <w:rPr>
                <w:b w:val="0"/>
                <w:bCs w:val="0"/>
              </w:rPr>
            </w:pPr>
            <w:r w:rsidRPr="00AF09F5">
              <w:rPr>
                <w:caps w:val="0"/>
              </w:rPr>
              <w:t>Victoria</w:t>
            </w:r>
          </w:p>
        </w:tc>
        <w:tc>
          <w:tcPr>
            <w:tcW w:w="1931" w:type="dxa"/>
            <w:vAlign w:val="center"/>
          </w:tcPr>
          <w:p w14:paraId="11A04147" w14:textId="77777777" w:rsidR="00AF213A" w:rsidRDefault="00AF213A" w:rsidP="00E15858">
            <w:pPr>
              <w:spacing w:after="40"/>
              <w:jc w:val="center"/>
              <w:cnfStyle w:val="000000000000" w:firstRow="0" w:lastRow="0" w:firstColumn="0" w:lastColumn="0" w:oddVBand="0" w:evenVBand="0" w:oddHBand="0" w:evenHBand="0" w:firstRowFirstColumn="0" w:firstRowLastColumn="0" w:lastRowFirstColumn="0" w:lastRowLastColumn="0"/>
            </w:pPr>
            <w:r w:rsidRPr="00AF09F5">
              <w:rPr>
                <w:lang w:eastAsia="zh-CN" w:bidi="th-TH"/>
              </w:rPr>
              <w:t>120.8M</w:t>
            </w:r>
          </w:p>
        </w:tc>
        <w:tc>
          <w:tcPr>
            <w:tcW w:w="1931" w:type="dxa"/>
            <w:vAlign w:val="center"/>
          </w:tcPr>
          <w:p w14:paraId="4BF50C8C" w14:textId="77777777" w:rsidR="00AF213A" w:rsidRDefault="00AF213A" w:rsidP="00E15858">
            <w:pPr>
              <w:spacing w:after="40"/>
              <w:jc w:val="center"/>
              <w:cnfStyle w:val="000000000000" w:firstRow="0" w:lastRow="0" w:firstColumn="0" w:lastColumn="0" w:oddVBand="0" w:evenVBand="0" w:oddHBand="0" w:evenHBand="0" w:firstRowFirstColumn="0" w:firstRowLastColumn="0" w:lastRowFirstColumn="0" w:lastRowLastColumn="0"/>
            </w:pPr>
            <w:r w:rsidRPr="00AF09F5">
              <w:rPr>
                <w:lang w:eastAsia="zh-CN" w:bidi="th-TH"/>
              </w:rPr>
              <w:t>120.8M</w:t>
            </w:r>
          </w:p>
        </w:tc>
        <w:tc>
          <w:tcPr>
            <w:tcW w:w="1931" w:type="dxa"/>
            <w:vAlign w:val="center"/>
          </w:tcPr>
          <w:p w14:paraId="12EF22D7" w14:textId="77777777" w:rsidR="00AF213A" w:rsidRDefault="00AF213A" w:rsidP="00E15858">
            <w:pPr>
              <w:spacing w:after="40"/>
              <w:jc w:val="center"/>
              <w:cnfStyle w:val="000000000000" w:firstRow="0" w:lastRow="0" w:firstColumn="0" w:lastColumn="0" w:oddVBand="0" w:evenVBand="0" w:oddHBand="0" w:evenHBand="0" w:firstRowFirstColumn="0" w:firstRowLastColumn="0" w:lastRowFirstColumn="0" w:lastRowLastColumn="0"/>
            </w:pPr>
            <w:r w:rsidRPr="00AF09F5">
              <w:rPr>
                <w:lang w:eastAsia="zh-CN" w:bidi="th-TH"/>
              </w:rPr>
              <w:t>45.0M</w:t>
            </w:r>
          </w:p>
        </w:tc>
      </w:tr>
      <w:tr w:rsidR="00AF213A" w14:paraId="010EC286" w14:textId="77777777" w:rsidTr="005A17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vAlign w:val="center"/>
          </w:tcPr>
          <w:p w14:paraId="38481196" w14:textId="456AD704" w:rsidR="00AF213A" w:rsidRPr="0028215C" w:rsidRDefault="00AF213A" w:rsidP="00E15858">
            <w:pPr>
              <w:spacing w:after="40"/>
              <w:rPr>
                <w:b w:val="0"/>
                <w:bCs w:val="0"/>
              </w:rPr>
            </w:pPr>
            <w:r w:rsidRPr="00AF09F5">
              <w:rPr>
                <w:caps w:val="0"/>
              </w:rPr>
              <w:t>Queensland</w:t>
            </w:r>
          </w:p>
        </w:tc>
        <w:tc>
          <w:tcPr>
            <w:tcW w:w="1931" w:type="dxa"/>
            <w:vAlign w:val="center"/>
          </w:tcPr>
          <w:p w14:paraId="3FD772A5" w14:textId="77777777" w:rsidR="00AF213A" w:rsidRDefault="00AF213A" w:rsidP="00E15858">
            <w:pPr>
              <w:spacing w:after="40"/>
              <w:jc w:val="center"/>
              <w:cnfStyle w:val="000000100000" w:firstRow="0" w:lastRow="0" w:firstColumn="0" w:lastColumn="0" w:oddVBand="0" w:evenVBand="0" w:oddHBand="1" w:evenHBand="0" w:firstRowFirstColumn="0" w:firstRowLastColumn="0" w:lastRowFirstColumn="0" w:lastRowLastColumn="0"/>
            </w:pPr>
            <w:r w:rsidRPr="00AF09F5">
              <w:rPr>
                <w:lang w:eastAsia="zh-CN" w:bidi="th-TH"/>
              </w:rPr>
              <w:t>177.1M</w:t>
            </w:r>
          </w:p>
        </w:tc>
        <w:tc>
          <w:tcPr>
            <w:tcW w:w="1931" w:type="dxa"/>
            <w:vAlign w:val="center"/>
          </w:tcPr>
          <w:p w14:paraId="475604E6" w14:textId="77777777" w:rsidR="00AF213A" w:rsidRDefault="00AF213A" w:rsidP="00E15858">
            <w:pPr>
              <w:spacing w:after="40"/>
              <w:jc w:val="center"/>
              <w:cnfStyle w:val="000000100000" w:firstRow="0" w:lastRow="0" w:firstColumn="0" w:lastColumn="0" w:oddVBand="0" w:evenVBand="0" w:oddHBand="1" w:evenHBand="0" w:firstRowFirstColumn="0" w:firstRowLastColumn="0" w:lastRowFirstColumn="0" w:lastRowLastColumn="0"/>
            </w:pPr>
            <w:r w:rsidRPr="00AF09F5">
              <w:rPr>
                <w:lang w:eastAsia="zh-CN" w:bidi="th-TH"/>
              </w:rPr>
              <w:t>177.1M</w:t>
            </w:r>
          </w:p>
        </w:tc>
        <w:tc>
          <w:tcPr>
            <w:tcW w:w="1931" w:type="dxa"/>
            <w:vAlign w:val="center"/>
          </w:tcPr>
          <w:p w14:paraId="4A06C70B" w14:textId="77777777" w:rsidR="00AF213A" w:rsidRDefault="00AF213A" w:rsidP="00E15858">
            <w:pPr>
              <w:spacing w:after="40"/>
              <w:jc w:val="center"/>
              <w:cnfStyle w:val="000000100000" w:firstRow="0" w:lastRow="0" w:firstColumn="0" w:lastColumn="0" w:oddVBand="0" w:evenVBand="0" w:oddHBand="1" w:evenHBand="0" w:firstRowFirstColumn="0" w:firstRowLastColumn="0" w:lastRowFirstColumn="0" w:lastRowLastColumn="0"/>
            </w:pPr>
            <w:r w:rsidRPr="00AF09F5">
              <w:rPr>
                <w:lang w:eastAsia="zh-CN" w:bidi="th-TH"/>
              </w:rPr>
              <w:t>36.8M</w:t>
            </w:r>
          </w:p>
        </w:tc>
      </w:tr>
      <w:tr w:rsidR="00AF213A" w14:paraId="47A6B212" w14:textId="77777777" w:rsidTr="005A17D8">
        <w:tc>
          <w:tcPr>
            <w:cnfStyle w:val="001000000000" w:firstRow="0" w:lastRow="0" w:firstColumn="1" w:lastColumn="0" w:oddVBand="0" w:evenVBand="0" w:oddHBand="0" w:evenHBand="0" w:firstRowFirstColumn="0" w:firstRowLastColumn="0" w:lastRowFirstColumn="0" w:lastRowLastColumn="0"/>
            <w:tcW w:w="3261" w:type="dxa"/>
            <w:vAlign w:val="center"/>
          </w:tcPr>
          <w:p w14:paraId="4953E309" w14:textId="4E71FE5E" w:rsidR="00AF213A" w:rsidRPr="00E15858" w:rsidRDefault="00AF213A" w:rsidP="00E15858">
            <w:pPr>
              <w:spacing w:after="40"/>
              <w:rPr>
                <w:b w:val="0"/>
                <w:bCs w:val="0"/>
              </w:rPr>
            </w:pPr>
            <w:r w:rsidRPr="00AF09F5">
              <w:rPr>
                <w:caps w:val="0"/>
              </w:rPr>
              <w:t>South Australia</w:t>
            </w:r>
          </w:p>
        </w:tc>
        <w:tc>
          <w:tcPr>
            <w:tcW w:w="1931" w:type="dxa"/>
            <w:vAlign w:val="center"/>
          </w:tcPr>
          <w:p w14:paraId="3239A6C7" w14:textId="77777777" w:rsidR="00AF213A" w:rsidRDefault="00AF213A" w:rsidP="00E15858">
            <w:pPr>
              <w:spacing w:after="40"/>
              <w:jc w:val="center"/>
              <w:cnfStyle w:val="000000000000" w:firstRow="0" w:lastRow="0" w:firstColumn="0" w:lastColumn="0" w:oddVBand="0" w:evenVBand="0" w:oddHBand="0" w:evenHBand="0" w:firstRowFirstColumn="0" w:firstRowLastColumn="0" w:lastRowFirstColumn="0" w:lastRowLastColumn="0"/>
            </w:pPr>
            <w:r w:rsidRPr="00AF09F5">
              <w:rPr>
                <w:lang w:eastAsia="zh-CN" w:bidi="th-TH"/>
              </w:rPr>
              <w:t>53.3M</w:t>
            </w:r>
          </w:p>
        </w:tc>
        <w:tc>
          <w:tcPr>
            <w:tcW w:w="1931" w:type="dxa"/>
            <w:vAlign w:val="center"/>
          </w:tcPr>
          <w:p w14:paraId="68BFDBA2" w14:textId="77777777" w:rsidR="00AF213A" w:rsidRDefault="00AF213A" w:rsidP="00E15858">
            <w:pPr>
              <w:spacing w:after="40"/>
              <w:jc w:val="center"/>
              <w:cnfStyle w:val="000000000000" w:firstRow="0" w:lastRow="0" w:firstColumn="0" w:lastColumn="0" w:oddVBand="0" w:evenVBand="0" w:oddHBand="0" w:evenHBand="0" w:firstRowFirstColumn="0" w:firstRowLastColumn="0" w:lastRowFirstColumn="0" w:lastRowLastColumn="0"/>
            </w:pPr>
            <w:r w:rsidRPr="00AF09F5">
              <w:rPr>
                <w:lang w:eastAsia="zh-CN" w:bidi="th-TH"/>
              </w:rPr>
              <w:t>53.3M</w:t>
            </w:r>
          </w:p>
        </w:tc>
        <w:tc>
          <w:tcPr>
            <w:tcW w:w="1931" w:type="dxa"/>
            <w:vAlign w:val="center"/>
          </w:tcPr>
          <w:p w14:paraId="2359D0A9" w14:textId="77777777" w:rsidR="00AF213A" w:rsidRDefault="00AF213A" w:rsidP="00E15858">
            <w:pPr>
              <w:spacing w:after="40"/>
              <w:jc w:val="center"/>
              <w:cnfStyle w:val="000000000000" w:firstRow="0" w:lastRow="0" w:firstColumn="0" w:lastColumn="0" w:oddVBand="0" w:evenVBand="0" w:oddHBand="0" w:evenHBand="0" w:firstRowFirstColumn="0" w:firstRowLastColumn="0" w:lastRowFirstColumn="0" w:lastRowLastColumn="0"/>
            </w:pPr>
            <w:r w:rsidRPr="00AF09F5">
              <w:rPr>
                <w:lang w:eastAsia="zh-CN" w:bidi="th-TH"/>
              </w:rPr>
              <w:t>11.5M</w:t>
            </w:r>
          </w:p>
        </w:tc>
      </w:tr>
      <w:tr w:rsidR="00AF213A" w14:paraId="21F46C18" w14:textId="77777777" w:rsidTr="005A17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vAlign w:val="center"/>
          </w:tcPr>
          <w:p w14:paraId="5E3CCB46" w14:textId="25652487" w:rsidR="00AF213A" w:rsidRPr="00E15858" w:rsidRDefault="00AF213A" w:rsidP="00E15858">
            <w:pPr>
              <w:spacing w:after="40"/>
              <w:rPr>
                <w:b w:val="0"/>
                <w:bCs w:val="0"/>
              </w:rPr>
            </w:pPr>
            <w:r w:rsidRPr="00AF09F5">
              <w:rPr>
                <w:caps w:val="0"/>
              </w:rPr>
              <w:t>Australian Capital Territory</w:t>
            </w:r>
          </w:p>
        </w:tc>
        <w:tc>
          <w:tcPr>
            <w:tcW w:w="1931" w:type="dxa"/>
            <w:vAlign w:val="center"/>
          </w:tcPr>
          <w:p w14:paraId="5D4F1F8F" w14:textId="77777777" w:rsidR="00AF213A" w:rsidRDefault="00AF213A" w:rsidP="00E15858">
            <w:pPr>
              <w:spacing w:after="40"/>
              <w:jc w:val="center"/>
              <w:cnfStyle w:val="000000100000" w:firstRow="0" w:lastRow="0" w:firstColumn="0" w:lastColumn="0" w:oddVBand="0" w:evenVBand="0" w:oddHBand="1" w:evenHBand="0" w:firstRowFirstColumn="0" w:firstRowLastColumn="0" w:lastRowFirstColumn="0" w:lastRowLastColumn="0"/>
            </w:pPr>
            <w:r>
              <w:rPr>
                <w:lang w:eastAsia="zh-CN" w:bidi="th-TH"/>
              </w:rPr>
              <w:t>2.9M</w:t>
            </w:r>
          </w:p>
        </w:tc>
        <w:tc>
          <w:tcPr>
            <w:tcW w:w="1931" w:type="dxa"/>
            <w:vAlign w:val="center"/>
          </w:tcPr>
          <w:p w14:paraId="3F7A96B4" w14:textId="77777777" w:rsidR="00AF213A" w:rsidRDefault="00AF213A" w:rsidP="00E15858">
            <w:pPr>
              <w:spacing w:after="40"/>
              <w:jc w:val="center"/>
              <w:cnfStyle w:val="000000100000" w:firstRow="0" w:lastRow="0" w:firstColumn="0" w:lastColumn="0" w:oddVBand="0" w:evenVBand="0" w:oddHBand="1" w:evenHBand="0" w:firstRowFirstColumn="0" w:firstRowLastColumn="0" w:lastRowFirstColumn="0" w:lastRowLastColumn="0"/>
            </w:pPr>
            <w:r w:rsidRPr="00AF09F5">
              <w:rPr>
                <w:lang w:eastAsia="zh-CN" w:bidi="th-TH"/>
              </w:rPr>
              <w:t>2.9M</w:t>
            </w:r>
          </w:p>
        </w:tc>
        <w:tc>
          <w:tcPr>
            <w:tcW w:w="1931" w:type="dxa"/>
            <w:vAlign w:val="center"/>
          </w:tcPr>
          <w:p w14:paraId="5CF4447E" w14:textId="77777777" w:rsidR="00AF213A" w:rsidRDefault="00AF213A" w:rsidP="00E15858">
            <w:pPr>
              <w:spacing w:after="40"/>
              <w:jc w:val="center"/>
              <w:cnfStyle w:val="000000100000" w:firstRow="0" w:lastRow="0" w:firstColumn="0" w:lastColumn="0" w:oddVBand="0" w:evenVBand="0" w:oddHBand="1" w:evenHBand="0" w:firstRowFirstColumn="0" w:firstRowLastColumn="0" w:lastRowFirstColumn="0" w:lastRowLastColumn="0"/>
            </w:pPr>
            <w:r w:rsidRPr="00AF09F5">
              <w:rPr>
                <w:lang w:eastAsia="zh-CN" w:bidi="th-TH"/>
              </w:rPr>
              <w:t>2.9M</w:t>
            </w:r>
          </w:p>
        </w:tc>
      </w:tr>
      <w:tr w:rsidR="00AF213A" w14:paraId="17233765" w14:textId="77777777" w:rsidTr="005A17D8">
        <w:tc>
          <w:tcPr>
            <w:cnfStyle w:val="001000000000" w:firstRow="0" w:lastRow="0" w:firstColumn="1" w:lastColumn="0" w:oddVBand="0" w:evenVBand="0" w:oddHBand="0" w:evenHBand="0" w:firstRowFirstColumn="0" w:firstRowLastColumn="0" w:lastRowFirstColumn="0" w:lastRowLastColumn="0"/>
            <w:tcW w:w="3261" w:type="dxa"/>
            <w:vAlign w:val="center"/>
          </w:tcPr>
          <w:p w14:paraId="0D5CA749" w14:textId="22B3EA44" w:rsidR="00AF213A" w:rsidRPr="00E15858" w:rsidRDefault="00AF213A" w:rsidP="00E15858">
            <w:pPr>
              <w:spacing w:after="40"/>
              <w:rPr>
                <w:b w:val="0"/>
                <w:bCs w:val="0"/>
              </w:rPr>
            </w:pPr>
            <w:r w:rsidRPr="00AF09F5">
              <w:rPr>
                <w:caps w:val="0"/>
              </w:rPr>
              <w:t>Western Australia</w:t>
            </w:r>
          </w:p>
        </w:tc>
        <w:tc>
          <w:tcPr>
            <w:tcW w:w="1931" w:type="dxa"/>
            <w:vAlign w:val="center"/>
          </w:tcPr>
          <w:p w14:paraId="368A5823" w14:textId="77777777" w:rsidR="00AF213A" w:rsidRDefault="00AF213A" w:rsidP="00E15858">
            <w:pPr>
              <w:spacing w:after="40"/>
              <w:jc w:val="center"/>
              <w:cnfStyle w:val="000000000000" w:firstRow="0" w:lastRow="0" w:firstColumn="0" w:lastColumn="0" w:oddVBand="0" w:evenVBand="0" w:oddHBand="0" w:evenHBand="0" w:firstRowFirstColumn="0" w:firstRowLastColumn="0" w:lastRowFirstColumn="0" w:lastRowLastColumn="0"/>
            </w:pPr>
            <w:r>
              <w:rPr>
                <w:lang w:eastAsia="zh-CN" w:bidi="th-TH"/>
              </w:rPr>
              <w:t>16.9M</w:t>
            </w:r>
          </w:p>
        </w:tc>
        <w:tc>
          <w:tcPr>
            <w:tcW w:w="1931" w:type="dxa"/>
            <w:vAlign w:val="center"/>
          </w:tcPr>
          <w:p w14:paraId="74640E87" w14:textId="77777777" w:rsidR="00AF213A" w:rsidRDefault="00AF213A" w:rsidP="00E15858">
            <w:pPr>
              <w:spacing w:after="40"/>
              <w:jc w:val="center"/>
              <w:cnfStyle w:val="000000000000" w:firstRow="0" w:lastRow="0" w:firstColumn="0" w:lastColumn="0" w:oddVBand="0" w:evenVBand="0" w:oddHBand="0" w:evenHBand="0" w:firstRowFirstColumn="0" w:firstRowLastColumn="0" w:lastRowFirstColumn="0" w:lastRowLastColumn="0"/>
            </w:pPr>
            <w:r w:rsidRPr="00AF09F5">
              <w:rPr>
                <w:lang w:eastAsia="zh-CN" w:bidi="th-TH"/>
              </w:rPr>
              <w:t>185.7M</w:t>
            </w:r>
          </w:p>
        </w:tc>
        <w:tc>
          <w:tcPr>
            <w:tcW w:w="1931" w:type="dxa"/>
            <w:vAlign w:val="center"/>
          </w:tcPr>
          <w:p w14:paraId="3D8E4CC0" w14:textId="77777777" w:rsidR="00AF213A" w:rsidRDefault="00AF213A" w:rsidP="00E15858">
            <w:pPr>
              <w:spacing w:after="40"/>
              <w:jc w:val="center"/>
              <w:cnfStyle w:val="000000000000" w:firstRow="0" w:lastRow="0" w:firstColumn="0" w:lastColumn="0" w:oddVBand="0" w:evenVBand="0" w:oddHBand="0" w:evenHBand="0" w:firstRowFirstColumn="0" w:firstRowLastColumn="0" w:lastRowFirstColumn="0" w:lastRowLastColumn="0"/>
            </w:pPr>
            <w:r w:rsidRPr="00AF09F5">
              <w:rPr>
                <w:lang w:eastAsia="zh-CN" w:bidi="th-TH"/>
              </w:rPr>
              <w:t>16.9M</w:t>
            </w:r>
          </w:p>
        </w:tc>
      </w:tr>
      <w:tr w:rsidR="00AF213A" w14:paraId="6B978157" w14:textId="77777777" w:rsidTr="005A17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vAlign w:val="center"/>
          </w:tcPr>
          <w:p w14:paraId="4CBEA78E" w14:textId="729389B8" w:rsidR="00AF213A" w:rsidRPr="00E15858" w:rsidRDefault="00AF213A" w:rsidP="00E15858">
            <w:pPr>
              <w:spacing w:after="40"/>
              <w:rPr>
                <w:b w:val="0"/>
                <w:bCs w:val="0"/>
              </w:rPr>
            </w:pPr>
            <w:r w:rsidRPr="00AF09F5">
              <w:rPr>
                <w:caps w:val="0"/>
              </w:rPr>
              <w:t>Tasmania</w:t>
            </w:r>
          </w:p>
        </w:tc>
        <w:tc>
          <w:tcPr>
            <w:tcW w:w="1931" w:type="dxa"/>
            <w:vAlign w:val="center"/>
          </w:tcPr>
          <w:p w14:paraId="492ED232" w14:textId="77777777" w:rsidR="00AF213A" w:rsidRDefault="00AF213A" w:rsidP="00E15858">
            <w:pPr>
              <w:spacing w:after="40"/>
              <w:jc w:val="center"/>
              <w:cnfStyle w:val="000000100000" w:firstRow="0" w:lastRow="0" w:firstColumn="0" w:lastColumn="0" w:oddVBand="0" w:evenVBand="0" w:oddHBand="1" w:evenHBand="0" w:firstRowFirstColumn="0" w:firstRowLastColumn="0" w:lastRowFirstColumn="0" w:lastRowLastColumn="0"/>
            </w:pPr>
            <w:r>
              <w:rPr>
                <w:lang w:eastAsia="zh-CN" w:bidi="th-TH"/>
              </w:rPr>
              <w:t>3.5M</w:t>
            </w:r>
          </w:p>
        </w:tc>
        <w:tc>
          <w:tcPr>
            <w:tcW w:w="1931" w:type="dxa"/>
            <w:vAlign w:val="center"/>
          </w:tcPr>
          <w:p w14:paraId="24429950" w14:textId="77777777" w:rsidR="00AF213A" w:rsidRDefault="00AF213A" w:rsidP="00E15858">
            <w:pPr>
              <w:spacing w:after="40"/>
              <w:jc w:val="center"/>
              <w:cnfStyle w:val="000000100000" w:firstRow="0" w:lastRow="0" w:firstColumn="0" w:lastColumn="0" w:oddVBand="0" w:evenVBand="0" w:oddHBand="1" w:evenHBand="0" w:firstRowFirstColumn="0" w:firstRowLastColumn="0" w:lastRowFirstColumn="0" w:lastRowLastColumn="0"/>
            </w:pPr>
            <w:r w:rsidRPr="00AF09F5">
              <w:rPr>
                <w:lang w:eastAsia="zh-CN" w:bidi="th-TH"/>
              </w:rPr>
              <w:t>38.2M</w:t>
            </w:r>
          </w:p>
        </w:tc>
        <w:tc>
          <w:tcPr>
            <w:tcW w:w="1931" w:type="dxa"/>
            <w:vAlign w:val="center"/>
          </w:tcPr>
          <w:p w14:paraId="2A00610A" w14:textId="77777777" w:rsidR="00AF213A" w:rsidRDefault="00AF213A" w:rsidP="00E15858">
            <w:pPr>
              <w:spacing w:after="40"/>
              <w:jc w:val="center"/>
              <w:cnfStyle w:val="000000100000" w:firstRow="0" w:lastRow="0" w:firstColumn="0" w:lastColumn="0" w:oddVBand="0" w:evenVBand="0" w:oddHBand="1" w:evenHBand="0" w:firstRowFirstColumn="0" w:firstRowLastColumn="0" w:lastRowFirstColumn="0" w:lastRowLastColumn="0"/>
            </w:pPr>
            <w:r w:rsidRPr="00AF09F5">
              <w:rPr>
                <w:lang w:eastAsia="zh-CN" w:bidi="th-TH"/>
              </w:rPr>
              <w:t>3.5M</w:t>
            </w:r>
          </w:p>
        </w:tc>
      </w:tr>
      <w:tr w:rsidR="00AF213A" w14:paraId="5BE73E60" w14:textId="77777777" w:rsidTr="005A17D8">
        <w:tc>
          <w:tcPr>
            <w:cnfStyle w:val="001000000000" w:firstRow="0" w:lastRow="0" w:firstColumn="1" w:lastColumn="0" w:oddVBand="0" w:evenVBand="0" w:oddHBand="0" w:evenHBand="0" w:firstRowFirstColumn="0" w:firstRowLastColumn="0" w:lastRowFirstColumn="0" w:lastRowLastColumn="0"/>
            <w:tcW w:w="3261" w:type="dxa"/>
            <w:vAlign w:val="center"/>
          </w:tcPr>
          <w:p w14:paraId="61A761B6" w14:textId="0C595494" w:rsidR="00AF213A" w:rsidRPr="00E15858" w:rsidRDefault="00AF213A" w:rsidP="00E15858">
            <w:pPr>
              <w:spacing w:after="40"/>
              <w:rPr>
                <w:b w:val="0"/>
                <w:bCs w:val="0"/>
              </w:rPr>
            </w:pPr>
            <w:r w:rsidRPr="00AF09F5">
              <w:rPr>
                <w:caps w:val="0"/>
              </w:rPr>
              <w:t>Northern Territory</w:t>
            </w:r>
          </w:p>
        </w:tc>
        <w:tc>
          <w:tcPr>
            <w:tcW w:w="1931" w:type="dxa"/>
            <w:vAlign w:val="center"/>
          </w:tcPr>
          <w:p w14:paraId="6D5C5AC8" w14:textId="77777777" w:rsidR="00AF213A" w:rsidRDefault="00AF213A" w:rsidP="00E15858">
            <w:pPr>
              <w:spacing w:after="40"/>
              <w:jc w:val="center"/>
              <w:cnfStyle w:val="000000000000" w:firstRow="0" w:lastRow="0" w:firstColumn="0" w:lastColumn="0" w:oddVBand="0" w:evenVBand="0" w:oddHBand="0" w:evenHBand="0" w:firstRowFirstColumn="0" w:firstRowLastColumn="0" w:lastRowFirstColumn="0" w:lastRowLastColumn="0"/>
            </w:pPr>
            <w:r>
              <w:rPr>
                <w:lang w:eastAsia="zh-CN" w:bidi="th-TH"/>
              </w:rPr>
              <w:t>1.4M</w:t>
            </w:r>
          </w:p>
        </w:tc>
        <w:tc>
          <w:tcPr>
            <w:tcW w:w="1931" w:type="dxa"/>
            <w:vAlign w:val="center"/>
          </w:tcPr>
          <w:p w14:paraId="0B13986E" w14:textId="77777777" w:rsidR="00AF213A" w:rsidRDefault="00AF213A" w:rsidP="00E15858">
            <w:pPr>
              <w:spacing w:after="40"/>
              <w:jc w:val="center"/>
              <w:cnfStyle w:val="000000000000" w:firstRow="0" w:lastRow="0" w:firstColumn="0" w:lastColumn="0" w:oddVBand="0" w:evenVBand="0" w:oddHBand="0" w:evenHBand="0" w:firstRowFirstColumn="0" w:firstRowLastColumn="0" w:lastRowFirstColumn="0" w:lastRowLastColumn="0"/>
            </w:pPr>
            <w:r w:rsidRPr="00AF09F5">
              <w:rPr>
                <w:lang w:eastAsia="zh-CN" w:bidi="th-TH"/>
              </w:rPr>
              <w:t>15.7M</w:t>
            </w:r>
          </w:p>
        </w:tc>
        <w:tc>
          <w:tcPr>
            <w:tcW w:w="1931" w:type="dxa"/>
            <w:vAlign w:val="center"/>
          </w:tcPr>
          <w:p w14:paraId="09CB6B7D" w14:textId="77777777" w:rsidR="00AF213A" w:rsidRDefault="00AF213A" w:rsidP="00E15858">
            <w:pPr>
              <w:spacing w:after="40"/>
              <w:jc w:val="center"/>
              <w:cnfStyle w:val="000000000000" w:firstRow="0" w:lastRow="0" w:firstColumn="0" w:lastColumn="0" w:oddVBand="0" w:evenVBand="0" w:oddHBand="0" w:evenHBand="0" w:firstRowFirstColumn="0" w:firstRowLastColumn="0" w:lastRowFirstColumn="0" w:lastRowLastColumn="0"/>
            </w:pPr>
            <w:r w:rsidRPr="00AF09F5">
              <w:rPr>
                <w:lang w:eastAsia="zh-CN" w:bidi="th-TH"/>
              </w:rPr>
              <w:t>1.4M</w:t>
            </w:r>
          </w:p>
        </w:tc>
      </w:tr>
      <w:tr w:rsidR="00AF213A" w14:paraId="69D9CA71" w14:textId="77777777" w:rsidTr="005A17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vAlign w:val="center"/>
          </w:tcPr>
          <w:p w14:paraId="235EABBD" w14:textId="45C8C045" w:rsidR="00AF213A" w:rsidRPr="00E15858" w:rsidRDefault="00AF213A" w:rsidP="00E15858">
            <w:pPr>
              <w:spacing w:after="40"/>
              <w:rPr>
                <w:b w:val="0"/>
                <w:bCs w:val="0"/>
              </w:rPr>
            </w:pPr>
            <w:r w:rsidRPr="00AF09F5">
              <w:rPr>
                <w:caps w:val="0"/>
              </w:rPr>
              <w:t>Australia</w:t>
            </w:r>
          </w:p>
        </w:tc>
        <w:tc>
          <w:tcPr>
            <w:tcW w:w="1931" w:type="dxa"/>
            <w:vAlign w:val="center"/>
          </w:tcPr>
          <w:p w14:paraId="01EF3F11" w14:textId="77777777" w:rsidR="00AF213A" w:rsidRDefault="00AF213A" w:rsidP="00E15858">
            <w:pPr>
              <w:spacing w:after="40"/>
              <w:jc w:val="center"/>
              <w:cnfStyle w:val="000000100000" w:firstRow="0" w:lastRow="0" w:firstColumn="0" w:lastColumn="0" w:oddVBand="0" w:evenVBand="0" w:oddHBand="1" w:evenHBand="0" w:firstRowFirstColumn="0" w:firstRowLastColumn="0" w:lastRowFirstColumn="0" w:lastRowLastColumn="0"/>
            </w:pPr>
            <w:r>
              <w:rPr>
                <w:lang w:eastAsia="zh-CN" w:bidi="th-TH"/>
              </w:rPr>
              <w:t>610.7</w:t>
            </w:r>
            <w:r w:rsidRPr="00AF09F5">
              <w:rPr>
                <w:lang w:eastAsia="zh-CN" w:bidi="th-TH"/>
              </w:rPr>
              <w:t>M</w:t>
            </w:r>
          </w:p>
        </w:tc>
        <w:tc>
          <w:tcPr>
            <w:tcW w:w="1931" w:type="dxa"/>
            <w:vAlign w:val="center"/>
          </w:tcPr>
          <w:p w14:paraId="525314A4" w14:textId="77777777" w:rsidR="00AF213A" w:rsidRDefault="00AF213A" w:rsidP="00E15858">
            <w:pPr>
              <w:spacing w:after="40"/>
              <w:jc w:val="center"/>
              <w:cnfStyle w:val="000000100000" w:firstRow="0" w:lastRow="0" w:firstColumn="0" w:lastColumn="0" w:oddVBand="0" w:evenVBand="0" w:oddHBand="1" w:evenHBand="0" w:firstRowFirstColumn="0" w:firstRowLastColumn="0" w:lastRowFirstColumn="0" w:lastRowLastColumn="0"/>
            </w:pPr>
            <w:r w:rsidRPr="00AF09F5">
              <w:rPr>
                <w:lang w:eastAsia="zh-CN" w:bidi="th-TH"/>
              </w:rPr>
              <w:t>828.6M</w:t>
            </w:r>
          </w:p>
        </w:tc>
        <w:tc>
          <w:tcPr>
            <w:tcW w:w="1931" w:type="dxa"/>
            <w:vAlign w:val="center"/>
          </w:tcPr>
          <w:p w14:paraId="584BAA86" w14:textId="77777777" w:rsidR="00AF213A" w:rsidRDefault="00AF213A" w:rsidP="00E15858">
            <w:pPr>
              <w:spacing w:after="40"/>
              <w:jc w:val="center"/>
              <w:cnfStyle w:val="000000100000" w:firstRow="0" w:lastRow="0" w:firstColumn="0" w:lastColumn="0" w:oddVBand="0" w:evenVBand="0" w:oddHBand="1" w:evenHBand="0" w:firstRowFirstColumn="0" w:firstRowLastColumn="0" w:lastRowFirstColumn="0" w:lastRowLastColumn="0"/>
            </w:pPr>
            <w:r w:rsidRPr="00AF09F5">
              <w:rPr>
                <w:lang w:eastAsia="zh-CN" w:bidi="th-TH"/>
              </w:rPr>
              <w:t>174.6M</w:t>
            </w:r>
          </w:p>
        </w:tc>
      </w:tr>
      <w:tr w:rsidR="00AF213A" w14:paraId="6E5F46C9" w14:textId="77777777" w:rsidTr="005A17D8">
        <w:tc>
          <w:tcPr>
            <w:cnfStyle w:val="001000000000" w:firstRow="0" w:lastRow="0" w:firstColumn="1" w:lastColumn="0" w:oddVBand="0" w:evenVBand="0" w:oddHBand="0" w:evenHBand="0" w:firstRowFirstColumn="0" w:firstRowLastColumn="0" w:lastRowFirstColumn="0" w:lastRowLastColumn="0"/>
            <w:tcW w:w="3261" w:type="dxa"/>
            <w:vAlign w:val="center"/>
          </w:tcPr>
          <w:p w14:paraId="00787479" w14:textId="2DDEBE7A" w:rsidR="00AF213A" w:rsidRPr="00E15858" w:rsidRDefault="00AF213A" w:rsidP="00E15858">
            <w:pPr>
              <w:spacing w:after="40"/>
              <w:rPr>
                <w:b w:val="0"/>
                <w:bCs w:val="0"/>
              </w:rPr>
            </w:pPr>
            <w:r w:rsidRPr="00AF09F5">
              <w:rPr>
                <w:caps w:val="0"/>
              </w:rPr>
              <w:t>New Zealand</w:t>
            </w:r>
          </w:p>
        </w:tc>
        <w:tc>
          <w:tcPr>
            <w:tcW w:w="1931" w:type="dxa"/>
            <w:vAlign w:val="center"/>
          </w:tcPr>
          <w:p w14:paraId="2818FC5B" w14:textId="77777777" w:rsidR="00AF213A" w:rsidRDefault="00AF213A" w:rsidP="00E15858">
            <w:pPr>
              <w:spacing w:after="40"/>
              <w:jc w:val="center"/>
              <w:cnfStyle w:val="000000000000" w:firstRow="0" w:lastRow="0" w:firstColumn="0" w:lastColumn="0" w:oddVBand="0" w:evenVBand="0" w:oddHBand="0" w:evenHBand="0" w:firstRowFirstColumn="0" w:firstRowLastColumn="0" w:lastRowFirstColumn="0" w:lastRowLastColumn="0"/>
            </w:pPr>
            <w:r>
              <w:rPr>
                <w:lang w:eastAsia="zh-CN" w:bidi="th-TH"/>
              </w:rPr>
              <w:t>30.6M</w:t>
            </w:r>
          </w:p>
        </w:tc>
        <w:tc>
          <w:tcPr>
            <w:tcW w:w="1931" w:type="dxa"/>
            <w:vAlign w:val="center"/>
          </w:tcPr>
          <w:p w14:paraId="619603F4" w14:textId="77777777" w:rsidR="00AF213A" w:rsidRDefault="00AF213A" w:rsidP="00E15858">
            <w:pPr>
              <w:spacing w:after="40"/>
              <w:jc w:val="center"/>
              <w:cnfStyle w:val="000000000000" w:firstRow="0" w:lastRow="0" w:firstColumn="0" w:lastColumn="0" w:oddVBand="0" w:evenVBand="0" w:oddHBand="0" w:evenHBand="0" w:firstRowFirstColumn="0" w:firstRowLastColumn="0" w:lastRowFirstColumn="0" w:lastRowLastColumn="0"/>
            </w:pPr>
            <w:r w:rsidRPr="00AF09F5">
              <w:rPr>
                <w:lang w:eastAsia="zh-CN" w:bidi="th-TH"/>
              </w:rPr>
              <w:t>336.4M</w:t>
            </w:r>
          </w:p>
        </w:tc>
        <w:tc>
          <w:tcPr>
            <w:tcW w:w="1931" w:type="dxa"/>
            <w:vAlign w:val="center"/>
          </w:tcPr>
          <w:p w14:paraId="53228543" w14:textId="77777777" w:rsidR="00AF213A" w:rsidRDefault="00AF213A" w:rsidP="00E15858">
            <w:pPr>
              <w:spacing w:after="40"/>
              <w:jc w:val="center"/>
              <w:cnfStyle w:val="000000000000" w:firstRow="0" w:lastRow="0" w:firstColumn="0" w:lastColumn="0" w:oddVBand="0" w:evenVBand="0" w:oddHBand="0" w:evenHBand="0" w:firstRowFirstColumn="0" w:firstRowLastColumn="0" w:lastRowFirstColumn="0" w:lastRowLastColumn="0"/>
            </w:pPr>
            <w:r w:rsidRPr="00AF09F5">
              <w:rPr>
                <w:lang w:eastAsia="zh-CN" w:bidi="th-TH"/>
              </w:rPr>
              <w:t>30.6M</w:t>
            </w:r>
          </w:p>
        </w:tc>
      </w:tr>
    </w:tbl>
    <w:p w14:paraId="1DEDE6E8" w14:textId="77777777" w:rsidR="00AF213A" w:rsidRDefault="00AF213A" w:rsidP="00666912">
      <w:pPr>
        <w:spacing w:after="40"/>
        <w:jc w:val="both"/>
      </w:pPr>
    </w:p>
    <w:p w14:paraId="7F2BE6BC" w14:textId="4F1CC63D" w:rsidR="00D76D12" w:rsidRPr="00476A2B" w:rsidRDefault="00D76D12" w:rsidP="00666912">
      <w:pPr>
        <w:spacing w:after="40"/>
        <w:jc w:val="both"/>
      </w:pPr>
      <w:r w:rsidRPr="00476A2B">
        <w:t>Possible limitations associated with the calculation of benefits to society have been identified.</w:t>
      </w:r>
    </w:p>
    <w:p w14:paraId="3CBE7449" w14:textId="19EB995E" w:rsidR="00BE0E19" w:rsidRPr="00476A2B" w:rsidRDefault="005C481D" w:rsidP="00BE0E19">
      <w:pPr>
        <w:pStyle w:val="ListParagraph"/>
        <w:numPr>
          <w:ilvl w:val="0"/>
          <w:numId w:val="79"/>
        </w:numPr>
        <w:spacing w:after="40"/>
        <w:jc w:val="both"/>
      </w:pPr>
      <w:r w:rsidRPr="00476A2B">
        <w:t>The e</w:t>
      </w:r>
      <w:r w:rsidR="00D76D12" w:rsidRPr="00476A2B">
        <w:t xml:space="preserve">stimated kilojoule reduction was not based on the totality of the evidence. </w:t>
      </w:r>
      <w:r w:rsidR="00D76D12" w:rsidRPr="00476A2B">
        <w:rPr>
          <w:lang w:val="en-US"/>
        </w:rPr>
        <w:t xml:space="preserve">The evidence used </w:t>
      </w:r>
      <w:r w:rsidRPr="00476A2B">
        <w:rPr>
          <w:lang w:val="en-US"/>
        </w:rPr>
        <w:t xml:space="preserve">in the economic evaluation </w:t>
      </w:r>
      <w:r w:rsidR="00D76D12" w:rsidRPr="00476A2B">
        <w:rPr>
          <w:lang w:val="en-US"/>
        </w:rPr>
        <w:t>was based on pragmatic considerations that the results were presented in a similar way which could be easily translated into a change in menu selection measured on an energy basis (calories o</w:t>
      </w:r>
      <w:r w:rsidRPr="00476A2B">
        <w:rPr>
          <w:lang w:val="en-US"/>
        </w:rPr>
        <w:t>r</w:t>
      </w:r>
      <w:r w:rsidR="00D76D12" w:rsidRPr="00476A2B">
        <w:rPr>
          <w:lang w:val="en-US"/>
        </w:rPr>
        <w:t xml:space="preserve"> kilojoules). The</w:t>
      </w:r>
      <w:r w:rsidRPr="00476A2B">
        <w:rPr>
          <w:lang w:val="en-US"/>
        </w:rPr>
        <w:t xml:space="preserve"> evidence</w:t>
      </w:r>
      <w:r w:rsidR="00D76D12" w:rsidRPr="00476A2B">
        <w:rPr>
          <w:lang w:val="en-US"/>
        </w:rPr>
        <w:t xml:space="preserve"> also provided low/high estimates which were used in the Monte Carlo risk analysis.</w:t>
      </w:r>
      <w:r w:rsidR="006F67F3" w:rsidRPr="00476A2B">
        <w:rPr>
          <w:rStyle w:val="FootnoteReference"/>
          <w:lang w:val="en-US"/>
        </w:rPr>
        <w:footnoteReference w:id="112"/>
      </w:r>
      <w:r w:rsidR="00D76D12" w:rsidRPr="00476A2B">
        <w:rPr>
          <w:lang w:val="en-US"/>
        </w:rPr>
        <w:t xml:space="preserve"> </w:t>
      </w:r>
      <w:r w:rsidRPr="00476A2B">
        <w:rPr>
          <w:lang w:val="en-US"/>
        </w:rPr>
        <w:t xml:space="preserve">Although </w:t>
      </w:r>
      <w:r w:rsidR="00243AC7" w:rsidRPr="00476A2B">
        <w:rPr>
          <w:lang w:val="en-US"/>
        </w:rPr>
        <w:t>the totality of evidence was not included in the economic evaluation, i</w:t>
      </w:r>
      <w:r w:rsidR="00D76D12" w:rsidRPr="00476A2B">
        <w:rPr>
          <w:lang w:val="en-US"/>
        </w:rPr>
        <w:t>t is not considered that there is an intentional bias as there are other studies demonstrating a positive effect of menu labelling (as described in Appendix 2) that were not included</w:t>
      </w:r>
      <w:r w:rsidR="00541F1D" w:rsidRPr="00476A2B">
        <w:rPr>
          <w:lang w:val="en-US"/>
        </w:rPr>
        <w:t xml:space="preserve"> in estimating the average kilojoule reduction</w:t>
      </w:r>
      <w:r w:rsidR="00D76D12" w:rsidRPr="00476A2B">
        <w:rPr>
          <w:lang w:val="en-US"/>
        </w:rPr>
        <w:t xml:space="preserve">. Many of the individual studies are included in more than one review or meta-analysis. As far as it is known, there is not an analysis or review that </w:t>
      </w:r>
      <w:r w:rsidR="00541F1D" w:rsidRPr="00476A2B">
        <w:rPr>
          <w:lang w:val="en-US"/>
        </w:rPr>
        <w:t xml:space="preserve">has </w:t>
      </w:r>
      <w:r w:rsidR="00A73AD8" w:rsidRPr="00476A2B">
        <w:rPr>
          <w:lang w:val="en-US"/>
        </w:rPr>
        <w:t>considered</w:t>
      </w:r>
      <w:r w:rsidR="00D76D12" w:rsidRPr="00476A2B">
        <w:rPr>
          <w:lang w:val="en-US"/>
        </w:rPr>
        <w:t xml:space="preserve"> every individual study about the impact of menu labelling</w:t>
      </w:r>
      <w:r w:rsidR="00B15C88" w:rsidRPr="00476A2B">
        <w:rPr>
          <w:lang w:val="en-US"/>
        </w:rPr>
        <w:t xml:space="preserve"> to the present day</w:t>
      </w:r>
      <w:r w:rsidR="00130591" w:rsidRPr="00476A2B">
        <w:rPr>
          <w:lang w:val="en-US"/>
        </w:rPr>
        <w:t xml:space="preserve">. </w:t>
      </w:r>
      <w:r w:rsidR="00B15C88" w:rsidRPr="00476A2B">
        <w:rPr>
          <w:lang w:val="en-US"/>
        </w:rPr>
        <w:t xml:space="preserve">One analysis undertaken by Australian researchers and published in </w:t>
      </w:r>
      <w:r w:rsidR="00B15C88" w:rsidRPr="00476A2B">
        <w:rPr>
          <w:lang w:val="en-US"/>
        </w:rPr>
        <w:lastRenderedPageBreak/>
        <w:t>2018</w:t>
      </w:r>
      <w:r w:rsidR="008D2973" w:rsidRPr="00476A2B">
        <w:rPr>
          <w:lang w:val="en-US"/>
        </w:rPr>
        <w:t>, considered 186 individual studies and concluded that menu labelling</w:t>
      </w:r>
      <w:r w:rsidR="006816DB" w:rsidRPr="00476A2B">
        <w:rPr>
          <w:lang w:val="en-US"/>
        </w:rPr>
        <w:t xml:space="preserve"> led to consumers purchasing 115 </w:t>
      </w:r>
      <w:r w:rsidR="000C0DF1" w:rsidRPr="00476A2B">
        <w:rPr>
          <w:lang w:val="en-US"/>
        </w:rPr>
        <w:t xml:space="preserve">fewer </w:t>
      </w:r>
      <w:r w:rsidR="006816DB" w:rsidRPr="00476A2B">
        <w:rPr>
          <w:lang w:val="en-US"/>
        </w:rPr>
        <w:t>kilojoules</w:t>
      </w:r>
      <w:r w:rsidR="00BA166D" w:rsidRPr="00476A2B">
        <w:rPr>
          <w:lang w:val="en-US"/>
        </w:rPr>
        <w:t xml:space="preserve">, which is within the range of low to high estimates </w:t>
      </w:r>
      <w:r w:rsidR="00A73AD8" w:rsidRPr="00476A2B">
        <w:rPr>
          <w:lang w:val="en-US"/>
        </w:rPr>
        <w:t>within the economic evaluation.</w:t>
      </w:r>
      <w:r w:rsidR="00541F1D" w:rsidRPr="00476A2B">
        <w:rPr>
          <w:rStyle w:val="FootnoteReference"/>
          <w:lang w:val="en-US"/>
        </w:rPr>
        <w:footnoteReference w:id="113"/>
      </w:r>
      <w:r w:rsidR="00A73AD8" w:rsidRPr="00476A2B">
        <w:rPr>
          <w:lang w:val="en-US"/>
        </w:rPr>
        <w:t xml:space="preserve"> </w:t>
      </w:r>
    </w:p>
    <w:p w14:paraId="5E0750B1" w14:textId="0EB7D04B" w:rsidR="00131F5A" w:rsidRPr="00476A2B" w:rsidRDefault="001625E4" w:rsidP="00BE0E19">
      <w:pPr>
        <w:pStyle w:val="ListParagraph"/>
        <w:numPr>
          <w:ilvl w:val="0"/>
          <w:numId w:val="79"/>
        </w:numPr>
        <w:spacing w:after="40"/>
        <w:jc w:val="both"/>
      </w:pPr>
      <w:r w:rsidRPr="00476A2B">
        <w:t>It</w:t>
      </w:r>
      <w:r w:rsidR="00131F5A" w:rsidRPr="00476A2B">
        <w:t xml:space="preserve"> was assumed that a decrease of energy at one meal translate</w:t>
      </w:r>
      <w:r w:rsidRPr="00476A2B">
        <w:t>s</w:t>
      </w:r>
      <w:r w:rsidR="00131F5A" w:rsidRPr="00476A2B">
        <w:t xml:space="preserve"> to an overall decrease in daily energy intake</w:t>
      </w:r>
      <w:r w:rsidRPr="00476A2B">
        <w:t xml:space="preserve">; however, this </w:t>
      </w:r>
      <w:r w:rsidR="00BE0E19" w:rsidRPr="00476A2B">
        <w:t>is not necessarily the case</w:t>
      </w:r>
      <w:r w:rsidRPr="00476A2B">
        <w:t>. It is acknowledged that the calculation of the impact of menu labelling on daily energy intake does not consider compensatory behaviours such as consuming less or more energy at other meals during the day or doing more physical activity to counteract the food purchased. As there is not a strong evidence-base for the impact of menu labelling on daily energy intake, more research is needed. This issue could be considered when the Ministerial Policy Guideline is reviewed in the future.</w:t>
      </w:r>
    </w:p>
    <w:p w14:paraId="136FFE20" w14:textId="55470A88" w:rsidR="006D280B" w:rsidRPr="00476A2B" w:rsidRDefault="00C97AD3" w:rsidP="006D280B">
      <w:pPr>
        <w:pStyle w:val="ListParagraph"/>
        <w:numPr>
          <w:ilvl w:val="0"/>
          <w:numId w:val="79"/>
        </w:numPr>
        <w:spacing w:after="40"/>
        <w:jc w:val="both"/>
      </w:pPr>
      <w:r w:rsidRPr="00476A2B">
        <w:t>Using household expenditure to calculate the decline in energy intake does not take into consideration that many businesses already have menu labelling and not all food businesses are standard food outlets.</w:t>
      </w:r>
      <w:r w:rsidR="006D280B" w:rsidRPr="00476A2B">
        <w:t xml:space="preserve"> It is acknowledged that standard food outlets may only be a subset of businesses w</w:t>
      </w:r>
      <w:r w:rsidR="00541F1D" w:rsidRPr="00476A2B">
        <w:t>h</w:t>
      </w:r>
      <w:r w:rsidR="006D280B" w:rsidRPr="00476A2B">
        <w:t>ere people purchase fast food, and that this may have affected the calculated reduction of daily energy intake. The household expenditure data does not indicate at which businesses consumers purchase food making it impossible to assign an expenditure to only the potential increase of outlets captured by each option.</w:t>
      </w:r>
    </w:p>
    <w:p w14:paraId="216BDD3F" w14:textId="60FD70BB" w:rsidR="00541F1D" w:rsidRPr="00476A2B" w:rsidRDefault="00541F1D" w:rsidP="006D280B">
      <w:pPr>
        <w:pStyle w:val="ListParagraph"/>
        <w:numPr>
          <w:ilvl w:val="0"/>
          <w:numId w:val="79"/>
        </w:numPr>
        <w:spacing w:after="40"/>
        <w:jc w:val="both"/>
      </w:pPr>
      <w:r w:rsidRPr="00476A2B">
        <w:t xml:space="preserve">The use of statistical life measures to value the health impact is not the only methodology that can be used to consider the impacts on society. A different methodology could have led to a different overall benefit. </w:t>
      </w:r>
      <w:r w:rsidR="00BC2864" w:rsidRPr="00476A2B">
        <w:t>S</w:t>
      </w:r>
      <w:r w:rsidRPr="00476A2B">
        <w:t xml:space="preserve">tatistical life measures are a valid </w:t>
      </w:r>
      <w:r w:rsidR="0049535F" w:rsidRPr="00476A2B">
        <w:t>methodology accepted by the Australian Government Office of Best Practice Regulation.</w:t>
      </w:r>
      <w:r w:rsidRPr="00476A2B">
        <w:t xml:space="preserve"> </w:t>
      </w:r>
    </w:p>
    <w:p w14:paraId="70FD9E90" w14:textId="515CC9EB" w:rsidR="00B10B40" w:rsidRPr="00476A2B" w:rsidRDefault="00B10B40" w:rsidP="006D280B">
      <w:pPr>
        <w:pStyle w:val="ListParagraph"/>
        <w:numPr>
          <w:ilvl w:val="0"/>
          <w:numId w:val="79"/>
        </w:numPr>
        <w:spacing w:after="40"/>
        <w:jc w:val="both"/>
      </w:pPr>
      <w:r w:rsidRPr="00476A2B">
        <w:t xml:space="preserve">Other limitations with the evidence-base </w:t>
      </w:r>
      <w:r w:rsidR="00541F1D" w:rsidRPr="00476A2B">
        <w:t xml:space="preserve">and the logic model </w:t>
      </w:r>
      <w:r w:rsidRPr="00476A2B">
        <w:t>are described at Section 1.3.</w:t>
      </w:r>
    </w:p>
    <w:p w14:paraId="72192FDD" w14:textId="77777777" w:rsidR="00D76D12" w:rsidRPr="00476A2B" w:rsidRDefault="00D76D12" w:rsidP="00666912">
      <w:pPr>
        <w:spacing w:after="40"/>
        <w:jc w:val="both"/>
      </w:pPr>
    </w:p>
    <w:p w14:paraId="75ADFDF0" w14:textId="77777777" w:rsidR="007E66A9" w:rsidRPr="00476A2B" w:rsidRDefault="007E66A9" w:rsidP="007E66A9">
      <w:pPr>
        <w:spacing w:after="40"/>
        <w:jc w:val="both"/>
      </w:pPr>
      <w:r w:rsidRPr="00476A2B">
        <w:t>Despite the benefits of menu labelling for Australian and New Zealand consumers, there are potential negative consequences for some consumers such as:</w:t>
      </w:r>
    </w:p>
    <w:p w14:paraId="2EF3E782" w14:textId="77777777" w:rsidR="007E66A9" w:rsidRPr="00476A2B" w:rsidRDefault="007E66A9" w:rsidP="007E66A9">
      <w:pPr>
        <w:numPr>
          <w:ilvl w:val="0"/>
          <w:numId w:val="50"/>
        </w:numPr>
        <w:spacing w:after="40"/>
        <w:rPr>
          <w:rFonts w:eastAsia="Calibri"/>
        </w:rPr>
      </w:pPr>
      <w:r w:rsidRPr="00476A2B">
        <w:rPr>
          <w:rFonts w:eastAsia="Calibri"/>
        </w:rPr>
        <w:t>Some consumers may find that energy information on menus and at the point-of-sale reduces usability.</w:t>
      </w:r>
    </w:p>
    <w:p w14:paraId="5E0541DD" w14:textId="77777777" w:rsidR="007E66A9" w:rsidRPr="00476A2B" w:rsidRDefault="007E66A9" w:rsidP="007E66A9">
      <w:pPr>
        <w:numPr>
          <w:ilvl w:val="0"/>
          <w:numId w:val="50"/>
        </w:numPr>
        <w:spacing w:after="40"/>
        <w:rPr>
          <w:rFonts w:eastAsia="Calibri"/>
        </w:rPr>
      </w:pPr>
      <w:r w:rsidRPr="00476A2B">
        <w:rPr>
          <w:rFonts w:eastAsia="Calibri"/>
        </w:rPr>
        <w:t>Some consumers may have difficulty in calculating the energy content for customised menus items if the energy information is not provided for the final item.</w:t>
      </w:r>
    </w:p>
    <w:p w14:paraId="0ABC9ABF" w14:textId="77777777" w:rsidR="007E66A9" w:rsidRPr="00476A2B" w:rsidRDefault="007E66A9" w:rsidP="007E66A9">
      <w:pPr>
        <w:numPr>
          <w:ilvl w:val="0"/>
          <w:numId w:val="50"/>
        </w:numPr>
        <w:spacing w:after="40"/>
        <w:jc w:val="both"/>
      </w:pPr>
      <w:r w:rsidRPr="00476A2B">
        <w:rPr>
          <w:rFonts w:eastAsia="Calibri"/>
        </w:rPr>
        <w:t>Emotional cost (</w:t>
      </w:r>
      <w:r w:rsidRPr="00476A2B">
        <w:t xml:space="preserve">for example, </w:t>
      </w:r>
      <w:r w:rsidRPr="00476A2B">
        <w:rPr>
          <w:rFonts w:eastAsia="Calibri"/>
        </w:rPr>
        <w:t>guilt/anxiety) for those individuals who want to avoid knowing the energy content of menu choices, and/or those who want to avoid eating high kilojoule menu choices, but purchase, nonetheless based on other drivers such as convenience, time or cost.</w:t>
      </w:r>
    </w:p>
    <w:p w14:paraId="0089549A" w14:textId="553E1640" w:rsidR="007E66A9" w:rsidRDefault="007E66A9" w:rsidP="007E66A9">
      <w:pPr>
        <w:numPr>
          <w:ilvl w:val="0"/>
          <w:numId w:val="50"/>
        </w:numPr>
        <w:spacing w:after="40"/>
        <w:jc w:val="both"/>
      </w:pPr>
      <w:r w:rsidRPr="00476A2B">
        <w:rPr>
          <w:lang w:eastAsia="zh-CN" w:bidi="th-TH"/>
        </w:rPr>
        <w:t>Increased confusion about energy information if menu labelling is implemented inconsistently or if any business favours labelling for less-energy dense items, rather than all menu items.</w:t>
      </w:r>
    </w:p>
    <w:p w14:paraId="49E87D7A" w14:textId="77777777" w:rsidR="00E15858" w:rsidRDefault="00E15858" w:rsidP="00E15858">
      <w:pPr>
        <w:spacing w:after="40"/>
        <w:ind w:left="720"/>
        <w:jc w:val="both"/>
      </w:pPr>
    </w:p>
    <w:p w14:paraId="2F7F48CD" w14:textId="77777777" w:rsidR="007E66A9" w:rsidRDefault="007E66A9" w:rsidP="007E66A9">
      <w:pPr>
        <w:spacing w:after="40"/>
        <w:jc w:val="both"/>
        <w:rPr>
          <w:lang w:eastAsia="zh-CN" w:bidi="th-TH"/>
        </w:rPr>
      </w:pPr>
      <w:r w:rsidRPr="00476A2B">
        <w:t xml:space="preserve">These are already possible consequences of existing menu labelling in Australia. It is not known the extent that consumers experience any of these potential consequences of current menu labelling. It is the desired outcome that </w:t>
      </w:r>
      <w:r w:rsidRPr="00476A2B">
        <w:rPr>
          <w:lang w:eastAsia="zh-CN" w:bidi="th-TH"/>
        </w:rPr>
        <w:t>all Australians and New Zealanders have access to information at the point-of-sale about the energy content of ready-to-eat food and drinks to help make informed purchasing decisions. Therefore, it is important to acknowledge that some of these consequences may be experienced by a higher number of consumers.</w:t>
      </w:r>
    </w:p>
    <w:p w14:paraId="06A7FD53" w14:textId="77777777" w:rsidR="007E66A9" w:rsidRDefault="007E66A9" w:rsidP="0069540D">
      <w:pPr>
        <w:spacing w:after="40"/>
        <w:jc w:val="both"/>
        <w:rPr>
          <w:lang w:eastAsia="zh-CN" w:bidi="th-TH"/>
        </w:rPr>
      </w:pPr>
    </w:p>
    <w:p w14:paraId="5DFA4219" w14:textId="4AEA1286" w:rsidR="001424CC" w:rsidRDefault="001424CC" w:rsidP="00F53A05">
      <w:pPr>
        <w:pStyle w:val="Heading3"/>
      </w:pPr>
      <w:r>
        <w:lastRenderedPageBreak/>
        <w:t>5.</w:t>
      </w:r>
      <w:r w:rsidR="00EB738A">
        <w:t>6</w:t>
      </w:r>
      <w:r>
        <w:t xml:space="preserve"> Net benefit</w:t>
      </w:r>
    </w:p>
    <w:p w14:paraId="63C77649" w14:textId="1ACC7AB9" w:rsidR="00C9031F" w:rsidRDefault="006E6E77" w:rsidP="00C9031F">
      <w:pPr>
        <w:spacing w:after="40"/>
        <w:jc w:val="both"/>
      </w:pPr>
      <w:r>
        <w:t>F</w:t>
      </w:r>
      <w:r w:rsidR="00DF39AE">
        <w:t xml:space="preserve">or Australia and New Zealand, all options appear to provide net benefits compared with the status quo. Option 3 generates higher net benefits than </w:t>
      </w:r>
      <w:r w:rsidR="000D386A">
        <w:t xml:space="preserve">both </w:t>
      </w:r>
      <w:r w:rsidR="00DF39AE">
        <w:t>Option 2</w:t>
      </w:r>
      <w:r w:rsidR="000D386A">
        <w:t xml:space="preserve"> and Option 4</w:t>
      </w:r>
      <w:r w:rsidR="00A50F07">
        <w:t xml:space="preserve"> for all </w:t>
      </w:r>
      <w:r w:rsidR="0049535F">
        <w:t xml:space="preserve">Australian and New Zealand </w:t>
      </w:r>
      <w:r w:rsidR="00A50F07">
        <w:t>jurisdictions</w:t>
      </w:r>
      <w:r w:rsidR="007D64EC">
        <w:t xml:space="preserve"> (</w:t>
      </w:r>
      <w:r w:rsidR="00B1510B">
        <w:t>except for</w:t>
      </w:r>
      <w:r w:rsidR="00A50F07">
        <w:t xml:space="preserve"> the Australian Capital Territory</w:t>
      </w:r>
      <w:r w:rsidR="007D64EC">
        <w:t>)</w:t>
      </w:r>
      <w:r w:rsidR="00A50F07">
        <w:t>.</w:t>
      </w:r>
      <w:r w:rsidR="002117A8">
        <w:t xml:space="preserve"> </w:t>
      </w:r>
      <w:r w:rsidR="001E3E2E">
        <w:t xml:space="preserve">The scale of net benefits for jurisdictions appears to relate to population size. This appears to be due to benefits from menu labelling being largely population based, while costs, particularly administration costs, are less related to jurisdiction population size. </w:t>
      </w:r>
      <w:r w:rsidR="00C9031F">
        <w:t xml:space="preserve">Refer to Table </w:t>
      </w:r>
      <w:r w:rsidR="001C0ADD">
        <w:t>8</w:t>
      </w:r>
      <w:r w:rsidR="00C9031F">
        <w:t xml:space="preserve"> for the net benefit for each jurisdiction. </w:t>
      </w:r>
    </w:p>
    <w:p w14:paraId="26272CDD" w14:textId="77777777" w:rsidR="00504CDB" w:rsidRDefault="00504CDB" w:rsidP="00504CDB">
      <w:pPr>
        <w:spacing w:after="40"/>
        <w:jc w:val="both"/>
      </w:pPr>
    </w:p>
    <w:p w14:paraId="426E73CC" w14:textId="7959D9D5" w:rsidR="00504CDB" w:rsidRDefault="00575F84" w:rsidP="00504CDB">
      <w:pPr>
        <w:spacing w:after="40"/>
        <w:jc w:val="both"/>
      </w:pPr>
      <w:r>
        <w:t>For Australia</w:t>
      </w:r>
      <w:r w:rsidR="0055023D">
        <w:t xml:space="preserve"> nationally</w:t>
      </w:r>
      <w:r>
        <w:t>, the net benefit of Option 3 is $</w:t>
      </w:r>
      <w:r w:rsidR="007D1AE7">
        <w:t xml:space="preserve">775.4 million over 10 years, while </w:t>
      </w:r>
      <w:r w:rsidR="00F065EF">
        <w:t xml:space="preserve">it is $568.4 million </w:t>
      </w:r>
      <w:r w:rsidR="00F548F3">
        <w:t xml:space="preserve">for Option 2 </w:t>
      </w:r>
      <w:r w:rsidR="00F065EF">
        <w:t>and $158.7 million for Option 4.</w:t>
      </w:r>
      <w:r w:rsidR="00F548F3">
        <w:t xml:space="preserve"> </w:t>
      </w:r>
      <w:r w:rsidR="00504CDB">
        <w:t>For the Australian society, progressing mandatory menu labelling via the Food Standards Code has the greatest net benefit.</w:t>
      </w:r>
    </w:p>
    <w:p w14:paraId="4BE9B4BD" w14:textId="78D7466C" w:rsidR="00C63CB0" w:rsidRDefault="001C08CE" w:rsidP="00DD10D0">
      <w:pPr>
        <w:spacing w:after="40"/>
        <w:jc w:val="both"/>
      </w:pPr>
      <w:r>
        <w:t>Similarly, f</w:t>
      </w:r>
      <w:r w:rsidR="0055023D">
        <w:t>or seven of eight Australian states and territories</w:t>
      </w:r>
      <w:r w:rsidR="009A4E90">
        <w:t xml:space="preserve">, </w:t>
      </w:r>
      <w:r w:rsidR="00CB03F0">
        <w:t xml:space="preserve">introducing mandatory menu labelling </w:t>
      </w:r>
      <w:r>
        <w:t>via the Food Standards Code has the greatest net benefit</w:t>
      </w:r>
      <w:r w:rsidR="00C9031F">
        <w:t>.</w:t>
      </w:r>
      <w:r w:rsidR="000C36FE">
        <w:t xml:space="preserve"> </w:t>
      </w:r>
    </w:p>
    <w:p w14:paraId="0763C024" w14:textId="77777777" w:rsidR="00C63CB0" w:rsidRDefault="00C63CB0" w:rsidP="00DD10D0">
      <w:pPr>
        <w:spacing w:after="40"/>
        <w:jc w:val="both"/>
      </w:pPr>
    </w:p>
    <w:p w14:paraId="7128DFB5" w14:textId="375DE1CE" w:rsidR="00C9031F" w:rsidRDefault="00DD10D0" w:rsidP="00C9031F">
      <w:pPr>
        <w:spacing w:after="40"/>
        <w:jc w:val="both"/>
      </w:pPr>
      <w:r>
        <w:t>The scale of difference between Options 2 and 3 is not very large for New South Wales, South Australia, Queensland</w:t>
      </w:r>
      <w:r w:rsidR="00C703E5">
        <w:t>,</w:t>
      </w:r>
      <w:r>
        <w:t xml:space="preserve"> and Victoria</w:t>
      </w:r>
      <w:r w:rsidR="00C63CB0">
        <w:t>, as these jurisdictions already have menu labelling</w:t>
      </w:r>
      <w:r w:rsidR="006C2BD2">
        <w:t>.</w:t>
      </w:r>
      <w:r w:rsidR="00C63CB0">
        <w:t xml:space="preserve"> </w:t>
      </w:r>
      <w:r w:rsidR="006C2BD2">
        <w:t>T</w:t>
      </w:r>
      <w:r w:rsidR="00C63CB0">
        <w:t xml:space="preserve">he economic evaluation assumed that </w:t>
      </w:r>
      <w:r w:rsidR="001B2544">
        <w:t xml:space="preserve">these jurisdictions would make changes </w:t>
      </w:r>
      <w:r w:rsidR="000F69A5">
        <w:t>to their legislation aligned with the amended Principle</w:t>
      </w:r>
      <w:r w:rsidR="006C2BD2">
        <w:t>s (Option 2) which mirror the Ministerial Policy Guideline intended to inform</w:t>
      </w:r>
      <w:r w:rsidR="00535154">
        <w:t xml:space="preserve"> </w:t>
      </w:r>
      <w:r w:rsidR="009E43A2">
        <w:t xml:space="preserve">the development of </w:t>
      </w:r>
      <w:r w:rsidR="00535154">
        <w:t>menu labelling</w:t>
      </w:r>
      <w:r w:rsidR="009E43A2">
        <w:t xml:space="preserve"> provisions</w:t>
      </w:r>
      <w:r w:rsidR="00535154">
        <w:t xml:space="preserve"> in the Food Standards Code</w:t>
      </w:r>
      <w:r w:rsidR="000C36FE">
        <w:t xml:space="preserve"> (Option 3)</w:t>
      </w:r>
      <w:r w:rsidR="006C2BD2">
        <w:t>.</w:t>
      </w:r>
      <w:r w:rsidR="000F69A5">
        <w:t xml:space="preserve"> </w:t>
      </w:r>
      <w:r w:rsidR="00E9573C">
        <w:t xml:space="preserve">However, if any jurisdiction did not make changes under Option 2, the net benefit would be </w:t>
      </w:r>
      <w:r w:rsidR="007E23A8">
        <w:t>like</w:t>
      </w:r>
      <w:r w:rsidR="00E9573C">
        <w:t xml:space="preserve"> Option 4</w:t>
      </w:r>
      <w:r w:rsidR="006C01B4">
        <w:t>, based on the assumption that there will 10 per cent voluntary implementation of enhanced menu labelling</w:t>
      </w:r>
      <w:r w:rsidR="0003799F">
        <w:t xml:space="preserve"> under both options.</w:t>
      </w:r>
      <w:r w:rsidR="00EC5967">
        <w:t xml:space="preserve"> </w:t>
      </w:r>
      <w:r w:rsidR="00C9031F">
        <w:t>The Australian Capital Territory</w:t>
      </w:r>
      <w:r w:rsidR="00D820F1">
        <w:t xml:space="preserve"> differs from other jurisdictions with menu labelling</w:t>
      </w:r>
      <w:r w:rsidR="006D580B">
        <w:t xml:space="preserve">, as it has </w:t>
      </w:r>
      <w:r w:rsidR="00C9031F">
        <w:t xml:space="preserve">both a relatively small population and reasonably comprehensive menu labelling regulations in place. The implication is that the net benefit of each option is small, and Option 4 </w:t>
      </w:r>
      <w:r w:rsidR="00A73855">
        <w:t xml:space="preserve">(voluntary industry action to enhance menu labelling) </w:t>
      </w:r>
      <w:r w:rsidR="00C9031F">
        <w:t>has the greatest net benefit in the Australian Capital Territory.</w:t>
      </w:r>
    </w:p>
    <w:p w14:paraId="3359328F" w14:textId="481B12EC" w:rsidR="00DD10D0" w:rsidRDefault="00DD10D0" w:rsidP="00DD10D0">
      <w:pPr>
        <w:spacing w:after="40"/>
        <w:jc w:val="both"/>
      </w:pPr>
    </w:p>
    <w:p w14:paraId="3196231C" w14:textId="3F11BC86" w:rsidR="0013036C" w:rsidRDefault="00867B4B" w:rsidP="006F102E">
      <w:pPr>
        <w:spacing w:after="40"/>
        <w:jc w:val="both"/>
      </w:pPr>
      <w:r>
        <w:t>In</w:t>
      </w:r>
      <w:r w:rsidR="00EB4A33">
        <w:t xml:space="preserve"> New Zealand</w:t>
      </w:r>
      <w:r>
        <w:t>,</w:t>
      </w:r>
      <w:r w:rsidR="00CF7FDD">
        <w:t xml:space="preserve"> </w:t>
      </w:r>
      <w:r>
        <w:t>t</w:t>
      </w:r>
      <w:r w:rsidR="00F23F1F">
        <w:t xml:space="preserve">he net benefit of Option 2 and 4 is similar at </w:t>
      </w:r>
      <w:r>
        <w:t>$NZ25.8 million and $NZ24.9 million, respectively.</w:t>
      </w:r>
      <w:r w:rsidR="00EB4A33">
        <w:t xml:space="preserve"> </w:t>
      </w:r>
      <w:r w:rsidR="0069550A">
        <w:t>The similarity is due to th</w:t>
      </w:r>
      <w:r w:rsidR="003B5CEB">
        <w:t xml:space="preserve">e underpinning assumptions that </w:t>
      </w:r>
      <w:r w:rsidR="0017557C">
        <w:t>New Zealand is unlikely t</w:t>
      </w:r>
      <w:r w:rsidR="00410EDB">
        <w:t>o introduce menu labelling legislation</w:t>
      </w:r>
      <w:r w:rsidR="002E27DE">
        <w:t xml:space="preserve"> under Option 2, and that there will </w:t>
      </w:r>
      <w:r w:rsidR="00A84A9F">
        <w:t xml:space="preserve">10 per cent voluntary implementation of menu labelling under both Option 2 and 4. </w:t>
      </w:r>
      <w:r w:rsidR="00640801">
        <w:t xml:space="preserve">The </w:t>
      </w:r>
      <w:r>
        <w:t>net benefit of Option 3 ($NZ311.5 million) in significantly higher</w:t>
      </w:r>
      <w:r w:rsidR="006C4452">
        <w:t xml:space="preserve">. </w:t>
      </w:r>
      <w:r w:rsidR="00504CDB">
        <w:t>As for Australian society, p</w:t>
      </w:r>
      <w:r w:rsidR="00CC2784">
        <w:t>rogressing mandatory menu labelling via the Food Standards Code</w:t>
      </w:r>
      <w:r w:rsidR="00A84A9F">
        <w:t xml:space="preserve"> has the greatest net benefit for New Zealand society</w:t>
      </w:r>
      <w:r>
        <w:t>.</w:t>
      </w:r>
    </w:p>
    <w:p w14:paraId="56722674" w14:textId="77C59297" w:rsidR="000F360E" w:rsidRDefault="000F360E" w:rsidP="00622BE6">
      <w:pPr>
        <w:spacing w:after="40"/>
        <w:jc w:val="both"/>
      </w:pPr>
    </w:p>
    <w:p w14:paraId="3A4F04A8" w14:textId="77777777" w:rsidR="00E15858" w:rsidRDefault="00E15858">
      <w:r>
        <w:br w:type="page"/>
      </w:r>
    </w:p>
    <w:p w14:paraId="7C5C1EED" w14:textId="3B43FD09" w:rsidR="00622BE6" w:rsidRDefault="00622BE6" w:rsidP="00622BE6">
      <w:pPr>
        <w:spacing w:after="40"/>
        <w:jc w:val="both"/>
      </w:pPr>
      <w:r w:rsidRPr="006E3B7E">
        <w:lastRenderedPageBreak/>
        <w:t xml:space="preserve">Table </w:t>
      </w:r>
      <w:r w:rsidR="001C0ADD">
        <w:t>8</w:t>
      </w:r>
      <w:r w:rsidRPr="006E3B7E">
        <w:t xml:space="preserve">: </w:t>
      </w:r>
      <w:r w:rsidR="001E3E2E">
        <w:t xml:space="preserve">Net benefit </w:t>
      </w:r>
      <w:r w:rsidR="00006963">
        <w:t>of options for menu labelling in all jurisdictions</w:t>
      </w:r>
      <w:r w:rsidR="00243BEE">
        <w:rPr>
          <w:rStyle w:val="FootnoteReference"/>
        </w:rPr>
        <w:footnoteReference w:id="114"/>
      </w:r>
    </w:p>
    <w:p w14:paraId="5D88B440" w14:textId="77777777" w:rsidR="00243BEE" w:rsidRDefault="00243BEE" w:rsidP="00622BE6">
      <w:pPr>
        <w:spacing w:after="40"/>
        <w:jc w:val="both"/>
      </w:pPr>
    </w:p>
    <w:tbl>
      <w:tblPr>
        <w:tblStyle w:val="PlainTable3"/>
        <w:tblW w:w="9067" w:type="dxa"/>
        <w:tblLayout w:type="fixed"/>
        <w:tblLook w:val="04A0" w:firstRow="1" w:lastRow="0" w:firstColumn="1" w:lastColumn="0" w:noHBand="0" w:noVBand="1"/>
      </w:tblPr>
      <w:tblGrid>
        <w:gridCol w:w="3402"/>
        <w:gridCol w:w="1888"/>
        <w:gridCol w:w="1888"/>
        <w:gridCol w:w="1889"/>
      </w:tblGrid>
      <w:tr w:rsidR="000C6BF3" w:rsidRPr="00C15249" w14:paraId="6BEAF24B" w14:textId="77777777" w:rsidTr="0047019D">
        <w:trPr>
          <w:cnfStyle w:val="100000000000" w:firstRow="1" w:lastRow="0" w:firstColumn="0" w:lastColumn="0" w:oddVBand="0" w:evenVBand="0" w:oddHBand="0" w:evenHBand="0" w:firstRowFirstColumn="0" w:firstRowLastColumn="0" w:lastRowFirstColumn="0" w:lastRowLastColumn="0"/>
          <w:trHeight w:val="470"/>
        </w:trPr>
        <w:tc>
          <w:tcPr>
            <w:cnfStyle w:val="001000000100" w:firstRow="0" w:lastRow="0" w:firstColumn="1" w:lastColumn="0" w:oddVBand="0" w:evenVBand="0" w:oddHBand="0" w:evenHBand="0" w:firstRowFirstColumn="1" w:firstRowLastColumn="0" w:lastRowFirstColumn="0" w:lastRowLastColumn="0"/>
            <w:tcW w:w="3402" w:type="dxa"/>
          </w:tcPr>
          <w:p w14:paraId="1FE8EAC6" w14:textId="77777777" w:rsidR="000C6BF3" w:rsidRPr="0047019D" w:rsidRDefault="000C6BF3" w:rsidP="00E15858">
            <w:pPr>
              <w:spacing w:after="40"/>
            </w:pPr>
            <w:r w:rsidRPr="0047019D">
              <w:rPr>
                <w:caps w:val="0"/>
              </w:rPr>
              <w:t>Jurisdiction</w:t>
            </w:r>
          </w:p>
        </w:tc>
        <w:tc>
          <w:tcPr>
            <w:tcW w:w="1888" w:type="dxa"/>
          </w:tcPr>
          <w:p w14:paraId="5D8FD531" w14:textId="1F70DEA9" w:rsidR="000C6BF3" w:rsidRPr="00243BEE" w:rsidRDefault="00243BEE" w:rsidP="00E15858">
            <w:pPr>
              <w:spacing w:after="40"/>
              <w:jc w:val="center"/>
              <w:cnfStyle w:val="100000000000" w:firstRow="1" w:lastRow="0" w:firstColumn="0" w:lastColumn="0" w:oddVBand="0" w:evenVBand="0" w:oddHBand="0" w:evenHBand="0" w:firstRowFirstColumn="0" w:firstRowLastColumn="0" w:lastRowFirstColumn="0" w:lastRowLastColumn="0"/>
              <w:rPr>
                <w:caps w:val="0"/>
                <w:lang w:eastAsia="zh-CN" w:bidi="th-TH"/>
              </w:rPr>
            </w:pPr>
            <w:r w:rsidRPr="00243BEE">
              <w:rPr>
                <w:caps w:val="0"/>
              </w:rPr>
              <w:t xml:space="preserve">Net </w:t>
            </w:r>
            <w:r>
              <w:rPr>
                <w:caps w:val="0"/>
              </w:rPr>
              <w:t>b</w:t>
            </w:r>
            <w:r w:rsidRPr="00243BEE">
              <w:rPr>
                <w:caps w:val="0"/>
              </w:rPr>
              <w:t>enefit of</w:t>
            </w:r>
            <w:r>
              <w:rPr>
                <w:caps w:val="0"/>
              </w:rPr>
              <w:t xml:space="preserve"> Option 2</w:t>
            </w:r>
          </w:p>
        </w:tc>
        <w:tc>
          <w:tcPr>
            <w:tcW w:w="1888" w:type="dxa"/>
          </w:tcPr>
          <w:p w14:paraId="71F29EA0" w14:textId="481AAE25" w:rsidR="000C6BF3" w:rsidRPr="00243BEE" w:rsidRDefault="00243BEE" w:rsidP="00E15858">
            <w:pPr>
              <w:spacing w:after="40"/>
              <w:jc w:val="center"/>
              <w:cnfStyle w:val="100000000000" w:firstRow="1" w:lastRow="0" w:firstColumn="0" w:lastColumn="0" w:oddVBand="0" w:evenVBand="0" w:oddHBand="0" w:evenHBand="0" w:firstRowFirstColumn="0" w:firstRowLastColumn="0" w:lastRowFirstColumn="0" w:lastRowLastColumn="0"/>
              <w:rPr>
                <w:caps w:val="0"/>
                <w:lang w:eastAsia="zh-CN" w:bidi="th-TH"/>
              </w:rPr>
            </w:pPr>
            <w:r w:rsidRPr="00243BEE">
              <w:rPr>
                <w:caps w:val="0"/>
              </w:rPr>
              <w:t>Net Benefit of</w:t>
            </w:r>
            <w:r>
              <w:rPr>
                <w:caps w:val="0"/>
              </w:rPr>
              <w:t xml:space="preserve"> Option 3</w:t>
            </w:r>
          </w:p>
        </w:tc>
        <w:tc>
          <w:tcPr>
            <w:tcW w:w="1889" w:type="dxa"/>
          </w:tcPr>
          <w:p w14:paraId="03BC5A90" w14:textId="4297967C" w:rsidR="000C6BF3" w:rsidRPr="00243BEE" w:rsidRDefault="00243BEE" w:rsidP="00E15858">
            <w:pPr>
              <w:spacing w:after="40"/>
              <w:jc w:val="center"/>
              <w:cnfStyle w:val="100000000000" w:firstRow="1" w:lastRow="0" w:firstColumn="0" w:lastColumn="0" w:oddVBand="0" w:evenVBand="0" w:oddHBand="0" w:evenHBand="0" w:firstRowFirstColumn="0" w:firstRowLastColumn="0" w:lastRowFirstColumn="0" w:lastRowLastColumn="0"/>
              <w:rPr>
                <w:lang w:eastAsia="zh-CN" w:bidi="th-TH"/>
              </w:rPr>
            </w:pPr>
            <w:r w:rsidRPr="00243BEE">
              <w:rPr>
                <w:caps w:val="0"/>
              </w:rPr>
              <w:t xml:space="preserve">Net Benefit of </w:t>
            </w:r>
            <w:r>
              <w:rPr>
                <w:caps w:val="0"/>
              </w:rPr>
              <w:t>Option 4</w:t>
            </w:r>
          </w:p>
        </w:tc>
      </w:tr>
      <w:tr w:rsidR="00243BEE" w:rsidRPr="00C15249" w14:paraId="08774C08" w14:textId="77777777" w:rsidTr="00243B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697CC868" w14:textId="55CCAF71" w:rsidR="00243BEE" w:rsidRPr="00E15858" w:rsidRDefault="00243BEE" w:rsidP="00E15858">
            <w:pPr>
              <w:spacing w:after="40"/>
              <w:rPr>
                <w:b w:val="0"/>
                <w:bCs w:val="0"/>
              </w:rPr>
            </w:pPr>
            <w:r>
              <w:rPr>
                <w:caps w:val="0"/>
              </w:rPr>
              <w:t>New South Wales</w:t>
            </w:r>
          </w:p>
        </w:tc>
        <w:tc>
          <w:tcPr>
            <w:tcW w:w="1888" w:type="dxa"/>
            <w:vAlign w:val="center"/>
          </w:tcPr>
          <w:p w14:paraId="73211E70" w14:textId="36DC18A0" w:rsidR="00243BEE" w:rsidRPr="0047019D" w:rsidRDefault="00243BEE" w:rsidP="00E15858">
            <w:pPr>
              <w:spacing w:after="40"/>
              <w:jc w:val="center"/>
              <w:cnfStyle w:val="000000100000" w:firstRow="0" w:lastRow="0" w:firstColumn="0" w:lastColumn="0" w:oddVBand="0" w:evenVBand="0" w:oddHBand="1" w:evenHBand="0" w:firstRowFirstColumn="0" w:firstRowLastColumn="0" w:lastRowFirstColumn="0" w:lastRowLastColumn="0"/>
              <w:rPr>
                <w:lang w:eastAsia="zh-CN" w:bidi="th-TH"/>
              </w:rPr>
            </w:pPr>
            <w:r>
              <w:rPr>
                <w:lang w:eastAsia="zh-CN" w:bidi="th-TH"/>
              </w:rPr>
              <w:t>223.1M</w:t>
            </w:r>
          </w:p>
        </w:tc>
        <w:tc>
          <w:tcPr>
            <w:tcW w:w="1888" w:type="dxa"/>
            <w:vAlign w:val="center"/>
          </w:tcPr>
          <w:p w14:paraId="589994AA" w14:textId="00621B41" w:rsidR="00243BEE" w:rsidRPr="0047019D" w:rsidRDefault="00243BEE" w:rsidP="00E15858">
            <w:pPr>
              <w:spacing w:after="40"/>
              <w:jc w:val="center"/>
              <w:cnfStyle w:val="000000100000" w:firstRow="0" w:lastRow="0" w:firstColumn="0" w:lastColumn="0" w:oddVBand="0" w:evenVBand="0" w:oddHBand="1" w:evenHBand="0" w:firstRowFirstColumn="0" w:firstRowLastColumn="0" w:lastRowFirstColumn="0" w:lastRowLastColumn="0"/>
              <w:rPr>
                <w:b/>
                <w:bCs/>
                <w:lang w:eastAsia="zh-CN" w:bidi="th-TH"/>
              </w:rPr>
            </w:pPr>
            <w:r>
              <w:rPr>
                <w:b/>
                <w:bCs/>
                <w:lang w:eastAsia="zh-CN" w:bidi="th-TH"/>
              </w:rPr>
              <w:t>228.1M</w:t>
            </w:r>
          </w:p>
        </w:tc>
        <w:tc>
          <w:tcPr>
            <w:tcW w:w="1889" w:type="dxa"/>
            <w:vAlign w:val="center"/>
          </w:tcPr>
          <w:p w14:paraId="16E91FD7" w14:textId="021C6629" w:rsidR="00243BEE" w:rsidRPr="0047019D" w:rsidRDefault="00243BEE" w:rsidP="00E15858">
            <w:pPr>
              <w:spacing w:after="40"/>
              <w:jc w:val="center"/>
              <w:cnfStyle w:val="000000100000" w:firstRow="0" w:lastRow="0" w:firstColumn="0" w:lastColumn="0" w:oddVBand="0" w:evenVBand="0" w:oddHBand="1" w:evenHBand="0" w:firstRowFirstColumn="0" w:firstRowLastColumn="0" w:lastRowFirstColumn="0" w:lastRowLastColumn="0"/>
              <w:rPr>
                <w:lang w:eastAsia="zh-CN" w:bidi="th-TH"/>
              </w:rPr>
            </w:pPr>
            <w:r>
              <w:rPr>
                <w:lang w:eastAsia="zh-CN" w:bidi="th-TH"/>
              </w:rPr>
              <w:t>55.9M</w:t>
            </w:r>
          </w:p>
        </w:tc>
      </w:tr>
      <w:tr w:rsidR="000C6BF3" w:rsidRPr="00C15249" w14:paraId="7DDF03BF" w14:textId="77777777" w:rsidTr="00243BEE">
        <w:tc>
          <w:tcPr>
            <w:cnfStyle w:val="001000000000" w:firstRow="0" w:lastRow="0" w:firstColumn="1" w:lastColumn="0" w:oddVBand="0" w:evenVBand="0" w:oddHBand="0" w:evenHBand="0" w:firstRowFirstColumn="0" w:firstRowLastColumn="0" w:lastRowFirstColumn="0" w:lastRowLastColumn="0"/>
            <w:tcW w:w="3402" w:type="dxa"/>
            <w:vAlign w:val="center"/>
          </w:tcPr>
          <w:p w14:paraId="4EAE08FD" w14:textId="3E813C6C" w:rsidR="000C6BF3" w:rsidRPr="00E15858" w:rsidRDefault="000C6BF3" w:rsidP="00E15858">
            <w:pPr>
              <w:spacing w:after="40"/>
              <w:rPr>
                <w:b w:val="0"/>
                <w:bCs w:val="0"/>
              </w:rPr>
            </w:pPr>
            <w:r w:rsidRPr="0047019D">
              <w:rPr>
                <w:caps w:val="0"/>
              </w:rPr>
              <w:t>Victoria</w:t>
            </w:r>
          </w:p>
        </w:tc>
        <w:tc>
          <w:tcPr>
            <w:tcW w:w="1888" w:type="dxa"/>
            <w:vAlign w:val="center"/>
          </w:tcPr>
          <w:p w14:paraId="059BB69E" w14:textId="741DE5FD" w:rsidR="000C6BF3" w:rsidRPr="0047019D" w:rsidRDefault="00617D55" w:rsidP="00E15858">
            <w:pPr>
              <w:spacing w:after="40"/>
              <w:jc w:val="center"/>
              <w:cnfStyle w:val="000000000000" w:firstRow="0" w:lastRow="0" w:firstColumn="0" w:lastColumn="0" w:oddVBand="0" w:evenVBand="0" w:oddHBand="0" w:evenHBand="0" w:firstRowFirstColumn="0" w:firstRowLastColumn="0" w:lastRowFirstColumn="0" w:lastRowLastColumn="0"/>
              <w:rPr>
                <w:lang w:eastAsia="zh-CN" w:bidi="th-TH"/>
              </w:rPr>
            </w:pPr>
            <w:r w:rsidRPr="0047019D">
              <w:rPr>
                <w:lang w:eastAsia="zh-CN" w:bidi="th-TH"/>
              </w:rPr>
              <w:t>114.2M</w:t>
            </w:r>
          </w:p>
        </w:tc>
        <w:tc>
          <w:tcPr>
            <w:tcW w:w="1888" w:type="dxa"/>
            <w:vAlign w:val="center"/>
          </w:tcPr>
          <w:p w14:paraId="41B983AB" w14:textId="63FB3C0A" w:rsidR="000C6BF3" w:rsidRPr="0047019D" w:rsidRDefault="00617D55" w:rsidP="00E15858">
            <w:pPr>
              <w:spacing w:after="40"/>
              <w:jc w:val="center"/>
              <w:cnfStyle w:val="000000000000" w:firstRow="0" w:lastRow="0" w:firstColumn="0" w:lastColumn="0" w:oddVBand="0" w:evenVBand="0" w:oddHBand="0" w:evenHBand="0" w:firstRowFirstColumn="0" w:firstRowLastColumn="0" w:lastRowFirstColumn="0" w:lastRowLastColumn="0"/>
              <w:rPr>
                <w:lang w:eastAsia="zh-CN" w:bidi="th-TH"/>
              </w:rPr>
            </w:pPr>
            <w:r w:rsidRPr="0047019D">
              <w:rPr>
                <w:b/>
                <w:bCs/>
                <w:lang w:eastAsia="zh-CN" w:bidi="th-TH"/>
              </w:rPr>
              <w:t>118.7M</w:t>
            </w:r>
          </w:p>
        </w:tc>
        <w:tc>
          <w:tcPr>
            <w:tcW w:w="1889" w:type="dxa"/>
            <w:vAlign w:val="center"/>
          </w:tcPr>
          <w:p w14:paraId="04FD20C6" w14:textId="26040FA0" w:rsidR="000C6BF3" w:rsidRPr="0047019D" w:rsidRDefault="00617D55" w:rsidP="00E15858">
            <w:pPr>
              <w:spacing w:after="40"/>
              <w:jc w:val="center"/>
              <w:cnfStyle w:val="000000000000" w:firstRow="0" w:lastRow="0" w:firstColumn="0" w:lastColumn="0" w:oddVBand="0" w:evenVBand="0" w:oddHBand="0" w:evenHBand="0" w:firstRowFirstColumn="0" w:firstRowLastColumn="0" w:lastRowFirstColumn="0" w:lastRowLastColumn="0"/>
              <w:rPr>
                <w:lang w:eastAsia="zh-CN" w:bidi="th-TH"/>
              </w:rPr>
            </w:pPr>
            <w:r w:rsidRPr="0047019D">
              <w:rPr>
                <w:lang w:eastAsia="zh-CN" w:bidi="th-TH"/>
              </w:rPr>
              <w:t>44.2M</w:t>
            </w:r>
          </w:p>
        </w:tc>
      </w:tr>
      <w:tr w:rsidR="000C6BF3" w:rsidRPr="00C15249" w14:paraId="1D2652A4" w14:textId="77777777" w:rsidTr="00243B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5F06DB30" w14:textId="594A386F" w:rsidR="000C6BF3" w:rsidRPr="00E15858" w:rsidRDefault="000C6BF3" w:rsidP="00E15858">
            <w:pPr>
              <w:spacing w:after="40"/>
              <w:rPr>
                <w:b w:val="0"/>
                <w:bCs w:val="0"/>
              </w:rPr>
            </w:pPr>
            <w:r w:rsidRPr="0047019D">
              <w:rPr>
                <w:caps w:val="0"/>
              </w:rPr>
              <w:t>Queensland</w:t>
            </w:r>
          </w:p>
        </w:tc>
        <w:tc>
          <w:tcPr>
            <w:tcW w:w="1888" w:type="dxa"/>
            <w:vAlign w:val="center"/>
          </w:tcPr>
          <w:p w14:paraId="2513A478" w14:textId="575A1C85" w:rsidR="000C6BF3" w:rsidRPr="0047019D" w:rsidRDefault="00617D55" w:rsidP="00E15858">
            <w:pPr>
              <w:spacing w:after="40"/>
              <w:jc w:val="center"/>
              <w:cnfStyle w:val="000000100000" w:firstRow="0" w:lastRow="0" w:firstColumn="0" w:lastColumn="0" w:oddVBand="0" w:evenVBand="0" w:oddHBand="1" w:evenHBand="0" w:firstRowFirstColumn="0" w:firstRowLastColumn="0" w:lastRowFirstColumn="0" w:lastRowLastColumn="0"/>
              <w:rPr>
                <w:lang w:eastAsia="zh-CN" w:bidi="th-TH"/>
              </w:rPr>
            </w:pPr>
            <w:r w:rsidRPr="0047019D">
              <w:rPr>
                <w:lang w:eastAsia="zh-CN" w:bidi="th-TH"/>
              </w:rPr>
              <w:t>168.7M</w:t>
            </w:r>
          </w:p>
        </w:tc>
        <w:tc>
          <w:tcPr>
            <w:tcW w:w="1888" w:type="dxa"/>
            <w:vAlign w:val="center"/>
          </w:tcPr>
          <w:p w14:paraId="7D9955E0" w14:textId="3039C4D0" w:rsidR="000C6BF3" w:rsidRPr="0047019D" w:rsidRDefault="00617D55" w:rsidP="00E15858">
            <w:pPr>
              <w:spacing w:after="40"/>
              <w:jc w:val="center"/>
              <w:cnfStyle w:val="000000100000" w:firstRow="0" w:lastRow="0" w:firstColumn="0" w:lastColumn="0" w:oddVBand="0" w:evenVBand="0" w:oddHBand="1" w:evenHBand="0" w:firstRowFirstColumn="0" w:firstRowLastColumn="0" w:lastRowFirstColumn="0" w:lastRowLastColumn="0"/>
              <w:rPr>
                <w:lang w:eastAsia="zh-CN" w:bidi="th-TH"/>
              </w:rPr>
            </w:pPr>
            <w:r w:rsidRPr="0047019D">
              <w:rPr>
                <w:b/>
                <w:bCs/>
                <w:lang w:eastAsia="zh-CN" w:bidi="th-TH"/>
              </w:rPr>
              <w:t>171.5M</w:t>
            </w:r>
          </w:p>
        </w:tc>
        <w:tc>
          <w:tcPr>
            <w:tcW w:w="1889" w:type="dxa"/>
            <w:vAlign w:val="center"/>
          </w:tcPr>
          <w:p w14:paraId="7E805ABF" w14:textId="2024DDD9" w:rsidR="000C6BF3" w:rsidRPr="0047019D" w:rsidRDefault="00617D55" w:rsidP="00E15858">
            <w:pPr>
              <w:spacing w:after="40"/>
              <w:jc w:val="center"/>
              <w:cnfStyle w:val="000000100000" w:firstRow="0" w:lastRow="0" w:firstColumn="0" w:lastColumn="0" w:oddVBand="0" w:evenVBand="0" w:oddHBand="1" w:evenHBand="0" w:firstRowFirstColumn="0" w:firstRowLastColumn="0" w:lastRowFirstColumn="0" w:lastRowLastColumn="0"/>
              <w:rPr>
                <w:lang w:eastAsia="zh-CN" w:bidi="th-TH"/>
              </w:rPr>
            </w:pPr>
            <w:r w:rsidRPr="0047019D">
              <w:rPr>
                <w:lang w:eastAsia="zh-CN" w:bidi="th-TH"/>
              </w:rPr>
              <w:t>35.9M</w:t>
            </w:r>
          </w:p>
        </w:tc>
      </w:tr>
      <w:tr w:rsidR="000C6BF3" w:rsidRPr="00C15249" w14:paraId="61D7750F" w14:textId="77777777" w:rsidTr="00243BEE">
        <w:tc>
          <w:tcPr>
            <w:cnfStyle w:val="001000000000" w:firstRow="0" w:lastRow="0" w:firstColumn="1" w:lastColumn="0" w:oddVBand="0" w:evenVBand="0" w:oddHBand="0" w:evenHBand="0" w:firstRowFirstColumn="0" w:firstRowLastColumn="0" w:lastRowFirstColumn="0" w:lastRowLastColumn="0"/>
            <w:tcW w:w="3402" w:type="dxa"/>
            <w:vAlign w:val="center"/>
          </w:tcPr>
          <w:p w14:paraId="5DACC1C5" w14:textId="3FC0B941" w:rsidR="000C6BF3" w:rsidRPr="00E15858" w:rsidRDefault="000C6BF3" w:rsidP="00E15858">
            <w:pPr>
              <w:spacing w:after="40"/>
              <w:rPr>
                <w:b w:val="0"/>
                <w:bCs w:val="0"/>
              </w:rPr>
            </w:pPr>
            <w:r w:rsidRPr="0047019D">
              <w:rPr>
                <w:caps w:val="0"/>
              </w:rPr>
              <w:t>South Australia</w:t>
            </w:r>
          </w:p>
        </w:tc>
        <w:tc>
          <w:tcPr>
            <w:tcW w:w="1888" w:type="dxa"/>
            <w:vAlign w:val="center"/>
          </w:tcPr>
          <w:p w14:paraId="47929847" w14:textId="227A6461" w:rsidR="000C6BF3" w:rsidRPr="0047019D" w:rsidRDefault="0003799F" w:rsidP="00E15858">
            <w:pPr>
              <w:spacing w:after="40"/>
              <w:jc w:val="center"/>
              <w:cnfStyle w:val="000000000000" w:firstRow="0" w:lastRow="0" w:firstColumn="0" w:lastColumn="0" w:oddVBand="0" w:evenVBand="0" w:oddHBand="0" w:evenHBand="0" w:firstRowFirstColumn="0" w:firstRowLastColumn="0" w:lastRowFirstColumn="0" w:lastRowLastColumn="0"/>
              <w:rPr>
                <w:lang w:eastAsia="zh-CN" w:bidi="th-TH"/>
              </w:rPr>
            </w:pPr>
            <w:r w:rsidRPr="0047019D">
              <w:rPr>
                <w:lang w:eastAsia="zh-CN" w:bidi="th-TH"/>
              </w:rPr>
              <w:t>49.3M</w:t>
            </w:r>
          </w:p>
        </w:tc>
        <w:tc>
          <w:tcPr>
            <w:tcW w:w="1888" w:type="dxa"/>
            <w:vAlign w:val="center"/>
          </w:tcPr>
          <w:p w14:paraId="5DE8C358" w14:textId="19F046B3" w:rsidR="000C6BF3" w:rsidRPr="0047019D" w:rsidRDefault="0003799F" w:rsidP="00E15858">
            <w:pPr>
              <w:spacing w:after="40"/>
              <w:jc w:val="center"/>
              <w:cnfStyle w:val="000000000000" w:firstRow="0" w:lastRow="0" w:firstColumn="0" w:lastColumn="0" w:oddVBand="0" w:evenVBand="0" w:oddHBand="0" w:evenHBand="0" w:firstRowFirstColumn="0" w:firstRowLastColumn="0" w:lastRowFirstColumn="0" w:lastRowLastColumn="0"/>
              <w:rPr>
                <w:lang w:eastAsia="zh-CN" w:bidi="th-TH"/>
              </w:rPr>
            </w:pPr>
            <w:r w:rsidRPr="0047019D">
              <w:rPr>
                <w:b/>
                <w:bCs/>
                <w:lang w:eastAsia="zh-CN" w:bidi="th-TH"/>
              </w:rPr>
              <w:t>50.4M</w:t>
            </w:r>
          </w:p>
        </w:tc>
        <w:tc>
          <w:tcPr>
            <w:tcW w:w="1889" w:type="dxa"/>
            <w:vAlign w:val="center"/>
          </w:tcPr>
          <w:p w14:paraId="459AE1DB" w14:textId="0194C74C" w:rsidR="000C6BF3" w:rsidRPr="0047019D" w:rsidRDefault="0003799F" w:rsidP="00E15858">
            <w:pPr>
              <w:spacing w:after="40"/>
              <w:jc w:val="center"/>
              <w:cnfStyle w:val="000000000000" w:firstRow="0" w:lastRow="0" w:firstColumn="0" w:lastColumn="0" w:oddVBand="0" w:evenVBand="0" w:oddHBand="0" w:evenHBand="0" w:firstRowFirstColumn="0" w:firstRowLastColumn="0" w:lastRowFirstColumn="0" w:lastRowLastColumn="0"/>
              <w:rPr>
                <w:lang w:eastAsia="zh-CN" w:bidi="th-TH"/>
              </w:rPr>
            </w:pPr>
            <w:r w:rsidRPr="0047019D">
              <w:rPr>
                <w:lang w:eastAsia="zh-CN" w:bidi="th-TH"/>
              </w:rPr>
              <w:t>16.8M</w:t>
            </w:r>
          </w:p>
        </w:tc>
      </w:tr>
      <w:tr w:rsidR="000C6BF3" w:rsidRPr="00C15249" w14:paraId="4948AE9F" w14:textId="77777777" w:rsidTr="00243B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21B2ACDF" w14:textId="5F7FF98C" w:rsidR="00243BEE" w:rsidRPr="00E15858" w:rsidRDefault="000C6BF3" w:rsidP="00E15858">
            <w:pPr>
              <w:spacing w:after="40"/>
              <w:rPr>
                <w:b w:val="0"/>
                <w:bCs w:val="0"/>
              </w:rPr>
            </w:pPr>
            <w:r w:rsidRPr="0047019D">
              <w:rPr>
                <w:caps w:val="0"/>
              </w:rPr>
              <w:t>Australian Capital Territory</w:t>
            </w:r>
          </w:p>
        </w:tc>
        <w:tc>
          <w:tcPr>
            <w:tcW w:w="1888" w:type="dxa"/>
            <w:vAlign w:val="center"/>
          </w:tcPr>
          <w:p w14:paraId="5E9EBA7B" w14:textId="46AE71FC" w:rsidR="000C6BF3" w:rsidRPr="0047019D" w:rsidRDefault="0003799F" w:rsidP="00E15858">
            <w:pPr>
              <w:spacing w:after="40"/>
              <w:jc w:val="center"/>
              <w:cnfStyle w:val="000000100000" w:firstRow="0" w:lastRow="0" w:firstColumn="0" w:lastColumn="0" w:oddVBand="0" w:evenVBand="0" w:oddHBand="1" w:evenHBand="0" w:firstRowFirstColumn="0" w:firstRowLastColumn="0" w:lastRowFirstColumn="0" w:lastRowLastColumn="0"/>
              <w:rPr>
                <w:lang w:eastAsia="zh-CN" w:bidi="th-TH"/>
              </w:rPr>
            </w:pPr>
            <w:r w:rsidRPr="0047019D">
              <w:rPr>
                <w:lang w:eastAsia="zh-CN" w:bidi="th-TH"/>
              </w:rPr>
              <w:t>1.2M</w:t>
            </w:r>
          </w:p>
        </w:tc>
        <w:tc>
          <w:tcPr>
            <w:tcW w:w="1888" w:type="dxa"/>
            <w:vAlign w:val="center"/>
          </w:tcPr>
          <w:p w14:paraId="0A64E7DD" w14:textId="31894D5C" w:rsidR="000C6BF3" w:rsidRPr="0047019D" w:rsidRDefault="0003799F" w:rsidP="00E15858">
            <w:pPr>
              <w:spacing w:after="40"/>
              <w:jc w:val="center"/>
              <w:cnfStyle w:val="000000100000" w:firstRow="0" w:lastRow="0" w:firstColumn="0" w:lastColumn="0" w:oddVBand="0" w:evenVBand="0" w:oddHBand="1" w:evenHBand="0" w:firstRowFirstColumn="0" w:firstRowLastColumn="0" w:lastRowFirstColumn="0" w:lastRowLastColumn="0"/>
              <w:rPr>
                <w:lang w:eastAsia="zh-CN" w:bidi="th-TH"/>
              </w:rPr>
            </w:pPr>
            <w:r w:rsidRPr="0047019D">
              <w:rPr>
                <w:lang w:eastAsia="zh-CN" w:bidi="th-TH"/>
              </w:rPr>
              <w:t>1.6</w:t>
            </w:r>
            <w:r w:rsidR="000C6BF3" w:rsidRPr="0047019D">
              <w:rPr>
                <w:lang w:eastAsia="zh-CN" w:bidi="th-TH"/>
              </w:rPr>
              <w:t>M</w:t>
            </w:r>
          </w:p>
        </w:tc>
        <w:tc>
          <w:tcPr>
            <w:tcW w:w="1889" w:type="dxa"/>
            <w:vAlign w:val="center"/>
          </w:tcPr>
          <w:p w14:paraId="5C1FC155" w14:textId="1C23F8F5" w:rsidR="000C6BF3" w:rsidRPr="0047019D" w:rsidRDefault="000C6BF3" w:rsidP="00E15858">
            <w:pPr>
              <w:spacing w:after="40"/>
              <w:jc w:val="center"/>
              <w:cnfStyle w:val="000000100000" w:firstRow="0" w:lastRow="0" w:firstColumn="0" w:lastColumn="0" w:oddVBand="0" w:evenVBand="0" w:oddHBand="1" w:evenHBand="0" w:firstRowFirstColumn="0" w:firstRowLastColumn="0" w:lastRowFirstColumn="0" w:lastRowLastColumn="0"/>
              <w:rPr>
                <w:b/>
                <w:bCs/>
                <w:lang w:eastAsia="zh-CN" w:bidi="th-TH"/>
              </w:rPr>
            </w:pPr>
            <w:r w:rsidRPr="0047019D">
              <w:rPr>
                <w:b/>
                <w:bCs/>
                <w:lang w:eastAsia="zh-CN" w:bidi="th-TH"/>
              </w:rPr>
              <w:t>2.</w:t>
            </w:r>
            <w:r w:rsidR="0003799F" w:rsidRPr="0047019D">
              <w:rPr>
                <w:b/>
                <w:bCs/>
                <w:lang w:eastAsia="zh-CN" w:bidi="th-TH"/>
              </w:rPr>
              <w:t>0</w:t>
            </w:r>
            <w:r w:rsidRPr="0047019D">
              <w:rPr>
                <w:b/>
                <w:bCs/>
                <w:lang w:eastAsia="zh-CN" w:bidi="th-TH"/>
              </w:rPr>
              <w:t>M</w:t>
            </w:r>
          </w:p>
        </w:tc>
      </w:tr>
      <w:tr w:rsidR="000C6BF3" w:rsidRPr="00C15249" w14:paraId="3309EA95" w14:textId="77777777" w:rsidTr="00243BEE">
        <w:tc>
          <w:tcPr>
            <w:cnfStyle w:val="001000000000" w:firstRow="0" w:lastRow="0" w:firstColumn="1" w:lastColumn="0" w:oddVBand="0" w:evenVBand="0" w:oddHBand="0" w:evenHBand="0" w:firstRowFirstColumn="0" w:firstRowLastColumn="0" w:lastRowFirstColumn="0" w:lastRowLastColumn="0"/>
            <w:tcW w:w="3402" w:type="dxa"/>
            <w:vAlign w:val="center"/>
          </w:tcPr>
          <w:p w14:paraId="702C5FC6" w14:textId="7688EFA7" w:rsidR="000C6BF3" w:rsidRPr="0047019D" w:rsidRDefault="000C6BF3" w:rsidP="00E15858">
            <w:pPr>
              <w:spacing w:after="40"/>
              <w:rPr>
                <w:b w:val="0"/>
                <w:bCs w:val="0"/>
              </w:rPr>
            </w:pPr>
            <w:r w:rsidRPr="0047019D">
              <w:rPr>
                <w:caps w:val="0"/>
              </w:rPr>
              <w:t>Western Australia</w:t>
            </w:r>
          </w:p>
        </w:tc>
        <w:tc>
          <w:tcPr>
            <w:tcW w:w="1888" w:type="dxa"/>
            <w:vAlign w:val="center"/>
          </w:tcPr>
          <w:p w14:paraId="71633067" w14:textId="72E32B49" w:rsidR="000C6BF3" w:rsidRPr="0047019D" w:rsidRDefault="0003799F" w:rsidP="00E15858">
            <w:pPr>
              <w:spacing w:after="40"/>
              <w:jc w:val="center"/>
              <w:cnfStyle w:val="000000000000" w:firstRow="0" w:lastRow="0" w:firstColumn="0" w:lastColumn="0" w:oddVBand="0" w:evenVBand="0" w:oddHBand="0" w:evenHBand="0" w:firstRowFirstColumn="0" w:firstRowLastColumn="0" w:lastRowFirstColumn="0" w:lastRowLastColumn="0"/>
              <w:rPr>
                <w:lang w:eastAsia="zh-CN" w:bidi="th-TH"/>
              </w:rPr>
            </w:pPr>
            <w:r w:rsidRPr="0047019D">
              <w:rPr>
                <w:lang w:eastAsia="zh-CN" w:bidi="th-TH"/>
              </w:rPr>
              <w:t>16.8M</w:t>
            </w:r>
          </w:p>
        </w:tc>
        <w:tc>
          <w:tcPr>
            <w:tcW w:w="1888" w:type="dxa"/>
            <w:vAlign w:val="center"/>
          </w:tcPr>
          <w:p w14:paraId="0544DAD4" w14:textId="238517A1" w:rsidR="000C6BF3" w:rsidRPr="0047019D" w:rsidRDefault="0003799F" w:rsidP="00E15858">
            <w:pPr>
              <w:spacing w:after="40"/>
              <w:jc w:val="center"/>
              <w:cnfStyle w:val="000000000000" w:firstRow="0" w:lastRow="0" w:firstColumn="0" w:lastColumn="0" w:oddVBand="0" w:evenVBand="0" w:oddHBand="0" w:evenHBand="0" w:firstRowFirstColumn="0" w:firstRowLastColumn="0" w:lastRowFirstColumn="0" w:lastRowLastColumn="0"/>
              <w:rPr>
                <w:lang w:eastAsia="zh-CN" w:bidi="th-TH"/>
              </w:rPr>
            </w:pPr>
            <w:r w:rsidRPr="0047019D">
              <w:rPr>
                <w:b/>
                <w:bCs/>
                <w:lang w:eastAsia="zh-CN" w:bidi="th-TH"/>
              </w:rPr>
              <w:t>173.6M</w:t>
            </w:r>
          </w:p>
        </w:tc>
        <w:tc>
          <w:tcPr>
            <w:tcW w:w="1889" w:type="dxa"/>
            <w:vAlign w:val="center"/>
          </w:tcPr>
          <w:p w14:paraId="3D8BB0C9" w14:textId="7FAAC88E" w:rsidR="000C6BF3" w:rsidRPr="0047019D" w:rsidRDefault="000C6BF3" w:rsidP="00E15858">
            <w:pPr>
              <w:spacing w:after="40"/>
              <w:jc w:val="center"/>
              <w:cnfStyle w:val="000000000000" w:firstRow="0" w:lastRow="0" w:firstColumn="0" w:lastColumn="0" w:oddVBand="0" w:evenVBand="0" w:oddHBand="0" w:evenHBand="0" w:firstRowFirstColumn="0" w:firstRowLastColumn="0" w:lastRowFirstColumn="0" w:lastRowLastColumn="0"/>
              <w:rPr>
                <w:lang w:eastAsia="zh-CN" w:bidi="th-TH"/>
              </w:rPr>
            </w:pPr>
            <w:r w:rsidRPr="0047019D">
              <w:rPr>
                <w:lang w:eastAsia="zh-CN" w:bidi="th-TH"/>
              </w:rPr>
              <w:t>16.</w:t>
            </w:r>
            <w:r w:rsidR="0003799F" w:rsidRPr="0047019D">
              <w:rPr>
                <w:lang w:eastAsia="zh-CN" w:bidi="th-TH"/>
              </w:rPr>
              <w:t>8</w:t>
            </w:r>
            <w:r w:rsidRPr="0047019D">
              <w:rPr>
                <w:lang w:eastAsia="zh-CN" w:bidi="th-TH"/>
              </w:rPr>
              <w:t>M</w:t>
            </w:r>
          </w:p>
        </w:tc>
      </w:tr>
      <w:tr w:rsidR="000C6BF3" w:rsidRPr="00C15249" w14:paraId="0E26C949" w14:textId="77777777" w:rsidTr="00243B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29FE5118" w14:textId="17BA1206" w:rsidR="000C6BF3" w:rsidRPr="00E15858" w:rsidRDefault="000C6BF3" w:rsidP="00E15858">
            <w:pPr>
              <w:spacing w:after="40"/>
              <w:rPr>
                <w:b w:val="0"/>
                <w:bCs w:val="0"/>
              </w:rPr>
            </w:pPr>
            <w:r w:rsidRPr="0047019D">
              <w:rPr>
                <w:caps w:val="0"/>
              </w:rPr>
              <w:t>Tasmania</w:t>
            </w:r>
          </w:p>
        </w:tc>
        <w:tc>
          <w:tcPr>
            <w:tcW w:w="1888" w:type="dxa"/>
            <w:vAlign w:val="center"/>
          </w:tcPr>
          <w:p w14:paraId="1C79DC90" w14:textId="262CFA0F" w:rsidR="000C6BF3" w:rsidRPr="0047019D" w:rsidRDefault="0003799F" w:rsidP="00E15858">
            <w:pPr>
              <w:spacing w:after="40"/>
              <w:jc w:val="center"/>
              <w:cnfStyle w:val="000000100000" w:firstRow="0" w:lastRow="0" w:firstColumn="0" w:lastColumn="0" w:oddVBand="0" w:evenVBand="0" w:oddHBand="1" w:evenHBand="0" w:firstRowFirstColumn="0" w:firstRowLastColumn="0" w:lastRowFirstColumn="0" w:lastRowLastColumn="0"/>
              <w:rPr>
                <w:lang w:eastAsia="zh-CN" w:bidi="th-TH"/>
              </w:rPr>
            </w:pPr>
            <w:r w:rsidRPr="0047019D">
              <w:rPr>
                <w:lang w:eastAsia="zh-CN" w:bidi="th-TH"/>
              </w:rPr>
              <w:t>3.4M</w:t>
            </w:r>
          </w:p>
        </w:tc>
        <w:tc>
          <w:tcPr>
            <w:tcW w:w="1888" w:type="dxa"/>
            <w:vAlign w:val="center"/>
          </w:tcPr>
          <w:p w14:paraId="0A0F47CC" w14:textId="30610A9B" w:rsidR="000C6BF3" w:rsidRPr="0047019D" w:rsidRDefault="0003799F" w:rsidP="00E15858">
            <w:pPr>
              <w:spacing w:after="40"/>
              <w:jc w:val="center"/>
              <w:cnfStyle w:val="000000100000" w:firstRow="0" w:lastRow="0" w:firstColumn="0" w:lastColumn="0" w:oddVBand="0" w:evenVBand="0" w:oddHBand="1" w:evenHBand="0" w:firstRowFirstColumn="0" w:firstRowLastColumn="0" w:lastRowFirstColumn="0" w:lastRowLastColumn="0"/>
              <w:rPr>
                <w:lang w:eastAsia="zh-CN" w:bidi="th-TH"/>
              </w:rPr>
            </w:pPr>
            <w:r w:rsidRPr="0047019D">
              <w:rPr>
                <w:b/>
                <w:bCs/>
                <w:lang w:eastAsia="zh-CN" w:bidi="th-TH"/>
              </w:rPr>
              <w:t>31.7M</w:t>
            </w:r>
          </w:p>
        </w:tc>
        <w:tc>
          <w:tcPr>
            <w:tcW w:w="1889" w:type="dxa"/>
            <w:vAlign w:val="center"/>
          </w:tcPr>
          <w:p w14:paraId="07421B87" w14:textId="5DAE4FC6" w:rsidR="000C6BF3" w:rsidRPr="0047019D" w:rsidRDefault="000C6BF3" w:rsidP="00E15858">
            <w:pPr>
              <w:spacing w:after="40"/>
              <w:jc w:val="center"/>
              <w:cnfStyle w:val="000000100000" w:firstRow="0" w:lastRow="0" w:firstColumn="0" w:lastColumn="0" w:oddVBand="0" w:evenVBand="0" w:oddHBand="1" w:evenHBand="0" w:firstRowFirstColumn="0" w:firstRowLastColumn="0" w:lastRowFirstColumn="0" w:lastRowLastColumn="0"/>
              <w:rPr>
                <w:lang w:eastAsia="zh-CN" w:bidi="th-TH"/>
              </w:rPr>
            </w:pPr>
            <w:r w:rsidRPr="0047019D">
              <w:rPr>
                <w:lang w:eastAsia="zh-CN" w:bidi="th-TH"/>
              </w:rPr>
              <w:t>3.</w:t>
            </w:r>
            <w:r w:rsidR="0003799F" w:rsidRPr="0047019D">
              <w:rPr>
                <w:lang w:eastAsia="zh-CN" w:bidi="th-TH"/>
              </w:rPr>
              <w:t>4</w:t>
            </w:r>
            <w:r w:rsidRPr="0047019D">
              <w:rPr>
                <w:lang w:eastAsia="zh-CN" w:bidi="th-TH"/>
              </w:rPr>
              <w:t>M</w:t>
            </w:r>
          </w:p>
        </w:tc>
      </w:tr>
      <w:tr w:rsidR="000C6BF3" w:rsidRPr="00C15249" w14:paraId="14A180C5" w14:textId="77777777" w:rsidTr="00243BEE">
        <w:tc>
          <w:tcPr>
            <w:cnfStyle w:val="001000000000" w:firstRow="0" w:lastRow="0" w:firstColumn="1" w:lastColumn="0" w:oddVBand="0" w:evenVBand="0" w:oddHBand="0" w:evenHBand="0" w:firstRowFirstColumn="0" w:firstRowLastColumn="0" w:lastRowFirstColumn="0" w:lastRowLastColumn="0"/>
            <w:tcW w:w="3402" w:type="dxa"/>
            <w:vAlign w:val="center"/>
          </w:tcPr>
          <w:p w14:paraId="2C947C23" w14:textId="05090938" w:rsidR="000C6BF3" w:rsidRPr="00E15858" w:rsidRDefault="000C6BF3" w:rsidP="00E15858">
            <w:pPr>
              <w:spacing w:after="40"/>
              <w:rPr>
                <w:b w:val="0"/>
                <w:bCs w:val="0"/>
              </w:rPr>
            </w:pPr>
            <w:r w:rsidRPr="0047019D">
              <w:rPr>
                <w:caps w:val="0"/>
              </w:rPr>
              <w:t>Northern Territory</w:t>
            </w:r>
          </w:p>
        </w:tc>
        <w:tc>
          <w:tcPr>
            <w:tcW w:w="1888" w:type="dxa"/>
            <w:vAlign w:val="center"/>
          </w:tcPr>
          <w:p w14:paraId="576B0708" w14:textId="1DE356F2" w:rsidR="000C6BF3" w:rsidRPr="0047019D" w:rsidRDefault="0046563F" w:rsidP="00E15858">
            <w:pPr>
              <w:spacing w:after="40"/>
              <w:jc w:val="center"/>
              <w:cnfStyle w:val="000000000000" w:firstRow="0" w:lastRow="0" w:firstColumn="0" w:lastColumn="0" w:oddVBand="0" w:evenVBand="0" w:oddHBand="0" w:evenHBand="0" w:firstRowFirstColumn="0" w:firstRowLastColumn="0" w:lastRowFirstColumn="0" w:lastRowLastColumn="0"/>
              <w:rPr>
                <w:lang w:eastAsia="zh-CN" w:bidi="th-TH"/>
              </w:rPr>
            </w:pPr>
            <w:r w:rsidRPr="0047019D">
              <w:rPr>
                <w:lang w:eastAsia="zh-CN" w:bidi="th-TH"/>
              </w:rPr>
              <w:t>1.4M</w:t>
            </w:r>
          </w:p>
        </w:tc>
        <w:tc>
          <w:tcPr>
            <w:tcW w:w="1888" w:type="dxa"/>
            <w:vAlign w:val="center"/>
          </w:tcPr>
          <w:p w14:paraId="3FF9ABB7" w14:textId="0D3541FF" w:rsidR="000C6BF3" w:rsidRPr="0047019D" w:rsidRDefault="0046563F" w:rsidP="00E15858">
            <w:pPr>
              <w:spacing w:after="40"/>
              <w:jc w:val="center"/>
              <w:cnfStyle w:val="000000000000" w:firstRow="0" w:lastRow="0" w:firstColumn="0" w:lastColumn="0" w:oddVBand="0" w:evenVBand="0" w:oddHBand="0" w:evenHBand="0" w:firstRowFirstColumn="0" w:firstRowLastColumn="0" w:lastRowFirstColumn="0" w:lastRowLastColumn="0"/>
              <w:rPr>
                <w:lang w:eastAsia="zh-CN" w:bidi="th-TH"/>
              </w:rPr>
            </w:pPr>
            <w:r w:rsidRPr="0047019D">
              <w:rPr>
                <w:b/>
                <w:bCs/>
                <w:lang w:eastAsia="zh-CN" w:bidi="th-TH"/>
              </w:rPr>
              <w:t>10.3M</w:t>
            </w:r>
          </w:p>
        </w:tc>
        <w:tc>
          <w:tcPr>
            <w:tcW w:w="1889" w:type="dxa"/>
            <w:vAlign w:val="center"/>
          </w:tcPr>
          <w:p w14:paraId="683D598E" w14:textId="77777777" w:rsidR="000C6BF3" w:rsidRPr="0047019D" w:rsidRDefault="000C6BF3" w:rsidP="00E15858">
            <w:pPr>
              <w:spacing w:after="40"/>
              <w:jc w:val="center"/>
              <w:cnfStyle w:val="000000000000" w:firstRow="0" w:lastRow="0" w:firstColumn="0" w:lastColumn="0" w:oddVBand="0" w:evenVBand="0" w:oddHBand="0" w:evenHBand="0" w:firstRowFirstColumn="0" w:firstRowLastColumn="0" w:lastRowFirstColumn="0" w:lastRowLastColumn="0"/>
              <w:rPr>
                <w:lang w:eastAsia="zh-CN" w:bidi="th-TH"/>
              </w:rPr>
            </w:pPr>
            <w:r w:rsidRPr="0047019D">
              <w:rPr>
                <w:lang w:eastAsia="zh-CN" w:bidi="th-TH"/>
              </w:rPr>
              <w:t>1.4M</w:t>
            </w:r>
          </w:p>
        </w:tc>
      </w:tr>
      <w:tr w:rsidR="000C6BF3" w:rsidRPr="00C15249" w14:paraId="1BA0BE35" w14:textId="77777777" w:rsidTr="00243B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2B51165E" w14:textId="7BA0CF3A" w:rsidR="000C6BF3" w:rsidRPr="0047019D" w:rsidRDefault="000C6BF3" w:rsidP="00E15858">
            <w:pPr>
              <w:spacing w:after="40"/>
              <w:rPr>
                <w:b w:val="0"/>
                <w:bCs w:val="0"/>
              </w:rPr>
            </w:pPr>
            <w:r w:rsidRPr="0047019D">
              <w:rPr>
                <w:caps w:val="0"/>
              </w:rPr>
              <w:t>Australia</w:t>
            </w:r>
          </w:p>
        </w:tc>
        <w:tc>
          <w:tcPr>
            <w:tcW w:w="1888" w:type="dxa"/>
            <w:vAlign w:val="center"/>
          </w:tcPr>
          <w:p w14:paraId="60D3EFB6" w14:textId="43DB5418" w:rsidR="000C6BF3" w:rsidRPr="0047019D" w:rsidRDefault="0046563F" w:rsidP="00E15858">
            <w:pPr>
              <w:spacing w:after="40"/>
              <w:jc w:val="center"/>
              <w:cnfStyle w:val="000000100000" w:firstRow="0" w:lastRow="0" w:firstColumn="0" w:lastColumn="0" w:oddVBand="0" w:evenVBand="0" w:oddHBand="1" w:evenHBand="0" w:firstRowFirstColumn="0" w:firstRowLastColumn="0" w:lastRowFirstColumn="0" w:lastRowLastColumn="0"/>
              <w:rPr>
                <w:lang w:eastAsia="zh-CN" w:bidi="th-TH"/>
              </w:rPr>
            </w:pPr>
            <w:r w:rsidRPr="0047019D">
              <w:rPr>
                <w:lang w:eastAsia="zh-CN" w:bidi="th-TH"/>
              </w:rPr>
              <w:t>568.4M</w:t>
            </w:r>
          </w:p>
        </w:tc>
        <w:tc>
          <w:tcPr>
            <w:tcW w:w="1888" w:type="dxa"/>
            <w:vAlign w:val="center"/>
          </w:tcPr>
          <w:p w14:paraId="3D9FF19C" w14:textId="0B7DACCA" w:rsidR="000C6BF3" w:rsidRPr="0047019D" w:rsidRDefault="0046563F" w:rsidP="00E15858">
            <w:pPr>
              <w:spacing w:after="40"/>
              <w:jc w:val="center"/>
              <w:cnfStyle w:val="000000100000" w:firstRow="0" w:lastRow="0" w:firstColumn="0" w:lastColumn="0" w:oddVBand="0" w:evenVBand="0" w:oddHBand="1" w:evenHBand="0" w:firstRowFirstColumn="0" w:firstRowLastColumn="0" w:lastRowFirstColumn="0" w:lastRowLastColumn="0"/>
              <w:rPr>
                <w:lang w:eastAsia="zh-CN" w:bidi="th-TH"/>
              </w:rPr>
            </w:pPr>
            <w:r w:rsidRPr="0047019D">
              <w:rPr>
                <w:b/>
                <w:bCs/>
                <w:lang w:eastAsia="zh-CN" w:bidi="th-TH"/>
              </w:rPr>
              <w:t>775.4M</w:t>
            </w:r>
          </w:p>
        </w:tc>
        <w:tc>
          <w:tcPr>
            <w:tcW w:w="1889" w:type="dxa"/>
            <w:vAlign w:val="center"/>
          </w:tcPr>
          <w:p w14:paraId="3C04B501" w14:textId="529F0AB7" w:rsidR="000C6BF3" w:rsidRPr="0047019D" w:rsidRDefault="0046563F" w:rsidP="00E15858">
            <w:pPr>
              <w:spacing w:after="40"/>
              <w:jc w:val="center"/>
              <w:cnfStyle w:val="000000100000" w:firstRow="0" w:lastRow="0" w:firstColumn="0" w:lastColumn="0" w:oddVBand="0" w:evenVBand="0" w:oddHBand="1" w:evenHBand="0" w:firstRowFirstColumn="0" w:firstRowLastColumn="0" w:lastRowFirstColumn="0" w:lastRowLastColumn="0"/>
              <w:rPr>
                <w:lang w:eastAsia="zh-CN" w:bidi="th-TH"/>
              </w:rPr>
            </w:pPr>
            <w:r w:rsidRPr="0047019D">
              <w:rPr>
                <w:lang w:eastAsia="zh-CN" w:bidi="th-TH"/>
              </w:rPr>
              <w:t>158.7M</w:t>
            </w:r>
          </w:p>
        </w:tc>
      </w:tr>
      <w:tr w:rsidR="000C6BF3" w:rsidRPr="00C15249" w14:paraId="2F7E9E67" w14:textId="77777777" w:rsidTr="00243BEE">
        <w:tc>
          <w:tcPr>
            <w:cnfStyle w:val="001000000000" w:firstRow="0" w:lastRow="0" w:firstColumn="1" w:lastColumn="0" w:oddVBand="0" w:evenVBand="0" w:oddHBand="0" w:evenHBand="0" w:firstRowFirstColumn="0" w:firstRowLastColumn="0" w:lastRowFirstColumn="0" w:lastRowLastColumn="0"/>
            <w:tcW w:w="3402" w:type="dxa"/>
            <w:vAlign w:val="center"/>
          </w:tcPr>
          <w:p w14:paraId="247B1714" w14:textId="0DACDA6B" w:rsidR="000C6BF3" w:rsidRPr="0047019D" w:rsidRDefault="000C6BF3" w:rsidP="00E15858">
            <w:pPr>
              <w:spacing w:after="40"/>
              <w:rPr>
                <w:b w:val="0"/>
                <w:bCs w:val="0"/>
              </w:rPr>
            </w:pPr>
            <w:r w:rsidRPr="0047019D">
              <w:rPr>
                <w:caps w:val="0"/>
              </w:rPr>
              <w:t>New Zealand</w:t>
            </w:r>
          </w:p>
        </w:tc>
        <w:tc>
          <w:tcPr>
            <w:tcW w:w="1888" w:type="dxa"/>
            <w:vAlign w:val="center"/>
          </w:tcPr>
          <w:p w14:paraId="21311982" w14:textId="2FA41C49" w:rsidR="000C6BF3" w:rsidRPr="0047019D" w:rsidRDefault="0046563F" w:rsidP="00E15858">
            <w:pPr>
              <w:spacing w:after="40"/>
              <w:jc w:val="center"/>
              <w:cnfStyle w:val="000000000000" w:firstRow="0" w:lastRow="0" w:firstColumn="0" w:lastColumn="0" w:oddVBand="0" w:evenVBand="0" w:oddHBand="0" w:evenHBand="0" w:firstRowFirstColumn="0" w:firstRowLastColumn="0" w:lastRowFirstColumn="0" w:lastRowLastColumn="0"/>
              <w:rPr>
                <w:lang w:eastAsia="zh-CN" w:bidi="th-TH"/>
              </w:rPr>
            </w:pPr>
            <w:r w:rsidRPr="0047019D">
              <w:rPr>
                <w:lang w:eastAsia="zh-CN" w:bidi="th-TH"/>
              </w:rPr>
              <w:t>25.8M</w:t>
            </w:r>
          </w:p>
        </w:tc>
        <w:tc>
          <w:tcPr>
            <w:tcW w:w="1888" w:type="dxa"/>
            <w:vAlign w:val="center"/>
          </w:tcPr>
          <w:p w14:paraId="73AC5AE4" w14:textId="2EC29504" w:rsidR="000C6BF3" w:rsidRPr="0047019D" w:rsidRDefault="0046563F" w:rsidP="00E15858">
            <w:pPr>
              <w:spacing w:after="40"/>
              <w:jc w:val="center"/>
              <w:cnfStyle w:val="000000000000" w:firstRow="0" w:lastRow="0" w:firstColumn="0" w:lastColumn="0" w:oddVBand="0" w:evenVBand="0" w:oddHBand="0" w:evenHBand="0" w:firstRowFirstColumn="0" w:firstRowLastColumn="0" w:lastRowFirstColumn="0" w:lastRowLastColumn="0"/>
              <w:rPr>
                <w:lang w:eastAsia="zh-CN" w:bidi="th-TH"/>
              </w:rPr>
            </w:pPr>
            <w:r w:rsidRPr="0047019D">
              <w:rPr>
                <w:b/>
                <w:bCs/>
                <w:lang w:eastAsia="zh-CN" w:bidi="th-TH"/>
              </w:rPr>
              <w:t>311.5M</w:t>
            </w:r>
          </w:p>
        </w:tc>
        <w:tc>
          <w:tcPr>
            <w:tcW w:w="1889" w:type="dxa"/>
            <w:vAlign w:val="center"/>
          </w:tcPr>
          <w:p w14:paraId="3627CA09" w14:textId="4905A4A5" w:rsidR="000C6BF3" w:rsidRPr="0047019D" w:rsidRDefault="0046563F" w:rsidP="00E15858">
            <w:pPr>
              <w:spacing w:after="40"/>
              <w:jc w:val="center"/>
              <w:cnfStyle w:val="000000000000" w:firstRow="0" w:lastRow="0" w:firstColumn="0" w:lastColumn="0" w:oddVBand="0" w:evenVBand="0" w:oddHBand="0" w:evenHBand="0" w:firstRowFirstColumn="0" w:firstRowLastColumn="0" w:lastRowFirstColumn="0" w:lastRowLastColumn="0"/>
              <w:rPr>
                <w:lang w:eastAsia="zh-CN" w:bidi="th-TH"/>
              </w:rPr>
            </w:pPr>
            <w:r w:rsidRPr="0047019D">
              <w:rPr>
                <w:lang w:eastAsia="zh-CN" w:bidi="th-TH"/>
              </w:rPr>
              <w:t>24.9M</w:t>
            </w:r>
          </w:p>
        </w:tc>
      </w:tr>
    </w:tbl>
    <w:p w14:paraId="3F1FD45F" w14:textId="78D83EBB" w:rsidR="000C6BF3" w:rsidRDefault="000C6BF3" w:rsidP="00622BE6">
      <w:pPr>
        <w:spacing w:after="40"/>
        <w:jc w:val="both"/>
      </w:pPr>
    </w:p>
    <w:p w14:paraId="3A92F1DD" w14:textId="5687E82C" w:rsidR="007323A4" w:rsidRPr="00476A2B" w:rsidRDefault="000C2728" w:rsidP="007323A4">
      <w:pPr>
        <w:spacing w:after="40"/>
        <w:jc w:val="both"/>
      </w:pPr>
      <w:r w:rsidRPr="00476A2B">
        <w:t>There is</w:t>
      </w:r>
      <w:r w:rsidR="00D06D21" w:rsidRPr="00476A2B">
        <w:t xml:space="preserve"> </w:t>
      </w:r>
      <w:r w:rsidRPr="00476A2B">
        <w:t>uncertainty in many of the health assessment measures</w:t>
      </w:r>
      <w:r w:rsidR="00D06D21" w:rsidRPr="00476A2B">
        <w:t xml:space="preserve"> for menu labelling, so t</w:t>
      </w:r>
      <w:r w:rsidR="008C1D01" w:rsidRPr="00476A2B">
        <w:t>o assess the robustness of the economic evaluation and its f</w:t>
      </w:r>
      <w:r w:rsidR="00C03D4C" w:rsidRPr="00476A2B">
        <w:t>i</w:t>
      </w:r>
      <w:r w:rsidR="008C1D01" w:rsidRPr="00476A2B">
        <w:t xml:space="preserve">ndings, </w:t>
      </w:r>
      <w:r w:rsidR="00C03D4C" w:rsidRPr="00476A2B">
        <w:t xml:space="preserve">a sensitivity analysis and </w:t>
      </w:r>
      <w:r w:rsidR="00D6393B" w:rsidRPr="00476A2B">
        <w:t xml:space="preserve">Monte Carlo </w:t>
      </w:r>
      <w:r w:rsidR="00B75C06" w:rsidRPr="00476A2B">
        <w:t>s</w:t>
      </w:r>
      <w:r w:rsidR="00D6393B" w:rsidRPr="00476A2B">
        <w:t>imulation analysis was undertaken.</w:t>
      </w:r>
      <w:r w:rsidR="00500053" w:rsidRPr="00476A2B">
        <w:t xml:space="preserve"> The sensitivity analysis indicated</w:t>
      </w:r>
      <w:r w:rsidR="007323A4" w:rsidRPr="00476A2B">
        <w:t xml:space="preserve"> that the market coverage of menu labelling and the clarity of the labelling in informing menu selections are likely to be critical success factors for </w:t>
      </w:r>
      <w:r w:rsidR="00611E91" w:rsidRPr="00476A2B">
        <w:t xml:space="preserve">the </w:t>
      </w:r>
      <w:r w:rsidR="007323A4" w:rsidRPr="00476A2B">
        <w:t>menu labelling options.</w:t>
      </w:r>
      <w:r w:rsidR="00611E91" w:rsidRPr="00476A2B">
        <w:t xml:space="preserve"> The cost factors </w:t>
      </w:r>
      <w:r w:rsidR="00874BCE" w:rsidRPr="00476A2B">
        <w:t>(</w:t>
      </w:r>
      <w:r w:rsidR="00493F34" w:rsidRPr="00476A2B">
        <w:t xml:space="preserve">for example, </w:t>
      </w:r>
      <w:r w:rsidR="00874BCE" w:rsidRPr="00476A2B">
        <w:t xml:space="preserve">business compliance costs, government administration costs) </w:t>
      </w:r>
      <w:r w:rsidR="00611E91" w:rsidRPr="00476A2B">
        <w:t xml:space="preserve">do not appear to have a big impact on the potential </w:t>
      </w:r>
      <w:r w:rsidR="001120A5" w:rsidRPr="00476A2B">
        <w:t>of</w:t>
      </w:r>
      <w:r w:rsidR="00611E91" w:rsidRPr="00476A2B">
        <w:t xml:space="preserve"> success.</w:t>
      </w:r>
      <w:r w:rsidR="00F2410B" w:rsidRPr="00476A2B">
        <w:t xml:space="preserve"> Full details of the sensitivity tests are available in the economic evaluation report.</w:t>
      </w:r>
      <w:r w:rsidR="00F2410B" w:rsidRPr="00476A2B">
        <w:rPr>
          <w:rStyle w:val="FootnoteReference"/>
        </w:rPr>
        <w:footnoteReference w:id="115"/>
      </w:r>
    </w:p>
    <w:p w14:paraId="6462399D" w14:textId="77777777" w:rsidR="00513300" w:rsidRPr="00476A2B" w:rsidRDefault="00513300" w:rsidP="007323A4">
      <w:pPr>
        <w:spacing w:after="40"/>
        <w:jc w:val="both"/>
        <w:rPr>
          <w:sz w:val="20"/>
          <w:szCs w:val="20"/>
          <w:lang w:eastAsia="zh-CN" w:bidi="th-TH"/>
        </w:rPr>
      </w:pPr>
    </w:p>
    <w:p w14:paraId="6DD4EDCF" w14:textId="002346DD" w:rsidR="00D321A3" w:rsidRPr="00476A2B" w:rsidRDefault="00135D3A" w:rsidP="007323A4">
      <w:pPr>
        <w:spacing w:after="40"/>
        <w:jc w:val="both"/>
      </w:pPr>
      <w:r w:rsidRPr="00476A2B">
        <w:t>Changes in the</w:t>
      </w:r>
      <w:r w:rsidR="00126C45" w:rsidRPr="00476A2B">
        <w:t xml:space="preserve"> impact of menu labelling on the </w:t>
      </w:r>
      <w:r w:rsidRPr="00476A2B">
        <w:t>amount of energy purchased per visit to a standard food outlet, predominantly have the greatest impact on the net benefit</w:t>
      </w:r>
      <w:r w:rsidR="00217CC3" w:rsidRPr="00476A2B">
        <w:t xml:space="preserve"> at the country or state and territory level.</w:t>
      </w:r>
      <w:r w:rsidRPr="00476A2B">
        <w:t xml:space="preserve"> </w:t>
      </w:r>
      <w:r w:rsidR="00FE323F" w:rsidRPr="00476A2B">
        <w:t xml:space="preserve">Even </w:t>
      </w:r>
      <w:r w:rsidR="00F43622" w:rsidRPr="00476A2B">
        <w:t>if</w:t>
      </w:r>
      <w:r w:rsidR="00FE323F" w:rsidRPr="00476A2B">
        <w:t xml:space="preserve"> the impact </w:t>
      </w:r>
      <w:r w:rsidR="0067386E" w:rsidRPr="00476A2B">
        <w:t>of menu labelling on the energy purchased per visit</w:t>
      </w:r>
      <w:r w:rsidR="00F33996" w:rsidRPr="00476A2B">
        <w:t xml:space="preserve"> is low</w:t>
      </w:r>
      <w:r w:rsidR="00744F0A" w:rsidRPr="00476A2B">
        <w:t xml:space="preserve"> (</w:t>
      </w:r>
      <w:r w:rsidR="00765203" w:rsidRPr="00476A2B">
        <w:t>63.2 kilojoule reduction)</w:t>
      </w:r>
      <w:r w:rsidR="0067386E" w:rsidRPr="00476A2B">
        <w:t xml:space="preserve">, </w:t>
      </w:r>
      <w:r w:rsidR="001906E8" w:rsidRPr="00476A2B">
        <w:t>the sensitivity tests still demonstrate a net benefit for menu labelling</w:t>
      </w:r>
      <w:r w:rsidR="00217CC3" w:rsidRPr="00476A2B">
        <w:t xml:space="preserve"> – </w:t>
      </w:r>
      <w:r w:rsidR="00973473" w:rsidRPr="00476A2B">
        <w:t>net benefit of Option 3 of $1</w:t>
      </w:r>
      <w:r w:rsidR="00F43622" w:rsidRPr="00476A2B">
        <w:t>87.5</w:t>
      </w:r>
      <w:r w:rsidR="00973473" w:rsidRPr="00476A2B">
        <w:t xml:space="preserve">M for Australia and </w:t>
      </w:r>
      <w:r w:rsidR="00F43622" w:rsidRPr="00476A2B">
        <w:t>$</w:t>
      </w:r>
      <w:r w:rsidR="00F46C64" w:rsidRPr="00476A2B">
        <w:t>NZ</w:t>
      </w:r>
      <w:r w:rsidR="00F43622" w:rsidRPr="00476A2B">
        <w:t>72.8M for New Zealand.</w:t>
      </w:r>
      <w:r w:rsidR="00765203" w:rsidRPr="00476A2B">
        <w:t xml:space="preserve"> </w:t>
      </w:r>
      <w:r w:rsidR="00C72D08" w:rsidRPr="00476A2B">
        <w:t xml:space="preserve">Where </w:t>
      </w:r>
      <w:r w:rsidR="00765203" w:rsidRPr="00476A2B">
        <w:t>the</w:t>
      </w:r>
      <w:r w:rsidR="00C72D08" w:rsidRPr="00476A2B">
        <w:t xml:space="preserve"> </w:t>
      </w:r>
      <w:r w:rsidR="003E4CBE" w:rsidRPr="00476A2B">
        <w:t>impact on the energy purchased</w:t>
      </w:r>
      <w:r w:rsidR="00C72D08" w:rsidRPr="00476A2B">
        <w:t xml:space="preserve"> is high</w:t>
      </w:r>
      <w:r w:rsidR="003E4CBE" w:rsidRPr="00476A2B">
        <w:t xml:space="preserve"> (508.6 kilojoule reduction), </w:t>
      </w:r>
      <w:r w:rsidR="00EE2AA5" w:rsidRPr="00476A2B">
        <w:t>there is a $1884.2M net benefit for Australia and a $NZ</w:t>
      </w:r>
      <w:r w:rsidR="00264ADA" w:rsidRPr="00476A2B">
        <w:t>761.6M net benefit for New Zealand.</w:t>
      </w:r>
      <w:r w:rsidR="00F62A7E" w:rsidRPr="00476A2B">
        <w:t xml:space="preserve"> </w:t>
      </w:r>
    </w:p>
    <w:p w14:paraId="458EE0B3" w14:textId="77777777" w:rsidR="00D321A3" w:rsidRPr="00476A2B" w:rsidRDefault="00D321A3" w:rsidP="007323A4">
      <w:pPr>
        <w:spacing w:after="40"/>
        <w:jc w:val="both"/>
      </w:pPr>
    </w:p>
    <w:p w14:paraId="37C6C716" w14:textId="36E2B83E" w:rsidR="007706DE" w:rsidRDefault="00F62A7E" w:rsidP="007323A4">
      <w:pPr>
        <w:spacing w:after="40"/>
        <w:jc w:val="both"/>
      </w:pPr>
      <w:r w:rsidRPr="00476A2B">
        <w:t xml:space="preserve">Without undertaking comprehensive monitoring of </w:t>
      </w:r>
      <w:r w:rsidR="0070616E" w:rsidRPr="00476A2B">
        <w:t xml:space="preserve">Australian and New Zealand </w:t>
      </w:r>
      <w:r w:rsidRPr="00476A2B">
        <w:t>consumers purchases before and after menu labelling</w:t>
      </w:r>
      <w:r w:rsidR="00454E04" w:rsidRPr="00476A2B">
        <w:t xml:space="preserve"> changes</w:t>
      </w:r>
      <w:r w:rsidRPr="00476A2B">
        <w:t xml:space="preserve">, </w:t>
      </w:r>
      <w:r w:rsidR="0070616E" w:rsidRPr="00476A2B">
        <w:t>it is challenging to know the extent of the impact of menu labelling on purchases.</w:t>
      </w:r>
      <w:r w:rsidR="00EE02D8" w:rsidRPr="00476A2B">
        <w:t xml:space="preserve"> </w:t>
      </w:r>
      <w:bookmarkStart w:id="69" w:name="_Hlk88231754"/>
      <w:r w:rsidR="00EE02D8" w:rsidRPr="00476A2B">
        <w:t xml:space="preserve">The </w:t>
      </w:r>
      <w:r w:rsidR="007706DE" w:rsidRPr="00476A2B">
        <w:t>2011-2012 monitoring in New South Wales found a 15 percent (519 kilojoules) reduction in the kilojoules purchased after menu labelling was introduced</w:t>
      </w:r>
      <w:bookmarkEnd w:id="69"/>
      <w:r w:rsidR="007706DE" w:rsidRPr="00476A2B">
        <w:t>.</w:t>
      </w:r>
      <w:r w:rsidR="007706DE" w:rsidRPr="00476A2B">
        <w:rPr>
          <w:rStyle w:val="FootnoteReference"/>
        </w:rPr>
        <w:footnoteReference w:id="116"/>
      </w:r>
      <w:r w:rsidR="00F62022" w:rsidRPr="00476A2B">
        <w:t xml:space="preserve"> This corresponds with the </w:t>
      </w:r>
      <w:r w:rsidR="003B1771" w:rsidRPr="00476A2B">
        <w:t xml:space="preserve">high estimate used in the economic evaluation. </w:t>
      </w:r>
      <w:r w:rsidR="0049535F" w:rsidRPr="00476A2B">
        <w:t xml:space="preserve">However, it is not known whether enhancing menu labelling </w:t>
      </w:r>
      <w:r w:rsidR="009F0184" w:rsidRPr="00476A2B">
        <w:t>in jurisdictions where it already exists</w:t>
      </w:r>
      <w:r w:rsidR="00793069" w:rsidRPr="00476A2B">
        <w:t xml:space="preserve"> </w:t>
      </w:r>
      <w:r w:rsidR="0049535F" w:rsidRPr="00476A2B">
        <w:t>will further encourage consumers to reduce the number of kilojoules purchased if they have already made changes to their food purchasing habits since menu labelling was first introduced.</w:t>
      </w:r>
      <w:r w:rsidR="00DA7FB6">
        <w:t xml:space="preserve"> </w:t>
      </w:r>
    </w:p>
    <w:p w14:paraId="01BE4D7C" w14:textId="77777777" w:rsidR="0097115A" w:rsidRDefault="0097115A" w:rsidP="007323A4">
      <w:pPr>
        <w:spacing w:after="40"/>
        <w:jc w:val="both"/>
      </w:pPr>
    </w:p>
    <w:p w14:paraId="6AD65BB0" w14:textId="41ECA232" w:rsidR="00ED5A67" w:rsidRDefault="0049535F" w:rsidP="00B75C06">
      <w:pPr>
        <w:spacing w:after="40"/>
        <w:jc w:val="both"/>
      </w:pPr>
      <w:r>
        <w:t>T</w:t>
      </w:r>
      <w:r w:rsidR="00B75C06">
        <w:t>he Monte Carlo simulation analysis determined that</w:t>
      </w:r>
      <w:r w:rsidR="001120A5">
        <w:t xml:space="preserve"> the central estimations are robust</w:t>
      </w:r>
      <w:r w:rsidR="00783E07">
        <w:t>.</w:t>
      </w:r>
      <w:r>
        <w:t xml:space="preserve"> </w:t>
      </w:r>
      <w:r w:rsidR="00783E07">
        <w:t xml:space="preserve">The </w:t>
      </w:r>
      <w:r w:rsidR="00642C82">
        <w:t xml:space="preserve">overall </w:t>
      </w:r>
      <w:r w:rsidR="00783E07">
        <w:t xml:space="preserve">risk of </w:t>
      </w:r>
      <w:r w:rsidR="00697E67">
        <w:t xml:space="preserve">a </w:t>
      </w:r>
      <w:r w:rsidR="00783E07">
        <w:t xml:space="preserve">negative net benefit </w:t>
      </w:r>
      <w:r w:rsidR="00697E67">
        <w:t>for Option 3 is very low</w:t>
      </w:r>
      <w:r w:rsidR="00DE603F">
        <w:t>, slightly more for Option 2 and higher still for Option 4</w:t>
      </w:r>
      <w:r w:rsidR="000744CE">
        <w:t xml:space="preserve">. At the jurisdictional level, there is a high risk of a negative net benefit </w:t>
      </w:r>
      <w:r w:rsidR="000744CE">
        <w:lastRenderedPageBreak/>
        <w:t>associated with Option 4</w:t>
      </w:r>
      <w:r w:rsidR="00C57C7A">
        <w:t xml:space="preserve"> and Option 2</w:t>
      </w:r>
      <w:r w:rsidR="008B0822">
        <w:t xml:space="preserve"> for Australian Capital Territory, Northern Territory, Tasmania, and New Zealand.</w:t>
      </w:r>
      <w:r w:rsidR="00C57C7A">
        <w:t xml:space="preserve"> </w:t>
      </w:r>
      <w:r w:rsidR="00C5268C" w:rsidRPr="00E45CA5">
        <w:t>Full details</w:t>
      </w:r>
      <w:r w:rsidR="00C5268C">
        <w:t xml:space="preserve"> of the </w:t>
      </w:r>
      <w:r w:rsidR="00C5268C" w:rsidRPr="00E45CA5">
        <w:t xml:space="preserve">Monte Carlo simulation </w:t>
      </w:r>
      <w:r w:rsidR="00C5268C">
        <w:t xml:space="preserve">are available in the </w:t>
      </w:r>
      <w:r w:rsidR="00C5268C" w:rsidRPr="00E45CA5">
        <w:t>economic evaluation report.</w:t>
      </w:r>
      <w:r w:rsidR="00F2410B">
        <w:rPr>
          <w:rStyle w:val="FootnoteReference"/>
        </w:rPr>
        <w:footnoteReference w:id="117"/>
      </w:r>
    </w:p>
    <w:p w14:paraId="523C6043" w14:textId="77777777" w:rsidR="002A424F" w:rsidRDefault="002A424F" w:rsidP="00B75C06">
      <w:pPr>
        <w:spacing w:after="40"/>
        <w:jc w:val="both"/>
      </w:pPr>
    </w:p>
    <w:p w14:paraId="7C1F7CE4" w14:textId="6746E5F4" w:rsidR="00926790" w:rsidRPr="00796C0D" w:rsidRDefault="00926790" w:rsidP="00F53A05">
      <w:pPr>
        <w:pStyle w:val="Heading3"/>
      </w:pPr>
      <w:r>
        <w:t>5.</w:t>
      </w:r>
      <w:r w:rsidR="00EB738A">
        <w:t>7</w:t>
      </w:r>
      <w:r w:rsidRPr="00796C0D">
        <w:t xml:space="preserve"> </w:t>
      </w:r>
      <w:r>
        <w:t xml:space="preserve">Comparison with </w:t>
      </w:r>
      <w:r w:rsidR="00171F90">
        <w:t xml:space="preserve">international </w:t>
      </w:r>
      <w:r>
        <w:t>m</w:t>
      </w:r>
      <w:r w:rsidRPr="00796C0D">
        <w:t xml:space="preserve">enu </w:t>
      </w:r>
      <w:r>
        <w:t>l</w:t>
      </w:r>
      <w:r w:rsidRPr="00796C0D">
        <w:t xml:space="preserve">abelling </w:t>
      </w:r>
      <w:r w:rsidR="00171F90">
        <w:t>schemes</w:t>
      </w:r>
    </w:p>
    <w:p w14:paraId="5F072DE3" w14:textId="00E3AC2A" w:rsidR="00926790" w:rsidRPr="00476A2B" w:rsidRDefault="00926790" w:rsidP="00791CD2">
      <w:pPr>
        <w:jc w:val="both"/>
      </w:pPr>
      <w:r w:rsidRPr="00796C0D">
        <w:t>Since 2008 when New York City was the first jurisdiction to pass menu labelling legislation</w:t>
      </w:r>
      <w:r w:rsidRPr="00796C0D">
        <w:rPr>
          <w:rStyle w:val="FootnoteReference"/>
        </w:rPr>
        <w:footnoteReference w:id="118"/>
      </w:r>
      <w:r w:rsidRPr="00796C0D">
        <w:t xml:space="preserve">, </w:t>
      </w:r>
      <w:r>
        <w:t xml:space="preserve">different types of </w:t>
      </w:r>
      <w:r w:rsidRPr="00796C0D">
        <w:t xml:space="preserve">menu labelling schemes have been introduced </w:t>
      </w:r>
      <w:r w:rsidRPr="00476A2B">
        <w:t>across the glob</w:t>
      </w:r>
      <w:r w:rsidR="00723056" w:rsidRPr="00476A2B">
        <w:t>e</w:t>
      </w:r>
      <w:r w:rsidRPr="00476A2B">
        <w:t>.</w:t>
      </w:r>
      <w:r w:rsidRPr="00476A2B">
        <w:rPr>
          <w:rStyle w:val="FootnoteReference"/>
        </w:rPr>
        <w:footnoteReference w:id="119"/>
      </w:r>
      <w:r w:rsidRPr="00476A2B">
        <w:rPr>
          <w:vertAlign w:val="superscript"/>
        </w:rPr>
        <w:t xml:space="preserve"> </w:t>
      </w:r>
      <w:r w:rsidRPr="00476A2B">
        <w:t xml:space="preserve"> Some schemes are underpinned by mandatory regulation at the</w:t>
      </w:r>
      <w:r w:rsidR="00346481" w:rsidRPr="00476A2B">
        <w:t xml:space="preserve"> </w:t>
      </w:r>
      <w:r w:rsidRPr="00476A2B">
        <w:t>national-level (United States</w:t>
      </w:r>
      <w:r w:rsidRPr="00476A2B">
        <w:rPr>
          <w:rStyle w:val="FootnoteReference"/>
        </w:rPr>
        <w:footnoteReference w:id="120"/>
      </w:r>
      <w:r w:rsidRPr="00476A2B">
        <w:t>, England</w:t>
      </w:r>
      <w:r w:rsidRPr="00476A2B">
        <w:rPr>
          <w:rStyle w:val="FootnoteReference"/>
        </w:rPr>
        <w:footnoteReference w:id="121"/>
      </w:r>
      <w:r w:rsidRPr="00476A2B">
        <w:t>, South Korea</w:t>
      </w:r>
      <w:r w:rsidRPr="00476A2B">
        <w:rPr>
          <w:rStyle w:val="FootnoteReference"/>
        </w:rPr>
        <w:footnoteReference w:id="122"/>
      </w:r>
      <w:r w:rsidRPr="00476A2B">
        <w:t>)</w:t>
      </w:r>
      <w:r w:rsidR="0084520A" w:rsidRPr="00476A2B">
        <w:t xml:space="preserve"> – as proposed by Option 3</w:t>
      </w:r>
      <w:r w:rsidR="00791CD2" w:rsidRPr="00476A2B">
        <w:t>;</w:t>
      </w:r>
      <w:r w:rsidR="00900CD0" w:rsidRPr="00476A2B">
        <w:t xml:space="preserve"> the </w:t>
      </w:r>
      <w:r w:rsidRPr="00476A2B">
        <w:t>state-level (Ontario</w:t>
      </w:r>
      <w:r w:rsidRPr="00476A2B">
        <w:rPr>
          <w:rStyle w:val="FootnoteReference"/>
        </w:rPr>
        <w:footnoteReference w:id="123"/>
      </w:r>
      <w:r w:rsidRPr="00476A2B">
        <w:t xml:space="preserve"> in Canada) </w:t>
      </w:r>
      <w:r w:rsidR="0084520A" w:rsidRPr="00476A2B">
        <w:t>– as per the status quo</w:t>
      </w:r>
      <w:r w:rsidR="00791CD2" w:rsidRPr="00476A2B">
        <w:t xml:space="preserve"> and proposed under Option 2;</w:t>
      </w:r>
      <w:r w:rsidR="00900CD0" w:rsidRPr="00476A2B">
        <w:t xml:space="preserve"> </w:t>
      </w:r>
      <w:r w:rsidRPr="00476A2B">
        <w:t>or city-level (Philadelphia</w:t>
      </w:r>
      <w:r w:rsidRPr="00476A2B">
        <w:rPr>
          <w:rStyle w:val="FootnoteReference"/>
        </w:rPr>
        <w:footnoteReference w:id="124"/>
      </w:r>
      <w:r w:rsidRPr="00476A2B">
        <w:t xml:space="preserve"> in the United States). Other schemes are voluntary national initiatives (Singapore</w:t>
      </w:r>
      <w:r w:rsidRPr="00476A2B">
        <w:rPr>
          <w:rStyle w:val="FootnoteReference"/>
        </w:rPr>
        <w:footnoteReference w:id="125"/>
      </w:r>
      <w:r w:rsidRPr="00476A2B">
        <w:t>, Ireland</w:t>
      </w:r>
      <w:r w:rsidRPr="00476A2B">
        <w:rPr>
          <w:rStyle w:val="FootnoteReference"/>
        </w:rPr>
        <w:footnoteReference w:id="126"/>
      </w:r>
      <w:r w:rsidRPr="00476A2B">
        <w:t>)</w:t>
      </w:r>
      <w:r w:rsidR="00791CD2" w:rsidRPr="00476A2B">
        <w:t xml:space="preserve"> – </w:t>
      </w:r>
      <w:r w:rsidR="007E23A8" w:rsidRPr="00476A2B">
        <w:t>like</w:t>
      </w:r>
      <w:r w:rsidR="00E92A60" w:rsidRPr="00476A2B">
        <w:t xml:space="preserve"> what is</w:t>
      </w:r>
      <w:r w:rsidR="00791CD2" w:rsidRPr="00476A2B">
        <w:t xml:space="preserve"> proposed by Option 4. </w:t>
      </w:r>
      <w:r w:rsidRPr="00476A2B">
        <w:t xml:space="preserve">Ireland </w:t>
      </w:r>
      <w:r w:rsidR="00791CD2" w:rsidRPr="00476A2B">
        <w:t xml:space="preserve">has been </w:t>
      </w:r>
      <w:r w:rsidRPr="00476A2B">
        <w:t xml:space="preserve">considering mandating </w:t>
      </w:r>
      <w:r w:rsidR="000F360E" w:rsidRPr="00476A2B">
        <w:t xml:space="preserve">its </w:t>
      </w:r>
      <w:r w:rsidRPr="00476A2B">
        <w:t>scheme since 2015</w:t>
      </w:r>
      <w:r w:rsidR="00E92A60" w:rsidRPr="00476A2B">
        <w:t>, with the latest public consultation on the issue undertaken in 2020</w:t>
      </w:r>
      <w:r w:rsidRPr="00476A2B">
        <w:t>.</w:t>
      </w:r>
      <w:r w:rsidRPr="00476A2B">
        <w:rPr>
          <w:rStyle w:val="FootnoteReference"/>
        </w:rPr>
        <w:footnoteReference w:id="127"/>
      </w:r>
    </w:p>
    <w:p w14:paraId="31784F6F" w14:textId="77777777" w:rsidR="00926790" w:rsidRPr="00476A2B" w:rsidRDefault="00926790" w:rsidP="00926790">
      <w:pPr>
        <w:jc w:val="both"/>
      </w:pPr>
    </w:p>
    <w:p w14:paraId="6F8C135D" w14:textId="1B9F2D4E" w:rsidR="00926790" w:rsidRPr="00476A2B" w:rsidRDefault="00444A65" w:rsidP="00926790">
      <w:pPr>
        <w:jc w:val="both"/>
      </w:pPr>
      <w:r w:rsidRPr="00476A2B">
        <w:t xml:space="preserve">As is the case under the status quo, and is proposed to continue </w:t>
      </w:r>
      <w:r w:rsidR="00DA19F4" w:rsidRPr="00476A2B">
        <w:t>under all the options, m</w:t>
      </w:r>
      <w:r w:rsidR="00926790" w:rsidRPr="00476A2B">
        <w:t xml:space="preserve">any international schemes are centred around displaying energy information and a contextual statement (United States, Ontario, England, Ireland). Other schemes focus on sodium warning statements (Philadelphia), ‘healthy’ logos (Singapore) or energy in combination with other nutrients (South Korea). </w:t>
      </w:r>
      <w:r w:rsidR="00FA2181" w:rsidRPr="00476A2B">
        <w:t xml:space="preserve">Although some stakeholders have advocated for use of the Health Star Rating </w:t>
      </w:r>
      <w:r w:rsidR="00112491" w:rsidRPr="00476A2B">
        <w:t>as part of menu labelling, adopt</w:t>
      </w:r>
      <w:r w:rsidR="00F1753D" w:rsidRPr="00476A2B">
        <w:t>ing</w:t>
      </w:r>
      <w:r w:rsidR="00112491" w:rsidRPr="00476A2B">
        <w:t xml:space="preserve"> this system within menu labelling</w:t>
      </w:r>
      <w:r w:rsidR="00F1753D" w:rsidRPr="00476A2B">
        <w:t xml:space="preserve"> is not proposed</w:t>
      </w:r>
      <w:r w:rsidR="0049535F" w:rsidRPr="00476A2B">
        <w:t xml:space="preserve"> at this time</w:t>
      </w:r>
      <w:r w:rsidR="00112491" w:rsidRPr="00476A2B">
        <w:t>.</w:t>
      </w:r>
    </w:p>
    <w:p w14:paraId="6BCFBFE8" w14:textId="77777777" w:rsidR="00926790" w:rsidRPr="00476A2B" w:rsidRDefault="00926790" w:rsidP="00926790">
      <w:pPr>
        <w:jc w:val="both"/>
      </w:pPr>
    </w:p>
    <w:p w14:paraId="1C02217E" w14:textId="5943855A" w:rsidR="00926790" w:rsidRPr="00476A2B" w:rsidRDefault="00890DA1" w:rsidP="00926790">
      <w:pPr>
        <w:jc w:val="both"/>
      </w:pPr>
      <w:r w:rsidRPr="00476A2B">
        <w:t xml:space="preserve">International </w:t>
      </w:r>
      <w:r w:rsidR="00926790" w:rsidRPr="00476A2B">
        <w:t xml:space="preserve">schemes also differ in which menu items are captured and which businesses (type and size) are captured. </w:t>
      </w:r>
      <w:r w:rsidR="004F464D" w:rsidRPr="00476A2B">
        <w:t>I</w:t>
      </w:r>
      <w:r w:rsidR="00926790" w:rsidRPr="00476A2B">
        <w:t>n the United States and Ontario standard menu items, including standardised ingredients (</w:t>
      </w:r>
      <w:r w:rsidR="00493F34" w:rsidRPr="00476A2B">
        <w:t xml:space="preserve">for example, </w:t>
      </w:r>
      <w:r w:rsidR="00926790" w:rsidRPr="00476A2B">
        <w:t xml:space="preserve">toppings to create your own pizza) and some alcoholic beverages must display energy information, but temporary menu items or customised orders are exempt from menu labelling. These two schemes also capture chain businesses selling ‘restaurant-type food’ in a standardised way at 20 or more outlets, such as quick-service and dine-in restaurants, grocery and convenience stores, cinemas, cafés, and bakeries. </w:t>
      </w:r>
    </w:p>
    <w:p w14:paraId="18CB9C24" w14:textId="77777777" w:rsidR="00926790" w:rsidRPr="00476A2B" w:rsidRDefault="00926790" w:rsidP="00926790">
      <w:pPr>
        <w:jc w:val="both"/>
      </w:pPr>
    </w:p>
    <w:p w14:paraId="5631E1DA" w14:textId="11DF297C" w:rsidR="00926790" w:rsidRPr="00476A2B" w:rsidRDefault="00926790" w:rsidP="00926790">
      <w:pPr>
        <w:jc w:val="both"/>
      </w:pPr>
      <w:r w:rsidRPr="00476A2B">
        <w:t xml:space="preserve">England has one of the only schemes to capture third-party food delivery platforms (limited to food businesses that meet the threshold criteria). Its other point of difference is that it captures businesses based on the number of employees (250 or more) rather than the number of outlets. </w:t>
      </w:r>
      <w:r w:rsidRPr="00476A2B">
        <w:lastRenderedPageBreak/>
        <w:t>Menu labelling in England does not extend to temporary menu items, customised items, or alcoholic beverages. The voluntary scheme in Ireland can be implemented by businesses of any size, and encourages energy information for standardised food items, with the display of energy content for alcoholic beverages at the discretion of the business.</w:t>
      </w:r>
    </w:p>
    <w:p w14:paraId="3947456D" w14:textId="7E3F3618" w:rsidR="00171F90" w:rsidRPr="00476A2B" w:rsidRDefault="00171F90" w:rsidP="00926790">
      <w:pPr>
        <w:jc w:val="both"/>
      </w:pPr>
    </w:p>
    <w:p w14:paraId="58292D21" w14:textId="035F1896" w:rsidR="001E7202" w:rsidRPr="00476A2B" w:rsidRDefault="00900438" w:rsidP="00F127D3">
      <w:pPr>
        <w:jc w:val="both"/>
      </w:pPr>
      <w:r w:rsidRPr="00476A2B">
        <w:t xml:space="preserve">It is not proposed that Australia and New Zealand adopt any of the existing schemes. </w:t>
      </w:r>
      <w:r w:rsidR="00A91AB4" w:rsidRPr="00476A2B">
        <w:t>However, i</w:t>
      </w:r>
      <w:r w:rsidR="00587911" w:rsidRPr="00476A2B">
        <w:t>t is intended that Option 3</w:t>
      </w:r>
      <w:r w:rsidR="00426FC0" w:rsidRPr="00476A2B">
        <w:t xml:space="preserve"> </w:t>
      </w:r>
      <w:r w:rsidR="00FC3B16" w:rsidRPr="00476A2B">
        <w:t>would bring</w:t>
      </w:r>
      <w:r w:rsidR="00F1753D" w:rsidRPr="00476A2B">
        <w:t xml:space="preserve"> </w:t>
      </w:r>
      <w:r w:rsidR="00FC3B16" w:rsidRPr="00476A2B">
        <w:t xml:space="preserve">Australia and New Zealand in line </w:t>
      </w:r>
      <w:r w:rsidR="002A22AB" w:rsidRPr="00476A2B">
        <w:t xml:space="preserve">with the United States </w:t>
      </w:r>
      <w:r w:rsidR="00415ACF" w:rsidRPr="00476A2B">
        <w:t xml:space="preserve">in terms </w:t>
      </w:r>
      <w:r w:rsidR="00587911" w:rsidRPr="00476A2B">
        <w:t xml:space="preserve">of </w:t>
      </w:r>
      <w:r w:rsidR="00BD1C2E" w:rsidRPr="00476A2B">
        <w:t xml:space="preserve">information for </w:t>
      </w:r>
      <w:r w:rsidR="00587911" w:rsidRPr="00476A2B">
        <w:t>standardised ingredients</w:t>
      </w:r>
      <w:r w:rsidR="00C20220" w:rsidRPr="00476A2B">
        <w:t xml:space="preserve"> and business coverage</w:t>
      </w:r>
      <w:r w:rsidR="00BD1C2E" w:rsidRPr="00476A2B">
        <w:t xml:space="preserve">; and in line with England for third-party food delivery platforms. </w:t>
      </w:r>
      <w:r w:rsidR="00CD3692" w:rsidRPr="00476A2B">
        <w:t xml:space="preserve">It is proposed that Australia </w:t>
      </w:r>
      <w:r w:rsidR="00735A04" w:rsidRPr="00476A2B">
        <w:t>maintain the business threshold of 50 nationally or 20 in a</w:t>
      </w:r>
      <w:r w:rsidR="007A6FD7" w:rsidRPr="00476A2B">
        <w:t>n Australian</w:t>
      </w:r>
      <w:r w:rsidR="00735A04" w:rsidRPr="00476A2B">
        <w:t xml:space="preserve"> State or 7 in a</w:t>
      </w:r>
      <w:r w:rsidR="007A6FD7" w:rsidRPr="00476A2B">
        <w:t>n Australian</w:t>
      </w:r>
      <w:r w:rsidR="00735A04" w:rsidRPr="00476A2B">
        <w:t xml:space="preserve"> </w:t>
      </w:r>
      <w:r w:rsidR="007A6FD7" w:rsidRPr="00476A2B">
        <w:t>T</w:t>
      </w:r>
      <w:r w:rsidR="00735A04" w:rsidRPr="00476A2B">
        <w:t>erritory</w:t>
      </w:r>
      <w:r w:rsidR="007A6FD7" w:rsidRPr="00476A2B">
        <w:t>, rather than</w:t>
      </w:r>
      <w:r w:rsidR="00735A04" w:rsidRPr="00476A2B">
        <w:t xml:space="preserve"> </w:t>
      </w:r>
      <w:r w:rsidR="00CD3692" w:rsidRPr="00476A2B">
        <w:t>adopt the lower threshold of 20 outlets</w:t>
      </w:r>
      <w:r w:rsidR="000A49A2" w:rsidRPr="00476A2B">
        <w:t xml:space="preserve"> in the United States</w:t>
      </w:r>
      <w:r w:rsidR="002D649E" w:rsidRPr="00476A2B">
        <w:t>.</w:t>
      </w:r>
      <w:r w:rsidR="000A49A2" w:rsidRPr="00476A2B">
        <w:t xml:space="preserve"> </w:t>
      </w:r>
      <w:r w:rsidR="00F1753D" w:rsidRPr="00476A2B">
        <w:t>It is pr</w:t>
      </w:r>
      <w:r w:rsidR="004F4678" w:rsidRPr="00476A2B">
        <w:t>o</w:t>
      </w:r>
      <w:r w:rsidR="00F1753D" w:rsidRPr="00476A2B">
        <w:t>p</w:t>
      </w:r>
      <w:r w:rsidR="004F4678" w:rsidRPr="00476A2B">
        <w:t>osed that New Zealand adopt a threshold of 20 or more outlets nationally – based on population siz</w:t>
      </w:r>
      <w:r w:rsidR="00B30468" w:rsidRPr="00476A2B">
        <w:t xml:space="preserve">e comparison to Australian States. </w:t>
      </w:r>
      <w:r w:rsidR="002D649E" w:rsidRPr="00476A2B">
        <w:t>N</w:t>
      </w:r>
      <w:r w:rsidR="000A49A2" w:rsidRPr="00476A2B">
        <w:t xml:space="preserve">or is it proposed to change the threshold to an employee </w:t>
      </w:r>
      <w:r w:rsidRPr="00476A2B">
        <w:t>number as used in England.</w:t>
      </w:r>
    </w:p>
    <w:p w14:paraId="630A4E72" w14:textId="77777777" w:rsidR="00B30468" w:rsidRPr="00476A2B" w:rsidRDefault="00B30468" w:rsidP="00F127D3">
      <w:pPr>
        <w:jc w:val="both"/>
      </w:pPr>
    </w:p>
    <w:p w14:paraId="22367035" w14:textId="32C2EC07" w:rsidR="00F62403" w:rsidRDefault="00F127D3" w:rsidP="00F127D3">
      <w:pPr>
        <w:jc w:val="both"/>
      </w:pPr>
      <w:r w:rsidRPr="00476A2B">
        <w:t xml:space="preserve">A </w:t>
      </w:r>
      <w:r w:rsidR="00145DAD" w:rsidRPr="00476A2B">
        <w:t>2020</w:t>
      </w:r>
      <w:r w:rsidRPr="00476A2B">
        <w:t xml:space="preserve"> economic evaluation of the national regulation in the United States showed that</w:t>
      </w:r>
      <w:r w:rsidR="003E33CB" w:rsidRPr="00476A2B">
        <w:t xml:space="preserve"> implementation of the regulation would </w:t>
      </w:r>
      <w:r w:rsidR="0009034B" w:rsidRPr="00476A2B">
        <w:t>prevent over 3</w:t>
      </w:r>
      <w:r w:rsidR="00E73C35" w:rsidRPr="00476A2B">
        <w:t>1</w:t>
      </w:r>
      <w:r w:rsidR="0009034B" w:rsidRPr="00476A2B">
        <w:t>,000 new cases of cancer</w:t>
      </w:r>
      <w:r w:rsidR="00E73C35" w:rsidRPr="00476A2B">
        <w:t xml:space="preserve"> and a further 18,700 deaths from cancer</w:t>
      </w:r>
      <w:r w:rsidR="00DF2F61" w:rsidRPr="00476A2B">
        <w:t>. It also showed that the net</w:t>
      </w:r>
      <w:r w:rsidR="006A7E56" w:rsidRPr="00476A2B">
        <w:t xml:space="preserve"> benefit was $</w:t>
      </w:r>
      <w:r w:rsidR="00A938E4" w:rsidRPr="00476A2B">
        <w:t>US</w:t>
      </w:r>
      <w:r w:rsidR="006A7E56" w:rsidRPr="00476A2B">
        <w:t>3.5 billion</w:t>
      </w:r>
      <w:r w:rsidR="00B77981" w:rsidRPr="00476A2B">
        <w:t>.</w:t>
      </w:r>
      <w:r w:rsidR="00145DAD" w:rsidRPr="00476A2B">
        <w:rPr>
          <w:rStyle w:val="FootnoteReference"/>
        </w:rPr>
        <w:footnoteReference w:id="128"/>
      </w:r>
      <w:r w:rsidR="00415544" w:rsidRPr="00476A2B">
        <w:t xml:space="preserve"> This evaluation’s</w:t>
      </w:r>
      <w:r w:rsidR="006406FE" w:rsidRPr="00476A2B">
        <w:t xml:space="preserve"> </w:t>
      </w:r>
      <w:r w:rsidR="00415544" w:rsidRPr="00476A2B">
        <w:t xml:space="preserve">methodology was </w:t>
      </w:r>
      <w:r w:rsidR="007E23A8" w:rsidRPr="00476A2B">
        <w:t>like</w:t>
      </w:r>
      <w:r w:rsidR="00415544" w:rsidRPr="00476A2B">
        <w:t xml:space="preserve"> the economic evaluation undertaken for Australia and New Zealand</w:t>
      </w:r>
      <w:r w:rsidR="00DD01BE" w:rsidRPr="00476A2B">
        <w:t xml:space="preserve">, and supports that national menu labelling is a cost-effective, beneficial </w:t>
      </w:r>
      <w:r w:rsidR="003F24E1" w:rsidRPr="00476A2B">
        <w:t>policy.</w:t>
      </w:r>
      <w:r w:rsidR="00DD01BE" w:rsidRPr="00476A2B">
        <w:t xml:space="preserve"> </w:t>
      </w:r>
      <w:r w:rsidR="00BF58DF" w:rsidRPr="00476A2B">
        <w:t xml:space="preserve">A second 2020 </w:t>
      </w:r>
      <w:r w:rsidR="006D0AA8" w:rsidRPr="00476A2B">
        <w:t>economic evaluation of the United States menu labelling also found</w:t>
      </w:r>
      <w:r w:rsidR="00413948" w:rsidRPr="00476A2B">
        <w:t xml:space="preserve"> it be a cost-effective approach.</w:t>
      </w:r>
      <w:r w:rsidR="009D5139" w:rsidRPr="00476A2B">
        <w:rPr>
          <w:rStyle w:val="FootnoteReference"/>
        </w:rPr>
        <w:footnoteReference w:id="129"/>
      </w:r>
      <w:r w:rsidR="00413948" w:rsidRPr="00476A2B">
        <w:t xml:space="preserve"> This evaluation indicated </w:t>
      </w:r>
      <w:r w:rsidR="00796EA2" w:rsidRPr="00476A2B">
        <w:t xml:space="preserve">that over 14,500 new cases of cardiovascular disease and over 21,000 </w:t>
      </w:r>
      <w:r w:rsidR="002606AA" w:rsidRPr="00476A2B">
        <w:t>new cases of type 2 diabetes could be pre</w:t>
      </w:r>
      <w:r w:rsidR="0096640F" w:rsidRPr="00476A2B">
        <w:t>vented</w:t>
      </w:r>
      <w:r w:rsidR="002606AA" w:rsidRPr="00476A2B">
        <w:t>, leading to $</w:t>
      </w:r>
      <w:r w:rsidR="00A938E4" w:rsidRPr="00476A2B">
        <w:t>US</w:t>
      </w:r>
      <w:r w:rsidR="002606AA" w:rsidRPr="00476A2B">
        <w:t>10.</w:t>
      </w:r>
      <w:r w:rsidR="00A938E4" w:rsidRPr="00476A2B">
        <w:t>42B</w:t>
      </w:r>
      <w:r w:rsidR="00413948" w:rsidRPr="00476A2B">
        <w:t xml:space="preserve"> </w:t>
      </w:r>
      <w:r w:rsidR="00A938E4" w:rsidRPr="00476A2B">
        <w:t>in healthcare savings and a further $12.71B in savi</w:t>
      </w:r>
      <w:r w:rsidR="009D5139" w:rsidRPr="00476A2B">
        <w:t xml:space="preserve">ngs from a societal perspective. This </w:t>
      </w:r>
      <w:r w:rsidR="00167228" w:rsidRPr="00476A2B">
        <w:t>modelling</w:t>
      </w:r>
      <w:r w:rsidR="005454A5" w:rsidRPr="00476A2B">
        <w:t xml:space="preserve"> informed the</w:t>
      </w:r>
      <w:r w:rsidR="00167228" w:rsidRPr="00476A2B">
        <w:t xml:space="preserve"> economic evaluation of the policy options for Australia and New Zealand</w:t>
      </w:r>
      <w:r w:rsidR="002E68F0" w:rsidRPr="00476A2B">
        <w:t xml:space="preserve"> described above</w:t>
      </w:r>
      <w:r w:rsidR="00167228" w:rsidRPr="00476A2B">
        <w:t>.</w:t>
      </w:r>
      <w:r w:rsidR="005454A5">
        <w:t xml:space="preserve">  </w:t>
      </w:r>
    </w:p>
    <w:p w14:paraId="63809E1B" w14:textId="77777777" w:rsidR="00A91AB4" w:rsidRPr="001E7202" w:rsidRDefault="00A91AB4" w:rsidP="00F127D3">
      <w:pPr>
        <w:jc w:val="both"/>
      </w:pPr>
    </w:p>
    <w:p w14:paraId="42B75F9F" w14:textId="148AB45D" w:rsidR="0004125A" w:rsidRPr="00812051" w:rsidRDefault="00467564" w:rsidP="00F6154A">
      <w:pPr>
        <w:pStyle w:val="Heading2"/>
        <w:rPr>
          <w:rStyle w:val="Heading1Char"/>
          <w:rFonts w:ascii="Times New Roman" w:hAnsi="Times New Roman" w:cs="Times New Roman"/>
          <w:b/>
          <w:bCs/>
          <w:kern w:val="0"/>
          <w:szCs w:val="28"/>
        </w:rPr>
      </w:pPr>
      <w:bookmarkStart w:id="70" w:name="_Toc426380838"/>
      <w:bookmarkStart w:id="71" w:name="_Toc426380903"/>
      <w:bookmarkStart w:id="72" w:name="_Toc426380934"/>
      <w:bookmarkStart w:id="73" w:name="_Toc91189674"/>
      <w:bookmarkEnd w:id="60"/>
      <w:bookmarkEnd w:id="61"/>
      <w:bookmarkEnd w:id="62"/>
      <w:bookmarkEnd w:id="63"/>
      <w:r w:rsidRPr="00812051">
        <w:rPr>
          <w:rStyle w:val="Heading1Char"/>
          <w:rFonts w:ascii="Times New Roman" w:hAnsi="Times New Roman" w:cs="Times New Roman"/>
          <w:b/>
          <w:bCs/>
          <w:kern w:val="0"/>
          <w:szCs w:val="28"/>
        </w:rPr>
        <w:t>6</w:t>
      </w:r>
      <w:r w:rsidR="00EA1E18" w:rsidRPr="00812051">
        <w:rPr>
          <w:rStyle w:val="Heading1Char"/>
          <w:rFonts w:ascii="Times New Roman" w:hAnsi="Times New Roman" w:cs="Times New Roman"/>
          <w:b/>
          <w:bCs/>
          <w:kern w:val="0"/>
          <w:szCs w:val="28"/>
        </w:rPr>
        <w:t xml:space="preserve"> </w:t>
      </w:r>
      <w:r w:rsidR="0004125A" w:rsidRPr="00812051">
        <w:rPr>
          <w:rStyle w:val="Heading1Char"/>
          <w:rFonts w:ascii="Times New Roman" w:hAnsi="Times New Roman" w:cs="Times New Roman"/>
          <w:b/>
          <w:bCs/>
          <w:kern w:val="0"/>
          <w:szCs w:val="28"/>
        </w:rPr>
        <w:t>Consultation</w:t>
      </w:r>
      <w:bookmarkEnd w:id="70"/>
      <w:bookmarkEnd w:id="71"/>
      <w:bookmarkEnd w:id="72"/>
      <w:bookmarkEnd w:id="73"/>
    </w:p>
    <w:p w14:paraId="1FC1D9B0" w14:textId="5404F7FF" w:rsidR="006C7DA7" w:rsidRDefault="006C7DA7" w:rsidP="00F53A05">
      <w:pPr>
        <w:pStyle w:val="Heading3"/>
      </w:pPr>
      <w:r>
        <w:t>6.1</w:t>
      </w:r>
      <w:r w:rsidRPr="006E3B7E">
        <w:t xml:space="preserve"> </w:t>
      </w:r>
      <w:r>
        <w:t>Consultation process</w:t>
      </w:r>
    </w:p>
    <w:p w14:paraId="5DAACBC6" w14:textId="0ED62A25" w:rsidR="004267BC" w:rsidRDefault="004267BC" w:rsidP="00DB1604">
      <w:pPr>
        <w:spacing w:after="40"/>
        <w:jc w:val="both"/>
      </w:pPr>
      <w:r w:rsidRPr="00E67A4C">
        <w:t>During 2018, two rounds of consultation with Australian food industry, public health organisations and consumer representatives were undertaken. New Zealand stakeholders were not consulted as menu labelling had not been mandated</w:t>
      </w:r>
      <w:r w:rsidR="0058007B">
        <w:t>, nor was voluntary implementation being actively encouraged.</w:t>
      </w:r>
      <w:r w:rsidR="00B67691">
        <w:t xml:space="preserve"> </w:t>
      </w:r>
      <w:r w:rsidR="00B67691" w:rsidRPr="00E67A4C">
        <w:t>The outcomes from these rounds of consultation shaped the options</w:t>
      </w:r>
      <w:r w:rsidR="00B67691">
        <w:t xml:space="preserve"> in this paper</w:t>
      </w:r>
      <w:r w:rsidR="00B67691" w:rsidRPr="00E67A4C">
        <w:t xml:space="preserve">. </w:t>
      </w:r>
      <w:r w:rsidR="00B67691">
        <w:t>H</w:t>
      </w:r>
      <w:r w:rsidR="00B67691" w:rsidRPr="00E67A4C">
        <w:t xml:space="preserve">ow these stakeholder views </w:t>
      </w:r>
      <w:r w:rsidR="00B67691">
        <w:t>were</w:t>
      </w:r>
      <w:r w:rsidR="00B67691" w:rsidRPr="00E67A4C">
        <w:t xml:space="preserve"> considered and incorporated in the options</w:t>
      </w:r>
      <w:r w:rsidR="00B67691">
        <w:t xml:space="preserve"> is described in Appendix </w:t>
      </w:r>
      <w:r w:rsidR="00BC7CAB">
        <w:t>6</w:t>
      </w:r>
      <w:r w:rsidR="00DB1604">
        <w:t>.</w:t>
      </w:r>
    </w:p>
    <w:p w14:paraId="6C3DCE93" w14:textId="77777777" w:rsidR="00DB1604" w:rsidRPr="004267BC" w:rsidRDefault="00DB1604" w:rsidP="00DB1604">
      <w:pPr>
        <w:spacing w:after="40"/>
        <w:jc w:val="both"/>
      </w:pPr>
    </w:p>
    <w:p w14:paraId="2495B163" w14:textId="3031173A" w:rsidR="00CC23A4" w:rsidRPr="000A001A" w:rsidRDefault="003D382A" w:rsidP="00F601D5">
      <w:pPr>
        <w:jc w:val="both"/>
      </w:pPr>
      <w:r>
        <w:t xml:space="preserve">A </w:t>
      </w:r>
      <w:r w:rsidR="00DB1604">
        <w:t xml:space="preserve">subsequent </w:t>
      </w:r>
      <w:r>
        <w:t xml:space="preserve">public consultation process was undertaken </w:t>
      </w:r>
      <w:r w:rsidR="00CC23A4">
        <w:t xml:space="preserve">for eight weeks from </w:t>
      </w:r>
      <w:r>
        <w:t>8 April to 3 June 2021. Australian and New Zealand stakeholders were invited to respond via the Australian Government Consultation Hub to 22 questions in the CRIS</w:t>
      </w:r>
      <w:r w:rsidR="002E0324">
        <w:t xml:space="preserve"> </w:t>
      </w:r>
      <w:r w:rsidR="002E0324" w:rsidRPr="000A001A">
        <w:t>to inform the development of policy guidance and an effective policy framework for consistent menu labelling</w:t>
      </w:r>
      <w:r w:rsidRPr="000A001A">
        <w:t xml:space="preserve">. The consultation opportunity was promoted to </w:t>
      </w:r>
      <w:r w:rsidR="00223335" w:rsidRPr="000A001A">
        <w:t xml:space="preserve">Australian and New Zealand </w:t>
      </w:r>
      <w:r w:rsidRPr="000A001A">
        <w:t>stakeholders via an email from the Food Regulation Secretariat; and via the government food regulation website</w:t>
      </w:r>
      <w:r w:rsidR="002804B8" w:rsidRPr="000A001A">
        <w:t>.</w:t>
      </w:r>
      <w:r w:rsidRPr="000A001A">
        <w:rPr>
          <w:rStyle w:val="FootnoteReference"/>
        </w:rPr>
        <w:footnoteReference w:id="130"/>
      </w:r>
      <w:r w:rsidR="00CC23A4" w:rsidRPr="000A001A">
        <w:t xml:space="preserve"> </w:t>
      </w:r>
      <w:r w:rsidR="00971FBE" w:rsidRPr="000A001A">
        <w:t xml:space="preserve">The New Zealand Ministry of Primary Industries also promoted the consultation </w:t>
      </w:r>
      <w:r w:rsidR="00223335" w:rsidRPr="000A001A">
        <w:t xml:space="preserve">specifically </w:t>
      </w:r>
      <w:r w:rsidR="00971FBE" w:rsidRPr="000A001A">
        <w:t>to New Zealand stakeh</w:t>
      </w:r>
      <w:r w:rsidR="00223335" w:rsidRPr="000A001A">
        <w:t xml:space="preserve">olders. </w:t>
      </w:r>
    </w:p>
    <w:p w14:paraId="1CB1C375" w14:textId="77777777" w:rsidR="00CC23A4" w:rsidRPr="000A001A" w:rsidRDefault="00CC23A4" w:rsidP="00F601D5">
      <w:pPr>
        <w:jc w:val="both"/>
      </w:pPr>
    </w:p>
    <w:p w14:paraId="3BBAC52F" w14:textId="559BD586" w:rsidR="00CC23A4" w:rsidRPr="000A001A" w:rsidRDefault="00CC23A4" w:rsidP="00F601D5">
      <w:pPr>
        <w:jc w:val="both"/>
      </w:pPr>
      <w:r w:rsidRPr="000A001A">
        <w:t>A one-week extension to 10 June 2021 was granted to 10 organisations (most requests for an extension were due to the FSANZ Act Review consultation overlapping with the menu labelling consultation). A total of 26 submissions were received:</w:t>
      </w:r>
    </w:p>
    <w:p w14:paraId="50F28729" w14:textId="12338E9E" w:rsidR="00CC23A4" w:rsidRPr="000A001A" w:rsidRDefault="00CC23A4" w:rsidP="0055688D">
      <w:pPr>
        <w:pStyle w:val="ListParagraph"/>
        <w:numPr>
          <w:ilvl w:val="0"/>
          <w:numId w:val="32"/>
        </w:numPr>
        <w:jc w:val="both"/>
      </w:pPr>
      <w:r w:rsidRPr="000A001A">
        <w:t>Food industry in Australia: 7 submissions</w:t>
      </w:r>
    </w:p>
    <w:p w14:paraId="16E8CDD6" w14:textId="4392E54F" w:rsidR="00CC23A4" w:rsidRPr="000A001A" w:rsidRDefault="00CC23A4" w:rsidP="0055688D">
      <w:pPr>
        <w:pStyle w:val="ListParagraph"/>
        <w:numPr>
          <w:ilvl w:val="0"/>
          <w:numId w:val="32"/>
        </w:numPr>
        <w:jc w:val="both"/>
      </w:pPr>
      <w:r w:rsidRPr="000A001A">
        <w:t>Food industry in New Zealand: 4 submissions</w:t>
      </w:r>
    </w:p>
    <w:p w14:paraId="6ECA123D" w14:textId="4ED8E25E" w:rsidR="00CC23A4" w:rsidRPr="000A001A" w:rsidRDefault="00CC23A4" w:rsidP="0055688D">
      <w:pPr>
        <w:pStyle w:val="ListParagraph"/>
        <w:numPr>
          <w:ilvl w:val="0"/>
          <w:numId w:val="32"/>
        </w:numPr>
        <w:jc w:val="both"/>
      </w:pPr>
      <w:r w:rsidRPr="000A001A">
        <w:t xml:space="preserve">Public health and consumer organisations in Australia: 8 submissions </w:t>
      </w:r>
    </w:p>
    <w:p w14:paraId="5610F04A" w14:textId="0DAFD7E3" w:rsidR="00CC23A4" w:rsidRPr="000A001A" w:rsidRDefault="00CC23A4" w:rsidP="0055688D">
      <w:pPr>
        <w:pStyle w:val="ListParagraph"/>
        <w:numPr>
          <w:ilvl w:val="0"/>
          <w:numId w:val="32"/>
        </w:numPr>
        <w:jc w:val="both"/>
      </w:pPr>
      <w:r w:rsidRPr="000A001A">
        <w:t>Public health organisations in New Zealand: 3 submissions</w:t>
      </w:r>
    </w:p>
    <w:p w14:paraId="25DA40AA" w14:textId="74EA0BFB" w:rsidR="00CC23A4" w:rsidRPr="000A001A" w:rsidRDefault="00CC23A4" w:rsidP="0055688D">
      <w:pPr>
        <w:pStyle w:val="ListParagraph"/>
        <w:numPr>
          <w:ilvl w:val="0"/>
          <w:numId w:val="32"/>
        </w:numPr>
        <w:jc w:val="both"/>
      </w:pPr>
      <w:r w:rsidRPr="000A001A">
        <w:t>Australian community members: 2 submissions</w:t>
      </w:r>
    </w:p>
    <w:p w14:paraId="3F21273B" w14:textId="0970A2B2" w:rsidR="00CC23A4" w:rsidRPr="000A001A" w:rsidRDefault="00CC23A4" w:rsidP="0055688D">
      <w:pPr>
        <w:pStyle w:val="ListParagraph"/>
        <w:numPr>
          <w:ilvl w:val="0"/>
          <w:numId w:val="32"/>
        </w:numPr>
        <w:jc w:val="both"/>
      </w:pPr>
      <w:r w:rsidRPr="000A001A">
        <w:t>Australian state governments: 2 submissions.</w:t>
      </w:r>
    </w:p>
    <w:p w14:paraId="411E4B86" w14:textId="1B27D72C" w:rsidR="00CC23A4" w:rsidRPr="000A001A" w:rsidRDefault="00CC23A4" w:rsidP="00F601D5">
      <w:pPr>
        <w:jc w:val="both"/>
      </w:pPr>
    </w:p>
    <w:p w14:paraId="02A7D6E9" w14:textId="3A66CF57" w:rsidR="00036EAE" w:rsidRPr="000A001A" w:rsidRDefault="00AB344D" w:rsidP="00F601D5">
      <w:pPr>
        <w:jc w:val="both"/>
      </w:pPr>
      <w:r w:rsidRPr="000A001A">
        <w:t xml:space="preserve">It is important to note, that not all business types that may be required to implement menu labelling made a submission </w:t>
      </w:r>
      <w:r w:rsidR="00F34EF8" w:rsidRPr="000A001A">
        <w:t xml:space="preserve">to the </w:t>
      </w:r>
      <w:r w:rsidR="000E494E" w:rsidRPr="000A001A">
        <w:t xml:space="preserve">public </w:t>
      </w:r>
      <w:r w:rsidR="00F34EF8" w:rsidRPr="000A001A">
        <w:t>CRIS.</w:t>
      </w:r>
      <w:r w:rsidR="009D316A" w:rsidRPr="000A001A">
        <w:t xml:space="preserve"> </w:t>
      </w:r>
      <w:r w:rsidR="00E72A66" w:rsidRPr="000A001A">
        <w:t>However, if any of the proposed options were progressed, it is likely that further public and/or targeted consultation may be undertaken</w:t>
      </w:r>
      <w:r w:rsidR="005E7228" w:rsidRPr="000A001A">
        <w:t xml:space="preserve"> on how the option </w:t>
      </w:r>
      <w:r w:rsidR="008E37CE" w:rsidRPr="000A001A">
        <w:t>will be implemented</w:t>
      </w:r>
      <w:r w:rsidR="00E72A66" w:rsidRPr="000A001A">
        <w:t xml:space="preserve">. </w:t>
      </w:r>
      <w:r w:rsidR="005B5C3E" w:rsidRPr="000A001A">
        <w:t>For example, under Option 3, FSANZ must abide by legislated processes to develop food regulatory meas</w:t>
      </w:r>
      <w:r w:rsidR="00B64ED3" w:rsidRPr="000A001A">
        <w:t>u</w:t>
      </w:r>
      <w:r w:rsidR="005B5C3E" w:rsidRPr="000A001A">
        <w:t>res</w:t>
      </w:r>
      <w:r w:rsidR="00B64ED3" w:rsidRPr="000A001A">
        <w:t>. These processes include stakeholder consultation. Therefore, other</w:t>
      </w:r>
      <w:r w:rsidR="00370C11" w:rsidRPr="000A001A">
        <w:t xml:space="preserve"> business types would have another opportunity to inform menu labelling. </w:t>
      </w:r>
      <w:r w:rsidR="00B64ED3" w:rsidRPr="000A001A">
        <w:t>The timing of any consultation is unknown.</w:t>
      </w:r>
      <w:r w:rsidR="00B05B86" w:rsidRPr="000A001A">
        <w:t xml:space="preserve"> </w:t>
      </w:r>
    </w:p>
    <w:p w14:paraId="3452118D" w14:textId="77777777" w:rsidR="00036EAE" w:rsidRPr="000A001A" w:rsidRDefault="00036EAE" w:rsidP="00F601D5">
      <w:pPr>
        <w:jc w:val="both"/>
      </w:pPr>
    </w:p>
    <w:p w14:paraId="3C23E660" w14:textId="2DE1797C" w:rsidR="003D382A" w:rsidRPr="000A001A" w:rsidRDefault="00CC23A4" w:rsidP="00F601D5">
      <w:pPr>
        <w:jc w:val="both"/>
      </w:pPr>
      <w:bookmarkStart w:id="74" w:name="_Hlk88212672"/>
      <w:r w:rsidRPr="000A001A">
        <w:t xml:space="preserve">Submissions were analysed by officers from the Queensland Department of Health, Australian Government Department of Health, Tasmanian Department of Health and New Zealand Ministry of Primary Industries. Each officer analysed the responses for </w:t>
      </w:r>
      <w:r w:rsidR="00FE50E2" w:rsidRPr="000A001A">
        <w:t>four to eight</w:t>
      </w:r>
      <w:r w:rsidRPr="000A001A">
        <w:t xml:space="preserve"> questions</w:t>
      </w:r>
      <w:r w:rsidR="003C01EE" w:rsidRPr="000A001A">
        <w:t xml:space="preserve"> </w:t>
      </w:r>
      <w:r w:rsidR="00056221" w:rsidRPr="000A001A">
        <w:t xml:space="preserve">each </w:t>
      </w:r>
      <w:r w:rsidR="003C01EE" w:rsidRPr="000A001A">
        <w:t>a</w:t>
      </w:r>
      <w:r w:rsidRPr="000A001A">
        <w:t xml:space="preserve">nd drafted </w:t>
      </w:r>
      <w:r w:rsidR="003C01EE" w:rsidRPr="000A001A">
        <w:t xml:space="preserve">an overall summary of the responses for each question (refer to Appendix </w:t>
      </w:r>
      <w:r w:rsidR="00BC7CAB" w:rsidRPr="000A001A">
        <w:t>7</w:t>
      </w:r>
      <w:r w:rsidR="003C01EE" w:rsidRPr="000A001A">
        <w:t xml:space="preserve">). The officer from Queensland Department of Health also read all submissions to ensure that all views were captured by the response summaries; and incorporated the stakeholder views when drafting this paper. </w:t>
      </w:r>
      <w:r w:rsidR="00817174" w:rsidRPr="000A001A">
        <w:t>O</w:t>
      </w:r>
      <w:r w:rsidR="003C01EE" w:rsidRPr="000A001A">
        <w:t xml:space="preserve">fficers from all Australian and New Zealand jurisdictions </w:t>
      </w:r>
      <w:r w:rsidR="00B70F60" w:rsidRPr="000A001A">
        <w:t xml:space="preserve">and the Food Regulation System Priority 2 Advisory Group </w:t>
      </w:r>
      <w:r w:rsidR="003C01EE" w:rsidRPr="000A001A">
        <w:t xml:space="preserve">were invited to provide feedback on the draft DRIS, with feedback received from </w:t>
      </w:r>
      <w:r w:rsidR="00DB54FC" w:rsidRPr="000A001A">
        <w:t>all jurisdictions</w:t>
      </w:r>
      <w:r w:rsidR="003C01EE" w:rsidRPr="000A001A">
        <w:t xml:space="preserve">. </w:t>
      </w:r>
    </w:p>
    <w:p w14:paraId="55C714C2" w14:textId="77777777" w:rsidR="007D39B0" w:rsidRPr="000A001A" w:rsidRDefault="007D39B0" w:rsidP="00F601D5">
      <w:pPr>
        <w:jc w:val="both"/>
      </w:pPr>
    </w:p>
    <w:bookmarkEnd w:id="74"/>
    <w:p w14:paraId="0374E2E9" w14:textId="56EBD08A" w:rsidR="006C7DA7" w:rsidRPr="000A001A" w:rsidRDefault="006C7DA7" w:rsidP="00F53A05">
      <w:pPr>
        <w:pStyle w:val="Heading3"/>
      </w:pPr>
      <w:r w:rsidRPr="000A001A">
        <w:t xml:space="preserve">6.2 Overall </w:t>
      </w:r>
      <w:r w:rsidR="00B5690D" w:rsidRPr="000A001A">
        <w:t xml:space="preserve">stakeholder </w:t>
      </w:r>
      <w:r w:rsidR="000957B2" w:rsidRPr="000A001A">
        <w:t>views in</w:t>
      </w:r>
      <w:r w:rsidR="005C1A25" w:rsidRPr="000A001A">
        <w:t xml:space="preserve"> 2021</w:t>
      </w:r>
    </w:p>
    <w:p w14:paraId="498908B3" w14:textId="1B0E9EFD" w:rsidR="006C7DA7" w:rsidRPr="000A001A" w:rsidRDefault="006C7DA7" w:rsidP="00796C0D">
      <w:pPr>
        <w:jc w:val="both"/>
      </w:pPr>
      <w:r w:rsidRPr="000A001A">
        <w:t>The CRIS formed the basis of this paper, with sections of the CRIS revised to reflect the evidence received through the consultation process. Responses to the consultation are incorporated in the relevant sections above.</w:t>
      </w:r>
      <w:r w:rsidR="007C7A99" w:rsidRPr="000A001A">
        <w:t xml:space="preserve"> Outlined below </w:t>
      </w:r>
      <w:r w:rsidR="00D80F7F" w:rsidRPr="000A001A">
        <w:t xml:space="preserve">are </w:t>
      </w:r>
      <w:r w:rsidR="0049535F" w:rsidRPr="000A001A">
        <w:t xml:space="preserve">overall </w:t>
      </w:r>
      <w:r w:rsidR="00D80F7F" w:rsidRPr="000A001A">
        <w:t>stakeholder views on each option.</w:t>
      </w:r>
    </w:p>
    <w:p w14:paraId="43D50DE4" w14:textId="5F82B9B2" w:rsidR="006C7DA7" w:rsidRPr="000A001A" w:rsidRDefault="006C7DA7" w:rsidP="006C7DA7"/>
    <w:p w14:paraId="351AC1A6" w14:textId="1F4DA7B4" w:rsidR="006C7DA7" w:rsidRPr="000A001A" w:rsidRDefault="003D382A" w:rsidP="006C7DA7">
      <w:pPr>
        <w:rPr>
          <w:i/>
          <w:iCs/>
        </w:rPr>
      </w:pPr>
      <w:r w:rsidRPr="000A001A">
        <w:rPr>
          <w:i/>
          <w:iCs/>
        </w:rPr>
        <w:t>Views of industry</w:t>
      </w:r>
    </w:p>
    <w:p w14:paraId="4C3D186C" w14:textId="287756D6" w:rsidR="00972A0D" w:rsidRPr="000A001A" w:rsidRDefault="009D6C18" w:rsidP="00972A0D">
      <w:pPr>
        <w:jc w:val="both"/>
        <w:rPr>
          <w:lang w:eastAsia="en-AU"/>
        </w:rPr>
      </w:pPr>
      <w:bookmarkStart w:id="75" w:name="_Hlk88223589"/>
      <w:r w:rsidRPr="000A001A">
        <w:t>There were mixed views among industry stakeholders</w:t>
      </w:r>
      <w:r w:rsidR="00EB1A1F" w:rsidRPr="000A001A">
        <w:t xml:space="preserve"> </w:t>
      </w:r>
      <w:r w:rsidR="00874819" w:rsidRPr="000A001A">
        <w:t xml:space="preserve">(11 submissions) </w:t>
      </w:r>
      <w:r w:rsidR="00EB1A1F" w:rsidRPr="000A001A">
        <w:t>about what was the best option to address menu labelling in Australia and New Zealand.</w:t>
      </w:r>
      <w:r w:rsidR="001E5916" w:rsidRPr="000A001A">
        <w:t xml:space="preserve"> </w:t>
      </w:r>
      <w:r w:rsidR="00972A0D" w:rsidRPr="000A001A">
        <w:t xml:space="preserve">Five </w:t>
      </w:r>
      <w:r w:rsidR="00972A0D" w:rsidRPr="000A001A">
        <w:rPr>
          <w:lang w:eastAsia="en-AU"/>
        </w:rPr>
        <w:t xml:space="preserve">industry organisations across Australia and New Zealand (two quick service chains, two advertising peak bodies, one retail peak body) supported </w:t>
      </w:r>
      <w:r w:rsidR="00DA21C3" w:rsidRPr="000A001A">
        <w:rPr>
          <w:lang w:eastAsia="en-AU"/>
        </w:rPr>
        <w:t>Option 2</w:t>
      </w:r>
      <w:r w:rsidR="00564C05" w:rsidRPr="000A001A">
        <w:rPr>
          <w:lang w:eastAsia="en-AU"/>
        </w:rPr>
        <w:t xml:space="preserve">, </w:t>
      </w:r>
      <w:r w:rsidR="001E4323" w:rsidRPr="000A001A">
        <w:rPr>
          <w:lang w:eastAsia="en-AU"/>
        </w:rPr>
        <w:t xml:space="preserve">with some indicating their </w:t>
      </w:r>
      <w:r w:rsidR="00564C05" w:rsidRPr="000A001A">
        <w:rPr>
          <w:lang w:eastAsia="en-AU"/>
        </w:rPr>
        <w:t xml:space="preserve">support for </w:t>
      </w:r>
      <w:r w:rsidR="00972A0D" w:rsidRPr="000A001A">
        <w:rPr>
          <w:lang w:eastAsia="en-AU"/>
        </w:rPr>
        <w:t xml:space="preserve">a consistent approach by jurisdictions, </w:t>
      </w:r>
      <w:r w:rsidR="001E4323" w:rsidRPr="000A001A">
        <w:rPr>
          <w:lang w:eastAsia="en-AU"/>
        </w:rPr>
        <w:t>and some noting</w:t>
      </w:r>
      <w:r w:rsidR="00972A0D" w:rsidRPr="000A001A">
        <w:rPr>
          <w:lang w:eastAsia="en-AU"/>
        </w:rPr>
        <w:t xml:space="preserve"> that adopting the New South Wales menu labelling regulation would be most efficient</w:t>
      </w:r>
      <w:r w:rsidR="003A2961" w:rsidRPr="000A001A">
        <w:rPr>
          <w:lang w:eastAsia="en-AU"/>
        </w:rPr>
        <w:t>.</w:t>
      </w:r>
      <w:r w:rsidR="00006BFB" w:rsidRPr="000A001A">
        <w:rPr>
          <w:lang w:eastAsia="en-AU"/>
        </w:rPr>
        <w:t xml:space="preserve"> </w:t>
      </w:r>
      <w:bookmarkStart w:id="76" w:name="_Hlk88223721"/>
      <w:r w:rsidR="00456902" w:rsidRPr="000A001A">
        <w:t>Four of these five industry stakeholders were supportive of a national, consistent approach</w:t>
      </w:r>
      <w:r w:rsidR="004C0EC0" w:rsidRPr="000A001A">
        <w:t>.</w:t>
      </w:r>
      <w:r w:rsidR="00833EDB" w:rsidRPr="000A001A">
        <w:t xml:space="preserve"> </w:t>
      </w:r>
      <w:bookmarkEnd w:id="76"/>
      <w:r w:rsidR="00006BFB" w:rsidRPr="000A001A">
        <w:rPr>
          <w:lang w:eastAsia="en-AU"/>
        </w:rPr>
        <w:t>A further three organisations in Australia and New Zealand (</w:t>
      </w:r>
      <w:r w:rsidR="001E5916" w:rsidRPr="000A001A">
        <w:rPr>
          <w:lang w:eastAsia="en-AU"/>
        </w:rPr>
        <w:t>one quick service chain, one grocery chain, one peak body)</w:t>
      </w:r>
      <w:r w:rsidR="00FD0A69" w:rsidRPr="000A001A">
        <w:rPr>
          <w:lang w:eastAsia="en-AU"/>
        </w:rPr>
        <w:t xml:space="preserve"> supported Option 3</w:t>
      </w:r>
      <w:r w:rsidR="00370AF2" w:rsidRPr="000A001A">
        <w:rPr>
          <w:lang w:eastAsia="en-AU"/>
        </w:rPr>
        <w:t>, noting</w:t>
      </w:r>
      <w:r w:rsidR="00521CA5" w:rsidRPr="000A001A">
        <w:rPr>
          <w:lang w:eastAsia="en-AU"/>
        </w:rPr>
        <w:t xml:space="preserve"> it would mean menu labelling was consistent and compulsory</w:t>
      </w:r>
      <w:r w:rsidR="0059381F" w:rsidRPr="000A001A">
        <w:rPr>
          <w:lang w:eastAsia="en-AU"/>
        </w:rPr>
        <w:t>, increasing likelihood of all jurisdictions implementing menu labelling.</w:t>
      </w:r>
    </w:p>
    <w:p w14:paraId="2A943BE2" w14:textId="13CA103E" w:rsidR="00917705" w:rsidRPr="000A001A" w:rsidRDefault="00917705" w:rsidP="00972A0D">
      <w:pPr>
        <w:jc w:val="both"/>
        <w:rPr>
          <w:lang w:eastAsia="en-AU"/>
        </w:rPr>
      </w:pPr>
    </w:p>
    <w:p w14:paraId="0ADD4288" w14:textId="53B0D7F9" w:rsidR="005C0916" w:rsidRPr="000A001A" w:rsidRDefault="005C0916" w:rsidP="005C0916">
      <w:pPr>
        <w:spacing w:after="40"/>
        <w:jc w:val="both"/>
      </w:pPr>
      <w:r w:rsidRPr="000A001A">
        <w:rPr>
          <w:lang w:eastAsia="en-AU"/>
        </w:rPr>
        <w:t>Maintaining the status quo was preferred by one New Zealand food industry organisation (a peak body), which noted that the consultation process was focused on Australian problems and did not consider alternative approaches for addressing healthy options in quick service restaurants.</w:t>
      </w:r>
      <w:r w:rsidR="00AC0F7F" w:rsidRPr="000A001A">
        <w:rPr>
          <w:lang w:eastAsia="en-AU"/>
        </w:rPr>
        <w:t xml:space="preserve"> </w:t>
      </w:r>
      <w:r w:rsidR="00B735E6" w:rsidRPr="000A001A">
        <w:rPr>
          <w:lang w:eastAsia="en-AU"/>
        </w:rPr>
        <w:t xml:space="preserve">Option 4 had support from one Australian food industry organisation (a quick </w:t>
      </w:r>
      <w:r w:rsidR="00B735E6" w:rsidRPr="000A001A">
        <w:rPr>
          <w:lang w:eastAsia="en-AU"/>
        </w:rPr>
        <w:lastRenderedPageBreak/>
        <w:t>service chain implementing menu labelling)</w:t>
      </w:r>
      <w:r w:rsidR="00EE2D4E" w:rsidRPr="000A001A">
        <w:rPr>
          <w:lang w:eastAsia="en-AU"/>
        </w:rPr>
        <w:t xml:space="preserve"> as it allows industry to decide how menu labelling is implemented.</w:t>
      </w:r>
      <w:r w:rsidR="00B735E6" w:rsidRPr="000A001A">
        <w:rPr>
          <w:lang w:eastAsia="en-AU"/>
        </w:rPr>
        <w:t xml:space="preserve"> </w:t>
      </w:r>
      <w:r w:rsidR="007724EE" w:rsidRPr="000A001A">
        <w:rPr>
          <w:lang w:eastAsia="en-AU"/>
        </w:rPr>
        <w:t>One Australian food industry organisation (</w:t>
      </w:r>
      <w:r w:rsidR="00007A37" w:rsidRPr="000A001A">
        <w:rPr>
          <w:lang w:eastAsia="en-AU"/>
        </w:rPr>
        <w:t xml:space="preserve">a </w:t>
      </w:r>
      <w:r w:rsidR="007724EE" w:rsidRPr="000A001A">
        <w:rPr>
          <w:lang w:eastAsia="en-AU"/>
        </w:rPr>
        <w:t>quick service chain)</w:t>
      </w:r>
      <w:r w:rsidR="00007A37" w:rsidRPr="000A001A">
        <w:rPr>
          <w:lang w:eastAsia="en-AU"/>
        </w:rPr>
        <w:t xml:space="preserve"> did not have a firm view </w:t>
      </w:r>
      <w:r w:rsidR="00332B08" w:rsidRPr="000A001A">
        <w:t>but suggest</w:t>
      </w:r>
      <w:r w:rsidR="00110C6E" w:rsidRPr="000A001A">
        <w:t>ed</w:t>
      </w:r>
      <w:r w:rsidR="00332B08" w:rsidRPr="000A001A">
        <w:t xml:space="preserve"> that </w:t>
      </w:r>
      <w:r w:rsidR="002210C8" w:rsidRPr="000A001A">
        <w:t xml:space="preserve">the government could either set a standard all jurisdictions follow or allow businesses to decide </w:t>
      </w:r>
      <w:r w:rsidR="00332B08" w:rsidRPr="000A001A">
        <w:t xml:space="preserve">how to best display </w:t>
      </w:r>
      <w:r w:rsidR="001206D8" w:rsidRPr="000A001A">
        <w:t xml:space="preserve">energy </w:t>
      </w:r>
      <w:r w:rsidR="00332B08" w:rsidRPr="000A001A">
        <w:t>information.</w:t>
      </w:r>
    </w:p>
    <w:bookmarkEnd w:id="75"/>
    <w:p w14:paraId="0BE8A1D0" w14:textId="77777777" w:rsidR="002210C8" w:rsidRPr="000A001A" w:rsidRDefault="002210C8" w:rsidP="006C7DA7"/>
    <w:p w14:paraId="751F94FD" w14:textId="3010B47B" w:rsidR="003D382A" w:rsidRPr="000A001A" w:rsidRDefault="003D382A" w:rsidP="006C7DA7">
      <w:pPr>
        <w:rPr>
          <w:i/>
          <w:iCs/>
        </w:rPr>
      </w:pPr>
      <w:r w:rsidRPr="000A001A">
        <w:rPr>
          <w:i/>
          <w:iCs/>
        </w:rPr>
        <w:t>Views of public health</w:t>
      </w:r>
      <w:r w:rsidR="004F0692" w:rsidRPr="000A001A">
        <w:rPr>
          <w:i/>
          <w:iCs/>
        </w:rPr>
        <w:t xml:space="preserve"> and </w:t>
      </w:r>
      <w:r w:rsidRPr="000A001A">
        <w:rPr>
          <w:i/>
          <w:iCs/>
        </w:rPr>
        <w:t>consumer organisations</w:t>
      </w:r>
      <w:r w:rsidR="00480A81" w:rsidRPr="000A001A">
        <w:rPr>
          <w:i/>
          <w:iCs/>
        </w:rPr>
        <w:t>, community members and Australian state governments</w:t>
      </w:r>
      <w:r w:rsidRPr="000A001A">
        <w:rPr>
          <w:i/>
          <w:iCs/>
        </w:rPr>
        <w:t xml:space="preserve"> </w:t>
      </w:r>
    </w:p>
    <w:p w14:paraId="1674FBAA" w14:textId="3C388924" w:rsidR="008003B7" w:rsidRPr="000A001A" w:rsidRDefault="00467FB7" w:rsidP="008003B7">
      <w:pPr>
        <w:spacing w:after="40"/>
        <w:jc w:val="both"/>
      </w:pPr>
      <w:r w:rsidRPr="000A001A">
        <w:t>All</w:t>
      </w:r>
      <w:r w:rsidR="00EC624F" w:rsidRPr="000A001A">
        <w:t xml:space="preserve"> </w:t>
      </w:r>
      <w:r w:rsidR="00370AF2" w:rsidRPr="000A001A">
        <w:t>submissions from 10</w:t>
      </w:r>
      <w:r w:rsidR="006562AD" w:rsidRPr="000A001A">
        <w:t xml:space="preserve"> </w:t>
      </w:r>
      <w:r w:rsidR="00EC624F" w:rsidRPr="000A001A">
        <w:t>public health and consumer organisations in Australia and New Zealand</w:t>
      </w:r>
      <w:r w:rsidR="00681F4C" w:rsidRPr="000A001A">
        <w:t>, two Australian state governments (noting other jurisdictions did not make submissions)</w:t>
      </w:r>
      <w:r w:rsidR="005E1A4B" w:rsidRPr="000A001A">
        <w:t xml:space="preserve"> </w:t>
      </w:r>
      <w:r w:rsidR="00681F4C" w:rsidRPr="000A001A">
        <w:t xml:space="preserve">and </w:t>
      </w:r>
      <w:r w:rsidR="004A1A9F" w:rsidRPr="000A001A">
        <w:t xml:space="preserve">one member of the Australian public </w:t>
      </w:r>
      <w:r w:rsidR="005E1A4B" w:rsidRPr="000A001A">
        <w:t xml:space="preserve">considered that </w:t>
      </w:r>
      <w:r w:rsidR="00CB2541" w:rsidRPr="000A001A">
        <w:t xml:space="preserve">regulating via the Food Standards Code (Option 3) was the </w:t>
      </w:r>
      <w:r w:rsidR="00E7049D" w:rsidRPr="000A001A">
        <w:t>preferred option</w:t>
      </w:r>
      <w:r w:rsidR="000A5EFF" w:rsidRPr="000A001A">
        <w:t xml:space="preserve"> as it </w:t>
      </w:r>
      <w:r w:rsidR="00A4013D" w:rsidRPr="000A001A">
        <w:t>was</w:t>
      </w:r>
      <w:r w:rsidR="000A5EFF" w:rsidRPr="000A001A">
        <w:t xml:space="preserve"> the only one t</w:t>
      </w:r>
      <w:r w:rsidR="00A4013D" w:rsidRPr="000A001A">
        <w:t>hat could</w:t>
      </w:r>
      <w:r w:rsidR="00CB2541" w:rsidRPr="000A001A">
        <w:t xml:space="preserve"> address the </w:t>
      </w:r>
      <w:r w:rsidR="00CD2193" w:rsidRPr="000A001A">
        <w:t xml:space="preserve">identified </w:t>
      </w:r>
      <w:r w:rsidR="00CB2541" w:rsidRPr="000A001A">
        <w:t>p</w:t>
      </w:r>
      <w:r w:rsidR="00CD2193" w:rsidRPr="000A001A">
        <w:t>roblems</w:t>
      </w:r>
      <w:r w:rsidR="00023F4E" w:rsidRPr="000A001A">
        <w:t>. It was also considered that this option would be</w:t>
      </w:r>
      <w:r w:rsidR="004874EF" w:rsidRPr="000A001A">
        <w:t xml:space="preserve"> </w:t>
      </w:r>
      <w:r w:rsidR="00AC3002" w:rsidRPr="000A001A">
        <w:t xml:space="preserve">best </w:t>
      </w:r>
      <w:r w:rsidR="004874EF" w:rsidRPr="000A001A">
        <w:t>for</w:t>
      </w:r>
      <w:r w:rsidR="00FF74AE" w:rsidRPr="000A001A">
        <w:t xml:space="preserve"> </w:t>
      </w:r>
      <w:r w:rsidR="0051455A" w:rsidRPr="000A001A">
        <w:t xml:space="preserve">all </w:t>
      </w:r>
      <w:r w:rsidR="00FF74AE" w:rsidRPr="000A001A">
        <w:t>consumers</w:t>
      </w:r>
      <w:r w:rsidR="0051455A" w:rsidRPr="000A001A">
        <w:t xml:space="preserve"> as consistent implementation across all jurisdictions would enable access to energy information and easier </w:t>
      </w:r>
      <w:r w:rsidR="00C67D66" w:rsidRPr="000A001A">
        <w:t xml:space="preserve">comparison of menu items to make informed and healthier choices at the point-of-sale. </w:t>
      </w:r>
      <w:r w:rsidR="000A5EFF" w:rsidRPr="000A001A">
        <w:t>Stakeholders</w:t>
      </w:r>
      <w:r w:rsidR="00C67D66" w:rsidRPr="000A001A">
        <w:t xml:space="preserve"> also noted that </w:t>
      </w:r>
      <w:r w:rsidR="00FF74AE" w:rsidRPr="000A001A">
        <w:t>business</w:t>
      </w:r>
      <w:r w:rsidR="00230EC2" w:rsidRPr="000A001A">
        <w:t>es would operate in a more level playing field</w:t>
      </w:r>
      <w:r w:rsidR="00D80F7F" w:rsidRPr="000A001A">
        <w:t xml:space="preserve"> </w:t>
      </w:r>
      <w:r w:rsidR="00230EC2" w:rsidRPr="000A001A">
        <w:t>and would experience reduced regulatory costs compared to the costs associated with implementing different regulat</w:t>
      </w:r>
      <w:r w:rsidR="004F0692" w:rsidRPr="000A001A">
        <w:t>ion.</w:t>
      </w:r>
      <w:r w:rsidR="004A1A9F" w:rsidRPr="000A001A">
        <w:t xml:space="preserve"> More consistent enforcement and monitoring </w:t>
      </w:r>
      <w:r w:rsidR="00AA7824" w:rsidRPr="000A001A">
        <w:t>was also considered to be associated with Option 3.</w:t>
      </w:r>
      <w:r w:rsidR="00A101B6" w:rsidRPr="000A001A">
        <w:t xml:space="preserve"> </w:t>
      </w:r>
      <w:r w:rsidR="00E1066F" w:rsidRPr="000A001A">
        <w:t xml:space="preserve">In implementing </w:t>
      </w:r>
      <w:r w:rsidR="00E5392B" w:rsidRPr="000A001A">
        <w:t xml:space="preserve">Option 3 it was recommended that </w:t>
      </w:r>
      <w:r w:rsidR="005229B7" w:rsidRPr="000A001A">
        <w:t xml:space="preserve">it was essential that </w:t>
      </w:r>
      <w:r w:rsidR="00E5392B" w:rsidRPr="000A001A">
        <w:t>consumer education accompany menu labelling</w:t>
      </w:r>
      <w:r w:rsidR="005229B7" w:rsidRPr="000A001A">
        <w:t>.</w:t>
      </w:r>
      <w:r w:rsidR="00A101B6" w:rsidRPr="000A001A">
        <w:t xml:space="preserve"> </w:t>
      </w:r>
      <w:r w:rsidR="00F33D6B" w:rsidRPr="000A001A">
        <w:rPr>
          <w:lang w:eastAsia="en-AU"/>
        </w:rPr>
        <w:t>Australian and New Zealand public health organisations indicated that only this option addressed the stated problem and would be of benefit to public health outcomes</w:t>
      </w:r>
      <w:r w:rsidR="00EB1A1F" w:rsidRPr="000A001A">
        <w:rPr>
          <w:lang w:eastAsia="en-AU"/>
        </w:rPr>
        <w:t>.</w:t>
      </w:r>
      <w:r w:rsidR="005229B7" w:rsidRPr="000A001A">
        <w:t xml:space="preserve"> </w:t>
      </w:r>
      <w:r w:rsidR="008003B7" w:rsidRPr="000A001A">
        <w:t xml:space="preserve">Consumer education in the absence of menu labelling was not considered to be an appropriate option as it could not achieve the objectives. </w:t>
      </w:r>
    </w:p>
    <w:p w14:paraId="44F04232" w14:textId="5028433E" w:rsidR="00972A0D" w:rsidRPr="000A001A" w:rsidRDefault="00972A0D" w:rsidP="006C7DA7"/>
    <w:p w14:paraId="16B6914D" w14:textId="42CE84A7" w:rsidR="00622594" w:rsidRDefault="00972A0D" w:rsidP="00D80F7F">
      <w:pPr>
        <w:jc w:val="both"/>
        <w:rPr>
          <w:lang w:eastAsia="en-AU"/>
        </w:rPr>
      </w:pPr>
      <w:r w:rsidRPr="000A001A">
        <w:rPr>
          <w:lang w:eastAsia="en-AU"/>
        </w:rPr>
        <w:t>Option 2 was not supported by public health organisations based on it being dependent on jurisdictional action and therefore minimal difference to the status quo.</w:t>
      </w:r>
      <w:r w:rsidR="00252740" w:rsidRPr="000A001A">
        <w:rPr>
          <w:lang w:eastAsia="en-AU"/>
        </w:rPr>
        <w:t xml:space="preserve"> A voluntary approach to enhancing menu labelling</w:t>
      </w:r>
      <w:r w:rsidR="00252740">
        <w:rPr>
          <w:lang w:eastAsia="en-AU"/>
        </w:rPr>
        <w:t xml:space="preserve"> (Option 4) was </w:t>
      </w:r>
      <w:r w:rsidR="00017F20">
        <w:rPr>
          <w:lang w:eastAsia="en-AU"/>
        </w:rPr>
        <w:t xml:space="preserve">strongly opposed as industry self-regulation </w:t>
      </w:r>
      <w:r w:rsidR="0045404E">
        <w:rPr>
          <w:lang w:eastAsia="en-AU"/>
        </w:rPr>
        <w:t>is ineffective</w:t>
      </w:r>
      <w:r w:rsidR="00017F20">
        <w:rPr>
          <w:lang w:eastAsia="en-AU"/>
        </w:rPr>
        <w:t>.</w:t>
      </w:r>
    </w:p>
    <w:p w14:paraId="5CA9498E" w14:textId="77777777" w:rsidR="00622594" w:rsidRDefault="00622594" w:rsidP="00796C0D">
      <w:pPr>
        <w:jc w:val="both"/>
      </w:pPr>
    </w:p>
    <w:p w14:paraId="7367BBB1" w14:textId="606B74F7" w:rsidR="00505F63" w:rsidRDefault="0068453C" w:rsidP="00F53A05">
      <w:pPr>
        <w:pStyle w:val="Heading3"/>
      </w:pPr>
      <w:r>
        <w:t xml:space="preserve">6.3 </w:t>
      </w:r>
      <w:r w:rsidRPr="0068453C">
        <w:t xml:space="preserve">Consideration of stakeholder views </w:t>
      </w:r>
    </w:p>
    <w:tbl>
      <w:tblPr>
        <w:tblStyle w:val="PlainTable3"/>
        <w:tblW w:w="9072" w:type="dxa"/>
        <w:tblLook w:val="04A0" w:firstRow="1" w:lastRow="0" w:firstColumn="1" w:lastColumn="0" w:noHBand="0" w:noVBand="1"/>
      </w:tblPr>
      <w:tblGrid>
        <w:gridCol w:w="2694"/>
        <w:gridCol w:w="6378"/>
      </w:tblGrid>
      <w:tr w:rsidR="004C0EC0" w:rsidRPr="004C0EC0" w14:paraId="05307003" w14:textId="77777777" w:rsidTr="00E15858">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2694" w:type="dxa"/>
          </w:tcPr>
          <w:p w14:paraId="621A6672" w14:textId="3D8C2642" w:rsidR="004C0EC0" w:rsidRPr="004128EF" w:rsidRDefault="00975369" w:rsidP="005C2A0C">
            <w:pPr>
              <w:pStyle w:val="BodyText1"/>
              <w:spacing w:after="40" w:line="240" w:lineRule="auto"/>
              <w:rPr>
                <w:rFonts w:ascii="Times New Roman" w:hAnsi="Times New Roman"/>
                <w:bCs w:val="0"/>
                <w:sz w:val="24"/>
              </w:rPr>
            </w:pPr>
            <w:r w:rsidRPr="004128EF">
              <w:rPr>
                <w:rFonts w:ascii="Times New Roman" w:hAnsi="Times New Roman"/>
                <w:bCs w:val="0"/>
                <w:caps w:val="0"/>
                <w:sz w:val="24"/>
              </w:rPr>
              <w:t>I</w:t>
            </w:r>
            <w:r w:rsidR="004C0EC0" w:rsidRPr="004128EF">
              <w:rPr>
                <w:rFonts w:ascii="Times New Roman" w:hAnsi="Times New Roman"/>
                <w:bCs w:val="0"/>
                <w:caps w:val="0"/>
                <w:sz w:val="24"/>
              </w:rPr>
              <w:t>ssue</w:t>
            </w:r>
            <w:r w:rsidR="00336377" w:rsidRPr="004128EF">
              <w:rPr>
                <w:rFonts w:ascii="Times New Roman" w:hAnsi="Times New Roman"/>
                <w:bCs w:val="0"/>
                <w:caps w:val="0"/>
                <w:sz w:val="24"/>
              </w:rPr>
              <w:t>s</w:t>
            </w:r>
            <w:r w:rsidR="004C0EC0" w:rsidRPr="004128EF">
              <w:rPr>
                <w:rFonts w:ascii="Times New Roman" w:hAnsi="Times New Roman"/>
                <w:bCs w:val="0"/>
                <w:caps w:val="0"/>
                <w:sz w:val="24"/>
              </w:rPr>
              <w:t xml:space="preserve"> raised</w:t>
            </w:r>
          </w:p>
        </w:tc>
        <w:tc>
          <w:tcPr>
            <w:tcW w:w="6378" w:type="dxa"/>
          </w:tcPr>
          <w:p w14:paraId="29D9020D" w14:textId="4B0F991B" w:rsidR="004C0EC0" w:rsidRPr="004128EF" w:rsidRDefault="004C0EC0" w:rsidP="005C2A0C">
            <w:pPr>
              <w:pStyle w:val="BodyText1"/>
              <w:spacing w:after="4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rPr>
            </w:pPr>
            <w:r w:rsidRPr="004128EF">
              <w:rPr>
                <w:rFonts w:ascii="Times New Roman" w:hAnsi="Times New Roman"/>
                <w:bCs w:val="0"/>
                <w:caps w:val="0"/>
                <w:sz w:val="24"/>
              </w:rPr>
              <w:t>Response</w:t>
            </w:r>
          </w:p>
        </w:tc>
      </w:tr>
      <w:tr w:rsidR="007A71D0" w:rsidRPr="004C0EC0" w14:paraId="2E4ED000" w14:textId="77777777" w:rsidTr="00E1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2087ACAA" w14:textId="1DB9E930" w:rsidR="007A71D0" w:rsidRPr="000A001A" w:rsidRDefault="006F6664" w:rsidP="005C2A0C">
            <w:pPr>
              <w:pStyle w:val="BodyText1"/>
              <w:spacing w:after="40" w:line="240" w:lineRule="auto"/>
              <w:rPr>
                <w:rFonts w:ascii="Times New Roman" w:hAnsi="Times New Roman"/>
                <w:b w:val="0"/>
                <w:bCs w:val="0"/>
                <w:caps w:val="0"/>
                <w:sz w:val="24"/>
              </w:rPr>
            </w:pPr>
            <w:r w:rsidRPr="000A001A">
              <w:rPr>
                <w:rFonts w:ascii="Times New Roman" w:hAnsi="Times New Roman"/>
                <w:b w:val="0"/>
                <w:bCs w:val="0"/>
                <w:caps w:val="0"/>
                <w:sz w:val="24"/>
              </w:rPr>
              <w:t>Regulation of m</w:t>
            </w:r>
            <w:r w:rsidR="00336377" w:rsidRPr="000A001A">
              <w:rPr>
                <w:rFonts w:ascii="Times New Roman" w:hAnsi="Times New Roman"/>
                <w:b w:val="0"/>
                <w:bCs w:val="0"/>
                <w:caps w:val="0"/>
                <w:sz w:val="24"/>
              </w:rPr>
              <w:t>enu labelling must prioritise</w:t>
            </w:r>
            <w:r w:rsidRPr="000A001A">
              <w:rPr>
                <w:rFonts w:ascii="Times New Roman" w:hAnsi="Times New Roman"/>
                <w:b w:val="0"/>
                <w:bCs w:val="0"/>
                <w:caps w:val="0"/>
                <w:sz w:val="24"/>
              </w:rPr>
              <w:t>/consider</w:t>
            </w:r>
            <w:r w:rsidR="00336377" w:rsidRPr="000A001A">
              <w:rPr>
                <w:rFonts w:ascii="Times New Roman" w:hAnsi="Times New Roman"/>
                <w:b w:val="0"/>
                <w:bCs w:val="0"/>
                <w:caps w:val="0"/>
                <w:sz w:val="24"/>
              </w:rPr>
              <w:t xml:space="preserve"> public health</w:t>
            </w:r>
            <w:r w:rsidR="000B3B34" w:rsidRPr="000A001A">
              <w:rPr>
                <w:rFonts w:ascii="Times New Roman" w:hAnsi="Times New Roman"/>
                <w:b w:val="0"/>
                <w:bCs w:val="0"/>
                <w:caps w:val="0"/>
                <w:sz w:val="24"/>
              </w:rPr>
              <w:t>.</w:t>
            </w:r>
          </w:p>
        </w:tc>
        <w:tc>
          <w:tcPr>
            <w:tcW w:w="6378" w:type="dxa"/>
          </w:tcPr>
          <w:p w14:paraId="4FEE5F10" w14:textId="667F31C5" w:rsidR="00E157E5" w:rsidRPr="000A001A" w:rsidRDefault="00E157E5" w:rsidP="004D2D62">
            <w:pPr>
              <w:pStyle w:val="BodyText1"/>
              <w:spacing w:after="4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sidRPr="000A001A">
              <w:rPr>
                <w:rFonts w:ascii="Times New Roman" w:hAnsi="Times New Roman"/>
                <w:sz w:val="24"/>
              </w:rPr>
              <w:t xml:space="preserve">This issue </w:t>
            </w:r>
            <w:r w:rsidR="00BB6254" w:rsidRPr="000A001A">
              <w:rPr>
                <w:rFonts w:ascii="Times New Roman" w:hAnsi="Times New Roman"/>
                <w:sz w:val="24"/>
              </w:rPr>
              <w:t xml:space="preserve">relates to </w:t>
            </w:r>
            <w:r w:rsidR="00084DD7" w:rsidRPr="000A001A">
              <w:rPr>
                <w:rFonts w:ascii="Times New Roman" w:hAnsi="Times New Roman"/>
                <w:sz w:val="24"/>
              </w:rPr>
              <w:t xml:space="preserve">the fourth </w:t>
            </w:r>
            <w:r w:rsidR="008F74A0" w:rsidRPr="000A001A">
              <w:rPr>
                <w:rFonts w:ascii="Times New Roman" w:hAnsi="Times New Roman"/>
                <w:sz w:val="24"/>
              </w:rPr>
              <w:t xml:space="preserve">concern </w:t>
            </w:r>
            <w:r w:rsidR="00084DD7" w:rsidRPr="000A001A">
              <w:rPr>
                <w:rFonts w:ascii="Times New Roman" w:hAnsi="Times New Roman"/>
                <w:sz w:val="24"/>
              </w:rPr>
              <w:t xml:space="preserve">added to </w:t>
            </w:r>
            <w:r w:rsidR="008F74A0" w:rsidRPr="000A001A">
              <w:rPr>
                <w:rFonts w:ascii="Times New Roman" w:hAnsi="Times New Roman"/>
                <w:sz w:val="24"/>
              </w:rPr>
              <w:t xml:space="preserve">the </w:t>
            </w:r>
            <w:r w:rsidR="00BB6254" w:rsidRPr="000A001A">
              <w:rPr>
                <w:rFonts w:ascii="Times New Roman" w:hAnsi="Times New Roman"/>
                <w:sz w:val="24"/>
              </w:rPr>
              <w:t>s</w:t>
            </w:r>
            <w:r w:rsidR="008F74A0" w:rsidRPr="000A001A">
              <w:rPr>
                <w:rFonts w:ascii="Times New Roman" w:hAnsi="Times New Roman"/>
                <w:sz w:val="24"/>
              </w:rPr>
              <w:t>tate</w:t>
            </w:r>
            <w:r w:rsidR="00BB6254" w:rsidRPr="000A001A">
              <w:rPr>
                <w:rFonts w:ascii="Times New Roman" w:hAnsi="Times New Roman"/>
                <w:sz w:val="24"/>
              </w:rPr>
              <w:t>ment of the problem section</w:t>
            </w:r>
            <w:r w:rsidR="00ED1FB1" w:rsidRPr="000A001A">
              <w:rPr>
                <w:rFonts w:ascii="Times New Roman" w:hAnsi="Times New Roman"/>
                <w:sz w:val="24"/>
              </w:rPr>
              <w:t xml:space="preserve"> following consultation</w:t>
            </w:r>
            <w:r w:rsidR="00084DD7" w:rsidRPr="000A001A">
              <w:rPr>
                <w:rFonts w:ascii="Times New Roman" w:hAnsi="Times New Roman"/>
                <w:sz w:val="24"/>
              </w:rPr>
              <w:t>, about the current approach to menu labelling not achieving the greatest net benefit</w:t>
            </w:r>
            <w:r w:rsidR="00BB6254" w:rsidRPr="000A001A">
              <w:rPr>
                <w:rFonts w:ascii="Times New Roman" w:hAnsi="Times New Roman"/>
                <w:sz w:val="24"/>
              </w:rPr>
              <w:t>.</w:t>
            </w:r>
            <w:r w:rsidRPr="000A001A">
              <w:rPr>
                <w:rFonts w:ascii="Times New Roman" w:hAnsi="Times New Roman"/>
                <w:sz w:val="24"/>
              </w:rPr>
              <w:t xml:space="preserve"> </w:t>
            </w:r>
          </w:p>
          <w:p w14:paraId="34ABB81E" w14:textId="476D875A" w:rsidR="00C933F7" w:rsidRPr="000A001A" w:rsidRDefault="00FC5BCA" w:rsidP="004D2D62">
            <w:pPr>
              <w:pStyle w:val="BodyText1"/>
              <w:spacing w:after="4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sidRPr="000A001A">
              <w:rPr>
                <w:rFonts w:ascii="Times New Roman" w:hAnsi="Times New Roman"/>
                <w:sz w:val="24"/>
              </w:rPr>
              <w:t xml:space="preserve">The key intent of menu labelling </w:t>
            </w:r>
            <w:r w:rsidR="0013370B" w:rsidRPr="000A001A">
              <w:rPr>
                <w:rFonts w:ascii="Times New Roman" w:hAnsi="Times New Roman"/>
                <w:sz w:val="24"/>
              </w:rPr>
              <w:t xml:space="preserve">has always been </w:t>
            </w:r>
            <w:r w:rsidRPr="000A001A">
              <w:rPr>
                <w:rFonts w:ascii="Times New Roman" w:hAnsi="Times New Roman"/>
                <w:sz w:val="24"/>
              </w:rPr>
              <w:t>to support informed decision making at the point-of-sale</w:t>
            </w:r>
            <w:r w:rsidR="00565688" w:rsidRPr="000A001A">
              <w:rPr>
                <w:rFonts w:ascii="Times New Roman" w:hAnsi="Times New Roman"/>
                <w:sz w:val="24"/>
              </w:rPr>
              <w:t xml:space="preserve">, </w:t>
            </w:r>
            <w:r w:rsidRPr="000A001A">
              <w:rPr>
                <w:rFonts w:ascii="Times New Roman" w:hAnsi="Times New Roman"/>
                <w:sz w:val="24"/>
              </w:rPr>
              <w:t>lead</w:t>
            </w:r>
            <w:r w:rsidR="00565688" w:rsidRPr="000A001A">
              <w:rPr>
                <w:rFonts w:ascii="Times New Roman" w:hAnsi="Times New Roman"/>
                <w:sz w:val="24"/>
              </w:rPr>
              <w:t>ing</w:t>
            </w:r>
            <w:r w:rsidRPr="000A001A">
              <w:rPr>
                <w:rFonts w:ascii="Times New Roman" w:hAnsi="Times New Roman"/>
                <w:sz w:val="24"/>
              </w:rPr>
              <w:t xml:space="preserve"> to healthier </w:t>
            </w:r>
            <w:r w:rsidR="00565688" w:rsidRPr="000A001A">
              <w:rPr>
                <w:rFonts w:ascii="Times New Roman" w:hAnsi="Times New Roman"/>
                <w:sz w:val="24"/>
              </w:rPr>
              <w:t xml:space="preserve">purchasing </w:t>
            </w:r>
            <w:r w:rsidRPr="000A001A">
              <w:rPr>
                <w:rFonts w:ascii="Times New Roman" w:hAnsi="Times New Roman"/>
                <w:sz w:val="24"/>
              </w:rPr>
              <w:t>choices</w:t>
            </w:r>
            <w:r w:rsidR="008874CF" w:rsidRPr="000A001A">
              <w:rPr>
                <w:rFonts w:ascii="Times New Roman" w:hAnsi="Times New Roman"/>
                <w:sz w:val="24"/>
              </w:rPr>
              <w:t xml:space="preserve">. Menu labelling is a key tool in the approach to obesity prevention and </w:t>
            </w:r>
            <w:r w:rsidR="0013370B" w:rsidRPr="000A001A">
              <w:rPr>
                <w:rFonts w:ascii="Times New Roman" w:hAnsi="Times New Roman"/>
                <w:sz w:val="24"/>
              </w:rPr>
              <w:t xml:space="preserve">improved public health outcomes. </w:t>
            </w:r>
            <w:r w:rsidRPr="000A001A">
              <w:rPr>
                <w:rFonts w:ascii="Times New Roman" w:hAnsi="Times New Roman"/>
                <w:sz w:val="24"/>
              </w:rPr>
              <w:t xml:space="preserve"> </w:t>
            </w:r>
            <w:r w:rsidR="000B3B34" w:rsidRPr="000A001A">
              <w:rPr>
                <w:rFonts w:ascii="Times New Roman" w:hAnsi="Times New Roman"/>
                <w:sz w:val="24"/>
              </w:rPr>
              <w:t xml:space="preserve">The objectives section of this paper was strengthened to </w:t>
            </w:r>
            <w:r w:rsidR="002109ED" w:rsidRPr="000A001A">
              <w:rPr>
                <w:rFonts w:ascii="Times New Roman" w:hAnsi="Times New Roman"/>
                <w:sz w:val="24"/>
              </w:rPr>
              <w:t>make this clear</w:t>
            </w:r>
            <w:r w:rsidR="000B3B34" w:rsidRPr="000A001A">
              <w:rPr>
                <w:rFonts w:ascii="Times New Roman" w:hAnsi="Times New Roman"/>
                <w:sz w:val="24"/>
              </w:rPr>
              <w:t>.</w:t>
            </w:r>
            <w:r w:rsidR="00BD6138" w:rsidRPr="000A001A">
              <w:rPr>
                <w:rFonts w:ascii="Times New Roman" w:hAnsi="Times New Roman"/>
                <w:sz w:val="24"/>
              </w:rPr>
              <w:t xml:space="preserve"> </w:t>
            </w:r>
            <w:r w:rsidR="004D2D62" w:rsidRPr="000A001A">
              <w:rPr>
                <w:rFonts w:ascii="Times New Roman" w:hAnsi="Times New Roman"/>
                <w:sz w:val="24"/>
              </w:rPr>
              <w:t>However, a change was not made to the Ministeri</w:t>
            </w:r>
            <w:r w:rsidR="00C933F7" w:rsidRPr="000A001A">
              <w:rPr>
                <w:rFonts w:ascii="Times New Roman" w:hAnsi="Times New Roman"/>
                <w:sz w:val="24"/>
              </w:rPr>
              <w:t>al Policy Guideline or amended Principles as these already stated that:</w:t>
            </w:r>
          </w:p>
          <w:p w14:paraId="0A58DD8D" w14:textId="734B8EA1" w:rsidR="004D2D62" w:rsidRPr="000A001A" w:rsidRDefault="004D2D62" w:rsidP="004D2D62">
            <w:pPr>
              <w:pStyle w:val="BodyText1"/>
              <w:spacing w:after="4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sidRPr="000A001A">
              <w:rPr>
                <w:rFonts w:ascii="Times New Roman" w:hAnsi="Times New Roman"/>
                <w:sz w:val="24"/>
              </w:rPr>
              <w:t xml:space="preserve">Menu labelling should: </w:t>
            </w:r>
          </w:p>
          <w:p w14:paraId="0E381E3B" w14:textId="77777777" w:rsidR="004D2D62" w:rsidRPr="000A001A" w:rsidRDefault="004D2D62" w:rsidP="0055688D">
            <w:pPr>
              <w:pStyle w:val="BodyText1"/>
              <w:numPr>
                <w:ilvl w:val="0"/>
                <w:numId w:val="42"/>
              </w:numPr>
              <w:spacing w:after="4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sidRPr="000A001A">
              <w:rPr>
                <w:rFonts w:ascii="Times New Roman" w:hAnsi="Times New Roman"/>
                <w:sz w:val="24"/>
              </w:rPr>
              <w:t>Contribute to improving public health outcomes, and reducing chronic disease related to overweight and obesity.</w:t>
            </w:r>
          </w:p>
          <w:p w14:paraId="0FF7BE5E" w14:textId="27157D3E" w:rsidR="004D2D62" w:rsidRPr="000A001A" w:rsidRDefault="004D2D62" w:rsidP="0055688D">
            <w:pPr>
              <w:pStyle w:val="BodyText1"/>
              <w:numPr>
                <w:ilvl w:val="0"/>
                <w:numId w:val="42"/>
              </w:numPr>
              <w:spacing w:after="4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sidRPr="000A001A">
              <w:rPr>
                <w:rFonts w:ascii="Times New Roman" w:hAnsi="Times New Roman"/>
                <w:sz w:val="24"/>
              </w:rPr>
              <w:t>Guide consumer choice towards healthier food options consistent with the Australian and New Zealand dietary guidelines.</w:t>
            </w:r>
          </w:p>
        </w:tc>
      </w:tr>
      <w:tr w:rsidR="00631D75" w:rsidRPr="004C0EC0" w14:paraId="21360F62" w14:textId="77777777" w:rsidTr="00E15858">
        <w:tc>
          <w:tcPr>
            <w:cnfStyle w:val="001000000000" w:firstRow="0" w:lastRow="0" w:firstColumn="1" w:lastColumn="0" w:oddVBand="0" w:evenVBand="0" w:oddHBand="0" w:evenHBand="0" w:firstRowFirstColumn="0" w:firstRowLastColumn="0" w:lastRowFirstColumn="0" w:lastRowLastColumn="0"/>
            <w:tcW w:w="2694" w:type="dxa"/>
          </w:tcPr>
          <w:p w14:paraId="2E45DAEA" w14:textId="7A980FB6" w:rsidR="004C0EC0" w:rsidRPr="000A001A" w:rsidRDefault="00A76C39" w:rsidP="005C2A0C">
            <w:pPr>
              <w:pStyle w:val="BodyText1"/>
              <w:spacing w:after="40" w:line="240" w:lineRule="auto"/>
              <w:rPr>
                <w:rFonts w:ascii="Times New Roman" w:hAnsi="Times New Roman"/>
                <w:b w:val="0"/>
                <w:bCs w:val="0"/>
                <w:sz w:val="24"/>
              </w:rPr>
            </w:pPr>
            <w:r w:rsidRPr="000A001A">
              <w:rPr>
                <w:rFonts w:ascii="Times New Roman" w:hAnsi="Times New Roman"/>
                <w:b w:val="0"/>
                <w:bCs w:val="0"/>
                <w:caps w:val="0"/>
                <w:sz w:val="24"/>
              </w:rPr>
              <w:lastRenderedPageBreak/>
              <w:t>The problems with m</w:t>
            </w:r>
            <w:r w:rsidR="00BA1767" w:rsidRPr="000A001A">
              <w:rPr>
                <w:rFonts w:ascii="Times New Roman" w:hAnsi="Times New Roman"/>
                <w:b w:val="0"/>
                <w:bCs w:val="0"/>
                <w:caps w:val="0"/>
                <w:sz w:val="24"/>
              </w:rPr>
              <w:t>enu labelling</w:t>
            </w:r>
            <w:r w:rsidR="009A1372" w:rsidRPr="000A001A">
              <w:rPr>
                <w:rFonts w:ascii="Times New Roman" w:hAnsi="Times New Roman"/>
                <w:b w:val="0"/>
                <w:bCs w:val="0"/>
                <w:caps w:val="0"/>
                <w:sz w:val="24"/>
              </w:rPr>
              <w:t xml:space="preserve"> </w:t>
            </w:r>
            <w:r w:rsidRPr="000A001A">
              <w:rPr>
                <w:rFonts w:ascii="Times New Roman" w:hAnsi="Times New Roman"/>
                <w:b w:val="0"/>
                <w:bCs w:val="0"/>
                <w:caps w:val="0"/>
                <w:sz w:val="24"/>
              </w:rPr>
              <w:t>are specific to Australia</w:t>
            </w:r>
            <w:r w:rsidR="00975369" w:rsidRPr="000A001A">
              <w:rPr>
                <w:rFonts w:ascii="Times New Roman" w:hAnsi="Times New Roman"/>
                <w:b w:val="0"/>
                <w:bCs w:val="0"/>
                <w:caps w:val="0"/>
                <w:sz w:val="24"/>
              </w:rPr>
              <w:t>, and not applicable to New Zealand</w:t>
            </w:r>
            <w:r w:rsidR="00CA32C8" w:rsidRPr="000A001A">
              <w:rPr>
                <w:rFonts w:ascii="Times New Roman" w:hAnsi="Times New Roman"/>
                <w:b w:val="0"/>
                <w:bCs w:val="0"/>
                <w:caps w:val="0"/>
                <w:sz w:val="24"/>
              </w:rPr>
              <w:t xml:space="preserve"> – no research to indicate is a problem for New Zealand consumers</w:t>
            </w:r>
            <w:r w:rsidR="00584BDC" w:rsidRPr="000A001A">
              <w:rPr>
                <w:rFonts w:ascii="Times New Roman" w:hAnsi="Times New Roman"/>
                <w:b w:val="0"/>
                <w:bCs w:val="0"/>
                <w:caps w:val="0"/>
                <w:sz w:val="24"/>
              </w:rPr>
              <w:t>.</w:t>
            </w:r>
            <w:r w:rsidR="00975369" w:rsidRPr="000A001A">
              <w:rPr>
                <w:rFonts w:ascii="Times New Roman" w:hAnsi="Times New Roman"/>
                <w:b w:val="0"/>
                <w:bCs w:val="0"/>
                <w:caps w:val="0"/>
                <w:sz w:val="24"/>
              </w:rPr>
              <w:t xml:space="preserve"> Solutions should be focused on Australia only.</w:t>
            </w:r>
          </w:p>
        </w:tc>
        <w:tc>
          <w:tcPr>
            <w:tcW w:w="6378" w:type="dxa"/>
          </w:tcPr>
          <w:p w14:paraId="343970F2" w14:textId="68B3DDF9" w:rsidR="00136DAF" w:rsidRPr="000A001A" w:rsidRDefault="002A409D" w:rsidP="005C2A0C">
            <w:pPr>
              <w:pStyle w:val="BodyText1"/>
              <w:spacing w:after="4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0A001A">
              <w:rPr>
                <w:rFonts w:ascii="Times New Roman" w:hAnsi="Times New Roman"/>
                <w:sz w:val="24"/>
              </w:rPr>
              <w:t xml:space="preserve">Although, </w:t>
            </w:r>
            <w:r w:rsidR="007A44D3" w:rsidRPr="000A001A">
              <w:rPr>
                <w:rFonts w:ascii="Times New Roman" w:hAnsi="Times New Roman"/>
                <w:sz w:val="24"/>
              </w:rPr>
              <w:t xml:space="preserve">some of the identified issues with menu labelling are </w:t>
            </w:r>
            <w:r w:rsidR="00DC7ADD" w:rsidRPr="000A001A">
              <w:rPr>
                <w:rFonts w:ascii="Times New Roman" w:hAnsi="Times New Roman"/>
                <w:sz w:val="24"/>
              </w:rPr>
              <w:t>based on Australian implementation, i</w:t>
            </w:r>
            <w:r w:rsidR="00136DAF" w:rsidRPr="000A001A">
              <w:rPr>
                <w:rFonts w:ascii="Times New Roman" w:hAnsi="Times New Roman"/>
                <w:sz w:val="24"/>
              </w:rPr>
              <w:t xml:space="preserve">t is considered </w:t>
            </w:r>
            <w:r w:rsidR="00D65A83" w:rsidRPr="000A001A">
              <w:rPr>
                <w:rFonts w:ascii="Times New Roman" w:hAnsi="Times New Roman"/>
                <w:sz w:val="24"/>
              </w:rPr>
              <w:t xml:space="preserve">policy guidance for </w:t>
            </w:r>
            <w:r w:rsidR="00136DAF" w:rsidRPr="000A001A">
              <w:rPr>
                <w:rFonts w:ascii="Times New Roman" w:hAnsi="Times New Roman"/>
                <w:sz w:val="24"/>
              </w:rPr>
              <w:t>menu labelling is relevant to New Zealand as:</w:t>
            </w:r>
          </w:p>
          <w:p w14:paraId="1E9EF08A" w14:textId="1AF6088F" w:rsidR="004628B3" w:rsidRPr="000A001A" w:rsidRDefault="004B3ACC" w:rsidP="0055688D">
            <w:pPr>
              <w:pStyle w:val="BodyText1"/>
              <w:numPr>
                <w:ilvl w:val="0"/>
                <w:numId w:val="42"/>
              </w:numPr>
              <w:spacing w:after="4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0A001A">
              <w:rPr>
                <w:rFonts w:ascii="Times New Roman" w:hAnsi="Times New Roman"/>
                <w:sz w:val="24"/>
              </w:rPr>
              <w:t xml:space="preserve">New Zealand has similar rates of obesity and </w:t>
            </w:r>
            <w:r w:rsidR="00FA2A54" w:rsidRPr="000A001A">
              <w:rPr>
                <w:rFonts w:ascii="Times New Roman" w:hAnsi="Times New Roman"/>
                <w:sz w:val="24"/>
              </w:rPr>
              <w:t xml:space="preserve">expenditure on </w:t>
            </w:r>
            <w:r w:rsidRPr="000A001A">
              <w:rPr>
                <w:rFonts w:ascii="Times New Roman" w:hAnsi="Times New Roman"/>
                <w:sz w:val="24"/>
              </w:rPr>
              <w:t>fast food</w:t>
            </w:r>
            <w:r w:rsidR="00FA2A54" w:rsidRPr="000A001A">
              <w:rPr>
                <w:rFonts w:ascii="Times New Roman" w:hAnsi="Times New Roman"/>
                <w:sz w:val="24"/>
              </w:rPr>
              <w:t xml:space="preserve"> and eating out </w:t>
            </w:r>
            <w:r w:rsidR="00136DAF" w:rsidRPr="000A001A">
              <w:rPr>
                <w:rFonts w:ascii="Times New Roman" w:hAnsi="Times New Roman"/>
                <w:sz w:val="24"/>
              </w:rPr>
              <w:t>as Australia.</w:t>
            </w:r>
          </w:p>
          <w:p w14:paraId="6BB315B6" w14:textId="1F23B310" w:rsidR="0049535F" w:rsidRPr="000A001A" w:rsidRDefault="009464A3" w:rsidP="0055688D">
            <w:pPr>
              <w:pStyle w:val="BodyText1"/>
              <w:numPr>
                <w:ilvl w:val="0"/>
                <w:numId w:val="42"/>
              </w:numPr>
              <w:spacing w:after="4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0A001A">
              <w:rPr>
                <w:rFonts w:ascii="Times New Roman" w:hAnsi="Times New Roman"/>
                <w:sz w:val="24"/>
              </w:rPr>
              <w:t xml:space="preserve">Providing energy information for ready-to-eat food and drinks </w:t>
            </w:r>
            <w:r w:rsidR="00CA7682" w:rsidRPr="000A001A">
              <w:rPr>
                <w:rFonts w:ascii="Times New Roman" w:hAnsi="Times New Roman"/>
                <w:sz w:val="24"/>
              </w:rPr>
              <w:t xml:space="preserve">to enable informed choices is just as important for </w:t>
            </w:r>
            <w:r w:rsidR="0049535F" w:rsidRPr="000A001A">
              <w:rPr>
                <w:rFonts w:ascii="Times New Roman" w:hAnsi="Times New Roman"/>
                <w:sz w:val="24"/>
              </w:rPr>
              <w:t xml:space="preserve">New Zealand consumers as </w:t>
            </w:r>
            <w:r w:rsidR="00CA7682" w:rsidRPr="000A001A">
              <w:rPr>
                <w:rFonts w:ascii="Times New Roman" w:hAnsi="Times New Roman"/>
                <w:sz w:val="24"/>
              </w:rPr>
              <w:t xml:space="preserve">for </w:t>
            </w:r>
            <w:r w:rsidR="0049535F" w:rsidRPr="000A001A">
              <w:rPr>
                <w:rFonts w:ascii="Times New Roman" w:hAnsi="Times New Roman"/>
                <w:sz w:val="24"/>
              </w:rPr>
              <w:t>Australian consumers.</w:t>
            </w:r>
          </w:p>
          <w:p w14:paraId="4116ED17" w14:textId="073271C0" w:rsidR="00CE0F48" w:rsidRPr="000A001A" w:rsidRDefault="00CE0F48" w:rsidP="0055688D">
            <w:pPr>
              <w:pStyle w:val="BodyText1"/>
              <w:numPr>
                <w:ilvl w:val="0"/>
                <w:numId w:val="42"/>
              </w:numPr>
              <w:spacing w:after="4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0A001A">
              <w:rPr>
                <w:rFonts w:ascii="Times New Roman" w:hAnsi="Times New Roman"/>
                <w:sz w:val="24"/>
              </w:rPr>
              <w:t xml:space="preserve">Some businesses implementing menu labelling in Australia </w:t>
            </w:r>
            <w:r w:rsidR="002E7463" w:rsidRPr="000A001A">
              <w:rPr>
                <w:rFonts w:ascii="Times New Roman" w:hAnsi="Times New Roman"/>
                <w:sz w:val="24"/>
              </w:rPr>
              <w:t>are part of multi-national companies with outlets in New Zealand.</w:t>
            </w:r>
          </w:p>
          <w:p w14:paraId="0E87A006" w14:textId="6CB26062" w:rsidR="003676B9" w:rsidRPr="000A001A" w:rsidRDefault="00CE0F48" w:rsidP="0055688D">
            <w:pPr>
              <w:pStyle w:val="BodyText1"/>
              <w:numPr>
                <w:ilvl w:val="0"/>
                <w:numId w:val="42"/>
              </w:numPr>
              <w:spacing w:after="4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0A001A">
              <w:rPr>
                <w:rFonts w:ascii="Times New Roman" w:hAnsi="Times New Roman"/>
                <w:sz w:val="24"/>
              </w:rPr>
              <w:t xml:space="preserve">The New Zealand Government supported </w:t>
            </w:r>
            <w:r w:rsidR="00E54243" w:rsidRPr="000A001A">
              <w:rPr>
                <w:rFonts w:ascii="Times New Roman" w:hAnsi="Times New Roman"/>
                <w:sz w:val="24"/>
              </w:rPr>
              <w:t xml:space="preserve">voluntary </w:t>
            </w:r>
            <w:r w:rsidRPr="000A001A">
              <w:rPr>
                <w:rFonts w:ascii="Times New Roman" w:hAnsi="Times New Roman"/>
                <w:sz w:val="24"/>
              </w:rPr>
              <w:t>action on menu labelling in 2019.</w:t>
            </w:r>
          </w:p>
          <w:p w14:paraId="48EC02D9" w14:textId="34610048" w:rsidR="00571C8A" w:rsidRPr="000A001A" w:rsidRDefault="00571C8A" w:rsidP="0055688D">
            <w:pPr>
              <w:pStyle w:val="BodyText1"/>
              <w:numPr>
                <w:ilvl w:val="0"/>
                <w:numId w:val="42"/>
              </w:numPr>
              <w:spacing w:after="4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0A001A">
              <w:rPr>
                <w:rFonts w:ascii="Times New Roman" w:hAnsi="Times New Roman"/>
                <w:sz w:val="24"/>
              </w:rPr>
              <w:t xml:space="preserve">New Zealand and Australia operate within a bi-national food regulation system, and existing nutrition labelling on packaged food applies to both countries. </w:t>
            </w:r>
            <w:r w:rsidR="003676B9" w:rsidRPr="000A001A">
              <w:rPr>
                <w:rFonts w:ascii="Times New Roman" w:hAnsi="Times New Roman"/>
                <w:sz w:val="24"/>
              </w:rPr>
              <w:t>I</w:t>
            </w:r>
            <w:r w:rsidRPr="000A001A">
              <w:rPr>
                <w:rFonts w:ascii="Times New Roman" w:hAnsi="Times New Roman"/>
                <w:sz w:val="24"/>
              </w:rPr>
              <w:t>t is appropriate that solutions are focused on both countries.</w:t>
            </w:r>
          </w:p>
        </w:tc>
      </w:tr>
      <w:tr w:rsidR="004E2DA4" w:rsidRPr="004C0EC0" w14:paraId="350602FA" w14:textId="77777777" w:rsidTr="00E1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5DBA4AF6" w14:textId="61372782" w:rsidR="004E2DA4" w:rsidRPr="000A001A" w:rsidRDefault="004E2DA4" w:rsidP="0045574B">
            <w:pPr>
              <w:pStyle w:val="BodyText1"/>
              <w:spacing w:after="40" w:line="240" w:lineRule="auto"/>
              <w:rPr>
                <w:rFonts w:ascii="Times New Roman" w:hAnsi="Times New Roman"/>
                <w:sz w:val="24"/>
              </w:rPr>
            </w:pPr>
            <w:r w:rsidRPr="000A001A">
              <w:rPr>
                <w:rFonts w:ascii="Times New Roman" w:hAnsi="Times New Roman"/>
                <w:b w:val="0"/>
                <w:bCs w:val="0"/>
                <w:caps w:val="0"/>
                <w:sz w:val="24"/>
              </w:rPr>
              <w:t>Evidence for the impact/effectiveness of menu labelling is limited</w:t>
            </w:r>
            <w:r w:rsidR="00F713FA" w:rsidRPr="000A001A">
              <w:rPr>
                <w:rFonts w:ascii="Times New Roman" w:hAnsi="Times New Roman"/>
                <w:b w:val="0"/>
                <w:bCs w:val="0"/>
                <w:caps w:val="0"/>
                <w:sz w:val="24"/>
              </w:rPr>
              <w:t>, and more consumer research to guide menu labelling is needed.</w:t>
            </w:r>
          </w:p>
        </w:tc>
        <w:tc>
          <w:tcPr>
            <w:tcW w:w="6378" w:type="dxa"/>
          </w:tcPr>
          <w:p w14:paraId="6B1A672F" w14:textId="57D58514" w:rsidR="003203CB" w:rsidRPr="000A001A" w:rsidRDefault="004E2DA4" w:rsidP="00E82000">
            <w:pPr>
              <w:pStyle w:val="BodyText1"/>
              <w:spacing w:after="4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sidRPr="000A001A">
              <w:rPr>
                <w:rFonts w:ascii="Times New Roman" w:hAnsi="Times New Roman"/>
                <w:sz w:val="24"/>
              </w:rPr>
              <w:t xml:space="preserve">Appendix </w:t>
            </w:r>
            <w:r w:rsidR="005B4C57" w:rsidRPr="000A001A">
              <w:rPr>
                <w:rFonts w:ascii="Times New Roman" w:hAnsi="Times New Roman"/>
                <w:sz w:val="24"/>
              </w:rPr>
              <w:t>2</w:t>
            </w:r>
            <w:r w:rsidRPr="000A001A">
              <w:rPr>
                <w:rFonts w:ascii="Times New Roman" w:hAnsi="Times New Roman"/>
                <w:sz w:val="24"/>
              </w:rPr>
              <w:t xml:space="preserve"> provides a snapshot of </w:t>
            </w:r>
            <w:r w:rsidR="00DD1EA4" w:rsidRPr="000A001A">
              <w:rPr>
                <w:rFonts w:ascii="Times New Roman" w:hAnsi="Times New Roman"/>
                <w:sz w:val="24"/>
              </w:rPr>
              <w:t xml:space="preserve">international </w:t>
            </w:r>
            <w:r w:rsidRPr="000A001A">
              <w:rPr>
                <w:rFonts w:ascii="Times New Roman" w:hAnsi="Times New Roman"/>
                <w:sz w:val="24"/>
              </w:rPr>
              <w:t>evidence</w:t>
            </w:r>
            <w:r w:rsidR="00E44DB7" w:rsidRPr="000A001A">
              <w:rPr>
                <w:rFonts w:ascii="Times New Roman" w:hAnsi="Times New Roman"/>
                <w:sz w:val="24"/>
              </w:rPr>
              <w:t xml:space="preserve">, both supporting menu labelling and questioning its impact. </w:t>
            </w:r>
            <w:r w:rsidR="009E7943" w:rsidRPr="000A001A">
              <w:rPr>
                <w:rFonts w:ascii="Times New Roman" w:hAnsi="Times New Roman"/>
                <w:sz w:val="24"/>
              </w:rPr>
              <w:t>As noted under section 1.3, much of the evidence is based on menu labelling in United States</w:t>
            </w:r>
            <w:r w:rsidR="00EA339B" w:rsidRPr="000A001A">
              <w:rPr>
                <w:rFonts w:ascii="Times New Roman" w:hAnsi="Times New Roman"/>
                <w:sz w:val="24"/>
              </w:rPr>
              <w:t xml:space="preserve">, with </w:t>
            </w:r>
            <w:r w:rsidR="00437CCA" w:rsidRPr="000A001A">
              <w:rPr>
                <w:rFonts w:ascii="Times New Roman" w:hAnsi="Times New Roman"/>
                <w:sz w:val="24"/>
              </w:rPr>
              <w:t>few</w:t>
            </w:r>
            <w:r w:rsidR="00EA339B" w:rsidRPr="000A001A">
              <w:rPr>
                <w:rFonts w:ascii="Times New Roman" w:hAnsi="Times New Roman"/>
                <w:sz w:val="24"/>
              </w:rPr>
              <w:t xml:space="preserve"> peer-reviewed</w:t>
            </w:r>
            <w:r w:rsidR="00437CCA" w:rsidRPr="000A001A">
              <w:rPr>
                <w:rFonts w:ascii="Times New Roman" w:hAnsi="Times New Roman"/>
                <w:sz w:val="24"/>
              </w:rPr>
              <w:t xml:space="preserve"> studies </w:t>
            </w:r>
            <w:r w:rsidR="00E82000" w:rsidRPr="000A001A">
              <w:rPr>
                <w:rFonts w:ascii="Times New Roman" w:hAnsi="Times New Roman"/>
                <w:sz w:val="24"/>
              </w:rPr>
              <w:t xml:space="preserve">for menu labelling in Australia (and none for New Zealand). </w:t>
            </w:r>
            <w:r w:rsidR="003203CB" w:rsidRPr="000A001A">
              <w:rPr>
                <w:rFonts w:ascii="Times New Roman" w:hAnsi="Times New Roman"/>
                <w:sz w:val="24"/>
              </w:rPr>
              <w:t>A</w:t>
            </w:r>
            <w:r w:rsidR="00F41194" w:rsidRPr="000A001A">
              <w:rPr>
                <w:rFonts w:ascii="Times New Roman" w:hAnsi="Times New Roman"/>
                <w:sz w:val="24"/>
              </w:rPr>
              <w:t>n evaluation of the New South Wales menu labe</w:t>
            </w:r>
            <w:r w:rsidR="008C57FA" w:rsidRPr="000A001A">
              <w:rPr>
                <w:rFonts w:ascii="Times New Roman" w:hAnsi="Times New Roman"/>
                <w:sz w:val="24"/>
              </w:rPr>
              <w:t>l</w:t>
            </w:r>
            <w:r w:rsidR="00F41194" w:rsidRPr="000A001A">
              <w:rPr>
                <w:rFonts w:ascii="Times New Roman" w:hAnsi="Times New Roman"/>
                <w:sz w:val="24"/>
              </w:rPr>
              <w:t xml:space="preserve">ling legislation found a </w:t>
            </w:r>
            <w:r w:rsidR="003203CB" w:rsidRPr="000A001A">
              <w:rPr>
                <w:rFonts w:ascii="Times New Roman" w:hAnsi="Times New Roman"/>
                <w:sz w:val="24"/>
              </w:rPr>
              <w:t>15% (519kJ) reduction in median kilojoules purchased 12 months after legislation was introduced</w:t>
            </w:r>
            <w:r w:rsidR="00F41194" w:rsidRPr="000A001A">
              <w:rPr>
                <w:rFonts w:ascii="Times New Roman" w:hAnsi="Times New Roman"/>
                <w:sz w:val="24"/>
              </w:rPr>
              <w:t>.</w:t>
            </w:r>
            <w:r w:rsidR="003203CB" w:rsidRPr="000A001A">
              <w:rPr>
                <w:rFonts w:ascii="Times New Roman" w:hAnsi="Times New Roman"/>
                <w:sz w:val="24"/>
              </w:rPr>
              <w:t xml:space="preserve"> </w:t>
            </w:r>
          </w:p>
          <w:p w14:paraId="4EDAA558" w14:textId="215593F8" w:rsidR="004E2DA4" w:rsidRPr="000A001A" w:rsidRDefault="00E44DB7" w:rsidP="00E82000">
            <w:pPr>
              <w:pStyle w:val="BodyText1"/>
              <w:spacing w:after="4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sidRPr="000A001A">
              <w:rPr>
                <w:rFonts w:ascii="Times New Roman" w:hAnsi="Times New Roman"/>
                <w:sz w:val="24"/>
              </w:rPr>
              <w:t xml:space="preserve">While the </w:t>
            </w:r>
            <w:r w:rsidR="00EA339B" w:rsidRPr="000A001A">
              <w:rPr>
                <w:rFonts w:ascii="Times New Roman" w:hAnsi="Times New Roman"/>
                <w:sz w:val="24"/>
              </w:rPr>
              <w:t xml:space="preserve">international </w:t>
            </w:r>
            <w:r w:rsidRPr="000A001A">
              <w:rPr>
                <w:rFonts w:ascii="Times New Roman" w:hAnsi="Times New Roman"/>
                <w:sz w:val="24"/>
              </w:rPr>
              <w:t xml:space="preserve">evidence is mixed, </w:t>
            </w:r>
            <w:r w:rsidR="00F226F1" w:rsidRPr="000A001A">
              <w:rPr>
                <w:rFonts w:ascii="Times New Roman" w:hAnsi="Times New Roman"/>
                <w:sz w:val="24"/>
              </w:rPr>
              <w:t>menu labelling is a tool to support consumers to make informed decisions (whether it changes their decision)</w:t>
            </w:r>
            <w:r w:rsidR="00492DB9" w:rsidRPr="000A001A">
              <w:rPr>
                <w:rFonts w:ascii="Times New Roman" w:hAnsi="Times New Roman"/>
                <w:sz w:val="24"/>
              </w:rPr>
              <w:t>, in the same way that nutrition information panels and health star ratings provide information to consumers on packaged foods.</w:t>
            </w:r>
          </w:p>
        </w:tc>
      </w:tr>
      <w:tr w:rsidR="00895835" w:rsidRPr="004C0EC0" w14:paraId="73609732" w14:textId="77777777" w:rsidTr="00E15858">
        <w:tc>
          <w:tcPr>
            <w:cnfStyle w:val="001000000000" w:firstRow="0" w:lastRow="0" w:firstColumn="1" w:lastColumn="0" w:oddVBand="0" w:evenVBand="0" w:oddHBand="0" w:evenHBand="0" w:firstRowFirstColumn="0" w:firstRowLastColumn="0" w:lastRowFirstColumn="0" w:lastRowLastColumn="0"/>
            <w:tcW w:w="2694" w:type="dxa"/>
          </w:tcPr>
          <w:p w14:paraId="4DDBE3A8" w14:textId="638636CD" w:rsidR="00895835" w:rsidRPr="004128EF" w:rsidRDefault="0045574B" w:rsidP="0045574B">
            <w:pPr>
              <w:pStyle w:val="BodyText1"/>
              <w:spacing w:after="40" w:line="240" w:lineRule="auto"/>
              <w:rPr>
                <w:rFonts w:ascii="Times New Roman" w:hAnsi="Times New Roman"/>
                <w:b w:val="0"/>
                <w:bCs w:val="0"/>
                <w:caps w:val="0"/>
                <w:sz w:val="24"/>
              </w:rPr>
            </w:pPr>
            <w:r>
              <w:rPr>
                <w:rFonts w:ascii="Times New Roman" w:hAnsi="Times New Roman"/>
                <w:b w:val="0"/>
                <w:bCs w:val="0"/>
                <w:caps w:val="0"/>
                <w:sz w:val="24"/>
              </w:rPr>
              <w:t xml:space="preserve">The </w:t>
            </w:r>
            <w:r w:rsidR="00E24E9D">
              <w:rPr>
                <w:rFonts w:ascii="Times New Roman" w:hAnsi="Times New Roman"/>
                <w:b w:val="0"/>
                <w:bCs w:val="0"/>
                <w:caps w:val="0"/>
                <w:sz w:val="24"/>
              </w:rPr>
              <w:t xml:space="preserve">changing </w:t>
            </w:r>
            <w:r w:rsidR="00631D75">
              <w:rPr>
                <w:rFonts w:ascii="Times New Roman" w:hAnsi="Times New Roman"/>
                <w:b w:val="0"/>
                <w:bCs w:val="0"/>
                <w:caps w:val="0"/>
                <w:sz w:val="24"/>
              </w:rPr>
              <w:t xml:space="preserve">environment </w:t>
            </w:r>
            <w:r w:rsidR="00253A3C">
              <w:rPr>
                <w:rFonts w:ascii="Times New Roman" w:hAnsi="Times New Roman"/>
                <w:b w:val="0"/>
                <w:bCs w:val="0"/>
                <w:caps w:val="0"/>
                <w:sz w:val="24"/>
              </w:rPr>
              <w:t>(</w:t>
            </w:r>
            <w:r w:rsidR="00493F34">
              <w:rPr>
                <w:rFonts w:ascii="Times New Roman" w:hAnsi="Times New Roman"/>
                <w:b w:val="0"/>
                <w:bCs w:val="0"/>
                <w:caps w:val="0"/>
                <w:sz w:val="24"/>
              </w:rPr>
              <w:t xml:space="preserve">for example, </w:t>
            </w:r>
            <w:r w:rsidR="00253A3C">
              <w:rPr>
                <w:rFonts w:ascii="Times New Roman" w:hAnsi="Times New Roman"/>
                <w:b w:val="0"/>
                <w:bCs w:val="0"/>
                <w:caps w:val="0"/>
                <w:sz w:val="24"/>
              </w:rPr>
              <w:t>C</w:t>
            </w:r>
            <w:r w:rsidR="007044B1">
              <w:rPr>
                <w:rFonts w:ascii="Times New Roman" w:hAnsi="Times New Roman"/>
                <w:b w:val="0"/>
                <w:bCs w:val="0"/>
                <w:caps w:val="0"/>
                <w:sz w:val="24"/>
              </w:rPr>
              <w:t>OVID</w:t>
            </w:r>
            <w:r w:rsidR="00253A3C">
              <w:rPr>
                <w:rFonts w:ascii="Times New Roman" w:hAnsi="Times New Roman"/>
                <w:b w:val="0"/>
                <w:bCs w:val="0"/>
                <w:caps w:val="0"/>
                <w:sz w:val="24"/>
              </w:rPr>
              <w:t xml:space="preserve">-19) </w:t>
            </w:r>
            <w:r w:rsidR="00631D75">
              <w:rPr>
                <w:rFonts w:ascii="Times New Roman" w:hAnsi="Times New Roman"/>
                <w:b w:val="0"/>
                <w:bCs w:val="0"/>
                <w:caps w:val="0"/>
                <w:sz w:val="24"/>
              </w:rPr>
              <w:t>and emerging trends</w:t>
            </w:r>
            <w:r w:rsidR="00253A3C">
              <w:rPr>
                <w:rFonts w:ascii="Times New Roman" w:hAnsi="Times New Roman"/>
                <w:b w:val="0"/>
                <w:bCs w:val="0"/>
                <w:caps w:val="0"/>
                <w:sz w:val="24"/>
              </w:rPr>
              <w:t xml:space="preserve"> </w:t>
            </w:r>
            <w:r w:rsidR="005D31D5">
              <w:rPr>
                <w:rFonts w:ascii="Times New Roman" w:hAnsi="Times New Roman"/>
                <w:b w:val="0"/>
                <w:bCs w:val="0"/>
                <w:caps w:val="0"/>
                <w:sz w:val="24"/>
              </w:rPr>
              <w:t>in ordering platforms</w:t>
            </w:r>
            <w:r w:rsidR="00631D75">
              <w:rPr>
                <w:rFonts w:ascii="Times New Roman" w:hAnsi="Times New Roman"/>
                <w:b w:val="0"/>
                <w:bCs w:val="0"/>
                <w:caps w:val="0"/>
                <w:sz w:val="24"/>
              </w:rPr>
              <w:t xml:space="preserve"> </w:t>
            </w:r>
            <w:r w:rsidR="00253A3C">
              <w:rPr>
                <w:rFonts w:ascii="Times New Roman" w:hAnsi="Times New Roman"/>
                <w:b w:val="0"/>
                <w:bCs w:val="0"/>
                <w:caps w:val="0"/>
                <w:sz w:val="24"/>
              </w:rPr>
              <w:t xml:space="preserve">decreases the </w:t>
            </w:r>
            <w:r>
              <w:rPr>
                <w:rFonts w:ascii="Times New Roman" w:hAnsi="Times New Roman"/>
                <w:b w:val="0"/>
                <w:bCs w:val="0"/>
                <w:caps w:val="0"/>
                <w:sz w:val="24"/>
              </w:rPr>
              <w:t>relevance of menu labelling</w:t>
            </w:r>
            <w:r w:rsidR="00253A3C">
              <w:rPr>
                <w:rFonts w:ascii="Times New Roman" w:hAnsi="Times New Roman"/>
                <w:b w:val="0"/>
                <w:bCs w:val="0"/>
                <w:caps w:val="0"/>
                <w:sz w:val="24"/>
              </w:rPr>
              <w:t>.</w:t>
            </w:r>
          </w:p>
        </w:tc>
        <w:tc>
          <w:tcPr>
            <w:tcW w:w="6378" w:type="dxa"/>
          </w:tcPr>
          <w:p w14:paraId="07B98644" w14:textId="0780E750" w:rsidR="00895835" w:rsidRPr="004128EF" w:rsidRDefault="005D31D5" w:rsidP="005C2A0C">
            <w:pPr>
              <w:pStyle w:val="BodyText1"/>
              <w:spacing w:after="4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 xml:space="preserve">The CRIS highlighted </w:t>
            </w:r>
            <w:r w:rsidR="00945E8F">
              <w:rPr>
                <w:rFonts w:ascii="Times New Roman" w:hAnsi="Times New Roman"/>
                <w:sz w:val="24"/>
              </w:rPr>
              <w:t>several</w:t>
            </w:r>
            <w:r>
              <w:rPr>
                <w:rFonts w:ascii="Times New Roman" w:hAnsi="Times New Roman"/>
                <w:sz w:val="24"/>
              </w:rPr>
              <w:t xml:space="preserve"> emerging trends and noted t</w:t>
            </w:r>
            <w:r w:rsidR="00A31A7B">
              <w:rPr>
                <w:rFonts w:ascii="Times New Roman" w:hAnsi="Times New Roman"/>
                <w:sz w:val="24"/>
              </w:rPr>
              <w:t xml:space="preserve">hat future technological advancements may increase the number of creative approaches that businesses use to promote, </w:t>
            </w:r>
            <w:r w:rsidR="003168A6">
              <w:rPr>
                <w:rFonts w:ascii="Times New Roman" w:hAnsi="Times New Roman"/>
                <w:sz w:val="24"/>
              </w:rPr>
              <w:t>offer,</w:t>
            </w:r>
            <w:r w:rsidR="00A31A7B">
              <w:rPr>
                <w:rFonts w:ascii="Times New Roman" w:hAnsi="Times New Roman"/>
                <w:sz w:val="24"/>
              </w:rPr>
              <w:t xml:space="preserve"> and sell food.</w:t>
            </w:r>
            <w:r w:rsidR="00BB02E6">
              <w:rPr>
                <w:rFonts w:ascii="Times New Roman" w:hAnsi="Times New Roman"/>
                <w:sz w:val="24"/>
              </w:rPr>
              <w:t xml:space="preserve"> By incorporating broad definitions of menus and points-of-sale</w:t>
            </w:r>
            <w:r w:rsidR="00893538">
              <w:rPr>
                <w:rFonts w:ascii="Times New Roman" w:hAnsi="Times New Roman"/>
                <w:sz w:val="24"/>
              </w:rPr>
              <w:t xml:space="preserve"> in the amended Principles and Ministerial Policy Guideline</w:t>
            </w:r>
            <w:r w:rsidR="00AE5EFF">
              <w:rPr>
                <w:rFonts w:ascii="Times New Roman" w:hAnsi="Times New Roman"/>
                <w:sz w:val="24"/>
              </w:rPr>
              <w:t xml:space="preserve"> it is </w:t>
            </w:r>
            <w:r w:rsidR="008C5582">
              <w:rPr>
                <w:rFonts w:ascii="Times New Roman" w:hAnsi="Times New Roman"/>
                <w:sz w:val="24"/>
              </w:rPr>
              <w:t xml:space="preserve">anticipated that emerging and future trends will be included within </w:t>
            </w:r>
            <w:r w:rsidR="00893538">
              <w:rPr>
                <w:rFonts w:ascii="Times New Roman" w:hAnsi="Times New Roman"/>
                <w:sz w:val="24"/>
              </w:rPr>
              <w:t>any regulatory measure for menu labelling.</w:t>
            </w:r>
            <w:r w:rsidR="00F82C0E">
              <w:rPr>
                <w:rFonts w:ascii="Times New Roman" w:hAnsi="Times New Roman"/>
                <w:sz w:val="24"/>
              </w:rPr>
              <w:t xml:space="preserve"> While menu labelling may become unnecessary in the future, </w:t>
            </w:r>
            <w:r w:rsidR="00A83599">
              <w:rPr>
                <w:rFonts w:ascii="Times New Roman" w:hAnsi="Times New Roman"/>
                <w:sz w:val="24"/>
              </w:rPr>
              <w:t xml:space="preserve">it is an important tool to provide energy information to consumers. </w:t>
            </w:r>
          </w:p>
        </w:tc>
      </w:tr>
      <w:tr w:rsidR="006354F4" w:rsidRPr="004C0EC0" w14:paraId="6CDD588D" w14:textId="77777777" w:rsidTr="00E1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56607A17" w14:textId="6DDC8107" w:rsidR="006354F4" w:rsidRPr="004128EF" w:rsidRDefault="000E0328" w:rsidP="005C2A0C">
            <w:pPr>
              <w:pStyle w:val="BodyText1"/>
              <w:spacing w:after="40" w:line="240" w:lineRule="auto"/>
              <w:rPr>
                <w:rFonts w:ascii="Times New Roman" w:hAnsi="Times New Roman"/>
                <w:b w:val="0"/>
                <w:bCs w:val="0"/>
                <w:caps w:val="0"/>
                <w:sz w:val="24"/>
              </w:rPr>
            </w:pPr>
            <w:r w:rsidRPr="004128EF">
              <w:rPr>
                <w:rFonts w:ascii="Times New Roman" w:hAnsi="Times New Roman"/>
                <w:b w:val="0"/>
                <w:bCs w:val="0"/>
                <w:caps w:val="0"/>
                <w:sz w:val="24"/>
              </w:rPr>
              <w:t xml:space="preserve">Alternative options to menu labelling should be considered </w:t>
            </w:r>
            <w:r w:rsidR="004D5B29" w:rsidRPr="004128EF">
              <w:rPr>
                <w:rFonts w:ascii="Times New Roman" w:hAnsi="Times New Roman"/>
                <w:b w:val="0"/>
                <w:bCs w:val="0"/>
                <w:caps w:val="0"/>
                <w:sz w:val="24"/>
              </w:rPr>
              <w:t xml:space="preserve">/ are of higher priority </w:t>
            </w:r>
            <w:r w:rsidRPr="004128EF">
              <w:rPr>
                <w:rFonts w:ascii="Times New Roman" w:hAnsi="Times New Roman"/>
                <w:b w:val="0"/>
                <w:bCs w:val="0"/>
                <w:caps w:val="0"/>
                <w:sz w:val="24"/>
              </w:rPr>
              <w:t xml:space="preserve">to support healthy eating, </w:t>
            </w:r>
            <w:r w:rsidR="00493F34">
              <w:rPr>
                <w:rFonts w:ascii="Times New Roman" w:hAnsi="Times New Roman"/>
                <w:b w:val="0"/>
                <w:bCs w:val="0"/>
                <w:caps w:val="0"/>
                <w:sz w:val="24"/>
              </w:rPr>
              <w:t>for example,</w:t>
            </w:r>
            <w:r w:rsidRPr="004128EF">
              <w:rPr>
                <w:rFonts w:ascii="Times New Roman" w:hAnsi="Times New Roman"/>
                <w:b w:val="0"/>
                <w:bCs w:val="0"/>
                <w:caps w:val="0"/>
                <w:sz w:val="24"/>
              </w:rPr>
              <w:t xml:space="preserve"> reformulation, serving size restrictions</w:t>
            </w:r>
            <w:r w:rsidR="004D5B29" w:rsidRPr="004128EF">
              <w:rPr>
                <w:rFonts w:ascii="Times New Roman" w:hAnsi="Times New Roman"/>
                <w:b w:val="0"/>
                <w:bCs w:val="0"/>
                <w:caps w:val="0"/>
                <w:sz w:val="24"/>
              </w:rPr>
              <w:t>, marketing restrictions</w:t>
            </w:r>
            <w:r w:rsidR="00964537" w:rsidRPr="004128EF">
              <w:rPr>
                <w:rFonts w:ascii="Times New Roman" w:hAnsi="Times New Roman"/>
                <w:b w:val="0"/>
                <w:bCs w:val="0"/>
                <w:caps w:val="0"/>
                <w:sz w:val="24"/>
              </w:rPr>
              <w:t xml:space="preserve">, Health Star Rating, taxation on sugary </w:t>
            </w:r>
            <w:r w:rsidR="00964537" w:rsidRPr="004128EF">
              <w:rPr>
                <w:rFonts w:ascii="Times New Roman" w:hAnsi="Times New Roman"/>
                <w:b w:val="0"/>
                <w:bCs w:val="0"/>
                <w:caps w:val="0"/>
                <w:sz w:val="24"/>
              </w:rPr>
              <w:lastRenderedPageBreak/>
              <w:t>drinks</w:t>
            </w:r>
            <w:r w:rsidR="00074C77">
              <w:rPr>
                <w:rFonts w:ascii="Times New Roman" w:hAnsi="Times New Roman"/>
                <w:b w:val="0"/>
                <w:bCs w:val="0"/>
                <w:caps w:val="0"/>
                <w:sz w:val="24"/>
              </w:rPr>
              <w:t>, NIPs on all food and drinks</w:t>
            </w:r>
            <w:r w:rsidR="00081CD4">
              <w:rPr>
                <w:rFonts w:ascii="Times New Roman" w:hAnsi="Times New Roman"/>
                <w:b w:val="0"/>
                <w:bCs w:val="0"/>
                <w:caps w:val="0"/>
                <w:sz w:val="24"/>
              </w:rPr>
              <w:t>.</w:t>
            </w:r>
          </w:p>
        </w:tc>
        <w:tc>
          <w:tcPr>
            <w:tcW w:w="6378" w:type="dxa"/>
          </w:tcPr>
          <w:p w14:paraId="4E389C9F" w14:textId="72DA7742" w:rsidR="006354F4" w:rsidRPr="004128EF" w:rsidRDefault="00582031" w:rsidP="006C6749">
            <w:pPr>
              <w:pStyle w:val="BodyText1"/>
              <w:spacing w:after="4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sidRPr="004128EF">
              <w:rPr>
                <w:rFonts w:ascii="Times New Roman" w:hAnsi="Times New Roman"/>
                <w:sz w:val="24"/>
              </w:rPr>
              <w:lastRenderedPageBreak/>
              <w:t>It is agreed that a</w:t>
            </w:r>
            <w:r w:rsidR="006C6749" w:rsidRPr="004128EF">
              <w:rPr>
                <w:rFonts w:ascii="Times New Roman" w:hAnsi="Times New Roman"/>
                <w:sz w:val="24"/>
              </w:rPr>
              <w:t xml:space="preserve"> suite of approaches </w:t>
            </w:r>
            <w:r w:rsidRPr="004128EF">
              <w:rPr>
                <w:rFonts w:ascii="Times New Roman" w:hAnsi="Times New Roman"/>
                <w:sz w:val="24"/>
              </w:rPr>
              <w:t>is</w:t>
            </w:r>
            <w:r w:rsidR="006C6749" w:rsidRPr="004128EF">
              <w:rPr>
                <w:rFonts w:ascii="Times New Roman" w:hAnsi="Times New Roman"/>
                <w:sz w:val="24"/>
              </w:rPr>
              <w:t xml:space="preserve"> needed to support healthy eating</w:t>
            </w:r>
            <w:r w:rsidR="009C23F5" w:rsidRPr="004128EF">
              <w:rPr>
                <w:rFonts w:ascii="Times New Roman" w:hAnsi="Times New Roman"/>
                <w:sz w:val="24"/>
              </w:rPr>
              <w:t xml:space="preserve"> and address the high rates of obesity in Australia and New Zealand</w:t>
            </w:r>
            <w:r w:rsidR="006C6749" w:rsidRPr="004128EF">
              <w:rPr>
                <w:rFonts w:ascii="Times New Roman" w:hAnsi="Times New Roman"/>
                <w:sz w:val="24"/>
              </w:rPr>
              <w:t xml:space="preserve">. This paper focuses on menu labelling, and </w:t>
            </w:r>
            <w:r w:rsidRPr="004128EF">
              <w:rPr>
                <w:rFonts w:ascii="Times New Roman" w:hAnsi="Times New Roman"/>
                <w:sz w:val="24"/>
              </w:rPr>
              <w:t>other approaches are being considered through other mechanisms</w:t>
            </w:r>
            <w:r w:rsidR="00A45605" w:rsidRPr="004128EF">
              <w:rPr>
                <w:rFonts w:ascii="Times New Roman" w:hAnsi="Times New Roman"/>
                <w:sz w:val="24"/>
              </w:rPr>
              <w:t xml:space="preserve">. </w:t>
            </w:r>
            <w:r w:rsidR="00A45605" w:rsidRPr="00B244EA">
              <w:rPr>
                <w:rFonts w:ascii="Times New Roman" w:hAnsi="Times New Roman"/>
                <w:sz w:val="24"/>
              </w:rPr>
              <w:t xml:space="preserve">Refer </w:t>
            </w:r>
            <w:r w:rsidR="00A45605" w:rsidRPr="007376AF">
              <w:rPr>
                <w:rFonts w:ascii="Times New Roman" w:hAnsi="Times New Roman"/>
                <w:sz w:val="24"/>
              </w:rPr>
              <w:t xml:space="preserve">to Appendix </w:t>
            </w:r>
            <w:r w:rsidR="005B4C57">
              <w:rPr>
                <w:rFonts w:ascii="Times New Roman" w:hAnsi="Times New Roman"/>
                <w:sz w:val="24"/>
              </w:rPr>
              <w:t>3</w:t>
            </w:r>
            <w:r w:rsidR="00A45605" w:rsidRPr="007376AF">
              <w:rPr>
                <w:rFonts w:ascii="Times New Roman" w:hAnsi="Times New Roman"/>
                <w:sz w:val="24"/>
              </w:rPr>
              <w:t xml:space="preserve"> for example</w:t>
            </w:r>
            <w:r w:rsidR="00A45605" w:rsidRPr="00B244EA">
              <w:rPr>
                <w:rFonts w:ascii="Times New Roman" w:hAnsi="Times New Roman"/>
                <w:sz w:val="24"/>
              </w:rPr>
              <w:t xml:space="preserve"> actions underway.</w:t>
            </w:r>
            <w:r w:rsidR="006C6749" w:rsidRPr="004128EF">
              <w:rPr>
                <w:rFonts w:ascii="Times New Roman" w:hAnsi="Times New Roman"/>
                <w:sz w:val="24"/>
              </w:rPr>
              <w:t xml:space="preserve"> </w:t>
            </w:r>
          </w:p>
        </w:tc>
      </w:tr>
      <w:tr w:rsidR="006354F4" w:rsidRPr="004C0EC0" w14:paraId="429BD02F" w14:textId="77777777" w:rsidTr="00E15858">
        <w:tc>
          <w:tcPr>
            <w:cnfStyle w:val="001000000000" w:firstRow="0" w:lastRow="0" w:firstColumn="1" w:lastColumn="0" w:oddVBand="0" w:evenVBand="0" w:oddHBand="0" w:evenHBand="0" w:firstRowFirstColumn="0" w:firstRowLastColumn="0" w:lastRowFirstColumn="0" w:lastRowLastColumn="0"/>
            <w:tcW w:w="2694" w:type="dxa"/>
          </w:tcPr>
          <w:p w14:paraId="4841E8C5" w14:textId="5D977780" w:rsidR="006354F4" w:rsidRPr="00A77C76" w:rsidRDefault="001F7F3F" w:rsidP="005C2A0C">
            <w:pPr>
              <w:pStyle w:val="BodyText1"/>
              <w:spacing w:after="40" w:line="240" w:lineRule="auto"/>
              <w:rPr>
                <w:rFonts w:ascii="Times New Roman" w:hAnsi="Times New Roman"/>
                <w:sz w:val="24"/>
              </w:rPr>
            </w:pPr>
            <w:r w:rsidRPr="004128EF">
              <w:rPr>
                <w:rFonts w:ascii="Times New Roman" w:hAnsi="Times New Roman"/>
                <w:b w:val="0"/>
                <w:bCs w:val="0"/>
                <w:caps w:val="0"/>
                <w:sz w:val="24"/>
              </w:rPr>
              <w:lastRenderedPageBreak/>
              <w:t>Consumer education must accompany menu labelling</w:t>
            </w:r>
            <w:r w:rsidR="00541F8D">
              <w:rPr>
                <w:rFonts w:ascii="Times New Roman" w:hAnsi="Times New Roman"/>
                <w:b w:val="0"/>
                <w:bCs w:val="0"/>
                <w:caps w:val="0"/>
                <w:sz w:val="24"/>
              </w:rPr>
              <w:t>,</w:t>
            </w:r>
            <w:r w:rsidR="00950240">
              <w:rPr>
                <w:rFonts w:ascii="Times New Roman" w:hAnsi="Times New Roman"/>
                <w:b w:val="0"/>
                <w:bCs w:val="0"/>
                <w:caps w:val="0"/>
                <w:sz w:val="24"/>
              </w:rPr>
              <w:t xml:space="preserve"> be sustained;</w:t>
            </w:r>
            <w:r w:rsidR="00541F8D">
              <w:rPr>
                <w:rFonts w:ascii="Times New Roman" w:hAnsi="Times New Roman"/>
                <w:b w:val="0"/>
                <w:bCs w:val="0"/>
                <w:caps w:val="0"/>
                <w:sz w:val="24"/>
              </w:rPr>
              <w:t xml:space="preserve"> be tailored to priority groups; and </w:t>
            </w:r>
            <w:r w:rsidR="009D2AE7" w:rsidRPr="009D2AE7">
              <w:rPr>
                <w:rFonts w:ascii="Times New Roman" w:hAnsi="Times New Roman"/>
                <w:b w:val="0"/>
                <w:bCs w:val="0"/>
                <w:caps w:val="0"/>
                <w:sz w:val="24"/>
              </w:rPr>
              <w:t xml:space="preserve">focus on using reference value to understand energy content on menus. </w:t>
            </w:r>
          </w:p>
        </w:tc>
        <w:tc>
          <w:tcPr>
            <w:tcW w:w="6378" w:type="dxa"/>
          </w:tcPr>
          <w:p w14:paraId="238BBB43" w14:textId="0318781D" w:rsidR="00A77C76" w:rsidRPr="004128EF" w:rsidRDefault="00A02474" w:rsidP="005C2A0C">
            <w:pPr>
              <w:pStyle w:val="BodyText1"/>
              <w:spacing w:after="4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BC47EB">
              <w:rPr>
                <w:rFonts w:ascii="Times New Roman" w:hAnsi="Times New Roman"/>
                <w:sz w:val="24"/>
              </w:rPr>
              <w:t xml:space="preserve">Agreed and </w:t>
            </w:r>
            <w:r w:rsidR="00081CD4">
              <w:rPr>
                <w:rFonts w:ascii="Times New Roman" w:hAnsi="Times New Roman"/>
                <w:sz w:val="24"/>
              </w:rPr>
              <w:t>supporting consumers to use menu labelling</w:t>
            </w:r>
            <w:r w:rsidRPr="00BC47EB">
              <w:rPr>
                <w:rFonts w:ascii="Times New Roman" w:hAnsi="Times New Roman"/>
                <w:sz w:val="24"/>
              </w:rPr>
              <w:t xml:space="preserve"> is part of the proposed consumed education.</w:t>
            </w:r>
          </w:p>
        </w:tc>
      </w:tr>
      <w:tr w:rsidR="001F7F3F" w:rsidRPr="004C0EC0" w14:paraId="047C6F0E" w14:textId="77777777" w:rsidTr="00E1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349782CA" w14:textId="731912AF" w:rsidR="001F7F3F" w:rsidRPr="004128EF" w:rsidRDefault="00F1536E" w:rsidP="00833EDB">
            <w:pPr>
              <w:pStyle w:val="BodyText1"/>
              <w:spacing w:after="40" w:line="240" w:lineRule="auto"/>
              <w:rPr>
                <w:rFonts w:ascii="Times New Roman" w:hAnsi="Times New Roman"/>
                <w:b w:val="0"/>
                <w:bCs w:val="0"/>
                <w:caps w:val="0"/>
                <w:sz w:val="24"/>
              </w:rPr>
            </w:pPr>
            <w:r>
              <w:rPr>
                <w:rFonts w:ascii="Times New Roman" w:hAnsi="Times New Roman"/>
                <w:b w:val="0"/>
                <w:bCs w:val="0"/>
                <w:caps w:val="0"/>
                <w:sz w:val="24"/>
              </w:rPr>
              <w:t xml:space="preserve">Health literacy and numeracy skills are needed to </w:t>
            </w:r>
            <w:r w:rsidR="00171F14">
              <w:rPr>
                <w:rFonts w:ascii="Times New Roman" w:hAnsi="Times New Roman"/>
                <w:b w:val="0"/>
                <w:bCs w:val="0"/>
                <w:caps w:val="0"/>
                <w:sz w:val="24"/>
              </w:rPr>
              <w:t>use menu labelling</w:t>
            </w:r>
            <w:r w:rsidR="00BC47EB">
              <w:rPr>
                <w:rFonts w:ascii="Times New Roman" w:hAnsi="Times New Roman"/>
                <w:b w:val="0"/>
                <w:bCs w:val="0"/>
                <w:caps w:val="0"/>
                <w:sz w:val="24"/>
              </w:rPr>
              <w:t xml:space="preserve"> / interpret energy values</w:t>
            </w:r>
            <w:r w:rsidR="00970D06">
              <w:rPr>
                <w:rFonts w:ascii="Times New Roman" w:hAnsi="Times New Roman"/>
                <w:b w:val="0"/>
                <w:bCs w:val="0"/>
                <w:caps w:val="0"/>
                <w:sz w:val="24"/>
              </w:rPr>
              <w:t xml:space="preserve">. </w:t>
            </w:r>
            <w:r w:rsidR="00F830FB">
              <w:rPr>
                <w:rFonts w:ascii="Times New Roman" w:hAnsi="Times New Roman"/>
                <w:b w:val="0"/>
                <w:bCs w:val="0"/>
                <w:caps w:val="0"/>
                <w:sz w:val="24"/>
              </w:rPr>
              <w:t>Increasing h</w:t>
            </w:r>
            <w:r w:rsidR="00970D06">
              <w:rPr>
                <w:rFonts w:ascii="Times New Roman" w:hAnsi="Times New Roman"/>
                <w:b w:val="0"/>
                <w:bCs w:val="0"/>
                <w:caps w:val="0"/>
                <w:sz w:val="24"/>
              </w:rPr>
              <w:t>ealth inequities</w:t>
            </w:r>
            <w:r w:rsidR="005E54DB">
              <w:rPr>
                <w:rFonts w:ascii="Times New Roman" w:hAnsi="Times New Roman"/>
                <w:b w:val="0"/>
                <w:bCs w:val="0"/>
                <w:caps w:val="0"/>
                <w:sz w:val="24"/>
              </w:rPr>
              <w:t xml:space="preserve"> </w:t>
            </w:r>
            <w:r w:rsidR="00F830FB">
              <w:rPr>
                <w:rFonts w:ascii="Times New Roman" w:hAnsi="Times New Roman"/>
                <w:b w:val="0"/>
                <w:bCs w:val="0"/>
                <w:caps w:val="0"/>
                <w:sz w:val="24"/>
              </w:rPr>
              <w:t>would be a negative outcome</w:t>
            </w:r>
            <w:r w:rsidR="00D617CA">
              <w:rPr>
                <w:rFonts w:ascii="Times New Roman" w:hAnsi="Times New Roman"/>
                <w:b w:val="0"/>
                <w:bCs w:val="0"/>
                <w:caps w:val="0"/>
                <w:sz w:val="24"/>
              </w:rPr>
              <w:t xml:space="preserve"> of menu labelling changes.</w:t>
            </w:r>
            <w:r w:rsidR="00F830FB">
              <w:rPr>
                <w:rFonts w:ascii="Times New Roman" w:hAnsi="Times New Roman"/>
                <w:b w:val="0"/>
                <w:bCs w:val="0"/>
                <w:caps w:val="0"/>
                <w:sz w:val="24"/>
              </w:rPr>
              <w:t xml:space="preserve"> </w:t>
            </w:r>
          </w:p>
        </w:tc>
        <w:tc>
          <w:tcPr>
            <w:tcW w:w="6378" w:type="dxa"/>
          </w:tcPr>
          <w:p w14:paraId="33815A92" w14:textId="14C8FA40" w:rsidR="001F7F3F" w:rsidRPr="004128EF" w:rsidRDefault="00BC47EB" w:rsidP="008D0463">
            <w:pPr>
              <w:pStyle w:val="BodyText1"/>
              <w:spacing w:after="4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highlight w:val="cyan"/>
              </w:rPr>
            </w:pPr>
            <w:r w:rsidRPr="00BC47EB">
              <w:rPr>
                <w:rFonts w:ascii="Times New Roman" w:hAnsi="Times New Roman"/>
                <w:sz w:val="24"/>
              </w:rPr>
              <w:t xml:space="preserve">Agreed and </w:t>
            </w:r>
            <w:r w:rsidR="004E26DA">
              <w:rPr>
                <w:rFonts w:ascii="Times New Roman" w:hAnsi="Times New Roman"/>
                <w:sz w:val="24"/>
              </w:rPr>
              <w:t>considering how to support all consumers</w:t>
            </w:r>
            <w:r w:rsidRPr="00BC47EB">
              <w:rPr>
                <w:rFonts w:ascii="Times New Roman" w:hAnsi="Times New Roman"/>
                <w:sz w:val="24"/>
              </w:rPr>
              <w:t xml:space="preserve"> is part of the proposed consumed education.</w:t>
            </w:r>
          </w:p>
        </w:tc>
      </w:tr>
      <w:tr w:rsidR="00895835" w:rsidRPr="004C0EC0" w14:paraId="35EEB3D7" w14:textId="77777777" w:rsidTr="00E15858">
        <w:tc>
          <w:tcPr>
            <w:cnfStyle w:val="001000000000" w:firstRow="0" w:lastRow="0" w:firstColumn="1" w:lastColumn="0" w:oddVBand="0" w:evenVBand="0" w:oddHBand="0" w:evenHBand="0" w:firstRowFirstColumn="0" w:firstRowLastColumn="0" w:lastRowFirstColumn="0" w:lastRowLastColumn="0"/>
            <w:tcW w:w="2694" w:type="dxa"/>
          </w:tcPr>
          <w:p w14:paraId="33BD9D7B" w14:textId="3531CD28" w:rsidR="004C0EC0" w:rsidRPr="000A001A" w:rsidRDefault="00132631" w:rsidP="00833EDB">
            <w:pPr>
              <w:pStyle w:val="BodyText1"/>
              <w:spacing w:after="40" w:line="240" w:lineRule="auto"/>
              <w:rPr>
                <w:rFonts w:ascii="Times New Roman" w:hAnsi="Times New Roman"/>
                <w:b w:val="0"/>
                <w:bCs w:val="0"/>
                <w:sz w:val="24"/>
              </w:rPr>
            </w:pPr>
            <w:r w:rsidRPr="000A001A">
              <w:rPr>
                <w:rFonts w:ascii="Times New Roman" w:hAnsi="Times New Roman"/>
                <w:b w:val="0"/>
                <w:bCs w:val="0"/>
                <w:caps w:val="0"/>
                <w:sz w:val="24"/>
              </w:rPr>
              <w:t>Threshold to capture businesses requires further clarificatio</w:t>
            </w:r>
            <w:r w:rsidR="00153BD0" w:rsidRPr="000A001A">
              <w:rPr>
                <w:rFonts w:ascii="Times New Roman" w:hAnsi="Times New Roman"/>
                <w:b w:val="0"/>
                <w:bCs w:val="0"/>
                <w:caps w:val="0"/>
                <w:sz w:val="24"/>
              </w:rPr>
              <w:t xml:space="preserve">n for independently-owned businesses operating under a single brand. </w:t>
            </w:r>
          </w:p>
        </w:tc>
        <w:tc>
          <w:tcPr>
            <w:tcW w:w="6378" w:type="dxa"/>
          </w:tcPr>
          <w:p w14:paraId="5703555D" w14:textId="58649C6D" w:rsidR="004C0EC0" w:rsidRPr="000A001A" w:rsidRDefault="005E010C" w:rsidP="008D0463">
            <w:pPr>
              <w:pStyle w:val="BodyText1"/>
              <w:spacing w:after="4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0A001A">
              <w:rPr>
                <w:rFonts w:ascii="Times New Roman" w:hAnsi="Times New Roman"/>
                <w:sz w:val="24"/>
              </w:rPr>
              <w:t>The intent is to capture businesse</w:t>
            </w:r>
            <w:r w:rsidR="00056868" w:rsidRPr="000A001A">
              <w:rPr>
                <w:rFonts w:ascii="Times New Roman" w:hAnsi="Times New Roman"/>
                <w:sz w:val="24"/>
              </w:rPr>
              <w:t>s operating under the same brand</w:t>
            </w:r>
            <w:r w:rsidR="00C5788D" w:rsidRPr="000A001A">
              <w:rPr>
                <w:rFonts w:ascii="Times New Roman" w:hAnsi="Times New Roman"/>
                <w:sz w:val="24"/>
              </w:rPr>
              <w:t xml:space="preserve"> (</w:t>
            </w:r>
            <w:r w:rsidR="008D0463" w:rsidRPr="000A001A">
              <w:rPr>
                <w:rFonts w:ascii="Times New Roman" w:hAnsi="Times New Roman"/>
                <w:sz w:val="24"/>
              </w:rPr>
              <w:t>c.f. to a franchise model)</w:t>
            </w:r>
            <w:r w:rsidR="00056868" w:rsidRPr="000A001A">
              <w:rPr>
                <w:rFonts w:ascii="Times New Roman" w:hAnsi="Times New Roman"/>
                <w:sz w:val="24"/>
              </w:rPr>
              <w:t>.</w:t>
            </w:r>
            <w:r w:rsidR="001E1780" w:rsidRPr="000A001A">
              <w:rPr>
                <w:rFonts w:ascii="Times New Roman" w:hAnsi="Times New Roman"/>
                <w:sz w:val="24"/>
              </w:rPr>
              <w:t xml:space="preserve"> </w:t>
            </w:r>
            <w:r w:rsidR="0083655F" w:rsidRPr="000A001A">
              <w:rPr>
                <w:rFonts w:ascii="Times New Roman" w:hAnsi="Times New Roman"/>
                <w:sz w:val="24"/>
              </w:rPr>
              <w:t xml:space="preserve">This is reflected in the </w:t>
            </w:r>
            <w:r w:rsidR="0083227B" w:rsidRPr="000A001A">
              <w:rPr>
                <w:rFonts w:ascii="Times New Roman" w:hAnsi="Times New Roman"/>
                <w:sz w:val="24"/>
              </w:rPr>
              <w:t xml:space="preserve">terms ‘standard food outlet’ and standard food item in the policy guidance. </w:t>
            </w:r>
            <w:r w:rsidR="001E1780" w:rsidRPr="000A001A">
              <w:rPr>
                <w:rFonts w:ascii="Times New Roman" w:hAnsi="Times New Roman"/>
                <w:sz w:val="24"/>
              </w:rPr>
              <w:t>The</w:t>
            </w:r>
            <w:r w:rsidRPr="000A001A">
              <w:rPr>
                <w:rFonts w:ascii="Times New Roman" w:hAnsi="Times New Roman"/>
                <w:sz w:val="24"/>
              </w:rPr>
              <w:t xml:space="preserve"> Ministerial Policy Guideline (Option 3) and Amended Principles (Option 2)</w:t>
            </w:r>
            <w:r w:rsidR="001E1780" w:rsidRPr="000A001A">
              <w:rPr>
                <w:rFonts w:ascii="Times New Roman" w:hAnsi="Times New Roman"/>
                <w:sz w:val="24"/>
              </w:rPr>
              <w:t xml:space="preserve"> were updated. It is also noted as an issue for implementation</w:t>
            </w:r>
            <w:r w:rsidR="00C5788D" w:rsidRPr="000A001A">
              <w:rPr>
                <w:rFonts w:ascii="Times New Roman" w:hAnsi="Times New Roman"/>
                <w:sz w:val="24"/>
              </w:rPr>
              <w:t xml:space="preserve"> with legal advice possibl</w:t>
            </w:r>
            <w:r w:rsidR="007D6684" w:rsidRPr="000A001A">
              <w:rPr>
                <w:rFonts w:ascii="Times New Roman" w:hAnsi="Times New Roman"/>
                <w:sz w:val="24"/>
              </w:rPr>
              <w:t>y</w:t>
            </w:r>
            <w:r w:rsidR="00C5788D" w:rsidRPr="000A001A">
              <w:rPr>
                <w:rFonts w:ascii="Times New Roman" w:hAnsi="Times New Roman"/>
                <w:sz w:val="24"/>
              </w:rPr>
              <w:t xml:space="preserve"> required.</w:t>
            </w:r>
          </w:p>
        </w:tc>
      </w:tr>
      <w:tr w:rsidR="00895835" w:rsidRPr="004C0EC0" w14:paraId="10AE19AB" w14:textId="77777777" w:rsidTr="00E1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21761DE4" w14:textId="3CB2BE11" w:rsidR="004C0EC0" w:rsidRPr="004128EF" w:rsidRDefault="0018789E" w:rsidP="005C2A0C">
            <w:pPr>
              <w:pStyle w:val="BodyText1"/>
              <w:spacing w:after="40" w:line="240" w:lineRule="auto"/>
              <w:rPr>
                <w:rFonts w:ascii="Times New Roman" w:hAnsi="Times New Roman"/>
                <w:b w:val="0"/>
                <w:bCs w:val="0"/>
                <w:sz w:val="24"/>
              </w:rPr>
            </w:pPr>
            <w:r w:rsidRPr="004128EF">
              <w:rPr>
                <w:rFonts w:ascii="Times New Roman" w:hAnsi="Times New Roman"/>
                <w:b w:val="0"/>
                <w:bCs w:val="0"/>
                <w:caps w:val="0"/>
                <w:sz w:val="24"/>
              </w:rPr>
              <w:t>The focus on medium/large businesses does not recognise the growth in</w:t>
            </w:r>
            <w:r w:rsidR="00DC19F9" w:rsidRPr="004128EF">
              <w:rPr>
                <w:rFonts w:ascii="Times New Roman" w:hAnsi="Times New Roman"/>
                <w:b w:val="0"/>
                <w:bCs w:val="0"/>
                <w:sz w:val="24"/>
              </w:rPr>
              <w:t xml:space="preserve"> </w:t>
            </w:r>
            <w:r w:rsidRPr="004128EF">
              <w:rPr>
                <w:rFonts w:ascii="Times New Roman" w:hAnsi="Times New Roman"/>
                <w:b w:val="0"/>
                <w:bCs w:val="0"/>
                <w:caps w:val="0"/>
                <w:sz w:val="24"/>
              </w:rPr>
              <w:t>independent outlets</w:t>
            </w:r>
            <w:r w:rsidR="00306996" w:rsidRPr="004128EF">
              <w:rPr>
                <w:rFonts w:ascii="Times New Roman" w:hAnsi="Times New Roman"/>
                <w:b w:val="0"/>
                <w:bCs w:val="0"/>
                <w:caps w:val="0"/>
                <w:sz w:val="24"/>
              </w:rPr>
              <w:t xml:space="preserve"> (including in food courts and those using third-party food delivery platforms) that also offer energy-dense menu items.</w:t>
            </w:r>
          </w:p>
        </w:tc>
        <w:tc>
          <w:tcPr>
            <w:tcW w:w="6378" w:type="dxa"/>
          </w:tcPr>
          <w:p w14:paraId="22638DDA" w14:textId="77777777" w:rsidR="005D6178" w:rsidRDefault="003D61D1" w:rsidP="005D6178">
            <w:pPr>
              <w:pStyle w:val="BodyText1"/>
              <w:spacing w:after="4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sidRPr="002C4857">
              <w:rPr>
                <w:rFonts w:ascii="Times New Roman" w:hAnsi="Times New Roman"/>
                <w:sz w:val="24"/>
              </w:rPr>
              <w:t xml:space="preserve">It is acknowledged that </w:t>
            </w:r>
            <w:r w:rsidR="00AD61FB" w:rsidRPr="002C4857">
              <w:rPr>
                <w:rFonts w:ascii="Times New Roman" w:hAnsi="Times New Roman"/>
                <w:sz w:val="24"/>
              </w:rPr>
              <w:t xml:space="preserve">it would be ideal if </w:t>
            </w:r>
            <w:r w:rsidRPr="002C4857">
              <w:rPr>
                <w:rFonts w:ascii="Times New Roman" w:hAnsi="Times New Roman"/>
                <w:sz w:val="24"/>
              </w:rPr>
              <w:t xml:space="preserve">customers </w:t>
            </w:r>
            <w:r w:rsidR="007879C9" w:rsidRPr="002C4857">
              <w:rPr>
                <w:rFonts w:ascii="Times New Roman" w:hAnsi="Times New Roman"/>
                <w:sz w:val="24"/>
              </w:rPr>
              <w:t>of</w:t>
            </w:r>
            <w:r w:rsidR="00AD61FB" w:rsidRPr="002C4857">
              <w:rPr>
                <w:rFonts w:ascii="Times New Roman" w:hAnsi="Times New Roman"/>
                <w:sz w:val="24"/>
              </w:rPr>
              <w:t xml:space="preserve"> </w:t>
            </w:r>
            <w:r w:rsidRPr="002C4857">
              <w:rPr>
                <w:rFonts w:ascii="Times New Roman" w:hAnsi="Times New Roman"/>
                <w:sz w:val="24"/>
              </w:rPr>
              <w:t xml:space="preserve">smaller chains and independent businesses </w:t>
            </w:r>
            <w:r w:rsidR="007879C9" w:rsidRPr="002C4857">
              <w:rPr>
                <w:rFonts w:ascii="Times New Roman" w:hAnsi="Times New Roman"/>
                <w:sz w:val="24"/>
              </w:rPr>
              <w:t xml:space="preserve">also had access to energy information of all menu items. These businesses are already </w:t>
            </w:r>
            <w:r w:rsidR="007D6684" w:rsidRPr="002C4857">
              <w:rPr>
                <w:rFonts w:ascii="Times New Roman" w:hAnsi="Times New Roman"/>
                <w:sz w:val="24"/>
              </w:rPr>
              <w:t>able to voluntarily choose to display energy information on their menus.</w:t>
            </w:r>
            <w:r w:rsidR="005D6178">
              <w:rPr>
                <w:rFonts w:ascii="Times New Roman" w:hAnsi="Times New Roman"/>
                <w:sz w:val="24"/>
              </w:rPr>
              <w:t xml:space="preserve"> </w:t>
            </w:r>
            <w:r w:rsidR="0079303C" w:rsidRPr="002C4857">
              <w:rPr>
                <w:rFonts w:ascii="Times New Roman" w:hAnsi="Times New Roman"/>
                <w:sz w:val="24"/>
              </w:rPr>
              <w:t xml:space="preserve">The definition of a standard food outlet has not been amended </w:t>
            </w:r>
            <w:r w:rsidR="00DB5BBC" w:rsidRPr="002C4857">
              <w:rPr>
                <w:rFonts w:ascii="Times New Roman" w:hAnsi="Times New Roman"/>
                <w:sz w:val="24"/>
              </w:rPr>
              <w:t xml:space="preserve">to capture all businesses regardless of size. </w:t>
            </w:r>
          </w:p>
          <w:p w14:paraId="4B65850D" w14:textId="68AB9510" w:rsidR="0079303C" w:rsidRPr="004128EF" w:rsidRDefault="00DB5BBC" w:rsidP="005D6178">
            <w:pPr>
              <w:pStyle w:val="BodyText1"/>
              <w:spacing w:after="4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sidRPr="002C4857">
              <w:rPr>
                <w:rFonts w:ascii="Times New Roman" w:hAnsi="Times New Roman"/>
                <w:sz w:val="24"/>
              </w:rPr>
              <w:t>It is noted as an implementation issue for further consideration</w:t>
            </w:r>
            <w:r w:rsidR="005D6178">
              <w:rPr>
                <w:rFonts w:ascii="Times New Roman" w:hAnsi="Times New Roman"/>
                <w:sz w:val="24"/>
              </w:rPr>
              <w:t xml:space="preserve"> by</w:t>
            </w:r>
            <w:r w:rsidR="006535D9" w:rsidRPr="002C4857">
              <w:rPr>
                <w:rFonts w:ascii="Times New Roman" w:hAnsi="Times New Roman"/>
                <w:sz w:val="24"/>
              </w:rPr>
              <w:t xml:space="preserve"> </w:t>
            </w:r>
            <w:r w:rsidR="005D6178">
              <w:rPr>
                <w:rFonts w:ascii="Times New Roman" w:hAnsi="Times New Roman"/>
                <w:sz w:val="24"/>
              </w:rPr>
              <w:t>i</w:t>
            </w:r>
            <w:r w:rsidR="005D6178" w:rsidRPr="005D6178">
              <w:rPr>
                <w:rFonts w:ascii="Times New Roman" w:hAnsi="Times New Roman"/>
                <w:sz w:val="24"/>
              </w:rPr>
              <w:t>ndustry peak bodies, public health organisations and government agencies</w:t>
            </w:r>
            <w:r w:rsidR="005D6178">
              <w:rPr>
                <w:rFonts w:ascii="Times New Roman" w:hAnsi="Times New Roman"/>
                <w:sz w:val="24"/>
              </w:rPr>
              <w:t xml:space="preserve">, on </w:t>
            </w:r>
            <w:r w:rsidR="0018080D">
              <w:rPr>
                <w:rFonts w:ascii="Times New Roman" w:hAnsi="Times New Roman"/>
                <w:sz w:val="24"/>
              </w:rPr>
              <w:t xml:space="preserve">the </w:t>
            </w:r>
            <w:r w:rsidR="005D6178">
              <w:rPr>
                <w:rFonts w:ascii="Times New Roman" w:hAnsi="Times New Roman"/>
                <w:sz w:val="24"/>
              </w:rPr>
              <w:t>support that could be provided to</w:t>
            </w:r>
            <w:r w:rsidR="005D6178" w:rsidRPr="005D6178">
              <w:rPr>
                <w:rFonts w:ascii="Times New Roman" w:hAnsi="Times New Roman"/>
                <w:sz w:val="24"/>
              </w:rPr>
              <w:t xml:space="preserve"> </w:t>
            </w:r>
            <w:r w:rsidR="005D6178" w:rsidRPr="002C4857">
              <w:rPr>
                <w:rFonts w:ascii="Times New Roman" w:hAnsi="Times New Roman"/>
                <w:sz w:val="24"/>
              </w:rPr>
              <w:t>smaller chains and independent businesses</w:t>
            </w:r>
            <w:r w:rsidR="005D6178" w:rsidRPr="005D6178">
              <w:rPr>
                <w:rFonts w:ascii="Times New Roman" w:hAnsi="Times New Roman"/>
                <w:sz w:val="24"/>
              </w:rPr>
              <w:t xml:space="preserve"> </w:t>
            </w:r>
            <w:r w:rsidR="005D6178" w:rsidRPr="002C4857">
              <w:rPr>
                <w:rFonts w:ascii="Times New Roman" w:hAnsi="Times New Roman"/>
                <w:sz w:val="24"/>
              </w:rPr>
              <w:t>to voluntarily display energy information on their menus</w:t>
            </w:r>
            <w:r w:rsidR="005D6178">
              <w:rPr>
                <w:rFonts w:ascii="Times New Roman" w:hAnsi="Times New Roman"/>
                <w:sz w:val="24"/>
              </w:rPr>
              <w:t>.</w:t>
            </w:r>
          </w:p>
        </w:tc>
      </w:tr>
      <w:tr w:rsidR="002A0821" w:rsidRPr="004C0EC0" w14:paraId="4E07C728" w14:textId="77777777" w:rsidTr="00E15858">
        <w:tc>
          <w:tcPr>
            <w:cnfStyle w:val="001000000000" w:firstRow="0" w:lastRow="0" w:firstColumn="1" w:lastColumn="0" w:oddVBand="0" w:evenVBand="0" w:oddHBand="0" w:evenHBand="0" w:firstRowFirstColumn="0" w:firstRowLastColumn="0" w:lastRowFirstColumn="0" w:lastRowLastColumn="0"/>
            <w:tcW w:w="2694" w:type="dxa"/>
          </w:tcPr>
          <w:p w14:paraId="3231FD6B" w14:textId="594042D7" w:rsidR="002A0821" w:rsidRDefault="002A0821" w:rsidP="002A0821">
            <w:pPr>
              <w:pStyle w:val="BodyText1"/>
              <w:spacing w:after="40" w:line="240" w:lineRule="auto"/>
              <w:rPr>
                <w:rFonts w:ascii="Times New Roman" w:hAnsi="Times New Roman"/>
                <w:b w:val="0"/>
                <w:bCs w:val="0"/>
                <w:caps w:val="0"/>
                <w:sz w:val="24"/>
              </w:rPr>
            </w:pPr>
            <w:r w:rsidRPr="00C1574D">
              <w:rPr>
                <w:rFonts w:ascii="Times New Roman" w:hAnsi="Times New Roman"/>
                <w:b w:val="0"/>
                <w:bCs w:val="0"/>
                <w:caps w:val="0"/>
                <w:sz w:val="24"/>
              </w:rPr>
              <w:t>Ongo</w:t>
            </w:r>
            <w:r>
              <w:rPr>
                <w:rFonts w:ascii="Times New Roman" w:hAnsi="Times New Roman"/>
                <w:b w:val="0"/>
                <w:bCs w:val="0"/>
                <w:caps w:val="0"/>
                <w:sz w:val="24"/>
              </w:rPr>
              <w:t>i</w:t>
            </w:r>
            <w:r w:rsidRPr="00C1574D">
              <w:rPr>
                <w:rFonts w:ascii="Times New Roman" w:hAnsi="Times New Roman"/>
                <w:b w:val="0"/>
                <w:bCs w:val="0"/>
                <w:caps w:val="0"/>
                <w:sz w:val="24"/>
              </w:rPr>
              <w:t>ng monitoring of business types that may meet the standard food outlet definition is required.</w:t>
            </w:r>
          </w:p>
        </w:tc>
        <w:tc>
          <w:tcPr>
            <w:tcW w:w="6378" w:type="dxa"/>
          </w:tcPr>
          <w:p w14:paraId="42D3AFB0" w14:textId="115115FD" w:rsidR="002A0821" w:rsidRDefault="002A0821" w:rsidP="002A0821">
            <w:pPr>
              <w:pStyle w:val="BodyText1"/>
              <w:spacing w:after="4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The intent is that any business type that meets the definition of a standard food outlet is captured. Ensuring that businesses are aware of and comply with the requirements is an issue for implementation.</w:t>
            </w:r>
          </w:p>
        </w:tc>
      </w:tr>
      <w:tr w:rsidR="002A0821" w:rsidRPr="004C0EC0" w14:paraId="26310DB7" w14:textId="77777777" w:rsidTr="00E1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72A638C" w14:textId="3F8952A7" w:rsidR="002A0821" w:rsidRPr="00C1574D" w:rsidRDefault="002A0821" w:rsidP="002A0821">
            <w:pPr>
              <w:pStyle w:val="BodyText1"/>
              <w:spacing w:after="40" w:line="240" w:lineRule="auto"/>
              <w:rPr>
                <w:rFonts w:ascii="Times New Roman" w:hAnsi="Times New Roman"/>
                <w:b w:val="0"/>
                <w:bCs w:val="0"/>
                <w:caps w:val="0"/>
                <w:sz w:val="24"/>
              </w:rPr>
            </w:pPr>
            <w:r>
              <w:rPr>
                <w:rFonts w:ascii="Times New Roman" w:hAnsi="Times New Roman"/>
                <w:b w:val="0"/>
                <w:bCs w:val="0"/>
                <w:caps w:val="0"/>
                <w:sz w:val="24"/>
              </w:rPr>
              <w:t>Standard food items do not generally exist in New Zealand as items such as a scoop of chips are not standardised across businesses and customers can customise items.</w:t>
            </w:r>
          </w:p>
        </w:tc>
        <w:tc>
          <w:tcPr>
            <w:tcW w:w="6378" w:type="dxa"/>
          </w:tcPr>
          <w:p w14:paraId="6039D86F" w14:textId="274053DF" w:rsidR="002A0821" w:rsidRDefault="002A0821" w:rsidP="002A0821">
            <w:pPr>
              <w:pStyle w:val="BodyText1"/>
              <w:spacing w:after="4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Pr>
                <w:rFonts w:ascii="Times New Roman" w:hAnsi="Times New Roman"/>
                <w:sz w:val="24"/>
              </w:rPr>
              <w:t>Items that are standardised for portion and content and sold at one or more outlets are considered standard food items. Items that are not standardised across outlets are not captured by menu labelling. Based on the Australian experience, it would be expected that medium and large chains have standardised menus in New Zealand.</w:t>
            </w:r>
          </w:p>
        </w:tc>
      </w:tr>
      <w:tr w:rsidR="002A0821" w:rsidRPr="004C0EC0" w14:paraId="3DCDF7FD" w14:textId="77777777" w:rsidTr="00E15858">
        <w:tc>
          <w:tcPr>
            <w:cnfStyle w:val="001000000000" w:firstRow="0" w:lastRow="0" w:firstColumn="1" w:lastColumn="0" w:oddVBand="0" w:evenVBand="0" w:oddHBand="0" w:evenHBand="0" w:firstRowFirstColumn="0" w:firstRowLastColumn="0" w:lastRowFirstColumn="0" w:lastRowLastColumn="0"/>
            <w:tcW w:w="2694" w:type="dxa"/>
          </w:tcPr>
          <w:p w14:paraId="5506192C" w14:textId="55338EF2" w:rsidR="002A0821" w:rsidRPr="004128EF" w:rsidRDefault="00B268C3" w:rsidP="002A0821">
            <w:pPr>
              <w:pStyle w:val="BodyText1"/>
              <w:spacing w:after="40" w:line="240" w:lineRule="auto"/>
              <w:rPr>
                <w:rFonts w:ascii="Times New Roman" w:hAnsi="Times New Roman"/>
                <w:sz w:val="24"/>
              </w:rPr>
            </w:pPr>
            <w:r w:rsidRPr="00B268C3">
              <w:rPr>
                <w:rFonts w:ascii="Times New Roman" w:hAnsi="Times New Roman"/>
                <w:b w:val="0"/>
                <w:bCs w:val="0"/>
                <w:caps w:val="0"/>
                <w:sz w:val="24"/>
              </w:rPr>
              <w:lastRenderedPageBreak/>
              <w:t>The e</w:t>
            </w:r>
            <w:r>
              <w:rPr>
                <w:rFonts w:ascii="Times New Roman" w:hAnsi="Times New Roman"/>
                <w:b w:val="0"/>
                <w:bCs w:val="0"/>
                <w:caps w:val="0"/>
                <w:sz w:val="24"/>
              </w:rPr>
              <w:t>x</w:t>
            </w:r>
            <w:r w:rsidRPr="00B268C3">
              <w:rPr>
                <w:rFonts w:ascii="Times New Roman" w:hAnsi="Times New Roman"/>
                <w:b w:val="0"/>
                <w:bCs w:val="0"/>
                <w:caps w:val="0"/>
                <w:sz w:val="24"/>
              </w:rPr>
              <w:t>clusion of alcohol from menu labelling does not support consumers being informed of energy content.</w:t>
            </w:r>
          </w:p>
        </w:tc>
        <w:tc>
          <w:tcPr>
            <w:tcW w:w="6378" w:type="dxa"/>
          </w:tcPr>
          <w:p w14:paraId="63E315F3" w14:textId="77777777" w:rsidR="002A0821" w:rsidRDefault="00BD3CD3" w:rsidP="002A0821">
            <w:pPr>
              <w:pStyle w:val="BodyText1"/>
              <w:spacing w:after="4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 xml:space="preserve">Energy labelling on packaged alcoholic beverages is being considered by FSANZ. </w:t>
            </w:r>
            <w:r w:rsidR="00B14CD2">
              <w:rPr>
                <w:rFonts w:ascii="Times New Roman" w:hAnsi="Times New Roman"/>
                <w:sz w:val="24"/>
              </w:rPr>
              <w:t>Non-packaged alcoholic beverages are out-of-scope for the FSANZ work.</w:t>
            </w:r>
          </w:p>
          <w:p w14:paraId="66008A7E" w14:textId="4E4A4B27" w:rsidR="00B14CD2" w:rsidRPr="004128EF" w:rsidRDefault="00B14CD2" w:rsidP="002A0821">
            <w:pPr>
              <w:pStyle w:val="BodyText1"/>
              <w:spacing w:after="4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If non-packaged alcoholic beverages meet the definition of a standard food item, then</w:t>
            </w:r>
            <w:r w:rsidR="00464B9F">
              <w:rPr>
                <w:rFonts w:ascii="Times New Roman" w:hAnsi="Times New Roman"/>
                <w:sz w:val="24"/>
              </w:rPr>
              <w:t xml:space="preserve"> </w:t>
            </w:r>
            <w:r w:rsidR="00CA08B3">
              <w:rPr>
                <w:rFonts w:ascii="Times New Roman" w:hAnsi="Times New Roman"/>
                <w:sz w:val="24"/>
              </w:rPr>
              <w:t>c</w:t>
            </w:r>
            <w:r w:rsidR="00464B9F">
              <w:rPr>
                <w:rFonts w:ascii="Times New Roman" w:hAnsi="Times New Roman"/>
                <w:sz w:val="24"/>
              </w:rPr>
              <w:t>ould be captured by menu labelling. Some businesses implementing menu labelling in Australia already display the energy content of some alcoholic beverages (</w:t>
            </w:r>
            <w:r w:rsidR="00493F34">
              <w:rPr>
                <w:rFonts w:ascii="Times New Roman" w:hAnsi="Times New Roman"/>
                <w:sz w:val="24"/>
              </w:rPr>
              <w:t>for example,</w:t>
            </w:r>
            <w:r w:rsidR="00464B9F">
              <w:rPr>
                <w:rFonts w:ascii="Times New Roman" w:hAnsi="Times New Roman"/>
                <w:sz w:val="24"/>
              </w:rPr>
              <w:t xml:space="preserve"> glass of wine) on menus.</w:t>
            </w:r>
            <w:r w:rsidR="00CA08B3">
              <w:rPr>
                <w:rFonts w:ascii="Times New Roman" w:hAnsi="Times New Roman"/>
                <w:sz w:val="24"/>
              </w:rPr>
              <w:t xml:space="preserve"> This would be an issue for </w:t>
            </w:r>
            <w:r w:rsidR="006A2BD8">
              <w:rPr>
                <w:rFonts w:ascii="Times New Roman" w:hAnsi="Times New Roman"/>
                <w:sz w:val="24"/>
              </w:rPr>
              <w:t>implementation.</w:t>
            </w:r>
          </w:p>
        </w:tc>
      </w:tr>
      <w:tr w:rsidR="002A0821" w:rsidRPr="004C0EC0" w14:paraId="00051111" w14:textId="77777777" w:rsidTr="00E1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305592FA" w14:textId="0C4F5144" w:rsidR="002A0821" w:rsidRPr="004128EF" w:rsidRDefault="002A0821" w:rsidP="002A0821">
            <w:pPr>
              <w:pStyle w:val="BodyText1"/>
              <w:spacing w:after="40" w:line="240" w:lineRule="auto"/>
              <w:rPr>
                <w:rFonts w:ascii="Times New Roman" w:hAnsi="Times New Roman"/>
                <w:b w:val="0"/>
                <w:bCs w:val="0"/>
                <w:caps w:val="0"/>
                <w:sz w:val="24"/>
              </w:rPr>
            </w:pPr>
            <w:r w:rsidRPr="004128EF">
              <w:rPr>
                <w:rFonts w:ascii="Times New Roman" w:hAnsi="Times New Roman"/>
                <w:b w:val="0"/>
                <w:bCs w:val="0"/>
                <w:caps w:val="0"/>
                <w:sz w:val="24"/>
              </w:rPr>
              <w:t xml:space="preserve">The draft Ministerial Policy Guide should be strengthened to ensure that there are no exemptions for specific businesses </w:t>
            </w:r>
            <w:r>
              <w:rPr>
                <w:rFonts w:ascii="Times New Roman" w:hAnsi="Times New Roman"/>
                <w:b w:val="0"/>
                <w:bCs w:val="0"/>
                <w:caps w:val="0"/>
                <w:sz w:val="24"/>
              </w:rPr>
              <w:t xml:space="preserve">(other than based on size) </w:t>
            </w:r>
            <w:r w:rsidRPr="004128EF">
              <w:rPr>
                <w:rFonts w:ascii="Times New Roman" w:hAnsi="Times New Roman"/>
                <w:b w:val="0"/>
                <w:bCs w:val="0"/>
                <w:caps w:val="0"/>
                <w:sz w:val="24"/>
              </w:rPr>
              <w:t>or menu items.</w:t>
            </w:r>
          </w:p>
        </w:tc>
        <w:tc>
          <w:tcPr>
            <w:tcW w:w="6378" w:type="dxa"/>
          </w:tcPr>
          <w:p w14:paraId="1F9BD0B0" w14:textId="68F12556" w:rsidR="002A0821" w:rsidRDefault="002A0821" w:rsidP="002A0821">
            <w:pPr>
              <w:pStyle w:val="BodyText1"/>
              <w:spacing w:after="4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sidRPr="004128EF">
              <w:rPr>
                <w:rFonts w:ascii="Times New Roman" w:hAnsi="Times New Roman"/>
                <w:sz w:val="24"/>
              </w:rPr>
              <w:t>The draft Ministerial Policy Guideline presented in the CRIS, did not provide any exemptions for menu items. Trial items / temporary items are currently exempted in four jurisdictions; however</w:t>
            </w:r>
            <w:r w:rsidR="00FC4216">
              <w:rPr>
                <w:rFonts w:ascii="Times New Roman" w:hAnsi="Times New Roman"/>
                <w:sz w:val="24"/>
              </w:rPr>
              <w:t>,</w:t>
            </w:r>
            <w:r w:rsidRPr="004128EF">
              <w:rPr>
                <w:rFonts w:ascii="Times New Roman" w:hAnsi="Times New Roman"/>
                <w:sz w:val="24"/>
              </w:rPr>
              <w:t xml:space="preserve"> it is the intention that they are captured and required to display energy information. </w:t>
            </w:r>
            <w:r>
              <w:rPr>
                <w:rFonts w:ascii="Times New Roman" w:hAnsi="Times New Roman"/>
                <w:sz w:val="24"/>
              </w:rPr>
              <w:t>The definition of a standard food item has been amended to make this explicit.</w:t>
            </w:r>
          </w:p>
          <w:p w14:paraId="5DF44B99" w14:textId="64ADD37D" w:rsidR="002A0821" w:rsidRPr="004128EF" w:rsidRDefault="002A0821" w:rsidP="002A0821">
            <w:pPr>
              <w:pStyle w:val="BodyText1"/>
              <w:spacing w:after="4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sidRPr="004128EF">
              <w:rPr>
                <w:rFonts w:ascii="Times New Roman" w:hAnsi="Times New Roman"/>
                <w:sz w:val="24"/>
              </w:rPr>
              <w:t>Similarly</w:t>
            </w:r>
            <w:r w:rsidR="00FC4216">
              <w:rPr>
                <w:rFonts w:ascii="Times New Roman" w:hAnsi="Times New Roman"/>
                <w:sz w:val="24"/>
              </w:rPr>
              <w:t>,</w:t>
            </w:r>
            <w:r w:rsidRPr="004128EF">
              <w:rPr>
                <w:rFonts w:ascii="Times New Roman" w:hAnsi="Times New Roman"/>
                <w:sz w:val="24"/>
              </w:rPr>
              <w:t xml:space="preserve"> if a business meets the definition of a standard food outlet, the Ministerial Policy Guideline intends compliance with menu labelling. No exemptions have been </w:t>
            </w:r>
            <w:r w:rsidR="00DC3B83" w:rsidRPr="004128EF">
              <w:rPr>
                <w:rFonts w:ascii="Times New Roman" w:hAnsi="Times New Roman"/>
                <w:sz w:val="24"/>
              </w:rPr>
              <w:t>proposed unless</w:t>
            </w:r>
            <w:r w:rsidRPr="004128EF">
              <w:rPr>
                <w:rFonts w:ascii="Times New Roman" w:hAnsi="Times New Roman"/>
                <w:sz w:val="24"/>
              </w:rPr>
              <w:t xml:space="preserve"> </w:t>
            </w:r>
            <w:r w:rsidR="00317DE6">
              <w:rPr>
                <w:rFonts w:ascii="Times New Roman" w:hAnsi="Times New Roman"/>
                <w:sz w:val="24"/>
              </w:rPr>
              <w:t xml:space="preserve">they </w:t>
            </w:r>
            <w:r w:rsidRPr="004128EF">
              <w:rPr>
                <w:rFonts w:ascii="Times New Roman" w:hAnsi="Times New Roman"/>
                <w:sz w:val="24"/>
              </w:rPr>
              <w:t xml:space="preserve">do not meet the standard food outlet definition. </w:t>
            </w:r>
            <w:r w:rsidRPr="00E85CB8">
              <w:rPr>
                <w:rFonts w:ascii="Times New Roman" w:hAnsi="Times New Roman"/>
                <w:sz w:val="24"/>
              </w:rPr>
              <w:t xml:space="preserve">These businesses </w:t>
            </w:r>
            <w:r>
              <w:rPr>
                <w:rFonts w:ascii="Times New Roman" w:hAnsi="Times New Roman"/>
                <w:sz w:val="24"/>
              </w:rPr>
              <w:t>c</w:t>
            </w:r>
            <w:r w:rsidRPr="00E85CB8">
              <w:rPr>
                <w:rFonts w:ascii="Times New Roman" w:hAnsi="Times New Roman"/>
                <w:sz w:val="24"/>
              </w:rPr>
              <w:t>ould be encouraged to voluntarily display energy information.</w:t>
            </w:r>
          </w:p>
        </w:tc>
      </w:tr>
      <w:tr w:rsidR="002A0821" w:rsidRPr="004C0EC0" w14:paraId="4994F892" w14:textId="77777777" w:rsidTr="00E15858">
        <w:tc>
          <w:tcPr>
            <w:cnfStyle w:val="001000000000" w:firstRow="0" w:lastRow="0" w:firstColumn="1" w:lastColumn="0" w:oddVBand="0" w:evenVBand="0" w:oddHBand="0" w:evenHBand="0" w:firstRowFirstColumn="0" w:firstRowLastColumn="0" w:lastRowFirstColumn="0" w:lastRowLastColumn="0"/>
            <w:tcW w:w="2694" w:type="dxa"/>
          </w:tcPr>
          <w:p w14:paraId="5C875B57" w14:textId="70179F06" w:rsidR="002A0821" w:rsidRPr="004128EF" w:rsidRDefault="002A0821" w:rsidP="002A0821">
            <w:pPr>
              <w:pStyle w:val="BodyText1"/>
              <w:spacing w:after="40" w:line="240" w:lineRule="auto"/>
              <w:rPr>
                <w:rFonts w:ascii="Times New Roman" w:hAnsi="Times New Roman"/>
                <w:b w:val="0"/>
                <w:bCs w:val="0"/>
                <w:caps w:val="0"/>
                <w:sz w:val="24"/>
              </w:rPr>
            </w:pPr>
            <w:r w:rsidRPr="004128EF">
              <w:rPr>
                <w:rFonts w:ascii="Times New Roman" w:hAnsi="Times New Roman"/>
                <w:b w:val="0"/>
                <w:bCs w:val="0"/>
                <w:caps w:val="0"/>
                <w:sz w:val="24"/>
              </w:rPr>
              <w:t>The draft Ministerial Policy Guide should be strengthened with respect to customised menu items</w:t>
            </w:r>
            <w:r>
              <w:rPr>
                <w:rFonts w:ascii="Times New Roman" w:hAnsi="Times New Roman"/>
                <w:b w:val="0"/>
                <w:bCs w:val="0"/>
                <w:caps w:val="0"/>
                <w:sz w:val="24"/>
              </w:rPr>
              <w:t>, with energy content of standardised ingredients and total item be displayed.</w:t>
            </w:r>
          </w:p>
        </w:tc>
        <w:tc>
          <w:tcPr>
            <w:tcW w:w="6378" w:type="dxa"/>
          </w:tcPr>
          <w:p w14:paraId="5ADD2FB8" w14:textId="47AF80E2" w:rsidR="002A0821" w:rsidRPr="004128EF" w:rsidRDefault="002A0821" w:rsidP="002A0821">
            <w:pPr>
              <w:pStyle w:val="BodyText1"/>
              <w:spacing w:after="4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4128EF">
              <w:rPr>
                <w:rFonts w:ascii="Times New Roman" w:hAnsi="Times New Roman"/>
                <w:sz w:val="24"/>
              </w:rPr>
              <w:t xml:space="preserve">It is noted that there is a difference in the objectives of the Ministerial Policy Guideline for standard food items (‘provide energy information’) and customised items (‘enable consumers to access energy information). </w:t>
            </w:r>
          </w:p>
          <w:p w14:paraId="28D262CC" w14:textId="38092016" w:rsidR="002A0821" w:rsidRPr="004128EF" w:rsidRDefault="002A0821" w:rsidP="002A0821">
            <w:pPr>
              <w:pStyle w:val="BodyText1"/>
              <w:spacing w:after="4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4128EF">
              <w:rPr>
                <w:rFonts w:ascii="Times New Roman" w:hAnsi="Times New Roman"/>
                <w:sz w:val="24"/>
              </w:rPr>
              <w:t xml:space="preserve">The provision of energy information for all customised items presented diverse views among stakeholders in 2018, and subsequent discussion among government jurisdictions. There are implementation issues associated with displaying the energy information for all standardised ingredients and all customised menu items on all menus and at all points-of-sale. </w:t>
            </w:r>
          </w:p>
          <w:p w14:paraId="4FC81330" w14:textId="0D374C64" w:rsidR="002A0821" w:rsidRPr="004128EF" w:rsidRDefault="002A0821" w:rsidP="002A0821">
            <w:pPr>
              <w:pStyle w:val="BodyText1"/>
              <w:spacing w:after="4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4128EF">
              <w:rPr>
                <w:rFonts w:ascii="Times New Roman" w:hAnsi="Times New Roman"/>
                <w:sz w:val="24"/>
              </w:rPr>
              <w:t>A pragmatic approach has been taken to allow for some variation. While it is ideal for all businesses with standardised ingredients to display the energy information on all menus and at all point-of-sale, ensuring consumers can access this information at the time of purchase, through alternative methods (</w:t>
            </w:r>
            <w:r w:rsidR="00493F34">
              <w:rPr>
                <w:rFonts w:ascii="Times New Roman" w:hAnsi="Times New Roman"/>
                <w:sz w:val="24"/>
              </w:rPr>
              <w:t>for example,</w:t>
            </w:r>
            <w:r w:rsidRPr="004128EF">
              <w:rPr>
                <w:rFonts w:ascii="Times New Roman" w:hAnsi="Times New Roman"/>
                <w:sz w:val="24"/>
              </w:rPr>
              <w:t xml:space="preserve"> digital links to off-menu information) or on some, but not all, menus (</w:t>
            </w:r>
            <w:r w:rsidR="00493F34">
              <w:rPr>
                <w:rFonts w:ascii="Times New Roman" w:hAnsi="Times New Roman"/>
                <w:sz w:val="24"/>
              </w:rPr>
              <w:t>for example,</w:t>
            </w:r>
            <w:r w:rsidRPr="004128EF">
              <w:rPr>
                <w:rFonts w:ascii="Times New Roman" w:hAnsi="Times New Roman"/>
                <w:sz w:val="24"/>
              </w:rPr>
              <w:t xml:space="preserve"> in-store poster, kiosks), is what is intended to be required from standard food outlets</w:t>
            </w:r>
            <w:r w:rsidRPr="00F46414">
              <w:rPr>
                <w:rFonts w:ascii="Times New Roman" w:hAnsi="Times New Roman"/>
                <w:sz w:val="24"/>
              </w:rPr>
              <w:t xml:space="preserve">. It is noted as an implementation issue that clear guidance </w:t>
            </w:r>
            <w:r>
              <w:rPr>
                <w:rFonts w:ascii="Times New Roman" w:hAnsi="Times New Roman"/>
                <w:sz w:val="24"/>
              </w:rPr>
              <w:t>is likely to be</w:t>
            </w:r>
            <w:r w:rsidRPr="00F46414">
              <w:rPr>
                <w:rFonts w:ascii="Times New Roman" w:hAnsi="Times New Roman"/>
                <w:sz w:val="24"/>
              </w:rPr>
              <w:t xml:space="preserve"> required.</w:t>
            </w:r>
            <w:r w:rsidRPr="004128EF">
              <w:rPr>
                <w:rFonts w:ascii="Times New Roman" w:hAnsi="Times New Roman"/>
                <w:sz w:val="24"/>
              </w:rPr>
              <w:t xml:space="preserve">  </w:t>
            </w:r>
          </w:p>
        </w:tc>
      </w:tr>
      <w:tr w:rsidR="002A0821" w:rsidRPr="004C0EC0" w14:paraId="10F35F58" w14:textId="77777777" w:rsidTr="00E1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53A6E1C1" w14:textId="77777777" w:rsidR="002A0821" w:rsidRDefault="002A0821" w:rsidP="002A0821">
            <w:pPr>
              <w:pStyle w:val="BodyText1"/>
              <w:spacing w:after="40" w:line="240" w:lineRule="auto"/>
              <w:rPr>
                <w:rFonts w:ascii="Times New Roman" w:hAnsi="Times New Roman"/>
                <w:sz w:val="24"/>
              </w:rPr>
            </w:pPr>
            <w:r w:rsidRPr="00847C54">
              <w:rPr>
                <w:rFonts w:ascii="Times New Roman" w:hAnsi="Times New Roman"/>
                <w:b w:val="0"/>
                <w:bCs w:val="0"/>
                <w:caps w:val="0"/>
                <w:sz w:val="24"/>
              </w:rPr>
              <w:t>M</w:t>
            </w:r>
            <w:r>
              <w:rPr>
                <w:rFonts w:ascii="Times New Roman" w:hAnsi="Times New Roman"/>
                <w:b w:val="0"/>
                <w:bCs w:val="0"/>
                <w:caps w:val="0"/>
                <w:sz w:val="24"/>
              </w:rPr>
              <w:t>enu labelling</w:t>
            </w:r>
            <w:r w:rsidRPr="00847C54">
              <w:rPr>
                <w:rFonts w:ascii="Times New Roman" w:hAnsi="Times New Roman"/>
                <w:b w:val="0"/>
                <w:bCs w:val="0"/>
                <w:caps w:val="0"/>
                <w:sz w:val="24"/>
              </w:rPr>
              <w:t xml:space="preserve"> must</w:t>
            </w:r>
            <w:r>
              <w:rPr>
                <w:rFonts w:ascii="Times New Roman" w:hAnsi="Times New Roman"/>
                <w:b w:val="0"/>
                <w:bCs w:val="0"/>
                <w:caps w:val="0"/>
                <w:sz w:val="24"/>
              </w:rPr>
              <w:t>:</w:t>
            </w:r>
          </w:p>
          <w:p w14:paraId="32B09126" w14:textId="04D3C4D6" w:rsidR="002A0821" w:rsidRPr="00995FAF" w:rsidRDefault="002A0821" w:rsidP="0055688D">
            <w:pPr>
              <w:pStyle w:val="BodyText1"/>
              <w:numPr>
                <w:ilvl w:val="0"/>
                <w:numId w:val="57"/>
              </w:numPr>
              <w:spacing w:after="40" w:line="240" w:lineRule="auto"/>
              <w:rPr>
                <w:rFonts w:ascii="Times New Roman" w:hAnsi="Times New Roman"/>
                <w:b w:val="0"/>
                <w:bCs w:val="0"/>
                <w:caps w:val="0"/>
                <w:sz w:val="24"/>
              </w:rPr>
            </w:pPr>
            <w:r w:rsidRPr="00847C54">
              <w:rPr>
                <w:rFonts w:ascii="Times New Roman" w:hAnsi="Times New Roman"/>
                <w:b w:val="0"/>
                <w:bCs w:val="0"/>
                <w:caps w:val="0"/>
                <w:sz w:val="24"/>
              </w:rPr>
              <w:t>extend to comb</w:t>
            </w:r>
            <w:r>
              <w:rPr>
                <w:rFonts w:ascii="Times New Roman" w:hAnsi="Times New Roman"/>
                <w:b w:val="0"/>
                <w:bCs w:val="0"/>
                <w:caps w:val="0"/>
                <w:sz w:val="24"/>
              </w:rPr>
              <w:t>ination</w:t>
            </w:r>
            <w:r w:rsidRPr="00847C54">
              <w:rPr>
                <w:rFonts w:ascii="Times New Roman" w:hAnsi="Times New Roman"/>
                <w:b w:val="0"/>
                <w:bCs w:val="0"/>
                <w:caps w:val="0"/>
                <w:sz w:val="24"/>
              </w:rPr>
              <w:t xml:space="preserve"> meals and condiments</w:t>
            </w:r>
          </w:p>
          <w:p w14:paraId="36335374" w14:textId="14617777" w:rsidR="002A0821" w:rsidRPr="00D47DB4" w:rsidRDefault="002A0821" w:rsidP="0055688D">
            <w:pPr>
              <w:pStyle w:val="BodyText1"/>
              <w:numPr>
                <w:ilvl w:val="0"/>
                <w:numId w:val="57"/>
              </w:numPr>
              <w:spacing w:after="40" w:line="240" w:lineRule="auto"/>
              <w:rPr>
                <w:rFonts w:ascii="Times New Roman" w:hAnsi="Times New Roman"/>
                <w:b w:val="0"/>
                <w:bCs w:val="0"/>
                <w:caps w:val="0"/>
                <w:sz w:val="24"/>
              </w:rPr>
            </w:pPr>
            <w:r w:rsidRPr="00847C54">
              <w:rPr>
                <w:rFonts w:ascii="Times New Roman" w:hAnsi="Times New Roman"/>
                <w:b w:val="0"/>
                <w:bCs w:val="0"/>
                <w:caps w:val="0"/>
                <w:sz w:val="24"/>
              </w:rPr>
              <w:t>use per 100g and per serve</w:t>
            </w:r>
          </w:p>
          <w:p w14:paraId="5FF3D1F8" w14:textId="77777777" w:rsidR="002A0821" w:rsidRPr="00B15F32" w:rsidRDefault="002A0821" w:rsidP="0055688D">
            <w:pPr>
              <w:pStyle w:val="BodyText1"/>
              <w:numPr>
                <w:ilvl w:val="0"/>
                <w:numId w:val="57"/>
              </w:numPr>
              <w:spacing w:after="40" w:line="240" w:lineRule="auto"/>
              <w:rPr>
                <w:rFonts w:ascii="Times New Roman" w:hAnsi="Times New Roman"/>
                <w:b w:val="0"/>
                <w:bCs w:val="0"/>
                <w:caps w:val="0"/>
                <w:sz w:val="24"/>
              </w:rPr>
            </w:pPr>
            <w:r>
              <w:rPr>
                <w:rFonts w:ascii="Times New Roman" w:hAnsi="Times New Roman"/>
                <w:b w:val="0"/>
                <w:bCs w:val="0"/>
                <w:caps w:val="0"/>
                <w:sz w:val="24"/>
              </w:rPr>
              <w:t>use interpretive labelling</w:t>
            </w:r>
          </w:p>
          <w:p w14:paraId="10C80168" w14:textId="77777777" w:rsidR="002A0821" w:rsidRPr="00D47DB4" w:rsidRDefault="002A0821" w:rsidP="0055688D">
            <w:pPr>
              <w:pStyle w:val="BodyText1"/>
              <w:numPr>
                <w:ilvl w:val="0"/>
                <w:numId w:val="57"/>
              </w:numPr>
              <w:spacing w:after="40" w:line="240" w:lineRule="auto"/>
              <w:rPr>
                <w:rFonts w:ascii="Times New Roman" w:hAnsi="Times New Roman"/>
                <w:b w:val="0"/>
                <w:bCs w:val="0"/>
                <w:caps w:val="0"/>
                <w:sz w:val="24"/>
              </w:rPr>
            </w:pPr>
            <w:r>
              <w:rPr>
                <w:rFonts w:ascii="Times New Roman" w:hAnsi="Times New Roman"/>
                <w:b w:val="0"/>
                <w:bCs w:val="0"/>
                <w:caps w:val="0"/>
                <w:sz w:val="24"/>
              </w:rPr>
              <w:lastRenderedPageBreak/>
              <w:t>include nutrition information other than energy</w:t>
            </w:r>
          </w:p>
          <w:p w14:paraId="1A92AD58" w14:textId="09679656" w:rsidR="002A0821" w:rsidRPr="009065DC" w:rsidRDefault="002A0821" w:rsidP="0055688D">
            <w:pPr>
              <w:pStyle w:val="BodyText1"/>
              <w:numPr>
                <w:ilvl w:val="0"/>
                <w:numId w:val="57"/>
              </w:numPr>
              <w:spacing w:after="40" w:line="240" w:lineRule="auto"/>
              <w:rPr>
                <w:rFonts w:ascii="Times New Roman" w:hAnsi="Times New Roman"/>
                <w:b w:val="0"/>
                <w:bCs w:val="0"/>
                <w:caps w:val="0"/>
                <w:sz w:val="24"/>
              </w:rPr>
            </w:pPr>
            <w:r>
              <w:rPr>
                <w:rFonts w:ascii="Times New Roman" w:hAnsi="Times New Roman"/>
                <w:b w:val="0"/>
                <w:bCs w:val="0"/>
                <w:caps w:val="0"/>
                <w:sz w:val="24"/>
              </w:rPr>
              <w:t>use consistent font and font size requirements</w:t>
            </w:r>
          </w:p>
          <w:p w14:paraId="65FF2A25" w14:textId="6F3E531D" w:rsidR="002A0821" w:rsidRPr="00833FB3" w:rsidRDefault="002A0821" w:rsidP="0055688D">
            <w:pPr>
              <w:pStyle w:val="BodyText1"/>
              <w:numPr>
                <w:ilvl w:val="0"/>
                <w:numId w:val="57"/>
              </w:numPr>
              <w:spacing w:after="40" w:line="240" w:lineRule="auto"/>
              <w:rPr>
                <w:rFonts w:ascii="Times New Roman" w:hAnsi="Times New Roman"/>
                <w:b w:val="0"/>
                <w:bCs w:val="0"/>
                <w:caps w:val="0"/>
                <w:sz w:val="24"/>
              </w:rPr>
            </w:pPr>
            <w:r>
              <w:rPr>
                <w:rFonts w:ascii="Times New Roman" w:hAnsi="Times New Roman"/>
                <w:b w:val="0"/>
                <w:bCs w:val="0"/>
                <w:caps w:val="0"/>
                <w:sz w:val="24"/>
              </w:rPr>
              <w:t>include allowances for differences in displayed and actual content if due to external factors (</w:t>
            </w:r>
            <w:r w:rsidR="00493F34">
              <w:rPr>
                <w:rFonts w:ascii="Times New Roman" w:hAnsi="Times New Roman"/>
                <w:b w:val="0"/>
                <w:bCs w:val="0"/>
                <w:caps w:val="0"/>
                <w:sz w:val="24"/>
              </w:rPr>
              <w:t>for example,</w:t>
            </w:r>
            <w:r>
              <w:rPr>
                <w:rFonts w:ascii="Times New Roman" w:hAnsi="Times New Roman"/>
                <w:b w:val="0"/>
                <w:bCs w:val="0"/>
                <w:caps w:val="0"/>
                <w:sz w:val="24"/>
              </w:rPr>
              <w:t xml:space="preserve"> energy content of fresh produce changes with seasonality).</w:t>
            </w:r>
          </w:p>
          <w:p w14:paraId="4CC625E1" w14:textId="48F8EDCF" w:rsidR="002A0821" w:rsidRPr="004128EF" w:rsidRDefault="002A0821" w:rsidP="002A0821">
            <w:pPr>
              <w:pStyle w:val="BodyText1"/>
              <w:spacing w:after="40" w:line="240" w:lineRule="auto"/>
              <w:ind w:left="360"/>
              <w:rPr>
                <w:rFonts w:ascii="Times New Roman" w:hAnsi="Times New Roman"/>
                <w:b w:val="0"/>
                <w:bCs w:val="0"/>
                <w:caps w:val="0"/>
                <w:sz w:val="24"/>
              </w:rPr>
            </w:pPr>
          </w:p>
        </w:tc>
        <w:tc>
          <w:tcPr>
            <w:tcW w:w="6378" w:type="dxa"/>
          </w:tcPr>
          <w:p w14:paraId="6D3AD08D" w14:textId="099F69D2" w:rsidR="002A0821" w:rsidRDefault="002A0821" w:rsidP="002A0821">
            <w:pPr>
              <w:pStyle w:val="BodyText1"/>
              <w:spacing w:after="4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Pr>
                <w:rFonts w:ascii="Times New Roman" w:hAnsi="Times New Roman"/>
                <w:sz w:val="24"/>
              </w:rPr>
              <w:lastRenderedPageBreak/>
              <w:t xml:space="preserve">As presented in the CRIS, menu labelling already includes combination meals and the intent is to ensure all combination </w:t>
            </w:r>
            <w:r w:rsidRPr="000A001A">
              <w:rPr>
                <w:rFonts w:ascii="Times New Roman" w:hAnsi="Times New Roman"/>
                <w:sz w:val="24"/>
              </w:rPr>
              <w:t xml:space="preserve">meals display </w:t>
            </w:r>
            <w:r w:rsidR="0049535F" w:rsidRPr="000A001A">
              <w:rPr>
                <w:rFonts w:ascii="Times New Roman" w:hAnsi="Times New Roman"/>
                <w:sz w:val="24"/>
              </w:rPr>
              <w:t>energy information</w:t>
            </w:r>
            <w:r w:rsidRPr="000A001A">
              <w:rPr>
                <w:rFonts w:ascii="Times New Roman" w:hAnsi="Times New Roman"/>
                <w:sz w:val="24"/>
              </w:rPr>
              <w:t>. Condiments</w:t>
            </w:r>
            <w:r>
              <w:rPr>
                <w:rFonts w:ascii="Times New Roman" w:hAnsi="Times New Roman"/>
                <w:sz w:val="24"/>
              </w:rPr>
              <w:t xml:space="preserve"> may be considered a standardised ingredient and the approach is discussed above.</w:t>
            </w:r>
          </w:p>
          <w:p w14:paraId="341BCC2E" w14:textId="186E87B7" w:rsidR="002A0821" w:rsidRDefault="002A0821" w:rsidP="002A0821">
            <w:pPr>
              <w:pStyle w:val="BodyText1"/>
              <w:spacing w:after="4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sidRPr="00792ED0">
              <w:rPr>
                <w:rFonts w:ascii="Times New Roman" w:hAnsi="Times New Roman"/>
                <w:sz w:val="24"/>
              </w:rPr>
              <w:t xml:space="preserve">In 2018, market research </w:t>
            </w:r>
            <w:r>
              <w:rPr>
                <w:rFonts w:ascii="Times New Roman" w:hAnsi="Times New Roman"/>
                <w:sz w:val="24"/>
              </w:rPr>
              <w:t xml:space="preserve">(more than 4,000 Australian adults) </w:t>
            </w:r>
            <w:r w:rsidRPr="00792ED0">
              <w:rPr>
                <w:rFonts w:ascii="Times New Roman" w:hAnsi="Times New Roman"/>
                <w:sz w:val="24"/>
              </w:rPr>
              <w:t xml:space="preserve">was undertaken as part of the co-design process with industry and public health representatives (research funded by Queensland Health) to assess </w:t>
            </w:r>
            <w:r>
              <w:rPr>
                <w:rFonts w:ascii="Times New Roman" w:hAnsi="Times New Roman"/>
                <w:sz w:val="24"/>
              </w:rPr>
              <w:t xml:space="preserve">displaying </w:t>
            </w:r>
            <w:r w:rsidRPr="00792ED0">
              <w:rPr>
                <w:rFonts w:ascii="Times New Roman" w:hAnsi="Times New Roman"/>
                <w:sz w:val="24"/>
              </w:rPr>
              <w:t xml:space="preserve">energy information per </w:t>
            </w:r>
            <w:r w:rsidRPr="00792ED0">
              <w:rPr>
                <w:rFonts w:ascii="Times New Roman" w:hAnsi="Times New Roman"/>
                <w:sz w:val="24"/>
              </w:rPr>
              <w:lastRenderedPageBreak/>
              <w:t>100g vs per serving vs per item</w:t>
            </w:r>
            <w:r>
              <w:rPr>
                <w:rFonts w:ascii="Times New Roman" w:hAnsi="Times New Roman"/>
                <w:sz w:val="24"/>
              </w:rPr>
              <w:t xml:space="preserve"> for multi-serve items (</w:t>
            </w:r>
            <w:r w:rsidR="00493F34">
              <w:rPr>
                <w:rFonts w:ascii="Times New Roman" w:hAnsi="Times New Roman"/>
                <w:sz w:val="24"/>
              </w:rPr>
              <w:t>for example,</w:t>
            </w:r>
            <w:r>
              <w:rPr>
                <w:rFonts w:ascii="Times New Roman" w:hAnsi="Times New Roman"/>
                <w:sz w:val="24"/>
              </w:rPr>
              <w:t xml:space="preserve"> whole pizza, six-pack of muffins)</w:t>
            </w:r>
            <w:r w:rsidRPr="00792ED0">
              <w:rPr>
                <w:rFonts w:ascii="Times New Roman" w:hAnsi="Times New Roman"/>
                <w:sz w:val="24"/>
              </w:rPr>
              <w:t xml:space="preserve">. </w:t>
            </w:r>
            <w:r>
              <w:rPr>
                <w:rFonts w:ascii="Times New Roman" w:hAnsi="Times New Roman"/>
                <w:sz w:val="24"/>
              </w:rPr>
              <w:t xml:space="preserve">The research found that kilojoules per serving was the easiest for consumers to understand. Kilojoules per 100g generated confusion as the weight of the item is unknown and what 100g looks like was difficult for consumers to understand. </w:t>
            </w:r>
          </w:p>
          <w:p w14:paraId="7A010AA8" w14:textId="7B8AE271" w:rsidR="002A0821" w:rsidRDefault="002A0821" w:rsidP="002A0821">
            <w:pPr>
              <w:tabs>
                <w:tab w:val="left" w:pos="567"/>
              </w:tabs>
              <w:spacing w:after="40"/>
              <w:cnfStyle w:val="000000100000" w:firstRow="0" w:lastRow="0" w:firstColumn="0" w:lastColumn="0" w:oddVBand="0" w:evenVBand="0" w:oddHBand="1" w:evenHBand="0" w:firstRowFirstColumn="0" w:firstRowLastColumn="0" w:lastRowFirstColumn="0" w:lastRowLastColumn="0"/>
            </w:pPr>
            <w:r>
              <w:t>When the Ministerial Policy Guideline is reviewed in the future, it is recommended that a review a</w:t>
            </w:r>
            <w:r w:rsidRPr="00E67A4C">
              <w:t>ssess whether displaying nutrition information such as the amount of added sugars, sodium, saturated fat, alcohol, and/or other nutrients, would assist people to make healthier choices.</w:t>
            </w:r>
            <w:r>
              <w:t xml:space="preserve"> Currently, the focus is on energy content due to the link to overweight and obesity. In the future, other options could be explored, such as requiring a nutrition information panel on foods that are not required to bear a label. Consumers can already ask for nutritional information to be provided by a business at the point-of-sale to inform their purchasing decision.</w:t>
            </w:r>
          </w:p>
          <w:p w14:paraId="68A805CC" w14:textId="19821BAC" w:rsidR="002A0821" w:rsidRPr="004128EF" w:rsidRDefault="002A0821" w:rsidP="002A0821">
            <w:pPr>
              <w:tabs>
                <w:tab w:val="left" w:pos="567"/>
              </w:tabs>
              <w:spacing w:after="40"/>
              <w:cnfStyle w:val="000000100000" w:firstRow="0" w:lastRow="0" w:firstColumn="0" w:lastColumn="0" w:oddVBand="0" w:evenVBand="0" w:oddHBand="1" w:evenHBand="0" w:firstRowFirstColumn="0" w:firstRowLastColumn="0" w:lastRowFirstColumn="0" w:lastRowLastColumn="0"/>
            </w:pPr>
            <w:r>
              <w:t>Issues regarding font have been noted in the implementation section.</w:t>
            </w:r>
          </w:p>
        </w:tc>
      </w:tr>
      <w:tr w:rsidR="002A0821" w:rsidRPr="004C0EC0" w14:paraId="0466CAE4" w14:textId="77777777" w:rsidTr="00E15858">
        <w:tc>
          <w:tcPr>
            <w:cnfStyle w:val="001000000000" w:firstRow="0" w:lastRow="0" w:firstColumn="1" w:lastColumn="0" w:oddVBand="0" w:evenVBand="0" w:oddHBand="0" w:evenHBand="0" w:firstRowFirstColumn="0" w:firstRowLastColumn="0" w:lastRowFirstColumn="0" w:lastRowLastColumn="0"/>
            <w:tcW w:w="2694" w:type="dxa"/>
          </w:tcPr>
          <w:p w14:paraId="2889096E" w14:textId="26B012E8" w:rsidR="002A0821" w:rsidRPr="004128EF" w:rsidRDefault="002A0821" w:rsidP="002A0821">
            <w:pPr>
              <w:pStyle w:val="BodyText1"/>
              <w:spacing w:after="40" w:line="240" w:lineRule="auto"/>
              <w:rPr>
                <w:rFonts w:ascii="Times New Roman" w:hAnsi="Times New Roman"/>
                <w:sz w:val="24"/>
              </w:rPr>
            </w:pPr>
            <w:r w:rsidRPr="00D94A7F">
              <w:rPr>
                <w:rFonts w:ascii="Times New Roman" w:hAnsi="Times New Roman"/>
                <w:b w:val="0"/>
                <w:bCs w:val="0"/>
                <w:caps w:val="0"/>
                <w:sz w:val="24"/>
              </w:rPr>
              <w:lastRenderedPageBreak/>
              <w:t xml:space="preserve">Menu labelling is considered a form of advertising </w:t>
            </w:r>
            <w:r w:rsidR="006A2BD8">
              <w:rPr>
                <w:rFonts w:ascii="Times New Roman" w:hAnsi="Times New Roman"/>
                <w:b w:val="0"/>
                <w:bCs w:val="0"/>
                <w:caps w:val="0"/>
                <w:sz w:val="24"/>
              </w:rPr>
              <w:t xml:space="preserve">and must comply with </w:t>
            </w:r>
            <w:r w:rsidRPr="00D94A7F">
              <w:rPr>
                <w:rFonts w:ascii="Times New Roman" w:hAnsi="Times New Roman"/>
                <w:b w:val="0"/>
                <w:bCs w:val="0"/>
                <w:caps w:val="0"/>
                <w:sz w:val="24"/>
              </w:rPr>
              <w:t>the AANA Food and Beverages Advertising Code.</w:t>
            </w:r>
          </w:p>
        </w:tc>
        <w:tc>
          <w:tcPr>
            <w:tcW w:w="6378" w:type="dxa"/>
          </w:tcPr>
          <w:p w14:paraId="72E573F0" w14:textId="0F023141" w:rsidR="002A0821" w:rsidRDefault="002A0821" w:rsidP="002A0821">
            <w:pPr>
              <w:pStyle w:val="BodyText1"/>
              <w:spacing w:after="4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 xml:space="preserve">This may have implications that will need to be worked through during </w:t>
            </w:r>
            <w:r w:rsidR="008629A7">
              <w:rPr>
                <w:rFonts w:ascii="Times New Roman" w:hAnsi="Times New Roman"/>
                <w:sz w:val="24"/>
              </w:rPr>
              <w:t xml:space="preserve">the </w:t>
            </w:r>
            <w:r>
              <w:rPr>
                <w:rFonts w:ascii="Times New Roman" w:hAnsi="Times New Roman"/>
                <w:sz w:val="24"/>
              </w:rPr>
              <w:t>implementation</w:t>
            </w:r>
            <w:r w:rsidR="008629A7">
              <w:rPr>
                <w:rFonts w:ascii="Times New Roman" w:hAnsi="Times New Roman"/>
                <w:sz w:val="24"/>
              </w:rPr>
              <w:t xml:space="preserve"> phase</w:t>
            </w:r>
            <w:r>
              <w:rPr>
                <w:rFonts w:ascii="Times New Roman" w:hAnsi="Times New Roman"/>
                <w:sz w:val="24"/>
              </w:rPr>
              <w:t>.</w:t>
            </w:r>
          </w:p>
          <w:p w14:paraId="2C3B9242" w14:textId="140DDD0A" w:rsidR="000932AB" w:rsidRPr="004128EF" w:rsidRDefault="000932AB" w:rsidP="002A0821">
            <w:pPr>
              <w:pStyle w:val="BodyText1"/>
              <w:spacing w:after="4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tc>
      </w:tr>
      <w:tr w:rsidR="002A0821" w:rsidRPr="004C0EC0" w14:paraId="1E0E3E3A" w14:textId="77777777" w:rsidTr="00E1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3184FDB0" w14:textId="41FB5E82" w:rsidR="002A0821" w:rsidRPr="004128EF" w:rsidRDefault="002A0821" w:rsidP="002A0821">
            <w:pPr>
              <w:pStyle w:val="BodyText1"/>
              <w:spacing w:after="40" w:line="240" w:lineRule="auto"/>
              <w:rPr>
                <w:rFonts w:ascii="Times New Roman" w:hAnsi="Times New Roman"/>
                <w:b w:val="0"/>
                <w:bCs w:val="0"/>
                <w:caps w:val="0"/>
                <w:sz w:val="24"/>
              </w:rPr>
            </w:pPr>
            <w:r w:rsidRPr="004128EF">
              <w:rPr>
                <w:rFonts w:ascii="Times New Roman" w:hAnsi="Times New Roman"/>
                <w:b w:val="0"/>
                <w:bCs w:val="0"/>
                <w:caps w:val="0"/>
                <w:sz w:val="24"/>
              </w:rPr>
              <w:t xml:space="preserve">A threshold of 7 outlets in a Territory would be too high if applied to New Zealand </w:t>
            </w:r>
          </w:p>
        </w:tc>
        <w:tc>
          <w:tcPr>
            <w:tcW w:w="6378" w:type="dxa"/>
          </w:tcPr>
          <w:p w14:paraId="43683985" w14:textId="77777777" w:rsidR="002A0821" w:rsidRPr="004128EF" w:rsidRDefault="002A0821" w:rsidP="002A0821">
            <w:pPr>
              <w:pStyle w:val="BodyText1"/>
              <w:spacing w:after="4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sidRPr="004128EF">
              <w:rPr>
                <w:rFonts w:ascii="Times New Roman" w:hAnsi="Times New Roman"/>
                <w:sz w:val="24"/>
              </w:rPr>
              <w:t xml:space="preserve">It was anticipated the 2021 consultation would provide an indication of an appropriate threshold for New Zealand businesses. Apart from this feedback about 7 outlets in a Territory, other feedback on a threshold in New Zealand was not received. </w:t>
            </w:r>
          </w:p>
          <w:p w14:paraId="560522A0" w14:textId="1FC06C8D" w:rsidR="002A0821" w:rsidRPr="004128EF" w:rsidRDefault="002A0821" w:rsidP="002A0821">
            <w:pPr>
              <w:pStyle w:val="BodyText1"/>
              <w:spacing w:after="4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sidRPr="004128EF">
              <w:rPr>
                <w:rFonts w:ascii="Times New Roman" w:hAnsi="Times New Roman"/>
                <w:sz w:val="24"/>
              </w:rPr>
              <w:t>It is proposed that a threshold of 20 or more outlets in New Zealand be used. This is consistent with the state threshold of 20 or more outlets in Australia. New Zealand has a population of approximately 4.8M. The average population of Australian states is 4.1M (0.5M to 8.2M). Based on the business data from six quick service restaurant chains that was provided during the consultation, a threshold of 20 outlets would capture 4 of these chains, with a fifth chain approaching the threshold.</w:t>
            </w:r>
          </w:p>
        </w:tc>
      </w:tr>
      <w:tr w:rsidR="002A0821" w:rsidRPr="004C0EC0" w14:paraId="6778E469" w14:textId="77777777" w:rsidTr="00E15858">
        <w:tc>
          <w:tcPr>
            <w:cnfStyle w:val="001000000000" w:firstRow="0" w:lastRow="0" w:firstColumn="1" w:lastColumn="0" w:oddVBand="0" w:evenVBand="0" w:oddHBand="0" w:evenHBand="0" w:firstRowFirstColumn="0" w:firstRowLastColumn="0" w:lastRowFirstColumn="0" w:lastRowLastColumn="0"/>
            <w:tcW w:w="2694" w:type="dxa"/>
          </w:tcPr>
          <w:p w14:paraId="7DD7ECA7" w14:textId="28B45CCC" w:rsidR="002A0821" w:rsidRPr="004128EF" w:rsidRDefault="002A0821" w:rsidP="002A0821">
            <w:pPr>
              <w:pStyle w:val="BodyText1"/>
              <w:spacing w:after="40" w:line="240" w:lineRule="auto"/>
              <w:rPr>
                <w:rFonts w:ascii="Times New Roman" w:hAnsi="Times New Roman"/>
                <w:b w:val="0"/>
                <w:bCs w:val="0"/>
                <w:caps w:val="0"/>
                <w:sz w:val="24"/>
              </w:rPr>
            </w:pPr>
            <w:r>
              <w:rPr>
                <w:rFonts w:ascii="Times New Roman" w:hAnsi="Times New Roman"/>
                <w:b w:val="0"/>
                <w:bCs w:val="0"/>
                <w:caps w:val="0"/>
                <w:sz w:val="24"/>
              </w:rPr>
              <w:t>Monitoring is needed – annual compliance monitoring, online publication of outcomes, reformulation outcomes, consumer behaviour change and impact of consumer education.</w:t>
            </w:r>
          </w:p>
        </w:tc>
        <w:tc>
          <w:tcPr>
            <w:tcW w:w="6378" w:type="dxa"/>
          </w:tcPr>
          <w:p w14:paraId="5F9EBB00" w14:textId="0E1923F2" w:rsidR="002A0821" w:rsidRPr="004128EF" w:rsidRDefault="002A0821" w:rsidP="002A0821">
            <w:pPr>
              <w:pStyle w:val="BodyText1"/>
              <w:spacing w:after="4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Agreed and included in implementation section.</w:t>
            </w:r>
          </w:p>
        </w:tc>
      </w:tr>
      <w:tr w:rsidR="002A0821" w:rsidRPr="004C0EC0" w14:paraId="27F70D45" w14:textId="77777777" w:rsidTr="00E1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03DF584E" w14:textId="6627F30D" w:rsidR="002A0821" w:rsidRPr="004128EF" w:rsidRDefault="002A0821" w:rsidP="002A0821">
            <w:pPr>
              <w:pStyle w:val="BodyText1"/>
              <w:spacing w:after="40" w:line="240" w:lineRule="auto"/>
              <w:rPr>
                <w:rFonts w:ascii="Times New Roman" w:hAnsi="Times New Roman"/>
                <w:b w:val="0"/>
                <w:bCs w:val="0"/>
                <w:caps w:val="0"/>
                <w:sz w:val="24"/>
              </w:rPr>
            </w:pPr>
            <w:r>
              <w:rPr>
                <w:rFonts w:ascii="Times New Roman" w:hAnsi="Times New Roman"/>
                <w:b w:val="0"/>
                <w:bCs w:val="0"/>
                <w:caps w:val="0"/>
                <w:sz w:val="24"/>
              </w:rPr>
              <w:t>Further stakeholder consultation is recommended</w:t>
            </w:r>
          </w:p>
        </w:tc>
        <w:tc>
          <w:tcPr>
            <w:tcW w:w="6378" w:type="dxa"/>
          </w:tcPr>
          <w:p w14:paraId="2A4B5B37" w14:textId="6B183C37" w:rsidR="002A0821" w:rsidRPr="004128EF" w:rsidRDefault="002A0821" w:rsidP="002A0821">
            <w:pPr>
              <w:pStyle w:val="BodyText1"/>
              <w:spacing w:after="4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Pr>
                <w:rFonts w:ascii="Times New Roman" w:hAnsi="Times New Roman"/>
                <w:sz w:val="24"/>
              </w:rPr>
              <w:t xml:space="preserve">There were two rounds of consultation in 2018 (public and targeted), with additional public consultation in 2021. Regardless of which option is progressed, it is anticipated that </w:t>
            </w:r>
            <w:r>
              <w:rPr>
                <w:rFonts w:ascii="Times New Roman" w:hAnsi="Times New Roman"/>
                <w:sz w:val="24"/>
              </w:rPr>
              <w:lastRenderedPageBreak/>
              <w:t>further public consultation would occur. Further consultation is not planned before the DRIS is presented to the Food Ministers.</w:t>
            </w:r>
          </w:p>
        </w:tc>
      </w:tr>
    </w:tbl>
    <w:p w14:paraId="4EB1E245" w14:textId="3ED06BF6" w:rsidR="0004125A" w:rsidRPr="00812051" w:rsidRDefault="00467564" w:rsidP="00F6154A">
      <w:pPr>
        <w:pStyle w:val="Heading2"/>
        <w:rPr>
          <w:rStyle w:val="Heading1Char"/>
          <w:rFonts w:ascii="Times New Roman" w:hAnsi="Times New Roman" w:cs="Times New Roman"/>
          <w:b/>
          <w:bCs/>
          <w:kern w:val="0"/>
          <w:szCs w:val="28"/>
        </w:rPr>
      </w:pPr>
      <w:bookmarkStart w:id="77" w:name="_Toc426380839"/>
      <w:bookmarkStart w:id="78" w:name="_Toc426380904"/>
      <w:bookmarkStart w:id="79" w:name="_Toc426380935"/>
      <w:bookmarkStart w:id="80" w:name="_Toc91189675"/>
      <w:r w:rsidRPr="00812051">
        <w:rPr>
          <w:rStyle w:val="Heading1Char"/>
          <w:rFonts w:ascii="Times New Roman" w:hAnsi="Times New Roman" w:cs="Times New Roman"/>
          <w:b/>
          <w:bCs/>
          <w:kern w:val="0"/>
          <w:szCs w:val="28"/>
        </w:rPr>
        <w:lastRenderedPageBreak/>
        <w:t>7</w:t>
      </w:r>
      <w:r w:rsidR="00EA1E18" w:rsidRPr="00812051">
        <w:rPr>
          <w:rStyle w:val="Heading1Char"/>
          <w:rFonts w:ascii="Times New Roman" w:hAnsi="Times New Roman" w:cs="Times New Roman"/>
          <w:b/>
          <w:bCs/>
          <w:kern w:val="0"/>
          <w:szCs w:val="28"/>
        </w:rPr>
        <w:t xml:space="preserve"> </w:t>
      </w:r>
      <w:bookmarkEnd w:id="77"/>
      <w:bookmarkEnd w:id="78"/>
      <w:bookmarkEnd w:id="79"/>
      <w:r w:rsidR="00643F04" w:rsidRPr="00812051">
        <w:rPr>
          <w:rStyle w:val="Heading1Char"/>
          <w:rFonts w:ascii="Times New Roman" w:hAnsi="Times New Roman" w:cs="Times New Roman"/>
          <w:b/>
          <w:bCs/>
          <w:kern w:val="0"/>
          <w:szCs w:val="28"/>
        </w:rPr>
        <w:t xml:space="preserve">Preferred </w:t>
      </w:r>
      <w:r w:rsidR="00F72278">
        <w:rPr>
          <w:rStyle w:val="Heading1Char"/>
          <w:rFonts w:ascii="Times New Roman" w:hAnsi="Times New Roman" w:cs="Times New Roman"/>
          <w:b/>
          <w:bCs/>
          <w:kern w:val="0"/>
          <w:szCs w:val="28"/>
        </w:rPr>
        <w:t>o</w:t>
      </w:r>
      <w:r w:rsidR="00643F04" w:rsidRPr="00812051">
        <w:rPr>
          <w:rStyle w:val="Heading1Char"/>
          <w:rFonts w:ascii="Times New Roman" w:hAnsi="Times New Roman" w:cs="Times New Roman"/>
          <w:b/>
          <w:bCs/>
          <w:kern w:val="0"/>
          <w:szCs w:val="28"/>
        </w:rPr>
        <w:t>ption</w:t>
      </w:r>
      <w:bookmarkEnd w:id="80"/>
    </w:p>
    <w:p w14:paraId="4BBBE665" w14:textId="7205FCAB" w:rsidR="00F3496F" w:rsidRPr="000A001A" w:rsidRDefault="0007741F" w:rsidP="00156F94">
      <w:pPr>
        <w:spacing w:after="40"/>
        <w:jc w:val="both"/>
      </w:pPr>
      <w:bookmarkStart w:id="81" w:name="_Hlk27475944"/>
      <w:r>
        <w:t xml:space="preserve">Determining the best option for </w:t>
      </w:r>
      <w:r w:rsidR="007C7B9C">
        <w:t>improving and strengthening</w:t>
      </w:r>
      <w:r>
        <w:t xml:space="preserve"> </w:t>
      </w:r>
      <w:r w:rsidR="007C7B9C">
        <w:t>menu labelling in Australia and New Zealand</w:t>
      </w:r>
      <w:r w:rsidR="00B97E7C">
        <w:t xml:space="preserve"> was </w:t>
      </w:r>
      <w:r w:rsidR="00B97E7C" w:rsidRPr="000A001A">
        <w:t xml:space="preserve">undertaken by </w:t>
      </w:r>
      <w:r w:rsidR="00860DA7" w:rsidRPr="000A001A">
        <w:rPr>
          <w:rFonts w:eastAsia="Calibri"/>
        </w:rPr>
        <w:t xml:space="preserve">considering how </w:t>
      </w:r>
      <w:r w:rsidR="00161101" w:rsidRPr="000A001A">
        <w:rPr>
          <w:rFonts w:eastAsia="Calibri"/>
        </w:rPr>
        <w:t>likely</w:t>
      </w:r>
      <w:r w:rsidR="00986BCB" w:rsidRPr="000A001A">
        <w:rPr>
          <w:rFonts w:eastAsia="Calibri"/>
        </w:rPr>
        <w:t xml:space="preserve"> it</w:t>
      </w:r>
      <w:r w:rsidR="00D263A5" w:rsidRPr="000A001A">
        <w:rPr>
          <w:rFonts w:eastAsia="Calibri"/>
        </w:rPr>
        <w:t xml:space="preserve"> </w:t>
      </w:r>
      <w:r w:rsidR="00860DA7" w:rsidRPr="000A001A">
        <w:t xml:space="preserve">achieves the objectives </w:t>
      </w:r>
      <w:r w:rsidR="00D263A5" w:rsidRPr="000A001A">
        <w:t>and calcula</w:t>
      </w:r>
      <w:r w:rsidR="00EE7BEA" w:rsidRPr="000A001A">
        <w:t>ting</w:t>
      </w:r>
      <w:r w:rsidR="00EE7BEA" w:rsidRPr="000A001A">
        <w:rPr>
          <w:rFonts w:eastAsia="Calibri"/>
        </w:rPr>
        <w:t xml:space="preserve"> the</w:t>
      </w:r>
      <w:r w:rsidR="00B542E6" w:rsidRPr="000A001A">
        <w:rPr>
          <w:rFonts w:eastAsia="Calibri"/>
        </w:rPr>
        <w:t xml:space="preserve"> </w:t>
      </w:r>
      <w:r w:rsidR="00E87628" w:rsidRPr="000A001A">
        <w:rPr>
          <w:rFonts w:eastAsia="Calibri"/>
        </w:rPr>
        <w:t xml:space="preserve">estimated </w:t>
      </w:r>
      <w:r w:rsidR="00B542E6" w:rsidRPr="000A001A">
        <w:rPr>
          <w:rFonts w:eastAsia="Calibri"/>
        </w:rPr>
        <w:t>net benefit</w:t>
      </w:r>
      <w:r w:rsidR="001952C5" w:rsidRPr="000A001A">
        <w:rPr>
          <w:rFonts w:eastAsia="Calibri"/>
        </w:rPr>
        <w:t>.</w:t>
      </w:r>
      <w:r w:rsidR="00E53F3B" w:rsidRPr="000A001A">
        <w:t xml:space="preserve"> </w:t>
      </w:r>
    </w:p>
    <w:p w14:paraId="707BB930" w14:textId="0446FB3D" w:rsidR="009E0B2B" w:rsidRPr="000A001A" w:rsidRDefault="009E0B2B" w:rsidP="00F15B07">
      <w:pPr>
        <w:spacing w:after="40"/>
        <w:jc w:val="both"/>
      </w:pPr>
    </w:p>
    <w:p w14:paraId="6704B9EE" w14:textId="77777777" w:rsidR="0049535F" w:rsidRPr="000A001A" w:rsidRDefault="0049535F" w:rsidP="0049535F">
      <w:pPr>
        <w:pStyle w:val="Bodytext-TMRfont12"/>
        <w:rPr>
          <w:i/>
        </w:rPr>
      </w:pPr>
      <w:r w:rsidRPr="000A001A">
        <w:t xml:space="preserve">It is recommended that the best option to achieve the desired outcomes is </w:t>
      </w:r>
      <w:r w:rsidRPr="000A001A">
        <w:rPr>
          <w:b/>
          <w:bCs/>
          <w:i/>
        </w:rPr>
        <w:t>Option 3:</w:t>
      </w:r>
      <w:r w:rsidRPr="000A001A">
        <w:rPr>
          <w:i/>
        </w:rPr>
        <w:t xml:space="preserve"> </w:t>
      </w:r>
      <w:r w:rsidRPr="000A001A">
        <w:rPr>
          <w:b/>
          <w:bCs/>
          <w:i/>
        </w:rPr>
        <w:t>Develop a mandatory food regulatory measure for menu labelling in the Food Standards Code</w:t>
      </w:r>
      <w:r w:rsidRPr="000A001A">
        <w:rPr>
          <w:i/>
        </w:rPr>
        <w:t xml:space="preserve">, </w:t>
      </w:r>
      <w:r w:rsidRPr="000A001A">
        <w:rPr>
          <w:iCs/>
        </w:rPr>
        <w:t>in combination with comprehensive, sustained consumer education in Australia and New Zealand to support the implementation of menu labelling.</w:t>
      </w:r>
    </w:p>
    <w:p w14:paraId="2DECF326" w14:textId="77777777" w:rsidR="00686177" w:rsidRDefault="00686177" w:rsidP="00F15B07">
      <w:pPr>
        <w:spacing w:after="40"/>
        <w:jc w:val="both"/>
        <w:rPr>
          <w:b/>
          <w:bCs/>
          <w:i/>
        </w:rPr>
      </w:pPr>
    </w:p>
    <w:p w14:paraId="3888E150" w14:textId="6F3DA5C7" w:rsidR="00EF5283" w:rsidRDefault="0084597D" w:rsidP="00F15B07">
      <w:pPr>
        <w:spacing w:after="40"/>
        <w:jc w:val="both"/>
        <w:rPr>
          <w:iCs/>
        </w:rPr>
      </w:pPr>
      <w:r>
        <w:rPr>
          <w:iCs/>
        </w:rPr>
        <w:t>Regulating menu labelling via the Food Standards Code</w:t>
      </w:r>
      <w:r w:rsidR="00C92FAC">
        <w:rPr>
          <w:iCs/>
        </w:rPr>
        <w:t xml:space="preserve"> </w:t>
      </w:r>
      <w:r w:rsidR="00FF5D75" w:rsidRPr="00BC2395">
        <w:t xml:space="preserve">would result in one consistent </w:t>
      </w:r>
      <w:r w:rsidR="00FF5D75">
        <w:t xml:space="preserve">menu labelling </w:t>
      </w:r>
      <w:r w:rsidR="00FF5D75" w:rsidRPr="00BC2395">
        <w:t>system for Australia and New Zealan</w:t>
      </w:r>
      <w:r w:rsidR="00FF5D75">
        <w:t xml:space="preserve">d. </w:t>
      </w:r>
      <w:r w:rsidR="009431B8">
        <w:t>For both countries, i</w:t>
      </w:r>
      <w:r w:rsidR="00FF5D75">
        <w:t xml:space="preserve">t </w:t>
      </w:r>
      <w:r w:rsidR="00C92FAC">
        <w:rPr>
          <w:iCs/>
        </w:rPr>
        <w:t xml:space="preserve">is the </w:t>
      </w:r>
      <w:r w:rsidR="00A51204">
        <w:rPr>
          <w:iCs/>
        </w:rPr>
        <w:t>option most likely to</w:t>
      </w:r>
      <w:r w:rsidR="00FB0852">
        <w:rPr>
          <w:iCs/>
        </w:rPr>
        <w:t>:</w:t>
      </w:r>
      <w:r w:rsidR="0049052B">
        <w:rPr>
          <w:iCs/>
        </w:rPr>
        <w:t xml:space="preserve">  </w:t>
      </w:r>
      <w:r w:rsidR="00C92FAC">
        <w:rPr>
          <w:iCs/>
        </w:rPr>
        <w:t xml:space="preserve"> </w:t>
      </w:r>
    </w:p>
    <w:p w14:paraId="4ADD3FAF" w14:textId="28272CF1" w:rsidR="00EA447B" w:rsidRDefault="00EA447B" w:rsidP="00EA447B">
      <w:pPr>
        <w:pStyle w:val="ListParagraph"/>
        <w:numPr>
          <w:ilvl w:val="0"/>
          <w:numId w:val="3"/>
        </w:numPr>
        <w:spacing w:after="40"/>
        <w:jc w:val="both"/>
        <w:rPr>
          <w:lang w:eastAsia="zh-CN" w:bidi="th-TH"/>
        </w:rPr>
      </w:pPr>
      <w:r w:rsidRPr="00AE68CF">
        <w:rPr>
          <w:lang w:eastAsia="zh-CN" w:bidi="th-TH"/>
        </w:rPr>
        <w:t xml:space="preserve">assist people to </w:t>
      </w:r>
      <w:r>
        <w:rPr>
          <w:lang w:eastAsia="zh-CN" w:bidi="th-TH"/>
        </w:rPr>
        <w:t xml:space="preserve">understand and use energy information to </w:t>
      </w:r>
      <w:r w:rsidRPr="00AE68CF">
        <w:rPr>
          <w:lang w:eastAsia="zh-CN" w:bidi="th-TH"/>
        </w:rPr>
        <w:t xml:space="preserve">make </w:t>
      </w:r>
      <w:r>
        <w:rPr>
          <w:lang w:eastAsia="zh-CN" w:bidi="th-TH"/>
        </w:rPr>
        <w:t xml:space="preserve">informed, </w:t>
      </w:r>
      <w:r w:rsidRPr="00AE68CF">
        <w:rPr>
          <w:lang w:eastAsia="zh-CN" w:bidi="th-TH"/>
        </w:rPr>
        <w:t>healthier food purchase choices at the point-of-sale</w:t>
      </w:r>
      <w:r>
        <w:rPr>
          <w:lang w:eastAsia="zh-CN" w:bidi="th-TH"/>
        </w:rPr>
        <w:t>;</w:t>
      </w:r>
    </w:p>
    <w:p w14:paraId="24E10421" w14:textId="06099DCC" w:rsidR="00EA447B" w:rsidRDefault="00EA447B" w:rsidP="00EA447B">
      <w:pPr>
        <w:pStyle w:val="ListParagraph"/>
        <w:numPr>
          <w:ilvl w:val="0"/>
          <w:numId w:val="3"/>
        </w:numPr>
        <w:spacing w:after="40"/>
        <w:jc w:val="both"/>
        <w:rPr>
          <w:lang w:eastAsia="zh-CN" w:bidi="th-TH"/>
        </w:rPr>
      </w:pPr>
      <w:r w:rsidRPr="00AE68CF">
        <w:rPr>
          <w:lang w:eastAsia="zh-CN" w:bidi="th-TH"/>
        </w:rPr>
        <w:t>ensur</w:t>
      </w:r>
      <w:r w:rsidR="008A60FF">
        <w:rPr>
          <w:lang w:eastAsia="zh-CN" w:bidi="th-TH"/>
        </w:rPr>
        <w:t>e</w:t>
      </w:r>
      <w:r w:rsidRPr="00AE68CF">
        <w:rPr>
          <w:lang w:eastAsia="zh-CN" w:bidi="th-TH"/>
        </w:rPr>
        <w:t xml:space="preserve"> that </w:t>
      </w:r>
      <w:r>
        <w:rPr>
          <w:lang w:eastAsia="zh-CN" w:bidi="th-TH"/>
        </w:rPr>
        <w:t>all</w:t>
      </w:r>
      <w:r w:rsidRPr="00AE68CF">
        <w:rPr>
          <w:lang w:eastAsia="zh-CN" w:bidi="th-TH"/>
        </w:rPr>
        <w:t xml:space="preserve"> modes of sale and types of menus enable comparison of menu options </w:t>
      </w:r>
      <w:r>
        <w:rPr>
          <w:lang w:eastAsia="zh-CN" w:bidi="th-TH"/>
        </w:rPr>
        <w:t>within and across businesses;</w:t>
      </w:r>
      <w:r w:rsidRPr="00AE68CF">
        <w:rPr>
          <w:rStyle w:val="FootnoteReference"/>
          <w:lang w:eastAsia="zh-CN" w:bidi="th-TH"/>
        </w:rPr>
        <w:footnoteReference w:id="131"/>
      </w:r>
    </w:p>
    <w:p w14:paraId="34B767DC" w14:textId="7E983F05" w:rsidR="00FB0852" w:rsidRPr="00AE68CF" w:rsidRDefault="00EA447B" w:rsidP="00EA447B">
      <w:pPr>
        <w:pStyle w:val="ListParagraph"/>
        <w:numPr>
          <w:ilvl w:val="0"/>
          <w:numId w:val="3"/>
        </w:numPr>
        <w:spacing w:after="40"/>
        <w:jc w:val="both"/>
      </w:pPr>
      <w:r w:rsidRPr="00AE68CF">
        <w:rPr>
          <w:lang w:eastAsia="zh-CN" w:bidi="th-TH"/>
        </w:rPr>
        <w:t>creat</w:t>
      </w:r>
      <w:r w:rsidR="008A60FF">
        <w:rPr>
          <w:lang w:eastAsia="zh-CN" w:bidi="th-TH"/>
        </w:rPr>
        <w:t>e</w:t>
      </w:r>
      <w:r w:rsidRPr="00AE68CF">
        <w:rPr>
          <w:lang w:eastAsia="zh-CN" w:bidi="th-TH"/>
        </w:rPr>
        <w:t xml:space="preserve"> a level playing field (with respect to menu labelling) for all businesses that sell standard food items; </w:t>
      </w:r>
      <w:r>
        <w:rPr>
          <w:lang w:eastAsia="zh-CN" w:bidi="th-TH"/>
        </w:rPr>
        <w:t>and</w:t>
      </w:r>
    </w:p>
    <w:p w14:paraId="10AD7E2C" w14:textId="0D0D9BD2" w:rsidR="008A60FF" w:rsidRPr="009431B8" w:rsidRDefault="00EA447B" w:rsidP="008A60FF">
      <w:pPr>
        <w:pStyle w:val="ListParagraph"/>
        <w:numPr>
          <w:ilvl w:val="0"/>
          <w:numId w:val="3"/>
        </w:numPr>
        <w:spacing w:after="40"/>
        <w:jc w:val="both"/>
        <w:rPr>
          <w:iCs/>
        </w:rPr>
      </w:pPr>
      <w:r w:rsidRPr="00AE68CF">
        <w:rPr>
          <w:lang w:eastAsia="zh-CN" w:bidi="th-TH"/>
        </w:rPr>
        <w:t>minimis</w:t>
      </w:r>
      <w:r w:rsidR="008A60FF">
        <w:rPr>
          <w:lang w:eastAsia="zh-CN" w:bidi="th-TH"/>
        </w:rPr>
        <w:t>e</w:t>
      </w:r>
      <w:r w:rsidRPr="00AE68CF">
        <w:rPr>
          <w:lang w:eastAsia="zh-CN" w:bidi="th-TH"/>
        </w:rPr>
        <w:t xml:space="preserve"> the proliferation of different menu labelling systems</w:t>
      </w:r>
      <w:r w:rsidR="008A60FF" w:rsidRPr="009431B8">
        <w:rPr>
          <w:iCs/>
        </w:rPr>
        <w:t>.</w:t>
      </w:r>
    </w:p>
    <w:p w14:paraId="2E230518" w14:textId="108732DA" w:rsidR="009E0B2B" w:rsidRDefault="009E0B2B" w:rsidP="008A60FF">
      <w:pPr>
        <w:spacing w:after="40"/>
        <w:jc w:val="both"/>
        <w:rPr>
          <w:iCs/>
        </w:rPr>
      </w:pPr>
    </w:p>
    <w:p w14:paraId="63D140AA" w14:textId="7B9743AA" w:rsidR="00141A40" w:rsidRDefault="003B3B2E" w:rsidP="009E0B2B">
      <w:pPr>
        <w:spacing w:after="40"/>
        <w:jc w:val="both"/>
        <w:rPr>
          <w:iCs/>
        </w:rPr>
      </w:pPr>
      <w:r>
        <w:rPr>
          <w:iCs/>
        </w:rPr>
        <w:t>F</w:t>
      </w:r>
      <w:r w:rsidR="009E0B2B">
        <w:rPr>
          <w:iCs/>
        </w:rPr>
        <w:t>or Australia overall and New Zealand, Option 3 has the greatest net benefit and the most support from stakeholders.</w:t>
      </w:r>
      <w:r w:rsidR="00AD13E2">
        <w:rPr>
          <w:iCs/>
        </w:rPr>
        <w:t xml:space="preserve"> </w:t>
      </w:r>
      <w:r w:rsidR="005A6F08">
        <w:rPr>
          <w:iCs/>
        </w:rPr>
        <w:t xml:space="preserve">The cost-benefit analysis assumed that the five jurisdictions with </w:t>
      </w:r>
      <w:r w:rsidR="00BB08FA">
        <w:rPr>
          <w:iCs/>
        </w:rPr>
        <w:t xml:space="preserve">existing </w:t>
      </w:r>
      <w:r w:rsidR="005A6F08">
        <w:rPr>
          <w:iCs/>
        </w:rPr>
        <w:t xml:space="preserve">menu labelling </w:t>
      </w:r>
      <w:r w:rsidR="00FF4EFB">
        <w:rPr>
          <w:iCs/>
        </w:rPr>
        <w:t xml:space="preserve">would amend their legislation under Option 2, however, it is uncertain </w:t>
      </w:r>
      <w:r w:rsidR="00AD13E2">
        <w:rPr>
          <w:iCs/>
        </w:rPr>
        <w:t xml:space="preserve">whether all or any of these jurisdictions would </w:t>
      </w:r>
      <w:r w:rsidR="00BB08FA">
        <w:rPr>
          <w:iCs/>
        </w:rPr>
        <w:t>do so</w:t>
      </w:r>
      <w:r w:rsidR="00AD13E2">
        <w:rPr>
          <w:iCs/>
        </w:rPr>
        <w:t xml:space="preserve">. </w:t>
      </w:r>
      <w:r w:rsidR="00CA06D0">
        <w:rPr>
          <w:iCs/>
        </w:rPr>
        <w:t xml:space="preserve">Additionally, </w:t>
      </w:r>
      <w:r w:rsidR="00B179B3">
        <w:rPr>
          <w:iCs/>
        </w:rPr>
        <w:t xml:space="preserve">Option 2 does not have the </w:t>
      </w:r>
      <w:r w:rsidR="00CA06D0">
        <w:rPr>
          <w:iCs/>
        </w:rPr>
        <w:t xml:space="preserve">same </w:t>
      </w:r>
      <w:r w:rsidR="00B179B3">
        <w:rPr>
          <w:iCs/>
        </w:rPr>
        <w:t>level of support</w:t>
      </w:r>
      <w:r w:rsidR="00CA06D0">
        <w:rPr>
          <w:iCs/>
        </w:rPr>
        <w:t xml:space="preserve"> from </w:t>
      </w:r>
      <w:r w:rsidR="0049535F">
        <w:rPr>
          <w:iCs/>
        </w:rPr>
        <w:t xml:space="preserve">all </w:t>
      </w:r>
      <w:r w:rsidR="00CA06D0">
        <w:rPr>
          <w:iCs/>
        </w:rPr>
        <w:t>stakeholder</w:t>
      </w:r>
      <w:r w:rsidR="0049535F">
        <w:rPr>
          <w:iCs/>
        </w:rPr>
        <w:t xml:space="preserve"> groups</w:t>
      </w:r>
      <w:r w:rsidR="00CA06D0">
        <w:rPr>
          <w:iCs/>
        </w:rPr>
        <w:t>.</w:t>
      </w:r>
    </w:p>
    <w:p w14:paraId="45DE6FE1" w14:textId="77777777" w:rsidR="00141A40" w:rsidRDefault="00141A40" w:rsidP="009E0B2B">
      <w:pPr>
        <w:spacing w:after="40"/>
        <w:jc w:val="both"/>
        <w:rPr>
          <w:iCs/>
        </w:rPr>
      </w:pPr>
    </w:p>
    <w:p w14:paraId="7522DF9E" w14:textId="4C61C9F6" w:rsidR="005A6F08" w:rsidRDefault="00D51B7E" w:rsidP="009E0B2B">
      <w:pPr>
        <w:spacing w:after="40"/>
        <w:jc w:val="both"/>
        <w:rPr>
          <w:iCs/>
        </w:rPr>
      </w:pPr>
      <w:r>
        <w:rPr>
          <w:iCs/>
        </w:rPr>
        <w:t>While</w:t>
      </w:r>
      <w:r w:rsidR="005D6F3C">
        <w:rPr>
          <w:iCs/>
        </w:rPr>
        <w:t xml:space="preserve"> Option 3 </w:t>
      </w:r>
      <w:r w:rsidR="00FC4765">
        <w:rPr>
          <w:iCs/>
        </w:rPr>
        <w:t xml:space="preserve">involves a cost to </w:t>
      </w:r>
      <w:r w:rsidR="00C34005">
        <w:rPr>
          <w:iCs/>
        </w:rPr>
        <w:t xml:space="preserve">parts of the </w:t>
      </w:r>
      <w:r w:rsidR="00FC4765">
        <w:rPr>
          <w:iCs/>
        </w:rPr>
        <w:t>industry</w:t>
      </w:r>
      <w:r w:rsidR="00671C4C">
        <w:rPr>
          <w:iCs/>
        </w:rPr>
        <w:t>,</w:t>
      </w:r>
      <w:r w:rsidR="00C34005">
        <w:rPr>
          <w:iCs/>
        </w:rPr>
        <w:t xml:space="preserve"> particularly New Zealand businesses and </w:t>
      </w:r>
      <w:r w:rsidR="00F97930">
        <w:rPr>
          <w:iCs/>
        </w:rPr>
        <w:t xml:space="preserve">businesses currently exempt or not captured in Australia, </w:t>
      </w:r>
      <w:r w:rsidR="005C6A8A">
        <w:rPr>
          <w:iCs/>
        </w:rPr>
        <w:t>a</w:t>
      </w:r>
      <w:r w:rsidR="0057631B">
        <w:rPr>
          <w:iCs/>
        </w:rPr>
        <w:t xml:space="preserve"> transition period could be included</w:t>
      </w:r>
      <w:r w:rsidR="005D6F3C">
        <w:rPr>
          <w:iCs/>
        </w:rPr>
        <w:t xml:space="preserve"> </w:t>
      </w:r>
      <w:r w:rsidR="004F1A79">
        <w:rPr>
          <w:iCs/>
        </w:rPr>
        <w:t xml:space="preserve">in developing the food regulatory measure </w:t>
      </w:r>
      <w:r w:rsidR="005D6F3C">
        <w:rPr>
          <w:iCs/>
        </w:rPr>
        <w:t>to reduce the impact on industry</w:t>
      </w:r>
      <w:r w:rsidR="005C6A8A">
        <w:rPr>
          <w:iCs/>
        </w:rPr>
        <w:t>.</w:t>
      </w:r>
      <w:r w:rsidR="004F1A79">
        <w:rPr>
          <w:iCs/>
        </w:rPr>
        <w:t xml:space="preserve"> The cost of obesity to the </w:t>
      </w:r>
      <w:r w:rsidR="00C21724">
        <w:rPr>
          <w:iCs/>
        </w:rPr>
        <w:t xml:space="preserve">community in Australia and </w:t>
      </w:r>
      <w:r w:rsidR="00C21724" w:rsidRPr="000A001A">
        <w:rPr>
          <w:iCs/>
        </w:rPr>
        <w:t>New Zealand is significant</w:t>
      </w:r>
      <w:r w:rsidR="00156279" w:rsidRPr="000A001A">
        <w:rPr>
          <w:iCs/>
        </w:rPr>
        <w:t xml:space="preserve">. </w:t>
      </w:r>
      <w:r w:rsidR="00EA301B" w:rsidRPr="000A001A">
        <w:rPr>
          <w:iCs/>
        </w:rPr>
        <w:t>Option 3 is most likely to</w:t>
      </w:r>
      <w:r w:rsidR="00EA301B" w:rsidRPr="000A001A">
        <w:rPr>
          <w:lang w:eastAsia="zh-CN" w:bidi="th-TH"/>
        </w:rPr>
        <w:t xml:space="preserve"> support health</w:t>
      </w:r>
      <w:r w:rsidR="00211E80" w:rsidRPr="000A001A">
        <w:rPr>
          <w:lang w:eastAsia="zh-CN" w:bidi="th-TH"/>
        </w:rPr>
        <w:t>ier food choices</w:t>
      </w:r>
      <w:r w:rsidR="00EA301B" w:rsidRPr="000A001A">
        <w:rPr>
          <w:lang w:eastAsia="zh-CN" w:bidi="th-TH"/>
        </w:rPr>
        <w:t xml:space="preserve"> and</w:t>
      </w:r>
      <w:r w:rsidR="00EA301B">
        <w:rPr>
          <w:lang w:eastAsia="zh-CN" w:bidi="th-TH"/>
        </w:rPr>
        <w:t xml:space="preserve"> contribute to the prevention of obesity and diet-related chronic diseases, thus providing a public health benefit</w:t>
      </w:r>
      <w:r w:rsidR="00DB02B3">
        <w:rPr>
          <w:lang w:eastAsia="zh-CN" w:bidi="th-TH"/>
        </w:rPr>
        <w:t xml:space="preserve"> (</w:t>
      </w:r>
      <w:r w:rsidR="00EC1F63">
        <w:rPr>
          <w:lang w:eastAsia="zh-CN" w:bidi="th-TH"/>
        </w:rPr>
        <w:t>$828.6 million and $NZ336.4 million)</w:t>
      </w:r>
      <w:r w:rsidR="00E86AA0">
        <w:rPr>
          <w:lang w:eastAsia="zh-CN" w:bidi="th-TH"/>
        </w:rPr>
        <w:t xml:space="preserve">, which </w:t>
      </w:r>
      <w:r w:rsidR="00E86AA0" w:rsidRPr="00EC1F63">
        <w:rPr>
          <w:lang w:eastAsia="zh-CN" w:bidi="th-TH"/>
        </w:rPr>
        <w:t>is</w:t>
      </w:r>
      <w:r w:rsidR="00E86AA0" w:rsidRPr="00EC1F63">
        <w:rPr>
          <w:iCs/>
        </w:rPr>
        <w:t xml:space="preserve"> far greater than the expected cost of menu labelling</w:t>
      </w:r>
      <w:r w:rsidR="00C7512B" w:rsidRPr="00EC1F63">
        <w:rPr>
          <w:iCs/>
        </w:rPr>
        <w:t xml:space="preserve"> for industry</w:t>
      </w:r>
      <w:r w:rsidR="00C7512B">
        <w:rPr>
          <w:iCs/>
        </w:rPr>
        <w:t xml:space="preserve"> and government</w:t>
      </w:r>
      <w:r w:rsidR="00C37B2C">
        <w:rPr>
          <w:iCs/>
        </w:rPr>
        <w:t xml:space="preserve"> </w:t>
      </w:r>
      <w:r w:rsidR="00DB02B3">
        <w:rPr>
          <w:iCs/>
        </w:rPr>
        <w:t>(</w:t>
      </w:r>
      <w:r w:rsidR="00C37B2C">
        <w:rPr>
          <w:iCs/>
        </w:rPr>
        <w:t>$</w:t>
      </w:r>
      <w:r w:rsidR="00DB02B3">
        <w:rPr>
          <w:iCs/>
        </w:rPr>
        <w:t>53.2 million and $NZ24.9 million)</w:t>
      </w:r>
      <w:r w:rsidR="00E86AA0">
        <w:rPr>
          <w:iCs/>
        </w:rPr>
        <w:t>.</w:t>
      </w:r>
      <w:r w:rsidR="000C5B1B">
        <w:rPr>
          <w:iCs/>
        </w:rPr>
        <w:t xml:space="preserve"> Option 3 has the greatest net benefit to the community</w:t>
      </w:r>
      <w:r w:rsidR="00EC1F63">
        <w:rPr>
          <w:iCs/>
        </w:rPr>
        <w:t xml:space="preserve"> in Australia and New Zealand</w:t>
      </w:r>
      <w:r w:rsidR="000C5B1B">
        <w:rPr>
          <w:iCs/>
        </w:rPr>
        <w:t>.</w:t>
      </w:r>
    </w:p>
    <w:p w14:paraId="6143B4E7" w14:textId="7D7FF036" w:rsidR="001C7227" w:rsidRDefault="001C7227" w:rsidP="009E0B2B">
      <w:pPr>
        <w:spacing w:after="40"/>
        <w:jc w:val="both"/>
        <w:rPr>
          <w:iCs/>
        </w:rPr>
      </w:pPr>
    </w:p>
    <w:p w14:paraId="531670DB" w14:textId="77777777" w:rsidR="000F1FBF" w:rsidRDefault="000F1FBF" w:rsidP="00F6154A">
      <w:pPr>
        <w:pStyle w:val="Heading2"/>
        <w:rPr>
          <w:rStyle w:val="Heading1Char"/>
          <w:rFonts w:ascii="Times New Roman" w:hAnsi="Times New Roman" w:cs="Times New Roman"/>
          <w:b/>
          <w:bCs/>
          <w:kern w:val="0"/>
          <w:szCs w:val="28"/>
        </w:rPr>
      </w:pPr>
      <w:bookmarkStart w:id="82" w:name="_Toc426380840"/>
      <w:bookmarkStart w:id="83" w:name="_Toc426380905"/>
      <w:bookmarkStart w:id="84" w:name="_Toc426380936"/>
      <w:bookmarkStart w:id="85" w:name="_Toc91189676"/>
      <w:bookmarkEnd w:id="81"/>
    </w:p>
    <w:p w14:paraId="5BBB7421" w14:textId="0DE2DBC9" w:rsidR="0004125A" w:rsidRDefault="000A001A" w:rsidP="00F6154A">
      <w:pPr>
        <w:pStyle w:val="Heading2"/>
        <w:rPr>
          <w:rStyle w:val="Heading1Char"/>
          <w:rFonts w:ascii="Times New Roman" w:hAnsi="Times New Roman" w:cs="Times New Roman"/>
          <w:b/>
          <w:bCs/>
          <w:kern w:val="0"/>
          <w:szCs w:val="28"/>
        </w:rPr>
      </w:pPr>
      <w:r>
        <w:rPr>
          <w:rStyle w:val="Heading1Char"/>
          <w:rFonts w:ascii="Times New Roman" w:hAnsi="Times New Roman" w:cs="Times New Roman"/>
          <w:b/>
          <w:bCs/>
          <w:kern w:val="0"/>
          <w:szCs w:val="28"/>
        </w:rPr>
        <w:t xml:space="preserve">8 </w:t>
      </w:r>
      <w:r w:rsidR="0004125A" w:rsidRPr="009577BE">
        <w:rPr>
          <w:rStyle w:val="Heading1Char"/>
          <w:rFonts w:ascii="Times New Roman" w:hAnsi="Times New Roman" w:cs="Times New Roman"/>
          <w:b/>
          <w:bCs/>
          <w:kern w:val="0"/>
          <w:szCs w:val="28"/>
        </w:rPr>
        <w:t>Implementation and review</w:t>
      </w:r>
      <w:bookmarkEnd w:id="82"/>
      <w:bookmarkEnd w:id="83"/>
      <w:bookmarkEnd w:id="84"/>
      <w:bookmarkEnd w:id="85"/>
    </w:p>
    <w:p w14:paraId="591646FA" w14:textId="53C1ED95" w:rsidR="002A5DBB" w:rsidRDefault="00D30BFE" w:rsidP="009458A5">
      <w:pPr>
        <w:spacing w:after="40"/>
        <w:jc w:val="both"/>
        <w:rPr>
          <w:iCs/>
        </w:rPr>
      </w:pPr>
      <w:r>
        <w:rPr>
          <w:iCs/>
        </w:rPr>
        <w:t>Implementing the preferred option involves the Food Ministers</w:t>
      </w:r>
      <w:r w:rsidR="00446BAB">
        <w:rPr>
          <w:iCs/>
        </w:rPr>
        <w:t>, 1)</w:t>
      </w:r>
      <w:r>
        <w:rPr>
          <w:iCs/>
        </w:rPr>
        <w:t xml:space="preserve"> approving the </w:t>
      </w:r>
      <w:r w:rsidR="00017F16" w:rsidRPr="00D30BFE">
        <w:rPr>
          <w:iCs/>
        </w:rPr>
        <w:t xml:space="preserve">Ministerial Policy Guideline on </w:t>
      </w:r>
      <w:r w:rsidR="00017F16" w:rsidRPr="00D30BFE">
        <w:rPr>
          <w:i/>
        </w:rPr>
        <w:t xml:space="preserve">Menu Labelling: displaying and providing energy information for standard </w:t>
      </w:r>
      <w:r w:rsidR="00017F16" w:rsidRPr="00D30BFE">
        <w:rPr>
          <w:i/>
        </w:rPr>
        <w:lastRenderedPageBreak/>
        <w:t>food items on menus and at the point-of-sale in standard food outlets</w:t>
      </w:r>
      <w:r w:rsidR="00017F16" w:rsidRPr="00D30BFE">
        <w:rPr>
          <w:iCs/>
        </w:rPr>
        <w:t xml:space="preserve"> (Appendix 1)</w:t>
      </w:r>
      <w:r w:rsidR="00446BAB">
        <w:rPr>
          <w:iCs/>
        </w:rPr>
        <w:t>, 2)</w:t>
      </w:r>
      <w:r w:rsidR="009458A5">
        <w:rPr>
          <w:iCs/>
        </w:rPr>
        <w:t xml:space="preserve"> </w:t>
      </w:r>
      <w:r w:rsidR="00C36C1B">
        <w:rPr>
          <w:iCs/>
        </w:rPr>
        <w:t xml:space="preserve">requesting </w:t>
      </w:r>
      <w:r w:rsidR="00C36C1B" w:rsidRPr="00E45CA5">
        <w:rPr>
          <w:iCs/>
        </w:rPr>
        <w:t>FSANZ develop a food regulatory measure for menu labelling in the Food Standards Code</w:t>
      </w:r>
      <w:r w:rsidR="00446BAB">
        <w:rPr>
          <w:iCs/>
        </w:rPr>
        <w:t xml:space="preserve">, and 3) </w:t>
      </w:r>
      <w:r w:rsidR="00C248CC">
        <w:rPr>
          <w:iCs/>
        </w:rPr>
        <w:t>agreeing to comprehensive, sustained consumer education</w:t>
      </w:r>
      <w:r w:rsidR="003D283E">
        <w:rPr>
          <w:iCs/>
        </w:rPr>
        <w:t xml:space="preserve"> and monitoring and evaluation to complement the implementation of menu labelling regulation.</w:t>
      </w:r>
      <w:r w:rsidR="00536E19">
        <w:rPr>
          <w:iCs/>
        </w:rPr>
        <w:t>.</w:t>
      </w:r>
      <w:r w:rsidR="00446BAB">
        <w:rPr>
          <w:iCs/>
        </w:rPr>
        <w:t xml:space="preserve"> </w:t>
      </w:r>
    </w:p>
    <w:p w14:paraId="11AEF41F" w14:textId="77777777" w:rsidR="002A5DBB" w:rsidRDefault="002A5DBB" w:rsidP="009458A5">
      <w:pPr>
        <w:spacing w:after="40"/>
        <w:jc w:val="both"/>
        <w:rPr>
          <w:iCs/>
        </w:rPr>
      </w:pPr>
    </w:p>
    <w:p w14:paraId="3C106CB8" w14:textId="12B2682F" w:rsidR="009458A5" w:rsidRDefault="0095361F" w:rsidP="009458A5">
      <w:pPr>
        <w:spacing w:after="40"/>
        <w:jc w:val="both"/>
        <w:rPr>
          <w:iCs/>
        </w:rPr>
      </w:pPr>
      <w:r>
        <w:rPr>
          <w:iCs/>
        </w:rPr>
        <w:t xml:space="preserve">Pending approval by the Food Ministers, the Ministerial Policy Guideline would be published at </w:t>
      </w:r>
      <w:hyperlink r:id="rId23" w:history="1">
        <w:r w:rsidRPr="004E5C7C">
          <w:rPr>
            <w:rStyle w:val="Hyperlink"/>
            <w:iCs/>
          </w:rPr>
          <w:t>www.foodregulation.gov.au</w:t>
        </w:r>
      </w:hyperlink>
      <w:r w:rsidR="00616D08">
        <w:rPr>
          <w:iCs/>
        </w:rPr>
        <w:t>.</w:t>
      </w:r>
    </w:p>
    <w:bookmarkEnd w:id="6"/>
    <w:p w14:paraId="1DD81F7D" w14:textId="77777777" w:rsidR="00114AA2" w:rsidRDefault="00114AA2" w:rsidP="00EF4F9F">
      <w:pPr>
        <w:spacing w:after="40"/>
        <w:jc w:val="both"/>
        <w:rPr>
          <w:iCs/>
        </w:rPr>
      </w:pPr>
    </w:p>
    <w:p w14:paraId="6593A6EB" w14:textId="77777777" w:rsidR="00C8278F" w:rsidRPr="000A001A" w:rsidRDefault="00BC5E01" w:rsidP="00C8278F">
      <w:pPr>
        <w:spacing w:after="40"/>
        <w:jc w:val="both"/>
      </w:pPr>
      <w:r>
        <w:rPr>
          <w:iCs/>
        </w:rPr>
        <w:t>The primary</w:t>
      </w:r>
      <w:r w:rsidR="00114AA2">
        <w:rPr>
          <w:iCs/>
        </w:rPr>
        <w:t xml:space="preserve"> aspect of implement</w:t>
      </w:r>
      <w:r>
        <w:rPr>
          <w:iCs/>
        </w:rPr>
        <w:t>ing the preferred optio</w:t>
      </w:r>
      <w:r w:rsidR="006F4AB8">
        <w:rPr>
          <w:iCs/>
        </w:rPr>
        <w:t>n</w:t>
      </w:r>
      <w:r w:rsidR="00114AA2">
        <w:rPr>
          <w:iCs/>
        </w:rPr>
        <w:t xml:space="preserve"> relate</w:t>
      </w:r>
      <w:r>
        <w:rPr>
          <w:iCs/>
        </w:rPr>
        <w:t>s</w:t>
      </w:r>
      <w:r w:rsidR="00114AA2">
        <w:rPr>
          <w:iCs/>
        </w:rPr>
        <w:t xml:space="preserve"> to </w:t>
      </w:r>
      <w:r w:rsidR="00F44EDB">
        <w:rPr>
          <w:iCs/>
        </w:rPr>
        <w:t xml:space="preserve">the development of a bi-national food regulatory measure in the Food Standards Code. </w:t>
      </w:r>
      <w:r w:rsidR="009C406F">
        <w:rPr>
          <w:iCs/>
        </w:rPr>
        <w:t xml:space="preserve">This will follow the legislated processes set out in the </w:t>
      </w:r>
      <w:r w:rsidR="009C406F" w:rsidRPr="009C406F">
        <w:rPr>
          <w:i/>
        </w:rPr>
        <w:t>FSANZ Act 1991</w:t>
      </w:r>
      <w:r w:rsidR="009C406F">
        <w:rPr>
          <w:iCs/>
        </w:rPr>
        <w:t>.</w:t>
      </w:r>
      <w:r w:rsidR="00E25368">
        <w:rPr>
          <w:iCs/>
        </w:rPr>
        <w:t xml:space="preserve"> </w:t>
      </w:r>
      <w:r w:rsidR="00C8278F" w:rsidRPr="00A406C6">
        <w:t>While the process of developing food regulatory measures can take approximately 12-18 months, this is dependent on FSANZ’s work plan, competing priorities and the complexity of the issues. With FRSC</w:t>
      </w:r>
      <w:r w:rsidR="00C8278F" w:rsidRPr="00525B61">
        <w:t xml:space="preserve"> undertaking th</w:t>
      </w:r>
      <w:r w:rsidR="00C8278F">
        <w:t>is</w:t>
      </w:r>
      <w:r w:rsidR="00C8278F" w:rsidRPr="00525B61">
        <w:t xml:space="preserve"> RIS process</w:t>
      </w:r>
      <w:r w:rsidR="00C8278F" w:rsidRPr="00A406C6">
        <w:t xml:space="preserve">, there </w:t>
      </w:r>
      <w:r w:rsidR="00C8278F" w:rsidRPr="000A001A">
        <w:t xml:space="preserve">may be a reduction in the amount of work that FSANZ would need to complete. However, with FSANZ’s current workload and resources, there remains a risk that developing a food regulatory measure for menu labelling could take considerably longer than 12-18 months. </w:t>
      </w:r>
    </w:p>
    <w:p w14:paraId="6D7CD3C0" w14:textId="77777777" w:rsidR="002726EF" w:rsidRPr="000A001A" w:rsidRDefault="002726EF" w:rsidP="00EF4F9F">
      <w:pPr>
        <w:spacing w:after="40"/>
        <w:jc w:val="both"/>
        <w:rPr>
          <w:iCs/>
        </w:rPr>
      </w:pPr>
    </w:p>
    <w:p w14:paraId="46BDF0B8" w14:textId="238836E5" w:rsidR="00277270" w:rsidRPr="000A001A" w:rsidRDefault="00CA5EA6" w:rsidP="00B42EE7">
      <w:pPr>
        <w:spacing w:after="40"/>
        <w:jc w:val="both"/>
        <w:rPr>
          <w:iCs/>
        </w:rPr>
      </w:pPr>
      <w:r w:rsidRPr="000A001A">
        <w:rPr>
          <w:iCs/>
        </w:rPr>
        <w:t xml:space="preserve">Part of </w:t>
      </w:r>
      <w:r w:rsidR="00C8278F" w:rsidRPr="000A001A">
        <w:rPr>
          <w:iCs/>
        </w:rPr>
        <w:t>the legislated</w:t>
      </w:r>
      <w:r w:rsidRPr="000A001A">
        <w:rPr>
          <w:iCs/>
        </w:rPr>
        <w:t xml:space="preserve"> process is that FSANZ must</w:t>
      </w:r>
      <w:r w:rsidR="001A1AEA" w:rsidRPr="000A001A">
        <w:rPr>
          <w:iCs/>
        </w:rPr>
        <w:t>, among other matters,</w:t>
      </w:r>
      <w:r w:rsidRPr="000A001A">
        <w:rPr>
          <w:iCs/>
        </w:rPr>
        <w:t xml:space="preserve"> have regard </w:t>
      </w:r>
      <w:r w:rsidR="003F4031" w:rsidRPr="000A001A">
        <w:rPr>
          <w:iCs/>
        </w:rPr>
        <w:t>to</w:t>
      </w:r>
      <w:r w:rsidRPr="000A001A">
        <w:rPr>
          <w:iCs/>
        </w:rPr>
        <w:t xml:space="preserve"> the Ministerial Policy Guideline</w:t>
      </w:r>
      <w:r w:rsidR="001C0656" w:rsidRPr="000A001A">
        <w:rPr>
          <w:iCs/>
        </w:rPr>
        <w:t xml:space="preserve">. </w:t>
      </w:r>
      <w:r w:rsidR="00BC4108" w:rsidRPr="000A001A">
        <w:rPr>
          <w:iCs/>
        </w:rPr>
        <w:t>The Ministerial Policy Guideline includes policy principles and policy guidance.</w:t>
      </w:r>
      <w:r w:rsidR="004E00B8" w:rsidRPr="000A001A">
        <w:rPr>
          <w:iCs/>
        </w:rPr>
        <w:t xml:space="preserve"> The intent of each principle and guidance, as well as recommendations for FSANZ </w:t>
      </w:r>
      <w:r w:rsidR="00B7420A" w:rsidRPr="000A001A">
        <w:rPr>
          <w:iCs/>
        </w:rPr>
        <w:t xml:space="preserve">and/or FRSC </w:t>
      </w:r>
      <w:r w:rsidR="004E00B8" w:rsidRPr="000A001A">
        <w:rPr>
          <w:iCs/>
        </w:rPr>
        <w:t xml:space="preserve">are </w:t>
      </w:r>
      <w:r w:rsidR="00B74247" w:rsidRPr="000A001A">
        <w:rPr>
          <w:iCs/>
        </w:rPr>
        <w:t>described below</w:t>
      </w:r>
      <w:r w:rsidR="001E0533" w:rsidRPr="000A001A">
        <w:rPr>
          <w:iCs/>
        </w:rPr>
        <w:t>.</w:t>
      </w:r>
    </w:p>
    <w:p w14:paraId="3AFB1F60" w14:textId="4EEF71C7" w:rsidR="00B74247" w:rsidRPr="000A001A" w:rsidRDefault="00B74247" w:rsidP="00B42EE7">
      <w:pPr>
        <w:spacing w:after="40"/>
        <w:jc w:val="both"/>
        <w:rPr>
          <w:iCs/>
        </w:rPr>
      </w:pPr>
    </w:p>
    <w:p w14:paraId="2CE9433C" w14:textId="51B0AB60" w:rsidR="00165E00" w:rsidRPr="000A001A" w:rsidRDefault="00B21592" w:rsidP="00B42EE7">
      <w:pPr>
        <w:spacing w:after="40"/>
        <w:jc w:val="both"/>
        <w:rPr>
          <w:i/>
          <w:iCs/>
          <w:lang w:eastAsia="zh-CN" w:bidi="th-TH"/>
        </w:rPr>
      </w:pPr>
      <w:r w:rsidRPr="000A001A">
        <w:rPr>
          <w:i/>
          <w:iCs/>
          <w:lang w:eastAsia="zh-CN" w:bidi="th-TH"/>
        </w:rPr>
        <w:t xml:space="preserve">Principle: </w:t>
      </w:r>
      <w:r w:rsidR="00BC4108" w:rsidRPr="000A001A">
        <w:rPr>
          <w:lang w:eastAsia="zh-CN" w:bidi="th-TH"/>
        </w:rPr>
        <w:t>Menu labelling should</w:t>
      </w:r>
      <w:r w:rsidR="003D6A24" w:rsidRPr="000A001A">
        <w:rPr>
          <w:lang w:eastAsia="zh-CN" w:bidi="th-TH"/>
        </w:rPr>
        <w:t xml:space="preserve"> e</w:t>
      </w:r>
      <w:r w:rsidR="00BC4108" w:rsidRPr="000A001A">
        <w:rPr>
          <w:lang w:eastAsia="zh-CN" w:bidi="th-TH"/>
        </w:rPr>
        <w:t>nable consumers to make comparisons between standard food items (including within and between categories) and therefore make informed choices at the point-of-sale.</w:t>
      </w:r>
    </w:p>
    <w:p w14:paraId="2239E753" w14:textId="3FA7F507" w:rsidR="00165E00" w:rsidRPr="000A001A" w:rsidRDefault="00165E00" w:rsidP="00B42EE7">
      <w:pPr>
        <w:spacing w:after="40"/>
        <w:jc w:val="both"/>
        <w:rPr>
          <w:lang w:eastAsia="zh-CN" w:bidi="th-TH"/>
        </w:rPr>
      </w:pPr>
    </w:p>
    <w:p w14:paraId="1CADA502" w14:textId="24AB4977" w:rsidR="00CE7DA1" w:rsidRPr="000A001A" w:rsidRDefault="00AB379E" w:rsidP="00C35075">
      <w:pPr>
        <w:spacing w:after="40"/>
        <w:jc w:val="both"/>
        <w:rPr>
          <w:lang w:eastAsia="zh-CN" w:bidi="th-TH"/>
        </w:rPr>
      </w:pPr>
      <w:r w:rsidRPr="000A001A">
        <w:rPr>
          <w:lang w:eastAsia="zh-CN" w:bidi="th-TH"/>
        </w:rPr>
        <w:t>It is intended that menu labelling supports consumers to make comparison of different menu items</w:t>
      </w:r>
      <w:r w:rsidR="00CA56D1" w:rsidRPr="000A001A">
        <w:rPr>
          <w:lang w:eastAsia="zh-CN" w:bidi="th-TH"/>
        </w:rPr>
        <w:t xml:space="preserve">, which means that energy information is intended to be displayed for all </w:t>
      </w:r>
      <w:r w:rsidR="009D4062" w:rsidRPr="000A001A">
        <w:rPr>
          <w:lang w:eastAsia="zh-CN" w:bidi="th-TH"/>
        </w:rPr>
        <w:t xml:space="preserve">standard food items. This includes </w:t>
      </w:r>
      <w:r w:rsidR="0066617D" w:rsidRPr="000A001A">
        <w:rPr>
          <w:lang w:eastAsia="zh-CN" w:bidi="th-TH"/>
        </w:rPr>
        <w:t xml:space="preserve">comparing </w:t>
      </w:r>
      <w:r w:rsidR="009D4062" w:rsidRPr="000A001A">
        <w:rPr>
          <w:lang w:eastAsia="zh-CN" w:bidi="th-TH"/>
        </w:rPr>
        <w:t xml:space="preserve">menu items </w:t>
      </w:r>
      <w:r w:rsidR="0066617D" w:rsidRPr="000A001A">
        <w:rPr>
          <w:lang w:eastAsia="zh-CN" w:bidi="th-TH"/>
        </w:rPr>
        <w:t xml:space="preserve">within a category (for example, </w:t>
      </w:r>
      <w:r w:rsidR="002C5532" w:rsidRPr="000A001A">
        <w:rPr>
          <w:lang w:eastAsia="zh-CN" w:bidi="th-TH"/>
        </w:rPr>
        <w:t>burgers) and across categories (for example, burgers versus sandwiches).</w:t>
      </w:r>
      <w:r w:rsidR="00C80B32" w:rsidRPr="000A001A">
        <w:rPr>
          <w:lang w:eastAsia="zh-CN" w:bidi="th-TH"/>
        </w:rPr>
        <w:t xml:space="preserve"> It also includes comparing menu items of different sizes</w:t>
      </w:r>
      <w:r w:rsidR="00BA7F68" w:rsidRPr="000A001A">
        <w:rPr>
          <w:lang w:eastAsia="zh-CN" w:bidi="th-TH"/>
        </w:rPr>
        <w:t xml:space="preserve">, and it is intended that energy information is displayed for all sizes (for example, small, </w:t>
      </w:r>
      <w:r w:rsidR="00DC3B83" w:rsidRPr="000A001A">
        <w:rPr>
          <w:lang w:eastAsia="zh-CN" w:bidi="th-TH"/>
        </w:rPr>
        <w:t>medium,</w:t>
      </w:r>
      <w:r w:rsidR="00BA7F68" w:rsidRPr="000A001A">
        <w:rPr>
          <w:lang w:eastAsia="zh-CN" w:bidi="th-TH"/>
        </w:rPr>
        <w:t xml:space="preserve"> and large). </w:t>
      </w:r>
      <w:r w:rsidR="00B7420A" w:rsidRPr="000A001A">
        <w:rPr>
          <w:lang w:eastAsia="zh-CN" w:bidi="th-TH"/>
        </w:rPr>
        <w:t xml:space="preserve">Being able to make comparisons of menu items across businesses (for example, when using third-party food delivery platforms) is also the intention. </w:t>
      </w:r>
      <w:r w:rsidR="00BA7F68" w:rsidRPr="000A001A">
        <w:rPr>
          <w:lang w:eastAsia="zh-CN" w:bidi="th-TH"/>
        </w:rPr>
        <w:t xml:space="preserve">To support </w:t>
      </w:r>
      <w:r w:rsidR="00DC3B83" w:rsidRPr="000A001A">
        <w:rPr>
          <w:lang w:eastAsia="zh-CN" w:bidi="th-TH"/>
        </w:rPr>
        <w:t>consumers,</w:t>
      </w:r>
      <w:r w:rsidR="00BA7F68" w:rsidRPr="000A001A">
        <w:rPr>
          <w:lang w:eastAsia="zh-CN" w:bidi="th-TH"/>
        </w:rPr>
        <w:t xml:space="preserve"> make comparisons and informed choices, </w:t>
      </w:r>
      <w:r w:rsidR="00CE7DA1" w:rsidRPr="000A001A">
        <w:t>guides with examples and options of how to compare items</w:t>
      </w:r>
      <w:r w:rsidR="00C35075" w:rsidRPr="000A001A">
        <w:t xml:space="preserve"> could be developed.</w:t>
      </w:r>
      <w:r w:rsidR="00CE7DA1" w:rsidRPr="000A001A">
        <w:t xml:space="preserve"> </w:t>
      </w:r>
    </w:p>
    <w:p w14:paraId="11AAEEF4" w14:textId="77777777" w:rsidR="00127B2F" w:rsidRPr="000A001A" w:rsidRDefault="00127B2F" w:rsidP="00F02503">
      <w:pPr>
        <w:spacing w:after="40"/>
        <w:jc w:val="both"/>
        <w:rPr>
          <w:lang w:eastAsia="zh-CN" w:bidi="th-TH"/>
        </w:rPr>
      </w:pPr>
    </w:p>
    <w:p w14:paraId="17E74526" w14:textId="0865203A" w:rsidR="00165E00" w:rsidRPr="000A001A" w:rsidRDefault="00B21592" w:rsidP="00B42EE7">
      <w:pPr>
        <w:spacing w:after="40"/>
        <w:jc w:val="both"/>
        <w:rPr>
          <w:lang w:eastAsia="zh-CN" w:bidi="th-TH"/>
        </w:rPr>
      </w:pPr>
      <w:r w:rsidRPr="000A001A">
        <w:rPr>
          <w:i/>
          <w:iCs/>
          <w:lang w:eastAsia="zh-CN" w:bidi="th-TH"/>
        </w:rPr>
        <w:t xml:space="preserve">Principle: </w:t>
      </w:r>
      <w:r w:rsidR="003D6A24" w:rsidRPr="000A001A">
        <w:rPr>
          <w:lang w:eastAsia="zh-CN" w:bidi="th-TH"/>
        </w:rPr>
        <w:t>Menu labelling should p</w:t>
      </w:r>
      <w:r w:rsidR="00BC4108" w:rsidRPr="000A001A">
        <w:rPr>
          <w:lang w:eastAsia="zh-CN" w:bidi="th-TH"/>
        </w:rPr>
        <w:t>rovide consumers with energy information for all standard food items, combination meals and multi-serve items on menus and/or at the point-of-sale; and for dietary context, provide the average adult daily energy intake at the point-of-sale.</w:t>
      </w:r>
    </w:p>
    <w:p w14:paraId="2A920466" w14:textId="7FCC1AD3" w:rsidR="00B42EE7" w:rsidRDefault="00B42EE7" w:rsidP="00B42EE7">
      <w:pPr>
        <w:spacing w:after="40"/>
        <w:jc w:val="both"/>
        <w:rPr>
          <w:lang w:eastAsia="zh-CN" w:bidi="th-TH"/>
        </w:rPr>
      </w:pPr>
    </w:p>
    <w:p w14:paraId="44667533" w14:textId="7D51FB7F" w:rsidR="00AA145B" w:rsidRPr="000A001A" w:rsidRDefault="00AA145B" w:rsidP="00B42EE7">
      <w:pPr>
        <w:spacing w:after="40"/>
        <w:jc w:val="both"/>
        <w:rPr>
          <w:lang w:eastAsia="zh-CN" w:bidi="th-TH"/>
        </w:rPr>
      </w:pPr>
      <w:r w:rsidRPr="000A001A">
        <w:rPr>
          <w:lang w:eastAsia="zh-CN" w:bidi="th-TH"/>
        </w:rPr>
        <w:t>It is intended that all standard food outlets:</w:t>
      </w:r>
    </w:p>
    <w:p w14:paraId="094CDD77" w14:textId="77777777" w:rsidR="00B77052" w:rsidRPr="000A001A" w:rsidRDefault="00AA145B" w:rsidP="00B42EE7">
      <w:pPr>
        <w:pStyle w:val="ListParagraph"/>
        <w:numPr>
          <w:ilvl w:val="0"/>
          <w:numId w:val="3"/>
        </w:numPr>
        <w:spacing w:after="40"/>
        <w:jc w:val="both"/>
        <w:rPr>
          <w:lang w:eastAsia="zh-CN" w:bidi="th-TH"/>
        </w:rPr>
      </w:pPr>
      <w:r w:rsidRPr="000A001A">
        <w:rPr>
          <w:lang w:eastAsia="zh-CN" w:bidi="th-TH"/>
        </w:rPr>
        <w:t>display the energy information of all available standard food items on all menus and at all physical and electronic points-of-sale</w:t>
      </w:r>
      <w:r w:rsidR="007A51B8" w:rsidRPr="000A001A">
        <w:rPr>
          <w:lang w:eastAsia="zh-CN" w:bidi="th-TH"/>
        </w:rPr>
        <w:t xml:space="preserve"> </w:t>
      </w:r>
    </w:p>
    <w:p w14:paraId="20D2A8E8" w14:textId="6659A60C" w:rsidR="000C18A5" w:rsidRPr="000A001A" w:rsidRDefault="00B7420A" w:rsidP="00B42EE7">
      <w:pPr>
        <w:pStyle w:val="ListParagraph"/>
        <w:numPr>
          <w:ilvl w:val="1"/>
          <w:numId w:val="3"/>
        </w:numPr>
        <w:spacing w:after="40"/>
        <w:jc w:val="both"/>
        <w:rPr>
          <w:lang w:eastAsia="zh-CN" w:bidi="th-TH"/>
        </w:rPr>
      </w:pPr>
      <w:r w:rsidRPr="000A001A">
        <w:rPr>
          <w:lang w:eastAsia="zh-CN" w:bidi="th-TH"/>
        </w:rPr>
        <w:t>D</w:t>
      </w:r>
      <w:r w:rsidR="007A51B8" w:rsidRPr="000A001A">
        <w:rPr>
          <w:lang w:eastAsia="zh-CN" w:bidi="th-TH"/>
        </w:rPr>
        <w:t>efining both menu and point-of-sale in the Ministerial Policy Guideline is to ensure that energy information is displayed at all points-of-sale, even in the absence of a menu, or when only some available menu items are shown on a menu.</w:t>
      </w:r>
    </w:p>
    <w:p w14:paraId="379AC891" w14:textId="2DE4B92C" w:rsidR="00B7420A" w:rsidRPr="000A001A" w:rsidRDefault="00B7420A" w:rsidP="00B7420A">
      <w:pPr>
        <w:pStyle w:val="ListParagraph"/>
        <w:numPr>
          <w:ilvl w:val="1"/>
          <w:numId w:val="3"/>
        </w:numPr>
        <w:spacing w:after="40"/>
        <w:jc w:val="both"/>
        <w:rPr>
          <w:lang w:eastAsia="zh-CN" w:bidi="th-TH"/>
        </w:rPr>
      </w:pPr>
      <w:r w:rsidRPr="000A001A">
        <w:rPr>
          <w:lang w:eastAsia="zh-CN" w:bidi="th-TH"/>
        </w:rPr>
        <w:t xml:space="preserve">The definition of standard food items includes trial or temporary items. Although exempt from menu labelling in four jurisdictions, it is the intention that they are captured and required to display energy information. Further </w:t>
      </w:r>
      <w:r w:rsidRPr="000A001A">
        <w:rPr>
          <w:lang w:eastAsia="zh-CN" w:bidi="th-TH"/>
        </w:rPr>
        <w:lastRenderedPageBreak/>
        <w:t xml:space="preserve">consideration may be needed on how to enforce this requirement, particularly if trial items are available for a very limited time. </w:t>
      </w:r>
    </w:p>
    <w:p w14:paraId="3AA09225" w14:textId="77777777" w:rsidR="00B7420A" w:rsidRPr="000A001A" w:rsidRDefault="00B7420A" w:rsidP="00B7420A">
      <w:pPr>
        <w:pStyle w:val="ListParagraph"/>
        <w:spacing w:after="40"/>
        <w:ind w:left="1440"/>
        <w:jc w:val="both"/>
        <w:rPr>
          <w:lang w:eastAsia="zh-CN" w:bidi="th-TH"/>
        </w:rPr>
      </w:pPr>
    </w:p>
    <w:p w14:paraId="62A9BF22" w14:textId="43F62EB8" w:rsidR="003A6A62" w:rsidRPr="000A001A" w:rsidRDefault="00AA145B" w:rsidP="00B42EE7">
      <w:pPr>
        <w:pStyle w:val="ListParagraph"/>
        <w:numPr>
          <w:ilvl w:val="0"/>
          <w:numId w:val="3"/>
        </w:numPr>
        <w:spacing w:after="40"/>
        <w:jc w:val="both"/>
        <w:rPr>
          <w:lang w:eastAsia="zh-CN" w:bidi="th-TH"/>
        </w:rPr>
      </w:pPr>
      <w:r w:rsidRPr="000A001A">
        <w:rPr>
          <w:lang w:eastAsia="zh-CN" w:bidi="th-TH"/>
        </w:rPr>
        <w:t>display the energy information for combination meals including any pre-packaged items with the combination</w:t>
      </w:r>
    </w:p>
    <w:p w14:paraId="25C2161F" w14:textId="21824E66" w:rsidR="000C18A5" w:rsidRPr="000A001A" w:rsidRDefault="00B7420A" w:rsidP="00B42EE7">
      <w:pPr>
        <w:pStyle w:val="ListParagraph"/>
        <w:numPr>
          <w:ilvl w:val="1"/>
          <w:numId w:val="3"/>
        </w:numPr>
        <w:spacing w:after="40"/>
        <w:jc w:val="both"/>
        <w:rPr>
          <w:lang w:eastAsia="zh-CN" w:bidi="th-TH"/>
        </w:rPr>
      </w:pPr>
      <w:r w:rsidRPr="000A001A">
        <w:rPr>
          <w:lang w:eastAsia="zh-CN" w:bidi="th-TH"/>
        </w:rPr>
        <w:t>T</w:t>
      </w:r>
      <w:r w:rsidR="007A51B8" w:rsidRPr="000A001A">
        <w:rPr>
          <w:lang w:eastAsia="zh-CN" w:bidi="th-TH"/>
        </w:rPr>
        <w:t>he co-design process in 2018</w:t>
      </w:r>
      <w:r w:rsidR="00CF48D7" w:rsidRPr="000A001A">
        <w:rPr>
          <w:lang w:eastAsia="zh-CN" w:bidi="th-TH"/>
        </w:rPr>
        <w:t xml:space="preserve"> </w:t>
      </w:r>
      <w:r w:rsidR="007A51B8" w:rsidRPr="000A001A">
        <w:rPr>
          <w:lang w:eastAsia="zh-CN" w:bidi="th-TH"/>
        </w:rPr>
        <w:t xml:space="preserve">recommended that </w:t>
      </w:r>
      <w:r w:rsidR="000C18A5" w:rsidRPr="000A001A">
        <w:rPr>
          <w:lang w:eastAsia="zh-CN" w:bidi="th-TH"/>
        </w:rPr>
        <w:t xml:space="preserve">when </w:t>
      </w:r>
      <w:r w:rsidR="00631603" w:rsidRPr="000A001A">
        <w:rPr>
          <w:lang w:eastAsia="zh-CN" w:bidi="th-TH"/>
        </w:rPr>
        <w:t>different types of drinks (</w:t>
      </w:r>
      <w:r w:rsidR="00493F34" w:rsidRPr="000A001A">
        <w:rPr>
          <w:lang w:eastAsia="zh-CN" w:bidi="th-TH"/>
        </w:rPr>
        <w:t xml:space="preserve">for example, </w:t>
      </w:r>
      <w:r w:rsidR="00631603" w:rsidRPr="000A001A">
        <w:rPr>
          <w:lang w:eastAsia="zh-CN" w:bidi="th-TH"/>
        </w:rPr>
        <w:t xml:space="preserve">water, juice, soft drink, diet soft drink) can be selected </w:t>
      </w:r>
      <w:r w:rsidR="0036207E" w:rsidRPr="000A001A">
        <w:rPr>
          <w:lang w:eastAsia="zh-CN" w:bidi="th-TH"/>
        </w:rPr>
        <w:t xml:space="preserve">in the combination, that </w:t>
      </w:r>
      <w:r w:rsidR="00CF48D7" w:rsidRPr="000A001A">
        <w:rPr>
          <w:lang w:eastAsia="zh-CN" w:bidi="th-TH"/>
        </w:rPr>
        <w:t xml:space="preserve">the default drink </w:t>
      </w:r>
      <w:r w:rsidR="000C18A5" w:rsidRPr="000A001A">
        <w:t>used to calculate the total kilojoules for the combination meal is the drink with the highest kilojoule content.</w:t>
      </w:r>
      <w:r w:rsidR="006F5F7F" w:rsidRPr="000A001A">
        <w:t xml:space="preserve"> If this is the chosen approach, it will be important to ensure that the kilojoule content of all other drinks (including pre-packaged drinks) is available to enable consumers to make an informed choice for an alternate option.</w:t>
      </w:r>
    </w:p>
    <w:p w14:paraId="2BA425B8" w14:textId="77777777" w:rsidR="00B7420A" w:rsidRPr="000A001A" w:rsidRDefault="00B7420A" w:rsidP="00B7420A">
      <w:pPr>
        <w:pStyle w:val="ListParagraph"/>
        <w:spacing w:after="40"/>
        <w:ind w:left="1440"/>
        <w:jc w:val="both"/>
        <w:rPr>
          <w:lang w:eastAsia="zh-CN" w:bidi="th-TH"/>
        </w:rPr>
      </w:pPr>
    </w:p>
    <w:p w14:paraId="36AD41A9" w14:textId="4BC74B43" w:rsidR="00AA145B" w:rsidRPr="000A001A" w:rsidRDefault="00AA145B" w:rsidP="00B42EE7">
      <w:pPr>
        <w:pStyle w:val="ListParagraph"/>
        <w:numPr>
          <w:ilvl w:val="0"/>
          <w:numId w:val="3"/>
        </w:numPr>
        <w:spacing w:after="40"/>
        <w:jc w:val="both"/>
        <w:rPr>
          <w:lang w:eastAsia="zh-CN" w:bidi="th-TH"/>
        </w:rPr>
      </w:pPr>
      <w:r w:rsidRPr="000A001A">
        <w:rPr>
          <w:lang w:eastAsia="zh-CN" w:bidi="th-TH"/>
        </w:rPr>
        <w:t>display the energy information for multi-serve items as the whole item and per serving</w:t>
      </w:r>
    </w:p>
    <w:p w14:paraId="1E548B43" w14:textId="21C0B98C" w:rsidR="00165E00" w:rsidRPr="000A001A" w:rsidRDefault="00B7420A" w:rsidP="00B42EE7">
      <w:pPr>
        <w:pStyle w:val="ListParagraph"/>
        <w:numPr>
          <w:ilvl w:val="1"/>
          <w:numId w:val="3"/>
        </w:numPr>
        <w:spacing w:after="40"/>
        <w:jc w:val="both"/>
        <w:rPr>
          <w:lang w:eastAsia="zh-CN" w:bidi="th-TH"/>
        </w:rPr>
      </w:pPr>
      <w:r w:rsidRPr="000A001A">
        <w:rPr>
          <w:lang w:eastAsia="zh-CN" w:bidi="th-TH"/>
        </w:rPr>
        <w:t>T</w:t>
      </w:r>
      <w:r w:rsidR="0084008C" w:rsidRPr="000A001A">
        <w:rPr>
          <w:lang w:eastAsia="zh-CN" w:bidi="th-TH"/>
        </w:rPr>
        <w:t xml:space="preserve">o support </w:t>
      </w:r>
      <w:r w:rsidR="0040577A" w:rsidRPr="000A001A">
        <w:rPr>
          <w:lang w:eastAsia="zh-CN" w:bidi="th-TH"/>
        </w:rPr>
        <w:t>businesses, the co-design process in 2018 recommended a national</w:t>
      </w:r>
      <w:r w:rsidR="003A6A62" w:rsidRPr="000A001A">
        <w:t xml:space="preserve"> resource providing guidance on recommended serving sizes for various </w:t>
      </w:r>
      <w:r w:rsidR="0040577A" w:rsidRPr="000A001A">
        <w:t>multi</w:t>
      </w:r>
      <w:r w:rsidR="00320470" w:rsidRPr="000A001A">
        <w:t xml:space="preserve">-serve </w:t>
      </w:r>
      <w:r w:rsidR="003A6A62" w:rsidRPr="000A001A">
        <w:t>item types (</w:t>
      </w:r>
      <w:r w:rsidR="00493F34" w:rsidRPr="000A001A">
        <w:t>for example,</w:t>
      </w:r>
      <w:r w:rsidR="003A6A62" w:rsidRPr="000A001A">
        <w:t xml:space="preserve"> pull-apart) and sizes (</w:t>
      </w:r>
      <w:r w:rsidR="00493F34" w:rsidRPr="000A001A">
        <w:t>for example,</w:t>
      </w:r>
      <w:r w:rsidR="003A6A62" w:rsidRPr="000A001A">
        <w:t xml:space="preserve"> 500g, 750g) be made available.</w:t>
      </w:r>
      <w:r w:rsidR="00320470" w:rsidRPr="000A001A">
        <w:t xml:space="preserve"> As noted in Appendix 3, the Australian Healthy Food Partnership is developing guidance to help food companies promote and provide healthier serving sizes for a broad range of food and drink categories in retail and out-of-home settings. If this resource does not include all multi-serve items sold by standard food outlets, </w:t>
      </w:r>
      <w:r w:rsidR="0047026E" w:rsidRPr="000A001A">
        <w:t>a complementary resource could be developed.</w:t>
      </w:r>
    </w:p>
    <w:p w14:paraId="1CCA0A6E" w14:textId="77777777" w:rsidR="00320470" w:rsidRPr="000A001A" w:rsidRDefault="00320470" w:rsidP="00B42EE7">
      <w:pPr>
        <w:pStyle w:val="ListParagraph"/>
        <w:spacing w:after="40"/>
        <w:ind w:left="1440"/>
        <w:jc w:val="both"/>
        <w:rPr>
          <w:lang w:eastAsia="zh-CN" w:bidi="th-TH"/>
        </w:rPr>
      </w:pPr>
    </w:p>
    <w:p w14:paraId="19AECC3F" w14:textId="2FD2B3AA" w:rsidR="00D512C7" w:rsidRPr="000A001A" w:rsidRDefault="00DF17F5" w:rsidP="00B42EE7">
      <w:pPr>
        <w:jc w:val="both"/>
      </w:pPr>
      <w:r w:rsidRPr="000A001A">
        <w:rPr>
          <w:lang w:eastAsia="zh-CN" w:bidi="th-TH"/>
        </w:rPr>
        <w:t xml:space="preserve">It is </w:t>
      </w:r>
      <w:r w:rsidR="00E900FE" w:rsidRPr="000A001A">
        <w:rPr>
          <w:lang w:eastAsia="zh-CN" w:bidi="th-TH"/>
        </w:rPr>
        <w:t xml:space="preserve">also </w:t>
      </w:r>
      <w:r w:rsidRPr="000A001A">
        <w:rPr>
          <w:lang w:eastAsia="zh-CN" w:bidi="th-TH"/>
        </w:rPr>
        <w:t xml:space="preserve">intended that if any Australian or New Zealand </w:t>
      </w:r>
      <w:r w:rsidR="00FE0226" w:rsidRPr="000A001A">
        <w:rPr>
          <w:lang w:eastAsia="zh-CN" w:bidi="th-TH"/>
        </w:rPr>
        <w:t xml:space="preserve">standard food outlet </w:t>
      </w:r>
      <w:r w:rsidRPr="000A001A">
        <w:rPr>
          <w:lang w:eastAsia="zh-CN" w:bidi="th-TH"/>
        </w:rPr>
        <w:t>uses a third-party to facilitate the sale of standard food items, the food business provides the energy information to the third-party</w:t>
      </w:r>
      <w:r w:rsidR="00600157" w:rsidRPr="000A001A">
        <w:rPr>
          <w:lang w:eastAsia="zh-CN" w:bidi="th-TH"/>
        </w:rPr>
        <w:t xml:space="preserve"> for display </w:t>
      </w:r>
      <w:r w:rsidR="00CD7A89" w:rsidRPr="000A001A">
        <w:rPr>
          <w:lang w:eastAsia="zh-CN" w:bidi="th-TH"/>
        </w:rPr>
        <w:t xml:space="preserve">on </w:t>
      </w:r>
      <w:r w:rsidR="00E16760" w:rsidRPr="000A001A">
        <w:rPr>
          <w:lang w:eastAsia="zh-CN" w:bidi="th-TH"/>
        </w:rPr>
        <w:t>all electronic menus</w:t>
      </w:r>
      <w:r w:rsidR="00EF2469" w:rsidRPr="000A001A">
        <w:rPr>
          <w:lang w:eastAsia="zh-CN" w:bidi="th-TH"/>
        </w:rPr>
        <w:t xml:space="preserve"> </w:t>
      </w:r>
      <w:r w:rsidR="00757B36" w:rsidRPr="000A001A">
        <w:rPr>
          <w:lang w:eastAsia="zh-CN" w:bidi="th-TH"/>
        </w:rPr>
        <w:t>at the point-of-sale (</w:t>
      </w:r>
      <w:r w:rsidR="00493F34" w:rsidRPr="000A001A">
        <w:rPr>
          <w:lang w:eastAsia="zh-CN" w:bidi="th-TH"/>
        </w:rPr>
        <w:t>for example,</w:t>
      </w:r>
      <w:r w:rsidR="00757B36" w:rsidRPr="000A001A">
        <w:rPr>
          <w:lang w:eastAsia="zh-CN" w:bidi="th-TH"/>
        </w:rPr>
        <w:t xml:space="preserve"> food delivery platforms and third-party websites).</w:t>
      </w:r>
      <w:r w:rsidR="00D512C7" w:rsidRPr="000A001A">
        <w:rPr>
          <w:lang w:eastAsia="zh-CN" w:bidi="th-TH"/>
        </w:rPr>
        <w:t xml:space="preserve"> </w:t>
      </w:r>
      <w:r w:rsidR="00D512C7" w:rsidRPr="000A001A">
        <w:t>For third party food delivery platforms</w:t>
      </w:r>
      <w:r w:rsidR="00D4614E" w:rsidRPr="000A001A">
        <w:t xml:space="preserve">, it is intended that </w:t>
      </w:r>
      <w:r w:rsidR="00D512C7" w:rsidRPr="000A001A">
        <w:t>the obligation of third part</w:t>
      </w:r>
      <w:r w:rsidR="00D4614E" w:rsidRPr="000A001A">
        <w:t>ies is</w:t>
      </w:r>
      <w:r w:rsidR="00D512C7" w:rsidRPr="000A001A">
        <w:t xml:space="preserve"> only to provide the capability to display the kilojoules </w:t>
      </w:r>
      <w:r w:rsidR="00D4614E" w:rsidRPr="000A001A">
        <w:t xml:space="preserve">on menus and at the points-of-sale </w:t>
      </w:r>
      <w:r w:rsidR="00D512C7" w:rsidRPr="000A001A">
        <w:t xml:space="preserve">and to not impede </w:t>
      </w:r>
      <w:r w:rsidR="00D4614E" w:rsidRPr="000A001A">
        <w:t xml:space="preserve">the </w:t>
      </w:r>
      <w:r w:rsidR="00D512C7" w:rsidRPr="000A001A">
        <w:t>display of kilojoules</w:t>
      </w:r>
      <w:r w:rsidR="00D4614E" w:rsidRPr="000A001A">
        <w:t>.</w:t>
      </w:r>
    </w:p>
    <w:p w14:paraId="14168849" w14:textId="61DE5604" w:rsidR="00DF17F5" w:rsidRPr="000A001A" w:rsidRDefault="00DF17F5" w:rsidP="00B42EE7">
      <w:pPr>
        <w:spacing w:after="40"/>
        <w:jc w:val="both"/>
        <w:rPr>
          <w:lang w:eastAsia="zh-CN" w:bidi="th-TH"/>
        </w:rPr>
      </w:pPr>
    </w:p>
    <w:p w14:paraId="27CE3564" w14:textId="268062ED" w:rsidR="00BC4108" w:rsidRPr="00B21592" w:rsidRDefault="00B21592" w:rsidP="00B42EE7">
      <w:pPr>
        <w:spacing w:after="40"/>
        <w:jc w:val="both"/>
        <w:rPr>
          <w:lang w:eastAsia="zh-CN" w:bidi="th-TH"/>
        </w:rPr>
      </w:pPr>
      <w:r w:rsidRPr="000A001A">
        <w:rPr>
          <w:i/>
          <w:iCs/>
          <w:lang w:eastAsia="zh-CN" w:bidi="th-TH"/>
        </w:rPr>
        <w:t xml:space="preserve">Principle: </w:t>
      </w:r>
      <w:r w:rsidR="003D6A24" w:rsidRPr="000A001A">
        <w:rPr>
          <w:lang w:eastAsia="zh-CN" w:bidi="th-TH"/>
        </w:rPr>
        <w:t>Menu labelling should e</w:t>
      </w:r>
      <w:r w:rsidR="00BC4108" w:rsidRPr="000A001A">
        <w:rPr>
          <w:lang w:eastAsia="zh-CN" w:bidi="th-TH"/>
        </w:rPr>
        <w:t>nsure that energy information provided is available, clear, legible, and easy-to-read and understand at-a-glance.</w:t>
      </w:r>
      <w:r w:rsidR="00BC4108" w:rsidRPr="00B21592">
        <w:rPr>
          <w:lang w:eastAsia="zh-CN" w:bidi="th-TH"/>
        </w:rPr>
        <w:t xml:space="preserve"> </w:t>
      </w:r>
    </w:p>
    <w:p w14:paraId="2892D373" w14:textId="77777777" w:rsidR="003D6A24" w:rsidRDefault="003D6A24" w:rsidP="00B42EE7">
      <w:pPr>
        <w:pStyle w:val="ListParagraph"/>
        <w:jc w:val="both"/>
        <w:rPr>
          <w:lang w:eastAsia="zh-CN" w:bidi="th-TH"/>
        </w:rPr>
      </w:pPr>
    </w:p>
    <w:p w14:paraId="2F75C516" w14:textId="39B4DC06" w:rsidR="003D6A24" w:rsidRDefault="003D6A24" w:rsidP="00B42EE7">
      <w:pPr>
        <w:tabs>
          <w:tab w:val="left" w:pos="567"/>
        </w:tabs>
        <w:spacing w:after="40"/>
        <w:jc w:val="both"/>
        <w:rPr>
          <w:iCs/>
        </w:rPr>
      </w:pPr>
      <w:r>
        <w:rPr>
          <w:iCs/>
        </w:rPr>
        <w:t xml:space="preserve">The co-design process between industry, public </w:t>
      </w:r>
      <w:r w:rsidR="00DC3B83">
        <w:rPr>
          <w:iCs/>
        </w:rPr>
        <w:t>health,</w:t>
      </w:r>
      <w:r>
        <w:rPr>
          <w:iCs/>
        </w:rPr>
        <w:t xml:space="preserve"> and government in 2018 determined some guidelines on legibility of energy information on menus. It is recommended that FSANZ consider these guidelines in addressing this principle:</w:t>
      </w:r>
    </w:p>
    <w:p w14:paraId="5416B27C" w14:textId="77777777" w:rsidR="003D6A24" w:rsidRPr="000A001A" w:rsidRDefault="003D6A24" w:rsidP="00B42EE7">
      <w:pPr>
        <w:numPr>
          <w:ilvl w:val="0"/>
          <w:numId w:val="55"/>
        </w:numPr>
        <w:spacing w:after="40"/>
        <w:jc w:val="both"/>
      </w:pPr>
      <w:r>
        <w:t>Kil</w:t>
      </w:r>
      <w:r w:rsidRPr="00F85334">
        <w:t xml:space="preserve">ojoules should </w:t>
      </w:r>
      <w:r w:rsidRPr="000A001A">
        <w:t xml:space="preserve">be displayed in the same </w:t>
      </w:r>
      <w:r w:rsidRPr="000A001A">
        <w:rPr>
          <w:u w:val="single"/>
        </w:rPr>
        <w:t>font style</w:t>
      </w:r>
      <w:r w:rsidRPr="000A001A">
        <w:t xml:space="preserve"> as the item price or name (as per current requirements). </w:t>
      </w:r>
    </w:p>
    <w:p w14:paraId="05CA228E" w14:textId="77777777" w:rsidR="003D6A24" w:rsidRPr="00F85334" w:rsidRDefault="003D6A24" w:rsidP="00B42EE7">
      <w:pPr>
        <w:numPr>
          <w:ilvl w:val="0"/>
          <w:numId w:val="55"/>
        </w:numPr>
        <w:spacing w:after="40"/>
        <w:jc w:val="both"/>
      </w:pPr>
      <w:r w:rsidRPr="000A001A">
        <w:t xml:space="preserve">Kilojoules should be displayed in the same </w:t>
      </w:r>
      <w:r w:rsidRPr="000A001A">
        <w:rPr>
          <w:u w:val="single"/>
        </w:rPr>
        <w:t>font size</w:t>
      </w:r>
      <w:r w:rsidRPr="000A001A">
        <w:t xml:space="preserve"> and </w:t>
      </w:r>
      <w:r w:rsidRPr="000A001A">
        <w:rPr>
          <w:u w:val="single"/>
        </w:rPr>
        <w:t>weight</w:t>
      </w:r>
      <w:r w:rsidRPr="000A001A">
        <w:rPr>
          <w:rStyle w:val="FootnoteReference"/>
        </w:rPr>
        <w:footnoteReference w:id="132"/>
      </w:r>
      <w:r w:rsidRPr="000A001A">
        <w:t xml:space="preserve"> as price</w:t>
      </w:r>
      <w:r w:rsidRPr="00F85334">
        <w:t xml:space="preserve"> or name. </w:t>
      </w:r>
    </w:p>
    <w:p w14:paraId="369C5D74" w14:textId="77777777" w:rsidR="003D6A24" w:rsidRPr="000A001A" w:rsidRDefault="003D6A24" w:rsidP="00B42EE7">
      <w:pPr>
        <w:numPr>
          <w:ilvl w:val="0"/>
          <w:numId w:val="55"/>
        </w:numPr>
        <w:spacing w:after="40"/>
        <w:jc w:val="both"/>
      </w:pPr>
      <w:r w:rsidRPr="00F85334">
        <w:t xml:space="preserve">Where the kilojoules and price are not adjacent, the same </w:t>
      </w:r>
      <w:r w:rsidRPr="00F85334">
        <w:rPr>
          <w:u w:val="single"/>
        </w:rPr>
        <w:t>font weight</w:t>
      </w:r>
      <w:r w:rsidRPr="00F85334">
        <w:t xml:space="preserve"> should be used for both </w:t>
      </w:r>
      <w:r w:rsidRPr="000A001A">
        <w:t xml:space="preserve">the kilojoules and the price. </w:t>
      </w:r>
    </w:p>
    <w:p w14:paraId="27BA0A00" w14:textId="2C0F453A" w:rsidR="003D6A24" w:rsidRPr="000A001A" w:rsidRDefault="003D6A24" w:rsidP="00B42EE7">
      <w:pPr>
        <w:numPr>
          <w:ilvl w:val="0"/>
          <w:numId w:val="55"/>
        </w:numPr>
        <w:spacing w:after="40"/>
        <w:jc w:val="both"/>
      </w:pPr>
      <w:r w:rsidRPr="000A001A">
        <w:t xml:space="preserve">Displaying kilojoules adjacent to or </w:t>
      </w:r>
      <w:r w:rsidR="00B527A1" w:rsidRPr="000A001A">
        <w:t>near</w:t>
      </w:r>
      <w:r w:rsidRPr="000A001A">
        <w:t xml:space="preserve"> the item price or name is sufficient (as per current requirements). </w:t>
      </w:r>
    </w:p>
    <w:p w14:paraId="271E7A31" w14:textId="77777777" w:rsidR="003D6A24" w:rsidRPr="000A001A" w:rsidRDefault="003D6A24" w:rsidP="00B42EE7">
      <w:pPr>
        <w:numPr>
          <w:ilvl w:val="0"/>
          <w:numId w:val="55"/>
        </w:numPr>
        <w:spacing w:after="40"/>
        <w:jc w:val="both"/>
      </w:pPr>
      <w:r w:rsidRPr="000A001A">
        <w:t xml:space="preserve">The daily intake statement can be 75% </w:t>
      </w:r>
      <w:r w:rsidRPr="000A001A">
        <w:rPr>
          <w:u w:val="single"/>
        </w:rPr>
        <w:t>font size</w:t>
      </w:r>
      <w:r w:rsidRPr="000A001A">
        <w:t xml:space="preserve"> of the price or name on menus that are A4 size and larger. </w:t>
      </w:r>
    </w:p>
    <w:p w14:paraId="57427B9F" w14:textId="1A54EDAB" w:rsidR="003D6A24" w:rsidRPr="000A001A" w:rsidRDefault="003D6A24" w:rsidP="00B42EE7">
      <w:pPr>
        <w:numPr>
          <w:ilvl w:val="0"/>
          <w:numId w:val="55"/>
        </w:numPr>
        <w:spacing w:after="40"/>
        <w:jc w:val="both"/>
      </w:pPr>
      <w:r w:rsidRPr="000A001A">
        <w:t xml:space="preserve">The </w:t>
      </w:r>
      <w:r w:rsidRPr="000A001A">
        <w:rPr>
          <w:u w:val="single"/>
        </w:rPr>
        <w:t>colour</w:t>
      </w:r>
      <w:r w:rsidRPr="000A001A">
        <w:t xml:space="preserve"> of the font and background to the font should be the same for the kilojoule display as for the item price or name</w:t>
      </w:r>
      <w:r w:rsidR="00BA61D4" w:rsidRPr="000A001A">
        <w:t xml:space="preserve">. </w:t>
      </w:r>
      <w:r w:rsidR="006E3F06" w:rsidRPr="000A001A">
        <w:t xml:space="preserve">It is important to note that there are </w:t>
      </w:r>
      <w:r w:rsidR="00951709" w:rsidRPr="000A001A">
        <w:t xml:space="preserve">some views that rather than require the colour be the same, </w:t>
      </w:r>
      <w:r w:rsidR="00921966" w:rsidRPr="000A001A">
        <w:t xml:space="preserve">that the requirement focus on </w:t>
      </w:r>
      <w:r w:rsidR="00B7420A" w:rsidRPr="000A001A">
        <w:t xml:space="preserve">sufficient contrast between the </w:t>
      </w:r>
      <w:proofErr w:type="spellStart"/>
      <w:r w:rsidR="00B7420A" w:rsidRPr="000A001A">
        <w:t>font</w:t>
      </w:r>
      <w:proofErr w:type="spellEnd"/>
      <w:r w:rsidR="00B7420A" w:rsidRPr="000A001A">
        <w:t xml:space="preserve"> and background for kilojoule information (for example pale </w:t>
      </w:r>
      <w:r w:rsidR="00B7420A" w:rsidRPr="000A001A">
        <w:lastRenderedPageBreak/>
        <w:t>grey font on a white background is not considered sufficient contrast)</w:t>
      </w:r>
      <w:r w:rsidRPr="000A001A">
        <w:t>.</w:t>
      </w:r>
      <w:r w:rsidR="00921966" w:rsidRPr="000A001A">
        <w:t xml:space="preserve"> However, ‘sufficient contrast’ is subjective and difficult to </w:t>
      </w:r>
      <w:r w:rsidR="00806E80" w:rsidRPr="000A001A">
        <w:t>regulate.</w:t>
      </w:r>
      <w:r w:rsidR="00921966" w:rsidRPr="000A001A">
        <w:t xml:space="preserve"> </w:t>
      </w:r>
      <w:r w:rsidRPr="000A001A">
        <w:t xml:space="preserve"> </w:t>
      </w:r>
    </w:p>
    <w:p w14:paraId="00892666" w14:textId="77777777" w:rsidR="003D6A24" w:rsidRPr="000A001A" w:rsidRDefault="003D6A24" w:rsidP="00B42EE7">
      <w:pPr>
        <w:pStyle w:val="ListParagraph"/>
        <w:spacing w:after="40"/>
        <w:jc w:val="both"/>
        <w:rPr>
          <w:lang w:eastAsia="zh-CN" w:bidi="th-TH"/>
        </w:rPr>
      </w:pPr>
    </w:p>
    <w:p w14:paraId="1D395299" w14:textId="472E71FE" w:rsidR="00BC4108" w:rsidRPr="000A001A" w:rsidRDefault="00B21592" w:rsidP="00B42EE7">
      <w:pPr>
        <w:spacing w:after="40"/>
        <w:jc w:val="both"/>
        <w:rPr>
          <w:lang w:eastAsia="zh-CN" w:bidi="th-TH"/>
        </w:rPr>
      </w:pPr>
      <w:r w:rsidRPr="000A001A">
        <w:rPr>
          <w:i/>
          <w:iCs/>
          <w:lang w:eastAsia="zh-CN" w:bidi="th-TH"/>
        </w:rPr>
        <w:t xml:space="preserve">Principle: </w:t>
      </w:r>
      <w:r w:rsidR="003D6A24" w:rsidRPr="000A001A">
        <w:rPr>
          <w:lang w:eastAsia="zh-CN" w:bidi="th-TH"/>
        </w:rPr>
        <w:t>Menu labelling should e</w:t>
      </w:r>
      <w:r w:rsidR="00BC4108" w:rsidRPr="000A001A">
        <w:rPr>
          <w:lang w:eastAsia="zh-CN" w:bidi="th-TH"/>
        </w:rPr>
        <w:t xml:space="preserve">nable consumers to </w:t>
      </w:r>
      <w:r w:rsidR="0043791A" w:rsidRPr="000A001A">
        <w:rPr>
          <w:lang w:eastAsia="zh-CN" w:bidi="th-TH"/>
        </w:rPr>
        <w:t xml:space="preserve">readily </w:t>
      </w:r>
      <w:r w:rsidR="00BC4108" w:rsidRPr="000A001A">
        <w:rPr>
          <w:lang w:eastAsia="zh-CN" w:bidi="th-TH"/>
        </w:rPr>
        <w:t xml:space="preserve">access energy information for standardised ingredients (which can be used to customise standard food items or can be combined to make customised menu items), </w:t>
      </w:r>
      <w:r w:rsidR="00775D66" w:rsidRPr="000A001A">
        <w:t>and for pre-packaged items</w:t>
      </w:r>
      <w:r w:rsidR="001C14B8" w:rsidRPr="000A001A">
        <w:t xml:space="preserve"> at the point-of-sale</w:t>
      </w:r>
      <w:r w:rsidR="00775D66" w:rsidRPr="000A001A">
        <w:t xml:space="preserve"> </w:t>
      </w:r>
      <w:r w:rsidR="00BC4108" w:rsidRPr="000A001A">
        <w:rPr>
          <w:lang w:eastAsia="zh-CN" w:bidi="th-TH"/>
        </w:rPr>
        <w:t>to assist with purchasing decisions.</w:t>
      </w:r>
    </w:p>
    <w:p w14:paraId="2439E2C5" w14:textId="037362DC" w:rsidR="0012529E" w:rsidRPr="000A001A" w:rsidRDefault="0012529E" w:rsidP="00B42EE7">
      <w:pPr>
        <w:spacing w:after="40"/>
        <w:jc w:val="both"/>
        <w:rPr>
          <w:lang w:eastAsia="zh-CN" w:bidi="th-TH"/>
        </w:rPr>
      </w:pPr>
    </w:p>
    <w:p w14:paraId="75D0ED6B" w14:textId="67160232" w:rsidR="00775D66" w:rsidRPr="000A001A" w:rsidRDefault="0012529E" w:rsidP="00B42EE7">
      <w:pPr>
        <w:spacing w:after="40"/>
        <w:jc w:val="both"/>
      </w:pPr>
      <w:r w:rsidRPr="000A001A">
        <w:t xml:space="preserve">It is recommended that FSANZ carefully consider the issue of customised menu items and standardised ingredients. A pragmatic approach has been taken to allow for some variation. While it is ideal for all businesses with standardised ingredients to display the energy information on all menus and at all point-of-sale, ensuring consumers can </w:t>
      </w:r>
      <w:r w:rsidR="004B33D8" w:rsidRPr="000A001A">
        <w:t xml:space="preserve">readily </w:t>
      </w:r>
      <w:r w:rsidRPr="000A001A">
        <w:t>access this information at the time of purchase, through alternative methods (</w:t>
      </w:r>
      <w:r w:rsidR="00493F34" w:rsidRPr="000A001A">
        <w:t>for example,</w:t>
      </w:r>
      <w:r w:rsidRPr="000A001A">
        <w:t xml:space="preserve"> digital links to off-menu information) or on some, but not all, menus (</w:t>
      </w:r>
      <w:r w:rsidR="00493F34" w:rsidRPr="000A001A">
        <w:t>for example,</w:t>
      </w:r>
      <w:r w:rsidRPr="000A001A">
        <w:t xml:space="preserve"> in-store poster, kiosks), is what is intended to be required from standard food outlets. Clear guidance </w:t>
      </w:r>
      <w:r w:rsidR="006C3346" w:rsidRPr="000A001A">
        <w:t xml:space="preserve">for businesses </w:t>
      </w:r>
      <w:r w:rsidRPr="000A001A">
        <w:t>is likely to be required.</w:t>
      </w:r>
    </w:p>
    <w:p w14:paraId="54DE5CB4" w14:textId="77777777" w:rsidR="00775D66" w:rsidRPr="000A001A" w:rsidRDefault="00775D66" w:rsidP="00B42EE7">
      <w:pPr>
        <w:spacing w:after="40"/>
        <w:jc w:val="both"/>
      </w:pPr>
    </w:p>
    <w:p w14:paraId="6EAB5ABE" w14:textId="1A30A9C6" w:rsidR="0012529E" w:rsidRPr="000A001A" w:rsidRDefault="001B6C3E" w:rsidP="00B42EE7">
      <w:pPr>
        <w:spacing w:after="40"/>
        <w:jc w:val="both"/>
      </w:pPr>
      <w:r w:rsidRPr="000A001A">
        <w:t xml:space="preserve">Pre-packaged items are </w:t>
      </w:r>
      <w:r w:rsidR="00F4209C" w:rsidRPr="000A001A">
        <w:t xml:space="preserve">ready-to-eat food and drinks </w:t>
      </w:r>
      <w:r w:rsidRPr="000A001A">
        <w:t xml:space="preserve">required to bear a label and therefore </w:t>
      </w:r>
      <w:r w:rsidR="00F4209C" w:rsidRPr="000A001A">
        <w:t xml:space="preserve">energy information is available on the package. </w:t>
      </w:r>
      <w:r w:rsidR="009D1A68" w:rsidRPr="000A001A">
        <w:t xml:space="preserve">It is intended that consumers can access the energy information on pre-packaged items before </w:t>
      </w:r>
      <w:r w:rsidR="007F1DB1" w:rsidRPr="000A001A">
        <w:t xml:space="preserve">purchasing. Businesses can facilitate this </w:t>
      </w:r>
      <w:r w:rsidR="00015BA6" w:rsidRPr="000A001A">
        <w:t xml:space="preserve">by having pre-packaged items available for self-service </w:t>
      </w:r>
      <w:r w:rsidR="00605705" w:rsidRPr="000A001A">
        <w:t>(for example</w:t>
      </w:r>
      <w:r w:rsidR="00493F34" w:rsidRPr="000A001A">
        <w:t>,</w:t>
      </w:r>
      <w:r w:rsidR="00605705" w:rsidRPr="000A001A">
        <w:t xml:space="preserve"> drinks fridges).</w:t>
      </w:r>
      <w:r w:rsidR="00DF01B5" w:rsidRPr="000A001A">
        <w:t xml:space="preserve"> If a business does not have pre-packaged items accessible to consumers prior to purchase, then the intention is for the energy information of these </w:t>
      </w:r>
      <w:r w:rsidR="0074381F" w:rsidRPr="000A001A">
        <w:t xml:space="preserve">items to be available </w:t>
      </w:r>
      <w:r w:rsidR="0062171F" w:rsidRPr="000A001A">
        <w:t xml:space="preserve">on menus or </w:t>
      </w:r>
      <w:r w:rsidR="0074381F" w:rsidRPr="000A001A">
        <w:t>at the point-of-sale.</w:t>
      </w:r>
      <w:r w:rsidRPr="000A001A">
        <w:t xml:space="preserve"> </w:t>
      </w:r>
      <w:r w:rsidR="0012529E" w:rsidRPr="000A001A">
        <w:t xml:space="preserve"> </w:t>
      </w:r>
    </w:p>
    <w:p w14:paraId="7B81B034" w14:textId="77777777" w:rsidR="00B21592" w:rsidRPr="000A001A" w:rsidRDefault="00B21592" w:rsidP="00B42EE7">
      <w:pPr>
        <w:pStyle w:val="ListParagraph"/>
        <w:spacing w:after="40"/>
        <w:ind w:left="360"/>
        <w:jc w:val="both"/>
        <w:rPr>
          <w:lang w:eastAsia="zh-CN" w:bidi="th-TH"/>
        </w:rPr>
      </w:pPr>
    </w:p>
    <w:p w14:paraId="375A179B" w14:textId="5933DF0E" w:rsidR="00BC4108" w:rsidRPr="000A001A" w:rsidRDefault="00B21592" w:rsidP="00B42EE7">
      <w:pPr>
        <w:spacing w:after="40"/>
        <w:jc w:val="both"/>
        <w:rPr>
          <w:lang w:eastAsia="zh-CN" w:bidi="th-TH"/>
        </w:rPr>
      </w:pPr>
      <w:r w:rsidRPr="000A001A">
        <w:rPr>
          <w:i/>
          <w:iCs/>
          <w:lang w:eastAsia="zh-CN" w:bidi="th-TH"/>
        </w:rPr>
        <w:t xml:space="preserve">Principle: </w:t>
      </w:r>
      <w:r w:rsidR="00BC4108" w:rsidRPr="000A001A">
        <w:rPr>
          <w:lang w:eastAsia="zh-CN" w:bidi="th-TH"/>
        </w:rPr>
        <w:t>Menu labelling regulation should</w:t>
      </w:r>
      <w:r w:rsidR="003D6A24" w:rsidRPr="000A001A">
        <w:rPr>
          <w:lang w:eastAsia="zh-CN" w:bidi="th-TH"/>
        </w:rPr>
        <w:t xml:space="preserve"> p</w:t>
      </w:r>
      <w:r w:rsidR="00BC4108" w:rsidRPr="000A001A">
        <w:rPr>
          <w:lang w:eastAsia="zh-CN" w:bidi="th-TH"/>
        </w:rPr>
        <w:t xml:space="preserve">romote equity for regulatory requirements across standard food outlets. </w:t>
      </w:r>
    </w:p>
    <w:p w14:paraId="0C933161" w14:textId="6B3CE488" w:rsidR="003D6A24" w:rsidRPr="000A001A" w:rsidRDefault="003D6A24" w:rsidP="00B42EE7">
      <w:pPr>
        <w:spacing w:after="40"/>
        <w:jc w:val="both"/>
        <w:rPr>
          <w:lang w:eastAsia="zh-CN" w:bidi="th-TH"/>
        </w:rPr>
      </w:pPr>
    </w:p>
    <w:p w14:paraId="28D6EC95" w14:textId="1FA84F88" w:rsidR="008D10F5" w:rsidRPr="000A001A" w:rsidRDefault="008D10F5" w:rsidP="00B42EE7">
      <w:pPr>
        <w:spacing w:after="40"/>
        <w:jc w:val="both"/>
        <w:rPr>
          <w:lang w:eastAsia="zh-CN" w:bidi="th-TH"/>
        </w:rPr>
      </w:pPr>
      <w:r w:rsidRPr="000A001A">
        <w:rPr>
          <w:lang w:eastAsia="zh-CN" w:bidi="th-TH"/>
        </w:rPr>
        <w:t>It is the intended that all standard food outlets selling standard food items in Australia (50 or more outlets nationally, 20 or more outlets in a State or 7 or more outlets in a Territory) and New Zealand (20 or more outlets nationally) implement menu labelling.</w:t>
      </w:r>
      <w:r w:rsidR="00B7420A" w:rsidRPr="000A001A">
        <w:rPr>
          <w:lang w:eastAsia="zh-CN" w:bidi="th-TH"/>
        </w:rPr>
        <w:t xml:space="preserve"> It is noted that these different thresholds may be difficult for FSANZ to navigate in developing a food regulatory measure. However, these thresholds have been achieved in State and Territory legislation and are intended to capture medium and large businesses selling standard food items, while recognising the different geographical and population sizes of jurisdictions.</w:t>
      </w:r>
    </w:p>
    <w:p w14:paraId="038161B2" w14:textId="158D8E16" w:rsidR="004A1D37" w:rsidRPr="000A001A" w:rsidRDefault="004A1D37" w:rsidP="00B42EE7">
      <w:pPr>
        <w:spacing w:after="40"/>
        <w:jc w:val="both"/>
        <w:rPr>
          <w:lang w:eastAsia="zh-CN" w:bidi="th-TH"/>
        </w:rPr>
      </w:pPr>
    </w:p>
    <w:p w14:paraId="2F0D7A71" w14:textId="74A60F6E" w:rsidR="004A1D37" w:rsidRDefault="004A1D37" w:rsidP="00B42EE7">
      <w:pPr>
        <w:spacing w:after="40"/>
        <w:jc w:val="both"/>
        <w:rPr>
          <w:lang w:eastAsia="zh-CN" w:bidi="th-TH"/>
        </w:rPr>
      </w:pPr>
      <w:r w:rsidRPr="000A001A">
        <w:rPr>
          <w:lang w:eastAsia="zh-CN" w:bidi="th-TH"/>
        </w:rPr>
        <w:t xml:space="preserve">It is also intended that </w:t>
      </w:r>
      <w:r w:rsidR="0094651A" w:rsidRPr="000A001A">
        <w:rPr>
          <w:lang w:eastAsia="zh-CN" w:bidi="th-TH"/>
        </w:rPr>
        <w:t xml:space="preserve">all </w:t>
      </w:r>
      <w:r w:rsidRPr="000A001A">
        <w:rPr>
          <w:lang w:eastAsia="zh-CN" w:bidi="th-TH"/>
        </w:rPr>
        <w:t>supermarkets display the energy information for each standard food in the same font and font size as price</w:t>
      </w:r>
      <w:r w:rsidR="000573DA" w:rsidRPr="000A001A">
        <w:rPr>
          <w:lang w:eastAsia="zh-CN" w:bidi="th-TH"/>
        </w:rPr>
        <w:t xml:space="preserve">, rather than having the option to display energy information </w:t>
      </w:r>
      <w:r w:rsidR="00412F16" w:rsidRPr="000A001A">
        <w:rPr>
          <w:lang w:eastAsia="zh-CN" w:bidi="th-TH"/>
        </w:rPr>
        <w:t>in the same font and font size as unit price which is typically smaller.</w:t>
      </w:r>
    </w:p>
    <w:p w14:paraId="21AAE86C" w14:textId="3CC8A23A" w:rsidR="002E0199" w:rsidRDefault="002E0199" w:rsidP="00B42EE7">
      <w:pPr>
        <w:spacing w:after="40"/>
        <w:jc w:val="both"/>
        <w:rPr>
          <w:lang w:eastAsia="zh-CN" w:bidi="th-TH"/>
        </w:rPr>
      </w:pPr>
    </w:p>
    <w:p w14:paraId="78044E47" w14:textId="61BAD05C" w:rsidR="002E0199" w:rsidRPr="000A001A" w:rsidRDefault="002E0199" w:rsidP="002E0199">
      <w:pPr>
        <w:pStyle w:val="Default"/>
        <w:spacing w:after="40"/>
        <w:jc w:val="both"/>
        <w:rPr>
          <w:lang w:eastAsia="zh-CN" w:bidi="th-TH"/>
        </w:rPr>
      </w:pPr>
      <w:r>
        <w:t>A suite of definitions underpins the policy principles in the Policy Guideline. It is recommended that FSANZ consider how best to apply these definitions within the context of the Food Standards Code, including whether there are existing definitions in the Food Standards Code that can be utilised. A key definition is that of a standard food outlet. Beyond the business size element, the definition also states that ‘</w:t>
      </w:r>
      <w:r w:rsidRPr="00E67A4C">
        <w:t>Food businesses are those owned/operated under franchise arrangements; outlets operated under the same trading name; and outlets owned by the one parent company/central owner/corporation.</w:t>
      </w:r>
      <w:r>
        <w:t xml:space="preserve">’ It is recommended that FSANZ consider </w:t>
      </w:r>
      <w:r w:rsidRPr="000A001A">
        <w:t xml:space="preserve">whether this definition will capture all the businesses intended to display energy information, and whether </w:t>
      </w:r>
      <w:r w:rsidR="00B7420A" w:rsidRPr="000A001A">
        <w:t xml:space="preserve">any </w:t>
      </w:r>
      <w:r w:rsidRPr="000A001A">
        <w:t xml:space="preserve">businesses are unintentionally captured. FSANZ may wish to seek legal advice on this matter. </w:t>
      </w:r>
    </w:p>
    <w:p w14:paraId="729090BC" w14:textId="77777777" w:rsidR="004A1D37" w:rsidRPr="000A001A" w:rsidRDefault="004A1D37" w:rsidP="00B42EE7">
      <w:pPr>
        <w:spacing w:after="40"/>
        <w:jc w:val="both"/>
        <w:rPr>
          <w:lang w:eastAsia="zh-CN" w:bidi="th-TH"/>
        </w:rPr>
      </w:pPr>
    </w:p>
    <w:p w14:paraId="164870E0" w14:textId="60D71F88" w:rsidR="00BC4108" w:rsidRPr="000A001A" w:rsidRDefault="00B21592" w:rsidP="00B42EE7">
      <w:pPr>
        <w:spacing w:after="40"/>
        <w:jc w:val="both"/>
        <w:rPr>
          <w:lang w:eastAsia="zh-CN" w:bidi="th-TH"/>
        </w:rPr>
      </w:pPr>
      <w:r w:rsidRPr="000A001A">
        <w:rPr>
          <w:i/>
          <w:iCs/>
          <w:lang w:eastAsia="zh-CN" w:bidi="th-TH"/>
        </w:rPr>
        <w:lastRenderedPageBreak/>
        <w:t xml:space="preserve">Principle: </w:t>
      </w:r>
      <w:r w:rsidR="003D6A24" w:rsidRPr="000A001A">
        <w:rPr>
          <w:lang w:eastAsia="zh-CN" w:bidi="th-TH"/>
        </w:rPr>
        <w:t>Menu labelling regulation should e</w:t>
      </w:r>
      <w:r w:rsidR="00BC4108" w:rsidRPr="000A001A">
        <w:rPr>
          <w:lang w:eastAsia="zh-CN" w:bidi="th-TH"/>
        </w:rPr>
        <w:t>nable other businesses to voluntarily display energy information in a manner consistent with the requirements for standard food outlets.</w:t>
      </w:r>
    </w:p>
    <w:p w14:paraId="37E19134" w14:textId="638C47D6" w:rsidR="0099459D" w:rsidRPr="000A001A" w:rsidRDefault="0099459D" w:rsidP="00B42EE7">
      <w:pPr>
        <w:spacing w:after="40"/>
        <w:jc w:val="both"/>
        <w:rPr>
          <w:lang w:eastAsia="zh-CN" w:bidi="th-TH"/>
        </w:rPr>
      </w:pPr>
    </w:p>
    <w:p w14:paraId="7A2E01E2" w14:textId="5BD7F1F1" w:rsidR="003A33AD" w:rsidRPr="000A001A" w:rsidRDefault="0099459D" w:rsidP="003A33AD">
      <w:pPr>
        <w:spacing w:after="40"/>
        <w:jc w:val="both"/>
        <w:rPr>
          <w:lang w:eastAsia="zh-CN" w:bidi="th-TH"/>
        </w:rPr>
      </w:pPr>
      <w:r w:rsidRPr="000A001A">
        <w:rPr>
          <w:lang w:eastAsia="zh-CN" w:bidi="th-TH"/>
        </w:rPr>
        <w:t>It is intended that all small businesses that choose to voluntarily implement menu labelling comply with the mandatory menu labelling requirements, as is already the case in four Australian jurisdictions</w:t>
      </w:r>
      <w:r w:rsidR="002827A8" w:rsidRPr="000A001A">
        <w:rPr>
          <w:lang w:eastAsia="zh-CN" w:bidi="th-TH"/>
        </w:rPr>
        <w:t>’ menu labelling legislation</w:t>
      </w:r>
      <w:r w:rsidRPr="000A001A">
        <w:rPr>
          <w:lang w:eastAsia="zh-CN" w:bidi="th-TH"/>
        </w:rPr>
        <w:t>.</w:t>
      </w:r>
      <w:r w:rsidR="003A33AD" w:rsidRPr="000A001A">
        <w:rPr>
          <w:lang w:eastAsia="zh-CN" w:bidi="th-TH"/>
        </w:rPr>
        <w:t xml:space="preserve"> The rationale behind voluntary implementation following the same approach as mandatory implementation is to prevent voluntary implementation adopting a self-select approach on what menu items to label, that is, a marketing driver to label </w:t>
      </w:r>
      <w:r w:rsidR="003A33AD" w:rsidRPr="000A001A">
        <w:rPr>
          <w:i/>
          <w:iCs/>
          <w:lang w:eastAsia="zh-CN" w:bidi="th-TH"/>
        </w:rPr>
        <w:t>some</w:t>
      </w:r>
      <w:r w:rsidR="003A33AD" w:rsidRPr="000A001A">
        <w:rPr>
          <w:lang w:eastAsia="zh-CN" w:bidi="th-TH"/>
        </w:rPr>
        <w:t xml:space="preserve"> menu items, rather than a consumer information/comparison driver of labelling </w:t>
      </w:r>
      <w:r w:rsidR="003A33AD" w:rsidRPr="000A001A">
        <w:rPr>
          <w:i/>
          <w:iCs/>
          <w:lang w:eastAsia="zh-CN" w:bidi="th-TH"/>
        </w:rPr>
        <w:t>all</w:t>
      </w:r>
      <w:r w:rsidR="003A33AD" w:rsidRPr="000A001A">
        <w:rPr>
          <w:lang w:eastAsia="zh-CN" w:bidi="th-TH"/>
        </w:rPr>
        <w:t xml:space="preserve"> menu items.</w:t>
      </w:r>
    </w:p>
    <w:p w14:paraId="741EF380" w14:textId="7E982E48" w:rsidR="00BC4108" w:rsidRPr="000A001A" w:rsidRDefault="00BC4108" w:rsidP="00B42EE7">
      <w:pPr>
        <w:pStyle w:val="ListParagraph"/>
        <w:spacing w:after="40"/>
        <w:ind w:left="360"/>
        <w:jc w:val="both"/>
        <w:rPr>
          <w:lang w:eastAsia="zh-CN" w:bidi="th-TH"/>
        </w:rPr>
      </w:pPr>
    </w:p>
    <w:p w14:paraId="20B77767" w14:textId="7FC9192C" w:rsidR="00A35F7C" w:rsidRPr="000A001A" w:rsidRDefault="006C3346" w:rsidP="00A35F7C">
      <w:pPr>
        <w:spacing w:after="40"/>
        <w:jc w:val="both"/>
        <w:rPr>
          <w:lang w:eastAsia="zh-CN" w:bidi="th-TH"/>
        </w:rPr>
      </w:pPr>
      <w:r w:rsidRPr="000A001A">
        <w:rPr>
          <w:iCs/>
        </w:rPr>
        <w:t>Under the Food Standards Code, there are examples where businesses can voluntarily choose to display specific elements on food labels (</w:t>
      </w:r>
      <w:r w:rsidR="00493F34" w:rsidRPr="000A001A">
        <w:rPr>
          <w:iCs/>
        </w:rPr>
        <w:t>for example,</w:t>
      </w:r>
      <w:r w:rsidRPr="000A001A">
        <w:rPr>
          <w:iCs/>
        </w:rPr>
        <w:t xml:space="preserve"> health claims and nutrient content claims); however, it must be done in accordance with the relevant standard. This is the same intent for menu labelling for smaller businesses that cho</w:t>
      </w:r>
      <w:r w:rsidR="00E11A3D" w:rsidRPr="000A001A">
        <w:rPr>
          <w:iCs/>
        </w:rPr>
        <w:t>o</w:t>
      </w:r>
      <w:r w:rsidRPr="000A001A">
        <w:rPr>
          <w:iCs/>
        </w:rPr>
        <w:t xml:space="preserve">se to display energy information on menus and at the point-of-sale. It is recommended that FSANZ carefully consider the best approach to ensure that the objectives to </w:t>
      </w:r>
      <w:r w:rsidRPr="000A001A">
        <w:rPr>
          <w:lang w:eastAsia="zh-CN" w:bidi="th-TH"/>
        </w:rPr>
        <w:t xml:space="preserve">minimise the proliferation of different menu labelling systems and create a level playing field (with respect to menu labelling) for all businesses that sell standard food items are achieved. </w:t>
      </w:r>
      <w:r w:rsidR="003A33AD" w:rsidRPr="000A001A">
        <w:rPr>
          <w:lang w:eastAsia="zh-CN" w:bidi="th-TH"/>
        </w:rPr>
        <w:t xml:space="preserve">The preferred approach is to capture voluntary implementation of menu labelling in the Food Standards Code. An alternative </w:t>
      </w:r>
      <w:r w:rsidRPr="000A001A">
        <w:rPr>
          <w:lang w:eastAsia="zh-CN" w:bidi="th-TH"/>
        </w:rPr>
        <w:t xml:space="preserve">option could be to use a code of practice for those businesses not required to display energy information, but which choose to display the information. </w:t>
      </w:r>
      <w:r w:rsidR="00A35F7C" w:rsidRPr="000A001A">
        <w:rPr>
          <w:lang w:eastAsia="zh-CN" w:bidi="th-TH"/>
        </w:rPr>
        <w:t xml:space="preserve">The key risk with a code of practice </w:t>
      </w:r>
      <w:r w:rsidR="003A33AD" w:rsidRPr="000A001A">
        <w:rPr>
          <w:lang w:eastAsia="zh-CN" w:bidi="th-TH"/>
        </w:rPr>
        <w:t xml:space="preserve">is that non-compliance </w:t>
      </w:r>
      <w:r w:rsidR="00A35F7C" w:rsidRPr="000A001A">
        <w:rPr>
          <w:lang w:eastAsia="zh-CN" w:bidi="th-TH"/>
        </w:rPr>
        <w:t xml:space="preserve">is not a breach of the Food Standards Code and is therefore not </w:t>
      </w:r>
      <w:r w:rsidR="003A33AD" w:rsidRPr="000A001A">
        <w:rPr>
          <w:lang w:eastAsia="zh-CN" w:bidi="th-TH"/>
        </w:rPr>
        <w:t>enforceable</w:t>
      </w:r>
      <w:r w:rsidR="00A35F7C" w:rsidRPr="000A001A">
        <w:rPr>
          <w:lang w:eastAsia="zh-CN" w:bidi="th-TH"/>
        </w:rPr>
        <w:t xml:space="preserve"> by jurisdictions. </w:t>
      </w:r>
      <w:r w:rsidR="003A33AD" w:rsidRPr="000A001A">
        <w:rPr>
          <w:lang w:eastAsia="zh-CN" w:bidi="th-TH"/>
        </w:rPr>
        <w:t xml:space="preserve">A voluntary code of practice would need to be coupled </w:t>
      </w:r>
      <w:r w:rsidR="00A35F7C" w:rsidRPr="000A001A">
        <w:rPr>
          <w:lang w:eastAsia="zh-CN" w:bidi="th-TH"/>
        </w:rPr>
        <w:t xml:space="preserve">with </w:t>
      </w:r>
      <w:r w:rsidR="003A33AD" w:rsidRPr="000A001A">
        <w:rPr>
          <w:lang w:eastAsia="zh-CN" w:bidi="th-TH"/>
        </w:rPr>
        <w:t xml:space="preserve">the </w:t>
      </w:r>
      <w:r w:rsidR="00A35F7C" w:rsidRPr="000A001A">
        <w:rPr>
          <w:lang w:eastAsia="zh-CN" w:bidi="th-TH"/>
        </w:rPr>
        <w:t>creation of an industry complaints resolution body.</w:t>
      </w:r>
      <w:r w:rsidR="003A33AD" w:rsidRPr="000A001A">
        <w:rPr>
          <w:lang w:eastAsia="zh-CN" w:bidi="th-TH"/>
        </w:rPr>
        <w:t xml:space="preserve"> However, there have been criticisms of other industry complaints bodies, and this approach is unlikely to be supported by public health and consumer organisations.</w:t>
      </w:r>
      <w:r w:rsidR="00A35F7C" w:rsidRPr="000A001A">
        <w:rPr>
          <w:lang w:eastAsia="zh-CN" w:bidi="th-TH"/>
        </w:rPr>
        <w:t xml:space="preserve"> </w:t>
      </w:r>
    </w:p>
    <w:p w14:paraId="267CCC12" w14:textId="77777777" w:rsidR="00CE7DA1" w:rsidRPr="000A001A" w:rsidRDefault="00CE7DA1" w:rsidP="00B42EE7">
      <w:pPr>
        <w:spacing w:after="40"/>
        <w:jc w:val="both"/>
      </w:pPr>
    </w:p>
    <w:p w14:paraId="0C9A4C02" w14:textId="7C9DFAF2" w:rsidR="00BC4108" w:rsidRDefault="00B21592" w:rsidP="00B42EE7">
      <w:pPr>
        <w:spacing w:after="40"/>
        <w:jc w:val="both"/>
        <w:rPr>
          <w:lang w:eastAsia="zh-CN" w:bidi="th-TH"/>
        </w:rPr>
      </w:pPr>
      <w:r w:rsidRPr="000A001A">
        <w:rPr>
          <w:i/>
          <w:iCs/>
          <w:lang w:eastAsia="zh-CN" w:bidi="th-TH"/>
        </w:rPr>
        <w:t xml:space="preserve">Guidance: </w:t>
      </w:r>
      <w:r w:rsidR="00BC4108" w:rsidRPr="000A001A">
        <w:rPr>
          <w:lang w:eastAsia="zh-CN" w:bidi="th-TH"/>
        </w:rPr>
        <w:t>Tools should be freely provided to support businesses to calculate the energy content of standard food items.</w:t>
      </w:r>
    </w:p>
    <w:p w14:paraId="53B10A94" w14:textId="77777777" w:rsidR="000111FF" w:rsidRPr="003D6A24" w:rsidRDefault="000111FF" w:rsidP="00B42EE7">
      <w:pPr>
        <w:spacing w:after="40"/>
        <w:jc w:val="both"/>
        <w:rPr>
          <w:lang w:eastAsia="zh-CN" w:bidi="th-TH"/>
        </w:rPr>
      </w:pPr>
    </w:p>
    <w:p w14:paraId="28B681CA" w14:textId="5CBC9DDF" w:rsidR="000111FF" w:rsidRPr="002C4857" w:rsidRDefault="000111FF" w:rsidP="00B42EE7">
      <w:pPr>
        <w:pStyle w:val="Default"/>
        <w:spacing w:after="40"/>
        <w:jc w:val="both"/>
      </w:pPr>
      <w:r>
        <w:rPr>
          <w:iCs/>
        </w:rPr>
        <w:t>This guidance is to</w:t>
      </w:r>
      <w:r w:rsidR="00055D46">
        <w:rPr>
          <w:iCs/>
        </w:rPr>
        <w:t xml:space="preserve"> help</w:t>
      </w:r>
      <w:r>
        <w:rPr>
          <w:iCs/>
        </w:rPr>
        <w:t xml:space="preserve"> reduc</w:t>
      </w:r>
      <w:r w:rsidR="00055D46">
        <w:rPr>
          <w:iCs/>
        </w:rPr>
        <w:t>e</w:t>
      </w:r>
      <w:r>
        <w:rPr>
          <w:iCs/>
        </w:rPr>
        <w:t xml:space="preserve"> compliance costs</w:t>
      </w:r>
      <w:r w:rsidR="003075EC">
        <w:rPr>
          <w:iCs/>
        </w:rPr>
        <w:t xml:space="preserve"> for businesses. </w:t>
      </w:r>
      <w:r>
        <w:t xml:space="preserve">It is recommended that FSANZ consider whether the existing Nutrition Panel Calculator is the most appropriate tool, or whether an alternative tool, specific to menu labelling is required. </w:t>
      </w:r>
      <w:r w:rsidR="00A639B0">
        <w:t>The costs for developing</w:t>
      </w:r>
      <w:r w:rsidR="0003618D">
        <w:t xml:space="preserve"> and maintaining a new alternative tool </w:t>
      </w:r>
      <w:r w:rsidR="00073ABF">
        <w:t>have not been determined</w:t>
      </w:r>
      <w:r w:rsidR="006C1EBA">
        <w:t>, and FSANZ may require additional resources.</w:t>
      </w:r>
      <w:r w:rsidR="00A639B0">
        <w:t xml:space="preserve"> </w:t>
      </w:r>
      <w:r>
        <w:t xml:space="preserve">FSANZ in collaboration with enforcement agencies may wish to consider further support to businesses to facilitate compliance with menu labelling requirements. Industry peak bodies, public health organisations and government agencies may wish to consider supporting </w:t>
      </w:r>
      <w:r w:rsidRPr="002C4857">
        <w:t>smaller chains and independent businesses</w:t>
      </w:r>
      <w:r>
        <w:t xml:space="preserve"> </w:t>
      </w:r>
      <w:r w:rsidRPr="002C4857">
        <w:t>to voluntarily display energy information on their menus</w:t>
      </w:r>
      <w:r>
        <w:t xml:space="preserve">, ensuring that it is consistent with mandatory requirements. </w:t>
      </w:r>
    </w:p>
    <w:p w14:paraId="259AEC9F" w14:textId="77777777" w:rsidR="00BC4108" w:rsidRPr="001E0533" w:rsidRDefault="00BC4108" w:rsidP="00B42EE7">
      <w:pPr>
        <w:spacing w:after="40"/>
        <w:jc w:val="both"/>
        <w:rPr>
          <w:iCs/>
          <w:highlight w:val="lightGray"/>
        </w:rPr>
      </w:pPr>
    </w:p>
    <w:p w14:paraId="735B85CE" w14:textId="4B015618" w:rsidR="007B53C6" w:rsidRPr="000A001A" w:rsidRDefault="00F049B7" w:rsidP="00B42EE7">
      <w:pPr>
        <w:pStyle w:val="Default"/>
        <w:spacing w:after="40"/>
        <w:jc w:val="both"/>
      </w:pPr>
      <w:r>
        <w:t xml:space="preserve">Further, it is </w:t>
      </w:r>
      <w:r w:rsidRPr="000A001A">
        <w:t>recommended FSANZ consider an appropriate transition period that balances the cost implications for industry with prioritising public health outcomes from menu labelling.</w:t>
      </w:r>
      <w:r w:rsidR="004F0684" w:rsidRPr="000A001A">
        <w:t xml:space="preserve"> </w:t>
      </w:r>
      <w:r w:rsidR="003D0F7E" w:rsidRPr="000A001A">
        <w:t>S</w:t>
      </w:r>
      <w:r w:rsidR="00E17699" w:rsidRPr="000A001A">
        <w:t xml:space="preserve">upport </w:t>
      </w:r>
      <w:r w:rsidR="003D0F7E" w:rsidRPr="000A001A">
        <w:t xml:space="preserve">for </w:t>
      </w:r>
      <w:r w:rsidR="00E17699" w:rsidRPr="000A001A">
        <w:t xml:space="preserve">businesses to comply </w:t>
      </w:r>
      <w:r w:rsidR="003D0F7E" w:rsidRPr="000A001A">
        <w:t xml:space="preserve">with a food regulatory measure </w:t>
      </w:r>
      <w:r w:rsidR="00E17699" w:rsidRPr="000A001A">
        <w:t>as they approach the threshold</w:t>
      </w:r>
      <w:r w:rsidR="003D0F7E" w:rsidRPr="000A001A">
        <w:t xml:space="preserve"> for mandatory </w:t>
      </w:r>
      <w:r w:rsidR="009570B5" w:rsidRPr="000A001A">
        <w:t>menu labelling</w:t>
      </w:r>
      <w:r w:rsidR="00E17699" w:rsidRPr="000A001A">
        <w:t>; and ensur</w:t>
      </w:r>
      <w:r w:rsidR="009570B5" w:rsidRPr="000A001A">
        <w:t>ing</w:t>
      </w:r>
      <w:r w:rsidR="00E17699" w:rsidRPr="000A001A">
        <w:t xml:space="preserve"> </w:t>
      </w:r>
      <w:r w:rsidR="00221FF0" w:rsidRPr="000A001A">
        <w:t>impacted</w:t>
      </w:r>
      <w:r w:rsidR="00E17699" w:rsidRPr="000A001A">
        <w:t xml:space="preserve"> businesses are given a transition period</w:t>
      </w:r>
      <w:r w:rsidR="009570B5" w:rsidRPr="000A001A">
        <w:t xml:space="preserve"> to comply with the requirements are important elements</w:t>
      </w:r>
      <w:r w:rsidR="006B7F67" w:rsidRPr="000A001A">
        <w:t xml:space="preserve"> to be considered in developing and implementing a food regulatory measure.</w:t>
      </w:r>
    </w:p>
    <w:p w14:paraId="6180A3ED" w14:textId="73F1C877" w:rsidR="00F80F18" w:rsidRDefault="00E6145D" w:rsidP="00B42EE7">
      <w:pPr>
        <w:pStyle w:val="Default"/>
        <w:spacing w:after="40"/>
        <w:jc w:val="both"/>
      </w:pPr>
      <w:r w:rsidRPr="000A001A">
        <w:t xml:space="preserve">FSANZ has extensive experience in drafting labelling regulation, however, less experience </w:t>
      </w:r>
      <w:r w:rsidR="009801AE" w:rsidRPr="000A001A">
        <w:t xml:space="preserve">in </w:t>
      </w:r>
      <w:r w:rsidR="00FB3E2C" w:rsidRPr="000A001A">
        <w:t>the implementation of menu labelling and with some of the stakeholders involved.</w:t>
      </w:r>
      <w:r w:rsidRPr="000A001A">
        <w:t xml:space="preserve"> </w:t>
      </w:r>
      <w:r w:rsidR="00F80F18" w:rsidRPr="000A001A">
        <w:t>Given the significant contribution that jurisdictions have made to menu labelling regulation over many years, it is recommended that FSANZ consult early and often with government representatives</w:t>
      </w:r>
      <w:r w:rsidR="00E55D84" w:rsidRPr="000A001A">
        <w:t>.</w:t>
      </w:r>
      <w:r w:rsidR="00A8151B" w:rsidRPr="000A001A">
        <w:t xml:space="preserve"> </w:t>
      </w:r>
      <w:r w:rsidR="00873A0B" w:rsidRPr="000A001A">
        <w:lastRenderedPageBreak/>
        <w:t xml:space="preserve">FRSC may wish to consider </w:t>
      </w:r>
      <w:r w:rsidR="001F32E4" w:rsidRPr="000A001A">
        <w:t xml:space="preserve">establishing a time-limited </w:t>
      </w:r>
      <w:r w:rsidR="002C4E54" w:rsidRPr="000A001A">
        <w:t>i</w:t>
      </w:r>
      <w:r w:rsidR="007A3755" w:rsidRPr="000A001A">
        <w:t xml:space="preserve">mplementation </w:t>
      </w:r>
      <w:r w:rsidR="00873A0B" w:rsidRPr="000A001A">
        <w:t xml:space="preserve">working group </w:t>
      </w:r>
      <w:r w:rsidR="001F32E4" w:rsidRPr="000A001A">
        <w:t>to operate concurrently to the development of the food regulatory measure.</w:t>
      </w:r>
      <w:r w:rsidR="00B7420A" w:rsidRPr="000A001A">
        <w:t xml:space="preserve"> This working group could help ensure that the intent of the policy guideline is met by the food regulatory measure being </w:t>
      </w:r>
      <w:r w:rsidR="001327B1" w:rsidRPr="000A001A">
        <w:t>developed</w:t>
      </w:r>
      <w:r w:rsidR="00B7420A" w:rsidRPr="000A001A">
        <w:t>. It could also consider implementation and enforcement issues.</w:t>
      </w:r>
    </w:p>
    <w:p w14:paraId="37B4E180" w14:textId="77777777" w:rsidR="00600B20" w:rsidRDefault="00600B20" w:rsidP="00B42EE7">
      <w:pPr>
        <w:pStyle w:val="Default"/>
        <w:spacing w:after="40"/>
        <w:jc w:val="both"/>
      </w:pPr>
    </w:p>
    <w:p w14:paraId="288E73CE" w14:textId="43E07678" w:rsidR="003D4DA4" w:rsidRDefault="00F54719" w:rsidP="00B42EE7">
      <w:pPr>
        <w:spacing w:after="40"/>
        <w:jc w:val="both"/>
      </w:pPr>
      <w:bookmarkStart w:id="86" w:name="_Hlk88220220"/>
      <w:r w:rsidRPr="00866DB0">
        <w:t xml:space="preserve">Pending </w:t>
      </w:r>
      <w:r w:rsidR="00866DB0" w:rsidRPr="00866DB0">
        <w:t>the development and gazettal of a food regulatory measure</w:t>
      </w:r>
      <w:r w:rsidR="008211BF">
        <w:t xml:space="preserve"> for menu labelling, New South Wales, Australian Capital Territory, South Australia, </w:t>
      </w:r>
      <w:r w:rsidR="00DC3B83">
        <w:t>Queensland,</w:t>
      </w:r>
      <w:r w:rsidR="008211BF">
        <w:t xml:space="preserve"> and Victoria would need </w:t>
      </w:r>
      <w:r w:rsidR="000D507E" w:rsidRPr="00E67A4C">
        <w:t xml:space="preserve">to repeal </w:t>
      </w:r>
      <w:r w:rsidR="008211BF">
        <w:t xml:space="preserve">their </w:t>
      </w:r>
      <w:r w:rsidR="000D507E" w:rsidRPr="00E67A4C">
        <w:t xml:space="preserve">menu labelling legislation to ensure there was only one </w:t>
      </w:r>
      <w:r w:rsidR="000D507E">
        <w:t xml:space="preserve">menu labelling </w:t>
      </w:r>
      <w:r w:rsidR="000D507E" w:rsidRPr="00E67A4C">
        <w:t>system</w:t>
      </w:r>
      <w:r w:rsidR="000D507E">
        <w:t xml:space="preserve"> across Australi</w:t>
      </w:r>
      <w:r w:rsidR="00A65385">
        <w:t>a</w:t>
      </w:r>
      <w:r w:rsidR="000D507E" w:rsidRPr="00E67A4C">
        <w:t xml:space="preserve">. </w:t>
      </w:r>
      <w:bookmarkStart w:id="87" w:name="_Hlk88221945"/>
      <w:r w:rsidR="00A65385">
        <w:t>This would be done in accordance with the processes in the respective jurisdictions.</w:t>
      </w:r>
      <w:r w:rsidR="007B6D98">
        <w:t xml:space="preserve"> As noted </w:t>
      </w:r>
      <w:r w:rsidR="00D9252A">
        <w:t>earlier, jurisdictions can choose to not adopt a food regulatory measure, either in part or entirely.</w:t>
      </w:r>
      <w:r w:rsidR="00B225CE">
        <w:t xml:space="preserve"> It will be important that </w:t>
      </w:r>
      <w:r w:rsidR="00982735">
        <w:t xml:space="preserve">any </w:t>
      </w:r>
      <w:r w:rsidR="00B225CE">
        <w:t xml:space="preserve">jurisdictions </w:t>
      </w:r>
      <w:r w:rsidR="00ED42ED">
        <w:t>raise this possibility with other jurisdictions</w:t>
      </w:r>
      <w:r w:rsidR="00982735">
        <w:t>, so that it can be managed appropriately.</w:t>
      </w:r>
      <w:r w:rsidR="00ED42ED">
        <w:t xml:space="preserve"> </w:t>
      </w:r>
    </w:p>
    <w:bookmarkEnd w:id="86"/>
    <w:bookmarkEnd w:id="87"/>
    <w:p w14:paraId="14FD3012" w14:textId="5029E945" w:rsidR="00D73AD7" w:rsidRDefault="00D73AD7" w:rsidP="0076377E">
      <w:pPr>
        <w:spacing w:after="40"/>
        <w:jc w:val="both"/>
      </w:pPr>
    </w:p>
    <w:p w14:paraId="7BFF1FA9" w14:textId="5474CACC" w:rsidR="009D1ED5" w:rsidRDefault="00D73AD7" w:rsidP="000F02BE">
      <w:pPr>
        <w:spacing w:after="40"/>
        <w:jc w:val="both"/>
        <w:rPr>
          <w:iCs/>
        </w:rPr>
      </w:pPr>
      <w:bookmarkStart w:id="88" w:name="_Hlk88215461"/>
      <w:r>
        <w:t xml:space="preserve">To maximise the effectiveness of </w:t>
      </w:r>
      <w:r w:rsidR="00087C12">
        <w:t xml:space="preserve">menu labelling, it is recommended that </w:t>
      </w:r>
      <w:r w:rsidR="00087C12">
        <w:rPr>
          <w:iCs/>
        </w:rPr>
        <w:t xml:space="preserve">comprehensive, sustained consumer education in Australia and New Zealand be undertaken. It is recommended that </w:t>
      </w:r>
      <w:r w:rsidR="0040189E">
        <w:rPr>
          <w:iCs/>
        </w:rPr>
        <w:t xml:space="preserve">the matter is referred to </w:t>
      </w:r>
      <w:r w:rsidR="00087C12">
        <w:rPr>
          <w:iCs/>
        </w:rPr>
        <w:t>FRSC</w:t>
      </w:r>
      <w:r w:rsidR="0040189E">
        <w:rPr>
          <w:iCs/>
        </w:rPr>
        <w:t>. FRSC may wish to</w:t>
      </w:r>
      <w:r w:rsidR="00F71B11">
        <w:rPr>
          <w:iCs/>
        </w:rPr>
        <w:t xml:space="preserve"> </w:t>
      </w:r>
      <w:r w:rsidR="00EF1E3D">
        <w:rPr>
          <w:iCs/>
        </w:rPr>
        <w:t xml:space="preserve">establish a jurisdictional </w:t>
      </w:r>
      <w:r w:rsidR="00660C2A">
        <w:rPr>
          <w:iCs/>
        </w:rPr>
        <w:t>advisory/</w:t>
      </w:r>
      <w:r w:rsidR="00EF1E3D">
        <w:rPr>
          <w:iCs/>
        </w:rPr>
        <w:t>working group</w:t>
      </w:r>
      <w:r w:rsidR="00660C2A">
        <w:rPr>
          <w:iCs/>
        </w:rPr>
        <w:t xml:space="preserve"> co-chaired by the Australian Government and New Zealand Government</w:t>
      </w:r>
      <w:r w:rsidR="00F71B11">
        <w:rPr>
          <w:iCs/>
        </w:rPr>
        <w:t xml:space="preserve"> to determine the parameters for consumer education</w:t>
      </w:r>
      <w:r w:rsidR="002B7368">
        <w:rPr>
          <w:iCs/>
        </w:rPr>
        <w:t xml:space="preserve">. Pending the scoping phase, </w:t>
      </w:r>
      <w:r w:rsidR="0040189E">
        <w:rPr>
          <w:iCs/>
        </w:rPr>
        <w:t>consideration of ho</w:t>
      </w:r>
      <w:r w:rsidR="00282EDE">
        <w:rPr>
          <w:iCs/>
        </w:rPr>
        <w:t>w to resource the development</w:t>
      </w:r>
      <w:r w:rsidR="0029293B">
        <w:rPr>
          <w:iCs/>
        </w:rPr>
        <w:t>, implementation and evaluation of consumer education</w:t>
      </w:r>
      <w:r w:rsidR="0040189E">
        <w:rPr>
          <w:iCs/>
        </w:rPr>
        <w:t xml:space="preserve"> would be required.</w:t>
      </w:r>
    </w:p>
    <w:p w14:paraId="7BD11D24" w14:textId="77777777" w:rsidR="009D1ED5" w:rsidRDefault="009D1ED5" w:rsidP="000F02BE">
      <w:pPr>
        <w:spacing w:after="40"/>
        <w:jc w:val="both"/>
        <w:rPr>
          <w:iCs/>
        </w:rPr>
      </w:pPr>
    </w:p>
    <w:p w14:paraId="517EDFDD" w14:textId="08C1D7C6" w:rsidR="000F02BE" w:rsidRDefault="00326BBF" w:rsidP="000F02BE">
      <w:pPr>
        <w:spacing w:after="40"/>
        <w:jc w:val="both"/>
      </w:pPr>
      <w:r>
        <w:rPr>
          <w:iCs/>
        </w:rPr>
        <w:t xml:space="preserve">The economic evaluation </w:t>
      </w:r>
      <w:r w:rsidR="001E3740">
        <w:rPr>
          <w:iCs/>
        </w:rPr>
        <w:t xml:space="preserve">assumed an annual cost of $2 million in Australia and $1 million in New Zealand </w:t>
      </w:r>
      <w:r w:rsidR="00FC62C4">
        <w:rPr>
          <w:iCs/>
        </w:rPr>
        <w:t>for a three-year consumer education program.</w:t>
      </w:r>
      <w:r w:rsidR="000F02BE">
        <w:rPr>
          <w:iCs/>
        </w:rPr>
        <w:t xml:space="preserve"> Actual costs will be dependent </w:t>
      </w:r>
      <w:r w:rsidR="000F02BE" w:rsidRPr="00223AE1">
        <w:t>on</w:t>
      </w:r>
      <w:r w:rsidR="009D1ED5">
        <w:t xml:space="preserve"> a range of factors such as the</w:t>
      </w:r>
      <w:r w:rsidR="000F02BE" w:rsidRPr="00223AE1">
        <w:t xml:space="preserve"> duration of the campaign; the promotional mediums used, with some mediums, such as television advertising, having a significantly higher cost than other mediums, such as social media communications</w:t>
      </w:r>
      <w:r w:rsidR="00401F8F">
        <w:t>; and the degree of consumer testing during the development phase</w:t>
      </w:r>
      <w:r w:rsidR="000F02BE" w:rsidRPr="00223AE1">
        <w:t>. To avoid a limited reach and a lack of sustained effectiveness, the campaign would need to be funded appropriately over an extended period.</w:t>
      </w:r>
    </w:p>
    <w:p w14:paraId="0F7F7144" w14:textId="77777777" w:rsidR="004A4C79" w:rsidRPr="00223AE1" w:rsidRDefault="004A4C79" w:rsidP="000F02BE">
      <w:pPr>
        <w:spacing w:after="40"/>
        <w:jc w:val="both"/>
      </w:pPr>
    </w:p>
    <w:p w14:paraId="4EA70587" w14:textId="0C4C685D" w:rsidR="00A36E4C" w:rsidRPr="00223AE1" w:rsidRDefault="00A36E4C" w:rsidP="00A36E4C">
      <w:pPr>
        <w:spacing w:after="40"/>
        <w:jc w:val="both"/>
      </w:pPr>
      <w:bookmarkStart w:id="89" w:name="_Hlk88222778"/>
      <w:bookmarkEnd w:id="88"/>
      <w:r>
        <w:t xml:space="preserve">It is recommended that </w:t>
      </w:r>
      <w:r w:rsidRPr="00223AE1">
        <w:t xml:space="preserve">a coordinated, collaborative, bi-national evaluation </w:t>
      </w:r>
      <w:r>
        <w:t>be undertaken to determine whether the desired outcome has been achieved</w:t>
      </w:r>
      <w:r w:rsidRPr="00223AE1">
        <w:t>.</w:t>
      </w:r>
      <w:r>
        <w:t xml:space="preserve"> Monitoring and evaluation could occur during the transition period and repeated </w:t>
      </w:r>
      <w:r w:rsidR="009801AE">
        <w:t xml:space="preserve">three to five </w:t>
      </w:r>
      <w:r>
        <w:t>years after the preferred option becomes operational.</w:t>
      </w:r>
      <w:r w:rsidRPr="00223AE1">
        <w:t xml:space="preserve"> Possible indicators to include in </w:t>
      </w:r>
      <w:r>
        <w:t>an</w:t>
      </w:r>
      <w:r w:rsidRPr="00223AE1">
        <w:t xml:space="preserve"> evaluation </w:t>
      </w:r>
      <w:r>
        <w:t xml:space="preserve">of menu labelling </w:t>
      </w:r>
      <w:r w:rsidRPr="00223AE1">
        <w:t>include:</w:t>
      </w:r>
    </w:p>
    <w:p w14:paraId="788BF743" w14:textId="77777777" w:rsidR="00A36E4C" w:rsidRPr="00223AE1" w:rsidRDefault="00A36E4C" w:rsidP="0055688D">
      <w:pPr>
        <w:numPr>
          <w:ilvl w:val="0"/>
          <w:numId w:val="55"/>
        </w:numPr>
        <w:spacing w:after="40"/>
        <w:jc w:val="both"/>
      </w:pPr>
      <w:r w:rsidRPr="00223AE1">
        <w:t>level of and cost of business compliance;</w:t>
      </w:r>
    </w:p>
    <w:p w14:paraId="2C99C2C5" w14:textId="77777777" w:rsidR="00A36E4C" w:rsidRPr="00223AE1" w:rsidRDefault="00A36E4C" w:rsidP="0055688D">
      <w:pPr>
        <w:numPr>
          <w:ilvl w:val="0"/>
          <w:numId w:val="55"/>
        </w:numPr>
        <w:spacing w:after="40"/>
        <w:jc w:val="both"/>
      </w:pPr>
      <w:r w:rsidRPr="00223AE1">
        <w:t>impacts on consumer knowledge and understanding;</w:t>
      </w:r>
    </w:p>
    <w:p w14:paraId="21D1DC1B" w14:textId="77777777" w:rsidR="00A36E4C" w:rsidRPr="00223AE1" w:rsidRDefault="00A36E4C" w:rsidP="0055688D">
      <w:pPr>
        <w:numPr>
          <w:ilvl w:val="0"/>
          <w:numId w:val="55"/>
        </w:numPr>
        <w:spacing w:after="40"/>
        <w:jc w:val="both"/>
      </w:pPr>
      <w:r w:rsidRPr="00223AE1">
        <w:t>impacts on food purchasing behaviours;</w:t>
      </w:r>
    </w:p>
    <w:p w14:paraId="0AF5B7CD" w14:textId="77777777" w:rsidR="00A36E4C" w:rsidRPr="00223AE1" w:rsidRDefault="00A36E4C" w:rsidP="0055688D">
      <w:pPr>
        <w:numPr>
          <w:ilvl w:val="0"/>
          <w:numId w:val="55"/>
        </w:numPr>
        <w:spacing w:after="40"/>
        <w:jc w:val="both"/>
      </w:pPr>
      <w:r w:rsidRPr="00223AE1">
        <w:t xml:space="preserve">impacts on frequency of purchasing from standard food outlets; </w:t>
      </w:r>
    </w:p>
    <w:p w14:paraId="0F98EB99" w14:textId="77777777" w:rsidR="00A36E4C" w:rsidRPr="00223AE1" w:rsidRDefault="00A36E4C" w:rsidP="0055688D">
      <w:pPr>
        <w:numPr>
          <w:ilvl w:val="0"/>
          <w:numId w:val="55"/>
        </w:numPr>
        <w:spacing w:after="40"/>
        <w:jc w:val="both"/>
      </w:pPr>
      <w:r w:rsidRPr="00223AE1">
        <w:t>impacts on food consumption; and</w:t>
      </w:r>
    </w:p>
    <w:p w14:paraId="789301EE" w14:textId="77777777" w:rsidR="00A36E4C" w:rsidRPr="00223AE1" w:rsidRDefault="00A36E4C" w:rsidP="0055688D">
      <w:pPr>
        <w:numPr>
          <w:ilvl w:val="0"/>
          <w:numId w:val="55"/>
        </w:numPr>
        <w:spacing w:after="40"/>
        <w:jc w:val="both"/>
      </w:pPr>
      <w:r w:rsidRPr="00223AE1">
        <w:t>changes in nutritional profile of available food and drinks.</w:t>
      </w:r>
    </w:p>
    <w:p w14:paraId="3ABDEDE3" w14:textId="26F413D1" w:rsidR="00A36E4C" w:rsidRDefault="001F32E4" w:rsidP="00A36E4C">
      <w:pPr>
        <w:pStyle w:val="Default"/>
        <w:spacing w:after="40"/>
        <w:jc w:val="both"/>
      </w:pPr>
      <w:r>
        <w:t xml:space="preserve">It is recommended </w:t>
      </w:r>
      <w:r w:rsidR="00A36E4C">
        <w:t xml:space="preserve">FRSC consider </w:t>
      </w:r>
      <w:r w:rsidR="00513B78">
        <w:t>how</w:t>
      </w:r>
      <w:r w:rsidR="00A36E4C">
        <w:t xml:space="preserve"> best to undertake this element.</w:t>
      </w:r>
    </w:p>
    <w:bookmarkEnd w:id="89"/>
    <w:p w14:paraId="235C02FF" w14:textId="77777777" w:rsidR="00A36E4C" w:rsidRDefault="00A36E4C" w:rsidP="00A36E4C">
      <w:pPr>
        <w:pStyle w:val="Default"/>
        <w:spacing w:after="40"/>
        <w:jc w:val="both"/>
      </w:pPr>
    </w:p>
    <w:p w14:paraId="1BEBA8D6" w14:textId="77777777" w:rsidR="00A36E4C" w:rsidRPr="00E67A4C" w:rsidRDefault="00A36E4C" w:rsidP="00A36E4C">
      <w:pPr>
        <w:pStyle w:val="Default"/>
        <w:spacing w:after="40"/>
        <w:jc w:val="both"/>
      </w:pPr>
      <w:r>
        <w:t>In addition to an evaluation of menu labelling impacts, it is also recommended that FRSC review and update the</w:t>
      </w:r>
      <w:r w:rsidRPr="00E67A4C">
        <w:t xml:space="preserve"> Policy Guideline </w:t>
      </w:r>
      <w:r>
        <w:t>a</w:t>
      </w:r>
      <w:r w:rsidRPr="00E67A4C">
        <w:t>s required. Any review should:</w:t>
      </w:r>
    </w:p>
    <w:p w14:paraId="3AB8D60F" w14:textId="77777777" w:rsidR="00A36E4C" w:rsidRPr="00E67A4C" w:rsidRDefault="00A36E4C" w:rsidP="0055688D">
      <w:pPr>
        <w:numPr>
          <w:ilvl w:val="0"/>
          <w:numId w:val="55"/>
        </w:numPr>
        <w:spacing w:after="40"/>
        <w:jc w:val="both"/>
      </w:pPr>
      <w:r w:rsidRPr="00E67A4C">
        <w:t>Assess whether the Policy Guideline continues to reflect the food environment, dietary patterns, and dietary guidelines.</w:t>
      </w:r>
    </w:p>
    <w:p w14:paraId="5FF8DFC1" w14:textId="77777777" w:rsidR="00A36E4C" w:rsidRPr="00E67A4C" w:rsidRDefault="00A36E4C" w:rsidP="0055688D">
      <w:pPr>
        <w:numPr>
          <w:ilvl w:val="0"/>
          <w:numId w:val="55"/>
        </w:numPr>
        <w:spacing w:after="40"/>
        <w:jc w:val="both"/>
      </w:pPr>
      <w:r w:rsidRPr="00E67A4C">
        <w:t>Assess whether displaying nutrition information such as the amount of added sugars, sodium, saturated fat, alcohol, and/or other nutrients, would assist people to make healthier choices.</w:t>
      </w:r>
    </w:p>
    <w:p w14:paraId="69ACD4F0" w14:textId="77777777" w:rsidR="00A36E4C" w:rsidRPr="00E67A4C" w:rsidRDefault="00A36E4C" w:rsidP="0055688D">
      <w:pPr>
        <w:numPr>
          <w:ilvl w:val="0"/>
          <w:numId w:val="55"/>
        </w:numPr>
        <w:spacing w:after="40"/>
        <w:jc w:val="both"/>
      </w:pPr>
      <w:r w:rsidRPr="00E67A4C">
        <w:lastRenderedPageBreak/>
        <w:t xml:space="preserve">Consider the impacts of any promotional approaches on consumer behaviour and health outcomes. </w:t>
      </w:r>
    </w:p>
    <w:p w14:paraId="2671F59F" w14:textId="77777777" w:rsidR="00A36E4C" w:rsidRPr="00E67A4C" w:rsidRDefault="00A36E4C" w:rsidP="0055688D">
      <w:pPr>
        <w:numPr>
          <w:ilvl w:val="0"/>
          <w:numId w:val="55"/>
        </w:numPr>
        <w:spacing w:after="40"/>
        <w:jc w:val="both"/>
      </w:pPr>
      <w:r w:rsidRPr="00E67A4C">
        <w:t>Be informed by emerging evidence of the impacts of menu labelling in Australia and New Zealand as well as the regulation of menu labelling in other jurisdictions.</w:t>
      </w:r>
    </w:p>
    <w:p w14:paraId="7CE8A6F4" w14:textId="77777777" w:rsidR="00A36E4C" w:rsidRPr="00E67A4C" w:rsidRDefault="00A36E4C" w:rsidP="0055688D">
      <w:pPr>
        <w:numPr>
          <w:ilvl w:val="0"/>
          <w:numId w:val="55"/>
        </w:numPr>
        <w:spacing w:after="40"/>
        <w:jc w:val="both"/>
      </w:pPr>
      <w:r w:rsidRPr="00E67A4C">
        <w:t>Be informed by consultation with stakeholders.</w:t>
      </w:r>
    </w:p>
    <w:p w14:paraId="46D0ADC4" w14:textId="77777777" w:rsidR="00A36E4C" w:rsidRDefault="00A36E4C" w:rsidP="0076377E">
      <w:pPr>
        <w:spacing w:after="40"/>
        <w:jc w:val="both"/>
      </w:pPr>
    </w:p>
    <w:p w14:paraId="73CBA4D5" w14:textId="77777777" w:rsidR="00A75485" w:rsidRDefault="00A75485">
      <w:pPr>
        <w:rPr>
          <w:rStyle w:val="Heading1Char"/>
          <w:rFonts w:ascii="Times New Roman" w:hAnsi="Times New Roman" w:cs="Times New Roman"/>
          <w:i/>
          <w:iCs/>
          <w:szCs w:val="28"/>
        </w:rPr>
      </w:pPr>
      <w:bookmarkStart w:id="90" w:name="_Toc47605596"/>
      <w:bookmarkStart w:id="91" w:name="_Hlk40447625"/>
      <w:bookmarkStart w:id="92" w:name="_Hlk530408105"/>
      <w:r>
        <w:rPr>
          <w:rStyle w:val="Heading1Char"/>
          <w:rFonts w:ascii="Times New Roman" w:hAnsi="Times New Roman" w:cs="Times New Roman"/>
          <w:b w:val="0"/>
          <w:bCs w:val="0"/>
          <w:szCs w:val="28"/>
        </w:rPr>
        <w:br w:type="page"/>
      </w:r>
    </w:p>
    <w:p w14:paraId="66FD2FAE" w14:textId="77777777" w:rsidR="00494275" w:rsidRPr="00E67A4C" w:rsidRDefault="00494275" w:rsidP="00F6154A">
      <w:pPr>
        <w:pStyle w:val="Heading2"/>
        <w:rPr>
          <w:rStyle w:val="Heading1Char"/>
          <w:rFonts w:ascii="Times New Roman" w:hAnsi="Times New Roman" w:cs="Times New Roman"/>
          <w:b/>
          <w:bCs/>
          <w:szCs w:val="28"/>
        </w:rPr>
      </w:pPr>
      <w:bookmarkStart w:id="93" w:name="_Toc47605600"/>
      <w:bookmarkStart w:id="94" w:name="_Toc91189677"/>
      <w:bookmarkEnd w:id="90"/>
      <w:bookmarkEnd w:id="91"/>
      <w:r w:rsidRPr="00E67A4C">
        <w:rPr>
          <w:rStyle w:val="Heading1Char"/>
          <w:rFonts w:ascii="Times New Roman" w:hAnsi="Times New Roman" w:cs="Times New Roman"/>
          <w:b/>
          <w:bCs/>
          <w:szCs w:val="28"/>
        </w:rPr>
        <w:lastRenderedPageBreak/>
        <w:t xml:space="preserve">Appendix </w:t>
      </w:r>
      <w:r>
        <w:rPr>
          <w:rStyle w:val="Heading1Char"/>
          <w:rFonts w:ascii="Times New Roman" w:hAnsi="Times New Roman" w:cs="Times New Roman"/>
          <w:b/>
          <w:bCs/>
          <w:szCs w:val="28"/>
        </w:rPr>
        <w:t>1</w:t>
      </w:r>
      <w:r w:rsidRPr="00E67A4C">
        <w:rPr>
          <w:rStyle w:val="Heading1Char"/>
          <w:rFonts w:ascii="Times New Roman" w:hAnsi="Times New Roman" w:cs="Times New Roman"/>
          <w:b/>
          <w:bCs/>
          <w:szCs w:val="28"/>
        </w:rPr>
        <w:t xml:space="preserve">: </w:t>
      </w:r>
      <w:r>
        <w:rPr>
          <w:rStyle w:val="Heading1Char"/>
          <w:rFonts w:ascii="Times New Roman" w:hAnsi="Times New Roman" w:cs="Times New Roman"/>
          <w:b/>
          <w:bCs/>
          <w:szCs w:val="28"/>
        </w:rPr>
        <w:t xml:space="preserve">Ministerial </w:t>
      </w:r>
      <w:r w:rsidRPr="00E67A4C">
        <w:rPr>
          <w:rStyle w:val="Heading1Char"/>
          <w:rFonts w:ascii="Times New Roman" w:hAnsi="Times New Roman" w:cs="Times New Roman"/>
          <w:b/>
          <w:bCs/>
          <w:szCs w:val="28"/>
        </w:rPr>
        <w:t>Policy Guideline on menu labelling</w:t>
      </w:r>
      <w:bookmarkEnd w:id="93"/>
      <w:bookmarkEnd w:id="94"/>
    </w:p>
    <w:p w14:paraId="1A1B2538" w14:textId="77777777" w:rsidR="00494275" w:rsidRPr="00E67A4C" w:rsidRDefault="00494275" w:rsidP="00494275"/>
    <w:p w14:paraId="1E6F8440" w14:textId="77777777" w:rsidR="00494275" w:rsidRPr="00E67A4C" w:rsidRDefault="00494275" w:rsidP="00494275">
      <w:pPr>
        <w:spacing w:after="40"/>
        <w:jc w:val="center"/>
        <w:rPr>
          <w:b/>
        </w:rPr>
      </w:pPr>
      <w:bookmarkStart w:id="95" w:name="_Hlk88218578"/>
      <w:r w:rsidRPr="00E67A4C">
        <w:rPr>
          <w:b/>
        </w:rPr>
        <w:t xml:space="preserve">POLICY GUIDELINE ON MENU LABELLING: </w:t>
      </w:r>
    </w:p>
    <w:p w14:paraId="373159DA" w14:textId="306CDBFA" w:rsidR="00494275" w:rsidRPr="00E67A4C" w:rsidRDefault="00494275" w:rsidP="00494275">
      <w:pPr>
        <w:spacing w:after="40"/>
        <w:jc w:val="center"/>
        <w:rPr>
          <w:b/>
        </w:rPr>
      </w:pPr>
      <w:r w:rsidRPr="00E67A4C">
        <w:rPr>
          <w:b/>
        </w:rPr>
        <w:t xml:space="preserve">DISPLAYING AND PROVIDING ENERGY INFORMATION FOR STANDARD FOOD </w:t>
      </w:r>
      <w:r w:rsidRPr="00DC4D93">
        <w:rPr>
          <w:b/>
        </w:rPr>
        <w:t xml:space="preserve">ITEMS </w:t>
      </w:r>
      <w:r w:rsidR="00BF3AA4" w:rsidRPr="00DC4D93">
        <w:rPr>
          <w:b/>
        </w:rPr>
        <w:t>ON MENUS AND</w:t>
      </w:r>
      <w:r w:rsidR="00BF3AA4">
        <w:rPr>
          <w:b/>
        </w:rPr>
        <w:t xml:space="preserve"> </w:t>
      </w:r>
      <w:r w:rsidRPr="00E67A4C">
        <w:rPr>
          <w:b/>
        </w:rPr>
        <w:t>AT THE POINT-OF-SALE IN STANDARD FOOD OUTLETS</w:t>
      </w:r>
    </w:p>
    <w:bookmarkEnd w:id="95"/>
    <w:p w14:paraId="7B50C86C" w14:textId="77777777" w:rsidR="00494275" w:rsidRPr="005E2BFA" w:rsidRDefault="00494275" w:rsidP="00494275">
      <w:pPr>
        <w:spacing w:after="40"/>
        <w:jc w:val="center"/>
        <w:rPr>
          <w:b/>
          <w:i/>
        </w:rPr>
      </w:pPr>
    </w:p>
    <w:p w14:paraId="6525DB55" w14:textId="77777777" w:rsidR="00494275" w:rsidRPr="00E67A4C" w:rsidRDefault="00494275" w:rsidP="00494275">
      <w:pPr>
        <w:pStyle w:val="Default"/>
        <w:spacing w:after="40"/>
        <w:jc w:val="both"/>
        <w:rPr>
          <w:b/>
          <w:bCs/>
        </w:rPr>
      </w:pPr>
      <w:r w:rsidRPr="00E67A4C">
        <w:rPr>
          <w:b/>
          <w:bCs/>
        </w:rPr>
        <w:t>CONTEXT</w:t>
      </w:r>
    </w:p>
    <w:p w14:paraId="785C2EB5" w14:textId="2F310030" w:rsidR="00494275" w:rsidRPr="00E67A4C" w:rsidRDefault="00494275" w:rsidP="00494275">
      <w:pPr>
        <w:pStyle w:val="Default"/>
        <w:spacing w:after="40"/>
        <w:jc w:val="both"/>
        <w:rPr>
          <w:vertAlign w:val="superscript"/>
        </w:rPr>
      </w:pPr>
      <w:r w:rsidRPr="00E67A4C">
        <w:t>How a food is labelled may influence choice, with food labelling providing useful information to support consumers in making dietary (e.g. what or how much to eat) or shopping-based (e.g. comparing products) decisions.</w:t>
      </w:r>
      <w:r w:rsidR="006E3DD0">
        <w:rPr>
          <w:vertAlign w:val="superscript"/>
        </w:rPr>
        <w:t>1</w:t>
      </w:r>
      <w:r w:rsidRPr="00E67A4C">
        <w:t xml:space="preserve"> A food label’s content, format and context contributes to its usefulness.</w:t>
      </w:r>
      <w:r w:rsidR="006E3DD0">
        <w:rPr>
          <w:vertAlign w:val="superscript"/>
        </w:rPr>
        <w:t>1</w:t>
      </w:r>
    </w:p>
    <w:p w14:paraId="0378C600" w14:textId="77777777" w:rsidR="00494275" w:rsidRPr="00E67A4C" w:rsidRDefault="00494275" w:rsidP="00494275">
      <w:pPr>
        <w:pStyle w:val="Default"/>
        <w:spacing w:after="40"/>
        <w:jc w:val="both"/>
        <w:rPr>
          <w:vertAlign w:val="superscript"/>
        </w:rPr>
      </w:pPr>
    </w:p>
    <w:p w14:paraId="4B50A55F" w14:textId="77777777" w:rsidR="00494275" w:rsidRPr="00E67A4C" w:rsidRDefault="00494275" w:rsidP="00494275">
      <w:pPr>
        <w:pStyle w:val="Default"/>
        <w:spacing w:after="40"/>
        <w:jc w:val="both"/>
      </w:pPr>
      <w:r w:rsidRPr="00E67A4C">
        <w:t>Information on the energy contribution of ready-to-eat food may support people to make more informed purchasing decisions. Information about the overall daily energy intake is also necessary so that consumers have a point of reference to help understand the contribution of individual food items to overall energy intake.</w:t>
      </w:r>
    </w:p>
    <w:p w14:paraId="6FE51044" w14:textId="77777777" w:rsidR="00494275" w:rsidRPr="00E67A4C" w:rsidRDefault="00494275" w:rsidP="00494275">
      <w:pPr>
        <w:pStyle w:val="Default"/>
        <w:spacing w:after="40"/>
        <w:jc w:val="both"/>
      </w:pPr>
    </w:p>
    <w:p w14:paraId="41ADE9FA" w14:textId="77777777" w:rsidR="00494275" w:rsidRPr="00E67A4C" w:rsidRDefault="00494275" w:rsidP="00494275">
      <w:pPr>
        <w:pStyle w:val="Default"/>
        <w:spacing w:after="40"/>
        <w:jc w:val="both"/>
      </w:pPr>
      <w:r w:rsidRPr="00E67A4C">
        <w:t xml:space="preserve">Many ready-to-eat meals and snacks are not required to bear a food label, and therefore lack information about energy content. Menu labelling is one approach for providing energy information to consumers for these foods. </w:t>
      </w:r>
    </w:p>
    <w:p w14:paraId="47F5FD9A" w14:textId="77777777" w:rsidR="00494275" w:rsidRPr="00E67A4C" w:rsidRDefault="00494275" w:rsidP="00494275">
      <w:pPr>
        <w:pStyle w:val="Default"/>
        <w:spacing w:after="40"/>
        <w:jc w:val="both"/>
      </w:pPr>
    </w:p>
    <w:p w14:paraId="430ED85C" w14:textId="77777777" w:rsidR="00494275" w:rsidRPr="00E67A4C" w:rsidRDefault="00494275" w:rsidP="00494275">
      <w:pPr>
        <w:tabs>
          <w:tab w:val="left" w:pos="567"/>
        </w:tabs>
        <w:spacing w:after="40"/>
        <w:jc w:val="both"/>
      </w:pPr>
      <w:r w:rsidRPr="00E67A4C">
        <w:t>Menu labelling should be complemented by promotional strategies that increase consumer understanding of kilojoules and how to use menu labelling within the broader context of healthy eating and energy balance; and encourage consumers to make healthier ready-to-eat food choices.</w:t>
      </w:r>
    </w:p>
    <w:p w14:paraId="2B8F0BFA" w14:textId="77777777" w:rsidR="00494275" w:rsidRPr="00E67A4C" w:rsidRDefault="00494275" w:rsidP="00494275">
      <w:pPr>
        <w:tabs>
          <w:tab w:val="left" w:pos="567"/>
        </w:tabs>
        <w:spacing w:after="40"/>
        <w:jc w:val="both"/>
      </w:pPr>
    </w:p>
    <w:p w14:paraId="29CB4565" w14:textId="77777777" w:rsidR="00494275" w:rsidRPr="00E67A4C" w:rsidRDefault="00494275" w:rsidP="00494275">
      <w:pPr>
        <w:pStyle w:val="Default"/>
        <w:spacing w:after="40"/>
        <w:jc w:val="both"/>
      </w:pPr>
      <w:r w:rsidRPr="00E67A4C">
        <w:t xml:space="preserve">Between 2011 and 2017, mandatory menu labelling schemes were introduced by five Australian jurisdictions. Variations between these schemes relate to captured businesses, and how and when to display energy information. During this time, the food industry has </w:t>
      </w:r>
      <w:r w:rsidRPr="00E67A4C">
        <w:rPr>
          <w:lang w:eastAsia="zh-CN" w:bidi="th-TH"/>
        </w:rPr>
        <w:t xml:space="preserve">continually evolved with new products and new ways of promoting, offering, and selling food and drinks. </w:t>
      </w:r>
    </w:p>
    <w:p w14:paraId="763209C8" w14:textId="77777777" w:rsidR="00494275" w:rsidRPr="00E67A4C" w:rsidRDefault="00494275" w:rsidP="00494275">
      <w:pPr>
        <w:pStyle w:val="Default"/>
        <w:spacing w:after="40"/>
        <w:jc w:val="both"/>
        <w:rPr>
          <w:b/>
          <w:bCs/>
        </w:rPr>
      </w:pPr>
    </w:p>
    <w:p w14:paraId="78AE328B" w14:textId="77777777" w:rsidR="00494275" w:rsidRPr="00E67A4C" w:rsidRDefault="00494275" w:rsidP="00494275">
      <w:pPr>
        <w:pStyle w:val="Default"/>
        <w:spacing w:after="40"/>
        <w:jc w:val="both"/>
        <w:rPr>
          <w:b/>
          <w:bCs/>
        </w:rPr>
      </w:pPr>
      <w:r w:rsidRPr="00E67A4C">
        <w:rPr>
          <w:b/>
          <w:bCs/>
        </w:rPr>
        <w:t>AIM</w:t>
      </w:r>
    </w:p>
    <w:p w14:paraId="4DD5E61F" w14:textId="77777777" w:rsidR="00494275" w:rsidRPr="00E67A4C" w:rsidRDefault="00494275" w:rsidP="00494275">
      <w:pPr>
        <w:pStyle w:val="Default"/>
        <w:spacing w:after="40"/>
        <w:jc w:val="both"/>
      </w:pPr>
      <w:r w:rsidRPr="00E67A4C">
        <w:t xml:space="preserve">The intent of this Policy Guideline is to ensure any food regulatory measure developed for menu labelling: </w:t>
      </w:r>
    </w:p>
    <w:p w14:paraId="21EA1532" w14:textId="77777777" w:rsidR="00494275" w:rsidRDefault="00494275" w:rsidP="0055688D">
      <w:pPr>
        <w:pStyle w:val="ListParagraph"/>
        <w:numPr>
          <w:ilvl w:val="0"/>
          <w:numId w:val="9"/>
        </w:numPr>
        <w:spacing w:after="40"/>
        <w:jc w:val="both"/>
        <w:rPr>
          <w:lang w:eastAsia="zh-CN" w:bidi="th-TH"/>
        </w:rPr>
      </w:pPr>
      <w:r w:rsidRPr="00AE68CF">
        <w:rPr>
          <w:lang w:eastAsia="zh-CN" w:bidi="th-TH"/>
        </w:rPr>
        <w:t>assist</w:t>
      </w:r>
      <w:r>
        <w:rPr>
          <w:lang w:eastAsia="zh-CN" w:bidi="th-TH"/>
        </w:rPr>
        <w:t>s</w:t>
      </w:r>
      <w:r w:rsidRPr="00AE68CF">
        <w:rPr>
          <w:lang w:eastAsia="zh-CN" w:bidi="th-TH"/>
        </w:rPr>
        <w:t xml:space="preserve"> people to </w:t>
      </w:r>
      <w:r>
        <w:rPr>
          <w:lang w:eastAsia="zh-CN" w:bidi="th-TH"/>
        </w:rPr>
        <w:t xml:space="preserve">understand and use energy information to </w:t>
      </w:r>
      <w:r w:rsidRPr="00AE68CF">
        <w:rPr>
          <w:lang w:eastAsia="zh-CN" w:bidi="th-TH"/>
        </w:rPr>
        <w:t xml:space="preserve">make </w:t>
      </w:r>
      <w:r>
        <w:rPr>
          <w:lang w:eastAsia="zh-CN" w:bidi="th-TH"/>
        </w:rPr>
        <w:t xml:space="preserve">informed, </w:t>
      </w:r>
      <w:r w:rsidRPr="00AE68CF">
        <w:rPr>
          <w:lang w:eastAsia="zh-CN" w:bidi="th-TH"/>
        </w:rPr>
        <w:t>healthier food purchase choices at the point-of-sale</w:t>
      </w:r>
      <w:r>
        <w:rPr>
          <w:lang w:eastAsia="zh-CN" w:bidi="th-TH"/>
        </w:rPr>
        <w:t>;</w:t>
      </w:r>
    </w:p>
    <w:p w14:paraId="2C3BE227" w14:textId="5BF7E0B2" w:rsidR="00494275" w:rsidRDefault="00494275" w:rsidP="0055688D">
      <w:pPr>
        <w:pStyle w:val="ListParagraph"/>
        <w:numPr>
          <w:ilvl w:val="0"/>
          <w:numId w:val="9"/>
        </w:numPr>
        <w:spacing w:after="40"/>
        <w:jc w:val="both"/>
        <w:rPr>
          <w:lang w:eastAsia="zh-CN" w:bidi="th-TH"/>
        </w:rPr>
      </w:pPr>
      <w:r w:rsidRPr="00AE68CF">
        <w:rPr>
          <w:lang w:eastAsia="zh-CN" w:bidi="th-TH"/>
        </w:rPr>
        <w:t>ensure</w:t>
      </w:r>
      <w:r>
        <w:rPr>
          <w:lang w:eastAsia="zh-CN" w:bidi="th-TH"/>
        </w:rPr>
        <w:t>s</w:t>
      </w:r>
      <w:r w:rsidRPr="00AE68CF">
        <w:rPr>
          <w:lang w:eastAsia="zh-CN" w:bidi="th-TH"/>
        </w:rPr>
        <w:t xml:space="preserve"> that </w:t>
      </w:r>
      <w:r>
        <w:rPr>
          <w:lang w:eastAsia="zh-CN" w:bidi="th-TH"/>
        </w:rPr>
        <w:t>all</w:t>
      </w:r>
      <w:r w:rsidRPr="00AE68CF">
        <w:rPr>
          <w:lang w:eastAsia="zh-CN" w:bidi="th-TH"/>
        </w:rPr>
        <w:t xml:space="preserve"> modes of sale and types of menus enable comparison of </w:t>
      </w:r>
      <w:r>
        <w:rPr>
          <w:lang w:eastAsia="zh-CN" w:bidi="th-TH"/>
        </w:rPr>
        <w:t xml:space="preserve">all </w:t>
      </w:r>
      <w:r w:rsidRPr="00AE68CF">
        <w:rPr>
          <w:lang w:eastAsia="zh-CN" w:bidi="th-TH"/>
        </w:rPr>
        <w:t xml:space="preserve">menu options </w:t>
      </w:r>
      <w:r>
        <w:rPr>
          <w:lang w:eastAsia="zh-CN" w:bidi="th-TH"/>
        </w:rPr>
        <w:t>within and across businesses;</w:t>
      </w:r>
      <w:r w:rsidR="00437FC3" w:rsidRPr="00437FC3">
        <w:rPr>
          <w:vertAlign w:val="superscript"/>
          <w:lang w:eastAsia="zh-CN" w:bidi="th-TH"/>
        </w:rPr>
        <w:t>2</w:t>
      </w:r>
    </w:p>
    <w:p w14:paraId="105FB47C" w14:textId="77777777" w:rsidR="00494275" w:rsidRPr="00AE68CF" w:rsidRDefault="00494275" w:rsidP="0055688D">
      <w:pPr>
        <w:pStyle w:val="ListParagraph"/>
        <w:numPr>
          <w:ilvl w:val="0"/>
          <w:numId w:val="9"/>
        </w:numPr>
        <w:spacing w:after="40"/>
        <w:jc w:val="both"/>
      </w:pPr>
      <w:r w:rsidRPr="00AE68CF">
        <w:rPr>
          <w:lang w:eastAsia="zh-CN" w:bidi="th-TH"/>
        </w:rPr>
        <w:t>create</w:t>
      </w:r>
      <w:r>
        <w:rPr>
          <w:lang w:eastAsia="zh-CN" w:bidi="th-TH"/>
        </w:rPr>
        <w:t>s</w:t>
      </w:r>
      <w:r w:rsidRPr="00AE68CF">
        <w:rPr>
          <w:lang w:eastAsia="zh-CN" w:bidi="th-TH"/>
        </w:rPr>
        <w:t xml:space="preserve"> a level playing field (with respect to menu labelling) for all businesses that sell standard food items; </w:t>
      </w:r>
      <w:r>
        <w:rPr>
          <w:lang w:eastAsia="zh-CN" w:bidi="th-TH"/>
        </w:rPr>
        <w:t>and</w:t>
      </w:r>
    </w:p>
    <w:p w14:paraId="429BA302" w14:textId="77777777" w:rsidR="00494275" w:rsidRDefault="00494275" w:rsidP="0055688D">
      <w:pPr>
        <w:pStyle w:val="ListParagraph"/>
        <w:numPr>
          <w:ilvl w:val="0"/>
          <w:numId w:val="9"/>
        </w:numPr>
        <w:spacing w:after="40"/>
        <w:jc w:val="both"/>
      </w:pPr>
      <w:r w:rsidRPr="00AE68CF">
        <w:rPr>
          <w:lang w:eastAsia="zh-CN" w:bidi="th-TH"/>
        </w:rPr>
        <w:t>minimise</w:t>
      </w:r>
      <w:r>
        <w:rPr>
          <w:lang w:eastAsia="zh-CN" w:bidi="th-TH"/>
        </w:rPr>
        <w:t>s</w:t>
      </w:r>
      <w:r w:rsidRPr="00AE68CF">
        <w:rPr>
          <w:lang w:eastAsia="zh-CN" w:bidi="th-TH"/>
        </w:rPr>
        <w:t xml:space="preserve"> the proliferation of different menu labelling systems</w:t>
      </w:r>
      <w:r>
        <w:rPr>
          <w:lang w:eastAsia="zh-CN" w:bidi="th-TH"/>
        </w:rPr>
        <w:t xml:space="preserve">. </w:t>
      </w:r>
    </w:p>
    <w:p w14:paraId="67C952C6" w14:textId="77777777" w:rsidR="00494275" w:rsidRPr="00E67A4C" w:rsidRDefault="00494275" w:rsidP="00494275">
      <w:pPr>
        <w:pStyle w:val="Default"/>
        <w:spacing w:after="40"/>
        <w:jc w:val="both"/>
      </w:pPr>
    </w:p>
    <w:p w14:paraId="317967F9" w14:textId="7B0D2098" w:rsidR="00494275" w:rsidRDefault="00494275" w:rsidP="00494275">
      <w:pPr>
        <w:pStyle w:val="Default"/>
        <w:spacing w:after="40"/>
        <w:jc w:val="both"/>
      </w:pPr>
      <w:r w:rsidRPr="00E67A4C">
        <w:t>This Policy Guideline provides guidance for Food Standards Australia New Zealand (FSANZ) in developing a food regulatory measure</w:t>
      </w:r>
      <w:r w:rsidRPr="00E67A4C">
        <w:rPr>
          <w:vertAlign w:val="superscript"/>
        </w:rPr>
        <w:t xml:space="preserve"> </w:t>
      </w:r>
      <w:r w:rsidRPr="00E67A4C">
        <w:t xml:space="preserve">under the </w:t>
      </w:r>
      <w:r w:rsidRPr="00E67A4C">
        <w:rPr>
          <w:i/>
          <w:iCs/>
        </w:rPr>
        <w:t>Australia New Zealand Food Standards Code</w:t>
      </w:r>
      <w:r w:rsidRPr="00E67A4C">
        <w:t xml:space="preserve"> for the provision and display of energy information for standard food items at the point-of-sale (i.e. menu labelling). </w:t>
      </w:r>
    </w:p>
    <w:p w14:paraId="41A859A2" w14:textId="4F73E873" w:rsidR="00DE0ED0" w:rsidRDefault="00DE0ED0" w:rsidP="00494275">
      <w:pPr>
        <w:pStyle w:val="Default"/>
        <w:spacing w:after="40"/>
        <w:jc w:val="both"/>
      </w:pPr>
    </w:p>
    <w:p w14:paraId="2CA9712D" w14:textId="77777777" w:rsidR="00437FC3" w:rsidRDefault="00437FC3" w:rsidP="00494275">
      <w:pPr>
        <w:pStyle w:val="Default"/>
        <w:spacing w:after="40"/>
        <w:jc w:val="both"/>
      </w:pPr>
    </w:p>
    <w:p w14:paraId="19968078" w14:textId="77777777" w:rsidR="00494275" w:rsidRPr="00E67A4C" w:rsidRDefault="00494275" w:rsidP="00494275">
      <w:pPr>
        <w:pStyle w:val="Default"/>
        <w:spacing w:after="40"/>
        <w:jc w:val="both"/>
        <w:rPr>
          <w:b/>
          <w:bCs/>
        </w:rPr>
      </w:pPr>
      <w:r w:rsidRPr="00E67A4C">
        <w:rPr>
          <w:b/>
          <w:bCs/>
        </w:rPr>
        <w:lastRenderedPageBreak/>
        <w:t>SCOPE</w:t>
      </w:r>
    </w:p>
    <w:p w14:paraId="3DCB3A3C" w14:textId="653DCC51" w:rsidR="00494275" w:rsidRPr="00E67A4C" w:rsidRDefault="00494275" w:rsidP="00494275">
      <w:pPr>
        <w:pStyle w:val="Default"/>
        <w:spacing w:after="40"/>
        <w:jc w:val="both"/>
      </w:pPr>
      <w:r w:rsidRPr="00E67A4C">
        <w:t xml:space="preserve">The scope for this Policy Guideline is information about the energy content for ready-to-eat food and drinks </w:t>
      </w:r>
      <w:r w:rsidR="00C65086">
        <w:t xml:space="preserve">standardised by content and portion that </w:t>
      </w:r>
      <w:r w:rsidR="0068310F">
        <w:t>are</w:t>
      </w:r>
      <w:r w:rsidRPr="00E67A4C">
        <w:t xml:space="preserve"> not already required to bear a label by the Food Standards Code on menus </w:t>
      </w:r>
      <w:r w:rsidR="00352AAD">
        <w:t xml:space="preserve">and </w:t>
      </w:r>
      <w:r w:rsidRPr="00E67A4C">
        <w:t xml:space="preserve">at the point-of-sale to allow consumers to compare the energy value of menu items before committing to a purchase. </w:t>
      </w:r>
    </w:p>
    <w:p w14:paraId="3885E3F1" w14:textId="77777777" w:rsidR="00494275" w:rsidRPr="00E67A4C" w:rsidRDefault="00494275" w:rsidP="00494275">
      <w:pPr>
        <w:pStyle w:val="Default"/>
        <w:spacing w:after="40"/>
        <w:jc w:val="both"/>
        <w:rPr>
          <w:b/>
          <w:bCs/>
        </w:rPr>
      </w:pPr>
    </w:p>
    <w:p w14:paraId="03866DB8" w14:textId="114D824D" w:rsidR="00494275" w:rsidRPr="00E67A4C" w:rsidRDefault="00494275" w:rsidP="00494275">
      <w:pPr>
        <w:pStyle w:val="Default"/>
        <w:spacing w:after="40"/>
        <w:jc w:val="both"/>
      </w:pPr>
      <w:r w:rsidRPr="00E67A4C">
        <w:t>Out-of-scope for this Policy Guideline is energy labelling on the product packaging of standard food items, and the composition of standard food items. Pre-packaged items which have a nutrition information panel are also out-of-scope, unless sold as part of a combination meal</w:t>
      </w:r>
      <w:r w:rsidR="008D7004">
        <w:t xml:space="preserve"> or the</w:t>
      </w:r>
      <w:r w:rsidR="004C7870">
        <w:t xml:space="preserve"> information on the label is not readily accessible by consumers prior to purchase.</w:t>
      </w:r>
    </w:p>
    <w:p w14:paraId="572BE52A" w14:textId="77777777" w:rsidR="00494275" w:rsidRPr="00E67A4C" w:rsidRDefault="00494275" w:rsidP="00494275">
      <w:pPr>
        <w:pStyle w:val="Default"/>
        <w:spacing w:after="40"/>
        <w:jc w:val="both"/>
      </w:pPr>
    </w:p>
    <w:p w14:paraId="4A035460" w14:textId="77777777" w:rsidR="00494275" w:rsidRPr="00E67A4C" w:rsidRDefault="00494275" w:rsidP="00494275">
      <w:pPr>
        <w:pStyle w:val="Default"/>
        <w:spacing w:after="40"/>
        <w:jc w:val="both"/>
        <w:rPr>
          <w:b/>
          <w:bCs/>
        </w:rPr>
      </w:pPr>
      <w:r w:rsidRPr="00E67A4C">
        <w:rPr>
          <w:b/>
          <w:bCs/>
        </w:rPr>
        <w:t>HIGH ORDER POLICY PRINCIPLES</w:t>
      </w:r>
    </w:p>
    <w:p w14:paraId="7CC8B1BA" w14:textId="77777777" w:rsidR="00494275" w:rsidRPr="00E67A4C" w:rsidRDefault="00494275" w:rsidP="00494275">
      <w:pPr>
        <w:tabs>
          <w:tab w:val="left" w:pos="567"/>
        </w:tabs>
        <w:spacing w:after="40"/>
        <w:jc w:val="both"/>
      </w:pPr>
      <w:r w:rsidRPr="00E67A4C">
        <w:t xml:space="preserve">Menu labelling should: </w:t>
      </w:r>
    </w:p>
    <w:p w14:paraId="3A413D93" w14:textId="1F4DDEE2" w:rsidR="00494275" w:rsidRDefault="00494275" w:rsidP="0055688D">
      <w:pPr>
        <w:pStyle w:val="Default"/>
        <w:numPr>
          <w:ilvl w:val="0"/>
          <w:numId w:val="14"/>
        </w:numPr>
        <w:spacing w:after="40"/>
        <w:jc w:val="both"/>
      </w:pPr>
      <w:r w:rsidRPr="00E67A4C">
        <w:t>Guide consumer choice towards healthier food options consistent with the Australian and New Zealand dietary guidelines.</w:t>
      </w:r>
    </w:p>
    <w:p w14:paraId="7E1DAEB9" w14:textId="77777777" w:rsidR="0068310F" w:rsidRPr="00E67A4C" w:rsidRDefault="0068310F" w:rsidP="0068310F">
      <w:pPr>
        <w:pStyle w:val="Default"/>
        <w:numPr>
          <w:ilvl w:val="0"/>
          <w:numId w:val="14"/>
        </w:numPr>
        <w:spacing w:after="40"/>
        <w:jc w:val="both"/>
      </w:pPr>
      <w:r w:rsidRPr="00E67A4C">
        <w:t>Contribute to improving public health outcomes, and reducing chronic disease related to overweight and obesity.</w:t>
      </w:r>
    </w:p>
    <w:p w14:paraId="73E40E5C" w14:textId="77777777" w:rsidR="00494275" w:rsidRPr="00E67A4C" w:rsidRDefault="00494275" w:rsidP="00494275">
      <w:pPr>
        <w:tabs>
          <w:tab w:val="left" w:pos="567"/>
        </w:tabs>
        <w:spacing w:after="40"/>
        <w:jc w:val="both"/>
      </w:pPr>
    </w:p>
    <w:p w14:paraId="0F07D716" w14:textId="6985212D" w:rsidR="00494275" w:rsidRPr="00E67A4C" w:rsidRDefault="00494275" w:rsidP="00494275">
      <w:pPr>
        <w:tabs>
          <w:tab w:val="left" w:pos="567"/>
        </w:tabs>
        <w:spacing w:after="40"/>
        <w:jc w:val="both"/>
      </w:pPr>
      <w:r w:rsidRPr="00E67A4C">
        <w:t xml:space="preserve">The </w:t>
      </w:r>
      <w:r w:rsidRPr="00E67A4C">
        <w:rPr>
          <w:i/>
          <w:iCs/>
        </w:rPr>
        <w:t>Food Standards Australia New Zealand Act 1991</w:t>
      </w:r>
      <w:r w:rsidRPr="00E67A4C">
        <w:t xml:space="preserve"> (the Act) establishes three objectives for FSANZ in developing or reviewing food </w:t>
      </w:r>
      <w:r w:rsidR="0068310F">
        <w:t>regulatory measures and variations of food regulatory measures</w:t>
      </w:r>
      <w:r w:rsidRPr="00E67A4C">
        <w:t>:</w:t>
      </w:r>
    </w:p>
    <w:p w14:paraId="3AD31D9E" w14:textId="77777777" w:rsidR="00494275" w:rsidRPr="00E67A4C" w:rsidRDefault="00494275" w:rsidP="0055688D">
      <w:pPr>
        <w:pStyle w:val="Default"/>
        <w:numPr>
          <w:ilvl w:val="0"/>
          <w:numId w:val="17"/>
        </w:numPr>
        <w:spacing w:after="40"/>
        <w:jc w:val="both"/>
      </w:pPr>
      <w:r w:rsidRPr="00E67A4C">
        <w:t xml:space="preserve">the protection of public health and safety; </w:t>
      </w:r>
    </w:p>
    <w:p w14:paraId="5023F9D5" w14:textId="77777777" w:rsidR="00494275" w:rsidRPr="00E67A4C" w:rsidRDefault="00494275" w:rsidP="0055688D">
      <w:pPr>
        <w:pStyle w:val="Default"/>
        <w:numPr>
          <w:ilvl w:val="0"/>
          <w:numId w:val="17"/>
        </w:numPr>
        <w:spacing w:after="40"/>
        <w:jc w:val="both"/>
      </w:pPr>
      <w:r w:rsidRPr="00E67A4C">
        <w:t>the provision of adequate information relating to food to enable consumers to make informed choices; and</w:t>
      </w:r>
    </w:p>
    <w:p w14:paraId="0F344C81" w14:textId="4D98A964" w:rsidR="00494275" w:rsidRPr="00E67A4C" w:rsidRDefault="00494275" w:rsidP="0055688D">
      <w:pPr>
        <w:pStyle w:val="Default"/>
        <w:numPr>
          <w:ilvl w:val="0"/>
          <w:numId w:val="17"/>
        </w:numPr>
        <w:spacing w:after="40"/>
        <w:jc w:val="both"/>
      </w:pPr>
      <w:r w:rsidRPr="00E67A4C">
        <w:t>the prevention of misleading or deceptive conduct.</w:t>
      </w:r>
      <w:r w:rsidR="00437FC3">
        <w:rPr>
          <w:vertAlign w:val="superscript"/>
        </w:rPr>
        <w:t>3</w:t>
      </w:r>
    </w:p>
    <w:p w14:paraId="6467A875" w14:textId="77777777" w:rsidR="00494275" w:rsidRPr="00E67A4C" w:rsidRDefault="00494275" w:rsidP="00494275">
      <w:pPr>
        <w:tabs>
          <w:tab w:val="left" w:pos="567"/>
        </w:tabs>
        <w:spacing w:after="40"/>
        <w:jc w:val="both"/>
      </w:pPr>
    </w:p>
    <w:p w14:paraId="77B68829" w14:textId="07957B40" w:rsidR="00494275" w:rsidRPr="00E67A4C" w:rsidRDefault="00494275" w:rsidP="00494275">
      <w:pPr>
        <w:tabs>
          <w:tab w:val="left" w:pos="567"/>
        </w:tabs>
        <w:spacing w:after="40"/>
        <w:jc w:val="both"/>
      </w:pPr>
      <w:r w:rsidRPr="00E67A4C">
        <w:t>The Agreement between the Government of Australia and the Government of New Zealand concerning a Joint Food Standards System;</w:t>
      </w:r>
      <w:r w:rsidRPr="00E67A4C">
        <w:rPr>
          <w:vertAlign w:val="superscript"/>
        </w:rPr>
        <w:t xml:space="preserve"> </w:t>
      </w:r>
      <w:r w:rsidR="00437FC3">
        <w:rPr>
          <w:vertAlign w:val="superscript"/>
        </w:rPr>
        <w:t>4</w:t>
      </w:r>
      <w:r w:rsidRPr="00E67A4C">
        <w:t xml:space="preserve"> and Australian and New Zealand Governments guidelines for regulatory action</w:t>
      </w:r>
      <w:r w:rsidRPr="00E67A4C">
        <w:rPr>
          <w:vertAlign w:val="superscript"/>
        </w:rPr>
        <w:t xml:space="preserve"> </w:t>
      </w:r>
      <w:r w:rsidR="00437FC3">
        <w:rPr>
          <w:vertAlign w:val="superscript"/>
        </w:rPr>
        <w:t>5</w:t>
      </w:r>
      <w:r w:rsidRPr="00E67A4C">
        <w:rPr>
          <w:vertAlign w:val="superscript"/>
        </w:rPr>
        <w:t>-</w:t>
      </w:r>
      <w:r w:rsidR="00437FC3">
        <w:rPr>
          <w:vertAlign w:val="superscript"/>
        </w:rPr>
        <w:t>6</w:t>
      </w:r>
      <w:r w:rsidRPr="00E67A4C">
        <w:t xml:space="preserve"> are also relevant to the development of any food regulatory measure for menu labelling.</w:t>
      </w:r>
    </w:p>
    <w:p w14:paraId="3092902C" w14:textId="77777777" w:rsidR="00494275" w:rsidRPr="00E67A4C" w:rsidRDefault="00494275" w:rsidP="00494275">
      <w:pPr>
        <w:pStyle w:val="Default"/>
        <w:spacing w:after="40"/>
        <w:jc w:val="both"/>
        <w:rPr>
          <w:b/>
          <w:bCs/>
        </w:rPr>
      </w:pPr>
    </w:p>
    <w:p w14:paraId="01B1A475" w14:textId="77777777" w:rsidR="00494275" w:rsidRPr="00E67A4C" w:rsidRDefault="00494275" w:rsidP="00494275">
      <w:pPr>
        <w:pStyle w:val="Default"/>
        <w:spacing w:after="40"/>
        <w:jc w:val="both"/>
        <w:rPr>
          <w:b/>
          <w:bCs/>
        </w:rPr>
      </w:pPr>
      <w:r w:rsidRPr="00E67A4C">
        <w:rPr>
          <w:b/>
          <w:bCs/>
        </w:rPr>
        <w:t>SPECIFIC POLICY PRINCIPLES</w:t>
      </w:r>
    </w:p>
    <w:p w14:paraId="16FEC006" w14:textId="77777777" w:rsidR="00494275" w:rsidRPr="00E67A4C" w:rsidRDefault="00494275" w:rsidP="0055688D">
      <w:pPr>
        <w:pStyle w:val="ListParagraph"/>
        <w:numPr>
          <w:ilvl w:val="0"/>
          <w:numId w:val="10"/>
        </w:numPr>
        <w:tabs>
          <w:tab w:val="left" w:pos="567"/>
        </w:tabs>
        <w:spacing w:after="40"/>
        <w:jc w:val="both"/>
      </w:pPr>
      <w:r w:rsidRPr="00E67A4C">
        <w:t>Menu labelling should:</w:t>
      </w:r>
    </w:p>
    <w:p w14:paraId="46195D67" w14:textId="77777777" w:rsidR="00494275" w:rsidRPr="00E67A4C" w:rsidRDefault="00494275" w:rsidP="0055688D">
      <w:pPr>
        <w:pStyle w:val="ListParagraph"/>
        <w:numPr>
          <w:ilvl w:val="1"/>
          <w:numId w:val="11"/>
        </w:numPr>
        <w:tabs>
          <w:tab w:val="left" w:pos="567"/>
        </w:tabs>
        <w:spacing w:after="40"/>
        <w:ind w:left="851" w:hanging="284"/>
        <w:contextualSpacing w:val="0"/>
        <w:jc w:val="both"/>
      </w:pPr>
      <w:r w:rsidRPr="00E67A4C">
        <w:t>Enable consumers to make comparisons between standard food items (including within and between categories) and therefore make informed choices at the point-of-sale.</w:t>
      </w:r>
    </w:p>
    <w:p w14:paraId="5621243D" w14:textId="77777777" w:rsidR="00494275" w:rsidRPr="00E67A4C" w:rsidRDefault="00494275" w:rsidP="0055688D">
      <w:pPr>
        <w:pStyle w:val="ListParagraph"/>
        <w:numPr>
          <w:ilvl w:val="1"/>
          <w:numId w:val="11"/>
        </w:numPr>
        <w:tabs>
          <w:tab w:val="left" w:pos="567"/>
        </w:tabs>
        <w:spacing w:after="40"/>
        <w:ind w:left="851" w:hanging="284"/>
        <w:contextualSpacing w:val="0"/>
        <w:jc w:val="both"/>
      </w:pPr>
      <w:r w:rsidRPr="00E67A4C">
        <w:t>Provide consumers with energy information for all standard food items, combination meals and multi-serve items on menus and/or at the point-of-sale; and for dietary context, provide the average adult daily energy intake at the point-of-sale.</w:t>
      </w:r>
    </w:p>
    <w:p w14:paraId="5078209C" w14:textId="77777777" w:rsidR="00494275" w:rsidRPr="00E67A4C" w:rsidRDefault="00494275" w:rsidP="0055688D">
      <w:pPr>
        <w:pStyle w:val="ListParagraph"/>
        <w:numPr>
          <w:ilvl w:val="1"/>
          <w:numId w:val="11"/>
        </w:numPr>
        <w:tabs>
          <w:tab w:val="left" w:pos="567"/>
        </w:tabs>
        <w:spacing w:after="40"/>
        <w:ind w:left="851" w:hanging="284"/>
        <w:contextualSpacing w:val="0"/>
        <w:jc w:val="both"/>
      </w:pPr>
      <w:r w:rsidRPr="00E67A4C">
        <w:t xml:space="preserve">Ensure that energy information provided is available, clear, legible, and easy-to-read and understand at-a-glance. </w:t>
      </w:r>
    </w:p>
    <w:p w14:paraId="2B87E274" w14:textId="334324AE" w:rsidR="00494275" w:rsidRDefault="00494275" w:rsidP="0055688D">
      <w:pPr>
        <w:pStyle w:val="ListParagraph"/>
        <w:numPr>
          <w:ilvl w:val="1"/>
          <w:numId w:val="11"/>
        </w:numPr>
        <w:tabs>
          <w:tab w:val="left" w:pos="567"/>
        </w:tabs>
        <w:spacing w:after="40"/>
        <w:ind w:left="851" w:hanging="284"/>
        <w:contextualSpacing w:val="0"/>
        <w:jc w:val="both"/>
      </w:pPr>
      <w:r w:rsidRPr="00E67A4C">
        <w:t xml:space="preserve">Enable consumers to </w:t>
      </w:r>
      <w:r w:rsidR="002E136E">
        <w:t xml:space="preserve">readily </w:t>
      </w:r>
      <w:r w:rsidRPr="00E67A4C">
        <w:t xml:space="preserve">access energy information for standardised ingredients </w:t>
      </w:r>
      <w:r>
        <w:t>(</w:t>
      </w:r>
      <w:r w:rsidRPr="00E67A4C">
        <w:t xml:space="preserve">which can </w:t>
      </w:r>
      <w:r w:rsidRPr="00DC4D93">
        <w:t xml:space="preserve">be used to customise standard food items or can be combined to make customised menu items), </w:t>
      </w:r>
      <w:r w:rsidR="00270BEF" w:rsidRPr="00DC4D93">
        <w:t xml:space="preserve">and </w:t>
      </w:r>
      <w:r w:rsidR="00775D66" w:rsidRPr="00DC4D93">
        <w:t xml:space="preserve">for </w:t>
      </w:r>
      <w:r w:rsidR="00270BEF" w:rsidRPr="00DC4D93">
        <w:t>pre-packaged items</w:t>
      </w:r>
      <w:r w:rsidR="002E136E" w:rsidRPr="00DC4D93">
        <w:t xml:space="preserve"> at the point-of-sale</w:t>
      </w:r>
      <w:r w:rsidR="00270BEF" w:rsidRPr="00DC4D93">
        <w:t xml:space="preserve"> </w:t>
      </w:r>
      <w:r w:rsidRPr="00DC4D93">
        <w:t>to assist with purchasing decisions.</w:t>
      </w:r>
    </w:p>
    <w:p w14:paraId="31E3088B" w14:textId="77777777" w:rsidR="00857571" w:rsidRPr="00DC4D93" w:rsidRDefault="00857571" w:rsidP="00857571">
      <w:pPr>
        <w:pStyle w:val="ListParagraph"/>
        <w:tabs>
          <w:tab w:val="left" w:pos="567"/>
        </w:tabs>
        <w:spacing w:after="40"/>
        <w:ind w:left="851"/>
        <w:contextualSpacing w:val="0"/>
        <w:jc w:val="both"/>
      </w:pPr>
    </w:p>
    <w:p w14:paraId="0FB6AD25" w14:textId="77777777" w:rsidR="00494275" w:rsidRPr="00E67A4C" w:rsidRDefault="00494275" w:rsidP="0055688D">
      <w:pPr>
        <w:pStyle w:val="ListParagraph"/>
        <w:numPr>
          <w:ilvl w:val="0"/>
          <w:numId w:val="10"/>
        </w:numPr>
        <w:tabs>
          <w:tab w:val="left" w:pos="567"/>
        </w:tabs>
        <w:spacing w:after="40"/>
        <w:jc w:val="both"/>
      </w:pPr>
      <w:r w:rsidRPr="00E67A4C">
        <w:t>Menu labelling regulation should:</w:t>
      </w:r>
    </w:p>
    <w:p w14:paraId="6E1D0DA6" w14:textId="77777777" w:rsidR="00494275" w:rsidRPr="00E67A4C" w:rsidRDefault="00494275" w:rsidP="0055688D">
      <w:pPr>
        <w:pStyle w:val="ListParagraph"/>
        <w:numPr>
          <w:ilvl w:val="1"/>
          <w:numId w:val="11"/>
        </w:numPr>
        <w:tabs>
          <w:tab w:val="left" w:pos="567"/>
        </w:tabs>
        <w:spacing w:after="40"/>
        <w:ind w:left="851" w:hanging="284"/>
        <w:contextualSpacing w:val="0"/>
        <w:jc w:val="both"/>
      </w:pPr>
      <w:r w:rsidRPr="00E67A4C">
        <w:t xml:space="preserve">Promote equity for regulatory requirements across standard food outlets. </w:t>
      </w:r>
    </w:p>
    <w:p w14:paraId="6BA195C2" w14:textId="77777777" w:rsidR="00494275" w:rsidRPr="00E67A4C" w:rsidRDefault="00494275" w:rsidP="0055688D">
      <w:pPr>
        <w:pStyle w:val="ListParagraph"/>
        <w:numPr>
          <w:ilvl w:val="1"/>
          <w:numId w:val="11"/>
        </w:numPr>
        <w:tabs>
          <w:tab w:val="left" w:pos="567"/>
        </w:tabs>
        <w:spacing w:after="40"/>
        <w:ind w:left="851" w:hanging="284"/>
        <w:contextualSpacing w:val="0"/>
        <w:jc w:val="both"/>
      </w:pPr>
      <w:r w:rsidRPr="00E67A4C">
        <w:lastRenderedPageBreak/>
        <w:t>Enable other businesses to voluntarily display energy information in a manner consistent with the requirements for standard food outlets.</w:t>
      </w:r>
    </w:p>
    <w:p w14:paraId="30FB2871" w14:textId="77777777" w:rsidR="00494275" w:rsidRPr="00E67A4C" w:rsidRDefault="00494275" w:rsidP="00494275">
      <w:pPr>
        <w:pStyle w:val="ListParagraph"/>
        <w:tabs>
          <w:tab w:val="left" w:pos="567"/>
        </w:tabs>
        <w:spacing w:after="40"/>
        <w:ind w:left="1080"/>
        <w:contextualSpacing w:val="0"/>
        <w:jc w:val="both"/>
      </w:pPr>
    </w:p>
    <w:p w14:paraId="2E4B3F5C" w14:textId="77777777" w:rsidR="00494275" w:rsidRPr="00E67A4C" w:rsidRDefault="00494275" w:rsidP="00494275">
      <w:pPr>
        <w:pStyle w:val="Default"/>
        <w:spacing w:after="40"/>
        <w:jc w:val="both"/>
        <w:rPr>
          <w:b/>
          <w:bCs/>
        </w:rPr>
      </w:pPr>
      <w:r w:rsidRPr="00E67A4C">
        <w:rPr>
          <w:b/>
          <w:bCs/>
        </w:rPr>
        <w:t>ADDITIONAL POLICY GUIDANCE</w:t>
      </w:r>
    </w:p>
    <w:p w14:paraId="17CA6AC4" w14:textId="77777777" w:rsidR="00494275" w:rsidRPr="00E67A4C" w:rsidRDefault="00494275" w:rsidP="0055688D">
      <w:pPr>
        <w:pStyle w:val="Default"/>
        <w:numPr>
          <w:ilvl w:val="0"/>
          <w:numId w:val="14"/>
        </w:numPr>
        <w:spacing w:after="40"/>
        <w:jc w:val="both"/>
      </w:pPr>
      <w:r w:rsidRPr="00E67A4C">
        <w:t>Tools should be freely provided to support businesses to calculate the energy content of standard food items.</w:t>
      </w:r>
    </w:p>
    <w:p w14:paraId="4B6E9979" w14:textId="77777777" w:rsidR="00494275" w:rsidRPr="00E67A4C" w:rsidRDefault="00494275" w:rsidP="00494275">
      <w:pPr>
        <w:pStyle w:val="Default"/>
        <w:spacing w:after="40"/>
        <w:jc w:val="both"/>
        <w:rPr>
          <w:b/>
          <w:bCs/>
        </w:rPr>
      </w:pPr>
    </w:p>
    <w:p w14:paraId="6D02A09A" w14:textId="1CC8770D" w:rsidR="00494275" w:rsidRPr="00E67A4C" w:rsidRDefault="00494275" w:rsidP="00494275">
      <w:pPr>
        <w:pStyle w:val="Default"/>
        <w:spacing w:after="40"/>
        <w:jc w:val="both"/>
        <w:rPr>
          <w:b/>
          <w:bCs/>
        </w:rPr>
      </w:pPr>
      <w:r w:rsidRPr="00E67A4C">
        <w:rPr>
          <w:b/>
          <w:bCs/>
        </w:rPr>
        <w:t>DEFINITIONS</w:t>
      </w:r>
      <w:r w:rsidRPr="00E67A4C">
        <w:rPr>
          <w:vertAlign w:val="superscript"/>
        </w:rPr>
        <w:t xml:space="preserve"> </w:t>
      </w:r>
    </w:p>
    <w:p w14:paraId="18D8387F" w14:textId="77777777" w:rsidR="00494275" w:rsidRPr="00E67A4C" w:rsidRDefault="00494275" w:rsidP="00494275">
      <w:pPr>
        <w:tabs>
          <w:tab w:val="left" w:pos="567"/>
        </w:tabs>
        <w:spacing w:after="40"/>
        <w:jc w:val="both"/>
      </w:pPr>
      <w:r w:rsidRPr="00E67A4C">
        <w:t xml:space="preserve">For this Policy Guideline: </w:t>
      </w:r>
    </w:p>
    <w:p w14:paraId="39FC200D" w14:textId="77777777" w:rsidR="00494275" w:rsidRPr="00E67A4C" w:rsidRDefault="00494275" w:rsidP="0055688D">
      <w:pPr>
        <w:pStyle w:val="ListParagraph"/>
        <w:numPr>
          <w:ilvl w:val="0"/>
          <w:numId w:val="12"/>
        </w:numPr>
        <w:tabs>
          <w:tab w:val="left" w:pos="567"/>
        </w:tabs>
        <w:spacing w:after="40"/>
        <w:contextualSpacing w:val="0"/>
        <w:jc w:val="both"/>
      </w:pPr>
      <w:r w:rsidRPr="00E67A4C">
        <w:rPr>
          <w:b/>
        </w:rPr>
        <w:t>Menu labelling</w:t>
      </w:r>
      <w:r w:rsidRPr="00E67A4C">
        <w:t xml:space="preserve">: energy information for standard food items on menus at the point-of-sale. </w:t>
      </w:r>
    </w:p>
    <w:p w14:paraId="18666A3E" w14:textId="77777777" w:rsidR="00494275" w:rsidRPr="00E67A4C" w:rsidRDefault="00494275" w:rsidP="0055688D">
      <w:pPr>
        <w:pStyle w:val="ListParagraph"/>
        <w:numPr>
          <w:ilvl w:val="0"/>
          <w:numId w:val="12"/>
        </w:numPr>
        <w:tabs>
          <w:tab w:val="left" w:pos="567"/>
        </w:tabs>
        <w:spacing w:after="40"/>
        <w:contextualSpacing w:val="0"/>
        <w:jc w:val="both"/>
      </w:pPr>
      <w:r w:rsidRPr="00E67A4C">
        <w:rPr>
          <w:b/>
        </w:rPr>
        <w:t>Energy information</w:t>
      </w:r>
      <w:r w:rsidRPr="00E67A4C">
        <w:t>: the average energy content of standard food items (expressed as kilojoules per item).</w:t>
      </w:r>
    </w:p>
    <w:p w14:paraId="2C0685FF" w14:textId="645154DB" w:rsidR="00494275" w:rsidRPr="00E67A4C" w:rsidRDefault="00494275" w:rsidP="0055688D">
      <w:pPr>
        <w:pStyle w:val="ListParagraph"/>
        <w:numPr>
          <w:ilvl w:val="0"/>
          <w:numId w:val="12"/>
        </w:numPr>
        <w:tabs>
          <w:tab w:val="left" w:pos="567"/>
        </w:tabs>
        <w:spacing w:after="40"/>
        <w:contextualSpacing w:val="0"/>
        <w:jc w:val="both"/>
      </w:pPr>
      <w:r w:rsidRPr="00E67A4C">
        <w:rPr>
          <w:b/>
        </w:rPr>
        <w:t>Average daily energy intake</w:t>
      </w:r>
      <w:r w:rsidRPr="00E67A4C">
        <w:t xml:space="preserve">: a reference statement expressed as </w:t>
      </w:r>
      <w:r w:rsidRPr="00E67A4C">
        <w:rPr>
          <w:i/>
        </w:rPr>
        <w:t>the average adult daily energy intake is 8700kJ</w:t>
      </w:r>
      <w:r w:rsidRPr="00E67A4C">
        <w:t>.</w:t>
      </w:r>
      <w:r w:rsidR="00437FC3">
        <w:rPr>
          <w:vertAlign w:val="superscript"/>
        </w:rPr>
        <w:t>7</w:t>
      </w:r>
    </w:p>
    <w:p w14:paraId="114F4754" w14:textId="0B1CFA68" w:rsidR="00494275" w:rsidRPr="00DC4D93" w:rsidRDefault="00494275" w:rsidP="0055688D">
      <w:pPr>
        <w:pStyle w:val="ListParagraph"/>
        <w:numPr>
          <w:ilvl w:val="0"/>
          <w:numId w:val="12"/>
        </w:numPr>
        <w:tabs>
          <w:tab w:val="left" w:pos="567"/>
        </w:tabs>
        <w:spacing w:after="40"/>
        <w:contextualSpacing w:val="0"/>
        <w:jc w:val="both"/>
      </w:pPr>
      <w:r w:rsidRPr="00E67A4C">
        <w:rPr>
          <w:b/>
        </w:rPr>
        <w:t>Point-</w:t>
      </w:r>
      <w:r w:rsidRPr="00DC4D93">
        <w:rPr>
          <w:b/>
        </w:rPr>
        <w:t>of-sale</w:t>
      </w:r>
      <w:r w:rsidRPr="00DC4D93">
        <w:t>: the place where a customer orders and purchases ready-to-eat food, (places includ</w:t>
      </w:r>
      <w:r w:rsidR="00324E49" w:rsidRPr="00DC4D93">
        <w:t>ing, but not limited to</w:t>
      </w:r>
      <w:r w:rsidR="002C7831" w:rsidRPr="00DC4D93">
        <w:t>,</w:t>
      </w:r>
      <w:r w:rsidRPr="00DC4D93">
        <w:t xml:space="preserve"> checkouts, drive-through facilities and self-service devices </w:t>
      </w:r>
      <w:r w:rsidR="008111DE" w:rsidRPr="00DC4D93">
        <w:t xml:space="preserve">(e.g. kiosks) </w:t>
      </w:r>
      <w:r w:rsidRPr="00DC4D93">
        <w:t xml:space="preserve">within physical premises; and electronic sales point via business websites and mobile applications and third-party food delivery platforms).  </w:t>
      </w:r>
    </w:p>
    <w:p w14:paraId="29702421" w14:textId="77777777" w:rsidR="00494275" w:rsidRPr="00DC4D93" w:rsidRDefault="00494275" w:rsidP="0055688D">
      <w:pPr>
        <w:pStyle w:val="ListParagraph"/>
        <w:numPr>
          <w:ilvl w:val="0"/>
          <w:numId w:val="12"/>
        </w:numPr>
        <w:tabs>
          <w:tab w:val="left" w:pos="567"/>
        </w:tabs>
        <w:spacing w:after="40"/>
        <w:contextualSpacing w:val="0"/>
        <w:jc w:val="both"/>
      </w:pPr>
      <w:r w:rsidRPr="00DC4D93">
        <w:rPr>
          <w:b/>
        </w:rPr>
        <w:t>Category</w:t>
      </w:r>
      <w:r w:rsidRPr="00DC4D93">
        <w:rPr>
          <w:bCs/>
        </w:rPr>
        <w:t xml:space="preserve">: a type or group of standard food items, for example burgers, sandwiches, beverages, sides, desserts. </w:t>
      </w:r>
    </w:p>
    <w:p w14:paraId="4E26CBD2" w14:textId="77777777" w:rsidR="00494275" w:rsidRPr="00DC4D93" w:rsidRDefault="00494275" w:rsidP="0055688D">
      <w:pPr>
        <w:pStyle w:val="ListParagraph"/>
        <w:numPr>
          <w:ilvl w:val="0"/>
          <w:numId w:val="12"/>
        </w:numPr>
        <w:tabs>
          <w:tab w:val="left" w:pos="567"/>
        </w:tabs>
        <w:spacing w:after="40"/>
        <w:contextualSpacing w:val="0"/>
        <w:jc w:val="both"/>
      </w:pPr>
      <w:r w:rsidRPr="00DC4D93">
        <w:rPr>
          <w:b/>
        </w:rPr>
        <w:t>Menu</w:t>
      </w:r>
      <w:r w:rsidRPr="00DC4D93">
        <w:t>: a list or similar that shows one or more standard food items available for sale, in printed or electronic form (including, but not limited to, menu boards, posters, leaflets, price/food/identifying tags or labels, digital menu panels, business websites, mobile applications, third-party food delivery platforms, printed and online catalogues).</w:t>
      </w:r>
    </w:p>
    <w:p w14:paraId="41661C38" w14:textId="3622BDDE" w:rsidR="00494275" w:rsidRPr="00DC4D93" w:rsidRDefault="00494275" w:rsidP="0055688D">
      <w:pPr>
        <w:pStyle w:val="ListParagraph"/>
        <w:numPr>
          <w:ilvl w:val="0"/>
          <w:numId w:val="12"/>
        </w:numPr>
        <w:tabs>
          <w:tab w:val="left" w:pos="567"/>
        </w:tabs>
        <w:spacing w:after="40"/>
        <w:contextualSpacing w:val="0"/>
        <w:jc w:val="both"/>
      </w:pPr>
      <w:r w:rsidRPr="00DC4D93">
        <w:rPr>
          <w:b/>
        </w:rPr>
        <w:t>Standard food item</w:t>
      </w:r>
      <w:r w:rsidRPr="00DC4D93">
        <w:t>: ready-to-eat food</w:t>
      </w:r>
      <w:r w:rsidR="005763E4">
        <w:rPr>
          <w:vertAlign w:val="superscript"/>
        </w:rPr>
        <w:t>8</w:t>
      </w:r>
      <w:r w:rsidRPr="00DC4D93">
        <w:t xml:space="preserve"> that is sold in servings that are standardised for portion and content, and which is not required to bear a label</w:t>
      </w:r>
      <w:r w:rsidR="005763E4">
        <w:rPr>
          <w:vertAlign w:val="superscript"/>
        </w:rPr>
        <w:t>8</w:t>
      </w:r>
      <w:r w:rsidRPr="00DC4D93">
        <w:t>; includes items available in different serving sizes (e.g. small, medium, large), but not items sold by weight (e.g. salads from a deli) as not standardised by portion. Includes all standardised items, including trial/promotional menu items.</w:t>
      </w:r>
    </w:p>
    <w:p w14:paraId="05555D86" w14:textId="77777777" w:rsidR="00494275" w:rsidRPr="00DC4D93" w:rsidRDefault="00494275" w:rsidP="0055688D">
      <w:pPr>
        <w:pStyle w:val="ListParagraph"/>
        <w:numPr>
          <w:ilvl w:val="0"/>
          <w:numId w:val="12"/>
        </w:numPr>
        <w:tabs>
          <w:tab w:val="left" w:pos="567"/>
        </w:tabs>
        <w:spacing w:after="40"/>
        <w:contextualSpacing w:val="0"/>
        <w:jc w:val="both"/>
      </w:pPr>
      <w:r w:rsidRPr="00DC4D93">
        <w:rPr>
          <w:b/>
        </w:rPr>
        <w:t>Combination meal</w:t>
      </w:r>
      <w:r w:rsidRPr="00DC4D93">
        <w:t>: a combination of two or more standard food items (e.g. cheeseburger and hot chips); or a combination of standard food items and pre-packaged food (e.g. salad sandwich and a can of drink).</w:t>
      </w:r>
    </w:p>
    <w:p w14:paraId="36F1949A" w14:textId="6F4B7C2B" w:rsidR="00494275" w:rsidRPr="00DC4D93" w:rsidRDefault="00494275" w:rsidP="0055688D">
      <w:pPr>
        <w:pStyle w:val="ListParagraph"/>
        <w:numPr>
          <w:ilvl w:val="0"/>
          <w:numId w:val="12"/>
        </w:numPr>
        <w:tabs>
          <w:tab w:val="left" w:pos="567"/>
        </w:tabs>
        <w:spacing w:after="40"/>
        <w:contextualSpacing w:val="0"/>
        <w:jc w:val="both"/>
      </w:pPr>
      <w:r w:rsidRPr="00DC4D93">
        <w:rPr>
          <w:b/>
        </w:rPr>
        <w:t>Multi-serve item</w:t>
      </w:r>
      <w:r w:rsidRPr="00DC4D93">
        <w:t>: a standard food item that provides more than one serving and is not intended to be consumed by one person (e.g. whole cake, pizza). Energy information to be displayed for the whole item as well as per serving to enable comparison with single-serve items.</w:t>
      </w:r>
    </w:p>
    <w:p w14:paraId="3DE78205" w14:textId="108C34C1" w:rsidR="000874A7" w:rsidRPr="00DC4D93" w:rsidRDefault="000874A7" w:rsidP="0055688D">
      <w:pPr>
        <w:pStyle w:val="ListParagraph"/>
        <w:numPr>
          <w:ilvl w:val="0"/>
          <w:numId w:val="12"/>
        </w:numPr>
        <w:tabs>
          <w:tab w:val="left" w:pos="567"/>
        </w:tabs>
        <w:spacing w:after="40"/>
        <w:contextualSpacing w:val="0"/>
        <w:jc w:val="both"/>
      </w:pPr>
      <w:r w:rsidRPr="00DC4D93">
        <w:rPr>
          <w:b/>
        </w:rPr>
        <w:t>Pre-packaged item</w:t>
      </w:r>
      <w:r w:rsidRPr="00DC4D93">
        <w:t>:</w:t>
      </w:r>
      <w:r w:rsidR="00F5416A" w:rsidRPr="00DC4D93">
        <w:t xml:space="preserve"> a ready-to-eat food required to bear a label</w:t>
      </w:r>
      <w:r w:rsidR="00270BEF" w:rsidRPr="00DC4D93">
        <w:t>.</w:t>
      </w:r>
    </w:p>
    <w:p w14:paraId="6CDEB740" w14:textId="77777777" w:rsidR="00494275" w:rsidRPr="00DC4D93" w:rsidRDefault="00494275" w:rsidP="0055688D">
      <w:pPr>
        <w:pStyle w:val="ListParagraph"/>
        <w:numPr>
          <w:ilvl w:val="0"/>
          <w:numId w:val="12"/>
        </w:numPr>
        <w:tabs>
          <w:tab w:val="left" w:pos="567"/>
        </w:tabs>
        <w:spacing w:after="40"/>
        <w:contextualSpacing w:val="0"/>
        <w:jc w:val="both"/>
      </w:pPr>
      <w:r w:rsidRPr="00DC4D93">
        <w:rPr>
          <w:b/>
        </w:rPr>
        <w:t>Standardised ingredient</w:t>
      </w:r>
      <w:r w:rsidRPr="00DC4D93">
        <w:t xml:space="preserve">: ingredient that is standardised for portion and content (e.g. bacon, slice of cheese) which can be added by customers to standard food items (e.g. burger); or combined with other standardised ingredients to make a customised menu item (e.g. tortilla, beef filling and guacamole). </w:t>
      </w:r>
    </w:p>
    <w:p w14:paraId="37291440" w14:textId="1BF6B14D" w:rsidR="00494275" w:rsidRPr="00DC4D93" w:rsidRDefault="00494275" w:rsidP="0055688D">
      <w:pPr>
        <w:pStyle w:val="ListParagraph"/>
        <w:numPr>
          <w:ilvl w:val="0"/>
          <w:numId w:val="12"/>
        </w:numPr>
        <w:tabs>
          <w:tab w:val="left" w:pos="567"/>
        </w:tabs>
        <w:spacing w:after="40"/>
        <w:contextualSpacing w:val="0"/>
        <w:jc w:val="both"/>
      </w:pPr>
      <w:r w:rsidRPr="00DC4D93">
        <w:rPr>
          <w:b/>
        </w:rPr>
        <w:t>Standard food outlet</w:t>
      </w:r>
      <w:r w:rsidRPr="00DC4D93">
        <w:t>: a food business that sells standard food items at 50 or more outlets in Australia, or 20 or more outlets in an Australian State or 7 or more in an Australian Territory or 20 or more outlets in New Zealand. Food businesses are those owned/operated under franchise arrangements; outlets operated under the same trading name</w:t>
      </w:r>
      <w:r w:rsidR="001566D9" w:rsidRPr="00DC4D93">
        <w:t xml:space="preserve">, </w:t>
      </w:r>
      <w:r w:rsidR="00283931" w:rsidRPr="00DC4D93">
        <w:t xml:space="preserve">the </w:t>
      </w:r>
      <w:r w:rsidR="001566D9" w:rsidRPr="00DC4D93">
        <w:t xml:space="preserve">same </w:t>
      </w:r>
      <w:r w:rsidR="00FC3FB0" w:rsidRPr="00DC4D93">
        <w:t>trademark,</w:t>
      </w:r>
      <w:r w:rsidRPr="00DC4D93">
        <w:t xml:space="preserve"> or the same brand; and outlets owned </w:t>
      </w:r>
      <w:r w:rsidR="00BF6DD5" w:rsidRPr="00DC4D93">
        <w:t xml:space="preserve">or controlled </w:t>
      </w:r>
      <w:r w:rsidRPr="00DC4D93">
        <w:t>by the one parent company/central owner/corporation.</w:t>
      </w:r>
    </w:p>
    <w:p w14:paraId="56DC7B33" w14:textId="77777777" w:rsidR="00494275" w:rsidRPr="00E67A4C" w:rsidRDefault="00494275" w:rsidP="00494275">
      <w:pPr>
        <w:pStyle w:val="ListParagraph"/>
        <w:tabs>
          <w:tab w:val="left" w:pos="567"/>
        </w:tabs>
        <w:spacing w:after="40"/>
        <w:ind w:left="360"/>
        <w:contextualSpacing w:val="0"/>
        <w:jc w:val="both"/>
      </w:pPr>
    </w:p>
    <w:p w14:paraId="5451202D" w14:textId="77777777" w:rsidR="00857571" w:rsidRDefault="00857571" w:rsidP="00494275">
      <w:pPr>
        <w:pStyle w:val="Default"/>
        <w:spacing w:after="40"/>
        <w:jc w:val="both"/>
        <w:rPr>
          <w:b/>
          <w:bCs/>
        </w:rPr>
      </w:pPr>
    </w:p>
    <w:p w14:paraId="636F269F" w14:textId="3033F52A" w:rsidR="00494275" w:rsidRPr="00E67A4C" w:rsidRDefault="00494275" w:rsidP="00494275">
      <w:pPr>
        <w:pStyle w:val="Default"/>
        <w:spacing w:after="40"/>
        <w:jc w:val="both"/>
        <w:rPr>
          <w:b/>
          <w:bCs/>
        </w:rPr>
      </w:pPr>
      <w:r w:rsidRPr="00E67A4C">
        <w:rPr>
          <w:b/>
          <w:bCs/>
        </w:rPr>
        <w:lastRenderedPageBreak/>
        <w:t>REVIEWS AND UPDATES</w:t>
      </w:r>
    </w:p>
    <w:p w14:paraId="3A298C76" w14:textId="77777777" w:rsidR="00494275" w:rsidRPr="00E67A4C" w:rsidRDefault="00494275" w:rsidP="00494275">
      <w:pPr>
        <w:tabs>
          <w:tab w:val="left" w:pos="567"/>
        </w:tabs>
        <w:spacing w:after="40"/>
        <w:jc w:val="both"/>
      </w:pPr>
      <w:r w:rsidRPr="00E67A4C">
        <w:t>This Policy Guideline should be reviewed and updated as required. Any review should:</w:t>
      </w:r>
    </w:p>
    <w:p w14:paraId="66FE5784" w14:textId="77777777" w:rsidR="00494275" w:rsidRPr="00E67A4C" w:rsidRDefault="00494275" w:rsidP="0055688D">
      <w:pPr>
        <w:pStyle w:val="ListParagraph"/>
        <w:numPr>
          <w:ilvl w:val="0"/>
          <w:numId w:val="13"/>
        </w:numPr>
        <w:tabs>
          <w:tab w:val="left" w:pos="567"/>
        </w:tabs>
        <w:spacing w:after="40"/>
        <w:contextualSpacing w:val="0"/>
        <w:jc w:val="both"/>
      </w:pPr>
      <w:r w:rsidRPr="00E67A4C">
        <w:t>Assess whether the Policy Guideline continues to reflect the food environment, dietary patterns, and dietary guidelines.</w:t>
      </w:r>
    </w:p>
    <w:p w14:paraId="46705C30" w14:textId="77777777" w:rsidR="00494275" w:rsidRPr="00E67A4C" w:rsidRDefault="00494275" w:rsidP="0055688D">
      <w:pPr>
        <w:pStyle w:val="ListParagraph"/>
        <w:numPr>
          <w:ilvl w:val="0"/>
          <w:numId w:val="13"/>
        </w:numPr>
        <w:tabs>
          <w:tab w:val="left" w:pos="567"/>
        </w:tabs>
        <w:spacing w:after="40"/>
        <w:contextualSpacing w:val="0"/>
        <w:jc w:val="both"/>
      </w:pPr>
      <w:r w:rsidRPr="00E67A4C">
        <w:t>Assess whether displaying nutrition information such as the amount of added sugars, sodium, saturated fat, alcohol, and/or other nutrients, would assist people to make healthier choices.</w:t>
      </w:r>
    </w:p>
    <w:p w14:paraId="5F8D733B" w14:textId="77777777" w:rsidR="00494275" w:rsidRPr="00E67A4C" w:rsidRDefault="00494275" w:rsidP="0055688D">
      <w:pPr>
        <w:pStyle w:val="ListParagraph"/>
        <w:numPr>
          <w:ilvl w:val="0"/>
          <w:numId w:val="13"/>
        </w:numPr>
        <w:tabs>
          <w:tab w:val="left" w:pos="567"/>
        </w:tabs>
        <w:spacing w:after="40"/>
        <w:contextualSpacing w:val="0"/>
        <w:jc w:val="both"/>
      </w:pPr>
      <w:r w:rsidRPr="00E67A4C">
        <w:t xml:space="preserve">Consider the impacts of any promotional approaches on consumer behaviour and health outcomes. </w:t>
      </w:r>
    </w:p>
    <w:p w14:paraId="508A7773" w14:textId="77777777" w:rsidR="00494275" w:rsidRPr="00E67A4C" w:rsidRDefault="00494275" w:rsidP="0055688D">
      <w:pPr>
        <w:pStyle w:val="ListParagraph"/>
        <w:numPr>
          <w:ilvl w:val="0"/>
          <w:numId w:val="13"/>
        </w:numPr>
        <w:tabs>
          <w:tab w:val="left" w:pos="567"/>
        </w:tabs>
        <w:spacing w:after="40"/>
        <w:contextualSpacing w:val="0"/>
        <w:jc w:val="both"/>
      </w:pPr>
      <w:r w:rsidRPr="00E67A4C">
        <w:t>Be informed by emerging evidence of the impacts of menu labelling in Australia and New Zealand as well as the regulation of menu labelling in other jurisdictions.</w:t>
      </w:r>
    </w:p>
    <w:p w14:paraId="6B154886" w14:textId="77777777" w:rsidR="00494275" w:rsidRPr="00E67A4C" w:rsidRDefault="00494275" w:rsidP="0055688D">
      <w:pPr>
        <w:pStyle w:val="ListParagraph"/>
        <w:numPr>
          <w:ilvl w:val="0"/>
          <w:numId w:val="13"/>
        </w:numPr>
        <w:tabs>
          <w:tab w:val="left" w:pos="567"/>
        </w:tabs>
        <w:spacing w:after="40"/>
        <w:contextualSpacing w:val="0"/>
        <w:jc w:val="both"/>
      </w:pPr>
      <w:r w:rsidRPr="00E67A4C">
        <w:t>Use a coordinated, collaborative bi-national approach to evaluation for consistency and to maximise the outputs from limited resources.</w:t>
      </w:r>
    </w:p>
    <w:p w14:paraId="2A8C1D0A" w14:textId="77777777" w:rsidR="00494275" w:rsidRPr="00E67A4C" w:rsidRDefault="00494275" w:rsidP="0055688D">
      <w:pPr>
        <w:pStyle w:val="ListParagraph"/>
        <w:numPr>
          <w:ilvl w:val="0"/>
          <w:numId w:val="13"/>
        </w:numPr>
        <w:tabs>
          <w:tab w:val="left" w:pos="567"/>
        </w:tabs>
        <w:spacing w:after="40"/>
        <w:contextualSpacing w:val="0"/>
        <w:jc w:val="both"/>
      </w:pPr>
      <w:r w:rsidRPr="00E67A4C">
        <w:t>Be informed by consultation with stakeholders.</w:t>
      </w:r>
    </w:p>
    <w:p w14:paraId="5C42D2E3" w14:textId="77777777" w:rsidR="00494275" w:rsidRPr="00E67A4C" w:rsidRDefault="00494275" w:rsidP="00494275">
      <w:pPr>
        <w:pStyle w:val="ListParagraph"/>
        <w:tabs>
          <w:tab w:val="left" w:pos="567"/>
        </w:tabs>
        <w:spacing w:after="40"/>
        <w:ind w:left="0"/>
        <w:contextualSpacing w:val="0"/>
      </w:pPr>
    </w:p>
    <w:p w14:paraId="5CFEE5BB" w14:textId="4D952B57" w:rsidR="00494275" w:rsidRDefault="000E37BF" w:rsidP="00494275">
      <w:pPr>
        <w:pStyle w:val="EndnoteText"/>
        <w:spacing w:after="40"/>
        <w:rPr>
          <w:rFonts w:ascii="Times New Roman" w:eastAsia="Calibri" w:hAnsi="Times New Roman"/>
          <w:bCs/>
          <w:iCs/>
          <w:color w:val="000000"/>
          <w:sz w:val="18"/>
          <w:szCs w:val="18"/>
          <w:lang w:val="en-AU"/>
        </w:rPr>
      </w:pPr>
      <w:r>
        <w:rPr>
          <w:rFonts w:ascii="Times New Roman" w:hAnsi="Times New Roman"/>
          <w:sz w:val="18"/>
          <w:szCs w:val="18"/>
          <w:lang w:val="en-US"/>
        </w:rPr>
        <w:t>1</w:t>
      </w:r>
      <w:r w:rsidR="00097B5B">
        <w:rPr>
          <w:rFonts w:ascii="Times New Roman" w:hAnsi="Times New Roman"/>
          <w:sz w:val="18"/>
          <w:szCs w:val="18"/>
          <w:lang w:val="en-US"/>
        </w:rPr>
        <w:t>.</w:t>
      </w:r>
      <w:r w:rsidR="00494275" w:rsidRPr="00E67A4C">
        <w:rPr>
          <w:rFonts w:ascii="Times New Roman" w:hAnsi="Times New Roman"/>
          <w:sz w:val="18"/>
          <w:szCs w:val="18"/>
          <w:lang w:val="en-US"/>
        </w:rPr>
        <w:t xml:space="preserve"> </w:t>
      </w:r>
      <w:r w:rsidR="00494275" w:rsidRPr="00E67A4C">
        <w:rPr>
          <w:rFonts w:ascii="Times New Roman" w:eastAsia="Calibri" w:hAnsi="Times New Roman"/>
          <w:bCs/>
          <w:iCs/>
          <w:color w:val="000000"/>
          <w:sz w:val="18"/>
          <w:szCs w:val="18"/>
          <w:lang w:val="en-AU"/>
        </w:rPr>
        <w:t xml:space="preserve">Rayner M et al. 2013. Monitoring the health-related labelling on foods and non-alcoholic beverages in retail settings. </w:t>
      </w:r>
      <w:r w:rsidR="00494275" w:rsidRPr="00E67A4C">
        <w:rPr>
          <w:rFonts w:ascii="Times New Roman" w:eastAsia="Calibri" w:hAnsi="Times New Roman"/>
          <w:bCs/>
          <w:i/>
          <w:color w:val="000000"/>
          <w:sz w:val="18"/>
          <w:szCs w:val="18"/>
          <w:lang w:val="en-AU"/>
        </w:rPr>
        <w:t>Obesity Reviews</w:t>
      </w:r>
      <w:r w:rsidR="00494275" w:rsidRPr="00E67A4C">
        <w:rPr>
          <w:rFonts w:ascii="Times New Roman" w:eastAsia="Calibri" w:hAnsi="Times New Roman"/>
          <w:bCs/>
          <w:iCs/>
          <w:color w:val="000000"/>
          <w:sz w:val="18"/>
          <w:szCs w:val="18"/>
          <w:lang w:val="en-AU"/>
        </w:rPr>
        <w:t>, 14(S1): 70-81.</w:t>
      </w:r>
    </w:p>
    <w:p w14:paraId="567E4556" w14:textId="6EAC8464" w:rsidR="00437FC3" w:rsidRPr="00E67A4C" w:rsidRDefault="00437FC3" w:rsidP="00494275">
      <w:pPr>
        <w:pStyle w:val="EndnoteText"/>
        <w:spacing w:after="40"/>
        <w:rPr>
          <w:rFonts w:ascii="Times New Roman" w:eastAsia="Calibri" w:hAnsi="Times New Roman"/>
          <w:bCs/>
          <w:iCs/>
          <w:color w:val="000000"/>
          <w:sz w:val="18"/>
          <w:szCs w:val="18"/>
          <w:lang w:val="en-AU"/>
        </w:rPr>
      </w:pPr>
      <w:r>
        <w:rPr>
          <w:rFonts w:ascii="Times New Roman" w:eastAsia="Calibri" w:hAnsi="Times New Roman"/>
          <w:bCs/>
          <w:iCs/>
          <w:color w:val="000000"/>
          <w:sz w:val="18"/>
          <w:szCs w:val="18"/>
          <w:lang w:val="en-AU"/>
        </w:rPr>
        <w:t>2</w:t>
      </w:r>
      <w:r w:rsidR="00097B5B">
        <w:rPr>
          <w:rFonts w:ascii="Times New Roman" w:eastAsia="Calibri" w:hAnsi="Times New Roman"/>
          <w:bCs/>
          <w:iCs/>
          <w:color w:val="000000"/>
          <w:sz w:val="18"/>
          <w:szCs w:val="18"/>
          <w:lang w:val="en-AU"/>
        </w:rPr>
        <w:t>.</w:t>
      </w:r>
      <w:r>
        <w:rPr>
          <w:rFonts w:ascii="Times New Roman" w:eastAsia="Calibri" w:hAnsi="Times New Roman"/>
          <w:bCs/>
          <w:iCs/>
          <w:color w:val="000000"/>
          <w:sz w:val="18"/>
          <w:szCs w:val="18"/>
          <w:lang w:val="en-AU"/>
        </w:rPr>
        <w:t xml:space="preserve"> </w:t>
      </w:r>
      <w:r w:rsidRPr="006531D8">
        <w:rPr>
          <w:rFonts w:ascii="Times New Roman" w:hAnsi="Times New Roman"/>
          <w:sz w:val="18"/>
          <w:szCs w:val="18"/>
          <w:lang w:val="en-US"/>
        </w:rPr>
        <w:t>Modes of sale include</w:t>
      </w:r>
      <w:r>
        <w:rPr>
          <w:rFonts w:ascii="Times New Roman" w:hAnsi="Times New Roman"/>
          <w:sz w:val="18"/>
          <w:szCs w:val="18"/>
          <w:lang w:val="en-US"/>
        </w:rPr>
        <w:t>, but is not limited to,</w:t>
      </w:r>
      <w:r w:rsidRPr="006531D8">
        <w:rPr>
          <w:rFonts w:ascii="Times New Roman" w:hAnsi="Times New Roman"/>
          <w:sz w:val="18"/>
          <w:szCs w:val="18"/>
          <w:lang w:val="en-US"/>
        </w:rPr>
        <w:t xml:space="preserve"> in-store, online, third-party providers; types of menus include</w:t>
      </w:r>
      <w:r>
        <w:rPr>
          <w:rFonts w:ascii="Times New Roman" w:hAnsi="Times New Roman"/>
          <w:sz w:val="18"/>
          <w:szCs w:val="18"/>
          <w:lang w:val="en-US"/>
        </w:rPr>
        <w:t>, but is not limited to,</w:t>
      </w:r>
      <w:r w:rsidRPr="006531D8">
        <w:rPr>
          <w:rFonts w:ascii="Times New Roman" w:hAnsi="Times New Roman"/>
          <w:sz w:val="18"/>
          <w:szCs w:val="18"/>
          <w:lang w:val="en-US"/>
        </w:rPr>
        <w:t xml:space="preserve"> digital menu panels, </w:t>
      </w:r>
      <w:r>
        <w:rPr>
          <w:rFonts w:ascii="Times New Roman" w:hAnsi="Times New Roman"/>
          <w:sz w:val="18"/>
          <w:szCs w:val="18"/>
          <w:lang w:val="en-US"/>
        </w:rPr>
        <w:t xml:space="preserve">kiosks, </w:t>
      </w:r>
      <w:r w:rsidRPr="006531D8">
        <w:rPr>
          <w:rFonts w:ascii="Times New Roman" w:hAnsi="Times New Roman"/>
          <w:sz w:val="18"/>
          <w:szCs w:val="18"/>
          <w:lang w:val="en-US"/>
        </w:rPr>
        <w:t>paper menus</w:t>
      </w:r>
      <w:r>
        <w:rPr>
          <w:rFonts w:ascii="Times New Roman" w:hAnsi="Times New Roman"/>
          <w:sz w:val="18"/>
          <w:szCs w:val="18"/>
          <w:lang w:val="en-US"/>
        </w:rPr>
        <w:t xml:space="preserve"> and tags</w:t>
      </w:r>
      <w:r w:rsidRPr="006531D8">
        <w:rPr>
          <w:rFonts w:ascii="Times New Roman" w:hAnsi="Times New Roman"/>
          <w:sz w:val="18"/>
          <w:szCs w:val="18"/>
          <w:lang w:val="en-US"/>
        </w:rPr>
        <w:t xml:space="preserve">, menu boards, </w:t>
      </w:r>
      <w:r>
        <w:rPr>
          <w:rFonts w:ascii="Times New Roman" w:hAnsi="Times New Roman"/>
          <w:sz w:val="18"/>
          <w:szCs w:val="18"/>
          <w:lang w:val="en-US"/>
        </w:rPr>
        <w:t xml:space="preserve">drive-thru menus, </w:t>
      </w:r>
      <w:r w:rsidRPr="006531D8">
        <w:rPr>
          <w:rFonts w:ascii="Times New Roman" w:hAnsi="Times New Roman"/>
          <w:sz w:val="18"/>
          <w:szCs w:val="18"/>
          <w:lang w:val="en-US"/>
        </w:rPr>
        <w:t>online menus.</w:t>
      </w:r>
    </w:p>
    <w:p w14:paraId="39C01E7C" w14:textId="6B5FDDB9" w:rsidR="00494275" w:rsidRPr="00DC4D93" w:rsidRDefault="00437FC3" w:rsidP="00494275">
      <w:pPr>
        <w:pStyle w:val="EndnoteText"/>
        <w:spacing w:after="40"/>
        <w:rPr>
          <w:rFonts w:ascii="Times New Roman" w:hAnsi="Times New Roman"/>
          <w:sz w:val="18"/>
          <w:szCs w:val="18"/>
          <w:lang w:val="en-US"/>
        </w:rPr>
      </w:pPr>
      <w:r>
        <w:rPr>
          <w:rFonts w:ascii="Times New Roman" w:hAnsi="Times New Roman"/>
          <w:sz w:val="18"/>
          <w:szCs w:val="18"/>
          <w:lang w:val="en-US"/>
        </w:rPr>
        <w:t>3</w:t>
      </w:r>
      <w:r w:rsidR="00097B5B">
        <w:rPr>
          <w:rFonts w:ascii="Times New Roman" w:hAnsi="Times New Roman"/>
          <w:sz w:val="18"/>
          <w:szCs w:val="18"/>
          <w:lang w:val="en-US"/>
        </w:rPr>
        <w:t>.</w:t>
      </w:r>
      <w:r w:rsidR="00494275" w:rsidRPr="00E67A4C">
        <w:rPr>
          <w:rFonts w:ascii="Times New Roman" w:hAnsi="Times New Roman"/>
          <w:sz w:val="18"/>
          <w:szCs w:val="18"/>
          <w:lang w:val="en-US"/>
        </w:rPr>
        <w:t xml:space="preserve"> </w:t>
      </w:r>
      <w:r w:rsidR="00494275" w:rsidRPr="00DC4D93">
        <w:rPr>
          <w:rFonts w:ascii="Times New Roman" w:hAnsi="Times New Roman"/>
          <w:i/>
          <w:sz w:val="18"/>
          <w:szCs w:val="18"/>
          <w:lang w:val="en-AU"/>
        </w:rPr>
        <w:t>Food Standards Australia New Zealand (FSANZ) Act 1991, Part 2, Division 2, Section 18(1)</w:t>
      </w:r>
    </w:p>
    <w:p w14:paraId="1A5E55F0" w14:textId="57C9E38A" w:rsidR="00494275" w:rsidRPr="00DC4D93" w:rsidRDefault="00437FC3" w:rsidP="00494275">
      <w:pPr>
        <w:pStyle w:val="EndnoteText"/>
        <w:spacing w:after="40"/>
        <w:rPr>
          <w:rFonts w:ascii="Times New Roman" w:hAnsi="Times New Roman"/>
          <w:sz w:val="18"/>
          <w:szCs w:val="18"/>
          <w:lang w:val="en-US"/>
        </w:rPr>
      </w:pPr>
      <w:r>
        <w:rPr>
          <w:rFonts w:ascii="Times New Roman" w:hAnsi="Times New Roman"/>
          <w:sz w:val="18"/>
          <w:szCs w:val="18"/>
          <w:lang w:val="en-US"/>
        </w:rPr>
        <w:t>4</w:t>
      </w:r>
      <w:r w:rsidR="00097B5B">
        <w:rPr>
          <w:rFonts w:ascii="Times New Roman" w:hAnsi="Times New Roman"/>
          <w:sz w:val="18"/>
          <w:szCs w:val="18"/>
          <w:lang w:val="en-US"/>
        </w:rPr>
        <w:t>.</w:t>
      </w:r>
      <w:r w:rsidR="00494275" w:rsidRPr="00DC4D93">
        <w:rPr>
          <w:rFonts w:ascii="Times New Roman" w:hAnsi="Times New Roman"/>
          <w:sz w:val="18"/>
          <w:szCs w:val="18"/>
        </w:rPr>
        <w:t xml:space="preserve"> Available at: </w:t>
      </w:r>
      <w:hyperlink r:id="rId24" w:history="1">
        <w:r w:rsidR="00494275" w:rsidRPr="00DC4D93">
          <w:rPr>
            <w:rStyle w:val="Hyperlink"/>
            <w:rFonts w:ascii="Times New Roman" w:hAnsi="Times New Roman"/>
            <w:sz w:val="18"/>
            <w:szCs w:val="18"/>
          </w:rPr>
          <w:t>https://foodregulation.gov.au/internet/fr/publishing.nsf/Content/key-system-documents</w:t>
        </w:r>
      </w:hyperlink>
    </w:p>
    <w:p w14:paraId="30139854" w14:textId="772AFD2C" w:rsidR="00494275" w:rsidRPr="00E67A4C" w:rsidRDefault="00437FC3" w:rsidP="00494275">
      <w:pPr>
        <w:pStyle w:val="EndnoteText"/>
        <w:spacing w:after="40"/>
        <w:rPr>
          <w:rFonts w:ascii="Times New Roman" w:hAnsi="Times New Roman"/>
          <w:sz w:val="18"/>
          <w:szCs w:val="18"/>
          <w:lang w:val="en-US"/>
        </w:rPr>
      </w:pPr>
      <w:r>
        <w:rPr>
          <w:rFonts w:ascii="Times New Roman" w:hAnsi="Times New Roman"/>
          <w:sz w:val="18"/>
          <w:szCs w:val="18"/>
          <w:lang w:val="en-US"/>
        </w:rPr>
        <w:t>5</w:t>
      </w:r>
      <w:r w:rsidR="00097B5B">
        <w:rPr>
          <w:rFonts w:ascii="Times New Roman" w:hAnsi="Times New Roman"/>
          <w:sz w:val="18"/>
          <w:szCs w:val="18"/>
          <w:lang w:val="en-US"/>
        </w:rPr>
        <w:t>.</w:t>
      </w:r>
      <w:r w:rsidR="00494275" w:rsidRPr="00DC4D93">
        <w:rPr>
          <w:rFonts w:ascii="Times New Roman" w:hAnsi="Times New Roman"/>
          <w:iCs/>
          <w:sz w:val="18"/>
          <w:szCs w:val="18"/>
          <w:lang w:val="en-AU"/>
        </w:rPr>
        <w:t xml:space="preserve"> </w:t>
      </w:r>
      <w:r w:rsidR="003E3A18" w:rsidRPr="00DC4D93">
        <w:rPr>
          <w:rFonts w:ascii="Times New Roman" w:hAnsi="Times New Roman"/>
          <w:sz w:val="18"/>
          <w:szCs w:val="18"/>
        </w:rPr>
        <w:t xml:space="preserve">Commonwealth of Australia, Department of the Prime Minister and Cabinet. 2021. </w:t>
      </w:r>
      <w:r w:rsidR="003E3A18" w:rsidRPr="00DC4D93">
        <w:rPr>
          <w:rFonts w:ascii="Times New Roman" w:hAnsi="Times New Roman"/>
          <w:i/>
          <w:sz w:val="18"/>
          <w:szCs w:val="18"/>
        </w:rPr>
        <w:t>Regulatory Impact Analysis Guide for Ministers’ Meetings and National Standard Setting Bodies</w:t>
      </w:r>
      <w:r w:rsidR="003E3A18" w:rsidRPr="00DC4D93">
        <w:rPr>
          <w:rFonts w:ascii="Times New Roman" w:hAnsi="Times New Roman"/>
          <w:sz w:val="18"/>
          <w:szCs w:val="18"/>
        </w:rPr>
        <w:t xml:space="preserve">. </w:t>
      </w:r>
      <w:hyperlink r:id="rId25" w:history="1">
        <w:r w:rsidR="003E3A18" w:rsidRPr="00DC4D93">
          <w:rPr>
            <w:rStyle w:val="Hyperlink"/>
            <w:rFonts w:ascii="Times New Roman" w:hAnsi="Times New Roman"/>
            <w:sz w:val="18"/>
            <w:szCs w:val="18"/>
          </w:rPr>
          <w:t>https://obpr.pmc.gov.au/resources/guidance-impact-analysis/regulatory-impact-analysis-guide-ministers-meetings-and-national</w:t>
        </w:r>
      </w:hyperlink>
    </w:p>
    <w:p w14:paraId="7AC79492" w14:textId="473F6B3C" w:rsidR="00494275" w:rsidRPr="00E67A4C" w:rsidRDefault="00437FC3" w:rsidP="00494275">
      <w:pPr>
        <w:pStyle w:val="EndnoteText"/>
        <w:spacing w:after="40"/>
        <w:rPr>
          <w:rStyle w:val="Hyperlink"/>
          <w:rFonts w:ascii="Times New Roman" w:hAnsi="Times New Roman"/>
          <w:color w:val="auto"/>
          <w:sz w:val="18"/>
          <w:szCs w:val="18"/>
          <w:u w:val="none"/>
          <w:lang w:val="en-US"/>
        </w:rPr>
      </w:pPr>
      <w:r>
        <w:rPr>
          <w:rFonts w:ascii="Times New Roman" w:hAnsi="Times New Roman"/>
          <w:sz w:val="18"/>
          <w:szCs w:val="18"/>
          <w:lang w:val="en-US"/>
        </w:rPr>
        <w:t>6</w:t>
      </w:r>
      <w:r w:rsidR="00097B5B">
        <w:rPr>
          <w:rFonts w:ascii="Times New Roman" w:hAnsi="Times New Roman"/>
          <w:sz w:val="18"/>
          <w:szCs w:val="18"/>
          <w:lang w:val="en-US"/>
        </w:rPr>
        <w:t>.</w:t>
      </w:r>
      <w:r w:rsidR="00494275" w:rsidRPr="00E67A4C">
        <w:rPr>
          <w:rFonts w:ascii="Times New Roman" w:hAnsi="Times New Roman"/>
          <w:sz w:val="18"/>
          <w:szCs w:val="18"/>
        </w:rPr>
        <w:t xml:space="preserve"> Government of New Zealand. 2017. </w:t>
      </w:r>
      <w:r w:rsidR="00494275" w:rsidRPr="00E67A4C">
        <w:rPr>
          <w:rFonts w:ascii="Times New Roman" w:hAnsi="Times New Roman"/>
          <w:i/>
          <w:iCs/>
          <w:sz w:val="18"/>
          <w:szCs w:val="18"/>
        </w:rPr>
        <w:t xml:space="preserve">Government Expectations for Good Regulatory Practice. </w:t>
      </w:r>
      <w:hyperlink r:id="rId26" w:history="1">
        <w:r w:rsidR="00494275" w:rsidRPr="00E67A4C">
          <w:rPr>
            <w:rStyle w:val="Hyperlink"/>
            <w:rFonts w:ascii="Times New Roman" w:hAnsi="Times New Roman"/>
            <w:sz w:val="18"/>
            <w:szCs w:val="18"/>
          </w:rPr>
          <w:t>https://treasury.govt.nz/publications/guide/government-expectations-good-regulatory-practice</w:t>
        </w:r>
      </w:hyperlink>
    </w:p>
    <w:p w14:paraId="4E2AB856" w14:textId="6701A626" w:rsidR="00494275" w:rsidRPr="00E67A4C" w:rsidRDefault="005763E4" w:rsidP="00494275">
      <w:pPr>
        <w:spacing w:after="40"/>
        <w:rPr>
          <w:sz w:val="18"/>
          <w:szCs w:val="18"/>
        </w:rPr>
      </w:pPr>
      <w:r>
        <w:rPr>
          <w:sz w:val="18"/>
          <w:szCs w:val="18"/>
        </w:rPr>
        <w:t>7</w:t>
      </w:r>
      <w:r w:rsidR="00097B5B">
        <w:rPr>
          <w:sz w:val="18"/>
          <w:szCs w:val="18"/>
        </w:rPr>
        <w:t>.</w:t>
      </w:r>
      <w:r w:rsidR="00494275" w:rsidRPr="00E67A4C">
        <w:rPr>
          <w:sz w:val="18"/>
          <w:szCs w:val="18"/>
        </w:rPr>
        <w:t xml:space="preserve"> 8700kJ is the reference value for energy as defined in the Australia New Zealand Food Standards Code – Standard 1.2.8—8 – Percentage daily intake information.</w:t>
      </w:r>
    </w:p>
    <w:p w14:paraId="57EEA796" w14:textId="454FF957" w:rsidR="00494275" w:rsidRDefault="005763E4" w:rsidP="00494275">
      <w:pPr>
        <w:spacing w:after="40"/>
        <w:rPr>
          <w:sz w:val="18"/>
          <w:szCs w:val="18"/>
        </w:rPr>
      </w:pPr>
      <w:r>
        <w:rPr>
          <w:sz w:val="18"/>
          <w:szCs w:val="18"/>
        </w:rPr>
        <w:t>8</w:t>
      </w:r>
      <w:r w:rsidR="00097B5B">
        <w:rPr>
          <w:sz w:val="18"/>
          <w:szCs w:val="18"/>
        </w:rPr>
        <w:t>.</w:t>
      </w:r>
      <w:r w:rsidR="00494275" w:rsidRPr="00E67A4C">
        <w:rPr>
          <w:sz w:val="18"/>
          <w:szCs w:val="18"/>
        </w:rPr>
        <w:t xml:space="preserve"> </w:t>
      </w:r>
      <w:r w:rsidR="00E7315A">
        <w:rPr>
          <w:sz w:val="18"/>
          <w:szCs w:val="18"/>
        </w:rPr>
        <w:t xml:space="preserve">‘Ready-to-eat food’ and </w:t>
      </w:r>
      <w:r w:rsidR="00BC4701">
        <w:rPr>
          <w:sz w:val="18"/>
          <w:szCs w:val="18"/>
        </w:rPr>
        <w:t>‘bear a label’ a</w:t>
      </w:r>
      <w:r w:rsidR="00494275" w:rsidRPr="00E67A4C">
        <w:rPr>
          <w:sz w:val="18"/>
          <w:szCs w:val="18"/>
        </w:rPr>
        <w:t>s defined in the Australia New Zealand Food Standards Code – Standard 1.1.2 – Definitions used through the Code.</w:t>
      </w:r>
    </w:p>
    <w:p w14:paraId="79A0185B" w14:textId="77777777" w:rsidR="00494275" w:rsidRDefault="00494275" w:rsidP="00494275">
      <w:pPr>
        <w:rPr>
          <w:sz w:val="18"/>
          <w:szCs w:val="18"/>
        </w:rPr>
      </w:pPr>
      <w:r>
        <w:rPr>
          <w:sz w:val="18"/>
          <w:szCs w:val="18"/>
        </w:rPr>
        <w:br w:type="page"/>
      </w:r>
    </w:p>
    <w:p w14:paraId="1FFC371E" w14:textId="77777777" w:rsidR="00005D07" w:rsidRDefault="00005D07" w:rsidP="00F6154A">
      <w:pPr>
        <w:pStyle w:val="Heading2"/>
        <w:rPr>
          <w:rStyle w:val="Heading1Char"/>
          <w:rFonts w:ascii="Times New Roman" w:hAnsi="Times New Roman" w:cs="Times New Roman"/>
          <w:b/>
          <w:bCs/>
          <w:szCs w:val="28"/>
        </w:rPr>
        <w:sectPr w:rsidR="00005D07" w:rsidSect="00246032">
          <w:footerReference w:type="default" r:id="rId27"/>
          <w:pgSz w:w="11900" w:h="16840"/>
          <w:pgMar w:top="1134" w:right="1418" w:bottom="1134" w:left="1418" w:header="227" w:footer="283" w:gutter="0"/>
          <w:cols w:space="720"/>
          <w:docGrid w:linePitch="326"/>
        </w:sectPr>
      </w:pPr>
      <w:bookmarkStart w:id="96" w:name="_Toc47605597"/>
    </w:p>
    <w:p w14:paraId="63FFFA4B" w14:textId="6B1BAE57" w:rsidR="00DE628A" w:rsidRPr="00E67A4C" w:rsidRDefault="00DE628A" w:rsidP="00F6154A">
      <w:pPr>
        <w:pStyle w:val="Heading2"/>
        <w:rPr>
          <w:rStyle w:val="Heading1Char"/>
          <w:rFonts w:ascii="Times New Roman" w:hAnsi="Times New Roman" w:cs="Times New Roman"/>
          <w:b/>
          <w:bCs/>
          <w:szCs w:val="28"/>
        </w:rPr>
      </w:pPr>
      <w:bookmarkStart w:id="97" w:name="_Toc91189678"/>
      <w:r w:rsidRPr="00404663">
        <w:rPr>
          <w:rStyle w:val="Heading1Char"/>
          <w:rFonts w:ascii="Times New Roman" w:hAnsi="Times New Roman" w:cs="Times New Roman"/>
          <w:b/>
          <w:bCs/>
          <w:szCs w:val="28"/>
        </w:rPr>
        <w:lastRenderedPageBreak/>
        <w:t>Appendix 2: Summary of evidence for the effectiveness of menu labelling</w:t>
      </w:r>
      <w:bookmarkEnd w:id="96"/>
      <w:bookmarkEnd w:id="97"/>
    </w:p>
    <w:p w14:paraId="6E31FAC4" w14:textId="77777777" w:rsidR="00DE628A" w:rsidRPr="00E67A4C" w:rsidRDefault="00DE628A" w:rsidP="00DE628A"/>
    <w:p w14:paraId="0E6E2426" w14:textId="3241A248" w:rsidR="00DE628A" w:rsidRPr="00DC4D93" w:rsidRDefault="00DE628A" w:rsidP="00DE628A">
      <w:r w:rsidRPr="00DC4D93">
        <w:t xml:space="preserve">The below table outlines a selection of systematic reviews, meta-analyses and </w:t>
      </w:r>
      <w:r w:rsidR="0038718E" w:rsidRPr="00DC4D93">
        <w:t>evidence</w:t>
      </w:r>
      <w:r w:rsidRPr="00DC4D93">
        <w:t xml:space="preserve"> reviews on menu labelling since 2015. Individual studies are not included</w:t>
      </w:r>
      <w:r w:rsidR="00335DE3" w:rsidRPr="00DC4D93">
        <w:t>, as have been captured within the systematic reviews or meta-analyses.</w:t>
      </w:r>
      <w:r w:rsidR="00A054D8" w:rsidRPr="00DC4D93">
        <w:t xml:space="preserve"> </w:t>
      </w:r>
    </w:p>
    <w:p w14:paraId="326D6B7F" w14:textId="77777777" w:rsidR="00DE628A" w:rsidRPr="00DC4D93" w:rsidRDefault="00DE628A" w:rsidP="00DE628A"/>
    <w:tbl>
      <w:tblPr>
        <w:tblStyle w:val="PlainTable4"/>
        <w:tblW w:w="14601" w:type="dxa"/>
        <w:tblLook w:val="04A0" w:firstRow="1" w:lastRow="0" w:firstColumn="1" w:lastColumn="0" w:noHBand="0" w:noVBand="1"/>
        <w:tblCaption w:val="Selection of systematic reviews and meta-analyses on menu labelling since 2015"/>
        <w:tblDescription w:val="3 columns. 1. Meta-analysis or systematic review. 2. Studies. 3. Results / Concusions. 8. Rows. 1. Headings. 2 to 8 are specific titles with author, journal and date."/>
      </w:tblPr>
      <w:tblGrid>
        <w:gridCol w:w="2440"/>
        <w:gridCol w:w="2199"/>
        <w:gridCol w:w="39"/>
        <w:gridCol w:w="2238"/>
        <w:gridCol w:w="38"/>
        <w:gridCol w:w="2200"/>
        <w:gridCol w:w="5447"/>
      </w:tblGrid>
      <w:tr w:rsidR="00936DD5" w:rsidRPr="00E67A4C" w14:paraId="20E57E96" w14:textId="77777777" w:rsidTr="00936DD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40" w:type="dxa"/>
          </w:tcPr>
          <w:p w14:paraId="2AC1A8A0" w14:textId="47FFA836" w:rsidR="00577AE1" w:rsidRPr="00DC4D93" w:rsidRDefault="00577AE1" w:rsidP="005C2A0C">
            <w:pPr>
              <w:rPr>
                <w:sz w:val="20"/>
                <w:szCs w:val="20"/>
              </w:rPr>
            </w:pPr>
            <w:r w:rsidRPr="00DC4D93">
              <w:rPr>
                <w:sz w:val="20"/>
                <w:szCs w:val="20"/>
              </w:rPr>
              <w:t xml:space="preserve">Citation </w:t>
            </w:r>
          </w:p>
        </w:tc>
        <w:tc>
          <w:tcPr>
            <w:tcW w:w="2199" w:type="dxa"/>
          </w:tcPr>
          <w:p w14:paraId="01176880" w14:textId="3AEDB2BC" w:rsidR="00577AE1" w:rsidRPr="00DC4D93" w:rsidRDefault="00AF26A6" w:rsidP="005C2A0C">
            <w:pPr>
              <w:cnfStyle w:val="100000000000" w:firstRow="1" w:lastRow="0" w:firstColumn="0" w:lastColumn="0" w:oddVBand="0" w:evenVBand="0" w:oddHBand="0" w:evenHBand="0" w:firstRowFirstColumn="0" w:firstRowLastColumn="0" w:lastRowFirstColumn="0" w:lastRowLastColumn="0"/>
              <w:rPr>
                <w:sz w:val="20"/>
                <w:szCs w:val="20"/>
              </w:rPr>
            </w:pPr>
            <w:r w:rsidRPr="00DC4D93">
              <w:rPr>
                <w:sz w:val="20"/>
                <w:szCs w:val="20"/>
              </w:rPr>
              <w:t>I</w:t>
            </w:r>
            <w:r w:rsidR="00577AE1" w:rsidRPr="00DC4D93">
              <w:rPr>
                <w:sz w:val="20"/>
                <w:szCs w:val="20"/>
              </w:rPr>
              <w:t>ncluded studies</w:t>
            </w:r>
            <w:r w:rsidR="00577AE1" w:rsidRPr="00DC4D93">
              <w:rPr>
                <w:rStyle w:val="FootnoteReference"/>
                <w:sz w:val="20"/>
                <w:szCs w:val="20"/>
              </w:rPr>
              <w:footnoteReference w:id="133"/>
            </w:r>
          </w:p>
        </w:tc>
        <w:tc>
          <w:tcPr>
            <w:tcW w:w="2315" w:type="dxa"/>
            <w:gridSpan w:val="3"/>
          </w:tcPr>
          <w:p w14:paraId="345226AE" w14:textId="175F2982" w:rsidR="00577AE1" w:rsidRPr="00DC4D93" w:rsidRDefault="00577AE1" w:rsidP="005C2A0C">
            <w:pPr>
              <w:cnfStyle w:val="100000000000" w:firstRow="1" w:lastRow="0" w:firstColumn="0" w:lastColumn="0" w:oddVBand="0" w:evenVBand="0" w:oddHBand="0" w:evenHBand="0" w:firstRowFirstColumn="0" w:firstRowLastColumn="0" w:lastRowFirstColumn="0" w:lastRowLastColumn="0"/>
              <w:rPr>
                <w:sz w:val="20"/>
                <w:szCs w:val="20"/>
              </w:rPr>
            </w:pPr>
            <w:r w:rsidRPr="00DC4D93">
              <w:rPr>
                <w:sz w:val="20"/>
                <w:szCs w:val="20"/>
              </w:rPr>
              <w:t>Location and setting</w:t>
            </w:r>
          </w:p>
        </w:tc>
        <w:tc>
          <w:tcPr>
            <w:tcW w:w="2200" w:type="dxa"/>
          </w:tcPr>
          <w:p w14:paraId="626ED285" w14:textId="292BDDA6" w:rsidR="00577AE1" w:rsidRPr="00DC4D93" w:rsidRDefault="00577AE1" w:rsidP="005C2A0C">
            <w:pPr>
              <w:cnfStyle w:val="100000000000" w:firstRow="1" w:lastRow="0" w:firstColumn="0" w:lastColumn="0" w:oddVBand="0" w:evenVBand="0" w:oddHBand="0" w:evenHBand="0" w:firstRowFirstColumn="0" w:firstRowLastColumn="0" w:lastRowFirstColumn="0" w:lastRowLastColumn="0"/>
              <w:rPr>
                <w:sz w:val="20"/>
                <w:szCs w:val="20"/>
              </w:rPr>
            </w:pPr>
            <w:r w:rsidRPr="00DC4D93">
              <w:rPr>
                <w:sz w:val="20"/>
                <w:szCs w:val="20"/>
              </w:rPr>
              <w:t>Intervention / outcome measured</w:t>
            </w:r>
          </w:p>
        </w:tc>
        <w:tc>
          <w:tcPr>
            <w:tcW w:w="5447" w:type="dxa"/>
          </w:tcPr>
          <w:p w14:paraId="508F34B2" w14:textId="06AAE9BF" w:rsidR="00577AE1" w:rsidRPr="00E30A5F" w:rsidRDefault="00577AE1" w:rsidP="005C2A0C">
            <w:pPr>
              <w:cnfStyle w:val="100000000000" w:firstRow="1" w:lastRow="0" w:firstColumn="0" w:lastColumn="0" w:oddVBand="0" w:evenVBand="0" w:oddHBand="0" w:evenHBand="0" w:firstRowFirstColumn="0" w:firstRowLastColumn="0" w:lastRowFirstColumn="0" w:lastRowLastColumn="0"/>
              <w:rPr>
                <w:sz w:val="20"/>
                <w:szCs w:val="20"/>
              </w:rPr>
            </w:pPr>
            <w:r w:rsidRPr="00DC4D93">
              <w:rPr>
                <w:sz w:val="20"/>
                <w:szCs w:val="20"/>
              </w:rPr>
              <w:t>Results / Conclusions</w:t>
            </w:r>
          </w:p>
        </w:tc>
      </w:tr>
      <w:tr w:rsidR="00936DD5" w:rsidRPr="00E67A4C" w14:paraId="3BB2556F" w14:textId="77777777" w:rsidTr="00936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0" w:type="dxa"/>
          </w:tcPr>
          <w:p w14:paraId="1F3605E1" w14:textId="77777777" w:rsidR="001F6856" w:rsidRPr="00E30A5F" w:rsidRDefault="001F6856" w:rsidP="005C2A0C">
            <w:pPr>
              <w:rPr>
                <w:b w:val="0"/>
                <w:bCs w:val="0"/>
                <w:sz w:val="20"/>
                <w:szCs w:val="20"/>
              </w:rPr>
            </w:pPr>
            <w:r w:rsidRPr="00E30A5F">
              <w:rPr>
                <w:b w:val="0"/>
                <w:bCs w:val="0"/>
                <w:sz w:val="20"/>
                <w:szCs w:val="20"/>
              </w:rPr>
              <w:t xml:space="preserve">Bleich et al. 2017. A systematic review of calorie </w:t>
            </w:r>
            <w:proofErr w:type="spellStart"/>
            <w:r w:rsidRPr="00E30A5F">
              <w:rPr>
                <w:b w:val="0"/>
                <w:bCs w:val="0"/>
                <w:sz w:val="20"/>
                <w:szCs w:val="20"/>
              </w:rPr>
              <w:t>labeling</w:t>
            </w:r>
            <w:proofErr w:type="spellEnd"/>
            <w:r w:rsidRPr="00E30A5F">
              <w:rPr>
                <w:b w:val="0"/>
                <w:bCs w:val="0"/>
                <w:sz w:val="20"/>
                <w:szCs w:val="20"/>
              </w:rPr>
              <w:t xml:space="preserve"> and modified calorie </w:t>
            </w:r>
            <w:proofErr w:type="spellStart"/>
            <w:r w:rsidRPr="00E30A5F">
              <w:rPr>
                <w:b w:val="0"/>
                <w:bCs w:val="0"/>
                <w:sz w:val="20"/>
                <w:szCs w:val="20"/>
              </w:rPr>
              <w:t>labeling</w:t>
            </w:r>
            <w:proofErr w:type="spellEnd"/>
            <w:r w:rsidRPr="00E30A5F">
              <w:rPr>
                <w:b w:val="0"/>
                <w:bCs w:val="0"/>
                <w:sz w:val="20"/>
                <w:szCs w:val="20"/>
              </w:rPr>
              <w:t xml:space="preserve"> interventions: impact on consumer and restaurant </w:t>
            </w:r>
            <w:proofErr w:type="spellStart"/>
            <w:r w:rsidRPr="00E30A5F">
              <w:rPr>
                <w:b w:val="0"/>
                <w:bCs w:val="0"/>
                <w:sz w:val="20"/>
                <w:szCs w:val="20"/>
              </w:rPr>
              <w:t>behavior</w:t>
            </w:r>
            <w:proofErr w:type="spellEnd"/>
            <w:r w:rsidRPr="00E30A5F">
              <w:rPr>
                <w:b w:val="0"/>
                <w:bCs w:val="0"/>
                <w:sz w:val="20"/>
                <w:szCs w:val="20"/>
              </w:rPr>
              <w:t xml:space="preserve">. </w:t>
            </w:r>
            <w:r w:rsidRPr="00E30A5F">
              <w:rPr>
                <w:b w:val="0"/>
                <w:bCs w:val="0"/>
                <w:i/>
                <w:sz w:val="20"/>
                <w:szCs w:val="20"/>
              </w:rPr>
              <w:t>Obesity</w:t>
            </w:r>
            <w:r w:rsidRPr="00E30A5F">
              <w:rPr>
                <w:b w:val="0"/>
                <w:bCs w:val="0"/>
                <w:sz w:val="20"/>
                <w:szCs w:val="20"/>
              </w:rPr>
              <w:t>, 25(12), 2018-2044.</w:t>
            </w:r>
          </w:p>
        </w:tc>
        <w:tc>
          <w:tcPr>
            <w:tcW w:w="2199" w:type="dxa"/>
          </w:tcPr>
          <w:p w14:paraId="271A8D44" w14:textId="77777777" w:rsidR="001F6856" w:rsidRDefault="001F6856" w:rsidP="005C2A0C">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53 studies:</w:t>
            </w:r>
          </w:p>
          <w:p w14:paraId="173F877A" w14:textId="512AEAAF" w:rsidR="001F6856" w:rsidRDefault="001F6856" w:rsidP="001F6856">
            <w:pPr>
              <w:pStyle w:val="ListParagraph"/>
              <w:numPr>
                <w:ilvl w:val="0"/>
                <w:numId w:val="65"/>
              </w:numPr>
              <w:ind w:left="140" w:hanging="14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 RCTs</w:t>
            </w:r>
          </w:p>
          <w:p w14:paraId="7B3D176D" w14:textId="22393496" w:rsidR="001F6856" w:rsidRDefault="001F6856" w:rsidP="001F6856">
            <w:pPr>
              <w:pStyle w:val="ListParagraph"/>
              <w:numPr>
                <w:ilvl w:val="0"/>
                <w:numId w:val="65"/>
              </w:numPr>
              <w:ind w:left="140" w:hanging="14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 Q-RCTs</w:t>
            </w:r>
          </w:p>
          <w:p w14:paraId="78CA736B" w14:textId="77777777" w:rsidR="001F6856" w:rsidRDefault="001F6856" w:rsidP="001F6856">
            <w:pPr>
              <w:pStyle w:val="ListParagraph"/>
              <w:numPr>
                <w:ilvl w:val="0"/>
                <w:numId w:val="65"/>
              </w:numPr>
              <w:ind w:left="140" w:hanging="140"/>
              <w:cnfStyle w:val="000000100000" w:firstRow="0" w:lastRow="0" w:firstColumn="0" w:lastColumn="0" w:oddVBand="0" w:evenVBand="0" w:oddHBand="1" w:evenHBand="0" w:firstRowFirstColumn="0" w:firstRowLastColumn="0" w:lastRowFirstColumn="0" w:lastRowLastColumn="0"/>
              <w:rPr>
                <w:sz w:val="20"/>
                <w:szCs w:val="20"/>
              </w:rPr>
            </w:pPr>
            <w:r w:rsidRPr="0090320F">
              <w:rPr>
                <w:sz w:val="20"/>
                <w:szCs w:val="20"/>
              </w:rPr>
              <w:t xml:space="preserve">7 NE </w:t>
            </w:r>
          </w:p>
          <w:p w14:paraId="5C19BFA8" w14:textId="29A41330" w:rsidR="001F6856" w:rsidRDefault="001F6856" w:rsidP="001F6856">
            <w:pPr>
              <w:pStyle w:val="ListParagraph"/>
              <w:numPr>
                <w:ilvl w:val="0"/>
                <w:numId w:val="65"/>
              </w:numPr>
              <w:ind w:left="140" w:hanging="140"/>
              <w:cnfStyle w:val="000000100000" w:firstRow="0" w:lastRow="0" w:firstColumn="0" w:lastColumn="0" w:oddVBand="0" w:evenVBand="0" w:oddHBand="1" w:evenHBand="0" w:firstRowFirstColumn="0" w:firstRowLastColumn="0" w:lastRowFirstColumn="0" w:lastRowLastColumn="0"/>
              <w:rPr>
                <w:sz w:val="20"/>
                <w:szCs w:val="20"/>
              </w:rPr>
            </w:pPr>
            <w:r w:rsidRPr="0090320F">
              <w:rPr>
                <w:sz w:val="20"/>
                <w:szCs w:val="20"/>
              </w:rPr>
              <w:t>1</w:t>
            </w:r>
            <w:r>
              <w:rPr>
                <w:sz w:val="20"/>
                <w:szCs w:val="20"/>
              </w:rPr>
              <w:t>6</w:t>
            </w:r>
            <w:r w:rsidRPr="0090320F">
              <w:rPr>
                <w:sz w:val="20"/>
                <w:szCs w:val="20"/>
              </w:rPr>
              <w:t xml:space="preserve"> P/P </w:t>
            </w:r>
          </w:p>
          <w:p w14:paraId="7FDAA02E" w14:textId="77777777" w:rsidR="001F6856" w:rsidRDefault="001F6856" w:rsidP="001F6856">
            <w:pPr>
              <w:pStyle w:val="ListParagraph"/>
              <w:numPr>
                <w:ilvl w:val="0"/>
                <w:numId w:val="65"/>
              </w:numPr>
              <w:ind w:left="140" w:hanging="14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 CS</w:t>
            </w:r>
          </w:p>
          <w:p w14:paraId="03C9B9F5" w14:textId="77777777" w:rsidR="001F6856" w:rsidRDefault="001F6856" w:rsidP="001F6856">
            <w:pPr>
              <w:pStyle w:val="ListParagraph"/>
              <w:numPr>
                <w:ilvl w:val="0"/>
                <w:numId w:val="65"/>
              </w:numPr>
              <w:ind w:left="140" w:hanging="14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21 L/S</w:t>
            </w:r>
          </w:p>
          <w:p w14:paraId="23EFF956" w14:textId="79E142F0" w:rsidR="001F6856" w:rsidRPr="00E30A5F" w:rsidRDefault="001F6856" w:rsidP="001F6856">
            <w:pPr>
              <w:pStyle w:val="ListParagraph"/>
              <w:numPr>
                <w:ilvl w:val="0"/>
                <w:numId w:val="65"/>
              </w:numPr>
              <w:ind w:left="140" w:hanging="14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4 others </w:t>
            </w:r>
          </w:p>
          <w:p w14:paraId="561C2D55" w14:textId="77777777" w:rsidR="001F6856" w:rsidRDefault="001F6856" w:rsidP="001F6856">
            <w:pPr>
              <w:spacing w:after="40"/>
              <w:cnfStyle w:val="000000100000" w:firstRow="0" w:lastRow="0" w:firstColumn="0" w:lastColumn="0" w:oddVBand="0" w:evenVBand="0" w:oddHBand="1" w:evenHBand="0" w:firstRowFirstColumn="0" w:firstRowLastColumn="0" w:lastRowFirstColumn="0" w:lastRowLastColumn="0"/>
              <w:rPr>
                <w:sz w:val="20"/>
                <w:szCs w:val="20"/>
              </w:rPr>
            </w:pPr>
          </w:p>
          <w:p w14:paraId="2F46A9F8" w14:textId="4DE72B49" w:rsidR="001F6856" w:rsidRPr="001F6856" w:rsidRDefault="001F6856" w:rsidP="001F6856">
            <w:pPr>
              <w:spacing w:after="40"/>
              <w:cnfStyle w:val="000000100000" w:firstRow="0" w:lastRow="0" w:firstColumn="0" w:lastColumn="0" w:oddVBand="0" w:evenVBand="0" w:oddHBand="1" w:evenHBand="0" w:firstRowFirstColumn="0" w:firstRowLastColumn="0" w:lastRowFirstColumn="0" w:lastRowLastColumn="0"/>
              <w:rPr>
                <w:sz w:val="20"/>
                <w:szCs w:val="20"/>
              </w:rPr>
            </w:pPr>
            <w:r w:rsidRPr="001F6856">
              <w:rPr>
                <w:sz w:val="20"/>
                <w:szCs w:val="20"/>
              </w:rPr>
              <w:t>Studies to October 2016</w:t>
            </w:r>
          </w:p>
          <w:p w14:paraId="0FE950FB" w14:textId="40B8CE37" w:rsidR="001F6856" w:rsidRPr="00E30A5F" w:rsidRDefault="001F6856" w:rsidP="00600CB7">
            <w:pPr>
              <w:pStyle w:val="ListParagraph"/>
              <w:ind w:left="237"/>
              <w:cnfStyle w:val="000000100000" w:firstRow="0" w:lastRow="0" w:firstColumn="0" w:lastColumn="0" w:oddVBand="0" w:evenVBand="0" w:oddHBand="1" w:evenHBand="0" w:firstRowFirstColumn="0" w:firstRowLastColumn="0" w:lastRowFirstColumn="0" w:lastRowLastColumn="0"/>
              <w:rPr>
                <w:sz w:val="20"/>
                <w:szCs w:val="20"/>
              </w:rPr>
            </w:pPr>
          </w:p>
        </w:tc>
        <w:tc>
          <w:tcPr>
            <w:tcW w:w="2315" w:type="dxa"/>
            <w:gridSpan w:val="3"/>
          </w:tcPr>
          <w:p w14:paraId="192C753D" w14:textId="65AB6EF1" w:rsidR="001F6856" w:rsidRDefault="001F6856" w:rsidP="00DC1FC2">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USA (45), Canada (4), </w:t>
            </w:r>
            <w:r w:rsidRPr="00A754F8">
              <w:rPr>
                <w:b/>
                <w:bCs/>
                <w:sz w:val="20"/>
                <w:szCs w:val="20"/>
              </w:rPr>
              <w:t>Australia (2),</w:t>
            </w:r>
            <w:r>
              <w:rPr>
                <w:sz w:val="20"/>
                <w:szCs w:val="20"/>
              </w:rPr>
              <w:t xml:space="preserve"> UK (2)</w:t>
            </w:r>
            <w:r w:rsidR="00B663F7">
              <w:rPr>
                <w:sz w:val="20"/>
                <w:szCs w:val="20"/>
              </w:rPr>
              <w:t>.</w:t>
            </w:r>
          </w:p>
          <w:p w14:paraId="1166D578" w14:textId="77777777" w:rsidR="001F6856" w:rsidRDefault="001F6856" w:rsidP="00DC1FC2">
            <w:pPr>
              <w:cnfStyle w:val="000000100000" w:firstRow="0" w:lastRow="0" w:firstColumn="0" w:lastColumn="0" w:oddVBand="0" w:evenVBand="0" w:oddHBand="1" w:evenHBand="0" w:firstRowFirstColumn="0" w:firstRowLastColumn="0" w:lastRowFirstColumn="0" w:lastRowLastColumn="0"/>
              <w:rPr>
                <w:sz w:val="20"/>
                <w:szCs w:val="20"/>
              </w:rPr>
            </w:pPr>
          </w:p>
          <w:p w14:paraId="6A25B655" w14:textId="6000D124" w:rsidR="001F6856" w:rsidRDefault="001F6856" w:rsidP="00DC1FC2">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Real world</w:t>
            </w:r>
            <w:r w:rsidR="00FB3A26">
              <w:rPr>
                <w:sz w:val="20"/>
                <w:szCs w:val="20"/>
              </w:rPr>
              <w:t xml:space="preserve"> (</w:t>
            </w:r>
            <w:r w:rsidR="00156138">
              <w:rPr>
                <w:sz w:val="20"/>
                <w:szCs w:val="20"/>
              </w:rPr>
              <w:t>27</w:t>
            </w:r>
            <w:r>
              <w:rPr>
                <w:sz w:val="20"/>
                <w:szCs w:val="20"/>
              </w:rPr>
              <w:t>)</w:t>
            </w:r>
            <w:r w:rsidR="00EE4C51">
              <w:rPr>
                <w:sz w:val="20"/>
                <w:szCs w:val="20"/>
              </w:rPr>
              <w:t xml:space="preserve"> and </w:t>
            </w:r>
            <w:r w:rsidR="00FB3A26">
              <w:rPr>
                <w:sz w:val="20"/>
                <w:szCs w:val="20"/>
              </w:rPr>
              <w:t>e</w:t>
            </w:r>
            <w:r>
              <w:rPr>
                <w:sz w:val="20"/>
                <w:szCs w:val="20"/>
              </w:rPr>
              <w:t>xperimental settings (21)</w:t>
            </w:r>
          </w:p>
          <w:p w14:paraId="3B7B99E8" w14:textId="77777777" w:rsidR="001F6856" w:rsidRDefault="001F6856" w:rsidP="00DC1FC2">
            <w:pPr>
              <w:cnfStyle w:val="000000100000" w:firstRow="0" w:lastRow="0" w:firstColumn="0" w:lastColumn="0" w:oddVBand="0" w:evenVBand="0" w:oddHBand="1" w:evenHBand="0" w:firstRowFirstColumn="0" w:firstRowLastColumn="0" w:lastRowFirstColumn="0" w:lastRowLastColumn="0"/>
              <w:rPr>
                <w:sz w:val="20"/>
                <w:szCs w:val="20"/>
              </w:rPr>
            </w:pPr>
          </w:p>
          <w:p w14:paraId="16FDBF00" w14:textId="1DA63FFE" w:rsidR="001F6856" w:rsidRDefault="001F6856" w:rsidP="00DC1FC2">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Menu analysis pre-national regulation and post-local regulation (5)</w:t>
            </w:r>
          </w:p>
          <w:p w14:paraId="14F291E7" w14:textId="77777777" w:rsidR="001F6856" w:rsidRDefault="001F6856" w:rsidP="00DC1FC2">
            <w:pPr>
              <w:cnfStyle w:val="000000100000" w:firstRow="0" w:lastRow="0" w:firstColumn="0" w:lastColumn="0" w:oddVBand="0" w:evenVBand="0" w:oddHBand="1" w:evenHBand="0" w:firstRowFirstColumn="0" w:firstRowLastColumn="0" w:lastRowFirstColumn="0" w:lastRowLastColumn="0"/>
              <w:rPr>
                <w:sz w:val="20"/>
                <w:szCs w:val="20"/>
              </w:rPr>
            </w:pPr>
          </w:p>
          <w:p w14:paraId="26BE0D62" w14:textId="76CF5B2A" w:rsidR="001F6856" w:rsidRPr="00504AB8" w:rsidRDefault="001F6856" w:rsidP="008977F0">
            <w:pPr>
              <w:cnfStyle w:val="000000100000" w:firstRow="0" w:lastRow="0" w:firstColumn="0" w:lastColumn="0" w:oddVBand="0" w:evenVBand="0" w:oddHBand="1" w:evenHBand="0" w:firstRowFirstColumn="0" w:firstRowLastColumn="0" w:lastRowFirstColumn="0" w:lastRowLastColumn="0"/>
              <w:rPr>
                <w:i/>
                <w:iCs/>
                <w:sz w:val="20"/>
                <w:szCs w:val="20"/>
              </w:rPr>
            </w:pPr>
            <w:r w:rsidRPr="00504AB8">
              <w:rPr>
                <w:i/>
                <w:iCs/>
                <w:sz w:val="20"/>
                <w:szCs w:val="20"/>
              </w:rPr>
              <w:t>** Studies in Australia were simulated</w:t>
            </w:r>
          </w:p>
        </w:tc>
        <w:tc>
          <w:tcPr>
            <w:tcW w:w="2200" w:type="dxa"/>
          </w:tcPr>
          <w:p w14:paraId="768C43DB" w14:textId="02E94F42" w:rsidR="001F6856" w:rsidRPr="00E30A5F" w:rsidRDefault="001F6856" w:rsidP="005C2A0C">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Impact of energy information (calories, modified calories, nutrition symbols) displayed on menus on calories ordered, consumed or available for purchase on restaurant menus.</w:t>
            </w:r>
          </w:p>
        </w:tc>
        <w:tc>
          <w:tcPr>
            <w:tcW w:w="5447" w:type="dxa"/>
          </w:tcPr>
          <w:p w14:paraId="7E140E75" w14:textId="1ECE8A54" w:rsidR="001F6856" w:rsidRPr="00E30A5F" w:rsidRDefault="001F6856" w:rsidP="0055688D">
            <w:pPr>
              <w:pStyle w:val="ListParagraph"/>
              <w:numPr>
                <w:ilvl w:val="0"/>
                <w:numId w:val="15"/>
              </w:numPr>
              <w:spacing w:after="40"/>
              <w:cnfStyle w:val="000000100000" w:firstRow="0" w:lastRow="0" w:firstColumn="0" w:lastColumn="0" w:oddVBand="0" w:evenVBand="0" w:oddHBand="1" w:evenHBand="0" w:firstRowFirstColumn="0" w:firstRowLastColumn="0" w:lastRowFirstColumn="0" w:lastRowLastColumn="0"/>
              <w:rPr>
                <w:sz w:val="20"/>
                <w:szCs w:val="20"/>
              </w:rPr>
            </w:pPr>
            <w:r w:rsidRPr="00E30A5F">
              <w:rPr>
                <w:sz w:val="20"/>
                <w:szCs w:val="20"/>
              </w:rPr>
              <w:t>Limited evidence that menu labelling affects calories purchased at fast‐food restaurants.</w:t>
            </w:r>
          </w:p>
          <w:p w14:paraId="0FF61884" w14:textId="3C31C211" w:rsidR="001F6856" w:rsidRDefault="001F6856" w:rsidP="0055688D">
            <w:pPr>
              <w:pStyle w:val="ListParagraph"/>
              <w:numPr>
                <w:ilvl w:val="0"/>
                <w:numId w:val="15"/>
              </w:numPr>
              <w:spacing w:after="40"/>
              <w:cnfStyle w:val="000000100000" w:firstRow="0" w:lastRow="0" w:firstColumn="0" w:lastColumn="0" w:oddVBand="0" w:evenVBand="0" w:oddHBand="1" w:evenHBand="0" w:firstRowFirstColumn="0" w:firstRowLastColumn="0" w:lastRowFirstColumn="0" w:lastRowLastColumn="0"/>
              <w:rPr>
                <w:sz w:val="20"/>
                <w:szCs w:val="20"/>
              </w:rPr>
            </w:pPr>
            <w:r w:rsidRPr="00E30A5F">
              <w:rPr>
                <w:sz w:val="20"/>
                <w:szCs w:val="20"/>
              </w:rPr>
              <w:t xml:space="preserve">Some evidence demonstrates that menu labelling lowers calories purchased at </w:t>
            </w:r>
            <w:r>
              <w:rPr>
                <w:sz w:val="20"/>
                <w:szCs w:val="20"/>
              </w:rPr>
              <w:t>full-service chain restaurants</w:t>
            </w:r>
            <w:r w:rsidRPr="00E30A5F">
              <w:rPr>
                <w:sz w:val="20"/>
                <w:szCs w:val="20"/>
              </w:rPr>
              <w:t xml:space="preserve"> and in cafeteria settings. </w:t>
            </w:r>
          </w:p>
          <w:p w14:paraId="00B6921D" w14:textId="77777777" w:rsidR="001F6856" w:rsidRDefault="001F6856" w:rsidP="0055688D">
            <w:pPr>
              <w:pStyle w:val="ListParagraph"/>
              <w:numPr>
                <w:ilvl w:val="0"/>
                <w:numId w:val="15"/>
              </w:numPr>
              <w:spacing w:after="4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The sample size for the 1 include RCT was too small to detect an effect.</w:t>
            </w:r>
          </w:p>
          <w:p w14:paraId="68EC001E" w14:textId="63F7D296" w:rsidR="001F6856" w:rsidRDefault="001F6856" w:rsidP="0055688D">
            <w:pPr>
              <w:pStyle w:val="ListParagraph"/>
              <w:numPr>
                <w:ilvl w:val="0"/>
                <w:numId w:val="15"/>
              </w:numPr>
              <w:spacing w:after="4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The 2 quasi-RCTs indicated a decrease of 61-63 calories (255-263kJ) ordered.</w:t>
            </w:r>
          </w:p>
          <w:p w14:paraId="627B9FE7" w14:textId="7E11575D" w:rsidR="001F6856" w:rsidRPr="00E30A5F" w:rsidRDefault="001F6856" w:rsidP="0055688D">
            <w:pPr>
              <w:pStyle w:val="ListParagraph"/>
              <w:numPr>
                <w:ilvl w:val="0"/>
                <w:numId w:val="15"/>
              </w:numPr>
              <w:spacing w:after="4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Of 4 well-designed studies, only one reported a decrease of 15 calories (63kJ), with the other 3 reporting no effect of energy information. </w:t>
            </w:r>
          </w:p>
        </w:tc>
      </w:tr>
      <w:tr w:rsidR="00936DD5" w:rsidRPr="00E67A4C" w14:paraId="179D9C2E" w14:textId="77777777" w:rsidTr="00936DD5">
        <w:tc>
          <w:tcPr>
            <w:cnfStyle w:val="001000000000" w:firstRow="0" w:lastRow="0" w:firstColumn="1" w:lastColumn="0" w:oddVBand="0" w:evenVBand="0" w:oddHBand="0" w:evenHBand="0" w:firstRowFirstColumn="0" w:firstRowLastColumn="0" w:lastRowFirstColumn="0" w:lastRowLastColumn="0"/>
            <w:tcW w:w="2440" w:type="dxa"/>
          </w:tcPr>
          <w:p w14:paraId="4384481C" w14:textId="2CC54480" w:rsidR="00D85D52" w:rsidRPr="00E30A5F" w:rsidRDefault="00D85D52" w:rsidP="005C2A0C">
            <w:pPr>
              <w:rPr>
                <w:b w:val="0"/>
                <w:bCs w:val="0"/>
                <w:sz w:val="20"/>
                <w:szCs w:val="20"/>
              </w:rPr>
            </w:pPr>
            <w:r w:rsidRPr="00E30A5F">
              <w:rPr>
                <w:b w:val="0"/>
                <w:bCs w:val="0"/>
                <w:sz w:val="20"/>
                <w:szCs w:val="20"/>
              </w:rPr>
              <w:t>Cantu-</w:t>
            </w:r>
            <w:r>
              <w:rPr>
                <w:b w:val="0"/>
                <w:bCs w:val="0"/>
                <w:sz w:val="20"/>
                <w:szCs w:val="20"/>
              </w:rPr>
              <w:t>J</w:t>
            </w:r>
            <w:r w:rsidRPr="00E30A5F">
              <w:rPr>
                <w:b w:val="0"/>
                <w:bCs w:val="0"/>
                <w:sz w:val="20"/>
                <w:szCs w:val="20"/>
              </w:rPr>
              <w:t xml:space="preserve">ungles et al. 2017. A meta-analysis to determine the impact of restaurant menu </w:t>
            </w:r>
            <w:proofErr w:type="spellStart"/>
            <w:r w:rsidRPr="00E30A5F">
              <w:rPr>
                <w:b w:val="0"/>
                <w:bCs w:val="0"/>
                <w:sz w:val="20"/>
                <w:szCs w:val="20"/>
              </w:rPr>
              <w:t>labeling</w:t>
            </w:r>
            <w:proofErr w:type="spellEnd"/>
            <w:r w:rsidRPr="00E30A5F">
              <w:rPr>
                <w:b w:val="0"/>
                <w:bCs w:val="0"/>
                <w:sz w:val="20"/>
                <w:szCs w:val="20"/>
              </w:rPr>
              <w:t xml:space="preserve"> on calories and nutrients (ordered or consumed) in U</w:t>
            </w:r>
            <w:r w:rsidRPr="00E30A5F">
              <w:rPr>
                <w:b w:val="0"/>
                <w:bCs w:val="0"/>
                <w:caps/>
                <w:sz w:val="20"/>
                <w:szCs w:val="20"/>
              </w:rPr>
              <w:t>.S</w:t>
            </w:r>
            <w:r w:rsidRPr="00E30A5F">
              <w:rPr>
                <w:b w:val="0"/>
                <w:bCs w:val="0"/>
                <w:sz w:val="20"/>
                <w:szCs w:val="20"/>
              </w:rPr>
              <w:t xml:space="preserve">. adults. </w:t>
            </w:r>
            <w:r w:rsidRPr="00E30A5F">
              <w:rPr>
                <w:b w:val="0"/>
                <w:bCs w:val="0"/>
                <w:i/>
                <w:sz w:val="20"/>
                <w:szCs w:val="20"/>
              </w:rPr>
              <w:t>Nutrients</w:t>
            </w:r>
            <w:r w:rsidRPr="00E30A5F">
              <w:rPr>
                <w:b w:val="0"/>
                <w:bCs w:val="0"/>
                <w:sz w:val="20"/>
                <w:szCs w:val="20"/>
              </w:rPr>
              <w:t>, 9(10), 1088.</w:t>
            </w:r>
          </w:p>
        </w:tc>
        <w:tc>
          <w:tcPr>
            <w:tcW w:w="2199" w:type="dxa"/>
          </w:tcPr>
          <w:p w14:paraId="1270BD2F" w14:textId="77777777" w:rsidR="00D85D52" w:rsidRDefault="00D85D52" w:rsidP="005C2A0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14 studies:</w:t>
            </w:r>
          </w:p>
          <w:p w14:paraId="3DC49CA1" w14:textId="77777777" w:rsidR="001F75E0" w:rsidRDefault="001F75E0" w:rsidP="001F75E0">
            <w:pPr>
              <w:pStyle w:val="ListParagraph"/>
              <w:numPr>
                <w:ilvl w:val="0"/>
                <w:numId w:val="65"/>
              </w:numPr>
              <w:ind w:left="140" w:hanging="14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 RCTs</w:t>
            </w:r>
          </w:p>
          <w:p w14:paraId="3AB9B311" w14:textId="1097BB18" w:rsidR="001F75E0" w:rsidRDefault="001F75E0" w:rsidP="001F75E0">
            <w:pPr>
              <w:pStyle w:val="ListParagraph"/>
              <w:numPr>
                <w:ilvl w:val="0"/>
                <w:numId w:val="65"/>
              </w:numPr>
              <w:ind w:left="140" w:hanging="14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 Q-RCTs</w:t>
            </w:r>
          </w:p>
          <w:p w14:paraId="27F13B7F" w14:textId="54740A2D" w:rsidR="001F75E0" w:rsidRDefault="001F75E0" w:rsidP="001F75E0">
            <w:pPr>
              <w:pStyle w:val="ListParagraph"/>
              <w:numPr>
                <w:ilvl w:val="0"/>
                <w:numId w:val="65"/>
              </w:numPr>
              <w:ind w:left="140" w:hanging="14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 ITS</w:t>
            </w:r>
          </w:p>
          <w:p w14:paraId="02B7552A" w14:textId="53A11CC9" w:rsidR="00FC4DE7" w:rsidRDefault="00FC4DE7" w:rsidP="001F75E0">
            <w:pPr>
              <w:pStyle w:val="ListParagraph"/>
              <w:numPr>
                <w:ilvl w:val="0"/>
                <w:numId w:val="65"/>
              </w:numPr>
              <w:ind w:left="140" w:hanging="14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7 CBA</w:t>
            </w:r>
          </w:p>
          <w:p w14:paraId="66DA35F1" w14:textId="6E00BA70" w:rsidR="00FC4DE7" w:rsidRDefault="00FC4DE7" w:rsidP="001F75E0">
            <w:pPr>
              <w:pStyle w:val="ListParagraph"/>
              <w:numPr>
                <w:ilvl w:val="0"/>
                <w:numId w:val="65"/>
              </w:numPr>
              <w:ind w:left="140" w:hanging="14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 CS</w:t>
            </w:r>
          </w:p>
          <w:p w14:paraId="2B0DBC90" w14:textId="77777777" w:rsidR="00D85D52" w:rsidRDefault="00D85D52" w:rsidP="005C2A0C">
            <w:pPr>
              <w:cnfStyle w:val="000000000000" w:firstRow="0" w:lastRow="0" w:firstColumn="0" w:lastColumn="0" w:oddVBand="0" w:evenVBand="0" w:oddHBand="0" w:evenHBand="0" w:firstRowFirstColumn="0" w:firstRowLastColumn="0" w:lastRowFirstColumn="0" w:lastRowLastColumn="0"/>
              <w:rPr>
                <w:sz w:val="20"/>
                <w:szCs w:val="20"/>
              </w:rPr>
            </w:pPr>
          </w:p>
          <w:p w14:paraId="2D20BF84" w14:textId="38747306" w:rsidR="00D85D52" w:rsidRDefault="00D85D52" w:rsidP="005C2A0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Studies to 2014</w:t>
            </w:r>
          </w:p>
          <w:p w14:paraId="572DB33F" w14:textId="6EA438B7" w:rsidR="00D85D52" w:rsidRPr="00E30A5F" w:rsidRDefault="00D85D52" w:rsidP="005C2A0C">
            <w:pPr>
              <w:cnfStyle w:val="000000000000" w:firstRow="0" w:lastRow="0" w:firstColumn="0" w:lastColumn="0" w:oddVBand="0" w:evenVBand="0" w:oddHBand="0" w:evenHBand="0" w:firstRowFirstColumn="0" w:firstRowLastColumn="0" w:lastRowFirstColumn="0" w:lastRowLastColumn="0"/>
              <w:rPr>
                <w:sz w:val="20"/>
                <w:szCs w:val="20"/>
              </w:rPr>
            </w:pPr>
          </w:p>
        </w:tc>
        <w:tc>
          <w:tcPr>
            <w:tcW w:w="2315" w:type="dxa"/>
            <w:gridSpan w:val="3"/>
          </w:tcPr>
          <w:p w14:paraId="6175C107" w14:textId="77777777" w:rsidR="00D85D52" w:rsidRDefault="00EF1E9C" w:rsidP="005C2A0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USA (14)</w:t>
            </w:r>
          </w:p>
          <w:p w14:paraId="77DDE2FD" w14:textId="77777777" w:rsidR="00EF1E9C" w:rsidRDefault="00EF1E9C" w:rsidP="005C2A0C">
            <w:pPr>
              <w:cnfStyle w:val="000000000000" w:firstRow="0" w:lastRow="0" w:firstColumn="0" w:lastColumn="0" w:oddVBand="0" w:evenVBand="0" w:oddHBand="0" w:evenHBand="0" w:firstRowFirstColumn="0" w:firstRowLastColumn="0" w:lastRowFirstColumn="0" w:lastRowLastColumn="0"/>
              <w:rPr>
                <w:sz w:val="20"/>
                <w:szCs w:val="20"/>
              </w:rPr>
            </w:pPr>
          </w:p>
          <w:p w14:paraId="33C1711E" w14:textId="3533A73C" w:rsidR="00EF1E9C" w:rsidRPr="00E30A5F" w:rsidRDefault="00EF1E9C" w:rsidP="00EE4C51">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Real world (9)</w:t>
            </w:r>
            <w:r w:rsidR="00B663F7">
              <w:rPr>
                <w:sz w:val="20"/>
                <w:szCs w:val="20"/>
              </w:rPr>
              <w:t xml:space="preserve"> an</w:t>
            </w:r>
            <w:r w:rsidR="00EE4C51">
              <w:rPr>
                <w:sz w:val="20"/>
                <w:szCs w:val="20"/>
              </w:rPr>
              <w:t>d e</w:t>
            </w:r>
            <w:r>
              <w:rPr>
                <w:sz w:val="20"/>
                <w:szCs w:val="20"/>
              </w:rPr>
              <w:t>xperimental settings (5)</w:t>
            </w:r>
          </w:p>
        </w:tc>
        <w:tc>
          <w:tcPr>
            <w:tcW w:w="2200" w:type="dxa"/>
          </w:tcPr>
          <w:p w14:paraId="56999863" w14:textId="37B22B64" w:rsidR="00D85D52" w:rsidRDefault="00F00059" w:rsidP="005C2A0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Quantitative calorie information at point of purchase in </w:t>
            </w:r>
            <w:r w:rsidR="00962FBF">
              <w:rPr>
                <w:sz w:val="20"/>
                <w:szCs w:val="20"/>
              </w:rPr>
              <w:t>full-service restaurants, fast</w:t>
            </w:r>
            <w:r w:rsidR="00CE2FE2">
              <w:rPr>
                <w:sz w:val="20"/>
                <w:szCs w:val="20"/>
              </w:rPr>
              <w:t xml:space="preserve"> </w:t>
            </w:r>
            <w:r w:rsidR="00962FBF">
              <w:rPr>
                <w:sz w:val="20"/>
                <w:szCs w:val="20"/>
              </w:rPr>
              <w:t xml:space="preserve">food </w:t>
            </w:r>
            <w:r w:rsidR="00FC3FB0">
              <w:rPr>
                <w:sz w:val="20"/>
                <w:szCs w:val="20"/>
              </w:rPr>
              <w:t>restaurants,</w:t>
            </w:r>
            <w:r w:rsidR="00962FBF">
              <w:rPr>
                <w:sz w:val="20"/>
                <w:szCs w:val="20"/>
              </w:rPr>
              <w:t xml:space="preserve"> or simulated settings.</w:t>
            </w:r>
          </w:p>
          <w:p w14:paraId="0A41D972" w14:textId="1B3FB02D" w:rsidR="00C80B22" w:rsidRDefault="00C80B22" w:rsidP="005C2A0C">
            <w:pPr>
              <w:cnfStyle w:val="000000000000" w:firstRow="0" w:lastRow="0" w:firstColumn="0" w:lastColumn="0" w:oddVBand="0" w:evenVBand="0" w:oddHBand="0" w:evenHBand="0" w:firstRowFirstColumn="0" w:firstRowLastColumn="0" w:lastRowFirstColumn="0" w:lastRowLastColumn="0"/>
              <w:rPr>
                <w:sz w:val="20"/>
                <w:szCs w:val="20"/>
              </w:rPr>
            </w:pPr>
          </w:p>
          <w:p w14:paraId="755665F1" w14:textId="235ACF74" w:rsidR="00C80B22" w:rsidRDefault="004C03E2" w:rsidP="005C2A0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Impact on e</w:t>
            </w:r>
            <w:r w:rsidR="00C80B22">
              <w:rPr>
                <w:sz w:val="20"/>
                <w:szCs w:val="20"/>
              </w:rPr>
              <w:t>nergy, carbohydrate, fat, saturated fat</w:t>
            </w:r>
            <w:r>
              <w:rPr>
                <w:sz w:val="20"/>
                <w:szCs w:val="20"/>
              </w:rPr>
              <w:t xml:space="preserve"> and/or </w:t>
            </w:r>
            <w:r w:rsidR="00C80B22">
              <w:rPr>
                <w:sz w:val="20"/>
                <w:szCs w:val="20"/>
              </w:rPr>
              <w:t>sodium purchased or consumed</w:t>
            </w:r>
            <w:r>
              <w:rPr>
                <w:sz w:val="20"/>
                <w:szCs w:val="20"/>
              </w:rPr>
              <w:t>.</w:t>
            </w:r>
          </w:p>
          <w:p w14:paraId="44CF2A45" w14:textId="65D8AE64" w:rsidR="00D85D52" w:rsidRPr="00E30A5F" w:rsidRDefault="00D85D52" w:rsidP="005C2A0C">
            <w:pPr>
              <w:cnfStyle w:val="000000000000" w:firstRow="0" w:lastRow="0" w:firstColumn="0" w:lastColumn="0" w:oddVBand="0" w:evenVBand="0" w:oddHBand="0" w:evenHBand="0" w:firstRowFirstColumn="0" w:firstRowLastColumn="0" w:lastRowFirstColumn="0" w:lastRowLastColumn="0"/>
              <w:rPr>
                <w:sz w:val="20"/>
                <w:szCs w:val="20"/>
              </w:rPr>
            </w:pPr>
          </w:p>
        </w:tc>
        <w:tc>
          <w:tcPr>
            <w:tcW w:w="5447" w:type="dxa"/>
          </w:tcPr>
          <w:p w14:paraId="5A957993" w14:textId="5827CB6E" w:rsidR="00D85D52" w:rsidRPr="00E30A5F" w:rsidRDefault="00D85D52" w:rsidP="0055688D">
            <w:pPr>
              <w:pStyle w:val="ListParagraph"/>
              <w:numPr>
                <w:ilvl w:val="0"/>
                <w:numId w:val="15"/>
              </w:numPr>
              <w:spacing w:after="40"/>
              <w:cnfStyle w:val="000000000000" w:firstRow="0" w:lastRow="0" w:firstColumn="0" w:lastColumn="0" w:oddVBand="0" w:evenVBand="0" w:oddHBand="0" w:evenHBand="0" w:firstRowFirstColumn="0" w:firstRowLastColumn="0" w:lastRowFirstColumn="0" w:lastRowLastColumn="0"/>
              <w:rPr>
                <w:sz w:val="20"/>
                <w:szCs w:val="20"/>
              </w:rPr>
            </w:pPr>
            <w:r w:rsidRPr="00E30A5F">
              <w:rPr>
                <w:sz w:val="20"/>
                <w:szCs w:val="20"/>
              </w:rPr>
              <w:t>Menu labelling in away-from-home settings did not result in a change in quantity or quality of calories ordered or consumed among U.S. adults.</w:t>
            </w:r>
          </w:p>
          <w:p w14:paraId="3365D472" w14:textId="0BE71544" w:rsidR="00D85D52" w:rsidRPr="00E30A5F" w:rsidRDefault="00D85D52" w:rsidP="0055688D">
            <w:pPr>
              <w:pStyle w:val="ListParagraph"/>
              <w:numPr>
                <w:ilvl w:val="0"/>
                <w:numId w:val="15"/>
              </w:numPr>
              <w:spacing w:after="40"/>
              <w:cnfStyle w:val="000000000000" w:firstRow="0" w:lastRow="0" w:firstColumn="0" w:lastColumn="0" w:oddVBand="0" w:evenVBand="0" w:oddHBand="0" w:evenHBand="0" w:firstRowFirstColumn="0" w:firstRowLastColumn="0" w:lastRowFirstColumn="0" w:lastRowLastColumn="0"/>
              <w:rPr>
                <w:sz w:val="20"/>
                <w:szCs w:val="20"/>
              </w:rPr>
            </w:pPr>
            <w:r w:rsidRPr="00E30A5F">
              <w:rPr>
                <w:sz w:val="20"/>
                <w:szCs w:val="20"/>
              </w:rPr>
              <w:t>In experimental settings, there was a decrease of 115 calories (4</w:t>
            </w:r>
            <w:r>
              <w:rPr>
                <w:sz w:val="20"/>
                <w:szCs w:val="20"/>
              </w:rPr>
              <w:t>81</w:t>
            </w:r>
            <w:r w:rsidRPr="00E30A5F">
              <w:rPr>
                <w:sz w:val="20"/>
                <w:szCs w:val="20"/>
              </w:rPr>
              <w:t>kJ).</w:t>
            </w:r>
          </w:p>
          <w:p w14:paraId="6493DD4C" w14:textId="77777777" w:rsidR="00D85D52" w:rsidRPr="00E30A5F" w:rsidRDefault="00D85D52" w:rsidP="0055688D">
            <w:pPr>
              <w:pStyle w:val="ListParagraph"/>
              <w:numPr>
                <w:ilvl w:val="0"/>
                <w:numId w:val="15"/>
              </w:numPr>
              <w:spacing w:after="40"/>
              <w:cnfStyle w:val="000000000000" w:firstRow="0" w:lastRow="0" w:firstColumn="0" w:lastColumn="0" w:oddVBand="0" w:evenVBand="0" w:oddHBand="0" w:evenHBand="0" w:firstRowFirstColumn="0" w:firstRowLastColumn="0" w:lastRowFirstColumn="0" w:lastRowLastColumn="0"/>
              <w:rPr>
                <w:sz w:val="20"/>
                <w:szCs w:val="20"/>
              </w:rPr>
            </w:pPr>
            <w:r w:rsidRPr="00E30A5F">
              <w:rPr>
                <w:sz w:val="20"/>
                <w:szCs w:val="20"/>
              </w:rPr>
              <w:t>Did not consider the effect that displaying energy requirements as well as energy content of menu items would have on ordering or consumption.</w:t>
            </w:r>
          </w:p>
        </w:tc>
      </w:tr>
      <w:tr w:rsidR="00936DD5" w:rsidRPr="00E67A4C" w14:paraId="75C4C31E" w14:textId="77777777" w:rsidTr="00936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0" w:type="dxa"/>
          </w:tcPr>
          <w:p w14:paraId="147D55F3" w14:textId="77777777" w:rsidR="00ED210D" w:rsidRPr="00E30A5F" w:rsidRDefault="00ED210D" w:rsidP="005C2A0C">
            <w:pPr>
              <w:rPr>
                <w:b w:val="0"/>
                <w:bCs w:val="0"/>
                <w:sz w:val="20"/>
                <w:szCs w:val="20"/>
              </w:rPr>
            </w:pPr>
            <w:r w:rsidRPr="00E30A5F">
              <w:rPr>
                <w:b w:val="0"/>
                <w:bCs w:val="0"/>
                <w:sz w:val="20"/>
                <w:szCs w:val="20"/>
              </w:rPr>
              <w:lastRenderedPageBreak/>
              <w:t xml:space="preserve">Crockett et al. 2018. Nutritional labelling for healthier food or non-alcoholic drink purchasing and consumption. </w:t>
            </w:r>
            <w:r w:rsidRPr="00E30A5F">
              <w:rPr>
                <w:b w:val="0"/>
                <w:bCs w:val="0"/>
                <w:i/>
                <w:sz w:val="20"/>
                <w:szCs w:val="20"/>
              </w:rPr>
              <w:t>Cochrane Database of Systematic Reviews</w:t>
            </w:r>
            <w:r w:rsidRPr="00E30A5F">
              <w:rPr>
                <w:b w:val="0"/>
                <w:bCs w:val="0"/>
                <w:sz w:val="20"/>
                <w:szCs w:val="20"/>
              </w:rPr>
              <w:t xml:space="preserve">, issue 2. Art. No.: cd009315. </w:t>
            </w:r>
          </w:p>
        </w:tc>
        <w:tc>
          <w:tcPr>
            <w:tcW w:w="2199" w:type="dxa"/>
          </w:tcPr>
          <w:p w14:paraId="57E3742B" w14:textId="77777777" w:rsidR="00ED210D" w:rsidRDefault="00ED210D" w:rsidP="005C2A0C">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28 studies:</w:t>
            </w:r>
          </w:p>
          <w:p w14:paraId="241E1878" w14:textId="77777777" w:rsidR="00ED210D" w:rsidRDefault="00ED210D" w:rsidP="004D46BA">
            <w:pPr>
              <w:pStyle w:val="ListParagraph"/>
              <w:numPr>
                <w:ilvl w:val="0"/>
                <w:numId w:val="65"/>
              </w:numPr>
              <w:ind w:left="140" w:hanging="14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17 RCTs</w:t>
            </w:r>
          </w:p>
          <w:p w14:paraId="161A249D" w14:textId="77777777" w:rsidR="00ED210D" w:rsidRDefault="00ED210D" w:rsidP="004D46BA">
            <w:pPr>
              <w:pStyle w:val="ListParagraph"/>
              <w:numPr>
                <w:ilvl w:val="0"/>
                <w:numId w:val="65"/>
              </w:numPr>
              <w:ind w:left="140" w:hanging="14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 Q-RCTs</w:t>
            </w:r>
          </w:p>
          <w:p w14:paraId="753542A4" w14:textId="77777777" w:rsidR="00ED210D" w:rsidRDefault="00ED210D" w:rsidP="004D46BA">
            <w:pPr>
              <w:pStyle w:val="ListParagraph"/>
              <w:numPr>
                <w:ilvl w:val="0"/>
                <w:numId w:val="65"/>
              </w:numPr>
              <w:ind w:left="140" w:hanging="14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6 ITS</w:t>
            </w:r>
          </w:p>
          <w:p w14:paraId="726A1BEE" w14:textId="77777777" w:rsidR="00ED210D" w:rsidRDefault="00ED210D" w:rsidP="004D46BA">
            <w:pPr>
              <w:cnfStyle w:val="000000100000" w:firstRow="0" w:lastRow="0" w:firstColumn="0" w:lastColumn="0" w:oddVBand="0" w:evenVBand="0" w:oddHBand="1" w:evenHBand="0" w:firstRowFirstColumn="0" w:firstRowLastColumn="0" w:lastRowFirstColumn="0" w:lastRowLastColumn="0"/>
              <w:rPr>
                <w:sz w:val="20"/>
                <w:szCs w:val="20"/>
              </w:rPr>
            </w:pPr>
          </w:p>
          <w:p w14:paraId="1DC61324" w14:textId="666D8F69" w:rsidR="00ED210D" w:rsidRPr="004D46BA" w:rsidRDefault="00ED210D" w:rsidP="004D46BA">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Studies to April 2017</w:t>
            </w:r>
          </w:p>
        </w:tc>
        <w:tc>
          <w:tcPr>
            <w:tcW w:w="2315" w:type="dxa"/>
            <w:gridSpan w:val="3"/>
          </w:tcPr>
          <w:p w14:paraId="56BADE16" w14:textId="7088E0E5" w:rsidR="00ED210D" w:rsidRDefault="00ED210D" w:rsidP="00277076">
            <w:pPr>
              <w:cnfStyle w:val="000000100000" w:firstRow="0" w:lastRow="0" w:firstColumn="0" w:lastColumn="0" w:oddVBand="0" w:evenVBand="0" w:oddHBand="1" w:evenHBand="0" w:firstRowFirstColumn="0" w:firstRowLastColumn="0" w:lastRowFirstColumn="0" w:lastRowLastColumn="0"/>
              <w:rPr>
                <w:sz w:val="20"/>
                <w:szCs w:val="20"/>
              </w:rPr>
            </w:pPr>
            <w:r w:rsidRPr="00EA608C">
              <w:rPr>
                <w:sz w:val="20"/>
                <w:szCs w:val="20"/>
              </w:rPr>
              <w:t>USA (21)</w:t>
            </w:r>
            <w:r w:rsidR="00EA608C">
              <w:rPr>
                <w:sz w:val="20"/>
                <w:szCs w:val="20"/>
              </w:rPr>
              <w:t xml:space="preserve">, </w:t>
            </w:r>
            <w:r w:rsidR="00156138">
              <w:rPr>
                <w:sz w:val="20"/>
                <w:szCs w:val="20"/>
              </w:rPr>
              <w:t>Canada (4), UK (2), Netherlands (1)</w:t>
            </w:r>
          </w:p>
          <w:p w14:paraId="6DF60B63" w14:textId="77777777" w:rsidR="00ED210D" w:rsidRDefault="00ED210D" w:rsidP="00277076">
            <w:pPr>
              <w:cnfStyle w:val="000000100000" w:firstRow="0" w:lastRow="0" w:firstColumn="0" w:lastColumn="0" w:oddVBand="0" w:evenVBand="0" w:oddHBand="1" w:evenHBand="0" w:firstRowFirstColumn="0" w:firstRowLastColumn="0" w:lastRowFirstColumn="0" w:lastRowLastColumn="0"/>
              <w:rPr>
                <w:sz w:val="20"/>
                <w:szCs w:val="20"/>
              </w:rPr>
            </w:pPr>
          </w:p>
          <w:p w14:paraId="3B0F132A" w14:textId="1B92BC30" w:rsidR="00ED210D" w:rsidRDefault="00ED210D" w:rsidP="00277076">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Real world (11</w:t>
            </w:r>
            <w:r w:rsidR="004D38D8">
              <w:rPr>
                <w:sz w:val="20"/>
                <w:szCs w:val="20"/>
              </w:rPr>
              <w:t>)</w:t>
            </w:r>
            <w:r w:rsidR="00121C1D">
              <w:rPr>
                <w:sz w:val="20"/>
                <w:szCs w:val="20"/>
              </w:rPr>
              <w:t xml:space="preserve"> </w:t>
            </w:r>
            <w:r>
              <w:rPr>
                <w:sz w:val="20"/>
                <w:szCs w:val="20"/>
              </w:rPr>
              <w:t>and experimental settings (17)</w:t>
            </w:r>
          </w:p>
          <w:p w14:paraId="620931E5" w14:textId="15CC0239" w:rsidR="00ED210D" w:rsidRDefault="00ED210D" w:rsidP="005C2A0C">
            <w:pPr>
              <w:cnfStyle w:val="000000100000" w:firstRow="0" w:lastRow="0" w:firstColumn="0" w:lastColumn="0" w:oddVBand="0" w:evenVBand="0" w:oddHBand="1" w:evenHBand="0" w:firstRowFirstColumn="0" w:firstRowLastColumn="0" w:lastRowFirstColumn="0" w:lastRowLastColumn="0"/>
              <w:rPr>
                <w:sz w:val="20"/>
                <w:szCs w:val="20"/>
              </w:rPr>
            </w:pPr>
          </w:p>
          <w:p w14:paraId="15EC4DE3" w14:textId="2574CB78" w:rsidR="00ED210D" w:rsidRDefault="00ED210D" w:rsidP="005C2A0C">
            <w:pPr>
              <w:cnfStyle w:val="000000100000" w:firstRow="0" w:lastRow="0" w:firstColumn="0" w:lastColumn="0" w:oddVBand="0" w:evenVBand="0" w:oddHBand="1" w:evenHBand="0" w:firstRowFirstColumn="0" w:firstRowLastColumn="0" w:lastRowFirstColumn="0" w:lastRowLastColumn="0"/>
              <w:rPr>
                <w:sz w:val="20"/>
                <w:szCs w:val="20"/>
              </w:rPr>
            </w:pPr>
          </w:p>
          <w:p w14:paraId="5A5EAA54" w14:textId="77777777" w:rsidR="00ED210D" w:rsidRDefault="00ED210D" w:rsidP="005C2A0C">
            <w:pPr>
              <w:cnfStyle w:val="000000100000" w:firstRow="0" w:lastRow="0" w:firstColumn="0" w:lastColumn="0" w:oddVBand="0" w:evenVBand="0" w:oddHBand="1" w:evenHBand="0" w:firstRowFirstColumn="0" w:firstRowLastColumn="0" w:lastRowFirstColumn="0" w:lastRowLastColumn="0"/>
              <w:rPr>
                <w:sz w:val="20"/>
                <w:szCs w:val="20"/>
              </w:rPr>
            </w:pPr>
          </w:p>
          <w:p w14:paraId="59A5BAF1" w14:textId="77777777" w:rsidR="00ED210D" w:rsidRDefault="00ED210D" w:rsidP="005C2A0C">
            <w:pPr>
              <w:cnfStyle w:val="000000100000" w:firstRow="0" w:lastRow="0" w:firstColumn="0" w:lastColumn="0" w:oddVBand="0" w:evenVBand="0" w:oddHBand="1" w:evenHBand="0" w:firstRowFirstColumn="0" w:firstRowLastColumn="0" w:lastRowFirstColumn="0" w:lastRowLastColumn="0"/>
              <w:rPr>
                <w:sz w:val="20"/>
                <w:szCs w:val="20"/>
              </w:rPr>
            </w:pPr>
          </w:p>
          <w:p w14:paraId="73B7252C" w14:textId="0E41CCCE" w:rsidR="00ED210D" w:rsidRPr="00E30A5F" w:rsidRDefault="00ED210D" w:rsidP="005C2A0C">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w:t>
            </w:r>
          </w:p>
        </w:tc>
        <w:tc>
          <w:tcPr>
            <w:tcW w:w="2200" w:type="dxa"/>
          </w:tcPr>
          <w:p w14:paraId="15D29519" w14:textId="06FB296F" w:rsidR="00ED210D" w:rsidRDefault="00ED210D" w:rsidP="00277076">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Impact of labelling on food and drinks purchased or consumed. </w:t>
            </w:r>
          </w:p>
          <w:p w14:paraId="6C7140B8" w14:textId="77777777" w:rsidR="00ED210D" w:rsidRDefault="00ED210D" w:rsidP="00277076">
            <w:pPr>
              <w:cnfStyle w:val="000000100000" w:firstRow="0" w:lastRow="0" w:firstColumn="0" w:lastColumn="0" w:oddVBand="0" w:evenVBand="0" w:oddHBand="1" w:evenHBand="0" w:firstRowFirstColumn="0" w:firstRowLastColumn="0" w:lastRowFirstColumn="0" w:lastRowLastColumn="0"/>
              <w:rPr>
                <w:sz w:val="20"/>
                <w:szCs w:val="20"/>
              </w:rPr>
            </w:pPr>
          </w:p>
          <w:p w14:paraId="538F67F3" w14:textId="2ED29E84" w:rsidR="00ED210D" w:rsidRDefault="00ED210D" w:rsidP="00277076">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Impact of labelling on menus, menu boards or tags where chose from a range of items: 20 studies (8 in laboratory setting)</w:t>
            </w:r>
            <w:r w:rsidR="00E22757">
              <w:rPr>
                <w:sz w:val="20"/>
                <w:szCs w:val="20"/>
              </w:rPr>
              <w:t>.</w:t>
            </w:r>
          </w:p>
          <w:p w14:paraId="24A14027" w14:textId="5926D30F" w:rsidR="00ED210D" w:rsidRDefault="00ED210D" w:rsidP="00277076">
            <w:pPr>
              <w:cnfStyle w:val="000000100000" w:firstRow="0" w:lastRow="0" w:firstColumn="0" w:lastColumn="0" w:oddVBand="0" w:evenVBand="0" w:oddHBand="1" w:evenHBand="0" w:firstRowFirstColumn="0" w:firstRowLastColumn="0" w:lastRowFirstColumn="0" w:lastRowLastColumn="0"/>
              <w:rPr>
                <w:sz w:val="20"/>
                <w:szCs w:val="20"/>
              </w:rPr>
            </w:pPr>
          </w:p>
          <w:p w14:paraId="1B1B5099" w14:textId="52840C24" w:rsidR="00ED210D" w:rsidRPr="00E30A5F" w:rsidRDefault="00ED210D" w:rsidP="00277076">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Impact of labelling a single item on amount consumed: 8 studies (6 in laboratory setting)</w:t>
            </w:r>
            <w:r w:rsidR="00E22757">
              <w:rPr>
                <w:sz w:val="20"/>
                <w:szCs w:val="20"/>
              </w:rPr>
              <w:t>.</w:t>
            </w:r>
          </w:p>
        </w:tc>
        <w:tc>
          <w:tcPr>
            <w:tcW w:w="5447" w:type="dxa"/>
          </w:tcPr>
          <w:p w14:paraId="01EFAC57" w14:textId="1134B9F0" w:rsidR="00ED210D" w:rsidRDefault="00ED210D" w:rsidP="0055688D">
            <w:pPr>
              <w:pStyle w:val="ListParagraph"/>
              <w:numPr>
                <w:ilvl w:val="0"/>
                <w:numId w:val="15"/>
              </w:numPr>
              <w:spacing w:after="40"/>
              <w:cnfStyle w:val="000000100000" w:firstRow="0" w:lastRow="0" w:firstColumn="0" w:lastColumn="0" w:oddVBand="0" w:evenVBand="0" w:oddHBand="1" w:evenHBand="0" w:firstRowFirstColumn="0" w:firstRowLastColumn="0" w:lastRowFirstColumn="0" w:lastRowLastColumn="0"/>
              <w:rPr>
                <w:sz w:val="20"/>
                <w:szCs w:val="20"/>
              </w:rPr>
            </w:pPr>
            <w:r w:rsidRPr="00E30A5F">
              <w:rPr>
                <w:sz w:val="20"/>
                <w:szCs w:val="20"/>
              </w:rPr>
              <w:t xml:space="preserve">Nutritional labelling on menus could </w:t>
            </w:r>
            <w:r w:rsidR="000A06EF">
              <w:rPr>
                <w:sz w:val="20"/>
                <w:szCs w:val="20"/>
              </w:rPr>
              <w:t xml:space="preserve">decrease </w:t>
            </w:r>
            <w:r w:rsidR="006F2D0E">
              <w:rPr>
                <w:sz w:val="20"/>
                <w:szCs w:val="20"/>
              </w:rPr>
              <w:t xml:space="preserve">purchases </w:t>
            </w:r>
            <w:r w:rsidR="000A06EF">
              <w:rPr>
                <w:sz w:val="20"/>
                <w:szCs w:val="20"/>
              </w:rPr>
              <w:t>by 47 calories (</w:t>
            </w:r>
            <w:r w:rsidR="006F2D0E">
              <w:rPr>
                <w:sz w:val="20"/>
                <w:szCs w:val="20"/>
              </w:rPr>
              <w:t xml:space="preserve">196kJ) or 8% based on the average 600 calorie meal </w:t>
            </w:r>
            <w:r w:rsidRPr="00E30A5F">
              <w:rPr>
                <w:sz w:val="20"/>
                <w:szCs w:val="20"/>
              </w:rPr>
              <w:t>(based on three low-quality randomised-control trials).</w:t>
            </w:r>
          </w:p>
          <w:p w14:paraId="2ECDE3C9" w14:textId="5EBA312A" w:rsidR="002E4493" w:rsidRPr="00E30A5F" w:rsidRDefault="002E4493" w:rsidP="0055688D">
            <w:pPr>
              <w:pStyle w:val="ListParagraph"/>
              <w:numPr>
                <w:ilvl w:val="0"/>
                <w:numId w:val="15"/>
              </w:numPr>
              <w:spacing w:after="4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In </w:t>
            </w:r>
            <w:r w:rsidR="00BF78A6">
              <w:rPr>
                <w:sz w:val="20"/>
                <w:szCs w:val="20"/>
              </w:rPr>
              <w:t xml:space="preserve">experimental settings, </w:t>
            </w:r>
            <w:r w:rsidR="00E727FF">
              <w:rPr>
                <w:sz w:val="20"/>
                <w:szCs w:val="20"/>
              </w:rPr>
              <w:t>there was not a conclusive reduction in calories consumed.</w:t>
            </w:r>
          </w:p>
          <w:p w14:paraId="62B34644" w14:textId="77777777" w:rsidR="00ED210D" w:rsidRPr="00E30A5F" w:rsidRDefault="00ED210D" w:rsidP="0055688D">
            <w:pPr>
              <w:pStyle w:val="ListParagraph"/>
              <w:numPr>
                <w:ilvl w:val="0"/>
                <w:numId w:val="15"/>
              </w:numPr>
              <w:spacing w:after="40"/>
              <w:cnfStyle w:val="000000100000" w:firstRow="0" w:lastRow="0" w:firstColumn="0" w:lastColumn="0" w:oddVBand="0" w:evenVBand="0" w:oddHBand="1" w:evenHBand="0" w:firstRowFirstColumn="0" w:firstRowLastColumn="0" w:lastRowFirstColumn="0" w:lastRowLastColumn="0"/>
              <w:rPr>
                <w:sz w:val="20"/>
                <w:szCs w:val="20"/>
              </w:rPr>
            </w:pPr>
            <w:r w:rsidRPr="00E30A5F">
              <w:rPr>
                <w:sz w:val="20"/>
                <w:szCs w:val="20"/>
              </w:rPr>
              <w:t>Nutritional labelling on menus did not unintentionally increase the amount of energy purchased or consumed.</w:t>
            </w:r>
          </w:p>
          <w:p w14:paraId="129B958B" w14:textId="77777777" w:rsidR="00ED210D" w:rsidRPr="00E30A5F" w:rsidRDefault="00ED210D" w:rsidP="0055688D">
            <w:pPr>
              <w:pStyle w:val="ListParagraph"/>
              <w:numPr>
                <w:ilvl w:val="0"/>
                <w:numId w:val="15"/>
              </w:numPr>
              <w:spacing w:after="40"/>
              <w:cnfStyle w:val="000000100000" w:firstRow="0" w:lastRow="0" w:firstColumn="0" w:lastColumn="0" w:oddVBand="0" w:evenVBand="0" w:oddHBand="1" w:evenHBand="0" w:firstRowFirstColumn="0" w:firstRowLastColumn="0" w:lastRowFirstColumn="0" w:lastRowLastColumn="0"/>
              <w:rPr>
                <w:sz w:val="20"/>
                <w:szCs w:val="20"/>
              </w:rPr>
            </w:pPr>
            <w:r w:rsidRPr="00E30A5F">
              <w:rPr>
                <w:sz w:val="20"/>
                <w:szCs w:val="20"/>
              </w:rPr>
              <w:t>Nutrition labelling on restaurant menus could form part of a suite of measures to address obesity, with further monitoring and research required in real-world settings.</w:t>
            </w:r>
          </w:p>
        </w:tc>
      </w:tr>
      <w:tr w:rsidR="00936DD5" w:rsidRPr="00E67A4C" w14:paraId="2D7BE1E7" w14:textId="77777777" w:rsidTr="00936DD5">
        <w:tc>
          <w:tcPr>
            <w:cnfStyle w:val="001000000000" w:firstRow="0" w:lastRow="0" w:firstColumn="1" w:lastColumn="0" w:oddVBand="0" w:evenVBand="0" w:oddHBand="0" w:evenHBand="0" w:firstRowFirstColumn="0" w:firstRowLastColumn="0" w:lastRowFirstColumn="0" w:lastRowLastColumn="0"/>
            <w:tcW w:w="2440" w:type="dxa"/>
          </w:tcPr>
          <w:p w14:paraId="187E5CFF" w14:textId="77777777" w:rsidR="00EA180B" w:rsidRPr="00E30A5F" w:rsidRDefault="00EA180B" w:rsidP="007237AB">
            <w:pPr>
              <w:rPr>
                <w:b w:val="0"/>
                <w:bCs w:val="0"/>
                <w:sz w:val="20"/>
                <w:szCs w:val="20"/>
              </w:rPr>
            </w:pPr>
            <w:r w:rsidRPr="00E30A5F">
              <w:rPr>
                <w:b w:val="0"/>
                <w:bCs w:val="0"/>
                <w:sz w:val="20"/>
                <w:szCs w:val="20"/>
              </w:rPr>
              <w:t xml:space="preserve">Fernandes et al. 2016. Influence of menu </w:t>
            </w:r>
            <w:proofErr w:type="spellStart"/>
            <w:r w:rsidRPr="00E30A5F">
              <w:rPr>
                <w:b w:val="0"/>
                <w:bCs w:val="0"/>
                <w:sz w:val="20"/>
                <w:szCs w:val="20"/>
              </w:rPr>
              <w:t>labeling</w:t>
            </w:r>
            <w:proofErr w:type="spellEnd"/>
            <w:r w:rsidRPr="00E30A5F">
              <w:rPr>
                <w:b w:val="0"/>
                <w:bCs w:val="0"/>
                <w:sz w:val="20"/>
                <w:szCs w:val="20"/>
              </w:rPr>
              <w:t xml:space="preserve"> on food choices in real-life settings: a systematic review. </w:t>
            </w:r>
            <w:r w:rsidRPr="00E30A5F">
              <w:rPr>
                <w:b w:val="0"/>
                <w:bCs w:val="0"/>
                <w:i/>
                <w:sz w:val="20"/>
                <w:szCs w:val="20"/>
              </w:rPr>
              <w:t>Nutrition Reviews</w:t>
            </w:r>
            <w:r w:rsidRPr="00E30A5F">
              <w:rPr>
                <w:b w:val="0"/>
                <w:bCs w:val="0"/>
                <w:sz w:val="20"/>
                <w:szCs w:val="20"/>
              </w:rPr>
              <w:t>, 74(8), 534-548.</w:t>
            </w:r>
          </w:p>
        </w:tc>
        <w:tc>
          <w:tcPr>
            <w:tcW w:w="2199" w:type="dxa"/>
          </w:tcPr>
          <w:p w14:paraId="2152E093" w14:textId="4BB05B7C" w:rsidR="00EA180B" w:rsidRDefault="00EA180B" w:rsidP="007237AB">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38 studies</w:t>
            </w:r>
          </w:p>
          <w:p w14:paraId="47B27D49" w14:textId="7C28BA84" w:rsidR="005E03F7" w:rsidRDefault="00021B4E" w:rsidP="00866AC0">
            <w:pPr>
              <w:pStyle w:val="ListParagraph"/>
              <w:numPr>
                <w:ilvl w:val="0"/>
                <w:numId w:val="65"/>
              </w:numPr>
              <w:ind w:left="140" w:hanging="14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observational</w:t>
            </w:r>
          </w:p>
          <w:p w14:paraId="0F4287A8" w14:textId="77777777" w:rsidR="00FE12C1" w:rsidRDefault="00FE12C1" w:rsidP="007237AB">
            <w:pPr>
              <w:cnfStyle w:val="000000000000" w:firstRow="0" w:lastRow="0" w:firstColumn="0" w:lastColumn="0" w:oddVBand="0" w:evenVBand="0" w:oddHBand="0" w:evenHBand="0" w:firstRowFirstColumn="0" w:firstRowLastColumn="0" w:lastRowFirstColumn="0" w:lastRowLastColumn="0"/>
              <w:rPr>
                <w:sz w:val="20"/>
                <w:szCs w:val="20"/>
              </w:rPr>
            </w:pPr>
          </w:p>
          <w:p w14:paraId="74454889" w14:textId="5587B22E" w:rsidR="00FE12C1" w:rsidRPr="00E30A5F" w:rsidRDefault="00FE12C1" w:rsidP="007237AB">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Studies to June 2015</w:t>
            </w:r>
          </w:p>
        </w:tc>
        <w:tc>
          <w:tcPr>
            <w:tcW w:w="2315" w:type="dxa"/>
            <w:gridSpan w:val="3"/>
          </w:tcPr>
          <w:p w14:paraId="5C71DCA3" w14:textId="77777777" w:rsidR="00B55C9A" w:rsidRDefault="00814736" w:rsidP="007237AB">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USA (32)</w:t>
            </w:r>
            <w:r w:rsidR="00FE12C1">
              <w:rPr>
                <w:sz w:val="20"/>
                <w:szCs w:val="20"/>
              </w:rPr>
              <w:t xml:space="preserve">, </w:t>
            </w:r>
            <w:r w:rsidR="00101228">
              <w:rPr>
                <w:sz w:val="20"/>
                <w:szCs w:val="20"/>
              </w:rPr>
              <w:t>UK (2</w:t>
            </w:r>
            <w:r w:rsidR="00B55C9A">
              <w:rPr>
                <w:sz w:val="20"/>
                <w:szCs w:val="20"/>
              </w:rPr>
              <w:t xml:space="preserve">), </w:t>
            </w:r>
          </w:p>
          <w:p w14:paraId="09174A3B" w14:textId="5007F5E9" w:rsidR="00EA180B" w:rsidRDefault="00101228" w:rsidP="007237AB">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EU (4)</w:t>
            </w:r>
          </w:p>
          <w:p w14:paraId="2DFA08DF" w14:textId="77777777" w:rsidR="000F04BE" w:rsidRDefault="000F04BE" w:rsidP="007237AB">
            <w:pPr>
              <w:cnfStyle w:val="000000000000" w:firstRow="0" w:lastRow="0" w:firstColumn="0" w:lastColumn="0" w:oddVBand="0" w:evenVBand="0" w:oddHBand="0" w:evenHBand="0" w:firstRowFirstColumn="0" w:firstRowLastColumn="0" w:lastRowFirstColumn="0" w:lastRowLastColumn="0"/>
              <w:rPr>
                <w:sz w:val="20"/>
                <w:szCs w:val="20"/>
              </w:rPr>
            </w:pPr>
          </w:p>
          <w:p w14:paraId="42202615" w14:textId="45967BD5" w:rsidR="000F04BE" w:rsidRPr="00E30A5F" w:rsidRDefault="000F04BE" w:rsidP="007237AB">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Real world </w:t>
            </w:r>
            <w:r w:rsidR="00A754F8">
              <w:rPr>
                <w:sz w:val="20"/>
                <w:szCs w:val="20"/>
              </w:rPr>
              <w:t xml:space="preserve">settings </w:t>
            </w:r>
            <w:r>
              <w:rPr>
                <w:sz w:val="20"/>
                <w:szCs w:val="20"/>
              </w:rPr>
              <w:t>(</w:t>
            </w:r>
            <w:r w:rsidR="00EC7A05">
              <w:rPr>
                <w:sz w:val="20"/>
                <w:szCs w:val="20"/>
              </w:rPr>
              <w:t>38)</w:t>
            </w:r>
          </w:p>
        </w:tc>
        <w:tc>
          <w:tcPr>
            <w:tcW w:w="2200" w:type="dxa"/>
          </w:tcPr>
          <w:p w14:paraId="42C2694B" w14:textId="316720C8" w:rsidR="00EA180B" w:rsidRPr="00E30A5F" w:rsidRDefault="00DA70FA" w:rsidP="007237AB">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Influence of menu labelling on food choices</w:t>
            </w:r>
            <w:r w:rsidR="00566F51">
              <w:rPr>
                <w:sz w:val="20"/>
                <w:szCs w:val="20"/>
              </w:rPr>
              <w:t xml:space="preserve"> in fast food restaurants, sit-down </w:t>
            </w:r>
            <w:r w:rsidR="00FC3FB0">
              <w:rPr>
                <w:sz w:val="20"/>
                <w:szCs w:val="20"/>
              </w:rPr>
              <w:t>restaurants,</w:t>
            </w:r>
            <w:r w:rsidR="00566F51">
              <w:rPr>
                <w:sz w:val="20"/>
                <w:szCs w:val="20"/>
              </w:rPr>
              <w:t xml:space="preserve"> and cafeterias.</w:t>
            </w:r>
          </w:p>
        </w:tc>
        <w:tc>
          <w:tcPr>
            <w:tcW w:w="5447" w:type="dxa"/>
          </w:tcPr>
          <w:p w14:paraId="374E471A" w14:textId="27A1BCB1" w:rsidR="00EA180B" w:rsidRPr="00E30A5F" w:rsidRDefault="00EA180B" w:rsidP="0055688D">
            <w:pPr>
              <w:pStyle w:val="ListParagraph"/>
              <w:numPr>
                <w:ilvl w:val="0"/>
                <w:numId w:val="15"/>
              </w:numPr>
              <w:spacing w:after="40"/>
              <w:cnfStyle w:val="000000000000" w:firstRow="0" w:lastRow="0" w:firstColumn="0" w:lastColumn="0" w:oddVBand="0" w:evenVBand="0" w:oddHBand="0" w:evenHBand="0" w:firstRowFirstColumn="0" w:firstRowLastColumn="0" w:lastRowFirstColumn="0" w:lastRowLastColumn="0"/>
              <w:rPr>
                <w:sz w:val="20"/>
                <w:szCs w:val="20"/>
              </w:rPr>
            </w:pPr>
            <w:r w:rsidRPr="00E30A5F">
              <w:rPr>
                <w:sz w:val="20"/>
                <w:szCs w:val="20"/>
              </w:rPr>
              <w:t>Analysis suggested that the effect of menu labelling was mixed.</w:t>
            </w:r>
          </w:p>
          <w:p w14:paraId="510A76A7" w14:textId="3CE75775" w:rsidR="00EA180B" w:rsidRPr="00E30A5F" w:rsidRDefault="00EA180B" w:rsidP="0055688D">
            <w:pPr>
              <w:pStyle w:val="ListParagraph"/>
              <w:numPr>
                <w:ilvl w:val="0"/>
                <w:numId w:val="15"/>
              </w:numPr>
              <w:spacing w:after="40"/>
              <w:cnfStyle w:val="000000000000" w:firstRow="0" w:lastRow="0" w:firstColumn="0" w:lastColumn="0" w:oddVBand="0" w:evenVBand="0" w:oddHBand="0" w:evenHBand="0" w:firstRowFirstColumn="0" w:firstRowLastColumn="0" w:lastRowFirstColumn="0" w:lastRowLastColumn="0"/>
              <w:rPr>
                <w:sz w:val="20"/>
                <w:szCs w:val="20"/>
              </w:rPr>
            </w:pPr>
            <w:r w:rsidRPr="00E30A5F">
              <w:rPr>
                <w:sz w:val="20"/>
                <w:szCs w:val="20"/>
              </w:rPr>
              <w:t xml:space="preserve">Menu labelling was more effective in cafeteria settings than in fast food and </w:t>
            </w:r>
            <w:r w:rsidR="00566F51">
              <w:rPr>
                <w:sz w:val="20"/>
                <w:szCs w:val="20"/>
              </w:rPr>
              <w:t>sit-down</w:t>
            </w:r>
            <w:r w:rsidRPr="00E30A5F">
              <w:rPr>
                <w:sz w:val="20"/>
                <w:szCs w:val="20"/>
              </w:rPr>
              <w:t xml:space="preserve"> restaurants.</w:t>
            </w:r>
          </w:p>
          <w:p w14:paraId="1976C614" w14:textId="77777777" w:rsidR="00EA180B" w:rsidRPr="00E30A5F" w:rsidRDefault="00EA180B" w:rsidP="0055688D">
            <w:pPr>
              <w:pStyle w:val="ListParagraph"/>
              <w:numPr>
                <w:ilvl w:val="0"/>
                <w:numId w:val="15"/>
              </w:numPr>
              <w:spacing w:after="40"/>
              <w:cnfStyle w:val="000000000000" w:firstRow="0" w:lastRow="0" w:firstColumn="0" w:lastColumn="0" w:oddVBand="0" w:evenVBand="0" w:oddHBand="0" w:evenHBand="0" w:firstRowFirstColumn="0" w:firstRowLastColumn="0" w:lastRowFirstColumn="0" w:lastRowLastColumn="0"/>
              <w:rPr>
                <w:sz w:val="20"/>
                <w:szCs w:val="20"/>
              </w:rPr>
            </w:pPr>
            <w:r w:rsidRPr="00E30A5F">
              <w:rPr>
                <w:sz w:val="20"/>
                <w:szCs w:val="20"/>
              </w:rPr>
              <w:t xml:space="preserve">Qualitative information, such as healthy food symbols and traffic-light labelling, was most effective in promoting healthy eating. </w:t>
            </w:r>
          </w:p>
          <w:p w14:paraId="7C99A5D5" w14:textId="7B387EA1" w:rsidR="00EA180B" w:rsidRPr="00E30A5F" w:rsidRDefault="00EA180B" w:rsidP="0055688D">
            <w:pPr>
              <w:pStyle w:val="ListParagraph"/>
              <w:numPr>
                <w:ilvl w:val="0"/>
                <w:numId w:val="15"/>
              </w:numPr>
              <w:spacing w:after="40"/>
              <w:cnfStyle w:val="000000000000" w:firstRow="0" w:lastRow="0" w:firstColumn="0" w:lastColumn="0" w:oddVBand="0" w:evenVBand="0" w:oddHBand="0" w:evenHBand="0" w:firstRowFirstColumn="0" w:firstRowLastColumn="0" w:lastRowFirstColumn="0" w:lastRowLastColumn="0"/>
              <w:rPr>
                <w:sz w:val="20"/>
                <w:szCs w:val="20"/>
              </w:rPr>
            </w:pPr>
            <w:r w:rsidRPr="00E30A5F">
              <w:rPr>
                <w:sz w:val="20"/>
                <w:szCs w:val="20"/>
              </w:rPr>
              <w:t xml:space="preserve">Calorie labelling </w:t>
            </w:r>
            <w:r w:rsidR="00CE1341">
              <w:rPr>
                <w:sz w:val="20"/>
                <w:szCs w:val="20"/>
              </w:rPr>
              <w:t>o</w:t>
            </w:r>
            <w:r w:rsidRPr="00E30A5F">
              <w:rPr>
                <w:sz w:val="20"/>
                <w:szCs w:val="20"/>
              </w:rPr>
              <w:t>n menus is not effective to promote healthier food choices.</w:t>
            </w:r>
          </w:p>
        </w:tc>
      </w:tr>
      <w:tr w:rsidR="00936DD5" w:rsidRPr="00E67A4C" w14:paraId="3D2DB67A" w14:textId="77777777" w:rsidTr="00936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0" w:type="dxa"/>
          </w:tcPr>
          <w:p w14:paraId="049628C6" w14:textId="77777777" w:rsidR="00DC27C0" w:rsidRPr="00E30A5F" w:rsidRDefault="00DC27C0" w:rsidP="00217285">
            <w:pPr>
              <w:spacing w:after="40"/>
              <w:rPr>
                <w:b w:val="0"/>
                <w:bCs w:val="0"/>
                <w:sz w:val="20"/>
                <w:szCs w:val="20"/>
              </w:rPr>
            </w:pPr>
            <w:r w:rsidRPr="00217285">
              <w:rPr>
                <w:rFonts w:eastAsia="Arial"/>
                <w:b w:val="0"/>
                <w:sz w:val="20"/>
                <w:szCs w:val="20"/>
              </w:rPr>
              <w:t xml:space="preserve">Littlewood et al. 2015. Menu labelling is effective in reducing energy ordered and consumed: a systematic review and meta-analysis of recent studies. </w:t>
            </w:r>
            <w:r w:rsidRPr="00217285">
              <w:rPr>
                <w:rFonts w:eastAsia="Arial"/>
                <w:b w:val="0"/>
                <w:i/>
                <w:sz w:val="20"/>
                <w:szCs w:val="20"/>
              </w:rPr>
              <w:t>Public Health Nutrition</w:t>
            </w:r>
            <w:r w:rsidRPr="00217285">
              <w:rPr>
                <w:rFonts w:eastAsia="Arial"/>
                <w:b w:val="0"/>
                <w:sz w:val="20"/>
                <w:szCs w:val="20"/>
              </w:rPr>
              <w:t>, 19(12), 2106-2121.</w:t>
            </w:r>
          </w:p>
        </w:tc>
        <w:tc>
          <w:tcPr>
            <w:tcW w:w="2199" w:type="dxa"/>
          </w:tcPr>
          <w:p w14:paraId="66E3EB7D" w14:textId="77777777" w:rsidR="00A754F8" w:rsidRDefault="00DC27C0" w:rsidP="00A754F8">
            <w:pPr>
              <w:spacing w:after="40"/>
              <w:cnfStyle w:val="000000100000" w:firstRow="0" w:lastRow="0" w:firstColumn="0" w:lastColumn="0" w:oddVBand="0" w:evenVBand="0" w:oddHBand="1" w:evenHBand="0" w:firstRowFirstColumn="0" w:firstRowLastColumn="0" w:lastRowFirstColumn="0" w:lastRowLastColumn="0"/>
              <w:rPr>
                <w:sz w:val="20"/>
                <w:szCs w:val="20"/>
              </w:rPr>
            </w:pPr>
            <w:r w:rsidRPr="00A754F8">
              <w:rPr>
                <w:sz w:val="20"/>
                <w:szCs w:val="20"/>
              </w:rPr>
              <w:t>15 studies</w:t>
            </w:r>
          </w:p>
          <w:p w14:paraId="77E57961" w14:textId="50CE142B" w:rsidR="00DC27C0" w:rsidRPr="00A754F8" w:rsidRDefault="00DC27C0" w:rsidP="00A754F8">
            <w:pPr>
              <w:spacing w:after="40"/>
              <w:cnfStyle w:val="000000100000" w:firstRow="0" w:lastRow="0" w:firstColumn="0" w:lastColumn="0" w:oddVBand="0" w:evenVBand="0" w:oddHBand="1" w:evenHBand="0" w:firstRowFirstColumn="0" w:firstRowLastColumn="0" w:lastRowFirstColumn="0" w:lastRowLastColumn="0"/>
              <w:rPr>
                <w:sz w:val="20"/>
                <w:szCs w:val="20"/>
              </w:rPr>
            </w:pPr>
            <w:r w:rsidRPr="00A754F8">
              <w:rPr>
                <w:sz w:val="20"/>
                <w:szCs w:val="20"/>
              </w:rPr>
              <w:t>(3 studies excluded from meta-analysis due to lack of data)</w:t>
            </w:r>
          </w:p>
          <w:p w14:paraId="5CEA5E55" w14:textId="77777777" w:rsidR="00DC27C0" w:rsidRDefault="00DC27C0" w:rsidP="007237AB">
            <w:pPr>
              <w:cnfStyle w:val="000000100000" w:firstRow="0" w:lastRow="0" w:firstColumn="0" w:lastColumn="0" w:oddVBand="0" w:evenVBand="0" w:oddHBand="1" w:evenHBand="0" w:firstRowFirstColumn="0" w:firstRowLastColumn="0" w:lastRowFirstColumn="0" w:lastRowLastColumn="0"/>
              <w:rPr>
                <w:sz w:val="20"/>
                <w:szCs w:val="20"/>
              </w:rPr>
            </w:pPr>
          </w:p>
          <w:p w14:paraId="2631D85E" w14:textId="77777777" w:rsidR="00DC27C0" w:rsidRDefault="00DC27C0" w:rsidP="00CE1341">
            <w:pPr>
              <w:spacing w:after="40"/>
              <w:cnfStyle w:val="000000100000" w:firstRow="0" w:lastRow="0" w:firstColumn="0" w:lastColumn="0" w:oddVBand="0" w:evenVBand="0" w:oddHBand="1" w:evenHBand="0" w:firstRowFirstColumn="0" w:firstRowLastColumn="0" w:lastRowFirstColumn="0" w:lastRowLastColumn="0"/>
              <w:rPr>
                <w:sz w:val="20"/>
                <w:szCs w:val="20"/>
              </w:rPr>
            </w:pPr>
            <w:r w:rsidRPr="00CE1341">
              <w:rPr>
                <w:sz w:val="20"/>
                <w:szCs w:val="20"/>
              </w:rPr>
              <w:t>Studies 2012 to 2014</w:t>
            </w:r>
          </w:p>
          <w:p w14:paraId="16C2FC33" w14:textId="396E70CE" w:rsidR="00DC27C0" w:rsidRPr="00E30A5F" w:rsidRDefault="00DC27C0" w:rsidP="007237AB">
            <w:pPr>
              <w:cnfStyle w:val="000000100000" w:firstRow="0" w:lastRow="0" w:firstColumn="0" w:lastColumn="0" w:oddVBand="0" w:evenVBand="0" w:oddHBand="1" w:evenHBand="0" w:firstRowFirstColumn="0" w:firstRowLastColumn="0" w:lastRowFirstColumn="0" w:lastRowLastColumn="0"/>
              <w:rPr>
                <w:sz w:val="20"/>
                <w:szCs w:val="20"/>
              </w:rPr>
            </w:pPr>
          </w:p>
        </w:tc>
        <w:tc>
          <w:tcPr>
            <w:tcW w:w="2315" w:type="dxa"/>
            <w:gridSpan w:val="3"/>
          </w:tcPr>
          <w:p w14:paraId="54ACBC13" w14:textId="63CFF339" w:rsidR="00DC27C0" w:rsidRDefault="00DC27C0" w:rsidP="007237AB">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USA (10)</w:t>
            </w:r>
            <w:r w:rsidR="00A754F8">
              <w:rPr>
                <w:sz w:val="20"/>
                <w:szCs w:val="20"/>
              </w:rPr>
              <w:t xml:space="preserve">, Canada (3), </w:t>
            </w:r>
            <w:r w:rsidR="00A754F8" w:rsidRPr="00A754F8">
              <w:rPr>
                <w:b/>
                <w:bCs/>
                <w:sz w:val="20"/>
                <w:szCs w:val="20"/>
              </w:rPr>
              <w:t>Australia (2)</w:t>
            </w:r>
          </w:p>
          <w:p w14:paraId="0D1BB506" w14:textId="77777777" w:rsidR="00DC27C0" w:rsidRDefault="00DC27C0" w:rsidP="007237AB">
            <w:pPr>
              <w:cnfStyle w:val="000000100000" w:firstRow="0" w:lastRow="0" w:firstColumn="0" w:lastColumn="0" w:oddVBand="0" w:evenVBand="0" w:oddHBand="1" w:evenHBand="0" w:firstRowFirstColumn="0" w:firstRowLastColumn="0" w:lastRowFirstColumn="0" w:lastRowLastColumn="0"/>
              <w:rPr>
                <w:sz w:val="20"/>
                <w:szCs w:val="20"/>
              </w:rPr>
            </w:pPr>
          </w:p>
          <w:p w14:paraId="112CAF6B" w14:textId="3E9F1107" w:rsidR="00DC27C0" w:rsidRDefault="00DC27C0" w:rsidP="007237AB">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Real</w:t>
            </w:r>
            <w:r w:rsidR="00A754F8">
              <w:rPr>
                <w:sz w:val="20"/>
                <w:szCs w:val="20"/>
              </w:rPr>
              <w:t xml:space="preserve"> </w:t>
            </w:r>
            <w:r>
              <w:rPr>
                <w:sz w:val="20"/>
                <w:szCs w:val="20"/>
              </w:rPr>
              <w:t>world (7)</w:t>
            </w:r>
            <w:r w:rsidR="00A754F8">
              <w:rPr>
                <w:sz w:val="20"/>
                <w:szCs w:val="20"/>
              </w:rPr>
              <w:t xml:space="preserve"> and </w:t>
            </w:r>
            <w:r>
              <w:rPr>
                <w:sz w:val="20"/>
                <w:szCs w:val="20"/>
              </w:rPr>
              <w:t>experimental settings (8)</w:t>
            </w:r>
          </w:p>
          <w:p w14:paraId="0FE9E41A" w14:textId="77777777" w:rsidR="00DC27C0" w:rsidRDefault="00DC27C0" w:rsidP="007237AB">
            <w:pPr>
              <w:cnfStyle w:val="000000100000" w:firstRow="0" w:lastRow="0" w:firstColumn="0" w:lastColumn="0" w:oddVBand="0" w:evenVBand="0" w:oddHBand="1" w:evenHBand="0" w:firstRowFirstColumn="0" w:firstRowLastColumn="0" w:lastRowFirstColumn="0" w:lastRowLastColumn="0"/>
              <w:rPr>
                <w:sz w:val="20"/>
                <w:szCs w:val="20"/>
              </w:rPr>
            </w:pPr>
          </w:p>
          <w:p w14:paraId="30B7E4B6" w14:textId="77777777" w:rsidR="005E134C" w:rsidRDefault="005E134C" w:rsidP="007237AB">
            <w:pPr>
              <w:cnfStyle w:val="000000100000" w:firstRow="0" w:lastRow="0" w:firstColumn="0" w:lastColumn="0" w:oddVBand="0" w:evenVBand="0" w:oddHBand="1" w:evenHBand="0" w:firstRowFirstColumn="0" w:firstRowLastColumn="0" w:lastRowFirstColumn="0" w:lastRowLastColumn="0"/>
              <w:rPr>
                <w:sz w:val="20"/>
                <w:szCs w:val="20"/>
              </w:rPr>
            </w:pPr>
          </w:p>
          <w:p w14:paraId="44109FDB" w14:textId="19CDE5FC" w:rsidR="005E134C" w:rsidRPr="00E30A5F" w:rsidRDefault="005E134C" w:rsidP="007237AB">
            <w:pPr>
              <w:cnfStyle w:val="000000100000" w:firstRow="0" w:lastRow="0" w:firstColumn="0" w:lastColumn="0" w:oddVBand="0" w:evenVBand="0" w:oddHBand="1" w:evenHBand="0" w:firstRowFirstColumn="0" w:firstRowLastColumn="0" w:lastRowFirstColumn="0" w:lastRowLastColumn="0"/>
              <w:rPr>
                <w:sz w:val="20"/>
                <w:szCs w:val="20"/>
              </w:rPr>
            </w:pPr>
            <w:r w:rsidRPr="00504AB8">
              <w:rPr>
                <w:i/>
                <w:iCs/>
                <w:sz w:val="20"/>
                <w:szCs w:val="20"/>
              </w:rPr>
              <w:t>** Studies in Australia were simulated</w:t>
            </w:r>
          </w:p>
        </w:tc>
        <w:tc>
          <w:tcPr>
            <w:tcW w:w="2200" w:type="dxa"/>
          </w:tcPr>
          <w:p w14:paraId="261F16EC" w14:textId="385AE43B" w:rsidR="00DC27C0" w:rsidRDefault="00DC27C0" w:rsidP="00217285">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Impact of menu labelling on energy consumed, </w:t>
            </w:r>
            <w:r w:rsidR="00FC3FB0">
              <w:rPr>
                <w:sz w:val="20"/>
                <w:szCs w:val="20"/>
              </w:rPr>
              <w:t>ordered,</w:t>
            </w:r>
            <w:r>
              <w:rPr>
                <w:sz w:val="20"/>
                <w:szCs w:val="20"/>
              </w:rPr>
              <w:t xml:space="preserve"> or selected.</w:t>
            </w:r>
          </w:p>
          <w:p w14:paraId="0F7304B1" w14:textId="2C6121DB" w:rsidR="00DC27C0" w:rsidRPr="00E30A5F" w:rsidRDefault="00DC27C0" w:rsidP="007237AB">
            <w:pPr>
              <w:cnfStyle w:val="000000100000" w:firstRow="0" w:lastRow="0" w:firstColumn="0" w:lastColumn="0" w:oddVBand="0" w:evenVBand="0" w:oddHBand="1" w:evenHBand="0" w:firstRowFirstColumn="0" w:firstRowLastColumn="0" w:lastRowFirstColumn="0" w:lastRowLastColumn="0"/>
              <w:rPr>
                <w:sz w:val="20"/>
                <w:szCs w:val="20"/>
              </w:rPr>
            </w:pPr>
          </w:p>
        </w:tc>
        <w:tc>
          <w:tcPr>
            <w:tcW w:w="5447" w:type="dxa"/>
          </w:tcPr>
          <w:p w14:paraId="4A87B2F2" w14:textId="57AC5DD5" w:rsidR="00DC27C0" w:rsidRPr="00DF3D96" w:rsidRDefault="00DC27C0" w:rsidP="0055688D">
            <w:pPr>
              <w:pStyle w:val="ListParagraph"/>
              <w:numPr>
                <w:ilvl w:val="0"/>
                <w:numId w:val="15"/>
              </w:numPr>
              <w:spacing w:after="40"/>
              <w:cnfStyle w:val="000000100000" w:firstRow="0" w:lastRow="0" w:firstColumn="0" w:lastColumn="0" w:oddVBand="0" w:evenVBand="0" w:oddHBand="1" w:evenHBand="0" w:firstRowFirstColumn="0" w:firstRowLastColumn="0" w:lastRowFirstColumn="0" w:lastRowLastColumn="0"/>
              <w:rPr>
                <w:sz w:val="20"/>
                <w:szCs w:val="20"/>
              </w:rPr>
            </w:pPr>
            <w:r w:rsidRPr="00DF3D96">
              <w:rPr>
                <w:sz w:val="20"/>
                <w:szCs w:val="20"/>
              </w:rPr>
              <w:t>Overall estimated effect of menu labelling – energy consumed was reduced by an average of 420kJ.</w:t>
            </w:r>
          </w:p>
          <w:p w14:paraId="52E8D40A" w14:textId="7CA5A619" w:rsidR="00DC27C0" w:rsidRPr="00DF3D96" w:rsidRDefault="00DC27C0" w:rsidP="0055688D">
            <w:pPr>
              <w:pStyle w:val="ListParagraph"/>
              <w:numPr>
                <w:ilvl w:val="0"/>
                <w:numId w:val="15"/>
              </w:numPr>
              <w:spacing w:after="40"/>
              <w:cnfStyle w:val="000000100000" w:firstRow="0" w:lastRow="0" w:firstColumn="0" w:lastColumn="0" w:oddVBand="0" w:evenVBand="0" w:oddHBand="1" w:evenHBand="0" w:firstRowFirstColumn="0" w:firstRowLastColumn="0" w:lastRowFirstColumn="0" w:lastRowLastColumn="0"/>
              <w:rPr>
                <w:sz w:val="20"/>
                <w:szCs w:val="20"/>
              </w:rPr>
            </w:pPr>
            <w:r w:rsidRPr="00DF3D96">
              <w:rPr>
                <w:sz w:val="20"/>
                <w:szCs w:val="20"/>
              </w:rPr>
              <w:t>In real-world settings, an average 325 fewer kilojoules were ordered per sale for that eating occasion.</w:t>
            </w:r>
          </w:p>
          <w:p w14:paraId="79E20A36" w14:textId="3CE252D0" w:rsidR="00246697" w:rsidRPr="00DF3D96" w:rsidRDefault="00246697" w:rsidP="0055688D">
            <w:pPr>
              <w:pStyle w:val="ListParagraph"/>
              <w:numPr>
                <w:ilvl w:val="0"/>
                <w:numId w:val="15"/>
              </w:numPr>
              <w:spacing w:after="40"/>
              <w:cnfStyle w:val="000000100000" w:firstRow="0" w:lastRow="0" w:firstColumn="0" w:lastColumn="0" w:oddVBand="0" w:evenVBand="0" w:oddHBand="1" w:evenHBand="0" w:firstRowFirstColumn="0" w:firstRowLastColumn="0" w:lastRowFirstColumn="0" w:lastRowLastColumn="0"/>
              <w:rPr>
                <w:sz w:val="20"/>
                <w:szCs w:val="20"/>
              </w:rPr>
            </w:pPr>
            <w:r w:rsidRPr="00DF3D96">
              <w:rPr>
                <w:sz w:val="20"/>
                <w:szCs w:val="20"/>
              </w:rPr>
              <w:t>Nine</w:t>
            </w:r>
            <w:r w:rsidR="00406106" w:rsidRPr="00DF3D96">
              <w:rPr>
                <w:sz w:val="20"/>
                <w:szCs w:val="20"/>
              </w:rPr>
              <w:t xml:space="preserve"> studies showed statistically significant reductions in energy consumed, </w:t>
            </w:r>
            <w:r w:rsidR="00FC3FB0" w:rsidRPr="00DF3D96">
              <w:rPr>
                <w:sz w:val="20"/>
                <w:szCs w:val="20"/>
              </w:rPr>
              <w:t>ordered,</w:t>
            </w:r>
            <w:r w:rsidR="00406106" w:rsidRPr="00DF3D96">
              <w:rPr>
                <w:sz w:val="20"/>
                <w:szCs w:val="20"/>
              </w:rPr>
              <w:t xml:space="preserve"> or selected</w:t>
            </w:r>
            <w:r w:rsidR="00B32CD6">
              <w:rPr>
                <w:sz w:val="20"/>
                <w:szCs w:val="20"/>
              </w:rPr>
              <w:t xml:space="preserve"> – reductions of </w:t>
            </w:r>
            <w:r w:rsidR="00B71408">
              <w:rPr>
                <w:sz w:val="20"/>
                <w:szCs w:val="20"/>
              </w:rPr>
              <w:t>96 to 648kJ.</w:t>
            </w:r>
          </w:p>
          <w:p w14:paraId="45783286" w14:textId="28CB1D47" w:rsidR="00406106" w:rsidRPr="00DF3D96" w:rsidRDefault="00DF3D96" w:rsidP="0055688D">
            <w:pPr>
              <w:pStyle w:val="ListParagraph"/>
              <w:numPr>
                <w:ilvl w:val="0"/>
                <w:numId w:val="15"/>
              </w:numPr>
              <w:spacing w:after="40"/>
              <w:cnfStyle w:val="000000100000" w:firstRow="0" w:lastRow="0" w:firstColumn="0" w:lastColumn="0" w:oddVBand="0" w:evenVBand="0" w:oddHBand="1" w:evenHBand="0" w:firstRowFirstColumn="0" w:firstRowLastColumn="0" w:lastRowFirstColumn="0" w:lastRowLastColumn="0"/>
              <w:rPr>
                <w:sz w:val="20"/>
                <w:szCs w:val="20"/>
              </w:rPr>
            </w:pPr>
            <w:r w:rsidRPr="00DF3D96">
              <w:rPr>
                <w:sz w:val="20"/>
                <w:szCs w:val="20"/>
              </w:rPr>
              <w:t>Three studies reported no effect of menu labelling.</w:t>
            </w:r>
          </w:p>
          <w:p w14:paraId="491B7393" w14:textId="77777777" w:rsidR="00DC27C0" w:rsidRPr="00E30A5F" w:rsidRDefault="00DC27C0" w:rsidP="0055688D">
            <w:pPr>
              <w:pStyle w:val="ListParagraph"/>
              <w:numPr>
                <w:ilvl w:val="0"/>
                <w:numId w:val="15"/>
              </w:numPr>
              <w:spacing w:after="40"/>
              <w:cnfStyle w:val="000000100000" w:firstRow="0" w:lastRow="0" w:firstColumn="0" w:lastColumn="0" w:oddVBand="0" w:evenVBand="0" w:oddHBand="1" w:evenHBand="0" w:firstRowFirstColumn="0" w:firstRowLastColumn="0" w:lastRowFirstColumn="0" w:lastRowLastColumn="0"/>
              <w:rPr>
                <w:sz w:val="20"/>
                <w:szCs w:val="20"/>
              </w:rPr>
            </w:pPr>
            <w:r w:rsidRPr="00DF3D96">
              <w:rPr>
                <w:sz w:val="20"/>
                <w:szCs w:val="20"/>
              </w:rPr>
              <w:t>Menu labelling can effectively reduce energy ordered and consumed in the away-from-home food environment.</w:t>
            </w:r>
          </w:p>
        </w:tc>
      </w:tr>
      <w:tr w:rsidR="00936DD5" w:rsidRPr="00E67A4C" w14:paraId="5C37E6A0" w14:textId="77777777" w:rsidTr="00936DD5">
        <w:tc>
          <w:tcPr>
            <w:cnfStyle w:val="001000000000" w:firstRow="0" w:lastRow="0" w:firstColumn="1" w:lastColumn="0" w:oddVBand="0" w:evenVBand="0" w:oddHBand="0" w:evenHBand="0" w:firstRowFirstColumn="0" w:firstRowLastColumn="0" w:lastRowFirstColumn="0" w:lastRowLastColumn="0"/>
            <w:tcW w:w="2440" w:type="dxa"/>
          </w:tcPr>
          <w:p w14:paraId="1DBE4BA0" w14:textId="77777777" w:rsidR="0062314C" w:rsidRPr="00311B10" w:rsidRDefault="0062314C" w:rsidP="007237AB">
            <w:pPr>
              <w:rPr>
                <w:rFonts w:eastAsia="Arial"/>
                <w:b w:val="0"/>
                <w:bCs w:val="0"/>
                <w:spacing w:val="-1"/>
                <w:sz w:val="20"/>
                <w:szCs w:val="20"/>
              </w:rPr>
            </w:pPr>
            <w:r w:rsidRPr="004E70B2">
              <w:rPr>
                <w:rFonts w:eastAsia="Arial"/>
                <w:b w:val="0"/>
                <w:bCs w:val="0"/>
                <w:spacing w:val="-1"/>
                <w:sz w:val="20"/>
                <w:szCs w:val="20"/>
              </w:rPr>
              <w:lastRenderedPageBreak/>
              <w:t xml:space="preserve">Long et al. 2015. Systematic review and meta-analysis of the impact of restaurant menu calorie </w:t>
            </w:r>
            <w:proofErr w:type="spellStart"/>
            <w:r w:rsidRPr="004E70B2">
              <w:rPr>
                <w:rFonts w:eastAsia="Arial"/>
                <w:b w:val="0"/>
                <w:bCs w:val="0"/>
                <w:spacing w:val="-1"/>
                <w:sz w:val="20"/>
                <w:szCs w:val="20"/>
              </w:rPr>
              <w:t>labeling</w:t>
            </w:r>
            <w:proofErr w:type="spellEnd"/>
            <w:r w:rsidRPr="004E70B2">
              <w:rPr>
                <w:rFonts w:eastAsia="Arial"/>
                <w:b w:val="0"/>
                <w:bCs w:val="0"/>
                <w:spacing w:val="-1"/>
                <w:sz w:val="20"/>
                <w:szCs w:val="20"/>
              </w:rPr>
              <w:t xml:space="preserve">. </w:t>
            </w:r>
            <w:r w:rsidRPr="004E70B2">
              <w:rPr>
                <w:rFonts w:eastAsia="Arial"/>
                <w:b w:val="0"/>
                <w:bCs w:val="0"/>
                <w:i/>
                <w:iCs/>
                <w:spacing w:val="-1"/>
                <w:sz w:val="20"/>
                <w:szCs w:val="20"/>
              </w:rPr>
              <w:t>American Journal of Public Health</w:t>
            </w:r>
            <w:r w:rsidRPr="004E70B2">
              <w:rPr>
                <w:rFonts w:eastAsia="Arial"/>
                <w:b w:val="0"/>
                <w:bCs w:val="0"/>
                <w:spacing w:val="-1"/>
                <w:sz w:val="20"/>
                <w:szCs w:val="20"/>
              </w:rPr>
              <w:t>, 105(5): e11-e24.</w:t>
            </w:r>
          </w:p>
        </w:tc>
        <w:tc>
          <w:tcPr>
            <w:tcW w:w="2199" w:type="dxa"/>
          </w:tcPr>
          <w:p w14:paraId="0BC8CE98" w14:textId="54F0F918" w:rsidR="0062314C" w:rsidRDefault="0062314C" w:rsidP="007237AB">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19 studies</w:t>
            </w:r>
          </w:p>
          <w:p w14:paraId="4A556A1B" w14:textId="7761F7BE" w:rsidR="007D4C93" w:rsidRDefault="007D4C93" w:rsidP="007D4C93">
            <w:pPr>
              <w:pStyle w:val="ListParagraph"/>
              <w:numPr>
                <w:ilvl w:val="0"/>
                <w:numId w:val="65"/>
              </w:numPr>
              <w:ind w:left="140" w:hanging="14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r w:rsidR="000A6B68">
              <w:rPr>
                <w:sz w:val="20"/>
                <w:szCs w:val="20"/>
              </w:rPr>
              <w:t>1</w:t>
            </w:r>
            <w:r>
              <w:rPr>
                <w:sz w:val="20"/>
                <w:szCs w:val="20"/>
              </w:rPr>
              <w:t xml:space="preserve"> RCT</w:t>
            </w:r>
          </w:p>
          <w:p w14:paraId="3B90FE09" w14:textId="60021110" w:rsidR="007D4C93" w:rsidRDefault="007D4C93" w:rsidP="007D4C93">
            <w:pPr>
              <w:pStyle w:val="ListParagraph"/>
              <w:numPr>
                <w:ilvl w:val="0"/>
                <w:numId w:val="65"/>
              </w:numPr>
              <w:ind w:left="140" w:hanging="14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8 NE</w:t>
            </w:r>
          </w:p>
          <w:p w14:paraId="6CA49CD1" w14:textId="77777777" w:rsidR="0062314C" w:rsidRDefault="0062314C" w:rsidP="007237AB">
            <w:pPr>
              <w:cnfStyle w:val="000000000000" w:firstRow="0" w:lastRow="0" w:firstColumn="0" w:lastColumn="0" w:oddVBand="0" w:evenVBand="0" w:oddHBand="0" w:evenHBand="0" w:firstRowFirstColumn="0" w:firstRowLastColumn="0" w:lastRowFirstColumn="0" w:lastRowLastColumn="0"/>
              <w:rPr>
                <w:sz w:val="20"/>
                <w:szCs w:val="20"/>
              </w:rPr>
            </w:pPr>
          </w:p>
          <w:p w14:paraId="45CCF53E" w14:textId="5AF97EA8" w:rsidR="0062314C" w:rsidRDefault="0062314C" w:rsidP="007237AB">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Studies to October 2013</w:t>
            </w:r>
          </w:p>
        </w:tc>
        <w:tc>
          <w:tcPr>
            <w:tcW w:w="2315" w:type="dxa"/>
            <w:gridSpan w:val="3"/>
          </w:tcPr>
          <w:p w14:paraId="42501034" w14:textId="7A7F3802" w:rsidR="0062314C" w:rsidRDefault="0062314C" w:rsidP="00100B62">
            <w:pPr>
              <w:cnfStyle w:val="000000000000" w:firstRow="0" w:lastRow="0" w:firstColumn="0" w:lastColumn="0" w:oddVBand="0" w:evenVBand="0" w:oddHBand="0" w:evenHBand="0" w:firstRowFirstColumn="0" w:firstRowLastColumn="0" w:lastRowFirstColumn="0" w:lastRowLastColumn="0"/>
              <w:rPr>
                <w:sz w:val="20"/>
                <w:szCs w:val="20"/>
              </w:rPr>
            </w:pPr>
            <w:r w:rsidRPr="00D96FD7">
              <w:rPr>
                <w:sz w:val="20"/>
                <w:szCs w:val="20"/>
              </w:rPr>
              <w:t>USA (</w:t>
            </w:r>
            <w:r w:rsidR="00D96FD7" w:rsidRPr="00D96FD7">
              <w:rPr>
                <w:sz w:val="20"/>
                <w:szCs w:val="20"/>
              </w:rPr>
              <w:t>18</w:t>
            </w:r>
            <w:r w:rsidRPr="00D96FD7">
              <w:rPr>
                <w:sz w:val="20"/>
                <w:szCs w:val="20"/>
              </w:rPr>
              <w:t>)</w:t>
            </w:r>
            <w:r w:rsidR="00D96FD7">
              <w:rPr>
                <w:sz w:val="20"/>
                <w:szCs w:val="20"/>
              </w:rPr>
              <w:t xml:space="preserve">, </w:t>
            </w:r>
            <w:r w:rsidR="00D96FD7" w:rsidRPr="00B62034">
              <w:rPr>
                <w:b/>
                <w:bCs/>
                <w:sz w:val="20"/>
                <w:szCs w:val="20"/>
              </w:rPr>
              <w:t>Australia (1)</w:t>
            </w:r>
            <w:r w:rsidRPr="00D96FD7">
              <w:rPr>
                <w:sz w:val="20"/>
                <w:szCs w:val="20"/>
              </w:rPr>
              <w:t xml:space="preserve"> - menu labelling formats consistent with federal menu labelling laws</w:t>
            </w:r>
          </w:p>
          <w:p w14:paraId="3D646CC2" w14:textId="77777777" w:rsidR="0062314C" w:rsidRDefault="0062314C" w:rsidP="00100B62">
            <w:pPr>
              <w:cnfStyle w:val="000000000000" w:firstRow="0" w:lastRow="0" w:firstColumn="0" w:lastColumn="0" w:oddVBand="0" w:evenVBand="0" w:oddHBand="0" w:evenHBand="0" w:firstRowFirstColumn="0" w:firstRowLastColumn="0" w:lastRowFirstColumn="0" w:lastRowLastColumn="0"/>
              <w:rPr>
                <w:sz w:val="20"/>
                <w:szCs w:val="20"/>
              </w:rPr>
            </w:pPr>
          </w:p>
          <w:p w14:paraId="4121005C" w14:textId="77777777" w:rsidR="0062314C" w:rsidRDefault="0062314C" w:rsidP="0062314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Restaurant settings (9) and non-restaurant settings (10)</w:t>
            </w:r>
          </w:p>
          <w:p w14:paraId="67FEB196" w14:textId="77777777" w:rsidR="00D96FD7" w:rsidRDefault="00D96FD7" w:rsidP="0062314C">
            <w:pPr>
              <w:cnfStyle w:val="000000000000" w:firstRow="0" w:lastRow="0" w:firstColumn="0" w:lastColumn="0" w:oddVBand="0" w:evenVBand="0" w:oddHBand="0" w:evenHBand="0" w:firstRowFirstColumn="0" w:firstRowLastColumn="0" w:lastRowFirstColumn="0" w:lastRowLastColumn="0"/>
              <w:rPr>
                <w:sz w:val="20"/>
                <w:szCs w:val="20"/>
              </w:rPr>
            </w:pPr>
          </w:p>
          <w:p w14:paraId="196FB8E7" w14:textId="0960440A" w:rsidR="00D96FD7" w:rsidRDefault="00D96FD7" w:rsidP="0062314C">
            <w:pPr>
              <w:cnfStyle w:val="000000000000" w:firstRow="0" w:lastRow="0" w:firstColumn="0" w:lastColumn="0" w:oddVBand="0" w:evenVBand="0" w:oddHBand="0" w:evenHBand="0" w:firstRowFirstColumn="0" w:firstRowLastColumn="0" w:lastRowFirstColumn="0" w:lastRowLastColumn="0"/>
              <w:rPr>
                <w:sz w:val="20"/>
                <w:szCs w:val="20"/>
              </w:rPr>
            </w:pPr>
            <w:r w:rsidRPr="00504AB8">
              <w:rPr>
                <w:i/>
                <w:iCs/>
                <w:sz w:val="20"/>
                <w:szCs w:val="20"/>
              </w:rPr>
              <w:t>** Stud</w:t>
            </w:r>
            <w:r>
              <w:rPr>
                <w:i/>
                <w:iCs/>
                <w:sz w:val="20"/>
                <w:szCs w:val="20"/>
              </w:rPr>
              <w:t>y</w:t>
            </w:r>
            <w:r w:rsidRPr="00504AB8">
              <w:rPr>
                <w:i/>
                <w:iCs/>
                <w:sz w:val="20"/>
                <w:szCs w:val="20"/>
              </w:rPr>
              <w:t xml:space="preserve"> in Australia w</w:t>
            </w:r>
            <w:r>
              <w:rPr>
                <w:i/>
                <w:iCs/>
                <w:sz w:val="20"/>
                <w:szCs w:val="20"/>
              </w:rPr>
              <w:t>as</w:t>
            </w:r>
            <w:r w:rsidRPr="00504AB8">
              <w:rPr>
                <w:i/>
                <w:iCs/>
                <w:sz w:val="20"/>
                <w:szCs w:val="20"/>
              </w:rPr>
              <w:t xml:space="preserve"> simulated</w:t>
            </w:r>
          </w:p>
        </w:tc>
        <w:tc>
          <w:tcPr>
            <w:tcW w:w="2200" w:type="dxa"/>
          </w:tcPr>
          <w:p w14:paraId="7962AFFF" w14:textId="77777777" w:rsidR="0062314C" w:rsidRPr="0062314C" w:rsidRDefault="0062314C" w:rsidP="0062314C">
            <w:pPr>
              <w:spacing w:after="4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w:t>
            </w:r>
            <w:r w:rsidRPr="0062314C">
              <w:rPr>
                <w:sz w:val="20"/>
                <w:szCs w:val="20"/>
              </w:rPr>
              <w:t>mpact of menu calorie labelling compared to no labelling</w:t>
            </w:r>
            <w:r>
              <w:rPr>
                <w:sz w:val="20"/>
                <w:szCs w:val="20"/>
              </w:rPr>
              <w:t>.</w:t>
            </w:r>
          </w:p>
          <w:p w14:paraId="1DBA90AA" w14:textId="2F95A24F" w:rsidR="0062314C" w:rsidRPr="00D46515" w:rsidRDefault="0062314C" w:rsidP="00D46515">
            <w:pPr>
              <w:spacing w:after="40"/>
              <w:cnfStyle w:val="000000000000" w:firstRow="0" w:lastRow="0" w:firstColumn="0" w:lastColumn="0" w:oddVBand="0" w:evenVBand="0" w:oddHBand="0" w:evenHBand="0" w:firstRowFirstColumn="0" w:firstRowLastColumn="0" w:lastRowFirstColumn="0" w:lastRowLastColumn="0"/>
              <w:rPr>
                <w:sz w:val="20"/>
                <w:szCs w:val="20"/>
              </w:rPr>
            </w:pPr>
            <w:r w:rsidRPr="00D46515">
              <w:rPr>
                <w:sz w:val="20"/>
                <w:szCs w:val="20"/>
              </w:rPr>
              <w:t>Change in calories purchased during a single meal.</w:t>
            </w:r>
          </w:p>
          <w:p w14:paraId="286802C8" w14:textId="3D429F03" w:rsidR="0062314C" w:rsidRPr="00E30A5F" w:rsidRDefault="0062314C" w:rsidP="007237AB">
            <w:pPr>
              <w:cnfStyle w:val="000000000000" w:firstRow="0" w:lastRow="0" w:firstColumn="0" w:lastColumn="0" w:oddVBand="0" w:evenVBand="0" w:oddHBand="0" w:evenHBand="0" w:firstRowFirstColumn="0" w:firstRowLastColumn="0" w:lastRowFirstColumn="0" w:lastRowLastColumn="0"/>
              <w:rPr>
                <w:sz w:val="20"/>
                <w:szCs w:val="20"/>
              </w:rPr>
            </w:pPr>
          </w:p>
        </w:tc>
        <w:tc>
          <w:tcPr>
            <w:tcW w:w="5447" w:type="dxa"/>
          </w:tcPr>
          <w:p w14:paraId="393F7B56" w14:textId="296CDB22" w:rsidR="0062314C" w:rsidRDefault="0062314C" w:rsidP="0055688D">
            <w:pPr>
              <w:pStyle w:val="ListParagraph"/>
              <w:numPr>
                <w:ilvl w:val="0"/>
                <w:numId w:val="15"/>
              </w:numPr>
              <w:spacing w:after="4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Overall, menu </w:t>
            </w:r>
            <w:proofErr w:type="spellStart"/>
            <w:r>
              <w:rPr>
                <w:sz w:val="20"/>
                <w:szCs w:val="20"/>
              </w:rPr>
              <w:t>labeling</w:t>
            </w:r>
            <w:proofErr w:type="spellEnd"/>
            <w:r>
              <w:rPr>
                <w:sz w:val="20"/>
                <w:szCs w:val="20"/>
              </w:rPr>
              <w:t xml:space="preserve"> is associated with a reduction of 18 calories (75kJ) per meal ordered.</w:t>
            </w:r>
          </w:p>
          <w:p w14:paraId="59E42B82" w14:textId="1D025DDE" w:rsidR="0062314C" w:rsidRDefault="0062314C" w:rsidP="0055688D">
            <w:pPr>
              <w:pStyle w:val="ListParagraph"/>
              <w:numPr>
                <w:ilvl w:val="0"/>
                <w:numId w:val="15"/>
              </w:numPr>
              <w:spacing w:after="4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In restaurant settings – reduction of 8 calories (33kJ).</w:t>
            </w:r>
          </w:p>
          <w:p w14:paraId="46094D96" w14:textId="06158ED4" w:rsidR="0062314C" w:rsidRDefault="0062314C" w:rsidP="0055688D">
            <w:pPr>
              <w:pStyle w:val="ListParagraph"/>
              <w:numPr>
                <w:ilvl w:val="0"/>
                <w:numId w:val="15"/>
              </w:numPr>
              <w:spacing w:after="4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In non-restaurant settings – reduction of 58 calories (242kJ) per meal ordered.</w:t>
            </w:r>
          </w:p>
          <w:p w14:paraId="041510F8" w14:textId="6DA29ACB" w:rsidR="0062314C" w:rsidRDefault="0062314C" w:rsidP="0055688D">
            <w:pPr>
              <w:pStyle w:val="ListParagraph"/>
              <w:numPr>
                <w:ilvl w:val="0"/>
                <w:numId w:val="15"/>
              </w:numPr>
              <w:spacing w:after="4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Menu labelling in fast</w:t>
            </w:r>
            <w:r w:rsidR="00CE2FE2">
              <w:rPr>
                <w:sz w:val="20"/>
                <w:szCs w:val="20"/>
              </w:rPr>
              <w:t xml:space="preserve"> </w:t>
            </w:r>
            <w:r>
              <w:rPr>
                <w:sz w:val="20"/>
                <w:szCs w:val="20"/>
              </w:rPr>
              <w:t xml:space="preserve">food, coffee shops and other restaurant settings did not result in a significant reduction in energy purchased. </w:t>
            </w:r>
          </w:p>
          <w:p w14:paraId="536B736C" w14:textId="705E9A3B" w:rsidR="0062314C" w:rsidRPr="00A51A80" w:rsidRDefault="0062314C" w:rsidP="00A51A80">
            <w:pPr>
              <w:pStyle w:val="ListParagraph"/>
              <w:numPr>
                <w:ilvl w:val="0"/>
                <w:numId w:val="15"/>
              </w:numPr>
              <w:spacing w:after="4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Even small reductions in calorie purchased could have a substantial health benefit as adults consume 25% of daily energy from fast</w:t>
            </w:r>
            <w:r w:rsidR="00CE2FE2">
              <w:rPr>
                <w:sz w:val="20"/>
                <w:szCs w:val="20"/>
              </w:rPr>
              <w:t xml:space="preserve"> </w:t>
            </w:r>
            <w:r>
              <w:rPr>
                <w:sz w:val="20"/>
                <w:szCs w:val="20"/>
              </w:rPr>
              <w:t xml:space="preserve">food and other restaurants. </w:t>
            </w:r>
          </w:p>
        </w:tc>
      </w:tr>
      <w:tr w:rsidR="00F95554" w:rsidRPr="00E67A4C" w14:paraId="64F13BA3" w14:textId="77777777" w:rsidTr="00936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0" w:type="dxa"/>
          </w:tcPr>
          <w:p w14:paraId="1408B656" w14:textId="20491883" w:rsidR="00F95554" w:rsidRPr="004E70B2" w:rsidRDefault="00F95554" w:rsidP="007237AB">
            <w:pPr>
              <w:rPr>
                <w:rFonts w:eastAsia="Arial"/>
                <w:b w:val="0"/>
                <w:bCs w:val="0"/>
                <w:spacing w:val="-1"/>
                <w:sz w:val="20"/>
                <w:szCs w:val="20"/>
              </w:rPr>
            </w:pPr>
            <w:r w:rsidRPr="00801AAF">
              <w:rPr>
                <w:b w:val="0"/>
                <w:bCs w:val="0"/>
                <w:sz w:val="20"/>
                <w:szCs w:val="20"/>
              </w:rPr>
              <w:t xml:space="preserve">Rincon-Gallardo </w:t>
            </w:r>
            <w:proofErr w:type="spellStart"/>
            <w:r w:rsidRPr="00801AAF">
              <w:rPr>
                <w:b w:val="0"/>
                <w:bCs w:val="0"/>
                <w:sz w:val="20"/>
                <w:szCs w:val="20"/>
              </w:rPr>
              <w:t>Patino</w:t>
            </w:r>
            <w:proofErr w:type="spellEnd"/>
            <w:r w:rsidRPr="00801AAF">
              <w:rPr>
                <w:b w:val="0"/>
                <w:bCs w:val="0"/>
                <w:sz w:val="20"/>
                <w:szCs w:val="20"/>
              </w:rPr>
              <w:t xml:space="preserve"> et al. 2020. Effects of menu </w:t>
            </w:r>
            <w:proofErr w:type="spellStart"/>
            <w:r w:rsidRPr="00801AAF">
              <w:rPr>
                <w:b w:val="0"/>
                <w:bCs w:val="0"/>
                <w:sz w:val="20"/>
                <w:szCs w:val="20"/>
              </w:rPr>
              <w:t>labeling</w:t>
            </w:r>
            <w:proofErr w:type="spellEnd"/>
            <w:r w:rsidRPr="00801AAF">
              <w:rPr>
                <w:b w:val="0"/>
                <w:bCs w:val="0"/>
                <w:sz w:val="20"/>
                <w:szCs w:val="20"/>
              </w:rPr>
              <w:t xml:space="preserve"> policies on transnational restaurant chains to promote a healthy diet: a scoping review to inform policy and research</w:t>
            </w:r>
            <w:r>
              <w:rPr>
                <w:sz w:val="20"/>
                <w:szCs w:val="20"/>
              </w:rPr>
              <w:t xml:space="preserve">. </w:t>
            </w:r>
            <w:r w:rsidRPr="004B6A63">
              <w:rPr>
                <w:b w:val="0"/>
                <w:bCs w:val="0"/>
                <w:i/>
                <w:iCs/>
                <w:sz w:val="20"/>
                <w:szCs w:val="20"/>
              </w:rPr>
              <w:t xml:space="preserve">Nutrients, </w:t>
            </w:r>
            <w:r w:rsidRPr="004B6A63">
              <w:rPr>
                <w:b w:val="0"/>
                <w:bCs w:val="0"/>
                <w:sz w:val="20"/>
                <w:szCs w:val="20"/>
              </w:rPr>
              <w:t>12 (1544).</w:t>
            </w:r>
          </w:p>
        </w:tc>
        <w:tc>
          <w:tcPr>
            <w:tcW w:w="2199" w:type="dxa"/>
          </w:tcPr>
          <w:p w14:paraId="27A3AE29" w14:textId="77777777" w:rsidR="00F95554" w:rsidRDefault="00F95554" w:rsidP="007237AB">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15 studies</w:t>
            </w:r>
          </w:p>
          <w:p w14:paraId="4CA03751" w14:textId="77777777" w:rsidR="00F95554" w:rsidRDefault="00F95554" w:rsidP="00F95554">
            <w:pPr>
              <w:pStyle w:val="ListParagraph"/>
              <w:numPr>
                <w:ilvl w:val="1"/>
                <w:numId w:val="3"/>
              </w:numPr>
              <w:ind w:left="144" w:hanging="144"/>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12 </w:t>
            </w:r>
            <w:proofErr w:type="spellStart"/>
            <w:r>
              <w:rPr>
                <w:sz w:val="20"/>
                <w:szCs w:val="20"/>
              </w:rPr>
              <w:t>Obs</w:t>
            </w:r>
            <w:proofErr w:type="spellEnd"/>
            <w:r>
              <w:rPr>
                <w:sz w:val="20"/>
                <w:szCs w:val="20"/>
              </w:rPr>
              <w:t xml:space="preserve"> (L)</w:t>
            </w:r>
          </w:p>
          <w:p w14:paraId="7DD218F6" w14:textId="77777777" w:rsidR="00F95554" w:rsidRDefault="00F95554" w:rsidP="00F95554">
            <w:pPr>
              <w:pStyle w:val="ListParagraph"/>
              <w:numPr>
                <w:ilvl w:val="1"/>
                <w:numId w:val="3"/>
              </w:numPr>
              <w:ind w:left="144" w:hanging="144"/>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 CS</w:t>
            </w:r>
          </w:p>
          <w:p w14:paraId="723FCACC" w14:textId="74408DD6" w:rsidR="00F95554" w:rsidRDefault="00F95554" w:rsidP="00F95554">
            <w:pPr>
              <w:pStyle w:val="ListParagraph"/>
              <w:numPr>
                <w:ilvl w:val="1"/>
                <w:numId w:val="3"/>
              </w:numPr>
              <w:ind w:left="144" w:hanging="144"/>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 CC</w:t>
            </w:r>
          </w:p>
          <w:p w14:paraId="7538B1D6" w14:textId="77777777" w:rsidR="00F95554" w:rsidRDefault="00F95554" w:rsidP="00F95554">
            <w:pPr>
              <w:pStyle w:val="ListParagraph"/>
              <w:numPr>
                <w:ilvl w:val="1"/>
                <w:numId w:val="3"/>
              </w:numPr>
              <w:ind w:left="144" w:hanging="144"/>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 Q-Exp</w:t>
            </w:r>
          </w:p>
          <w:p w14:paraId="50A5D9CB" w14:textId="77777777" w:rsidR="00F95554" w:rsidRDefault="00F95554" w:rsidP="00F95554">
            <w:pPr>
              <w:cnfStyle w:val="000000100000" w:firstRow="0" w:lastRow="0" w:firstColumn="0" w:lastColumn="0" w:oddVBand="0" w:evenVBand="0" w:oddHBand="1" w:evenHBand="0" w:firstRowFirstColumn="0" w:firstRowLastColumn="0" w:lastRowFirstColumn="0" w:lastRowLastColumn="0"/>
              <w:rPr>
                <w:sz w:val="20"/>
                <w:szCs w:val="20"/>
              </w:rPr>
            </w:pPr>
          </w:p>
          <w:p w14:paraId="2D47CE0C" w14:textId="4ACA9052" w:rsidR="00F95554" w:rsidRPr="00F95554" w:rsidRDefault="00F95554" w:rsidP="00F95554">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Studies to February 2020</w:t>
            </w:r>
          </w:p>
        </w:tc>
        <w:tc>
          <w:tcPr>
            <w:tcW w:w="2315" w:type="dxa"/>
            <w:gridSpan w:val="3"/>
          </w:tcPr>
          <w:p w14:paraId="5B239D1F" w14:textId="77777777" w:rsidR="00F95554" w:rsidRDefault="00F95554" w:rsidP="00100B62">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USA (11), </w:t>
            </w:r>
            <w:r w:rsidRPr="00F95554">
              <w:rPr>
                <w:b/>
                <w:bCs/>
                <w:sz w:val="20"/>
                <w:szCs w:val="20"/>
              </w:rPr>
              <w:t>Australia (2)</w:t>
            </w:r>
            <w:r w:rsidRPr="00F95554">
              <w:rPr>
                <w:sz w:val="20"/>
                <w:szCs w:val="20"/>
              </w:rPr>
              <w:t>,</w:t>
            </w:r>
            <w:r>
              <w:rPr>
                <w:sz w:val="20"/>
                <w:szCs w:val="20"/>
              </w:rPr>
              <w:t xml:space="preserve"> Canada (1), UK (1)</w:t>
            </w:r>
          </w:p>
          <w:p w14:paraId="076FB040" w14:textId="77777777" w:rsidR="00F95554" w:rsidRDefault="00F95554" w:rsidP="00100B62">
            <w:pPr>
              <w:cnfStyle w:val="000000100000" w:firstRow="0" w:lastRow="0" w:firstColumn="0" w:lastColumn="0" w:oddVBand="0" w:evenVBand="0" w:oddHBand="1" w:evenHBand="0" w:firstRowFirstColumn="0" w:firstRowLastColumn="0" w:lastRowFirstColumn="0" w:lastRowLastColumn="0"/>
              <w:rPr>
                <w:sz w:val="20"/>
                <w:szCs w:val="20"/>
              </w:rPr>
            </w:pPr>
          </w:p>
          <w:p w14:paraId="5976EF2B" w14:textId="77777777" w:rsidR="00F95554" w:rsidRDefault="00F95554" w:rsidP="00100B62">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Transnational QSRs, dine-in restaurants and convenience stores (15)</w:t>
            </w:r>
          </w:p>
          <w:p w14:paraId="2CC0FEE9" w14:textId="77777777" w:rsidR="00F95554" w:rsidRDefault="00F95554" w:rsidP="00100B62">
            <w:pPr>
              <w:cnfStyle w:val="000000100000" w:firstRow="0" w:lastRow="0" w:firstColumn="0" w:lastColumn="0" w:oddVBand="0" w:evenVBand="0" w:oddHBand="1" w:evenHBand="0" w:firstRowFirstColumn="0" w:firstRowLastColumn="0" w:lastRowFirstColumn="0" w:lastRowLastColumn="0"/>
              <w:rPr>
                <w:sz w:val="20"/>
                <w:szCs w:val="20"/>
              </w:rPr>
            </w:pPr>
          </w:p>
          <w:p w14:paraId="36B85CCE" w14:textId="77E8FDB3" w:rsidR="00F95554" w:rsidRPr="00F95554" w:rsidRDefault="00F95554" w:rsidP="00100B62">
            <w:pPr>
              <w:cnfStyle w:val="000000100000" w:firstRow="0" w:lastRow="0" w:firstColumn="0" w:lastColumn="0" w:oddVBand="0" w:evenVBand="0" w:oddHBand="1" w:evenHBand="0" w:firstRowFirstColumn="0" w:firstRowLastColumn="0" w:lastRowFirstColumn="0" w:lastRowLastColumn="0"/>
              <w:rPr>
                <w:i/>
                <w:iCs/>
                <w:sz w:val="20"/>
                <w:szCs w:val="20"/>
              </w:rPr>
            </w:pPr>
            <w:r w:rsidRPr="00F95554">
              <w:rPr>
                <w:i/>
                <w:iCs/>
                <w:sz w:val="20"/>
                <w:szCs w:val="20"/>
              </w:rPr>
              <w:t>** Studies in Australia were menu assessments (energy content before and after labelling)</w:t>
            </w:r>
          </w:p>
        </w:tc>
        <w:tc>
          <w:tcPr>
            <w:tcW w:w="2200" w:type="dxa"/>
          </w:tcPr>
          <w:p w14:paraId="59CD1863" w14:textId="65E33DF2" w:rsidR="00F95554" w:rsidRDefault="00F95554" w:rsidP="0062314C">
            <w:pPr>
              <w:spacing w:after="4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Impact on enacted menu labelling policies on product reformulation and serving size reduction</w:t>
            </w:r>
          </w:p>
        </w:tc>
        <w:tc>
          <w:tcPr>
            <w:tcW w:w="5447" w:type="dxa"/>
          </w:tcPr>
          <w:p w14:paraId="51F2BCC0" w14:textId="77777777" w:rsidR="00F95554" w:rsidRDefault="00F95554" w:rsidP="00F95554">
            <w:pPr>
              <w:pStyle w:val="ListParagraph"/>
              <w:numPr>
                <w:ilvl w:val="0"/>
                <w:numId w:val="15"/>
              </w:numPr>
              <w:spacing w:after="4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Mixed results of effect of menu labelling on reformulation or the introduction of healthier menu items. </w:t>
            </w:r>
          </w:p>
          <w:p w14:paraId="683FF507" w14:textId="77777777" w:rsidR="00F95554" w:rsidRDefault="00F95554" w:rsidP="00F95554">
            <w:pPr>
              <w:pStyle w:val="ListParagraph"/>
              <w:numPr>
                <w:ilvl w:val="0"/>
                <w:numId w:val="15"/>
              </w:numPr>
              <w:spacing w:after="4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Positive effect in USA only (8 studies) – energy content of menu items reduced by 57 to 285 calories (238 to 1,191 kJ).</w:t>
            </w:r>
          </w:p>
          <w:p w14:paraId="78A8013B" w14:textId="77777777" w:rsidR="00F95554" w:rsidRDefault="00F95554" w:rsidP="00F95554">
            <w:pPr>
              <w:pStyle w:val="ListParagraph"/>
              <w:numPr>
                <w:ilvl w:val="0"/>
                <w:numId w:val="15"/>
              </w:numPr>
              <w:spacing w:after="4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Mixed results in 4 studies (2 USA, 1 UK, 1 Australia).</w:t>
            </w:r>
          </w:p>
          <w:p w14:paraId="2C2D67BB" w14:textId="60441FA8" w:rsidR="00F95554" w:rsidRDefault="00F95554" w:rsidP="00F95554">
            <w:pPr>
              <w:pStyle w:val="ListParagraph"/>
              <w:numPr>
                <w:ilvl w:val="0"/>
                <w:numId w:val="15"/>
              </w:numPr>
              <w:spacing w:after="4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No effect in 3 studies (1 USA, 1 Canada, 1 Australia)</w:t>
            </w:r>
          </w:p>
        </w:tc>
      </w:tr>
      <w:tr w:rsidR="00185448" w:rsidRPr="00E67A4C" w14:paraId="489BB644" w14:textId="77777777" w:rsidTr="00936DD5">
        <w:tc>
          <w:tcPr>
            <w:cnfStyle w:val="001000000000" w:firstRow="0" w:lastRow="0" w:firstColumn="1" w:lastColumn="0" w:oddVBand="0" w:evenVBand="0" w:oddHBand="0" w:evenHBand="0" w:firstRowFirstColumn="0" w:firstRowLastColumn="0" w:lastRowFirstColumn="0" w:lastRowLastColumn="0"/>
            <w:tcW w:w="2440" w:type="dxa"/>
          </w:tcPr>
          <w:p w14:paraId="27664EAD" w14:textId="0DAEB35E" w:rsidR="00185448" w:rsidRPr="00801AAF" w:rsidRDefault="00185448" w:rsidP="00185448">
            <w:pPr>
              <w:rPr>
                <w:b w:val="0"/>
                <w:bCs w:val="0"/>
                <w:sz w:val="20"/>
                <w:szCs w:val="20"/>
              </w:rPr>
            </w:pPr>
            <w:proofErr w:type="spellStart"/>
            <w:r w:rsidRPr="008E6121">
              <w:rPr>
                <w:b w:val="0"/>
                <w:bCs w:val="0"/>
                <w:sz w:val="20"/>
                <w:szCs w:val="20"/>
              </w:rPr>
              <w:t>Sarink</w:t>
            </w:r>
            <w:proofErr w:type="spellEnd"/>
            <w:r w:rsidRPr="008E6121">
              <w:rPr>
                <w:b w:val="0"/>
                <w:bCs w:val="0"/>
                <w:sz w:val="20"/>
                <w:szCs w:val="20"/>
              </w:rPr>
              <w:t xml:space="preserve"> et al. 2016. The impact of menu labelling across socioeconomic groups: a systematic review. </w:t>
            </w:r>
            <w:r w:rsidRPr="008E6121">
              <w:rPr>
                <w:b w:val="0"/>
                <w:bCs w:val="0"/>
                <w:i/>
                <w:sz w:val="20"/>
                <w:szCs w:val="20"/>
              </w:rPr>
              <w:t xml:space="preserve">Appetite, </w:t>
            </w:r>
            <w:r w:rsidRPr="008E6121">
              <w:rPr>
                <w:b w:val="0"/>
                <w:bCs w:val="0"/>
                <w:sz w:val="20"/>
                <w:szCs w:val="20"/>
              </w:rPr>
              <w:t>99, 59-75.</w:t>
            </w:r>
          </w:p>
        </w:tc>
        <w:tc>
          <w:tcPr>
            <w:tcW w:w="2199" w:type="dxa"/>
          </w:tcPr>
          <w:p w14:paraId="7AD8536C" w14:textId="4B922CF5" w:rsidR="00185448" w:rsidRDefault="00185448" w:rsidP="0018544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14 studies represented by 18 papers</w:t>
            </w:r>
          </w:p>
          <w:p w14:paraId="58053DEF" w14:textId="7625F970" w:rsidR="00185448" w:rsidRDefault="00185448" w:rsidP="00185448">
            <w:pPr>
              <w:pStyle w:val="ListParagraph"/>
              <w:numPr>
                <w:ilvl w:val="1"/>
                <w:numId w:val="3"/>
              </w:numPr>
              <w:ind w:left="144" w:hanging="144"/>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 Exp</w:t>
            </w:r>
          </w:p>
          <w:p w14:paraId="5C25E2A6" w14:textId="4358368D" w:rsidR="00185448" w:rsidRDefault="00185448" w:rsidP="00185448">
            <w:pPr>
              <w:pStyle w:val="ListParagraph"/>
              <w:numPr>
                <w:ilvl w:val="1"/>
                <w:numId w:val="3"/>
              </w:numPr>
              <w:ind w:left="144" w:hanging="144"/>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 NE</w:t>
            </w:r>
          </w:p>
          <w:p w14:paraId="3103D67A" w14:textId="77777777" w:rsidR="00185448" w:rsidRDefault="00185448" w:rsidP="00185448">
            <w:pPr>
              <w:cnfStyle w:val="000000000000" w:firstRow="0" w:lastRow="0" w:firstColumn="0" w:lastColumn="0" w:oddVBand="0" w:evenVBand="0" w:oddHBand="0" w:evenHBand="0" w:firstRowFirstColumn="0" w:firstRowLastColumn="0" w:lastRowFirstColumn="0" w:lastRowLastColumn="0"/>
              <w:rPr>
                <w:sz w:val="20"/>
                <w:szCs w:val="20"/>
              </w:rPr>
            </w:pPr>
          </w:p>
          <w:p w14:paraId="1AE50D07" w14:textId="1F403BA2" w:rsidR="00185448" w:rsidRDefault="00185448" w:rsidP="0018544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Studies to September 2015</w:t>
            </w:r>
          </w:p>
        </w:tc>
        <w:tc>
          <w:tcPr>
            <w:tcW w:w="2315" w:type="dxa"/>
            <w:gridSpan w:val="3"/>
          </w:tcPr>
          <w:p w14:paraId="0B42122E" w14:textId="5603AAA9" w:rsidR="00185448" w:rsidRDefault="00185448" w:rsidP="0018544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USA (14), </w:t>
            </w:r>
            <w:r w:rsidRPr="00F95554">
              <w:rPr>
                <w:b/>
                <w:bCs/>
                <w:sz w:val="20"/>
                <w:szCs w:val="20"/>
              </w:rPr>
              <w:t>Australia (2)</w:t>
            </w:r>
            <w:r>
              <w:rPr>
                <w:sz w:val="20"/>
                <w:szCs w:val="20"/>
              </w:rPr>
              <w:t xml:space="preserve"> </w:t>
            </w:r>
          </w:p>
          <w:p w14:paraId="00C02EEE" w14:textId="77777777" w:rsidR="00185448" w:rsidRDefault="00185448" w:rsidP="00185448">
            <w:pPr>
              <w:cnfStyle w:val="000000000000" w:firstRow="0" w:lastRow="0" w:firstColumn="0" w:lastColumn="0" w:oddVBand="0" w:evenVBand="0" w:oddHBand="0" w:evenHBand="0" w:firstRowFirstColumn="0" w:firstRowLastColumn="0" w:lastRowFirstColumn="0" w:lastRowLastColumn="0"/>
              <w:rPr>
                <w:sz w:val="20"/>
                <w:szCs w:val="20"/>
              </w:rPr>
            </w:pPr>
          </w:p>
          <w:p w14:paraId="67D5071F" w14:textId="68DF4DA3" w:rsidR="00185448" w:rsidRDefault="00185448" w:rsidP="0018544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Real world (10) and experimental settings (4)</w:t>
            </w:r>
          </w:p>
          <w:p w14:paraId="727F25F9" w14:textId="77777777" w:rsidR="00185448" w:rsidRDefault="00185448" w:rsidP="00185448">
            <w:pPr>
              <w:cnfStyle w:val="000000000000" w:firstRow="0" w:lastRow="0" w:firstColumn="0" w:lastColumn="0" w:oddVBand="0" w:evenVBand="0" w:oddHBand="0" w:evenHBand="0" w:firstRowFirstColumn="0" w:firstRowLastColumn="0" w:lastRowFirstColumn="0" w:lastRowLastColumn="0"/>
              <w:rPr>
                <w:sz w:val="20"/>
                <w:szCs w:val="20"/>
              </w:rPr>
            </w:pPr>
          </w:p>
          <w:p w14:paraId="603198A3" w14:textId="12775D0E" w:rsidR="00185448" w:rsidRDefault="00185448" w:rsidP="00185448">
            <w:pPr>
              <w:cnfStyle w:val="000000000000" w:firstRow="0" w:lastRow="0" w:firstColumn="0" w:lastColumn="0" w:oddVBand="0" w:evenVBand="0" w:oddHBand="0" w:evenHBand="0" w:firstRowFirstColumn="0" w:firstRowLastColumn="0" w:lastRowFirstColumn="0" w:lastRowLastColumn="0"/>
              <w:rPr>
                <w:sz w:val="20"/>
                <w:szCs w:val="20"/>
              </w:rPr>
            </w:pPr>
            <w:r w:rsidRPr="00F95554">
              <w:rPr>
                <w:i/>
                <w:iCs/>
                <w:sz w:val="20"/>
                <w:szCs w:val="20"/>
              </w:rPr>
              <w:t xml:space="preserve">** Studies in Australia were </w:t>
            </w:r>
            <w:r>
              <w:rPr>
                <w:i/>
                <w:iCs/>
                <w:sz w:val="20"/>
                <w:szCs w:val="20"/>
              </w:rPr>
              <w:t>simulated</w:t>
            </w:r>
          </w:p>
        </w:tc>
        <w:tc>
          <w:tcPr>
            <w:tcW w:w="2200" w:type="dxa"/>
          </w:tcPr>
          <w:p w14:paraId="743B18D5" w14:textId="5B1AED6E" w:rsidR="00185448" w:rsidRDefault="00185448" w:rsidP="00185448">
            <w:pPr>
              <w:spacing w:after="4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Awareness and understanding of menu labelling</w:t>
            </w:r>
          </w:p>
          <w:p w14:paraId="6CEDC57B" w14:textId="77777777" w:rsidR="00185448" w:rsidRDefault="00185448" w:rsidP="00185448">
            <w:pPr>
              <w:spacing w:after="40"/>
              <w:cnfStyle w:val="000000000000" w:firstRow="0" w:lastRow="0" w:firstColumn="0" w:lastColumn="0" w:oddVBand="0" w:evenVBand="0" w:oddHBand="0" w:evenHBand="0" w:firstRowFirstColumn="0" w:firstRowLastColumn="0" w:lastRowFirstColumn="0" w:lastRowLastColumn="0"/>
              <w:rPr>
                <w:sz w:val="20"/>
                <w:szCs w:val="20"/>
              </w:rPr>
            </w:pPr>
          </w:p>
          <w:p w14:paraId="3BC7110D" w14:textId="77777777" w:rsidR="00185448" w:rsidRDefault="00185448" w:rsidP="00185448">
            <w:pPr>
              <w:spacing w:after="4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Self-reported use of menu labelling and intended purchase outcomes</w:t>
            </w:r>
          </w:p>
          <w:p w14:paraId="383F21A3" w14:textId="77777777" w:rsidR="00185448" w:rsidRDefault="00185448" w:rsidP="00185448">
            <w:pPr>
              <w:spacing w:after="40"/>
              <w:cnfStyle w:val="000000000000" w:firstRow="0" w:lastRow="0" w:firstColumn="0" w:lastColumn="0" w:oddVBand="0" w:evenVBand="0" w:oddHBand="0" w:evenHBand="0" w:firstRowFirstColumn="0" w:firstRowLastColumn="0" w:lastRowFirstColumn="0" w:lastRowLastColumn="0"/>
              <w:rPr>
                <w:sz w:val="20"/>
                <w:szCs w:val="20"/>
              </w:rPr>
            </w:pPr>
          </w:p>
          <w:p w14:paraId="69B98FE9" w14:textId="7E0B8895" w:rsidR="00185448" w:rsidRDefault="00185448" w:rsidP="00185448">
            <w:pPr>
              <w:spacing w:after="4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Calories purchased and consumed</w:t>
            </w:r>
          </w:p>
        </w:tc>
        <w:tc>
          <w:tcPr>
            <w:tcW w:w="5447" w:type="dxa"/>
          </w:tcPr>
          <w:p w14:paraId="2C6FC9AB" w14:textId="77777777" w:rsidR="00185448" w:rsidRDefault="00185448" w:rsidP="00185448">
            <w:pPr>
              <w:pStyle w:val="ListParagraph"/>
              <w:numPr>
                <w:ilvl w:val="0"/>
                <w:numId w:val="15"/>
              </w:numPr>
              <w:spacing w:after="40"/>
              <w:cnfStyle w:val="000000000000" w:firstRow="0" w:lastRow="0" w:firstColumn="0" w:lastColumn="0" w:oddVBand="0" w:evenVBand="0" w:oddHBand="0" w:evenHBand="0" w:firstRowFirstColumn="0" w:firstRowLastColumn="0" w:lastRowFirstColumn="0" w:lastRowLastColumn="0"/>
              <w:rPr>
                <w:sz w:val="20"/>
                <w:szCs w:val="20"/>
              </w:rPr>
            </w:pPr>
            <w:r w:rsidRPr="00E30A5F">
              <w:rPr>
                <w:sz w:val="20"/>
                <w:szCs w:val="20"/>
              </w:rPr>
              <w:t>Current evidence of impact of menu labelling within or across socioeconomic position is limited.</w:t>
            </w:r>
          </w:p>
          <w:p w14:paraId="579860FD" w14:textId="77777777" w:rsidR="00185448" w:rsidRDefault="00185448" w:rsidP="00185448">
            <w:pPr>
              <w:pStyle w:val="ListParagraph"/>
              <w:numPr>
                <w:ilvl w:val="0"/>
                <w:numId w:val="15"/>
              </w:numPr>
              <w:spacing w:after="4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Impact of menu labelling on purchases by low socioeconomic position population – 5 studies no effect, 1 study positive effect with 37-57 fewer calories (155-238kJ) purchased in coffee chains</w:t>
            </w:r>
          </w:p>
          <w:p w14:paraId="0ED2D0AA" w14:textId="0BCDA8C6" w:rsidR="00185448" w:rsidRDefault="00185448" w:rsidP="00185448">
            <w:pPr>
              <w:pStyle w:val="ListParagraph"/>
              <w:numPr>
                <w:ilvl w:val="0"/>
                <w:numId w:val="15"/>
              </w:numPr>
              <w:spacing w:after="4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Impact of menu labelling on purchases across socioeconomic groups - 3 studies no effect, 2 studies positive effect on purchases by higher socioeconomic groups</w:t>
            </w:r>
          </w:p>
        </w:tc>
      </w:tr>
      <w:tr w:rsidR="00185448" w:rsidRPr="00E67A4C" w14:paraId="453C4116" w14:textId="77777777" w:rsidTr="003A0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0" w:type="dxa"/>
          </w:tcPr>
          <w:p w14:paraId="30EECF61" w14:textId="77777777" w:rsidR="00185448" w:rsidRPr="007D2CFD" w:rsidRDefault="00185448" w:rsidP="00185448">
            <w:pPr>
              <w:rPr>
                <w:b w:val="0"/>
                <w:bCs w:val="0"/>
                <w:sz w:val="20"/>
                <w:szCs w:val="20"/>
              </w:rPr>
            </w:pPr>
            <w:proofErr w:type="spellStart"/>
            <w:r w:rsidRPr="00402485">
              <w:rPr>
                <w:b w:val="0"/>
                <w:bCs w:val="0"/>
                <w:sz w:val="20"/>
                <w:szCs w:val="20"/>
              </w:rPr>
              <w:t>Shangguan</w:t>
            </w:r>
            <w:proofErr w:type="spellEnd"/>
            <w:r w:rsidRPr="00402485">
              <w:rPr>
                <w:b w:val="0"/>
                <w:bCs w:val="0"/>
                <w:sz w:val="20"/>
                <w:szCs w:val="20"/>
              </w:rPr>
              <w:t xml:space="preserve"> et al. 2019. A meta-analysis of food </w:t>
            </w:r>
            <w:proofErr w:type="spellStart"/>
            <w:r w:rsidRPr="00402485">
              <w:rPr>
                <w:b w:val="0"/>
                <w:bCs w:val="0"/>
                <w:sz w:val="20"/>
                <w:szCs w:val="20"/>
              </w:rPr>
              <w:t>labeling</w:t>
            </w:r>
            <w:proofErr w:type="spellEnd"/>
            <w:r w:rsidRPr="00402485">
              <w:rPr>
                <w:b w:val="0"/>
                <w:bCs w:val="0"/>
                <w:sz w:val="20"/>
                <w:szCs w:val="20"/>
              </w:rPr>
              <w:t xml:space="preserve"> effects on </w:t>
            </w:r>
            <w:r w:rsidRPr="00402485">
              <w:rPr>
                <w:b w:val="0"/>
                <w:bCs w:val="0"/>
                <w:sz w:val="20"/>
                <w:szCs w:val="20"/>
              </w:rPr>
              <w:lastRenderedPageBreak/>
              <w:t xml:space="preserve">consumer diet behaviours and industry practices. </w:t>
            </w:r>
            <w:r w:rsidRPr="00402485">
              <w:rPr>
                <w:b w:val="0"/>
                <w:bCs w:val="0"/>
                <w:i/>
                <w:iCs/>
                <w:sz w:val="20"/>
                <w:szCs w:val="20"/>
              </w:rPr>
              <w:t>American Journal of Preventive Medicine</w:t>
            </w:r>
            <w:r w:rsidRPr="00402485">
              <w:rPr>
                <w:b w:val="0"/>
                <w:bCs w:val="0"/>
                <w:sz w:val="20"/>
                <w:szCs w:val="20"/>
              </w:rPr>
              <w:t>, 56(2): 300-314.</w:t>
            </w:r>
          </w:p>
        </w:tc>
        <w:tc>
          <w:tcPr>
            <w:tcW w:w="2238" w:type="dxa"/>
            <w:gridSpan w:val="2"/>
          </w:tcPr>
          <w:p w14:paraId="24EB989D" w14:textId="0191D245" w:rsidR="00185448" w:rsidRPr="009B55EE" w:rsidRDefault="00185448" w:rsidP="00185448">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lastRenderedPageBreak/>
              <w:t>60 studies – m</w:t>
            </w:r>
            <w:r w:rsidRPr="009B55EE">
              <w:rPr>
                <w:sz w:val="20"/>
                <w:szCs w:val="20"/>
              </w:rPr>
              <w:t>enu labelling</w:t>
            </w:r>
            <w:r>
              <w:rPr>
                <w:sz w:val="20"/>
                <w:szCs w:val="20"/>
              </w:rPr>
              <w:t xml:space="preserve"> (23) and other studies were other </w:t>
            </w:r>
            <w:r>
              <w:rPr>
                <w:sz w:val="20"/>
                <w:szCs w:val="20"/>
              </w:rPr>
              <w:lastRenderedPageBreak/>
              <w:t>labelling placement types</w:t>
            </w:r>
          </w:p>
          <w:p w14:paraId="5AD61BCB" w14:textId="77777777" w:rsidR="00185448" w:rsidRDefault="00185448" w:rsidP="00185448">
            <w:pPr>
              <w:cnfStyle w:val="000000100000" w:firstRow="0" w:lastRow="0" w:firstColumn="0" w:lastColumn="0" w:oddVBand="0" w:evenVBand="0" w:oddHBand="1" w:evenHBand="0" w:firstRowFirstColumn="0" w:firstRowLastColumn="0" w:lastRowFirstColumn="0" w:lastRowLastColumn="0"/>
              <w:rPr>
                <w:sz w:val="20"/>
                <w:szCs w:val="20"/>
              </w:rPr>
            </w:pPr>
          </w:p>
          <w:p w14:paraId="5C28BA45" w14:textId="7FFF9D71" w:rsidR="00185448" w:rsidRDefault="00185448" w:rsidP="00185448">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Studies to May 2015</w:t>
            </w:r>
          </w:p>
        </w:tc>
        <w:tc>
          <w:tcPr>
            <w:tcW w:w="2238" w:type="dxa"/>
          </w:tcPr>
          <w:p w14:paraId="6DDD6807" w14:textId="77777777" w:rsidR="00185448" w:rsidRDefault="00185448" w:rsidP="00185448">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lastRenderedPageBreak/>
              <w:t>US (18), EU (2), Canada (2), UK (1)</w:t>
            </w:r>
          </w:p>
          <w:p w14:paraId="50B6CE3E" w14:textId="77777777" w:rsidR="00185448" w:rsidRDefault="00185448" w:rsidP="00185448">
            <w:pPr>
              <w:cnfStyle w:val="000000100000" w:firstRow="0" w:lastRow="0" w:firstColumn="0" w:lastColumn="0" w:oddVBand="0" w:evenVBand="0" w:oddHBand="1" w:evenHBand="0" w:firstRowFirstColumn="0" w:firstRowLastColumn="0" w:lastRowFirstColumn="0" w:lastRowLastColumn="0"/>
              <w:rPr>
                <w:sz w:val="20"/>
                <w:szCs w:val="20"/>
              </w:rPr>
            </w:pPr>
          </w:p>
          <w:p w14:paraId="64FAA54E" w14:textId="65890A31" w:rsidR="00185448" w:rsidRDefault="00185448" w:rsidP="00185448">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lastRenderedPageBreak/>
              <w:t>Real-world (22) and experimental settings (1)</w:t>
            </w:r>
          </w:p>
        </w:tc>
        <w:tc>
          <w:tcPr>
            <w:tcW w:w="2238" w:type="dxa"/>
            <w:gridSpan w:val="2"/>
          </w:tcPr>
          <w:p w14:paraId="549678A1" w14:textId="7AEE9C5F" w:rsidR="00185448" w:rsidRPr="008860B3" w:rsidRDefault="00185448" w:rsidP="00185448">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lastRenderedPageBreak/>
              <w:t>E</w:t>
            </w:r>
            <w:r w:rsidRPr="00E30A5F">
              <w:rPr>
                <w:sz w:val="20"/>
                <w:szCs w:val="20"/>
              </w:rPr>
              <w:t xml:space="preserve">ffect </w:t>
            </w:r>
            <w:r>
              <w:rPr>
                <w:sz w:val="20"/>
                <w:szCs w:val="20"/>
              </w:rPr>
              <w:t xml:space="preserve">of menu labelling </w:t>
            </w:r>
            <w:r w:rsidRPr="00E30A5F">
              <w:rPr>
                <w:sz w:val="20"/>
                <w:szCs w:val="20"/>
              </w:rPr>
              <w:t xml:space="preserve">on calories </w:t>
            </w:r>
            <w:r>
              <w:rPr>
                <w:sz w:val="20"/>
                <w:szCs w:val="20"/>
              </w:rPr>
              <w:t>consumed</w:t>
            </w:r>
            <w:r w:rsidRPr="00E30A5F">
              <w:rPr>
                <w:sz w:val="20"/>
                <w:szCs w:val="20"/>
              </w:rPr>
              <w:t xml:space="preserve"> by consumers</w:t>
            </w:r>
            <w:r>
              <w:rPr>
                <w:sz w:val="20"/>
                <w:szCs w:val="20"/>
              </w:rPr>
              <w:t xml:space="preserve">, response </w:t>
            </w:r>
            <w:r>
              <w:rPr>
                <w:sz w:val="20"/>
                <w:szCs w:val="20"/>
              </w:rPr>
              <w:lastRenderedPageBreak/>
              <w:t xml:space="preserve">from </w:t>
            </w:r>
            <w:r w:rsidRPr="00E30A5F">
              <w:rPr>
                <w:sz w:val="20"/>
                <w:szCs w:val="20"/>
              </w:rPr>
              <w:t>retailers</w:t>
            </w:r>
            <w:r>
              <w:rPr>
                <w:sz w:val="20"/>
                <w:szCs w:val="20"/>
              </w:rPr>
              <w:t xml:space="preserve"> and diet-related health measures.</w:t>
            </w:r>
          </w:p>
        </w:tc>
        <w:tc>
          <w:tcPr>
            <w:tcW w:w="5447" w:type="dxa"/>
          </w:tcPr>
          <w:p w14:paraId="2B9EA1C4" w14:textId="3BCD973B" w:rsidR="00185448" w:rsidRDefault="00185448" w:rsidP="00185448">
            <w:pPr>
              <w:pStyle w:val="ListParagraph"/>
              <w:numPr>
                <w:ilvl w:val="0"/>
                <w:numId w:val="15"/>
              </w:numPr>
              <w:spacing w:after="4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lastRenderedPageBreak/>
              <w:t>Food labelling overall decreased consumer energy intake by 6.6%.</w:t>
            </w:r>
          </w:p>
          <w:p w14:paraId="7FB0978B" w14:textId="77777777" w:rsidR="00185448" w:rsidRDefault="00185448" w:rsidP="00185448">
            <w:pPr>
              <w:pStyle w:val="ListParagraph"/>
              <w:numPr>
                <w:ilvl w:val="0"/>
                <w:numId w:val="15"/>
              </w:numPr>
              <w:spacing w:after="4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lastRenderedPageBreak/>
              <w:t>No difference in the effect by label type – numeric vs interpretive.</w:t>
            </w:r>
          </w:p>
          <w:p w14:paraId="34B2AA4E" w14:textId="77777777" w:rsidR="00185448" w:rsidRPr="008860B3" w:rsidRDefault="00185448" w:rsidP="00185448">
            <w:pPr>
              <w:pStyle w:val="ListParagraph"/>
              <w:spacing w:after="40"/>
              <w:ind w:left="360"/>
              <w:cnfStyle w:val="000000100000" w:firstRow="0" w:lastRow="0" w:firstColumn="0" w:lastColumn="0" w:oddVBand="0" w:evenVBand="0" w:oddHBand="1" w:evenHBand="0" w:firstRowFirstColumn="0" w:firstRowLastColumn="0" w:lastRowFirstColumn="0" w:lastRowLastColumn="0"/>
              <w:rPr>
                <w:sz w:val="20"/>
                <w:szCs w:val="20"/>
              </w:rPr>
            </w:pPr>
          </w:p>
        </w:tc>
      </w:tr>
      <w:tr w:rsidR="00185448" w:rsidRPr="00E67A4C" w14:paraId="1696D884" w14:textId="77777777" w:rsidTr="001B507D">
        <w:tc>
          <w:tcPr>
            <w:cnfStyle w:val="001000000000" w:firstRow="0" w:lastRow="0" w:firstColumn="1" w:lastColumn="0" w:oddVBand="0" w:evenVBand="0" w:oddHBand="0" w:evenHBand="0" w:firstRowFirstColumn="0" w:firstRowLastColumn="0" w:lastRowFirstColumn="0" w:lastRowLastColumn="0"/>
            <w:tcW w:w="2440" w:type="dxa"/>
          </w:tcPr>
          <w:p w14:paraId="3399BF29" w14:textId="77777777" w:rsidR="00185448" w:rsidRPr="00CE0D43" w:rsidRDefault="00185448" w:rsidP="00185448">
            <w:pPr>
              <w:rPr>
                <w:b w:val="0"/>
                <w:bCs w:val="0"/>
                <w:sz w:val="20"/>
                <w:szCs w:val="20"/>
              </w:rPr>
            </w:pPr>
            <w:proofErr w:type="spellStart"/>
            <w:r w:rsidRPr="00CE0D43">
              <w:rPr>
                <w:b w:val="0"/>
                <w:bCs w:val="0"/>
                <w:sz w:val="20"/>
                <w:szCs w:val="20"/>
              </w:rPr>
              <w:lastRenderedPageBreak/>
              <w:t>VanEpps</w:t>
            </w:r>
            <w:proofErr w:type="spellEnd"/>
            <w:r w:rsidRPr="00CE0D43">
              <w:rPr>
                <w:b w:val="0"/>
                <w:bCs w:val="0"/>
                <w:sz w:val="20"/>
                <w:szCs w:val="20"/>
              </w:rPr>
              <w:t xml:space="preserve"> et al. 2016. Restaurant menu </w:t>
            </w:r>
            <w:proofErr w:type="spellStart"/>
            <w:r w:rsidRPr="00CE0D43">
              <w:rPr>
                <w:b w:val="0"/>
                <w:bCs w:val="0"/>
                <w:sz w:val="20"/>
                <w:szCs w:val="20"/>
              </w:rPr>
              <w:t>labeling</w:t>
            </w:r>
            <w:proofErr w:type="spellEnd"/>
            <w:r w:rsidRPr="00CE0D43">
              <w:rPr>
                <w:b w:val="0"/>
                <w:bCs w:val="0"/>
                <w:sz w:val="20"/>
                <w:szCs w:val="20"/>
              </w:rPr>
              <w:t xml:space="preserve"> policy: review of evidence and controversies. </w:t>
            </w:r>
            <w:r w:rsidRPr="00CE0D43">
              <w:rPr>
                <w:b w:val="0"/>
                <w:bCs w:val="0"/>
                <w:i/>
                <w:iCs/>
                <w:sz w:val="20"/>
                <w:szCs w:val="20"/>
              </w:rPr>
              <w:t>Current Obesity Reports</w:t>
            </w:r>
            <w:r w:rsidRPr="00CE0D43">
              <w:rPr>
                <w:b w:val="0"/>
                <w:bCs w:val="0"/>
                <w:sz w:val="20"/>
                <w:szCs w:val="20"/>
              </w:rPr>
              <w:t>, 5(1): 72-80.</w:t>
            </w:r>
          </w:p>
        </w:tc>
        <w:tc>
          <w:tcPr>
            <w:tcW w:w="2238" w:type="dxa"/>
            <w:gridSpan w:val="2"/>
          </w:tcPr>
          <w:p w14:paraId="2A137E7F" w14:textId="5FC575E4" w:rsidR="00185448" w:rsidRDefault="00185448" w:rsidP="0018544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16 studies:</w:t>
            </w:r>
          </w:p>
          <w:p w14:paraId="083F1A80" w14:textId="2942B674" w:rsidR="00185448" w:rsidRPr="0077780B" w:rsidRDefault="00185448" w:rsidP="00185448">
            <w:pPr>
              <w:pStyle w:val="ListParagraph"/>
              <w:numPr>
                <w:ilvl w:val="0"/>
                <w:numId w:val="65"/>
              </w:numPr>
              <w:ind w:left="237" w:hanging="237"/>
              <w:cnfStyle w:val="000000000000" w:firstRow="0" w:lastRow="0" w:firstColumn="0" w:lastColumn="0" w:oddVBand="0" w:evenVBand="0" w:oddHBand="0" w:evenHBand="0" w:firstRowFirstColumn="0" w:firstRowLastColumn="0" w:lastRowFirstColumn="0" w:lastRowLastColumn="0"/>
              <w:rPr>
                <w:sz w:val="20"/>
                <w:szCs w:val="20"/>
              </w:rPr>
            </w:pPr>
            <w:r w:rsidRPr="0077780B">
              <w:rPr>
                <w:sz w:val="20"/>
                <w:szCs w:val="20"/>
              </w:rPr>
              <w:t>2 RCTs</w:t>
            </w:r>
          </w:p>
          <w:p w14:paraId="552FC385" w14:textId="26403507" w:rsidR="00185448" w:rsidRPr="0077780B" w:rsidRDefault="00185448" w:rsidP="00185448">
            <w:pPr>
              <w:pStyle w:val="ListParagraph"/>
              <w:numPr>
                <w:ilvl w:val="0"/>
                <w:numId w:val="65"/>
              </w:numPr>
              <w:ind w:left="237" w:hanging="237"/>
              <w:cnfStyle w:val="000000000000" w:firstRow="0" w:lastRow="0" w:firstColumn="0" w:lastColumn="0" w:oddVBand="0" w:evenVBand="0" w:oddHBand="0" w:evenHBand="0" w:firstRowFirstColumn="0" w:firstRowLastColumn="0" w:lastRowFirstColumn="0" w:lastRowLastColumn="0"/>
              <w:rPr>
                <w:sz w:val="20"/>
                <w:szCs w:val="20"/>
              </w:rPr>
            </w:pPr>
            <w:r w:rsidRPr="0077780B">
              <w:rPr>
                <w:sz w:val="20"/>
                <w:szCs w:val="20"/>
              </w:rPr>
              <w:t>6 P/P</w:t>
            </w:r>
          </w:p>
          <w:p w14:paraId="47038C23" w14:textId="232CC268" w:rsidR="00185448" w:rsidRPr="0077780B" w:rsidRDefault="00185448" w:rsidP="00185448">
            <w:pPr>
              <w:pStyle w:val="ListParagraph"/>
              <w:numPr>
                <w:ilvl w:val="0"/>
                <w:numId w:val="65"/>
              </w:numPr>
              <w:ind w:left="237" w:hanging="237"/>
              <w:cnfStyle w:val="000000000000" w:firstRow="0" w:lastRow="0" w:firstColumn="0" w:lastColumn="0" w:oddVBand="0" w:evenVBand="0" w:oddHBand="0" w:evenHBand="0" w:firstRowFirstColumn="0" w:firstRowLastColumn="0" w:lastRowFirstColumn="0" w:lastRowLastColumn="0"/>
              <w:rPr>
                <w:sz w:val="20"/>
                <w:szCs w:val="20"/>
              </w:rPr>
            </w:pPr>
            <w:r w:rsidRPr="0077780B">
              <w:rPr>
                <w:sz w:val="20"/>
                <w:szCs w:val="20"/>
              </w:rPr>
              <w:t>1 CS</w:t>
            </w:r>
          </w:p>
          <w:p w14:paraId="072AD0BF" w14:textId="481A3C44" w:rsidR="00185448" w:rsidRPr="0077780B" w:rsidRDefault="00185448" w:rsidP="00185448">
            <w:pPr>
              <w:pStyle w:val="ListParagraph"/>
              <w:numPr>
                <w:ilvl w:val="0"/>
                <w:numId w:val="65"/>
              </w:numPr>
              <w:ind w:left="237" w:hanging="237"/>
              <w:cnfStyle w:val="000000000000" w:firstRow="0" w:lastRow="0" w:firstColumn="0" w:lastColumn="0" w:oddVBand="0" w:evenVBand="0" w:oddHBand="0" w:evenHBand="0" w:firstRowFirstColumn="0" w:firstRowLastColumn="0" w:lastRowFirstColumn="0" w:lastRowLastColumn="0"/>
              <w:rPr>
                <w:sz w:val="20"/>
                <w:szCs w:val="20"/>
              </w:rPr>
            </w:pPr>
            <w:r w:rsidRPr="0077780B">
              <w:rPr>
                <w:sz w:val="20"/>
                <w:szCs w:val="20"/>
              </w:rPr>
              <w:t>7 CBA</w:t>
            </w:r>
          </w:p>
          <w:p w14:paraId="111B3076" w14:textId="77777777" w:rsidR="00185448" w:rsidRDefault="00185448" w:rsidP="00185448">
            <w:pPr>
              <w:cnfStyle w:val="000000000000" w:firstRow="0" w:lastRow="0" w:firstColumn="0" w:lastColumn="0" w:oddVBand="0" w:evenVBand="0" w:oddHBand="0" w:evenHBand="0" w:firstRowFirstColumn="0" w:firstRowLastColumn="0" w:lastRowFirstColumn="0" w:lastRowLastColumn="0"/>
              <w:rPr>
                <w:sz w:val="20"/>
                <w:szCs w:val="20"/>
              </w:rPr>
            </w:pPr>
          </w:p>
          <w:p w14:paraId="0B3B176A" w14:textId="2D6B86B2" w:rsidR="00185448" w:rsidRDefault="00185448" w:rsidP="0018544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Studies to November 2015</w:t>
            </w:r>
          </w:p>
        </w:tc>
        <w:tc>
          <w:tcPr>
            <w:tcW w:w="2238" w:type="dxa"/>
          </w:tcPr>
          <w:p w14:paraId="74D32B04" w14:textId="500CC7A5" w:rsidR="00185448" w:rsidRDefault="00185448" w:rsidP="0018544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USA (16)</w:t>
            </w:r>
          </w:p>
          <w:p w14:paraId="1553E8AD" w14:textId="77777777" w:rsidR="00185448" w:rsidRDefault="00185448" w:rsidP="00185448">
            <w:pPr>
              <w:cnfStyle w:val="000000000000" w:firstRow="0" w:lastRow="0" w:firstColumn="0" w:lastColumn="0" w:oddVBand="0" w:evenVBand="0" w:oddHBand="0" w:evenHBand="0" w:firstRowFirstColumn="0" w:firstRowLastColumn="0" w:lastRowFirstColumn="0" w:lastRowLastColumn="0"/>
              <w:rPr>
                <w:sz w:val="20"/>
                <w:szCs w:val="20"/>
              </w:rPr>
            </w:pPr>
          </w:p>
          <w:p w14:paraId="2CAB67DF" w14:textId="6C994C30" w:rsidR="00185448" w:rsidRDefault="00185448" w:rsidP="0018544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Real-world (16)</w:t>
            </w:r>
          </w:p>
          <w:p w14:paraId="6D7891C8" w14:textId="4E6ADDFE" w:rsidR="00185448" w:rsidRDefault="00185448" w:rsidP="00185448">
            <w:pPr>
              <w:cnfStyle w:val="000000000000" w:firstRow="0" w:lastRow="0" w:firstColumn="0" w:lastColumn="0" w:oddVBand="0" w:evenVBand="0" w:oddHBand="0" w:evenHBand="0" w:firstRowFirstColumn="0" w:firstRowLastColumn="0" w:lastRowFirstColumn="0" w:lastRowLastColumn="0"/>
              <w:rPr>
                <w:sz w:val="20"/>
                <w:szCs w:val="20"/>
              </w:rPr>
            </w:pPr>
          </w:p>
        </w:tc>
        <w:tc>
          <w:tcPr>
            <w:tcW w:w="2238" w:type="dxa"/>
            <w:gridSpan w:val="2"/>
          </w:tcPr>
          <w:p w14:paraId="2C475D64" w14:textId="27E574A7" w:rsidR="00185448" w:rsidRPr="00E30A5F" w:rsidRDefault="00185448" w:rsidP="0018544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Impact of USA menu labelling laws on food purchases.</w:t>
            </w:r>
          </w:p>
        </w:tc>
        <w:tc>
          <w:tcPr>
            <w:tcW w:w="5447" w:type="dxa"/>
          </w:tcPr>
          <w:p w14:paraId="64FEF8C5" w14:textId="2E718B7F" w:rsidR="00185448" w:rsidRDefault="00185448" w:rsidP="00185448">
            <w:pPr>
              <w:pStyle w:val="ListParagraph"/>
              <w:numPr>
                <w:ilvl w:val="0"/>
                <w:numId w:val="15"/>
              </w:numPr>
              <w:spacing w:after="4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Menu labelling effects is mixed – labelling may reduce the energy content of food purchased in some contexts </w:t>
            </w:r>
            <w:r w:rsidR="003854B0">
              <w:rPr>
                <w:sz w:val="20"/>
                <w:szCs w:val="20"/>
              </w:rPr>
              <w:t>but</w:t>
            </w:r>
            <w:r>
              <w:rPr>
                <w:sz w:val="20"/>
                <w:szCs w:val="20"/>
              </w:rPr>
              <w:t xml:space="preserve"> has little effect in other contexts. </w:t>
            </w:r>
          </w:p>
          <w:p w14:paraId="5403E42C" w14:textId="3672822D" w:rsidR="00185448" w:rsidRDefault="00185448" w:rsidP="00185448">
            <w:pPr>
              <w:pStyle w:val="ListParagraph"/>
              <w:numPr>
                <w:ilvl w:val="0"/>
                <w:numId w:val="15"/>
              </w:numPr>
              <w:spacing w:after="4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Positive effect on adult purchases in 3 studies – ranged from 100 to 151 fewer calories (418-613 kJ) purchased, or a 6% decrease in energy content per transaction.</w:t>
            </w:r>
          </w:p>
          <w:p w14:paraId="072CF4E4" w14:textId="694864CD" w:rsidR="00185448" w:rsidRDefault="00185448" w:rsidP="00185448">
            <w:pPr>
              <w:pStyle w:val="ListParagraph"/>
              <w:numPr>
                <w:ilvl w:val="0"/>
                <w:numId w:val="15"/>
              </w:numPr>
              <w:spacing w:after="4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Mixed effects on adult purchase in 3 studies – ranged from no change to 113 fewer calories (472kJ) purchased across different restaurant types / chains.</w:t>
            </w:r>
          </w:p>
          <w:p w14:paraId="3EB3FA2E" w14:textId="77777777" w:rsidR="00185448" w:rsidRDefault="00185448" w:rsidP="00185448">
            <w:pPr>
              <w:pStyle w:val="ListParagraph"/>
              <w:numPr>
                <w:ilvl w:val="0"/>
                <w:numId w:val="15"/>
              </w:numPr>
              <w:spacing w:after="4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No effect on adult purchases in 7 studies, and no effect on children’s/parents’ purchases in 3 studies.</w:t>
            </w:r>
          </w:p>
          <w:p w14:paraId="685817D3" w14:textId="0486B3FF" w:rsidR="00185448" w:rsidRPr="00BD0B81" w:rsidRDefault="00185448" w:rsidP="00185448">
            <w:pPr>
              <w:pStyle w:val="ListParagraph"/>
              <w:numPr>
                <w:ilvl w:val="0"/>
                <w:numId w:val="15"/>
              </w:numPr>
              <w:spacing w:after="40"/>
              <w:cnfStyle w:val="000000000000" w:firstRow="0" w:lastRow="0" w:firstColumn="0" w:lastColumn="0" w:oddVBand="0" w:evenVBand="0" w:oddHBand="0" w:evenHBand="0" w:firstRowFirstColumn="0" w:firstRowLastColumn="0" w:lastRowFirstColumn="0" w:lastRowLastColumn="0"/>
              <w:rPr>
                <w:sz w:val="20"/>
                <w:szCs w:val="20"/>
              </w:rPr>
            </w:pPr>
            <w:r w:rsidRPr="00BD0B81">
              <w:rPr>
                <w:sz w:val="20"/>
                <w:szCs w:val="20"/>
              </w:rPr>
              <w:t>More data on long-term consumption habits is needed to understand impact of USA menu labelling laws on diet at population level.</w:t>
            </w:r>
          </w:p>
        </w:tc>
      </w:tr>
      <w:tr w:rsidR="00185448" w:rsidRPr="00E67A4C" w14:paraId="05DA64DE" w14:textId="77777777" w:rsidTr="001B50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0" w:type="dxa"/>
          </w:tcPr>
          <w:p w14:paraId="5BE7AFF4" w14:textId="09D2BB21" w:rsidR="00185448" w:rsidRPr="00D069BA" w:rsidRDefault="00185448" w:rsidP="00185448">
            <w:pPr>
              <w:rPr>
                <w:b w:val="0"/>
                <w:bCs w:val="0"/>
                <w:sz w:val="20"/>
                <w:szCs w:val="20"/>
              </w:rPr>
            </w:pPr>
            <w:proofErr w:type="spellStart"/>
            <w:r w:rsidRPr="00D069BA">
              <w:rPr>
                <w:b w:val="0"/>
                <w:bCs w:val="0"/>
                <w:sz w:val="20"/>
                <w:szCs w:val="20"/>
              </w:rPr>
              <w:t>Zlatevska</w:t>
            </w:r>
            <w:proofErr w:type="spellEnd"/>
            <w:r w:rsidRPr="00D069BA">
              <w:rPr>
                <w:b w:val="0"/>
                <w:bCs w:val="0"/>
                <w:sz w:val="20"/>
                <w:szCs w:val="20"/>
              </w:rPr>
              <w:t xml:space="preserve"> et al. 201</w:t>
            </w:r>
            <w:r>
              <w:rPr>
                <w:b w:val="0"/>
                <w:bCs w:val="0"/>
                <w:sz w:val="20"/>
                <w:szCs w:val="20"/>
              </w:rPr>
              <w:t>8</w:t>
            </w:r>
            <w:r w:rsidRPr="00D069BA">
              <w:rPr>
                <w:b w:val="0"/>
                <w:bCs w:val="0"/>
                <w:sz w:val="20"/>
                <w:szCs w:val="20"/>
              </w:rPr>
              <w:t>. Mandatory calorie disclosure: a comprehensive analysis of its effect on consumers and retailers. Journal of Retailing, 94(1), 89-101.</w:t>
            </w:r>
          </w:p>
        </w:tc>
        <w:tc>
          <w:tcPr>
            <w:tcW w:w="2238" w:type="dxa"/>
            <w:gridSpan w:val="2"/>
          </w:tcPr>
          <w:p w14:paraId="55C13BEA" w14:textId="77777777" w:rsidR="00185448" w:rsidRDefault="00185448" w:rsidP="00185448">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186 studies (meta-analysis 1)</w:t>
            </w:r>
          </w:p>
          <w:p w14:paraId="7124575F" w14:textId="77777777" w:rsidR="00185448" w:rsidRDefault="00185448" w:rsidP="00185448">
            <w:pPr>
              <w:cnfStyle w:val="000000100000" w:firstRow="0" w:lastRow="0" w:firstColumn="0" w:lastColumn="0" w:oddVBand="0" w:evenVBand="0" w:oddHBand="1" w:evenHBand="0" w:firstRowFirstColumn="0" w:firstRowLastColumn="0" w:lastRowFirstColumn="0" w:lastRowLastColumn="0"/>
              <w:rPr>
                <w:sz w:val="20"/>
                <w:szCs w:val="20"/>
              </w:rPr>
            </w:pPr>
          </w:p>
          <w:p w14:paraId="1A38CFC6" w14:textId="77777777" w:rsidR="00185448" w:rsidRDefault="00185448" w:rsidP="00185448">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41 studies (meta-analysis 2)</w:t>
            </w:r>
          </w:p>
          <w:p w14:paraId="39C2FA00" w14:textId="77777777" w:rsidR="00185448" w:rsidRDefault="00185448" w:rsidP="00185448">
            <w:pPr>
              <w:cnfStyle w:val="000000100000" w:firstRow="0" w:lastRow="0" w:firstColumn="0" w:lastColumn="0" w:oddVBand="0" w:evenVBand="0" w:oddHBand="1" w:evenHBand="0" w:firstRowFirstColumn="0" w:firstRowLastColumn="0" w:lastRowFirstColumn="0" w:lastRowLastColumn="0"/>
              <w:rPr>
                <w:sz w:val="20"/>
                <w:szCs w:val="20"/>
              </w:rPr>
            </w:pPr>
          </w:p>
          <w:p w14:paraId="6256135B" w14:textId="4D90CFB8" w:rsidR="00185448" w:rsidRDefault="00185448" w:rsidP="00185448">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Date of studies or search not specified</w:t>
            </w:r>
          </w:p>
        </w:tc>
        <w:tc>
          <w:tcPr>
            <w:tcW w:w="2238" w:type="dxa"/>
          </w:tcPr>
          <w:p w14:paraId="0229CBC2" w14:textId="2CBAC4E4" w:rsidR="00185448" w:rsidRDefault="00185448" w:rsidP="00185448">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Real world (116) and experimental settings (70)</w:t>
            </w:r>
          </w:p>
          <w:p w14:paraId="28CB038D" w14:textId="77777777" w:rsidR="00185448" w:rsidRDefault="00185448" w:rsidP="00185448">
            <w:pPr>
              <w:cnfStyle w:val="000000100000" w:firstRow="0" w:lastRow="0" w:firstColumn="0" w:lastColumn="0" w:oddVBand="0" w:evenVBand="0" w:oddHBand="1" w:evenHBand="0" w:firstRowFirstColumn="0" w:firstRowLastColumn="0" w:lastRowFirstColumn="0" w:lastRowLastColumn="0"/>
              <w:rPr>
                <w:sz w:val="20"/>
                <w:szCs w:val="20"/>
              </w:rPr>
            </w:pPr>
          </w:p>
          <w:p w14:paraId="1B318398" w14:textId="758527F4" w:rsidR="00185448" w:rsidRDefault="00185448" w:rsidP="00185448">
            <w:pPr>
              <w:cnfStyle w:val="000000100000" w:firstRow="0" w:lastRow="0" w:firstColumn="0" w:lastColumn="0" w:oddVBand="0" w:evenVBand="0" w:oddHBand="1" w:evenHBand="0" w:firstRowFirstColumn="0" w:firstRowLastColumn="0" w:lastRowFirstColumn="0" w:lastRowLastColumn="0"/>
              <w:rPr>
                <w:sz w:val="20"/>
                <w:szCs w:val="20"/>
              </w:rPr>
            </w:pPr>
            <w:r w:rsidRPr="007148AA">
              <w:rPr>
                <w:i/>
                <w:iCs/>
                <w:sz w:val="20"/>
                <w:szCs w:val="20"/>
              </w:rPr>
              <w:t xml:space="preserve">Paper doesn’t provide </w:t>
            </w:r>
            <w:r>
              <w:rPr>
                <w:i/>
                <w:iCs/>
                <w:sz w:val="20"/>
                <w:szCs w:val="20"/>
              </w:rPr>
              <w:t xml:space="preserve">sufficient </w:t>
            </w:r>
            <w:r w:rsidRPr="007148AA">
              <w:rPr>
                <w:i/>
                <w:iCs/>
                <w:sz w:val="20"/>
                <w:szCs w:val="20"/>
              </w:rPr>
              <w:t>details</w:t>
            </w:r>
            <w:r>
              <w:rPr>
                <w:i/>
                <w:iCs/>
                <w:sz w:val="20"/>
                <w:szCs w:val="20"/>
              </w:rPr>
              <w:t xml:space="preserve"> to describe the locations, or the setting for meta-analysis 2 </w:t>
            </w:r>
          </w:p>
        </w:tc>
        <w:tc>
          <w:tcPr>
            <w:tcW w:w="2238" w:type="dxa"/>
            <w:gridSpan w:val="2"/>
          </w:tcPr>
          <w:p w14:paraId="55922985" w14:textId="3F1C0E05" w:rsidR="00185448" w:rsidRDefault="00185448" w:rsidP="00185448">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w:t>
            </w:r>
            <w:r w:rsidRPr="00E30A5F">
              <w:rPr>
                <w:sz w:val="20"/>
                <w:szCs w:val="20"/>
              </w:rPr>
              <w:t xml:space="preserve">ffect </w:t>
            </w:r>
            <w:r>
              <w:rPr>
                <w:sz w:val="20"/>
                <w:szCs w:val="20"/>
              </w:rPr>
              <w:t xml:space="preserve">of menu labelling </w:t>
            </w:r>
            <w:r w:rsidRPr="00E30A5F">
              <w:rPr>
                <w:sz w:val="20"/>
                <w:szCs w:val="20"/>
              </w:rPr>
              <w:t>on calories selected by consumers</w:t>
            </w:r>
            <w:r>
              <w:rPr>
                <w:sz w:val="20"/>
                <w:szCs w:val="20"/>
              </w:rPr>
              <w:t xml:space="preserve"> and on </w:t>
            </w:r>
            <w:r w:rsidRPr="00E30A5F">
              <w:rPr>
                <w:sz w:val="20"/>
                <w:szCs w:val="20"/>
              </w:rPr>
              <w:t>calories offered by retailers</w:t>
            </w:r>
            <w:r>
              <w:rPr>
                <w:sz w:val="20"/>
                <w:szCs w:val="20"/>
              </w:rPr>
              <w:t>.</w:t>
            </w:r>
          </w:p>
        </w:tc>
        <w:tc>
          <w:tcPr>
            <w:tcW w:w="5447" w:type="dxa"/>
          </w:tcPr>
          <w:p w14:paraId="32529E93" w14:textId="77777777" w:rsidR="00185448" w:rsidRDefault="00185448" w:rsidP="00185448">
            <w:pPr>
              <w:pStyle w:val="ListParagraph"/>
              <w:numPr>
                <w:ilvl w:val="0"/>
                <w:numId w:val="15"/>
              </w:numPr>
              <w:spacing w:after="4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Meta-analysis of 41 studies represented 33,029 menu items, meta-analysis of 186 studies represented nearly 1.7M consumption choices.</w:t>
            </w:r>
          </w:p>
          <w:p w14:paraId="269A2F31" w14:textId="77777777" w:rsidR="00185448" w:rsidRPr="00E30A5F" w:rsidRDefault="00185448" w:rsidP="00185448">
            <w:pPr>
              <w:pStyle w:val="ListParagraph"/>
              <w:numPr>
                <w:ilvl w:val="0"/>
                <w:numId w:val="15"/>
              </w:numPr>
              <w:spacing w:after="40"/>
              <w:cnfStyle w:val="000000100000" w:firstRow="0" w:lastRow="0" w:firstColumn="0" w:lastColumn="0" w:oddVBand="0" w:evenVBand="0" w:oddHBand="1" w:evenHBand="0" w:firstRowFirstColumn="0" w:firstRowLastColumn="0" w:lastRowFirstColumn="0" w:lastRowLastColumn="0"/>
              <w:rPr>
                <w:sz w:val="20"/>
                <w:szCs w:val="20"/>
              </w:rPr>
            </w:pPr>
            <w:r w:rsidRPr="00E30A5F">
              <w:rPr>
                <w:sz w:val="20"/>
                <w:szCs w:val="20"/>
              </w:rPr>
              <w:t>Consumers purchased 27 fewer calories (115kJ) when menu labelling was implemented.</w:t>
            </w:r>
          </w:p>
          <w:p w14:paraId="634FC235" w14:textId="041130B6" w:rsidR="00185448" w:rsidRDefault="00185448" w:rsidP="00185448">
            <w:pPr>
              <w:pStyle w:val="ListParagraph"/>
              <w:numPr>
                <w:ilvl w:val="0"/>
                <w:numId w:val="15"/>
              </w:numPr>
              <w:spacing w:after="40"/>
              <w:cnfStyle w:val="000000100000" w:firstRow="0" w:lastRow="0" w:firstColumn="0" w:lastColumn="0" w:oddVBand="0" w:evenVBand="0" w:oddHBand="1" w:evenHBand="0" w:firstRowFirstColumn="0" w:firstRowLastColumn="0" w:lastRowFirstColumn="0" w:lastRowLastColumn="0"/>
              <w:rPr>
                <w:sz w:val="20"/>
                <w:szCs w:val="20"/>
              </w:rPr>
            </w:pPr>
            <w:r w:rsidRPr="00E30A5F">
              <w:rPr>
                <w:sz w:val="20"/>
                <w:szCs w:val="20"/>
              </w:rPr>
              <w:t>The energy content of menu items decreased by 15 calories (60kJ) on average, following the introduction of mandatory menu labelling.</w:t>
            </w:r>
          </w:p>
        </w:tc>
      </w:tr>
    </w:tbl>
    <w:p w14:paraId="3921C673" w14:textId="77777777" w:rsidR="00DE628A" w:rsidRPr="00E67A4C" w:rsidRDefault="00DE628A" w:rsidP="00DE628A"/>
    <w:p w14:paraId="5C8A5DF4" w14:textId="77777777" w:rsidR="00005D07" w:rsidRDefault="00005D07" w:rsidP="00DE628A">
      <w:pPr>
        <w:spacing w:after="40"/>
        <w:jc w:val="both"/>
        <w:sectPr w:rsidR="00005D07" w:rsidSect="00005D07">
          <w:pgSz w:w="16840" w:h="11900" w:orient="landscape"/>
          <w:pgMar w:top="1418" w:right="1134" w:bottom="1418" w:left="1134" w:header="227" w:footer="284" w:gutter="0"/>
          <w:cols w:space="720"/>
          <w:docGrid w:linePitch="326"/>
        </w:sectPr>
      </w:pPr>
    </w:p>
    <w:p w14:paraId="6E0497F2" w14:textId="36647ED7" w:rsidR="00C91F0D" w:rsidRPr="00DC4D93" w:rsidRDefault="00C91F0D" w:rsidP="00C91F0D">
      <w:pPr>
        <w:spacing w:after="40"/>
        <w:jc w:val="both"/>
      </w:pPr>
      <w:r w:rsidRPr="00DC4D93">
        <w:lastRenderedPageBreak/>
        <w:t>During 2020, the New Zealand Government commissioned research to test consumer understanding, and the potential impact of menu labelling including the current system used in Australia (as outlined in the 2011 Principles). The research included a literature review of seven studies published between 2011 and 2019, looking at the effects of menu labelling in the United States and Canada, and market research with approximately 2,100 New Zealand adolescents and adults. In a fast food restaurant setting, the research found that menu labelling had the desired impact on respondents who eat for reasons of convenience, connection, and taste. Menu labelling was found to be more effective when combined with consumer education.</w:t>
      </w:r>
      <w:r w:rsidRPr="00DC4D93">
        <w:rPr>
          <w:rStyle w:val="FootnoteReference"/>
        </w:rPr>
        <w:footnoteReference w:id="134"/>
      </w:r>
      <w:r w:rsidRPr="00DC4D93">
        <w:t xml:space="preserve"> As noted previously in this paper, the food environment is changing. This research was predominantly based on the provision of energy information on static menu boards, and as such may not apply to situations where consumers select items before product information is seen.</w:t>
      </w:r>
    </w:p>
    <w:p w14:paraId="4862D9D1" w14:textId="77777777" w:rsidR="00C91F0D" w:rsidRPr="00DC4D93" w:rsidRDefault="00C91F0D" w:rsidP="00C91F0D">
      <w:pPr>
        <w:spacing w:after="40"/>
        <w:jc w:val="both"/>
      </w:pPr>
    </w:p>
    <w:p w14:paraId="2C5F0FE1" w14:textId="77777777" w:rsidR="00C91F0D" w:rsidRPr="00DC4D93" w:rsidRDefault="00C91F0D" w:rsidP="00C91F0D">
      <w:r w:rsidRPr="00DC4D93">
        <w:t>There is limited peer-reviewed published literature about the impact of menu labelling in Australia. The below studies based on real-world Australian menu labelling or simulated menu selections, were included in some of the systematic reviews and meta-analyses described above.</w:t>
      </w:r>
      <w:r w:rsidRPr="00DC4D93">
        <w:rPr>
          <w:rStyle w:val="FootnoteReference"/>
        </w:rPr>
        <w:footnoteReference w:id="135"/>
      </w:r>
      <w:r w:rsidRPr="00DC4D93">
        <w:t xml:space="preserve"> </w:t>
      </w:r>
    </w:p>
    <w:p w14:paraId="55F102DA" w14:textId="77777777" w:rsidR="00C91F0D" w:rsidRPr="00DC4D93" w:rsidRDefault="00C91F0D" w:rsidP="00C91F0D">
      <w:pPr>
        <w:spacing w:after="40"/>
        <w:jc w:val="both"/>
      </w:pPr>
    </w:p>
    <w:tbl>
      <w:tblPr>
        <w:tblStyle w:val="PlainTable3"/>
        <w:tblW w:w="0" w:type="auto"/>
        <w:tblLook w:val="04A0" w:firstRow="1" w:lastRow="0" w:firstColumn="1" w:lastColumn="0" w:noHBand="0" w:noVBand="1"/>
      </w:tblPr>
      <w:tblGrid>
        <w:gridCol w:w="3825"/>
        <w:gridCol w:w="2619"/>
        <w:gridCol w:w="2620"/>
      </w:tblGrid>
      <w:tr w:rsidR="00C91F0D" w:rsidRPr="00DC4D93" w14:paraId="66FD3E09" w14:textId="77777777" w:rsidTr="00243BEE">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3828" w:type="dxa"/>
          </w:tcPr>
          <w:p w14:paraId="1A07566A" w14:textId="77777777" w:rsidR="00C91F0D" w:rsidRPr="00DC4D93" w:rsidRDefault="00C91F0D" w:rsidP="00D65EFE">
            <w:pPr>
              <w:spacing w:after="40"/>
              <w:rPr>
                <w:caps w:val="0"/>
                <w:sz w:val="20"/>
                <w:szCs w:val="20"/>
              </w:rPr>
            </w:pPr>
            <w:r w:rsidRPr="00DC4D93">
              <w:rPr>
                <w:caps w:val="0"/>
                <w:sz w:val="20"/>
                <w:szCs w:val="20"/>
              </w:rPr>
              <w:t>Study</w:t>
            </w:r>
          </w:p>
        </w:tc>
        <w:tc>
          <w:tcPr>
            <w:tcW w:w="2621" w:type="dxa"/>
          </w:tcPr>
          <w:p w14:paraId="268AE598" w14:textId="77777777" w:rsidR="00C91F0D" w:rsidRPr="00DC4D93" w:rsidRDefault="00C91F0D" w:rsidP="00D65EFE">
            <w:pPr>
              <w:spacing w:after="40"/>
              <w:cnfStyle w:val="100000000000" w:firstRow="1" w:lastRow="0" w:firstColumn="0" w:lastColumn="0" w:oddVBand="0" w:evenVBand="0" w:oddHBand="0" w:evenHBand="0" w:firstRowFirstColumn="0" w:firstRowLastColumn="0" w:lastRowFirstColumn="0" w:lastRowLastColumn="0"/>
              <w:rPr>
                <w:sz w:val="20"/>
                <w:szCs w:val="20"/>
              </w:rPr>
            </w:pPr>
            <w:r w:rsidRPr="00DC4D93">
              <w:rPr>
                <w:caps w:val="0"/>
                <w:sz w:val="20"/>
                <w:szCs w:val="20"/>
              </w:rPr>
              <w:t>Description</w:t>
            </w:r>
          </w:p>
        </w:tc>
        <w:tc>
          <w:tcPr>
            <w:tcW w:w="2621" w:type="dxa"/>
          </w:tcPr>
          <w:p w14:paraId="3996BDD4" w14:textId="77777777" w:rsidR="00C91F0D" w:rsidRPr="00DC4D93" w:rsidRDefault="00C91F0D" w:rsidP="00D65EFE">
            <w:pPr>
              <w:spacing w:after="40"/>
              <w:cnfStyle w:val="100000000000" w:firstRow="1" w:lastRow="0" w:firstColumn="0" w:lastColumn="0" w:oddVBand="0" w:evenVBand="0" w:oddHBand="0" w:evenHBand="0" w:firstRowFirstColumn="0" w:firstRowLastColumn="0" w:lastRowFirstColumn="0" w:lastRowLastColumn="0"/>
              <w:rPr>
                <w:sz w:val="20"/>
                <w:szCs w:val="20"/>
              </w:rPr>
            </w:pPr>
            <w:r w:rsidRPr="00DC4D93">
              <w:rPr>
                <w:caps w:val="0"/>
                <w:sz w:val="20"/>
                <w:szCs w:val="20"/>
              </w:rPr>
              <w:t>Results</w:t>
            </w:r>
          </w:p>
        </w:tc>
      </w:tr>
      <w:tr w:rsidR="00C91F0D" w:rsidRPr="00DC4D93" w14:paraId="2996E027" w14:textId="77777777" w:rsidTr="00243B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1C41DF2D" w14:textId="77777777" w:rsidR="00C91F0D" w:rsidRPr="00DC4D93" w:rsidRDefault="00C91F0D" w:rsidP="00D65EFE">
            <w:pPr>
              <w:pStyle w:val="Default"/>
              <w:rPr>
                <w:sz w:val="20"/>
                <w:szCs w:val="20"/>
              </w:rPr>
            </w:pPr>
            <w:r w:rsidRPr="00DC4D93">
              <w:rPr>
                <w:b w:val="0"/>
                <w:bCs w:val="0"/>
                <w:caps w:val="0"/>
                <w:sz w:val="20"/>
                <w:szCs w:val="20"/>
              </w:rPr>
              <w:t xml:space="preserve">Dodds et al. (2014) The effect of energy and traffic light labelling on parent and child fast food selection: a randomised controlled trial. </w:t>
            </w:r>
            <w:r w:rsidRPr="00DC4D93">
              <w:rPr>
                <w:b w:val="0"/>
                <w:bCs w:val="0"/>
                <w:i/>
                <w:iCs/>
                <w:caps w:val="0"/>
                <w:sz w:val="20"/>
                <w:szCs w:val="20"/>
              </w:rPr>
              <w:t>Appetite,</w:t>
            </w:r>
            <w:r w:rsidRPr="00DC4D93">
              <w:rPr>
                <w:b w:val="0"/>
                <w:bCs w:val="0"/>
                <w:caps w:val="0"/>
                <w:sz w:val="20"/>
                <w:szCs w:val="20"/>
              </w:rPr>
              <w:t xml:space="preserve"> 73: 23–30.</w:t>
            </w:r>
          </w:p>
        </w:tc>
        <w:tc>
          <w:tcPr>
            <w:tcW w:w="2621" w:type="dxa"/>
          </w:tcPr>
          <w:p w14:paraId="261B7726" w14:textId="77777777" w:rsidR="00C91F0D" w:rsidRPr="00DC4D93" w:rsidRDefault="00C91F0D" w:rsidP="00D65EFE">
            <w:pPr>
              <w:spacing w:after="40"/>
              <w:cnfStyle w:val="000000100000" w:firstRow="0" w:lastRow="0" w:firstColumn="0" w:lastColumn="0" w:oddVBand="0" w:evenVBand="0" w:oddHBand="1" w:evenHBand="0" w:firstRowFirstColumn="0" w:firstRowLastColumn="0" w:lastRowFirstColumn="0" w:lastRowLastColumn="0"/>
              <w:rPr>
                <w:sz w:val="20"/>
                <w:szCs w:val="20"/>
              </w:rPr>
            </w:pPr>
            <w:r w:rsidRPr="00DC4D93">
              <w:rPr>
                <w:sz w:val="20"/>
                <w:szCs w:val="20"/>
              </w:rPr>
              <w:t>Telephone survey of 329 parent/child pairs, simulated selection from three menus.</w:t>
            </w:r>
          </w:p>
        </w:tc>
        <w:tc>
          <w:tcPr>
            <w:tcW w:w="2621" w:type="dxa"/>
          </w:tcPr>
          <w:p w14:paraId="06B6B052" w14:textId="77777777" w:rsidR="00C91F0D" w:rsidRPr="00DC4D93" w:rsidRDefault="00C91F0D" w:rsidP="00D65EFE">
            <w:pPr>
              <w:pStyle w:val="ListParagraph"/>
              <w:numPr>
                <w:ilvl w:val="0"/>
                <w:numId w:val="15"/>
              </w:numPr>
              <w:spacing w:after="40"/>
              <w:cnfStyle w:val="000000100000" w:firstRow="0" w:lastRow="0" w:firstColumn="0" w:lastColumn="0" w:oddVBand="0" w:evenVBand="0" w:oddHBand="1" w:evenHBand="0" w:firstRowFirstColumn="0" w:firstRowLastColumn="0" w:lastRowFirstColumn="0" w:lastRowLastColumn="0"/>
              <w:rPr>
                <w:sz w:val="20"/>
                <w:szCs w:val="20"/>
              </w:rPr>
            </w:pPr>
            <w:r w:rsidRPr="00DC4D93">
              <w:rPr>
                <w:sz w:val="20"/>
                <w:szCs w:val="20"/>
              </w:rPr>
              <w:t>No effect of menu labelling on energy selected.</w:t>
            </w:r>
          </w:p>
        </w:tc>
      </w:tr>
      <w:tr w:rsidR="00C91F0D" w:rsidRPr="00DC4D93" w14:paraId="708F25A3" w14:textId="77777777" w:rsidTr="00243BEE">
        <w:tc>
          <w:tcPr>
            <w:cnfStyle w:val="001000000000" w:firstRow="0" w:lastRow="0" w:firstColumn="1" w:lastColumn="0" w:oddVBand="0" w:evenVBand="0" w:oddHBand="0" w:evenHBand="0" w:firstRowFirstColumn="0" w:firstRowLastColumn="0" w:lastRowFirstColumn="0" w:lastRowLastColumn="0"/>
            <w:tcW w:w="3828" w:type="dxa"/>
          </w:tcPr>
          <w:p w14:paraId="1C221202" w14:textId="77777777" w:rsidR="00C91F0D" w:rsidRPr="00DC4D93" w:rsidRDefault="00C91F0D" w:rsidP="00D65EFE">
            <w:pPr>
              <w:spacing w:after="40"/>
              <w:rPr>
                <w:sz w:val="20"/>
                <w:szCs w:val="20"/>
              </w:rPr>
            </w:pPr>
            <w:r w:rsidRPr="00DC4D93">
              <w:rPr>
                <w:b w:val="0"/>
                <w:bCs w:val="0"/>
                <w:caps w:val="0"/>
                <w:sz w:val="20"/>
                <w:szCs w:val="20"/>
              </w:rPr>
              <w:t>Morley</w:t>
            </w:r>
            <w:r w:rsidRPr="00DC4D93">
              <w:rPr>
                <w:sz w:val="20"/>
                <w:szCs w:val="20"/>
              </w:rPr>
              <w:t xml:space="preserve"> </w:t>
            </w:r>
            <w:r w:rsidRPr="00DC4D93">
              <w:rPr>
                <w:b w:val="0"/>
                <w:bCs w:val="0"/>
                <w:caps w:val="0"/>
                <w:sz w:val="20"/>
                <w:szCs w:val="20"/>
              </w:rPr>
              <w:t>et al. (</w:t>
            </w:r>
            <w:r w:rsidRPr="00DC4D93">
              <w:rPr>
                <w:b w:val="0"/>
                <w:bCs w:val="0"/>
                <w:sz w:val="20"/>
                <w:szCs w:val="20"/>
              </w:rPr>
              <w:t>2013)</w:t>
            </w:r>
            <w:r w:rsidRPr="00DC4D93">
              <w:rPr>
                <w:sz w:val="20"/>
                <w:szCs w:val="20"/>
              </w:rPr>
              <w:t xml:space="preserve"> </w:t>
            </w:r>
            <w:r w:rsidRPr="00DC4D93">
              <w:rPr>
                <w:b w:val="0"/>
                <w:bCs w:val="0"/>
                <w:caps w:val="0"/>
                <w:sz w:val="20"/>
                <w:szCs w:val="20"/>
              </w:rPr>
              <w:t xml:space="preserve">What types of nutrition menu labelling lead consumers to select less energy-dense fast food? An experimental study. </w:t>
            </w:r>
            <w:r w:rsidRPr="00DC4D93">
              <w:rPr>
                <w:b w:val="0"/>
                <w:bCs w:val="0"/>
                <w:i/>
                <w:iCs/>
                <w:caps w:val="0"/>
                <w:sz w:val="20"/>
                <w:szCs w:val="20"/>
              </w:rPr>
              <w:t>Appetite</w:t>
            </w:r>
            <w:r w:rsidRPr="00DC4D93">
              <w:rPr>
                <w:b w:val="0"/>
                <w:bCs w:val="0"/>
                <w:caps w:val="0"/>
                <w:sz w:val="20"/>
                <w:szCs w:val="20"/>
              </w:rPr>
              <w:t>, 67: 8–15.</w:t>
            </w:r>
          </w:p>
        </w:tc>
        <w:tc>
          <w:tcPr>
            <w:tcW w:w="2621" w:type="dxa"/>
          </w:tcPr>
          <w:p w14:paraId="6219A866" w14:textId="77777777" w:rsidR="00C91F0D" w:rsidRPr="00DC4D93" w:rsidRDefault="00C91F0D" w:rsidP="00D65EFE">
            <w:pPr>
              <w:spacing w:after="40"/>
              <w:cnfStyle w:val="000000000000" w:firstRow="0" w:lastRow="0" w:firstColumn="0" w:lastColumn="0" w:oddVBand="0" w:evenVBand="0" w:oddHBand="0" w:evenHBand="0" w:firstRowFirstColumn="0" w:firstRowLastColumn="0" w:lastRowFirstColumn="0" w:lastRowLastColumn="0"/>
              <w:rPr>
                <w:sz w:val="20"/>
                <w:szCs w:val="20"/>
              </w:rPr>
            </w:pPr>
            <w:r w:rsidRPr="00DC4D93">
              <w:rPr>
                <w:sz w:val="20"/>
                <w:szCs w:val="20"/>
              </w:rPr>
              <w:t>Online survey of 1294 Victorian adults (18-49 years), simulated selection from a restricted menu.</w:t>
            </w:r>
          </w:p>
        </w:tc>
        <w:tc>
          <w:tcPr>
            <w:tcW w:w="2621" w:type="dxa"/>
          </w:tcPr>
          <w:p w14:paraId="0D5E2A73" w14:textId="77777777" w:rsidR="00C91F0D" w:rsidRPr="00DC4D93" w:rsidRDefault="00C91F0D" w:rsidP="00D65EFE">
            <w:pPr>
              <w:pStyle w:val="ListParagraph"/>
              <w:numPr>
                <w:ilvl w:val="0"/>
                <w:numId w:val="15"/>
              </w:numPr>
              <w:spacing w:after="40"/>
              <w:cnfStyle w:val="000000000000" w:firstRow="0" w:lastRow="0" w:firstColumn="0" w:lastColumn="0" w:oddVBand="0" w:evenVBand="0" w:oddHBand="0" w:evenHBand="0" w:firstRowFirstColumn="0" w:firstRowLastColumn="0" w:lastRowFirstColumn="0" w:lastRowLastColumn="0"/>
              <w:rPr>
                <w:sz w:val="20"/>
                <w:szCs w:val="20"/>
              </w:rPr>
            </w:pPr>
            <w:r w:rsidRPr="00DC4D93">
              <w:rPr>
                <w:sz w:val="20"/>
                <w:szCs w:val="20"/>
              </w:rPr>
              <w:t>Significant reduction of kilojoules (500kJ) selected from display of energy or energy plus traffic light symbol.</w:t>
            </w:r>
          </w:p>
        </w:tc>
      </w:tr>
      <w:tr w:rsidR="00C91F0D" w:rsidRPr="00DC4D93" w14:paraId="6D90AF75" w14:textId="77777777" w:rsidTr="00243B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3EA3D055" w14:textId="77777777" w:rsidR="00C91F0D" w:rsidRPr="00DC4D93" w:rsidRDefault="00C91F0D" w:rsidP="00D65EFE">
            <w:pPr>
              <w:spacing w:after="40"/>
              <w:rPr>
                <w:b w:val="0"/>
                <w:bCs w:val="0"/>
                <w:sz w:val="20"/>
                <w:szCs w:val="20"/>
              </w:rPr>
            </w:pPr>
            <w:r w:rsidRPr="00DC4D93">
              <w:rPr>
                <w:b w:val="0"/>
                <w:bCs w:val="0"/>
                <w:caps w:val="0"/>
                <w:sz w:val="20"/>
                <w:szCs w:val="20"/>
              </w:rPr>
              <w:t xml:space="preserve">Wellard-Cole et al. (2018) Monitoring the changes to the nutrient composition of fast foods following the introduction of menu labelling in New South Wales, Australia: An observational study. </w:t>
            </w:r>
            <w:r w:rsidRPr="00DC4D93">
              <w:rPr>
                <w:b w:val="0"/>
                <w:bCs w:val="0"/>
                <w:i/>
                <w:iCs/>
                <w:caps w:val="0"/>
                <w:sz w:val="20"/>
                <w:szCs w:val="20"/>
              </w:rPr>
              <w:t xml:space="preserve">Public Health Nutrition, </w:t>
            </w:r>
            <w:r w:rsidRPr="00DC4D93">
              <w:rPr>
                <w:b w:val="0"/>
                <w:bCs w:val="0"/>
                <w:caps w:val="0"/>
                <w:sz w:val="20"/>
                <w:szCs w:val="20"/>
              </w:rPr>
              <w:t>21: 1194–1199</w:t>
            </w:r>
          </w:p>
        </w:tc>
        <w:tc>
          <w:tcPr>
            <w:tcW w:w="2621" w:type="dxa"/>
          </w:tcPr>
          <w:p w14:paraId="2D7C18EF" w14:textId="77777777" w:rsidR="00C91F0D" w:rsidRPr="00DC4D93" w:rsidRDefault="00C91F0D" w:rsidP="00D65EFE">
            <w:pPr>
              <w:spacing w:after="40"/>
              <w:cnfStyle w:val="000000100000" w:firstRow="0" w:lastRow="0" w:firstColumn="0" w:lastColumn="0" w:oddVBand="0" w:evenVBand="0" w:oddHBand="1" w:evenHBand="0" w:firstRowFirstColumn="0" w:firstRowLastColumn="0" w:lastRowFirstColumn="0" w:lastRowLastColumn="0"/>
              <w:rPr>
                <w:sz w:val="20"/>
                <w:szCs w:val="20"/>
              </w:rPr>
            </w:pPr>
            <w:r w:rsidRPr="00DC4D93">
              <w:rPr>
                <w:sz w:val="20"/>
                <w:szCs w:val="20"/>
              </w:rPr>
              <w:t>Assessment of 552 menu items from 5 QSR chains, before and after menu labelling in NSW.</w:t>
            </w:r>
          </w:p>
        </w:tc>
        <w:tc>
          <w:tcPr>
            <w:tcW w:w="2621" w:type="dxa"/>
          </w:tcPr>
          <w:p w14:paraId="0CD54A51" w14:textId="77777777" w:rsidR="00C91F0D" w:rsidRPr="00DC4D93" w:rsidRDefault="00C91F0D" w:rsidP="00D65EFE">
            <w:pPr>
              <w:pStyle w:val="ListParagraph"/>
              <w:numPr>
                <w:ilvl w:val="0"/>
                <w:numId w:val="15"/>
              </w:numPr>
              <w:spacing w:after="40"/>
              <w:cnfStyle w:val="000000100000" w:firstRow="0" w:lastRow="0" w:firstColumn="0" w:lastColumn="0" w:oddVBand="0" w:evenVBand="0" w:oddHBand="1" w:evenHBand="0" w:firstRowFirstColumn="0" w:firstRowLastColumn="0" w:lastRowFirstColumn="0" w:lastRowLastColumn="0"/>
              <w:rPr>
                <w:sz w:val="20"/>
                <w:szCs w:val="20"/>
              </w:rPr>
            </w:pPr>
            <w:r w:rsidRPr="00DC4D93">
              <w:rPr>
                <w:sz w:val="20"/>
                <w:szCs w:val="20"/>
              </w:rPr>
              <w:t>No effect of menu labelling on product reformulation.</w:t>
            </w:r>
          </w:p>
        </w:tc>
      </w:tr>
      <w:tr w:rsidR="00C91F0D" w:rsidRPr="00E30A5F" w14:paraId="431633CB" w14:textId="77777777" w:rsidTr="00243BEE">
        <w:tc>
          <w:tcPr>
            <w:cnfStyle w:val="001000000000" w:firstRow="0" w:lastRow="0" w:firstColumn="1" w:lastColumn="0" w:oddVBand="0" w:evenVBand="0" w:oddHBand="0" w:evenHBand="0" w:firstRowFirstColumn="0" w:firstRowLastColumn="0" w:lastRowFirstColumn="0" w:lastRowLastColumn="0"/>
            <w:tcW w:w="3828" w:type="dxa"/>
          </w:tcPr>
          <w:p w14:paraId="62A817E2" w14:textId="77777777" w:rsidR="00C91F0D" w:rsidRPr="00DC4D93" w:rsidRDefault="00C91F0D" w:rsidP="00D65EFE">
            <w:pPr>
              <w:spacing w:after="40"/>
              <w:rPr>
                <w:sz w:val="20"/>
                <w:szCs w:val="20"/>
              </w:rPr>
            </w:pPr>
            <w:r w:rsidRPr="00DC4D93">
              <w:rPr>
                <w:b w:val="0"/>
                <w:bCs w:val="0"/>
                <w:caps w:val="0"/>
                <w:sz w:val="20"/>
                <w:szCs w:val="20"/>
              </w:rPr>
              <w:t xml:space="preserve">Wellard-Cole et al. (2019) Nutrient composition of Australian fast-food and fast-casual children’s meals available in 2016 and changes in fast-food meals between 2010 and 2016. </w:t>
            </w:r>
            <w:r w:rsidRPr="00DC4D93">
              <w:rPr>
                <w:b w:val="0"/>
                <w:bCs w:val="0"/>
                <w:i/>
                <w:iCs/>
                <w:caps w:val="0"/>
                <w:sz w:val="20"/>
                <w:szCs w:val="20"/>
              </w:rPr>
              <w:t>Public Health Nutrition</w:t>
            </w:r>
            <w:r w:rsidRPr="00DC4D93">
              <w:rPr>
                <w:b w:val="0"/>
                <w:bCs w:val="0"/>
                <w:caps w:val="0"/>
                <w:sz w:val="20"/>
                <w:szCs w:val="20"/>
              </w:rPr>
              <w:t>, 22: 2981–2988.</w:t>
            </w:r>
          </w:p>
        </w:tc>
        <w:tc>
          <w:tcPr>
            <w:tcW w:w="2621" w:type="dxa"/>
          </w:tcPr>
          <w:p w14:paraId="65A92705" w14:textId="77777777" w:rsidR="00C91F0D" w:rsidRPr="00DC4D93" w:rsidRDefault="00C91F0D" w:rsidP="00D65EFE">
            <w:pPr>
              <w:spacing w:after="40"/>
              <w:cnfStyle w:val="000000000000" w:firstRow="0" w:lastRow="0" w:firstColumn="0" w:lastColumn="0" w:oddVBand="0" w:evenVBand="0" w:oddHBand="0" w:evenHBand="0" w:firstRowFirstColumn="0" w:firstRowLastColumn="0" w:lastRowFirstColumn="0" w:lastRowLastColumn="0"/>
              <w:rPr>
                <w:sz w:val="20"/>
                <w:szCs w:val="20"/>
              </w:rPr>
            </w:pPr>
            <w:r w:rsidRPr="00DC4D93">
              <w:rPr>
                <w:sz w:val="20"/>
                <w:szCs w:val="20"/>
              </w:rPr>
              <w:t>Assessment of 289 children’s meals.</w:t>
            </w:r>
          </w:p>
        </w:tc>
        <w:tc>
          <w:tcPr>
            <w:tcW w:w="2621" w:type="dxa"/>
          </w:tcPr>
          <w:p w14:paraId="254AD691" w14:textId="77777777" w:rsidR="00C91F0D" w:rsidRPr="00DC4D93" w:rsidRDefault="00C91F0D" w:rsidP="00D65EFE">
            <w:pPr>
              <w:pStyle w:val="ListParagraph"/>
              <w:numPr>
                <w:ilvl w:val="0"/>
                <w:numId w:val="15"/>
              </w:numPr>
              <w:spacing w:after="40"/>
              <w:cnfStyle w:val="000000000000" w:firstRow="0" w:lastRow="0" w:firstColumn="0" w:lastColumn="0" w:oddVBand="0" w:evenVBand="0" w:oddHBand="0" w:evenHBand="0" w:firstRowFirstColumn="0" w:firstRowLastColumn="0" w:lastRowFirstColumn="0" w:lastRowLastColumn="0"/>
              <w:rPr>
                <w:sz w:val="20"/>
                <w:szCs w:val="20"/>
              </w:rPr>
            </w:pPr>
            <w:r w:rsidRPr="00DC4D93">
              <w:rPr>
                <w:sz w:val="20"/>
                <w:szCs w:val="20"/>
              </w:rPr>
              <w:t>Mixed effect of menu labelling on product reformulation – ranging from reduction of 600kJ to increase of 345KJ per serving.</w:t>
            </w:r>
          </w:p>
        </w:tc>
      </w:tr>
    </w:tbl>
    <w:p w14:paraId="193549DB" w14:textId="77777777" w:rsidR="00C91F0D" w:rsidRDefault="00C91F0D" w:rsidP="00DE628A">
      <w:pPr>
        <w:spacing w:after="40"/>
        <w:jc w:val="both"/>
      </w:pPr>
    </w:p>
    <w:p w14:paraId="57EC17FA" w14:textId="4B901CB0" w:rsidR="00DE628A" w:rsidRDefault="00DE628A" w:rsidP="00DE628A">
      <w:pPr>
        <w:spacing w:after="40"/>
        <w:jc w:val="both"/>
      </w:pPr>
      <w:r w:rsidRPr="00E67A4C">
        <w:t>In Australia, evaluations and reviews of current menu labelling schemes have considered the impact of menu labelling legislation and consumer education. However, the results across jurisdictions are not directly comparable as consumer education activities and evaluation methods varied.</w:t>
      </w:r>
    </w:p>
    <w:p w14:paraId="72A96C11" w14:textId="77777777" w:rsidR="00C91F0D" w:rsidRDefault="00C91F0D" w:rsidP="00DE628A">
      <w:pPr>
        <w:spacing w:after="40"/>
        <w:jc w:val="both"/>
      </w:pPr>
    </w:p>
    <w:p w14:paraId="1760B733" w14:textId="77777777" w:rsidR="00DE628A" w:rsidRDefault="00DE628A" w:rsidP="00DE628A">
      <w:pPr>
        <w:spacing w:after="40"/>
        <w:jc w:val="both"/>
      </w:pPr>
    </w:p>
    <w:tbl>
      <w:tblPr>
        <w:tblStyle w:val="PlainTable3"/>
        <w:tblW w:w="0" w:type="auto"/>
        <w:tblLook w:val="04A0" w:firstRow="1" w:lastRow="0" w:firstColumn="1" w:lastColumn="0" w:noHBand="0" w:noVBand="1"/>
        <w:tblCaption w:val="Evaluation of menu labelling in New South Wales"/>
        <w:tblDescription w:val="2 columns. 1. Data collection in New South Wales. 2. Results. 4 rows. 1. Heading. 2. Describes online survey. 3. Describes customer-intercept survey. 4. Describes cost-effective modelling."/>
      </w:tblPr>
      <w:tblGrid>
        <w:gridCol w:w="3119"/>
        <w:gridCol w:w="5935"/>
      </w:tblGrid>
      <w:tr w:rsidR="00DE628A" w:rsidRPr="00E30A5F" w14:paraId="39B5E15E" w14:textId="77777777" w:rsidTr="005C2A0C">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3119" w:type="dxa"/>
          </w:tcPr>
          <w:p w14:paraId="7460F026" w14:textId="77777777" w:rsidR="00DE628A" w:rsidRPr="00E30A5F" w:rsidRDefault="00DE628A" w:rsidP="005C2A0C">
            <w:pPr>
              <w:rPr>
                <w:sz w:val="20"/>
                <w:szCs w:val="20"/>
              </w:rPr>
            </w:pPr>
            <w:r w:rsidRPr="00E30A5F">
              <w:rPr>
                <w:caps w:val="0"/>
                <w:sz w:val="20"/>
                <w:szCs w:val="20"/>
              </w:rPr>
              <w:lastRenderedPageBreak/>
              <w:t xml:space="preserve">Data Collection in </w:t>
            </w:r>
          </w:p>
          <w:p w14:paraId="45E9CCBA" w14:textId="77777777" w:rsidR="00DE628A" w:rsidRPr="00E30A5F" w:rsidRDefault="00DE628A" w:rsidP="005C2A0C">
            <w:pPr>
              <w:rPr>
                <w:sz w:val="20"/>
                <w:szCs w:val="20"/>
              </w:rPr>
            </w:pPr>
            <w:r w:rsidRPr="00E30A5F">
              <w:rPr>
                <w:caps w:val="0"/>
                <w:sz w:val="20"/>
                <w:szCs w:val="20"/>
              </w:rPr>
              <w:t>New South Wales</w:t>
            </w:r>
            <w:r w:rsidRPr="00E30A5F">
              <w:rPr>
                <w:rStyle w:val="FootnoteReference"/>
                <w:sz w:val="20"/>
                <w:szCs w:val="20"/>
              </w:rPr>
              <w:footnoteReference w:id="136"/>
            </w:r>
          </w:p>
        </w:tc>
        <w:tc>
          <w:tcPr>
            <w:tcW w:w="5935" w:type="dxa"/>
          </w:tcPr>
          <w:p w14:paraId="355FDD34" w14:textId="77777777" w:rsidR="00DE628A" w:rsidRPr="00E30A5F" w:rsidRDefault="00DE628A" w:rsidP="005C2A0C">
            <w:pPr>
              <w:cnfStyle w:val="100000000000" w:firstRow="1" w:lastRow="0" w:firstColumn="0" w:lastColumn="0" w:oddVBand="0" w:evenVBand="0" w:oddHBand="0" w:evenHBand="0" w:firstRowFirstColumn="0" w:firstRowLastColumn="0" w:lastRowFirstColumn="0" w:lastRowLastColumn="0"/>
              <w:rPr>
                <w:sz w:val="20"/>
                <w:szCs w:val="20"/>
              </w:rPr>
            </w:pPr>
            <w:r w:rsidRPr="00E30A5F">
              <w:rPr>
                <w:caps w:val="0"/>
                <w:sz w:val="20"/>
                <w:szCs w:val="20"/>
              </w:rPr>
              <w:t>Results</w:t>
            </w:r>
          </w:p>
        </w:tc>
      </w:tr>
      <w:tr w:rsidR="00DE628A" w:rsidRPr="00E30A5F" w14:paraId="4B8F3F90" w14:textId="77777777" w:rsidTr="005C2A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1193A5F3" w14:textId="77777777" w:rsidR="00DE628A" w:rsidRPr="00E30A5F" w:rsidRDefault="00DE628A" w:rsidP="005C2A0C">
            <w:pPr>
              <w:spacing w:after="40"/>
              <w:rPr>
                <w:b w:val="0"/>
                <w:bCs w:val="0"/>
                <w:sz w:val="20"/>
                <w:szCs w:val="20"/>
              </w:rPr>
            </w:pPr>
            <w:r w:rsidRPr="00E30A5F">
              <w:rPr>
                <w:b w:val="0"/>
                <w:bCs w:val="0"/>
                <w:caps w:val="0"/>
                <w:sz w:val="20"/>
                <w:szCs w:val="20"/>
              </w:rPr>
              <w:t xml:space="preserve">Online surveys of 500 people and 200 young adults (18-24 </w:t>
            </w:r>
            <w:proofErr w:type="spellStart"/>
            <w:r w:rsidRPr="00E30A5F">
              <w:rPr>
                <w:b w:val="0"/>
                <w:bCs w:val="0"/>
                <w:caps w:val="0"/>
                <w:sz w:val="20"/>
                <w:szCs w:val="20"/>
              </w:rPr>
              <w:t>yr</w:t>
            </w:r>
            <w:proofErr w:type="spellEnd"/>
            <w:r w:rsidRPr="00E30A5F">
              <w:rPr>
                <w:b w:val="0"/>
                <w:bCs w:val="0"/>
                <w:caps w:val="0"/>
                <w:sz w:val="20"/>
                <w:szCs w:val="20"/>
              </w:rPr>
              <w:t>)</w:t>
            </w:r>
          </w:p>
        </w:tc>
        <w:tc>
          <w:tcPr>
            <w:tcW w:w="5935" w:type="dxa"/>
          </w:tcPr>
          <w:p w14:paraId="685203BD" w14:textId="77777777" w:rsidR="00DE628A" w:rsidRPr="00E30A5F" w:rsidRDefault="00DE628A" w:rsidP="0055688D">
            <w:pPr>
              <w:pStyle w:val="ListParagraph"/>
              <w:numPr>
                <w:ilvl w:val="0"/>
                <w:numId w:val="15"/>
              </w:numPr>
              <w:spacing w:after="40"/>
              <w:cnfStyle w:val="000000100000" w:firstRow="0" w:lastRow="0" w:firstColumn="0" w:lastColumn="0" w:oddVBand="0" w:evenVBand="0" w:oddHBand="1" w:evenHBand="0" w:firstRowFirstColumn="0" w:firstRowLastColumn="0" w:lastRowFirstColumn="0" w:lastRowLastColumn="0"/>
              <w:rPr>
                <w:sz w:val="20"/>
                <w:szCs w:val="20"/>
              </w:rPr>
            </w:pPr>
            <w:r w:rsidRPr="00E30A5F">
              <w:rPr>
                <w:sz w:val="20"/>
                <w:szCs w:val="20"/>
              </w:rPr>
              <w:t>Twelve months after the legislation commenced and six months after consumer education had launched:</w:t>
            </w:r>
          </w:p>
          <w:p w14:paraId="2D6646CC" w14:textId="77777777" w:rsidR="00DE628A" w:rsidRPr="00E30A5F" w:rsidRDefault="00DE628A" w:rsidP="0055688D">
            <w:pPr>
              <w:pStyle w:val="ListParagraph"/>
              <w:numPr>
                <w:ilvl w:val="1"/>
                <w:numId w:val="15"/>
              </w:numPr>
              <w:spacing w:after="40"/>
              <w:ind w:left="737" w:hanging="283"/>
              <w:cnfStyle w:val="000000100000" w:firstRow="0" w:lastRow="0" w:firstColumn="0" w:lastColumn="0" w:oddVBand="0" w:evenVBand="0" w:oddHBand="1" w:evenHBand="0" w:firstRowFirstColumn="0" w:firstRowLastColumn="0" w:lastRowFirstColumn="0" w:lastRowLastColumn="0"/>
              <w:rPr>
                <w:sz w:val="20"/>
                <w:szCs w:val="20"/>
              </w:rPr>
            </w:pPr>
            <w:r w:rsidRPr="00E30A5F">
              <w:rPr>
                <w:sz w:val="20"/>
                <w:szCs w:val="20"/>
              </w:rPr>
              <w:t>awareness of 8700kJ reference statement had increased to 9% from 3% (19% from 8% among young adults)</w:t>
            </w:r>
          </w:p>
          <w:p w14:paraId="47B6D17B" w14:textId="77777777" w:rsidR="00DE628A" w:rsidRPr="00E30A5F" w:rsidRDefault="00DE628A" w:rsidP="0055688D">
            <w:pPr>
              <w:pStyle w:val="ListParagraph"/>
              <w:numPr>
                <w:ilvl w:val="1"/>
                <w:numId w:val="15"/>
              </w:numPr>
              <w:spacing w:after="40"/>
              <w:ind w:left="737" w:hanging="283"/>
              <w:cnfStyle w:val="000000100000" w:firstRow="0" w:lastRow="0" w:firstColumn="0" w:lastColumn="0" w:oddVBand="0" w:evenVBand="0" w:oddHBand="1" w:evenHBand="0" w:firstRowFirstColumn="0" w:firstRowLastColumn="0" w:lastRowFirstColumn="0" w:lastRowLastColumn="0"/>
              <w:rPr>
                <w:sz w:val="20"/>
                <w:szCs w:val="20"/>
              </w:rPr>
            </w:pPr>
            <w:r w:rsidRPr="00E30A5F">
              <w:rPr>
                <w:sz w:val="20"/>
                <w:szCs w:val="20"/>
              </w:rPr>
              <w:t>proportion noticing energy information on menus increased from 46 to 52%, and 59% to 63% among young adults.</w:t>
            </w:r>
          </w:p>
        </w:tc>
      </w:tr>
      <w:tr w:rsidR="00DE628A" w:rsidRPr="00E30A5F" w14:paraId="6AB8A68A" w14:textId="77777777" w:rsidTr="005C2A0C">
        <w:tc>
          <w:tcPr>
            <w:cnfStyle w:val="001000000000" w:firstRow="0" w:lastRow="0" w:firstColumn="1" w:lastColumn="0" w:oddVBand="0" w:evenVBand="0" w:oddHBand="0" w:evenHBand="0" w:firstRowFirstColumn="0" w:firstRowLastColumn="0" w:lastRowFirstColumn="0" w:lastRowLastColumn="0"/>
            <w:tcW w:w="3119" w:type="dxa"/>
          </w:tcPr>
          <w:p w14:paraId="51865605" w14:textId="77777777" w:rsidR="00DE628A" w:rsidRPr="00E30A5F" w:rsidRDefault="00DE628A" w:rsidP="005C2A0C">
            <w:pPr>
              <w:spacing w:after="40"/>
              <w:rPr>
                <w:b w:val="0"/>
                <w:bCs w:val="0"/>
                <w:sz w:val="20"/>
                <w:szCs w:val="20"/>
              </w:rPr>
            </w:pPr>
            <w:r w:rsidRPr="00E30A5F">
              <w:rPr>
                <w:b w:val="0"/>
                <w:bCs w:val="0"/>
                <w:caps w:val="0"/>
                <w:sz w:val="20"/>
                <w:szCs w:val="20"/>
              </w:rPr>
              <w:t>Pre and post customer-intercept surveys of 800 people in September 2011 and September 2012, immediately following a food or drink purchase from one of 10 different chains.</w:t>
            </w:r>
          </w:p>
        </w:tc>
        <w:tc>
          <w:tcPr>
            <w:tcW w:w="5935" w:type="dxa"/>
          </w:tcPr>
          <w:p w14:paraId="299EEE6F" w14:textId="77777777" w:rsidR="00DE628A" w:rsidRPr="00E30A5F" w:rsidRDefault="00DE628A" w:rsidP="0055688D">
            <w:pPr>
              <w:pStyle w:val="ListParagraph"/>
              <w:numPr>
                <w:ilvl w:val="0"/>
                <w:numId w:val="15"/>
              </w:numPr>
              <w:spacing w:after="40"/>
              <w:cnfStyle w:val="000000000000" w:firstRow="0" w:lastRow="0" w:firstColumn="0" w:lastColumn="0" w:oddVBand="0" w:evenVBand="0" w:oddHBand="0" w:evenHBand="0" w:firstRowFirstColumn="0" w:firstRowLastColumn="0" w:lastRowFirstColumn="0" w:lastRowLastColumn="0"/>
              <w:rPr>
                <w:sz w:val="20"/>
                <w:szCs w:val="20"/>
              </w:rPr>
            </w:pPr>
            <w:r w:rsidRPr="00E30A5F">
              <w:rPr>
                <w:sz w:val="20"/>
                <w:szCs w:val="20"/>
                <w:lang w:eastAsia="zh-CN" w:bidi="th-TH"/>
              </w:rPr>
              <w:t>Following consumer education, the proportion of New South Wales consumers noticing energy information rose from 15% to 40%, falling to 36% six-months after education first launched.</w:t>
            </w:r>
          </w:p>
          <w:p w14:paraId="512DF263" w14:textId="77777777" w:rsidR="00DE628A" w:rsidRPr="00E30A5F" w:rsidRDefault="00DE628A" w:rsidP="0055688D">
            <w:pPr>
              <w:pStyle w:val="ListParagraph"/>
              <w:numPr>
                <w:ilvl w:val="0"/>
                <w:numId w:val="15"/>
              </w:numPr>
              <w:spacing w:after="40"/>
              <w:cnfStyle w:val="000000000000" w:firstRow="0" w:lastRow="0" w:firstColumn="0" w:lastColumn="0" w:oddVBand="0" w:evenVBand="0" w:oddHBand="0" w:evenHBand="0" w:firstRowFirstColumn="0" w:firstRowLastColumn="0" w:lastRowFirstColumn="0" w:lastRowLastColumn="0"/>
              <w:rPr>
                <w:sz w:val="20"/>
                <w:szCs w:val="20"/>
              </w:rPr>
            </w:pPr>
            <w:r w:rsidRPr="00E30A5F">
              <w:rPr>
                <w:sz w:val="20"/>
                <w:szCs w:val="20"/>
              </w:rPr>
              <w:t>A comparison of sales receipts found a 15% (519kJ) reduction in median kilojoules purchased 12 months after legislation was introduced in New South Wales.</w:t>
            </w:r>
          </w:p>
        </w:tc>
      </w:tr>
      <w:tr w:rsidR="00DE628A" w:rsidRPr="00E30A5F" w14:paraId="2727CE8E" w14:textId="77777777" w:rsidTr="005C2A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48D9EF86" w14:textId="77777777" w:rsidR="00DE628A" w:rsidRPr="00E30A5F" w:rsidRDefault="00DE628A" w:rsidP="005C2A0C">
            <w:pPr>
              <w:spacing w:after="40"/>
              <w:rPr>
                <w:sz w:val="20"/>
                <w:szCs w:val="20"/>
              </w:rPr>
            </w:pPr>
            <w:r w:rsidRPr="00E30A5F">
              <w:rPr>
                <w:b w:val="0"/>
                <w:bCs w:val="0"/>
                <w:caps w:val="0"/>
                <w:sz w:val="20"/>
                <w:szCs w:val="20"/>
              </w:rPr>
              <w:t>Cost-effectiveness analysis / modelling</w:t>
            </w:r>
            <w:r w:rsidRPr="00E30A5F">
              <w:rPr>
                <w:rStyle w:val="FootnoteReference"/>
                <w:b w:val="0"/>
                <w:bCs w:val="0"/>
                <w:sz w:val="20"/>
                <w:szCs w:val="20"/>
              </w:rPr>
              <w:footnoteReference w:id="137"/>
            </w:r>
          </w:p>
        </w:tc>
        <w:tc>
          <w:tcPr>
            <w:tcW w:w="5935" w:type="dxa"/>
          </w:tcPr>
          <w:p w14:paraId="6BC6B707" w14:textId="77777777" w:rsidR="00DE628A" w:rsidRPr="00E30A5F" w:rsidRDefault="00DE628A" w:rsidP="0055688D">
            <w:pPr>
              <w:pStyle w:val="ListParagraph"/>
              <w:numPr>
                <w:ilvl w:val="0"/>
                <w:numId w:val="15"/>
              </w:numPr>
              <w:spacing w:after="40"/>
              <w:cnfStyle w:val="000000100000" w:firstRow="0" w:lastRow="0" w:firstColumn="0" w:lastColumn="0" w:oddVBand="0" w:evenVBand="0" w:oddHBand="1" w:evenHBand="0" w:firstRowFirstColumn="0" w:firstRowLastColumn="0" w:lastRowFirstColumn="0" w:lastRowLastColumn="0"/>
              <w:rPr>
                <w:sz w:val="20"/>
                <w:szCs w:val="20"/>
              </w:rPr>
            </w:pPr>
            <w:r w:rsidRPr="00E30A5F">
              <w:rPr>
                <w:sz w:val="20"/>
                <w:szCs w:val="20"/>
              </w:rPr>
              <w:t>A possible $672 million (AUD) national saving of healthcare costs over the population’s lifetime in Australia. This based on modelling which looked at the impact of introducing mandatory menu labelling across Australia.</w:t>
            </w:r>
          </w:p>
          <w:p w14:paraId="41686F18" w14:textId="77777777" w:rsidR="00DE628A" w:rsidRPr="00E30A5F" w:rsidRDefault="00DE628A" w:rsidP="0055688D">
            <w:pPr>
              <w:pStyle w:val="ListParagraph"/>
              <w:numPr>
                <w:ilvl w:val="0"/>
                <w:numId w:val="15"/>
              </w:numPr>
              <w:spacing w:after="40"/>
              <w:cnfStyle w:val="000000100000" w:firstRow="0" w:lastRow="0" w:firstColumn="0" w:lastColumn="0" w:oddVBand="0" w:evenVBand="0" w:oddHBand="1" w:evenHBand="0" w:firstRowFirstColumn="0" w:firstRowLastColumn="0" w:lastRowFirstColumn="0" w:lastRowLastColumn="0"/>
              <w:rPr>
                <w:sz w:val="20"/>
                <w:szCs w:val="20"/>
              </w:rPr>
            </w:pPr>
            <w:r w:rsidRPr="00E30A5F">
              <w:rPr>
                <w:sz w:val="20"/>
                <w:szCs w:val="20"/>
              </w:rPr>
              <w:t>The New South Wales evaluation found that menu labelling can lead to an average reduction of daily energy intake from fast food of approximately 25kJ.</w:t>
            </w:r>
          </w:p>
          <w:p w14:paraId="5E7AC6C1" w14:textId="77777777" w:rsidR="00DE628A" w:rsidRPr="00E30A5F" w:rsidRDefault="00DE628A" w:rsidP="0055688D">
            <w:pPr>
              <w:pStyle w:val="ListParagraph"/>
              <w:numPr>
                <w:ilvl w:val="0"/>
                <w:numId w:val="15"/>
              </w:numPr>
              <w:spacing w:after="40"/>
              <w:cnfStyle w:val="000000100000" w:firstRow="0" w:lastRow="0" w:firstColumn="0" w:lastColumn="0" w:oddVBand="0" w:evenVBand="0" w:oddHBand="1" w:evenHBand="0" w:firstRowFirstColumn="0" w:firstRowLastColumn="0" w:lastRowFirstColumn="0" w:lastRowLastColumn="0"/>
              <w:rPr>
                <w:sz w:val="20"/>
                <w:szCs w:val="20"/>
              </w:rPr>
            </w:pPr>
            <w:r w:rsidRPr="00E30A5F">
              <w:rPr>
                <w:sz w:val="20"/>
                <w:szCs w:val="20"/>
              </w:rPr>
              <w:t xml:space="preserve">The modelling found that this 25kJ reduction in energy intake, although small, would result in an average body weight decrease of 0.2kg across the Australian adult population. It was further estimated that over 63,000 health-adjusted life years would be gained. </w:t>
            </w:r>
          </w:p>
        </w:tc>
      </w:tr>
    </w:tbl>
    <w:p w14:paraId="3D2BDB67" w14:textId="68A3CA19" w:rsidR="00DE628A" w:rsidRDefault="00DE628A" w:rsidP="00DE628A">
      <w:pPr>
        <w:rPr>
          <w:sz w:val="20"/>
          <w:szCs w:val="20"/>
        </w:rPr>
      </w:pPr>
    </w:p>
    <w:p w14:paraId="6E8D2015" w14:textId="77777777" w:rsidR="00C91F0D" w:rsidRDefault="00C91F0D" w:rsidP="00DE628A">
      <w:pPr>
        <w:rPr>
          <w:sz w:val="20"/>
          <w:szCs w:val="20"/>
        </w:rPr>
      </w:pPr>
    </w:p>
    <w:tbl>
      <w:tblPr>
        <w:tblStyle w:val="PlainTable3"/>
        <w:tblW w:w="0" w:type="auto"/>
        <w:tblLook w:val="04A0" w:firstRow="1" w:lastRow="0" w:firstColumn="1" w:lastColumn="0" w:noHBand="0" w:noVBand="1"/>
      </w:tblPr>
      <w:tblGrid>
        <w:gridCol w:w="3119"/>
        <w:gridCol w:w="5935"/>
      </w:tblGrid>
      <w:tr w:rsidR="007D6758" w:rsidRPr="00E30A5F" w14:paraId="01E9B9D2" w14:textId="77777777" w:rsidTr="00D65EFE">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3119" w:type="dxa"/>
          </w:tcPr>
          <w:p w14:paraId="07D2247B" w14:textId="77777777" w:rsidR="007D6758" w:rsidRPr="00E30A5F" w:rsidRDefault="007D6758" w:rsidP="00D65EFE">
            <w:pPr>
              <w:rPr>
                <w:sz w:val="20"/>
                <w:szCs w:val="20"/>
              </w:rPr>
            </w:pPr>
            <w:r w:rsidRPr="00E30A5F">
              <w:rPr>
                <w:caps w:val="0"/>
                <w:sz w:val="20"/>
                <w:szCs w:val="20"/>
              </w:rPr>
              <w:t xml:space="preserve">Data Collection in </w:t>
            </w:r>
          </w:p>
          <w:p w14:paraId="23CE34F6" w14:textId="77777777" w:rsidR="007D6758" w:rsidRPr="00E30A5F" w:rsidRDefault="007D6758" w:rsidP="00D65EFE">
            <w:pPr>
              <w:spacing w:after="40"/>
              <w:rPr>
                <w:sz w:val="20"/>
                <w:szCs w:val="20"/>
              </w:rPr>
            </w:pPr>
            <w:r w:rsidRPr="00E30A5F">
              <w:rPr>
                <w:caps w:val="0"/>
                <w:sz w:val="20"/>
                <w:szCs w:val="20"/>
              </w:rPr>
              <w:t>Queensland</w:t>
            </w:r>
            <w:r w:rsidRPr="00E30A5F">
              <w:rPr>
                <w:rStyle w:val="FootnoteReference"/>
                <w:sz w:val="20"/>
                <w:szCs w:val="20"/>
              </w:rPr>
              <w:footnoteReference w:id="138"/>
            </w:r>
          </w:p>
        </w:tc>
        <w:tc>
          <w:tcPr>
            <w:tcW w:w="5935" w:type="dxa"/>
          </w:tcPr>
          <w:p w14:paraId="38D296A3" w14:textId="77777777" w:rsidR="007D6758" w:rsidRPr="00E30A5F" w:rsidRDefault="007D6758" w:rsidP="00D65EFE">
            <w:pPr>
              <w:spacing w:after="40"/>
              <w:cnfStyle w:val="100000000000" w:firstRow="1" w:lastRow="0" w:firstColumn="0" w:lastColumn="0" w:oddVBand="0" w:evenVBand="0" w:oddHBand="0" w:evenHBand="0" w:firstRowFirstColumn="0" w:firstRowLastColumn="0" w:lastRowFirstColumn="0" w:lastRowLastColumn="0"/>
              <w:rPr>
                <w:sz w:val="20"/>
                <w:szCs w:val="20"/>
              </w:rPr>
            </w:pPr>
            <w:r w:rsidRPr="00E30A5F">
              <w:rPr>
                <w:caps w:val="0"/>
                <w:sz w:val="20"/>
                <w:szCs w:val="20"/>
              </w:rPr>
              <w:t>Results</w:t>
            </w:r>
          </w:p>
        </w:tc>
      </w:tr>
      <w:tr w:rsidR="007D6758" w:rsidRPr="00E30A5F" w14:paraId="25841D77" w14:textId="77777777" w:rsidTr="00D65E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7E8A4F27" w14:textId="77777777" w:rsidR="007D6758" w:rsidRPr="00E30A5F" w:rsidRDefault="007D6758" w:rsidP="00D65EFE">
            <w:pPr>
              <w:spacing w:after="40"/>
              <w:rPr>
                <w:b w:val="0"/>
                <w:bCs w:val="0"/>
                <w:sz w:val="20"/>
                <w:szCs w:val="20"/>
              </w:rPr>
            </w:pPr>
            <w:r w:rsidRPr="00E30A5F">
              <w:rPr>
                <w:b w:val="0"/>
                <w:bCs w:val="0"/>
                <w:caps w:val="0"/>
                <w:sz w:val="20"/>
                <w:szCs w:val="20"/>
              </w:rPr>
              <w:t>Online survey of 750 people in June 2018</w:t>
            </w:r>
          </w:p>
        </w:tc>
        <w:tc>
          <w:tcPr>
            <w:tcW w:w="5935" w:type="dxa"/>
          </w:tcPr>
          <w:p w14:paraId="1B0B8F45" w14:textId="77777777" w:rsidR="007D6758" w:rsidRPr="00E30A5F" w:rsidRDefault="007D6758" w:rsidP="00D65EFE">
            <w:pPr>
              <w:pStyle w:val="ListParagraph"/>
              <w:numPr>
                <w:ilvl w:val="0"/>
                <w:numId w:val="15"/>
              </w:numPr>
              <w:spacing w:after="40"/>
              <w:cnfStyle w:val="000000100000" w:firstRow="0" w:lastRow="0" w:firstColumn="0" w:lastColumn="0" w:oddVBand="0" w:evenVBand="0" w:oddHBand="1" w:evenHBand="0" w:firstRowFirstColumn="0" w:firstRowLastColumn="0" w:lastRowFirstColumn="0" w:lastRowLastColumn="0"/>
              <w:rPr>
                <w:sz w:val="20"/>
                <w:szCs w:val="20"/>
              </w:rPr>
            </w:pPr>
            <w:r w:rsidRPr="00E30A5F">
              <w:rPr>
                <w:sz w:val="20"/>
                <w:szCs w:val="20"/>
              </w:rPr>
              <w:t>More than a year after the end of an education campaign, half of Queenslanders knew that kilojoules measured energy, yet less than 10% knew that the average adult intake is 8700kJ.</w:t>
            </w:r>
          </w:p>
        </w:tc>
      </w:tr>
      <w:tr w:rsidR="007D6758" w:rsidRPr="00E30A5F" w14:paraId="206518D6" w14:textId="77777777" w:rsidTr="00D65EFE">
        <w:tc>
          <w:tcPr>
            <w:cnfStyle w:val="001000000000" w:firstRow="0" w:lastRow="0" w:firstColumn="1" w:lastColumn="0" w:oddVBand="0" w:evenVBand="0" w:oddHBand="0" w:evenHBand="0" w:firstRowFirstColumn="0" w:firstRowLastColumn="0" w:lastRowFirstColumn="0" w:lastRowLastColumn="0"/>
            <w:tcW w:w="3119" w:type="dxa"/>
          </w:tcPr>
          <w:p w14:paraId="586B1813" w14:textId="77777777" w:rsidR="007D6758" w:rsidRPr="00E30A5F" w:rsidRDefault="007D6758" w:rsidP="00D65EFE">
            <w:pPr>
              <w:spacing w:after="40"/>
              <w:rPr>
                <w:b w:val="0"/>
                <w:bCs w:val="0"/>
                <w:sz w:val="20"/>
                <w:szCs w:val="20"/>
              </w:rPr>
            </w:pPr>
            <w:r w:rsidRPr="00E30A5F">
              <w:rPr>
                <w:b w:val="0"/>
                <w:bCs w:val="0"/>
                <w:caps w:val="0"/>
                <w:sz w:val="20"/>
                <w:szCs w:val="20"/>
              </w:rPr>
              <w:t>Customer-intercept survey of 787 people in June 2018, immediately following a food or drink purchase from one of 11 different chains.</w:t>
            </w:r>
          </w:p>
        </w:tc>
        <w:tc>
          <w:tcPr>
            <w:tcW w:w="5935" w:type="dxa"/>
          </w:tcPr>
          <w:p w14:paraId="1F87736F" w14:textId="77777777" w:rsidR="007D6758" w:rsidRPr="00E30A5F" w:rsidRDefault="007D6758" w:rsidP="00D65EFE">
            <w:pPr>
              <w:pStyle w:val="ListParagraph"/>
              <w:numPr>
                <w:ilvl w:val="0"/>
                <w:numId w:val="15"/>
              </w:numPr>
              <w:spacing w:after="40"/>
              <w:cnfStyle w:val="000000000000" w:firstRow="0" w:lastRow="0" w:firstColumn="0" w:lastColumn="0" w:oddVBand="0" w:evenVBand="0" w:oddHBand="0" w:evenHBand="0" w:firstRowFirstColumn="0" w:firstRowLastColumn="0" w:lastRowFirstColumn="0" w:lastRowLastColumn="0"/>
              <w:rPr>
                <w:sz w:val="20"/>
                <w:szCs w:val="20"/>
              </w:rPr>
            </w:pPr>
            <w:r w:rsidRPr="00E30A5F">
              <w:rPr>
                <w:sz w:val="20"/>
                <w:szCs w:val="20"/>
              </w:rPr>
              <w:t>Six in ten Queensland consumers believed having energy information displayed gave them confidence to make a healthy choice.</w:t>
            </w:r>
          </w:p>
          <w:p w14:paraId="2A643DB2" w14:textId="77777777" w:rsidR="007D6758" w:rsidRPr="00E30A5F" w:rsidRDefault="007D6758" w:rsidP="00D65EFE">
            <w:pPr>
              <w:pStyle w:val="ListParagraph"/>
              <w:numPr>
                <w:ilvl w:val="0"/>
                <w:numId w:val="15"/>
              </w:numPr>
              <w:spacing w:after="40"/>
              <w:cnfStyle w:val="000000000000" w:firstRow="0" w:lastRow="0" w:firstColumn="0" w:lastColumn="0" w:oddVBand="0" w:evenVBand="0" w:oddHBand="0" w:evenHBand="0" w:firstRowFirstColumn="0" w:firstRowLastColumn="0" w:lastRowFirstColumn="0" w:lastRowLastColumn="0"/>
              <w:rPr>
                <w:sz w:val="20"/>
                <w:szCs w:val="20"/>
              </w:rPr>
            </w:pPr>
            <w:r w:rsidRPr="00E30A5F">
              <w:rPr>
                <w:sz w:val="20"/>
                <w:szCs w:val="20"/>
              </w:rPr>
              <w:t>Most (79%) consumers would not change the frequency of visiting a fast food outlet because of knowing the kilojoule content of menu items.</w:t>
            </w:r>
          </w:p>
          <w:p w14:paraId="629F9D5E" w14:textId="77777777" w:rsidR="007D6758" w:rsidRPr="00E30A5F" w:rsidRDefault="007D6758" w:rsidP="00D65EFE">
            <w:pPr>
              <w:pStyle w:val="ListParagraph"/>
              <w:numPr>
                <w:ilvl w:val="0"/>
                <w:numId w:val="15"/>
              </w:numPr>
              <w:spacing w:after="40"/>
              <w:cnfStyle w:val="000000000000" w:firstRow="0" w:lastRow="0" w:firstColumn="0" w:lastColumn="0" w:oddVBand="0" w:evenVBand="0" w:oddHBand="0" w:evenHBand="0" w:firstRowFirstColumn="0" w:firstRowLastColumn="0" w:lastRowFirstColumn="0" w:lastRowLastColumn="0"/>
              <w:rPr>
                <w:sz w:val="20"/>
                <w:szCs w:val="20"/>
              </w:rPr>
            </w:pPr>
            <w:r w:rsidRPr="00E30A5F">
              <w:rPr>
                <w:sz w:val="20"/>
                <w:szCs w:val="20"/>
              </w:rPr>
              <w:t>Only 6% of consumers considered that energy information influenced their purchase, with most of these consumers swapping to a healthier alternative or reducing the serving size purchased.</w:t>
            </w:r>
          </w:p>
        </w:tc>
      </w:tr>
    </w:tbl>
    <w:p w14:paraId="0EFD098C" w14:textId="1C63F8BC" w:rsidR="007D6758" w:rsidRDefault="007D6758" w:rsidP="00DE628A">
      <w:pPr>
        <w:rPr>
          <w:sz w:val="20"/>
          <w:szCs w:val="20"/>
        </w:rPr>
      </w:pPr>
    </w:p>
    <w:p w14:paraId="4249F29A" w14:textId="29ECE187" w:rsidR="007D6758" w:rsidRDefault="007D6758" w:rsidP="00DE628A">
      <w:pPr>
        <w:rPr>
          <w:sz w:val="20"/>
          <w:szCs w:val="20"/>
        </w:rPr>
      </w:pPr>
    </w:p>
    <w:p w14:paraId="7F94BAE0" w14:textId="77777777" w:rsidR="007D6758" w:rsidRDefault="007D6758" w:rsidP="00DE628A">
      <w:pPr>
        <w:rPr>
          <w:sz w:val="20"/>
          <w:szCs w:val="20"/>
        </w:rPr>
      </w:pPr>
    </w:p>
    <w:tbl>
      <w:tblPr>
        <w:tblStyle w:val="PlainTable3"/>
        <w:tblW w:w="0" w:type="auto"/>
        <w:tblLook w:val="04A0" w:firstRow="1" w:lastRow="0" w:firstColumn="1" w:lastColumn="0" w:noHBand="0" w:noVBand="1"/>
        <w:tblCaption w:val="Evaluation of menu labelling in Australian Capital Territory"/>
        <w:tblDescription w:val="2 columns. 1. Data collection in Australian Capital Territory. 2. Results. 4 rows. 1. Heading. 2. Describes customer-intercept survey. 3. Describes focus groups. 4. Describes interviews with  businesses."/>
      </w:tblPr>
      <w:tblGrid>
        <w:gridCol w:w="3119"/>
        <w:gridCol w:w="5935"/>
      </w:tblGrid>
      <w:tr w:rsidR="00DE628A" w:rsidRPr="00E30A5F" w14:paraId="6EEB85D4" w14:textId="77777777" w:rsidTr="005C2A0C">
        <w:trPr>
          <w:cnfStyle w:val="100000000000" w:firstRow="1" w:lastRow="0" w:firstColumn="0" w:lastColumn="0" w:oddVBand="0" w:evenVBand="0" w:oddHBand="0" w:evenHBand="0" w:firstRowFirstColumn="0" w:firstRowLastColumn="0" w:lastRowFirstColumn="0" w:lastRowLastColumn="0"/>
          <w:cantSplit/>
          <w:trHeight w:val="407"/>
          <w:tblHeader/>
        </w:trPr>
        <w:tc>
          <w:tcPr>
            <w:cnfStyle w:val="001000000100" w:firstRow="0" w:lastRow="0" w:firstColumn="1" w:lastColumn="0" w:oddVBand="0" w:evenVBand="0" w:oddHBand="0" w:evenHBand="0" w:firstRowFirstColumn="1" w:firstRowLastColumn="0" w:lastRowFirstColumn="0" w:lastRowLastColumn="0"/>
            <w:tcW w:w="3119" w:type="dxa"/>
          </w:tcPr>
          <w:p w14:paraId="568CD2A3" w14:textId="77777777" w:rsidR="00DE628A" w:rsidRPr="00E30A5F" w:rsidRDefault="00DE628A" w:rsidP="005C2A0C">
            <w:pPr>
              <w:rPr>
                <w:sz w:val="20"/>
                <w:szCs w:val="20"/>
              </w:rPr>
            </w:pPr>
            <w:r w:rsidRPr="00E30A5F">
              <w:rPr>
                <w:caps w:val="0"/>
                <w:sz w:val="20"/>
                <w:szCs w:val="20"/>
              </w:rPr>
              <w:lastRenderedPageBreak/>
              <w:t xml:space="preserve">Data Collection in </w:t>
            </w:r>
          </w:p>
          <w:p w14:paraId="73799758" w14:textId="77777777" w:rsidR="00DE628A" w:rsidRPr="00E30A5F" w:rsidRDefault="00DE628A" w:rsidP="005C2A0C">
            <w:pPr>
              <w:spacing w:after="40"/>
              <w:rPr>
                <w:sz w:val="20"/>
                <w:szCs w:val="20"/>
              </w:rPr>
            </w:pPr>
            <w:r w:rsidRPr="00E30A5F">
              <w:rPr>
                <w:caps w:val="0"/>
                <w:sz w:val="20"/>
                <w:szCs w:val="20"/>
              </w:rPr>
              <w:t>Australian Capital Territory</w:t>
            </w:r>
            <w:r w:rsidRPr="00E30A5F">
              <w:rPr>
                <w:rStyle w:val="FootnoteReference"/>
                <w:sz w:val="20"/>
                <w:szCs w:val="20"/>
              </w:rPr>
              <w:footnoteReference w:id="139"/>
            </w:r>
          </w:p>
        </w:tc>
        <w:tc>
          <w:tcPr>
            <w:tcW w:w="5935" w:type="dxa"/>
          </w:tcPr>
          <w:p w14:paraId="1AB00CE6" w14:textId="77777777" w:rsidR="00DE628A" w:rsidRPr="00E30A5F" w:rsidRDefault="00DE628A" w:rsidP="005C2A0C">
            <w:pPr>
              <w:spacing w:after="40"/>
              <w:cnfStyle w:val="100000000000" w:firstRow="1" w:lastRow="0" w:firstColumn="0" w:lastColumn="0" w:oddVBand="0" w:evenVBand="0" w:oddHBand="0" w:evenHBand="0" w:firstRowFirstColumn="0" w:firstRowLastColumn="0" w:lastRowFirstColumn="0" w:lastRowLastColumn="0"/>
              <w:rPr>
                <w:sz w:val="20"/>
                <w:szCs w:val="20"/>
              </w:rPr>
            </w:pPr>
            <w:r w:rsidRPr="00E30A5F">
              <w:rPr>
                <w:caps w:val="0"/>
                <w:sz w:val="20"/>
                <w:szCs w:val="20"/>
              </w:rPr>
              <w:t>Results</w:t>
            </w:r>
          </w:p>
        </w:tc>
      </w:tr>
      <w:tr w:rsidR="00DE628A" w:rsidRPr="00E30A5F" w14:paraId="54364963" w14:textId="77777777" w:rsidTr="005C2A0C">
        <w:trPr>
          <w:cnfStyle w:val="000000100000" w:firstRow="0" w:lastRow="0" w:firstColumn="0" w:lastColumn="0" w:oddVBand="0" w:evenVBand="0" w:oddHBand="1" w:evenHBand="0" w:firstRowFirstColumn="0" w:firstRowLastColumn="0" w:lastRowFirstColumn="0" w:lastRowLastColumn="0"/>
          <w:trHeight w:val="1635"/>
        </w:trPr>
        <w:tc>
          <w:tcPr>
            <w:cnfStyle w:val="001000000000" w:firstRow="0" w:lastRow="0" w:firstColumn="1" w:lastColumn="0" w:oddVBand="0" w:evenVBand="0" w:oddHBand="0" w:evenHBand="0" w:firstRowFirstColumn="0" w:firstRowLastColumn="0" w:lastRowFirstColumn="0" w:lastRowLastColumn="0"/>
            <w:tcW w:w="3119" w:type="dxa"/>
          </w:tcPr>
          <w:p w14:paraId="5C7A11A5" w14:textId="77777777" w:rsidR="00DE628A" w:rsidRPr="00010088" w:rsidRDefault="00DE628A" w:rsidP="005C2A0C">
            <w:pPr>
              <w:spacing w:after="40"/>
              <w:rPr>
                <w:b w:val="0"/>
                <w:bCs w:val="0"/>
                <w:sz w:val="20"/>
                <w:szCs w:val="20"/>
              </w:rPr>
            </w:pPr>
            <w:r w:rsidRPr="00010088">
              <w:rPr>
                <w:b w:val="0"/>
                <w:bCs w:val="0"/>
                <w:caps w:val="0"/>
                <w:sz w:val="20"/>
                <w:szCs w:val="20"/>
              </w:rPr>
              <w:t>Customer-intercept survey of 288 people in November to December 2016, following a food or drink purchase from one of three food courts</w:t>
            </w:r>
          </w:p>
        </w:tc>
        <w:tc>
          <w:tcPr>
            <w:tcW w:w="5935" w:type="dxa"/>
          </w:tcPr>
          <w:p w14:paraId="5203DC0E" w14:textId="77777777" w:rsidR="00DE628A" w:rsidRPr="00E30A5F" w:rsidRDefault="00DE628A" w:rsidP="0055688D">
            <w:pPr>
              <w:pStyle w:val="ListParagraph"/>
              <w:numPr>
                <w:ilvl w:val="0"/>
                <w:numId w:val="15"/>
              </w:numPr>
              <w:spacing w:after="40"/>
              <w:cnfStyle w:val="000000100000" w:firstRow="0" w:lastRow="0" w:firstColumn="0" w:lastColumn="0" w:oddVBand="0" w:evenVBand="0" w:oddHBand="1" w:evenHBand="0" w:firstRowFirstColumn="0" w:firstRowLastColumn="0" w:lastRowFirstColumn="0" w:lastRowLastColumn="0"/>
              <w:rPr>
                <w:sz w:val="20"/>
                <w:szCs w:val="20"/>
              </w:rPr>
            </w:pPr>
            <w:r w:rsidRPr="00E30A5F">
              <w:rPr>
                <w:sz w:val="20"/>
                <w:szCs w:val="20"/>
              </w:rPr>
              <w:t>Without consumer education, more than a third of consumers did not understand kilojoules or calories; and 27% knew the average adult intake is 8700kJ, yet many found it difficult to interpret.</w:t>
            </w:r>
          </w:p>
          <w:p w14:paraId="791DDB40" w14:textId="77777777" w:rsidR="00DE628A" w:rsidRPr="00E30A5F" w:rsidRDefault="00DE628A" w:rsidP="0055688D">
            <w:pPr>
              <w:pStyle w:val="ListParagraph"/>
              <w:numPr>
                <w:ilvl w:val="0"/>
                <w:numId w:val="15"/>
              </w:numPr>
              <w:spacing w:after="40"/>
              <w:cnfStyle w:val="000000100000" w:firstRow="0" w:lastRow="0" w:firstColumn="0" w:lastColumn="0" w:oddVBand="0" w:evenVBand="0" w:oddHBand="1" w:evenHBand="0" w:firstRowFirstColumn="0" w:firstRowLastColumn="0" w:lastRowFirstColumn="0" w:lastRowLastColumn="0"/>
              <w:rPr>
                <w:sz w:val="20"/>
                <w:szCs w:val="20"/>
              </w:rPr>
            </w:pPr>
            <w:r w:rsidRPr="00E30A5F">
              <w:rPr>
                <w:sz w:val="20"/>
                <w:szCs w:val="20"/>
              </w:rPr>
              <w:t xml:space="preserve">Three in ten consumers noticed the energy information, and half went on to read the information. </w:t>
            </w:r>
          </w:p>
          <w:p w14:paraId="0971221C" w14:textId="77777777" w:rsidR="00DE628A" w:rsidRPr="00E30A5F" w:rsidRDefault="00DE628A" w:rsidP="0055688D">
            <w:pPr>
              <w:pStyle w:val="ListParagraph"/>
              <w:numPr>
                <w:ilvl w:val="0"/>
                <w:numId w:val="15"/>
              </w:numPr>
              <w:spacing w:after="40"/>
              <w:cnfStyle w:val="000000100000" w:firstRow="0" w:lastRow="0" w:firstColumn="0" w:lastColumn="0" w:oddVBand="0" w:evenVBand="0" w:oddHBand="1" w:evenHBand="0" w:firstRowFirstColumn="0" w:firstRowLastColumn="0" w:lastRowFirstColumn="0" w:lastRowLastColumn="0"/>
              <w:rPr>
                <w:sz w:val="20"/>
                <w:szCs w:val="20"/>
              </w:rPr>
            </w:pPr>
            <w:r w:rsidRPr="00E30A5F">
              <w:rPr>
                <w:sz w:val="20"/>
                <w:szCs w:val="20"/>
              </w:rPr>
              <w:t>15% of consumers were influenced a little or a lot by menu labelling.</w:t>
            </w:r>
          </w:p>
        </w:tc>
      </w:tr>
      <w:tr w:rsidR="00DE628A" w:rsidRPr="00E30A5F" w14:paraId="5714C385" w14:textId="77777777" w:rsidTr="005C2A0C">
        <w:tc>
          <w:tcPr>
            <w:cnfStyle w:val="001000000000" w:firstRow="0" w:lastRow="0" w:firstColumn="1" w:lastColumn="0" w:oddVBand="0" w:evenVBand="0" w:oddHBand="0" w:evenHBand="0" w:firstRowFirstColumn="0" w:firstRowLastColumn="0" w:lastRowFirstColumn="0" w:lastRowLastColumn="0"/>
            <w:tcW w:w="3119" w:type="dxa"/>
          </w:tcPr>
          <w:p w14:paraId="41AA442A" w14:textId="77777777" w:rsidR="00DE628A" w:rsidRPr="00010088" w:rsidRDefault="00DE628A" w:rsidP="005C2A0C">
            <w:pPr>
              <w:spacing w:after="40"/>
              <w:rPr>
                <w:b w:val="0"/>
                <w:bCs w:val="0"/>
                <w:sz w:val="20"/>
                <w:szCs w:val="20"/>
              </w:rPr>
            </w:pPr>
            <w:r w:rsidRPr="00010088">
              <w:rPr>
                <w:b w:val="0"/>
                <w:bCs w:val="0"/>
                <w:caps w:val="0"/>
                <w:sz w:val="20"/>
                <w:szCs w:val="20"/>
              </w:rPr>
              <w:t>Focus groups with 35 consumers</w:t>
            </w:r>
          </w:p>
        </w:tc>
        <w:tc>
          <w:tcPr>
            <w:tcW w:w="5935" w:type="dxa"/>
          </w:tcPr>
          <w:p w14:paraId="3C05D9FF" w14:textId="4C783588" w:rsidR="00DE628A" w:rsidRPr="00E30A5F" w:rsidRDefault="00DE628A" w:rsidP="0055688D">
            <w:pPr>
              <w:pStyle w:val="ListParagraph"/>
              <w:numPr>
                <w:ilvl w:val="0"/>
                <w:numId w:val="15"/>
              </w:numPr>
              <w:spacing w:after="40"/>
              <w:cnfStyle w:val="000000000000" w:firstRow="0" w:lastRow="0" w:firstColumn="0" w:lastColumn="0" w:oddVBand="0" w:evenVBand="0" w:oddHBand="0" w:evenHBand="0" w:firstRowFirstColumn="0" w:firstRowLastColumn="0" w:lastRowFirstColumn="0" w:lastRowLastColumn="0"/>
              <w:rPr>
                <w:sz w:val="20"/>
                <w:szCs w:val="20"/>
              </w:rPr>
            </w:pPr>
            <w:r w:rsidRPr="00E30A5F">
              <w:rPr>
                <w:sz w:val="20"/>
                <w:szCs w:val="20"/>
              </w:rPr>
              <w:t xml:space="preserve">For some consumers, the existence of the two measures of energy is confusing. Fat, </w:t>
            </w:r>
            <w:r w:rsidR="00FC3FB0" w:rsidRPr="00E30A5F">
              <w:rPr>
                <w:sz w:val="20"/>
                <w:szCs w:val="20"/>
              </w:rPr>
              <w:t>sugar,</w:t>
            </w:r>
            <w:r w:rsidRPr="00E30A5F">
              <w:rPr>
                <w:sz w:val="20"/>
                <w:szCs w:val="20"/>
              </w:rPr>
              <w:t xml:space="preserve"> and salt were identified as alternative measures of nutritional quality.</w:t>
            </w:r>
          </w:p>
          <w:p w14:paraId="4788E434" w14:textId="77777777" w:rsidR="00DE628A" w:rsidRPr="00E30A5F" w:rsidRDefault="00DE628A" w:rsidP="0055688D">
            <w:pPr>
              <w:pStyle w:val="ListParagraph"/>
              <w:numPr>
                <w:ilvl w:val="0"/>
                <w:numId w:val="15"/>
              </w:numPr>
              <w:spacing w:after="40"/>
              <w:cnfStyle w:val="000000000000" w:firstRow="0" w:lastRow="0" w:firstColumn="0" w:lastColumn="0" w:oddVBand="0" w:evenVBand="0" w:oddHBand="0" w:evenHBand="0" w:firstRowFirstColumn="0" w:firstRowLastColumn="0" w:lastRowFirstColumn="0" w:lastRowLastColumn="0"/>
              <w:rPr>
                <w:sz w:val="20"/>
                <w:szCs w:val="20"/>
              </w:rPr>
            </w:pPr>
            <w:r w:rsidRPr="00E30A5F">
              <w:rPr>
                <w:sz w:val="20"/>
                <w:szCs w:val="20"/>
              </w:rPr>
              <w:t>Suggestions to extend laws to all food court outlets, clubs, pubs, online orders.</w:t>
            </w:r>
          </w:p>
          <w:p w14:paraId="69A76D30" w14:textId="77777777" w:rsidR="00DE628A" w:rsidRPr="00E30A5F" w:rsidRDefault="00DE628A" w:rsidP="0055688D">
            <w:pPr>
              <w:pStyle w:val="ListParagraph"/>
              <w:numPr>
                <w:ilvl w:val="0"/>
                <w:numId w:val="15"/>
              </w:numPr>
              <w:spacing w:after="40"/>
              <w:cnfStyle w:val="000000000000" w:firstRow="0" w:lastRow="0" w:firstColumn="0" w:lastColumn="0" w:oddVBand="0" w:evenVBand="0" w:oddHBand="0" w:evenHBand="0" w:firstRowFirstColumn="0" w:firstRowLastColumn="0" w:lastRowFirstColumn="0" w:lastRowLastColumn="0"/>
              <w:rPr>
                <w:sz w:val="20"/>
                <w:szCs w:val="20"/>
              </w:rPr>
            </w:pPr>
            <w:r w:rsidRPr="00E30A5F">
              <w:rPr>
                <w:sz w:val="20"/>
                <w:szCs w:val="20"/>
              </w:rPr>
              <w:t>The viability of small businesses should be considered.</w:t>
            </w:r>
          </w:p>
        </w:tc>
      </w:tr>
      <w:tr w:rsidR="00DE628A" w:rsidRPr="00E67A4C" w14:paraId="41F12AB9" w14:textId="77777777" w:rsidTr="005C2A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529DB389" w14:textId="77777777" w:rsidR="00DE628A" w:rsidRPr="00010088" w:rsidRDefault="00DE628A" w:rsidP="005C2A0C">
            <w:pPr>
              <w:spacing w:after="40"/>
              <w:rPr>
                <w:b w:val="0"/>
                <w:bCs w:val="0"/>
                <w:sz w:val="20"/>
                <w:szCs w:val="20"/>
              </w:rPr>
            </w:pPr>
            <w:r w:rsidRPr="00010088">
              <w:rPr>
                <w:b w:val="0"/>
                <w:bCs w:val="0"/>
                <w:caps w:val="0"/>
                <w:sz w:val="20"/>
                <w:szCs w:val="20"/>
              </w:rPr>
              <w:t>Interviews with 15 businesses</w:t>
            </w:r>
          </w:p>
        </w:tc>
        <w:tc>
          <w:tcPr>
            <w:tcW w:w="5935" w:type="dxa"/>
          </w:tcPr>
          <w:p w14:paraId="06FD7008" w14:textId="77777777" w:rsidR="00DE628A" w:rsidRPr="00E30A5F" w:rsidRDefault="00DE628A" w:rsidP="0055688D">
            <w:pPr>
              <w:pStyle w:val="ListParagraph"/>
              <w:numPr>
                <w:ilvl w:val="0"/>
                <w:numId w:val="15"/>
              </w:numPr>
              <w:spacing w:after="40"/>
              <w:cnfStyle w:val="000000100000" w:firstRow="0" w:lastRow="0" w:firstColumn="0" w:lastColumn="0" w:oddVBand="0" w:evenVBand="0" w:oddHBand="1" w:evenHBand="0" w:firstRowFirstColumn="0" w:firstRowLastColumn="0" w:lastRowFirstColumn="0" w:lastRowLastColumn="0"/>
              <w:rPr>
                <w:sz w:val="20"/>
                <w:szCs w:val="20"/>
              </w:rPr>
            </w:pPr>
            <w:r w:rsidRPr="00E30A5F">
              <w:rPr>
                <w:sz w:val="20"/>
                <w:szCs w:val="20"/>
              </w:rPr>
              <w:t>Reported there was no reduction in overall sales resulting from displaying kilojoules; and that menu labelling increased demand for lower kilojoule varieties of combination meals, side orders and drinks.</w:t>
            </w:r>
          </w:p>
          <w:p w14:paraId="43BF8D8A" w14:textId="77777777" w:rsidR="00DE628A" w:rsidRPr="00E30A5F" w:rsidRDefault="00DE628A" w:rsidP="0055688D">
            <w:pPr>
              <w:pStyle w:val="ListParagraph"/>
              <w:numPr>
                <w:ilvl w:val="0"/>
                <w:numId w:val="15"/>
              </w:numPr>
              <w:spacing w:after="40"/>
              <w:cnfStyle w:val="000000100000" w:firstRow="0" w:lastRow="0" w:firstColumn="0" w:lastColumn="0" w:oddVBand="0" w:evenVBand="0" w:oddHBand="1" w:evenHBand="0" w:firstRowFirstColumn="0" w:firstRowLastColumn="0" w:lastRowFirstColumn="0" w:lastRowLastColumn="0"/>
              <w:rPr>
                <w:sz w:val="20"/>
                <w:szCs w:val="20"/>
              </w:rPr>
            </w:pPr>
            <w:r w:rsidRPr="00E30A5F">
              <w:rPr>
                <w:sz w:val="20"/>
                <w:szCs w:val="20"/>
              </w:rPr>
              <w:t>Expressed strong support for a nationally consistent approach to any changes in the future, noting that differences in display requirements between states and territories had the potential to drive uncertainty, increase the cost of compliance for businesses that operate in more than one jurisdiction, and stifle investment in new technologies, such as digitised kilojoule displays.</w:t>
            </w:r>
          </w:p>
          <w:p w14:paraId="26A5CE89" w14:textId="77777777" w:rsidR="00DE628A" w:rsidRPr="00E30A5F" w:rsidRDefault="00DE628A" w:rsidP="0055688D">
            <w:pPr>
              <w:pStyle w:val="ListParagraph"/>
              <w:numPr>
                <w:ilvl w:val="0"/>
                <w:numId w:val="15"/>
              </w:numPr>
              <w:spacing w:after="40"/>
              <w:cnfStyle w:val="000000100000" w:firstRow="0" w:lastRow="0" w:firstColumn="0" w:lastColumn="0" w:oddVBand="0" w:evenVBand="0" w:oddHBand="1" w:evenHBand="0" w:firstRowFirstColumn="0" w:firstRowLastColumn="0" w:lastRowFirstColumn="0" w:lastRowLastColumn="0"/>
              <w:rPr>
                <w:sz w:val="20"/>
                <w:szCs w:val="20"/>
              </w:rPr>
            </w:pPr>
            <w:r w:rsidRPr="00E30A5F">
              <w:rPr>
                <w:sz w:val="20"/>
                <w:szCs w:val="20"/>
              </w:rPr>
              <w:t>Menu labelling and consumer demand for healthier options contributed to reformulation and changes to portion size.</w:t>
            </w:r>
          </w:p>
        </w:tc>
      </w:tr>
    </w:tbl>
    <w:p w14:paraId="550DC0AF" w14:textId="64D64EB7" w:rsidR="00DE628A" w:rsidRPr="007D6758" w:rsidRDefault="00DE628A" w:rsidP="00DE628A">
      <w:pPr>
        <w:rPr>
          <w:rStyle w:val="Heading1Char"/>
          <w:rFonts w:ascii="Times New Roman" w:hAnsi="Times New Roman" w:cs="Times New Roman"/>
          <w:b w:val="0"/>
          <w:bCs w:val="0"/>
          <w:szCs w:val="28"/>
        </w:rPr>
      </w:pPr>
    </w:p>
    <w:p w14:paraId="221A4503" w14:textId="77777777" w:rsidR="00D646C7" w:rsidRDefault="00D646C7" w:rsidP="00DE628A">
      <w:pPr>
        <w:spacing w:after="40"/>
        <w:jc w:val="both"/>
      </w:pPr>
    </w:p>
    <w:p w14:paraId="75BA6383" w14:textId="77777777" w:rsidR="00DE628A" w:rsidRDefault="00DE628A" w:rsidP="00DE628A">
      <w:pPr>
        <w:rPr>
          <w:rStyle w:val="Heading1Char"/>
          <w:rFonts w:ascii="Times New Roman" w:hAnsi="Times New Roman" w:cs="Times New Roman"/>
          <w:i/>
          <w:iCs/>
          <w:szCs w:val="28"/>
        </w:rPr>
      </w:pPr>
      <w:r>
        <w:rPr>
          <w:rStyle w:val="Heading1Char"/>
          <w:rFonts w:ascii="Times New Roman" w:hAnsi="Times New Roman" w:cs="Times New Roman"/>
          <w:b w:val="0"/>
          <w:bCs w:val="0"/>
          <w:szCs w:val="28"/>
        </w:rPr>
        <w:br w:type="page"/>
      </w:r>
    </w:p>
    <w:p w14:paraId="4CB999C8" w14:textId="79D94622" w:rsidR="00494275" w:rsidRPr="00E67A4C" w:rsidRDefault="00494275" w:rsidP="00F6154A">
      <w:pPr>
        <w:pStyle w:val="Heading2"/>
        <w:rPr>
          <w:rStyle w:val="Heading1Char"/>
          <w:rFonts w:ascii="Times New Roman" w:hAnsi="Times New Roman" w:cs="Times New Roman"/>
          <w:b/>
          <w:bCs/>
          <w:szCs w:val="28"/>
        </w:rPr>
      </w:pPr>
      <w:bookmarkStart w:id="98" w:name="_Toc91189679"/>
      <w:r w:rsidRPr="00E67A4C">
        <w:rPr>
          <w:rStyle w:val="Heading1Char"/>
          <w:rFonts w:ascii="Times New Roman" w:hAnsi="Times New Roman" w:cs="Times New Roman"/>
          <w:b/>
          <w:bCs/>
          <w:szCs w:val="28"/>
        </w:rPr>
        <w:lastRenderedPageBreak/>
        <w:t xml:space="preserve">Appendix </w:t>
      </w:r>
      <w:r w:rsidR="00531A99">
        <w:rPr>
          <w:rStyle w:val="Heading1Char"/>
          <w:rFonts w:ascii="Times New Roman" w:hAnsi="Times New Roman" w:cs="Times New Roman"/>
          <w:b/>
          <w:bCs/>
          <w:szCs w:val="28"/>
        </w:rPr>
        <w:t>3</w:t>
      </w:r>
      <w:r w:rsidRPr="00E67A4C">
        <w:rPr>
          <w:rStyle w:val="Heading1Char"/>
          <w:rFonts w:ascii="Times New Roman" w:hAnsi="Times New Roman" w:cs="Times New Roman"/>
          <w:b/>
          <w:bCs/>
          <w:szCs w:val="28"/>
        </w:rPr>
        <w:t xml:space="preserve">: </w:t>
      </w:r>
      <w:r>
        <w:rPr>
          <w:rStyle w:val="Heading1Char"/>
          <w:rFonts w:ascii="Times New Roman" w:hAnsi="Times New Roman" w:cs="Times New Roman"/>
          <w:b/>
          <w:bCs/>
          <w:szCs w:val="28"/>
        </w:rPr>
        <w:t xml:space="preserve">Example </w:t>
      </w:r>
      <w:r w:rsidR="008D0B51">
        <w:rPr>
          <w:rStyle w:val="Heading1Char"/>
          <w:rFonts w:ascii="Times New Roman" w:hAnsi="Times New Roman" w:cs="Times New Roman"/>
          <w:b/>
          <w:bCs/>
          <w:szCs w:val="28"/>
        </w:rPr>
        <w:t xml:space="preserve">national-level </w:t>
      </w:r>
      <w:r>
        <w:rPr>
          <w:rStyle w:val="Heading1Char"/>
          <w:rFonts w:ascii="Times New Roman" w:hAnsi="Times New Roman" w:cs="Times New Roman"/>
          <w:b/>
          <w:bCs/>
          <w:szCs w:val="28"/>
        </w:rPr>
        <w:t xml:space="preserve">actions already underway in Australia and New Zealand to support purchasing and consumption of healthier ready-to-eat food and drinks (including ‘restaurant/takeaway’ and pre-packaged </w:t>
      </w:r>
      <w:r w:rsidR="002F3211">
        <w:rPr>
          <w:rStyle w:val="Heading1Char"/>
          <w:rFonts w:ascii="Times New Roman" w:hAnsi="Times New Roman" w:cs="Times New Roman"/>
          <w:b/>
          <w:bCs/>
          <w:szCs w:val="28"/>
        </w:rPr>
        <w:t>items)</w:t>
      </w:r>
      <w:r w:rsidR="008C7592">
        <w:rPr>
          <w:rStyle w:val="Heading1Char"/>
          <w:rFonts w:ascii="Times New Roman" w:hAnsi="Times New Roman" w:cs="Times New Roman"/>
          <w:b/>
          <w:bCs/>
          <w:szCs w:val="28"/>
        </w:rPr>
        <w:t xml:space="preserve"> </w:t>
      </w:r>
      <w:r w:rsidR="00E07D6A" w:rsidRPr="008C7592">
        <w:rPr>
          <w:rStyle w:val="Heading1Char"/>
          <w:rFonts w:ascii="Times New Roman" w:hAnsi="Times New Roman" w:cs="Times New Roman"/>
          <w:b/>
          <w:bCs/>
          <w:szCs w:val="28"/>
        </w:rPr>
        <w:t>in retail and out-of-home settings</w:t>
      </w:r>
      <w:r w:rsidR="002F3211" w:rsidRPr="008C7592">
        <w:rPr>
          <w:rStyle w:val="FootnoteReference"/>
          <w:b w:val="0"/>
          <w:bCs w:val="0"/>
          <w:i w:val="0"/>
          <w:iCs w:val="0"/>
          <w:kern w:val="28"/>
          <w:sz w:val="24"/>
          <w:szCs w:val="24"/>
        </w:rPr>
        <w:footnoteReference w:id="140"/>
      </w:r>
      <w:bookmarkEnd w:id="98"/>
    </w:p>
    <w:p w14:paraId="074D62C7" w14:textId="77777777" w:rsidR="00494275" w:rsidRDefault="00494275" w:rsidP="00494275"/>
    <w:tbl>
      <w:tblPr>
        <w:tblStyle w:val="PlainTable3"/>
        <w:tblW w:w="0" w:type="auto"/>
        <w:tblLayout w:type="fixed"/>
        <w:tblLook w:val="04A0" w:firstRow="1" w:lastRow="0" w:firstColumn="1" w:lastColumn="0" w:noHBand="0" w:noVBand="1"/>
      </w:tblPr>
      <w:tblGrid>
        <w:gridCol w:w="1418"/>
        <w:gridCol w:w="7646"/>
      </w:tblGrid>
      <w:tr w:rsidR="00494275" w:rsidRPr="00E30A5F" w14:paraId="6570BC4E" w14:textId="77777777" w:rsidTr="00F83F3A">
        <w:trPr>
          <w:cnfStyle w:val="100000000000" w:firstRow="1" w:lastRow="0" w:firstColumn="0" w:lastColumn="0" w:oddVBand="0" w:evenVBand="0" w:oddHBand="0" w:evenHBand="0" w:firstRowFirstColumn="0" w:firstRowLastColumn="0" w:lastRowFirstColumn="0" w:lastRowLastColumn="0"/>
          <w:cantSplit/>
          <w:trHeight w:val="407"/>
          <w:tblHeader/>
        </w:trPr>
        <w:tc>
          <w:tcPr>
            <w:cnfStyle w:val="001000000100" w:firstRow="0" w:lastRow="0" w:firstColumn="1" w:lastColumn="0" w:oddVBand="0" w:evenVBand="0" w:oddHBand="0" w:evenHBand="0" w:firstRowFirstColumn="1" w:firstRowLastColumn="0" w:lastRowFirstColumn="0" w:lastRowLastColumn="0"/>
            <w:tcW w:w="1418" w:type="dxa"/>
          </w:tcPr>
          <w:p w14:paraId="3ED32CF5" w14:textId="77777777" w:rsidR="00494275" w:rsidRPr="00E30A5F" w:rsidRDefault="00494275" w:rsidP="005C2A0C">
            <w:pPr>
              <w:spacing w:after="40"/>
              <w:rPr>
                <w:sz w:val="20"/>
                <w:szCs w:val="20"/>
              </w:rPr>
            </w:pPr>
            <w:r>
              <w:rPr>
                <w:sz w:val="20"/>
                <w:szCs w:val="20"/>
              </w:rPr>
              <w:t>POLICY AREA</w:t>
            </w:r>
          </w:p>
        </w:tc>
        <w:tc>
          <w:tcPr>
            <w:tcW w:w="7646" w:type="dxa"/>
          </w:tcPr>
          <w:p w14:paraId="4670837A" w14:textId="77777777" w:rsidR="00494275" w:rsidRPr="00E30A5F" w:rsidRDefault="00494275" w:rsidP="005C2A0C">
            <w:pPr>
              <w:spacing w:after="40"/>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action</w:t>
            </w:r>
          </w:p>
        </w:tc>
      </w:tr>
      <w:tr w:rsidR="00494275" w:rsidRPr="00E30A5F" w14:paraId="3256761C" w14:textId="77777777" w:rsidTr="00F83F3A">
        <w:trPr>
          <w:cnfStyle w:val="000000100000" w:firstRow="0" w:lastRow="0" w:firstColumn="0" w:lastColumn="0" w:oddVBand="0" w:evenVBand="0" w:oddHBand="1" w:evenHBand="0" w:firstRowFirstColumn="0" w:firstRowLastColumn="0" w:lastRowFirstColumn="0" w:lastRowLastColumn="0"/>
          <w:trHeight w:val="1635"/>
        </w:trPr>
        <w:tc>
          <w:tcPr>
            <w:cnfStyle w:val="001000000000" w:firstRow="0" w:lastRow="0" w:firstColumn="1" w:lastColumn="0" w:oddVBand="0" w:evenVBand="0" w:oddHBand="0" w:evenHBand="0" w:firstRowFirstColumn="0" w:firstRowLastColumn="0" w:lastRowFirstColumn="0" w:lastRowLastColumn="0"/>
            <w:tcW w:w="1418" w:type="dxa"/>
          </w:tcPr>
          <w:p w14:paraId="30F4E623" w14:textId="77777777" w:rsidR="00494275" w:rsidRPr="00DC4D93" w:rsidRDefault="00494275" w:rsidP="005C2A0C">
            <w:pPr>
              <w:spacing w:after="40"/>
              <w:rPr>
                <w:b w:val="0"/>
                <w:bCs w:val="0"/>
                <w:sz w:val="20"/>
                <w:szCs w:val="20"/>
              </w:rPr>
            </w:pPr>
            <w:r w:rsidRPr="00DC4D93">
              <w:rPr>
                <w:b w:val="0"/>
                <w:bCs w:val="0"/>
                <w:caps w:val="0"/>
                <w:sz w:val="20"/>
                <w:szCs w:val="20"/>
              </w:rPr>
              <w:t>Restrictions on unhealthy food and drink advertising and marketing</w:t>
            </w:r>
          </w:p>
        </w:tc>
        <w:tc>
          <w:tcPr>
            <w:tcW w:w="7646" w:type="dxa"/>
          </w:tcPr>
          <w:p w14:paraId="3E2D9279" w14:textId="49E84D9A" w:rsidR="00494275" w:rsidRPr="00DC4D93" w:rsidRDefault="00494275" w:rsidP="0055688D">
            <w:pPr>
              <w:pStyle w:val="ListParagraph"/>
              <w:numPr>
                <w:ilvl w:val="0"/>
                <w:numId w:val="15"/>
              </w:numPr>
              <w:spacing w:after="40"/>
              <w:cnfStyle w:val="000000100000" w:firstRow="0" w:lastRow="0" w:firstColumn="0" w:lastColumn="0" w:oddVBand="0" w:evenVBand="0" w:oddHBand="1" w:evenHBand="0" w:firstRowFirstColumn="0" w:firstRowLastColumn="0" w:lastRowFirstColumn="0" w:lastRowLastColumn="0"/>
              <w:rPr>
                <w:sz w:val="20"/>
                <w:szCs w:val="20"/>
              </w:rPr>
            </w:pPr>
            <w:r w:rsidRPr="00DC4D93">
              <w:rPr>
                <w:sz w:val="20"/>
                <w:szCs w:val="20"/>
              </w:rPr>
              <w:t xml:space="preserve">The Australian Government Department of Health is </w:t>
            </w:r>
            <w:r w:rsidR="00B007C8" w:rsidRPr="00DC4D93">
              <w:rPr>
                <w:sz w:val="20"/>
                <w:szCs w:val="20"/>
              </w:rPr>
              <w:t xml:space="preserve">leading work on behalf of the Food Ministers’ Meeting to </w:t>
            </w:r>
            <w:r w:rsidRPr="00DC4D93">
              <w:rPr>
                <w:sz w:val="20"/>
                <w:szCs w:val="20"/>
              </w:rPr>
              <w:t>e</w:t>
            </w:r>
            <w:r w:rsidRPr="00DC4D93">
              <w:rPr>
                <w:color w:val="222222"/>
                <w:sz w:val="20"/>
                <w:szCs w:val="20"/>
                <w:shd w:val="clear" w:color="auto" w:fill="EEEEEE"/>
              </w:rPr>
              <w:t>xplor</w:t>
            </w:r>
            <w:r w:rsidR="00B007C8" w:rsidRPr="00DC4D93">
              <w:rPr>
                <w:color w:val="222222"/>
                <w:sz w:val="20"/>
                <w:szCs w:val="20"/>
                <w:shd w:val="clear" w:color="auto" w:fill="EEEEEE"/>
              </w:rPr>
              <w:t>e</w:t>
            </w:r>
            <w:r w:rsidRPr="00DC4D93">
              <w:rPr>
                <w:color w:val="222222"/>
                <w:sz w:val="20"/>
                <w:szCs w:val="20"/>
                <w:shd w:val="clear" w:color="auto" w:fill="EEEEEE"/>
              </w:rPr>
              <w:t xml:space="preserve"> options to strengthen restrictions on advertising of unhealthy foods and drinks to children. For more information</w:t>
            </w:r>
            <w:r w:rsidRPr="00DC4D93">
              <w:rPr>
                <w:sz w:val="20"/>
                <w:szCs w:val="20"/>
              </w:rPr>
              <w:t xml:space="preserve">: </w:t>
            </w:r>
            <w:hyperlink r:id="rId28" w:history="1">
              <w:r w:rsidRPr="00DC4D93">
                <w:rPr>
                  <w:rStyle w:val="Hyperlink"/>
                  <w:sz w:val="20"/>
                  <w:szCs w:val="20"/>
                </w:rPr>
                <w:t>https://foodregulation.gov.au/internet/fr/publishing.nsf/Content/current-activities</w:t>
              </w:r>
            </w:hyperlink>
            <w:r w:rsidRPr="00DC4D93">
              <w:rPr>
                <w:sz w:val="20"/>
                <w:szCs w:val="20"/>
              </w:rPr>
              <w:t xml:space="preserve"> </w:t>
            </w:r>
          </w:p>
          <w:p w14:paraId="755909EA" w14:textId="02007CC2" w:rsidR="00494275" w:rsidRPr="00DC4D93" w:rsidRDefault="00494275" w:rsidP="0055688D">
            <w:pPr>
              <w:pStyle w:val="ListParagraph"/>
              <w:numPr>
                <w:ilvl w:val="0"/>
                <w:numId w:val="15"/>
              </w:numPr>
              <w:spacing w:after="40"/>
              <w:cnfStyle w:val="000000100000" w:firstRow="0" w:lastRow="0" w:firstColumn="0" w:lastColumn="0" w:oddVBand="0" w:evenVBand="0" w:oddHBand="1" w:evenHBand="0" w:firstRowFirstColumn="0" w:firstRowLastColumn="0" w:lastRowFirstColumn="0" w:lastRowLastColumn="0"/>
              <w:rPr>
                <w:sz w:val="20"/>
                <w:szCs w:val="20"/>
              </w:rPr>
            </w:pPr>
            <w:r w:rsidRPr="00DC4D93">
              <w:rPr>
                <w:sz w:val="20"/>
                <w:szCs w:val="20"/>
              </w:rPr>
              <w:t xml:space="preserve">The Australian Association of National Advertisers released an updated Food and Beverages Advertising Code in May 2021. For more information: </w:t>
            </w:r>
            <w:hyperlink r:id="rId29" w:history="1">
              <w:r w:rsidRPr="00DC4D93">
                <w:rPr>
                  <w:rStyle w:val="Hyperlink"/>
                  <w:sz w:val="20"/>
                  <w:szCs w:val="20"/>
                </w:rPr>
                <w:t>https://aana.com.au/self-regulation/codes-guidelines/food-and-beverages-code/</w:t>
              </w:r>
            </w:hyperlink>
            <w:r w:rsidRPr="00DC4D93">
              <w:rPr>
                <w:sz w:val="20"/>
                <w:szCs w:val="20"/>
              </w:rPr>
              <w:t xml:space="preserve"> </w:t>
            </w:r>
          </w:p>
          <w:p w14:paraId="73DE4DAA" w14:textId="77777777" w:rsidR="00494275" w:rsidRPr="00DC4D93" w:rsidRDefault="00494275" w:rsidP="0055688D">
            <w:pPr>
              <w:pStyle w:val="ListParagraph"/>
              <w:numPr>
                <w:ilvl w:val="0"/>
                <w:numId w:val="15"/>
              </w:numPr>
              <w:spacing w:after="40"/>
              <w:cnfStyle w:val="000000100000" w:firstRow="0" w:lastRow="0" w:firstColumn="0" w:lastColumn="0" w:oddVBand="0" w:evenVBand="0" w:oddHBand="1" w:evenHBand="0" w:firstRowFirstColumn="0" w:firstRowLastColumn="0" w:lastRowFirstColumn="0" w:lastRowLastColumn="0"/>
              <w:rPr>
                <w:sz w:val="20"/>
                <w:szCs w:val="20"/>
              </w:rPr>
            </w:pPr>
            <w:r w:rsidRPr="00DC4D93">
              <w:rPr>
                <w:sz w:val="20"/>
                <w:szCs w:val="20"/>
              </w:rPr>
              <w:t xml:space="preserve">The Advertising Standards Authority in New Zealand released the Children and Young People Advertising Code that includes provisions about food and beverages in 2017. This is an industry self-regulatory system. For more information: </w:t>
            </w:r>
            <w:hyperlink r:id="rId30" w:history="1">
              <w:r w:rsidRPr="00DC4D93">
                <w:rPr>
                  <w:rStyle w:val="Hyperlink"/>
                  <w:sz w:val="20"/>
                  <w:szCs w:val="20"/>
                </w:rPr>
                <w:t>https://www.asa.co.nz/codes/codes/children-and-young-people/</w:t>
              </w:r>
            </w:hyperlink>
            <w:r w:rsidRPr="00DC4D93">
              <w:rPr>
                <w:sz w:val="20"/>
                <w:szCs w:val="20"/>
              </w:rPr>
              <w:t xml:space="preserve"> </w:t>
            </w:r>
          </w:p>
        </w:tc>
      </w:tr>
      <w:tr w:rsidR="00494275" w:rsidRPr="009B7F5A" w14:paraId="5528A482" w14:textId="77777777" w:rsidTr="00F83F3A">
        <w:tc>
          <w:tcPr>
            <w:cnfStyle w:val="001000000000" w:firstRow="0" w:lastRow="0" w:firstColumn="1" w:lastColumn="0" w:oddVBand="0" w:evenVBand="0" w:oddHBand="0" w:evenHBand="0" w:firstRowFirstColumn="0" w:firstRowLastColumn="0" w:lastRowFirstColumn="0" w:lastRowLastColumn="0"/>
            <w:tcW w:w="1418" w:type="dxa"/>
          </w:tcPr>
          <w:p w14:paraId="39FDD3AF" w14:textId="77777777" w:rsidR="00494275" w:rsidRPr="00DC4D93" w:rsidRDefault="00494275" w:rsidP="005C2A0C">
            <w:pPr>
              <w:spacing w:after="40"/>
              <w:rPr>
                <w:sz w:val="20"/>
                <w:szCs w:val="20"/>
              </w:rPr>
            </w:pPr>
            <w:r w:rsidRPr="00DC4D93">
              <w:rPr>
                <w:b w:val="0"/>
                <w:bCs w:val="0"/>
                <w:sz w:val="20"/>
                <w:szCs w:val="20"/>
              </w:rPr>
              <w:t>r</w:t>
            </w:r>
            <w:r w:rsidRPr="00DC4D93">
              <w:rPr>
                <w:b w:val="0"/>
                <w:bCs w:val="0"/>
                <w:caps w:val="0"/>
                <w:sz w:val="20"/>
                <w:szCs w:val="20"/>
              </w:rPr>
              <w:t>eformulation targets / compositional limits to reduce energy, saturated fat, added sugar or sodium content</w:t>
            </w:r>
          </w:p>
          <w:p w14:paraId="59AEAD4D" w14:textId="77777777" w:rsidR="00494275" w:rsidRPr="00DC4D93" w:rsidRDefault="00494275" w:rsidP="005C2A0C">
            <w:pPr>
              <w:spacing w:after="40"/>
              <w:rPr>
                <w:b w:val="0"/>
                <w:bCs w:val="0"/>
                <w:sz w:val="20"/>
                <w:szCs w:val="20"/>
              </w:rPr>
            </w:pPr>
          </w:p>
        </w:tc>
        <w:tc>
          <w:tcPr>
            <w:tcW w:w="7646" w:type="dxa"/>
          </w:tcPr>
          <w:p w14:paraId="1D3B3CD0" w14:textId="5A14AF30" w:rsidR="00494275" w:rsidRPr="00DC4D93" w:rsidRDefault="00494275" w:rsidP="0055688D">
            <w:pPr>
              <w:pStyle w:val="ListParagraph"/>
              <w:numPr>
                <w:ilvl w:val="0"/>
                <w:numId w:val="15"/>
              </w:numPr>
              <w:spacing w:after="40"/>
              <w:cnfStyle w:val="000000000000" w:firstRow="0" w:lastRow="0" w:firstColumn="0" w:lastColumn="0" w:oddVBand="0" w:evenVBand="0" w:oddHBand="0" w:evenHBand="0" w:firstRowFirstColumn="0" w:firstRowLastColumn="0" w:lastRowFirstColumn="0" w:lastRowLastColumn="0"/>
              <w:rPr>
                <w:sz w:val="20"/>
                <w:szCs w:val="20"/>
              </w:rPr>
            </w:pPr>
            <w:r w:rsidRPr="00DC4D93">
              <w:rPr>
                <w:sz w:val="20"/>
                <w:szCs w:val="20"/>
              </w:rPr>
              <w:t xml:space="preserve">The Australian Government Department of Health and New Zealand Ministry for Primary Industries are </w:t>
            </w:r>
            <w:r w:rsidR="00B007C8" w:rsidRPr="00DC4D93">
              <w:rPr>
                <w:sz w:val="20"/>
                <w:szCs w:val="20"/>
              </w:rPr>
              <w:t>leading work on behalf of the Food Ministers’ Meeting to e</w:t>
            </w:r>
            <w:r w:rsidR="00B007C8" w:rsidRPr="00DC4D93">
              <w:rPr>
                <w:color w:val="222222"/>
                <w:sz w:val="20"/>
                <w:szCs w:val="20"/>
                <w:shd w:val="clear" w:color="auto" w:fill="EEEEEE"/>
              </w:rPr>
              <w:t>xplore</w:t>
            </w:r>
            <w:r w:rsidRPr="00DC4D93">
              <w:rPr>
                <w:sz w:val="20"/>
                <w:szCs w:val="20"/>
              </w:rPr>
              <w:t xml:space="preserve"> options to improve the composition and healthiness of the food supply in Australia and New Zealand. For more information: </w:t>
            </w:r>
            <w:hyperlink r:id="rId31" w:history="1">
              <w:r w:rsidRPr="00DC4D93">
                <w:rPr>
                  <w:rStyle w:val="Hyperlink"/>
                  <w:sz w:val="20"/>
                  <w:szCs w:val="20"/>
                </w:rPr>
                <w:t>https://foodregulation.gov.au/internet/fr/publishing.nsf/Content/current-activities</w:t>
              </w:r>
            </w:hyperlink>
            <w:r w:rsidRPr="00DC4D93">
              <w:rPr>
                <w:sz w:val="20"/>
                <w:szCs w:val="20"/>
              </w:rPr>
              <w:t xml:space="preserve"> </w:t>
            </w:r>
          </w:p>
          <w:p w14:paraId="0498C93D" w14:textId="77777777" w:rsidR="00494275" w:rsidRPr="00DC4D93" w:rsidRDefault="00494275" w:rsidP="0055688D">
            <w:pPr>
              <w:pStyle w:val="ListParagraph"/>
              <w:numPr>
                <w:ilvl w:val="0"/>
                <w:numId w:val="15"/>
              </w:numPr>
              <w:spacing w:after="40"/>
              <w:cnfStyle w:val="000000000000" w:firstRow="0" w:lastRow="0" w:firstColumn="0" w:lastColumn="0" w:oddVBand="0" w:evenVBand="0" w:oddHBand="0" w:evenHBand="0" w:firstRowFirstColumn="0" w:firstRowLastColumn="0" w:lastRowFirstColumn="0" w:lastRowLastColumn="0"/>
              <w:rPr>
                <w:sz w:val="20"/>
                <w:szCs w:val="20"/>
              </w:rPr>
            </w:pPr>
            <w:r w:rsidRPr="00DC4D93">
              <w:rPr>
                <w:sz w:val="20"/>
                <w:szCs w:val="20"/>
              </w:rPr>
              <w:t xml:space="preserve">The Australian Healthy Food Partnership’s reformulation program has set targets for reducing saturated fat, sodium and/or sugar in 18 food and drink categories. For more information: </w:t>
            </w:r>
            <w:hyperlink r:id="rId32" w:history="1">
              <w:r w:rsidRPr="00DC4D93">
                <w:rPr>
                  <w:rStyle w:val="Hyperlink"/>
                  <w:sz w:val="20"/>
                  <w:szCs w:val="20"/>
                </w:rPr>
                <w:t>https://www.health.gov.au/initiatives-and-programs/healthy-food-partnership/partnership-reformulation-program</w:t>
              </w:r>
            </w:hyperlink>
            <w:r w:rsidRPr="00DC4D93">
              <w:rPr>
                <w:sz w:val="20"/>
                <w:szCs w:val="20"/>
              </w:rPr>
              <w:t xml:space="preserve"> </w:t>
            </w:r>
          </w:p>
          <w:p w14:paraId="746CDC2F" w14:textId="77777777" w:rsidR="00494275" w:rsidRPr="00DC4D93" w:rsidRDefault="00494275" w:rsidP="0055688D">
            <w:pPr>
              <w:pStyle w:val="ListParagraph"/>
              <w:numPr>
                <w:ilvl w:val="0"/>
                <w:numId w:val="15"/>
              </w:numPr>
              <w:spacing w:after="40"/>
              <w:cnfStyle w:val="000000000000" w:firstRow="0" w:lastRow="0" w:firstColumn="0" w:lastColumn="0" w:oddVBand="0" w:evenVBand="0" w:oddHBand="0" w:evenHBand="0" w:firstRowFirstColumn="0" w:firstRowLastColumn="0" w:lastRowFirstColumn="0" w:lastRowLastColumn="0"/>
              <w:rPr>
                <w:sz w:val="20"/>
                <w:szCs w:val="20"/>
              </w:rPr>
            </w:pPr>
            <w:r w:rsidRPr="00DC4D93">
              <w:rPr>
                <w:sz w:val="20"/>
                <w:szCs w:val="20"/>
              </w:rPr>
              <w:t>The New Zealand Ministry of Health funds the Heart Foundation’s Food Reformulation Programme to reduce sodium and total sugar in processed foods. For more information:</w:t>
            </w:r>
          </w:p>
          <w:p w14:paraId="0F47EBAA" w14:textId="77777777" w:rsidR="00494275" w:rsidRPr="00DC4D93" w:rsidRDefault="00494275" w:rsidP="0055688D">
            <w:pPr>
              <w:pStyle w:val="ListParagraph"/>
              <w:numPr>
                <w:ilvl w:val="0"/>
                <w:numId w:val="15"/>
              </w:numPr>
              <w:spacing w:after="40"/>
              <w:cnfStyle w:val="000000000000" w:firstRow="0" w:lastRow="0" w:firstColumn="0" w:lastColumn="0" w:oddVBand="0" w:evenVBand="0" w:oddHBand="0" w:evenHBand="0" w:firstRowFirstColumn="0" w:firstRowLastColumn="0" w:lastRowFirstColumn="0" w:lastRowLastColumn="0"/>
              <w:rPr>
                <w:sz w:val="20"/>
                <w:szCs w:val="20"/>
              </w:rPr>
            </w:pPr>
            <w:r w:rsidRPr="00DC4D93">
              <w:rPr>
                <w:sz w:val="20"/>
                <w:szCs w:val="20"/>
              </w:rPr>
              <w:t xml:space="preserve">The New Zealand food industry Chip Group sets industry standards for deep-fried chips in foodservice settings. For more information: </w:t>
            </w:r>
            <w:hyperlink r:id="rId33" w:history="1">
              <w:r w:rsidRPr="00DC4D93">
                <w:rPr>
                  <w:rStyle w:val="Hyperlink"/>
                  <w:sz w:val="20"/>
                  <w:szCs w:val="20"/>
                </w:rPr>
                <w:t>https://thechipgroup.co.nz/</w:t>
              </w:r>
            </w:hyperlink>
            <w:r w:rsidRPr="00DC4D93">
              <w:rPr>
                <w:sz w:val="20"/>
                <w:szCs w:val="20"/>
              </w:rPr>
              <w:t xml:space="preserve"> </w:t>
            </w:r>
          </w:p>
        </w:tc>
      </w:tr>
      <w:tr w:rsidR="00494275" w:rsidRPr="00E30A5F" w14:paraId="1FEB833E" w14:textId="77777777" w:rsidTr="00F83F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133C0192" w14:textId="77777777" w:rsidR="00494275" w:rsidRPr="00DC4D93" w:rsidRDefault="00494275" w:rsidP="005C2A0C">
            <w:pPr>
              <w:spacing w:after="40"/>
              <w:rPr>
                <w:sz w:val="20"/>
                <w:szCs w:val="20"/>
              </w:rPr>
            </w:pPr>
            <w:r w:rsidRPr="00DC4D93">
              <w:rPr>
                <w:b w:val="0"/>
                <w:bCs w:val="0"/>
                <w:caps w:val="0"/>
                <w:sz w:val="20"/>
                <w:szCs w:val="20"/>
              </w:rPr>
              <w:t>Serving size reductions</w:t>
            </w:r>
          </w:p>
          <w:p w14:paraId="0014F890" w14:textId="77777777" w:rsidR="00494275" w:rsidRPr="00DC4D93" w:rsidRDefault="00494275" w:rsidP="005C2A0C">
            <w:pPr>
              <w:spacing w:after="40"/>
              <w:rPr>
                <w:b w:val="0"/>
                <w:bCs w:val="0"/>
                <w:sz w:val="20"/>
                <w:szCs w:val="20"/>
              </w:rPr>
            </w:pPr>
          </w:p>
        </w:tc>
        <w:tc>
          <w:tcPr>
            <w:tcW w:w="7646" w:type="dxa"/>
          </w:tcPr>
          <w:p w14:paraId="3F905A78" w14:textId="77777777" w:rsidR="00494275" w:rsidRPr="00DC4D93" w:rsidRDefault="00494275" w:rsidP="0055688D">
            <w:pPr>
              <w:pStyle w:val="ListParagraph"/>
              <w:numPr>
                <w:ilvl w:val="0"/>
                <w:numId w:val="15"/>
              </w:numPr>
              <w:spacing w:after="40"/>
              <w:cnfStyle w:val="000000100000" w:firstRow="0" w:lastRow="0" w:firstColumn="0" w:lastColumn="0" w:oddVBand="0" w:evenVBand="0" w:oddHBand="1" w:evenHBand="0" w:firstRowFirstColumn="0" w:firstRowLastColumn="0" w:lastRowFirstColumn="0" w:lastRowLastColumn="0"/>
              <w:rPr>
                <w:sz w:val="20"/>
                <w:szCs w:val="20"/>
              </w:rPr>
            </w:pPr>
            <w:r w:rsidRPr="00DC4D93">
              <w:rPr>
                <w:sz w:val="20"/>
                <w:szCs w:val="20"/>
              </w:rPr>
              <w:t xml:space="preserve">The Australian Healthy Food Partnership is developing guidance to help food companies promote and provide healthier serving sizes for a broad range of food and drink categories in retail and out-of-home settings. For more information: </w:t>
            </w:r>
            <w:hyperlink r:id="rId34" w:history="1">
              <w:r w:rsidRPr="00DC4D93">
                <w:rPr>
                  <w:rStyle w:val="Hyperlink"/>
                  <w:sz w:val="20"/>
                  <w:szCs w:val="20"/>
                </w:rPr>
                <w:t>https://www.health.gov.au/committees-and-groups/healthy-food-partnership-industry-best-practice-guide-working-group</w:t>
              </w:r>
            </w:hyperlink>
            <w:r w:rsidRPr="00DC4D93">
              <w:rPr>
                <w:sz w:val="20"/>
                <w:szCs w:val="20"/>
              </w:rPr>
              <w:t xml:space="preserve"> </w:t>
            </w:r>
          </w:p>
        </w:tc>
      </w:tr>
      <w:tr w:rsidR="00494275" w:rsidRPr="00E30A5F" w14:paraId="3925D9D4" w14:textId="77777777" w:rsidTr="00F83F3A">
        <w:tc>
          <w:tcPr>
            <w:cnfStyle w:val="001000000000" w:firstRow="0" w:lastRow="0" w:firstColumn="1" w:lastColumn="0" w:oddVBand="0" w:evenVBand="0" w:oddHBand="0" w:evenHBand="0" w:firstRowFirstColumn="0" w:firstRowLastColumn="0" w:lastRowFirstColumn="0" w:lastRowLastColumn="0"/>
            <w:tcW w:w="1418" w:type="dxa"/>
          </w:tcPr>
          <w:p w14:paraId="291693E1" w14:textId="77777777" w:rsidR="00494275" w:rsidRPr="00DC4D93" w:rsidRDefault="00494275" w:rsidP="005C2A0C">
            <w:pPr>
              <w:spacing w:after="40"/>
              <w:rPr>
                <w:sz w:val="20"/>
                <w:szCs w:val="20"/>
              </w:rPr>
            </w:pPr>
            <w:r w:rsidRPr="00DC4D93">
              <w:rPr>
                <w:b w:val="0"/>
                <w:bCs w:val="0"/>
                <w:caps w:val="0"/>
                <w:sz w:val="20"/>
                <w:szCs w:val="20"/>
              </w:rPr>
              <w:t>Nutrition information on packaged food and drinks</w:t>
            </w:r>
          </w:p>
          <w:p w14:paraId="6233D49C" w14:textId="77777777" w:rsidR="00494275" w:rsidRPr="00DC4D93" w:rsidRDefault="00494275" w:rsidP="005C2A0C">
            <w:pPr>
              <w:spacing w:after="40"/>
              <w:rPr>
                <w:b w:val="0"/>
                <w:bCs w:val="0"/>
                <w:caps w:val="0"/>
                <w:sz w:val="20"/>
                <w:szCs w:val="20"/>
              </w:rPr>
            </w:pPr>
          </w:p>
        </w:tc>
        <w:tc>
          <w:tcPr>
            <w:tcW w:w="7646" w:type="dxa"/>
          </w:tcPr>
          <w:p w14:paraId="79705583" w14:textId="77777777" w:rsidR="00494275" w:rsidRPr="00DC4D93" w:rsidRDefault="00494275" w:rsidP="0055688D">
            <w:pPr>
              <w:pStyle w:val="ListParagraph"/>
              <w:numPr>
                <w:ilvl w:val="0"/>
                <w:numId w:val="15"/>
              </w:numPr>
              <w:spacing w:after="40"/>
              <w:cnfStyle w:val="000000000000" w:firstRow="0" w:lastRow="0" w:firstColumn="0" w:lastColumn="0" w:oddVBand="0" w:evenVBand="0" w:oddHBand="0" w:evenHBand="0" w:firstRowFirstColumn="0" w:firstRowLastColumn="0" w:lastRowFirstColumn="0" w:lastRowLastColumn="0"/>
              <w:rPr>
                <w:sz w:val="20"/>
                <w:szCs w:val="20"/>
              </w:rPr>
            </w:pPr>
            <w:r w:rsidRPr="00DC4D93">
              <w:rPr>
                <w:sz w:val="20"/>
                <w:szCs w:val="20"/>
              </w:rPr>
              <w:t xml:space="preserve">Implementation of the voluntary Health Star Rating front-of-pack labelling system continues in Australia and New Zealand. For more information: </w:t>
            </w:r>
            <w:hyperlink r:id="rId35" w:history="1">
              <w:r w:rsidRPr="00DC4D93">
                <w:rPr>
                  <w:rStyle w:val="Hyperlink"/>
                  <w:sz w:val="20"/>
                  <w:szCs w:val="20"/>
                </w:rPr>
                <w:t>http://www.healthstarrating.gov.au/internet/healthstarrating/publishing.nsf/content/home</w:t>
              </w:r>
            </w:hyperlink>
            <w:r w:rsidRPr="00DC4D93">
              <w:rPr>
                <w:sz w:val="20"/>
                <w:szCs w:val="20"/>
              </w:rPr>
              <w:t xml:space="preserve"> and </w:t>
            </w:r>
            <w:hyperlink r:id="rId36" w:history="1">
              <w:r w:rsidRPr="00DC4D93">
                <w:rPr>
                  <w:rStyle w:val="Hyperlink"/>
                  <w:sz w:val="20"/>
                  <w:szCs w:val="20"/>
                </w:rPr>
                <w:t>https://www.mpi.govt.nz/food-safety-home/how-health-star-ratings-work/</w:t>
              </w:r>
            </w:hyperlink>
            <w:r w:rsidRPr="00DC4D93">
              <w:rPr>
                <w:sz w:val="20"/>
                <w:szCs w:val="20"/>
              </w:rPr>
              <w:t xml:space="preserve"> </w:t>
            </w:r>
          </w:p>
          <w:p w14:paraId="7E4A553C" w14:textId="7BCD4491" w:rsidR="00494275" w:rsidRPr="00DC4D93" w:rsidRDefault="00494275" w:rsidP="0055688D">
            <w:pPr>
              <w:pStyle w:val="ListParagraph"/>
              <w:numPr>
                <w:ilvl w:val="0"/>
                <w:numId w:val="15"/>
              </w:numPr>
              <w:spacing w:after="40"/>
              <w:cnfStyle w:val="000000000000" w:firstRow="0" w:lastRow="0" w:firstColumn="0" w:lastColumn="0" w:oddVBand="0" w:evenVBand="0" w:oddHBand="0" w:evenHBand="0" w:firstRowFirstColumn="0" w:firstRowLastColumn="0" w:lastRowFirstColumn="0" w:lastRowLastColumn="0"/>
              <w:rPr>
                <w:sz w:val="20"/>
                <w:szCs w:val="20"/>
              </w:rPr>
            </w:pPr>
            <w:r w:rsidRPr="00DC4D93">
              <w:rPr>
                <w:sz w:val="20"/>
                <w:szCs w:val="20"/>
              </w:rPr>
              <w:t>The Australia New Zealand Food Standards Code requires most packaged food and drinks to be labelled with nutrition information, including a nutrition information panel (NIP) and ingredients list.</w:t>
            </w:r>
          </w:p>
          <w:p w14:paraId="04B4DA48" w14:textId="34FCC970" w:rsidR="00494275" w:rsidRPr="00DC4D93" w:rsidRDefault="00494275" w:rsidP="0055688D">
            <w:pPr>
              <w:pStyle w:val="ListParagraph"/>
              <w:numPr>
                <w:ilvl w:val="0"/>
                <w:numId w:val="15"/>
              </w:numPr>
              <w:spacing w:after="40"/>
              <w:cnfStyle w:val="000000000000" w:firstRow="0" w:lastRow="0" w:firstColumn="0" w:lastColumn="0" w:oddVBand="0" w:evenVBand="0" w:oddHBand="0" w:evenHBand="0" w:firstRowFirstColumn="0" w:firstRowLastColumn="0" w:lastRowFirstColumn="0" w:lastRowLastColumn="0"/>
              <w:rPr>
                <w:sz w:val="20"/>
                <w:szCs w:val="20"/>
              </w:rPr>
            </w:pPr>
            <w:r w:rsidRPr="00DC4D93">
              <w:rPr>
                <w:sz w:val="20"/>
                <w:szCs w:val="20"/>
              </w:rPr>
              <w:t xml:space="preserve">Food Standards Australia New Zealand is reviewing added sugars labelling. A proposal will be prepared to consider amending the Food Standards Code about added sugars labelling information in the NIP. For more information: </w:t>
            </w:r>
            <w:hyperlink r:id="rId37" w:history="1">
              <w:r w:rsidRPr="00DC4D93">
                <w:rPr>
                  <w:rStyle w:val="Hyperlink"/>
                  <w:sz w:val="20"/>
                  <w:szCs w:val="20"/>
                </w:rPr>
                <w:t>https://www.foodstandards.gov.au/consumer/labelling/Pages/Sugar-labelling.aspx</w:t>
              </w:r>
            </w:hyperlink>
            <w:r w:rsidRPr="00DC4D93">
              <w:rPr>
                <w:sz w:val="20"/>
                <w:szCs w:val="20"/>
              </w:rPr>
              <w:t xml:space="preserve"> </w:t>
            </w:r>
          </w:p>
          <w:p w14:paraId="2926BCD2" w14:textId="7366E348" w:rsidR="00494275" w:rsidRPr="00DC4D93" w:rsidRDefault="00494275" w:rsidP="0055688D">
            <w:pPr>
              <w:pStyle w:val="ListParagraph"/>
              <w:numPr>
                <w:ilvl w:val="0"/>
                <w:numId w:val="15"/>
              </w:numPr>
              <w:spacing w:after="40"/>
              <w:cnfStyle w:val="000000000000" w:firstRow="0" w:lastRow="0" w:firstColumn="0" w:lastColumn="0" w:oddVBand="0" w:evenVBand="0" w:oddHBand="0" w:evenHBand="0" w:firstRowFirstColumn="0" w:firstRowLastColumn="0" w:lastRowFirstColumn="0" w:lastRowLastColumn="0"/>
              <w:rPr>
                <w:sz w:val="20"/>
                <w:szCs w:val="20"/>
              </w:rPr>
            </w:pPr>
            <w:r w:rsidRPr="00DC4D93">
              <w:rPr>
                <w:sz w:val="20"/>
                <w:szCs w:val="20"/>
              </w:rPr>
              <w:t xml:space="preserve">Food Standards Australia New Zealand is reviewing energy labelling of alcoholic beverages as well as carbohydrate and sugar claims on alcoholic beverages. For more information: </w:t>
            </w:r>
            <w:hyperlink r:id="rId38" w:history="1">
              <w:r w:rsidRPr="00DC4D93">
                <w:rPr>
                  <w:rStyle w:val="Hyperlink"/>
                  <w:sz w:val="20"/>
                  <w:szCs w:val="20"/>
                </w:rPr>
                <w:t>https://www.foodstandards.gov.au/consumer/labelling/Pages/Labelling-of-alcoholic-beverages.aspx</w:t>
              </w:r>
            </w:hyperlink>
            <w:r w:rsidRPr="00DC4D93">
              <w:rPr>
                <w:sz w:val="20"/>
                <w:szCs w:val="20"/>
              </w:rPr>
              <w:t xml:space="preserve"> </w:t>
            </w:r>
          </w:p>
          <w:p w14:paraId="4E2694C3" w14:textId="77777777" w:rsidR="00494275" w:rsidRPr="00DC4D93" w:rsidRDefault="00494275" w:rsidP="0055688D">
            <w:pPr>
              <w:pStyle w:val="ListParagraph"/>
              <w:numPr>
                <w:ilvl w:val="0"/>
                <w:numId w:val="15"/>
              </w:numPr>
              <w:spacing w:after="40"/>
              <w:cnfStyle w:val="000000000000" w:firstRow="0" w:lastRow="0" w:firstColumn="0" w:lastColumn="0" w:oddVBand="0" w:evenVBand="0" w:oddHBand="0" w:evenHBand="0" w:firstRowFirstColumn="0" w:firstRowLastColumn="0" w:lastRowFirstColumn="0" w:lastRowLastColumn="0"/>
              <w:rPr>
                <w:sz w:val="20"/>
                <w:szCs w:val="20"/>
              </w:rPr>
            </w:pPr>
            <w:r w:rsidRPr="00DC4D93">
              <w:rPr>
                <w:sz w:val="20"/>
                <w:szCs w:val="20"/>
              </w:rPr>
              <w:t xml:space="preserve">The Ministerial Policy Guideline on food labelling to support consumers make informed healthy choices was endorsed in August 2020. The review or development of food regulatory measures must include having regard to this Policy Guideline. For more information: </w:t>
            </w:r>
            <w:hyperlink r:id="rId39" w:history="1">
              <w:r w:rsidRPr="00DC4D93">
                <w:rPr>
                  <w:rStyle w:val="Hyperlink"/>
                  <w:sz w:val="20"/>
                  <w:szCs w:val="20"/>
                </w:rPr>
                <w:t>https://foodregulation.gov.au/internet/fr/publishing.nsf/Content/Policy-Guideline-on-Food-Labelling-to-Support-Consumers-Make-Informed-Healthy-Choices</w:t>
              </w:r>
            </w:hyperlink>
            <w:r w:rsidRPr="00DC4D93">
              <w:rPr>
                <w:sz w:val="20"/>
                <w:szCs w:val="20"/>
              </w:rPr>
              <w:t xml:space="preserve"> </w:t>
            </w:r>
          </w:p>
        </w:tc>
      </w:tr>
    </w:tbl>
    <w:p w14:paraId="507DAB3A" w14:textId="416FD80F" w:rsidR="00453438" w:rsidRDefault="00605EC6" w:rsidP="00F6154A">
      <w:pPr>
        <w:pStyle w:val="Heading2"/>
        <w:rPr>
          <w:rStyle w:val="Heading1Char"/>
          <w:rFonts w:ascii="Times New Roman" w:hAnsi="Times New Roman" w:cs="Times New Roman"/>
          <w:szCs w:val="28"/>
          <w:vertAlign w:val="superscript"/>
        </w:rPr>
      </w:pPr>
      <w:bookmarkStart w:id="99" w:name="_Toc47605598"/>
      <w:bookmarkStart w:id="100" w:name="_Toc91189680"/>
      <w:r w:rsidRPr="00E67A4C">
        <w:rPr>
          <w:rStyle w:val="Heading1Char"/>
          <w:rFonts w:ascii="Times New Roman" w:hAnsi="Times New Roman" w:cs="Times New Roman"/>
          <w:b/>
          <w:bCs/>
          <w:szCs w:val="28"/>
        </w:rPr>
        <w:lastRenderedPageBreak/>
        <w:t xml:space="preserve">Appendix </w:t>
      </w:r>
      <w:r w:rsidR="00531A99">
        <w:rPr>
          <w:rStyle w:val="Heading1Char"/>
          <w:rFonts w:ascii="Times New Roman" w:hAnsi="Times New Roman" w:cs="Times New Roman"/>
          <w:b/>
          <w:bCs/>
          <w:szCs w:val="28"/>
        </w:rPr>
        <w:t>4</w:t>
      </w:r>
      <w:r w:rsidRPr="00E67A4C">
        <w:rPr>
          <w:rStyle w:val="Heading1Char"/>
          <w:rFonts w:ascii="Times New Roman" w:hAnsi="Times New Roman" w:cs="Times New Roman"/>
          <w:b/>
          <w:bCs/>
          <w:szCs w:val="28"/>
        </w:rPr>
        <w:t xml:space="preserve">: </w:t>
      </w:r>
      <w:r w:rsidR="00453438" w:rsidRPr="00E67A4C">
        <w:rPr>
          <w:rStyle w:val="Heading1Char"/>
          <w:rFonts w:ascii="Times New Roman" w:hAnsi="Times New Roman" w:cs="Times New Roman"/>
          <w:b/>
          <w:bCs/>
          <w:szCs w:val="28"/>
        </w:rPr>
        <w:t>Business types that may sell standard food items</w:t>
      </w:r>
      <w:bookmarkEnd w:id="99"/>
      <w:r w:rsidR="00EF4D18">
        <w:rPr>
          <w:rStyle w:val="FootnoteReference"/>
          <w:kern w:val="28"/>
        </w:rPr>
        <w:footnoteReference w:id="141"/>
      </w:r>
      <w:bookmarkEnd w:id="100"/>
      <w:r w:rsidR="00453438" w:rsidRPr="00E67A4C">
        <w:rPr>
          <w:rStyle w:val="Heading1Char"/>
          <w:rFonts w:ascii="Times New Roman" w:hAnsi="Times New Roman" w:cs="Times New Roman"/>
          <w:szCs w:val="28"/>
          <w:vertAlign w:val="superscript"/>
        </w:rPr>
        <w:t xml:space="preserve"> </w:t>
      </w:r>
    </w:p>
    <w:p w14:paraId="2D2D0D31" w14:textId="77777777" w:rsidR="00960DCA" w:rsidRPr="00DB4340" w:rsidRDefault="00960DCA" w:rsidP="00DB4340"/>
    <w:tbl>
      <w:tblPr>
        <w:tblStyle w:val="PlainTable3"/>
        <w:tblW w:w="9072" w:type="dxa"/>
        <w:tblLook w:val="04A0" w:firstRow="1" w:lastRow="0" w:firstColumn="1" w:lastColumn="0" w:noHBand="0" w:noVBand="1"/>
      </w:tblPr>
      <w:tblGrid>
        <w:gridCol w:w="1701"/>
        <w:gridCol w:w="1418"/>
        <w:gridCol w:w="5953"/>
      </w:tblGrid>
      <w:tr w:rsidR="00243BEE" w:rsidRPr="00866F7B" w14:paraId="6493B0D4" w14:textId="7A038B7C" w:rsidTr="00243BEE">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701" w:type="dxa"/>
          </w:tcPr>
          <w:p w14:paraId="667C0FBF" w14:textId="0CC57727" w:rsidR="00243BEE" w:rsidRPr="004E3435" w:rsidRDefault="00243BEE" w:rsidP="005C2A0C">
            <w:pPr>
              <w:spacing w:after="40"/>
              <w:rPr>
                <w:rFonts w:eastAsia="Calibri"/>
                <w:bCs w:val="0"/>
                <w:sz w:val="20"/>
                <w:szCs w:val="20"/>
              </w:rPr>
            </w:pPr>
            <w:r w:rsidRPr="004E3435">
              <w:rPr>
                <w:rFonts w:eastAsia="Calibri"/>
                <w:bCs w:val="0"/>
                <w:caps w:val="0"/>
                <w:sz w:val="20"/>
                <w:szCs w:val="20"/>
              </w:rPr>
              <w:t>Business Type</w:t>
            </w:r>
            <w:r w:rsidRPr="004E3435">
              <w:rPr>
                <w:rStyle w:val="FootnoteReference"/>
                <w:rFonts w:eastAsia="Calibri"/>
                <w:bCs w:val="0"/>
                <w:caps w:val="0"/>
                <w:sz w:val="20"/>
                <w:szCs w:val="20"/>
              </w:rPr>
              <w:footnoteReference w:id="142"/>
            </w:r>
          </w:p>
        </w:tc>
        <w:tc>
          <w:tcPr>
            <w:tcW w:w="1418" w:type="dxa"/>
          </w:tcPr>
          <w:p w14:paraId="1AFC1226" w14:textId="4AA6B11E" w:rsidR="00243BEE" w:rsidRPr="004E3435" w:rsidRDefault="00243BEE" w:rsidP="005C2A0C">
            <w:pPr>
              <w:spacing w:after="40"/>
              <w:cnfStyle w:val="100000000000" w:firstRow="1" w:lastRow="0" w:firstColumn="0" w:lastColumn="0" w:oddVBand="0" w:evenVBand="0" w:oddHBand="0" w:evenHBand="0" w:firstRowFirstColumn="0" w:firstRowLastColumn="0" w:lastRowFirstColumn="0" w:lastRowLastColumn="0"/>
              <w:rPr>
                <w:rFonts w:eastAsia="Calibri"/>
                <w:b w:val="0"/>
                <w:caps w:val="0"/>
                <w:sz w:val="20"/>
                <w:szCs w:val="20"/>
              </w:rPr>
            </w:pPr>
          </w:p>
        </w:tc>
        <w:tc>
          <w:tcPr>
            <w:tcW w:w="5953" w:type="dxa"/>
          </w:tcPr>
          <w:p w14:paraId="7870E7EA" w14:textId="77E5A728" w:rsidR="00243BEE" w:rsidRPr="004E3435" w:rsidRDefault="00243BEE" w:rsidP="00243BEE">
            <w:pPr>
              <w:spacing w:after="40"/>
              <w:jc w:val="center"/>
              <w:cnfStyle w:val="100000000000" w:firstRow="1" w:lastRow="0" w:firstColumn="0" w:lastColumn="0" w:oddVBand="0" w:evenVBand="0" w:oddHBand="0" w:evenHBand="0" w:firstRowFirstColumn="0" w:firstRowLastColumn="0" w:lastRowFirstColumn="0" w:lastRowLastColumn="0"/>
              <w:rPr>
                <w:rFonts w:eastAsia="Calibri"/>
                <w:bCs w:val="0"/>
                <w:sz w:val="20"/>
                <w:szCs w:val="20"/>
              </w:rPr>
            </w:pPr>
            <w:r w:rsidRPr="004E3435">
              <w:rPr>
                <w:rFonts w:eastAsia="Calibri"/>
                <w:bCs w:val="0"/>
                <w:caps w:val="0"/>
                <w:sz w:val="20"/>
                <w:szCs w:val="20"/>
              </w:rPr>
              <w:t xml:space="preserve">Australian </w:t>
            </w:r>
            <w:r>
              <w:rPr>
                <w:rFonts w:eastAsia="Calibri"/>
                <w:bCs w:val="0"/>
                <w:caps w:val="0"/>
                <w:sz w:val="20"/>
                <w:szCs w:val="20"/>
              </w:rPr>
              <w:t>a</w:t>
            </w:r>
            <w:r w:rsidRPr="004E3435">
              <w:rPr>
                <w:rFonts w:eastAsia="Calibri"/>
                <w:bCs w:val="0"/>
                <w:caps w:val="0"/>
                <w:sz w:val="20"/>
                <w:szCs w:val="20"/>
              </w:rPr>
              <w:t>nd New Zealand Standard Industrial Classification (A</w:t>
            </w:r>
            <w:r>
              <w:rPr>
                <w:rFonts w:eastAsia="Calibri"/>
                <w:bCs w:val="0"/>
                <w:caps w:val="0"/>
                <w:sz w:val="20"/>
                <w:szCs w:val="20"/>
              </w:rPr>
              <w:t>NZSIC</w:t>
            </w:r>
            <w:r w:rsidRPr="004E3435">
              <w:rPr>
                <w:rFonts w:eastAsia="Calibri"/>
                <w:bCs w:val="0"/>
                <w:caps w:val="0"/>
                <w:sz w:val="20"/>
                <w:szCs w:val="20"/>
              </w:rPr>
              <w:t>)</w:t>
            </w:r>
            <w:r w:rsidRPr="004E3435">
              <w:rPr>
                <w:rStyle w:val="FootnoteReference"/>
                <w:rFonts w:eastAsia="Calibri"/>
                <w:bCs w:val="0"/>
                <w:caps w:val="0"/>
                <w:sz w:val="20"/>
                <w:szCs w:val="20"/>
              </w:rPr>
              <w:footnoteReference w:id="143"/>
            </w:r>
          </w:p>
        </w:tc>
      </w:tr>
      <w:tr w:rsidR="004E3435" w:rsidRPr="00E67A4C" w14:paraId="69E2122C" w14:textId="4653BEB7" w:rsidTr="004E3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4933DD03" w14:textId="77777777" w:rsidR="004E3435" w:rsidRDefault="004E3435" w:rsidP="00292EBA">
            <w:pPr>
              <w:spacing w:after="40"/>
              <w:rPr>
                <w:rFonts w:eastAsia="Calibri"/>
                <w:b w:val="0"/>
                <w:bCs w:val="0"/>
                <w:sz w:val="20"/>
                <w:szCs w:val="20"/>
              </w:rPr>
            </w:pPr>
            <w:r>
              <w:rPr>
                <w:rFonts w:eastAsia="Calibri"/>
                <w:caps w:val="0"/>
                <w:sz w:val="20"/>
                <w:szCs w:val="20"/>
              </w:rPr>
              <w:t>Fast food and quick-service restaurants</w:t>
            </w:r>
          </w:p>
          <w:p w14:paraId="65B29614" w14:textId="77777777" w:rsidR="004E3435" w:rsidRDefault="004E3435" w:rsidP="00292EBA">
            <w:pPr>
              <w:spacing w:after="40"/>
              <w:rPr>
                <w:rFonts w:eastAsia="Calibri"/>
                <w:b w:val="0"/>
                <w:bCs w:val="0"/>
                <w:sz w:val="20"/>
                <w:szCs w:val="20"/>
              </w:rPr>
            </w:pPr>
            <w:r>
              <w:rPr>
                <w:rFonts w:eastAsia="Calibri"/>
                <w:sz w:val="20"/>
                <w:szCs w:val="20"/>
              </w:rPr>
              <w:t>(</w:t>
            </w:r>
            <w:r>
              <w:rPr>
                <w:rFonts w:eastAsia="Calibri"/>
                <w:caps w:val="0"/>
                <w:sz w:val="20"/>
                <w:szCs w:val="20"/>
              </w:rPr>
              <w:t>includes mobile vendors / food trucks</w:t>
            </w:r>
            <w:r>
              <w:rPr>
                <w:rFonts w:eastAsia="Calibri"/>
                <w:sz w:val="20"/>
                <w:szCs w:val="20"/>
              </w:rPr>
              <w:t>)</w:t>
            </w:r>
          </w:p>
          <w:p w14:paraId="0F345CE1" w14:textId="77777777" w:rsidR="004E3435" w:rsidRDefault="004E3435" w:rsidP="00292EBA">
            <w:pPr>
              <w:spacing w:after="40"/>
              <w:rPr>
                <w:rFonts w:eastAsia="Calibri"/>
                <w:b w:val="0"/>
                <w:bCs w:val="0"/>
                <w:caps w:val="0"/>
                <w:sz w:val="20"/>
                <w:szCs w:val="20"/>
              </w:rPr>
            </w:pPr>
          </w:p>
          <w:p w14:paraId="187EACBF" w14:textId="77777777" w:rsidR="004E3435" w:rsidRPr="00075CAB" w:rsidDel="007D074D" w:rsidRDefault="004E3435" w:rsidP="00292EBA">
            <w:pPr>
              <w:spacing w:after="40"/>
              <w:rPr>
                <w:rFonts w:eastAsia="Calibri"/>
                <w:caps w:val="0"/>
                <w:sz w:val="20"/>
                <w:szCs w:val="20"/>
              </w:rPr>
            </w:pPr>
          </w:p>
        </w:tc>
        <w:tc>
          <w:tcPr>
            <w:tcW w:w="1418" w:type="dxa"/>
          </w:tcPr>
          <w:p w14:paraId="4EB5EB1C" w14:textId="66DBCE85" w:rsidR="004E3435" w:rsidRPr="00075CAB" w:rsidRDefault="004E3435" w:rsidP="00292EBA">
            <w:pPr>
              <w:spacing w:after="40"/>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184BB5">
              <w:rPr>
                <w:rFonts w:eastAsia="Calibri"/>
                <w:sz w:val="20"/>
                <w:szCs w:val="20"/>
              </w:rPr>
              <w:t>H451200</w:t>
            </w:r>
            <w:r>
              <w:rPr>
                <w:rFonts w:eastAsia="Calibri"/>
                <w:sz w:val="20"/>
                <w:szCs w:val="20"/>
              </w:rPr>
              <w:t xml:space="preserve">: </w:t>
            </w:r>
            <w:r w:rsidRPr="00184BB5">
              <w:rPr>
                <w:rFonts w:eastAsia="Calibri"/>
                <w:sz w:val="20"/>
                <w:szCs w:val="20"/>
              </w:rPr>
              <w:t>Takeaway Food Services</w:t>
            </w:r>
          </w:p>
        </w:tc>
        <w:tc>
          <w:tcPr>
            <w:tcW w:w="5953" w:type="dxa"/>
          </w:tcPr>
          <w:p w14:paraId="198EB9A8" w14:textId="77777777" w:rsidR="004E3435" w:rsidRPr="00184BB5" w:rsidRDefault="004E3435" w:rsidP="00292EBA">
            <w:pPr>
              <w:spacing w:after="40"/>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184BB5">
              <w:rPr>
                <w:rFonts w:eastAsia="Calibri"/>
                <w:sz w:val="20"/>
                <w:szCs w:val="20"/>
              </w:rPr>
              <w:t>Mainly engaged in providing food services ready to be taken away for immediate consumption. Customers order or select items and pay before eating. Items are usually provided in takeaway containers or packaging. Food is either consumed on the premises in limited seating facilities, taken away by the customer or delivered. Also includes supplying food services in food halls and food courts.</w:t>
            </w:r>
          </w:p>
          <w:p w14:paraId="105C1028" w14:textId="77777777" w:rsidR="004E3435" w:rsidRPr="00184BB5" w:rsidRDefault="004E3435" w:rsidP="00292EBA">
            <w:pPr>
              <w:spacing w:after="40"/>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184BB5">
              <w:rPr>
                <w:rFonts w:eastAsia="Calibri"/>
                <w:sz w:val="20"/>
                <w:szCs w:val="20"/>
              </w:rPr>
              <w:t>Primary activities:</w:t>
            </w:r>
          </w:p>
          <w:p w14:paraId="36E48CCC" w14:textId="77777777" w:rsidR="004E3435" w:rsidRPr="00184BB5" w:rsidRDefault="004E3435" w:rsidP="0055688D">
            <w:pPr>
              <w:pStyle w:val="ListParagraph"/>
              <w:numPr>
                <w:ilvl w:val="0"/>
                <w:numId w:val="27"/>
              </w:numPr>
              <w:spacing w:after="40"/>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184BB5">
              <w:rPr>
                <w:rFonts w:eastAsia="Calibri"/>
                <w:sz w:val="20"/>
                <w:szCs w:val="20"/>
              </w:rPr>
              <w:t>Juice bar operation</w:t>
            </w:r>
          </w:p>
          <w:p w14:paraId="78FA45C6" w14:textId="77777777" w:rsidR="004E3435" w:rsidRPr="00184BB5" w:rsidRDefault="004E3435" w:rsidP="0055688D">
            <w:pPr>
              <w:pStyle w:val="ListParagraph"/>
              <w:numPr>
                <w:ilvl w:val="0"/>
                <w:numId w:val="27"/>
              </w:numPr>
              <w:spacing w:after="40"/>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184BB5">
              <w:rPr>
                <w:rFonts w:eastAsia="Calibri"/>
                <w:sz w:val="20"/>
                <w:szCs w:val="20"/>
              </w:rPr>
              <w:t>Mobile food van operation</w:t>
            </w:r>
          </w:p>
          <w:p w14:paraId="34097534" w14:textId="0BDE0501" w:rsidR="004E3435" w:rsidRPr="004E3435" w:rsidRDefault="004E3435" w:rsidP="0055688D">
            <w:pPr>
              <w:pStyle w:val="ListParagraph"/>
              <w:numPr>
                <w:ilvl w:val="0"/>
                <w:numId w:val="27"/>
              </w:numPr>
              <w:spacing w:after="40"/>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184BB5">
              <w:rPr>
                <w:rFonts w:eastAsia="Calibri"/>
                <w:sz w:val="20"/>
                <w:szCs w:val="20"/>
              </w:rPr>
              <w:t>Takeaway food operation</w:t>
            </w:r>
          </w:p>
        </w:tc>
      </w:tr>
      <w:tr w:rsidR="004E3435" w:rsidRPr="00E67A4C" w14:paraId="165006A4" w14:textId="429D1B02" w:rsidTr="004E3435">
        <w:tc>
          <w:tcPr>
            <w:cnfStyle w:val="001000000000" w:firstRow="0" w:lastRow="0" w:firstColumn="1" w:lastColumn="0" w:oddVBand="0" w:evenVBand="0" w:oddHBand="0" w:evenHBand="0" w:firstRowFirstColumn="0" w:firstRowLastColumn="0" w:lastRowFirstColumn="0" w:lastRowLastColumn="0"/>
            <w:tcW w:w="1701" w:type="dxa"/>
          </w:tcPr>
          <w:p w14:paraId="10F3AF9A" w14:textId="51966F71" w:rsidR="004E3435" w:rsidRPr="00075CAB" w:rsidRDefault="004E3435" w:rsidP="00075CAB">
            <w:pPr>
              <w:spacing w:after="40"/>
              <w:rPr>
                <w:rFonts w:eastAsia="Calibri"/>
                <w:sz w:val="20"/>
                <w:szCs w:val="20"/>
              </w:rPr>
            </w:pPr>
            <w:r>
              <w:rPr>
                <w:rFonts w:eastAsia="Calibri"/>
                <w:caps w:val="0"/>
                <w:sz w:val="20"/>
                <w:szCs w:val="20"/>
              </w:rPr>
              <w:t>Cafés, coffee shops and dine-in r</w:t>
            </w:r>
            <w:r w:rsidRPr="00075CAB">
              <w:rPr>
                <w:rFonts w:eastAsia="Calibri"/>
                <w:caps w:val="0"/>
                <w:sz w:val="20"/>
                <w:szCs w:val="20"/>
              </w:rPr>
              <w:t>estaurants</w:t>
            </w:r>
          </w:p>
        </w:tc>
        <w:tc>
          <w:tcPr>
            <w:tcW w:w="1418" w:type="dxa"/>
          </w:tcPr>
          <w:p w14:paraId="6FA460B6" w14:textId="5CEA35FD" w:rsidR="004E3435" w:rsidRPr="00075CAB" w:rsidRDefault="004E3435" w:rsidP="00292EBA">
            <w:pPr>
              <w:spacing w:after="40"/>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075CAB">
              <w:rPr>
                <w:rFonts w:eastAsia="Calibri"/>
                <w:sz w:val="20"/>
                <w:szCs w:val="20"/>
              </w:rPr>
              <w:t>H451100</w:t>
            </w:r>
            <w:r>
              <w:rPr>
                <w:rFonts w:eastAsia="Calibri"/>
                <w:sz w:val="20"/>
                <w:szCs w:val="20"/>
              </w:rPr>
              <w:t xml:space="preserve">: Cafés and Restaurants </w:t>
            </w:r>
          </w:p>
        </w:tc>
        <w:tc>
          <w:tcPr>
            <w:tcW w:w="5953" w:type="dxa"/>
          </w:tcPr>
          <w:p w14:paraId="1CF308A5" w14:textId="77777777" w:rsidR="004E3435" w:rsidRPr="00075CAB" w:rsidRDefault="004E3435" w:rsidP="00292EBA">
            <w:pPr>
              <w:spacing w:after="40"/>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075CAB">
              <w:rPr>
                <w:rFonts w:eastAsia="Calibri"/>
                <w:sz w:val="20"/>
                <w:szCs w:val="20"/>
              </w:rPr>
              <w:t>Mainly engaged in providing food and beverage serving services for consumption on the premises. Customers generally order and are served while seated and pay after eating.</w:t>
            </w:r>
          </w:p>
          <w:p w14:paraId="2751A7E3" w14:textId="77777777" w:rsidR="004E3435" w:rsidRPr="00075CAB" w:rsidRDefault="004E3435" w:rsidP="00292EBA">
            <w:pPr>
              <w:spacing w:after="40"/>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075CAB">
              <w:rPr>
                <w:rFonts w:eastAsia="Calibri"/>
                <w:sz w:val="20"/>
                <w:szCs w:val="20"/>
              </w:rPr>
              <w:t xml:space="preserve">Primary activities: </w:t>
            </w:r>
          </w:p>
          <w:p w14:paraId="06DDC09D" w14:textId="581131FF" w:rsidR="004E3435" w:rsidRPr="00075CAB" w:rsidRDefault="004E3435" w:rsidP="0055688D">
            <w:pPr>
              <w:pStyle w:val="ListParagraph"/>
              <w:numPr>
                <w:ilvl w:val="0"/>
                <w:numId w:val="26"/>
              </w:numPr>
              <w:spacing w:after="40"/>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075CAB">
              <w:rPr>
                <w:rFonts w:eastAsia="Calibri"/>
                <w:sz w:val="20"/>
                <w:szCs w:val="20"/>
              </w:rPr>
              <w:t>Café operation</w:t>
            </w:r>
          </w:p>
          <w:p w14:paraId="06F10D49" w14:textId="67DD92FA" w:rsidR="004E3435" w:rsidRPr="006C7DA7" w:rsidRDefault="004E3435" w:rsidP="0055688D">
            <w:pPr>
              <w:pStyle w:val="ListParagraph"/>
              <w:numPr>
                <w:ilvl w:val="0"/>
                <w:numId w:val="26"/>
              </w:numPr>
              <w:spacing w:after="40"/>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6C7DA7">
              <w:rPr>
                <w:rFonts w:eastAsia="Calibri"/>
                <w:sz w:val="20"/>
                <w:szCs w:val="20"/>
              </w:rPr>
              <w:t>Restaurant operation</w:t>
            </w:r>
          </w:p>
        </w:tc>
      </w:tr>
      <w:tr w:rsidR="004E3435" w:rsidRPr="00E67A4C" w14:paraId="16845882" w14:textId="53E1B5CF" w:rsidTr="004E3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38A25492" w14:textId="77777777" w:rsidR="004E3435" w:rsidRDefault="004E3435" w:rsidP="00BC7C82">
            <w:pPr>
              <w:spacing w:after="40"/>
              <w:rPr>
                <w:rFonts w:eastAsia="Calibri"/>
                <w:b w:val="0"/>
                <w:bCs w:val="0"/>
                <w:sz w:val="20"/>
                <w:szCs w:val="20"/>
              </w:rPr>
            </w:pPr>
            <w:r w:rsidRPr="00184BB5">
              <w:rPr>
                <w:rFonts w:eastAsia="Calibri"/>
                <w:caps w:val="0"/>
                <w:sz w:val="20"/>
                <w:szCs w:val="20"/>
              </w:rPr>
              <w:t>Catering services</w:t>
            </w:r>
          </w:p>
          <w:p w14:paraId="171B707C" w14:textId="3AD9467A" w:rsidR="004E3435" w:rsidRPr="00075CAB" w:rsidRDefault="004E3435" w:rsidP="00BC7C82">
            <w:pPr>
              <w:spacing w:after="40"/>
              <w:rPr>
                <w:rFonts w:eastAsia="Calibri"/>
                <w:sz w:val="20"/>
                <w:szCs w:val="20"/>
              </w:rPr>
            </w:pPr>
            <w:r>
              <w:rPr>
                <w:rFonts w:eastAsia="Calibri"/>
                <w:caps w:val="0"/>
                <w:sz w:val="20"/>
                <w:szCs w:val="20"/>
              </w:rPr>
              <w:t>(includes airlines, institutional canteens / cafeterias)</w:t>
            </w:r>
          </w:p>
        </w:tc>
        <w:tc>
          <w:tcPr>
            <w:tcW w:w="1418" w:type="dxa"/>
          </w:tcPr>
          <w:p w14:paraId="12B713A6" w14:textId="3C719973" w:rsidR="004E3435" w:rsidRPr="00075CAB" w:rsidRDefault="004E3435" w:rsidP="00BC7C82">
            <w:pPr>
              <w:spacing w:after="40"/>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184BB5">
              <w:rPr>
                <w:rFonts w:eastAsia="Calibri"/>
                <w:sz w:val="20"/>
                <w:szCs w:val="20"/>
              </w:rPr>
              <w:t>H451300</w:t>
            </w:r>
            <w:r>
              <w:rPr>
                <w:rFonts w:eastAsia="Calibri"/>
                <w:sz w:val="20"/>
                <w:szCs w:val="20"/>
              </w:rPr>
              <w:t>: Catering Services</w:t>
            </w:r>
          </w:p>
        </w:tc>
        <w:tc>
          <w:tcPr>
            <w:tcW w:w="5953" w:type="dxa"/>
          </w:tcPr>
          <w:p w14:paraId="4BD40D37" w14:textId="77777777" w:rsidR="004E3435" w:rsidRPr="00184BB5" w:rsidRDefault="004E3435" w:rsidP="00BC7C82">
            <w:pPr>
              <w:spacing w:after="40"/>
              <w:cnfStyle w:val="000000100000" w:firstRow="0" w:lastRow="0" w:firstColumn="0" w:lastColumn="0" w:oddVBand="0" w:evenVBand="0" w:oddHBand="1" w:evenHBand="0" w:firstRowFirstColumn="0" w:firstRowLastColumn="0" w:lastRowFirstColumn="0" w:lastRowLastColumn="0"/>
              <w:rPr>
                <w:sz w:val="20"/>
                <w:szCs w:val="20"/>
              </w:rPr>
            </w:pPr>
            <w:r w:rsidRPr="00184BB5">
              <w:rPr>
                <w:sz w:val="20"/>
                <w:szCs w:val="20"/>
              </w:rPr>
              <w:t>Mainly engaged in providing catering services at specified locations or events such as airline catering. Meals and snacks may be transported and/or prepared and served on or off the premises, as required by the customer.</w:t>
            </w:r>
          </w:p>
          <w:p w14:paraId="60959496" w14:textId="77777777" w:rsidR="004E3435" w:rsidRPr="00184BB5" w:rsidRDefault="004E3435" w:rsidP="00BC7C82">
            <w:pPr>
              <w:spacing w:after="40"/>
              <w:cnfStyle w:val="000000100000" w:firstRow="0" w:lastRow="0" w:firstColumn="0" w:lastColumn="0" w:oddVBand="0" w:evenVBand="0" w:oddHBand="1" w:evenHBand="0" w:firstRowFirstColumn="0" w:firstRowLastColumn="0" w:lastRowFirstColumn="0" w:lastRowLastColumn="0"/>
              <w:rPr>
                <w:sz w:val="20"/>
                <w:szCs w:val="20"/>
              </w:rPr>
            </w:pPr>
            <w:r w:rsidRPr="00184BB5">
              <w:rPr>
                <w:sz w:val="20"/>
                <w:szCs w:val="20"/>
              </w:rPr>
              <w:t>Primary activities:</w:t>
            </w:r>
          </w:p>
          <w:p w14:paraId="65721628" w14:textId="77777777" w:rsidR="004E3435" w:rsidRPr="00184BB5" w:rsidRDefault="004E3435" w:rsidP="0055688D">
            <w:pPr>
              <w:pStyle w:val="ListParagraph"/>
              <w:numPr>
                <w:ilvl w:val="0"/>
                <w:numId w:val="28"/>
              </w:numPr>
              <w:spacing w:after="40"/>
              <w:cnfStyle w:val="000000100000" w:firstRow="0" w:lastRow="0" w:firstColumn="0" w:lastColumn="0" w:oddVBand="0" w:evenVBand="0" w:oddHBand="1" w:evenHBand="0" w:firstRowFirstColumn="0" w:firstRowLastColumn="0" w:lastRowFirstColumn="0" w:lastRowLastColumn="0"/>
              <w:rPr>
                <w:sz w:val="20"/>
                <w:szCs w:val="20"/>
              </w:rPr>
            </w:pPr>
            <w:r w:rsidRPr="00184BB5">
              <w:rPr>
                <w:sz w:val="20"/>
                <w:szCs w:val="20"/>
              </w:rPr>
              <w:t>Airline food catering service</w:t>
            </w:r>
          </w:p>
          <w:p w14:paraId="66D65737" w14:textId="2D3C9345" w:rsidR="004E3435" w:rsidRPr="004E3435" w:rsidRDefault="004E3435" w:rsidP="0055688D">
            <w:pPr>
              <w:pStyle w:val="ListParagraph"/>
              <w:numPr>
                <w:ilvl w:val="0"/>
                <w:numId w:val="28"/>
              </w:numPr>
              <w:spacing w:after="40"/>
              <w:cnfStyle w:val="000000100000" w:firstRow="0" w:lastRow="0" w:firstColumn="0" w:lastColumn="0" w:oddVBand="0" w:evenVBand="0" w:oddHBand="1" w:evenHBand="0" w:firstRowFirstColumn="0" w:firstRowLastColumn="0" w:lastRowFirstColumn="0" w:lastRowLastColumn="0"/>
              <w:rPr>
                <w:sz w:val="20"/>
                <w:szCs w:val="20"/>
              </w:rPr>
            </w:pPr>
            <w:r w:rsidRPr="00184BB5">
              <w:rPr>
                <w:sz w:val="20"/>
                <w:szCs w:val="20"/>
              </w:rPr>
              <w:t>Catering service operation</w:t>
            </w:r>
          </w:p>
        </w:tc>
      </w:tr>
      <w:tr w:rsidR="004E3435" w:rsidRPr="00E67A4C" w14:paraId="16DDC6B7" w14:textId="09745457" w:rsidTr="004E3435">
        <w:tc>
          <w:tcPr>
            <w:cnfStyle w:val="001000000000" w:firstRow="0" w:lastRow="0" w:firstColumn="1" w:lastColumn="0" w:oddVBand="0" w:evenVBand="0" w:oddHBand="0" w:evenHBand="0" w:firstRowFirstColumn="0" w:firstRowLastColumn="0" w:lastRowFirstColumn="0" w:lastRowLastColumn="0"/>
            <w:tcW w:w="1701" w:type="dxa"/>
          </w:tcPr>
          <w:p w14:paraId="5CD06EFA" w14:textId="5EBE9532" w:rsidR="004E3435" w:rsidRPr="00075CAB" w:rsidRDefault="004E3435" w:rsidP="00BC7C82">
            <w:pPr>
              <w:spacing w:after="40"/>
              <w:rPr>
                <w:rFonts w:eastAsia="Calibri"/>
                <w:caps w:val="0"/>
                <w:sz w:val="20"/>
                <w:szCs w:val="20"/>
              </w:rPr>
            </w:pPr>
            <w:r w:rsidRPr="00184BB5">
              <w:rPr>
                <w:rFonts w:eastAsia="Calibri"/>
                <w:caps w:val="0"/>
                <w:sz w:val="20"/>
                <w:szCs w:val="20"/>
              </w:rPr>
              <w:t xml:space="preserve">Pubs, </w:t>
            </w:r>
            <w:r>
              <w:rPr>
                <w:rFonts w:eastAsia="Calibri"/>
                <w:caps w:val="0"/>
                <w:sz w:val="20"/>
                <w:szCs w:val="20"/>
              </w:rPr>
              <w:t>t</w:t>
            </w:r>
            <w:r w:rsidRPr="00184BB5">
              <w:rPr>
                <w:rFonts w:eastAsia="Calibri"/>
                <w:caps w:val="0"/>
                <w:sz w:val="20"/>
                <w:szCs w:val="20"/>
              </w:rPr>
              <w:t>averns</w:t>
            </w:r>
            <w:r>
              <w:rPr>
                <w:rFonts w:eastAsia="Calibri"/>
                <w:caps w:val="0"/>
                <w:sz w:val="20"/>
                <w:szCs w:val="20"/>
              </w:rPr>
              <w:t xml:space="preserve">, </w:t>
            </w:r>
            <w:r w:rsidR="00FC3FB0">
              <w:rPr>
                <w:rFonts w:eastAsia="Calibri"/>
                <w:caps w:val="0"/>
                <w:sz w:val="20"/>
                <w:szCs w:val="20"/>
              </w:rPr>
              <w:t>nightclubs,</w:t>
            </w:r>
            <w:r w:rsidRPr="00184BB5">
              <w:rPr>
                <w:rFonts w:eastAsia="Calibri"/>
                <w:caps w:val="0"/>
                <w:sz w:val="20"/>
                <w:szCs w:val="20"/>
              </w:rPr>
              <w:t xml:space="preserve"> and </w:t>
            </w:r>
            <w:r>
              <w:rPr>
                <w:rFonts w:eastAsia="Calibri"/>
                <w:caps w:val="0"/>
                <w:sz w:val="20"/>
                <w:szCs w:val="20"/>
              </w:rPr>
              <w:t>b</w:t>
            </w:r>
            <w:r w:rsidRPr="00184BB5">
              <w:rPr>
                <w:rFonts w:eastAsia="Calibri"/>
                <w:caps w:val="0"/>
                <w:sz w:val="20"/>
                <w:szCs w:val="20"/>
              </w:rPr>
              <w:t>ars</w:t>
            </w:r>
          </w:p>
        </w:tc>
        <w:tc>
          <w:tcPr>
            <w:tcW w:w="1418" w:type="dxa"/>
          </w:tcPr>
          <w:p w14:paraId="433E5186" w14:textId="7A257229" w:rsidR="004E3435" w:rsidRPr="00075CAB" w:rsidRDefault="004E3435" w:rsidP="00BC7C82">
            <w:pPr>
              <w:spacing w:after="40"/>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184BB5">
              <w:rPr>
                <w:rFonts w:eastAsia="Calibri"/>
                <w:sz w:val="20"/>
                <w:szCs w:val="20"/>
              </w:rPr>
              <w:t>H452000</w:t>
            </w:r>
            <w:r>
              <w:rPr>
                <w:rFonts w:eastAsia="Calibri"/>
                <w:sz w:val="20"/>
                <w:szCs w:val="20"/>
              </w:rPr>
              <w:t>: Pubs, Taverns and Bars</w:t>
            </w:r>
          </w:p>
        </w:tc>
        <w:tc>
          <w:tcPr>
            <w:tcW w:w="5953" w:type="dxa"/>
          </w:tcPr>
          <w:p w14:paraId="3F7ECA68" w14:textId="77777777" w:rsidR="004E3435" w:rsidRPr="00184BB5" w:rsidRDefault="004E3435" w:rsidP="00BC7C82">
            <w:pPr>
              <w:spacing w:after="40"/>
              <w:cnfStyle w:val="000000000000" w:firstRow="0" w:lastRow="0" w:firstColumn="0" w:lastColumn="0" w:oddVBand="0" w:evenVBand="0" w:oddHBand="0" w:evenHBand="0" w:firstRowFirstColumn="0" w:firstRowLastColumn="0" w:lastRowFirstColumn="0" w:lastRowLastColumn="0"/>
              <w:rPr>
                <w:sz w:val="20"/>
                <w:szCs w:val="20"/>
              </w:rPr>
            </w:pPr>
            <w:r w:rsidRPr="00184BB5">
              <w:rPr>
                <w:sz w:val="20"/>
                <w:szCs w:val="20"/>
              </w:rPr>
              <w:t>Mainly engaged in serving alcoholic beverages for consumption on the premises, or in selling alcoholic beverages both for consumption on and off the premises. These units may also provide food services and/or present live entertainment.</w:t>
            </w:r>
          </w:p>
          <w:p w14:paraId="5A6D7DBD" w14:textId="77777777" w:rsidR="004E3435" w:rsidRPr="00184BB5" w:rsidRDefault="004E3435" w:rsidP="00BC7C82">
            <w:pPr>
              <w:spacing w:after="40"/>
              <w:cnfStyle w:val="000000000000" w:firstRow="0" w:lastRow="0" w:firstColumn="0" w:lastColumn="0" w:oddVBand="0" w:evenVBand="0" w:oddHBand="0" w:evenHBand="0" w:firstRowFirstColumn="0" w:firstRowLastColumn="0" w:lastRowFirstColumn="0" w:lastRowLastColumn="0"/>
              <w:rPr>
                <w:sz w:val="20"/>
                <w:szCs w:val="20"/>
              </w:rPr>
            </w:pPr>
            <w:r w:rsidRPr="00184BB5">
              <w:rPr>
                <w:sz w:val="20"/>
                <w:szCs w:val="20"/>
              </w:rPr>
              <w:t>Primary activities:</w:t>
            </w:r>
          </w:p>
          <w:p w14:paraId="357DB45F" w14:textId="77777777" w:rsidR="004E3435" w:rsidRPr="00184BB5" w:rsidRDefault="004E3435" w:rsidP="0055688D">
            <w:pPr>
              <w:pStyle w:val="ListParagraph"/>
              <w:numPr>
                <w:ilvl w:val="0"/>
                <w:numId w:val="28"/>
              </w:numPr>
              <w:spacing w:after="40"/>
              <w:cnfStyle w:val="000000000000" w:firstRow="0" w:lastRow="0" w:firstColumn="0" w:lastColumn="0" w:oddVBand="0" w:evenVBand="0" w:oddHBand="0" w:evenHBand="0" w:firstRowFirstColumn="0" w:firstRowLastColumn="0" w:lastRowFirstColumn="0" w:lastRowLastColumn="0"/>
              <w:rPr>
                <w:sz w:val="20"/>
                <w:szCs w:val="20"/>
              </w:rPr>
            </w:pPr>
            <w:r w:rsidRPr="00184BB5">
              <w:rPr>
                <w:sz w:val="20"/>
                <w:szCs w:val="20"/>
              </w:rPr>
              <w:t xml:space="preserve">Bar operation </w:t>
            </w:r>
          </w:p>
          <w:p w14:paraId="327D6BE4" w14:textId="77777777" w:rsidR="004E3435" w:rsidRPr="00184BB5" w:rsidRDefault="004E3435" w:rsidP="0055688D">
            <w:pPr>
              <w:pStyle w:val="ListParagraph"/>
              <w:numPr>
                <w:ilvl w:val="0"/>
                <w:numId w:val="28"/>
              </w:numPr>
              <w:spacing w:after="40"/>
              <w:cnfStyle w:val="000000000000" w:firstRow="0" w:lastRow="0" w:firstColumn="0" w:lastColumn="0" w:oddVBand="0" w:evenVBand="0" w:oddHBand="0" w:evenHBand="0" w:firstRowFirstColumn="0" w:firstRowLastColumn="0" w:lastRowFirstColumn="0" w:lastRowLastColumn="0"/>
              <w:rPr>
                <w:sz w:val="20"/>
                <w:szCs w:val="20"/>
              </w:rPr>
            </w:pPr>
            <w:r w:rsidRPr="00184BB5">
              <w:rPr>
                <w:sz w:val="20"/>
                <w:szCs w:val="20"/>
              </w:rPr>
              <w:t xml:space="preserve">Hotel bar operation </w:t>
            </w:r>
          </w:p>
          <w:p w14:paraId="10A0D955" w14:textId="77777777" w:rsidR="004E3435" w:rsidRPr="00184BB5" w:rsidRDefault="004E3435" w:rsidP="0055688D">
            <w:pPr>
              <w:pStyle w:val="ListParagraph"/>
              <w:numPr>
                <w:ilvl w:val="0"/>
                <w:numId w:val="28"/>
              </w:numPr>
              <w:spacing w:after="40"/>
              <w:cnfStyle w:val="000000000000" w:firstRow="0" w:lastRow="0" w:firstColumn="0" w:lastColumn="0" w:oddVBand="0" w:evenVBand="0" w:oddHBand="0" w:evenHBand="0" w:firstRowFirstColumn="0" w:firstRowLastColumn="0" w:lastRowFirstColumn="0" w:lastRowLastColumn="0"/>
              <w:rPr>
                <w:sz w:val="20"/>
                <w:szCs w:val="20"/>
              </w:rPr>
            </w:pPr>
            <w:r w:rsidRPr="00184BB5">
              <w:rPr>
                <w:sz w:val="20"/>
                <w:szCs w:val="20"/>
              </w:rPr>
              <w:t xml:space="preserve">Night club operation </w:t>
            </w:r>
          </w:p>
          <w:p w14:paraId="05BE3AA5" w14:textId="77777777" w:rsidR="004E3435" w:rsidRPr="00184BB5" w:rsidRDefault="004E3435" w:rsidP="0055688D">
            <w:pPr>
              <w:pStyle w:val="ListParagraph"/>
              <w:numPr>
                <w:ilvl w:val="0"/>
                <w:numId w:val="28"/>
              </w:numPr>
              <w:spacing w:after="40"/>
              <w:cnfStyle w:val="000000000000" w:firstRow="0" w:lastRow="0" w:firstColumn="0" w:lastColumn="0" w:oddVBand="0" w:evenVBand="0" w:oddHBand="0" w:evenHBand="0" w:firstRowFirstColumn="0" w:firstRowLastColumn="0" w:lastRowFirstColumn="0" w:lastRowLastColumn="0"/>
              <w:rPr>
                <w:sz w:val="20"/>
                <w:szCs w:val="20"/>
              </w:rPr>
            </w:pPr>
            <w:r w:rsidRPr="00184BB5">
              <w:rPr>
                <w:sz w:val="20"/>
                <w:szCs w:val="20"/>
              </w:rPr>
              <w:t xml:space="preserve">Pub operation </w:t>
            </w:r>
          </w:p>
          <w:p w14:paraId="6DDC7839" w14:textId="77777777" w:rsidR="004E3435" w:rsidRPr="00184BB5" w:rsidRDefault="004E3435" w:rsidP="0055688D">
            <w:pPr>
              <w:pStyle w:val="ListParagraph"/>
              <w:numPr>
                <w:ilvl w:val="0"/>
                <w:numId w:val="28"/>
              </w:numPr>
              <w:spacing w:after="40"/>
              <w:cnfStyle w:val="000000000000" w:firstRow="0" w:lastRow="0" w:firstColumn="0" w:lastColumn="0" w:oddVBand="0" w:evenVBand="0" w:oddHBand="0" w:evenHBand="0" w:firstRowFirstColumn="0" w:firstRowLastColumn="0" w:lastRowFirstColumn="0" w:lastRowLastColumn="0"/>
              <w:rPr>
                <w:sz w:val="20"/>
                <w:szCs w:val="20"/>
              </w:rPr>
            </w:pPr>
            <w:r w:rsidRPr="00184BB5">
              <w:rPr>
                <w:sz w:val="20"/>
                <w:szCs w:val="20"/>
              </w:rPr>
              <w:t xml:space="preserve">Tavern operation </w:t>
            </w:r>
          </w:p>
          <w:p w14:paraId="4A594779" w14:textId="5518AF55" w:rsidR="004E3435" w:rsidRPr="00DB4340" w:rsidRDefault="004E3435" w:rsidP="0055688D">
            <w:pPr>
              <w:pStyle w:val="ListParagraph"/>
              <w:numPr>
                <w:ilvl w:val="0"/>
                <w:numId w:val="28"/>
              </w:numPr>
              <w:spacing w:after="40"/>
              <w:cnfStyle w:val="000000000000" w:firstRow="0" w:lastRow="0" w:firstColumn="0" w:lastColumn="0" w:oddVBand="0" w:evenVBand="0" w:oddHBand="0" w:evenHBand="0" w:firstRowFirstColumn="0" w:firstRowLastColumn="0" w:lastRowFirstColumn="0" w:lastRowLastColumn="0"/>
              <w:rPr>
                <w:sz w:val="20"/>
                <w:szCs w:val="20"/>
              </w:rPr>
            </w:pPr>
            <w:r w:rsidRPr="00184BB5">
              <w:rPr>
                <w:sz w:val="20"/>
                <w:szCs w:val="20"/>
              </w:rPr>
              <w:t>Wine bar operation</w:t>
            </w:r>
          </w:p>
        </w:tc>
      </w:tr>
      <w:tr w:rsidR="004E3435" w:rsidRPr="00E67A4C" w14:paraId="4611CFAE" w14:textId="3F645937" w:rsidTr="004E3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3F55DC0A" w14:textId="0BCA1AE6" w:rsidR="004E3435" w:rsidRPr="00075CAB" w:rsidRDefault="004E3435" w:rsidP="00BC7C82">
            <w:pPr>
              <w:spacing w:after="40"/>
              <w:rPr>
                <w:rFonts w:eastAsia="Calibri"/>
                <w:caps w:val="0"/>
                <w:sz w:val="20"/>
                <w:szCs w:val="20"/>
              </w:rPr>
            </w:pPr>
            <w:r>
              <w:rPr>
                <w:rFonts w:eastAsia="Calibri"/>
                <w:caps w:val="0"/>
                <w:sz w:val="20"/>
                <w:szCs w:val="20"/>
              </w:rPr>
              <w:t>Social clubs</w:t>
            </w:r>
          </w:p>
        </w:tc>
        <w:tc>
          <w:tcPr>
            <w:tcW w:w="1418" w:type="dxa"/>
          </w:tcPr>
          <w:p w14:paraId="5BE733CA" w14:textId="6376ABCA" w:rsidR="004E3435" w:rsidRPr="00075CAB" w:rsidRDefault="004E3435" w:rsidP="00BC7C82">
            <w:pPr>
              <w:spacing w:after="40"/>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184BB5">
              <w:rPr>
                <w:rFonts w:eastAsia="Calibri"/>
                <w:sz w:val="20"/>
                <w:szCs w:val="20"/>
              </w:rPr>
              <w:t>H453000</w:t>
            </w:r>
            <w:r>
              <w:rPr>
                <w:rFonts w:eastAsia="Calibri"/>
                <w:sz w:val="20"/>
                <w:szCs w:val="20"/>
              </w:rPr>
              <w:t>: Clubs (Hospitality)</w:t>
            </w:r>
          </w:p>
        </w:tc>
        <w:tc>
          <w:tcPr>
            <w:tcW w:w="5953" w:type="dxa"/>
          </w:tcPr>
          <w:p w14:paraId="13B8726A" w14:textId="27C4FD9D" w:rsidR="004E3435" w:rsidRDefault="004E3435" w:rsidP="00BC7C82">
            <w:pPr>
              <w:spacing w:after="40"/>
              <w:cnfStyle w:val="000000100000" w:firstRow="0" w:lastRow="0" w:firstColumn="0" w:lastColumn="0" w:oddVBand="0" w:evenVBand="0" w:oddHBand="1" w:evenHBand="0" w:firstRowFirstColumn="0" w:firstRowLastColumn="0" w:lastRowFirstColumn="0" w:lastRowLastColumn="0"/>
              <w:rPr>
                <w:sz w:val="20"/>
                <w:szCs w:val="20"/>
              </w:rPr>
            </w:pPr>
            <w:r w:rsidRPr="00184BB5">
              <w:rPr>
                <w:sz w:val="20"/>
                <w:szCs w:val="20"/>
              </w:rPr>
              <w:t>Mainly engaged in providing hospitality services to members. These hospitality services include gambling, sporting or other social or entertainment facilities.</w:t>
            </w:r>
          </w:p>
          <w:p w14:paraId="260A0874" w14:textId="77777777" w:rsidR="004E3435" w:rsidRPr="00184BB5" w:rsidRDefault="004E3435" w:rsidP="00BC7C82">
            <w:pPr>
              <w:spacing w:after="40"/>
              <w:cnfStyle w:val="000000100000" w:firstRow="0" w:lastRow="0" w:firstColumn="0" w:lastColumn="0" w:oddVBand="0" w:evenVBand="0" w:oddHBand="1" w:evenHBand="0" w:firstRowFirstColumn="0" w:firstRowLastColumn="0" w:lastRowFirstColumn="0" w:lastRowLastColumn="0"/>
              <w:rPr>
                <w:sz w:val="20"/>
                <w:szCs w:val="20"/>
              </w:rPr>
            </w:pPr>
            <w:r w:rsidRPr="00184BB5">
              <w:rPr>
                <w:sz w:val="20"/>
                <w:szCs w:val="20"/>
              </w:rPr>
              <w:t>Primary activities:</w:t>
            </w:r>
          </w:p>
          <w:p w14:paraId="4FBAA326" w14:textId="66B785EE" w:rsidR="004E3435" w:rsidRPr="00DB4340" w:rsidRDefault="004E3435" w:rsidP="0055688D">
            <w:pPr>
              <w:pStyle w:val="ListParagraph"/>
              <w:numPr>
                <w:ilvl w:val="0"/>
                <w:numId w:val="29"/>
              </w:numPr>
              <w:spacing w:after="40"/>
              <w:cnfStyle w:val="000000100000" w:firstRow="0" w:lastRow="0" w:firstColumn="0" w:lastColumn="0" w:oddVBand="0" w:evenVBand="0" w:oddHBand="1" w:evenHBand="0" w:firstRowFirstColumn="0" w:firstRowLastColumn="0" w:lastRowFirstColumn="0" w:lastRowLastColumn="0"/>
              <w:rPr>
                <w:sz w:val="20"/>
                <w:szCs w:val="20"/>
              </w:rPr>
            </w:pPr>
            <w:r w:rsidRPr="00184BB5">
              <w:rPr>
                <w:sz w:val="20"/>
                <w:szCs w:val="20"/>
              </w:rPr>
              <w:t>Hospitality club operation</w:t>
            </w:r>
          </w:p>
        </w:tc>
      </w:tr>
      <w:tr w:rsidR="004E3435" w:rsidRPr="00E67A4C" w14:paraId="4C48F259" w14:textId="5626014E" w:rsidTr="004E3435">
        <w:tc>
          <w:tcPr>
            <w:cnfStyle w:val="001000000000" w:firstRow="0" w:lastRow="0" w:firstColumn="1" w:lastColumn="0" w:oddVBand="0" w:evenVBand="0" w:oddHBand="0" w:evenHBand="0" w:firstRowFirstColumn="0" w:firstRowLastColumn="0" w:lastRowFirstColumn="0" w:lastRowLastColumn="0"/>
            <w:tcW w:w="1701" w:type="dxa"/>
          </w:tcPr>
          <w:p w14:paraId="3ED9E12C" w14:textId="052B2593" w:rsidR="004E3435" w:rsidRPr="00075CAB" w:rsidRDefault="004E3435" w:rsidP="00BC7C82">
            <w:pPr>
              <w:spacing w:after="40"/>
              <w:rPr>
                <w:rFonts w:eastAsia="Calibri"/>
                <w:caps w:val="0"/>
                <w:sz w:val="20"/>
                <w:szCs w:val="20"/>
              </w:rPr>
            </w:pPr>
            <w:r w:rsidRPr="00184BB5">
              <w:rPr>
                <w:rFonts w:eastAsia="Calibri"/>
                <w:caps w:val="0"/>
                <w:sz w:val="20"/>
                <w:szCs w:val="20"/>
              </w:rPr>
              <w:t>Supermarkets</w:t>
            </w:r>
            <w:r>
              <w:rPr>
                <w:rFonts w:eastAsia="Calibri"/>
                <w:caps w:val="0"/>
                <w:sz w:val="20"/>
                <w:szCs w:val="20"/>
              </w:rPr>
              <w:t>, g</w:t>
            </w:r>
            <w:r w:rsidRPr="00184BB5">
              <w:rPr>
                <w:rFonts w:eastAsia="Calibri"/>
                <w:caps w:val="0"/>
                <w:sz w:val="20"/>
                <w:szCs w:val="20"/>
              </w:rPr>
              <w:t xml:space="preserve">rocery </w:t>
            </w:r>
            <w:r>
              <w:rPr>
                <w:rFonts w:eastAsia="Calibri"/>
                <w:caps w:val="0"/>
                <w:sz w:val="20"/>
                <w:szCs w:val="20"/>
              </w:rPr>
              <w:t>s</w:t>
            </w:r>
            <w:r w:rsidRPr="00184BB5">
              <w:rPr>
                <w:rFonts w:eastAsia="Calibri"/>
                <w:caps w:val="0"/>
                <w:sz w:val="20"/>
                <w:szCs w:val="20"/>
              </w:rPr>
              <w:t>tores</w:t>
            </w:r>
            <w:r>
              <w:rPr>
                <w:rFonts w:eastAsia="Calibri"/>
                <w:caps w:val="0"/>
                <w:sz w:val="20"/>
                <w:szCs w:val="20"/>
              </w:rPr>
              <w:t xml:space="preserve"> and convenience stores</w:t>
            </w:r>
          </w:p>
        </w:tc>
        <w:tc>
          <w:tcPr>
            <w:tcW w:w="1418" w:type="dxa"/>
          </w:tcPr>
          <w:p w14:paraId="25BF8270" w14:textId="77777777" w:rsidR="004E3435" w:rsidRPr="00184BB5" w:rsidRDefault="004E3435" w:rsidP="00BC7C82">
            <w:pPr>
              <w:spacing w:after="40"/>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184BB5">
              <w:rPr>
                <w:rFonts w:eastAsia="Calibri"/>
                <w:sz w:val="20"/>
                <w:szCs w:val="20"/>
              </w:rPr>
              <w:t xml:space="preserve">G411000: </w:t>
            </w:r>
            <w:r>
              <w:rPr>
                <w:rFonts w:eastAsia="Calibri"/>
                <w:sz w:val="20"/>
                <w:szCs w:val="20"/>
              </w:rPr>
              <w:t>Supermarkets and Grocery Stores</w:t>
            </w:r>
          </w:p>
          <w:p w14:paraId="47A021F0" w14:textId="634D32C6" w:rsidR="004E3435" w:rsidRPr="00075CAB" w:rsidRDefault="004E3435" w:rsidP="00BC7C82">
            <w:pPr>
              <w:spacing w:after="40"/>
              <w:cnfStyle w:val="000000000000" w:firstRow="0" w:lastRow="0" w:firstColumn="0" w:lastColumn="0" w:oddVBand="0" w:evenVBand="0" w:oddHBand="0" w:evenHBand="0" w:firstRowFirstColumn="0" w:firstRowLastColumn="0" w:lastRowFirstColumn="0" w:lastRowLastColumn="0"/>
              <w:rPr>
                <w:rFonts w:eastAsia="Calibri"/>
                <w:sz w:val="20"/>
                <w:szCs w:val="20"/>
              </w:rPr>
            </w:pPr>
          </w:p>
        </w:tc>
        <w:tc>
          <w:tcPr>
            <w:tcW w:w="5953" w:type="dxa"/>
          </w:tcPr>
          <w:p w14:paraId="3EFBC021" w14:textId="77777777" w:rsidR="004E3435" w:rsidRPr="00184BB5" w:rsidRDefault="004E3435" w:rsidP="00BC7C82">
            <w:pPr>
              <w:spacing w:after="40"/>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184BB5">
              <w:rPr>
                <w:rFonts w:eastAsia="Calibri"/>
                <w:sz w:val="20"/>
                <w:szCs w:val="20"/>
              </w:rPr>
              <w:lastRenderedPageBreak/>
              <w:t>Mainly engaged in retailing groceries or non-specialised food lines (including convenience stores), whether or not the selling is organised on a self-service basis.</w:t>
            </w:r>
          </w:p>
          <w:p w14:paraId="24DE9950" w14:textId="77777777" w:rsidR="004E3435" w:rsidRPr="00184BB5" w:rsidRDefault="004E3435" w:rsidP="00BC7C82">
            <w:pPr>
              <w:spacing w:after="40"/>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184BB5">
              <w:rPr>
                <w:rFonts w:eastAsia="Calibri"/>
                <w:sz w:val="20"/>
                <w:szCs w:val="20"/>
              </w:rPr>
              <w:t>Primary activities:</w:t>
            </w:r>
          </w:p>
          <w:p w14:paraId="7EA1268A" w14:textId="77777777" w:rsidR="004E3435" w:rsidRDefault="004E3435" w:rsidP="0055688D">
            <w:pPr>
              <w:pStyle w:val="ListParagraph"/>
              <w:numPr>
                <w:ilvl w:val="0"/>
                <w:numId w:val="23"/>
              </w:numPr>
              <w:spacing w:after="40"/>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184BB5">
              <w:rPr>
                <w:rFonts w:eastAsia="Calibri"/>
                <w:sz w:val="20"/>
                <w:szCs w:val="20"/>
              </w:rPr>
              <w:lastRenderedPageBreak/>
              <w:t>Convenience store operation</w:t>
            </w:r>
          </w:p>
          <w:p w14:paraId="73E8B23C" w14:textId="22E2CEE5" w:rsidR="004E3435" w:rsidRDefault="004E3435" w:rsidP="0055688D">
            <w:pPr>
              <w:pStyle w:val="ListParagraph"/>
              <w:numPr>
                <w:ilvl w:val="0"/>
                <w:numId w:val="23"/>
              </w:numPr>
              <w:spacing w:after="40"/>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DB4340">
              <w:rPr>
                <w:rFonts w:eastAsia="Calibri"/>
                <w:sz w:val="20"/>
                <w:szCs w:val="20"/>
              </w:rPr>
              <w:t>Grocery retailing</w:t>
            </w:r>
          </w:p>
          <w:p w14:paraId="6542BC91" w14:textId="66F5AD0C" w:rsidR="004E3435" w:rsidRPr="00DB4340" w:rsidRDefault="004E3435" w:rsidP="0055688D">
            <w:pPr>
              <w:pStyle w:val="ListParagraph"/>
              <w:numPr>
                <w:ilvl w:val="0"/>
                <w:numId w:val="23"/>
              </w:numPr>
              <w:spacing w:after="40"/>
              <w:cnfStyle w:val="000000000000" w:firstRow="0" w:lastRow="0" w:firstColumn="0" w:lastColumn="0" w:oddVBand="0" w:evenVBand="0" w:oddHBand="0" w:evenHBand="0" w:firstRowFirstColumn="0" w:firstRowLastColumn="0" w:lastRowFirstColumn="0" w:lastRowLastColumn="0"/>
              <w:rPr>
                <w:rFonts w:eastAsia="Calibri"/>
                <w:sz w:val="20"/>
                <w:szCs w:val="20"/>
              </w:rPr>
            </w:pPr>
            <w:r>
              <w:rPr>
                <w:rFonts w:eastAsia="Calibri"/>
                <w:sz w:val="20"/>
                <w:szCs w:val="20"/>
              </w:rPr>
              <w:t>Grocery supermarket operation</w:t>
            </w:r>
          </w:p>
        </w:tc>
      </w:tr>
      <w:tr w:rsidR="004E3435" w:rsidRPr="00184BB5" w14:paraId="56668DB9" w14:textId="09BFB301" w:rsidTr="004E3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6E442F9E" w14:textId="0272F7FD" w:rsidR="004E3435" w:rsidRPr="00075CAB" w:rsidRDefault="004E3435" w:rsidP="00BC7C82">
            <w:pPr>
              <w:spacing w:after="40"/>
              <w:rPr>
                <w:rFonts w:eastAsia="Calibri"/>
                <w:sz w:val="20"/>
                <w:szCs w:val="20"/>
              </w:rPr>
            </w:pPr>
            <w:r>
              <w:rPr>
                <w:rFonts w:eastAsia="Calibri"/>
                <w:caps w:val="0"/>
                <w:sz w:val="20"/>
                <w:szCs w:val="20"/>
              </w:rPr>
              <w:lastRenderedPageBreak/>
              <w:t>Other food retailing (includes bakeries and cake stores)</w:t>
            </w:r>
          </w:p>
        </w:tc>
        <w:tc>
          <w:tcPr>
            <w:tcW w:w="1418" w:type="dxa"/>
          </w:tcPr>
          <w:p w14:paraId="48E3A9AC" w14:textId="1C39B35E" w:rsidR="004E3435" w:rsidRPr="00075CAB" w:rsidRDefault="004E3435" w:rsidP="00BC7C82">
            <w:pPr>
              <w:spacing w:after="40"/>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184BB5">
              <w:rPr>
                <w:rFonts w:eastAsia="Calibri"/>
                <w:sz w:val="20"/>
                <w:szCs w:val="20"/>
              </w:rPr>
              <w:t>G412900</w:t>
            </w:r>
            <w:r>
              <w:rPr>
                <w:rFonts w:eastAsia="Calibri"/>
                <w:sz w:val="20"/>
                <w:szCs w:val="20"/>
              </w:rPr>
              <w:t>: Specialised Food Retailing</w:t>
            </w:r>
          </w:p>
        </w:tc>
        <w:tc>
          <w:tcPr>
            <w:tcW w:w="5953" w:type="dxa"/>
          </w:tcPr>
          <w:p w14:paraId="7EE927F2" w14:textId="77777777" w:rsidR="004E3435" w:rsidRPr="00184BB5" w:rsidRDefault="004E3435" w:rsidP="00BC7C82">
            <w:pPr>
              <w:spacing w:after="40"/>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184BB5">
              <w:rPr>
                <w:rFonts w:eastAsia="Calibri"/>
                <w:sz w:val="20"/>
                <w:szCs w:val="20"/>
              </w:rPr>
              <w:t>Mainly engaged in retailing specialised food lines (not manufactured on the same premises)</w:t>
            </w:r>
          </w:p>
          <w:p w14:paraId="2C681DF5" w14:textId="77777777" w:rsidR="004E3435" w:rsidRPr="00184BB5" w:rsidRDefault="004E3435" w:rsidP="00BC7C82">
            <w:pPr>
              <w:spacing w:after="40"/>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184BB5">
              <w:rPr>
                <w:rFonts w:eastAsia="Calibri"/>
                <w:sz w:val="20"/>
                <w:szCs w:val="20"/>
              </w:rPr>
              <w:t>Primary activities:</w:t>
            </w:r>
          </w:p>
          <w:p w14:paraId="3152047D" w14:textId="77777777" w:rsidR="004E3435" w:rsidRPr="00184BB5" w:rsidRDefault="004E3435" w:rsidP="0055688D">
            <w:pPr>
              <w:pStyle w:val="ListParagraph"/>
              <w:numPr>
                <w:ilvl w:val="0"/>
                <w:numId w:val="24"/>
              </w:numPr>
              <w:spacing w:after="40"/>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184BB5">
              <w:rPr>
                <w:rFonts w:eastAsia="Calibri"/>
                <w:sz w:val="20"/>
                <w:szCs w:val="20"/>
              </w:rPr>
              <w:t>Biscuit retailing</w:t>
            </w:r>
          </w:p>
          <w:p w14:paraId="32830A00" w14:textId="77777777" w:rsidR="004E3435" w:rsidRPr="00184BB5" w:rsidRDefault="004E3435" w:rsidP="0055688D">
            <w:pPr>
              <w:pStyle w:val="ListParagraph"/>
              <w:numPr>
                <w:ilvl w:val="0"/>
                <w:numId w:val="24"/>
              </w:numPr>
              <w:spacing w:after="40"/>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184BB5">
              <w:rPr>
                <w:rFonts w:eastAsia="Calibri"/>
                <w:sz w:val="20"/>
                <w:szCs w:val="20"/>
              </w:rPr>
              <w:t>Bread retailing</w:t>
            </w:r>
          </w:p>
          <w:p w14:paraId="68236CA0" w14:textId="77777777" w:rsidR="004E3435" w:rsidRPr="00184BB5" w:rsidRDefault="004E3435" w:rsidP="0055688D">
            <w:pPr>
              <w:pStyle w:val="ListParagraph"/>
              <w:numPr>
                <w:ilvl w:val="0"/>
                <w:numId w:val="24"/>
              </w:numPr>
              <w:spacing w:after="40"/>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184BB5">
              <w:rPr>
                <w:rFonts w:eastAsia="Calibri"/>
                <w:sz w:val="20"/>
                <w:szCs w:val="20"/>
              </w:rPr>
              <w:t>Bread vendor</w:t>
            </w:r>
          </w:p>
          <w:p w14:paraId="320B3308" w14:textId="77777777" w:rsidR="004E3435" w:rsidRPr="00184BB5" w:rsidRDefault="004E3435" w:rsidP="0055688D">
            <w:pPr>
              <w:pStyle w:val="ListParagraph"/>
              <w:numPr>
                <w:ilvl w:val="0"/>
                <w:numId w:val="24"/>
              </w:numPr>
              <w:spacing w:after="40"/>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184BB5">
              <w:rPr>
                <w:rFonts w:eastAsia="Calibri"/>
                <w:sz w:val="20"/>
                <w:szCs w:val="20"/>
              </w:rPr>
              <w:t>Cake retailing</w:t>
            </w:r>
          </w:p>
          <w:p w14:paraId="72B18BE0" w14:textId="77777777" w:rsidR="004E3435" w:rsidRPr="00184BB5" w:rsidRDefault="004E3435" w:rsidP="0055688D">
            <w:pPr>
              <w:pStyle w:val="ListParagraph"/>
              <w:numPr>
                <w:ilvl w:val="0"/>
                <w:numId w:val="24"/>
              </w:numPr>
              <w:spacing w:after="40"/>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184BB5">
              <w:rPr>
                <w:rFonts w:eastAsia="Calibri"/>
                <w:sz w:val="20"/>
                <w:szCs w:val="20"/>
              </w:rPr>
              <w:t>Confectionery retailing</w:t>
            </w:r>
          </w:p>
          <w:p w14:paraId="205005A4" w14:textId="77777777" w:rsidR="004E3435" w:rsidRPr="00184BB5" w:rsidRDefault="004E3435" w:rsidP="0055688D">
            <w:pPr>
              <w:pStyle w:val="ListParagraph"/>
              <w:numPr>
                <w:ilvl w:val="0"/>
                <w:numId w:val="24"/>
              </w:numPr>
              <w:spacing w:after="40"/>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184BB5">
              <w:rPr>
                <w:rFonts w:eastAsia="Calibri"/>
                <w:sz w:val="20"/>
                <w:szCs w:val="20"/>
              </w:rPr>
              <w:t>Non-alcoholic drinks retailing</w:t>
            </w:r>
          </w:p>
          <w:p w14:paraId="38F52265" w14:textId="3BE80B85" w:rsidR="004E3435" w:rsidRDefault="004E3435" w:rsidP="0055688D">
            <w:pPr>
              <w:pStyle w:val="ListParagraph"/>
              <w:numPr>
                <w:ilvl w:val="0"/>
                <w:numId w:val="24"/>
              </w:numPr>
              <w:spacing w:after="40"/>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184BB5">
              <w:rPr>
                <w:rFonts w:eastAsia="Calibri"/>
                <w:sz w:val="20"/>
                <w:szCs w:val="20"/>
              </w:rPr>
              <w:t>Pastry retailing</w:t>
            </w:r>
          </w:p>
          <w:p w14:paraId="6B425111" w14:textId="2538116F" w:rsidR="004E3435" w:rsidRPr="00DB4340" w:rsidRDefault="004E3435" w:rsidP="0055688D">
            <w:pPr>
              <w:pStyle w:val="ListParagraph"/>
              <w:numPr>
                <w:ilvl w:val="0"/>
                <w:numId w:val="24"/>
              </w:numPr>
              <w:spacing w:after="40"/>
              <w:cnfStyle w:val="000000100000" w:firstRow="0" w:lastRow="0" w:firstColumn="0" w:lastColumn="0" w:oddVBand="0" w:evenVBand="0" w:oddHBand="1" w:evenHBand="0" w:firstRowFirstColumn="0" w:firstRowLastColumn="0" w:lastRowFirstColumn="0" w:lastRowLastColumn="0"/>
              <w:rPr>
                <w:rFonts w:eastAsia="Calibri"/>
                <w:sz w:val="20"/>
                <w:szCs w:val="20"/>
              </w:rPr>
            </w:pPr>
            <w:r>
              <w:rPr>
                <w:rFonts w:eastAsia="Calibri"/>
                <w:sz w:val="20"/>
                <w:szCs w:val="20"/>
              </w:rPr>
              <w:t>Smallgoods retailing</w:t>
            </w:r>
          </w:p>
        </w:tc>
      </w:tr>
      <w:tr w:rsidR="004E3435" w:rsidRPr="00184BB5" w14:paraId="71ABED66" w14:textId="149B540E" w:rsidTr="004E3435">
        <w:tc>
          <w:tcPr>
            <w:cnfStyle w:val="001000000000" w:firstRow="0" w:lastRow="0" w:firstColumn="1" w:lastColumn="0" w:oddVBand="0" w:evenVBand="0" w:oddHBand="0" w:evenHBand="0" w:firstRowFirstColumn="0" w:firstRowLastColumn="0" w:lastRowFirstColumn="0" w:lastRowLastColumn="0"/>
            <w:tcW w:w="1701" w:type="dxa"/>
          </w:tcPr>
          <w:p w14:paraId="2B6DDAC7" w14:textId="7EEF18BE" w:rsidR="004E3435" w:rsidRPr="00184BB5" w:rsidRDefault="004E3435" w:rsidP="00BC7C82">
            <w:pPr>
              <w:spacing w:after="40"/>
              <w:rPr>
                <w:rFonts w:eastAsia="Calibri"/>
                <w:b w:val="0"/>
                <w:bCs w:val="0"/>
                <w:sz w:val="20"/>
                <w:szCs w:val="20"/>
              </w:rPr>
            </w:pPr>
            <w:r>
              <w:rPr>
                <w:rFonts w:eastAsia="Calibri"/>
                <w:caps w:val="0"/>
                <w:sz w:val="20"/>
                <w:szCs w:val="20"/>
              </w:rPr>
              <w:t>Vending machines and online food platforms</w:t>
            </w:r>
          </w:p>
          <w:p w14:paraId="37AC0609" w14:textId="438539D7" w:rsidR="004E3435" w:rsidRPr="00075CAB" w:rsidRDefault="004E3435" w:rsidP="00BC7C82">
            <w:pPr>
              <w:spacing w:after="40"/>
              <w:rPr>
                <w:rFonts w:eastAsia="Calibri"/>
                <w:sz w:val="20"/>
                <w:szCs w:val="20"/>
              </w:rPr>
            </w:pPr>
          </w:p>
        </w:tc>
        <w:tc>
          <w:tcPr>
            <w:tcW w:w="1418" w:type="dxa"/>
          </w:tcPr>
          <w:p w14:paraId="306EDFDB" w14:textId="77777777" w:rsidR="004E3435" w:rsidRPr="00184BB5" w:rsidRDefault="004E3435" w:rsidP="00BC7C82">
            <w:pPr>
              <w:spacing w:after="40"/>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184BB5">
              <w:rPr>
                <w:rFonts w:eastAsia="Calibri"/>
                <w:sz w:val="20"/>
                <w:szCs w:val="20"/>
              </w:rPr>
              <w:t>G431000</w:t>
            </w:r>
            <w:r>
              <w:rPr>
                <w:rFonts w:eastAsia="Calibri"/>
                <w:sz w:val="20"/>
                <w:szCs w:val="20"/>
              </w:rPr>
              <w:t>: Non-store Retailing</w:t>
            </w:r>
          </w:p>
          <w:p w14:paraId="5D705BF0" w14:textId="34ACE798" w:rsidR="004E3435" w:rsidRPr="00075CAB" w:rsidRDefault="004E3435" w:rsidP="00BC7C82">
            <w:pPr>
              <w:spacing w:after="40"/>
              <w:cnfStyle w:val="000000000000" w:firstRow="0" w:lastRow="0" w:firstColumn="0" w:lastColumn="0" w:oddVBand="0" w:evenVBand="0" w:oddHBand="0" w:evenHBand="0" w:firstRowFirstColumn="0" w:firstRowLastColumn="0" w:lastRowFirstColumn="0" w:lastRowLastColumn="0"/>
              <w:rPr>
                <w:rFonts w:eastAsia="Calibri"/>
                <w:sz w:val="20"/>
                <w:szCs w:val="20"/>
              </w:rPr>
            </w:pPr>
          </w:p>
        </w:tc>
        <w:tc>
          <w:tcPr>
            <w:tcW w:w="5953" w:type="dxa"/>
          </w:tcPr>
          <w:p w14:paraId="288EAD0D" w14:textId="77777777" w:rsidR="004E3435" w:rsidRPr="00184BB5" w:rsidRDefault="004E3435" w:rsidP="00BC7C82">
            <w:pPr>
              <w:spacing w:after="40"/>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184BB5">
              <w:rPr>
                <w:rFonts w:eastAsia="Calibri"/>
                <w:sz w:val="20"/>
                <w:szCs w:val="20"/>
              </w:rPr>
              <w:t>Mainly engaged in retailing goods without the use of a shopfront or physical store presence.</w:t>
            </w:r>
          </w:p>
          <w:p w14:paraId="5FC356ED" w14:textId="77777777" w:rsidR="004E3435" w:rsidRPr="00184BB5" w:rsidRDefault="004E3435" w:rsidP="00BC7C82">
            <w:pPr>
              <w:spacing w:after="40"/>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184BB5">
              <w:rPr>
                <w:rFonts w:eastAsia="Calibri"/>
                <w:sz w:val="20"/>
                <w:szCs w:val="20"/>
              </w:rPr>
              <w:t>Primary activities:</w:t>
            </w:r>
          </w:p>
          <w:p w14:paraId="63EAAFF1" w14:textId="77777777" w:rsidR="004E3435" w:rsidRPr="00184BB5" w:rsidRDefault="004E3435" w:rsidP="0055688D">
            <w:pPr>
              <w:pStyle w:val="ListParagraph"/>
              <w:numPr>
                <w:ilvl w:val="0"/>
                <w:numId w:val="25"/>
              </w:numPr>
              <w:spacing w:after="40"/>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184BB5">
              <w:rPr>
                <w:rFonts w:eastAsia="Calibri"/>
                <w:sz w:val="20"/>
                <w:szCs w:val="20"/>
              </w:rPr>
              <w:t>Internet retailing</w:t>
            </w:r>
          </w:p>
          <w:p w14:paraId="3D6C9554" w14:textId="77777777" w:rsidR="004E3435" w:rsidRPr="00184BB5" w:rsidRDefault="004E3435" w:rsidP="0055688D">
            <w:pPr>
              <w:pStyle w:val="ListParagraph"/>
              <w:numPr>
                <w:ilvl w:val="0"/>
                <w:numId w:val="25"/>
              </w:numPr>
              <w:spacing w:after="40"/>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184BB5">
              <w:rPr>
                <w:rFonts w:eastAsia="Calibri"/>
                <w:sz w:val="20"/>
                <w:szCs w:val="20"/>
              </w:rPr>
              <w:t>Milk vending</w:t>
            </w:r>
          </w:p>
          <w:p w14:paraId="09A99D1F" w14:textId="429539E7" w:rsidR="004E3435" w:rsidRDefault="004E3435" w:rsidP="0055688D">
            <w:pPr>
              <w:pStyle w:val="ListParagraph"/>
              <w:numPr>
                <w:ilvl w:val="0"/>
                <w:numId w:val="25"/>
              </w:numPr>
              <w:spacing w:after="40"/>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184BB5">
              <w:rPr>
                <w:rFonts w:eastAsia="Calibri"/>
                <w:sz w:val="20"/>
                <w:szCs w:val="20"/>
              </w:rPr>
              <w:t>Mobile food retailing (excluding takeaway food)</w:t>
            </w:r>
          </w:p>
          <w:p w14:paraId="3B865FC7" w14:textId="357FC4DC" w:rsidR="004E3435" w:rsidRPr="00DB4340" w:rsidRDefault="004E3435" w:rsidP="0055688D">
            <w:pPr>
              <w:pStyle w:val="ListParagraph"/>
              <w:numPr>
                <w:ilvl w:val="0"/>
                <w:numId w:val="25"/>
              </w:numPr>
              <w:spacing w:after="40"/>
              <w:cnfStyle w:val="000000000000" w:firstRow="0" w:lastRow="0" w:firstColumn="0" w:lastColumn="0" w:oddVBand="0" w:evenVBand="0" w:oddHBand="0" w:evenHBand="0" w:firstRowFirstColumn="0" w:firstRowLastColumn="0" w:lastRowFirstColumn="0" w:lastRowLastColumn="0"/>
              <w:rPr>
                <w:rFonts w:eastAsia="Calibri"/>
                <w:sz w:val="20"/>
                <w:szCs w:val="20"/>
              </w:rPr>
            </w:pPr>
            <w:r>
              <w:rPr>
                <w:rFonts w:eastAsia="Calibri"/>
                <w:sz w:val="20"/>
                <w:szCs w:val="20"/>
              </w:rPr>
              <w:t>Vending machine operation</w:t>
            </w:r>
          </w:p>
        </w:tc>
      </w:tr>
      <w:tr w:rsidR="004E3435" w:rsidRPr="00184BB5" w14:paraId="7F63B851" w14:textId="286D39DE" w:rsidTr="004E3435">
        <w:trPr>
          <w:cnfStyle w:val="000000100000" w:firstRow="0" w:lastRow="0" w:firstColumn="0" w:lastColumn="0" w:oddVBand="0" w:evenVBand="0" w:oddHBand="1" w:evenHBand="0" w:firstRowFirstColumn="0" w:firstRowLastColumn="0" w:lastRowFirstColumn="0" w:lastRowLastColumn="0"/>
          <w:trHeight w:val="970"/>
        </w:trPr>
        <w:tc>
          <w:tcPr>
            <w:cnfStyle w:val="001000000000" w:firstRow="0" w:lastRow="0" w:firstColumn="1" w:lastColumn="0" w:oddVBand="0" w:evenVBand="0" w:oddHBand="0" w:evenHBand="0" w:firstRowFirstColumn="0" w:firstRowLastColumn="0" w:lastRowFirstColumn="0" w:lastRowLastColumn="0"/>
            <w:tcW w:w="1701" w:type="dxa"/>
          </w:tcPr>
          <w:p w14:paraId="45805451" w14:textId="5B99F7FB" w:rsidR="004E3435" w:rsidRPr="00075CAB" w:rsidRDefault="004E3435" w:rsidP="00BC7C82">
            <w:pPr>
              <w:spacing w:after="40"/>
              <w:rPr>
                <w:rFonts w:eastAsia="Calibri"/>
                <w:caps w:val="0"/>
                <w:sz w:val="20"/>
                <w:szCs w:val="20"/>
              </w:rPr>
            </w:pPr>
            <w:r>
              <w:rPr>
                <w:rFonts w:eastAsia="Calibri"/>
                <w:caps w:val="0"/>
                <w:sz w:val="20"/>
                <w:szCs w:val="20"/>
              </w:rPr>
              <w:t>Service stations</w:t>
            </w:r>
          </w:p>
        </w:tc>
        <w:tc>
          <w:tcPr>
            <w:tcW w:w="1418" w:type="dxa"/>
          </w:tcPr>
          <w:p w14:paraId="672F7593" w14:textId="5FBBA197" w:rsidR="004E3435" w:rsidRPr="00075CAB" w:rsidRDefault="004E3435" w:rsidP="00BC7C82">
            <w:pPr>
              <w:spacing w:after="40"/>
              <w:cnfStyle w:val="000000100000" w:firstRow="0" w:lastRow="0" w:firstColumn="0" w:lastColumn="0" w:oddVBand="0" w:evenVBand="0" w:oddHBand="1" w:evenHBand="0" w:firstRowFirstColumn="0" w:firstRowLastColumn="0" w:lastRowFirstColumn="0" w:lastRowLastColumn="0"/>
              <w:rPr>
                <w:rFonts w:eastAsia="Calibri"/>
                <w:sz w:val="20"/>
                <w:szCs w:val="20"/>
              </w:rPr>
            </w:pPr>
            <w:r>
              <w:rPr>
                <w:rFonts w:eastAsia="Calibri"/>
                <w:sz w:val="20"/>
                <w:szCs w:val="20"/>
              </w:rPr>
              <w:t>G400000: Fuel Retailing</w:t>
            </w:r>
          </w:p>
        </w:tc>
        <w:tc>
          <w:tcPr>
            <w:tcW w:w="5953" w:type="dxa"/>
          </w:tcPr>
          <w:p w14:paraId="5AFD7E5E" w14:textId="40F2641E" w:rsidR="004E3435" w:rsidRDefault="004E3435" w:rsidP="003C01EE">
            <w:pPr>
              <w:spacing w:after="40"/>
              <w:cnfStyle w:val="000000100000" w:firstRow="0" w:lastRow="0" w:firstColumn="0" w:lastColumn="0" w:oddVBand="0" w:evenVBand="0" w:oddHBand="1" w:evenHBand="0" w:firstRowFirstColumn="0" w:firstRowLastColumn="0" w:lastRowFirstColumn="0" w:lastRowLastColumn="0"/>
              <w:rPr>
                <w:rFonts w:eastAsia="Calibri"/>
                <w:sz w:val="20"/>
                <w:szCs w:val="20"/>
              </w:rPr>
            </w:pPr>
            <w:r>
              <w:rPr>
                <w:rFonts w:eastAsia="Calibri"/>
                <w:sz w:val="20"/>
                <w:szCs w:val="20"/>
              </w:rPr>
              <w:t>M</w:t>
            </w:r>
            <w:r w:rsidRPr="00DB4340">
              <w:rPr>
                <w:rFonts w:eastAsia="Calibri"/>
                <w:sz w:val="20"/>
                <w:szCs w:val="20"/>
              </w:rPr>
              <w:t xml:space="preserve">ainly engaged in retailing fuels, including petrol, </w:t>
            </w:r>
            <w:r w:rsidR="00FC3FB0" w:rsidRPr="00DB4340">
              <w:rPr>
                <w:rFonts w:eastAsia="Calibri"/>
                <w:sz w:val="20"/>
                <w:szCs w:val="20"/>
              </w:rPr>
              <w:t>LPG,</w:t>
            </w:r>
            <w:r w:rsidRPr="00DB4340">
              <w:rPr>
                <w:rFonts w:eastAsia="Calibri"/>
                <w:sz w:val="20"/>
                <w:szCs w:val="20"/>
              </w:rPr>
              <w:t xml:space="preserve"> or</w:t>
            </w:r>
            <w:r>
              <w:rPr>
                <w:rFonts w:eastAsia="Calibri"/>
                <w:sz w:val="20"/>
                <w:szCs w:val="20"/>
              </w:rPr>
              <w:t xml:space="preserve"> </w:t>
            </w:r>
            <w:r w:rsidRPr="00DB4340">
              <w:rPr>
                <w:rFonts w:eastAsia="Calibri"/>
                <w:sz w:val="20"/>
                <w:szCs w:val="20"/>
              </w:rPr>
              <w:t>lubricating oils.</w:t>
            </w:r>
          </w:p>
          <w:p w14:paraId="49E5C4AC" w14:textId="2FE60E72" w:rsidR="004E3435" w:rsidRPr="00DB4340" w:rsidRDefault="004E3435" w:rsidP="00DB4340">
            <w:pPr>
              <w:spacing w:after="40"/>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DB4340">
              <w:rPr>
                <w:rFonts w:eastAsia="Calibri"/>
                <w:sz w:val="20"/>
                <w:szCs w:val="20"/>
              </w:rPr>
              <w:t>Primary activities</w:t>
            </w:r>
            <w:r>
              <w:rPr>
                <w:rFonts w:eastAsia="Calibri"/>
                <w:sz w:val="20"/>
                <w:szCs w:val="20"/>
              </w:rPr>
              <w:t>:</w:t>
            </w:r>
          </w:p>
          <w:p w14:paraId="0EB6E33D" w14:textId="301D7014" w:rsidR="004E3435" w:rsidRPr="00075CAB" w:rsidRDefault="004E3435" w:rsidP="0055688D">
            <w:pPr>
              <w:pStyle w:val="ListParagraph"/>
              <w:numPr>
                <w:ilvl w:val="0"/>
                <w:numId w:val="25"/>
              </w:numPr>
              <w:spacing w:after="40"/>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075CAB">
              <w:rPr>
                <w:rFonts w:eastAsia="Calibri"/>
                <w:sz w:val="20"/>
                <w:szCs w:val="20"/>
              </w:rPr>
              <w:t>Automotive CNG retailing</w:t>
            </w:r>
          </w:p>
          <w:p w14:paraId="19384C17" w14:textId="59A82714" w:rsidR="004E3435" w:rsidRPr="00075CAB" w:rsidRDefault="004E3435" w:rsidP="0055688D">
            <w:pPr>
              <w:pStyle w:val="ListParagraph"/>
              <w:numPr>
                <w:ilvl w:val="0"/>
                <w:numId w:val="25"/>
              </w:numPr>
              <w:spacing w:after="40"/>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075CAB">
              <w:rPr>
                <w:rFonts w:eastAsia="Calibri"/>
                <w:sz w:val="20"/>
                <w:szCs w:val="20"/>
              </w:rPr>
              <w:t>Diesel oil retailing</w:t>
            </w:r>
          </w:p>
          <w:p w14:paraId="1FCBD949" w14:textId="6F19379D" w:rsidR="004E3435" w:rsidRPr="00075CAB" w:rsidRDefault="004E3435" w:rsidP="0055688D">
            <w:pPr>
              <w:pStyle w:val="ListParagraph"/>
              <w:numPr>
                <w:ilvl w:val="0"/>
                <w:numId w:val="25"/>
              </w:numPr>
              <w:spacing w:after="40"/>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075CAB">
              <w:rPr>
                <w:rFonts w:eastAsia="Calibri"/>
                <w:sz w:val="20"/>
                <w:szCs w:val="20"/>
              </w:rPr>
              <w:t>Distillate retailing</w:t>
            </w:r>
          </w:p>
          <w:p w14:paraId="6A5B9192" w14:textId="41F210C2" w:rsidR="004E3435" w:rsidRPr="00075CAB" w:rsidRDefault="004E3435" w:rsidP="0055688D">
            <w:pPr>
              <w:pStyle w:val="ListParagraph"/>
              <w:numPr>
                <w:ilvl w:val="0"/>
                <w:numId w:val="25"/>
              </w:numPr>
              <w:spacing w:after="40"/>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075CAB">
              <w:rPr>
                <w:rFonts w:eastAsia="Calibri"/>
                <w:sz w:val="20"/>
                <w:szCs w:val="20"/>
              </w:rPr>
              <w:t>Engine oil retailing</w:t>
            </w:r>
          </w:p>
          <w:p w14:paraId="55EC75E3" w14:textId="1C18452F" w:rsidR="004E3435" w:rsidRPr="00075CAB" w:rsidRDefault="004E3435" w:rsidP="0055688D">
            <w:pPr>
              <w:pStyle w:val="ListParagraph"/>
              <w:numPr>
                <w:ilvl w:val="0"/>
                <w:numId w:val="25"/>
              </w:numPr>
              <w:spacing w:after="40"/>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075CAB">
              <w:rPr>
                <w:rFonts w:eastAsia="Calibri"/>
                <w:sz w:val="20"/>
                <w:szCs w:val="20"/>
              </w:rPr>
              <w:t>Kerosene retailing</w:t>
            </w:r>
          </w:p>
          <w:p w14:paraId="6B737C39" w14:textId="5447A87B" w:rsidR="004E3435" w:rsidRPr="00075CAB" w:rsidRDefault="004E3435" w:rsidP="0055688D">
            <w:pPr>
              <w:pStyle w:val="ListParagraph"/>
              <w:numPr>
                <w:ilvl w:val="0"/>
                <w:numId w:val="25"/>
              </w:numPr>
              <w:spacing w:after="40"/>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075CAB">
              <w:rPr>
                <w:rFonts w:eastAsia="Calibri"/>
                <w:sz w:val="20"/>
                <w:szCs w:val="20"/>
              </w:rPr>
              <w:t>LPG, automotive, retailing</w:t>
            </w:r>
          </w:p>
          <w:p w14:paraId="26E42E9C" w14:textId="0C535E8F" w:rsidR="004E3435" w:rsidRDefault="004E3435" w:rsidP="0055688D">
            <w:pPr>
              <w:pStyle w:val="ListParagraph"/>
              <w:numPr>
                <w:ilvl w:val="0"/>
                <w:numId w:val="25"/>
              </w:numPr>
              <w:spacing w:after="40"/>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075CAB">
              <w:rPr>
                <w:rFonts w:eastAsia="Calibri"/>
                <w:sz w:val="20"/>
                <w:szCs w:val="20"/>
              </w:rPr>
              <w:t>Lubricating oil or grease retailing</w:t>
            </w:r>
          </w:p>
          <w:p w14:paraId="755F42D0" w14:textId="475C8712" w:rsidR="004E3435" w:rsidRDefault="004E3435" w:rsidP="0055688D">
            <w:pPr>
              <w:pStyle w:val="ListParagraph"/>
              <w:numPr>
                <w:ilvl w:val="0"/>
                <w:numId w:val="25"/>
              </w:numPr>
              <w:spacing w:after="40"/>
              <w:cnfStyle w:val="000000100000" w:firstRow="0" w:lastRow="0" w:firstColumn="0" w:lastColumn="0" w:oddVBand="0" w:evenVBand="0" w:oddHBand="1" w:evenHBand="0" w:firstRowFirstColumn="0" w:firstRowLastColumn="0" w:lastRowFirstColumn="0" w:lastRowLastColumn="0"/>
              <w:rPr>
                <w:rFonts w:eastAsia="Calibri"/>
                <w:sz w:val="20"/>
                <w:szCs w:val="20"/>
              </w:rPr>
            </w:pPr>
            <w:r>
              <w:rPr>
                <w:rFonts w:eastAsia="Calibri"/>
                <w:sz w:val="20"/>
                <w:szCs w:val="20"/>
              </w:rPr>
              <w:t>Petrol retailing</w:t>
            </w:r>
          </w:p>
          <w:p w14:paraId="23B1B670" w14:textId="00B7A394" w:rsidR="004E3435" w:rsidRPr="006C7DA7" w:rsidRDefault="004E3435" w:rsidP="0055688D">
            <w:pPr>
              <w:pStyle w:val="ListParagraph"/>
              <w:numPr>
                <w:ilvl w:val="0"/>
                <w:numId w:val="25"/>
              </w:numPr>
              <w:spacing w:after="40"/>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6C7DA7">
              <w:rPr>
                <w:rFonts w:eastAsia="Calibri"/>
                <w:b/>
                <w:bCs/>
                <w:sz w:val="20"/>
                <w:szCs w:val="20"/>
              </w:rPr>
              <w:t>Service station operation</w:t>
            </w:r>
            <w:r>
              <w:rPr>
                <w:rFonts w:eastAsia="Calibri"/>
                <w:sz w:val="20"/>
                <w:szCs w:val="20"/>
              </w:rPr>
              <w:t xml:space="preserve"> (mainly petrol retailing)</w:t>
            </w:r>
          </w:p>
        </w:tc>
      </w:tr>
      <w:tr w:rsidR="004E3435" w:rsidRPr="00184BB5" w14:paraId="551CEF67" w14:textId="36A1E855" w:rsidTr="004E3435">
        <w:tc>
          <w:tcPr>
            <w:cnfStyle w:val="001000000000" w:firstRow="0" w:lastRow="0" w:firstColumn="1" w:lastColumn="0" w:oddVBand="0" w:evenVBand="0" w:oddHBand="0" w:evenHBand="0" w:firstRowFirstColumn="0" w:firstRowLastColumn="0" w:lastRowFirstColumn="0" w:lastRowLastColumn="0"/>
            <w:tcW w:w="1701" w:type="dxa"/>
          </w:tcPr>
          <w:p w14:paraId="57171206" w14:textId="04E3AC4A" w:rsidR="004E3435" w:rsidRDefault="004E3435" w:rsidP="00880957">
            <w:pPr>
              <w:spacing w:after="40"/>
              <w:rPr>
                <w:rFonts w:eastAsia="Calibri"/>
                <w:b w:val="0"/>
                <w:bCs w:val="0"/>
                <w:sz w:val="20"/>
                <w:szCs w:val="20"/>
              </w:rPr>
            </w:pPr>
            <w:r>
              <w:rPr>
                <w:rFonts w:eastAsia="Calibri"/>
                <w:caps w:val="0"/>
                <w:sz w:val="20"/>
                <w:szCs w:val="20"/>
              </w:rPr>
              <w:t>Food home delivery services (includes third-party food delivery platforms and meal kit services)</w:t>
            </w:r>
          </w:p>
          <w:p w14:paraId="426D7E65" w14:textId="135BE49E" w:rsidR="004E3435" w:rsidRPr="00DB4340" w:rsidRDefault="004E3435" w:rsidP="00880957">
            <w:pPr>
              <w:spacing w:after="40"/>
              <w:rPr>
                <w:rFonts w:eastAsia="Calibri"/>
                <w:caps w:val="0"/>
                <w:sz w:val="20"/>
                <w:szCs w:val="20"/>
                <w:highlight w:val="yellow"/>
              </w:rPr>
            </w:pPr>
          </w:p>
        </w:tc>
        <w:tc>
          <w:tcPr>
            <w:tcW w:w="1418" w:type="dxa"/>
          </w:tcPr>
          <w:p w14:paraId="2B1B4261" w14:textId="77777777" w:rsidR="004E3435" w:rsidRPr="00184BB5" w:rsidRDefault="004E3435" w:rsidP="00880957">
            <w:pPr>
              <w:spacing w:after="40"/>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184BB5">
              <w:rPr>
                <w:rFonts w:eastAsia="Calibri"/>
                <w:sz w:val="20"/>
                <w:szCs w:val="20"/>
              </w:rPr>
              <w:t>I510200:</w:t>
            </w:r>
          </w:p>
          <w:p w14:paraId="7D96C2C0" w14:textId="6473DCCD" w:rsidR="004E3435" w:rsidRPr="00DB4340" w:rsidRDefault="004E3435" w:rsidP="00880957">
            <w:pPr>
              <w:spacing w:after="40"/>
              <w:cnfStyle w:val="000000000000" w:firstRow="0" w:lastRow="0" w:firstColumn="0" w:lastColumn="0" w:oddVBand="0" w:evenVBand="0" w:oddHBand="0" w:evenHBand="0" w:firstRowFirstColumn="0" w:firstRowLastColumn="0" w:lastRowFirstColumn="0" w:lastRowLastColumn="0"/>
              <w:rPr>
                <w:rFonts w:eastAsia="Calibri"/>
                <w:sz w:val="20"/>
                <w:szCs w:val="20"/>
                <w:highlight w:val="yellow"/>
              </w:rPr>
            </w:pPr>
            <w:r w:rsidRPr="00184BB5">
              <w:rPr>
                <w:rFonts w:eastAsia="Calibri"/>
                <w:sz w:val="20"/>
                <w:szCs w:val="20"/>
              </w:rPr>
              <w:t xml:space="preserve">Courier </w:t>
            </w:r>
            <w:r>
              <w:rPr>
                <w:rFonts w:eastAsia="Calibri"/>
                <w:sz w:val="20"/>
                <w:szCs w:val="20"/>
              </w:rPr>
              <w:t>P</w:t>
            </w:r>
            <w:r w:rsidRPr="00184BB5">
              <w:rPr>
                <w:rFonts w:eastAsia="Calibri"/>
                <w:sz w:val="20"/>
                <w:szCs w:val="20"/>
              </w:rPr>
              <w:t xml:space="preserve">ick-up and </w:t>
            </w:r>
            <w:r>
              <w:rPr>
                <w:rFonts w:eastAsia="Calibri"/>
                <w:sz w:val="20"/>
                <w:szCs w:val="20"/>
              </w:rPr>
              <w:t>D</w:t>
            </w:r>
            <w:r w:rsidRPr="00184BB5">
              <w:rPr>
                <w:rFonts w:eastAsia="Calibri"/>
                <w:sz w:val="20"/>
                <w:szCs w:val="20"/>
              </w:rPr>
              <w:t xml:space="preserve">elivery </w:t>
            </w:r>
            <w:r>
              <w:rPr>
                <w:rFonts w:eastAsia="Calibri"/>
                <w:sz w:val="20"/>
                <w:szCs w:val="20"/>
              </w:rPr>
              <w:t>S</w:t>
            </w:r>
            <w:r w:rsidRPr="00184BB5">
              <w:rPr>
                <w:rFonts w:eastAsia="Calibri"/>
                <w:sz w:val="20"/>
                <w:szCs w:val="20"/>
              </w:rPr>
              <w:t>ervices</w:t>
            </w:r>
          </w:p>
        </w:tc>
        <w:tc>
          <w:tcPr>
            <w:tcW w:w="5953" w:type="dxa"/>
          </w:tcPr>
          <w:p w14:paraId="0B078B88" w14:textId="7D871CB3" w:rsidR="004E3435" w:rsidRPr="006C7DA7" w:rsidRDefault="004E3435" w:rsidP="003C01EE">
            <w:pPr>
              <w:spacing w:after="40"/>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6C7DA7">
              <w:rPr>
                <w:rFonts w:eastAsia="Calibri"/>
                <w:sz w:val="20"/>
                <w:szCs w:val="20"/>
              </w:rPr>
              <w:t xml:space="preserve">Mainly engaged in the door to door pick-up (i.e. from the customer’s residence or place of business), transport and delivery of letters, documents, </w:t>
            </w:r>
            <w:r w:rsidR="00FC3FB0" w:rsidRPr="006C7DA7">
              <w:rPr>
                <w:rFonts w:eastAsia="Calibri"/>
                <w:sz w:val="20"/>
                <w:szCs w:val="20"/>
              </w:rPr>
              <w:t>parcels,</w:t>
            </w:r>
            <w:r w:rsidRPr="006C7DA7">
              <w:rPr>
                <w:rFonts w:eastAsia="Calibri"/>
                <w:sz w:val="20"/>
                <w:szCs w:val="20"/>
              </w:rPr>
              <w:t xml:space="preserve"> and other items weighing less than 30 kgs.</w:t>
            </w:r>
          </w:p>
          <w:p w14:paraId="5042C4ED" w14:textId="77777777" w:rsidR="004E3435" w:rsidRPr="006C7DA7" w:rsidRDefault="004E3435" w:rsidP="00880957">
            <w:pPr>
              <w:spacing w:after="40"/>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6C7DA7">
              <w:rPr>
                <w:rFonts w:eastAsia="Calibri"/>
                <w:sz w:val="20"/>
                <w:szCs w:val="20"/>
              </w:rPr>
              <w:t>Primary activities:</w:t>
            </w:r>
          </w:p>
          <w:p w14:paraId="2C89983B" w14:textId="77777777" w:rsidR="004E3435" w:rsidRPr="006C7DA7" w:rsidRDefault="004E3435" w:rsidP="0055688D">
            <w:pPr>
              <w:pStyle w:val="ListParagraph"/>
              <w:numPr>
                <w:ilvl w:val="0"/>
                <w:numId w:val="25"/>
              </w:numPr>
              <w:spacing w:after="40"/>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6C7DA7">
              <w:rPr>
                <w:rFonts w:eastAsia="Calibri"/>
                <w:sz w:val="20"/>
                <w:szCs w:val="20"/>
              </w:rPr>
              <w:t>Customised express pick-up and delivery service</w:t>
            </w:r>
          </w:p>
          <w:p w14:paraId="35A1EAFF" w14:textId="77777777" w:rsidR="004E3435" w:rsidRPr="006C7DA7" w:rsidRDefault="004E3435" w:rsidP="0055688D">
            <w:pPr>
              <w:pStyle w:val="ListParagraph"/>
              <w:numPr>
                <w:ilvl w:val="0"/>
                <w:numId w:val="25"/>
              </w:numPr>
              <w:spacing w:after="40"/>
              <w:cnfStyle w:val="000000000000" w:firstRow="0" w:lastRow="0" w:firstColumn="0" w:lastColumn="0" w:oddVBand="0" w:evenVBand="0" w:oddHBand="0" w:evenHBand="0" w:firstRowFirstColumn="0" w:firstRowLastColumn="0" w:lastRowFirstColumn="0" w:lastRowLastColumn="0"/>
              <w:rPr>
                <w:rFonts w:eastAsia="Calibri"/>
                <w:b/>
                <w:bCs/>
                <w:sz w:val="20"/>
                <w:szCs w:val="20"/>
              </w:rPr>
            </w:pPr>
            <w:r w:rsidRPr="006C7DA7">
              <w:rPr>
                <w:rFonts w:eastAsia="Calibri"/>
                <w:b/>
                <w:bCs/>
                <w:sz w:val="20"/>
                <w:szCs w:val="20"/>
              </w:rPr>
              <w:t>Grocery delivery service</w:t>
            </w:r>
          </w:p>
          <w:p w14:paraId="1FC11121" w14:textId="77777777" w:rsidR="004E3435" w:rsidRPr="006C7DA7" w:rsidRDefault="004E3435" w:rsidP="0055688D">
            <w:pPr>
              <w:pStyle w:val="ListParagraph"/>
              <w:numPr>
                <w:ilvl w:val="0"/>
                <w:numId w:val="25"/>
              </w:numPr>
              <w:spacing w:after="40"/>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6C7DA7">
              <w:rPr>
                <w:rFonts w:eastAsia="Calibri"/>
                <w:b/>
                <w:bCs/>
                <w:sz w:val="20"/>
                <w:szCs w:val="20"/>
              </w:rPr>
              <w:t>Home delivery service</w:t>
            </w:r>
          </w:p>
          <w:p w14:paraId="466FC8C8" w14:textId="70781F9C" w:rsidR="004E3435" w:rsidRPr="006C7DA7" w:rsidRDefault="004E3435" w:rsidP="0055688D">
            <w:pPr>
              <w:pStyle w:val="ListParagraph"/>
              <w:numPr>
                <w:ilvl w:val="0"/>
                <w:numId w:val="25"/>
              </w:numPr>
              <w:spacing w:after="40"/>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6C7DA7">
              <w:rPr>
                <w:rFonts w:eastAsia="Calibri"/>
                <w:sz w:val="20"/>
                <w:szCs w:val="20"/>
              </w:rPr>
              <w:t>Messenger service</w:t>
            </w:r>
          </w:p>
        </w:tc>
      </w:tr>
      <w:tr w:rsidR="004E3435" w:rsidRPr="00184BB5" w14:paraId="04DD10C9" w14:textId="41987E97" w:rsidTr="004E3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7F95899B" w14:textId="3922AEA2" w:rsidR="004E3435" w:rsidRPr="00075CAB" w:rsidRDefault="004E3435" w:rsidP="00880957">
            <w:pPr>
              <w:spacing w:after="40"/>
              <w:rPr>
                <w:rFonts w:eastAsia="Calibri"/>
                <w:caps w:val="0"/>
                <w:sz w:val="20"/>
                <w:szCs w:val="20"/>
              </w:rPr>
            </w:pPr>
            <w:r>
              <w:rPr>
                <w:rFonts w:eastAsia="Calibri"/>
                <w:caps w:val="0"/>
                <w:sz w:val="20"/>
                <w:szCs w:val="20"/>
              </w:rPr>
              <w:t>Cinemas</w:t>
            </w:r>
          </w:p>
        </w:tc>
        <w:tc>
          <w:tcPr>
            <w:tcW w:w="1418" w:type="dxa"/>
          </w:tcPr>
          <w:p w14:paraId="26CCEFA1" w14:textId="02924456" w:rsidR="004E3435" w:rsidRPr="00075CAB" w:rsidRDefault="004E3435" w:rsidP="00880957">
            <w:pPr>
              <w:spacing w:after="40"/>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184BB5">
              <w:rPr>
                <w:rFonts w:eastAsia="Calibri"/>
                <w:sz w:val="20"/>
                <w:szCs w:val="20"/>
              </w:rPr>
              <w:t>J551300</w:t>
            </w:r>
            <w:r>
              <w:rPr>
                <w:rFonts w:eastAsia="Calibri"/>
                <w:sz w:val="20"/>
                <w:szCs w:val="20"/>
              </w:rPr>
              <w:t>: Motion Picture Exhibition</w:t>
            </w:r>
          </w:p>
        </w:tc>
        <w:tc>
          <w:tcPr>
            <w:tcW w:w="5953" w:type="dxa"/>
          </w:tcPr>
          <w:p w14:paraId="7E66F3A2" w14:textId="343BCA7F" w:rsidR="004E3435" w:rsidRPr="006C7DA7" w:rsidRDefault="004E3435" w:rsidP="003C01EE">
            <w:pPr>
              <w:spacing w:after="40"/>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6C7DA7">
              <w:rPr>
                <w:rFonts w:eastAsia="Calibri"/>
                <w:sz w:val="20"/>
                <w:szCs w:val="20"/>
              </w:rPr>
              <w:t>Mainly engaged in screening motion pictures using a variety of visual media. Included are screening productions at festivals and other similar events.</w:t>
            </w:r>
          </w:p>
          <w:p w14:paraId="4D8EC856" w14:textId="77777777" w:rsidR="004E3435" w:rsidRPr="006C7DA7" w:rsidRDefault="004E3435" w:rsidP="003C01EE">
            <w:pPr>
              <w:spacing w:after="40"/>
              <w:cnfStyle w:val="000000100000" w:firstRow="0" w:lastRow="0" w:firstColumn="0" w:lastColumn="0" w:oddVBand="0" w:evenVBand="0" w:oddHBand="1" w:evenHBand="0" w:firstRowFirstColumn="0" w:firstRowLastColumn="0" w:lastRowFirstColumn="0" w:lastRowLastColumn="0"/>
              <w:rPr>
                <w:sz w:val="20"/>
                <w:szCs w:val="20"/>
              </w:rPr>
            </w:pPr>
            <w:r w:rsidRPr="006C7DA7">
              <w:rPr>
                <w:sz w:val="20"/>
                <w:szCs w:val="20"/>
              </w:rPr>
              <w:t>Primary activities:</w:t>
            </w:r>
          </w:p>
          <w:p w14:paraId="0C6CD377" w14:textId="77777777" w:rsidR="004E3435" w:rsidRPr="006C7DA7" w:rsidRDefault="004E3435" w:rsidP="0055688D">
            <w:pPr>
              <w:pStyle w:val="ListParagraph"/>
              <w:numPr>
                <w:ilvl w:val="0"/>
                <w:numId w:val="30"/>
              </w:numPr>
              <w:spacing w:after="40"/>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6C7DA7">
              <w:rPr>
                <w:rFonts w:eastAsia="Calibri"/>
                <w:sz w:val="20"/>
                <w:szCs w:val="20"/>
              </w:rPr>
              <w:t>Cinema operation</w:t>
            </w:r>
          </w:p>
          <w:p w14:paraId="153CB94F" w14:textId="77777777" w:rsidR="004E3435" w:rsidRPr="006C7DA7" w:rsidRDefault="004E3435" w:rsidP="0055688D">
            <w:pPr>
              <w:pStyle w:val="ListParagraph"/>
              <w:numPr>
                <w:ilvl w:val="0"/>
                <w:numId w:val="30"/>
              </w:numPr>
              <w:spacing w:after="40"/>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6C7DA7">
              <w:rPr>
                <w:rFonts w:eastAsia="Calibri"/>
                <w:sz w:val="20"/>
                <w:szCs w:val="20"/>
              </w:rPr>
              <w:t>Drive-in theatre operation</w:t>
            </w:r>
          </w:p>
          <w:p w14:paraId="576A1EA1" w14:textId="77777777" w:rsidR="004E3435" w:rsidRPr="006C7DA7" w:rsidRDefault="004E3435" w:rsidP="0055688D">
            <w:pPr>
              <w:pStyle w:val="ListParagraph"/>
              <w:numPr>
                <w:ilvl w:val="0"/>
                <w:numId w:val="30"/>
              </w:numPr>
              <w:spacing w:after="40"/>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6C7DA7">
              <w:rPr>
                <w:rFonts w:eastAsia="Calibri"/>
                <w:sz w:val="20"/>
                <w:szCs w:val="20"/>
              </w:rPr>
              <w:t>Festival operation (exhibition of motion pictures)</w:t>
            </w:r>
          </w:p>
          <w:p w14:paraId="50F1C45A" w14:textId="77777777" w:rsidR="004E3435" w:rsidRPr="006C7DA7" w:rsidRDefault="004E3435" w:rsidP="0055688D">
            <w:pPr>
              <w:pStyle w:val="ListParagraph"/>
              <w:numPr>
                <w:ilvl w:val="0"/>
                <w:numId w:val="30"/>
              </w:numPr>
              <w:spacing w:after="40"/>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6C7DA7">
              <w:rPr>
                <w:rFonts w:eastAsia="Calibri"/>
                <w:sz w:val="20"/>
                <w:szCs w:val="20"/>
              </w:rPr>
              <w:t>Motion picture screening</w:t>
            </w:r>
          </w:p>
          <w:p w14:paraId="1F11B1C2" w14:textId="78BE0CAA" w:rsidR="004E3435" w:rsidRPr="00DB4340" w:rsidRDefault="004E3435" w:rsidP="0055688D">
            <w:pPr>
              <w:pStyle w:val="ListParagraph"/>
              <w:numPr>
                <w:ilvl w:val="0"/>
                <w:numId w:val="30"/>
              </w:numPr>
              <w:spacing w:after="40"/>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6C7DA7">
              <w:rPr>
                <w:rFonts w:eastAsia="Calibri"/>
                <w:sz w:val="20"/>
                <w:szCs w:val="20"/>
              </w:rPr>
              <w:t>Motion picture theatre operation</w:t>
            </w:r>
          </w:p>
        </w:tc>
      </w:tr>
      <w:tr w:rsidR="004E3435" w:rsidRPr="00184BB5" w14:paraId="4FF11483" w14:textId="50191EAB" w:rsidTr="004E3435">
        <w:tc>
          <w:tcPr>
            <w:cnfStyle w:val="001000000000" w:firstRow="0" w:lastRow="0" w:firstColumn="1" w:lastColumn="0" w:oddVBand="0" w:evenVBand="0" w:oddHBand="0" w:evenHBand="0" w:firstRowFirstColumn="0" w:firstRowLastColumn="0" w:lastRowFirstColumn="0" w:lastRowLastColumn="0"/>
            <w:tcW w:w="1701" w:type="dxa"/>
          </w:tcPr>
          <w:p w14:paraId="7C7BF39D" w14:textId="3DC73653" w:rsidR="004E3435" w:rsidRPr="00075CAB" w:rsidRDefault="004E3435" w:rsidP="00F15BEA">
            <w:pPr>
              <w:spacing w:after="40"/>
              <w:rPr>
                <w:rFonts w:eastAsia="Calibri"/>
                <w:caps w:val="0"/>
                <w:sz w:val="20"/>
                <w:szCs w:val="20"/>
              </w:rPr>
            </w:pPr>
            <w:r>
              <w:rPr>
                <w:rFonts w:eastAsia="Calibri"/>
                <w:caps w:val="0"/>
                <w:sz w:val="20"/>
                <w:szCs w:val="20"/>
              </w:rPr>
              <w:t>Entertainment Venues</w:t>
            </w:r>
          </w:p>
        </w:tc>
        <w:tc>
          <w:tcPr>
            <w:tcW w:w="1418" w:type="dxa"/>
          </w:tcPr>
          <w:p w14:paraId="62876622" w14:textId="1E7BD198" w:rsidR="004E3435" w:rsidRDefault="004E3435" w:rsidP="00F15BEA">
            <w:pPr>
              <w:spacing w:after="40"/>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184BB5">
              <w:rPr>
                <w:rFonts w:eastAsia="Calibri"/>
                <w:sz w:val="20"/>
                <w:szCs w:val="20"/>
              </w:rPr>
              <w:t>R900100</w:t>
            </w:r>
            <w:r>
              <w:rPr>
                <w:rFonts w:eastAsia="Calibri"/>
                <w:sz w:val="20"/>
                <w:szCs w:val="20"/>
              </w:rPr>
              <w:t>: Performing Arts Operation</w:t>
            </w:r>
          </w:p>
          <w:p w14:paraId="091932D8" w14:textId="77777777" w:rsidR="004E3435" w:rsidRDefault="004E3435" w:rsidP="00F15BEA">
            <w:pPr>
              <w:spacing w:after="40"/>
              <w:cnfStyle w:val="000000000000" w:firstRow="0" w:lastRow="0" w:firstColumn="0" w:lastColumn="0" w:oddVBand="0" w:evenVBand="0" w:oddHBand="0" w:evenHBand="0" w:firstRowFirstColumn="0" w:firstRowLastColumn="0" w:lastRowFirstColumn="0" w:lastRowLastColumn="0"/>
              <w:rPr>
                <w:rFonts w:eastAsia="Calibri"/>
                <w:sz w:val="20"/>
                <w:szCs w:val="20"/>
              </w:rPr>
            </w:pPr>
          </w:p>
          <w:p w14:paraId="38E237EA" w14:textId="77777777" w:rsidR="004E3435" w:rsidRDefault="004E3435" w:rsidP="00F15BEA">
            <w:pPr>
              <w:spacing w:after="40"/>
              <w:cnfStyle w:val="000000000000" w:firstRow="0" w:lastRow="0" w:firstColumn="0" w:lastColumn="0" w:oddVBand="0" w:evenVBand="0" w:oddHBand="0" w:evenHBand="0" w:firstRowFirstColumn="0" w:firstRowLastColumn="0" w:lastRowFirstColumn="0" w:lastRowLastColumn="0"/>
              <w:rPr>
                <w:rFonts w:eastAsia="Calibri"/>
                <w:sz w:val="20"/>
                <w:szCs w:val="20"/>
              </w:rPr>
            </w:pPr>
          </w:p>
          <w:p w14:paraId="4A702B33" w14:textId="77777777" w:rsidR="004E3435" w:rsidRDefault="004E3435" w:rsidP="00F15BEA">
            <w:pPr>
              <w:spacing w:after="40"/>
              <w:cnfStyle w:val="000000000000" w:firstRow="0" w:lastRow="0" w:firstColumn="0" w:lastColumn="0" w:oddVBand="0" w:evenVBand="0" w:oddHBand="0" w:evenHBand="0" w:firstRowFirstColumn="0" w:firstRowLastColumn="0" w:lastRowFirstColumn="0" w:lastRowLastColumn="0"/>
              <w:rPr>
                <w:rFonts w:eastAsia="Calibri"/>
                <w:sz w:val="20"/>
                <w:szCs w:val="20"/>
              </w:rPr>
            </w:pPr>
          </w:p>
          <w:p w14:paraId="50FAC8E0" w14:textId="77777777" w:rsidR="004E3435" w:rsidRDefault="004E3435" w:rsidP="00F15BEA">
            <w:pPr>
              <w:spacing w:after="40"/>
              <w:cnfStyle w:val="000000000000" w:firstRow="0" w:lastRow="0" w:firstColumn="0" w:lastColumn="0" w:oddVBand="0" w:evenVBand="0" w:oddHBand="0" w:evenHBand="0" w:firstRowFirstColumn="0" w:firstRowLastColumn="0" w:lastRowFirstColumn="0" w:lastRowLastColumn="0"/>
              <w:rPr>
                <w:rFonts w:eastAsia="Calibri"/>
                <w:sz w:val="20"/>
                <w:szCs w:val="20"/>
              </w:rPr>
            </w:pPr>
          </w:p>
          <w:p w14:paraId="5134F8B9" w14:textId="77777777" w:rsidR="004E3435" w:rsidRDefault="004E3435" w:rsidP="00F15BEA">
            <w:pPr>
              <w:spacing w:after="40"/>
              <w:cnfStyle w:val="000000000000" w:firstRow="0" w:lastRow="0" w:firstColumn="0" w:lastColumn="0" w:oddVBand="0" w:evenVBand="0" w:oddHBand="0" w:evenHBand="0" w:firstRowFirstColumn="0" w:firstRowLastColumn="0" w:lastRowFirstColumn="0" w:lastRowLastColumn="0"/>
              <w:rPr>
                <w:rFonts w:eastAsia="Calibri"/>
                <w:sz w:val="20"/>
                <w:szCs w:val="20"/>
              </w:rPr>
            </w:pPr>
          </w:p>
          <w:p w14:paraId="629D906E" w14:textId="77777777" w:rsidR="004E3435" w:rsidRDefault="004E3435" w:rsidP="00F15BEA">
            <w:pPr>
              <w:spacing w:after="40"/>
              <w:cnfStyle w:val="000000000000" w:firstRow="0" w:lastRow="0" w:firstColumn="0" w:lastColumn="0" w:oddVBand="0" w:evenVBand="0" w:oddHBand="0" w:evenHBand="0" w:firstRowFirstColumn="0" w:firstRowLastColumn="0" w:lastRowFirstColumn="0" w:lastRowLastColumn="0"/>
              <w:rPr>
                <w:rFonts w:eastAsia="Calibri"/>
                <w:sz w:val="20"/>
                <w:szCs w:val="20"/>
              </w:rPr>
            </w:pPr>
          </w:p>
          <w:p w14:paraId="010CF46C" w14:textId="77777777" w:rsidR="004E3435" w:rsidRDefault="004E3435" w:rsidP="00F15BEA">
            <w:pPr>
              <w:spacing w:after="40"/>
              <w:cnfStyle w:val="000000000000" w:firstRow="0" w:lastRow="0" w:firstColumn="0" w:lastColumn="0" w:oddVBand="0" w:evenVBand="0" w:oddHBand="0" w:evenHBand="0" w:firstRowFirstColumn="0" w:firstRowLastColumn="0" w:lastRowFirstColumn="0" w:lastRowLastColumn="0"/>
              <w:rPr>
                <w:rFonts w:eastAsia="Calibri"/>
                <w:sz w:val="20"/>
                <w:szCs w:val="20"/>
              </w:rPr>
            </w:pPr>
          </w:p>
          <w:p w14:paraId="2FD1EB26" w14:textId="77777777" w:rsidR="004E3435" w:rsidRDefault="004E3435" w:rsidP="00F15BEA">
            <w:pPr>
              <w:spacing w:after="40"/>
              <w:cnfStyle w:val="000000000000" w:firstRow="0" w:lastRow="0" w:firstColumn="0" w:lastColumn="0" w:oddVBand="0" w:evenVBand="0" w:oddHBand="0" w:evenHBand="0" w:firstRowFirstColumn="0" w:firstRowLastColumn="0" w:lastRowFirstColumn="0" w:lastRowLastColumn="0"/>
              <w:rPr>
                <w:rFonts w:eastAsia="Calibri"/>
                <w:sz w:val="20"/>
                <w:szCs w:val="20"/>
              </w:rPr>
            </w:pPr>
          </w:p>
          <w:p w14:paraId="0DBD6324" w14:textId="77777777" w:rsidR="004E3435" w:rsidRDefault="004E3435" w:rsidP="00F15BEA">
            <w:pPr>
              <w:spacing w:after="40"/>
              <w:cnfStyle w:val="000000000000" w:firstRow="0" w:lastRow="0" w:firstColumn="0" w:lastColumn="0" w:oddVBand="0" w:evenVBand="0" w:oddHBand="0" w:evenHBand="0" w:firstRowFirstColumn="0" w:firstRowLastColumn="0" w:lastRowFirstColumn="0" w:lastRowLastColumn="0"/>
              <w:rPr>
                <w:rFonts w:eastAsia="Calibri"/>
                <w:sz w:val="20"/>
                <w:szCs w:val="20"/>
              </w:rPr>
            </w:pPr>
          </w:p>
          <w:p w14:paraId="3A3DCDA4" w14:textId="101FCEE0" w:rsidR="004E3435" w:rsidRPr="00075CAB" w:rsidRDefault="004E3435" w:rsidP="00F15BEA">
            <w:pPr>
              <w:spacing w:after="40"/>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184BB5">
              <w:rPr>
                <w:rFonts w:eastAsia="Calibri"/>
                <w:sz w:val="20"/>
                <w:szCs w:val="20"/>
              </w:rPr>
              <w:t>R900300</w:t>
            </w:r>
            <w:r>
              <w:rPr>
                <w:rFonts w:eastAsia="Calibri"/>
                <w:sz w:val="20"/>
                <w:szCs w:val="20"/>
              </w:rPr>
              <w:t>: Performing Arts Venue Operations</w:t>
            </w:r>
          </w:p>
        </w:tc>
        <w:tc>
          <w:tcPr>
            <w:tcW w:w="5953" w:type="dxa"/>
          </w:tcPr>
          <w:p w14:paraId="096DBB05" w14:textId="77777777" w:rsidR="004E3435" w:rsidRDefault="004E3435" w:rsidP="003C01EE">
            <w:pPr>
              <w:spacing w:after="40"/>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184BB5">
              <w:rPr>
                <w:rFonts w:eastAsia="Calibri"/>
                <w:sz w:val="20"/>
                <w:szCs w:val="20"/>
              </w:rPr>
              <w:lastRenderedPageBreak/>
              <w:t xml:space="preserve">Mainly engaged in providing or producing live theatrical or musical presentations or performances. Not usually involved in the creation of original artistic or cultural works. </w:t>
            </w:r>
          </w:p>
          <w:p w14:paraId="5B833D17" w14:textId="77777777" w:rsidR="004E3435" w:rsidRPr="00184BB5" w:rsidRDefault="004E3435" w:rsidP="00F15BEA">
            <w:pPr>
              <w:spacing w:after="40"/>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184BB5">
              <w:rPr>
                <w:rFonts w:eastAsia="Calibri"/>
                <w:sz w:val="20"/>
                <w:szCs w:val="20"/>
              </w:rPr>
              <w:t>Primary activities:</w:t>
            </w:r>
          </w:p>
          <w:p w14:paraId="54CB91D1" w14:textId="77777777" w:rsidR="004E3435" w:rsidRDefault="004E3435" w:rsidP="0055688D">
            <w:pPr>
              <w:pStyle w:val="ListParagraph"/>
              <w:numPr>
                <w:ilvl w:val="0"/>
                <w:numId w:val="30"/>
              </w:numPr>
              <w:spacing w:after="40"/>
              <w:cnfStyle w:val="000000000000" w:firstRow="0" w:lastRow="0" w:firstColumn="0" w:lastColumn="0" w:oddVBand="0" w:evenVBand="0" w:oddHBand="0" w:evenHBand="0" w:firstRowFirstColumn="0" w:firstRowLastColumn="0" w:lastRowFirstColumn="0" w:lastRowLastColumn="0"/>
              <w:rPr>
                <w:rFonts w:eastAsia="Calibri"/>
                <w:sz w:val="20"/>
                <w:szCs w:val="20"/>
              </w:rPr>
            </w:pPr>
            <w:r>
              <w:rPr>
                <w:rFonts w:eastAsia="Calibri"/>
                <w:sz w:val="20"/>
                <w:szCs w:val="20"/>
              </w:rPr>
              <w:t>C</w:t>
            </w:r>
            <w:r w:rsidRPr="00184BB5">
              <w:rPr>
                <w:rFonts w:eastAsia="Calibri"/>
                <w:sz w:val="20"/>
                <w:szCs w:val="20"/>
              </w:rPr>
              <w:t xml:space="preserve">ircus operation </w:t>
            </w:r>
          </w:p>
          <w:p w14:paraId="20A5DF70" w14:textId="77777777" w:rsidR="004E3435" w:rsidRDefault="004E3435" w:rsidP="0055688D">
            <w:pPr>
              <w:pStyle w:val="ListParagraph"/>
              <w:numPr>
                <w:ilvl w:val="0"/>
                <w:numId w:val="30"/>
              </w:numPr>
              <w:spacing w:after="40"/>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184BB5">
              <w:rPr>
                <w:rFonts w:eastAsia="Calibri"/>
                <w:sz w:val="20"/>
                <w:szCs w:val="20"/>
              </w:rPr>
              <w:lastRenderedPageBreak/>
              <w:t xml:space="preserve">Dance and ballet company operation </w:t>
            </w:r>
          </w:p>
          <w:p w14:paraId="16797D5E" w14:textId="77777777" w:rsidR="004E3435" w:rsidRDefault="004E3435" w:rsidP="0055688D">
            <w:pPr>
              <w:pStyle w:val="ListParagraph"/>
              <w:numPr>
                <w:ilvl w:val="0"/>
                <w:numId w:val="30"/>
              </w:numPr>
              <w:spacing w:after="40"/>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184BB5">
              <w:rPr>
                <w:rFonts w:eastAsia="Calibri"/>
                <w:sz w:val="20"/>
                <w:szCs w:val="20"/>
              </w:rPr>
              <w:t xml:space="preserve">Musical comedy company operation </w:t>
            </w:r>
          </w:p>
          <w:p w14:paraId="4DCB4308" w14:textId="77777777" w:rsidR="004E3435" w:rsidRDefault="004E3435" w:rsidP="0055688D">
            <w:pPr>
              <w:pStyle w:val="ListParagraph"/>
              <w:numPr>
                <w:ilvl w:val="0"/>
                <w:numId w:val="30"/>
              </w:numPr>
              <w:spacing w:after="40"/>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184BB5">
              <w:rPr>
                <w:rFonts w:eastAsia="Calibri"/>
                <w:sz w:val="20"/>
                <w:szCs w:val="20"/>
              </w:rPr>
              <w:t xml:space="preserve">Musical productions </w:t>
            </w:r>
          </w:p>
          <w:p w14:paraId="09D7797A" w14:textId="77777777" w:rsidR="004E3435" w:rsidRDefault="004E3435" w:rsidP="0055688D">
            <w:pPr>
              <w:pStyle w:val="ListParagraph"/>
              <w:numPr>
                <w:ilvl w:val="0"/>
                <w:numId w:val="30"/>
              </w:numPr>
              <w:spacing w:after="40"/>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184BB5">
              <w:rPr>
                <w:rFonts w:eastAsia="Calibri"/>
                <w:sz w:val="20"/>
                <w:szCs w:val="20"/>
              </w:rPr>
              <w:t xml:space="preserve">Opera company operation </w:t>
            </w:r>
          </w:p>
          <w:p w14:paraId="2A5C028E" w14:textId="77777777" w:rsidR="004E3435" w:rsidRDefault="004E3435" w:rsidP="0055688D">
            <w:pPr>
              <w:pStyle w:val="ListParagraph"/>
              <w:numPr>
                <w:ilvl w:val="0"/>
                <w:numId w:val="30"/>
              </w:numPr>
              <w:spacing w:after="40"/>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184BB5">
              <w:rPr>
                <w:rFonts w:eastAsia="Calibri"/>
                <w:sz w:val="20"/>
                <w:szCs w:val="20"/>
              </w:rPr>
              <w:t xml:space="preserve">Orchestra operation </w:t>
            </w:r>
          </w:p>
          <w:p w14:paraId="26DAD522" w14:textId="77777777" w:rsidR="004E3435" w:rsidRDefault="004E3435" w:rsidP="0055688D">
            <w:pPr>
              <w:pStyle w:val="ListParagraph"/>
              <w:numPr>
                <w:ilvl w:val="0"/>
                <w:numId w:val="30"/>
              </w:numPr>
              <w:spacing w:after="40"/>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184BB5">
              <w:rPr>
                <w:rFonts w:eastAsia="Calibri"/>
                <w:sz w:val="20"/>
                <w:szCs w:val="20"/>
              </w:rPr>
              <w:t>Theatre restaurant operation (mainly entertainment facility)</w:t>
            </w:r>
          </w:p>
          <w:p w14:paraId="342F4122" w14:textId="77777777" w:rsidR="004E3435" w:rsidRDefault="004E3435" w:rsidP="0055688D">
            <w:pPr>
              <w:pStyle w:val="ListParagraph"/>
              <w:numPr>
                <w:ilvl w:val="0"/>
                <w:numId w:val="30"/>
              </w:numPr>
              <w:spacing w:after="40"/>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184BB5">
              <w:rPr>
                <w:rFonts w:eastAsia="Calibri"/>
                <w:sz w:val="20"/>
                <w:szCs w:val="20"/>
              </w:rPr>
              <w:t>Theatrical company operation</w:t>
            </w:r>
          </w:p>
          <w:p w14:paraId="667D6597" w14:textId="77777777" w:rsidR="004E3435" w:rsidRDefault="004E3435" w:rsidP="003C01EE">
            <w:pPr>
              <w:spacing w:after="40"/>
              <w:cnfStyle w:val="000000000000" w:firstRow="0" w:lastRow="0" w:firstColumn="0" w:lastColumn="0" w:oddVBand="0" w:evenVBand="0" w:oddHBand="0" w:evenHBand="0" w:firstRowFirstColumn="0" w:firstRowLastColumn="0" w:lastRowFirstColumn="0" w:lastRowLastColumn="0"/>
              <w:rPr>
                <w:sz w:val="20"/>
                <w:szCs w:val="20"/>
              </w:rPr>
            </w:pPr>
          </w:p>
          <w:p w14:paraId="73AF4BC3" w14:textId="77777777" w:rsidR="004E3435" w:rsidRDefault="004E3435" w:rsidP="00F15BEA">
            <w:pPr>
              <w:spacing w:after="4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w:t>
            </w:r>
            <w:r w:rsidRPr="00184BB5">
              <w:rPr>
                <w:sz w:val="20"/>
                <w:szCs w:val="20"/>
              </w:rPr>
              <w:t>ainly engaged in operating venues for the presentation and rehearsal of performing arts.</w:t>
            </w:r>
          </w:p>
          <w:p w14:paraId="6F274EFC" w14:textId="77777777" w:rsidR="004E3435" w:rsidRDefault="004E3435" w:rsidP="00F15BEA">
            <w:pPr>
              <w:spacing w:after="40"/>
              <w:cnfStyle w:val="000000000000" w:firstRow="0" w:lastRow="0" w:firstColumn="0" w:lastColumn="0" w:oddVBand="0" w:evenVBand="0" w:oddHBand="0" w:evenHBand="0" w:firstRowFirstColumn="0" w:firstRowLastColumn="0" w:lastRowFirstColumn="0" w:lastRowLastColumn="0"/>
              <w:rPr>
                <w:sz w:val="20"/>
                <w:szCs w:val="20"/>
              </w:rPr>
            </w:pPr>
            <w:r w:rsidRPr="00184BB5">
              <w:rPr>
                <w:sz w:val="20"/>
                <w:szCs w:val="20"/>
              </w:rPr>
              <w:t>Primary activities</w:t>
            </w:r>
            <w:r>
              <w:rPr>
                <w:sz w:val="20"/>
                <w:szCs w:val="20"/>
              </w:rPr>
              <w:t>:</w:t>
            </w:r>
          </w:p>
          <w:p w14:paraId="520DFC9A" w14:textId="77777777" w:rsidR="004E3435" w:rsidRDefault="004E3435" w:rsidP="0055688D">
            <w:pPr>
              <w:pStyle w:val="ListParagraph"/>
              <w:numPr>
                <w:ilvl w:val="0"/>
                <w:numId w:val="30"/>
              </w:numPr>
              <w:spacing w:after="40"/>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184BB5">
              <w:rPr>
                <w:rFonts w:eastAsia="Calibri"/>
                <w:sz w:val="20"/>
                <w:szCs w:val="20"/>
              </w:rPr>
              <w:t xml:space="preserve">Concert hall operation </w:t>
            </w:r>
          </w:p>
          <w:p w14:paraId="7DA07EE0" w14:textId="77777777" w:rsidR="004E3435" w:rsidRDefault="004E3435" w:rsidP="0055688D">
            <w:pPr>
              <w:pStyle w:val="ListParagraph"/>
              <w:numPr>
                <w:ilvl w:val="0"/>
                <w:numId w:val="30"/>
              </w:numPr>
              <w:spacing w:after="40"/>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184BB5">
              <w:rPr>
                <w:rFonts w:eastAsia="Calibri"/>
                <w:sz w:val="20"/>
                <w:szCs w:val="20"/>
              </w:rPr>
              <w:t xml:space="preserve">Entertainment centre operation </w:t>
            </w:r>
          </w:p>
          <w:p w14:paraId="11305CE7" w14:textId="77777777" w:rsidR="004E3435" w:rsidRDefault="004E3435" w:rsidP="0055688D">
            <w:pPr>
              <w:pStyle w:val="ListParagraph"/>
              <w:numPr>
                <w:ilvl w:val="0"/>
                <w:numId w:val="30"/>
              </w:numPr>
              <w:spacing w:after="40"/>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184BB5">
              <w:rPr>
                <w:rFonts w:eastAsia="Calibri"/>
                <w:sz w:val="20"/>
                <w:szCs w:val="20"/>
              </w:rPr>
              <w:t xml:space="preserve">Music bowl operation </w:t>
            </w:r>
          </w:p>
          <w:p w14:paraId="0768B169" w14:textId="77777777" w:rsidR="004E3435" w:rsidRDefault="004E3435" w:rsidP="0055688D">
            <w:pPr>
              <w:pStyle w:val="ListParagraph"/>
              <w:numPr>
                <w:ilvl w:val="0"/>
                <w:numId w:val="30"/>
              </w:numPr>
              <w:spacing w:after="40"/>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184BB5">
              <w:rPr>
                <w:rFonts w:eastAsia="Calibri"/>
                <w:sz w:val="20"/>
                <w:szCs w:val="20"/>
              </w:rPr>
              <w:t xml:space="preserve">Opera house operation </w:t>
            </w:r>
          </w:p>
          <w:p w14:paraId="566AB20E" w14:textId="77777777" w:rsidR="004E3435" w:rsidRDefault="004E3435" w:rsidP="0055688D">
            <w:pPr>
              <w:pStyle w:val="ListParagraph"/>
              <w:numPr>
                <w:ilvl w:val="0"/>
                <w:numId w:val="30"/>
              </w:numPr>
              <w:spacing w:after="40"/>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184BB5">
              <w:rPr>
                <w:rFonts w:eastAsia="Calibri"/>
                <w:sz w:val="20"/>
                <w:szCs w:val="20"/>
              </w:rPr>
              <w:t xml:space="preserve">Playhouse operation </w:t>
            </w:r>
          </w:p>
          <w:p w14:paraId="7006CCF0" w14:textId="0BD39572" w:rsidR="004E3435" w:rsidRPr="00DB4340" w:rsidRDefault="004E3435" w:rsidP="0055688D">
            <w:pPr>
              <w:pStyle w:val="ListParagraph"/>
              <w:numPr>
                <w:ilvl w:val="0"/>
                <w:numId w:val="30"/>
              </w:numPr>
              <w:spacing w:after="40"/>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184BB5">
              <w:rPr>
                <w:rFonts w:eastAsia="Calibri"/>
                <w:sz w:val="20"/>
                <w:szCs w:val="20"/>
              </w:rPr>
              <w:t>Theatre operation (except motion picture theatre)</w:t>
            </w:r>
          </w:p>
        </w:tc>
      </w:tr>
      <w:tr w:rsidR="004E3435" w:rsidRPr="00184BB5" w14:paraId="6C9B4223" w14:textId="7E1A3C62" w:rsidTr="004E3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2A4B96AF" w14:textId="031B044C" w:rsidR="004E3435" w:rsidRPr="00075CAB" w:rsidRDefault="004E3435" w:rsidP="00F15BEA">
            <w:pPr>
              <w:spacing w:after="40"/>
              <w:rPr>
                <w:rFonts w:eastAsia="Calibri"/>
                <w:caps w:val="0"/>
                <w:sz w:val="20"/>
                <w:szCs w:val="20"/>
              </w:rPr>
            </w:pPr>
            <w:r>
              <w:rPr>
                <w:rFonts w:eastAsia="Calibri"/>
                <w:caps w:val="0"/>
                <w:sz w:val="20"/>
                <w:szCs w:val="20"/>
              </w:rPr>
              <w:lastRenderedPageBreak/>
              <w:t>Recreation Venues</w:t>
            </w:r>
            <w:r w:rsidRPr="00075CAB">
              <w:rPr>
                <w:rFonts w:eastAsia="Calibri"/>
                <w:caps w:val="0"/>
                <w:sz w:val="20"/>
                <w:szCs w:val="20"/>
              </w:rPr>
              <w:t xml:space="preserve"> </w:t>
            </w:r>
          </w:p>
        </w:tc>
        <w:tc>
          <w:tcPr>
            <w:tcW w:w="1418" w:type="dxa"/>
          </w:tcPr>
          <w:p w14:paraId="30E08042" w14:textId="482F7413" w:rsidR="004E3435" w:rsidRPr="00075CAB" w:rsidRDefault="004E3435" w:rsidP="00F15BEA">
            <w:pPr>
              <w:spacing w:after="40"/>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075CAB">
              <w:rPr>
                <w:rFonts w:eastAsia="Calibri"/>
                <w:sz w:val="20"/>
                <w:szCs w:val="20"/>
              </w:rPr>
              <w:t>R911300</w:t>
            </w:r>
            <w:r>
              <w:rPr>
                <w:rFonts w:eastAsia="Calibri"/>
                <w:sz w:val="20"/>
                <w:szCs w:val="20"/>
              </w:rPr>
              <w:t xml:space="preserve">: </w:t>
            </w:r>
            <w:r w:rsidRPr="00184BB5">
              <w:rPr>
                <w:rFonts w:eastAsia="Calibri"/>
                <w:sz w:val="20"/>
                <w:szCs w:val="20"/>
              </w:rPr>
              <w:t xml:space="preserve">Sports </w:t>
            </w:r>
            <w:r>
              <w:rPr>
                <w:rFonts w:eastAsia="Calibri"/>
                <w:sz w:val="20"/>
                <w:szCs w:val="20"/>
              </w:rPr>
              <w:t>a</w:t>
            </w:r>
            <w:r w:rsidRPr="00184BB5">
              <w:rPr>
                <w:rFonts w:eastAsia="Calibri"/>
                <w:sz w:val="20"/>
                <w:szCs w:val="20"/>
              </w:rPr>
              <w:t xml:space="preserve">nd Physical Recreation Venues, Grounds </w:t>
            </w:r>
            <w:r>
              <w:rPr>
                <w:rFonts w:eastAsia="Calibri"/>
                <w:sz w:val="20"/>
                <w:szCs w:val="20"/>
              </w:rPr>
              <w:t>a</w:t>
            </w:r>
            <w:r w:rsidRPr="00184BB5">
              <w:rPr>
                <w:rFonts w:eastAsia="Calibri"/>
                <w:sz w:val="20"/>
                <w:szCs w:val="20"/>
              </w:rPr>
              <w:t>nd Facilities Operation</w:t>
            </w:r>
          </w:p>
        </w:tc>
        <w:tc>
          <w:tcPr>
            <w:tcW w:w="5953" w:type="dxa"/>
          </w:tcPr>
          <w:p w14:paraId="491E48C2" w14:textId="5F3D2C53" w:rsidR="004E3435" w:rsidRDefault="004E3435" w:rsidP="003C01EE">
            <w:pPr>
              <w:spacing w:after="4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w:t>
            </w:r>
            <w:r w:rsidRPr="00DB4340">
              <w:rPr>
                <w:sz w:val="20"/>
                <w:szCs w:val="20"/>
              </w:rPr>
              <w:t>ainly engaged in operating indoor or outdoor sports and physical</w:t>
            </w:r>
            <w:r>
              <w:rPr>
                <w:sz w:val="20"/>
                <w:szCs w:val="20"/>
              </w:rPr>
              <w:t xml:space="preserve"> </w:t>
            </w:r>
            <w:r w:rsidRPr="00DB4340">
              <w:rPr>
                <w:sz w:val="20"/>
                <w:szCs w:val="20"/>
              </w:rPr>
              <w:t xml:space="preserve">recreation venues, </w:t>
            </w:r>
            <w:r w:rsidR="00FC3FB0" w:rsidRPr="00DB4340">
              <w:rPr>
                <w:sz w:val="20"/>
                <w:szCs w:val="20"/>
              </w:rPr>
              <w:t>grounds,</w:t>
            </w:r>
            <w:r w:rsidRPr="00DB4340">
              <w:rPr>
                <w:sz w:val="20"/>
                <w:szCs w:val="20"/>
              </w:rPr>
              <w:t xml:space="preserve"> and facilities (except health and fitness centres and gymnasia).</w:t>
            </w:r>
          </w:p>
          <w:p w14:paraId="19626E26" w14:textId="77777777" w:rsidR="004E3435" w:rsidRDefault="004E3435" w:rsidP="003C01EE">
            <w:pPr>
              <w:spacing w:after="40"/>
              <w:cnfStyle w:val="000000100000" w:firstRow="0" w:lastRow="0" w:firstColumn="0" w:lastColumn="0" w:oddVBand="0" w:evenVBand="0" w:oddHBand="1" w:evenHBand="0" w:firstRowFirstColumn="0" w:firstRowLastColumn="0" w:lastRowFirstColumn="0" w:lastRowLastColumn="0"/>
              <w:rPr>
                <w:rFonts w:eastAsia="Calibri"/>
                <w:sz w:val="20"/>
                <w:szCs w:val="20"/>
              </w:rPr>
            </w:pPr>
            <w:r>
              <w:rPr>
                <w:rFonts w:eastAsia="Calibri"/>
                <w:sz w:val="20"/>
                <w:szCs w:val="20"/>
              </w:rPr>
              <w:t>Primary activities:</w:t>
            </w:r>
          </w:p>
          <w:p w14:paraId="722E0430" w14:textId="77777777" w:rsidR="004E3435" w:rsidRPr="00075CAB" w:rsidRDefault="004E3435" w:rsidP="0055688D">
            <w:pPr>
              <w:pStyle w:val="ListParagraph"/>
              <w:numPr>
                <w:ilvl w:val="0"/>
                <w:numId w:val="30"/>
              </w:numPr>
              <w:spacing w:after="40"/>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075CAB">
              <w:rPr>
                <w:rFonts w:eastAsia="Calibri"/>
                <w:sz w:val="20"/>
                <w:szCs w:val="20"/>
              </w:rPr>
              <w:t>Athletics field or stadium operation</w:t>
            </w:r>
          </w:p>
          <w:p w14:paraId="6A638CE9" w14:textId="78CEAFC0" w:rsidR="004E3435" w:rsidRPr="00075CAB" w:rsidRDefault="004E3435" w:rsidP="0055688D">
            <w:pPr>
              <w:pStyle w:val="ListParagraph"/>
              <w:numPr>
                <w:ilvl w:val="0"/>
                <w:numId w:val="30"/>
              </w:numPr>
              <w:spacing w:after="40"/>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075CAB">
              <w:rPr>
                <w:rFonts w:eastAsia="Calibri"/>
                <w:sz w:val="20"/>
                <w:szCs w:val="20"/>
              </w:rPr>
              <w:t>Basketball court or stadium operation</w:t>
            </w:r>
          </w:p>
          <w:p w14:paraId="0821C102" w14:textId="315C61FA" w:rsidR="004E3435" w:rsidRPr="00075CAB" w:rsidRDefault="004E3435" w:rsidP="0055688D">
            <w:pPr>
              <w:pStyle w:val="ListParagraph"/>
              <w:numPr>
                <w:ilvl w:val="0"/>
                <w:numId w:val="30"/>
              </w:numPr>
              <w:spacing w:after="40"/>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075CAB">
              <w:rPr>
                <w:rFonts w:eastAsia="Calibri"/>
                <w:sz w:val="20"/>
                <w:szCs w:val="20"/>
              </w:rPr>
              <w:t xml:space="preserve">Billiard, </w:t>
            </w:r>
            <w:r w:rsidR="00FC3FB0" w:rsidRPr="00075CAB">
              <w:rPr>
                <w:rFonts w:eastAsia="Calibri"/>
                <w:sz w:val="20"/>
                <w:szCs w:val="20"/>
              </w:rPr>
              <w:t>snooker,</w:t>
            </w:r>
            <w:r w:rsidRPr="00075CAB">
              <w:rPr>
                <w:rFonts w:eastAsia="Calibri"/>
                <w:sz w:val="20"/>
                <w:szCs w:val="20"/>
              </w:rPr>
              <w:t xml:space="preserve"> or pool hall operation</w:t>
            </w:r>
          </w:p>
          <w:p w14:paraId="11F60E98" w14:textId="19B708BF" w:rsidR="004E3435" w:rsidRPr="00075CAB" w:rsidRDefault="004E3435" w:rsidP="0055688D">
            <w:pPr>
              <w:pStyle w:val="ListParagraph"/>
              <w:numPr>
                <w:ilvl w:val="0"/>
                <w:numId w:val="30"/>
              </w:numPr>
              <w:spacing w:after="40"/>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075CAB">
              <w:rPr>
                <w:rFonts w:eastAsia="Calibri"/>
                <w:sz w:val="20"/>
                <w:szCs w:val="20"/>
              </w:rPr>
              <w:t>Bowling alley, tenpin, operation</w:t>
            </w:r>
          </w:p>
          <w:p w14:paraId="279A9EC8" w14:textId="6907B345" w:rsidR="004E3435" w:rsidRPr="00075CAB" w:rsidRDefault="004E3435" w:rsidP="0055688D">
            <w:pPr>
              <w:pStyle w:val="ListParagraph"/>
              <w:numPr>
                <w:ilvl w:val="0"/>
                <w:numId w:val="30"/>
              </w:numPr>
              <w:spacing w:after="40"/>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075CAB">
              <w:rPr>
                <w:rFonts w:eastAsia="Calibri"/>
                <w:sz w:val="20"/>
                <w:szCs w:val="20"/>
              </w:rPr>
              <w:t>Bowling green operation</w:t>
            </w:r>
          </w:p>
          <w:p w14:paraId="71CA3605" w14:textId="1822231E" w:rsidR="004E3435" w:rsidRPr="00075CAB" w:rsidRDefault="004E3435" w:rsidP="0055688D">
            <w:pPr>
              <w:pStyle w:val="ListParagraph"/>
              <w:numPr>
                <w:ilvl w:val="0"/>
                <w:numId w:val="30"/>
              </w:numPr>
              <w:spacing w:after="40"/>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075CAB">
              <w:rPr>
                <w:rFonts w:eastAsia="Calibri"/>
                <w:sz w:val="20"/>
                <w:szCs w:val="20"/>
              </w:rPr>
              <w:t>Boxing stadium operation</w:t>
            </w:r>
          </w:p>
          <w:p w14:paraId="75875613" w14:textId="444218D4" w:rsidR="004E3435" w:rsidRPr="00075CAB" w:rsidRDefault="004E3435" w:rsidP="0055688D">
            <w:pPr>
              <w:pStyle w:val="ListParagraph"/>
              <w:numPr>
                <w:ilvl w:val="0"/>
                <w:numId w:val="30"/>
              </w:numPr>
              <w:spacing w:after="40"/>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075CAB">
              <w:rPr>
                <w:rFonts w:eastAsia="Calibri"/>
                <w:sz w:val="20"/>
                <w:szCs w:val="20"/>
              </w:rPr>
              <w:t>Cricket ground operation</w:t>
            </w:r>
          </w:p>
          <w:p w14:paraId="63FE0545" w14:textId="645FEDA5" w:rsidR="004E3435" w:rsidRPr="00075CAB" w:rsidRDefault="004E3435" w:rsidP="0055688D">
            <w:pPr>
              <w:pStyle w:val="ListParagraph"/>
              <w:numPr>
                <w:ilvl w:val="0"/>
                <w:numId w:val="30"/>
              </w:numPr>
              <w:spacing w:after="40"/>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075CAB">
              <w:rPr>
                <w:rFonts w:eastAsia="Calibri"/>
                <w:sz w:val="20"/>
                <w:szCs w:val="20"/>
              </w:rPr>
              <w:t>Football field or stadium operation</w:t>
            </w:r>
          </w:p>
          <w:p w14:paraId="231D1756" w14:textId="01A7F26B" w:rsidR="004E3435" w:rsidRPr="00075CAB" w:rsidRDefault="004E3435" w:rsidP="0055688D">
            <w:pPr>
              <w:pStyle w:val="ListParagraph"/>
              <w:numPr>
                <w:ilvl w:val="0"/>
                <w:numId w:val="30"/>
              </w:numPr>
              <w:spacing w:after="40"/>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075CAB">
              <w:rPr>
                <w:rFonts w:eastAsia="Calibri"/>
                <w:sz w:val="20"/>
                <w:szCs w:val="20"/>
              </w:rPr>
              <w:t>Golf course or practice range operation</w:t>
            </w:r>
          </w:p>
          <w:p w14:paraId="2E150DF8" w14:textId="0DC91ABD" w:rsidR="004E3435" w:rsidRPr="00075CAB" w:rsidRDefault="004E3435" w:rsidP="0055688D">
            <w:pPr>
              <w:pStyle w:val="ListParagraph"/>
              <w:numPr>
                <w:ilvl w:val="0"/>
                <w:numId w:val="30"/>
              </w:numPr>
              <w:spacing w:after="40"/>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075CAB">
              <w:rPr>
                <w:rFonts w:eastAsia="Calibri"/>
                <w:sz w:val="20"/>
                <w:szCs w:val="20"/>
              </w:rPr>
              <w:t>Ice or roller skating rink operation</w:t>
            </w:r>
          </w:p>
          <w:p w14:paraId="78C5A0C2" w14:textId="3FC845E7" w:rsidR="004E3435" w:rsidRPr="00075CAB" w:rsidRDefault="004E3435" w:rsidP="0055688D">
            <w:pPr>
              <w:pStyle w:val="ListParagraph"/>
              <w:numPr>
                <w:ilvl w:val="0"/>
                <w:numId w:val="30"/>
              </w:numPr>
              <w:spacing w:after="40"/>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075CAB">
              <w:rPr>
                <w:rFonts w:eastAsia="Calibri"/>
                <w:sz w:val="20"/>
                <w:szCs w:val="20"/>
              </w:rPr>
              <w:t>Motor racing track or speedway operation</w:t>
            </w:r>
          </w:p>
          <w:p w14:paraId="50B51F1F" w14:textId="6F9D9F07" w:rsidR="004E3435" w:rsidRPr="00075CAB" w:rsidRDefault="004E3435" w:rsidP="0055688D">
            <w:pPr>
              <w:pStyle w:val="ListParagraph"/>
              <w:numPr>
                <w:ilvl w:val="0"/>
                <w:numId w:val="30"/>
              </w:numPr>
              <w:spacing w:after="40"/>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075CAB">
              <w:rPr>
                <w:rFonts w:eastAsia="Calibri"/>
                <w:sz w:val="20"/>
                <w:szCs w:val="20"/>
              </w:rPr>
              <w:t>Netball court or stadium operation</w:t>
            </w:r>
          </w:p>
          <w:p w14:paraId="4F77D0C9" w14:textId="00BE7DAF" w:rsidR="004E3435" w:rsidRPr="006C7DA7" w:rsidRDefault="004E3435" w:rsidP="0055688D">
            <w:pPr>
              <w:pStyle w:val="ListParagraph"/>
              <w:numPr>
                <w:ilvl w:val="0"/>
                <w:numId w:val="30"/>
              </w:numPr>
              <w:spacing w:after="40"/>
              <w:cnfStyle w:val="000000100000" w:firstRow="0" w:lastRow="0" w:firstColumn="0" w:lastColumn="0" w:oddVBand="0" w:evenVBand="0" w:oddHBand="1" w:evenHBand="0" w:firstRowFirstColumn="0" w:firstRowLastColumn="0" w:lastRowFirstColumn="0" w:lastRowLastColumn="0"/>
              <w:rPr>
                <w:rFonts w:eastAsia="Calibri"/>
                <w:sz w:val="20"/>
                <w:szCs w:val="20"/>
              </w:rPr>
            </w:pPr>
            <w:r>
              <w:rPr>
                <w:rFonts w:eastAsia="Calibri"/>
                <w:sz w:val="20"/>
                <w:szCs w:val="20"/>
              </w:rPr>
              <w:t>Other s</w:t>
            </w:r>
            <w:r w:rsidRPr="006C7DA7">
              <w:rPr>
                <w:rFonts w:eastAsia="Calibri"/>
                <w:sz w:val="20"/>
                <w:szCs w:val="20"/>
              </w:rPr>
              <w:t xml:space="preserve">ports ground, </w:t>
            </w:r>
            <w:r w:rsidR="00FC3FB0" w:rsidRPr="006C7DA7">
              <w:rPr>
                <w:rFonts w:eastAsia="Calibri"/>
                <w:sz w:val="20"/>
                <w:szCs w:val="20"/>
              </w:rPr>
              <w:t>stadium,</w:t>
            </w:r>
            <w:r w:rsidRPr="006C7DA7">
              <w:rPr>
                <w:rFonts w:eastAsia="Calibri"/>
                <w:sz w:val="20"/>
                <w:szCs w:val="20"/>
              </w:rPr>
              <w:t xml:space="preserve"> or venue operation </w:t>
            </w:r>
          </w:p>
          <w:p w14:paraId="429197C5" w14:textId="520AFD51" w:rsidR="004E3435" w:rsidRPr="006C7DA7" w:rsidRDefault="004E3435" w:rsidP="0055688D">
            <w:pPr>
              <w:pStyle w:val="ListParagraph"/>
              <w:numPr>
                <w:ilvl w:val="0"/>
                <w:numId w:val="30"/>
              </w:numPr>
              <w:spacing w:after="40"/>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6C7DA7">
              <w:rPr>
                <w:rFonts w:eastAsia="Calibri"/>
                <w:sz w:val="20"/>
                <w:szCs w:val="20"/>
              </w:rPr>
              <w:t>Squash court operation</w:t>
            </w:r>
          </w:p>
          <w:p w14:paraId="667837DB" w14:textId="76670ABD" w:rsidR="004E3435" w:rsidRPr="006C7DA7" w:rsidRDefault="004E3435" w:rsidP="0055688D">
            <w:pPr>
              <w:pStyle w:val="ListParagraph"/>
              <w:numPr>
                <w:ilvl w:val="0"/>
                <w:numId w:val="30"/>
              </w:numPr>
              <w:spacing w:after="40"/>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6C7DA7">
              <w:rPr>
                <w:rFonts w:eastAsia="Calibri"/>
                <w:sz w:val="20"/>
                <w:szCs w:val="20"/>
              </w:rPr>
              <w:t>Swimming pool operation</w:t>
            </w:r>
          </w:p>
          <w:p w14:paraId="2FA51ECC" w14:textId="0C077A04" w:rsidR="004E3435" w:rsidRPr="006C7DA7" w:rsidRDefault="004E3435" w:rsidP="0055688D">
            <w:pPr>
              <w:pStyle w:val="ListParagraph"/>
              <w:numPr>
                <w:ilvl w:val="0"/>
                <w:numId w:val="30"/>
              </w:numPr>
              <w:spacing w:after="40"/>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6C7DA7">
              <w:rPr>
                <w:rFonts w:eastAsia="Calibri"/>
                <w:sz w:val="20"/>
                <w:szCs w:val="20"/>
              </w:rPr>
              <w:t>Tennis court operation</w:t>
            </w:r>
          </w:p>
        </w:tc>
      </w:tr>
      <w:tr w:rsidR="004E3435" w:rsidRPr="00184BB5" w14:paraId="7FF29F78" w14:textId="32B7FB00" w:rsidTr="004E3435">
        <w:tc>
          <w:tcPr>
            <w:cnfStyle w:val="001000000000" w:firstRow="0" w:lastRow="0" w:firstColumn="1" w:lastColumn="0" w:oddVBand="0" w:evenVBand="0" w:oddHBand="0" w:evenHBand="0" w:firstRowFirstColumn="0" w:firstRowLastColumn="0" w:lastRowFirstColumn="0" w:lastRowLastColumn="0"/>
            <w:tcW w:w="1701" w:type="dxa"/>
          </w:tcPr>
          <w:p w14:paraId="40AFE21E" w14:textId="3E80835E" w:rsidR="004E3435" w:rsidRPr="00075CAB" w:rsidRDefault="004E3435" w:rsidP="00F15BEA">
            <w:pPr>
              <w:spacing w:after="40"/>
              <w:rPr>
                <w:rFonts w:eastAsia="Calibri"/>
                <w:caps w:val="0"/>
                <w:sz w:val="20"/>
                <w:szCs w:val="20"/>
              </w:rPr>
            </w:pPr>
            <w:r w:rsidRPr="00075CAB">
              <w:rPr>
                <w:rFonts w:eastAsia="Calibri"/>
                <w:caps w:val="0"/>
                <w:sz w:val="20"/>
                <w:szCs w:val="20"/>
              </w:rPr>
              <w:t xml:space="preserve">Amusement Parks </w:t>
            </w:r>
          </w:p>
        </w:tc>
        <w:tc>
          <w:tcPr>
            <w:tcW w:w="1418" w:type="dxa"/>
          </w:tcPr>
          <w:p w14:paraId="368271EA" w14:textId="239D4960" w:rsidR="004E3435" w:rsidRPr="00075CAB" w:rsidRDefault="004E3435" w:rsidP="00F15BEA">
            <w:pPr>
              <w:spacing w:after="40"/>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075CAB">
              <w:rPr>
                <w:rFonts w:eastAsia="Calibri"/>
                <w:sz w:val="20"/>
                <w:szCs w:val="20"/>
              </w:rPr>
              <w:t>R913100</w:t>
            </w:r>
            <w:r>
              <w:rPr>
                <w:rFonts w:eastAsia="Calibri"/>
                <w:sz w:val="20"/>
                <w:szCs w:val="20"/>
              </w:rPr>
              <w:t>:</w:t>
            </w:r>
            <w:r w:rsidRPr="00184BB5">
              <w:rPr>
                <w:rFonts w:eastAsia="Calibri"/>
                <w:caps/>
                <w:sz w:val="20"/>
                <w:szCs w:val="20"/>
              </w:rPr>
              <w:t xml:space="preserve"> </w:t>
            </w:r>
            <w:r w:rsidRPr="00184BB5">
              <w:rPr>
                <w:rFonts w:eastAsia="Calibri"/>
                <w:sz w:val="20"/>
                <w:szCs w:val="20"/>
              </w:rPr>
              <w:t xml:space="preserve">Amusement Parks </w:t>
            </w:r>
            <w:r>
              <w:rPr>
                <w:rFonts w:eastAsia="Calibri"/>
                <w:sz w:val="20"/>
                <w:szCs w:val="20"/>
              </w:rPr>
              <w:t>a</w:t>
            </w:r>
            <w:r w:rsidRPr="00184BB5">
              <w:rPr>
                <w:rFonts w:eastAsia="Calibri"/>
                <w:sz w:val="20"/>
                <w:szCs w:val="20"/>
              </w:rPr>
              <w:t>nd Centres Operation</w:t>
            </w:r>
          </w:p>
        </w:tc>
        <w:tc>
          <w:tcPr>
            <w:tcW w:w="5953" w:type="dxa"/>
          </w:tcPr>
          <w:p w14:paraId="388DFCF3" w14:textId="433EB727" w:rsidR="004E3435" w:rsidRDefault="004E3435" w:rsidP="003971D2">
            <w:pPr>
              <w:spacing w:after="4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w:t>
            </w:r>
            <w:r w:rsidRPr="00DB4340">
              <w:rPr>
                <w:sz w:val="20"/>
                <w:szCs w:val="20"/>
              </w:rPr>
              <w:t>ainly engaged in providing amusement and recreation services in</w:t>
            </w:r>
            <w:r>
              <w:rPr>
                <w:sz w:val="20"/>
                <w:szCs w:val="20"/>
              </w:rPr>
              <w:t xml:space="preserve"> </w:t>
            </w:r>
            <w:r w:rsidRPr="00DB4340">
              <w:rPr>
                <w:sz w:val="20"/>
                <w:szCs w:val="20"/>
              </w:rPr>
              <w:t xml:space="preserve">the form of amusement parks, </w:t>
            </w:r>
            <w:r w:rsidR="00FC3FB0" w:rsidRPr="00DB4340">
              <w:rPr>
                <w:sz w:val="20"/>
                <w:szCs w:val="20"/>
              </w:rPr>
              <w:t>arcades,</w:t>
            </w:r>
            <w:r w:rsidRPr="00DB4340">
              <w:rPr>
                <w:sz w:val="20"/>
                <w:szCs w:val="20"/>
              </w:rPr>
              <w:t xml:space="preserve"> or centres. </w:t>
            </w:r>
            <w:r>
              <w:rPr>
                <w:sz w:val="20"/>
                <w:szCs w:val="20"/>
              </w:rPr>
              <w:t>I</w:t>
            </w:r>
            <w:r w:rsidRPr="00DB4340">
              <w:rPr>
                <w:sz w:val="20"/>
                <w:szCs w:val="20"/>
              </w:rPr>
              <w:t>ncludes fixed or permanent sites and selected mobile amusement operators.</w:t>
            </w:r>
          </w:p>
          <w:p w14:paraId="529BD2AF" w14:textId="77777777" w:rsidR="004E3435" w:rsidRDefault="004E3435" w:rsidP="003971D2">
            <w:pPr>
              <w:spacing w:after="40"/>
              <w:cnfStyle w:val="000000000000" w:firstRow="0" w:lastRow="0" w:firstColumn="0" w:lastColumn="0" w:oddVBand="0" w:evenVBand="0" w:oddHBand="0" w:evenHBand="0" w:firstRowFirstColumn="0" w:firstRowLastColumn="0" w:lastRowFirstColumn="0" w:lastRowLastColumn="0"/>
              <w:rPr>
                <w:rFonts w:eastAsia="Calibri"/>
                <w:sz w:val="20"/>
                <w:szCs w:val="20"/>
              </w:rPr>
            </w:pPr>
            <w:r>
              <w:rPr>
                <w:rFonts w:eastAsia="Calibri"/>
                <w:sz w:val="20"/>
                <w:szCs w:val="20"/>
              </w:rPr>
              <w:t>Primary activities:</w:t>
            </w:r>
          </w:p>
          <w:p w14:paraId="16218C9E" w14:textId="77777777" w:rsidR="004E3435" w:rsidRPr="00075CAB" w:rsidRDefault="004E3435" w:rsidP="0055688D">
            <w:pPr>
              <w:pStyle w:val="ListParagraph"/>
              <w:numPr>
                <w:ilvl w:val="0"/>
                <w:numId w:val="30"/>
              </w:numPr>
              <w:spacing w:after="40"/>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075CAB">
              <w:rPr>
                <w:rFonts w:eastAsia="Calibri"/>
                <w:sz w:val="20"/>
                <w:szCs w:val="20"/>
              </w:rPr>
              <w:t>Amusement arcade or centre operation</w:t>
            </w:r>
          </w:p>
          <w:p w14:paraId="201C468B" w14:textId="5AD36C3D" w:rsidR="004E3435" w:rsidRPr="00075CAB" w:rsidRDefault="004E3435" w:rsidP="0055688D">
            <w:pPr>
              <w:pStyle w:val="ListParagraph"/>
              <w:numPr>
                <w:ilvl w:val="0"/>
                <w:numId w:val="30"/>
              </w:numPr>
              <w:spacing w:after="40"/>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075CAB">
              <w:rPr>
                <w:rFonts w:eastAsia="Calibri"/>
                <w:sz w:val="20"/>
                <w:szCs w:val="20"/>
              </w:rPr>
              <w:t>Amusement machine or ride operation (including concession operators)</w:t>
            </w:r>
          </w:p>
          <w:p w14:paraId="77CAFE5C" w14:textId="320691D3" w:rsidR="004E3435" w:rsidRPr="00075CAB" w:rsidRDefault="004E3435" w:rsidP="0055688D">
            <w:pPr>
              <w:pStyle w:val="ListParagraph"/>
              <w:numPr>
                <w:ilvl w:val="0"/>
                <w:numId w:val="30"/>
              </w:numPr>
              <w:spacing w:after="40"/>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075CAB">
              <w:rPr>
                <w:rFonts w:eastAsia="Calibri"/>
                <w:sz w:val="20"/>
                <w:szCs w:val="20"/>
              </w:rPr>
              <w:t>Amusement park operation</w:t>
            </w:r>
          </w:p>
          <w:p w14:paraId="418D14A5" w14:textId="643D9994" w:rsidR="004E3435" w:rsidRPr="00075CAB" w:rsidRDefault="004E3435" w:rsidP="0055688D">
            <w:pPr>
              <w:pStyle w:val="ListParagraph"/>
              <w:numPr>
                <w:ilvl w:val="0"/>
                <w:numId w:val="30"/>
              </w:numPr>
              <w:spacing w:after="40"/>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075CAB">
              <w:rPr>
                <w:rFonts w:eastAsia="Calibri"/>
                <w:sz w:val="20"/>
                <w:szCs w:val="20"/>
              </w:rPr>
              <w:t>Go-kart venue operation</w:t>
            </w:r>
          </w:p>
          <w:p w14:paraId="5C5DD648" w14:textId="04C5B819" w:rsidR="004E3435" w:rsidRPr="00075CAB" w:rsidRDefault="004E3435" w:rsidP="0055688D">
            <w:pPr>
              <w:pStyle w:val="ListParagraph"/>
              <w:numPr>
                <w:ilvl w:val="0"/>
                <w:numId w:val="30"/>
              </w:numPr>
              <w:spacing w:after="40"/>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075CAB">
              <w:rPr>
                <w:rFonts w:eastAsia="Calibri"/>
                <w:sz w:val="20"/>
                <w:szCs w:val="20"/>
              </w:rPr>
              <w:t>Indoor climbing operation</w:t>
            </w:r>
          </w:p>
          <w:p w14:paraId="16F267EB" w14:textId="60AA26CB" w:rsidR="004E3435" w:rsidRPr="00075CAB" w:rsidRDefault="004E3435" w:rsidP="0055688D">
            <w:pPr>
              <w:pStyle w:val="ListParagraph"/>
              <w:numPr>
                <w:ilvl w:val="0"/>
                <w:numId w:val="30"/>
              </w:numPr>
              <w:spacing w:after="40"/>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075CAB">
              <w:rPr>
                <w:rFonts w:eastAsia="Calibri"/>
                <w:sz w:val="20"/>
                <w:szCs w:val="20"/>
              </w:rPr>
              <w:t>Merry-go-round operation</w:t>
            </w:r>
          </w:p>
          <w:p w14:paraId="6C895B17" w14:textId="4562E048" w:rsidR="004E3435" w:rsidRPr="00075CAB" w:rsidRDefault="004E3435" w:rsidP="0055688D">
            <w:pPr>
              <w:pStyle w:val="ListParagraph"/>
              <w:numPr>
                <w:ilvl w:val="0"/>
                <w:numId w:val="30"/>
              </w:numPr>
              <w:spacing w:after="40"/>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075CAB">
              <w:rPr>
                <w:rFonts w:eastAsia="Calibri"/>
                <w:sz w:val="20"/>
                <w:szCs w:val="20"/>
              </w:rPr>
              <w:t>Mini-golf centre operation</w:t>
            </w:r>
          </w:p>
          <w:p w14:paraId="6C786E73" w14:textId="10BD8B23" w:rsidR="004E3435" w:rsidRPr="00075CAB" w:rsidRDefault="004E3435" w:rsidP="0055688D">
            <w:pPr>
              <w:pStyle w:val="ListParagraph"/>
              <w:numPr>
                <w:ilvl w:val="0"/>
                <w:numId w:val="30"/>
              </w:numPr>
              <w:spacing w:after="40"/>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075CAB">
              <w:rPr>
                <w:rFonts w:eastAsia="Calibri"/>
                <w:sz w:val="20"/>
                <w:szCs w:val="20"/>
              </w:rPr>
              <w:t>Theme park operation</w:t>
            </w:r>
          </w:p>
          <w:p w14:paraId="4558EFC1" w14:textId="0ACE0827" w:rsidR="004E3435" w:rsidRPr="006C7DA7" w:rsidRDefault="004E3435" w:rsidP="0055688D">
            <w:pPr>
              <w:pStyle w:val="ListParagraph"/>
              <w:numPr>
                <w:ilvl w:val="0"/>
                <w:numId w:val="30"/>
              </w:numPr>
              <w:spacing w:after="40"/>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075CAB">
              <w:rPr>
                <w:rFonts w:eastAsia="Calibri"/>
                <w:sz w:val="20"/>
                <w:szCs w:val="20"/>
              </w:rPr>
              <w:t>Water park operation</w:t>
            </w:r>
          </w:p>
        </w:tc>
      </w:tr>
      <w:tr w:rsidR="004E3435" w:rsidRPr="00184BB5" w14:paraId="7D0A7687" w14:textId="427D9587" w:rsidTr="004E3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585CF4E5" w14:textId="24867B6A" w:rsidR="004E3435" w:rsidRPr="00075CAB" w:rsidRDefault="004E3435" w:rsidP="00F15BEA">
            <w:pPr>
              <w:spacing w:after="40"/>
              <w:rPr>
                <w:rFonts w:eastAsia="Calibri"/>
                <w:caps w:val="0"/>
                <w:sz w:val="20"/>
                <w:szCs w:val="20"/>
              </w:rPr>
            </w:pPr>
            <w:r w:rsidRPr="00075CAB">
              <w:rPr>
                <w:rFonts w:eastAsia="Calibri"/>
                <w:caps w:val="0"/>
                <w:sz w:val="20"/>
                <w:szCs w:val="20"/>
              </w:rPr>
              <w:t>Casino</w:t>
            </w:r>
            <w:r>
              <w:rPr>
                <w:rFonts w:eastAsia="Calibri"/>
                <w:caps w:val="0"/>
                <w:sz w:val="20"/>
                <w:szCs w:val="20"/>
              </w:rPr>
              <w:t>s</w:t>
            </w:r>
          </w:p>
        </w:tc>
        <w:tc>
          <w:tcPr>
            <w:tcW w:w="1418" w:type="dxa"/>
          </w:tcPr>
          <w:p w14:paraId="012BCC0A" w14:textId="67600D4A" w:rsidR="004E3435" w:rsidRPr="00075CAB" w:rsidRDefault="004E3435" w:rsidP="00F15BEA">
            <w:pPr>
              <w:spacing w:after="40"/>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075CAB">
              <w:rPr>
                <w:rFonts w:eastAsia="Calibri"/>
                <w:sz w:val="20"/>
                <w:szCs w:val="20"/>
              </w:rPr>
              <w:t>R920100</w:t>
            </w:r>
            <w:r>
              <w:rPr>
                <w:rFonts w:eastAsia="Calibri"/>
                <w:sz w:val="20"/>
                <w:szCs w:val="20"/>
              </w:rPr>
              <w:t>: Casino Operations</w:t>
            </w:r>
          </w:p>
        </w:tc>
        <w:tc>
          <w:tcPr>
            <w:tcW w:w="5953" w:type="dxa"/>
          </w:tcPr>
          <w:p w14:paraId="5D64A08B" w14:textId="15FBD22E" w:rsidR="004E3435" w:rsidRDefault="004E3435" w:rsidP="003971D2">
            <w:pPr>
              <w:spacing w:after="4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w:t>
            </w:r>
            <w:r w:rsidRPr="00DB4340">
              <w:rPr>
                <w:sz w:val="20"/>
                <w:szCs w:val="20"/>
              </w:rPr>
              <w:t>ainly engaged in operating facilities with a range of gambling</w:t>
            </w:r>
            <w:r>
              <w:rPr>
                <w:sz w:val="20"/>
                <w:szCs w:val="20"/>
              </w:rPr>
              <w:t xml:space="preserve"> </w:t>
            </w:r>
            <w:r w:rsidRPr="00DB4340">
              <w:rPr>
                <w:sz w:val="20"/>
                <w:szCs w:val="20"/>
              </w:rPr>
              <w:t>services such as table wagering games and poker/gaming machines.</w:t>
            </w:r>
          </w:p>
          <w:p w14:paraId="3B9A536F" w14:textId="77777777" w:rsidR="004E3435" w:rsidRDefault="004E3435" w:rsidP="003971D2">
            <w:pPr>
              <w:spacing w:after="40"/>
              <w:cnfStyle w:val="000000100000" w:firstRow="0" w:lastRow="0" w:firstColumn="0" w:lastColumn="0" w:oddVBand="0" w:evenVBand="0" w:oddHBand="1" w:evenHBand="0" w:firstRowFirstColumn="0" w:firstRowLastColumn="0" w:lastRowFirstColumn="0" w:lastRowLastColumn="0"/>
              <w:rPr>
                <w:rFonts w:eastAsia="Calibri"/>
                <w:sz w:val="20"/>
                <w:szCs w:val="20"/>
              </w:rPr>
            </w:pPr>
            <w:r>
              <w:rPr>
                <w:rFonts w:eastAsia="Calibri"/>
                <w:sz w:val="20"/>
                <w:szCs w:val="20"/>
              </w:rPr>
              <w:t>Primary activities:</w:t>
            </w:r>
          </w:p>
          <w:p w14:paraId="083F3CC1" w14:textId="6475BBF8" w:rsidR="004E3435" w:rsidRPr="006C7DA7" w:rsidRDefault="004E3435" w:rsidP="0055688D">
            <w:pPr>
              <w:pStyle w:val="ListParagraph"/>
              <w:numPr>
                <w:ilvl w:val="0"/>
                <w:numId w:val="31"/>
              </w:numPr>
              <w:spacing w:after="40"/>
              <w:cnfStyle w:val="000000100000" w:firstRow="0" w:lastRow="0" w:firstColumn="0" w:lastColumn="0" w:oddVBand="0" w:evenVBand="0" w:oddHBand="1" w:evenHBand="0" w:firstRowFirstColumn="0" w:firstRowLastColumn="0" w:lastRowFirstColumn="0" w:lastRowLastColumn="0"/>
              <w:rPr>
                <w:rFonts w:eastAsia="Calibri"/>
                <w:sz w:val="20"/>
                <w:szCs w:val="20"/>
              </w:rPr>
            </w:pPr>
            <w:r>
              <w:rPr>
                <w:rFonts w:eastAsia="Calibri"/>
                <w:sz w:val="20"/>
                <w:szCs w:val="20"/>
              </w:rPr>
              <w:t>Casino operation</w:t>
            </w:r>
          </w:p>
        </w:tc>
      </w:tr>
    </w:tbl>
    <w:p w14:paraId="03DFF30B" w14:textId="45F1F3D1" w:rsidR="00BC3AEE" w:rsidRPr="00E67A4C" w:rsidRDefault="00BC3AEE" w:rsidP="00F6154A">
      <w:pPr>
        <w:pStyle w:val="Heading2"/>
        <w:rPr>
          <w:rStyle w:val="Heading1Char"/>
          <w:rFonts w:ascii="Times New Roman" w:hAnsi="Times New Roman" w:cs="Times New Roman"/>
          <w:b/>
          <w:bCs/>
          <w:szCs w:val="28"/>
        </w:rPr>
      </w:pPr>
      <w:bookmarkStart w:id="101" w:name="_Toc47605599"/>
      <w:bookmarkStart w:id="102" w:name="_Toc91189681"/>
      <w:bookmarkStart w:id="103" w:name="_Hlk42108715"/>
      <w:bookmarkEnd w:id="92"/>
      <w:r w:rsidRPr="00E67A4C">
        <w:rPr>
          <w:rStyle w:val="Heading1Char"/>
          <w:rFonts w:ascii="Times New Roman" w:hAnsi="Times New Roman" w:cs="Times New Roman"/>
          <w:b/>
          <w:bCs/>
          <w:szCs w:val="28"/>
        </w:rPr>
        <w:lastRenderedPageBreak/>
        <w:t xml:space="preserve">Appendix </w:t>
      </w:r>
      <w:r w:rsidR="00531A99">
        <w:rPr>
          <w:rStyle w:val="Heading1Char"/>
          <w:rFonts w:ascii="Times New Roman" w:hAnsi="Times New Roman" w:cs="Times New Roman"/>
          <w:b/>
          <w:bCs/>
          <w:szCs w:val="28"/>
        </w:rPr>
        <w:t>5</w:t>
      </w:r>
      <w:r w:rsidRPr="00E67A4C">
        <w:rPr>
          <w:rStyle w:val="Heading1Char"/>
          <w:rFonts w:ascii="Times New Roman" w:hAnsi="Times New Roman" w:cs="Times New Roman"/>
          <w:b/>
          <w:bCs/>
          <w:szCs w:val="28"/>
        </w:rPr>
        <w:t xml:space="preserve">: Amended Principles for menu labelling (Option </w:t>
      </w:r>
      <w:r w:rsidR="003E2685" w:rsidRPr="00E67A4C">
        <w:rPr>
          <w:rStyle w:val="Heading1Char"/>
          <w:rFonts w:ascii="Times New Roman" w:hAnsi="Times New Roman" w:cs="Times New Roman"/>
          <w:b/>
          <w:bCs/>
          <w:szCs w:val="28"/>
        </w:rPr>
        <w:t>2</w:t>
      </w:r>
      <w:r w:rsidRPr="00E67A4C">
        <w:rPr>
          <w:rStyle w:val="Heading1Char"/>
          <w:rFonts w:ascii="Times New Roman" w:hAnsi="Times New Roman" w:cs="Times New Roman"/>
          <w:b/>
          <w:bCs/>
          <w:szCs w:val="28"/>
        </w:rPr>
        <w:t>)</w:t>
      </w:r>
      <w:bookmarkEnd w:id="101"/>
      <w:bookmarkEnd w:id="102"/>
    </w:p>
    <w:bookmarkEnd w:id="103"/>
    <w:p w14:paraId="58399C95" w14:textId="77777777" w:rsidR="00A00CAE" w:rsidRPr="00E67A4C" w:rsidRDefault="00A00CAE" w:rsidP="00A00CAE"/>
    <w:p w14:paraId="05CC9792" w14:textId="2C272DF1" w:rsidR="00A320D6" w:rsidRPr="00E67A4C" w:rsidRDefault="008A1A80" w:rsidP="008A1A80">
      <w:pPr>
        <w:spacing w:after="40"/>
        <w:jc w:val="center"/>
        <w:rPr>
          <w:b/>
          <w:bCs/>
        </w:rPr>
      </w:pPr>
      <w:r w:rsidRPr="00E67A4C">
        <w:rPr>
          <w:b/>
        </w:rPr>
        <w:t xml:space="preserve">PRINCIPLES FOR </w:t>
      </w:r>
      <w:r w:rsidR="00B8702D" w:rsidRPr="00E67A4C">
        <w:rPr>
          <w:b/>
        </w:rPr>
        <w:t>DISPLAYING AND PROVIDING ENERGY INFORMATION FOR STANDARD FOOD ITEMS AT THE POINT-OF-SALE IN STANDARD FOOD OUTLETS</w:t>
      </w:r>
      <w:r w:rsidRPr="00E67A4C">
        <w:rPr>
          <w:b/>
        </w:rPr>
        <w:t xml:space="preserve"> </w:t>
      </w:r>
      <w:r w:rsidR="007F0AC9" w:rsidRPr="00E67A4C">
        <w:rPr>
          <w:b/>
          <w:bCs/>
        </w:rPr>
        <w:t>(</w:t>
      </w:r>
      <w:r w:rsidR="00FF7957" w:rsidRPr="00E67A4C">
        <w:rPr>
          <w:b/>
          <w:bCs/>
        </w:rPr>
        <w:t>‘</w:t>
      </w:r>
      <w:r w:rsidR="007F0AC9" w:rsidRPr="00E67A4C">
        <w:rPr>
          <w:b/>
          <w:bCs/>
        </w:rPr>
        <w:t>MENU LABELLING’)</w:t>
      </w:r>
    </w:p>
    <w:p w14:paraId="77D3F932" w14:textId="77777777" w:rsidR="00340F26" w:rsidRPr="00E67A4C" w:rsidRDefault="00340F26" w:rsidP="00FE312D">
      <w:pPr>
        <w:pStyle w:val="paragraph"/>
        <w:spacing w:before="0" w:beforeAutospacing="0" w:after="0" w:afterAutospacing="0"/>
        <w:jc w:val="both"/>
        <w:textAlignment w:val="baseline"/>
        <w:rPr>
          <w:rStyle w:val="normaltextrun"/>
          <w:color w:val="000000"/>
          <w:lang w:val="en-US"/>
        </w:rPr>
      </w:pPr>
    </w:p>
    <w:p w14:paraId="6BF12A6F" w14:textId="3CCB78F3" w:rsidR="00836004" w:rsidRPr="00E67A4C" w:rsidRDefault="00A320D6" w:rsidP="00FE312D">
      <w:pPr>
        <w:pStyle w:val="paragraph"/>
        <w:spacing w:before="0" w:beforeAutospacing="0" w:after="0" w:afterAutospacing="0"/>
        <w:jc w:val="both"/>
        <w:textAlignment w:val="baseline"/>
        <w:rPr>
          <w:rStyle w:val="eop"/>
          <w:color w:val="000000"/>
        </w:rPr>
      </w:pPr>
      <w:r w:rsidRPr="00E67A4C">
        <w:rPr>
          <w:rStyle w:val="normaltextrun"/>
          <w:color w:val="000000"/>
          <w:lang w:val="en-US"/>
        </w:rPr>
        <w:t>The</w:t>
      </w:r>
      <w:r w:rsidR="008A1A80" w:rsidRPr="00E67A4C">
        <w:rPr>
          <w:rStyle w:val="normaltextrun"/>
          <w:color w:val="000000"/>
          <w:lang w:val="en-US"/>
        </w:rPr>
        <w:t>se</w:t>
      </w:r>
      <w:r w:rsidRPr="00E67A4C">
        <w:rPr>
          <w:rStyle w:val="normaltextrun"/>
          <w:color w:val="000000"/>
          <w:lang w:val="en-US"/>
        </w:rPr>
        <w:t xml:space="preserve"> principles provide direction to assist </w:t>
      </w:r>
      <w:r w:rsidR="007B4BCC" w:rsidRPr="005E2BFA">
        <w:rPr>
          <w:rStyle w:val="normaltextrun"/>
          <w:b/>
          <w:bCs/>
          <w:color w:val="000000"/>
          <w:lang w:val="en-US"/>
        </w:rPr>
        <w:t>Australian state and territory governments</w:t>
      </w:r>
      <w:r w:rsidRPr="005E2BFA">
        <w:rPr>
          <w:rStyle w:val="normaltextrun"/>
          <w:b/>
          <w:bCs/>
          <w:color w:val="000000"/>
          <w:lang w:val="en-US"/>
        </w:rPr>
        <w:t xml:space="preserve"> </w:t>
      </w:r>
      <w:r w:rsidR="007B4BCC" w:rsidRPr="005E2BFA">
        <w:rPr>
          <w:rStyle w:val="normaltextrun"/>
          <w:b/>
          <w:bCs/>
          <w:color w:val="000000"/>
          <w:lang w:val="en-US"/>
        </w:rPr>
        <w:t>and the New Zealand Government</w:t>
      </w:r>
      <w:r w:rsidR="007B4BCC" w:rsidRPr="00E67A4C">
        <w:rPr>
          <w:rStyle w:val="normaltextrun"/>
          <w:color w:val="000000"/>
          <w:lang w:val="en-US"/>
        </w:rPr>
        <w:t xml:space="preserve"> </w:t>
      </w:r>
      <w:r w:rsidRPr="00E67A4C">
        <w:rPr>
          <w:rStyle w:val="normaltextrun"/>
          <w:color w:val="000000"/>
          <w:lang w:val="en-US"/>
        </w:rPr>
        <w:t>to introduce</w:t>
      </w:r>
      <w:r w:rsidR="00C60B2B" w:rsidRPr="00E67A4C">
        <w:rPr>
          <w:rStyle w:val="normaltextrun"/>
          <w:color w:val="000000"/>
          <w:lang w:val="en-US"/>
        </w:rPr>
        <w:t xml:space="preserve"> </w:t>
      </w:r>
      <w:r w:rsidR="00E57581" w:rsidRPr="00E67A4C">
        <w:rPr>
          <w:rStyle w:val="normaltextrun"/>
          <w:color w:val="000000"/>
          <w:lang w:val="en-US"/>
        </w:rPr>
        <w:t>(</w:t>
      </w:r>
      <w:r w:rsidR="00C60B2B" w:rsidRPr="00E67A4C">
        <w:rPr>
          <w:rStyle w:val="normaltextrun"/>
          <w:color w:val="000000"/>
          <w:lang w:val="en-US"/>
        </w:rPr>
        <w:t>or update</w:t>
      </w:r>
      <w:r w:rsidR="00E57581" w:rsidRPr="00E67A4C">
        <w:rPr>
          <w:rStyle w:val="normaltextrun"/>
          <w:color w:val="000000"/>
          <w:lang w:val="en-US"/>
        </w:rPr>
        <w:t>)</w:t>
      </w:r>
      <w:r w:rsidR="00FF7957" w:rsidRPr="00E67A4C">
        <w:rPr>
          <w:rStyle w:val="normaltextrun"/>
          <w:color w:val="000000"/>
          <w:lang w:val="en-US"/>
        </w:rPr>
        <w:t xml:space="preserve"> regulation for menu labelling</w:t>
      </w:r>
      <w:r w:rsidRPr="00E67A4C">
        <w:rPr>
          <w:rStyle w:val="normaltextrun"/>
          <w:color w:val="000000"/>
          <w:lang w:val="en-US"/>
        </w:rPr>
        <w:t>.</w:t>
      </w:r>
      <w:r w:rsidRPr="00E67A4C">
        <w:rPr>
          <w:rStyle w:val="eop"/>
          <w:color w:val="000000"/>
        </w:rPr>
        <w:t> </w:t>
      </w:r>
    </w:p>
    <w:p w14:paraId="7A75A195" w14:textId="77777777" w:rsidR="00836004" w:rsidRPr="00E67A4C" w:rsidRDefault="00836004" w:rsidP="00FE312D">
      <w:pPr>
        <w:pStyle w:val="paragraph"/>
        <w:spacing w:before="0" w:beforeAutospacing="0" w:after="0" w:afterAutospacing="0"/>
        <w:jc w:val="both"/>
        <w:textAlignment w:val="baseline"/>
        <w:rPr>
          <w:rStyle w:val="eop"/>
          <w:color w:val="000000"/>
        </w:rPr>
      </w:pPr>
    </w:p>
    <w:p w14:paraId="02348839" w14:textId="76E93351" w:rsidR="009D5F36" w:rsidRPr="00E67A4C" w:rsidRDefault="009D5F36" w:rsidP="00FE312D">
      <w:pPr>
        <w:pStyle w:val="paragraph"/>
        <w:spacing w:before="0" w:beforeAutospacing="0" w:after="0" w:afterAutospacing="0"/>
        <w:jc w:val="both"/>
        <w:textAlignment w:val="baseline"/>
        <w:rPr>
          <w:rStyle w:val="eop"/>
          <w:color w:val="000000"/>
        </w:rPr>
      </w:pPr>
      <w:r w:rsidRPr="00E67A4C">
        <w:rPr>
          <w:rStyle w:val="normaltextrun"/>
          <w:color w:val="000000"/>
          <w:lang w:val="en-US"/>
        </w:rPr>
        <w:t xml:space="preserve">This guidance </w:t>
      </w:r>
      <w:r w:rsidR="006B1D7D" w:rsidRPr="00E67A4C">
        <w:rPr>
          <w:rStyle w:val="normaltextrun"/>
          <w:color w:val="000000"/>
          <w:lang w:val="en-US"/>
        </w:rPr>
        <w:t>replaces</w:t>
      </w:r>
      <w:r w:rsidRPr="00E67A4C">
        <w:rPr>
          <w:rStyle w:val="normaltextrun"/>
          <w:color w:val="000000"/>
          <w:lang w:val="en-US"/>
        </w:rPr>
        <w:t xml:space="preserve"> the Principles endorsed by the then </w:t>
      </w:r>
      <w:r w:rsidR="00C5384B" w:rsidRPr="00E67A4C">
        <w:rPr>
          <w:rStyle w:val="normaltextrun"/>
          <w:color w:val="000000"/>
          <w:lang w:val="en-US"/>
        </w:rPr>
        <w:t xml:space="preserve">Australia and New Zealand </w:t>
      </w:r>
      <w:r w:rsidRPr="00E67A4C">
        <w:rPr>
          <w:rStyle w:val="normaltextrun"/>
          <w:color w:val="000000"/>
          <w:lang w:val="en-US"/>
        </w:rPr>
        <w:t>Food Regulation Ministerial Council in 2011</w:t>
      </w:r>
      <w:r w:rsidR="00836004" w:rsidRPr="00E67A4C">
        <w:rPr>
          <w:rStyle w:val="normaltextrun"/>
          <w:color w:val="000000"/>
          <w:lang w:val="en-US"/>
        </w:rPr>
        <w:t xml:space="preserve">; and was informed by </w:t>
      </w:r>
      <w:r w:rsidRPr="00E67A4C">
        <w:rPr>
          <w:rStyle w:val="normaltextrun"/>
          <w:color w:val="000000"/>
          <w:lang w:val="en-US"/>
        </w:rPr>
        <w:t>a review of existing menu labelling schemes</w:t>
      </w:r>
      <w:r w:rsidR="007C6B54" w:rsidRPr="00E67A4C">
        <w:rPr>
          <w:rStyle w:val="normaltextrun"/>
          <w:color w:val="000000"/>
          <w:lang w:val="en-US"/>
        </w:rPr>
        <w:t xml:space="preserve"> in Australia</w:t>
      </w:r>
      <w:r w:rsidRPr="00E67A4C">
        <w:rPr>
          <w:rStyle w:val="normaltextrun"/>
          <w:color w:val="000000"/>
          <w:lang w:val="en-US"/>
        </w:rPr>
        <w:t xml:space="preserve">, and consultative processes with food industry and public health </w:t>
      </w:r>
      <w:proofErr w:type="spellStart"/>
      <w:r w:rsidRPr="00E67A4C">
        <w:rPr>
          <w:rStyle w:val="normaltextrun"/>
          <w:color w:val="000000"/>
          <w:lang w:val="en-US"/>
        </w:rPr>
        <w:t>organisations</w:t>
      </w:r>
      <w:proofErr w:type="spellEnd"/>
      <w:r w:rsidRPr="00E67A4C">
        <w:rPr>
          <w:rStyle w:val="normaltextrun"/>
          <w:color w:val="000000"/>
          <w:lang w:val="en-US"/>
        </w:rPr>
        <w:t xml:space="preserve">. </w:t>
      </w:r>
    </w:p>
    <w:p w14:paraId="54804B6B" w14:textId="77777777" w:rsidR="009A0785" w:rsidRPr="00E67A4C" w:rsidRDefault="009A0785" w:rsidP="00A320D6">
      <w:pPr>
        <w:pStyle w:val="paragraph"/>
        <w:spacing w:before="0" w:beforeAutospacing="0" w:after="0" w:afterAutospacing="0"/>
        <w:textAlignment w:val="baseline"/>
        <w:rPr>
          <w:rStyle w:val="eop"/>
          <w:color w:val="000000"/>
        </w:rPr>
      </w:pPr>
    </w:p>
    <w:p w14:paraId="574205A2" w14:textId="2ABA6159" w:rsidR="00FE312D" w:rsidRPr="005E2BFA" w:rsidRDefault="00FE312D" w:rsidP="00A320D6">
      <w:pPr>
        <w:pStyle w:val="paragraph"/>
        <w:spacing w:before="0" w:beforeAutospacing="0" w:after="0" w:afterAutospacing="0"/>
        <w:textAlignment w:val="baseline"/>
        <w:rPr>
          <w:b/>
          <w:bCs/>
          <w:i/>
          <w:iCs/>
        </w:rPr>
      </w:pPr>
      <w:r w:rsidRPr="005E2BFA">
        <w:rPr>
          <w:b/>
          <w:bCs/>
          <w:i/>
          <w:iCs/>
        </w:rPr>
        <w:t>Context:</w:t>
      </w:r>
    </w:p>
    <w:p w14:paraId="39238BCE" w14:textId="31BC1139" w:rsidR="00E57581" w:rsidRPr="00E67A4C" w:rsidRDefault="00E57581" w:rsidP="00E57581">
      <w:pPr>
        <w:pStyle w:val="Default"/>
        <w:spacing w:after="40"/>
        <w:jc w:val="both"/>
        <w:rPr>
          <w:vertAlign w:val="superscript"/>
        </w:rPr>
      </w:pPr>
      <w:r w:rsidRPr="00E67A4C">
        <w:t xml:space="preserve">How a food is labelled may influence choice, with food labelling providing useful information to support consumers in making dietary (e.g. </w:t>
      </w:r>
      <w:r w:rsidR="00861CBA" w:rsidRPr="00E67A4C">
        <w:t xml:space="preserve">what or </w:t>
      </w:r>
      <w:r w:rsidRPr="00E67A4C">
        <w:t>how much to eat) or shopping-based (e.g. comparing products) decisions.</w:t>
      </w:r>
      <w:r w:rsidR="00FA5BED">
        <w:rPr>
          <w:vertAlign w:val="superscript"/>
        </w:rPr>
        <w:t>1</w:t>
      </w:r>
      <w:r w:rsidRPr="00E67A4C">
        <w:t xml:space="preserve"> A food label’s content, format and context contributes to its usefulness.</w:t>
      </w:r>
      <w:r w:rsidR="00FA5BED">
        <w:rPr>
          <w:vertAlign w:val="superscript"/>
        </w:rPr>
        <w:t>1</w:t>
      </w:r>
    </w:p>
    <w:p w14:paraId="23B7264B" w14:textId="77777777" w:rsidR="00E57581" w:rsidRPr="00E67A4C" w:rsidRDefault="00E57581" w:rsidP="00E57581">
      <w:pPr>
        <w:pStyle w:val="Default"/>
        <w:spacing w:after="40"/>
        <w:jc w:val="both"/>
        <w:rPr>
          <w:vertAlign w:val="superscript"/>
        </w:rPr>
      </w:pPr>
    </w:p>
    <w:p w14:paraId="2EAECAF0" w14:textId="0744253E" w:rsidR="00E57581" w:rsidRPr="00E67A4C" w:rsidRDefault="00E57581" w:rsidP="00E57581">
      <w:pPr>
        <w:pStyle w:val="Default"/>
        <w:spacing w:after="40"/>
        <w:jc w:val="both"/>
      </w:pPr>
      <w:r w:rsidRPr="00E67A4C">
        <w:t>Information on the energy contribution of ready-to-eat food may support people to make more informed purchasing decisions. Information about the overall daily energy intake is also necessary so that consumers have a point of reference to help understand the contribution of individual food items to overall energy intake.</w:t>
      </w:r>
      <w:r w:rsidR="00FE312D" w:rsidRPr="00E67A4C">
        <w:t xml:space="preserve"> </w:t>
      </w:r>
      <w:r w:rsidRPr="00E67A4C">
        <w:t xml:space="preserve">Many ready-to-eat meals and snacks are not required to bear a food label, and therefore lack information about energy content. Menu labelling is one approach for providing energy information to consumers for these foods. </w:t>
      </w:r>
    </w:p>
    <w:p w14:paraId="5301F24C" w14:textId="77777777" w:rsidR="00E26C48" w:rsidRPr="00E67A4C" w:rsidRDefault="00E26C48" w:rsidP="00E57581">
      <w:pPr>
        <w:pStyle w:val="Default"/>
        <w:spacing w:after="40"/>
        <w:jc w:val="both"/>
      </w:pPr>
    </w:p>
    <w:p w14:paraId="3747CBA6" w14:textId="612976FD" w:rsidR="00E26C48" w:rsidRPr="005E2BFA" w:rsidRDefault="00E26C48" w:rsidP="005E2BFA">
      <w:pPr>
        <w:pStyle w:val="paragraph"/>
        <w:spacing w:before="0" w:beforeAutospacing="0" w:after="0" w:afterAutospacing="0"/>
        <w:textAlignment w:val="baseline"/>
        <w:rPr>
          <w:b/>
          <w:bCs/>
          <w:i/>
          <w:iCs/>
        </w:rPr>
      </w:pPr>
      <w:r w:rsidRPr="005E2BFA">
        <w:rPr>
          <w:b/>
          <w:bCs/>
          <w:i/>
          <w:iCs/>
        </w:rPr>
        <w:t>Aim:</w:t>
      </w:r>
    </w:p>
    <w:p w14:paraId="259B7E60" w14:textId="465F317E" w:rsidR="00E26C48" w:rsidRPr="00E67A4C" w:rsidRDefault="00E26C48" w:rsidP="00E26C48">
      <w:pPr>
        <w:pStyle w:val="ListParagraph"/>
        <w:tabs>
          <w:tab w:val="left" w:pos="567"/>
        </w:tabs>
        <w:spacing w:after="40"/>
        <w:ind w:left="0"/>
        <w:contextualSpacing w:val="0"/>
        <w:jc w:val="both"/>
      </w:pPr>
      <w:r w:rsidRPr="00E67A4C">
        <w:t xml:space="preserve">The intent of these principles is to </w:t>
      </w:r>
      <w:r w:rsidR="00B6212E" w:rsidRPr="00E67A4C">
        <w:t xml:space="preserve">enable a consistent approach to menu labelling and: </w:t>
      </w:r>
    </w:p>
    <w:p w14:paraId="3ABAD8C5" w14:textId="77777777" w:rsidR="00E43B20" w:rsidRDefault="00E43B20" w:rsidP="0055688D">
      <w:pPr>
        <w:pStyle w:val="ListParagraph"/>
        <w:numPr>
          <w:ilvl w:val="0"/>
          <w:numId w:val="18"/>
        </w:numPr>
        <w:spacing w:after="40"/>
        <w:jc w:val="both"/>
        <w:rPr>
          <w:lang w:eastAsia="zh-CN" w:bidi="th-TH"/>
        </w:rPr>
      </w:pPr>
      <w:r w:rsidRPr="00AE68CF">
        <w:rPr>
          <w:lang w:eastAsia="zh-CN" w:bidi="th-TH"/>
        </w:rPr>
        <w:t xml:space="preserve">assist people to </w:t>
      </w:r>
      <w:r>
        <w:rPr>
          <w:lang w:eastAsia="zh-CN" w:bidi="th-TH"/>
        </w:rPr>
        <w:t xml:space="preserve">understand and use energy information to </w:t>
      </w:r>
      <w:r w:rsidRPr="00AE68CF">
        <w:rPr>
          <w:lang w:eastAsia="zh-CN" w:bidi="th-TH"/>
        </w:rPr>
        <w:t xml:space="preserve">make </w:t>
      </w:r>
      <w:r>
        <w:rPr>
          <w:lang w:eastAsia="zh-CN" w:bidi="th-TH"/>
        </w:rPr>
        <w:t xml:space="preserve">informed, </w:t>
      </w:r>
      <w:r w:rsidRPr="00AE68CF">
        <w:rPr>
          <w:lang w:eastAsia="zh-CN" w:bidi="th-TH"/>
        </w:rPr>
        <w:t>healthier food purchase choices at the point-of-sale</w:t>
      </w:r>
      <w:r>
        <w:rPr>
          <w:lang w:eastAsia="zh-CN" w:bidi="th-TH"/>
        </w:rPr>
        <w:t>;</w:t>
      </w:r>
    </w:p>
    <w:p w14:paraId="28849634" w14:textId="2CCDED68" w:rsidR="00E43B20" w:rsidRPr="00E67A4C" w:rsidRDefault="00E43B20" w:rsidP="0055688D">
      <w:pPr>
        <w:pStyle w:val="Default"/>
        <w:numPr>
          <w:ilvl w:val="0"/>
          <w:numId w:val="18"/>
        </w:numPr>
        <w:spacing w:after="40"/>
        <w:jc w:val="both"/>
      </w:pPr>
      <w:r w:rsidRPr="00E67A4C">
        <w:t xml:space="preserve">ensure that </w:t>
      </w:r>
      <w:r w:rsidR="00294FD8">
        <w:t>all</w:t>
      </w:r>
      <w:r w:rsidRPr="00E67A4C">
        <w:t xml:space="preserve"> modes of sale (e.g. in-store, online, third-party providers) and types of menus (e.g. digital menu panels, paper menus, menu boards, online menus) enable comparison of menu options </w:t>
      </w:r>
      <w:r w:rsidR="00294FD8">
        <w:t>within and across businesses</w:t>
      </w:r>
      <w:r w:rsidRPr="00E67A4C">
        <w:t>.</w:t>
      </w:r>
    </w:p>
    <w:p w14:paraId="7987454C" w14:textId="77777777" w:rsidR="00E43B20" w:rsidRPr="00AE68CF" w:rsidRDefault="00E43B20" w:rsidP="0055688D">
      <w:pPr>
        <w:pStyle w:val="ListParagraph"/>
        <w:numPr>
          <w:ilvl w:val="0"/>
          <w:numId w:val="18"/>
        </w:numPr>
        <w:spacing w:after="40"/>
        <w:jc w:val="both"/>
      </w:pPr>
      <w:r w:rsidRPr="00AE68CF">
        <w:rPr>
          <w:lang w:eastAsia="zh-CN" w:bidi="th-TH"/>
        </w:rPr>
        <w:t xml:space="preserve">create a level playing field (with respect to menu labelling) for all businesses that sell standard food items; </w:t>
      </w:r>
      <w:r>
        <w:rPr>
          <w:lang w:eastAsia="zh-CN" w:bidi="th-TH"/>
        </w:rPr>
        <w:t>and</w:t>
      </w:r>
    </w:p>
    <w:p w14:paraId="557A5BEF" w14:textId="77777777" w:rsidR="00E43B20" w:rsidRDefault="00E43B20" w:rsidP="0055688D">
      <w:pPr>
        <w:pStyle w:val="ListParagraph"/>
        <w:numPr>
          <w:ilvl w:val="0"/>
          <w:numId w:val="18"/>
        </w:numPr>
        <w:spacing w:after="40"/>
        <w:jc w:val="both"/>
      </w:pPr>
      <w:r w:rsidRPr="00AE68CF">
        <w:rPr>
          <w:lang w:eastAsia="zh-CN" w:bidi="th-TH"/>
        </w:rPr>
        <w:t>minimise the proliferation of different menu labelling systems</w:t>
      </w:r>
      <w:r>
        <w:rPr>
          <w:lang w:eastAsia="zh-CN" w:bidi="th-TH"/>
        </w:rPr>
        <w:t xml:space="preserve">. </w:t>
      </w:r>
    </w:p>
    <w:p w14:paraId="74279F37" w14:textId="77777777" w:rsidR="00E26C48" w:rsidRPr="00E67A4C" w:rsidRDefault="00E26C48" w:rsidP="00A320D6">
      <w:pPr>
        <w:pStyle w:val="paragraph"/>
        <w:spacing w:before="0" w:beforeAutospacing="0" w:after="0" w:afterAutospacing="0"/>
        <w:textAlignment w:val="baseline"/>
        <w:rPr>
          <w:rFonts w:ascii="Segoe UI" w:hAnsi="Segoe UI" w:cs="Segoe UI"/>
          <w:color w:val="000000"/>
          <w:sz w:val="18"/>
          <w:szCs w:val="18"/>
        </w:rPr>
      </w:pPr>
    </w:p>
    <w:p w14:paraId="48F91582" w14:textId="276A6B28" w:rsidR="001F2C40" w:rsidRPr="005E2BFA" w:rsidRDefault="001F2C40" w:rsidP="005E2BFA">
      <w:pPr>
        <w:pStyle w:val="paragraph"/>
        <w:spacing w:before="0" w:beforeAutospacing="0" w:after="0" w:afterAutospacing="0"/>
        <w:textAlignment w:val="baseline"/>
        <w:rPr>
          <w:b/>
          <w:bCs/>
          <w:i/>
          <w:iCs/>
        </w:rPr>
      </w:pPr>
      <w:r w:rsidRPr="005E2BFA">
        <w:rPr>
          <w:b/>
          <w:bCs/>
          <w:i/>
          <w:iCs/>
        </w:rPr>
        <w:t>Scope:</w:t>
      </w:r>
    </w:p>
    <w:p w14:paraId="16BAFA6A" w14:textId="6BFC7DD9" w:rsidR="001F2C40" w:rsidRDefault="00C506D9" w:rsidP="001F2C40">
      <w:pPr>
        <w:pStyle w:val="Default"/>
        <w:spacing w:after="40"/>
        <w:jc w:val="both"/>
      </w:pPr>
      <w:r w:rsidRPr="00E67A4C">
        <w:rPr>
          <w:i/>
          <w:iCs/>
        </w:rPr>
        <w:t>In scope</w:t>
      </w:r>
      <w:r w:rsidRPr="00E67A4C">
        <w:t xml:space="preserve">: </w:t>
      </w:r>
      <w:r w:rsidR="001F2C40" w:rsidRPr="00E67A4C">
        <w:t xml:space="preserve">Information about the energy content for standardised ready-to-eat food and drinks (i.e. products not already required to bear a label by the Food Standards Code) on menus at the point-of-sale to allow consumers to compare the energy value of menu items before committing to a purchase. </w:t>
      </w:r>
    </w:p>
    <w:p w14:paraId="5074D96E" w14:textId="77777777" w:rsidR="005E2BFA" w:rsidRPr="00E67A4C" w:rsidRDefault="005E2BFA" w:rsidP="001F2C40">
      <w:pPr>
        <w:pStyle w:val="Default"/>
        <w:spacing w:after="40"/>
        <w:jc w:val="both"/>
      </w:pPr>
    </w:p>
    <w:p w14:paraId="1DED4AE2" w14:textId="37BB36DE" w:rsidR="001F2C40" w:rsidRPr="00E67A4C" w:rsidRDefault="001F2C40" w:rsidP="001F2C40">
      <w:pPr>
        <w:pStyle w:val="Default"/>
        <w:spacing w:after="40"/>
        <w:jc w:val="both"/>
      </w:pPr>
      <w:r w:rsidRPr="005E2BFA">
        <w:rPr>
          <w:i/>
          <w:iCs/>
          <w:color w:val="auto"/>
        </w:rPr>
        <w:t>Out-of-scope</w:t>
      </w:r>
      <w:r w:rsidR="00C506D9" w:rsidRPr="005E2BFA">
        <w:rPr>
          <w:i/>
          <w:iCs/>
          <w:color w:val="auto"/>
        </w:rPr>
        <w:t>:</w:t>
      </w:r>
      <w:r w:rsidR="00C506D9" w:rsidRPr="00E67A4C">
        <w:t xml:space="preserve"> E</w:t>
      </w:r>
      <w:r w:rsidRPr="00E67A4C">
        <w:t xml:space="preserve">nergy labelling on the product packaging of standard food items, and the composition of standard food items. Pre-packaged items which have a nutritional information panel, </w:t>
      </w:r>
      <w:r w:rsidR="005E404F" w:rsidRPr="00E67A4C">
        <w:t>unless sold as part of a combination meal</w:t>
      </w:r>
      <w:r w:rsidR="005E404F">
        <w:t xml:space="preserve"> or the information on the label is not readily accessible by consumers prior to purchase.</w:t>
      </w:r>
    </w:p>
    <w:p w14:paraId="353EE58D" w14:textId="14C1A473" w:rsidR="001F2C40" w:rsidRDefault="001F2C40" w:rsidP="00A320D6">
      <w:pPr>
        <w:pStyle w:val="paragraph"/>
        <w:spacing w:before="0" w:beforeAutospacing="0" w:after="0" w:afterAutospacing="0"/>
        <w:textAlignment w:val="baseline"/>
        <w:rPr>
          <w:rFonts w:ascii="Segoe UI" w:hAnsi="Segoe UI" w:cs="Segoe UI"/>
          <w:color w:val="000000"/>
          <w:sz w:val="18"/>
          <w:szCs w:val="18"/>
        </w:rPr>
      </w:pPr>
    </w:p>
    <w:p w14:paraId="63CE8128" w14:textId="77777777" w:rsidR="00DC4D93" w:rsidRDefault="00DC4D93" w:rsidP="00A320D6">
      <w:pPr>
        <w:pStyle w:val="paragraph"/>
        <w:spacing w:before="0" w:beforeAutospacing="0" w:after="0" w:afterAutospacing="0"/>
        <w:textAlignment w:val="baseline"/>
        <w:rPr>
          <w:rFonts w:ascii="Segoe UI" w:hAnsi="Segoe UI" w:cs="Segoe UI"/>
          <w:color w:val="000000"/>
          <w:sz w:val="18"/>
          <w:szCs w:val="18"/>
        </w:rPr>
      </w:pPr>
    </w:p>
    <w:p w14:paraId="0FB12256" w14:textId="197EF49E" w:rsidR="00A803E0" w:rsidRDefault="00A803E0" w:rsidP="00A320D6">
      <w:pPr>
        <w:pStyle w:val="paragraph"/>
        <w:spacing w:before="0" w:beforeAutospacing="0" w:after="0" w:afterAutospacing="0"/>
        <w:textAlignment w:val="baseline"/>
        <w:rPr>
          <w:rFonts w:ascii="Segoe UI" w:hAnsi="Segoe UI" w:cs="Segoe UI"/>
          <w:color w:val="000000"/>
          <w:sz w:val="18"/>
          <w:szCs w:val="18"/>
        </w:rPr>
      </w:pPr>
    </w:p>
    <w:p w14:paraId="2E9AF699" w14:textId="02808912" w:rsidR="00A320D6" w:rsidRPr="005E2BFA" w:rsidRDefault="007F0AC9" w:rsidP="00A320D6">
      <w:pPr>
        <w:pStyle w:val="paragraph"/>
        <w:spacing w:before="0" w:beforeAutospacing="0" w:after="0" w:afterAutospacing="0"/>
        <w:textAlignment w:val="baseline"/>
        <w:rPr>
          <w:b/>
          <w:bCs/>
          <w:i/>
          <w:iCs/>
        </w:rPr>
      </w:pPr>
      <w:r w:rsidRPr="005E2BFA">
        <w:rPr>
          <w:b/>
          <w:bCs/>
          <w:i/>
          <w:iCs/>
        </w:rPr>
        <w:lastRenderedPageBreak/>
        <w:t>Guiding principles:</w:t>
      </w:r>
    </w:p>
    <w:p w14:paraId="1C610E91" w14:textId="77777777" w:rsidR="006267A4" w:rsidRPr="00E67A4C" w:rsidRDefault="006267A4" w:rsidP="0055688D">
      <w:pPr>
        <w:pStyle w:val="ListParagraph"/>
        <w:numPr>
          <w:ilvl w:val="0"/>
          <w:numId w:val="16"/>
        </w:numPr>
        <w:tabs>
          <w:tab w:val="left" w:pos="567"/>
        </w:tabs>
        <w:spacing w:after="40"/>
        <w:jc w:val="both"/>
      </w:pPr>
      <w:r w:rsidRPr="00E67A4C">
        <w:t>Menu labelling should:</w:t>
      </w:r>
    </w:p>
    <w:p w14:paraId="52788B0B" w14:textId="77777777" w:rsidR="006267A4" w:rsidRPr="00E67A4C" w:rsidRDefault="006267A4" w:rsidP="0055688D">
      <w:pPr>
        <w:pStyle w:val="ListParagraph"/>
        <w:numPr>
          <w:ilvl w:val="1"/>
          <w:numId w:val="11"/>
        </w:numPr>
        <w:tabs>
          <w:tab w:val="left" w:pos="567"/>
        </w:tabs>
        <w:spacing w:after="40"/>
        <w:ind w:left="851" w:hanging="284"/>
        <w:contextualSpacing w:val="0"/>
        <w:jc w:val="both"/>
      </w:pPr>
      <w:r w:rsidRPr="00E67A4C">
        <w:t>Enable consumers to make comparisons between standard food items (including within and between categories) and therefore make informed choices at the point-of-sale.</w:t>
      </w:r>
    </w:p>
    <w:p w14:paraId="757B11F0" w14:textId="77777777" w:rsidR="006267A4" w:rsidRPr="00E67A4C" w:rsidRDefault="006267A4" w:rsidP="0055688D">
      <w:pPr>
        <w:pStyle w:val="ListParagraph"/>
        <w:numPr>
          <w:ilvl w:val="1"/>
          <w:numId w:val="11"/>
        </w:numPr>
        <w:tabs>
          <w:tab w:val="left" w:pos="567"/>
        </w:tabs>
        <w:spacing w:after="40"/>
        <w:ind w:left="851" w:hanging="284"/>
        <w:contextualSpacing w:val="0"/>
        <w:jc w:val="both"/>
      </w:pPr>
      <w:r w:rsidRPr="00E67A4C">
        <w:t>Provide consumers with energy information for all standard food items, combination meals and multi-serve items on menus and/or at the point-of-sale; and for dietary context, provide the average adult daily energy intake at the point-of-sale.</w:t>
      </w:r>
    </w:p>
    <w:p w14:paraId="0D6C2870" w14:textId="0FB41AEB" w:rsidR="006267A4" w:rsidRPr="00E67A4C" w:rsidRDefault="008559AD" w:rsidP="0055688D">
      <w:pPr>
        <w:pStyle w:val="ListParagraph"/>
        <w:numPr>
          <w:ilvl w:val="1"/>
          <w:numId w:val="11"/>
        </w:numPr>
        <w:tabs>
          <w:tab w:val="left" w:pos="567"/>
        </w:tabs>
        <w:spacing w:after="40"/>
        <w:ind w:left="851" w:hanging="284"/>
        <w:contextualSpacing w:val="0"/>
        <w:jc w:val="both"/>
      </w:pPr>
      <w:r w:rsidRPr="00E67A4C">
        <w:t>E</w:t>
      </w:r>
      <w:r w:rsidR="006267A4" w:rsidRPr="00E67A4C">
        <w:t>nsur</w:t>
      </w:r>
      <w:r w:rsidRPr="00E67A4C">
        <w:t>e</w:t>
      </w:r>
      <w:r w:rsidR="006267A4" w:rsidRPr="00E67A4C">
        <w:t xml:space="preserve"> that energy information </w:t>
      </w:r>
      <w:r w:rsidRPr="00E67A4C">
        <w:t xml:space="preserve">provided </w:t>
      </w:r>
      <w:r w:rsidR="006267A4" w:rsidRPr="00E67A4C">
        <w:t xml:space="preserve">is available, clear, legible, and easy-to-read and </w:t>
      </w:r>
      <w:r w:rsidRPr="00E67A4C">
        <w:t>understand</w:t>
      </w:r>
      <w:r w:rsidR="006267A4" w:rsidRPr="00E67A4C">
        <w:t xml:space="preserve"> at-a-glance. </w:t>
      </w:r>
    </w:p>
    <w:p w14:paraId="6DCEC615" w14:textId="77777777" w:rsidR="00AE770E" w:rsidRPr="00DC4D93" w:rsidRDefault="00AE770E" w:rsidP="00AE770E">
      <w:pPr>
        <w:pStyle w:val="ListParagraph"/>
        <w:numPr>
          <w:ilvl w:val="1"/>
          <w:numId w:val="11"/>
        </w:numPr>
        <w:tabs>
          <w:tab w:val="left" w:pos="567"/>
        </w:tabs>
        <w:spacing w:after="40"/>
        <w:ind w:left="851" w:hanging="284"/>
        <w:contextualSpacing w:val="0"/>
        <w:jc w:val="both"/>
      </w:pPr>
      <w:r w:rsidRPr="00E67A4C">
        <w:t xml:space="preserve">Enable consumers to access energy information for standardised ingredients </w:t>
      </w:r>
      <w:r>
        <w:t>(</w:t>
      </w:r>
      <w:r w:rsidRPr="00E67A4C">
        <w:t xml:space="preserve">which can be </w:t>
      </w:r>
      <w:r w:rsidRPr="00DC4D93">
        <w:t>used to customise standard food items or can be combined to make customised menu items), and energy information for pre-packaged items to assist with purchasing decisions.</w:t>
      </w:r>
    </w:p>
    <w:p w14:paraId="33BE5191" w14:textId="77777777" w:rsidR="00FE312D" w:rsidRPr="00DC4D93" w:rsidRDefault="00FE312D" w:rsidP="006267A4">
      <w:pPr>
        <w:tabs>
          <w:tab w:val="left" w:pos="567"/>
        </w:tabs>
        <w:spacing w:after="40"/>
        <w:jc w:val="both"/>
      </w:pPr>
    </w:p>
    <w:p w14:paraId="64836664" w14:textId="77777777" w:rsidR="006267A4" w:rsidRPr="00DC4D93" w:rsidRDefault="006267A4" w:rsidP="0055688D">
      <w:pPr>
        <w:pStyle w:val="ListParagraph"/>
        <w:numPr>
          <w:ilvl w:val="0"/>
          <w:numId w:val="16"/>
        </w:numPr>
        <w:tabs>
          <w:tab w:val="left" w:pos="567"/>
        </w:tabs>
        <w:spacing w:after="40"/>
        <w:jc w:val="both"/>
      </w:pPr>
      <w:r w:rsidRPr="00DC4D93">
        <w:t>Menu labelling regulation should:</w:t>
      </w:r>
    </w:p>
    <w:p w14:paraId="1FFBFE78" w14:textId="77777777" w:rsidR="006267A4" w:rsidRPr="00DC4D93" w:rsidRDefault="006267A4" w:rsidP="0055688D">
      <w:pPr>
        <w:pStyle w:val="ListParagraph"/>
        <w:numPr>
          <w:ilvl w:val="1"/>
          <w:numId w:val="11"/>
        </w:numPr>
        <w:tabs>
          <w:tab w:val="left" w:pos="567"/>
        </w:tabs>
        <w:spacing w:after="40"/>
        <w:ind w:left="851" w:hanging="284"/>
        <w:contextualSpacing w:val="0"/>
        <w:jc w:val="both"/>
      </w:pPr>
      <w:r w:rsidRPr="00DC4D93">
        <w:t xml:space="preserve">Promote equity for regulatory requirements across standard food outlets. </w:t>
      </w:r>
    </w:p>
    <w:p w14:paraId="0F67412E" w14:textId="77777777" w:rsidR="007579B9" w:rsidRPr="00DC4D93" w:rsidRDefault="006267A4" w:rsidP="0055688D">
      <w:pPr>
        <w:pStyle w:val="ListParagraph"/>
        <w:numPr>
          <w:ilvl w:val="1"/>
          <w:numId w:val="11"/>
        </w:numPr>
        <w:tabs>
          <w:tab w:val="left" w:pos="567"/>
        </w:tabs>
        <w:spacing w:after="40"/>
        <w:ind w:left="851" w:hanging="284"/>
        <w:contextualSpacing w:val="0"/>
        <w:jc w:val="both"/>
      </w:pPr>
      <w:r w:rsidRPr="00DC4D93">
        <w:t>Enable other businesses to voluntarily display energy information in a manner consistent with the requirements for standard food outlets.</w:t>
      </w:r>
    </w:p>
    <w:p w14:paraId="5206D515" w14:textId="1E644DA7" w:rsidR="007579B9" w:rsidRPr="00DC4D93" w:rsidRDefault="007579B9" w:rsidP="0055688D">
      <w:pPr>
        <w:pStyle w:val="ListParagraph"/>
        <w:numPr>
          <w:ilvl w:val="1"/>
          <w:numId w:val="11"/>
        </w:numPr>
        <w:tabs>
          <w:tab w:val="left" w:pos="567"/>
        </w:tabs>
        <w:spacing w:after="40"/>
        <w:ind w:left="851" w:hanging="284"/>
        <w:contextualSpacing w:val="0"/>
        <w:jc w:val="both"/>
      </w:pPr>
      <w:r w:rsidRPr="00DC4D93">
        <w:t>Be complemented by promotional strategies that increase consumer understanding of kilojoules and how to use menu labelling within the broader context of healthy eating and energy balance; and encourage consumers to make healthier ready-to-eat food choices.</w:t>
      </w:r>
    </w:p>
    <w:p w14:paraId="68ADB377" w14:textId="77777777" w:rsidR="008A1A80" w:rsidRPr="00DC4D93" w:rsidRDefault="008A1A80" w:rsidP="008A1A80">
      <w:pPr>
        <w:pStyle w:val="ListParagraph"/>
        <w:tabs>
          <w:tab w:val="left" w:pos="567"/>
        </w:tabs>
        <w:spacing w:after="40"/>
        <w:ind w:left="1080"/>
        <w:contextualSpacing w:val="0"/>
        <w:jc w:val="both"/>
      </w:pPr>
    </w:p>
    <w:p w14:paraId="16D6083E" w14:textId="79D77608" w:rsidR="006267A4" w:rsidRPr="00DC4D93" w:rsidRDefault="006B2CFB" w:rsidP="0055688D">
      <w:pPr>
        <w:pStyle w:val="ListParagraph"/>
        <w:numPr>
          <w:ilvl w:val="0"/>
          <w:numId w:val="16"/>
        </w:numPr>
        <w:tabs>
          <w:tab w:val="left" w:pos="567"/>
        </w:tabs>
        <w:spacing w:after="40"/>
        <w:jc w:val="both"/>
      </w:pPr>
      <w:r w:rsidRPr="00DC4D93">
        <w:t xml:space="preserve">Menu labelling </w:t>
      </w:r>
      <w:r w:rsidR="007579B9" w:rsidRPr="00DC4D93">
        <w:t xml:space="preserve">initiatives </w:t>
      </w:r>
      <w:r w:rsidRPr="00DC4D93">
        <w:t>should be evaluated</w:t>
      </w:r>
      <w:r w:rsidR="00FD6C90" w:rsidRPr="00DC4D93">
        <w:t>. Any evaluation should:</w:t>
      </w:r>
    </w:p>
    <w:p w14:paraId="57DB76A1" w14:textId="77777777" w:rsidR="006267A4" w:rsidRPr="00DC4D93" w:rsidRDefault="006267A4" w:rsidP="0055688D">
      <w:pPr>
        <w:pStyle w:val="ListParagraph"/>
        <w:numPr>
          <w:ilvl w:val="1"/>
          <w:numId w:val="11"/>
        </w:numPr>
        <w:tabs>
          <w:tab w:val="left" w:pos="567"/>
        </w:tabs>
        <w:spacing w:after="40"/>
        <w:ind w:left="851" w:hanging="284"/>
        <w:contextualSpacing w:val="0"/>
        <w:jc w:val="both"/>
      </w:pPr>
      <w:r w:rsidRPr="00DC4D93">
        <w:t>Assess whether displaying nutrition information such as the amount of added sugars, sodium, saturated fat, alcohol, and/or other nutrients, would assist people to make healthier choices.</w:t>
      </w:r>
    </w:p>
    <w:p w14:paraId="1962D050" w14:textId="77777777" w:rsidR="006267A4" w:rsidRPr="00DC4D93" w:rsidRDefault="006267A4" w:rsidP="0055688D">
      <w:pPr>
        <w:pStyle w:val="ListParagraph"/>
        <w:numPr>
          <w:ilvl w:val="1"/>
          <w:numId w:val="11"/>
        </w:numPr>
        <w:tabs>
          <w:tab w:val="left" w:pos="567"/>
        </w:tabs>
        <w:spacing w:after="40"/>
        <w:ind w:left="851" w:hanging="284"/>
        <w:contextualSpacing w:val="0"/>
        <w:jc w:val="both"/>
      </w:pPr>
      <w:r w:rsidRPr="00DC4D93">
        <w:t xml:space="preserve">Consider the impacts of any promotional approaches on consumer behaviour and health outcomes. </w:t>
      </w:r>
    </w:p>
    <w:p w14:paraId="7EDE4E06" w14:textId="37CCED5E" w:rsidR="006267A4" w:rsidRPr="00DC4D93" w:rsidRDefault="006267A4" w:rsidP="0055688D">
      <w:pPr>
        <w:pStyle w:val="ListParagraph"/>
        <w:numPr>
          <w:ilvl w:val="1"/>
          <w:numId w:val="11"/>
        </w:numPr>
        <w:tabs>
          <w:tab w:val="left" w:pos="567"/>
        </w:tabs>
        <w:spacing w:after="40"/>
        <w:ind w:left="851" w:hanging="284"/>
        <w:contextualSpacing w:val="0"/>
        <w:jc w:val="both"/>
      </w:pPr>
      <w:r w:rsidRPr="00DC4D93">
        <w:t>Be informed by emerging evidence of the impacts of menu labelling in Australia and New Zealand as well as the regulation of menu labelling in</w:t>
      </w:r>
      <w:r w:rsidR="00E448FA" w:rsidRPr="00DC4D93">
        <w:t xml:space="preserve"> other</w:t>
      </w:r>
      <w:r w:rsidRPr="00DC4D93">
        <w:t xml:space="preserve"> jurisdictions.</w:t>
      </w:r>
    </w:p>
    <w:p w14:paraId="31642887" w14:textId="77777777" w:rsidR="006267A4" w:rsidRPr="00DC4D93" w:rsidRDefault="006267A4" w:rsidP="0055688D">
      <w:pPr>
        <w:pStyle w:val="ListParagraph"/>
        <w:numPr>
          <w:ilvl w:val="1"/>
          <w:numId w:val="11"/>
        </w:numPr>
        <w:tabs>
          <w:tab w:val="left" w:pos="567"/>
        </w:tabs>
        <w:spacing w:after="40"/>
        <w:ind w:left="851" w:hanging="284"/>
        <w:contextualSpacing w:val="0"/>
        <w:jc w:val="both"/>
      </w:pPr>
      <w:r w:rsidRPr="00DC4D93">
        <w:t>Use a coordinated, collaborative bi-national approach to evaluation for consistency and to maximise the outputs from limited resources.</w:t>
      </w:r>
    </w:p>
    <w:p w14:paraId="6A738FB1" w14:textId="77777777" w:rsidR="006267A4" w:rsidRPr="00DC4D93" w:rsidRDefault="006267A4" w:rsidP="0055688D">
      <w:pPr>
        <w:pStyle w:val="ListParagraph"/>
        <w:numPr>
          <w:ilvl w:val="1"/>
          <w:numId w:val="11"/>
        </w:numPr>
        <w:tabs>
          <w:tab w:val="left" w:pos="567"/>
        </w:tabs>
        <w:spacing w:after="40"/>
        <w:ind w:left="851" w:hanging="284"/>
        <w:contextualSpacing w:val="0"/>
        <w:jc w:val="both"/>
      </w:pPr>
      <w:r w:rsidRPr="00DC4D93">
        <w:t>Be informed by consultation with stakeholders.</w:t>
      </w:r>
    </w:p>
    <w:p w14:paraId="69C4CADD" w14:textId="6E5C7288" w:rsidR="00A320D6" w:rsidRPr="00DC4D93" w:rsidRDefault="00A320D6" w:rsidP="00FE312D">
      <w:pPr>
        <w:tabs>
          <w:tab w:val="left" w:pos="567"/>
        </w:tabs>
        <w:spacing w:after="40"/>
        <w:jc w:val="both"/>
      </w:pPr>
    </w:p>
    <w:p w14:paraId="580A2A2E" w14:textId="0956E93F" w:rsidR="00FE312D" w:rsidRPr="00DC4D93" w:rsidRDefault="00FE312D" w:rsidP="00FE312D">
      <w:pPr>
        <w:pStyle w:val="paragraph"/>
        <w:spacing w:before="0" w:beforeAutospacing="0" w:after="0" w:afterAutospacing="0"/>
        <w:textAlignment w:val="baseline"/>
        <w:rPr>
          <w:rStyle w:val="eop"/>
          <w:color w:val="000000"/>
        </w:rPr>
      </w:pPr>
      <w:r w:rsidRPr="00DC4D93">
        <w:rPr>
          <w:b/>
          <w:bCs/>
          <w:i/>
          <w:iCs/>
        </w:rPr>
        <w:t>Definitions:</w:t>
      </w:r>
    </w:p>
    <w:p w14:paraId="0D10DB6B" w14:textId="444BF78D" w:rsidR="00E26C48" w:rsidRPr="00DC4D93" w:rsidRDefault="00453DB6" w:rsidP="00453DB6">
      <w:pPr>
        <w:tabs>
          <w:tab w:val="left" w:pos="567"/>
        </w:tabs>
        <w:spacing w:after="40"/>
        <w:jc w:val="both"/>
      </w:pPr>
      <w:r w:rsidRPr="00DC4D93">
        <w:t xml:space="preserve">Definitions have been developed to inform the drafting of </w:t>
      </w:r>
      <w:r w:rsidR="00B8702D" w:rsidRPr="00DC4D93">
        <w:t xml:space="preserve">jurisdictional </w:t>
      </w:r>
      <w:r w:rsidRPr="00DC4D93">
        <w:t>legislation to enable a nationally consistent approach. </w:t>
      </w:r>
    </w:p>
    <w:p w14:paraId="63CC7C7B" w14:textId="77777777" w:rsidR="00FD6C90" w:rsidRPr="00DC4D93" w:rsidRDefault="00FD6C90" w:rsidP="0055688D">
      <w:pPr>
        <w:pStyle w:val="ListParagraph"/>
        <w:numPr>
          <w:ilvl w:val="0"/>
          <w:numId w:val="12"/>
        </w:numPr>
        <w:tabs>
          <w:tab w:val="left" w:pos="567"/>
        </w:tabs>
        <w:spacing w:after="40"/>
        <w:contextualSpacing w:val="0"/>
        <w:jc w:val="both"/>
      </w:pPr>
      <w:r w:rsidRPr="00DC4D93">
        <w:rPr>
          <w:b/>
        </w:rPr>
        <w:t>Menu labelling</w:t>
      </w:r>
      <w:r w:rsidRPr="00DC4D93">
        <w:t xml:space="preserve">: energy information for standard food items on menus at the point-of-sale. </w:t>
      </w:r>
    </w:p>
    <w:p w14:paraId="36D06947" w14:textId="77777777" w:rsidR="00FD6C90" w:rsidRPr="00DC4D93" w:rsidRDefault="00FD6C90" w:rsidP="0055688D">
      <w:pPr>
        <w:pStyle w:val="ListParagraph"/>
        <w:numPr>
          <w:ilvl w:val="0"/>
          <w:numId w:val="12"/>
        </w:numPr>
        <w:tabs>
          <w:tab w:val="left" w:pos="567"/>
        </w:tabs>
        <w:spacing w:after="40"/>
        <w:contextualSpacing w:val="0"/>
        <w:jc w:val="both"/>
      </w:pPr>
      <w:r w:rsidRPr="00DC4D93">
        <w:rPr>
          <w:b/>
        </w:rPr>
        <w:t>Energy information</w:t>
      </w:r>
      <w:r w:rsidRPr="00DC4D93">
        <w:t>: the average energy content of standard food items (expressed as kilojoules per item).</w:t>
      </w:r>
    </w:p>
    <w:p w14:paraId="7463A686" w14:textId="1C169629" w:rsidR="00FD6C90" w:rsidRPr="00DC4D93" w:rsidRDefault="00FD6C90" w:rsidP="0055688D">
      <w:pPr>
        <w:pStyle w:val="ListParagraph"/>
        <w:numPr>
          <w:ilvl w:val="0"/>
          <w:numId w:val="12"/>
        </w:numPr>
        <w:tabs>
          <w:tab w:val="left" w:pos="567"/>
        </w:tabs>
        <w:spacing w:after="40"/>
        <w:contextualSpacing w:val="0"/>
        <w:jc w:val="both"/>
      </w:pPr>
      <w:r w:rsidRPr="00DC4D93">
        <w:rPr>
          <w:b/>
        </w:rPr>
        <w:t>Average daily energy intake</w:t>
      </w:r>
      <w:r w:rsidRPr="00DC4D93">
        <w:t xml:space="preserve">: a reference statement expressed as </w:t>
      </w:r>
      <w:r w:rsidRPr="00DC4D93">
        <w:rPr>
          <w:i/>
        </w:rPr>
        <w:t>the average adult daily energy intake is 8700kJ</w:t>
      </w:r>
      <w:r w:rsidRPr="00DC4D93">
        <w:t>.</w:t>
      </w:r>
      <w:r w:rsidR="00097B5B">
        <w:rPr>
          <w:vertAlign w:val="superscript"/>
        </w:rPr>
        <w:t>2</w:t>
      </w:r>
    </w:p>
    <w:p w14:paraId="2DF86BCD" w14:textId="59D5E5B8" w:rsidR="00FD6C90" w:rsidRPr="00DC4D93" w:rsidRDefault="00FD6C90" w:rsidP="0055688D">
      <w:pPr>
        <w:pStyle w:val="ListParagraph"/>
        <w:numPr>
          <w:ilvl w:val="0"/>
          <w:numId w:val="12"/>
        </w:numPr>
        <w:tabs>
          <w:tab w:val="left" w:pos="567"/>
        </w:tabs>
        <w:spacing w:after="40"/>
        <w:contextualSpacing w:val="0"/>
        <w:jc w:val="both"/>
      </w:pPr>
      <w:r w:rsidRPr="00DC4D93">
        <w:rPr>
          <w:b/>
        </w:rPr>
        <w:t>Point-of-sale</w:t>
      </w:r>
      <w:r w:rsidRPr="00DC4D93">
        <w:t>: the place where a customer orders and purchases ready-to-eat food, (places includ</w:t>
      </w:r>
      <w:r w:rsidR="00AE770E" w:rsidRPr="00DC4D93">
        <w:t>ing</w:t>
      </w:r>
      <w:r w:rsidR="00177608" w:rsidRPr="00DC4D93">
        <w:t>,</w:t>
      </w:r>
      <w:r w:rsidR="00AE770E" w:rsidRPr="00DC4D93">
        <w:t xml:space="preserve"> but not limited to</w:t>
      </w:r>
      <w:r w:rsidR="00177608" w:rsidRPr="00DC4D93">
        <w:t>,</w:t>
      </w:r>
      <w:r w:rsidRPr="00DC4D93">
        <w:t xml:space="preserve"> checkouts, drive-through facilities and self-service devices within physical premises; and electronic sales point via business websites and mobile applications and third-party food delivery platforms).  </w:t>
      </w:r>
    </w:p>
    <w:p w14:paraId="2E4C5A89" w14:textId="77777777" w:rsidR="00FD6C90" w:rsidRPr="00DC4D93" w:rsidRDefault="00FD6C90" w:rsidP="0055688D">
      <w:pPr>
        <w:pStyle w:val="ListParagraph"/>
        <w:numPr>
          <w:ilvl w:val="0"/>
          <w:numId w:val="12"/>
        </w:numPr>
        <w:tabs>
          <w:tab w:val="left" w:pos="567"/>
        </w:tabs>
        <w:spacing w:after="40"/>
        <w:contextualSpacing w:val="0"/>
        <w:jc w:val="both"/>
      </w:pPr>
      <w:r w:rsidRPr="00DC4D93">
        <w:rPr>
          <w:b/>
        </w:rPr>
        <w:lastRenderedPageBreak/>
        <w:t>Category</w:t>
      </w:r>
      <w:r w:rsidRPr="00DC4D93">
        <w:rPr>
          <w:bCs/>
        </w:rPr>
        <w:t xml:space="preserve">: a type or group of standard food items, for example burgers, sandwiches, beverages, sides, desserts. </w:t>
      </w:r>
    </w:p>
    <w:p w14:paraId="423A030D" w14:textId="77777777" w:rsidR="00FD6C90" w:rsidRPr="00DC4D93" w:rsidRDefault="00FD6C90" w:rsidP="0055688D">
      <w:pPr>
        <w:pStyle w:val="ListParagraph"/>
        <w:numPr>
          <w:ilvl w:val="0"/>
          <w:numId w:val="12"/>
        </w:numPr>
        <w:tabs>
          <w:tab w:val="left" w:pos="567"/>
        </w:tabs>
        <w:spacing w:after="40"/>
        <w:contextualSpacing w:val="0"/>
        <w:jc w:val="both"/>
      </w:pPr>
      <w:r w:rsidRPr="00DC4D93">
        <w:rPr>
          <w:b/>
        </w:rPr>
        <w:t>Menu</w:t>
      </w:r>
      <w:r w:rsidRPr="00DC4D93">
        <w:t>: a list or similar that shows one or more standard food items available for sale, in printed or electronic form (including, but not limited to, menu boards, posters, leaflets, price/food/identifying tags or labels, digital menu panels, business websites, mobile applications, third-party food delivery platforms, printed and online catalogues).</w:t>
      </w:r>
    </w:p>
    <w:p w14:paraId="4693D5ED" w14:textId="38D6CCC4" w:rsidR="00FD6C90" w:rsidRPr="00DC4D93" w:rsidRDefault="00FD6C90" w:rsidP="0055688D">
      <w:pPr>
        <w:pStyle w:val="ListParagraph"/>
        <w:numPr>
          <w:ilvl w:val="0"/>
          <w:numId w:val="12"/>
        </w:numPr>
        <w:tabs>
          <w:tab w:val="left" w:pos="567"/>
        </w:tabs>
        <w:spacing w:after="40"/>
        <w:contextualSpacing w:val="0"/>
        <w:jc w:val="both"/>
      </w:pPr>
      <w:r w:rsidRPr="00DC4D93">
        <w:rPr>
          <w:b/>
        </w:rPr>
        <w:t>Standard food item</w:t>
      </w:r>
      <w:r w:rsidRPr="00DC4D93">
        <w:t>: ready-to-eat food</w:t>
      </w:r>
      <w:r w:rsidR="00097B5B">
        <w:rPr>
          <w:vertAlign w:val="superscript"/>
        </w:rPr>
        <w:t>3</w:t>
      </w:r>
      <w:r w:rsidRPr="00DC4D93">
        <w:t xml:space="preserve"> that is sold in servings that are standardised for portion and content, and which is not required to bear a label</w:t>
      </w:r>
      <w:r w:rsidR="00097B5B">
        <w:rPr>
          <w:vertAlign w:val="superscript"/>
        </w:rPr>
        <w:t>3</w:t>
      </w:r>
      <w:r w:rsidRPr="00DC4D93">
        <w:t xml:space="preserve">; includes items available in different serving sizes (e.g. small, medium, large), but not items sold by weight (e.g. salads from a deli) as not standardised by portion. </w:t>
      </w:r>
      <w:r w:rsidR="00E47DAC" w:rsidRPr="00DC4D93">
        <w:t>Includes all standardised items, including trial/promotional menu items.</w:t>
      </w:r>
    </w:p>
    <w:p w14:paraId="3082B486" w14:textId="77777777" w:rsidR="00FD6C90" w:rsidRPr="00DC4D93" w:rsidRDefault="00FD6C90" w:rsidP="0055688D">
      <w:pPr>
        <w:pStyle w:val="ListParagraph"/>
        <w:numPr>
          <w:ilvl w:val="0"/>
          <w:numId w:val="12"/>
        </w:numPr>
        <w:tabs>
          <w:tab w:val="left" w:pos="567"/>
        </w:tabs>
        <w:spacing w:after="40"/>
        <w:contextualSpacing w:val="0"/>
        <w:jc w:val="both"/>
      </w:pPr>
      <w:r w:rsidRPr="00DC4D93">
        <w:rPr>
          <w:b/>
        </w:rPr>
        <w:t>Combination meal</w:t>
      </w:r>
      <w:r w:rsidRPr="00DC4D93">
        <w:t>: a combination of two or more standard food items (e.g. cheeseburger and hot chips); or a combination of standard food items and pre-packaged food (e.g. salad sandwich and a can of drink).</w:t>
      </w:r>
    </w:p>
    <w:p w14:paraId="215440D6" w14:textId="7C497A0A" w:rsidR="00FD6C90" w:rsidRPr="00DC4D93" w:rsidRDefault="00FD6C90" w:rsidP="0055688D">
      <w:pPr>
        <w:pStyle w:val="ListParagraph"/>
        <w:numPr>
          <w:ilvl w:val="0"/>
          <w:numId w:val="12"/>
        </w:numPr>
        <w:tabs>
          <w:tab w:val="left" w:pos="567"/>
        </w:tabs>
        <w:spacing w:after="40"/>
        <w:contextualSpacing w:val="0"/>
        <w:jc w:val="both"/>
      </w:pPr>
      <w:r w:rsidRPr="00DC4D93">
        <w:rPr>
          <w:b/>
        </w:rPr>
        <w:t>Multi-serve item</w:t>
      </w:r>
      <w:r w:rsidRPr="00DC4D93">
        <w:t>: a standard food item that provides more than one serving and is not intended to be consumed by one person (e.g. whole cake, pizza). Energy information to be displayed for the whole item as well as per serving to enable comparison with single-serve items.</w:t>
      </w:r>
    </w:p>
    <w:p w14:paraId="719AAA13" w14:textId="77777777" w:rsidR="00AE770E" w:rsidRPr="00DC4D93" w:rsidRDefault="00AE770E" w:rsidP="00AE770E">
      <w:pPr>
        <w:pStyle w:val="ListParagraph"/>
        <w:numPr>
          <w:ilvl w:val="0"/>
          <w:numId w:val="12"/>
        </w:numPr>
        <w:tabs>
          <w:tab w:val="left" w:pos="567"/>
        </w:tabs>
        <w:spacing w:after="40"/>
        <w:contextualSpacing w:val="0"/>
        <w:jc w:val="both"/>
      </w:pPr>
      <w:r w:rsidRPr="00DC4D93">
        <w:rPr>
          <w:b/>
        </w:rPr>
        <w:t>Pre-packaged item</w:t>
      </w:r>
      <w:r w:rsidRPr="00DC4D93">
        <w:t>: a ready-to-eat food required to bear a label.</w:t>
      </w:r>
    </w:p>
    <w:p w14:paraId="38482883" w14:textId="7A83F893" w:rsidR="00FD6C90" w:rsidRPr="00DC4D93" w:rsidRDefault="00FD6C90" w:rsidP="0055688D">
      <w:pPr>
        <w:pStyle w:val="ListParagraph"/>
        <w:numPr>
          <w:ilvl w:val="0"/>
          <w:numId w:val="12"/>
        </w:numPr>
        <w:tabs>
          <w:tab w:val="left" w:pos="567"/>
        </w:tabs>
        <w:spacing w:after="40"/>
        <w:contextualSpacing w:val="0"/>
        <w:jc w:val="both"/>
      </w:pPr>
      <w:r w:rsidRPr="00DC4D93">
        <w:rPr>
          <w:b/>
        </w:rPr>
        <w:t>Standardised ingredient</w:t>
      </w:r>
      <w:r w:rsidRPr="00DC4D93">
        <w:t>: ingredient that is standardised for portion and content</w:t>
      </w:r>
      <w:r w:rsidR="007F72CE" w:rsidRPr="00DC4D93">
        <w:t xml:space="preserve"> (e.g. bacon, slice of cheese)</w:t>
      </w:r>
      <w:r w:rsidRPr="00DC4D93">
        <w:t xml:space="preserve"> which can be added by customers to standard food items</w:t>
      </w:r>
      <w:r w:rsidR="00A21BFB" w:rsidRPr="00DC4D93">
        <w:t xml:space="preserve"> (e.g. burger)</w:t>
      </w:r>
      <w:r w:rsidRPr="00DC4D93">
        <w:t xml:space="preserve">; or combined with other standardised ingredients to make a customised menu item (e.g. tortilla, beef filling and guacamole). </w:t>
      </w:r>
    </w:p>
    <w:p w14:paraId="34302E08" w14:textId="732FC600" w:rsidR="001B6FA8" w:rsidRPr="00DC4D93" w:rsidRDefault="00FD6C90" w:rsidP="0055688D">
      <w:pPr>
        <w:pStyle w:val="ListParagraph"/>
        <w:numPr>
          <w:ilvl w:val="0"/>
          <w:numId w:val="12"/>
        </w:numPr>
        <w:tabs>
          <w:tab w:val="left" w:pos="567"/>
        </w:tabs>
        <w:spacing w:after="40"/>
        <w:contextualSpacing w:val="0"/>
        <w:jc w:val="both"/>
      </w:pPr>
      <w:r w:rsidRPr="00DC4D93">
        <w:rPr>
          <w:b/>
        </w:rPr>
        <w:t xml:space="preserve">Standard food outlet: </w:t>
      </w:r>
      <w:r w:rsidR="004B4628" w:rsidRPr="00DC4D93">
        <w:t xml:space="preserve">a food business that sells standard food items at 50 or more outlets in Australia, or 20 or more outlets in an Australian State or 7 or more in an Australian Territory or 20 or more outlets in New Zealand. Food businesses are those owned/operated under franchise arrangements; outlets operated under the same trading </w:t>
      </w:r>
      <w:r w:rsidR="001B6FA8" w:rsidRPr="00DC4D93">
        <w:t xml:space="preserve">name, the same </w:t>
      </w:r>
      <w:r w:rsidR="0032770B" w:rsidRPr="00DC4D93">
        <w:t>trademark,</w:t>
      </w:r>
      <w:r w:rsidR="001B6FA8" w:rsidRPr="00DC4D93">
        <w:t xml:space="preserve"> or the same brand; and outlets owned or controlled by the one parent company/central owner/corporation.</w:t>
      </w:r>
    </w:p>
    <w:p w14:paraId="252ADCEF" w14:textId="3141E112" w:rsidR="001F2C40" w:rsidRDefault="001F2C40" w:rsidP="00B66DDF">
      <w:pPr>
        <w:tabs>
          <w:tab w:val="left" w:pos="567"/>
        </w:tabs>
        <w:spacing w:after="40"/>
        <w:jc w:val="both"/>
        <w:rPr>
          <w:b/>
        </w:rPr>
      </w:pPr>
    </w:p>
    <w:p w14:paraId="47643440" w14:textId="77777777" w:rsidR="001B6FA8" w:rsidRPr="00B66DDF" w:rsidRDefault="001B6FA8" w:rsidP="00B66DDF">
      <w:pPr>
        <w:tabs>
          <w:tab w:val="left" w:pos="567"/>
        </w:tabs>
        <w:spacing w:after="40"/>
        <w:jc w:val="both"/>
        <w:rPr>
          <w:b/>
        </w:rPr>
      </w:pPr>
    </w:p>
    <w:p w14:paraId="56C10E75" w14:textId="5BA228EF" w:rsidR="000047F6" w:rsidRPr="00E67A4C" w:rsidRDefault="00FA5BED" w:rsidP="000047F6">
      <w:pPr>
        <w:pStyle w:val="EndnoteText"/>
        <w:spacing w:after="40"/>
        <w:rPr>
          <w:rFonts w:ascii="Times New Roman" w:hAnsi="Times New Roman"/>
          <w:sz w:val="18"/>
          <w:szCs w:val="18"/>
          <w:lang w:val="en-US"/>
        </w:rPr>
      </w:pPr>
      <w:r>
        <w:rPr>
          <w:rFonts w:ascii="Times New Roman" w:hAnsi="Times New Roman"/>
          <w:sz w:val="18"/>
          <w:szCs w:val="18"/>
        </w:rPr>
        <w:t>1</w:t>
      </w:r>
      <w:r w:rsidR="000047F6" w:rsidRPr="00E67A4C">
        <w:rPr>
          <w:rFonts w:ascii="Times New Roman" w:hAnsi="Times New Roman"/>
          <w:sz w:val="18"/>
          <w:szCs w:val="18"/>
          <w:lang w:val="en-US"/>
        </w:rPr>
        <w:t xml:space="preserve"> </w:t>
      </w:r>
      <w:r w:rsidR="000047F6" w:rsidRPr="00E67A4C">
        <w:rPr>
          <w:rFonts w:ascii="Times New Roman" w:eastAsia="Calibri" w:hAnsi="Times New Roman"/>
          <w:bCs/>
          <w:iCs/>
          <w:color w:val="000000"/>
          <w:sz w:val="18"/>
          <w:szCs w:val="18"/>
          <w:lang w:val="en-AU"/>
        </w:rPr>
        <w:t xml:space="preserve">Rayner M et al. 2013. Monitoring the health-related labelling on foods and non-alcoholic beverages in retail settings. </w:t>
      </w:r>
      <w:r w:rsidR="000047F6" w:rsidRPr="00E67A4C">
        <w:rPr>
          <w:rFonts w:ascii="Times New Roman" w:eastAsia="Calibri" w:hAnsi="Times New Roman"/>
          <w:bCs/>
          <w:i/>
          <w:color w:val="000000"/>
          <w:sz w:val="18"/>
          <w:szCs w:val="18"/>
          <w:lang w:val="en-AU"/>
        </w:rPr>
        <w:t>Obesity Reviews</w:t>
      </w:r>
      <w:r w:rsidR="000047F6" w:rsidRPr="00E67A4C">
        <w:rPr>
          <w:rFonts w:ascii="Times New Roman" w:eastAsia="Calibri" w:hAnsi="Times New Roman"/>
          <w:bCs/>
          <w:iCs/>
          <w:color w:val="000000"/>
          <w:sz w:val="18"/>
          <w:szCs w:val="18"/>
          <w:lang w:val="en-AU"/>
        </w:rPr>
        <w:t>, 14(S1): 70-81.</w:t>
      </w:r>
    </w:p>
    <w:p w14:paraId="3C26B5A9" w14:textId="7B8049BC" w:rsidR="00656A38" w:rsidRPr="00E67A4C" w:rsidRDefault="00097B5B" w:rsidP="00656A38">
      <w:pPr>
        <w:spacing w:after="40"/>
        <w:rPr>
          <w:sz w:val="18"/>
          <w:szCs w:val="18"/>
        </w:rPr>
      </w:pPr>
      <w:r>
        <w:rPr>
          <w:sz w:val="18"/>
          <w:szCs w:val="18"/>
        </w:rPr>
        <w:t>2</w:t>
      </w:r>
      <w:r w:rsidR="004D1D5F" w:rsidRPr="00E67A4C">
        <w:rPr>
          <w:sz w:val="18"/>
          <w:szCs w:val="18"/>
        </w:rPr>
        <w:t>.</w:t>
      </w:r>
      <w:r w:rsidR="00656A38" w:rsidRPr="00E67A4C">
        <w:rPr>
          <w:sz w:val="18"/>
          <w:szCs w:val="18"/>
        </w:rPr>
        <w:t xml:space="preserve"> 8700kJ is the reference value for energy as defined in the Australia New Zealand Food Standards Code – Standard 1.2.8—8 – Percentage daily intake information.</w:t>
      </w:r>
    </w:p>
    <w:p w14:paraId="48FF43FC" w14:textId="376F8D86" w:rsidR="00BC3AEE" w:rsidRPr="00E67A4C" w:rsidRDefault="00097B5B" w:rsidP="00FB1DA0">
      <w:pPr>
        <w:spacing w:after="40"/>
        <w:rPr>
          <w:sz w:val="18"/>
          <w:szCs w:val="18"/>
        </w:rPr>
      </w:pPr>
      <w:r>
        <w:rPr>
          <w:sz w:val="18"/>
          <w:szCs w:val="18"/>
        </w:rPr>
        <w:t>3</w:t>
      </w:r>
      <w:r w:rsidR="004D1D5F" w:rsidRPr="00E67A4C">
        <w:rPr>
          <w:sz w:val="18"/>
          <w:szCs w:val="18"/>
        </w:rPr>
        <w:t>.</w:t>
      </w:r>
      <w:r w:rsidR="00656A38" w:rsidRPr="00E67A4C">
        <w:rPr>
          <w:sz w:val="18"/>
          <w:szCs w:val="18"/>
        </w:rPr>
        <w:t xml:space="preserve"> As defined in the Australia New Zealand Food Standards Code – Standard 1.1.2 – Definitions used through the Code.</w:t>
      </w:r>
    </w:p>
    <w:p w14:paraId="1172D124" w14:textId="68E85CD4" w:rsidR="003E2685" w:rsidRPr="00E67A4C" w:rsidRDefault="003E2685">
      <w:pPr>
        <w:rPr>
          <w:sz w:val="18"/>
          <w:szCs w:val="18"/>
        </w:rPr>
      </w:pPr>
      <w:r w:rsidRPr="00E67A4C">
        <w:rPr>
          <w:sz w:val="18"/>
          <w:szCs w:val="18"/>
        </w:rPr>
        <w:br w:type="page"/>
      </w:r>
    </w:p>
    <w:p w14:paraId="7467329B" w14:textId="5D815036" w:rsidR="00972A23" w:rsidRPr="00E67A4C" w:rsidRDefault="00972A23" w:rsidP="00F6154A">
      <w:pPr>
        <w:pStyle w:val="Heading2"/>
        <w:rPr>
          <w:rStyle w:val="Heading1Char"/>
          <w:rFonts w:ascii="Times New Roman" w:hAnsi="Times New Roman" w:cs="Times New Roman"/>
          <w:b/>
          <w:bCs/>
          <w:szCs w:val="28"/>
        </w:rPr>
      </w:pPr>
      <w:bookmarkStart w:id="104" w:name="_Toc91189682"/>
      <w:r w:rsidRPr="00E67A4C">
        <w:rPr>
          <w:rStyle w:val="Heading1Char"/>
          <w:rFonts w:ascii="Times New Roman" w:hAnsi="Times New Roman" w:cs="Times New Roman"/>
          <w:b/>
          <w:bCs/>
          <w:szCs w:val="28"/>
        </w:rPr>
        <w:lastRenderedPageBreak/>
        <w:t xml:space="preserve">Appendix </w:t>
      </w:r>
      <w:r w:rsidR="000F239D">
        <w:rPr>
          <w:rStyle w:val="Heading1Char"/>
          <w:rFonts w:ascii="Times New Roman" w:hAnsi="Times New Roman" w:cs="Times New Roman"/>
          <w:b/>
          <w:bCs/>
          <w:szCs w:val="28"/>
        </w:rPr>
        <w:t>6</w:t>
      </w:r>
      <w:r w:rsidRPr="00E67A4C">
        <w:rPr>
          <w:rStyle w:val="Heading1Char"/>
          <w:rFonts w:ascii="Times New Roman" w:hAnsi="Times New Roman" w:cs="Times New Roman"/>
          <w:b/>
          <w:bCs/>
          <w:szCs w:val="28"/>
        </w:rPr>
        <w:t xml:space="preserve">: Consideration of </w:t>
      </w:r>
      <w:r w:rsidR="001168D9">
        <w:rPr>
          <w:rStyle w:val="Heading1Char"/>
          <w:rFonts w:ascii="Times New Roman" w:hAnsi="Times New Roman" w:cs="Times New Roman"/>
          <w:b/>
          <w:bCs/>
          <w:szCs w:val="28"/>
        </w:rPr>
        <w:t xml:space="preserve">2018 </w:t>
      </w:r>
      <w:r w:rsidRPr="00E67A4C">
        <w:rPr>
          <w:rStyle w:val="Heading1Char"/>
          <w:rFonts w:ascii="Times New Roman" w:hAnsi="Times New Roman" w:cs="Times New Roman"/>
          <w:b/>
          <w:bCs/>
          <w:szCs w:val="28"/>
        </w:rPr>
        <w:t>stakeholder views in option development</w:t>
      </w:r>
      <w:bookmarkEnd w:id="104"/>
    </w:p>
    <w:p w14:paraId="360D4A49" w14:textId="77777777" w:rsidR="00972A23" w:rsidRPr="00E67A4C" w:rsidRDefault="00972A23" w:rsidP="00972A23"/>
    <w:p w14:paraId="36E7B49A" w14:textId="77777777" w:rsidR="00972A23" w:rsidRPr="00E67A4C" w:rsidRDefault="00972A23" w:rsidP="00972A23">
      <w:pPr>
        <w:pStyle w:val="BodyText1"/>
        <w:spacing w:after="40" w:line="240" w:lineRule="auto"/>
        <w:jc w:val="both"/>
        <w:rPr>
          <w:rFonts w:ascii="Times New Roman" w:hAnsi="Times New Roman"/>
          <w:sz w:val="24"/>
        </w:rPr>
      </w:pPr>
      <w:r w:rsidRPr="00E67A4C">
        <w:rPr>
          <w:rFonts w:ascii="Times New Roman" w:hAnsi="Times New Roman"/>
          <w:sz w:val="24"/>
        </w:rPr>
        <w:t>During 2018, two rounds of consultation with Australian food industry, public health organisations and consumer representatives were undertaken. New Zealand stakeholders were not consulted as menu labelling had not been mandated.</w:t>
      </w:r>
    </w:p>
    <w:p w14:paraId="720848DD" w14:textId="77777777" w:rsidR="00972A23" w:rsidRPr="00E67A4C" w:rsidRDefault="00972A23" w:rsidP="00972A23">
      <w:pPr>
        <w:pStyle w:val="BodyText1"/>
        <w:spacing w:after="40" w:line="240" w:lineRule="auto"/>
        <w:jc w:val="both"/>
        <w:rPr>
          <w:rFonts w:ascii="Times New Roman" w:hAnsi="Times New Roman"/>
          <w:sz w:val="24"/>
        </w:rPr>
      </w:pPr>
    </w:p>
    <w:p w14:paraId="42E04D15" w14:textId="77777777" w:rsidR="00972A23" w:rsidRPr="00E67A4C" w:rsidRDefault="00972A23" w:rsidP="00972A23">
      <w:pPr>
        <w:pStyle w:val="BodyText1"/>
        <w:spacing w:after="40" w:line="240" w:lineRule="auto"/>
        <w:jc w:val="both"/>
        <w:rPr>
          <w:rFonts w:ascii="Times New Roman" w:hAnsi="Times New Roman"/>
          <w:sz w:val="24"/>
        </w:rPr>
      </w:pPr>
      <w:r w:rsidRPr="00E67A4C">
        <w:rPr>
          <w:rFonts w:ascii="Times New Roman" w:hAnsi="Times New Roman"/>
          <w:bCs/>
          <w:sz w:val="24"/>
        </w:rPr>
        <w:t xml:space="preserve">During the first round of consultation in February and March 2018, stakeholders were consulted about the issues with menu labelling schemes; specifically, </w:t>
      </w:r>
      <w:r w:rsidRPr="00E67A4C">
        <w:rPr>
          <w:rFonts w:ascii="Times New Roman" w:hAnsi="Times New Roman"/>
          <w:sz w:val="24"/>
        </w:rPr>
        <w:t>inconsistencies between jurisdictions’ menu labelling legislation; emerging trends in the food industry sector; and difficulties faced by consumers in using energy information. There were two industry-specific roundtables to which 16 organisations attended from the 83 Australian-based organisations invited. Additionally, a consultation paper</w:t>
      </w:r>
      <w:r w:rsidRPr="00E67A4C">
        <w:rPr>
          <w:rStyle w:val="FootnoteReference"/>
          <w:rFonts w:ascii="Times New Roman" w:hAnsi="Times New Roman"/>
          <w:sz w:val="24"/>
        </w:rPr>
        <w:footnoteReference w:id="144"/>
      </w:r>
      <w:r w:rsidRPr="00E67A4C">
        <w:rPr>
          <w:rFonts w:ascii="Times New Roman" w:hAnsi="Times New Roman"/>
          <w:sz w:val="24"/>
        </w:rPr>
        <w:t xml:space="preserve"> was released on the Food Regulation website (</w:t>
      </w:r>
      <w:hyperlink r:id="rId40" w:history="1">
        <w:r w:rsidRPr="00E67A4C">
          <w:rPr>
            <w:rStyle w:val="Hyperlink"/>
            <w:rFonts w:ascii="Times New Roman" w:hAnsi="Times New Roman"/>
            <w:sz w:val="24"/>
          </w:rPr>
          <w:t>www.foodregulation.gov.au</w:t>
        </w:r>
      </w:hyperlink>
      <w:r w:rsidRPr="00E67A4C">
        <w:rPr>
          <w:rFonts w:ascii="Times New Roman" w:hAnsi="Times New Roman"/>
          <w:sz w:val="24"/>
        </w:rPr>
        <w:t>) for a six-week period. Written submissions were received from 13 public health organisations, 10 industry representatives (including one from New Zealand), four Australian State and Territory governments, and one consumer organisation. A summary of the consultation outcomes from this first round is available online.</w:t>
      </w:r>
      <w:r w:rsidRPr="00E67A4C">
        <w:rPr>
          <w:rStyle w:val="FootnoteReference"/>
          <w:rFonts w:ascii="Times New Roman" w:hAnsi="Times New Roman"/>
          <w:sz w:val="24"/>
        </w:rPr>
        <w:footnoteReference w:id="145"/>
      </w:r>
    </w:p>
    <w:p w14:paraId="31F9EFC7" w14:textId="77777777" w:rsidR="00972A23" w:rsidRPr="00E67A4C" w:rsidRDefault="00972A23" w:rsidP="00972A23">
      <w:pPr>
        <w:pStyle w:val="BodyText1"/>
        <w:spacing w:after="40" w:line="240" w:lineRule="auto"/>
        <w:jc w:val="both"/>
        <w:rPr>
          <w:rFonts w:ascii="Times New Roman" w:hAnsi="Times New Roman"/>
          <w:sz w:val="24"/>
        </w:rPr>
      </w:pPr>
    </w:p>
    <w:p w14:paraId="5C707444" w14:textId="77777777" w:rsidR="00972A23" w:rsidRPr="00E67A4C" w:rsidRDefault="00972A23" w:rsidP="00972A23">
      <w:pPr>
        <w:pStyle w:val="BodyText1"/>
        <w:spacing w:after="40" w:line="240" w:lineRule="auto"/>
        <w:jc w:val="both"/>
        <w:rPr>
          <w:rFonts w:ascii="Times New Roman" w:hAnsi="Times New Roman"/>
          <w:sz w:val="24"/>
        </w:rPr>
      </w:pPr>
      <w:r w:rsidRPr="00E67A4C">
        <w:rPr>
          <w:rFonts w:ascii="Times New Roman" w:hAnsi="Times New Roman"/>
          <w:sz w:val="24"/>
        </w:rPr>
        <w:t>A second round of consultation was held between October and December 2018 to work with stakeholders on possible solutions for five key issues: legibility; business coverage and equity; electronic menus; combination meals; multiple serve items. This involved two co-design roundtables attended by representatives from 14 industry groups and four public health organisations (55 organisations were invited). Subsequently, three time-limited working groups were established with a total of 21 members from across 11 industry groups and four public health organisations.</w:t>
      </w:r>
    </w:p>
    <w:p w14:paraId="61293FC6" w14:textId="77777777" w:rsidR="00972A23" w:rsidRPr="00E67A4C" w:rsidRDefault="00972A23" w:rsidP="00972A23">
      <w:pPr>
        <w:pStyle w:val="BodyText1"/>
        <w:spacing w:after="40" w:line="240" w:lineRule="auto"/>
        <w:jc w:val="both"/>
        <w:rPr>
          <w:rFonts w:ascii="Times New Roman" w:hAnsi="Times New Roman"/>
          <w:sz w:val="24"/>
        </w:rPr>
      </w:pPr>
    </w:p>
    <w:p w14:paraId="06807E6D" w14:textId="77777777" w:rsidR="00972A23" w:rsidRDefault="00972A23" w:rsidP="00972A23">
      <w:pPr>
        <w:spacing w:after="40"/>
        <w:jc w:val="both"/>
      </w:pPr>
      <w:r w:rsidRPr="00E67A4C">
        <w:t xml:space="preserve">The outcomes from these previous rounds of consultation shaped the options described in this consultation paper. </w:t>
      </w:r>
      <w:r>
        <w:t>H</w:t>
      </w:r>
      <w:r w:rsidRPr="00E67A4C">
        <w:t>ow these stakeholder views have been considered and incorporated in these options</w:t>
      </w:r>
      <w:r>
        <w:t xml:space="preserve"> is described below</w:t>
      </w:r>
      <w:r w:rsidRPr="00E67A4C">
        <w:t>.</w:t>
      </w:r>
    </w:p>
    <w:p w14:paraId="0A7ED9DE" w14:textId="77777777" w:rsidR="00972A23" w:rsidRPr="00E67A4C" w:rsidRDefault="00972A23" w:rsidP="00972A23">
      <w:pPr>
        <w:spacing w:after="40"/>
        <w:jc w:val="both"/>
      </w:pPr>
    </w:p>
    <w:tbl>
      <w:tblPr>
        <w:tblStyle w:val="PlainTable3"/>
        <w:tblW w:w="8959" w:type="dxa"/>
        <w:tblLook w:val="04A0" w:firstRow="1" w:lastRow="0" w:firstColumn="1" w:lastColumn="0" w:noHBand="0" w:noVBand="1"/>
        <w:tblCaption w:val="How stakeholder views have been considered and incorporated in the four options"/>
        <w:tblDescription w:val="Table describes each of the outcomes from the 2018 consultation and how these outcomes have been considered in the development of the 4 options. 2 columns. 1. Consultation Outcomes. 2. How Outcomes Considered by Options."/>
      </w:tblPr>
      <w:tblGrid>
        <w:gridCol w:w="4479"/>
        <w:gridCol w:w="4480"/>
      </w:tblGrid>
      <w:tr w:rsidR="00972A23" w:rsidRPr="00E67A4C" w14:paraId="08043C2C" w14:textId="77777777" w:rsidTr="005C2A0C">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4479" w:type="dxa"/>
          </w:tcPr>
          <w:p w14:paraId="3F78CAF4" w14:textId="77777777" w:rsidR="00972A23" w:rsidRPr="007A74F4" w:rsidRDefault="00972A23" w:rsidP="005C2A0C">
            <w:pPr>
              <w:pStyle w:val="BodyText1"/>
              <w:spacing w:after="40" w:line="240" w:lineRule="auto"/>
              <w:rPr>
                <w:rFonts w:ascii="Times New Roman" w:hAnsi="Times New Roman"/>
                <w:bCs w:val="0"/>
                <w:sz w:val="20"/>
                <w:szCs w:val="20"/>
              </w:rPr>
            </w:pPr>
            <w:r w:rsidRPr="007A74F4">
              <w:rPr>
                <w:rFonts w:ascii="Times New Roman" w:hAnsi="Times New Roman"/>
                <w:bCs w:val="0"/>
                <w:caps w:val="0"/>
                <w:sz w:val="20"/>
                <w:szCs w:val="20"/>
              </w:rPr>
              <w:t>Consultation Outcomes</w:t>
            </w:r>
          </w:p>
        </w:tc>
        <w:tc>
          <w:tcPr>
            <w:tcW w:w="4480" w:type="dxa"/>
          </w:tcPr>
          <w:p w14:paraId="180EBA0D" w14:textId="77777777" w:rsidR="00972A23" w:rsidRPr="007A74F4" w:rsidRDefault="00972A23" w:rsidP="005C2A0C">
            <w:pPr>
              <w:pStyle w:val="BodyText1"/>
              <w:spacing w:after="4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0"/>
                <w:szCs w:val="20"/>
              </w:rPr>
            </w:pPr>
            <w:r w:rsidRPr="007A74F4">
              <w:rPr>
                <w:rFonts w:ascii="Times New Roman" w:hAnsi="Times New Roman"/>
                <w:bCs w:val="0"/>
                <w:caps w:val="0"/>
                <w:sz w:val="20"/>
                <w:szCs w:val="20"/>
              </w:rPr>
              <w:t>How Outcomes Considered by Options</w:t>
            </w:r>
          </w:p>
        </w:tc>
      </w:tr>
      <w:tr w:rsidR="00972A23" w:rsidRPr="00E67A4C" w14:paraId="2EFFC758" w14:textId="77777777" w:rsidTr="005C2A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9" w:type="dxa"/>
          </w:tcPr>
          <w:p w14:paraId="25852759" w14:textId="77777777" w:rsidR="00972A23" w:rsidRPr="007A74F4" w:rsidRDefault="00972A23" w:rsidP="005C2A0C">
            <w:pPr>
              <w:pStyle w:val="BodyText1"/>
              <w:spacing w:after="40" w:line="240" w:lineRule="auto"/>
              <w:rPr>
                <w:rFonts w:ascii="Times New Roman" w:hAnsi="Times New Roman"/>
                <w:b w:val="0"/>
                <w:bCs w:val="0"/>
                <w:sz w:val="20"/>
                <w:szCs w:val="20"/>
              </w:rPr>
            </w:pPr>
            <w:r w:rsidRPr="007A74F4">
              <w:rPr>
                <w:rFonts w:ascii="Times New Roman" w:hAnsi="Times New Roman"/>
                <w:b w:val="0"/>
                <w:bCs w:val="0"/>
                <w:caps w:val="0"/>
                <w:sz w:val="20"/>
                <w:szCs w:val="20"/>
              </w:rPr>
              <w:t xml:space="preserve">Round 1: Addressing the inconsistencies between jurisdictions and achieving national consistency was a recurring theme throughout submissions and across the key issues canvassed. Reviewing the principles was a recommended approach where an approach was discussed. </w:t>
            </w:r>
          </w:p>
        </w:tc>
        <w:tc>
          <w:tcPr>
            <w:tcW w:w="4480" w:type="dxa"/>
          </w:tcPr>
          <w:p w14:paraId="00434020" w14:textId="77777777" w:rsidR="00972A23" w:rsidRPr="007A74F4" w:rsidRDefault="00972A23" w:rsidP="005C2A0C">
            <w:pPr>
              <w:pStyle w:val="BodyText1"/>
              <w:spacing w:after="4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7A74F4">
              <w:rPr>
                <w:rFonts w:ascii="Times New Roman" w:hAnsi="Times New Roman"/>
                <w:sz w:val="20"/>
                <w:szCs w:val="20"/>
              </w:rPr>
              <w:t>This feedback was noted and has shaped the decision to continue working on achieving consistent menu labelling schemes. Options 2 and 3 are the result of reviewing the Principles.</w:t>
            </w:r>
          </w:p>
        </w:tc>
      </w:tr>
      <w:tr w:rsidR="00972A23" w:rsidRPr="00E67A4C" w14:paraId="434FDEB7" w14:textId="77777777" w:rsidTr="005C2A0C">
        <w:tc>
          <w:tcPr>
            <w:cnfStyle w:val="001000000000" w:firstRow="0" w:lastRow="0" w:firstColumn="1" w:lastColumn="0" w:oddVBand="0" w:evenVBand="0" w:oddHBand="0" w:evenHBand="0" w:firstRowFirstColumn="0" w:firstRowLastColumn="0" w:lastRowFirstColumn="0" w:lastRowLastColumn="0"/>
            <w:tcW w:w="4479" w:type="dxa"/>
          </w:tcPr>
          <w:p w14:paraId="258F4BE5" w14:textId="77777777" w:rsidR="00972A23" w:rsidRPr="007A74F4" w:rsidRDefault="00972A23" w:rsidP="005C2A0C">
            <w:pPr>
              <w:pStyle w:val="BodyText1"/>
              <w:spacing w:after="40" w:line="240" w:lineRule="auto"/>
              <w:rPr>
                <w:rFonts w:ascii="Times New Roman" w:hAnsi="Times New Roman"/>
                <w:b w:val="0"/>
                <w:bCs w:val="0"/>
                <w:sz w:val="20"/>
                <w:szCs w:val="20"/>
              </w:rPr>
            </w:pPr>
            <w:r w:rsidRPr="007A74F4">
              <w:rPr>
                <w:rFonts w:ascii="Times New Roman" w:hAnsi="Times New Roman"/>
                <w:b w:val="0"/>
                <w:bCs w:val="0"/>
                <w:caps w:val="0"/>
                <w:sz w:val="20"/>
                <w:szCs w:val="20"/>
              </w:rPr>
              <w:t>Round 1: There was support among industry, public health, and government stakeholders that menu labelling be based on the type of food sold, not the type of business that sells it. These stakeholders supported the removal of exemptions for cinemas, convenience stores, service stations, dine-in restaurants, and mobile vendors.</w:t>
            </w:r>
          </w:p>
          <w:p w14:paraId="055F58A7" w14:textId="77777777" w:rsidR="00972A23" w:rsidRPr="007A74F4" w:rsidRDefault="00972A23" w:rsidP="005C2A0C">
            <w:pPr>
              <w:pStyle w:val="BodyText1"/>
              <w:spacing w:after="40" w:line="240" w:lineRule="auto"/>
              <w:rPr>
                <w:rFonts w:ascii="Times New Roman" w:hAnsi="Times New Roman"/>
                <w:b w:val="0"/>
                <w:bCs w:val="0"/>
                <w:sz w:val="20"/>
                <w:szCs w:val="20"/>
              </w:rPr>
            </w:pPr>
            <w:r w:rsidRPr="007A74F4">
              <w:rPr>
                <w:rFonts w:ascii="Times New Roman" w:hAnsi="Times New Roman"/>
                <w:b w:val="0"/>
                <w:bCs w:val="0"/>
                <w:caps w:val="0"/>
                <w:sz w:val="20"/>
                <w:szCs w:val="20"/>
              </w:rPr>
              <w:t>Round 2:</w:t>
            </w:r>
            <w:r w:rsidRPr="007A74F4">
              <w:rPr>
                <w:rFonts w:ascii="Times New Roman" w:hAnsi="Times New Roman"/>
                <w:b w:val="0"/>
                <w:bCs w:val="0"/>
                <w:sz w:val="20"/>
                <w:szCs w:val="20"/>
              </w:rPr>
              <w:t xml:space="preserve"> S</w:t>
            </w:r>
            <w:r w:rsidRPr="007A74F4">
              <w:rPr>
                <w:rFonts w:ascii="Times New Roman" w:hAnsi="Times New Roman"/>
                <w:b w:val="0"/>
                <w:bCs w:val="0"/>
                <w:caps w:val="0"/>
                <w:sz w:val="20"/>
                <w:szCs w:val="20"/>
              </w:rPr>
              <w:t xml:space="preserve">tandard food outlets should include convenience stores and cinemas. </w:t>
            </w:r>
          </w:p>
        </w:tc>
        <w:tc>
          <w:tcPr>
            <w:tcW w:w="4480" w:type="dxa"/>
          </w:tcPr>
          <w:p w14:paraId="35D8A495" w14:textId="77777777" w:rsidR="00972A23" w:rsidRPr="007A74F4" w:rsidRDefault="00972A23" w:rsidP="005C2A0C">
            <w:pPr>
              <w:spacing w:after="40"/>
              <w:cnfStyle w:val="000000000000" w:firstRow="0" w:lastRow="0" w:firstColumn="0" w:lastColumn="0" w:oddVBand="0" w:evenVBand="0" w:oddHBand="0" w:evenHBand="0" w:firstRowFirstColumn="0" w:firstRowLastColumn="0" w:lastRowFirstColumn="0" w:lastRowLastColumn="0"/>
              <w:rPr>
                <w:sz w:val="20"/>
                <w:szCs w:val="20"/>
              </w:rPr>
            </w:pPr>
            <w:r w:rsidRPr="007A74F4">
              <w:rPr>
                <w:sz w:val="20"/>
                <w:szCs w:val="20"/>
              </w:rPr>
              <w:t>Options 2 and 3 include a change to the definition of a standard food outlet and the inclusion of the policy principle focused on business equity across standard food outlets. This results in menu labelling being food-based rather than business-based.</w:t>
            </w:r>
          </w:p>
          <w:p w14:paraId="532EBE85" w14:textId="77777777" w:rsidR="00972A23" w:rsidRPr="007A74F4" w:rsidRDefault="00972A23" w:rsidP="005C2A0C">
            <w:pPr>
              <w:pStyle w:val="BodyText1"/>
              <w:spacing w:after="4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972A23" w:rsidRPr="00E67A4C" w14:paraId="23A4BF32" w14:textId="77777777" w:rsidTr="005C2A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9" w:type="dxa"/>
          </w:tcPr>
          <w:p w14:paraId="6A1FE99F" w14:textId="77777777" w:rsidR="00972A23" w:rsidRPr="007A74F4" w:rsidRDefault="00972A23" w:rsidP="005C2A0C">
            <w:pPr>
              <w:pStyle w:val="BodyText1"/>
              <w:spacing w:after="40" w:line="240" w:lineRule="auto"/>
              <w:rPr>
                <w:rFonts w:ascii="Times New Roman" w:hAnsi="Times New Roman"/>
                <w:b w:val="0"/>
                <w:bCs w:val="0"/>
                <w:sz w:val="20"/>
                <w:szCs w:val="20"/>
              </w:rPr>
            </w:pPr>
            <w:r w:rsidRPr="007A74F4">
              <w:rPr>
                <w:rFonts w:ascii="Times New Roman" w:hAnsi="Times New Roman"/>
                <w:b w:val="0"/>
                <w:bCs w:val="0"/>
                <w:caps w:val="0"/>
                <w:sz w:val="20"/>
                <w:szCs w:val="20"/>
              </w:rPr>
              <w:t xml:space="preserve">Round 1: There was a dissenting position from three industry stakeholders currently exempt from menu labelling, that the scope should not be broadened to capture convenience stores, restaurants, and cafés. </w:t>
            </w:r>
          </w:p>
        </w:tc>
        <w:tc>
          <w:tcPr>
            <w:tcW w:w="4480" w:type="dxa"/>
          </w:tcPr>
          <w:p w14:paraId="65525C1D" w14:textId="77777777" w:rsidR="00972A23" w:rsidRPr="007A74F4" w:rsidRDefault="00972A23" w:rsidP="005C2A0C">
            <w:pPr>
              <w:pStyle w:val="BodyText1"/>
              <w:spacing w:after="4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7A74F4">
              <w:rPr>
                <w:rFonts w:ascii="Times New Roman" w:hAnsi="Times New Roman"/>
                <w:sz w:val="20"/>
                <w:szCs w:val="20"/>
              </w:rPr>
              <w:t xml:space="preserve">This feedback was noted; however, there was significant support for nationally consistent treatment of all food businesses that meet the definition of a standard food outlet. The intent of Options 2 and 3 is that convenience stores, </w:t>
            </w:r>
            <w:r w:rsidRPr="007A74F4">
              <w:rPr>
                <w:rFonts w:ascii="Times New Roman" w:hAnsi="Times New Roman"/>
                <w:sz w:val="20"/>
                <w:szCs w:val="20"/>
              </w:rPr>
              <w:lastRenderedPageBreak/>
              <w:t xml:space="preserve">restaurants and cafes are captured if meet the definition of a standard food outlet. </w:t>
            </w:r>
          </w:p>
        </w:tc>
      </w:tr>
      <w:tr w:rsidR="00972A23" w:rsidRPr="00E67A4C" w14:paraId="51D08C4A" w14:textId="77777777" w:rsidTr="005C2A0C">
        <w:tc>
          <w:tcPr>
            <w:cnfStyle w:val="001000000000" w:firstRow="0" w:lastRow="0" w:firstColumn="1" w:lastColumn="0" w:oddVBand="0" w:evenVBand="0" w:oddHBand="0" w:evenHBand="0" w:firstRowFirstColumn="0" w:firstRowLastColumn="0" w:lastRowFirstColumn="0" w:lastRowLastColumn="0"/>
            <w:tcW w:w="4479" w:type="dxa"/>
          </w:tcPr>
          <w:p w14:paraId="0247A1E8" w14:textId="77777777" w:rsidR="00972A23" w:rsidRPr="007A74F4" w:rsidRDefault="00972A23" w:rsidP="005C2A0C">
            <w:pPr>
              <w:pStyle w:val="BodyText1"/>
              <w:spacing w:after="40" w:line="240" w:lineRule="auto"/>
              <w:rPr>
                <w:rFonts w:ascii="Times New Roman" w:hAnsi="Times New Roman"/>
                <w:b w:val="0"/>
                <w:bCs w:val="0"/>
                <w:sz w:val="20"/>
                <w:szCs w:val="20"/>
              </w:rPr>
            </w:pPr>
            <w:r w:rsidRPr="007A74F4">
              <w:rPr>
                <w:rFonts w:ascii="Times New Roman" w:hAnsi="Times New Roman"/>
                <w:b w:val="0"/>
                <w:bCs w:val="0"/>
                <w:caps w:val="0"/>
                <w:sz w:val="20"/>
                <w:szCs w:val="20"/>
              </w:rPr>
              <w:lastRenderedPageBreak/>
              <w:t xml:space="preserve">Round 1: Maintaining the national threshold of 50 or more outlets had overall support. </w:t>
            </w:r>
          </w:p>
        </w:tc>
        <w:tc>
          <w:tcPr>
            <w:tcW w:w="4480" w:type="dxa"/>
          </w:tcPr>
          <w:p w14:paraId="111AF25D" w14:textId="77777777" w:rsidR="00972A23" w:rsidRPr="007A74F4" w:rsidRDefault="00972A23" w:rsidP="005C2A0C">
            <w:pPr>
              <w:spacing w:after="40"/>
              <w:cnfStyle w:val="000000000000" w:firstRow="0" w:lastRow="0" w:firstColumn="0" w:lastColumn="0" w:oddVBand="0" w:evenVBand="0" w:oddHBand="0" w:evenHBand="0" w:firstRowFirstColumn="0" w:firstRowLastColumn="0" w:lastRowFirstColumn="0" w:lastRowLastColumn="0"/>
              <w:rPr>
                <w:sz w:val="20"/>
                <w:szCs w:val="20"/>
              </w:rPr>
            </w:pPr>
            <w:r w:rsidRPr="007A74F4">
              <w:rPr>
                <w:sz w:val="20"/>
                <w:szCs w:val="20"/>
              </w:rPr>
              <w:t xml:space="preserve">Options 2 and 3 specifies that a food business is a standard food outlet if meeting the Australian threshold of 50 or more outlets. </w:t>
            </w:r>
          </w:p>
        </w:tc>
      </w:tr>
      <w:tr w:rsidR="00972A23" w:rsidRPr="00E67A4C" w14:paraId="765ABE0E" w14:textId="77777777" w:rsidTr="005C2A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9" w:type="dxa"/>
          </w:tcPr>
          <w:p w14:paraId="48A2CDB2" w14:textId="77777777" w:rsidR="00972A23" w:rsidRPr="007A74F4" w:rsidRDefault="00972A23" w:rsidP="005C2A0C">
            <w:pPr>
              <w:pStyle w:val="BodyText1"/>
              <w:spacing w:after="40" w:line="240" w:lineRule="auto"/>
              <w:rPr>
                <w:rFonts w:ascii="Times New Roman" w:hAnsi="Times New Roman"/>
                <w:b w:val="0"/>
                <w:bCs w:val="0"/>
                <w:sz w:val="20"/>
                <w:szCs w:val="20"/>
              </w:rPr>
            </w:pPr>
            <w:r w:rsidRPr="007A74F4">
              <w:rPr>
                <w:rFonts w:ascii="Times New Roman" w:hAnsi="Times New Roman"/>
                <w:b w:val="0"/>
                <w:bCs w:val="0"/>
                <w:caps w:val="0"/>
                <w:sz w:val="20"/>
                <w:szCs w:val="20"/>
              </w:rPr>
              <w:t>Round 1: Lowering the threshold to 10 outlets within a state or territory was a commonly suggested approach to extending the reach of menu labelling.</w:t>
            </w:r>
          </w:p>
          <w:p w14:paraId="28BA0533" w14:textId="77777777" w:rsidR="00972A23" w:rsidRPr="007A74F4" w:rsidRDefault="00972A23" w:rsidP="005C2A0C">
            <w:pPr>
              <w:pStyle w:val="BodyText1"/>
              <w:spacing w:after="40" w:line="240" w:lineRule="auto"/>
              <w:rPr>
                <w:rFonts w:ascii="Times New Roman" w:hAnsi="Times New Roman"/>
                <w:b w:val="0"/>
                <w:bCs w:val="0"/>
                <w:sz w:val="20"/>
                <w:szCs w:val="20"/>
              </w:rPr>
            </w:pPr>
            <w:r w:rsidRPr="007A74F4">
              <w:rPr>
                <w:rFonts w:ascii="Times New Roman" w:hAnsi="Times New Roman"/>
                <w:b w:val="0"/>
                <w:bCs w:val="0"/>
                <w:caps w:val="0"/>
                <w:sz w:val="20"/>
                <w:szCs w:val="20"/>
              </w:rPr>
              <w:t>Round 2: Jurisdictions are encouraged to assess the appropriate state level threshold for outlet numbers; support businesses to comply as they approach the threshold; and ensure new businesses are given a transition period.</w:t>
            </w:r>
          </w:p>
        </w:tc>
        <w:tc>
          <w:tcPr>
            <w:tcW w:w="4480" w:type="dxa"/>
          </w:tcPr>
          <w:p w14:paraId="03663FB6" w14:textId="77777777" w:rsidR="00972A23" w:rsidRPr="007A74F4" w:rsidRDefault="00972A23" w:rsidP="005C2A0C">
            <w:pPr>
              <w:spacing w:after="40"/>
              <w:cnfStyle w:val="000000100000" w:firstRow="0" w:lastRow="0" w:firstColumn="0" w:lastColumn="0" w:oddVBand="0" w:evenVBand="0" w:oddHBand="1" w:evenHBand="0" w:firstRowFirstColumn="0" w:firstRowLastColumn="0" w:lastRowFirstColumn="0" w:lastRowLastColumn="0"/>
              <w:rPr>
                <w:sz w:val="20"/>
                <w:szCs w:val="20"/>
              </w:rPr>
            </w:pPr>
            <w:r w:rsidRPr="007A74F4">
              <w:rPr>
                <w:sz w:val="20"/>
                <w:szCs w:val="20"/>
              </w:rPr>
              <w:t xml:space="preserve">This feedback was noted. </w:t>
            </w:r>
          </w:p>
          <w:p w14:paraId="04A6D5DA" w14:textId="77777777" w:rsidR="00972A23" w:rsidRPr="00197343" w:rsidRDefault="00972A23" w:rsidP="005C2A0C">
            <w:pPr>
              <w:spacing w:after="40"/>
              <w:cnfStyle w:val="000000100000" w:firstRow="0" w:lastRow="0" w:firstColumn="0" w:lastColumn="0" w:oddVBand="0" w:evenVBand="0" w:oddHBand="1" w:evenHBand="0" w:firstRowFirstColumn="0" w:firstRowLastColumn="0" w:lastRowFirstColumn="0" w:lastRowLastColumn="0"/>
              <w:rPr>
                <w:sz w:val="20"/>
                <w:szCs w:val="20"/>
              </w:rPr>
            </w:pPr>
            <w:r w:rsidRPr="007A74F4">
              <w:rPr>
                <w:sz w:val="20"/>
                <w:szCs w:val="20"/>
              </w:rPr>
              <w:t xml:space="preserve">In developing Options 2 and 3, jurisdictions considered appropriate thresholds. It was determined that the Australian State threshold of 20 or more outlets, or the Australian Territory threshold of 7 or </w:t>
            </w:r>
            <w:r w:rsidRPr="00197343">
              <w:rPr>
                <w:sz w:val="20"/>
                <w:szCs w:val="20"/>
              </w:rPr>
              <w:t>more outlets, be maintained.</w:t>
            </w:r>
          </w:p>
          <w:p w14:paraId="0F66D089" w14:textId="77777777" w:rsidR="00972A23" w:rsidRPr="007A74F4" w:rsidRDefault="00972A23" w:rsidP="005C2A0C">
            <w:pPr>
              <w:spacing w:after="40"/>
              <w:cnfStyle w:val="000000100000" w:firstRow="0" w:lastRow="0" w:firstColumn="0" w:lastColumn="0" w:oddVBand="0" w:evenVBand="0" w:oddHBand="1" w:evenHBand="0" w:firstRowFirstColumn="0" w:firstRowLastColumn="0" w:lastRowFirstColumn="0" w:lastRowLastColumn="0"/>
              <w:rPr>
                <w:sz w:val="20"/>
                <w:szCs w:val="20"/>
              </w:rPr>
            </w:pPr>
            <w:r w:rsidRPr="00197343">
              <w:rPr>
                <w:sz w:val="20"/>
                <w:szCs w:val="20"/>
              </w:rPr>
              <w:t>Support for businesses and transition period would be part of the implementation phase.</w:t>
            </w:r>
          </w:p>
        </w:tc>
      </w:tr>
      <w:tr w:rsidR="00972A23" w:rsidRPr="00E67A4C" w14:paraId="493807E3" w14:textId="77777777" w:rsidTr="005C2A0C">
        <w:tc>
          <w:tcPr>
            <w:cnfStyle w:val="001000000000" w:firstRow="0" w:lastRow="0" w:firstColumn="1" w:lastColumn="0" w:oddVBand="0" w:evenVBand="0" w:oddHBand="0" w:evenHBand="0" w:firstRowFirstColumn="0" w:firstRowLastColumn="0" w:lastRowFirstColumn="0" w:lastRowLastColumn="0"/>
            <w:tcW w:w="4479" w:type="dxa"/>
          </w:tcPr>
          <w:p w14:paraId="123A1853" w14:textId="77777777" w:rsidR="00972A23" w:rsidRPr="007A74F4" w:rsidRDefault="00972A23" w:rsidP="005C2A0C">
            <w:pPr>
              <w:pStyle w:val="BodyText1"/>
              <w:spacing w:after="40" w:line="240" w:lineRule="auto"/>
              <w:rPr>
                <w:rFonts w:ascii="Times New Roman" w:hAnsi="Times New Roman"/>
                <w:b w:val="0"/>
                <w:bCs w:val="0"/>
                <w:sz w:val="20"/>
                <w:szCs w:val="20"/>
              </w:rPr>
            </w:pPr>
            <w:r w:rsidRPr="007A74F4">
              <w:rPr>
                <w:rFonts w:ascii="Times New Roman" w:hAnsi="Times New Roman"/>
                <w:b w:val="0"/>
                <w:bCs w:val="0"/>
                <w:caps w:val="0"/>
                <w:sz w:val="20"/>
                <w:szCs w:val="20"/>
              </w:rPr>
              <w:t xml:space="preserve">Round 1: There was acknowledgment from industry that whilst larger businesses may have greater capacity to absorb the costs of implementing regulation, they should not be disadvantaged and constrained by regulation. </w:t>
            </w:r>
          </w:p>
        </w:tc>
        <w:tc>
          <w:tcPr>
            <w:tcW w:w="4480" w:type="dxa"/>
          </w:tcPr>
          <w:p w14:paraId="59C3D7BB" w14:textId="77777777" w:rsidR="00972A23" w:rsidRPr="007A74F4" w:rsidRDefault="00972A23" w:rsidP="005C2A0C">
            <w:pPr>
              <w:spacing w:after="40"/>
              <w:cnfStyle w:val="000000000000" w:firstRow="0" w:lastRow="0" w:firstColumn="0" w:lastColumn="0" w:oddVBand="0" w:evenVBand="0" w:oddHBand="0" w:evenHBand="0" w:firstRowFirstColumn="0" w:firstRowLastColumn="0" w:lastRowFirstColumn="0" w:lastRowLastColumn="0"/>
              <w:rPr>
                <w:sz w:val="20"/>
                <w:szCs w:val="20"/>
              </w:rPr>
            </w:pPr>
            <w:r w:rsidRPr="007A74F4">
              <w:rPr>
                <w:sz w:val="20"/>
                <w:szCs w:val="20"/>
              </w:rPr>
              <w:t xml:space="preserve">Options 2 and 3 include the principle that “Menu labelling should promote equity for regulatory requirements across standard food outlets”. </w:t>
            </w:r>
          </w:p>
        </w:tc>
      </w:tr>
      <w:tr w:rsidR="00972A23" w:rsidRPr="00E67A4C" w14:paraId="3A8CA4F4" w14:textId="77777777" w:rsidTr="005C2A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9" w:type="dxa"/>
          </w:tcPr>
          <w:p w14:paraId="059358F9" w14:textId="77777777" w:rsidR="00972A23" w:rsidRPr="007A74F4" w:rsidRDefault="00972A23" w:rsidP="005C2A0C">
            <w:pPr>
              <w:pStyle w:val="BodyText1"/>
              <w:spacing w:after="40" w:line="240" w:lineRule="auto"/>
              <w:rPr>
                <w:rFonts w:ascii="Times New Roman" w:hAnsi="Times New Roman"/>
                <w:b w:val="0"/>
                <w:bCs w:val="0"/>
                <w:sz w:val="20"/>
                <w:szCs w:val="20"/>
              </w:rPr>
            </w:pPr>
            <w:r w:rsidRPr="007A74F4">
              <w:rPr>
                <w:rFonts w:ascii="Times New Roman" w:hAnsi="Times New Roman"/>
                <w:b w:val="0"/>
                <w:bCs w:val="0"/>
                <w:caps w:val="0"/>
                <w:sz w:val="20"/>
                <w:szCs w:val="20"/>
              </w:rPr>
              <w:t xml:space="preserve">Round 1: There was a request from industry to consider the realities of franchise/group business models in that many are operated as small businesses despite being part of a chain. </w:t>
            </w:r>
          </w:p>
        </w:tc>
        <w:tc>
          <w:tcPr>
            <w:tcW w:w="4480" w:type="dxa"/>
          </w:tcPr>
          <w:p w14:paraId="00C90334" w14:textId="77777777" w:rsidR="00972A23" w:rsidRPr="007A74F4" w:rsidRDefault="00972A23" w:rsidP="005C2A0C">
            <w:pPr>
              <w:spacing w:after="40"/>
              <w:cnfStyle w:val="000000100000" w:firstRow="0" w:lastRow="0" w:firstColumn="0" w:lastColumn="0" w:oddVBand="0" w:evenVBand="0" w:oddHBand="1" w:evenHBand="0" w:firstRowFirstColumn="0" w:firstRowLastColumn="0" w:lastRowFirstColumn="0" w:lastRowLastColumn="0"/>
              <w:rPr>
                <w:sz w:val="20"/>
                <w:szCs w:val="20"/>
              </w:rPr>
            </w:pPr>
            <w:r w:rsidRPr="00197343">
              <w:rPr>
                <w:sz w:val="20"/>
                <w:szCs w:val="20"/>
              </w:rPr>
              <w:t>This finding was noted. Any additional support for businesses to implement menu labelling would be considered during the implementation phase.</w:t>
            </w:r>
          </w:p>
        </w:tc>
      </w:tr>
      <w:tr w:rsidR="00972A23" w:rsidRPr="00E67A4C" w14:paraId="03D08CD4" w14:textId="77777777" w:rsidTr="005C2A0C">
        <w:tc>
          <w:tcPr>
            <w:cnfStyle w:val="001000000000" w:firstRow="0" w:lastRow="0" w:firstColumn="1" w:lastColumn="0" w:oddVBand="0" w:evenVBand="0" w:oddHBand="0" w:evenHBand="0" w:firstRowFirstColumn="0" w:firstRowLastColumn="0" w:lastRowFirstColumn="0" w:lastRowLastColumn="0"/>
            <w:tcW w:w="4479" w:type="dxa"/>
          </w:tcPr>
          <w:p w14:paraId="40A0EDEC" w14:textId="77777777" w:rsidR="00972A23" w:rsidRPr="007A74F4" w:rsidRDefault="00972A23" w:rsidP="005C2A0C">
            <w:pPr>
              <w:pStyle w:val="BodyText1"/>
              <w:spacing w:after="40" w:line="240" w:lineRule="auto"/>
              <w:rPr>
                <w:rFonts w:ascii="Times New Roman" w:hAnsi="Times New Roman"/>
                <w:b w:val="0"/>
                <w:bCs w:val="0"/>
                <w:sz w:val="20"/>
                <w:szCs w:val="20"/>
              </w:rPr>
            </w:pPr>
            <w:r w:rsidRPr="007A74F4">
              <w:rPr>
                <w:rFonts w:ascii="Times New Roman" w:hAnsi="Times New Roman"/>
                <w:b w:val="0"/>
                <w:bCs w:val="0"/>
                <w:caps w:val="0"/>
                <w:sz w:val="20"/>
                <w:szCs w:val="20"/>
              </w:rPr>
              <w:t xml:space="preserve">Round 1: There was a consistent call for national consistency in prescribing voluntary display requirements. </w:t>
            </w:r>
          </w:p>
        </w:tc>
        <w:tc>
          <w:tcPr>
            <w:tcW w:w="4480" w:type="dxa"/>
          </w:tcPr>
          <w:p w14:paraId="78D44E66" w14:textId="77777777" w:rsidR="00972A23" w:rsidRPr="007A74F4" w:rsidRDefault="00972A23" w:rsidP="005C2A0C">
            <w:pPr>
              <w:pStyle w:val="BodyText1"/>
              <w:spacing w:after="4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7A74F4">
              <w:rPr>
                <w:rFonts w:ascii="Times New Roman" w:hAnsi="Times New Roman"/>
                <w:sz w:val="20"/>
                <w:szCs w:val="20"/>
              </w:rPr>
              <w:t>Options 2 and 3 include the principle: “Enable other businesses to voluntarily display energy information in a manner consistent with the requirements for standard food outlets”.</w:t>
            </w:r>
          </w:p>
        </w:tc>
      </w:tr>
      <w:tr w:rsidR="00972A23" w:rsidRPr="00E67A4C" w14:paraId="0FAF495D" w14:textId="77777777" w:rsidTr="005C2A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9" w:type="dxa"/>
          </w:tcPr>
          <w:p w14:paraId="72B75889" w14:textId="77777777" w:rsidR="00972A23" w:rsidRPr="007A74F4" w:rsidRDefault="00972A23" w:rsidP="005C2A0C">
            <w:pPr>
              <w:pStyle w:val="BodyText1"/>
              <w:spacing w:after="40" w:line="240" w:lineRule="auto"/>
              <w:rPr>
                <w:rFonts w:ascii="Times New Roman" w:hAnsi="Times New Roman"/>
                <w:b w:val="0"/>
                <w:bCs w:val="0"/>
                <w:sz w:val="20"/>
                <w:szCs w:val="20"/>
              </w:rPr>
            </w:pPr>
            <w:r w:rsidRPr="007A74F4">
              <w:rPr>
                <w:rFonts w:ascii="Times New Roman" w:hAnsi="Times New Roman"/>
                <w:b w:val="0"/>
                <w:bCs w:val="0"/>
                <w:caps w:val="0"/>
                <w:sz w:val="20"/>
                <w:szCs w:val="20"/>
              </w:rPr>
              <w:t>Round 1: Public health organisations called for tighter regulation to ensure</w:t>
            </w:r>
            <w:r w:rsidRPr="007A74F4">
              <w:rPr>
                <w:rFonts w:ascii="Times New Roman" w:hAnsi="Times New Roman"/>
                <w:b w:val="0"/>
                <w:bCs w:val="0"/>
                <w:sz w:val="20"/>
                <w:szCs w:val="20"/>
              </w:rPr>
              <w:t xml:space="preserve"> </w:t>
            </w:r>
            <w:r w:rsidRPr="007A74F4">
              <w:rPr>
                <w:rFonts w:ascii="Times New Roman" w:hAnsi="Times New Roman"/>
                <w:b w:val="0"/>
                <w:bCs w:val="0"/>
                <w:caps w:val="0"/>
                <w:sz w:val="20"/>
                <w:szCs w:val="20"/>
              </w:rPr>
              <w:t xml:space="preserve">energy information is legible, while industry called for less prescriptive legibility requirements. Industry agreed legibility is important, but regulations should not stifle creativity in menu board design. There was industry support for a co-creation approach to ensure the intent is met but some flexibility is built in. </w:t>
            </w:r>
          </w:p>
          <w:p w14:paraId="7ECC7075" w14:textId="77777777" w:rsidR="00972A23" w:rsidRPr="007A74F4" w:rsidRDefault="00972A23" w:rsidP="005C2A0C">
            <w:pPr>
              <w:pStyle w:val="BodyText1"/>
              <w:spacing w:after="40" w:line="240" w:lineRule="auto"/>
              <w:rPr>
                <w:rFonts w:ascii="Times New Roman" w:hAnsi="Times New Roman"/>
                <w:b w:val="0"/>
                <w:bCs w:val="0"/>
                <w:sz w:val="20"/>
                <w:szCs w:val="20"/>
              </w:rPr>
            </w:pPr>
            <w:r w:rsidRPr="007A74F4">
              <w:rPr>
                <w:rFonts w:ascii="Times New Roman" w:hAnsi="Times New Roman"/>
                <w:b w:val="0"/>
                <w:bCs w:val="0"/>
                <w:caps w:val="0"/>
                <w:sz w:val="20"/>
                <w:szCs w:val="20"/>
              </w:rPr>
              <w:t>Round 2: a set of legibility principles and a style guide outlining how the principles could be achieved for different forms of menu labelling.</w:t>
            </w:r>
          </w:p>
        </w:tc>
        <w:tc>
          <w:tcPr>
            <w:tcW w:w="4480" w:type="dxa"/>
          </w:tcPr>
          <w:p w14:paraId="04033FE7" w14:textId="77777777" w:rsidR="00972A23" w:rsidRPr="007A74F4" w:rsidRDefault="00972A23" w:rsidP="005C2A0C">
            <w:pPr>
              <w:pStyle w:val="BodyText1"/>
              <w:spacing w:after="4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7A74F4">
              <w:rPr>
                <w:rFonts w:ascii="Times New Roman" w:hAnsi="Times New Roman"/>
                <w:sz w:val="20"/>
                <w:szCs w:val="20"/>
              </w:rPr>
              <w:t xml:space="preserve">The round 1 feedback was further considered by the Legibility Working Group (round two consultation). Options 2 and 3 include the principle: “Menu labelling should facilitate the utility of energy information by consumers, by ensuring that energy information is available, clear, legible, and easy-to-read and interpret at-a-glance”. </w:t>
            </w:r>
          </w:p>
          <w:p w14:paraId="0BB73D17" w14:textId="77777777" w:rsidR="00972A23" w:rsidRPr="007A74F4" w:rsidRDefault="00972A23" w:rsidP="005C2A0C">
            <w:pPr>
              <w:pStyle w:val="BodyText1"/>
              <w:spacing w:after="4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7A74F4">
              <w:rPr>
                <w:rFonts w:ascii="Times New Roman" w:hAnsi="Times New Roman"/>
                <w:sz w:val="20"/>
                <w:szCs w:val="20"/>
              </w:rPr>
              <w:t>Achieving this policy principle would be considered during the development of a food regulatory measure. It is intended that the outcomes from the legibility working group and all consultation outcomes would be provided to FSANZ or governments.</w:t>
            </w:r>
          </w:p>
        </w:tc>
      </w:tr>
      <w:tr w:rsidR="00972A23" w:rsidRPr="00E67A4C" w14:paraId="506DF3A8" w14:textId="77777777" w:rsidTr="005C2A0C">
        <w:tc>
          <w:tcPr>
            <w:cnfStyle w:val="001000000000" w:firstRow="0" w:lastRow="0" w:firstColumn="1" w:lastColumn="0" w:oddVBand="0" w:evenVBand="0" w:oddHBand="0" w:evenHBand="0" w:firstRowFirstColumn="0" w:firstRowLastColumn="0" w:lastRowFirstColumn="0" w:lastRowLastColumn="0"/>
            <w:tcW w:w="4479" w:type="dxa"/>
          </w:tcPr>
          <w:p w14:paraId="529E3C7E" w14:textId="77777777" w:rsidR="00972A23" w:rsidRPr="007A74F4" w:rsidRDefault="00972A23" w:rsidP="005C2A0C">
            <w:pPr>
              <w:pStyle w:val="BodyText1"/>
              <w:spacing w:after="40" w:line="240" w:lineRule="auto"/>
              <w:rPr>
                <w:rFonts w:ascii="Times New Roman" w:hAnsi="Times New Roman"/>
                <w:b w:val="0"/>
                <w:bCs w:val="0"/>
                <w:sz w:val="20"/>
                <w:szCs w:val="20"/>
              </w:rPr>
            </w:pPr>
            <w:r w:rsidRPr="007A74F4">
              <w:rPr>
                <w:rFonts w:ascii="Times New Roman" w:hAnsi="Times New Roman"/>
                <w:b w:val="0"/>
                <w:bCs w:val="0"/>
                <w:caps w:val="0"/>
                <w:sz w:val="20"/>
                <w:szCs w:val="20"/>
              </w:rPr>
              <w:t xml:space="preserve">Round 1: most stakeholders recognised the importance of customer access to energy information for customised menu items but noted it is only possible using an </w:t>
            </w:r>
            <w:r>
              <w:rPr>
                <w:rFonts w:ascii="Times New Roman" w:hAnsi="Times New Roman"/>
                <w:b w:val="0"/>
                <w:bCs w:val="0"/>
                <w:caps w:val="0"/>
                <w:sz w:val="20"/>
                <w:szCs w:val="20"/>
              </w:rPr>
              <w:t>IT</w:t>
            </w:r>
            <w:r w:rsidRPr="007A74F4">
              <w:rPr>
                <w:rFonts w:ascii="Times New Roman" w:hAnsi="Times New Roman"/>
                <w:b w:val="0"/>
                <w:bCs w:val="0"/>
                <w:caps w:val="0"/>
                <w:sz w:val="20"/>
                <w:szCs w:val="20"/>
              </w:rPr>
              <w:t xml:space="preserve"> solution which is currently not widely in use (due to cost). Thus, industry stakeholders believed this information should be provided online; public health and government stakeholders wanted to see this information at the point-of-sale (i.e. In-store and online). </w:t>
            </w:r>
          </w:p>
        </w:tc>
        <w:tc>
          <w:tcPr>
            <w:tcW w:w="4480" w:type="dxa"/>
          </w:tcPr>
          <w:p w14:paraId="1B838119" w14:textId="77777777" w:rsidR="00972A23" w:rsidRPr="007A74F4" w:rsidRDefault="00972A23" w:rsidP="005C2A0C">
            <w:pPr>
              <w:spacing w:after="40"/>
              <w:cnfStyle w:val="000000000000" w:firstRow="0" w:lastRow="0" w:firstColumn="0" w:lastColumn="0" w:oddVBand="0" w:evenVBand="0" w:oddHBand="0" w:evenHBand="0" w:firstRowFirstColumn="0" w:firstRowLastColumn="0" w:lastRowFirstColumn="0" w:lastRowLastColumn="0"/>
              <w:rPr>
                <w:sz w:val="20"/>
                <w:szCs w:val="20"/>
              </w:rPr>
            </w:pPr>
            <w:r w:rsidRPr="007A74F4">
              <w:rPr>
                <w:sz w:val="20"/>
                <w:szCs w:val="20"/>
              </w:rPr>
              <w:t xml:space="preserve">Options 2 and 3 include the principle: “Menu labelling should enable consumers to access energy information for menu items that can be customised with standardised ingredients”. </w:t>
            </w:r>
          </w:p>
          <w:p w14:paraId="1EFC4EF6" w14:textId="77777777" w:rsidR="00972A23" w:rsidRPr="007A74F4" w:rsidRDefault="00972A23" w:rsidP="005C2A0C">
            <w:pPr>
              <w:spacing w:after="40"/>
              <w:cnfStyle w:val="000000000000" w:firstRow="0" w:lastRow="0" w:firstColumn="0" w:lastColumn="0" w:oddVBand="0" w:evenVBand="0" w:oddHBand="0" w:evenHBand="0" w:firstRowFirstColumn="0" w:firstRowLastColumn="0" w:lastRowFirstColumn="0" w:lastRowLastColumn="0"/>
              <w:rPr>
                <w:sz w:val="20"/>
                <w:szCs w:val="20"/>
              </w:rPr>
            </w:pPr>
            <w:r w:rsidRPr="007A74F4">
              <w:rPr>
                <w:sz w:val="20"/>
                <w:szCs w:val="20"/>
              </w:rPr>
              <w:t xml:space="preserve">The decision about whether energy information for customised menu items and/or standardised ingredients is displayed at all points of sale, or only online would be made during the development of any food regulatory measure. </w:t>
            </w:r>
          </w:p>
        </w:tc>
      </w:tr>
      <w:tr w:rsidR="00972A23" w:rsidRPr="00E67A4C" w14:paraId="765E8923" w14:textId="77777777" w:rsidTr="005C2A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9" w:type="dxa"/>
          </w:tcPr>
          <w:p w14:paraId="25294807" w14:textId="77777777" w:rsidR="00972A23" w:rsidRPr="007A74F4" w:rsidRDefault="00972A23" w:rsidP="005C2A0C">
            <w:pPr>
              <w:pStyle w:val="BodyText1"/>
              <w:spacing w:after="40" w:line="240" w:lineRule="auto"/>
              <w:rPr>
                <w:rFonts w:ascii="Times New Roman" w:hAnsi="Times New Roman"/>
                <w:b w:val="0"/>
                <w:bCs w:val="0"/>
                <w:sz w:val="20"/>
                <w:szCs w:val="20"/>
              </w:rPr>
            </w:pPr>
            <w:r w:rsidRPr="007A74F4">
              <w:rPr>
                <w:rFonts w:ascii="Times New Roman" w:hAnsi="Times New Roman"/>
                <w:b w:val="0"/>
                <w:bCs w:val="0"/>
                <w:caps w:val="0"/>
                <w:sz w:val="20"/>
                <w:szCs w:val="20"/>
              </w:rPr>
              <w:t xml:space="preserve">Round 1: there was consistent support for rolling menu boards to comply with menu labelling requirements, with adoption of Queensland’s simultaneous display provisions proposed by public health organisations as one way to address this. </w:t>
            </w:r>
          </w:p>
          <w:p w14:paraId="3BBCFFC6" w14:textId="77777777" w:rsidR="00972A23" w:rsidRPr="007A74F4" w:rsidRDefault="00972A23" w:rsidP="005C2A0C">
            <w:pPr>
              <w:pStyle w:val="BodyText1"/>
              <w:spacing w:after="40" w:line="240" w:lineRule="auto"/>
              <w:rPr>
                <w:rFonts w:ascii="Times New Roman" w:hAnsi="Times New Roman"/>
                <w:b w:val="0"/>
                <w:bCs w:val="0"/>
                <w:sz w:val="20"/>
                <w:szCs w:val="20"/>
              </w:rPr>
            </w:pPr>
            <w:r w:rsidRPr="007A74F4">
              <w:rPr>
                <w:rFonts w:ascii="Times New Roman" w:hAnsi="Times New Roman"/>
                <w:b w:val="0"/>
                <w:bCs w:val="0"/>
                <w:caps w:val="0"/>
                <w:sz w:val="20"/>
                <w:szCs w:val="20"/>
              </w:rPr>
              <w:t xml:space="preserve">Round 2: for online menus and digital panel menus: kilojoules should be displayed with an item whenever it is displayed on a menu; kilojoules should be easy to compare at the point of sale; and businesses should be encouraged to enable comparison (e.g. Across categories, between </w:t>
            </w:r>
            <w:r w:rsidRPr="007A74F4">
              <w:rPr>
                <w:rFonts w:ascii="Times New Roman" w:hAnsi="Times New Roman"/>
                <w:b w:val="0"/>
                <w:bCs w:val="0"/>
                <w:caps w:val="0"/>
                <w:sz w:val="20"/>
                <w:szCs w:val="20"/>
              </w:rPr>
              <w:lastRenderedPageBreak/>
              <w:t>categories, sizes) through user guides with examples and options of how to compare items.</w:t>
            </w:r>
          </w:p>
        </w:tc>
        <w:tc>
          <w:tcPr>
            <w:tcW w:w="4480" w:type="dxa"/>
          </w:tcPr>
          <w:p w14:paraId="5CAD107E" w14:textId="77777777" w:rsidR="00972A23" w:rsidRPr="007A74F4" w:rsidRDefault="00972A23" w:rsidP="005C2A0C">
            <w:pPr>
              <w:spacing w:after="40"/>
              <w:cnfStyle w:val="000000100000" w:firstRow="0" w:lastRow="0" w:firstColumn="0" w:lastColumn="0" w:oddVBand="0" w:evenVBand="0" w:oddHBand="1" w:evenHBand="0" w:firstRowFirstColumn="0" w:firstRowLastColumn="0" w:lastRowFirstColumn="0" w:lastRowLastColumn="0"/>
              <w:rPr>
                <w:sz w:val="20"/>
                <w:szCs w:val="20"/>
              </w:rPr>
            </w:pPr>
            <w:r w:rsidRPr="007A74F4">
              <w:rPr>
                <w:sz w:val="20"/>
                <w:szCs w:val="20"/>
              </w:rPr>
              <w:lastRenderedPageBreak/>
              <w:t>Options 2 and 3 include the principle: “Menu labelling should provide consumers of the energy content of all standard food items, combination meals and multi-serve items shown on menus and at points-of-sale; and for dietary context, provide the average daily energy intake at the point-of-sale”. The definition of menu was expanded to specify digital menu panels, business websites and mobile applications; and a new definition of point-of-sale has been developed which includes all places where customers order and purchase ready-to-eat food.</w:t>
            </w:r>
          </w:p>
        </w:tc>
      </w:tr>
      <w:tr w:rsidR="00972A23" w:rsidRPr="00E67A4C" w14:paraId="4BA80CBA" w14:textId="77777777" w:rsidTr="005C2A0C">
        <w:tc>
          <w:tcPr>
            <w:cnfStyle w:val="001000000000" w:firstRow="0" w:lastRow="0" w:firstColumn="1" w:lastColumn="0" w:oddVBand="0" w:evenVBand="0" w:oddHBand="0" w:evenHBand="0" w:firstRowFirstColumn="0" w:firstRowLastColumn="0" w:lastRowFirstColumn="0" w:lastRowLastColumn="0"/>
            <w:tcW w:w="4479" w:type="dxa"/>
          </w:tcPr>
          <w:p w14:paraId="23BFFBFA" w14:textId="77777777" w:rsidR="00972A23" w:rsidRPr="007A74F4" w:rsidRDefault="00972A23" w:rsidP="005C2A0C">
            <w:pPr>
              <w:pStyle w:val="BodyText1"/>
              <w:spacing w:after="40" w:line="240" w:lineRule="auto"/>
              <w:rPr>
                <w:rFonts w:ascii="Times New Roman" w:hAnsi="Times New Roman"/>
                <w:b w:val="0"/>
                <w:bCs w:val="0"/>
                <w:sz w:val="20"/>
                <w:szCs w:val="20"/>
              </w:rPr>
            </w:pPr>
            <w:r w:rsidRPr="007A74F4">
              <w:rPr>
                <w:rFonts w:ascii="Times New Roman" w:hAnsi="Times New Roman"/>
                <w:b w:val="0"/>
                <w:bCs w:val="0"/>
                <w:caps w:val="0"/>
                <w:sz w:val="20"/>
                <w:szCs w:val="20"/>
              </w:rPr>
              <w:t>Round 1: public health, industry and government stakeholders supported energy information on third-party ordering platforms. The two approaches identified to achieve this were requiring chain businesses to provide the information to third-party delivery services, or alternatively capturing third-party delivery services in legislation. I.e. The responsibilities of the third-party agent need clarification.</w:t>
            </w:r>
          </w:p>
          <w:p w14:paraId="17326DD4" w14:textId="77777777" w:rsidR="00972A23" w:rsidRPr="007A74F4" w:rsidRDefault="00972A23" w:rsidP="005C2A0C">
            <w:pPr>
              <w:pStyle w:val="BodyText1"/>
              <w:spacing w:after="40" w:line="240" w:lineRule="auto"/>
              <w:rPr>
                <w:rFonts w:ascii="Times New Roman" w:hAnsi="Times New Roman"/>
                <w:b w:val="0"/>
                <w:bCs w:val="0"/>
                <w:sz w:val="20"/>
                <w:szCs w:val="20"/>
              </w:rPr>
            </w:pPr>
            <w:r w:rsidRPr="007A74F4">
              <w:rPr>
                <w:rFonts w:ascii="Times New Roman" w:hAnsi="Times New Roman"/>
                <w:b w:val="0"/>
                <w:bCs w:val="0"/>
                <w:caps w:val="0"/>
                <w:sz w:val="20"/>
                <w:szCs w:val="20"/>
              </w:rPr>
              <w:t xml:space="preserve">Round 2: the obligation of third-party platforms should only be to provide the capability to display the kilojoules and to not impede display of kilojoules; and the food business should be obligated to provide energy information to the third-party. </w:t>
            </w:r>
          </w:p>
          <w:p w14:paraId="04AC26DA" w14:textId="77777777" w:rsidR="00972A23" w:rsidRPr="007A74F4" w:rsidRDefault="00972A23" w:rsidP="005C2A0C">
            <w:pPr>
              <w:pStyle w:val="BodyText1"/>
              <w:spacing w:after="40" w:line="240" w:lineRule="auto"/>
              <w:rPr>
                <w:rFonts w:ascii="Times New Roman" w:hAnsi="Times New Roman"/>
                <w:b w:val="0"/>
                <w:bCs w:val="0"/>
                <w:sz w:val="20"/>
                <w:szCs w:val="20"/>
              </w:rPr>
            </w:pPr>
          </w:p>
          <w:p w14:paraId="5B5B1B96" w14:textId="77777777" w:rsidR="00972A23" w:rsidRPr="007A74F4" w:rsidRDefault="00972A23" w:rsidP="005C2A0C">
            <w:pPr>
              <w:pStyle w:val="BodyText1"/>
              <w:spacing w:after="40" w:line="240" w:lineRule="auto"/>
              <w:ind w:left="720"/>
              <w:rPr>
                <w:rFonts w:ascii="Times New Roman" w:hAnsi="Times New Roman"/>
                <w:b w:val="0"/>
                <w:bCs w:val="0"/>
                <w:sz w:val="20"/>
                <w:szCs w:val="20"/>
              </w:rPr>
            </w:pPr>
          </w:p>
        </w:tc>
        <w:tc>
          <w:tcPr>
            <w:tcW w:w="4480" w:type="dxa"/>
          </w:tcPr>
          <w:p w14:paraId="513E31A4" w14:textId="77777777" w:rsidR="00972A23" w:rsidRPr="007A74F4" w:rsidRDefault="00972A23" w:rsidP="005C2A0C">
            <w:pPr>
              <w:spacing w:after="40"/>
              <w:cnfStyle w:val="000000000000" w:firstRow="0" w:lastRow="0" w:firstColumn="0" w:lastColumn="0" w:oddVBand="0" w:evenVBand="0" w:oddHBand="0" w:evenHBand="0" w:firstRowFirstColumn="0" w:firstRowLastColumn="0" w:lastRowFirstColumn="0" w:lastRowLastColumn="0"/>
              <w:rPr>
                <w:sz w:val="20"/>
                <w:szCs w:val="20"/>
              </w:rPr>
            </w:pPr>
            <w:r w:rsidRPr="007A74F4">
              <w:rPr>
                <w:sz w:val="20"/>
                <w:szCs w:val="20"/>
              </w:rPr>
              <w:t>Options 2 and 3 include the principle: “Menu labelling should provide consumers of the energy content of all standard food items, combination meals and multi-serve items shown on menus and at points-of-sale; and for dietary context, provide the average daily energy intake at the point-of-sale”. The definition of menu was expanded to specify third-party food delivery platforms; and a new definition of point-of-sale has been developed which includes all electronic sales points where customers order and purchase ready-to-eat food.</w:t>
            </w:r>
          </w:p>
          <w:p w14:paraId="5A034CD9" w14:textId="77777777" w:rsidR="00972A23" w:rsidRPr="007A74F4" w:rsidRDefault="00972A23" w:rsidP="005C2A0C">
            <w:pPr>
              <w:spacing w:after="40"/>
              <w:cnfStyle w:val="000000000000" w:firstRow="0" w:lastRow="0" w:firstColumn="0" w:lastColumn="0" w:oddVBand="0" w:evenVBand="0" w:oddHBand="0" w:evenHBand="0" w:firstRowFirstColumn="0" w:firstRowLastColumn="0" w:lastRowFirstColumn="0" w:lastRowLastColumn="0"/>
              <w:rPr>
                <w:sz w:val="20"/>
                <w:szCs w:val="20"/>
              </w:rPr>
            </w:pPr>
            <w:r w:rsidRPr="007A74F4">
              <w:rPr>
                <w:sz w:val="20"/>
                <w:szCs w:val="20"/>
              </w:rPr>
              <w:t xml:space="preserve">The intent of the policy guidance is that regulatory requirements apply to standard food outlets, which are defined as food businesses selling standard food items at 50 or more outlets in Australia, or 20 or more outlets in an Australian State, or 7 or more outlets in an Australian Territory. Third-party food delivery platforms do not meet this definition and therefore it would be the responsibility of standard food outlets to provide the appropriate information to the third-party for display on its platform. </w:t>
            </w:r>
          </w:p>
        </w:tc>
      </w:tr>
      <w:tr w:rsidR="00972A23" w:rsidRPr="00E67A4C" w14:paraId="7925328F" w14:textId="77777777" w:rsidTr="005C2A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9" w:type="dxa"/>
          </w:tcPr>
          <w:p w14:paraId="08FD2AFE" w14:textId="77777777" w:rsidR="00972A23" w:rsidRPr="007A74F4" w:rsidRDefault="00972A23" w:rsidP="005C2A0C">
            <w:pPr>
              <w:pStyle w:val="BodyText1"/>
              <w:spacing w:after="40" w:line="240" w:lineRule="auto"/>
              <w:rPr>
                <w:rFonts w:ascii="Times New Roman" w:hAnsi="Times New Roman"/>
                <w:b w:val="0"/>
                <w:bCs w:val="0"/>
                <w:sz w:val="20"/>
                <w:szCs w:val="20"/>
              </w:rPr>
            </w:pPr>
            <w:r w:rsidRPr="007A74F4">
              <w:rPr>
                <w:rFonts w:ascii="Times New Roman" w:hAnsi="Times New Roman"/>
                <w:b w:val="0"/>
                <w:bCs w:val="0"/>
                <w:caps w:val="0"/>
                <w:sz w:val="20"/>
                <w:szCs w:val="20"/>
              </w:rPr>
              <w:t xml:space="preserve">Round 1: Most stakeholders recommended that energy information for combination meals should include all components, including pre-packaged products, with an emphasis in submissions on drinks. Clarity on which pre-packaged product should be the default for calculating total kilojoules was still lacking following the consultation. </w:t>
            </w:r>
          </w:p>
          <w:p w14:paraId="73670991" w14:textId="77777777" w:rsidR="00972A23" w:rsidRPr="007A74F4" w:rsidRDefault="00972A23" w:rsidP="005C2A0C">
            <w:pPr>
              <w:pStyle w:val="BodyText1"/>
              <w:spacing w:after="40" w:line="240" w:lineRule="auto"/>
              <w:rPr>
                <w:rFonts w:ascii="Times New Roman" w:hAnsi="Times New Roman"/>
                <w:b w:val="0"/>
                <w:bCs w:val="0"/>
                <w:sz w:val="20"/>
                <w:szCs w:val="20"/>
              </w:rPr>
            </w:pPr>
            <w:r w:rsidRPr="007A74F4">
              <w:rPr>
                <w:rFonts w:ascii="Times New Roman" w:hAnsi="Times New Roman"/>
                <w:b w:val="0"/>
                <w:bCs w:val="0"/>
                <w:caps w:val="0"/>
                <w:sz w:val="20"/>
                <w:szCs w:val="20"/>
              </w:rPr>
              <w:t xml:space="preserve">Round 2: Pre-packaged drinks to be included in the kilojoules displayed for combination meals. The default drink used to calculate the total kilojoules for the combination meal is the drink with the highest kilojoule content. </w:t>
            </w:r>
          </w:p>
        </w:tc>
        <w:tc>
          <w:tcPr>
            <w:tcW w:w="4480" w:type="dxa"/>
          </w:tcPr>
          <w:p w14:paraId="52E701D3" w14:textId="77777777" w:rsidR="00972A23" w:rsidRPr="007A74F4" w:rsidRDefault="00972A23" w:rsidP="005C2A0C">
            <w:pPr>
              <w:spacing w:after="40"/>
              <w:cnfStyle w:val="000000100000" w:firstRow="0" w:lastRow="0" w:firstColumn="0" w:lastColumn="0" w:oddVBand="0" w:evenVBand="0" w:oddHBand="1" w:evenHBand="0" w:firstRowFirstColumn="0" w:firstRowLastColumn="0" w:lastRowFirstColumn="0" w:lastRowLastColumn="0"/>
              <w:rPr>
                <w:sz w:val="20"/>
                <w:szCs w:val="20"/>
              </w:rPr>
            </w:pPr>
            <w:r w:rsidRPr="007A74F4">
              <w:rPr>
                <w:sz w:val="20"/>
                <w:szCs w:val="20"/>
              </w:rPr>
              <w:t xml:space="preserve">A definition of combination meals has been included in Options 2 and 3. The intent of the policy guidance is that the energy content displayed for combination meals includes all components of the meal, including pre-packaged drinks and other pre-packaged items.  </w:t>
            </w:r>
          </w:p>
          <w:p w14:paraId="033DE920" w14:textId="77777777" w:rsidR="00972A23" w:rsidRPr="007A74F4" w:rsidRDefault="00972A23" w:rsidP="005C2A0C">
            <w:pPr>
              <w:spacing w:after="40"/>
              <w:cnfStyle w:val="000000100000" w:firstRow="0" w:lastRow="0" w:firstColumn="0" w:lastColumn="0" w:oddVBand="0" w:evenVBand="0" w:oddHBand="1" w:evenHBand="0" w:firstRowFirstColumn="0" w:firstRowLastColumn="0" w:lastRowFirstColumn="0" w:lastRowLastColumn="0"/>
              <w:rPr>
                <w:sz w:val="20"/>
                <w:szCs w:val="20"/>
              </w:rPr>
            </w:pPr>
            <w:r w:rsidRPr="007A74F4">
              <w:rPr>
                <w:sz w:val="20"/>
                <w:szCs w:val="20"/>
              </w:rPr>
              <w:t xml:space="preserve">The policy guidance does not include the specific technical requirements which would need to be considered as part of the development of any food regulatory measure. In developing a regulatory measure, options for the default drink or other pre-packaged product would need to be considered. </w:t>
            </w:r>
          </w:p>
        </w:tc>
      </w:tr>
      <w:tr w:rsidR="00972A23" w:rsidRPr="00E67A4C" w14:paraId="31842F8A" w14:textId="77777777" w:rsidTr="005C2A0C">
        <w:tc>
          <w:tcPr>
            <w:cnfStyle w:val="001000000000" w:firstRow="0" w:lastRow="0" w:firstColumn="1" w:lastColumn="0" w:oddVBand="0" w:evenVBand="0" w:oddHBand="0" w:evenHBand="0" w:firstRowFirstColumn="0" w:firstRowLastColumn="0" w:lastRowFirstColumn="0" w:lastRowLastColumn="0"/>
            <w:tcW w:w="4479" w:type="dxa"/>
          </w:tcPr>
          <w:p w14:paraId="23119229" w14:textId="77777777" w:rsidR="00972A23" w:rsidRPr="007A74F4" w:rsidRDefault="00972A23" w:rsidP="005C2A0C">
            <w:pPr>
              <w:pStyle w:val="BodyText1"/>
              <w:spacing w:after="40" w:line="240" w:lineRule="auto"/>
              <w:rPr>
                <w:rFonts w:ascii="Times New Roman" w:hAnsi="Times New Roman"/>
                <w:b w:val="0"/>
                <w:bCs w:val="0"/>
                <w:sz w:val="20"/>
                <w:szCs w:val="20"/>
              </w:rPr>
            </w:pPr>
            <w:r w:rsidRPr="007A74F4">
              <w:rPr>
                <w:rFonts w:ascii="Times New Roman" w:hAnsi="Times New Roman"/>
                <w:b w:val="0"/>
                <w:bCs w:val="0"/>
                <w:caps w:val="0"/>
                <w:sz w:val="20"/>
                <w:szCs w:val="20"/>
              </w:rPr>
              <w:t xml:space="preserve">Round 1: Overall, industry submissions did not support additional and interpretative information as a part of menu labelling schemes; with specific mention that the health star rating (HSR) system is not appropriate for fast food. In contrast, many public health organisations called for the adaptation of HSR for fast food. </w:t>
            </w:r>
          </w:p>
        </w:tc>
        <w:tc>
          <w:tcPr>
            <w:tcW w:w="4480" w:type="dxa"/>
          </w:tcPr>
          <w:p w14:paraId="74210330" w14:textId="77777777" w:rsidR="00972A23" w:rsidRPr="007A74F4" w:rsidRDefault="00972A23" w:rsidP="005C2A0C">
            <w:pPr>
              <w:pStyle w:val="BodyText1"/>
              <w:spacing w:after="4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7A74F4">
              <w:rPr>
                <w:rFonts w:ascii="Times New Roman" w:hAnsi="Times New Roman"/>
                <w:sz w:val="20"/>
                <w:szCs w:val="20"/>
              </w:rPr>
              <w:t>This feedback was noted, and while Options 2 and 3 include principles that menu labelling should enable comparisons between menu items and that energy information should be able to be interpreted at a glance, consideration of how these principles are reflected in a regulatory measure would be undertaken.</w:t>
            </w:r>
          </w:p>
        </w:tc>
      </w:tr>
      <w:tr w:rsidR="00972A23" w:rsidRPr="00E67A4C" w14:paraId="64D1D2E0" w14:textId="77777777" w:rsidTr="005C2A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9" w:type="dxa"/>
          </w:tcPr>
          <w:p w14:paraId="37209893" w14:textId="77777777" w:rsidR="00972A23" w:rsidRPr="007A74F4" w:rsidRDefault="00972A23" w:rsidP="005C2A0C">
            <w:pPr>
              <w:pStyle w:val="BodyText1"/>
              <w:spacing w:after="40" w:line="240" w:lineRule="auto"/>
              <w:rPr>
                <w:rFonts w:ascii="Times New Roman" w:hAnsi="Times New Roman"/>
                <w:b w:val="0"/>
                <w:bCs w:val="0"/>
                <w:sz w:val="20"/>
                <w:szCs w:val="20"/>
              </w:rPr>
            </w:pPr>
            <w:r w:rsidRPr="007A74F4">
              <w:rPr>
                <w:rFonts w:ascii="Times New Roman" w:hAnsi="Times New Roman"/>
                <w:b w:val="0"/>
                <w:bCs w:val="0"/>
                <w:caps w:val="0"/>
                <w:sz w:val="20"/>
                <w:szCs w:val="20"/>
              </w:rPr>
              <w:t xml:space="preserve">Round 1: Education to help consumers understand and use kilojoules to make healthier choices, which is government-funded, nationally consistent, multi-phased, and sustained, was called for by some industry stakeholders and public health organisations. </w:t>
            </w:r>
          </w:p>
        </w:tc>
        <w:tc>
          <w:tcPr>
            <w:tcW w:w="4480" w:type="dxa"/>
          </w:tcPr>
          <w:p w14:paraId="788A1844" w14:textId="77777777" w:rsidR="00972A23" w:rsidRPr="007A74F4" w:rsidRDefault="00972A23" w:rsidP="005C2A0C">
            <w:pPr>
              <w:spacing w:after="40"/>
              <w:cnfStyle w:val="000000100000" w:firstRow="0" w:lastRow="0" w:firstColumn="0" w:lastColumn="0" w:oddVBand="0" w:evenVBand="0" w:oddHBand="1" w:evenHBand="0" w:firstRowFirstColumn="0" w:firstRowLastColumn="0" w:lastRowFirstColumn="0" w:lastRowLastColumn="0"/>
              <w:rPr>
                <w:sz w:val="20"/>
                <w:szCs w:val="20"/>
              </w:rPr>
            </w:pPr>
            <w:r w:rsidRPr="007A74F4">
              <w:rPr>
                <w:sz w:val="20"/>
                <w:szCs w:val="20"/>
              </w:rPr>
              <w:t xml:space="preserve">Stakeholder views shaped the complementary consumer education strategy. Any additional information and views provided by stakeholders in this round of consultation will be used to further develop a consumer education strategy. </w:t>
            </w:r>
          </w:p>
        </w:tc>
      </w:tr>
      <w:tr w:rsidR="00972A23" w:rsidRPr="00E67A4C" w14:paraId="48165669" w14:textId="77777777" w:rsidTr="005C2A0C">
        <w:tc>
          <w:tcPr>
            <w:cnfStyle w:val="001000000000" w:firstRow="0" w:lastRow="0" w:firstColumn="1" w:lastColumn="0" w:oddVBand="0" w:evenVBand="0" w:oddHBand="0" w:evenHBand="0" w:firstRowFirstColumn="0" w:firstRowLastColumn="0" w:lastRowFirstColumn="0" w:lastRowLastColumn="0"/>
            <w:tcW w:w="4479" w:type="dxa"/>
          </w:tcPr>
          <w:p w14:paraId="6093C40C" w14:textId="77777777" w:rsidR="00972A23" w:rsidRPr="007A74F4" w:rsidRDefault="00972A23" w:rsidP="005C2A0C">
            <w:pPr>
              <w:pStyle w:val="BodyText1"/>
              <w:spacing w:after="40" w:line="240" w:lineRule="auto"/>
              <w:rPr>
                <w:rFonts w:ascii="Times New Roman" w:hAnsi="Times New Roman"/>
                <w:b w:val="0"/>
                <w:bCs w:val="0"/>
                <w:sz w:val="20"/>
                <w:szCs w:val="20"/>
              </w:rPr>
            </w:pPr>
            <w:r w:rsidRPr="007A74F4">
              <w:rPr>
                <w:rFonts w:ascii="Times New Roman" w:hAnsi="Times New Roman"/>
                <w:b w:val="0"/>
                <w:bCs w:val="0"/>
                <w:caps w:val="0"/>
                <w:sz w:val="20"/>
                <w:szCs w:val="20"/>
              </w:rPr>
              <w:t xml:space="preserve">Round 1: Kilojoule display per 100 grams was noted to be confusing and not consistent with policy intent. A preference for all standard food outlets (including supermarkets) to display kilojoules ‘per serve’ was strongly indicated in submissions. </w:t>
            </w:r>
          </w:p>
        </w:tc>
        <w:tc>
          <w:tcPr>
            <w:tcW w:w="4480" w:type="dxa"/>
          </w:tcPr>
          <w:p w14:paraId="1FD4F70C" w14:textId="77777777" w:rsidR="00972A23" w:rsidRPr="007A74F4" w:rsidRDefault="00972A23" w:rsidP="005C2A0C">
            <w:pPr>
              <w:pStyle w:val="BodyText1"/>
              <w:spacing w:after="4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7A74F4">
              <w:rPr>
                <w:rFonts w:ascii="Times New Roman" w:hAnsi="Times New Roman"/>
                <w:sz w:val="20"/>
                <w:szCs w:val="20"/>
              </w:rPr>
              <w:t xml:space="preserve">Options 2 and 3 include a definition of energy information, being the “average energy content of standard food items (expressed as kilojoules per item)”. This coupled with the principle that menu labelling should promote equity for regulatory requirements across standard food businesses, addresses the concern about inconsistency in kilojoule display. </w:t>
            </w:r>
          </w:p>
        </w:tc>
      </w:tr>
      <w:tr w:rsidR="00972A23" w:rsidRPr="00E67A4C" w14:paraId="60A8DC65" w14:textId="77777777" w:rsidTr="005C2A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9" w:type="dxa"/>
          </w:tcPr>
          <w:p w14:paraId="1BFDC5D3" w14:textId="77777777" w:rsidR="00972A23" w:rsidRPr="007A74F4" w:rsidRDefault="00972A23" w:rsidP="005C2A0C">
            <w:pPr>
              <w:pStyle w:val="BodyText1"/>
              <w:spacing w:after="40" w:line="240" w:lineRule="auto"/>
              <w:rPr>
                <w:rFonts w:ascii="Times New Roman" w:hAnsi="Times New Roman"/>
                <w:b w:val="0"/>
                <w:bCs w:val="0"/>
                <w:sz w:val="20"/>
                <w:szCs w:val="20"/>
              </w:rPr>
            </w:pPr>
            <w:r w:rsidRPr="007A74F4">
              <w:rPr>
                <w:rFonts w:ascii="Times New Roman" w:hAnsi="Times New Roman"/>
                <w:b w:val="0"/>
                <w:bCs w:val="0"/>
                <w:caps w:val="0"/>
                <w:sz w:val="20"/>
                <w:szCs w:val="20"/>
              </w:rPr>
              <w:t>Round 1: Monitoring, enforcement and evaluation were all seen as important components of menu labelling schemes.</w:t>
            </w:r>
          </w:p>
        </w:tc>
        <w:tc>
          <w:tcPr>
            <w:tcW w:w="4480" w:type="dxa"/>
          </w:tcPr>
          <w:p w14:paraId="719AF4A9" w14:textId="77777777" w:rsidR="00972A23" w:rsidRPr="007A74F4" w:rsidRDefault="00972A23" w:rsidP="005C2A0C">
            <w:pPr>
              <w:pStyle w:val="BodyText1"/>
              <w:spacing w:after="4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7A74F4">
              <w:rPr>
                <w:rFonts w:ascii="Times New Roman" w:hAnsi="Times New Roman"/>
                <w:sz w:val="20"/>
                <w:szCs w:val="20"/>
              </w:rPr>
              <w:t>This feedback has been noted and depending on the preferred option would be considered in the implementation phase.</w:t>
            </w:r>
          </w:p>
        </w:tc>
      </w:tr>
      <w:tr w:rsidR="00972A23" w:rsidRPr="00E67A4C" w14:paraId="4CCEDFFC" w14:textId="77777777" w:rsidTr="005C2A0C">
        <w:tc>
          <w:tcPr>
            <w:cnfStyle w:val="001000000000" w:firstRow="0" w:lastRow="0" w:firstColumn="1" w:lastColumn="0" w:oddVBand="0" w:evenVBand="0" w:oddHBand="0" w:evenHBand="0" w:firstRowFirstColumn="0" w:firstRowLastColumn="0" w:lastRowFirstColumn="0" w:lastRowLastColumn="0"/>
            <w:tcW w:w="4479" w:type="dxa"/>
          </w:tcPr>
          <w:p w14:paraId="491C0933" w14:textId="77777777" w:rsidR="00972A23" w:rsidRPr="007A74F4" w:rsidRDefault="00972A23" w:rsidP="005C2A0C">
            <w:pPr>
              <w:pStyle w:val="BodyText1"/>
              <w:spacing w:after="40" w:line="240" w:lineRule="auto"/>
              <w:rPr>
                <w:rFonts w:ascii="Times New Roman" w:hAnsi="Times New Roman"/>
                <w:b w:val="0"/>
                <w:bCs w:val="0"/>
                <w:sz w:val="20"/>
                <w:szCs w:val="20"/>
              </w:rPr>
            </w:pPr>
            <w:r w:rsidRPr="007A74F4">
              <w:rPr>
                <w:rFonts w:ascii="Times New Roman" w:hAnsi="Times New Roman"/>
                <w:b w:val="0"/>
                <w:bCs w:val="0"/>
                <w:caps w:val="0"/>
                <w:sz w:val="20"/>
                <w:szCs w:val="20"/>
              </w:rPr>
              <w:lastRenderedPageBreak/>
              <w:t>Round 1: Future legislation needs to be clear and simple as it is viewed by some as currently being overly complex.</w:t>
            </w:r>
          </w:p>
        </w:tc>
        <w:tc>
          <w:tcPr>
            <w:tcW w:w="4480" w:type="dxa"/>
          </w:tcPr>
          <w:p w14:paraId="5399C2B1" w14:textId="77777777" w:rsidR="00972A23" w:rsidRPr="007A74F4" w:rsidRDefault="00972A23" w:rsidP="005C2A0C">
            <w:pPr>
              <w:spacing w:after="40"/>
              <w:cnfStyle w:val="000000000000" w:firstRow="0" w:lastRow="0" w:firstColumn="0" w:lastColumn="0" w:oddVBand="0" w:evenVBand="0" w:oddHBand="0" w:evenHBand="0" w:firstRowFirstColumn="0" w:firstRowLastColumn="0" w:lastRowFirstColumn="0" w:lastRowLastColumn="0"/>
              <w:rPr>
                <w:sz w:val="20"/>
                <w:szCs w:val="20"/>
              </w:rPr>
            </w:pPr>
            <w:r w:rsidRPr="007A74F4">
              <w:rPr>
                <w:sz w:val="20"/>
                <w:szCs w:val="20"/>
              </w:rPr>
              <w:t>This feedback has been noted and depending on the preferred option would be considered in the implementation phase.</w:t>
            </w:r>
          </w:p>
        </w:tc>
      </w:tr>
      <w:tr w:rsidR="00972A23" w:rsidRPr="00E67A4C" w14:paraId="4A7A80DF" w14:textId="77777777" w:rsidTr="005C2A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9" w:type="dxa"/>
          </w:tcPr>
          <w:p w14:paraId="37739EAA" w14:textId="77777777" w:rsidR="00972A23" w:rsidRPr="007A74F4" w:rsidRDefault="00972A23" w:rsidP="005C2A0C">
            <w:pPr>
              <w:pStyle w:val="BodyText1"/>
              <w:spacing w:after="40" w:line="240" w:lineRule="auto"/>
              <w:rPr>
                <w:rFonts w:ascii="Times New Roman" w:hAnsi="Times New Roman"/>
                <w:b w:val="0"/>
                <w:bCs w:val="0"/>
                <w:sz w:val="20"/>
                <w:szCs w:val="20"/>
              </w:rPr>
            </w:pPr>
            <w:r w:rsidRPr="007A74F4">
              <w:rPr>
                <w:rFonts w:ascii="Times New Roman" w:hAnsi="Times New Roman"/>
                <w:b w:val="0"/>
                <w:bCs w:val="0"/>
                <w:caps w:val="0"/>
                <w:sz w:val="20"/>
                <w:szCs w:val="20"/>
              </w:rPr>
              <w:t>Round 2: Standard food items should display kilojoules when a customer can make a purchase from the online catalogue. A transition period may be required to allow businesses to enhance it systems’ capability to display energy information.</w:t>
            </w:r>
          </w:p>
          <w:p w14:paraId="699AAA9C" w14:textId="77777777" w:rsidR="00972A23" w:rsidRPr="007A74F4" w:rsidRDefault="00972A23" w:rsidP="005C2A0C">
            <w:pPr>
              <w:pStyle w:val="BodyText1"/>
              <w:spacing w:after="40" w:line="240" w:lineRule="auto"/>
              <w:rPr>
                <w:rFonts w:ascii="Times New Roman" w:hAnsi="Times New Roman"/>
                <w:b w:val="0"/>
                <w:bCs w:val="0"/>
                <w:sz w:val="20"/>
                <w:szCs w:val="20"/>
              </w:rPr>
            </w:pPr>
          </w:p>
        </w:tc>
        <w:tc>
          <w:tcPr>
            <w:tcW w:w="4480" w:type="dxa"/>
          </w:tcPr>
          <w:p w14:paraId="6D900E1E" w14:textId="77777777" w:rsidR="00972A23" w:rsidRPr="007A74F4" w:rsidRDefault="00972A23" w:rsidP="005C2A0C">
            <w:pPr>
              <w:spacing w:after="40"/>
              <w:cnfStyle w:val="000000100000" w:firstRow="0" w:lastRow="0" w:firstColumn="0" w:lastColumn="0" w:oddVBand="0" w:evenVBand="0" w:oddHBand="1" w:evenHBand="0" w:firstRowFirstColumn="0" w:firstRowLastColumn="0" w:lastRowFirstColumn="0" w:lastRowLastColumn="0"/>
              <w:rPr>
                <w:sz w:val="20"/>
                <w:szCs w:val="20"/>
              </w:rPr>
            </w:pPr>
            <w:r w:rsidRPr="007A74F4">
              <w:rPr>
                <w:sz w:val="20"/>
                <w:szCs w:val="20"/>
              </w:rPr>
              <w:t xml:space="preserve">Options 2 and 3 include the principle: “Menu labelling should provide consumers of the energy content of all standard food items, combination meals and multi-serve items shown on menus and at points-of-sale; and for dietary context, provide the average daily energy intake at the point-of-sale”. Additionally, the definition of menu was expanded to specify online catalogues. Transition periods would be considered in the development of any regulatory measure. </w:t>
            </w:r>
          </w:p>
        </w:tc>
      </w:tr>
      <w:tr w:rsidR="00972A23" w:rsidRPr="00E67A4C" w14:paraId="72C95CB4" w14:textId="77777777" w:rsidTr="005C2A0C">
        <w:trPr>
          <w:trHeight w:val="2455"/>
        </w:trPr>
        <w:tc>
          <w:tcPr>
            <w:cnfStyle w:val="001000000000" w:firstRow="0" w:lastRow="0" w:firstColumn="1" w:lastColumn="0" w:oddVBand="0" w:evenVBand="0" w:oddHBand="0" w:evenHBand="0" w:firstRowFirstColumn="0" w:firstRowLastColumn="0" w:lastRowFirstColumn="0" w:lastRowLastColumn="0"/>
            <w:tcW w:w="4479" w:type="dxa"/>
          </w:tcPr>
          <w:p w14:paraId="58AEBB1C" w14:textId="77777777" w:rsidR="00972A23" w:rsidRPr="007A74F4" w:rsidRDefault="00972A23" w:rsidP="005C2A0C">
            <w:pPr>
              <w:pStyle w:val="BodyText1"/>
              <w:spacing w:after="40" w:line="240" w:lineRule="auto"/>
              <w:rPr>
                <w:rFonts w:ascii="Times New Roman" w:hAnsi="Times New Roman"/>
                <w:b w:val="0"/>
                <w:bCs w:val="0"/>
                <w:sz w:val="20"/>
                <w:szCs w:val="20"/>
              </w:rPr>
            </w:pPr>
            <w:r w:rsidRPr="007A74F4">
              <w:rPr>
                <w:rFonts w:ascii="Times New Roman" w:hAnsi="Times New Roman"/>
                <w:b w:val="0"/>
                <w:bCs w:val="0"/>
                <w:caps w:val="0"/>
                <w:sz w:val="20"/>
                <w:szCs w:val="20"/>
              </w:rPr>
              <w:t>Round 2: Businesses can elect to display kilojoules for multiple serve items either for the whole item (as required in the current legislation) or per serving, allowing for different labelling options. Regardless of whether businesses chose to display kilojoules per serving or per whole item, they must ensure consumers are able to access information on the kilojoules per serving at the point of purchase, either online or instore.</w:t>
            </w:r>
          </w:p>
          <w:p w14:paraId="424D01AE" w14:textId="77777777" w:rsidR="00972A23" w:rsidRPr="007A74F4" w:rsidRDefault="00972A23" w:rsidP="005C2A0C">
            <w:pPr>
              <w:pStyle w:val="BodyText1"/>
              <w:spacing w:after="40" w:line="240" w:lineRule="auto"/>
              <w:rPr>
                <w:rFonts w:ascii="Times New Roman" w:hAnsi="Times New Roman"/>
                <w:b w:val="0"/>
                <w:bCs w:val="0"/>
                <w:sz w:val="20"/>
                <w:szCs w:val="20"/>
              </w:rPr>
            </w:pPr>
            <w:r w:rsidRPr="007A74F4">
              <w:rPr>
                <w:rFonts w:ascii="Times New Roman" w:hAnsi="Times New Roman"/>
                <w:b w:val="0"/>
                <w:bCs w:val="0"/>
                <w:caps w:val="0"/>
                <w:sz w:val="20"/>
                <w:szCs w:val="20"/>
              </w:rPr>
              <w:t xml:space="preserve">A national resource providing guidance on recommended serving sizes for various item types (e.g. Pull-apart) and sizes (e.g. 500g, 750g) be made available to businesses. </w:t>
            </w:r>
          </w:p>
        </w:tc>
        <w:tc>
          <w:tcPr>
            <w:tcW w:w="4480" w:type="dxa"/>
          </w:tcPr>
          <w:p w14:paraId="1F464841" w14:textId="77777777" w:rsidR="00972A23" w:rsidRPr="007A74F4" w:rsidRDefault="00972A23" w:rsidP="005C2A0C">
            <w:pPr>
              <w:spacing w:after="40"/>
              <w:cnfStyle w:val="000000000000" w:firstRow="0" w:lastRow="0" w:firstColumn="0" w:lastColumn="0" w:oddVBand="0" w:evenVBand="0" w:oddHBand="0" w:evenHBand="0" w:firstRowFirstColumn="0" w:firstRowLastColumn="0" w:lastRowFirstColumn="0" w:lastRowLastColumn="0"/>
              <w:rPr>
                <w:sz w:val="20"/>
                <w:szCs w:val="20"/>
              </w:rPr>
            </w:pPr>
            <w:r w:rsidRPr="007A74F4">
              <w:rPr>
                <w:sz w:val="20"/>
                <w:szCs w:val="20"/>
              </w:rPr>
              <w:t xml:space="preserve">Options 2 and 3 include principles that menu labelling should provide consumers with the energy content of all multi-serve items and enable consumers to make comparisons between standard food items. These principles provide for the energy content to be displayed for the whole item, as well as per serving to enable comparison with single serve standard food items. </w:t>
            </w:r>
          </w:p>
          <w:p w14:paraId="664EA97F" w14:textId="77777777" w:rsidR="00972A23" w:rsidRPr="007A74F4" w:rsidRDefault="00972A23" w:rsidP="005C2A0C">
            <w:pPr>
              <w:spacing w:after="40"/>
              <w:cnfStyle w:val="000000000000" w:firstRow="0" w:lastRow="0" w:firstColumn="0" w:lastColumn="0" w:oddVBand="0" w:evenVBand="0" w:oddHBand="0" w:evenHBand="0" w:firstRowFirstColumn="0" w:firstRowLastColumn="0" w:lastRowFirstColumn="0" w:lastRowLastColumn="0"/>
              <w:rPr>
                <w:sz w:val="20"/>
                <w:szCs w:val="20"/>
              </w:rPr>
            </w:pPr>
            <w:r w:rsidRPr="007A74F4">
              <w:rPr>
                <w:sz w:val="20"/>
                <w:szCs w:val="20"/>
              </w:rPr>
              <w:t>Any resource development would be part of the implementation phase, noting that there is a Healthy Food Partnership working group tasked with developing an industry best practice guide to support businesses to consider nutrition as a key driver of labelling decisions regarding the size of servings and the size of food and drinks offered.</w:t>
            </w:r>
          </w:p>
        </w:tc>
      </w:tr>
    </w:tbl>
    <w:p w14:paraId="31F650FD" w14:textId="77777777" w:rsidR="00972A23" w:rsidRPr="001A5E94" w:rsidRDefault="00972A23" w:rsidP="00972A23">
      <w:pPr>
        <w:spacing w:after="40"/>
        <w:rPr>
          <w:sz w:val="18"/>
          <w:szCs w:val="18"/>
        </w:rPr>
      </w:pPr>
    </w:p>
    <w:p w14:paraId="4BC2348F" w14:textId="77777777" w:rsidR="00972A23" w:rsidRDefault="00972A23">
      <w:pPr>
        <w:rPr>
          <w:rStyle w:val="Heading1Char"/>
          <w:rFonts w:ascii="Times New Roman" w:hAnsi="Times New Roman" w:cs="Times New Roman"/>
          <w:i/>
          <w:iCs/>
          <w:szCs w:val="28"/>
        </w:rPr>
      </w:pPr>
      <w:r>
        <w:rPr>
          <w:rStyle w:val="Heading1Char"/>
          <w:rFonts w:ascii="Times New Roman" w:hAnsi="Times New Roman" w:cs="Times New Roman"/>
          <w:b w:val="0"/>
          <w:bCs w:val="0"/>
          <w:szCs w:val="28"/>
        </w:rPr>
        <w:br w:type="page"/>
      </w:r>
    </w:p>
    <w:p w14:paraId="1686CA99" w14:textId="4B96FF82" w:rsidR="00277561" w:rsidRDefault="00277561" w:rsidP="00F6154A">
      <w:pPr>
        <w:pStyle w:val="Heading2"/>
        <w:rPr>
          <w:rStyle w:val="Heading1Char"/>
          <w:rFonts w:ascii="Times New Roman" w:hAnsi="Times New Roman" w:cs="Times New Roman"/>
          <w:b/>
          <w:bCs/>
          <w:szCs w:val="28"/>
        </w:rPr>
      </w:pPr>
      <w:bookmarkStart w:id="105" w:name="_Toc91189683"/>
      <w:r w:rsidRPr="00E67A4C">
        <w:rPr>
          <w:rStyle w:val="Heading1Char"/>
          <w:rFonts w:ascii="Times New Roman" w:hAnsi="Times New Roman" w:cs="Times New Roman"/>
          <w:b/>
          <w:bCs/>
          <w:szCs w:val="28"/>
        </w:rPr>
        <w:lastRenderedPageBreak/>
        <w:t xml:space="preserve">Appendix </w:t>
      </w:r>
      <w:r w:rsidR="00BC7CAB">
        <w:rPr>
          <w:rStyle w:val="Heading1Char"/>
          <w:rFonts w:ascii="Times New Roman" w:hAnsi="Times New Roman" w:cs="Times New Roman"/>
          <w:b/>
          <w:bCs/>
          <w:szCs w:val="28"/>
        </w:rPr>
        <w:t>7</w:t>
      </w:r>
      <w:r w:rsidRPr="00E67A4C">
        <w:rPr>
          <w:rStyle w:val="Heading1Char"/>
          <w:rFonts w:ascii="Times New Roman" w:hAnsi="Times New Roman" w:cs="Times New Roman"/>
          <w:b/>
          <w:bCs/>
          <w:szCs w:val="28"/>
        </w:rPr>
        <w:t xml:space="preserve">: </w:t>
      </w:r>
      <w:r>
        <w:rPr>
          <w:rStyle w:val="Heading1Char"/>
          <w:rFonts w:ascii="Times New Roman" w:hAnsi="Times New Roman" w:cs="Times New Roman"/>
          <w:b/>
          <w:bCs/>
          <w:szCs w:val="28"/>
        </w:rPr>
        <w:t>Summary of submission analysis from 2021 consultation</w:t>
      </w:r>
      <w:bookmarkEnd w:id="105"/>
    </w:p>
    <w:p w14:paraId="79377449" w14:textId="77777777" w:rsidR="00A124C9" w:rsidRPr="00EF6CEE" w:rsidRDefault="00A124C9" w:rsidP="00046D03">
      <w:pPr>
        <w:jc w:val="both"/>
      </w:pPr>
    </w:p>
    <w:p w14:paraId="65673FC2" w14:textId="77777777" w:rsidR="00277561" w:rsidRPr="00796C0D" w:rsidRDefault="00277561" w:rsidP="00046D03">
      <w:pPr>
        <w:jc w:val="both"/>
        <w:rPr>
          <w:b/>
        </w:rPr>
      </w:pPr>
      <w:r w:rsidRPr="00D77ADC">
        <w:rPr>
          <w:b/>
        </w:rPr>
        <w:t xml:space="preserve">1: Is your business voluntarily displaying energy information in New Zealand?  Please </w:t>
      </w:r>
      <w:r w:rsidRPr="00D35008">
        <w:rPr>
          <w:b/>
        </w:rPr>
        <w:t>provide details, where possible.</w:t>
      </w:r>
    </w:p>
    <w:p w14:paraId="110663C2" w14:textId="31A18CEE" w:rsidR="00277561" w:rsidRPr="00796C0D" w:rsidRDefault="00277561" w:rsidP="00046D03">
      <w:pPr>
        <w:jc w:val="both"/>
        <w:rPr>
          <w:lang w:eastAsia="en-AU"/>
        </w:rPr>
      </w:pPr>
      <w:r w:rsidRPr="00796C0D">
        <w:rPr>
          <w:lang w:eastAsia="en-AU"/>
        </w:rPr>
        <w:t>Submissions to this question were from the food industry in New Zealand and Australia. Large New Zealand national (an/or international chains operating in New Zealand and Australia) typically display kilojoule and nutrition information on websites and apps, but not on menus.</w:t>
      </w:r>
      <w:r w:rsidR="00046D03" w:rsidRPr="00796C0D">
        <w:rPr>
          <w:lang w:eastAsia="en-AU"/>
        </w:rPr>
        <w:t xml:space="preserve"> </w:t>
      </w:r>
      <w:r w:rsidRPr="00796C0D">
        <w:rPr>
          <w:lang w:eastAsia="en-AU"/>
        </w:rPr>
        <w:t>There is some support for voluntary menu labelling (as recommended in 2018 by the Food Industry Taskforce). One food industry submitter noted were open to energy information on menus if a consistent approach was used across all outlets selling standard food items.</w:t>
      </w:r>
    </w:p>
    <w:p w14:paraId="22430573" w14:textId="77777777" w:rsidR="00277561" w:rsidRPr="00796C0D" w:rsidRDefault="00277561" w:rsidP="00046D03">
      <w:pPr>
        <w:jc w:val="both"/>
        <w:rPr>
          <w:bCs/>
        </w:rPr>
      </w:pPr>
    </w:p>
    <w:p w14:paraId="0034C1E8" w14:textId="77777777" w:rsidR="00277561" w:rsidRPr="00796C0D" w:rsidRDefault="00277561" w:rsidP="00046D03">
      <w:pPr>
        <w:jc w:val="both"/>
        <w:rPr>
          <w:b/>
        </w:rPr>
      </w:pPr>
      <w:r w:rsidRPr="00796C0D">
        <w:rPr>
          <w:b/>
        </w:rPr>
        <w:t>2: Does your New Zealand business sell standard food items and is it a chain (i.e. more than one outlet operated/owned under franchise arrangements or the same trading name, or owned by one parent company/central owner/corporation)?  If so, how many outlets do you have in New Zealand?</w:t>
      </w:r>
    </w:p>
    <w:p w14:paraId="20BB9682" w14:textId="77777777" w:rsidR="00277561" w:rsidRPr="00796C0D" w:rsidRDefault="00277561" w:rsidP="00046D03">
      <w:pPr>
        <w:jc w:val="both"/>
        <w:rPr>
          <w:lang w:eastAsia="en-AU"/>
        </w:rPr>
      </w:pPr>
      <w:r w:rsidRPr="00796C0D">
        <w:rPr>
          <w:lang w:eastAsia="en-AU"/>
        </w:rPr>
        <w:t xml:space="preserve">Market information was provided for 6 chain quick service restaurants:  </w:t>
      </w:r>
    </w:p>
    <w:p w14:paraId="5789B7B4" w14:textId="77777777" w:rsidR="00277561" w:rsidRPr="00796C0D" w:rsidRDefault="00277561" w:rsidP="0055688D">
      <w:pPr>
        <w:pStyle w:val="ListParagraph"/>
        <w:numPr>
          <w:ilvl w:val="0"/>
          <w:numId w:val="36"/>
        </w:numPr>
        <w:jc w:val="both"/>
        <w:rPr>
          <w:lang w:eastAsia="en-AU"/>
        </w:rPr>
      </w:pPr>
      <w:r w:rsidRPr="00796C0D">
        <w:rPr>
          <w:lang w:eastAsia="en-AU"/>
        </w:rPr>
        <w:t>McDonalds: 168 outlets</w:t>
      </w:r>
    </w:p>
    <w:p w14:paraId="59596113" w14:textId="77777777" w:rsidR="00277561" w:rsidRPr="00796C0D" w:rsidRDefault="00277561" w:rsidP="0055688D">
      <w:pPr>
        <w:pStyle w:val="ListParagraph"/>
        <w:numPr>
          <w:ilvl w:val="0"/>
          <w:numId w:val="36"/>
        </w:numPr>
        <w:jc w:val="both"/>
        <w:rPr>
          <w:lang w:eastAsia="en-AU"/>
        </w:rPr>
      </w:pPr>
      <w:r w:rsidRPr="00796C0D">
        <w:rPr>
          <w:lang w:eastAsia="en-AU"/>
        </w:rPr>
        <w:t>Hell’s Pizza: 76 outlets</w:t>
      </w:r>
    </w:p>
    <w:p w14:paraId="54EDEE9E" w14:textId="77777777" w:rsidR="00277561" w:rsidRPr="00796C0D" w:rsidRDefault="00277561" w:rsidP="0055688D">
      <w:pPr>
        <w:pStyle w:val="ListParagraph"/>
        <w:numPr>
          <w:ilvl w:val="0"/>
          <w:numId w:val="36"/>
        </w:numPr>
        <w:jc w:val="both"/>
        <w:rPr>
          <w:lang w:eastAsia="en-AU"/>
        </w:rPr>
      </w:pPr>
      <w:r w:rsidRPr="00796C0D">
        <w:rPr>
          <w:lang w:eastAsia="en-AU"/>
        </w:rPr>
        <w:t>Taco Bell: 5 outlets</w:t>
      </w:r>
    </w:p>
    <w:p w14:paraId="46E7FFA3" w14:textId="77777777" w:rsidR="00277561" w:rsidRPr="00796C0D" w:rsidRDefault="00277561" w:rsidP="0055688D">
      <w:pPr>
        <w:pStyle w:val="ListParagraph"/>
        <w:numPr>
          <w:ilvl w:val="0"/>
          <w:numId w:val="36"/>
        </w:numPr>
        <w:jc w:val="both"/>
        <w:rPr>
          <w:lang w:eastAsia="en-AU"/>
        </w:rPr>
      </w:pPr>
      <w:r w:rsidRPr="00796C0D">
        <w:rPr>
          <w:lang w:eastAsia="en-AU"/>
        </w:rPr>
        <w:t xml:space="preserve">KFC NZ: 103 outlets with a further 5 outlets operated by independent franchise partners </w:t>
      </w:r>
    </w:p>
    <w:p w14:paraId="4D46DAB1" w14:textId="77777777" w:rsidR="00277561" w:rsidRPr="00796C0D" w:rsidRDefault="00277561" w:rsidP="0055688D">
      <w:pPr>
        <w:pStyle w:val="ListParagraph"/>
        <w:numPr>
          <w:ilvl w:val="0"/>
          <w:numId w:val="36"/>
        </w:numPr>
        <w:jc w:val="both"/>
        <w:rPr>
          <w:lang w:eastAsia="en-AU"/>
        </w:rPr>
      </w:pPr>
      <w:r w:rsidRPr="00796C0D">
        <w:rPr>
          <w:lang w:eastAsia="en-AU"/>
        </w:rPr>
        <w:t>Pizza Hut: 105 outlets owned/operated by independent franchisees; with 8 outlets operated under master franchise.</w:t>
      </w:r>
    </w:p>
    <w:p w14:paraId="3240A745" w14:textId="77777777" w:rsidR="00277561" w:rsidRPr="00796C0D" w:rsidRDefault="00277561" w:rsidP="0055688D">
      <w:pPr>
        <w:pStyle w:val="ListParagraph"/>
        <w:numPr>
          <w:ilvl w:val="0"/>
          <w:numId w:val="36"/>
        </w:numPr>
        <w:jc w:val="both"/>
        <w:rPr>
          <w:lang w:eastAsia="en-AU"/>
        </w:rPr>
      </w:pPr>
      <w:r w:rsidRPr="00796C0D">
        <w:rPr>
          <w:lang w:eastAsia="en-AU"/>
        </w:rPr>
        <w:t>Carl’s Junior: 17 outlets</w:t>
      </w:r>
    </w:p>
    <w:p w14:paraId="2CD8844F" w14:textId="77777777" w:rsidR="00277561" w:rsidRPr="00796C0D" w:rsidRDefault="00277561" w:rsidP="00046D03">
      <w:pPr>
        <w:jc w:val="both"/>
        <w:rPr>
          <w:lang w:eastAsia="en-AU"/>
        </w:rPr>
      </w:pPr>
      <w:r w:rsidRPr="00796C0D">
        <w:rPr>
          <w:lang w:eastAsia="en-AU"/>
        </w:rPr>
        <w:t>One organisation did not think standard food items exist.</w:t>
      </w:r>
    </w:p>
    <w:p w14:paraId="25883805" w14:textId="77777777" w:rsidR="00277561" w:rsidRPr="00796C0D" w:rsidRDefault="00277561" w:rsidP="00046D03">
      <w:pPr>
        <w:jc w:val="both"/>
        <w:rPr>
          <w:bCs/>
        </w:rPr>
      </w:pPr>
    </w:p>
    <w:p w14:paraId="75D9CDD6" w14:textId="77777777" w:rsidR="00277561" w:rsidRPr="00796C0D" w:rsidRDefault="00277561" w:rsidP="00046D03">
      <w:pPr>
        <w:jc w:val="both"/>
        <w:rPr>
          <w:b/>
        </w:rPr>
      </w:pPr>
      <w:r w:rsidRPr="00796C0D">
        <w:rPr>
          <w:b/>
        </w:rPr>
        <w:t>3: Is it a problem for New Zealand consumers that energy information is not mandated at the point-of-sale?  If so, please explain your view and/or detail the impact.</w:t>
      </w:r>
    </w:p>
    <w:p w14:paraId="702B0E9F" w14:textId="32B0181F" w:rsidR="00277561" w:rsidRPr="00796C0D" w:rsidRDefault="00277561" w:rsidP="00046D03">
      <w:pPr>
        <w:jc w:val="both"/>
        <w:rPr>
          <w:lang w:eastAsia="en-AU"/>
        </w:rPr>
      </w:pPr>
      <w:r w:rsidRPr="00796C0D">
        <w:rPr>
          <w:lang w:eastAsia="en-AU"/>
        </w:rPr>
        <w:t>Submissions to this question were from the food industry in New Zealand (4 submissions) and Australia (2 submissions), and New Zealand public health organisations (3 submissions). Overall, there are mixed views from submitters about whether it is a problem for New Zealand consumers that energy information is not mandated at the point-of-sale.</w:t>
      </w:r>
    </w:p>
    <w:p w14:paraId="3EDCE000" w14:textId="77777777" w:rsidR="00277561" w:rsidRPr="00796C0D" w:rsidRDefault="00277561" w:rsidP="00046D03">
      <w:pPr>
        <w:jc w:val="both"/>
        <w:rPr>
          <w:lang w:eastAsia="en-AU"/>
        </w:rPr>
      </w:pPr>
    </w:p>
    <w:p w14:paraId="3A8A2BC1" w14:textId="4BEE177F" w:rsidR="00277561" w:rsidRPr="00796C0D" w:rsidRDefault="00277561" w:rsidP="00046D03">
      <w:pPr>
        <w:jc w:val="both"/>
        <w:rPr>
          <w:lang w:eastAsia="en-AU"/>
        </w:rPr>
      </w:pPr>
      <w:r w:rsidRPr="00796C0D">
        <w:rPr>
          <w:lang w:eastAsia="en-AU"/>
        </w:rPr>
        <w:t xml:space="preserve">All (3) New Zealand public health organisations making submissions did not know whether it is a problem. These organisations noted that there is no research about whether a problem for New Zealand consumers. One organisation questioned the meaningfulness of a single energy number. However, these submitters also acknowledged that there is a knowledge gap for consumers regarding nutritional content of ready-to-eat food (compared to packaged food), and expenditure on this type of food is increasing. Therefore, consumers should know nutrition information at the point-of-sale as it can encourage healthier choices and industry reformulation. One organisation </w:t>
      </w:r>
      <w:r w:rsidRPr="00F702DE">
        <w:rPr>
          <w:lang w:eastAsia="en-AU"/>
        </w:rPr>
        <w:t>recommended that i</w:t>
      </w:r>
      <w:r w:rsidR="00EB5C2C" w:rsidRPr="00F702DE">
        <w:rPr>
          <w:lang w:eastAsia="en-AU"/>
        </w:rPr>
        <w:t>f</w:t>
      </w:r>
      <w:r w:rsidRPr="00F702DE">
        <w:rPr>
          <w:lang w:eastAsia="en-AU"/>
        </w:rPr>
        <w:t xml:space="preserve"> menu labelling is mandated, consumer education should be designed in partnership with Māori </w:t>
      </w:r>
      <w:r w:rsidR="00DF460D" w:rsidRPr="00F702DE">
        <w:rPr>
          <w:lang w:eastAsia="en-AU"/>
        </w:rPr>
        <w:t>people</w:t>
      </w:r>
      <w:r w:rsidR="00DF460D">
        <w:rPr>
          <w:lang w:eastAsia="en-AU"/>
        </w:rPr>
        <w:t xml:space="preserve"> </w:t>
      </w:r>
      <w:r w:rsidRPr="00796C0D">
        <w:rPr>
          <w:lang w:eastAsia="en-AU"/>
        </w:rPr>
        <w:t>to address equity effects.</w:t>
      </w:r>
    </w:p>
    <w:p w14:paraId="61BD5717" w14:textId="77777777" w:rsidR="00277561" w:rsidRPr="00796C0D" w:rsidRDefault="00277561" w:rsidP="00046D03">
      <w:pPr>
        <w:jc w:val="both"/>
        <w:rPr>
          <w:lang w:eastAsia="en-AU"/>
        </w:rPr>
      </w:pPr>
    </w:p>
    <w:p w14:paraId="78B4DEDA" w14:textId="4EC498BB" w:rsidR="00277561" w:rsidRPr="00796C0D" w:rsidRDefault="00277561" w:rsidP="00046D03">
      <w:pPr>
        <w:jc w:val="both"/>
        <w:rPr>
          <w:lang w:eastAsia="en-AU"/>
        </w:rPr>
      </w:pPr>
      <w:r w:rsidRPr="00796C0D">
        <w:rPr>
          <w:lang w:eastAsia="en-AU"/>
        </w:rPr>
        <w:t xml:space="preserve">Three food industry organisations (one from New Zealand and two Australian) believed it is a problem and support consistent menu labelling across all food outlets and Australia and New Zealand to improve consumer health. In contrast, three New Zealand food industry organisations believed it wasn’t a problem, with two organisations noting that there was little evidence of public demand for energy information at point-of-sale, or effectiveness of menu labelling on purchasing choices. Despite this, one of these organisations supports consistent, </w:t>
      </w:r>
      <w:r w:rsidR="0032770B" w:rsidRPr="00796C0D">
        <w:rPr>
          <w:lang w:eastAsia="en-AU"/>
        </w:rPr>
        <w:t>comparable,</w:t>
      </w:r>
      <w:r w:rsidRPr="00796C0D">
        <w:rPr>
          <w:lang w:eastAsia="en-AU"/>
        </w:rPr>
        <w:t xml:space="preserve"> and easily understood menu labelling. A third organisation did not think menu labelling was relevant as forecasts indicate eating out will be predominantly in independent outlets in New Zealand. This organisation also had concerns that declining numeracy skills and health literacy would affect consumer interpretation of energy information.  </w:t>
      </w:r>
    </w:p>
    <w:p w14:paraId="0A23073E" w14:textId="77777777" w:rsidR="00277561" w:rsidRPr="00796C0D" w:rsidRDefault="00277561" w:rsidP="00046D03">
      <w:pPr>
        <w:jc w:val="both"/>
        <w:rPr>
          <w:b/>
          <w:bCs/>
        </w:rPr>
      </w:pPr>
      <w:r w:rsidRPr="00796C0D">
        <w:rPr>
          <w:b/>
          <w:bCs/>
        </w:rPr>
        <w:lastRenderedPageBreak/>
        <w:t>4: Do these differences between states and territories create problems for Australian businesses?</w:t>
      </w:r>
    </w:p>
    <w:p w14:paraId="1BBCC33C" w14:textId="3A28D1E5" w:rsidR="00277561" w:rsidRPr="00796C0D" w:rsidRDefault="00277561" w:rsidP="00046D03">
      <w:pPr>
        <w:jc w:val="both"/>
        <w:rPr>
          <w:lang w:eastAsia="en-AU"/>
        </w:rPr>
      </w:pPr>
      <w:r w:rsidRPr="00796C0D">
        <w:rPr>
          <w:lang w:eastAsia="en-AU"/>
        </w:rPr>
        <w:t>Submissions to this question were from all stakeholder groups in Australia. New Zealand stakeholders noted this question as not applicable to them.</w:t>
      </w:r>
      <w:r w:rsidR="00D615F9" w:rsidRPr="00796C0D">
        <w:rPr>
          <w:lang w:eastAsia="en-AU"/>
        </w:rPr>
        <w:t xml:space="preserve"> </w:t>
      </w:r>
      <w:r w:rsidRPr="00796C0D">
        <w:rPr>
          <w:lang w:eastAsia="en-AU"/>
        </w:rPr>
        <w:t>Most Australian organisations agree that the differences between States and Territories are a problem for Australian businesses. Stakeholders indicate that it is confusing for businesses to know which legislation to follow, particularly for national chains (e.g. is it determined by head office location or strictest requirements), and that it also requires additional time and resources to meet different requirements. An uneven playing field across businesses and jurisdictions was noted. For the grocery sector, there is some confusion whether are in or out-of-scope of the legislation, due to business type or business model. Only one Australian industry organisation (a peak body) didn’t believe the differences between jurisdictions were a problem for Australian businesses.</w:t>
      </w:r>
    </w:p>
    <w:p w14:paraId="4A90156C" w14:textId="77777777" w:rsidR="00277561" w:rsidRPr="00796C0D" w:rsidRDefault="00277561" w:rsidP="00046D03">
      <w:pPr>
        <w:jc w:val="both"/>
        <w:rPr>
          <w:bCs/>
        </w:rPr>
      </w:pPr>
    </w:p>
    <w:p w14:paraId="14929A6B" w14:textId="77777777" w:rsidR="00277561" w:rsidRPr="00796C0D" w:rsidRDefault="00277561" w:rsidP="00046D03">
      <w:pPr>
        <w:jc w:val="both"/>
        <w:rPr>
          <w:b/>
          <w:bCs/>
        </w:rPr>
      </w:pPr>
      <w:r w:rsidRPr="00796C0D">
        <w:rPr>
          <w:b/>
          <w:bCs/>
        </w:rPr>
        <w:t>5: Do these differences impact Australian consumers?</w:t>
      </w:r>
    </w:p>
    <w:p w14:paraId="6E76CB88" w14:textId="078BDC21" w:rsidR="00277561" w:rsidRPr="00796C0D" w:rsidRDefault="00277561" w:rsidP="00046D03">
      <w:pPr>
        <w:jc w:val="both"/>
        <w:rPr>
          <w:lang w:eastAsia="en-AU"/>
        </w:rPr>
      </w:pPr>
      <w:r w:rsidRPr="00796C0D">
        <w:rPr>
          <w:lang w:eastAsia="en-AU"/>
        </w:rPr>
        <w:t>Submissions to this question were from all stakeholder groups in Australia. New Zealand stakeholders noted this question as not applicable to them.</w:t>
      </w:r>
      <w:r w:rsidR="00D615F9" w:rsidRPr="00796C0D">
        <w:rPr>
          <w:lang w:eastAsia="en-AU"/>
        </w:rPr>
        <w:t xml:space="preserve"> </w:t>
      </w:r>
      <w:r w:rsidRPr="00796C0D">
        <w:rPr>
          <w:lang w:eastAsia="en-AU"/>
        </w:rPr>
        <w:t xml:space="preserve">Most Australian organisations agree that the differences between States and Territories impact Australian consumers. Confusion, particularly for consumers travelling across S/T, access to nutrition information and lack of understanding of energy content were commonly noted problems. However, there was also the view that it was a lesser problem as consumers wouldn’t be comparing across states and territories. Differences in how combination meals, alcohol and online/digital menus are treated were highlighted as concerns. It was noted that the differences impact the effect of menu labelling and associated health outcomes.  Only one Australian industry organisation (a peak body) didn’t believe the differences between jurisdictions had an impact on Australian consumers. Another Australian industry organisation (a chain business) wasn’t sure if there was an impact on consumers as they hadn’t received any feedback from their customers. </w:t>
      </w:r>
    </w:p>
    <w:p w14:paraId="4DF73C0B" w14:textId="77777777" w:rsidR="00277561" w:rsidRPr="00796C0D" w:rsidRDefault="00277561" w:rsidP="00046D03">
      <w:pPr>
        <w:jc w:val="both"/>
        <w:rPr>
          <w:bCs/>
        </w:rPr>
      </w:pPr>
    </w:p>
    <w:p w14:paraId="18F73F71" w14:textId="448D6359" w:rsidR="00277561" w:rsidRPr="00796C0D" w:rsidRDefault="00277561" w:rsidP="00046D03">
      <w:pPr>
        <w:jc w:val="both"/>
        <w:rPr>
          <w:b/>
          <w:bCs/>
          <w:highlight w:val="yellow"/>
        </w:rPr>
      </w:pPr>
      <w:r w:rsidRPr="00796C0D">
        <w:rPr>
          <w:b/>
        </w:rPr>
        <w:t xml:space="preserve">6: Is the uneven playing field with respect to menu labelling requirements a problem for standard food outlets in Australia? If so, please detail the impact. </w:t>
      </w:r>
      <w:r w:rsidRPr="00796C0D">
        <w:rPr>
          <w:b/>
          <w:i/>
        </w:rPr>
        <w:t>Please indicate if your business is currently captured by state or territory legislation, and/or whether your business is exempt in one or more jurisdictions.</w:t>
      </w:r>
      <w:r w:rsidRPr="00796C0D">
        <w:rPr>
          <w:b/>
        </w:rPr>
        <w:t xml:space="preserve"> </w:t>
      </w:r>
    </w:p>
    <w:p w14:paraId="2ADD93D1" w14:textId="296240F2" w:rsidR="00502FE6" w:rsidRPr="00796C0D" w:rsidRDefault="00277561" w:rsidP="00502FE6">
      <w:pPr>
        <w:jc w:val="both"/>
        <w:rPr>
          <w:lang w:eastAsia="en-AU"/>
        </w:rPr>
      </w:pPr>
      <w:r w:rsidRPr="00796C0D">
        <w:rPr>
          <w:lang w:eastAsia="en-AU"/>
        </w:rPr>
        <w:t xml:space="preserve">Seven submissions (five Australian food industry organisations, one member of the public, one Australian state government) indicated that an uneven playing field was a problem for standard food outlets in Australia. A lack of consistency across businesses selling standard food items was the key issue noted, especially as some businesses (including grocery and convenience stores) exempt from menu labelling are increasingly selling standard food items. One New Zealand food industry organisation indicated that the question was not applicable to </w:t>
      </w:r>
      <w:r w:rsidR="002D5C0E" w:rsidRPr="00796C0D">
        <w:rPr>
          <w:lang w:eastAsia="en-AU"/>
        </w:rPr>
        <w:t>them but</w:t>
      </w:r>
      <w:r w:rsidRPr="00796C0D">
        <w:rPr>
          <w:lang w:eastAsia="en-AU"/>
        </w:rPr>
        <w:t xml:space="preserve"> did note that the focus of menu labelling regulation on medium-large chains was disproportionate as there was stronger growth in independent outlets and third-party systems. It was also noted that there was inconsistency in food courts with some venues captured by menu labelling, and others not </w:t>
      </w:r>
      <w:r w:rsidR="00E92E61">
        <w:rPr>
          <w:lang w:eastAsia="en-AU"/>
        </w:rPr>
        <w:t xml:space="preserve">captured </w:t>
      </w:r>
      <w:r w:rsidRPr="00796C0D">
        <w:rPr>
          <w:lang w:eastAsia="en-AU"/>
        </w:rPr>
        <w:t>despite selling energy-dense menu items.</w:t>
      </w:r>
      <w:r w:rsidR="00502FE6" w:rsidRPr="00796C0D">
        <w:rPr>
          <w:lang w:eastAsia="en-AU"/>
        </w:rPr>
        <w:t xml:space="preserve"> </w:t>
      </w:r>
    </w:p>
    <w:p w14:paraId="743254F8" w14:textId="77777777" w:rsidR="00277561" w:rsidRPr="00796C0D" w:rsidRDefault="00277561" w:rsidP="00046D03">
      <w:pPr>
        <w:jc w:val="both"/>
        <w:rPr>
          <w:lang w:eastAsia="en-AU"/>
        </w:rPr>
      </w:pPr>
    </w:p>
    <w:p w14:paraId="68B16364" w14:textId="1B714E16" w:rsidR="00277561" w:rsidRPr="00796C0D" w:rsidRDefault="00277561" w:rsidP="00046D03">
      <w:pPr>
        <w:jc w:val="both"/>
        <w:rPr>
          <w:lang w:eastAsia="en-AU"/>
        </w:rPr>
      </w:pPr>
      <w:r w:rsidRPr="00796C0D">
        <w:rPr>
          <w:lang w:eastAsia="en-AU"/>
        </w:rPr>
        <w:t xml:space="preserve">Although this question was seeking views on problems for standard food outlets, some submissions noted that an uneven playing field is a problem for consumers. Difficulty in comparing menu items and making informed choices were the main concerns. As an alternative to menu labelling, one member of the public suggested displaying generic information about the energy, sodium, </w:t>
      </w:r>
      <w:r w:rsidR="0032770B" w:rsidRPr="00796C0D">
        <w:rPr>
          <w:lang w:eastAsia="en-AU"/>
        </w:rPr>
        <w:t>fat,</w:t>
      </w:r>
      <w:r w:rsidRPr="00796C0D">
        <w:rPr>
          <w:lang w:eastAsia="en-AU"/>
        </w:rPr>
        <w:t xml:space="preserve"> and sugar content of typical menu items.</w:t>
      </w:r>
    </w:p>
    <w:p w14:paraId="7391A9A9" w14:textId="77777777" w:rsidR="00502FE6" w:rsidRPr="00796C0D" w:rsidRDefault="00502FE6" w:rsidP="00046D03">
      <w:pPr>
        <w:jc w:val="both"/>
        <w:rPr>
          <w:lang w:eastAsia="en-AU"/>
        </w:rPr>
      </w:pPr>
    </w:p>
    <w:p w14:paraId="783EDCF9" w14:textId="6918641D" w:rsidR="00277561" w:rsidRPr="00796C0D" w:rsidRDefault="00502FE6" w:rsidP="00046D03">
      <w:pPr>
        <w:jc w:val="both"/>
        <w:rPr>
          <w:lang w:eastAsia="en-AU"/>
        </w:rPr>
      </w:pPr>
      <w:r w:rsidRPr="00796C0D">
        <w:rPr>
          <w:lang w:eastAsia="en-AU"/>
        </w:rPr>
        <w:t xml:space="preserve">One Australian food industry organisation didn’t think the uneven playing field was an issue for businesses or consumers. While one New Zealand industry organisation queried the definition of a standard food outlet. </w:t>
      </w:r>
      <w:r w:rsidR="00277561" w:rsidRPr="00796C0D">
        <w:rPr>
          <w:lang w:eastAsia="en-AU"/>
        </w:rPr>
        <w:t xml:space="preserve">Public health and consumer organisations in Australia and </w:t>
      </w:r>
      <w:r w:rsidR="00277561" w:rsidRPr="00796C0D">
        <w:rPr>
          <w:lang w:eastAsia="en-AU"/>
        </w:rPr>
        <w:lastRenderedPageBreak/>
        <w:t>New Zealand did not provide any views about whether an uneven playing field was a problem for standard food outlets in Australia.</w:t>
      </w:r>
    </w:p>
    <w:p w14:paraId="6ABAA9A3" w14:textId="77777777" w:rsidR="00277561" w:rsidRPr="00796C0D" w:rsidRDefault="00277561" w:rsidP="00046D03">
      <w:pPr>
        <w:jc w:val="both"/>
        <w:rPr>
          <w:b/>
          <w:bCs/>
          <w:highlight w:val="yellow"/>
        </w:rPr>
      </w:pPr>
    </w:p>
    <w:p w14:paraId="160AD019" w14:textId="77777777" w:rsidR="00277561" w:rsidRPr="00796C0D" w:rsidRDefault="00277561" w:rsidP="00046D03">
      <w:pPr>
        <w:jc w:val="both"/>
        <w:rPr>
          <w:b/>
          <w:bCs/>
        </w:rPr>
      </w:pPr>
      <w:r w:rsidRPr="00796C0D">
        <w:rPr>
          <w:b/>
        </w:rPr>
        <w:t>7: Is it a problem for Australian consumers that energy information is not at the point-of-sale in all businesses selling standard food items? If so, please detail the impact.</w:t>
      </w:r>
    </w:p>
    <w:p w14:paraId="5BFAEF46" w14:textId="77777777" w:rsidR="00277561" w:rsidRPr="00796C0D" w:rsidRDefault="00277561" w:rsidP="00046D03">
      <w:pPr>
        <w:jc w:val="both"/>
        <w:rPr>
          <w:lang w:eastAsia="en-AU"/>
        </w:rPr>
      </w:pPr>
      <w:r w:rsidRPr="00796C0D">
        <w:rPr>
          <w:lang w:eastAsia="en-AU"/>
        </w:rPr>
        <w:t>Most submissions from across all Australian stakeholder groups (16 of 18 responses) indicated that it was a problem for Australian consumers that energy information was not at the point-of-sale in all businesses selling standard food items. The key issue of not having access to energy information was the inability to make an informed choice or compare menu items within and between businesses. It was noted that consumers may think that menu items without kilojoule information on display are healthier; and don’t know the nutrition content of food without a label.</w:t>
      </w:r>
    </w:p>
    <w:p w14:paraId="44BA3967" w14:textId="77777777" w:rsidR="00277561" w:rsidRPr="00796C0D" w:rsidRDefault="00277561" w:rsidP="00046D03">
      <w:pPr>
        <w:jc w:val="both"/>
        <w:rPr>
          <w:lang w:eastAsia="en-AU"/>
        </w:rPr>
      </w:pPr>
    </w:p>
    <w:p w14:paraId="15568DFD" w14:textId="244085A4" w:rsidR="00277561" w:rsidRPr="00796C0D" w:rsidRDefault="00277561" w:rsidP="00046D03">
      <w:pPr>
        <w:jc w:val="both"/>
        <w:rPr>
          <w:lang w:eastAsia="en-AU"/>
        </w:rPr>
      </w:pPr>
      <w:r w:rsidRPr="00796C0D">
        <w:rPr>
          <w:lang w:eastAsia="en-AU"/>
        </w:rPr>
        <w:t>Submissions also noted that consistent menu labelling across business types supports consumers to understand and use energy information and reinforces healthy eating education activities. Additionally, one Australian food industry organisation noted that providing information to consumers supports the Australian Dietary Guidelines and the draft National Obesity Strategy.</w:t>
      </w:r>
      <w:r w:rsidR="00502FE6" w:rsidRPr="00796C0D">
        <w:rPr>
          <w:lang w:eastAsia="en-AU"/>
        </w:rPr>
        <w:t xml:space="preserve"> </w:t>
      </w:r>
      <w:r w:rsidRPr="00796C0D">
        <w:rPr>
          <w:lang w:eastAsia="en-AU"/>
        </w:rPr>
        <w:t>Only two Australian food industry organisations did not agree that it was an issue for consumers. One submission recommended that regulators provide more consumer resources as consumers were unaware of the impact of energy content. Public health and food industry organisations in New Zealand did not provide any views about the impact on Australian consumers.</w:t>
      </w:r>
    </w:p>
    <w:p w14:paraId="5A1F6288" w14:textId="566726F4" w:rsidR="00277561" w:rsidRPr="00796C0D" w:rsidRDefault="00277561" w:rsidP="00046D03">
      <w:pPr>
        <w:jc w:val="both"/>
        <w:rPr>
          <w:b/>
          <w:bCs/>
        </w:rPr>
      </w:pPr>
    </w:p>
    <w:p w14:paraId="0113E4FC" w14:textId="2A8092D4" w:rsidR="00277561" w:rsidRPr="00796C0D" w:rsidRDefault="00277561" w:rsidP="00046D03">
      <w:pPr>
        <w:contextualSpacing/>
        <w:jc w:val="both"/>
        <w:rPr>
          <w:b/>
          <w:bCs/>
        </w:rPr>
      </w:pPr>
      <w:r w:rsidRPr="00796C0D">
        <w:rPr>
          <w:b/>
          <w:bCs/>
        </w:rPr>
        <w:t>8: Are there other business types that are selling standard food items in Australia or New Zealand? If so, please detail.</w:t>
      </w:r>
    </w:p>
    <w:p w14:paraId="73444866" w14:textId="77777777" w:rsidR="00277561" w:rsidRPr="00796C0D" w:rsidRDefault="00277561" w:rsidP="00046D03">
      <w:pPr>
        <w:jc w:val="both"/>
        <w:rPr>
          <w:b/>
          <w:bCs/>
          <w:lang w:eastAsia="en-AU"/>
        </w:rPr>
      </w:pPr>
      <w:r w:rsidRPr="00796C0D">
        <w:rPr>
          <w:b/>
          <w:bCs/>
          <w:lang w:eastAsia="en-AU"/>
        </w:rPr>
        <w:t xml:space="preserve"> </w:t>
      </w:r>
    </w:p>
    <w:p w14:paraId="1D5FF794" w14:textId="39ED7D99" w:rsidR="00277561" w:rsidRPr="00796C0D" w:rsidRDefault="00277561" w:rsidP="00046D03">
      <w:pPr>
        <w:jc w:val="both"/>
        <w:rPr>
          <w:lang w:eastAsia="en-AU"/>
        </w:rPr>
      </w:pPr>
      <w:r w:rsidRPr="00796C0D">
        <w:rPr>
          <w:lang w:eastAsia="en-AU"/>
        </w:rPr>
        <w:t>Submissions to this question were from all sectors: food industry in Australia and New Zealand; public health organisations in Australia and New Zealand; as well as a consumer organisation, members of the public and one Australian state government. Other types of business types selling standard food outlets that were suggested included:</w:t>
      </w:r>
    </w:p>
    <w:p w14:paraId="05A9A3BD" w14:textId="77777777" w:rsidR="00277561" w:rsidRPr="00796C0D" w:rsidRDefault="00277561" w:rsidP="0055688D">
      <w:pPr>
        <w:pStyle w:val="ListParagraph"/>
        <w:numPr>
          <w:ilvl w:val="0"/>
          <w:numId w:val="36"/>
        </w:numPr>
        <w:jc w:val="both"/>
        <w:rPr>
          <w:lang w:eastAsia="en-AU"/>
        </w:rPr>
      </w:pPr>
      <w:r w:rsidRPr="00796C0D">
        <w:rPr>
          <w:lang w:eastAsia="en-AU"/>
        </w:rPr>
        <w:t xml:space="preserve">Meal kit / pre-packaged home delivery services which include ready-to-heat, ready-to-eat, and ready-to-prepare options. It was noted that some voluntarily provide nutrition info on websites; and most would include nutritional information on packaging. </w:t>
      </w:r>
    </w:p>
    <w:p w14:paraId="57FB3B43" w14:textId="77777777" w:rsidR="00277561" w:rsidRPr="00796C0D" w:rsidRDefault="00277561" w:rsidP="0055688D">
      <w:pPr>
        <w:pStyle w:val="ListParagraph"/>
        <w:numPr>
          <w:ilvl w:val="0"/>
          <w:numId w:val="36"/>
        </w:numPr>
        <w:jc w:val="both"/>
        <w:rPr>
          <w:lang w:eastAsia="en-AU"/>
        </w:rPr>
      </w:pPr>
      <w:r w:rsidRPr="00796C0D">
        <w:rPr>
          <w:lang w:eastAsia="en-AU"/>
        </w:rPr>
        <w:t>Third-party delivery platforms.</w:t>
      </w:r>
    </w:p>
    <w:p w14:paraId="5C1D5C9E" w14:textId="77777777" w:rsidR="00277561" w:rsidRPr="00796C0D" w:rsidRDefault="00277561" w:rsidP="0055688D">
      <w:pPr>
        <w:pStyle w:val="ListParagraph"/>
        <w:numPr>
          <w:ilvl w:val="0"/>
          <w:numId w:val="36"/>
        </w:numPr>
        <w:jc w:val="both"/>
        <w:rPr>
          <w:lang w:eastAsia="en-AU"/>
        </w:rPr>
      </w:pPr>
      <w:r w:rsidRPr="00796C0D">
        <w:rPr>
          <w:lang w:eastAsia="en-AU"/>
        </w:rPr>
        <w:t>Mobile outlets e.g. food trucks, pop-up carts.</w:t>
      </w:r>
    </w:p>
    <w:p w14:paraId="6D770D16" w14:textId="77777777" w:rsidR="00277561" w:rsidRPr="00796C0D" w:rsidRDefault="00277561" w:rsidP="0055688D">
      <w:pPr>
        <w:pStyle w:val="ListParagraph"/>
        <w:numPr>
          <w:ilvl w:val="0"/>
          <w:numId w:val="36"/>
        </w:numPr>
        <w:jc w:val="both"/>
        <w:rPr>
          <w:lang w:eastAsia="en-AU"/>
        </w:rPr>
      </w:pPr>
      <w:r w:rsidRPr="00796C0D">
        <w:rPr>
          <w:lang w:eastAsia="en-AU"/>
        </w:rPr>
        <w:t>Sport &amp; recreation / entertainment venues e.g. play centres, indoor rock-climbing, trampolining, bowling alleys and gyms.</w:t>
      </w:r>
    </w:p>
    <w:p w14:paraId="0B3DF038" w14:textId="77777777" w:rsidR="00277561" w:rsidRPr="00796C0D" w:rsidRDefault="00277561" w:rsidP="0055688D">
      <w:pPr>
        <w:pStyle w:val="ListParagraph"/>
        <w:numPr>
          <w:ilvl w:val="0"/>
          <w:numId w:val="36"/>
        </w:numPr>
        <w:jc w:val="both"/>
        <w:rPr>
          <w:lang w:eastAsia="en-AU"/>
        </w:rPr>
      </w:pPr>
      <w:r w:rsidRPr="00796C0D">
        <w:rPr>
          <w:lang w:eastAsia="en-AU"/>
        </w:rPr>
        <w:t>Airlines.</w:t>
      </w:r>
    </w:p>
    <w:p w14:paraId="6235451F" w14:textId="77777777" w:rsidR="00277561" w:rsidRPr="00796C0D" w:rsidRDefault="00277561" w:rsidP="0055688D">
      <w:pPr>
        <w:pStyle w:val="ListParagraph"/>
        <w:numPr>
          <w:ilvl w:val="0"/>
          <w:numId w:val="36"/>
        </w:numPr>
        <w:jc w:val="both"/>
        <w:rPr>
          <w:lang w:eastAsia="en-AU"/>
        </w:rPr>
      </w:pPr>
      <w:r w:rsidRPr="00796C0D">
        <w:rPr>
          <w:lang w:eastAsia="en-AU"/>
        </w:rPr>
        <w:t xml:space="preserve">Vending machines. </w:t>
      </w:r>
    </w:p>
    <w:p w14:paraId="30A9999E" w14:textId="77777777" w:rsidR="00277561" w:rsidRPr="00796C0D" w:rsidRDefault="00277561" w:rsidP="0055688D">
      <w:pPr>
        <w:pStyle w:val="ListParagraph"/>
        <w:numPr>
          <w:ilvl w:val="0"/>
          <w:numId w:val="36"/>
        </w:numPr>
        <w:jc w:val="both"/>
        <w:rPr>
          <w:lang w:eastAsia="en-AU"/>
        </w:rPr>
      </w:pPr>
      <w:r w:rsidRPr="00796C0D">
        <w:rPr>
          <w:lang w:eastAsia="en-AU"/>
        </w:rPr>
        <w:t>Drive-</w:t>
      </w:r>
      <w:proofErr w:type="spellStart"/>
      <w:r w:rsidRPr="00796C0D">
        <w:rPr>
          <w:lang w:eastAsia="en-AU"/>
        </w:rPr>
        <w:t>thrus</w:t>
      </w:r>
      <w:proofErr w:type="spellEnd"/>
      <w:r w:rsidRPr="00796C0D">
        <w:rPr>
          <w:lang w:eastAsia="en-AU"/>
        </w:rPr>
        <w:t xml:space="preserve"> as not all items listed.</w:t>
      </w:r>
    </w:p>
    <w:p w14:paraId="757716B1" w14:textId="77777777" w:rsidR="00277561" w:rsidRPr="00796C0D" w:rsidRDefault="00277561" w:rsidP="0055688D">
      <w:pPr>
        <w:pStyle w:val="ListParagraph"/>
        <w:numPr>
          <w:ilvl w:val="0"/>
          <w:numId w:val="36"/>
        </w:numPr>
        <w:jc w:val="both"/>
        <w:rPr>
          <w:lang w:eastAsia="en-AU"/>
        </w:rPr>
      </w:pPr>
      <w:r w:rsidRPr="00796C0D">
        <w:rPr>
          <w:lang w:eastAsia="en-AU"/>
        </w:rPr>
        <w:t xml:space="preserve">School canteens as some offer standardised meals. </w:t>
      </w:r>
    </w:p>
    <w:p w14:paraId="74AE6B66" w14:textId="77777777" w:rsidR="00277561" w:rsidRPr="00796C0D" w:rsidRDefault="00277561" w:rsidP="00046D03">
      <w:pPr>
        <w:jc w:val="both"/>
        <w:rPr>
          <w:lang w:eastAsia="en-AU"/>
        </w:rPr>
      </w:pPr>
    </w:p>
    <w:p w14:paraId="22641EFA" w14:textId="3DC16907" w:rsidR="00277561" w:rsidRPr="00796C0D" w:rsidRDefault="00277561" w:rsidP="00046D03">
      <w:pPr>
        <w:jc w:val="both"/>
        <w:rPr>
          <w:lang w:eastAsia="en-AU"/>
        </w:rPr>
      </w:pPr>
      <w:r w:rsidRPr="00796C0D">
        <w:rPr>
          <w:lang w:eastAsia="en-AU"/>
        </w:rPr>
        <w:t>It was noted that consistency across products is important. There were recommendations to undertake ongoing monitoring of business types and to future-proof the approach to menu labelling to account for innovation to the food supply.</w:t>
      </w:r>
      <w:r w:rsidR="00502FE6" w:rsidRPr="00796C0D">
        <w:rPr>
          <w:lang w:eastAsia="en-AU"/>
        </w:rPr>
        <w:t xml:space="preserve"> </w:t>
      </w:r>
      <w:r w:rsidRPr="00796C0D">
        <w:rPr>
          <w:lang w:eastAsia="en-AU"/>
        </w:rPr>
        <w:t xml:space="preserve">Four food industry organisations (3 in Australia, and 1 in New Zealand) did not think there were any other business types selling standard food items. One New Zealand industry organisation reiterated their query of the definition of a standard food outlet. While a member of the </w:t>
      </w:r>
      <w:r w:rsidR="00C31608" w:rsidRPr="00796C0D">
        <w:rPr>
          <w:lang w:eastAsia="en-AU"/>
        </w:rPr>
        <w:t>public</w:t>
      </w:r>
      <w:r w:rsidRPr="00796C0D">
        <w:rPr>
          <w:lang w:eastAsia="en-AU"/>
        </w:rPr>
        <w:t xml:space="preserve"> queried the outlet threshold as fast food is high in energy regardless of the number of outlets owned/operated by a business.</w:t>
      </w:r>
    </w:p>
    <w:p w14:paraId="76052C77" w14:textId="77777777" w:rsidR="00277561" w:rsidRPr="00796C0D" w:rsidRDefault="00277561" w:rsidP="00046D03">
      <w:pPr>
        <w:jc w:val="both"/>
        <w:rPr>
          <w:b/>
          <w:bCs/>
          <w:lang w:eastAsia="en-AU"/>
        </w:rPr>
      </w:pPr>
    </w:p>
    <w:p w14:paraId="3F87D4A8" w14:textId="77777777" w:rsidR="00277561" w:rsidRPr="00796C0D" w:rsidRDefault="00277561" w:rsidP="00046D03">
      <w:pPr>
        <w:jc w:val="both"/>
        <w:rPr>
          <w:b/>
          <w:bCs/>
          <w:lang w:eastAsia="en-AU"/>
        </w:rPr>
      </w:pPr>
    </w:p>
    <w:p w14:paraId="58F5FB95" w14:textId="77777777" w:rsidR="00277561" w:rsidRPr="00796C0D" w:rsidRDefault="00277561" w:rsidP="00046D03">
      <w:pPr>
        <w:jc w:val="both"/>
        <w:rPr>
          <w:b/>
        </w:rPr>
      </w:pPr>
      <w:r w:rsidRPr="00796C0D">
        <w:rPr>
          <w:b/>
        </w:rPr>
        <w:lastRenderedPageBreak/>
        <w:t xml:space="preserve">9: What, if any, other new ways of </w:t>
      </w:r>
      <w:r w:rsidRPr="00796C0D">
        <w:rPr>
          <w:b/>
          <w:lang w:eastAsia="zh-CN" w:bidi="th-TH"/>
        </w:rPr>
        <w:t xml:space="preserve">promoting, offering, and selling </w:t>
      </w:r>
      <w:r w:rsidRPr="00796C0D">
        <w:rPr>
          <w:b/>
        </w:rPr>
        <w:t xml:space="preserve">standard food items have emerged since 2011, or are likely to emerge in the future, and are not covered in this document? </w:t>
      </w:r>
    </w:p>
    <w:p w14:paraId="2ACA286E" w14:textId="3435381D" w:rsidR="00277561" w:rsidRPr="00796C0D" w:rsidRDefault="00277561" w:rsidP="00046D03">
      <w:pPr>
        <w:jc w:val="both"/>
        <w:rPr>
          <w:lang w:eastAsia="en-AU"/>
        </w:rPr>
      </w:pPr>
      <w:r w:rsidRPr="00796C0D">
        <w:rPr>
          <w:lang w:eastAsia="en-AU"/>
        </w:rPr>
        <w:t xml:space="preserve">Submissions to this question were from all sectors: food industry in Australia and New Zealand; public health organisations in Australia and New Zealand; as well as a consumer organisation, members of the public and one Australian state government. The consultation RIS noted that digital panel menus, third-party delivery platforms, build your own menu items and contactless ordering / payment / delivery via apps and other digital platforms were new technologies and trends that had emerged since the 2011 Principles were developed. Many submissions agreed, with online delivery services, both by food businesses and third-party operators, frequently noted. Some Australian public health organisations indicated that ‘build your own’ menu items were not standard food items and suggested that regulation require the energy content of standardised components and total item be displayed. </w:t>
      </w:r>
    </w:p>
    <w:p w14:paraId="287DC24E" w14:textId="77777777" w:rsidR="00277561" w:rsidRPr="00796C0D" w:rsidRDefault="00277561" w:rsidP="00046D03">
      <w:pPr>
        <w:jc w:val="both"/>
        <w:rPr>
          <w:lang w:eastAsia="en-AU"/>
        </w:rPr>
      </w:pPr>
    </w:p>
    <w:p w14:paraId="7B93E29B" w14:textId="1820E0B0" w:rsidR="00277561" w:rsidRPr="00796C0D" w:rsidRDefault="00277561" w:rsidP="00046D03">
      <w:pPr>
        <w:jc w:val="both"/>
        <w:rPr>
          <w:lang w:eastAsia="en-AU"/>
        </w:rPr>
      </w:pPr>
      <w:r w:rsidRPr="00796C0D">
        <w:rPr>
          <w:lang w:eastAsia="en-AU"/>
        </w:rPr>
        <w:t xml:space="preserve">Other ways of promoting, </w:t>
      </w:r>
      <w:r w:rsidR="0032770B" w:rsidRPr="00796C0D">
        <w:rPr>
          <w:lang w:eastAsia="en-AU"/>
        </w:rPr>
        <w:t>offering,</w:t>
      </w:r>
      <w:r w:rsidRPr="00796C0D">
        <w:rPr>
          <w:lang w:eastAsia="en-AU"/>
        </w:rPr>
        <w:t xml:space="preserve"> or selling standard food items that were suggested included:</w:t>
      </w:r>
    </w:p>
    <w:p w14:paraId="73693DF4" w14:textId="77777777" w:rsidR="00277561" w:rsidRPr="00796C0D" w:rsidRDefault="00277561" w:rsidP="0055688D">
      <w:pPr>
        <w:pStyle w:val="ListParagraph"/>
        <w:numPr>
          <w:ilvl w:val="0"/>
          <w:numId w:val="38"/>
        </w:numPr>
        <w:jc w:val="both"/>
        <w:rPr>
          <w:lang w:eastAsia="en-AU"/>
        </w:rPr>
      </w:pPr>
      <w:r w:rsidRPr="00796C0D">
        <w:rPr>
          <w:lang w:eastAsia="en-AU"/>
        </w:rPr>
        <w:t xml:space="preserve">the increase in home delivered meal packages for home-based preparation; </w:t>
      </w:r>
    </w:p>
    <w:p w14:paraId="277ABE57" w14:textId="77777777" w:rsidR="00277561" w:rsidRPr="00796C0D" w:rsidRDefault="00277561" w:rsidP="0055688D">
      <w:pPr>
        <w:pStyle w:val="ListParagraph"/>
        <w:numPr>
          <w:ilvl w:val="0"/>
          <w:numId w:val="38"/>
        </w:numPr>
        <w:jc w:val="both"/>
        <w:rPr>
          <w:lang w:eastAsia="en-AU"/>
        </w:rPr>
      </w:pPr>
      <w:r w:rsidRPr="00796C0D">
        <w:rPr>
          <w:lang w:eastAsia="en-AU"/>
        </w:rPr>
        <w:t>the availability of large serving sizes;</w:t>
      </w:r>
    </w:p>
    <w:p w14:paraId="2AE4DD75" w14:textId="77777777" w:rsidR="00277561" w:rsidRPr="00796C0D" w:rsidRDefault="00277561" w:rsidP="0055688D">
      <w:pPr>
        <w:pStyle w:val="ListParagraph"/>
        <w:numPr>
          <w:ilvl w:val="0"/>
          <w:numId w:val="38"/>
        </w:numPr>
        <w:jc w:val="both"/>
        <w:rPr>
          <w:lang w:eastAsia="en-AU"/>
        </w:rPr>
      </w:pPr>
      <w:r w:rsidRPr="00796C0D">
        <w:rPr>
          <w:lang w:eastAsia="en-AU"/>
        </w:rPr>
        <w:t>menu infrastructure and technology such as online pop-ups for upselling, QR codes, kiosks, and apps that recognise past purchases;</w:t>
      </w:r>
    </w:p>
    <w:p w14:paraId="2910A0C8" w14:textId="77777777" w:rsidR="00277561" w:rsidRPr="00796C0D" w:rsidRDefault="00277561" w:rsidP="0055688D">
      <w:pPr>
        <w:pStyle w:val="ListParagraph"/>
        <w:numPr>
          <w:ilvl w:val="0"/>
          <w:numId w:val="38"/>
        </w:numPr>
        <w:jc w:val="both"/>
        <w:rPr>
          <w:lang w:eastAsia="en-AU"/>
        </w:rPr>
      </w:pPr>
      <w:r w:rsidRPr="00796C0D">
        <w:rPr>
          <w:lang w:eastAsia="en-AU"/>
        </w:rPr>
        <w:t>the availability of 24/7 home delivery; and</w:t>
      </w:r>
    </w:p>
    <w:p w14:paraId="7DF4D2DF" w14:textId="77777777" w:rsidR="00277561" w:rsidRPr="00796C0D" w:rsidRDefault="00277561" w:rsidP="0055688D">
      <w:pPr>
        <w:pStyle w:val="ListParagraph"/>
        <w:numPr>
          <w:ilvl w:val="0"/>
          <w:numId w:val="38"/>
        </w:numPr>
        <w:jc w:val="both"/>
        <w:rPr>
          <w:lang w:eastAsia="en-AU"/>
        </w:rPr>
      </w:pPr>
      <w:r w:rsidRPr="00796C0D">
        <w:rPr>
          <w:lang w:eastAsia="en-AU"/>
        </w:rPr>
        <w:t>marketing approaches used such as apps and games targeting children, discount offers via social media maps, and traditional advertising (i.e. buses, bus stops, radio).</w:t>
      </w:r>
    </w:p>
    <w:p w14:paraId="344ABA63" w14:textId="77777777" w:rsidR="00277561" w:rsidRPr="00796C0D" w:rsidRDefault="00277561" w:rsidP="00046D03">
      <w:pPr>
        <w:jc w:val="both"/>
        <w:rPr>
          <w:lang w:eastAsia="en-AU"/>
        </w:rPr>
      </w:pPr>
    </w:p>
    <w:p w14:paraId="0D1C5BAB" w14:textId="41283E11" w:rsidR="00277561" w:rsidRPr="00796C0D" w:rsidRDefault="00277561" w:rsidP="00046D03">
      <w:pPr>
        <w:jc w:val="both"/>
        <w:rPr>
          <w:lang w:eastAsia="en-AU"/>
        </w:rPr>
      </w:pPr>
      <w:r w:rsidRPr="00796C0D">
        <w:rPr>
          <w:lang w:eastAsia="en-AU"/>
        </w:rPr>
        <w:t>Submissions also reiterated the types of businesses selling standard food items that were identified at Q8. Catering was also mentioned by one Australian food industry organisation, noting it provided a form of exemption from menu labelling.</w:t>
      </w:r>
      <w:r w:rsidR="00502FE6" w:rsidRPr="00796C0D">
        <w:rPr>
          <w:lang w:eastAsia="en-AU"/>
        </w:rPr>
        <w:t xml:space="preserve"> </w:t>
      </w:r>
      <w:r w:rsidRPr="00796C0D">
        <w:rPr>
          <w:lang w:eastAsia="en-AU"/>
        </w:rPr>
        <w:t>It was noted by one New Zealand food industry organisation that purchases were made without reference to the menu, so menu labelling was less influential.</w:t>
      </w:r>
    </w:p>
    <w:p w14:paraId="498C2577" w14:textId="77777777" w:rsidR="00277561" w:rsidRPr="00796C0D" w:rsidRDefault="00277561" w:rsidP="00046D03">
      <w:pPr>
        <w:jc w:val="both"/>
        <w:rPr>
          <w:b/>
          <w:bCs/>
          <w:highlight w:val="yellow"/>
          <w:lang w:eastAsia="en-AU"/>
        </w:rPr>
      </w:pPr>
    </w:p>
    <w:p w14:paraId="20863547" w14:textId="77777777" w:rsidR="00277561" w:rsidRPr="00796C0D" w:rsidRDefault="00277561" w:rsidP="00046D03">
      <w:pPr>
        <w:pStyle w:val="ListParagraph"/>
        <w:ind w:left="0"/>
        <w:jc w:val="both"/>
        <w:rPr>
          <w:b/>
          <w:bCs/>
        </w:rPr>
      </w:pPr>
      <w:r w:rsidRPr="00796C0D">
        <w:rPr>
          <w:b/>
          <w:bCs/>
        </w:rPr>
        <w:t>10: Is it a problem for consumers when energy information is not available for all menu items and/or on all ordering platforms and menu infrastructure? If so, please detail the problem and its impact.</w:t>
      </w:r>
    </w:p>
    <w:p w14:paraId="57B69F9C" w14:textId="77777777" w:rsidR="00277561" w:rsidRPr="00796C0D" w:rsidRDefault="00277561" w:rsidP="00046D03">
      <w:pPr>
        <w:jc w:val="both"/>
        <w:rPr>
          <w:b/>
          <w:bCs/>
          <w:highlight w:val="yellow"/>
          <w:lang w:eastAsia="en-AU"/>
        </w:rPr>
      </w:pPr>
    </w:p>
    <w:p w14:paraId="14161411" w14:textId="74107D94" w:rsidR="00277561" w:rsidRPr="00796C0D" w:rsidRDefault="00277561" w:rsidP="00046D03">
      <w:pPr>
        <w:jc w:val="both"/>
        <w:rPr>
          <w:lang w:eastAsia="en-AU"/>
        </w:rPr>
      </w:pPr>
      <w:r w:rsidRPr="00796C0D">
        <w:rPr>
          <w:lang w:eastAsia="en-AU"/>
        </w:rPr>
        <w:t xml:space="preserve">Most submissions (18 of 25) agree it is a problem for consumers when energy information is not available for all menu items and/or on all ordering platforms and menu infrastructure. Without energy information available, it was noted consumers would underestimate the impact on daily energy intake. The increased use of online platforms and availability of customised menu choices </w:t>
      </w:r>
      <w:r w:rsidR="001F6F56" w:rsidRPr="00796C0D">
        <w:rPr>
          <w:lang w:eastAsia="en-AU"/>
        </w:rPr>
        <w:t>were</w:t>
      </w:r>
      <w:r w:rsidRPr="00796C0D">
        <w:rPr>
          <w:lang w:eastAsia="en-AU"/>
        </w:rPr>
        <w:t xml:space="preserve"> key contributors to an increasing problem.</w:t>
      </w:r>
    </w:p>
    <w:p w14:paraId="2E0C9556" w14:textId="77777777" w:rsidR="00277561" w:rsidRPr="00796C0D" w:rsidRDefault="00277561" w:rsidP="00046D03">
      <w:pPr>
        <w:jc w:val="both"/>
        <w:rPr>
          <w:lang w:eastAsia="en-AU"/>
        </w:rPr>
      </w:pPr>
    </w:p>
    <w:p w14:paraId="644535B6" w14:textId="21328C99" w:rsidR="00277561" w:rsidRPr="00796C0D" w:rsidRDefault="00277561" w:rsidP="00046D03">
      <w:pPr>
        <w:jc w:val="both"/>
        <w:rPr>
          <w:lang w:eastAsia="en-AU"/>
        </w:rPr>
      </w:pPr>
      <w:r w:rsidRPr="00796C0D">
        <w:rPr>
          <w:lang w:eastAsia="en-AU"/>
        </w:rPr>
        <w:t>Four organisations didn’t agree it was a problem for consumers. One Australian food industry organisation indicated more information could be provided online compared to a menu. While another Australian food industry organisation noted that until there was increased consumer awareness of menu labelling, it wouldn’t be a problem that information wasn’t universally available. Both a public health and food industry organisation in New Zealand indicated the issue was interpreting the energy information, with declining numeracy levels a factor. The public health organisation recommended interpretative labelling such as star ratings and information about ingredients. The food industry organisation reiterated views that other approaches such as reformulation be considered, as the evidence indicates menu labelling has no or mixed impact.</w:t>
      </w:r>
      <w:r w:rsidR="00502FE6" w:rsidRPr="00796C0D">
        <w:rPr>
          <w:lang w:eastAsia="en-AU"/>
        </w:rPr>
        <w:t xml:space="preserve"> </w:t>
      </w:r>
      <w:r w:rsidRPr="00796C0D">
        <w:rPr>
          <w:lang w:eastAsia="en-AU"/>
        </w:rPr>
        <w:t>A further three organisations didn’t know if it was a problem for consumers. However, two public health organisations in New Zealand reiterated that consumers have a right to information about food and that it should be at the point-of-sale on all platforms.</w:t>
      </w:r>
    </w:p>
    <w:p w14:paraId="4E2A861F" w14:textId="77777777" w:rsidR="00277561" w:rsidRPr="00796C0D" w:rsidRDefault="00277561" w:rsidP="00046D03">
      <w:pPr>
        <w:jc w:val="both"/>
        <w:rPr>
          <w:lang w:eastAsia="en-AU"/>
        </w:rPr>
      </w:pPr>
    </w:p>
    <w:p w14:paraId="50682888" w14:textId="77777777" w:rsidR="00277561" w:rsidRPr="00796C0D" w:rsidRDefault="00277561" w:rsidP="00046D03">
      <w:pPr>
        <w:jc w:val="both"/>
        <w:rPr>
          <w:b/>
          <w:bCs/>
          <w:highlight w:val="yellow"/>
          <w:lang w:eastAsia="en-AU"/>
        </w:rPr>
      </w:pPr>
    </w:p>
    <w:p w14:paraId="46E7B802" w14:textId="77777777" w:rsidR="00277561" w:rsidRPr="00796C0D" w:rsidRDefault="00277561" w:rsidP="00046D03">
      <w:pPr>
        <w:pStyle w:val="ListParagraph"/>
        <w:ind w:left="0"/>
        <w:jc w:val="both"/>
        <w:rPr>
          <w:b/>
          <w:bCs/>
        </w:rPr>
      </w:pPr>
      <w:r w:rsidRPr="00796C0D">
        <w:rPr>
          <w:b/>
          <w:bCs/>
        </w:rPr>
        <w:t xml:space="preserve">11: Has the increased use of different menu infrastructure and online platforms changed the cost of implementing menu labelling in Australia? </w:t>
      </w:r>
    </w:p>
    <w:p w14:paraId="503ADCC8" w14:textId="5E1E4EA5" w:rsidR="00277561" w:rsidRPr="00796C0D" w:rsidRDefault="00277561" w:rsidP="00046D03">
      <w:pPr>
        <w:jc w:val="both"/>
        <w:rPr>
          <w:lang w:eastAsia="en-AU"/>
        </w:rPr>
      </w:pPr>
      <w:r w:rsidRPr="00796C0D">
        <w:rPr>
          <w:lang w:eastAsia="en-AU"/>
        </w:rPr>
        <w:t xml:space="preserve">Five Australian and one New Zealand food industry thought costs had changed. The time needed to update different infrastructure and platforms was one factor. Other elements were the cost of menu design and determining the energy content. </w:t>
      </w:r>
      <w:r w:rsidRPr="00796C0D">
        <w:rPr>
          <w:i/>
          <w:iCs/>
          <w:lang w:eastAsia="en-AU"/>
        </w:rPr>
        <w:t>However, it should be noted that these costs are associated with menu labelling regardless of the type of menu used, and so aren’t necessarily additional costs.</w:t>
      </w:r>
      <w:r w:rsidR="00A569CC" w:rsidRPr="00796C0D">
        <w:rPr>
          <w:i/>
          <w:iCs/>
          <w:lang w:eastAsia="en-AU"/>
        </w:rPr>
        <w:t xml:space="preserve"> </w:t>
      </w:r>
      <w:r w:rsidRPr="00796C0D">
        <w:rPr>
          <w:lang w:eastAsia="en-AU"/>
        </w:rPr>
        <w:t xml:space="preserve">One Australian public health and one food industry organisation didn’t think there had been a change in costs, noting changes to online platforms were low and changes to websites and menus could be done during regular updates and were no different to adding a product photo or name. </w:t>
      </w:r>
    </w:p>
    <w:p w14:paraId="7D34C65C" w14:textId="77777777" w:rsidR="00277561" w:rsidRPr="00796C0D" w:rsidRDefault="00277561" w:rsidP="00046D03">
      <w:pPr>
        <w:jc w:val="both"/>
        <w:rPr>
          <w:lang w:eastAsia="en-AU"/>
        </w:rPr>
      </w:pPr>
    </w:p>
    <w:p w14:paraId="4E04F151" w14:textId="1EC20730" w:rsidR="00277561" w:rsidRPr="00796C0D" w:rsidRDefault="00277561" w:rsidP="00046D03">
      <w:pPr>
        <w:jc w:val="both"/>
        <w:rPr>
          <w:lang w:eastAsia="en-AU"/>
        </w:rPr>
      </w:pPr>
      <w:r w:rsidRPr="00796C0D">
        <w:rPr>
          <w:lang w:eastAsia="en-AU"/>
        </w:rPr>
        <w:t xml:space="preserve">Ten submissions didn’t know if the cost of menu labelling implementation had changed. However Australian public health and consumer organisations highlighted that </w:t>
      </w:r>
      <w:r w:rsidR="0028438D">
        <w:rPr>
          <w:lang w:eastAsia="en-AU"/>
        </w:rPr>
        <w:t xml:space="preserve">the </w:t>
      </w:r>
      <w:r w:rsidRPr="00796C0D">
        <w:rPr>
          <w:lang w:eastAsia="en-AU"/>
        </w:rPr>
        <w:t>costs would be low, especially when compared to cost savings from dietary improvements and reduced diet-related chronic disease. These organisations also strongly recommended that costs must be assessed against public health benefits and that health must be the core consideration. It was noted that costs to businesses shouldn’t be a reason for not displaying energy information. Most New Zealand organisations did not respond to this question.</w:t>
      </w:r>
    </w:p>
    <w:p w14:paraId="5FEE9FB8" w14:textId="77777777" w:rsidR="00277561" w:rsidRPr="00796C0D" w:rsidRDefault="00277561" w:rsidP="00046D03">
      <w:pPr>
        <w:jc w:val="both"/>
        <w:rPr>
          <w:b/>
          <w:bCs/>
          <w:lang w:eastAsia="en-AU"/>
        </w:rPr>
      </w:pPr>
    </w:p>
    <w:p w14:paraId="60723454" w14:textId="77777777" w:rsidR="00277561" w:rsidRPr="00796C0D" w:rsidRDefault="00277561" w:rsidP="00046D03">
      <w:pPr>
        <w:jc w:val="both"/>
        <w:rPr>
          <w:b/>
          <w:bCs/>
        </w:rPr>
      </w:pPr>
      <w:r w:rsidRPr="00796C0D">
        <w:rPr>
          <w:b/>
          <w:bCs/>
        </w:rPr>
        <w:t>12: Do you agree with the overall statement of the problem presented (section 2, 2.1-2.3)?</w:t>
      </w:r>
    </w:p>
    <w:p w14:paraId="196D10F3" w14:textId="78B889A9" w:rsidR="00277561" w:rsidRPr="00796C0D" w:rsidRDefault="00277561" w:rsidP="00046D03">
      <w:pPr>
        <w:jc w:val="both"/>
        <w:rPr>
          <w:b/>
          <w:bCs/>
        </w:rPr>
      </w:pPr>
      <w:r w:rsidRPr="00796C0D">
        <w:rPr>
          <w:lang w:eastAsia="en-AU"/>
        </w:rPr>
        <w:t>Most (23 of 26) submissions agree with the overall statement of the problem presented in the RIS.</w:t>
      </w:r>
      <w:r w:rsidR="00A569CC" w:rsidRPr="00796C0D">
        <w:rPr>
          <w:lang w:eastAsia="en-AU"/>
        </w:rPr>
        <w:t xml:space="preserve"> </w:t>
      </w:r>
      <w:r w:rsidRPr="00796C0D">
        <w:rPr>
          <w:lang w:eastAsia="en-AU"/>
        </w:rPr>
        <w:t>Three Australian public health organisations in Australia highlighted that there is an additional problem. It is believed that menu labelling is not achieving the highest possible health impact due to business exemptions and limited application.</w:t>
      </w:r>
      <w:r w:rsidR="00A569CC" w:rsidRPr="00796C0D">
        <w:rPr>
          <w:lang w:eastAsia="en-AU"/>
        </w:rPr>
        <w:t xml:space="preserve"> </w:t>
      </w:r>
      <w:r w:rsidRPr="00796C0D">
        <w:rPr>
          <w:lang w:eastAsia="en-AU"/>
        </w:rPr>
        <w:t>There were mixed views among New Zealand food industry organisations. One organisation agree</w:t>
      </w:r>
      <w:r w:rsidR="001D7896" w:rsidRPr="00796C0D">
        <w:rPr>
          <w:lang w:eastAsia="en-AU"/>
        </w:rPr>
        <w:t>d</w:t>
      </w:r>
      <w:r w:rsidRPr="00796C0D">
        <w:rPr>
          <w:lang w:eastAsia="en-AU"/>
        </w:rPr>
        <w:t xml:space="preserve"> that national inconsistency is also an issue for New Zealand as there is no agreed framework for menu labelling in New Zealand. In contrast, another organisation’s view is that national inconsistency is only an issue for Australia.</w:t>
      </w:r>
      <w:r w:rsidR="00A569CC" w:rsidRPr="00796C0D">
        <w:rPr>
          <w:lang w:eastAsia="en-AU"/>
        </w:rPr>
        <w:t xml:space="preserve"> </w:t>
      </w:r>
      <w:r w:rsidRPr="00796C0D">
        <w:rPr>
          <w:lang w:eastAsia="en-AU"/>
        </w:rPr>
        <w:t>Some submissions raised specific issues with menu labelling provisions, including businesses captured, display of information, and calculation of energy information.</w:t>
      </w:r>
    </w:p>
    <w:p w14:paraId="204D6BAA" w14:textId="77777777" w:rsidR="00277561" w:rsidRPr="00796C0D" w:rsidRDefault="00277561" w:rsidP="00046D03">
      <w:pPr>
        <w:jc w:val="both"/>
        <w:rPr>
          <w:b/>
          <w:bCs/>
        </w:rPr>
      </w:pPr>
    </w:p>
    <w:p w14:paraId="55280B8F" w14:textId="77777777" w:rsidR="00277561" w:rsidRPr="00796C0D" w:rsidRDefault="00277561" w:rsidP="00046D03">
      <w:pPr>
        <w:jc w:val="both"/>
        <w:rPr>
          <w:b/>
          <w:bCs/>
        </w:rPr>
      </w:pPr>
      <w:r w:rsidRPr="00796C0D">
        <w:rPr>
          <w:b/>
          <w:bCs/>
        </w:rPr>
        <w:t>13: Do you agree that this problem requires government intervention?</w:t>
      </w:r>
    </w:p>
    <w:p w14:paraId="4CCADD5C" w14:textId="41A23C56" w:rsidR="00277561" w:rsidRPr="00796C0D" w:rsidRDefault="00277561" w:rsidP="00046D03">
      <w:pPr>
        <w:jc w:val="both"/>
        <w:rPr>
          <w:lang w:eastAsia="en-AU"/>
        </w:rPr>
      </w:pPr>
      <w:r w:rsidRPr="00796C0D">
        <w:rPr>
          <w:lang w:eastAsia="en-AU"/>
        </w:rPr>
        <w:t>Most (24 of 26) submissions agree that government intervention is required to address the problem. The key reason government intervention is needed are that previous attempts (2011 Principles and jurisdictional implementation) have not achieved national consistency.</w:t>
      </w:r>
      <w:r w:rsidR="00A569CC" w:rsidRPr="00796C0D">
        <w:rPr>
          <w:lang w:eastAsia="en-AU"/>
        </w:rPr>
        <w:t xml:space="preserve"> </w:t>
      </w:r>
      <w:r w:rsidRPr="00796C0D">
        <w:rPr>
          <w:lang w:eastAsia="en-AU"/>
        </w:rPr>
        <w:t>Many submissions also provide views on the type of intervention required (mostly recommend mandatory action preferred over voluntary) and intervention design issues.</w:t>
      </w:r>
    </w:p>
    <w:p w14:paraId="1D9AFE65" w14:textId="77777777" w:rsidR="00277561" w:rsidRPr="00796C0D" w:rsidRDefault="00277561" w:rsidP="00046D03">
      <w:pPr>
        <w:jc w:val="both"/>
        <w:rPr>
          <w:b/>
          <w:bCs/>
          <w:lang w:eastAsia="en-AU"/>
        </w:rPr>
      </w:pPr>
    </w:p>
    <w:p w14:paraId="702501FA" w14:textId="25B4FD9A" w:rsidR="00277561" w:rsidRPr="00796C0D" w:rsidRDefault="00277561" w:rsidP="00046D03">
      <w:pPr>
        <w:jc w:val="both"/>
        <w:rPr>
          <w:b/>
          <w:bCs/>
          <w:highlight w:val="yellow"/>
        </w:rPr>
      </w:pPr>
      <w:r w:rsidRPr="00796C0D">
        <w:rPr>
          <w:b/>
          <w:bCs/>
        </w:rPr>
        <w:t>14. Do you agree with the objectives proposed?  If not, please suggest alternate objectives and provide your reasons.</w:t>
      </w:r>
    </w:p>
    <w:p w14:paraId="6C5A1009" w14:textId="23EB45BB" w:rsidR="00277561" w:rsidRPr="00796C0D" w:rsidRDefault="00277561" w:rsidP="00046D03">
      <w:pPr>
        <w:jc w:val="both"/>
        <w:rPr>
          <w:lang w:eastAsia="en-AU"/>
        </w:rPr>
      </w:pPr>
      <w:r w:rsidRPr="00796C0D">
        <w:rPr>
          <w:lang w:eastAsia="en-AU"/>
        </w:rPr>
        <w:t>Most submissions (25 of 26) across all stakeholder groups either agree or conditionally agree with the three objectives.</w:t>
      </w:r>
      <w:r w:rsidR="00A569CC" w:rsidRPr="00796C0D">
        <w:rPr>
          <w:lang w:eastAsia="en-AU"/>
        </w:rPr>
        <w:t xml:space="preserve"> </w:t>
      </w:r>
      <w:r w:rsidRPr="00796C0D">
        <w:rPr>
          <w:lang w:eastAsia="en-AU"/>
        </w:rPr>
        <w:t>All submissions from Australian public health and consumer organisations recommend a fourth objective, to ensure that public health is considered / prioritised in all regulatory aspects of menu labelling.  Some of these organisations also recommended that the primary objective focus on supporting consumers to make healthier choices at the point-of-sale in all settings, and for all modes of sale, all types of menus and menu items. (i.e. would elevate and expand the proposed objective 3). One New Zealand food industry organisation proposed that “healthier choices” be replaced with “informed choices” in objective 3 as menu items can be consumed occasionally as part of a balanced diet.</w:t>
      </w:r>
    </w:p>
    <w:p w14:paraId="56261D2F" w14:textId="77777777" w:rsidR="00277561" w:rsidRPr="00796C0D" w:rsidRDefault="00277561" w:rsidP="00046D03">
      <w:pPr>
        <w:jc w:val="both"/>
        <w:rPr>
          <w:lang w:eastAsia="en-AU"/>
        </w:rPr>
      </w:pPr>
    </w:p>
    <w:p w14:paraId="0F3A6DEB" w14:textId="77777777" w:rsidR="00277561" w:rsidRPr="00796C0D" w:rsidRDefault="00277561" w:rsidP="00046D03">
      <w:pPr>
        <w:jc w:val="both"/>
        <w:rPr>
          <w:lang w:eastAsia="en-AU"/>
        </w:rPr>
      </w:pPr>
      <w:r w:rsidRPr="00796C0D">
        <w:rPr>
          <w:lang w:eastAsia="en-AU"/>
        </w:rPr>
        <w:t xml:space="preserve">Only one New Zealand food industry peak body did not agree with the objectives. The key reason was lack of applicability to New Zealand, with it noted that it wasn’t necessary to </w:t>
      </w:r>
      <w:r w:rsidRPr="00796C0D">
        <w:rPr>
          <w:lang w:eastAsia="en-AU"/>
        </w:rPr>
        <w:lastRenderedPageBreak/>
        <w:t xml:space="preserve">minimise the proliferation of different menu labelling schemes or create a level of playing field for businesses selling standard food items. This was because New Zealand has no menu labelling system and therefore there is already a level playing field, as well as the view that standard food items don’t exist. This organisation also had concerns about the ability to meet objective 3 cost-effectively, and whether it was intended to apply within or across businesses.  </w:t>
      </w:r>
    </w:p>
    <w:p w14:paraId="4F977BAE" w14:textId="77777777" w:rsidR="00277561" w:rsidRPr="00796C0D" w:rsidRDefault="00277561" w:rsidP="00046D03">
      <w:pPr>
        <w:jc w:val="both"/>
        <w:rPr>
          <w:lang w:eastAsia="en-AU"/>
        </w:rPr>
      </w:pPr>
    </w:p>
    <w:p w14:paraId="01709B9B" w14:textId="77777777" w:rsidR="00277561" w:rsidRPr="00796C0D" w:rsidRDefault="00277561" w:rsidP="00046D03">
      <w:pPr>
        <w:jc w:val="both"/>
        <w:rPr>
          <w:lang w:eastAsia="en-AU"/>
        </w:rPr>
      </w:pPr>
      <w:r w:rsidRPr="00796C0D">
        <w:rPr>
          <w:lang w:eastAsia="en-AU"/>
        </w:rPr>
        <w:t>Some submissions highlight other issues including that:</w:t>
      </w:r>
    </w:p>
    <w:p w14:paraId="580E312B" w14:textId="77777777" w:rsidR="00277561" w:rsidRPr="00796C0D" w:rsidRDefault="00277561" w:rsidP="0055688D">
      <w:pPr>
        <w:pStyle w:val="ListParagraph"/>
        <w:numPr>
          <w:ilvl w:val="0"/>
          <w:numId w:val="37"/>
        </w:numPr>
        <w:jc w:val="both"/>
        <w:rPr>
          <w:lang w:eastAsia="en-AU"/>
        </w:rPr>
      </w:pPr>
      <w:r w:rsidRPr="00796C0D">
        <w:rPr>
          <w:lang w:eastAsia="en-AU"/>
        </w:rPr>
        <w:t>more consumer research is needed to guide the approach for menu labelling;</w:t>
      </w:r>
    </w:p>
    <w:p w14:paraId="338130BD" w14:textId="77777777" w:rsidR="00277561" w:rsidRPr="00796C0D" w:rsidRDefault="00277561" w:rsidP="0055688D">
      <w:pPr>
        <w:pStyle w:val="ListParagraph"/>
        <w:numPr>
          <w:ilvl w:val="0"/>
          <w:numId w:val="37"/>
        </w:numPr>
        <w:jc w:val="both"/>
        <w:rPr>
          <w:lang w:eastAsia="en-AU"/>
        </w:rPr>
      </w:pPr>
      <w:r w:rsidRPr="00796C0D">
        <w:rPr>
          <w:lang w:eastAsia="en-AU"/>
        </w:rPr>
        <w:t xml:space="preserve">interpretative labelling (such as the Health Star Rating) be considered to assist consumers make food choices; </w:t>
      </w:r>
    </w:p>
    <w:p w14:paraId="7E379A19" w14:textId="14C7819F" w:rsidR="00277561" w:rsidRPr="00796C0D" w:rsidRDefault="00277561" w:rsidP="0055688D">
      <w:pPr>
        <w:pStyle w:val="ListParagraph"/>
        <w:numPr>
          <w:ilvl w:val="0"/>
          <w:numId w:val="37"/>
        </w:numPr>
        <w:jc w:val="both"/>
        <w:rPr>
          <w:lang w:eastAsia="en-AU"/>
        </w:rPr>
      </w:pPr>
      <w:r w:rsidRPr="00796C0D">
        <w:rPr>
          <w:lang w:eastAsia="en-AU"/>
        </w:rPr>
        <w:t xml:space="preserve">consumer education </w:t>
      </w:r>
      <w:r w:rsidR="00F2335E" w:rsidRPr="00796C0D">
        <w:rPr>
          <w:lang w:eastAsia="en-AU"/>
        </w:rPr>
        <w:t>accompanies</w:t>
      </w:r>
      <w:r w:rsidRPr="00796C0D">
        <w:rPr>
          <w:lang w:eastAsia="en-AU"/>
        </w:rPr>
        <w:t xml:space="preserve"> menu labelling; and</w:t>
      </w:r>
    </w:p>
    <w:p w14:paraId="361FB050" w14:textId="77777777" w:rsidR="00277561" w:rsidRPr="00796C0D" w:rsidRDefault="00277561" w:rsidP="0055688D">
      <w:pPr>
        <w:pStyle w:val="ListParagraph"/>
        <w:numPr>
          <w:ilvl w:val="0"/>
          <w:numId w:val="37"/>
        </w:numPr>
        <w:jc w:val="both"/>
        <w:rPr>
          <w:lang w:eastAsia="en-AU"/>
        </w:rPr>
      </w:pPr>
      <w:r w:rsidRPr="00796C0D">
        <w:rPr>
          <w:lang w:eastAsia="en-AU"/>
        </w:rPr>
        <w:t>menu labelling regulation should exceed the strongest provisions already in place.</w:t>
      </w:r>
    </w:p>
    <w:p w14:paraId="5383035A" w14:textId="77777777" w:rsidR="00277561" w:rsidRPr="00796C0D" w:rsidRDefault="00277561" w:rsidP="00046D03">
      <w:pPr>
        <w:jc w:val="both"/>
        <w:rPr>
          <w:lang w:eastAsia="en-AU"/>
        </w:rPr>
      </w:pPr>
      <w:r w:rsidRPr="00796C0D">
        <w:rPr>
          <w:lang w:eastAsia="en-AU"/>
        </w:rPr>
        <w:t>It is important to note that recoding was done for the responses to some of the submissions to this question as there was a mismatch between the YES/NO option and the written comments.</w:t>
      </w:r>
    </w:p>
    <w:p w14:paraId="669BDAA5" w14:textId="77777777" w:rsidR="00277561" w:rsidRPr="00796C0D" w:rsidRDefault="00277561" w:rsidP="00046D03">
      <w:pPr>
        <w:jc w:val="both"/>
        <w:rPr>
          <w:b/>
          <w:bCs/>
          <w:highlight w:val="yellow"/>
        </w:rPr>
      </w:pPr>
    </w:p>
    <w:p w14:paraId="041FCE54" w14:textId="77777777" w:rsidR="00277561" w:rsidRPr="00796C0D" w:rsidRDefault="00277561" w:rsidP="00046D03">
      <w:pPr>
        <w:jc w:val="both"/>
        <w:rPr>
          <w:b/>
          <w:bCs/>
        </w:rPr>
      </w:pPr>
      <w:r w:rsidRPr="00796C0D">
        <w:rPr>
          <w:b/>
          <w:bCs/>
        </w:rPr>
        <w:t>15. Are the proposed options appropriate to address the stated problem and achieve the proposed objectives?</w:t>
      </w:r>
    </w:p>
    <w:p w14:paraId="1778270C" w14:textId="693885ED" w:rsidR="00277561" w:rsidRPr="00796C0D" w:rsidRDefault="00277561" w:rsidP="00046D03">
      <w:pPr>
        <w:jc w:val="both"/>
        <w:rPr>
          <w:lang w:eastAsia="en-AU"/>
        </w:rPr>
      </w:pPr>
      <w:r w:rsidRPr="00796C0D">
        <w:rPr>
          <w:lang w:eastAsia="en-AU"/>
        </w:rPr>
        <w:t>Some (12 of 25) submissions across Australian and New Zealand food industry, consumer organisations, the Australian public and government agree that the proposed options are appropriate to address the problem.</w:t>
      </w:r>
      <w:r w:rsidR="00A569CC" w:rsidRPr="00796C0D">
        <w:rPr>
          <w:lang w:eastAsia="en-AU"/>
        </w:rPr>
        <w:t xml:space="preserve"> </w:t>
      </w:r>
      <w:r w:rsidRPr="00796C0D">
        <w:rPr>
          <w:lang w:eastAsia="en-AU"/>
        </w:rPr>
        <w:t xml:space="preserve">While a further nine submissions from Australian and New Zealand public health organisations agreed that the options were appropriate, all organisations indicated that only Option 3 would address the problem and be of benefit to public health outcomes. It was noted by New Zealand public health organisations that menu labelling was not considered a priority action by public health experts in New Zealand. Action focused on food marketing, taxation on sugary drinks, school food initiatives, front of pack </w:t>
      </w:r>
      <w:r w:rsidR="0028438D" w:rsidRPr="00796C0D">
        <w:rPr>
          <w:lang w:eastAsia="en-AU"/>
        </w:rPr>
        <w:t>labelling,</w:t>
      </w:r>
      <w:r w:rsidRPr="00796C0D">
        <w:rPr>
          <w:lang w:eastAsia="en-AU"/>
        </w:rPr>
        <w:t xml:space="preserve"> and reformulation were considered more important to prioritise. Australian public health and consumer organisations strongly supported consumer education that complements menu labelling, stressing that consumer education should not be implemented instead of menu labelling.</w:t>
      </w:r>
    </w:p>
    <w:p w14:paraId="777EBA7E" w14:textId="77777777" w:rsidR="00277561" w:rsidRPr="00796C0D" w:rsidRDefault="00277561" w:rsidP="00046D03">
      <w:pPr>
        <w:jc w:val="both"/>
        <w:rPr>
          <w:lang w:eastAsia="en-AU"/>
        </w:rPr>
      </w:pPr>
    </w:p>
    <w:p w14:paraId="53C56A62" w14:textId="77777777" w:rsidR="00277561" w:rsidRPr="00796C0D" w:rsidRDefault="00277561" w:rsidP="00046D03">
      <w:pPr>
        <w:jc w:val="both"/>
        <w:rPr>
          <w:lang w:eastAsia="en-AU"/>
        </w:rPr>
      </w:pPr>
      <w:r w:rsidRPr="00796C0D">
        <w:rPr>
          <w:lang w:eastAsia="en-AU"/>
        </w:rPr>
        <w:t>Two food industry organisations (one Australian quick service chain and one New Zealand peak body) do not agree the options are appropriate. The Australian chain noted its support for Option 2 and its disagreement with menu labelling in the Food Standards Code. The New Zealand organisation reiterated that the problems are in Australia and therefore the solutions need to be focused on Australia only. It was also noted that only Option 4 was viable for New Zealand, however there were still concerns about this option for New Zealand businesses. Additionally, a member of the public didn’t agree the options for the problem, and recommended action focus on restrictions for unhealthy ingredients and portion sizes.</w:t>
      </w:r>
    </w:p>
    <w:p w14:paraId="28D01C08" w14:textId="77777777" w:rsidR="00277561" w:rsidRPr="00796C0D" w:rsidRDefault="00277561" w:rsidP="00046D03">
      <w:pPr>
        <w:pStyle w:val="NormalWeb"/>
        <w:spacing w:before="0" w:beforeAutospacing="0" w:after="0" w:afterAutospacing="0"/>
        <w:jc w:val="both"/>
        <w:rPr>
          <w:color w:val="000000"/>
          <w:highlight w:val="yellow"/>
        </w:rPr>
      </w:pPr>
    </w:p>
    <w:p w14:paraId="52D01F6B" w14:textId="77777777" w:rsidR="00277561" w:rsidRPr="00796C0D" w:rsidRDefault="00277561" w:rsidP="00046D03">
      <w:pPr>
        <w:pStyle w:val="NormalWeb"/>
        <w:spacing w:before="0" w:beforeAutospacing="0" w:after="0" w:afterAutospacing="0"/>
        <w:jc w:val="both"/>
        <w:rPr>
          <w:b/>
          <w:bCs/>
          <w:color w:val="000000"/>
          <w:highlight w:val="yellow"/>
        </w:rPr>
      </w:pPr>
      <w:r w:rsidRPr="00796C0D">
        <w:rPr>
          <w:b/>
          <w:bCs/>
          <w:color w:val="000000"/>
        </w:rPr>
        <w:t>16. Would your business incur higher implementation costs if legislative changes were not timely and uniform across all jurisdictions?</w:t>
      </w:r>
    </w:p>
    <w:p w14:paraId="222B20EA" w14:textId="3678CB42" w:rsidR="00277561" w:rsidRPr="00796C0D" w:rsidRDefault="00277561" w:rsidP="00046D03">
      <w:pPr>
        <w:jc w:val="both"/>
      </w:pPr>
      <w:r w:rsidRPr="00EF6CEE">
        <w:t>Australian industry submission (5 of 7) indicated there would be higher implementation costs if legislative changes were not timely and uniform across jurisdictions. These</w:t>
      </w:r>
      <w:r w:rsidRPr="00D77ADC">
        <w:t xml:space="preserve"> included</w:t>
      </w:r>
      <w:r w:rsidRPr="00D35008">
        <w:t xml:space="preserve"> costs associated with menu design, resource development including on-line information, nutritional analysis, staff training, and administrative costs when there is a centralised system. A cost of $30,000 to make changes to menus across a business was prov</w:t>
      </w:r>
      <w:r w:rsidRPr="00796C0D">
        <w:t>ided by one business. Further analysis indicates that this equates to $62.50 per outlet for that business. It was noted that businesses require 12 to 18 months to comply with major policy changes.</w:t>
      </w:r>
    </w:p>
    <w:p w14:paraId="1E1BEE91" w14:textId="1DB54E59" w:rsidR="00277561" w:rsidRPr="00796C0D" w:rsidRDefault="00277561" w:rsidP="00046D03">
      <w:pPr>
        <w:pStyle w:val="NormalWeb"/>
        <w:spacing w:before="0" w:beforeAutospacing="0" w:after="0" w:afterAutospacing="0"/>
        <w:jc w:val="both"/>
        <w:rPr>
          <w:color w:val="000000"/>
          <w:highlight w:val="yellow"/>
        </w:rPr>
      </w:pPr>
    </w:p>
    <w:p w14:paraId="4F8B6B92" w14:textId="32AAA591" w:rsidR="00A569CC" w:rsidRPr="00796C0D" w:rsidRDefault="00A569CC" w:rsidP="00046D03">
      <w:pPr>
        <w:pStyle w:val="NormalWeb"/>
        <w:spacing w:before="0" w:beforeAutospacing="0" w:after="0" w:afterAutospacing="0"/>
        <w:jc w:val="both"/>
        <w:rPr>
          <w:color w:val="000000"/>
          <w:highlight w:val="yellow"/>
        </w:rPr>
      </w:pPr>
    </w:p>
    <w:p w14:paraId="579E8A3C" w14:textId="77777777" w:rsidR="00A569CC" w:rsidRPr="00796C0D" w:rsidRDefault="00A569CC" w:rsidP="00046D03">
      <w:pPr>
        <w:pStyle w:val="NormalWeb"/>
        <w:spacing w:before="0" w:beforeAutospacing="0" w:after="0" w:afterAutospacing="0"/>
        <w:jc w:val="both"/>
        <w:rPr>
          <w:color w:val="000000"/>
          <w:highlight w:val="yellow"/>
        </w:rPr>
      </w:pPr>
    </w:p>
    <w:p w14:paraId="66EB8514" w14:textId="7028B3F3" w:rsidR="00277561" w:rsidRPr="00796C0D" w:rsidRDefault="00277561" w:rsidP="00046D03">
      <w:pPr>
        <w:pStyle w:val="NormalWeb"/>
        <w:spacing w:before="0" w:beforeAutospacing="0" w:after="0" w:afterAutospacing="0"/>
        <w:jc w:val="both"/>
        <w:rPr>
          <w:b/>
          <w:bCs/>
          <w:color w:val="000000"/>
        </w:rPr>
      </w:pPr>
      <w:r w:rsidRPr="00796C0D">
        <w:rPr>
          <w:b/>
          <w:bCs/>
          <w:color w:val="000000"/>
        </w:rPr>
        <w:lastRenderedPageBreak/>
        <w:t>17a. Are the benefits and costs associated with the four proposed options and the complementary strategies accurate? 17b. Are there any other benefits, costs or unintended consequences which have not been identified above?</w:t>
      </w:r>
    </w:p>
    <w:p w14:paraId="745D509D" w14:textId="3D3EF828" w:rsidR="00277561" w:rsidRPr="00796C0D" w:rsidRDefault="00277561" w:rsidP="00046D03">
      <w:pPr>
        <w:jc w:val="both"/>
      </w:pPr>
      <w:r w:rsidRPr="00EF6CEE">
        <w:t>Most Australian public health stakeholders (6 of 7) and one consumer organisation indicated the costs and benef</w:t>
      </w:r>
      <w:r w:rsidRPr="00D77ADC">
        <w:t xml:space="preserve">its were not accurate. The costs saved in healthcare due to a decrease in diet-related diseases and increase in quality adjusted life-years (QALY) were underestimated and not considered comprehensively in the analysis. While updating </w:t>
      </w:r>
      <w:r w:rsidRPr="00D35008">
        <w:t xml:space="preserve">menus </w:t>
      </w:r>
      <w:r w:rsidR="001F6F56" w:rsidRPr="00D35008">
        <w:t>was</w:t>
      </w:r>
      <w:r w:rsidRPr="00D35008">
        <w:t xml:space="preserve"> overestimated as businesses regularly update their menus and the costs for menu labelling could be absorbed as part of routine updates. The submissions from all Australian public health organisations (7) highlighted that menu lab</w:t>
      </w:r>
      <w:r w:rsidRPr="00796C0D">
        <w:t>elling is considered one of the two most cost-effective interventions to reduce the economic, social and health costs of overweight and obesity. However, one NZ public health organisation indicated that whilst labelling may benefit some individuals, for others it may increase inequity, with cost being the main driver for consumers who are food insecure or have limited money.</w:t>
      </w:r>
    </w:p>
    <w:p w14:paraId="3AEA9D02" w14:textId="77777777" w:rsidR="00277561" w:rsidRPr="00796C0D" w:rsidRDefault="00277561" w:rsidP="00046D03">
      <w:pPr>
        <w:jc w:val="both"/>
      </w:pPr>
    </w:p>
    <w:p w14:paraId="559626DF" w14:textId="660E807E" w:rsidR="00277561" w:rsidRPr="00796C0D" w:rsidRDefault="00277561" w:rsidP="00046D03">
      <w:pPr>
        <w:jc w:val="both"/>
      </w:pPr>
      <w:r w:rsidRPr="00796C0D">
        <w:t xml:space="preserve">Only one Australian industry organisation (a quick service restaurant chain) indicated the costs and benefits were inaccurate, however no further details were provided. Additionally, one New Zealand industry organisation (a peak body) indicated that Option 2 was not relevant to New Zealand and so there would be no costs, costs for Option 3 were underestimated and that Option 3 was ill-timed post-COVID-19. Two Australian industry stakeholders (a quick service chain and a peak body) indicated that restrictive design requirements can </w:t>
      </w:r>
      <w:r w:rsidRPr="00F702DE">
        <w:t>reduce usability, and impact consumers ability to make informed choices. Further, it was noted that smaller menu boards are more difficult to comply with restrictive requirements. Another Australian industry organisation (a quick service chain) was concerned with the costs associated with changing signage to account for naturally occurring energy differences in Australian farmed produce</w:t>
      </w:r>
      <w:r w:rsidR="00626BC1" w:rsidRPr="00F702DE">
        <w:t xml:space="preserve"> (e.g. fruit and vegetables</w:t>
      </w:r>
      <w:r w:rsidR="000549BD" w:rsidRPr="00F702DE">
        <w:t>, milk)</w:t>
      </w:r>
      <w:r w:rsidRPr="00F702DE">
        <w:t>. There were also concerns that there were inadequate in-depth instructions to implement menu labelling for businesses that cater or have websites.</w:t>
      </w:r>
    </w:p>
    <w:p w14:paraId="29D292FD" w14:textId="77777777" w:rsidR="00277561" w:rsidRPr="00796C0D" w:rsidRDefault="00277561" w:rsidP="00046D03">
      <w:pPr>
        <w:pStyle w:val="NormalWeb"/>
        <w:spacing w:before="0" w:beforeAutospacing="0" w:after="0" w:afterAutospacing="0"/>
        <w:jc w:val="both"/>
        <w:rPr>
          <w:b/>
          <w:bCs/>
          <w:color w:val="000000"/>
        </w:rPr>
      </w:pPr>
    </w:p>
    <w:p w14:paraId="0E5DBBB2" w14:textId="77777777" w:rsidR="00277561" w:rsidRPr="00796C0D" w:rsidRDefault="00277561" w:rsidP="00046D03">
      <w:pPr>
        <w:pStyle w:val="NormalWeb"/>
        <w:spacing w:before="0" w:beforeAutospacing="0" w:after="0" w:afterAutospacing="0"/>
        <w:jc w:val="both"/>
        <w:rPr>
          <w:b/>
          <w:bCs/>
          <w:color w:val="000000"/>
        </w:rPr>
      </w:pPr>
      <w:r w:rsidRPr="00796C0D">
        <w:rPr>
          <w:b/>
          <w:bCs/>
          <w:color w:val="000000"/>
        </w:rPr>
        <w:t>18. Are the average annual regulatory costs representative of the costs incurred/likely to be incurred by your business? and</w:t>
      </w:r>
    </w:p>
    <w:p w14:paraId="3CF64F97" w14:textId="77777777" w:rsidR="00277561" w:rsidRPr="00796C0D" w:rsidRDefault="00277561" w:rsidP="00046D03">
      <w:pPr>
        <w:pStyle w:val="NormalWeb"/>
        <w:spacing w:before="0" w:beforeAutospacing="0" w:after="0" w:afterAutospacing="0"/>
        <w:jc w:val="both"/>
        <w:rPr>
          <w:b/>
          <w:bCs/>
          <w:color w:val="000000"/>
        </w:rPr>
      </w:pPr>
      <w:r w:rsidRPr="00796C0D">
        <w:rPr>
          <w:b/>
          <w:bCs/>
          <w:color w:val="000000"/>
        </w:rPr>
        <w:t>19. If regulatory costs outlined above do not represent the costs incurred/likely to be incurred by your business, what are /would be the costs per year to comply with the proposed changes to menu labelling regulation?</w:t>
      </w:r>
    </w:p>
    <w:p w14:paraId="505828F9" w14:textId="77777777" w:rsidR="00277561" w:rsidRPr="00796C0D" w:rsidRDefault="00277561" w:rsidP="00046D03">
      <w:pPr>
        <w:pStyle w:val="NormalWeb"/>
        <w:spacing w:before="0" w:beforeAutospacing="0" w:after="0" w:afterAutospacing="0"/>
        <w:jc w:val="both"/>
        <w:rPr>
          <w:b/>
          <w:bCs/>
          <w:color w:val="000000"/>
        </w:rPr>
      </w:pPr>
    </w:p>
    <w:p w14:paraId="7D87734D" w14:textId="46C034C3" w:rsidR="00277561" w:rsidRPr="00796C0D" w:rsidRDefault="00277561" w:rsidP="00046D03">
      <w:pPr>
        <w:jc w:val="both"/>
        <w:rPr>
          <w:b/>
          <w:bCs/>
          <w:color w:val="000000"/>
        </w:rPr>
      </w:pPr>
      <w:r w:rsidRPr="00EF6CEE">
        <w:t xml:space="preserve">One Australian and one New Zealand industry stakeholders indicated that the average regulatory costs were representative of the costs likely to be incurred by their businesses. In contrast, two Australian industry organisations (both quick </w:t>
      </w:r>
      <w:r w:rsidRPr="00D77ADC">
        <w:t>service c</w:t>
      </w:r>
      <w:r w:rsidRPr="00D35008">
        <w:t xml:space="preserve">hains) indicated that </w:t>
      </w:r>
      <w:r w:rsidRPr="00796C0D">
        <w:rPr>
          <w:color w:val="000000"/>
        </w:rPr>
        <w:t>the average annual regulatory costs were too low. One organisation noted that</w:t>
      </w:r>
      <w:r w:rsidRPr="00796C0D">
        <w:rPr>
          <w:lang w:eastAsia="en-AU"/>
        </w:rPr>
        <w:t xml:space="preserve"> changes cost $30,000 for one simple change to menu boards across the business each time a change is required. </w:t>
      </w:r>
      <w:r w:rsidRPr="00796C0D">
        <w:t xml:space="preserve">Further analysis indicates that this equates to $62.50 per outlet for that business. Another organisation </w:t>
      </w:r>
      <w:r w:rsidRPr="00796C0D">
        <w:rPr>
          <w:lang w:eastAsia="en-AU"/>
        </w:rPr>
        <w:t>noted there would be costs for nutritional analysis and menu design and printing, and that this would be in the range of $000’s. It was also noted that administrative burden from implementing menu labelling impact the resources available for campaigns, resulting in an overall decrease in profits.</w:t>
      </w:r>
      <w:r w:rsidRPr="00796C0D">
        <w:rPr>
          <w:color w:val="000000"/>
        </w:rPr>
        <w:t xml:space="preserve"> </w:t>
      </w:r>
      <w:r w:rsidRPr="00796C0D">
        <w:rPr>
          <w:lang w:eastAsia="en-AU"/>
        </w:rPr>
        <w:t>It was noted by one New Zealand industry stakeholder (a peak body) that they were not aware of the costing models used by Australian businesses for these proposals.</w:t>
      </w:r>
      <w:r w:rsidR="00A569CC" w:rsidRPr="00796C0D">
        <w:rPr>
          <w:lang w:eastAsia="en-AU"/>
        </w:rPr>
        <w:t xml:space="preserve"> </w:t>
      </w:r>
      <w:r w:rsidRPr="00796C0D">
        <w:rPr>
          <w:lang w:eastAsia="en-AU"/>
        </w:rPr>
        <w:t xml:space="preserve">Additionally, one government stakeholder indicated that </w:t>
      </w:r>
      <w:r w:rsidRPr="00796C0D">
        <w:t xml:space="preserve">there would be additional costs for governments associated with repealing existing legislation and increased costs associated with compliance monitoring if the number of businesses captured by menu labelling increased. </w:t>
      </w:r>
    </w:p>
    <w:p w14:paraId="505F3AD8" w14:textId="77777777" w:rsidR="00277561" w:rsidRPr="00796C0D" w:rsidRDefault="00277561" w:rsidP="00046D03">
      <w:pPr>
        <w:pStyle w:val="NormalWeb"/>
        <w:spacing w:before="0" w:beforeAutospacing="0" w:after="0" w:afterAutospacing="0"/>
        <w:jc w:val="both"/>
        <w:rPr>
          <w:b/>
          <w:bCs/>
          <w:color w:val="000000"/>
        </w:rPr>
      </w:pPr>
    </w:p>
    <w:p w14:paraId="706163A2" w14:textId="5EED7D92" w:rsidR="00277561" w:rsidRPr="00796C0D" w:rsidRDefault="00277561" w:rsidP="00046D03">
      <w:pPr>
        <w:pStyle w:val="NormalWeb"/>
        <w:spacing w:before="0" w:beforeAutospacing="0" w:after="0" w:afterAutospacing="0"/>
        <w:jc w:val="both"/>
        <w:rPr>
          <w:b/>
          <w:bCs/>
          <w:color w:val="000000"/>
        </w:rPr>
      </w:pPr>
    </w:p>
    <w:p w14:paraId="57F7315D" w14:textId="77777777" w:rsidR="00CF6CA3" w:rsidRPr="00796C0D" w:rsidRDefault="00CF6CA3" w:rsidP="00046D03">
      <w:pPr>
        <w:pStyle w:val="NormalWeb"/>
        <w:spacing w:before="0" w:beforeAutospacing="0" w:after="0" w:afterAutospacing="0"/>
        <w:jc w:val="both"/>
        <w:rPr>
          <w:b/>
          <w:bCs/>
          <w:color w:val="000000"/>
        </w:rPr>
      </w:pPr>
    </w:p>
    <w:p w14:paraId="63381EA8" w14:textId="59F5A374" w:rsidR="00277561" w:rsidRPr="00796C0D" w:rsidRDefault="00277561" w:rsidP="00046D03">
      <w:pPr>
        <w:pStyle w:val="NormalWeb"/>
        <w:spacing w:before="0" w:beforeAutospacing="0" w:after="0" w:afterAutospacing="0"/>
        <w:jc w:val="both"/>
        <w:rPr>
          <w:b/>
          <w:bCs/>
          <w:color w:val="000000"/>
        </w:rPr>
      </w:pPr>
      <w:r w:rsidRPr="00796C0D">
        <w:rPr>
          <w:b/>
          <w:bCs/>
          <w:color w:val="000000"/>
        </w:rPr>
        <w:lastRenderedPageBreak/>
        <w:t xml:space="preserve">20a. Would your Australian business be likely to meet </w:t>
      </w:r>
      <w:r w:rsidR="00CF6CA3" w:rsidRPr="00796C0D">
        <w:rPr>
          <w:b/>
          <w:bCs/>
          <w:color w:val="000000"/>
        </w:rPr>
        <w:t>t</w:t>
      </w:r>
      <w:r w:rsidRPr="00796C0D">
        <w:rPr>
          <w:b/>
          <w:bCs/>
          <w:color w:val="000000"/>
        </w:rPr>
        <w:t xml:space="preserve">he proposed definition of a standard food outlet? 20b. If not, is the reason because you do not sell standard food items, do not meet the business size </w:t>
      </w:r>
      <w:r w:rsidR="001F6F56" w:rsidRPr="00796C0D">
        <w:rPr>
          <w:b/>
          <w:bCs/>
          <w:color w:val="000000"/>
        </w:rPr>
        <w:t>threshold,</w:t>
      </w:r>
      <w:r w:rsidRPr="00796C0D">
        <w:rPr>
          <w:b/>
          <w:bCs/>
          <w:color w:val="000000"/>
        </w:rPr>
        <w:t xml:space="preserve"> or do not operate as a chain?</w:t>
      </w:r>
    </w:p>
    <w:p w14:paraId="58004BAD" w14:textId="77777777" w:rsidR="00277561" w:rsidRPr="00796C0D" w:rsidRDefault="00277561" w:rsidP="00046D03">
      <w:pPr>
        <w:jc w:val="both"/>
        <w:rPr>
          <w:lang w:eastAsia="en-AU"/>
        </w:rPr>
      </w:pPr>
      <w:bookmarkStart w:id="106" w:name="_Hlk78203706"/>
      <w:r w:rsidRPr="00EF6CEE">
        <w:t xml:space="preserve">Four Australian food industry stakeholders indicated their business would meet the proposed definition of a standard food outlet. </w:t>
      </w:r>
      <w:r w:rsidRPr="00D77ADC">
        <w:rPr>
          <w:lang w:eastAsia="en-AU"/>
        </w:rPr>
        <w:t>Market information was provided for two chain quick ser</w:t>
      </w:r>
      <w:r w:rsidRPr="00D35008">
        <w:rPr>
          <w:lang w:eastAsia="en-AU"/>
        </w:rPr>
        <w:t xml:space="preserve">vice restaurants:  </w:t>
      </w:r>
    </w:p>
    <w:p w14:paraId="1E641D11" w14:textId="77777777" w:rsidR="00277561" w:rsidRPr="00796C0D" w:rsidRDefault="00277561" w:rsidP="0055688D">
      <w:pPr>
        <w:pStyle w:val="ListParagraph"/>
        <w:numPr>
          <w:ilvl w:val="0"/>
          <w:numId w:val="36"/>
        </w:numPr>
        <w:jc w:val="both"/>
        <w:rPr>
          <w:lang w:eastAsia="en-AU"/>
        </w:rPr>
      </w:pPr>
      <w:r w:rsidRPr="00796C0D">
        <w:rPr>
          <w:lang w:eastAsia="en-AU"/>
        </w:rPr>
        <w:t>KFC: 642 outlets, with 232 in New South Wales, 179 in Victoria, 158 in Queensland, 58 in Western Australia, 9 in Australian Capital Territory, and 6 in Northern Territory.</w:t>
      </w:r>
    </w:p>
    <w:p w14:paraId="01BBDA44" w14:textId="77777777" w:rsidR="00277561" w:rsidRPr="00796C0D" w:rsidRDefault="00277561" w:rsidP="0055688D">
      <w:pPr>
        <w:pStyle w:val="ListParagraph"/>
        <w:numPr>
          <w:ilvl w:val="0"/>
          <w:numId w:val="36"/>
        </w:numPr>
        <w:jc w:val="both"/>
        <w:rPr>
          <w:lang w:eastAsia="en-AU"/>
        </w:rPr>
      </w:pPr>
      <w:r w:rsidRPr="00796C0D">
        <w:t>Top Juice: 59 outlets, with 47 in New South Wales, 7 in Victoria, 3 in Australian Capital Territory and 2 in Queensland.</w:t>
      </w:r>
      <w:bookmarkEnd w:id="106"/>
    </w:p>
    <w:p w14:paraId="1EB101F3" w14:textId="77777777" w:rsidR="00277561" w:rsidRPr="00796C0D" w:rsidRDefault="00277561" w:rsidP="00046D03">
      <w:pPr>
        <w:pStyle w:val="NormalWeb"/>
        <w:spacing w:before="0" w:beforeAutospacing="0" w:after="0" w:afterAutospacing="0"/>
        <w:jc w:val="both"/>
        <w:rPr>
          <w:color w:val="000000"/>
        </w:rPr>
      </w:pPr>
    </w:p>
    <w:p w14:paraId="504D5584" w14:textId="77777777" w:rsidR="00277561" w:rsidRPr="00D77ADC" w:rsidRDefault="00277561" w:rsidP="00046D03">
      <w:pPr>
        <w:jc w:val="both"/>
        <w:rPr>
          <w:b/>
          <w:bCs/>
        </w:rPr>
      </w:pPr>
      <w:r w:rsidRPr="00EF6CEE">
        <w:rPr>
          <w:b/>
          <w:bCs/>
        </w:rPr>
        <w:t>21: What is your preferred option and why?</w:t>
      </w:r>
    </w:p>
    <w:p w14:paraId="2D84E31A" w14:textId="7FDAD2FA" w:rsidR="00277561" w:rsidRPr="00D77ADC" w:rsidRDefault="00277561" w:rsidP="00046D03">
      <w:pPr>
        <w:jc w:val="both"/>
        <w:rPr>
          <w:lang w:eastAsia="en-AU"/>
        </w:rPr>
      </w:pPr>
      <w:r w:rsidRPr="00D35008">
        <w:rPr>
          <w:lang w:eastAsia="en-AU"/>
        </w:rPr>
        <w:t xml:space="preserve">Many (65%) submissions supported Option 3 - </w:t>
      </w:r>
      <w:r w:rsidRPr="00796C0D">
        <w:rPr>
          <w:i/>
          <w:iCs/>
          <w:lang w:eastAsia="en-AU"/>
        </w:rPr>
        <w:t>Develop a Ministerial Policy Guideline for menu labelling to inform the development of a proposed bi-national food regulatory measure in the Food Standards Code (jurisdictions to repeal own legislation once regulatory measure gazetted).</w:t>
      </w:r>
      <w:r w:rsidRPr="00796C0D">
        <w:rPr>
          <w:lang w:eastAsia="en-AU"/>
        </w:rPr>
        <w:t xml:space="preserve"> </w:t>
      </w:r>
      <w:r w:rsidRPr="0009569A">
        <w:rPr>
          <w:lang w:eastAsia="en-AU"/>
        </w:rPr>
        <w:t xml:space="preserve">There was support from 10 public health organisations across Australia and New Zealand, three food industry organisations across Australia and New Zealand (one quick service chain, one grocery chain and one peak body), one consumer organisation and one member of the public, as well as two Australian state governments. </w:t>
      </w:r>
      <w:r w:rsidR="00CF6CA3" w:rsidRPr="0009569A">
        <w:rPr>
          <w:lang w:eastAsia="en-AU"/>
        </w:rPr>
        <w:t xml:space="preserve"> </w:t>
      </w:r>
      <w:r w:rsidRPr="00EF6CEE">
        <w:rPr>
          <w:lang w:eastAsia="en-AU"/>
        </w:rPr>
        <w:t>The key reasons that Option 3 was preferred were it:</w:t>
      </w:r>
    </w:p>
    <w:p w14:paraId="5E092F51" w14:textId="77777777" w:rsidR="00277561" w:rsidRPr="00796C0D" w:rsidRDefault="00277561" w:rsidP="0055688D">
      <w:pPr>
        <w:pStyle w:val="ListParagraph"/>
        <w:numPr>
          <w:ilvl w:val="0"/>
          <w:numId w:val="33"/>
        </w:numPr>
        <w:jc w:val="both"/>
        <w:rPr>
          <w:lang w:eastAsia="en-AU"/>
        </w:rPr>
      </w:pPr>
      <w:r w:rsidRPr="00D35008">
        <w:rPr>
          <w:lang w:eastAsia="en-AU"/>
        </w:rPr>
        <w:t>addresses the problems outlined in the RIS;</w:t>
      </w:r>
    </w:p>
    <w:p w14:paraId="21690C39" w14:textId="77777777" w:rsidR="00277561" w:rsidRPr="00796C0D" w:rsidRDefault="00277561" w:rsidP="0055688D">
      <w:pPr>
        <w:pStyle w:val="ListParagraph"/>
        <w:numPr>
          <w:ilvl w:val="0"/>
          <w:numId w:val="33"/>
        </w:numPr>
        <w:jc w:val="both"/>
        <w:rPr>
          <w:lang w:eastAsia="en-AU"/>
        </w:rPr>
      </w:pPr>
      <w:r w:rsidRPr="00796C0D">
        <w:rPr>
          <w:lang w:eastAsia="en-AU"/>
        </w:rPr>
        <w:t>is the best option for consumers due to consistent approach which enables access to kilojoule information and easier comparison of menu items to make informed and healthier choices;</w:t>
      </w:r>
    </w:p>
    <w:p w14:paraId="5606995C" w14:textId="77777777" w:rsidR="00277561" w:rsidRPr="00796C0D" w:rsidRDefault="00277561" w:rsidP="0055688D">
      <w:pPr>
        <w:pStyle w:val="ListParagraph"/>
        <w:numPr>
          <w:ilvl w:val="0"/>
          <w:numId w:val="33"/>
        </w:numPr>
        <w:jc w:val="both"/>
        <w:rPr>
          <w:lang w:eastAsia="en-AU"/>
        </w:rPr>
      </w:pPr>
      <w:r w:rsidRPr="00796C0D">
        <w:rPr>
          <w:lang w:eastAsia="en-AU"/>
        </w:rPr>
        <w:t>provides a more level playing field for businesses and reduces regulatory costs compared to different systems; and</w:t>
      </w:r>
    </w:p>
    <w:p w14:paraId="5636302B" w14:textId="77777777" w:rsidR="00277561" w:rsidRPr="00796C0D" w:rsidRDefault="00277561" w:rsidP="0055688D">
      <w:pPr>
        <w:pStyle w:val="ListParagraph"/>
        <w:numPr>
          <w:ilvl w:val="0"/>
          <w:numId w:val="33"/>
        </w:numPr>
        <w:jc w:val="both"/>
        <w:rPr>
          <w:lang w:eastAsia="en-AU"/>
        </w:rPr>
      </w:pPr>
      <w:r w:rsidRPr="00796C0D">
        <w:rPr>
          <w:lang w:eastAsia="en-AU"/>
        </w:rPr>
        <w:t>more consistent enforcement and monitoring.</w:t>
      </w:r>
    </w:p>
    <w:p w14:paraId="77E2C1FA" w14:textId="77777777" w:rsidR="00277561" w:rsidRPr="00796C0D" w:rsidRDefault="00277561" w:rsidP="00046D03">
      <w:pPr>
        <w:pStyle w:val="ListParagraph"/>
        <w:ind w:left="360"/>
        <w:jc w:val="both"/>
        <w:rPr>
          <w:lang w:eastAsia="en-AU"/>
        </w:rPr>
      </w:pPr>
    </w:p>
    <w:p w14:paraId="51388449" w14:textId="77777777" w:rsidR="00277561" w:rsidRPr="00796C0D" w:rsidRDefault="00277561" w:rsidP="00046D03">
      <w:pPr>
        <w:jc w:val="both"/>
        <w:rPr>
          <w:lang w:eastAsia="en-AU"/>
        </w:rPr>
      </w:pPr>
      <w:r w:rsidRPr="00796C0D">
        <w:rPr>
          <w:lang w:eastAsia="en-AU"/>
        </w:rPr>
        <w:t>In implementing Option 3, it was recommended that</w:t>
      </w:r>
    </w:p>
    <w:p w14:paraId="0037D717" w14:textId="77777777" w:rsidR="00277561" w:rsidRPr="00796C0D" w:rsidRDefault="00277561" w:rsidP="0055688D">
      <w:pPr>
        <w:pStyle w:val="ListParagraph"/>
        <w:numPr>
          <w:ilvl w:val="0"/>
          <w:numId w:val="33"/>
        </w:numPr>
        <w:jc w:val="both"/>
        <w:rPr>
          <w:lang w:eastAsia="en-AU"/>
        </w:rPr>
      </w:pPr>
      <w:r w:rsidRPr="00796C0D">
        <w:rPr>
          <w:lang w:eastAsia="en-AU"/>
        </w:rPr>
        <w:t>consumer education must accompany menu labelling;</w:t>
      </w:r>
    </w:p>
    <w:p w14:paraId="7943366A" w14:textId="77777777" w:rsidR="00277561" w:rsidRPr="00796C0D" w:rsidRDefault="00277561" w:rsidP="0055688D">
      <w:pPr>
        <w:pStyle w:val="ListParagraph"/>
        <w:numPr>
          <w:ilvl w:val="0"/>
          <w:numId w:val="33"/>
        </w:numPr>
        <w:jc w:val="both"/>
        <w:rPr>
          <w:lang w:eastAsia="en-AU"/>
        </w:rPr>
      </w:pPr>
      <w:r w:rsidRPr="00796C0D">
        <w:rPr>
          <w:lang w:eastAsia="en-AU"/>
        </w:rPr>
        <w:t>business threshold and chain definition be further clarified; and</w:t>
      </w:r>
    </w:p>
    <w:p w14:paraId="228B6F08" w14:textId="4114BDFE" w:rsidR="00277561" w:rsidRPr="00796C0D" w:rsidRDefault="00277561" w:rsidP="0055688D">
      <w:pPr>
        <w:pStyle w:val="ListParagraph"/>
        <w:numPr>
          <w:ilvl w:val="0"/>
          <w:numId w:val="33"/>
        </w:numPr>
        <w:jc w:val="both"/>
        <w:rPr>
          <w:lang w:eastAsia="en-AU"/>
        </w:rPr>
      </w:pPr>
      <w:r w:rsidRPr="00796C0D">
        <w:rPr>
          <w:lang w:eastAsia="en-AU"/>
        </w:rPr>
        <w:t xml:space="preserve">the policy guideline be strengthened with respect to customised menu </w:t>
      </w:r>
      <w:r w:rsidR="00F2335E" w:rsidRPr="00796C0D">
        <w:rPr>
          <w:lang w:eastAsia="en-AU"/>
        </w:rPr>
        <w:t>items and</w:t>
      </w:r>
      <w:r w:rsidRPr="00796C0D">
        <w:rPr>
          <w:lang w:eastAsia="en-AU"/>
        </w:rPr>
        <w:t xml:space="preserve"> ensuring no exemptions for specific businesses or menu items.</w:t>
      </w:r>
    </w:p>
    <w:p w14:paraId="5A2F44C5" w14:textId="77777777" w:rsidR="00277561" w:rsidRPr="00796C0D" w:rsidRDefault="00277561" w:rsidP="00046D03">
      <w:pPr>
        <w:jc w:val="both"/>
        <w:rPr>
          <w:lang w:eastAsia="en-AU"/>
        </w:rPr>
      </w:pPr>
    </w:p>
    <w:p w14:paraId="626E229D" w14:textId="77777777" w:rsidR="00277561" w:rsidRPr="008A1FBD" w:rsidRDefault="00277561" w:rsidP="00046D03">
      <w:pPr>
        <w:jc w:val="both"/>
        <w:rPr>
          <w:lang w:eastAsia="en-AU"/>
        </w:rPr>
      </w:pPr>
      <w:r w:rsidRPr="008A1FBD">
        <w:rPr>
          <w:lang w:eastAsia="en-AU"/>
        </w:rPr>
        <w:t xml:space="preserve">Option 2 - </w:t>
      </w:r>
      <w:r w:rsidRPr="008A1FBD">
        <w:rPr>
          <w:i/>
          <w:iCs/>
          <w:lang w:eastAsia="en-AU"/>
        </w:rPr>
        <w:t xml:space="preserve">Amend the 2011 Principles and encourage all jurisdictions to consistently implement menu labelling schemes in their own legislation – </w:t>
      </w:r>
      <w:r w:rsidRPr="008A1FBD">
        <w:rPr>
          <w:lang w:eastAsia="en-AU"/>
        </w:rPr>
        <w:t>had support from five industry organisations across Australia and New Zealand (two quick service chains, two advertising peak bodies, one retail peak body). These organisations supported a consistent approach by jurisdictions, and some noted that adopting the NSW menu labelling regulation would be most efficient.</w:t>
      </w:r>
    </w:p>
    <w:p w14:paraId="3DB875CB" w14:textId="190734C6" w:rsidR="00277561" w:rsidRPr="008A1FBD" w:rsidRDefault="00277561" w:rsidP="00046D03">
      <w:pPr>
        <w:jc w:val="both"/>
        <w:rPr>
          <w:lang w:eastAsia="en-AU"/>
        </w:rPr>
      </w:pPr>
      <w:r w:rsidRPr="008A1FBD">
        <w:rPr>
          <w:i/>
          <w:iCs/>
          <w:lang w:eastAsia="en-AU"/>
        </w:rPr>
        <w:t xml:space="preserve">(Analyst note: the responses seem to assume that (1) Option 2 will lead to all jurisdictions implementing menu labelling, when this is unlikely to be the case; and (2) that the current NSW legislation is aligned with the amended Principles, which it is not). </w:t>
      </w:r>
      <w:r w:rsidRPr="008A1FBD">
        <w:rPr>
          <w:lang w:eastAsia="en-AU"/>
        </w:rPr>
        <w:t>Option 2 was not supported by public health organisations as is dependent on jurisdictional action and therefore there is little difference to the status quo.</w:t>
      </w:r>
    </w:p>
    <w:p w14:paraId="688BC682" w14:textId="77777777" w:rsidR="00277561" w:rsidRPr="008A1FBD" w:rsidRDefault="00277561" w:rsidP="00046D03">
      <w:pPr>
        <w:jc w:val="both"/>
        <w:rPr>
          <w:lang w:eastAsia="en-AU"/>
        </w:rPr>
      </w:pPr>
    </w:p>
    <w:p w14:paraId="1426B2F8" w14:textId="355B57E6" w:rsidR="00277561" w:rsidRPr="008A1FBD" w:rsidRDefault="00277561" w:rsidP="00046D03">
      <w:pPr>
        <w:jc w:val="both"/>
        <w:rPr>
          <w:lang w:eastAsia="en-AU"/>
        </w:rPr>
      </w:pPr>
      <w:r w:rsidRPr="008A1FBD">
        <w:rPr>
          <w:lang w:eastAsia="en-AU"/>
        </w:rPr>
        <w:t>Maintaining the status quo (Option 1) was only preferred by one New Zealand food industry organisation (a peak body), which noted this process was focused on Australian problems and didn’t consider alternative approaches for addressing healthy options in quick service restaurants.</w:t>
      </w:r>
      <w:r w:rsidR="00CF6CA3" w:rsidRPr="008A1FBD">
        <w:rPr>
          <w:lang w:eastAsia="en-AU"/>
        </w:rPr>
        <w:t xml:space="preserve"> </w:t>
      </w:r>
      <w:r w:rsidRPr="008A1FBD">
        <w:rPr>
          <w:lang w:eastAsia="en-AU"/>
        </w:rPr>
        <w:t>Option 4 to encourage industry to voluntarily implement enhancements to menu labelling had support from one Australian food industry organisation (a quick service chain implementing menu labelling). This was on the basis that industry knows what is best for business and considers public health as part of food provision.</w:t>
      </w:r>
      <w:r w:rsidR="00CF6CA3" w:rsidRPr="008A1FBD">
        <w:rPr>
          <w:lang w:eastAsia="en-AU"/>
        </w:rPr>
        <w:t xml:space="preserve"> </w:t>
      </w:r>
      <w:r w:rsidRPr="008A1FBD">
        <w:rPr>
          <w:lang w:eastAsia="en-AU"/>
        </w:rPr>
        <w:t xml:space="preserve">Interestingly, one Australian </w:t>
      </w:r>
      <w:r w:rsidRPr="008A1FBD">
        <w:rPr>
          <w:lang w:eastAsia="en-AU"/>
        </w:rPr>
        <w:lastRenderedPageBreak/>
        <w:t xml:space="preserve">food industry organisation (a quick service chain implementing menu labelling) proposed that either Option 3 or Option 4 be progressed – these options would be considered opposite ends of the regulatory spectrum within this context. </w:t>
      </w:r>
    </w:p>
    <w:p w14:paraId="2BAC8CBE" w14:textId="77777777" w:rsidR="00277561" w:rsidRPr="00EF6CEE" w:rsidRDefault="00277561" w:rsidP="00046D03">
      <w:pPr>
        <w:jc w:val="both"/>
        <w:rPr>
          <w:lang w:eastAsia="en-AU"/>
        </w:rPr>
      </w:pPr>
    </w:p>
    <w:p w14:paraId="15A014CA" w14:textId="77777777" w:rsidR="00277561" w:rsidRPr="00796C0D" w:rsidRDefault="00277561" w:rsidP="00046D03">
      <w:pPr>
        <w:jc w:val="both"/>
        <w:rPr>
          <w:lang w:eastAsia="en-AU"/>
        </w:rPr>
      </w:pPr>
      <w:r w:rsidRPr="00D77ADC">
        <w:rPr>
          <w:lang w:eastAsia="en-AU"/>
        </w:rPr>
        <w:t>To complement menu labelling, some submissions across A</w:t>
      </w:r>
      <w:r w:rsidRPr="00D35008">
        <w:rPr>
          <w:lang w:eastAsia="en-AU"/>
        </w:rPr>
        <w:t>ustralian and New Zealand organisations recommended that other strategies such as reformulation and standardised serving sizes be explored for improving the availability of healthy options and the nutritional status of consumers. It was noted that menu lab</w:t>
      </w:r>
      <w:r w:rsidRPr="00796C0D">
        <w:rPr>
          <w:lang w:eastAsia="en-AU"/>
        </w:rPr>
        <w:t>elling alone won’t be effective to improve public health, and a coordinated approach to improving nutrition outcomes is needed.</w:t>
      </w:r>
    </w:p>
    <w:p w14:paraId="394A52F7" w14:textId="77777777" w:rsidR="00277561" w:rsidRPr="00796C0D" w:rsidRDefault="00277561" w:rsidP="00046D03">
      <w:pPr>
        <w:jc w:val="both"/>
        <w:rPr>
          <w:lang w:eastAsia="en-AU"/>
        </w:rPr>
      </w:pPr>
    </w:p>
    <w:p w14:paraId="6754C75A" w14:textId="77777777" w:rsidR="00277561" w:rsidRPr="00D77ADC" w:rsidRDefault="00277561" w:rsidP="00046D03">
      <w:pPr>
        <w:jc w:val="both"/>
        <w:rPr>
          <w:b/>
          <w:bCs/>
        </w:rPr>
      </w:pPr>
      <w:r w:rsidRPr="00EF6CEE">
        <w:rPr>
          <w:b/>
          <w:bCs/>
        </w:rPr>
        <w:t>22: If Option 4 is your preferred option, how do you see it being implemented and operationalised?</w:t>
      </w:r>
    </w:p>
    <w:p w14:paraId="1326F614" w14:textId="723D60B0" w:rsidR="00277561" w:rsidRPr="00C32443" w:rsidRDefault="00277561" w:rsidP="00046D03">
      <w:pPr>
        <w:jc w:val="both"/>
        <w:rPr>
          <w:lang w:eastAsia="en-AU"/>
        </w:rPr>
      </w:pPr>
      <w:r w:rsidRPr="00C32443">
        <w:rPr>
          <w:lang w:eastAsia="en-AU"/>
        </w:rPr>
        <w:t>Only one Australian food industry organisation preferred Option 4. It was suggested that industry action could be governed by one body, with decisions made on a voting system. Open discussion and idea contribution from each business were noted as important.</w:t>
      </w:r>
      <w:r w:rsidR="00CF6CA3" w:rsidRPr="00C32443">
        <w:rPr>
          <w:lang w:eastAsia="en-AU"/>
        </w:rPr>
        <w:t xml:space="preserve"> </w:t>
      </w:r>
      <w:r w:rsidRPr="00C32443">
        <w:rPr>
          <w:lang w:eastAsia="en-AU"/>
        </w:rPr>
        <w:t>In contrast, Option 4 was opposed by all Australian public health organisations, one Australian state government and one member of the public.</w:t>
      </w:r>
    </w:p>
    <w:p w14:paraId="58BB274B" w14:textId="77777777" w:rsidR="00277561" w:rsidRPr="004338A6" w:rsidRDefault="00277561" w:rsidP="00046D03">
      <w:pPr>
        <w:jc w:val="both"/>
        <w:rPr>
          <w:b/>
          <w:bCs/>
          <w:szCs w:val="22"/>
        </w:rPr>
      </w:pPr>
    </w:p>
    <w:sectPr w:rsidR="00277561" w:rsidRPr="004338A6" w:rsidSect="003C34FF">
      <w:pgSz w:w="11900" w:h="16840"/>
      <w:pgMar w:top="1134" w:right="1418" w:bottom="1134" w:left="1418" w:header="709"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FD4D6" w14:textId="77777777" w:rsidR="00140853" w:rsidRDefault="00140853" w:rsidP="00316D3C">
      <w:r>
        <w:separator/>
      </w:r>
    </w:p>
  </w:endnote>
  <w:endnote w:type="continuationSeparator" w:id="0">
    <w:p w14:paraId="135FABF6" w14:textId="77777777" w:rsidR="00140853" w:rsidRDefault="00140853" w:rsidP="00316D3C">
      <w:r>
        <w:continuationSeparator/>
      </w:r>
    </w:p>
  </w:endnote>
  <w:endnote w:type="continuationNotice" w:id="1">
    <w:p w14:paraId="4443DF22" w14:textId="77777777" w:rsidR="00140853" w:rsidRDefault="001408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LT Std 55">
    <w:altName w:val="Calibri"/>
    <w:panose1 w:val="00000000000000000000"/>
    <w:charset w:val="00"/>
    <w:family w:val="swiss"/>
    <w:notTrueType/>
    <w:pitch w:val="default"/>
    <w:sig w:usb0="00000003" w:usb1="00000000" w:usb2="00000000" w:usb3="00000000" w:csb0="00000001" w:csb1="00000000"/>
  </w:font>
  <w:font w:name="+mn-e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756671"/>
      <w:docPartObj>
        <w:docPartGallery w:val="Page Numbers (Bottom of Page)"/>
        <w:docPartUnique/>
      </w:docPartObj>
    </w:sdtPr>
    <w:sdtEndPr>
      <w:rPr>
        <w:noProof/>
      </w:rPr>
    </w:sdtEndPr>
    <w:sdtContent>
      <w:p w14:paraId="6942CFB7" w14:textId="5D3AC6E4" w:rsidR="00762E8C" w:rsidRDefault="00762E8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61C47C" w14:textId="41C156AD" w:rsidR="00762E8C" w:rsidRPr="002C6055" w:rsidRDefault="00762E8C" w:rsidP="002C60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AE2B7" w14:textId="77777777" w:rsidR="00140853" w:rsidRDefault="00140853" w:rsidP="00316D3C">
      <w:r>
        <w:separator/>
      </w:r>
    </w:p>
  </w:footnote>
  <w:footnote w:type="continuationSeparator" w:id="0">
    <w:p w14:paraId="7E7CD722" w14:textId="77777777" w:rsidR="00140853" w:rsidRDefault="00140853" w:rsidP="00316D3C">
      <w:r>
        <w:continuationSeparator/>
      </w:r>
    </w:p>
  </w:footnote>
  <w:footnote w:type="continuationNotice" w:id="1">
    <w:p w14:paraId="03E221E3" w14:textId="77777777" w:rsidR="00140853" w:rsidRDefault="00140853"/>
  </w:footnote>
  <w:footnote w:id="2">
    <w:p w14:paraId="044AE4D6" w14:textId="77777777" w:rsidR="00762E8C" w:rsidRPr="00C6201A" w:rsidRDefault="00762E8C" w:rsidP="003D64F3">
      <w:pPr>
        <w:pStyle w:val="FootnoteText"/>
        <w:rPr>
          <w:rFonts w:ascii="Times New Roman" w:hAnsi="Times New Roman"/>
          <w:sz w:val="18"/>
          <w:szCs w:val="18"/>
        </w:rPr>
      </w:pPr>
      <w:r w:rsidRPr="00C6201A">
        <w:rPr>
          <w:rStyle w:val="FootnoteReference"/>
          <w:rFonts w:ascii="Times New Roman" w:hAnsi="Times New Roman"/>
          <w:sz w:val="18"/>
          <w:szCs w:val="18"/>
        </w:rPr>
        <w:footnoteRef/>
      </w:r>
      <w:r w:rsidRPr="00C6201A">
        <w:rPr>
          <w:rFonts w:ascii="Times New Roman" w:hAnsi="Times New Roman"/>
          <w:sz w:val="18"/>
          <w:szCs w:val="18"/>
        </w:rPr>
        <w:t xml:space="preserve"> As defined in the </w:t>
      </w:r>
      <w:r w:rsidRPr="00C6201A">
        <w:rPr>
          <w:rFonts w:ascii="Times New Roman" w:hAnsi="Times New Roman"/>
          <w:i/>
          <w:iCs/>
          <w:sz w:val="18"/>
          <w:szCs w:val="18"/>
        </w:rPr>
        <w:t>Principles for introducing Point-of-Sale nutrition information at standard food outlets</w:t>
      </w:r>
      <w:r w:rsidRPr="00C6201A">
        <w:rPr>
          <w:rFonts w:ascii="Times New Roman" w:hAnsi="Times New Roman"/>
          <w:sz w:val="18"/>
          <w:szCs w:val="18"/>
        </w:rPr>
        <w:t xml:space="preserve">. 2011. </w:t>
      </w:r>
      <w:hyperlink r:id="rId1" w:history="1">
        <w:r w:rsidRPr="00C6201A">
          <w:rPr>
            <w:rStyle w:val="Hyperlink"/>
            <w:rFonts w:ascii="Times New Roman" w:hAnsi="Times New Roman"/>
            <w:sz w:val="18"/>
            <w:szCs w:val="18"/>
          </w:rPr>
          <w:t>https://foodregulation.gov.au/internet/fr/publishing.nsf/Content/publication-principles-point-of-sale-nutrition</w:t>
        </w:r>
      </w:hyperlink>
    </w:p>
  </w:footnote>
  <w:footnote w:id="3">
    <w:p w14:paraId="48398BA8" w14:textId="77777777" w:rsidR="00762E8C" w:rsidRPr="00C6201A" w:rsidRDefault="00762E8C" w:rsidP="003D64F3">
      <w:pPr>
        <w:pStyle w:val="FootnoteText"/>
        <w:rPr>
          <w:rFonts w:ascii="Times New Roman" w:hAnsi="Times New Roman"/>
          <w:sz w:val="18"/>
          <w:szCs w:val="18"/>
        </w:rPr>
      </w:pPr>
      <w:r w:rsidRPr="00C6201A">
        <w:rPr>
          <w:rStyle w:val="FootnoteReference"/>
          <w:rFonts w:ascii="Times New Roman" w:hAnsi="Times New Roman"/>
          <w:sz w:val="18"/>
          <w:szCs w:val="18"/>
        </w:rPr>
        <w:footnoteRef/>
      </w:r>
      <w:r w:rsidRPr="00C6201A">
        <w:rPr>
          <w:rFonts w:ascii="Times New Roman" w:hAnsi="Times New Roman"/>
          <w:sz w:val="18"/>
          <w:szCs w:val="18"/>
        </w:rPr>
        <w:t xml:space="preserve"> Ibid.</w:t>
      </w:r>
    </w:p>
  </w:footnote>
  <w:footnote w:id="4">
    <w:p w14:paraId="3B1C306C" w14:textId="77777777" w:rsidR="00F343B0" w:rsidRPr="003D3C4F" w:rsidRDefault="00F343B0" w:rsidP="00F343B0">
      <w:pPr>
        <w:rPr>
          <w:sz w:val="18"/>
          <w:szCs w:val="18"/>
        </w:rPr>
      </w:pPr>
      <w:r w:rsidRPr="000B54C4">
        <w:rPr>
          <w:rStyle w:val="FootnoteReference"/>
          <w:sz w:val="18"/>
          <w:szCs w:val="18"/>
        </w:rPr>
        <w:footnoteRef/>
      </w:r>
      <w:r w:rsidRPr="000B54C4">
        <w:rPr>
          <w:sz w:val="18"/>
          <w:szCs w:val="18"/>
        </w:rPr>
        <w:t xml:space="preserve"> Under </w:t>
      </w:r>
      <w:r w:rsidRPr="000B54C4">
        <w:rPr>
          <w:sz w:val="18"/>
          <w:szCs w:val="18"/>
          <w:lang w:eastAsia="zh-CN" w:bidi="th-TH"/>
        </w:rPr>
        <w:t>the Food Standards Code, Standard 1.2.1-6 does not require food to bear a label if it is made and packaged on the premises from which it is sold; is packaged in the presence of the purchaser; is delivered packaged, and ready for consumption, at the express order of the purchaser (other than when the food is sold from a vending machine); or is displayed in an assisted service display cabinet.</w:t>
      </w:r>
      <w:r w:rsidRPr="003D3C4F">
        <w:rPr>
          <w:sz w:val="18"/>
          <w:szCs w:val="18"/>
          <w:lang w:eastAsia="zh-CN" w:bidi="th-TH"/>
        </w:rPr>
        <w:t xml:space="preserve"> </w:t>
      </w:r>
    </w:p>
  </w:footnote>
  <w:footnote w:id="5">
    <w:p w14:paraId="6FE90649" w14:textId="4DC7FABC" w:rsidR="00654D62" w:rsidRPr="00024F8F" w:rsidRDefault="00654D62">
      <w:pPr>
        <w:pStyle w:val="FootnoteText"/>
        <w:rPr>
          <w:lang w:val="en-US"/>
        </w:rPr>
      </w:pPr>
      <w:r w:rsidRPr="00024F8F">
        <w:rPr>
          <w:rStyle w:val="FootnoteReference"/>
          <w:rFonts w:ascii="Times New Roman" w:hAnsi="Times New Roman"/>
          <w:sz w:val="18"/>
          <w:szCs w:val="18"/>
        </w:rPr>
        <w:footnoteRef/>
      </w:r>
      <w:r w:rsidRPr="00024F8F">
        <w:rPr>
          <w:rFonts w:ascii="Times New Roman" w:hAnsi="Times New Roman"/>
          <w:sz w:val="18"/>
          <w:szCs w:val="18"/>
        </w:rPr>
        <w:t xml:space="preserve"> </w:t>
      </w:r>
      <w:r w:rsidR="00BD12D5" w:rsidRPr="00024F8F">
        <w:rPr>
          <w:rFonts w:ascii="Times New Roman" w:hAnsi="Times New Roman"/>
          <w:sz w:val="18"/>
          <w:szCs w:val="18"/>
          <w:lang w:val="en-US"/>
        </w:rPr>
        <w:t xml:space="preserve">This review includes an initial review of menu labeling schemes in </w:t>
      </w:r>
      <w:r w:rsidR="00BE445D" w:rsidRPr="00024F8F">
        <w:rPr>
          <w:rFonts w:ascii="Times New Roman" w:hAnsi="Times New Roman"/>
          <w:sz w:val="18"/>
          <w:szCs w:val="18"/>
          <w:lang w:val="en-US"/>
        </w:rPr>
        <w:t>Australia in 2017, public consultation and a subsequent co-design process with Australian stakeholders in 2018,</w:t>
      </w:r>
      <w:r w:rsidR="006F410B">
        <w:rPr>
          <w:rFonts w:ascii="Times New Roman" w:hAnsi="Times New Roman"/>
          <w:sz w:val="18"/>
          <w:szCs w:val="18"/>
          <w:lang w:val="en-US"/>
        </w:rPr>
        <w:t xml:space="preserve"> </w:t>
      </w:r>
      <w:r w:rsidR="0040651B" w:rsidRPr="00024F8F">
        <w:rPr>
          <w:rFonts w:ascii="Times New Roman" w:hAnsi="Times New Roman"/>
          <w:sz w:val="18"/>
          <w:szCs w:val="18"/>
          <w:lang w:val="en-US"/>
        </w:rPr>
        <w:t xml:space="preserve">and </w:t>
      </w:r>
      <w:r w:rsidR="00BE445D" w:rsidRPr="00024F8F">
        <w:rPr>
          <w:rFonts w:ascii="Times New Roman" w:hAnsi="Times New Roman"/>
          <w:sz w:val="18"/>
          <w:szCs w:val="18"/>
          <w:lang w:val="en-US"/>
        </w:rPr>
        <w:t xml:space="preserve">further public consultation in 2021 </w:t>
      </w:r>
      <w:r w:rsidR="0040651B" w:rsidRPr="00024F8F">
        <w:rPr>
          <w:rFonts w:ascii="Times New Roman" w:hAnsi="Times New Roman"/>
          <w:sz w:val="18"/>
          <w:szCs w:val="18"/>
          <w:lang w:val="en-US"/>
        </w:rPr>
        <w:t>with Australian and New Zealand stakeholders</w:t>
      </w:r>
      <w:r w:rsidR="00575F75">
        <w:rPr>
          <w:rFonts w:ascii="Times New Roman" w:hAnsi="Times New Roman"/>
          <w:sz w:val="18"/>
          <w:szCs w:val="18"/>
          <w:lang w:val="en-US"/>
        </w:rPr>
        <w:t xml:space="preserve"> (the </w:t>
      </w:r>
      <w:r w:rsidR="00E4580B">
        <w:rPr>
          <w:rFonts w:ascii="Times New Roman" w:hAnsi="Times New Roman"/>
          <w:sz w:val="18"/>
          <w:szCs w:val="18"/>
          <w:lang w:val="en-US"/>
        </w:rPr>
        <w:t>final round of</w:t>
      </w:r>
      <w:r w:rsidR="00575F75">
        <w:rPr>
          <w:rFonts w:ascii="Times New Roman" w:hAnsi="Times New Roman"/>
          <w:sz w:val="18"/>
          <w:szCs w:val="18"/>
          <w:lang w:val="en-US"/>
        </w:rPr>
        <w:t xml:space="preserve"> consultation was postponed </w:t>
      </w:r>
      <w:r w:rsidR="00E4580B">
        <w:rPr>
          <w:rFonts w:ascii="Times New Roman" w:hAnsi="Times New Roman"/>
          <w:sz w:val="18"/>
          <w:szCs w:val="18"/>
          <w:lang w:val="en-US"/>
        </w:rPr>
        <w:t>from 2020 given the COVID-19 pandemic in Australia and New Zealand)</w:t>
      </w:r>
      <w:r w:rsidR="0040651B" w:rsidRPr="00024F8F">
        <w:rPr>
          <w:rFonts w:ascii="Times New Roman" w:hAnsi="Times New Roman"/>
          <w:sz w:val="18"/>
          <w:szCs w:val="18"/>
          <w:lang w:val="en-US"/>
        </w:rPr>
        <w:t>.</w:t>
      </w:r>
    </w:p>
  </w:footnote>
  <w:footnote w:id="6">
    <w:p w14:paraId="3D901ADD" w14:textId="77777777" w:rsidR="00762E8C" w:rsidRPr="000B54C4" w:rsidRDefault="00762E8C" w:rsidP="000051D2">
      <w:pPr>
        <w:pStyle w:val="FootnoteText"/>
        <w:rPr>
          <w:rFonts w:ascii="Times New Roman" w:hAnsi="Times New Roman"/>
          <w:sz w:val="18"/>
          <w:szCs w:val="18"/>
          <w:lang w:val="en-US"/>
        </w:rPr>
      </w:pPr>
      <w:r w:rsidRPr="000B54C4">
        <w:rPr>
          <w:rStyle w:val="FootnoteReference"/>
          <w:rFonts w:ascii="Times New Roman" w:hAnsi="Times New Roman"/>
          <w:sz w:val="18"/>
          <w:szCs w:val="18"/>
        </w:rPr>
        <w:footnoteRef/>
      </w:r>
      <w:r w:rsidRPr="000B54C4">
        <w:rPr>
          <w:rFonts w:ascii="Times New Roman" w:hAnsi="Times New Roman"/>
          <w:sz w:val="18"/>
          <w:szCs w:val="18"/>
        </w:rPr>
        <w:t xml:space="preserve"> </w:t>
      </w:r>
      <w:r w:rsidRPr="000B54C4">
        <w:rPr>
          <w:rFonts w:ascii="Times New Roman" w:hAnsi="Times New Roman"/>
          <w:sz w:val="18"/>
          <w:szCs w:val="18"/>
          <w:lang w:val="en-US"/>
        </w:rPr>
        <w:t>Modes of sale include, but is not limited to, in-store, online, third-party providers; types of menus include, but is not limited to, digital menu panels, kiosks, paper menus and tags, menu boards, drive-thru menus, online menus.</w:t>
      </w:r>
    </w:p>
  </w:footnote>
  <w:footnote w:id="7">
    <w:p w14:paraId="72C93F54" w14:textId="64AFB11F" w:rsidR="00116529" w:rsidRPr="00024F8F" w:rsidRDefault="00116529">
      <w:pPr>
        <w:pStyle w:val="FootnoteText"/>
        <w:rPr>
          <w:rFonts w:ascii="Times New Roman" w:hAnsi="Times New Roman"/>
          <w:sz w:val="18"/>
          <w:szCs w:val="18"/>
          <w:lang w:val="en-US"/>
        </w:rPr>
      </w:pPr>
      <w:r w:rsidRPr="00024F8F">
        <w:rPr>
          <w:rStyle w:val="FootnoteReference"/>
          <w:rFonts w:ascii="Times New Roman" w:hAnsi="Times New Roman"/>
          <w:sz w:val="18"/>
          <w:szCs w:val="18"/>
        </w:rPr>
        <w:footnoteRef/>
      </w:r>
      <w:r w:rsidRPr="00024F8F">
        <w:rPr>
          <w:rFonts w:ascii="Times New Roman" w:hAnsi="Times New Roman"/>
          <w:sz w:val="18"/>
          <w:szCs w:val="18"/>
        </w:rPr>
        <w:t xml:space="preserve"> </w:t>
      </w:r>
      <w:r w:rsidRPr="00116529">
        <w:rPr>
          <w:rFonts w:ascii="Times New Roman" w:hAnsi="Times New Roman"/>
          <w:sz w:val="18"/>
          <w:szCs w:val="18"/>
          <w:lang w:val="en-NZ"/>
        </w:rPr>
        <w:t>Ministers responsible for food regulation from the Australia Federal Government; New Zealand Government; and Australian states and territories. As of 2021, convening as the Food Ministers’ Meeting.</w:t>
      </w:r>
    </w:p>
  </w:footnote>
  <w:footnote w:id="8">
    <w:p w14:paraId="7139F7C0" w14:textId="77777777" w:rsidR="00762E8C" w:rsidRPr="003D3C4F" w:rsidRDefault="00762E8C" w:rsidP="00E008E0">
      <w:pPr>
        <w:pStyle w:val="FootnoteText"/>
        <w:rPr>
          <w:rFonts w:ascii="Times New Roman" w:hAnsi="Times New Roman"/>
          <w:sz w:val="18"/>
          <w:szCs w:val="18"/>
          <w:lang w:val="en-US"/>
        </w:rPr>
      </w:pPr>
      <w:r w:rsidRPr="000B54C4">
        <w:rPr>
          <w:rStyle w:val="FootnoteReference"/>
          <w:rFonts w:ascii="Times New Roman" w:hAnsi="Times New Roman"/>
          <w:sz w:val="18"/>
          <w:szCs w:val="18"/>
        </w:rPr>
        <w:footnoteRef/>
      </w:r>
      <w:r w:rsidRPr="000B54C4">
        <w:rPr>
          <w:rFonts w:ascii="Times New Roman" w:hAnsi="Times New Roman"/>
          <w:sz w:val="18"/>
          <w:szCs w:val="18"/>
        </w:rPr>
        <w:t xml:space="preserve"> </w:t>
      </w:r>
      <w:bookmarkStart w:id="7" w:name="_Hlk37338117"/>
      <w:r w:rsidRPr="000B54C4">
        <w:rPr>
          <w:rFonts w:ascii="Times New Roman" w:hAnsi="Times New Roman"/>
          <w:sz w:val="18"/>
          <w:szCs w:val="18"/>
        </w:rPr>
        <w:t xml:space="preserve">Australia and New Zealand Ministerial Forum on Food Regulation Communique 16 August 2019. </w:t>
      </w:r>
      <w:hyperlink r:id="rId2" w:history="1">
        <w:r w:rsidRPr="000B54C4">
          <w:rPr>
            <w:rStyle w:val="Hyperlink"/>
            <w:rFonts w:ascii="Times New Roman" w:eastAsia="Times New Roman" w:hAnsi="Times New Roman"/>
            <w:sz w:val="18"/>
            <w:szCs w:val="18"/>
          </w:rPr>
          <w:t>https://foodregulation.gov.au/internet/fr/publishing.nsf/Content/forum-communique-2019-August</w:t>
        </w:r>
      </w:hyperlink>
      <w:bookmarkEnd w:id="7"/>
    </w:p>
  </w:footnote>
  <w:footnote w:id="9">
    <w:p w14:paraId="587A2BC1" w14:textId="77777777" w:rsidR="00E12A29" w:rsidRPr="00E45CA5" w:rsidRDefault="007E785F" w:rsidP="00E12A29">
      <w:pPr>
        <w:pStyle w:val="Bodytext-TMRfont12"/>
        <w:rPr>
          <w:rFonts w:cstheme="minorHAnsi"/>
          <w:color w:val="000000"/>
          <w:lang w:val="en" w:eastAsia="en-AU"/>
        </w:rPr>
      </w:pPr>
      <w:r w:rsidRPr="00024F8F">
        <w:rPr>
          <w:rStyle w:val="FootnoteReference"/>
          <w:sz w:val="18"/>
          <w:szCs w:val="18"/>
        </w:rPr>
        <w:footnoteRef/>
      </w:r>
      <w:r w:rsidRPr="00024F8F">
        <w:rPr>
          <w:sz w:val="18"/>
          <w:szCs w:val="18"/>
        </w:rPr>
        <w:t xml:space="preserve"> </w:t>
      </w:r>
      <w:r w:rsidRPr="00E12A29">
        <w:rPr>
          <w:sz w:val="18"/>
          <w:szCs w:val="18"/>
        </w:rPr>
        <w:t xml:space="preserve">Ministerial Policy Guidelines and the Food Standards Code apply to both Australia and New Zealand. Ministerial Policy Guidelines </w:t>
      </w:r>
      <w:r w:rsidRPr="00E12A29">
        <w:rPr>
          <w:color w:val="000000"/>
          <w:sz w:val="18"/>
          <w:szCs w:val="18"/>
          <w:lang w:val="en" w:eastAsia="en-AU"/>
        </w:rPr>
        <w:t>aim to improve outcomes by clarifying the policy principles that apply to jurisdictions and bodies making food regulations (namely Food Standards Australia New Zealand (FSANZ)).</w:t>
      </w:r>
      <w:r w:rsidR="00E12A29" w:rsidRPr="00E12A29">
        <w:rPr>
          <w:color w:val="000000"/>
          <w:sz w:val="18"/>
          <w:szCs w:val="18"/>
          <w:lang w:val="en" w:eastAsia="en-AU"/>
        </w:rPr>
        <w:t xml:space="preserve"> </w:t>
      </w:r>
      <w:r w:rsidR="00E12A29" w:rsidRPr="00024F8F">
        <w:rPr>
          <w:rFonts w:cstheme="minorHAnsi"/>
          <w:color w:val="000000"/>
          <w:sz w:val="18"/>
          <w:szCs w:val="18"/>
          <w:lang w:val="en" w:eastAsia="en-AU"/>
        </w:rPr>
        <w:t xml:space="preserve">The creation of a policy guideline does not trigger regulatory action by FSANZ or changes to current food labelling. However, when FSANZ is developing or reviewing food regulatory measures, as outlined in the </w:t>
      </w:r>
      <w:r w:rsidR="00E12A29" w:rsidRPr="00024F8F">
        <w:rPr>
          <w:rFonts w:cstheme="minorHAnsi"/>
          <w:i/>
          <w:iCs/>
          <w:color w:val="000000"/>
          <w:sz w:val="18"/>
          <w:szCs w:val="18"/>
          <w:lang w:val="en" w:eastAsia="en-AU"/>
        </w:rPr>
        <w:t xml:space="preserve">FSANZ Act 1991, </w:t>
      </w:r>
      <w:r w:rsidR="00E12A29" w:rsidRPr="00024F8F">
        <w:rPr>
          <w:rFonts w:cstheme="minorHAnsi"/>
          <w:color w:val="000000"/>
          <w:sz w:val="18"/>
          <w:szCs w:val="18"/>
          <w:lang w:val="en" w:eastAsia="en-AU"/>
        </w:rPr>
        <w:t>FSANZ must, among other matters, have regard to any Ministerial Policy Guidelines.</w:t>
      </w:r>
    </w:p>
    <w:p w14:paraId="730DB78D" w14:textId="61ED61A7" w:rsidR="007E785F" w:rsidRPr="00024F8F" w:rsidRDefault="007E785F">
      <w:pPr>
        <w:pStyle w:val="FootnoteText"/>
        <w:rPr>
          <w:rFonts w:ascii="Times New Roman" w:hAnsi="Times New Roman"/>
          <w:sz w:val="18"/>
          <w:szCs w:val="18"/>
          <w:lang w:val="en-US"/>
        </w:rPr>
      </w:pPr>
    </w:p>
  </w:footnote>
  <w:footnote w:id="10">
    <w:p w14:paraId="2A331157" w14:textId="641AF2BA" w:rsidR="00762E8C" w:rsidRPr="000B54C4" w:rsidRDefault="00762E8C" w:rsidP="00761418">
      <w:pPr>
        <w:pStyle w:val="FootnoteText"/>
        <w:rPr>
          <w:rFonts w:ascii="Times New Roman" w:hAnsi="Times New Roman"/>
          <w:sz w:val="18"/>
          <w:szCs w:val="18"/>
        </w:rPr>
      </w:pPr>
      <w:r w:rsidRPr="000B54C4">
        <w:rPr>
          <w:rStyle w:val="FootnoteReference"/>
          <w:rFonts w:ascii="Times New Roman" w:hAnsi="Times New Roman"/>
          <w:sz w:val="18"/>
          <w:szCs w:val="18"/>
        </w:rPr>
        <w:footnoteRef/>
      </w:r>
      <w:r w:rsidRPr="000B54C4">
        <w:rPr>
          <w:rFonts w:ascii="Times New Roman" w:hAnsi="Times New Roman"/>
          <w:sz w:val="18"/>
          <w:szCs w:val="18"/>
        </w:rPr>
        <w:t xml:space="preserve"> Commonwealth of Australia, Department of the Prime Minister and Cabinet. 2021. </w:t>
      </w:r>
      <w:r w:rsidRPr="000B54C4">
        <w:rPr>
          <w:rFonts w:ascii="Times New Roman" w:hAnsi="Times New Roman"/>
          <w:i/>
          <w:sz w:val="18"/>
          <w:szCs w:val="18"/>
        </w:rPr>
        <w:t>Regulatory Impact Analysis Guide for Ministers’ Meetings and National Standard Setting Bodies</w:t>
      </w:r>
      <w:r w:rsidRPr="000B54C4">
        <w:rPr>
          <w:rFonts w:ascii="Times New Roman" w:hAnsi="Times New Roman"/>
          <w:sz w:val="18"/>
          <w:szCs w:val="18"/>
        </w:rPr>
        <w:t xml:space="preserve">. </w:t>
      </w:r>
      <w:hyperlink r:id="rId3" w:history="1">
        <w:r w:rsidRPr="000B54C4">
          <w:rPr>
            <w:rStyle w:val="Hyperlink"/>
            <w:rFonts w:ascii="Times New Roman" w:hAnsi="Times New Roman"/>
            <w:sz w:val="18"/>
            <w:szCs w:val="18"/>
          </w:rPr>
          <w:t>https://obpr.pmc.gov.au/resources/guidance-impact-analysis/regulatory-impact-analysis-guide-ministers-meetings-and-national</w:t>
        </w:r>
      </w:hyperlink>
    </w:p>
  </w:footnote>
  <w:footnote w:id="11">
    <w:p w14:paraId="29797671" w14:textId="6D37F8B8" w:rsidR="00762E8C" w:rsidRPr="000B54C4" w:rsidRDefault="00762E8C">
      <w:pPr>
        <w:pStyle w:val="FootnoteText"/>
        <w:rPr>
          <w:rFonts w:ascii="Times New Roman" w:hAnsi="Times New Roman"/>
          <w:sz w:val="18"/>
          <w:szCs w:val="18"/>
          <w:lang w:val="en-US"/>
        </w:rPr>
      </w:pPr>
      <w:r w:rsidRPr="000B54C4">
        <w:rPr>
          <w:rStyle w:val="FootnoteReference"/>
          <w:rFonts w:ascii="Times New Roman" w:hAnsi="Times New Roman"/>
          <w:sz w:val="18"/>
          <w:szCs w:val="18"/>
        </w:rPr>
        <w:footnoteRef/>
      </w:r>
      <w:r w:rsidRPr="000B54C4">
        <w:rPr>
          <w:rFonts w:ascii="Times New Roman" w:hAnsi="Times New Roman"/>
          <w:sz w:val="18"/>
          <w:szCs w:val="18"/>
        </w:rPr>
        <w:t xml:space="preserve"> University of Otago and Ministry of Health. 2011. </w:t>
      </w:r>
      <w:r w:rsidRPr="000B54C4">
        <w:rPr>
          <w:rFonts w:ascii="Times New Roman" w:hAnsi="Times New Roman"/>
          <w:i/>
          <w:iCs/>
          <w:sz w:val="18"/>
          <w:szCs w:val="18"/>
        </w:rPr>
        <w:t>A Focus on Nutrition: Key findings of the 2008/09 New Zealand Adult Nutrition Survey</w:t>
      </w:r>
      <w:r w:rsidRPr="000B54C4">
        <w:rPr>
          <w:rFonts w:ascii="Times New Roman" w:hAnsi="Times New Roman"/>
          <w:sz w:val="18"/>
          <w:szCs w:val="18"/>
        </w:rPr>
        <w:t xml:space="preserve">. </w:t>
      </w:r>
      <w:hyperlink r:id="rId4" w:history="1">
        <w:r w:rsidRPr="000B54C4">
          <w:rPr>
            <w:rStyle w:val="Hyperlink"/>
            <w:rFonts w:ascii="Times New Roman" w:hAnsi="Times New Roman"/>
            <w:sz w:val="18"/>
            <w:szCs w:val="18"/>
          </w:rPr>
          <w:t>https://www.health.govt.nz/publication/focus-nutrition-key-findings-2008-09-nz-adult-nutrition-survey</w:t>
        </w:r>
      </w:hyperlink>
      <w:r w:rsidRPr="000B54C4">
        <w:rPr>
          <w:rFonts w:ascii="Times New Roman" w:hAnsi="Times New Roman"/>
          <w:sz w:val="18"/>
          <w:szCs w:val="18"/>
        </w:rPr>
        <w:t xml:space="preserve"> (accessed 1 October 2021)</w:t>
      </w:r>
    </w:p>
  </w:footnote>
  <w:footnote w:id="12">
    <w:p w14:paraId="72CBA9C0" w14:textId="74C0D0C6" w:rsidR="00762E8C" w:rsidRPr="000B54C4" w:rsidRDefault="00762E8C">
      <w:pPr>
        <w:pStyle w:val="FootnoteText"/>
        <w:rPr>
          <w:rFonts w:ascii="Times New Roman" w:hAnsi="Times New Roman"/>
          <w:sz w:val="18"/>
          <w:szCs w:val="18"/>
          <w:lang w:val="en-US"/>
        </w:rPr>
      </w:pPr>
      <w:r w:rsidRPr="000B54C4">
        <w:rPr>
          <w:rStyle w:val="FootnoteReference"/>
          <w:rFonts w:ascii="Times New Roman" w:hAnsi="Times New Roman"/>
          <w:sz w:val="18"/>
          <w:szCs w:val="18"/>
        </w:rPr>
        <w:footnoteRef/>
      </w:r>
      <w:r w:rsidRPr="000B54C4">
        <w:rPr>
          <w:rFonts w:ascii="Times New Roman" w:hAnsi="Times New Roman"/>
          <w:sz w:val="18"/>
          <w:szCs w:val="18"/>
        </w:rPr>
        <w:t xml:space="preserve"> Australian Bureau of Statistics. 2017. </w:t>
      </w:r>
      <w:r w:rsidRPr="000B54C4">
        <w:rPr>
          <w:rFonts w:ascii="Times New Roman" w:hAnsi="Times New Roman"/>
          <w:i/>
          <w:iCs/>
          <w:sz w:val="18"/>
          <w:szCs w:val="18"/>
        </w:rPr>
        <w:t>65300DO013_201516 Household Expenditure Survey, Australia: Summary of Results, 2015-16, Table 13.9A: Household Expenditure, Detailed expenditure items, All households</w:t>
      </w:r>
      <w:r w:rsidRPr="000B54C4">
        <w:rPr>
          <w:rFonts w:ascii="Times New Roman" w:hAnsi="Times New Roman"/>
          <w:sz w:val="18"/>
          <w:szCs w:val="18"/>
        </w:rPr>
        <w:t xml:space="preserve">. </w:t>
      </w:r>
      <w:hyperlink r:id="rId5" w:anchor="data-download" w:history="1">
        <w:r w:rsidRPr="000B54C4">
          <w:rPr>
            <w:rStyle w:val="Hyperlink"/>
            <w:rFonts w:ascii="Times New Roman" w:hAnsi="Times New Roman"/>
            <w:sz w:val="18"/>
            <w:szCs w:val="18"/>
          </w:rPr>
          <w:t>https://www.abs.gov.au/statistics/economy/finance/household-expenditure-survey-australia-summary-results/latest-release#data-download</w:t>
        </w:r>
      </w:hyperlink>
      <w:r w:rsidRPr="000B54C4">
        <w:rPr>
          <w:rFonts w:ascii="Times New Roman" w:hAnsi="Times New Roman"/>
          <w:sz w:val="18"/>
          <w:szCs w:val="18"/>
        </w:rPr>
        <w:t xml:space="preserve"> (accessed 1 October 2021) </w:t>
      </w:r>
    </w:p>
  </w:footnote>
  <w:footnote w:id="13">
    <w:p w14:paraId="7E79B8FE" w14:textId="04F132C9" w:rsidR="00762E8C" w:rsidRPr="000B54C4" w:rsidRDefault="00762E8C">
      <w:pPr>
        <w:pStyle w:val="FootnoteText"/>
        <w:rPr>
          <w:rFonts w:ascii="Times New Roman" w:hAnsi="Times New Roman"/>
          <w:sz w:val="18"/>
          <w:szCs w:val="18"/>
          <w:lang w:val="en-US"/>
        </w:rPr>
      </w:pPr>
      <w:r w:rsidRPr="000B54C4">
        <w:rPr>
          <w:rStyle w:val="FootnoteReference"/>
          <w:rFonts w:ascii="Times New Roman" w:hAnsi="Times New Roman"/>
          <w:sz w:val="18"/>
          <w:szCs w:val="18"/>
        </w:rPr>
        <w:footnoteRef/>
      </w:r>
      <w:r w:rsidRPr="000B54C4">
        <w:rPr>
          <w:rFonts w:ascii="Times New Roman" w:hAnsi="Times New Roman"/>
          <w:sz w:val="18"/>
          <w:szCs w:val="18"/>
        </w:rPr>
        <w:t xml:space="preserve"> </w:t>
      </w:r>
      <w:r w:rsidRPr="000B54C4">
        <w:rPr>
          <w:rFonts w:ascii="Times New Roman" w:hAnsi="Times New Roman"/>
          <w:sz w:val="18"/>
          <w:szCs w:val="18"/>
          <w:lang w:val="en-US"/>
        </w:rPr>
        <w:t xml:space="preserve">Includes meals in restaurants, hotels, clubs, fast food, </w:t>
      </w:r>
      <w:r w:rsidR="00E7776F" w:rsidRPr="000B54C4">
        <w:rPr>
          <w:rFonts w:ascii="Times New Roman" w:hAnsi="Times New Roman"/>
          <w:sz w:val="18"/>
          <w:szCs w:val="18"/>
          <w:lang w:val="en-US"/>
        </w:rPr>
        <w:t>takeaway,</w:t>
      </w:r>
      <w:r w:rsidRPr="000B54C4">
        <w:rPr>
          <w:rFonts w:ascii="Times New Roman" w:hAnsi="Times New Roman"/>
          <w:sz w:val="18"/>
          <w:szCs w:val="18"/>
          <w:lang w:val="en-US"/>
        </w:rPr>
        <w:t xml:space="preserve"> and takeaway coffee. </w:t>
      </w:r>
    </w:p>
  </w:footnote>
  <w:footnote w:id="14">
    <w:p w14:paraId="4743422B" w14:textId="77777777" w:rsidR="00762E8C" w:rsidRPr="000B54C4" w:rsidRDefault="00762E8C" w:rsidP="00384863">
      <w:pPr>
        <w:pStyle w:val="FootnoteText"/>
        <w:rPr>
          <w:rFonts w:ascii="Times New Roman" w:hAnsi="Times New Roman"/>
          <w:i/>
          <w:sz w:val="18"/>
          <w:szCs w:val="18"/>
        </w:rPr>
      </w:pPr>
      <w:r w:rsidRPr="000B54C4">
        <w:rPr>
          <w:rStyle w:val="FootnoteReference"/>
          <w:rFonts w:ascii="Times New Roman" w:hAnsi="Times New Roman"/>
          <w:sz w:val="18"/>
          <w:szCs w:val="18"/>
        </w:rPr>
        <w:footnoteRef/>
      </w:r>
      <w:r w:rsidRPr="000B54C4">
        <w:rPr>
          <w:rFonts w:ascii="Times New Roman" w:hAnsi="Times New Roman"/>
          <w:sz w:val="18"/>
          <w:szCs w:val="18"/>
        </w:rPr>
        <w:t xml:space="preserve"> Department of Agriculture and Water Resources. 2018. </w:t>
      </w:r>
      <w:r w:rsidRPr="000B54C4">
        <w:rPr>
          <w:rFonts w:ascii="Times New Roman" w:hAnsi="Times New Roman"/>
          <w:i/>
          <w:sz w:val="18"/>
          <w:szCs w:val="18"/>
        </w:rPr>
        <w:t xml:space="preserve">Food demand in Australia: trends and issues 2018. </w:t>
      </w:r>
      <w:hyperlink r:id="rId6" w:history="1">
        <w:r w:rsidRPr="000B54C4">
          <w:rPr>
            <w:rStyle w:val="Hyperlink"/>
            <w:rFonts w:ascii="Times New Roman" w:hAnsi="Times New Roman"/>
            <w:sz w:val="18"/>
            <w:szCs w:val="18"/>
          </w:rPr>
          <w:t>http://data.daff.gov.au/data/warehouse/9aat/2018/fdati9aat20180822/FoodDemandInAustralia_20180822_v1.0.0.pdf</w:t>
        </w:r>
      </w:hyperlink>
    </w:p>
  </w:footnote>
  <w:footnote w:id="15">
    <w:p w14:paraId="0CC741A0" w14:textId="0DC9C7B3" w:rsidR="00762E8C" w:rsidRPr="006411D7" w:rsidRDefault="00762E8C">
      <w:pPr>
        <w:pStyle w:val="FootnoteText"/>
        <w:rPr>
          <w:lang w:val="en-US"/>
        </w:rPr>
      </w:pPr>
      <w:r w:rsidRPr="000B54C4">
        <w:rPr>
          <w:rStyle w:val="FootnoteReference"/>
          <w:rFonts w:ascii="Times New Roman" w:hAnsi="Times New Roman"/>
          <w:sz w:val="18"/>
          <w:szCs w:val="18"/>
        </w:rPr>
        <w:footnoteRef/>
      </w:r>
      <w:r w:rsidRPr="000B54C4">
        <w:rPr>
          <w:rFonts w:ascii="Times New Roman" w:hAnsi="Times New Roman"/>
          <w:sz w:val="18"/>
          <w:szCs w:val="18"/>
        </w:rPr>
        <w:t xml:space="preserve"> Stats NZ. </w:t>
      </w:r>
      <w:r w:rsidRPr="000B54C4">
        <w:rPr>
          <w:rFonts w:ascii="Times New Roman" w:hAnsi="Times New Roman"/>
          <w:i/>
          <w:sz w:val="18"/>
          <w:szCs w:val="18"/>
        </w:rPr>
        <w:t>Household Expenditure Statistics: Year ended June 2019</w:t>
      </w:r>
      <w:r w:rsidRPr="000B54C4">
        <w:rPr>
          <w:rFonts w:ascii="Times New Roman" w:hAnsi="Times New Roman"/>
          <w:sz w:val="18"/>
          <w:szCs w:val="18"/>
        </w:rPr>
        <w:t xml:space="preserve">. </w:t>
      </w:r>
      <w:hyperlink r:id="rId7" w:history="1">
        <w:r w:rsidRPr="000B54C4">
          <w:rPr>
            <w:rStyle w:val="Hyperlink"/>
            <w:rFonts w:ascii="Times New Roman" w:hAnsi="Times New Roman"/>
            <w:sz w:val="18"/>
            <w:szCs w:val="18"/>
          </w:rPr>
          <w:t>https://www.stats.govt.nz/information-releases/household-expenditure-statistics-year-ended-june-2019</w:t>
        </w:r>
      </w:hyperlink>
      <w:r w:rsidRPr="000B54C4">
        <w:rPr>
          <w:rStyle w:val="Hyperlink"/>
          <w:rFonts w:ascii="Times New Roman" w:hAnsi="Times New Roman"/>
          <w:color w:val="auto"/>
          <w:sz w:val="18"/>
          <w:szCs w:val="18"/>
          <w:u w:val="none"/>
        </w:rPr>
        <w:t xml:space="preserve"> (accessed 1 October 2021)</w:t>
      </w:r>
    </w:p>
  </w:footnote>
  <w:footnote w:id="16">
    <w:p w14:paraId="14FFE819" w14:textId="77777777" w:rsidR="00762E8C" w:rsidRPr="000B54C4" w:rsidRDefault="00762E8C" w:rsidP="00B73D58">
      <w:pPr>
        <w:pStyle w:val="FootnoteText"/>
        <w:rPr>
          <w:rFonts w:ascii="Times New Roman" w:hAnsi="Times New Roman"/>
          <w:sz w:val="18"/>
          <w:szCs w:val="18"/>
          <w:lang w:val="en-US"/>
        </w:rPr>
      </w:pPr>
      <w:r w:rsidRPr="000B54C4">
        <w:rPr>
          <w:rStyle w:val="FootnoteReference"/>
          <w:rFonts w:ascii="Times New Roman" w:hAnsi="Times New Roman"/>
          <w:sz w:val="18"/>
          <w:szCs w:val="18"/>
        </w:rPr>
        <w:footnoteRef/>
      </w:r>
      <w:r w:rsidRPr="000B54C4">
        <w:rPr>
          <w:rFonts w:ascii="Times New Roman" w:hAnsi="Times New Roman"/>
          <w:sz w:val="18"/>
          <w:szCs w:val="18"/>
        </w:rPr>
        <w:t xml:space="preserve"> </w:t>
      </w:r>
      <w:r w:rsidRPr="000B54C4">
        <w:rPr>
          <w:rFonts w:ascii="Times New Roman" w:hAnsi="Times New Roman"/>
          <w:sz w:val="18"/>
          <w:szCs w:val="18"/>
          <w:lang w:val="en-US"/>
        </w:rPr>
        <w:t xml:space="preserve">Roy Morgan. 2018. </w:t>
      </w:r>
      <w:r w:rsidRPr="000B54C4">
        <w:rPr>
          <w:rFonts w:ascii="Times New Roman" w:hAnsi="Times New Roman"/>
          <w:i/>
          <w:sz w:val="18"/>
          <w:szCs w:val="18"/>
          <w:lang w:val="en-US"/>
        </w:rPr>
        <w:t>Press Release: McDonald’s, KFC &amp; Subway most visited Aussie restaurants.</w:t>
      </w:r>
      <w:r w:rsidRPr="000B54C4">
        <w:rPr>
          <w:rFonts w:ascii="Times New Roman" w:hAnsi="Times New Roman"/>
          <w:sz w:val="18"/>
          <w:szCs w:val="18"/>
          <w:lang w:val="en-US"/>
        </w:rPr>
        <w:t xml:space="preserve"> </w:t>
      </w:r>
      <w:hyperlink r:id="rId8" w:history="1">
        <w:r w:rsidRPr="000B54C4">
          <w:rPr>
            <w:rStyle w:val="Hyperlink"/>
            <w:rFonts w:ascii="Times New Roman" w:hAnsi="Times New Roman"/>
            <w:sz w:val="18"/>
            <w:szCs w:val="18"/>
          </w:rPr>
          <w:t>http://www.roymorgan.com/findings/7599-australian-eating-habits-eating-in-out-march-2018-201805290253</w:t>
        </w:r>
      </w:hyperlink>
    </w:p>
  </w:footnote>
  <w:footnote w:id="17">
    <w:p w14:paraId="3877C98B" w14:textId="77777777" w:rsidR="00762E8C" w:rsidRPr="000B54C4" w:rsidRDefault="00762E8C" w:rsidP="00B73D58">
      <w:pPr>
        <w:pStyle w:val="FootnoteText"/>
        <w:rPr>
          <w:rFonts w:ascii="Times New Roman" w:hAnsi="Times New Roman"/>
          <w:sz w:val="18"/>
          <w:szCs w:val="18"/>
          <w:lang w:val="en-US"/>
        </w:rPr>
      </w:pPr>
      <w:r w:rsidRPr="000B54C4">
        <w:rPr>
          <w:rStyle w:val="FootnoteReference"/>
          <w:rFonts w:ascii="Times New Roman" w:hAnsi="Times New Roman"/>
          <w:sz w:val="18"/>
          <w:szCs w:val="18"/>
        </w:rPr>
        <w:footnoteRef/>
      </w:r>
      <w:r w:rsidRPr="000B54C4">
        <w:rPr>
          <w:rFonts w:ascii="Times New Roman" w:hAnsi="Times New Roman"/>
          <w:sz w:val="18"/>
          <w:szCs w:val="18"/>
        </w:rPr>
        <w:t xml:space="preserve"> </w:t>
      </w:r>
      <w:r w:rsidRPr="000B54C4">
        <w:rPr>
          <w:rFonts w:ascii="Times New Roman" w:hAnsi="Times New Roman"/>
          <w:sz w:val="18"/>
          <w:szCs w:val="18"/>
          <w:lang w:val="en-US"/>
        </w:rPr>
        <w:t xml:space="preserve">Roy Morgan. 2018. </w:t>
      </w:r>
      <w:r w:rsidRPr="000B54C4">
        <w:rPr>
          <w:rFonts w:ascii="Times New Roman" w:hAnsi="Times New Roman"/>
          <w:i/>
          <w:sz w:val="18"/>
          <w:szCs w:val="18"/>
          <w:lang w:val="en-US"/>
        </w:rPr>
        <w:t>Press Release: McDonald’s, KFC &amp; Domino’s Pizza most visited NZ restaurants.</w:t>
      </w:r>
      <w:r w:rsidRPr="000B54C4">
        <w:rPr>
          <w:rFonts w:ascii="Times New Roman" w:hAnsi="Times New Roman"/>
          <w:sz w:val="18"/>
          <w:szCs w:val="18"/>
          <w:lang w:val="en-US"/>
        </w:rPr>
        <w:t xml:space="preserve"> </w:t>
      </w:r>
      <w:hyperlink r:id="rId9" w:history="1">
        <w:r w:rsidRPr="000B54C4">
          <w:rPr>
            <w:rStyle w:val="Hyperlink"/>
            <w:rFonts w:ascii="Times New Roman" w:hAnsi="Times New Roman"/>
            <w:sz w:val="18"/>
            <w:szCs w:val="18"/>
          </w:rPr>
          <w:t>http://www.roymorgan.com/findings/7613-new-zealand-eating-habits-eating-in-out-qsr-restaurants-march-2018-201805310031</w:t>
        </w:r>
      </w:hyperlink>
    </w:p>
  </w:footnote>
  <w:footnote w:id="18">
    <w:p w14:paraId="667BB7C1" w14:textId="77777777" w:rsidR="00762E8C" w:rsidRPr="000B54C4" w:rsidRDefault="00762E8C" w:rsidP="00B73D58">
      <w:pPr>
        <w:pStyle w:val="FootnoteText"/>
        <w:rPr>
          <w:rFonts w:ascii="Times New Roman" w:hAnsi="Times New Roman"/>
          <w:sz w:val="18"/>
          <w:szCs w:val="18"/>
        </w:rPr>
      </w:pPr>
      <w:r w:rsidRPr="000B54C4">
        <w:rPr>
          <w:rStyle w:val="FootnoteReference"/>
          <w:rFonts w:ascii="Times New Roman" w:hAnsi="Times New Roman"/>
          <w:sz w:val="18"/>
          <w:szCs w:val="18"/>
        </w:rPr>
        <w:footnoteRef/>
      </w:r>
      <w:r w:rsidRPr="000B54C4">
        <w:rPr>
          <w:rFonts w:ascii="Times New Roman" w:hAnsi="Times New Roman"/>
          <w:sz w:val="18"/>
          <w:szCs w:val="18"/>
        </w:rPr>
        <w:t xml:space="preserve"> Future Food. 2019. </w:t>
      </w:r>
      <w:r w:rsidRPr="000B54C4">
        <w:rPr>
          <w:rFonts w:ascii="Times New Roman" w:hAnsi="Times New Roman"/>
          <w:i/>
          <w:sz w:val="18"/>
          <w:szCs w:val="18"/>
        </w:rPr>
        <w:t xml:space="preserve">Eating Out in Australia – Takeaway on Takeaways. </w:t>
      </w:r>
      <w:hyperlink r:id="rId10" w:history="1">
        <w:r w:rsidRPr="000B54C4">
          <w:rPr>
            <w:rStyle w:val="Hyperlink"/>
            <w:rFonts w:ascii="Times New Roman" w:hAnsi="Times New Roman"/>
            <w:sz w:val="18"/>
            <w:szCs w:val="18"/>
          </w:rPr>
          <w:t>https://futurefood.com.au/blog/2019/06/eating-out-in-australia-takeaways-on-takeaways</w:t>
        </w:r>
      </w:hyperlink>
      <w:r w:rsidRPr="000B54C4">
        <w:rPr>
          <w:rFonts w:ascii="Times New Roman" w:hAnsi="Times New Roman"/>
          <w:sz w:val="18"/>
          <w:szCs w:val="18"/>
        </w:rPr>
        <w:t xml:space="preserve"> </w:t>
      </w:r>
    </w:p>
  </w:footnote>
  <w:footnote w:id="19">
    <w:p w14:paraId="33455449" w14:textId="77777777" w:rsidR="00762E8C" w:rsidRPr="00692EFA" w:rsidRDefault="00762E8C" w:rsidP="00B73D58">
      <w:pPr>
        <w:pStyle w:val="FootnoteText"/>
        <w:rPr>
          <w:rFonts w:ascii="Times New Roman" w:hAnsi="Times New Roman"/>
          <w:sz w:val="18"/>
          <w:szCs w:val="18"/>
          <w:lang w:val="en-US"/>
        </w:rPr>
      </w:pPr>
      <w:r w:rsidRPr="000B54C4">
        <w:rPr>
          <w:rStyle w:val="FootnoteReference"/>
          <w:rFonts w:ascii="Times New Roman" w:hAnsi="Times New Roman"/>
          <w:sz w:val="18"/>
          <w:szCs w:val="18"/>
        </w:rPr>
        <w:footnoteRef/>
      </w:r>
      <w:r w:rsidRPr="000B54C4">
        <w:rPr>
          <w:rFonts w:ascii="Times New Roman" w:hAnsi="Times New Roman"/>
          <w:sz w:val="18"/>
          <w:szCs w:val="18"/>
        </w:rPr>
        <w:t xml:space="preserve"> </w:t>
      </w:r>
      <w:r w:rsidRPr="000B54C4">
        <w:rPr>
          <w:rFonts w:ascii="Times New Roman" w:hAnsi="Times New Roman"/>
          <w:sz w:val="18"/>
          <w:szCs w:val="18"/>
          <w:lang w:val="en-US"/>
        </w:rPr>
        <w:t xml:space="preserve">Roy Morgan. 2018. </w:t>
      </w:r>
      <w:r w:rsidRPr="000B54C4">
        <w:rPr>
          <w:rFonts w:ascii="Times New Roman" w:hAnsi="Times New Roman"/>
          <w:i/>
          <w:sz w:val="18"/>
          <w:szCs w:val="18"/>
          <w:lang w:val="en-US"/>
        </w:rPr>
        <w:t xml:space="preserve">Press Release: </w:t>
      </w:r>
      <w:proofErr w:type="spellStart"/>
      <w:r w:rsidRPr="000B54C4">
        <w:rPr>
          <w:rFonts w:ascii="Times New Roman" w:hAnsi="Times New Roman"/>
          <w:i/>
          <w:sz w:val="18"/>
          <w:szCs w:val="18"/>
          <w:lang w:val="en-US"/>
        </w:rPr>
        <w:t>Metrotechs</w:t>
      </w:r>
      <w:proofErr w:type="spellEnd"/>
      <w:r w:rsidRPr="000B54C4">
        <w:rPr>
          <w:rFonts w:ascii="Times New Roman" w:hAnsi="Times New Roman"/>
          <w:i/>
          <w:sz w:val="18"/>
          <w:szCs w:val="18"/>
          <w:lang w:val="en-US"/>
        </w:rPr>
        <w:t xml:space="preserve"> and Millennials have taken to Uber Eats, </w:t>
      </w:r>
      <w:proofErr w:type="spellStart"/>
      <w:r w:rsidRPr="000B54C4">
        <w:rPr>
          <w:rFonts w:ascii="Times New Roman" w:hAnsi="Times New Roman"/>
          <w:i/>
          <w:sz w:val="18"/>
          <w:szCs w:val="18"/>
          <w:lang w:val="en-US"/>
        </w:rPr>
        <w:t>Menulog</w:t>
      </w:r>
      <w:proofErr w:type="spellEnd"/>
      <w:r w:rsidRPr="000B54C4">
        <w:rPr>
          <w:rFonts w:ascii="Times New Roman" w:hAnsi="Times New Roman"/>
          <w:i/>
          <w:sz w:val="18"/>
          <w:szCs w:val="18"/>
          <w:lang w:val="en-US"/>
        </w:rPr>
        <w:t xml:space="preserve">, Deliveroo, </w:t>
      </w:r>
      <w:proofErr w:type="spellStart"/>
      <w:r w:rsidRPr="000B54C4">
        <w:rPr>
          <w:rFonts w:ascii="Times New Roman" w:hAnsi="Times New Roman"/>
          <w:i/>
          <w:sz w:val="18"/>
          <w:szCs w:val="18"/>
          <w:lang w:val="en-US"/>
        </w:rPr>
        <w:t>Foodora</w:t>
      </w:r>
      <w:proofErr w:type="spellEnd"/>
      <w:r w:rsidRPr="000B54C4">
        <w:rPr>
          <w:rFonts w:ascii="Times New Roman" w:hAnsi="Times New Roman"/>
          <w:i/>
          <w:sz w:val="18"/>
          <w:szCs w:val="18"/>
          <w:lang w:val="en-US"/>
        </w:rPr>
        <w:t xml:space="preserve"> and more. </w:t>
      </w:r>
      <w:hyperlink r:id="rId11" w:history="1">
        <w:r w:rsidRPr="00692EFA">
          <w:rPr>
            <w:rStyle w:val="Hyperlink"/>
            <w:rFonts w:ascii="Times New Roman" w:hAnsi="Times New Roman"/>
            <w:sz w:val="18"/>
            <w:szCs w:val="18"/>
          </w:rPr>
          <w:t>http://www.roymorgan.com/findings/7602-food-delivery-services-march-2018-201805240625</w:t>
        </w:r>
      </w:hyperlink>
      <w:r w:rsidRPr="00692EFA">
        <w:rPr>
          <w:rStyle w:val="Hyperlink"/>
          <w:rFonts w:ascii="Times New Roman" w:hAnsi="Times New Roman"/>
          <w:sz w:val="18"/>
          <w:szCs w:val="18"/>
        </w:rPr>
        <w:t xml:space="preserve"> </w:t>
      </w:r>
      <w:r w:rsidRPr="00692EFA">
        <w:rPr>
          <w:rFonts w:ascii="Times New Roman" w:hAnsi="Times New Roman"/>
          <w:sz w:val="18"/>
          <w:szCs w:val="18"/>
          <w:lang w:val="en-US"/>
        </w:rPr>
        <w:t>NOTE: Survey included</w:t>
      </w:r>
      <w:r w:rsidRPr="00692EFA">
        <w:rPr>
          <w:rFonts w:ascii="Times New Roman" w:hAnsi="Times New Roman"/>
          <w:sz w:val="18"/>
          <w:szCs w:val="18"/>
        </w:rPr>
        <w:t xml:space="preserve"> food delivery platforms that provide ready-to-eat meals, weight control meals and recipes to prepare at home.</w:t>
      </w:r>
    </w:p>
  </w:footnote>
  <w:footnote w:id="20">
    <w:p w14:paraId="4DA8647B" w14:textId="33C08DF3" w:rsidR="00762E8C" w:rsidRPr="000B54C4" w:rsidRDefault="00762E8C">
      <w:pPr>
        <w:pStyle w:val="FootnoteText"/>
        <w:rPr>
          <w:rFonts w:ascii="Times New Roman" w:hAnsi="Times New Roman"/>
          <w:sz w:val="18"/>
          <w:szCs w:val="18"/>
          <w:lang w:val="en-US"/>
        </w:rPr>
      </w:pPr>
      <w:r w:rsidRPr="00692EFA">
        <w:rPr>
          <w:rStyle w:val="FootnoteReference"/>
          <w:rFonts w:ascii="Times New Roman" w:hAnsi="Times New Roman"/>
          <w:sz w:val="18"/>
          <w:szCs w:val="18"/>
        </w:rPr>
        <w:footnoteRef/>
      </w:r>
      <w:r w:rsidRPr="00692EFA">
        <w:rPr>
          <w:rFonts w:ascii="Times New Roman" w:hAnsi="Times New Roman"/>
          <w:sz w:val="18"/>
          <w:szCs w:val="18"/>
        </w:rPr>
        <w:t xml:space="preserve"> Bates et al. 2020. A narrative review of online food delivery in Australia: challenges and opportunities for public health nutrition policy. </w:t>
      </w:r>
      <w:r w:rsidRPr="00692EFA">
        <w:rPr>
          <w:rFonts w:ascii="Times New Roman" w:hAnsi="Times New Roman"/>
          <w:i/>
          <w:iCs/>
          <w:sz w:val="18"/>
          <w:szCs w:val="18"/>
        </w:rPr>
        <w:t>Public Health Nutrition</w:t>
      </w:r>
      <w:r w:rsidRPr="00692EFA">
        <w:rPr>
          <w:rFonts w:ascii="Times New Roman" w:hAnsi="Times New Roman"/>
          <w:sz w:val="18"/>
          <w:szCs w:val="18"/>
        </w:rPr>
        <w:t>, doi:10.1017/S1368980020000701</w:t>
      </w:r>
    </w:p>
  </w:footnote>
  <w:footnote w:id="21">
    <w:p w14:paraId="11A6E4E3" w14:textId="730A61BD" w:rsidR="00762E8C" w:rsidRDefault="00762E8C" w:rsidP="00692EFA">
      <w:r w:rsidRPr="00762E8C">
        <w:rPr>
          <w:rStyle w:val="FootnoteReference"/>
          <w:sz w:val="18"/>
          <w:szCs w:val="18"/>
        </w:rPr>
        <w:footnoteRef/>
      </w:r>
      <w:r w:rsidRPr="00762E8C">
        <w:rPr>
          <w:sz w:val="18"/>
          <w:szCs w:val="18"/>
        </w:rPr>
        <w:t xml:space="preserve"> </w:t>
      </w:r>
      <w:r w:rsidRPr="00762E8C">
        <w:rPr>
          <w:color w:val="000000"/>
          <w:sz w:val="18"/>
          <w:szCs w:val="18"/>
          <w:lang w:val="en-NZ"/>
        </w:rPr>
        <w:t>Bayer</w:t>
      </w:r>
      <w:r>
        <w:rPr>
          <w:color w:val="000000"/>
          <w:sz w:val="18"/>
          <w:szCs w:val="18"/>
          <w:lang w:val="en-NZ"/>
        </w:rPr>
        <w:t xml:space="preserve"> and New Zealand N</w:t>
      </w:r>
      <w:r w:rsidRPr="00762E8C">
        <w:rPr>
          <w:color w:val="000000"/>
          <w:sz w:val="18"/>
          <w:szCs w:val="18"/>
          <w:lang w:val="en-NZ"/>
        </w:rPr>
        <w:t>utrition Foundation.</w:t>
      </w:r>
      <w:r>
        <w:rPr>
          <w:color w:val="000000"/>
          <w:sz w:val="18"/>
          <w:szCs w:val="18"/>
          <w:lang w:val="en-NZ"/>
        </w:rPr>
        <w:t xml:space="preserve"> 2019.</w:t>
      </w:r>
      <w:r w:rsidRPr="00762E8C">
        <w:rPr>
          <w:color w:val="000000"/>
          <w:sz w:val="18"/>
          <w:szCs w:val="18"/>
          <w:lang w:val="en-NZ"/>
        </w:rPr>
        <w:t xml:space="preserve"> </w:t>
      </w:r>
      <w:r w:rsidRPr="00762E8C">
        <w:rPr>
          <w:i/>
          <w:iCs/>
          <w:color w:val="000000"/>
          <w:sz w:val="18"/>
          <w:szCs w:val="18"/>
          <w:lang w:val="en-NZ"/>
        </w:rPr>
        <w:t>The Bayer Food Focus Project</w:t>
      </w:r>
      <w:r w:rsidRPr="000C6BC2">
        <w:rPr>
          <w:i/>
          <w:iCs/>
          <w:color w:val="000000"/>
          <w:sz w:val="18"/>
          <w:szCs w:val="18"/>
          <w:lang w:val="en-NZ"/>
        </w:rPr>
        <w:t>: 2019</w:t>
      </w:r>
      <w:r w:rsidRPr="000C6BC2">
        <w:rPr>
          <w:color w:val="000000"/>
          <w:sz w:val="18"/>
          <w:szCs w:val="18"/>
          <w:lang w:val="en-NZ"/>
        </w:rPr>
        <w:t xml:space="preserve">. </w:t>
      </w:r>
      <w:hyperlink r:id="rId12" w:history="1">
        <w:r w:rsidRPr="00660807">
          <w:rPr>
            <w:rStyle w:val="Hyperlink"/>
            <w:sz w:val="18"/>
            <w:szCs w:val="18"/>
          </w:rPr>
          <w:t>https://nutritionfoundation.org.nz/sites/default/files/Bayer_Survey%20Report_v10.pdf</w:t>
        </w:r>
      </w:hyperlink>
      <w:r>
        <w:rPr>
          <w:sz w:val="18"/>
          <w:szCs w:val="18"/>
        </w:rPr>
        <w:t xml:space="preserve"> (accessed 20 December 2021)</w:t>
      </w:r>
    </w:p>
  </w:footnote>
  <w:footnote w:id="22">
    <w:p w14:paraId="05BF40F3" w14:textId="77777777" w:rsidR="00762E8C" w:rsidRPr="000B54C4" w:rsidRDefault="00762E8C" w:rsidP="00B73D58">
      <w:pPr>
        <w:pStyle w:val="FootnoteText"/>
        <w:rPr>
          <w:rFonts w:ascii="Times New Roman" w:hAnsi="Times New Roman"/>
          <w:sz w:val="18"/>
          <w:szCs w:val="18"/>
          <w:lang w:val="en-US"/>
        </w:rPr>
      </w:pPr>
      <w:r w:rsidRPr="000B54C4">
        <w:rPr>
          <w:rStyle w:val="FootnoteReference"/>
          <w:rFonts w:ascii="Times New Roman" w:hAnsi="Times New Roman"/>
          <w:sz w:val="18"/>
          <w:szCs w:val="18"/>
        </w:rPr>
        <w:footnoteRef/>
      </w:r>
      <w:r w:rsidRPr="000B54C4">
        <w:rPr>
          <w:rFonts w:ascii="Times New Roman" w:hAnsi="Times New Roman"/>
          <w:sz w:val="18"/>
          <w:szCs w:val="18"/>
        </w:rPr>
        <w:t xml:space="preserve"> Australian Bureau of Statistics. 2021.</w:t>
      </w:r>
      <w:r w:rsidRPr="000B54C4">
        <w:rPr>
          <w:rFonts w:ascii="Times New Roman" w:hAnsi="Times New Roman"/>
          <w:i/>
          <w:iCs/>
          <w:sz w:val="18"/>
          <w:szCs w:val="18"/>
        </w:rPr>
        <w:t xml:space="preserve"> Household Impacts of COVID-19 Survey: April-May 2020. </w:t>
      </w:r>
      <w:hyperlink r:id="rId13" w:anchor="lifestyle-changes" w:history="1">
        <w:r w:rsidRPr="000B54C4">
          <w:rPr>
            <w:rStyle w:val="Hyperlink"/>
            <w:rFonts w:ascii="Times New Roman" w:hAnsi="Times New Roman"/>
            <w:sz w:val="18"/>
            <w:szCs w:val="18"/>
          </w:rPr>
          <w:t>https://www.abs.gov.au/statistics/people/people-and-communities/household-impacts-covid-19-survey/29-apr-4-may-2020#lifestyle-changes</w:t>
        </w:r>
      </w:hyperlink>
      <w:r w:rsidRPr="000B54C4">
        <w:rPr>
          <w:rFonts w:ascii="Times New Roman" w:hAnsi="Times New Roman"/>
          <w:sz w:val="18"/>
          <w:szCs w:val="18"/>
        </w:rPr>
        <w:t xml:space="preserve"> (accessed 1 October 2021)</w:t>
      </w:r>
    </w:p>
  </w:footnote>
  <w:footnote w:id="23">
    <w:p w14:paraId="152B683F" w14:textId="77777777" w:rsidR="00762E8C" w:rsidRPr="000B54C4" w:rsidRDefault="00762E8C" w:rsidP="00B73D58">
      <w:pPr>
        <w:pStyle w:val="FootnoteText"/>
        <w:rPr>
          <w:rFonts w:ascii="Times New Roman" w:hAnsi="Times New Roman"/>
          <w:sz w:val="18"/>
          <w:szCs w:val="18"/>
          <w:lang w:val="en-US"/>
        </w:rPr>
      </w:pPr>
      <w:r w:rsidRPr="000B54C4">
        <w:rPr>
          <w:rStyle w:val="FootnoteReference"/>
          <w:rFonts w:ascii="Times New Roman" w:hAnsi="Times New Roman"/>
          <w:sz w:val="18"/>
          <w:szCs w:val="18"/>
        </w:rPr>
        <w:footnoteRef/>
      </w:r>
      <w:r w:rsidRPr="000B54C4">
        <w:rPr>
          <w:rFonts w:ascii="Times New Roman" w:hAnsi="Times New Roman"/>
          <w:sz w:val="18"/>
          <w:szCs w:val="18"/>
        </w:rPr>
        <w:t xml:space="preserve"> Australian Bureau of Statistics. 2021.</w:t>
      </w:r>
      <w:r w:rsidRPr="000B54C4">
        <w:rPr>
          <w:rFonts w:ascii="Times New Roman" w:hAnsi="Times New Roman"/>
          <w:i/>
          <w:iCs/>
          <w:sz w:val="18"/>
          <w:szCs w:val="18"/>
        </w:rPr>
        <w:t xml:space="preserve"> Household Impacts of COVID-19 Survey: June 2021. </w:t>
      </w:r>
      <w:hyperlink r:id="rId14" w:anchor="spending" w:history="1">
        <w:r w:rsidRPr="000B54C4">
          <w:rPr>
            <w:rStyle w:val="Hyperlink"/>
            <w:rFonts w:ascii="Times New Roman" w:hAnsi="Times New Roman"/>
            <w:sz w:val="18"/>
            <w:szCs w:val="18"/>
          </w:rPr>
          <w:t>https://www.abs.gov.au/statistics/people/people-and-communities/household-impacts-covid-19-survey/jun-2021#spending</w:t>
        </w:r>
      </w:hyperlink>
      <w:r w:rsidRPr="000B54C4">
        <w:rPr>
          <w:rFonts w:ascii="Times New Roman" w:hAnsi="Times New Roman"/>
          <w:sz w:val="18"/>
          <w:szCs w:val="18"/>
        </w:rPr>
        <w:t xml:space="preserve"> (accessed 1 October 2021)</w:t>
      </w:r>
    </w:p>
  </w:footnote>
  <w:footnote w:id="24">
    <w:p w14:paraId="0BF03299" w14:textId="77777777" w:rsidR="00762E8C" w:rsidRPr="000B54C4" w:rsidRDefault="00762E8C" w:rsidP="00761418">
      <w:pPr>
        <w:pStyle w:val="FootnoteText"/>
        <w:rPr>
          <w:rFonts w:ascii="Times New Roman" w:hAnsi="Times New Roman"/>
          <w:sz w:val="18"/>
          <w:szCs w:val="18"/>
        </w:rPr>
      </w:pPr>
      <w:r w:rsidRPr="000B54C4">
        <w:rPr>
          <w:rStyle w:val="FootnoteReference"/>
          <w:rFonts w:ascii="Times New Roman" w:hAnsi="Times New Roman"/>
          <w:sz w:val="18"/>
          <w:szCs w:val="18"/>
        </w:rPr>
        <w:footnoteRef/>
      </w:r>
      <w:r w:rsidRPr="000B54C4">
        <w:rPr>
          <w:rFonts w:ascii="Times New Roman" w:hAnsi="Times New Roman"/>
          <w:sz w:val="18"/>
          <w:szCs w:val="18"/>
        </w:rPr>
        <w:t xml:space="preserve"> As defined in the </w:t>
      </w:r>
      <w:r w:rsidRPr="000B54C4">
        <w:rPr>
          <w:rFonts w:ascii="Times New Roman" w:hAnsi="Times New Roman"/>
          <w:i/>
          <w:iCs/>
          <w:sz w:val="18"/>
          <w:szCs w:val="18"/>
        </w:rPr>
        <w:t>Principles for introducing Point-of-Sale nutrition information at standard food outlets</w:t>
      </w:r>
      <w:r w:rsidRPr="000B54C4">
        <w:rPr>
          <w:rFonts w:ascii="Times New Roman" w:hAnsi="Times New Roman"/>
          <w:sz w:val="18"/>
          <w:szCs w:val="18"/>
        </w:rPr>
        <w:t xml:space="preserve">. 2011. </w:t>
      </w:r>
      <w:hyperlink r:id="rId15" w:history="1">
        <w:r w:rsidRPr="000B54C4">
          <w:rPr>
            <w:rStyle w:val="Hyperlink"/>
            <w:rFonts w:ascii="Times New Roman" w:hAnsi="Times New Roman"/>
            <w:sz w:val="18"/>
            <w:szCs w:val="18"/>
          </w:rPr>
          <w:t>https://foodregulation.gov.au/internet/fr/publishing.nsf/Content/publication-principles-point-of-sale-nutrition</w:t>
        </w:r>
      </w:hyperlink>
    </w:p>
  </w:footnote>
  <w:footnote w:id="25">
    <w:p w14:paraId="18D1DB18" w14:textId="77777777" w:rsidR="00762E8C" w:rsidRPr="000B54C4" w:rsidRDefault="00762E8C" w:rsidP="00761418">
      <w:pPr>
        <w:pStyle w:val="FootnoteText"/>
        <w:rPr>
          <w:rFonts w:ascii="Times New Roman" w:hAnsi="Times New Roman"/>
          <w:sz w:val="18"/>
          <w:szCs w:val="18"/>
        </w:rPr>
      </w:pPr>
      <w:r w:rsidRPr="000B54C4">
        <w:rPr>
          <w:rStyle w:val="FootnoteReference"/>
          <w:rFonts w:ascii="Times New Roman" w:hAnsi="Times New Roman"/>
          <w:sz w:val="18"/>
          <w:szCs w:val="18"/>
        </w:rPr>
        <w:footnoteRef/>
      </w:r>
      <w:r w:rsidRPr="000B54C4">
        <w:rPr>
          <w:rFonts w:ascii="Times New Roman" w:hAnsi="Times New Roman"/>
          <w:sz w:val="18"/>
          <w:szCs w:val="18"/>
        </w:rPr>
        <w:t xml:space="preserve"> Ibid.</w:t>
      </w:r>
    </w:p>
  </w:footnote>
  <w:footnote w:id="26">
    <w:p w14:paraId="45CEF472" w14:textId="77777777" w:rsidR="00762E8C" w:rsidRPr="003D3C4F" w:rsidRDefault="00762E8C" w:rsidP="00761418">
      <w:pPr>
        <w:rPr>
          <w:sz w:val="18"/>
          <w:szCs w:val="18"/>
        </w:rPr>
      </w:pPr>
      <w:r w:rsidRPr="000B54C4">
        <w:rPr>
          <w:rStyle w:val="FootnoteReference"/>
          <w:sz w:val="18"/>
          <w:szCs w:val="18"/>
        </w:rPr>
        <w:footnoteRef/>
      </w:r>
      <w:r w:rsidRPr="000B54C4">
        <w:rPr>
          <w:sz w:val="18"/>
          <w:szCs w:val="18"/>
        </w:rPr>
        <w:t xml:space="preserve"> Under </w:t>
      </w:r>
      <w:r w:rsidRPr="000B54C4">
        <w:rPr>
          <w:sz w:val="18"/>
          <w:szCs w:val="18"/>
          <w:lang w:eastAsia="zh-CN" w:bidi="th-TH"/>
        </w:rPr>
        <w:t>the Food Standards Code, Standard 1.2.1-6 does not require food to bear a label if it is made and packaged on the premises from which it is sold; is packaged in the presence of the purchaser; is delivered packaged, and ready for consumption, at the express order of the purchaser (other than when the food is sold from a vending machine); or is displayed in an assisted service display cabinet.</w:t>
      </w:r>
      <w:r w:rsidRPr="003D3C4F">
        <w:rPr>
          <w:sz w:val="18"/>
          <w:szCs w:val="18"/>
          <w:lang w:eastAsia="zh-CN" w:bidi="th-TH"/>
        </w:rPr>
        <w:t xml:space="preserve"> </w:t>
      </w:r>
    </w:p>
  </w:footnote>
  <w:footnote w:id="27">
    <w:p w14:paraId="3DBABF30" w14:textId="77777777" w:rsidR="00FC2775" w:rsidRPr="003D3798" w:rsidRDefault="00FC2775" w:rsidP="00FC2775">
      <w:pPr>
        <w:pStyle w:val="FootnoteText"/>
        <w:rPr>
          <w:rFonts w:ascii="Times New Roman" w:hAnsi="Times New Roman"/>
          <w:sz w:val="18"/>
          <w:szCs w:val="18"/>
        </w:rPr>
      </w:pPr>
      <w:r w:rsidRPr="003D3798">
        <w:rPr>
          <w:rStyle w:val="FootnoteReference"/>
          <w:rFonts w:ascii="Times New Roman" w:hAnsi="Times New Roman"/>
          <w:sz w:val="18"/>
          <w:szCs w:val="18"/>
        </w:rPr>
        <w:footnoteRef/>
      </w:r>
      <w:r w:rsidRPr="003D3798">
        <w:rPr>
          <w:rFonts w:ascii="Times New Roman" w:hAnsi="Times New Roman"/>
          <w:sz w:val="18"/>
          <w:szCs w:val="18"/>
        </w:rPr>
        <w:t xml:space="preserve"> </w:t>
      </w:r>
      <w:r>
        <w:rPr>
          <w:rFonts w:ascii="Times New Roman" w:hAnsi="Times New Roman"/>
          <w:sz w:val="18"/>
          <w:szCs w:val="18"/>
        </w:rPr>
        <w:t>Ibid</w:t>
      </w:r>
    </w:p>
  </w:footnote>
  <w:footnote w:id="28">
    <w:p w14:paraId="40455D7E" w14:textId="77777777" w:rsidR="00FC2775" w:rsidRPr="003D3798" w:rsidRDefault="00FC2775" w:rsidP="00FC2775">
      <w:pPr>
        <w:pStyle w:val="FootnoteText"/>
        <w:rPr>
          <w:rFonts w:ascii="Times New Roman" w:hAnsi="Times New Roman"/>
          <w:sz w:val="18"/>
          <w:szCs w:val="18"/>
        </w:rPr>
      </w:pPr>
      <w:r w:rsidRPr="003D3798">
        <w:rPr>
          <w:rStyle w:val="FootnoteReference"/>
          <w:rFonts w:ascii="Times New Roman" w:hAnsi="Times New Roman"/>
          <w:sz w:val="18"/>
          <w:szCs w:val="18"/>
        </w:rPr>
        <w:footnoteRef/>
      </w:r>
      <w:r w:rsidRPr="003D3798">
        <w:rPr>
          <w:rFonts w:ascii="Times New Roman" w:hAnsi="Times New Roman"/>
          <w:sz w:val="18"/>
          <w:szCs w:val="18"/>
        </w:rPr>
        <w:t xml:space="preserve"> McKinsey Global Institute. 2014. Overcoming obesity: an initial economic analysis. </w:t>
      </w:r>
      <w:hyperlink r:id="rId16" w:history="1">
        <w:r w:rsidRPr="003D3798">
          <w:rPr>
            <w:rStyle w:val="Hyperlink"/>
            <w:rFonts w:ascii="Times New Roman" w:hAnsi="Times New Roman"/>
            <w:sz w:val="18"/>
            <w:szCs w:val="18"/>
          </w:rPr>
          <w:t>https://www.mckinsey.com/industries/healthcare-systems-and-services/our-insights/how-the-world-could-better-fight-obesity</w:t>
        </w:r>
      </w:hyperlink>
      <w:r w:rsidRPr="003D3798">
        <w:rPr>
          <w:rFonts w:ascii="Times New Roman" w:hAnsi="Times New Roman"/>
          <w:sz w:val="18"/>
          <w:szCs w:val="18"/>
        </w:rPr>
        <w:t xml:space="preserve"> </w:t>
      </w:r>
      <w:r w:rsidRPr="003D3798">
        <w:rPr>
          <w:rFonts w:ascii="Times New Roman" w:hAnsi="Times New Roman"/>
          <w:sz w:val="18"/>
          <w:szCs w:val="18"/>
          <w:lang w:val="en-US"/>
        </w:rPr>
        <w:t>(accessed 23 September 2021)</w:t>
      </w:r>
    </w:p>
  </w:footnote>
  <w:footnote w:id="29">
    <w:p w14:paraId="373FBDDC" w14:textId="5A0ED3E8" w:rsidR="00762E8C" w:rsidRPr="003D3798" w:rsidRDefault="00762E8C" w:rsidP="00761418">
      <w:pPr>
        <w:pStyle w:val="FootnoteText"/>
        <w:rPr>
          <w:rFonts w:ascii="Times New Roman" w:hAnsi="Times New Roman"/>
          <w:sz w:val="18"/>
          <w:szCs w:val="18"/>
          <w:lang w:val="en-US"/>
        </w:rPr>
      </w:pPr>
      <w:r w:rsidRPr="003D3798">
        <w:rPr>
          <w:rStyle w:val="FootnoteReference"/>
          <w:rFonts w:ascii="Times New Roman" w:hAnsi="Times New Roman"/>
          <w:sz w:val="18"/>
          <w:szCs w:val="18"/>
        </w:rPr>
        <w:footnoteRef/>
      </w:r>
      <w:r w:rsidRPr="003D3798">
        <w:rPr>
          <w:rFonts w:ascii="Times New Roman" w:hAnsi="Times New Roman"/>
          <w:sz w:val="18"/>
          <w:szCs w:val="18"/>
        </w:rPr>
        <w:t xml:space="preserve"> Swinburn et al. 2013. Monitoring and benchmarking government policies and actions to improve the healthiness of food environments: a proposed Government Healthy Food Environment Policy Index. </w:t>
      </w:r>
      <w:r w:rsidRPr="003D3798">
        <w:rPr>
          <w:rFonts w:ascii="Times New Roman" w:hAnsi="Times New Roman"/>
          <w:i/>
          <w:sz w:val="18"/>
          <w:szCs w:val="18"/>
        </w:rPr>
        <w:t>Obesity Reviews</w:t>
      </w:r>
      <w:r w:rsidRPr="003D3798">
        <w:rPr>
          <w:rFonts w:ascii="Times New Roman" w:hAnsi="Times New Roman"/>
          <w:sz w:val="18"/>
          <w:szCs w:val="18"/>
        </w:rPr>
        <w:t>, 14(S1): 24-37.</w:t>
      </w:r>
    </w:p>
  </w:footnote>
  <w:footnote w:id="30">
    <w:p w14:paraId="705DAE9A" w14:textId="77777777" w:rsidR="00762E8C" w:rsidRPr="003D3798" w:rsidRDefault="00762E8C" w:rsidP="00761418">
      <w:pPr>
        <w:pStyle w:val="Default"/>
        <w:rPr>
          <w:sz w:val="18"/>
          <w:szCs w:val="18"/>
        </w:rPr>
      </w:pPr>
      <w:r w:rsidRPr="003D3798">
        <w:rPr>
          <w:rStyle w:val="FootnoteReference"/>
          <w:sz w:val="18"/>
          <w:szCs w:val="18"/>
        </w:rPr>
        <w:footnoteRef/>
      </w:r>
      <w:r w:rsidRPr="003D3798">
        <w:rPr>
          <w:rStyle w:val="FootnoteReference"/>
          <w:sz w:val="18"/>
          <w:szCs w:val="18"/>
        </w:rPr>
        <w:t xml:space="preserve"> </w:t>
      </w:r>
      <w:r w:rsidRPr="003D3798">
        <w:rPr>
          <w:sz w:val="18"/>
          <w:szCs w:val="18"/>
        </w:rPr>
        <w:t>INFORMAS 2017 and 2019 assessments of food environment action by Australian governments, applauded the introduction of menu labelling by State and Territory governments; encouraged jurisdictions to enhance existing menu labelling by requiring the display of interpretive labelling (e.g. Health Star Rating); recommended that jurisdictions without menu labelling implement mandatory labelling in line with other jurisdictions; and recognised that progress had been made in developing national guidelines for nutrition information on menu. INFORMAS 2020 assessment of food environment action by the New Zealand Government was ‘low level of implementation’ for menu board labelling, with no change since 2017. INFORMAS did not recommend any action on menu labelling. This is in stark contrast to INFORMAS recommendations for menu labelling in Australia.</w:t>
      </w:r>
    </w:p>
  </w:footnote>
  <w:footnote w:id="31">
    <w:p w14:paraId="2B1CAF9A" w14:textId="109AECF3" w:rsidR="00762E8C" w:rsidRPr="003D3798" w:rsidRDefault="00762E8C" w:rsidP="00761418">
      <w:pPr>
        <w:pStyle w:val="FootnoteText"/>
        <w:rPr>
          <w:rFonts w:ascii="Times New Roman" w:hAnsi="Times New Roman"/>
          <w:sz w:val="18"/>
          <w:szCs w:val="18"/>
          <w:lang w:val="en-US"/>
        </w:rPr>
      </w:pPr>
      <w:r w:rsidRPr="003D3798">
        <w:rPr>
          <w:rStyle w:val="FootnoteReference"/>
          <w:rFonts w:ascii="Times New Roman" w:hAnsi="Times New Roman"/>
          <w:sz w:val="18"/>
          <w:szCs w:val="18"/>
        </w:rPr>
        <w:footnoteRef/>
      </w:r>
      <w:r w:rsidRPr="003D3798">
        <w:rPr>
          <w:rFonts w:ascii="Times New Roman" w:hAnsi="Times New Roman"/>
          <w:sz w:val="18"/>
          <w:szCs w:val="18"/>
        </w:rPr>
        <w:t xml:space="preserve"> Hawkes et al. 2013. A food policy package for healthy diets and the prevention of obesity and diet-related non-communicable diseases: the NOURISHING framework. </w:t>
      </w:r>
      <w:r w:rsidRPr="003D3798">
        <w:rPr>
          <w:rFonts w:ascii="Times New Roman" w:hAnsi="Times New Roman"/>
          <w:i/>
          <w:sz w:val="18"/>
          <w:szCs w:val="18"/>
        </w:rPr>
        <w:t>Obesity Reviews</w:t>
      </w:r>
      <w:r w:rsidRPr="003D3798">
        <w:rPr>
          <w:rFonts w:ascii="Times New Roman" w:hAnsi="Times New Roman"/>
          <w:sz w:val="18"/>
          <w:szCs w:val="18"/>
        </w:rPr>
        <w:t xml:space="preserve">, 14(S2): 159-168. </w:t>
      </w:r>
      <w:hyperlink r:id="rId17" w:history="1">
        <w:r w:rsidRPr="003D3798">
          <w:rPr>
            <w:rStyle w:val="Hyperlink"/>
            <w:rFonts w:ascii="Times New Roman" w:hAnsi="Times New Roman"/>
            <w:sz w:val="18"/>
            <w:szCs w:val="18"/>
          </w:rPr>
          <w:t>https://www.wcrf.org/int/policy/nourishing/our-policy-framework-promote-healthy-diets-reduce-obesity</w:t>
        </w:r>
      </w:hyperlink>
      <w:r w:rsidRPr="003D3798">
        <w:rPr>
          <w:rFonts w:ascii="Times New Roman" w:hAnsi="Times New Roman"/>
          <w:sz w:val="18"/>
          <w:szCs w:val="18"/>
          <w:lang w:val="en-US"/>
        </w:rPr>
        <w:t xml:space="preserve"> (accessed 23 September 2021)</w:t>
      </w:r>
    </w:p>
  </w:footnote>
  <w:footnote w:id="32">
    <w:p w14:paraId="046FBD7F" w14:textId="470CBC84" w:rsidR="00762E8C" w:rsidRPr="003D3798" w:rsidRDefault="00762E8C">
      <w:pPr>
        <w:pStyle w:val="FootnoteText"/>
        <w:rPr>
          <w:rFonts w:ascii="Times New Roman" w:hAnsi="Times New Roman"/>
          <w:sz w:val="18"/>
          <w:szCs w:val="18"/>
          <w:lang w:val="en-US"/>
        </w:rPr>
      </w:pPr>
      <w:r w:rsidRPr="003D3798">
        <w:rPr>
          <w:rStyle w:val="FootnoteReference"/>
          <w:rFonts w:ascii="Times New Roman" w:hAnsi="Times New Roman"/>
          <w:sz w:val="18"/>
          <w:szCs w:val="18"/>
        </w:rPr>
        <w:footnoteRef/>
      </w:r>
      <w:r w:rsidRPr="003D3798">
        <w:rPr>
          <w:rFonts w:ascii="Times New Roman" w:hAnsi="Times New Roman"/>
          <w:sz w:val="18"/>
          <w:szCs w:val="18"/>
        </w:rPr>
        <w:t xml:space="preserve"> </w:t>
      </w:r>
      <w:r w:rsidRPr="003D3798">
        <w:rPr>
          <w:rFonts w:ascii="Times New Roman" w:hAnsi="Times New Roman"/>
          <w:sz w:val="18"/>
          <w:szCs w:val="18"/>
          <w:lang w:val="en-US"/>
        </w:rPr>
        <w:t xml:space="preserve">OECD. 2019. </w:t>
      </w:r>
      <w:r w:rsidRPr="003D3798">
        <w:rPr>
          <w:rFonts w:ascii="Times New Roman" w:hAnsi="Times New Roman"/>
          <w:i/>
          <w:iCs/>
          <w:sz w:val="18"/>
          <w:szCs w:val="18"/>
          <w:lang w:val="en-US"/>
        </w:rPr>
        <w:t>The Heavy Burden of Obesity: The Economics of Prevention</w:t>
      </w:r>
      <w:r w:rsidRPr="003D3798">
        <w:rPr>
          <w:rFonts w:ascii="Times New Roman" w:hAnsi="Times New Roman"/>
          <w:sz w:val="18"/>
          <w:szCs w:val="18"/>
          <w:lang w:val="en-US"/>
        </w:rPr>
        <w:t xml:space="preserve">. </w:t>
      </w:r>
      <w:hyperlink r:id="rId18" w:history="1">
        <w:r w:rsidRPr="003D3798">
          <w:rPr>
            <w:rStyle w:val="Hyperlink"/>
            <w:rFonts w:ascii="Times New Roman" w:hAnsi="Times New Roman"/>
            <w:sz w:val="18"/>
            <w:szCs w:val="18"/>
            <w:lang w:val="en-US"/>
          </w:rPr>
          <w:t>https://www.oecd.org/health/the-heavy-burden-of-obesity-67450d67-en.htm</w:t>
        </w:r>
      </w:hyperlink>
      <w:r w:rsidRPr="003D3798">
        <w:rPr>
          <w:rFonts w:ascii="Times New Roman" w:hAnsi="Times New Roman"/>
          <w:sz w:val="18"/>
          <w:szCs w:val="18"/>
          <w:lang w:val="en-US"/>
        </w:rPr>
        <w:t xml:space="preserve"> (accessed 23 September 2021)</w:t>
      </w:r>
    </w:p>
  </w:footnote>
  <w:footnote w:id="33">
    <w:p w14:paraId="745FEDAA" w14:textId="0EF95F74" w:rsidR="00762E8C" w:rsidRPr="003D3798" w:rsidRDefault="00762E8C">
      <w:pPr>
        <w:pStyle w:val="FootnoteText"/>
        <w:rPr>
          <w:rFonts w:ascii="Times New Roman" w:hAnsi="Times New Roman"/>
          <w:sz w:val="18"/>
          <w:szCs w:val="18"/>
          <w:lang w:val="en-US"/>
        </w:rPr>
      </w:pPr>
      <w:r w:rsidRPr="003D3798">
        <w:rPr>
          <w:rStyle w:val="FootnoteReference"/>
          <w:rFonts w:ascii="Times New Roman" w:hAnsi="Times New Roman"/>
          <w:sz w:val="18"/>
          <w:szCs w:val="18"/>
        </w:rPr>
        <w:footnoteRef/>
      </w:r>
      <w:r w:rsidRPr="003D3798">
        <w:rPr>
          <w:rFonts w:ascii="Times New Roman" w:hAnsi="Times New Roman"/>
          <w:sz w:val="18"/>
          <w:szCs w:val="18"/>
        </w:rPr>
        <w:t xml:space="preserve"> </w:t>
      </w:r>
      <w:proofErr w:type="spellStart"/>
      <w:r w:rsidRPr="003D3798">
        <w:rPr>
          <w:rFonts w:ascii="Times New Roman" w:hAnsi="Times New Roman"/>
          <w:sz w:val="18"/>
          <w:szCs w:val="18"/>
          <w:lang w:val="en-US"/>
        </w:rPr>
        <w:t>Mengxi</w:t>
      </w:r>
      <w:proofErr w:type="spellEnd"/>
      <w:r w:rsidRPr="003D3798">
        <w:rPr>
          <w:rFonts w:ascii="Times New Roman" w:hAnsi="Times New Roman"/>
          <w:sz w:val="18"/>
          <w:szCs w:val="18"/>
          <w:lang w:val="en-US"/>
        </w:rPr>
        <w:t xml:space="preserve"> Du et al. 2020. Cost-effectiveness of the FDA menu labeling to reduce obesity-associated cancer burden in the United States. </w:t>
      </w:r>
      <w:r w:rsidRPr="003D3798">
        <w:rPr>
          <w:rFonts w:ascii="Times New Roman" w:hAnsi="Times New Roman"/>
          <w:i/>
          <w:iCs/>
          <w:sz w:val="18"/>
          <w:szCs w:val="18"/>
          <w:lang w:val="en-US"/>
        </w:rPr>
        <w:t>Current Developments in Nutrition</w:t>
      </w:r>
      <w:r w:rsidRPr="003D3798">
        <w:rPr>
          <w:rFonts w:ascii="Times New Roman" w:hAnsi="Times New Roman"/>
          <w:sz w:val="18"/>
          <w:szCs w:val="18"/>
          <w:lang w:val="en-US"/>
        </w:rPr>
        <w:t>, 4(2): 1712. (</w:t>
      </w:r>
      <w:r>
        <w:rPr>
          <w:rFonts w:ascii="Times New Roman" w:hAnsi="Times New Roman"/>
          <w:sz w:val="18"/>
          <w:szCs w:val="18"/>
          <w:lang w:val="en-US"/>
        </w:rPr>
        <w:t>a</w:t>
      </w:r>
      <w:r w:rsidRPr="003D3798">
        <w:rPr>
          <w:rFonts w:ascii="Times New Roman" w:hAnsi="Times New Roman"/>
          <w:sz w:val="18"/>
          <w:szCs w:val="18"/>
          <w:lang w:val="en-US"/>
        </w:rPr>
        <w:t>ccessed 23 September 2021)</w:t>
      </w:r>
    </w:p>
  </w:footnote>
  <w:footnote w:id="34">
    <w:p w14:paraId="25B12A77" w14:textId="2C82FB86" w:rsidR="00762E8C" w:rsidRPr="003D3798" w:rsidRDefault="00762E8C">
      <w:pPr>
        <w:pStyle w:val="FootnoteText"/>
        <w:rPr>
          <w:rFonts w:ascii="Times New Roman" w:hAnsi="Times New Roman"/>
          <w:sz w:val="18"/>
          <w:szCs w:val="18"/>
          <w:lang w:val="en-US"/>
        </w:rPr>
      </w:pPr>
      <w:r w:rsidRPr="003D3798">
        <w:rPr>
          <w:rStyle w:val="FootnoteReference"/>
          <w:rFonts w:ascii="Times New Roman" w:hAnsi="Times New Roman"/>
          <w:sz w:val="18"/>
          <w:szCs w:val="18"/>
        </w:rPr>
        <w:footnoteRef/>
      </w:r>
      <w:r w:rsidRPr="003D3798">
        <w:rPr>
          <w:rFonts w:ascii="Times New Roman" w:hAnsi="Times New Roman"/>
          <w:sz w:val="18"/>
          <w:szCs w:val="18"/>
        </w:rPr>
        <w:t xml:space="preserve"> </w:t>
      </w:r>
      <w:proofErr w:type="spellStart"/>
      <w:r w:rsidRPr="003D3798">
        <w:rPr>
          <w:rFonts w:ascii="Times New Roman" w:hAnsi="Times New Roman"/>
          <w:sz w:val="18"/>
          <w:szCs w:val="18"/>
        </w:rPr>
        <w:t>Junxiu</w:t>
      </w:r>
      <w:proofErr w:type="spellEnd"/>
      <w:r w:rsidRPr="003D3798">
        <w:rPr>
          <w:rFonts w:ascii="Times New Roman" w:hAnsi="Times New Roman"/>
          <w:sz w:val="18"/>
          <w:szCs w:val="18"/>
        </w:rPr>
        <w:t xml:space="preserve"> Liu et al. 2020. Health and economic Impacts of the national menu calorie </w:t>
      </w:r>
      <w:proofErr w:type="spellStart"/>
      <w:r w:rsidRPr="003D3798">
        <w:rPr>
          <w:rFonts w:ascii="Times New Roman" w:hAnsi="Times New Roman"/>
          <w:sz w:val="18"/>
          <w:szCs w:val="18"/>
        </w:rPr>
        <w:t>labeling</w:t>
      </w:r>
      <w:proofErr w:type="spellEnd"/>
      <w:r w:rsidRPr="003D3798">
        <w:rPr>
          <w:rFonts w:ascii="Times New Roman" w:hAnsi="Times New Roman"/>
          <w:sz w:val="18"/>
          <w:szCs w:val="18"/>
        </w:rPr>
        <w:t xml:space="preserve"> law in the United States: A microsimulation study. </w:t>
      </w:r>
      <w:r w:rsidRPr="003D3798">
        <w:rPr>
          <w:rFonts w:ascii="Times New Roman" w:hAnsi="Times New Roman"/>
          <w:i/>
          <w:iCs/>
          <w:sz w:val="18"/>
          <w:szCs w:val="18"/>
        </w:rPr>
        <w:t>Circulation: Cardiovascular Quality and Outcomes</w:t>
      </w:r>
      <w:r w:rsidRPr="003D3798">
        <w:rPr>
          <w:rFonts w:ascii="Times New Roman" w:hAnsi="Times New Roman"/>
          <w:sz w:val="18"/>
          <w:szCs w:val="18"/>
        </w:rPr>
        <w:t xml:space="preserve">, 13: e006313. </w:t>
      </w:r>
      <w:r w:rsidRPr="003D3798">
        <w:rPr>
          <w:rFonts w:ascii="Times New Roman" w:hAnsi="Times New Roman"/>
          <w:sz w:val="18"/>
          <w:szCs w:val="18"/>
          <w:lang w:val="en-US"/>
        </w:rPr>
        <w:t>(</w:t>
      </w:r>
      <w:r>
        <w:rPr>
          <w:rFonts w:ascii="Times New Roman" w:hAnsi="Times New Roman"/>
          <w:sz w:val="18"/>
          <w:szCs w:val="18"/>
          <w:lang w:val="en-US"/>
        </w:rPr>
        <w:t>a</w:t>
      </w:r>
      <w:r w:rsidRPr="003D3798">
        <w:rPr>
          <w:rFonts w:ascii="Times New Roman" w:hAnsi="Times New Roman"/>
          <w:sz w:val="18"/>
          <w:szCs w:val="18"/>
          <w:lang w:val="en-US"/>
        </w:rPr>
        <w:t>ccessed 1 October 2021)</w:t>
      </w:r>
    </w:p>
  </w:footnote>
  <w:footnote w:id="35">
    <w:p w14:paraId="0C98868A" w14:textId="2CF24777" w:rsidR="00762E8C" w:rsidRPr="003D3798" w:rsidRDefault="00762E8C">
      <w:pPr>
        <w:pStyle w:val="FootnoteText"/>
        <w:rPr>
          <w:lang w:val="en-US"/>
        </w:rPr>
      </w:pPr>
      <w:r w:rsidRPr="003D3798">
        <w:rPr>
          <w:rStyle w:val="FootnoteReference"/>
          <w:rFonts w:ascii="Times New Roman" w:hAnsi="Times New Roman"/>
          <w:sz w:val="18"/>
          <w:szCs w:val="18"/>
        </w:rPr>
        <w:footnoteRef/>
      </w:r>
      <w:r>
        <w:t xml:space="preserve"> </w:t>
      </w:r>
      <w:r w:rsidRPr="003D3798">
        <w:rPr>
          <w:rFonts w:ascii="Times New Roman" w:hAnsi="Times New Roman"/>
          <w:sz w:val="18"/>
          <w:szCs w:val="18"/>
        </w:rPr>
        <w:t xml:space="preserve">Mantilla-Herrera et al. </w:t>
      </w:r>
      <w:r w:rsidRPr="003D3798">
        <w:rPr>
          <w:rFonts w:ascii="Times New Roman" w:hAnsi="Times New Roman"/>
          <w:i/>
          <w:iCs/>
          <w:sz w:val="18"/>
          <w:szCs w:val="18"/>
        </w:rPr>
        <w:t>Menu kilojoule labelling on fast food</w:t>
      </w:r>
      <w:r w:rsidRPr="003D3798">
        <w:rPr>
          <w:rFonts w:ascii="Times New Roman" w:hAnsi="Times New Roman"/>
          <w:sz w:val="18"/>
          <w:szCs w:val="18"/>
        </w:rPr>
        <w:t xml:space="preserve"> in </w:t>
      </w:r>
      <w:proofErr w:type="spellStart"/>
      <w:r w:rsidRPr="003D3798">
        <w:rPr>
          <w:rFonts w:ascii="Times New Roman" w:hAnsi="Times New Roman"/>
          <w:sz w:val="18"/>
          <w:szCs w:val="18"/>
        </w:rPr>
        <w:t>Ananthapavan</w:t>
      </w:r>
      <w:proofErr w:type="spellEnd"/>
      <w:r w:rsidRPr="003D3798">
        <w:rPr>
          <w:rFonts w:ascii="Times New Roman" w:hAnsi="Times New Roman"/>
          <w:sz w:val="18"/>
          <w:szCs w:val="18"/>
        </w:rPr>
        <w:t xml:space="preserve"> et al. 2018. </w:t>
      </w:r>
      <w:r w:rsidRPr="003D3798">
        <w:rPr>
          <w:rFonts w:ascii="Times New Roman" w:hAnsi="Times New Roman"/>
          <w:i/>
          <w:sz w:val="18"/>
          <w:szCs w:val="18"/>
        </w:rPr>
        <w:t>Assessing cost-effectiveness of obesity prevention policies in Australia 2018</w:t>
      </w:r>
      <w:r w:rsidRPr="003D3798">
        <w:rPr>
          <w:rFonts w:ascii="Times New Roman" w:hAnsi="Times New Roman"/>
          <w:sz w:val="18"/>
          <w:szCs w:val="18"/>
        </w:rPr>
        <w:t xml:space="preserve">. Melbourne: Deakin University. </w:t>
      </w:r>
      <w:hyperlink r:id="rId19" w:history="1">
        <w:r w:rsidRPr="003D3798">
          <w:rPr>
            <w:rStyle w:val="Hyperlink"/>
            <w:rFonts w:ascii="Times New Roman" w:hAnsi="Times New Roman"/>
            <w:sz w:val="18"/>
            <w:szCs w:val="18"/>
          </w:rPr>
          <w:t>http://www.aceobesitypolicy.com.au/</w:t>
        </w:r>
      </w:hyperlink>
      <w:r w:rsidRPr="003D3798">
        <w:rPr>
          <w:rFonts w:ascii="Times New Roman" w:hAnsi="Times New Roman"/>
          <w:sz w:val="18"/>
          <w:szCs w:val="18"/>
        </w:rPr>
        <w:t xml:space="preserve"> </w:t>
      </w:r>
      <w:r w:rsidRPr="003D3798">
        <w:rPr>
          <w:rFonts w:ascii="Times New Roman" w:hAnsi="Times New Roman"/>
          <w:sz w:val="18"/>
          <w:szCs w:val="18"/>
          <w:lang w:val="en-US"/>
        </w:rPr>
        <w:t>(accessed 23 September 2021)</w:t>
      </w:r>
    </w:p>
  </w:footnote>
  <w:footnote w:id="36">
    <w:p w14:paraId="59F6E710" w14:textId="77777777" w:rsidR="00762E8C" w:rsidRPr="00214857" w:rsidRDefault="00762E8C" w:rsidP="000B54C4">
      <w:pPr>
        <w:pStyle w:val="FootnoteText"/>
        <w:rPr>
          <w:rFonts w:ascii="Times New Roman" w:hAnsi="Times New Roman"/>
          <w:sz w:val="18"/>
          <w:szCs w:val="18"/>
          <w:lang w:val="en-US"/>
        </w:rPr>
      </w:pPr>
      <w:r w:rsidRPr="00214857">
        <w:rPr>
          <w:rStyle w:val="FootnoteReference"/>
          <w:rFonts w:ascii="Times New Roman" w:hAnsi="Times New Roman"/>
          <w:sz w:val="18"/>
          <w:szCs w:val="18"/>
        </w:rPr>
        <w:footnoteRef/>
      </w:r>
      <w:r w:rsidRPr="00214857">
        <w:rPr>
          <w:rFonts w:ascii="Times New Roman" w:hAnsi="Times New Roman"/>
          <w:sz w:val="18"/>
          <w:szCs w:val="18"/>
        </w:rPr>
        <w:t xml:space="preserve"> Crockett et al. 2018. Nutritional labelling for healthier food or non-alcoholic drink purchasing and consumption. </w:t>
      </w:r>
      <w:r w:rsidRPr="00214857">
        <w:rPr>
          <w:rFonts w:ascii="Times New Roman" w:hAnsi="Times New Roman"/>
          <w:i/>
          <w:sz w:val="18"/>
          <w:szCs w:val="18"/>
        </w:rPr>
        <w:t>Cochrane Database of Systematic Reviews</w:t>
      </w:r>
      <w:r w:rsidRPr="00214857">
        <w:rPr>
          <w:rFonts w:ascii="Times New Roman" w:hAnsi="Times New Roman"/>
          <w:sz w:val="18"/>
          <w:szCs w:val="18"/>
        </w:rPr>
        <w:t xml:space="preserve">, Issue 2. Art. No.: CD009315. </w:t>
      </w:r>
      <w:hyperlink r:id="rId20" w:history="1">
        <w:r w:rsidRPr="00214857">
          <w:rPr>
            <w:rStyle w:val="Hyperlink"/>
            <w:rFonts w:ascii="Times New Roman" w:hAnsi="Times New Roman"/>
            <w:sz w:val="18"/>
            <w:szCs w:val="18"/>
          </w:rPr>
          <w:t>https://doi.org/10.1002/14651858.CD009315.pub2</w:t>
        </w:r>
      </w:hyperlink>
    </w:p>
  </w:footnote>
  <w:footnote w:id="37">
    <w:p w14:paraId="700B428D" w14:textId="77777777" w:rsidR="00762E8C" w:rsidRDefault="00762E8C" w:rsidP="000B54C4">
      <w:pPr>
        <w:pStyle w:val="FootnoteText"/>
      </w:pPr>
      <w:r w:rsidRPr="00214857">
        <w:rPr>
          <w:rStyle w:val="FootnoteReference"/>
          <w:rFonts w:ascii="Times New Roman" w:hAnsi="Times New Roman"/>
          <w:sz w:val="18"/>
          <w:szCs w:val="18"/>
        </w:rPr>
        <w:footnoteRef/>
      </w:r>
      <w:r w:rsidRPr="00214857">
        <w:rPr>
          <w:rFonts w:ascii="Times New Roman" w:hAnsi="Times New Roman"/>
          <w:sz w:val="18"/>
          <w:szCs w:val="18"/>
        </w:rPr>
        <w:t xml:space="preserve"> </w:t>
      </w:r>
      <w:proofErr w:type="spellStart"/>
      <w:r w:rsidRPr="00214857">
        <w:rPr>
          <w:rFonts w:ascii="Times New Roman" w:hAnsi="Times New Roman"/>
          <w:sz w:val="18"/>
          <w:szCs w:val="18"/>
        </w:rPr>
        <w:t>Sarink</w:t>
      </w:r>
      <w:proofErr w:type="spellEnd"/>
      <w:r w:rsidRPr="00214857">
        <w:rPr>
          <w:rFonts w:ascii="Times New Roman" w:hAnsi="Times New Roman"/>
          <w:sz w:val="18"/>
          <w:szCs w:val="18"/>
        </w:rPr>
        <w:t xml:space="preserve"> et al. 2016. The impact of menu labelling across socioeconomic groups: a systematic review. </w:t>
      </w:r>
      <w:r w:rsidRPr="00214857">
        <w:rPr>
          <w:rFonts w:ascii="Times New Roman" w:hAnsi="Times New Roman"/>
          <w:i/>
          <w:sz w:val="18"/>
          <w:szCs w:val="18"/>
        </w:rPr>
        <w:t xml:space="preserve">Appetite, </w:t>
      </w:r>
      <w:r w:rsidRPr="00214857">
        <w:rPr>
          <w:rFonts w:ascii="Times New Roman" w:hAnsi="Times New Roman"/>
          <w:sz w:val="18"/>
          <w:szCs w:val="18"/>
        </w:rPr>
        <w:t>99, 59-75.</w:t>
      </w:r>
    </w:p>
  </w:footnote>
  <w:footnote w:id="38">
    <w:p w14:paraId="5C91C65C" w14:textId="77777777" w:rsidR="00762E8C" w:rsidRPr="00476A2B" w:rsidRDefault="00762E8C" w:rsidP="000B54C4">
      <w:pPr>
        <w:pStyle w:val="FootnoteText"/>
        <w:rPr>
          <w:rFonts w:ascii="Times New Roman" w:hAnsi="Times New Roman"/>
          <w:sz w:val="18"/>
          <w:szCs w:val="18"/>
          <w:lang w:val="en-US"/>
        </w:rPr>
      </w:pPr>
      <w:r w:rsidRPr="00476A2B">
        <w:rPr>
          <w:rStyle w:val="FootnoteReference"/>
          <w:rFonts w:ascii="Times New Roman" w:hAnsi="Times New Roman"/>
          <w:sz w:val="18"/>
          <w:szCs w:val="18"/>
        </w:rPr>
        <w:footnoteRef/>
      </w:r>
      <w:r w:rsidRPr="00476A2B">
        <w:rPr>
          <w:rFonts w:ascii="Times New Roman" w:hAnsi="Times New Roman"/>
          <w:sz w:val="18"/>
          <w:szCs w:val="18"/>
        </w:rPr>
        <w:t xml:space="preserve"> </w:t>
      </w:r>
      <w:r w:rsidRPr="00476A2B">
        <w:rPr>
          <w:rFonts w:ascii="Times New Roman" w:hAnsi="Times New Roman"/>
          <w:i/>
          <w:iCs/>
          <w:sz w:val="18"/>
          <w:szCs w:val="18"/>
        </w:rPr>
        <w:t>Fast Choices: An evaluation of energy purchased and consumer education – Findings from Waves 1,2 &amp; 3</w:t>
      </w:r>
      <w:r w:rsidRPr="00476A2B">
        <w:rPr>
          <w:rFonts w:ascii="Times New Roman" w:hAnsi="Times New Roman"/>
          <w:sz w:val="18"/>
          <w:szCs w:val="18"/>
        </w:rPr>
        <w:t xml:space="preserve">. Prepared for NSW Food Authority and NSW Health. </w:t>
      </w:r>
      <w:hyperlink r:id="rId21" w:history="1">
        <w:r w:rsidRPr="00476A2B">
          <w:rPr>
            <w:rStyle w:val="Hyperlink"/>
            <w:rFonts w:ascii="Times New Roman" w:hAnsi="Times New Roman"/>
            <w:sz w:val="18"/>
            <w:szCs w:val="18"/>
          </w:rPr>
          <w:t>https://www.foodauthority.nsw.gov.au/sites/default/files/_Documents/scienceandtechnical/fast_choices_TNS_report.pdf</w:t>
        </w:r>
      </w:hyperlink>
    </w:p>
  </w:footnote>
  <w:footnote w:id="39">
    <w:p w14:paraId="7B8C140D" w14:textId="6DEBA757" w:rsidR="00762E8C" w:rsidRPr="00476A2B" w:rsidRDefault="00762E8C">
      <w:pPr>
        <w:pStyle w:val="FootnoteText"/>
        <w:rPr>
          <w:rFonts w:ascii="Times New Roman" w:hAnsi="Times New Roman"/>
          <w:sz w:val="18"/>
          <w:szCs w:val="18"/>
          <w:lang w:val="en-US"/>
        </w:rPr>
      </w:pPr>
      <w:r w:rsidRPr="00476A2B">
        <w:rPr>
          <w:rStyle w:val="FootnoteReference"/>
          <w:rFonts w:ascii="Times New Roman" w:hAnsi="Times New Roman"/>
          <w:sz w:val="18"/>
          <w:szCs w:val="18"/>
        </w:rPr>
        <w:footnoteRef/>
      </w:r>
      <w:r w:rsidRPr="00476A2B">
        <w:rPr>
          <w:rFonts w:ascii="Times New Roman" w:hAnsi="Times New Roman"/>
          <w:sz w:val="18"/>
          <w:szCs w:val="18"/>
        </w:rPr>
        <w:t xml:space="preserve"> Morley et al. 2013. What types of nutrition menu labelling lead consumers to select less energy-dense fast food? An experimental study. </w:t>
      </w:r>
      <w:r w:rsidRPr="00476A2B">
        <w:rPr>
          <w:rFonts w:ascii="Times New Roman" w:hAnsi="Times New Roman"/>
          <w:i/>
          <w:iCs/>
          <w:sz w:val="18"/>
          <w:szCs w:val="18"/>
        </w:rPr>
        <w:t>Appetite</w:t>
      </w:r>
      <w:r w:rsidRPr="00476A2B">
        <w:rPr>
          <w:rFonts w:ascii="Times New Roman" w:hAnsi="Times New Roman"/>
          <w:sz w:val="18"/>
          <w:szCs w:val="18"/>
        </w:rPr>
        <w:t>, 67: 8–15.</w:t>
      </w:r>
    </w:p>
  </w:footnote>
  <w:footnote w:id="40">
    <w:p w14:paraId="064C43DC" w14:textId="05795961" w:rsidR="00762E8C" w:rsidRPr="00476A2B" w:rsidRDefault="00762E8C">
      <w:pPr>
        <w:pStyle w:val="FootnoteText"/>
        <w:rPr>
          <w:rFonts w:ascii="Times New Roman" w:hAnsi="Times New Roman"/>
          <w:sz w:val="18"/>
          <w:szCs w:val="18"/>
          <w:lang w:val="en-US"/>
        </w:rPr>
      </w:pPr>
      <w:r w:rsidRPr="00476A2B">
        <w:rPr>
          <w:rStyle w:val="FootnoteReference"/>
          <w:rFonts w:ascii="Times New Roman" w:hAnsi="Times New Roman"/>
          <w:sz w:val="18"/>
          <w:szCs w:val="18"/>
        </w:rPr>
        <w:footnoteRef/>
      </w:r>
      <w:r w:rsidRPr="00476A2B">
        <w:rPr>
          <w:rFonts w:ascii="Times New Roman" w:hAnsi="Times New Roman"/>
          <w:sz w:val="18"/>
          <w:szCs w:val="18"/>
        </w:rPr>
        <w:t xml:space="preserve"> Dodds et al. 2014. The effect of energy and traffic light labelling on parent and child fast food selection: a randomised controlled trial. </w:t>
      </w:r>
      <w:r w:rsidRPr="00476A2B">
        <w:rPr>
          <w:rFonts w:ascii="Times New Roman" w:hAnsi="Times New Roman"/>
          <w:i/>
          <w:iCs/>
          <w:sz w:val="18"/>
          <w:szCs w:val="18"/>
        </w:rPr>
        <w:t>Appetite</w:t>
      </w:r>
      <w:r w:rsidRPr="00476A2B">
        <w:rPr>
          <w:rFonts w:ascii="Times New Roman" w:hAnsi="Times New Roman"/>
          <w:sz w:val="18"/>
          <w:szCs w:val="18"/>
        </w:rPr>
        <w:t>, 73: 23–30.</w:t>
      </w:r>
    </w:p>
  </w:footnote>
  <w:footnote w:id="41">
    <w:p w14:paraId="2F3B37F3" w14:textId="047FB87C" w:rsidR="00762E8C" w:rsidRPr="00476A2B" w:rsidRDefault="00762E8C">
      <w:pPr>
        <w:pStyle w:val="FootnoteText"/>
        <w:rPr>
          <w:rFonts w:ascii="Times New Roman" w:hAnsi="Times New Roman"/>
          <w:sz w:val="18"/>
          <w:szCs w:val="18"/>
          <w:lang w:val="en-US"/>
        </w:rPr>
      </w:pPr>
      <w:r w:rsidRPr="00476A2B">
        <w:rPr>
          <w:rStyle w:val="FootnoteReference"/>
          <w:rFonts w:ascii="Times New Roman" w:hAnsi="Times New Roman"/>
          <w:sz w:val="18"/>
          <w:szCs w:val="18"/>
        </w:rPr>
        <w:footnoteRef/>
      </w:r>
      <w:r w:rsidRPr="00476A2B">
        <w:rPr>
          <w:rFonts w:ascii="Times New Roman" w:hAnsi="Times New Roman"/>
          <w:sz w:val="18"/>
          <w:szCs w:val="18"/>
        </w:rPr>
        <w:t xml:space="preserve"> Wellard-Cole et al. 2018. Monitoring the changes to the nutrient composition of fast foods following the introduction of menu labelling in New South Wales, Australia: An observational study. </w:t>
      </w:r>
      <w:r w:rsidRPr="00476A2B">
        <w:rPr>
          <w:rFonts w:ascii="Times New Roman" w:hAnsi="Times New Roman"/>
          <w:i/>
          <w:iCs/>
          <w:sz w:val="18"/>
          <w:szCs w:val="18"/>
        </w:rPr>
        <w:t>Public Health Nutrition</w:t>
      </w:r>
      <w:r w:rsidRPr="00476A2B">
        <w:rPr>
          <w:rFonts w:ascii="Times New Roman" w:hAnsi="Times New Roman"/>
          <w:sz w:val="18"/>
          <w:szCs w:val="18"/>
        </w:rPr>
        <w:t>, 21: 1194–1199.</w:t>
      </w:r>
    </w:p>
  </w:footnote>
  <w:footnote w:id="42">
    <w:p w14:paraId="33819B0B" w14:textId="4E5B45F4" w:rsidR="00762E8C" w:rsidRPr="003E06AC" w:rsidRDefault="00762E8C">
      <w:pPr>
        <w:pStyle w:val="FootnoteText"/>
        <w:rPr>
          <w:rFonts w:ascii="Times New Roman" w:hAnsi="Times New Roman"/>
          <w:sz w:val="18"/>
          <w:szCs w:val="18"/>
          <w:lang w:val="en-US"/>
        </w:rPr>
      </w:pPr>
      <w:r w:rsidRPr="00476A2B">
        <w:rPr>
          <w:rStyle w:val="FootnoteReference"/>
          <w:rFonts w:ascii="Times New Roman" w:hAnsi="Times New Roman"/>
          <w:sz w:val="18"/>
          <w:szCs w:val="18"/>
        </w:rPr>
        <w:footnoteRef/>
      </w:r>
      <w:r w:rsidRPr="00476A2B">
        <w:rPr>
          <w:rFonts w:ascii="Times New Roman" w:hAnsi="Times New Roman"/>
          <w:sz w:val="18"/>
          <w:szCs w:val="18"/>
        </w:rPr>
        <w:t xml:space="preserve"> Wellard-Cole et al. 2019. Nutrient composition of Australian fast-food and fast-casual children’s meals available in 2016 and changes in fast-food meals between 2010 and 2016. </w:t>
      </w:r>
      <w:r w:rsidRPr="00476A2B">
        <w:rPr>
          <w:rFonts w:ascii="Times New Roman" w:hAnsi="Times New Roman"/>
          <w:i/>
          <w:iCs/>
          <w:sz w:val="18"/>
          <w:szCs w:val="18"/>
        </w:rPr>
        <w:t>Public Health Nutrition</w:t>
      </w:r>
      <w:r w:rsidRPr="00476A2B">
        <w:rPr>
          <w:rFonts w:ascii="Times New Roman" w:hAnsi="Times New Roman"/>
          <w:sz w:val="18"/>
          <w:szCs w:val="18"/>
        </w:rPr>
        <w:t>, 22: 2981–2988.</w:t>
      </w:r>
    </w:p>
  </w:footnote>
  <w:footnote w:id="43">
    <w:p w14:paraId="5495E1D2" w14:textId="77777777" w:rsidR="00762E8C" w:rsidRPr="000C6BC2" w:rsidRDefault="00762E8C" w:rsidP="0016019B">
      <w:pPr>
        <w:pStyle w:val="FootnoteText"/>
        <w:rPr>
          <w:rFonts w:ascii="Times New Roman" w:hAnsi="Times New Roman"/>
          <w:sz w:val="18"/>
          <w:szCs w:val="18"/>
        </w:rPr>
      </w:pPr>
      <w:r w:rsidRPr="000C6BC2">
        <w:rPr>
          <w:rStyle w:val="FootnoteReference"/>
          <w:rFonts w:ascii="Times New Roman" w:hAnsi="Times New Roman"/>
          <w:sz w:val="18"/>
          <w:szCs w:val="18"/>
        </w:rPr>
        <w:footnoteRef/>
      </w:r>
      <w:r w:rsidRPr="000C6BC2">
        <w:rPr>
          <w:rFonts w:ascii="Times New Roman" w:hAnsi="Times New Roman"/>
          <w:sz w:val="18"/>
          <w:szCs w:val="18"/>
        </w:rPr>
        <w:t xml:space="preserve"> Mercer et al. 2013. </w:t>
      </w:r>
      <w:r w:rsidRPr="000C6BC2">
        <w:rPr>
          <w:rFonts w:ascii="Times New Roman" w:hAnsi="Times New Roman"/>
          <w:i/>
          <w:sz w:val="18"/>
          <w:szCs w:val="18"/>
        </w:rPr>
        <w:t>Literature review on the impact of label format on consumers’ attention and comprehension for mandated label elements</w:t>
      </w:r>
      <w:r w:rsidRPr="000C6BC2">
        <w:rPr>
          <w:rFonts w:ascii="Times New Roman" w:hAnsi="Times New Roman"/>
          <w:sz w:val="18"/>
          <w:szCs w:val="18"/>
        </w:rPr>
        <w:t xml:space="preserve">. Report prepared for Food Standards Australia New Zealand by Instinct and Reason, Canberra, Australia. </w:t>
      </w:r>
      <w:hyperlink r:id="rId22" w:history="1">
        <w:r w:rsidRPr="000C6BC2">
          <w:rPr>
            <w:rStyle w:val="Hyperlink"/>
            <w:rFonts w:ascii="Times New Roman" w:hAnsi="Times New Roman"/>
            <w:sz w:val="18"/>
            <w:szCs w:val="18"/>
          </w:rPr>
          <w:t>https://www.foodstandards.gov.au/publications/Documents/Literature%20review%20on%20label%20format%20-%20commissioned%20report%202013.pdf</w:t>
        </w:r>
      </w:hyperlink>
    </w:p>
  </w:footnote>
  <w:footnote w:id="44">
    <w:p w14:paraId="15050FF5" w14:textId="77777777" w:rsidR="00762E8C" w:rsidRPr="000C6BC2" w:rsidRDefault="00762E8C" w:rsidP="0016019B">
      <w:pPr>
        <w:pStyle w:val="FootnoteText"/>
        <w:rPr>
          <w:rFonts w:ascii="Times New Roman" w:hAnsi="Times New Roman"/>
          <w:sz w:val="18"/>
          <w:szCs w:val="18"/>
        </w:rPr>
      </w:pPr>
      <w:r w:rsidRPr="000C6BC2">
        <w:rPr>
          <w:rStyle w:val="FootnoteReference"/>
          <w:rFonts w:ascii="Times New Roman" w:hAnsi="Times New Roman"/>
          <w:sz w:val="18"/>
          <w:szCs w:val="18"/>
        </w:rPr>
        <w:footnoteRef/>
      </w:r>
      <w:r w:rsidRPr="000C6BC2">
        <w:rPr>
          <w:rFonts w:ascii="Times New Roman" w:hAnsi="Times New Roman"/>
          <w:sz w:val="18"/>
          <w:szCs w:val="18"/>
        </w:rPr>
        <w:t xml:space="preserve"> </w:t>
      </w:r>
      <w:r w:rsidRPr="000C6BC2">
        <w:rPr>
          <w:rFonts w:ascii="Times New Roman" w:hAnsi="Times New Roman"/>
          <w:color w:val="000000"/>
          <w:sz w:val="18"/>
          <w:szCs w:val="18"/>
        </w:rPr>
        <w:t xml:space="preserve">Rayner et al. 2013. Monitoring the health-related labelling on foods and non-alcoholic beverages in retail settings. </w:t>
      </w:r>
      <w:r w:rsidRPr="000C6BC2">
        <w:rPr>
          <w:rFonts w:ascii="Times New Roman" w:hAnsi="Times New Roman"/>
          <w:i/>
          <w:color w:val="000000"/>
          <w:sz w:val="18"/>
          <w:szCs w:val="18"/>
        </w:rPr>
        <w:t>Obesity Reviews</w:t>
      </w:r>
      <w:r w:rsidRPr="000C6BC2">
        <w:rPr>
          <w:rFonts w:ascii="Times New Roman" w:hAnsi="Times New Roman"/>
          <w:color w:val="000000"/>
          <w:sz w:val="18"/>
          <w:szCs w:val="18"/>
        </w:rPr>
        <w:t>, 14(S1): 70-81.</w:t>
      </w:r>
    </w:p>
  </w:footnote>
  <w:footnote w:id="45">
    <w:p w14:paraId="7E41D53C" w14:textId="77777777" w:rsidR="00762E8C" w:rsidRPr="000C6BC2" w:rsidRDefault="00762E8C" w:rsidP="0016019B">
      <w:pPr>
        <w:pStyle w:val="FootnoteText"/>
        <w:rPr>
          <w:rFonts w:ascii="Times New Roman" w:hAnsi="Times New Roman"/>
          <w:sz w:val="18"/>
          <w:szCs w:val="18"/>
          <w:lang w:val="en-US"/>
        </w:rPr>
      </w:pPr>
      <w:r w:rsidRPr="000C6BC2">
        <w:rPr>
          <w:rStyle w:val="FootnoteReference"/>
          <w:rFonts w:ascii="Times New Roman" w:hAnsi="Times New Roman"/>
          <w:sz w:val="18"/>
          <w:szCs w:val="18"/>
        </w:rPr>
        <w:footnoteRef/>
      </w:r>
      <w:r w:rsidRPr="000C6BC2">
        <w:rPr>
          <w:rStyle w:val="FootnoteReference"/>
          <w:rFonts w:ascii="Times New Roman" w:hAnsi="Times New Roman"/>
          <w:sz w:val="18"/>
          <w:szCs w:val="18"/>
        </w:rPr>
        <w:t xml:space="preserve"> </w:t>
      </w:r>
      <w:r w:rsidRPr="000C6BC2">
        <w:rPr>
          <w:rFonts w:ascii="Times New Roman" w:hAnsi="Times New Roman"/>
          <w:sz w:val="18"/>
          <w:szCs w:val="18"/>
        </w:rPr>
        <w:t xml:space="preserve">Crockett et al. 2018. Nutritional labelling for healthier food or non-alcoholic drink purchasing and consumption. </w:t>
      </w:r>
      <w:r w:rsidRPr="000C6BC2">
        <w:rPr>
          <w:rFonts w:ascii="Times New Roman" w:hAnsi="Times New Roman"/>
          <w:i/>
          <w:sz w:val="18"/>
          <w:szCs w:val="18"/>
        </w:rPr>
        <w:t>Cochrane Database of Systematic Reviews</w:t>
      </w:r>
      <w:r w:rsidRPr="000C6BC2">
        <w:rPr>
          <w:rFonts w:ascii="Times New Roman" w:hAnsi="Times New Roman"/>
          <w:sz w:val="18"/>
          <w:szCs w:val="18"/>
        </w:rPr>
        <w:t xml:space="preserve">, Issue 2. Art. No.: CD009315. </w:t>
      </w:r>
      <w:hyperlink r:id="rId23" w:history="1">
        <w:r w:rsidRPr="000C6BC2">
          <w:rPr>
            <w:rStyle w:val="Hyperlink"/>
            <w:rFonts w:ascii="Times New Roman" w:hAnsi="Times New Roman"/>
            <w:sz w:val="18"/>
            <w:szCs w:val="18"/>
          </w:rPr>
          <w:t>https://doi.org/10.1002/14651858.CD009315.pub2</w:t>
        </w:r>
      </w:hyperlink>
    </w:p>
  </w:footnote>
  <w:footnote w:id="46">
    <w:p w14:paraId="3E9E5795" w14:textId="77777777" w:rsidR="00762E8C" w:rsidRPr="000C6BC2" w:rsidRDefault="00762E8C" w:rsidP="0016019B">
      <w:pPr>
        <w:pStyle w:val="FootnoteText"/>
        <w:rPr>
          <w:rFonts w:ascii="Times New Roman" w:hAnsi="Times New Roman"/>
          <w:sz w:val="18"/>
          <w:szCs w:val="18"/>
        </w:rPr>
      </w:pPr>
      <w:r w:rsidRPr="000C6BC2">
        <w:rPr>
          <w:rStyle w:val="FootnoteReference"/>
          <w:rFonts w:ascii="Times New Roman" w:hAnsi="Times New Roman"/>
          <w:sz w:val="18"/>
          <w:szCs w:val="18"/>
        </w:rPr>
        <w:footnoteRef/>
      </w:r>
      <w:r w:rsidRPr="000C6BC2">
        <w:rPr>
          <w:rStyle w:val="FootnoteReference"/>
          <w:rFonts w:ascii="Times New Roman" w:hAnsi="Times New Roman"/>
          <w:sz w:val="18"/>
          <w:szCs w:val="18"/>
        </w:rPr>
        <w:t xml:space="preserve"> </w:t>
      </w:r>
      <w:proofErr w:type="spellStart"/>
      <w:r w:rsidRPr="000C6BC2">
        <w:rPr>
          <w:rFonts w:ascii="Times New Roman" w:hAnsi="Times New Roman"/>
          <w:sz w:val="18"/>
          <w:szCs w:val="18"/>
        </w:rPr>
        <w:t>Zlatevska</w:t>
      </w:r>
      <w:proofErr w:type="spellEnd"/>
      <w:r w:rsidRPr="000C6BC2">
        <w:rPr>
          <w:rFonts w:ascii="Times New Roman" w:hAnsi="Times New Roman"/>
          <w:sz w:val="18"/>
          <w:szCs w:val="18"/>
        </w:rPr>
        <w:t xml:space="preserve"> et al. 2017. Mandatory calorie disclosure: a comprehensive analysis of its effect on consumers and retailers. </w:t>
      </w:r>
      <w:r w:rsidRPr="000C6BC2">
        <w:rPr>
          <w:rFonts w:ascii="Times New Roman" w:hAnsi="Times New Roman"/>
          <w:i/>
          <w:sz w:val="18"/>
          <w:szCs w:val="18"/>
        </w:rPr>
        <w:t>Journal of Retailing</w:t>
      </w:r>
      <w:r w:rsidRPr="000C6BC2">
        <w:rPr>
          <w:rFonts w:ascii="Times New Roman" w:hAnsi="Times New Roman"/>
          <w:sz w:val="18"/>
          <w:szCs w:val="18"/>
        </w:rPr>
        <w:t>, 94(1), 89-101.</w:t>
      </w:r>
    </w:p>
  </w:footnote>
  <w:footnote w:id="47">
    <w:p w14:paraId="5B92C179" w14:textId="77777777" w:rsidR="00762E8C" w:rsidRPr="000C6BC2" w:rsidRDefault="00762E8C" w:rsidP="0016019B">
      <w:pPr>
        <w:pStyle w:val="FootnoteText"/>
        <w:rPr>
          <w:rFonts w:ascii="Times New Roman" w:hAnsi="Times New Roman"/>
          <w:sz w:val="18"/>
          <w:szCs w:val="18"/>
          <w:lang w:val="en-US"/>
        </w:rPr>
      </w:pPr>
      <w:r w:rsidRPr="000C6BC2">
        <w:rPr>
          <w:rStyle w:val="FootnoteReference"/>
          <w:rFonts w:ascii="Times New Roman" w:hAnsi="Times New Roman"/>
          <w:sz w:val="18"/>
          <w:szCs w:val="18"/>
        </w:rPr>
        <w:footnoteRef/>
      </w:r>
      <w:r w:rsidRPr="000C6BC2">
        <w:rPr>
          <w:rStyle w:val="FootnoteReference"/>
          <w:rFonts w:ascii="Times New Roman" w:hAnsi="Times New Roman"/>
          <w:sz w:val="18"/>
          <w:szCs w:val="18"/>
        </w:rPr>
        <w:t xml:space="preserve"> </w:t>
      </w:r>
      <w:r w:rsidRPr="000C6BC2">
        <w:rPr>
          <w:rFonts w:ascii="Times New Roman" w:eastAsia="Arial" w:hAnsi="Times New Roman"/>
          <w:spacing w:val="-1"/>
          <w:sz w:val="18"/>
          <w:szCs w:val="18"/>
        </w:rPr>
        <w:t>L</w:t>
      </w:r>
      <w:r w:rsidRPr="000C6BC2">
        <w:rPr>
          <w:rFonts w:ascii="Times New Roman" w:eastAsia="Arial" w:hAnsi="Times New Roman"/>
          <w:spacing w:val="-2"/>
          <w:sz w:val="18"/>
          <w:szCs w:val="18"/>
        </w:rPr>
        <w:t>i</w:t>
      </w:r>
      <w:r w:rsidRPr="000C6BC2">
        <w:rPr>
          <w:rFonts w:ascii="Times New Roman" w:eastAsia="Arial" w:hAnsi="Times New Roman"/>
          <w:spacing w:val="1"/>
          <w:sz w:val="18"/>
          <w:szCs w:val="18"/>
        </w:rPr>
        <w:t>t</w:t>
      </w:r>
      <w:r w:rsidRPr="000C6BC2">
        <w:rPr>
          <w:rFonts w:ascii="Times New Roman" w:eastAsia="Arial" w:hAnsi="Times New Roman"/>
          <w:spacing w:val="-1"/>
          <w:sz w:val="18"/>
          <w:szCs w:val="18"/>
        </w:rPr>
        <w:t>t</w:t>
      </w:r>
      <w:r w:rsidRPr="000C6BC2">
        <w:rPr>
          <w:rFonts w:ascii="Times New Roman" w:eastAsia="Arial" w:hAnsi="Times New Roman"/>
          <w:sz w:val="18"/>
          <w:szCs w:val="18"/>
        </w:rPr>
        <w:t>l</w:t>
      </w:r>
      <w:r w:rsidRPr="000C6BC2">
        <w:rPr>
          <w:rFonts w:ascii="Times New Roman" w:eastAsia="Arial" w:hAnsi="Times New Roman"/>
          <w:spacing w:val="-1"/>
          <w:sz w:val="18"/>
          <w:szCs w:val="18"/>
        </w:rPr>
        <w:t>e</w:t>
      </w:r>
      <w:r w:rsidRPr="000C6BC2">
        <w:rPr>
          <w:rFonts w:ascii="Times New Roman" w:eastAsia="Arial" w:hAnsi="Times New Roman"/>
          <w:spacing w:val="-3"/>
          <w:sz w:val="18"/>
          <w:szCs w:val="18"/>
        </w:rPr>
        <w:t>w</w:t>
      </w:r>
      <w:r w:rsidRPr="000C6BC2">
        <w:rPr>
          <w:rFonts w:ascii="Times New Roman" w:eastAsia="Arial" w:hAnsi="Times New Roman"/>
          <w:spacing w:val="-1"/>
          <w:sz w:val="18"/>
          <w:szCs w:val="18"/>
        </w:rPr>
        <w:t>ood et al. 2015</w:t>
      </w:r>
      <w:r w:rsidRPr="000C6BC2">
        <w:rPr>
          <w:rFonts w:ascii="Times New Roman" w:eastAsia="Arial" w:hAnsi="Times New Roman"/>
          <w:sz w:val="18"/>
          <w:szCs w:val="18"/>
        </w:rPr>
        <w:t>.</w:t>
      </w:r>
      <w:r w:rsidRPr="000C6BC2">
        <w:rPr>
          <w:rFonts w:ascii="Times New Roman" w:eastAsia="Arial" w:hAnsi="Times New Roman"/>
          <w:spacing w:val="2"/>
          <w:sz w:val="18"/>
          <w:szCs w:val="18"/>
        </w:rPr>
        <w:t xml:space="preserve"> </w:t>
      </w:r>
      <w:r w:rsidRPr="000C6BC2">
        <w:rPr>
          <w:rFonts w:ascii="Times New Roman" w:eastAsia="Arial" w:hAnsi="Times New Roman"/>
          <w:spacing w:val="-2"/>
          <w:sz w:val="18"/>
          <w:szCs w:val="18"/>
        </w:rPr>
        <w:t>M</w:t>
      </w:r>
      <w:r w:rsidRPr="000C6BC2">
        <w:rPr>
          <w:rFonts w:ascii="Times New Roman" w:eastAsia="Arial" w:hAnsi="Times New Roman"/>
          <w:spacing w:val="-1"/>
          <w:sz w:val="18"/>
          <w:szCs w:val="18"/>
        </w:rPr>
        <w:t>en</w:t>
      </w:r>
      <w:r w:rsidRPr="000C6BC2">
        <w:rPr>
          <w:rFonts w:ascii="Times New Roman" w:eastAsia="Arial" w:hAnsi="Times New Roman"/>
          <w:sz w:val="18"/>
          <w:szCs w:val="18"/>
        </w:rPr>
        <w:t>u</w:t>
      </w:r>
      <w:r w:rsidRPr="000C6BC2">
        <w:rPr>
          <w:rFonts w:ascii="Times New Roman" w:eastAsia="Arial" w:hAnsi="Times New Roman"/>
          <w:spacing w:val="1"/>
          <w:sz w:val="18"/>
          <w:szCs w:val="18"/>
        </w:rPr>
        <w:t xml:space="preserve"> </w:t>
      </w:r>
      <w:r w:rsidRPr="000C6BC2">
        <w:rPr>
          <w:rFonts w:ascii="Times New Roman" w:eastAsia="Arial" w:hAnsi="Times New Roman"/>
          <w:spacing w:val="-2"/>
          <w:sz w:val="18"/>
          <w:szCs w:val="18"/>
        </w:rPr>
        <w:t>l</w:t>
      </w:r>
      <w:r w:rsidRPr="000C6BC2">
        <w:rPr>
          <w:rFonts w:ascii="Times New Roman" w:eastAsia="Arial" w:hAnsi="Times New Roman"/>
          <w:spacing w:val="-1"/>
          <w:sz w:val="18"/>
          <w:szCs w:val="18"/>
        </w:rPr>
        <w:t>abe</w:t>
      </w:r>
      <w:r w:rsidRPr="000C6BC2">
        <w:rPr>
          <w:rFonts w:ascii="Times New Roman" w:eastAsia="Arial" w:hAnsi="Times New Roman"/>
          <w:sz w:val="18"/>
          <w:szCs w:val="18"/>
        </w:rPr>
        <w:t>lli</w:t>
      </w:r>
      <w:r w:rsidRPr="000C6BC2">
        <w:rPr>
          <w:rFonts w:ascii="Times New Roman" w:eastAsia="Arial" w:hAnsi="Times New Roman"/>
          <w:spacing w:val="-1"/>
          <w:sz w:val="18"/>
          <w:szCs w:val="18"/>
        </w:rPr>
        <w:t>n</w:t>
      </w:r>
      <w:r w:rsidRPr="000C6BC2">
        <w:rPr>
          <w:rFonts w:ascii="Times New Roman" w:eastAsia="Arial" w:hAnsi="Times New Roman"/>
          <w:sz w:val="18"/>
          <w:szCs w:val="18"/>
        </w:rPr>
        <w:t>g</w:t>
      </w:r>
      <w:r w:rsidRPr="000C6BC2">
        <w:rPr>
          <w:rFonts w:ascii="Times New Roman" w:eastAsia="Arial" w:hAnsi="Times New Roman"/>
          <w:spacing w:val="1"/>
          <w:sz w:val="18"/>
          <w:szCs w:val="18"/>
        </w:rPr>
        <w:t xml:space="preserve"> </w:t>
      </w:r>
      <w:r w:rsidRPr="000C6BC2">
        <w:rPr>
          <w:rFonts w:ascii="Times New Roman" w:eastAsia="Arial" w:hAnsi="Times New Roman"/>
          <w:sz w:val="18"/>
          <w:szCs w:val="18"/>
        </w:rPr>
        <w:t xml:space="preserve">is </w:t>
      </w:r>
      <w:r w:rsidRPr="000C6BC2">
        <w:rPr>
          <w:rFonts w:ascii="Times New Roman" w:eastAsia="Arial" w:hAnsi="Times New Roman"/>
          <w:spacing w:val="-1"/>
          <w:sz w:val="18"/>
          <w:szCs w:val="18"/>
        </w:rPr>
        <w:t>e</w:t>
      </w:r>
      <w:r w:rsidRPr="000C6BC2">
        <w:rPr>
          <w:rFonts w:ascii="Times New Roman" w:eastAsia="Arial" w:hAnsi="Times New Roman"/>
          <w:spacing w:val="-2"/>
          <w:sz w:val="18"/>
          <w:szCs w:val="18"/>
        </w:rPr>
        <w:t>f</w:t>
      </w:r>
      <w:r w:rsidRPr="000C6BC2">
        <w:rPr>
          <w:rFonts w:ascii="Times New Roman" w:eastAsia="Arial" w:hAnsi="Times New Roman"/>
          <w:spacing w:val="1"/>
          <w:sz w:val="18"/>
          <w:szCs w:val="18"/>
        </w:rPr>
        <w:t>f</w:t>
      </w:r>
      <w:r w:rsidRPr="000C6BC2">
        <w:rPr>
          <w:rFonts w:ascii="Times New Roman" w:eastAsia="Arial" w:hAnsi="Times New Roman"/>
          <w:spacing w:val="-1"/>
          <w:sz w:val="18"/>
          <w:szCs w:val="18"/>
        </w:rPr>
        <w:t>ec</w:t>
      </w:r>
      <w:r w:rsidRPr="000C6BC2">
        <w:rPr>
          <w:rFonts w:ascii="Times New Roman" w:eastAsia="Arial" w:hAnsi="Times New Roman"/>
          <w:spacing w:val="1"/>
          <w:sz w:val="18"/>
          <w:szCs w:val="18"/>
        </w:rPr>
        <w:t>t</w:t>
      </w:r>
      <w:r w:rsidRPr="000C6BC2">
        <w:rPr>
          <w:rFonts w:ascii="Times New Roman" w:eastAsia="Arial" w:hAnsi="Times New Roman"/>
          <w:sz w:val="18"/>
          <w:szCs w:val="18"/>
        </w:rPr>
        <w:t>i</w:t>
      </w:r>
      <w:r w:rsidRPr="000C6BC2">
        <w:rPr>
          <w:rFonts w:ascii="Times New Roman" w:eastAsia="Arial" w:hAnsi="Times New Roman"/>
          <w:spacing w:val="-1"/>
          <w:sz w:val="18"/>
          <w:szCs w:val="18"/>
        </w:rPr>
        <w:t>v</w:t>
      </w:r>
      <w:r w:rsidRPr="000C6BC2">
        <w:rPr>
          <w:rFonts w:ascii="Times New Roman" w:eastAsia="Arial" w:hAnsi="Times New Roman"/>
          <w:sz w:val="18"/>
          <w:szCs w:val="18"/>
        </w:rPr>
        <w:t>e</w:t>
      </w:r>
      <w:r w:rsidRPr="000C6BC2">
        <w:rPr>
          <w:rFonts w:ascii="Times New Roman" w:eastAsia="Arial" w:hAnsi="Times New Roman"/>
          <w:spacing w:val="1"/>
          <w:sz w:val="18"/>
          <w:szCs w:val="18"/>
        </w:rPr>
        <w:t xml:space="preserve"> </w:t>
      </w:r>
      <w:r w:rsidRPr="000C6BC2">
        <w:rPr>
          <w:rFonts w:ascii="Times New Roman" w:eastAsia="Arial" w:hAnsi="Times New Roman"/>
          <w:sz w:val="18"/>
          <w:szCs w:val="18"/>
        </w:rPr>
        <w:t xml:space="preserve">in </w:t>
      </w:r>
      <w:r w:rsidRPr="000C6BC2">
        <w:rPr>
          <w:rFonts w:ascii="Times New Roman" w:eastAsia="Arial" w:hAnsi="Times New Roman"/>
          <w:spacing w:val="-1"/>
          <w:sz w:val="18"/>
          <w:szCs w:val="18"/>
        </w:rPr>
        <w:t>redu</w:t>
      </w:r>
      <w:r w:rsidRPr="000C6BC2">
        <w:rPr>
          <w:rFonts w:ascii="Times New Roman" w:eastAsia="Arial" w:hAnsi="Times New Roman"/>
          <w:spacing w:val="1"/>
          <w:sz w:val="18"/>
          <w:szCs w:val="18"/>
        </w:rPr>
        <w:t>c</w:t>
      </w:r>
      <w:r w:rsidRPr="000C6BC2">
        <w:rPr>
          <w:rFonts w:ascii="Times New Roman" w:eastAsia="Arial" w:hAnsi="Times New Roman"/>
          <w:sz w:val="18"/>
          <w:szCs w:val="18"/>
        </w:rPr>
        <w:t>i</w:t>
      </w:r>
      <w:r w:rsidRPr="000C6BC2">
        <w:rPr>
          <w:rFonts w:ascii="Times New Roman" w:eastAsia="Arial" w:hAnsi="Times New Roman"/>
          <w:spacing w:val="-1"/>
          <w:sz w:val="18"/>
          <w:szCs w:val="18"/>
        </w:rPr>
        <w:t>n</w:t>
      </w:r>
      <w:r w:rsidRPr="000C6BC2">
        <w:rPr>
          <w:rFonts w:ascii="Times New Roman" w:eastAsia="Arial" w:hAnsi="Times New Roman"/>
          <w:sz w:val="18"/>
          <w:szCs w:val="18"/>
        </w:rPr>
        <w:t>g</w:t>
      </w:r>
      <w:r w:rsidRPr="000C6BC2">
        <w:rPr>
          <w:rFonts w:ascii="Times New Roman" w:eastAsia="Arial" w:hAnsi="Times New Roman"/>
          <w:spacing w:val="1"/>
          <w:sz w:val="18"/>
          <w:szCs w:val="18"/>
        </w:rPr>
        <w:t xml:space="preserve"> </w:t>
      </w:r>
      <w:r w:rsidRPr="000C6BC2">
        <w:rPr>
          <w:rFonts w:ascii="Times New Roman" w:eastAsia="Arial" w:hAnsi="Times New Roman"/>
          <w:spacing w:val="-1"/>
          <w:sz w:val="18"/>
          <w:szCs w:val="18"/>
        </w:rPr>
        <w:t>energ</w:t>
      </w:r>
      <w:r w:rsidRPr="000C6BC2">
        <w:rPr>
          <w:rFonts w:ascii="Times New Roman" w:eastAsia="Arial" w:hAnsi="Times New Roman"/>
          <w:sz w:val="18"/>
          <w:szCs w:val="18"/>
        </w:rPr>
        <w:t xml:space="preserve">y </w:t>
      </w:r>
      <w:r w:rsidRPr="000C6BC2">
        <w:rPr>
          <w:rFonts w:ascii="Times New Roman" w:eastAsia="Arial" w:hAnsi="Times New Roman"/>
          <w:spacing w:val="-1"/>
          <w:sz w:val="18"/>
          <w:szCs w:val="18"/>
        </w:rPr>
        <w:t>ordere</w:t>
      </w:r>
      <w:r w:rsidRPr="000C6BC2">
        <w:rPr>
          <w:rFonts w:ascii="Times New Roman" w:eastAsia="Arial" w:hAnsi="Times New Roman"/>
          <w:sz w:val="18"/>
          <w:szCs w:val="18"/>
        </w:rPr>
        <w:t>d</w:t>
      </w:r>
      <w:r w:rsidRPr="000C6BC2">
        <w:rPr>
          <w:rFonts w:ascii="Times New Roman" w:eastAsia="Arial" w:hAnsi="Times New Roman"/>
          <w:spacing w:val="1"/>
          <w:sz w:val="18"/>
          <w:szCs w:val="18"/>
        </w:rPr>
        <w:t xml:space="preserve"> </w:t>
      </w:r>
      <w:r w:rsidRPr="000C6BC2">
        <w:rPr>
          <w:rFonts w:ascii="Times New Roman" w:eastAsia="Arial" w:hAnsi="Times New Roman"/>
          <w:spacing w:val="-1"/>
          <w:sz w:val="18"/>
          <w:szCs w:val="18"/>
        </w:rPr>
        <w:t>an</w:t>
      </w:r>
      <w:r w:rsidRPr="000C6BC2">
        <w:rPr>
          <w:rFonts w:ascii="Times New Roman" w:eastAsia="Arial" w:hAnsi="Times New Roman"/>
          <w:sz w:val="18"/>
          <w:szCs w:val="18"/>
        </w:rPr>
        <w:t>d</w:t>
      </w:r>
      <w:r w:rsidRPr="000C6BC2">
        <w:rPr>
          <w:rFonts w:ascii="Times New Roman" w:eastAsia="Arial" w:hAnsi="Times New Roman"/>
          <w:spacing w:val="1"/>
          <w:sz w:val="18"/>
          <w:szCs w:val="18"/>
        </w:rPr>
        <w:t xml:space="preserve"> c</w:t>
      </w:r>
      <w:r w:rsidRPr="000C6BC2">
        <w:rPr>
          <w:rFonts w:ascii="Times New Roman" w:eastAsia="Arial" w:hAnsi="Times New Roman"/>
          <w:spacing w:val="-1"/>
          <w:sz w:val="18"/>
          <w:szCs w:val="18"/>
        </w:rPr>
        <w:t>onsu</w:t>
      </w:r>
      <w:r w:rsidRPr="000C6BC2">
        <w:rPr>
          <w:rFonts w:ascii="Times New Roman" w:eastAsia="Arial" w:hAnsi="Times New Roman"/>
          <w:spacing w:val="3"/>
          <w:sz w:val="18"/>
          <w:szCs w:val="18"/>
        </w:rPr>
        <w:t>m</w:t>
      </w:r>
      <w:r w:rsidRPr="000C6BC2">
        <w:rPr>
          <w:rFonts w:ascii="Times New Roman" w:eastAsia="Arial" w:hAnsi="Times New Roman"/>
          <w:spacing w:val="-1"/>
          <w:sz w:val="18"/>
          <w:szCs w:val="18"/>
        </w:rPr>
        <w:t>e</w:t>
      </w:r>
      <w:r w:rsidRPr="000C6BC2">
        <w:rPr>
          <w:rFonts w:ascii="Times New Roman" w:eastAsia="Arial" w:hAnsi="Times New Roman"/>
          <w:spacing w:val="-3"/>
          <w:sz w:val="18"/>
          <w:szCs w:val="18"/>
        </w:rPr>
        <w:t>d</w:t>
      </w:r>
      <w:r w:rsidRPr="000C6BC2">
        <w:rPr>
          <w:rFonts w:ascii="Times New Roman" w:eastAsia="Arial" w:hAnsi="Times New Roman"/>
          <w:sz w:val="18"/>
          <w:szCs w:val="18"/>
        </w:rPr>
        <w:t>:</w:t>
      </w:r>
      <w:r w:rsidRPr="000C6BC2">
        <w:rPr>
          <w:rFonts w:ascii="Times New Roman" w:eastAsia="Arial" w:hAnsi="Times New Roman"/>
          <w:spacing w:val="2"/>
          <w:sz w:val="18"/>
          <w:szCs w:val="18"/>
        </w:rPr>
        <w:t xml:space="preserve"> </w:t>
      </w:r>
      <w:r w:rsidRPr="000C6BC2">
        <w:rPr>
          <w:rFonts w:ascii="Times New Roman" w:eastAsia="Arial" w:hAnsi="Times New Roman"/>
          <w:sz w:val="18"/>
          <w:szCs w:val="18"/>
        </w:rPr>
        <w:t>a</w:t>
      </w:r>
      <w:r w:rsidRPr="000C6BC2">
        <w:rPr>
          <w:rFonts w:ascii="Times New Roman" w:eastAsia="Arial" w:hAnsi="Times New Roman"/>
          <w:spacing w:val="-2"/>
          <w:sz w:val="18"/>
          <w:szCs w:val="18"/>
        </w:rPr>
        <w:t xml:space="preserve"> </w:t>
      </w:r>
      <w:r w:rsidRPr="000C6BC2">
        <w:rPr>
          <w:rFonts w:ascii="Times New Roman" w:eastAsia="Arial" w:hAnsi="Times New Roman"/>
          <w:spacing w:val="1"/>
          <w:sz w:val="18"/>
          <w:szCs w:val="18"/>
        </w:rPr>
        <w:t>s</w:t>
      </w:r>
      <w:r w:rsidRPr="000C6BC2">
        <w:rPr>
          <w:rFonts w:ascii="Times New Roman" w:eastAsia="Arial" w:hAnsi="Times New Roman"/>
          <w:spacing w:val="-4"/>
          <w:sz w:val="18"/>
          <w:szCs w:val="18"/>
        </w:rPr>
        <w:t>y</w:t>
      </w:r>
      <w:r w:rsidRPr="000C6BC2">
        <w:rPr>
          <w:rFonts w:ascii="Times New Roman" w:eastAsia="Arial" w:hAnsi="Times New Roman"/>
          <w:spacing w:val="1"/>
          <w:sz w:val="18"/>
          <w:szCs w:val="18"/>
        </w:rPr>
        <w:t>st</w:t>
      </w:r>
      <w:r w:rsidRPr="000C6BC2">
        <w:rPr>
          <w:rFonts w:ascii="Times New Roman" w:eastAsia="Arial" w:hAnsi="Times New Roman"/>
          <w:spacing w:val="-3"/>
          <w:sz w:val="18"/>
          <w:szCs w:val="18"/>
        </w:rPr>
        <w:t>e</w:t>
      </w:r>
      <w:r w:rsidRPr="000C6BC2">
        <w:rPr>
          <w:rFonts w:ascii="Times New Roman" w:eastAsia="Arial" w:hAnsi="Times New Roman"/>
          <w:spacing w:val="3"/>
          <w:sz w:val="18"/>
          <w:szCs w:val="18"/>
        </w:rPr>
        <w:t>m</w:t>
      </w:r>
      <w:r w:rsidRPr="000C6BC2">
        <w:rPr>
          <w:rFonts w:ascii="Times New Roman" w:eastAsia="Arial" w:hAnsi="Times New Roman"/>
          <w:spacing w:val="-3"/>
          <w:sz w:val="18"/>
          <w:szCs w:val="18"/>
        </w:rPr>
        <w:t>a</w:t>
      </w:r>
      <w:r w:rsidRPr="000C6BC2">
        <w:rPr>
          <w:rFonts w:ascii="Times New Roman" w:eastAsia="Arial" w:hAnsi="Times New Roman"/>
          <w:spacing w:val="1"/>
          <w:sz w:val="18"/>
          <w:szCs w:val="18"/>
        </w:rPr>
        <w:t>t</w:t>
      </w:r>
      <w:r w:rsidRPr="000C6BC2">
        <w:rPr>
          <w:rFonts w:ascii="Times New Roman" w:eastAsia="Arial" w:hAnsi="Times New Roman"/>
          <w:spacing w:val="-2"/>
          <w:sz w:val="18"/>
          <w:szCs w:val="18"/>
        </w:rPr>
        <w:t>i</w:t>
      </w:r>
      <w:r w:rsidRPr="000C6BC2">
        <w:rPr>
          <w:rFonts w:ascii="Times New Roman" w:eastAsia="Arial" w:hAnsi="Times New Roman"/>
          <w:sz w:val="18"/>
          <w:szCs w:val="18"/>
        </w:rPr>
        <w:t>c</w:t>
      </w:r>
      <w:r w:rsidRPr="000C6BC2">
        <w:rPr>
          <w:rFonts w:ascii="Times New Roman" w:eastAsia="Arial" w:hAnsi="Times New Roman"/>
          <w:spacing w:val="2"/>
          <w:sz w:val="18"/>
          <w:szCs w:val="18"/>
        </w:rPr>
        <w:t xml:space="preserve"> </w:t>
      </w:r>
      <w:r w:rsidRPr="000C6BC2">
        <w:rPr>
          <w:rFonts w:ascii="Times New Roman" w:eastAsia="Arial" w:hAnsi="Times New Roman"/>
          <w:spacing w:val="-1"/>
          <w:sz w:val="18"/>
          <w:szCs w:val="18"/>
        </w:rPr>
        <w:t>rev</w:t>
      </w:r>
      <w:r w:rsidRPr="000C6BC2">
        <w:rPr>
          <w:rFonts w:ascii="Times New Roman" w:eastAsia="Arial" w:hAnsi="Times New Roman"/>
          <w:sz w:val="18"/>
          <w:szCs w:val="18"/>
        </w:rPr>
        <w:t>i</w:t>
      </w:r>
      <w:r w:rsidRPr="000C6BC2">
        <w:rPr>
          <w:rFonts w:ascii="Times New Roman" w:eastAsia="Arial" w:hAnsi="Times New Roman"/>
          <w:spacing w:val="-1"/>
          <w:sz w:val="18"/>
          <w:szCs w:val="18"/>
        </w:rPr>
        <w:t>e</w:t>
      </w:r>
      <w:r w:rsidRPr="000C6BC2">
        <w:rPr>
          <w:rFonts w:ascii="Times New Roman" w:eastAsia="Arial" w:hAnsi="Times New Roman"/>
          <w:sz w:val="18"/>
          <w:szCs w:val="18"/>
        </w:rPr>
        <w:t>w</w:t>
      </w:r>
      <w:r w:rsidRPr="000C6BC2">
        <w:rPr>
          <w:rFonts w:ascii="Times New Roman" w:eastAsia="Arial" w:hAnsi="Times New Roman"/>
          <w:spacing w:val="-2"/>
          <w:sz w:val="18"/>
          <w:szCs w:val="18"/>
        </w:rPr>
        <w:t xml:space="preserve"> </w:t>
      </w:r>
      <w:r w:rsidRPr="000C6BC2">
        <w:rPr>
          <w:rFonts w:ascii="Times New Roman" w:eastAsia="Arial" w:hAnsi="Times New Roman"/>
          <w:spacing w:val="-1"/>
          <w:sz w:val="18"/>
          <w:szCs w:val="18"/>
        </w:rPr>
        <w:t>an</w:t>
      </w:r>
      <w:r w:rsidRPr="000C6BC2">
        <w:rPr>
          <w:rFonts w:ascii="Times New Roman" w:eastAsia="Arial" w:hAnsi="Times New Roman"/>
          <w:sz w:val="18"/>
          <w:szCs w:val="18"/>
        </w:rPr>
        <w:t>d</w:t>
      </w:r>
      <w:r w:rsidRPr="000C6BC2">
        <w:rPr>
          <w:rFonts w:ascii="Times New Roman" w:eastAsia="Arial" w:hAnsi="Times New Roman"/>
          <w:spacing w:val="-2"/>
          <w:sz w:val="18"/>
          <w:szCs w:val="18"/>
        </w:rPr>
        <w:t xml:space="preserve"> </w:t>
      </w:r>
      <w:r w:rsidRPr="000C6BC2">
        <w:rPr>
          <w:rFonts w:ascii="Times New Roman" w:eastAsia="Arial" w:hAnsi="Times New Roman"/>
          <w:sz w:val="18"/>
          <w:szCs w:val="18"/>
        </w:rPr>
        <w:t>m</w:t>
      </w:r>
      <w:r w:rsidRPr="000C6BC2">
        <w:rPr>
          <w:rFonts w:ascii="Times New Roman" w:eastAsia="Arial" w:hAnsi="Times New Roman"/>
          <w:spacing w:val="-1"/>
          <w:sz w:val="18"/>
          <w:szCs w:val="18"/>
        </w:rPr>
        <w:t>e</w:t>
      </w:r>
      <w:r w:rsidRPr="000C6BC2">
        <w:rPr>
          <w:rFonts w:ascii="Times New Roman" w:eastAsia="Arial" w:hAnsi="Times New Roman"/>
          <w:spacing w:val="1"/>
          <w:sz w:val="18"/>
          <w:szCs w:val="18"/>
        </w:rPr>
        <w:t>t</w:t>
      </w:r>
      <w:r w:rsidRPr="000C6BC2">
        <w:rPr>
          <w:rFonts w:ascii="Times New Roman" w:eastAsia="Arial" w:hAnsi="Times New Roman"/>
          <w:spacing w:val="-1"/>
          <w:sz w:val="18"/>
          <w:szCs w:val="18"/>
        </w:rPr>
        <w:t>a</w:t>
      </w:r>
      <w:r w:rsidRPr="000C6BC2">
        <w:rPr>
          <w:rFonts w:ascii="Times New Roman" w:eastAsia="Arial" w:hAnsi="Times New Roman"/>
          <w:sz w:val="18"/>
          <w:szCs w:val="18"/>
        </w:rPr>
        <w:t>-</w:t>
      </w:r>
      <w:r w:rsidRPr="000C6BC2">
        <w:rPr>
          <w:rFonts w:ascii="Times New Roman" w:eastAsia="Arial" w:hAnsi="Times New Roman"/>
          <w:spacing w:val="-1"/>
          <w:sz w:val="18"/>
          <w:szCs w:val="18"/>
        </w:rPr>
        <w:t>ana</w:t>
      </w:r>
      <w:r w:rsidRPr="000C6BC2">
        <w:rPr>
          <w:rFonts w:ascii="Times New Roman" w:eastAsia="Arial" w:hAnsi="Times New Roman"/>
          <w:sz w:val="18"/>
          <w:szCs w:val="18"/>
        </w:rPr>
        <w:t>l</w:t>
      </w:r>
      <w:r w:rsidRPr="000C6BC2">
        <w:rPr>
          <w:rFonts w:ascii="Times New Roman" w:eastAsia="Arial" w:hAnsi="Times New Roman"/>
          <w:spacing w:val="-1"/>
          <w:sz w:val="18"/>
          <w:szCs w:val="18"/>
        </w:rPr>
        <w:t>y</w:t>
      </w:r>
      <w:r w:rsidRPr="000C6BC2">
        <w:rPr>
          <w:rFonts w:ascii="Times New Roman" w:eastAsia="Arial" w:hAnsi="Times New Roman"/>
          <w:spacing w:val="1"/>
          <w:sz w:val="18"/>
          <w:szCs w:val="18"/>
        </w:rPr>
        <w:t>s</w:t>
      </w:r>
      <w:r w:rsidRPr="000C6BC2">
        <w:rPr>
          <w:rFonts w:ascii="Times New Roman" w:eastAsia="Arial" w:hAnsi="Times New Roman"/>
          <w:sz w:val="18"/>
          <w:szCs w:val="18"/>
        </w:rPr>
        <w:t xml:space="preserve">is </w:t>
      </w:r>
      <w:r w:rsidRPr="000C6BC2">
        <w:rPr>
          <w:rFonts w:ascii="Times New Roman" w:eastAsia="Arial" w:hAnsi="Times New Roman"/>
          <w:spacing w:val="-1"/>
          <w:sz w:val="18"/>
          <w:szCs w:val="18"/>
        </w:rPr>
        <w:t>o</w:t>
      </w:r>
      <w:r w:rsidRPr="000C6BC2">
        <w:rPr>
          <w:rFonts w:ascii="Times New Roman" w:eastAsia="Arial" w:hAnsi="Times New Roman"/>
          <w:sz w:val="18"/>
          <w:szCs w:val="18"/>
        </w:rPr>
        <w:t xml:space="preserve">f </w:t>
      </w:r>
      <w:r w:rsidRPr="000C6BC2">
        <w:rPr>
          <w:rFonts w:ascii="Times New Roman" w:eastAsia="Arial" w:hAnsi="Times New Roman"/>
          <w:spacing w:val="-1"/>
          <w:sz w:val="18"/>
          <w:szCs w:val="18"/>
        </w:rPr>
        <w:t>re</w:t>
      </w:r>
      <w:r w:rsidRPr="000C6BC2">
        <w:rPr>
          <w:rFonts w:ascii="Times New Roman" w:eastAsia="Arial" w:hAnsi="Times New Roman"/>
          <w:spacing w:val="1"/>
          <w:sz w:val="18"/>
          <w:szCs w:val="18"/>
        </w:rPr>
        <w:t>c</w:t>
      </w:r>
      <w:r w:rsidRPr="000C6BC2">
        <w:rPr>
          <w:rFonts w:ascii="Times New Roman" w:eastAsia="Arial" w:hAnsi="Times New Roman"/>
          <w:spacing w:val="-1"/>
          <w:sz w:val="18"/>
          <w:szCs w:val="18"/>
        </w:rPr>
        <w:t>en</w:t>
      </w:r>
      <w:r w:rsidRPr="000C6BC2">
        <w:rPr>
          <w:rFonts w:ascii="Times New Roman" w:eastAsia="Arial" w:hAnsi="Times New Roman"/>
          <w:sz w:val="18"/>
          <w:szCs w:val="18"/>
        </w:rPr>
        <w:t xml:space="preserve">t </w:t>
      </w:r>
      <w:r w:rsidRPr="000C6BC2">
        <w:rPr>
          <w:rFonts w:ascii="Times New Roman" w:eastAsia="Arial" w:hAnsi="Times New Roman"/>
          <w:spacing w:val="-1"/>
          <w:sz w:val="18"/>
          <w:szCs w:val="18"/>
        </w:rPr>
        <w:t>s</w:t>
      </w:r>
      <w:r w:rsidRPr="000C6BC2">
        <w:rPr>
          <w:rFonts w:ascii="Times New Roman" w:eastAsia="Arial" w:hAnsi="Times New Roman"/>
          <w:spacing w:val="1"/>
          <w:sz w:val="18"/>
          <w:szCs w:val="18"/>
        </w:rPr>
        <w:t>t</w:t>
      </w:r>
      <w:r w:rsidRPr="000C6BC2">
        <w:rPr>
          <w:rFonts w:ascii="Times New Roman" w:eastAsia="Arial" w:hAnsi="Times New Roman"/>
          <w:spacing w:val="-1"/>
          <w:sz w:val="18"/>
          <w:szCs w:val="18"/>
        </w:rPr>
        <w:t>ud</w:t>
      </w:r>
      <w:r w:rsidRPr="000C6BC2">
        <w:rPr>
          <w:rFonts w:ascii="Times New Roman" w:eastAsia="Arial" w:hAnsi="Times New Roman"/>
          <w:sz w:val="18"/>
          <w:szCs w:val="18"/>
        </w:rPr>
        <w:t>i</w:t>
      </w:r>
      <w:r w:rsidRPr="000C6BC2">
        <w:rPr>
          <w:rFonts w:ascii="Times New Roman" w:eastAsia="Arial" w:hAnsi="Times New Roman"/>
          <w:spacing w:val="-3"/>
          <w:sz w:val="18"/>
          <w:szCs w:val="18"/>
        </w:rPr>
        <w:t>e</w:t>
      </w:r>
      <w:r w:rsidRPr="000C6BC2">
        <w:rPr>
          <w:rFonts w:ascii="Times New Roman" w:eastAsia="Arial" w:hAnsi="Times New Roman"/>
          <w:spacing w:val="1"/>
          <w:sz w:val="18"/>
          <w:szCs w:val="18"/>
        </w:rPr>
        <w:t>s</w:t>
      </w:r>
      <w:r w:rsidRPr="000C6BC2">
        <w:rPr>
          <w:rFonts w:ascii="Times New Roman" w:eastAsia="Arial" w:hAnsi="Times New Roman"/>
          <w:sz w:val="18"/>
          <w:szCs w:val="18"/>
        </w:rPr>
        <w:t xml:space="preserve">, </w:t>
      </w:r>
      <w:r w:rsidRPr="000C6BC2">
        <w:rPr>
          <w:rFonts w:ascii="Times New Roman" w:eastAsia="Arial" w:hAnsi="Times New Roman"/>
          <w:i/>
          <w:spacing w:val="1"/>
          <w:sz w:val="18"/>
          <w:szCs w:val="18"/>
        </w:rPr>
        <w:t>P</w:t>
      </w:r>
      <w:r w:rsidRPr="000C6BC2">
        <w:rPr>
          <w:rFonts w:ascii="Times New Roman" w:eastAsia="Arial" w:hAnsi="Times New Roman"/>
          <w:i/>
          <w:spacing w:val="-1"/>
          <w:sz w:val="18"/>
          <w:szCs w:val="18"/>
        </w:rPr>
        <w:t>u</w:t>
      </w:r>
      <w:r w:rsidRPr="000C6BC2">
        <w:rPr>
          <w:rFonts w:ascii="Times New Roman" w:eastAsia="Arial" w:hAnsi="Times New Roman"/>
          <w:i/>
          <w:spacing w:val="-3"/>
          <w:sz w:val="18"/>
          <w:szCs w:val="18"/>
        </w:rPr>
        <w:t>b</w:t>
      </w:r>
      <w:r w:rsidRPr="000C6BC2">
        <w:rPr>
          <w:rFonts w:ascii="Times New Roman" w:eastAsia="Arial" w:hAnsi="Times New Roman"/>
          <w:i/>
          <w:sz w:val="18"/>
          <w:szCs w:val="18"/>
        </w:rPr>
        <w:t xml:space="preserve">lic </w:t>
      </w:r>
      <w:r w:rsidRPr="000C6BC2">
        <w:rPr>
          <w:rFonts w:ascii="Times New Roman" w:eastAsia="Arial" w:hAnsi="Times New Roman"/>
          <w:i/>
          <w:spacing w:val="-1"/>
          <w:sz w:val="18"/>
          <w:szCs w:val="18"/>
        </w:rPr>
        <w:t>Hea</w:t>
      </w:r>
      <w:r w:rsidRPr="000C6BC2">
        <w:rPr>
          <w:rFonts w:ascii="Times New Roman" w:eastAsia="Arial" w:hAnsi="Times New Roman"/>
          <w:i/>
          <w:sz w:val="18"/>
          <w:szCs w:val="18"/>
        </w:rPr>
        <w:t>l</w:t>
      </w:r>
      <w:r w:rsidRPr="000C6BC2">
        <w:rPr>
          <w:rFonts w:ascii="Times New Roman" w:eastAsia="Arial" w:hAnsi="Times New Roman"/>
          <w:i/>
          <w:spacing w:val="1"/>
          <w:sz w:val="18"/>
          <w:szCs w:val="18"/>
        </w:rPr>
        <w:t>t</w:t>
      </w:r>
      <w:r w:rsidRPr="000C6BC2">
        <w:rPr>
          <w:rFonts w:ascii="Times New Roman" w:eastAsia="Arial" w:hAnsi="Times New Roman"/>
          <w:i/>
          <w:sz w:val="18"/>
          <w:szCs w:val="18"/>
        </w:rPr>
        <w:t>h</w:t>
      </w:r>
      <w:r w:rsidRPr="000C6BC2">
        <w:rPr>
          <w:rFonts w:ascii="Times New Roman" w:eastAsia="Arial" w:hAnsi="Times New Roman"/>
          <w:i/>
          <w:spacing w:val="1"/>
          <w:sz w:val="18"/>
          <w:szCs w:val="18"/>
        </w:rPr>
        <w:t xml:space="preserve"> </w:t>
      </w:r>
      <w:r w:rsidRPr="000C6BC2">
        <w:rPr>
          <w:rFonts w:ascii="Times New Roman" w:eastAsia="Arial" w:hAnsi="Times New Roman"/>
          <w:i/>
          <w:spacing w:val="-1"/>
          <w:sz w:val="18"/>
          <w:szCs w:val="18"/>
        </w:rPr>
        <w:t>N</w:t>
      </w:r>
      <w:r w:rsidRPr="000C6BC2">
        <w:rPr>
          <w:rFonts w:ascii="Times New Roman" w:eastAsia="Arial" w:hAnsi="Times New Roman"/>
          <w:i/>
          <w:spacing w:val="-3"/>
          <w:sz w:val="18"/>
          <w:szCs w:val="18"/>
        </w:rPr>
        <w:t>u</w:t>
      </w:r>
      <w:r w:rsidRPr="000C6BC2">
        <w:rPr>
          <w:rFonts w:ascii="Times New Roman" w:eastAsia="Arial" w:hAnsi="Times New Roman"/>
          <w:i/>
          <w:spacing w:val="1"/>
          <w:sz w:val="18"/>
          <w:szCs w:val="18"/>
        </w:rPr>
        <w:t>t</w:t>
      </w:r>
      <w:r w:rsidRPr="000C6BC2">
        <w:rPr>
          <w:rFonts w:ascii="Times New Roman" w:eastAsia="Arial" w:hAnsi="Times New Roman"/>
          <w:i/>
          <w:spacing w:val="-1"/>
          <w:sz w:val="18"/>
          <w:szCs w:val="18"/>
        </w:rPr>
        <w:t>r</w:t>
      </w:r>
      <w:r w:rsidRPr="000C6BC2">
        <w:rPr>
          <w:rFonts w:ascii="Times New Roman" w:eastAsia="Arial" w:hAnsi="Times New Roman"/>
          <w:i/>
          <w:sz w:val="18"/>
          <w:szCs w:val="18"/>
        </w:rPr>
        <w:t>i</w:t>
      </w:r>
      <w:r w:rsidRPr="000C6BC2">
        <w:rPr>
          <w:rFonts w:ascii="Times New Roman" w:eastAsia="Arial" w:hAnsi="Times New Roman"/>
          <w:i/>
          <w:spacing w:val="1"/>
          <w:sz w:val="18"/>
          <w:szCs w:val="18"/>
        </w:rPr>
        <w:t>t</w:t>
      </w:r>
      <w:r w:rsidRPr="000C6BC2">
        <w:rPr>
          <w:rFonts w:ascii="Times New Roman" w:eastAsia="Arial" w:hAnsi="Times New Roman"/>
          <w:i/>
          <w:sz w:val="18"/>
          <w:szCs w:val="18"/>
        </w:rPr>
        <w:t>i</w:t>
      </w:r>
      <w:r w:rsidRPr="000C6BC2">
        <w:rPr>
          <w:rFonts w:ascii="Times New Roman" w:eastAsia="Arial" w:hAnsi="Times New Roman"/>
          <w:i/>
          <w:spacing w:val="-1"/>
          <w:sz w:val="18"/>
          <w:szCs w:val="18"/>
        </w:rPr>
        <w:t>on,</w:t>
      </w:r>
      <w:r w:rsidRPr="000C6BC2">
        <w:rPr>
          <w:rFonts w:ascii="Times New Roman" w:eastAsia="Arial" w:hAnsi="Times New Roman"/>
          <w:sz w:val="18"/>
          <w:szCs w:val="18"/>
        </w:rPr>
        <w:t xml:space="preserve"> </w:t>
      </w:r>
      <w:r w:rsidRPr="000C6BC2">
        <w:rPr>
          <w:rFonts w:ascii="Times New Roman" w:eastAsia="Arial" w:hAnsi="Times New Roman"/>
          <w:spacing w:val="-1"/>
          <w:sz w:val="18"/>
          <w:szCs w:val="18"/>
        </w:rPr>
        <w:t>19(12)</w:t>
      </w:r>
      <w:r w:rsidRPr="000C6BC2">
        <w:rPr>
          <w:rFonts w:ascii="Times New Roman" w:eastAsia="Arial" w:hAnsi="Times New Roman"/>
          <w:sz w:val="18"/>
          <w:szCs w:val="18"/>
        </w:rPr>
        <w:t>,</w:t>
      </w:r>
      <w:r w:rsidRPr="000C6BC2">
        <w:rPr>
          <w:rFonts w:ascii="Times New Roman" w:eastAsia="Arial" w:hAnsi="Times New Roman"/>
          <w:spacing w:val="-16"/>
          <w:sz w:val="18"/>
          <w:szCs w:val="18"/>
        </w:rPr>
        <w:t xml:space="preserve"> </w:t>
      </w:r>
      <w:r w:rsidRPr="000C6BC2">
        <w:rPr>
          <w:rFonts w:ascii="Times New Roman" w:eastAsia="Arial" w:hAnsi="Times New Roman"/>
          <w:spacing w:val="-1"/>
          <w:sz w:val="18"/>
          <w:szCs w:val="18"/>
        </w:rPr>
        <w:t>2106</w:t>
      </w:r>
      <w:r w:rsidRPr="000C6BC2">
        <w:rPr>
          <w:rFonts w:ascii="Times New Roman" w:eastAsia="Arial" w:hAnsi="Times New Roman"/>
          <w:sz w:val="18"/>
          <w:szCs w:val="18"/>
        </w:rPr>
        <w:t>-</w:t>
      </w:r>
      <w:r w:rsidRPr="000C6BC2">
        <w:rPr>
          <w:rFonts w:ascii="Times New Roman" w:eastAsia="Arial" w:hAnsi="Times New Roman"/>
          <w:spacing w:val="-1"/>
          <w:sz w:val="18"/>
          <w:szCs w:val="18"/>
        </w:rPr>
        <w:t>2121.</w:t>
      </w:r>
    </w:p>
  </w:footnote>
  <w:footnote w:id="48">
    <w:p w14:paraId="281530B3" w14:textId="77777777" w:rsidR="00762E8C" w:rsidRPr="000C6BC2" w:rsidRDefault="00762E8C" w:rsidP="0016019B">
      <w:pPr>
        <w:pStyle w:val="FootnoteText"/>
        <w:rPr>
          <w:rFonts w:ascii="Times New Roman" w:hAnsi="Times New Roman"/>
          <w:sz w:val="18"/>
          <w:szCs w:val="18"/>
        </w:rPr>
      </w:pPr>
      <w:r w:rsidRPr="000C6BC2">
        <w:rPr>
          <w:rStyle w:val="FootnoteReference"/>
          <w:rFonts w:ascii="Times New Roman" w:hAnsi="Times New Roman"/>
          <w:sz w:val="18"/>
          <w:szCs w:val="18"/>
        </w:rPr>
        <w:footnoteRef/>
      </w:r>
      <w:r w:rsidRPr="000C6BC2">
        <w:rPr>
          <w:rFonts w:ascii="Times New Roman" w:hAnsi="Times New Roman"/>
          <w:sz w:val="18"/>
          <w:szCs w:val="18"/>
        </w:rPr>
        <w:t xml:space="preserve"> Cantu-Jungles et al. 2017. A Meta-Analysis to Determine the Impact of Restaurant Menu </w:t>
      </w:r>
      <w:proofErr w:type="spellStart"/>
      <w:r w:rsidRPr="000C6BC2">
        <w:rPr>
          <w:rFonts w:ascii="Times New Roman" w:hAnsi="Times New Roman"/>
          <w:sz w:val="18"/>
          <w:szCs w:val="18"/>
        </w:rPr>
        <w:t>Labeling</w:t>
      </w:r>
      <w:proofErr w:type="spellEnd"/>
      <w:r w:rsidRPr="000C6BC2">
        <w:rPr>
          <w:rFonts w:ascii="Times New Roman" w:hAnsi="Times New Roman"/>
          <w:sz w:val="18"/>
          <w:szCs w:val="18"/>
        </w:rPr>
        <w:t xml:space="preserve"> on Calories and Nutrients (Ordered or Consumed) in U.S. Adults. </w:t>
      </w:r>
      <w:r w:rsidRPr="000C6BC2">
        <w:rPr>
          <w:rFonts w:ascii="Times New Roman" w:hAnsi="Times New Roman"/>
          <w:i/>
          <w:sz w:val="18"/>
          <w:szCs w:val="18"/>
        </w:rPr>
        <w:t>Nutrients</w:t>
      </w:r>
      <w:r w:rsidRPr="000C6BC2">
        <w:rPr>
          <w:rFonts w:ascii="Times New Roman" w:hAnsi="Times New Roman"/>
          <w:sz w:val="18"/>
          <w:szCs w:val="18"/>
        </w:rPr>
        <w:t>, 9(10), 1088.</w:t>
      </w:r>
    </w:p>
  </w:footnote>
  <w:footnote w:id="49">
    <w:p w14:paraId="4FFA1287" w14:textId="77777777" w:rsidR="00762E8C" w:rsidRPr="000C6BC2" w:rsidRDefault="00762E8C" w:rsidP="0016019B">
      <w:pPr>
        <w:pStyle w:val="FootnoteText"/>
        <w:rPr>
          <w:rFonts w:ascii="Times New Roman" w:hAnsi="Times New Roman"/>
          <w:sz w:val="18"/>
          <w:szCs w:val="18"/>
        </w:rPr>
      </w:pPr>
      <w:r w:rsidRPr="000C6BC2">
        <w:rPr>
          <w:rStyle w:val="FootnoteReference"/>
          <w:rFonts w:ascii="Times New Roman" w:hAnsi="Times New Roman"/>
          <w:sz w:val="18"/>
          <w:szCs w:val="18"/>
        </w:rPr>
        <w:footnoteRef/>
      </w:r>
      <w:r w:rsidRPr="000C6BC2">
        <w:rPr>
          <w:rFonts w:ascii="Times New Roman" w:hAnsi="Times New Roman"/>
          <w:sz w:val="18"/>
          <w:szCs w:val="18"/>
        </w:rPr>
        <w:t xml:space="preserve"> </w:t>
      </w:r>
      <w:proofErr w:type="spellStart"/>
      <w:r w:rsidRPr="000C6BC2">
        <w:rPr>
          <w:rFonts w:ascii="Times New Roman" w:hAnsi="Times New Roman"/>
          <w:sz w:val="18"/>
          <w:szCs w:val="18"/>
        </w:rPr>
        <w:t>Thunstrom</w:t>
      </w:r>
      <w:proofErr w:type="spellEnd"/>
      <w:r w:rsidRPr="000C6BC2">
        <w:rPr>
          <w:rFonts w:ascii="Times New Roman" w:hAnsi="Times New Roman"/>
          <w:sz w:val="18"/>
          <w:szCs w:val="18"/>
        </w:rPr>
        <w:t xml:space="preserve">. 2019. Welfare effects of nudges: the emotional tax of calorie menu labelling. </w:t>
      </w:r>
      <w:r w:rsidRPr="000C6BC2">
        <w:rPr>
          <w:rFonts w:ascii="Times New Roman" w:hAnsi="Times New Roman"/>
          <w:i/>
          <w:sz w:val="18"/>
          <w:szCs w:val="18"/>
        </w:rPr>
        <w:t>Judgement and Decision Making,</w:t>
      </w:r>
      <w:r w:rsidRPr="000C6BC2">
        <w:rPr>
          <w:rFonts w:ascii="Times New Roman" w:hAnsi="Times New Roman"/>
          <w:sz w:val="18"/>
          <w:szCs w:val="18"/>
        </w:rPr>
        <w:t xml:space="preserve"> 14(1):11-25.</w:t>
      </w:r>
    </w:p>
  </w:footnote>
  <w:footnote w:id="50">
    <w:p w14:paraId="728B260C" w14:textId="159F1D3B" w:rsidR="00762E8C" w:rsidRPr="000C6BC2" w:rsidRDefault="00762E8C" w:rsidP="00A85D60">
      <w:pPr>
        <w:pStyle w:val="Default"/>
        <w:rPr>
          <w:sz w:val="18"/>
          <w:szCs w:val="18"/>
        </w:rPr>
      </w:pPr>
      <w:r w:rsidRPr="000C6BC2">
        <w:rPr>
          <w:rStyle w:val="FootnoteReference"/>
          <w:sz w:val="18"/>
          <w:szCs w:val="18"/>
        </w:rPr>
        <w:footnoteRef/>
      </w:r>
      <w:r w:rsidRPr="000C6BC2">
        <w:rPr>
          <w:sz w:val="18"/>
          <w:szCs w:val="18"/>
        </w:rPr>
        <w:t xml:space="preserve"> </w:t>
      </w:r>
      <w:r w:rsidRPr="000C6BC2">
        <w:rPr>
          <w:color w:val="auto"/>
          <w:sz w:val="18"/>
          <w:szCs w:val="18"/>
          <w:lang w:eastAsia="zh-CN" w:bidi="th-TH"/>
        </w:rPr>
        <w:t xml:space="preserve">Ministers agreed that FRSC should work with AHMAC to develop advice on a national approach by mid-2011 that could guide the display of nutrition information in standard fast food chain restaurants. This decision followed action in different Australian states to improve public awareness of the nutrition content of takeaway food by providing this information at the point-of-sale. A </w:t>
      </w:r>
      <w:r w:rsidRPr="000C6BC2">
        <w:rPr>
          <w:sz w:val="18"/>
          <w:szCs w:val="18"/>
          <w:lang w:eastAsia="zh-CN" w:bidi="th-TH"/>
        </w:rPr>
        <w:t xml:space="preserve">FRSC Point-of-Sale Nutrition Information Working Group (led by the Australian Department of Health and Ageing, with membership from all state and territory governments (excluding the Northern Territory), New Zealand Government and FSANZ) developed principles to facilitate consistency if jurisdictions elected to introduce legislation for the display of point-of-sale nutrition information in standard food outlet. </w:t>
      </w:r>
      <w:r w:rsidRPr="000C6BC2">
        <w:rPr>
          <w:color w:val="auto"/>
          <w:sz w:val="18"/>
          <w:szCs w:val="18"/>
          <w:lang w:eastAsia="zh-CN" w:bidi="th-TH"/>
        </w:rPr>
        <w:t>The Food Ministers’ decision did not specifically refer to menu labelling in New Zealand.; however, as the food regulation committee structure includes New Zealand members, it is reasonable to suggest that the Principles apply to Australia and New Zealand.</w:t>
      </w:r>
    </w:p>
  </w:footnote>
  <w:footnote w:id="51">
    <w:p w14:paraId="1297143A" w14:textId="29DB8B26" w:rsidR="00762E8C" w:rsidRPr="00DB647A" w:rsidRDefault="00762E8C" w:rsidP="00A85D60">
      <w:pPr>
        <w:pStyle w:val="FootnoteText"/>
        <w:rPr>
          <w:lang w:val="en-US"/>
        </w:rPr>
      </w:pPr>
      <w:r w:rsidRPr="000C6BC2">
        <w:rPr>
          <w:rStyle w:val="FootnoteReference"/>
          <w:rFonts w:ascii="Times New Roman" w:hAnsi="Times New Roman"/>
          <w:sz w:val="18"/>
          <w:szCs w:val="18"/>
        </w:rPr>
        <w:footnoteRef/>
      </w:r>
      <w:r w:rsidRPr="000C6BC2">
        <w:rPr>
          <w:rFonts w:ascii="Times New Roman" w:hAnsi="Times New Roman"/>
          <w:sz w:val="18"/>
          <w:szCs w:val="18"/>
        </w:rPr>
        <w:t xml:space="preserve"> </w:t>
      </w:r>
      <w:r w:rsidRPr="000C6BC2">
        <w:rPr>
          <w:rFonts w:ascii="Times New Roman" w:hAnsi="Times New Roman"/>
          <w:i/>
          <w:iCs/>
          <w:sz w:val="18"/>
          <w:szCs w:val="18"/>
        </w:rPr>
        <w:t>Principles for introducing Point-of-Sale nutrition information at standard food outlets</w:t>
      </w:r>
      <w:r w:rsidRPr="000C6BC2">
        <w:rPr>
          <w:rFonts w:ascii="Times New Roman" w:hAnsi="Times New Roman"/>
          <w:sz w:val="18"/>
          <w:szCs w:val="18"/>
        </w:rPr>
        <w:t xml:space="preserve">. 2011. </w:t>
      </w:r>
      <w:hyperlink r:id="rId24" w:history="1">
        <w:r w:rsidRPr="000C6BC2">
          <w:rPr>
            <w:rStyle w:val="Hyperlink"/>
            <w:rFonts w:ascii="Times New Roman" w:hAnsi="Times New Roman"/>
            <w:sz w:val="18"/>
            <w:szCs w:val="18"/>
          </w:rPr>
          <w:t>https://foodregulation.gov.au/internet/fr/publishing.nsf/Content/publication-principles-point-of-sale-nutrition</w:t>
        </w:r>
      </w:hyperlink>
      <w:r w:rsidRPr="000C6BC2">
        <w:rPr>
          <w:rStyle w:val="Hyperlink"/>
          <w:rFonts w:ascii="Times New Roman" w:hAnsi="Times New Roman"/>
          <w:color w:val="auto"/>
          <w:sz w:val="18"/>
          <w:szCs w:val="18"/>
          <w:u w:val="none"/>
        </w:rPr>
        <w:t xml:space="preserve"> (accessed 17 September 2021)</w:t>
      </w:r>
    </w:p>
  </w:footnote>
  <w:footnote w:id="52">
    <w:p w14:paraId="52AE6067" w14:textId="77777777" w:rsidR="00762E8C" w:rsidRPr="000C6BC2" w:rsidRDefault="00762E8C" w:rsidP="003E06AC">
      <w:pPr>
        <w:pStyle w:val="FootnoteText"/>
        <w:rPr>
          <w:rFonts w:ascii="Times New Roman" w:hAnsi="Times New Roman"/>
          <w:sz w:val="18"/>
          <w:szCs w:val="18"/>
        </w:rPr>
      </w:pPr>
      <w:r w:rsidRPr="000C6BC2">
        <w:rPr>
          <w:rStyle w:val="FootnoteReference"/>
          <w:rFonts w:ascii="Times New Roman" w:hAnsi="Times New Roman"/>
          <w:sz w:val="18"/>
          <w:szCs w:val="18"/>
        </w:rPr>
        <w:footnoteRef/>
      </w:r>
      <w:r w:rsidRPr="000C6BC2">
        <w:rPr>
          <w:rFonts w:ascii="Times New Roman" w:hAnsi="Times New Roman"/>
          <w:sz w:val="18"/>
          <w:szCs w:val="18"/>
        </w:rPr>
        <w:t xml:space="preserve"> NSW Health. </w:t>
      </w:r>
      <w:r w:rsidRPr="000C6BC2">
        <w:rPr>
          <w:rFonts w:ascii="Times New Roman" w:hAnsi="Times New Roman"/>
          <w:i/>
          <w:iCs/>
          <w:sz w:val="18"/>
          <w:szCs w:val="18"/>
        </w:rPr>
        <w:t>Healthy Eating Active Living:</w:t>
      </w:r>
      <w:r w:rsidRPr="000C6BC2">
        <w:rPr>
          <w:rFonts w:ascii="Times New Roman" w:hAnsi="Times New Roman"/>
          <w:sz w:val="18"/>
          <w:szCs w:val="18"/>
        </w:rPr>
        <w:t xml:space="preserve"> </w:t>
      </w:r>
      <w:r w:rsidRPr="000C6BC2">
        <w:rPr>
          <w:rFonts w:ascii="Times New Roman" w:hAnsi="Times New Roman"/>
          <w:i/>
          <w:iCs/>
          <w:sz w:val="18"/>
          <w:szCs w:val="18"/>
        </w:rPr>
        <w:t xml:space="preserve">Kilojoules and calories. </w:t>
      </w:r>
      <w:hyperlink r:id="rId25" w:history="1">
        <w:r w:rsidRPr="000C6BC2">
          <w:rPr>
            <w:rStyle w:val="Hyperlink"/>
            <w:rFonts w:ascii="Times New Roman" w:hAnsi="Times New Roman"/>
            <w:sz w:val="18"/>
            <w:szCs w:val="18"/>
          </w:rPr>
          <w:t>https://www.healthyliving.nsw.gov.au/Pages/kilojoules-calories.aspx</w:t>
        </w:r>
      </w:hyperlink>
      <w:r w:rsidRPr="000C6BC2">
        <w:rPr>
          <w:rFonts w:ascii="Times New Roman" w:hAnsi="Times New Roman"/>
          <w:sz w:val="18"/>
          <w:szCs w:val="18"/>
        </w:rPr>
        <w:t xml:space="preserve"> (accessed 1 October 2021) </w:t>
      </w:r>
    </w:p>
    <w:p w14:paraId="06B521B1" w14:textId="77777777" w:rsidR="00762E8C" w:rsidRPr="000C6BC2" w:rsidRDefault="00762E8C" w:rsidP="003E06AC">
      <w:pPr>
        <w:pStyle w:val="FootnoteText"/>
        <w:rPr>
          <w:rFonts w:ascii="Times New Roman" w:hAnsi="Times New Roman"/>
          <w:sz w:val="18"/>
          <w:szCs w:val="18"/>
          <w:lang w:val="en-US"/>
        </w:rPr>
      </w:pPr>
      <w:r w:rsidRPr="000C6BC2">
        <w:rPr>
          <w:rFonts w:ascii="Times New Roman" w:hAnsi="Times New Roman"/>
          <w:sz w:val="18"/>
          <w:szCs w:val="18"/>
        </w:rPr>
        <w:t xml:space="preserve">Note: The original website </w:t>
      </w:r>
      <w:hyperlink r:id="rId26" w:history="1">
        <w:r w:rsidRPr="000C6BC2">
          <w:rPr>
            <w:rStyle w:val="Hyperlink"/>
            <w:rFonts w:ascii="Times New Roman" w:hAnsi="Times New Roman"/>
            <w:sz w:val="18"/>
            <w:szCs w:val="18"/>
          </w:rPr>
          <w:t>https://www.8700.com.au/</w:t>
        </w:r>
      </w:hyperlink>
      <w:r w:rsidRPr="000C6BC2">
        <w:rPr>
          <w:rStyle w:val="Hyperlink"/>
          <w:rFonts w:ascii="Times New Roman" w:hAnsi="Times New Roman"/>
          <w:color w:val="auto"/>
          <w:sz w:val="18"/>
          <w:szCs w:val="18"/>
          <w:u w:val="none"/>
        </w:rPr>
        <w:t xml:space="preserve"> no longer exists. The 8700 app remains available.</w:t>
      </w:r>
    </w:p>
  </w:footnote>
  <w:footnote w:id="53">
    <w:p w14:paraId="6DDA47B5" w14:textId="77777777" w:rsidR="00762E8C" w:rsidRPr="00680AF9" w:rsidRDefault="00762E8C" w:rsidP="003E06AC">
      <w:pPr>
        <w:pStyle w:val="FootnoteText"/>
        <w:rPr>
          <w:rFonts w:ascii="Times New Roman" w:hAnsi="Times New Roman"/>
          <w:sz w:val="18"/>
          <w:szCs w:val="18"/>
          <w:lang w:val="en-US"/>
        </w:rPr>
      </w:pPr>
      <w:r w:rsidRPr="00680AF9">
        <w:rPr>
          <w:rStyle w:val="FootnoteReference"/>
          <w:rFonts w:ascii="Times New Roman" w:hAnsi="Times New Roman"/>
          <w:sz w:val="18"/>
          <w:szCs w:val="18"/>
        </w:rPr>
        <w:footnoteRef/>
      </w:r>
      <w:r w:rsidRPr="00680AF9">
        <w:rPr>
          <w:rFonts w:ascii="Times New Roman" w:hAnsi="Times New Roman"/>
          <w:sz w:val="18"/>
          <w:szCs w:val="18"/>
        </w:rPr>
        <w:t xml:space="preserve"> </w:t>
      </w:r>
      <w:r w:rsidRPr="00680AF9">
        <w:rPr>
          <w:rFonts w:ascii="Times New Roman" w:hAnsi="Times New Roman"/>
          <w:sz w:val="18"/>
          <w:szCs w:val="18"/>
          <w:lang w:val="en-US"/>
        </w:rPr>
        <w:t>Queensland Health.</w:t>
      </w:r>
      <w:r>
        <w:rPr>
          <w:rFonts w:ascii="Times New Roman" w:hAnsi="Times New Roman"/>
          <w:i/>
          <w:sz w:val="18"/>
          <w:szCs w:val="18"/>
          <w:lang w:val="en-US"/>
        </w:rPr>
        <w:t xml:space="preserve"> Healthier. Happier.</w:t>
      </w:r>
      <w:r w:rsidRPr="00E75D18">
        <w:rPr>
          <w:rFonts w:ascii="Times New Roman" w:eastAsia="Times New Roman" w:hAnsi="Times New Roman"/>
          <w:sz w:val="18"/>
          <w:szCs w:val="18"/>
        </w:rPr>
        <w:t xml:space="preserve"> </w:t>
      </w:r>
      <w:hyperlink r:id="rId27" w:history="1">
        <w:r w:rsidRPr="00E75D18">
          <w:rPr>
            <w:rStyle w:val="Hyperlink"/>
            <w:rFonts w:ascii="Times New Roman" w:hAnsi="Times New Roman"/>
            <w:sz w:val="18"/>
            <w:szCs w:val="18"/>
          </w:rPr>
          <w:t>https://www.healthier.qld.gov.au/</w:t>
        </w:r>
      </w:hyperlink>
      <w:r w:rsidDel="00E75D18">
        <w:t xml:space="preserve"> </w:t>
      </w:r>
    </w:p>
  </w:footnote>
  <w:footnote w:id="54">
    <w:p w14:paraId="69FDE4BC" w14:textId="77777777" w:rsidR="00762E8C" w:rsidRPr="00476A2B" w:rsidRDefault="00762E8C" w:rsidP="003E06AC">
      <w:pPr>
        <w:pStyle w:val="FootnoteText"/>
        <w:rPr>
          <w:rFonts w:ascii="Times New Roman" w:hAnsi="Times New Roman"/>
          <w:sz w:val="18"/>
          <w:szCs w:val="18"/>
          <w:lang w:val="en-US"/>
        </w:rPr>
      </w:pPr>
      <w:r w:rsidRPr="00476A2B">
        <w:rPr>
          <w:rStyle w:val="FootnoteReference"/>
          <w:rFonts w:ascii="Times New Roman" w:hAnsi="Times New Roman"/>
          <w:sz w:val="18"/>
          <w:szCs w:val="18"/>
        </w:rPr>
        <w:footnoteRef/>
      </w:r>
      <w:r w:rsidRPr="00476A2B">
        <w:rPr>
          <w:rFonts w:ascii="Times New Roman" w:hAnsi="Times New Roman"/>
          <w:sz w:val="18"/>
          <w:szCs w:val="18"/>
        </w:rPr>
        <w:t xml:space="preserve"> Baker, E. (2018) ‘New campaign rolls out to help Canberrans understand kilojoules’. </w:t>
      </w:r>
      <w:r w:rsidRPr="00476A2B">
        <w:rPr>
          <w:rFonts w:ascii="Times New Roman" w:hAnsi="Times New Roman"/>
          <w:i/>
          <w:iCs/>
          <w:sz w:val="18"/>
          <w:szCs w:val="18"/>
        </w:rPr>
        <w:t xml:space="preserve">The Canberra Times, </w:t>
      </w:r>
      <w:r w:rsidRPr="00476A2B">
        <w:rPr>
          <w:rFonts w:ascii="Times New Roman" w:hAnsi="Times New Roman"/>
          <w:sz w:val="18"/>
          <w:szCs w:val="18"/>
        </w:rPr>
        <w:t xml:space="preserve">24 June 2018. </w:t>
      </w:r>
      <w:hyperlink r:id="rId28" w:history="1">
        <w:r w:rsidRPr="00476A2B">
          <w:rPr>
            <w:rStyle w:val="Hyperlink"/>
            <w:rFonts w:ascii="Times New Roman" w:hAnsi="Times New Roman"/>
            <w:sz w:val="18"/>
            <w:szCs w:val="18"/>
          </w:rPr>
          <w:t>https://www.canberratimes.com.au/story/6015736/new-campaign-rolls-out-to-help-canberrans-understand-kilojoules/</w:t>
        </w:r>
      </w:hyperlink>
      <w:r w:rsidRPr="00476A2B">
        <w:rPr>
          <w:rFonts w:ascii="Times New Roman" w:hAnsi="Times New Roman"/>
          <w:sz w:val="18"/>
          <w:szCs w:val="18"/>
        </w:rPr>
        <w:t xml:space="preserve"> </w:t>
      </w:r>
      <w:r w:rsidRPr="00476A2B">
        <w:rPr>
          <w:rStyle w:val="Hyperlink"/>
          <w:rFonts w:ascii="Times New Roman" w:eastAsia="Times New Roman" w:hAnsi="Times New Roman"/>
          <w:color w:val="auto"/>
          <w:sz w:val="18"/>
          <w:szCs w:val="18"/>
          <w:u w:val="none"/>
        </w:rPr>
        <w:t>(accessed 9 November 2021)</w:t>
      </w:r>
    </w:p>
  </w:footnote>
  <w:footnote w:id="55">
    <w:p w14:paraId="4C3CF569" w14:textId="77777777" w:rsidR="00762E8C" w:rsidRPr="006716E5" w:rsidRDefault="00762E8C" w:rsidP="003E06AC">
      <w:pPr>
        <w:pStyle w:val="FootnoteText"/>
        <w:rPr>
          <w:rFonts w:ascii="Times New Roman" w:hAnsi="Times New Roman"/>
          <w:sz w:val="18"/>
          <w:szCs w:val="18"/>
          <w:lang w:val="en-US"/>
        </w:rPr>
      </w:pPr>
      <w:r w:rsidRPr="00476A2B">
        <w:rPr>
          <w:rStyle w:val="FootnoteReference"/>
          <w:rFonts w:ascii="Times New Roman" w:hAnsi="Times New Roman"/>
          <w:sz w:val="18"/>
          <w:szCs w:val="18"/>
        </w:rPr>
        <w:footnoteRef/>
      </w:r>
      <w:r w:rsidRPr="00476A2B">
        <w:rPr>
          <w:rFonts w:ascii="Times New Roman" w:hAnsi="Times New Roman"/>
          <w:sz w:val="18"/>
          <w:szCs w:val="18"/>
        </w:rPr>
        <w:t xml:space="preserve"> Victoria State Government. </w:t>
      </w:r>
      <w:r w:rsidRPr="00476A2B">
        <w:rPr>
          <w:rFonts w:ascii="Times New Roman" w:hAnsi="Times New Roman"/>
          <w:i/>
          <w:sz w:val="18"/>
          <w:szCs w:val="18"/>
        </w:rPr>
        <w:t xml:space="preserve">Kilojoules. </w:t>
      </w:r>
      <w:hyperlink r:id="rId29" w:history="1">
        <w:r w:rsidRPr="00476A2B">
          <w:rPr>
            <w:rStyle w:val="Hyperlink"/>
            <w:rFonts w:ascii="Times New Roman" w:eastAsia="Times New Roman" w:hAnsi="Times New Roman"/>
            <w:sz w:val="18"/>
            <w:szCs w:val="18"/>
          </w:rPr>
          <w:t>https://www.betterhealth.vic.gov.au/campaigns/kilojoules-on-the-menu</w:t>
        </w:r>
      </w:hyperlink>
      <w:r w:rsidRPr="00476A2B">
        <w:rPr>
          <w:rStyle w:val="Hyperlink"/>
          <w:rFonts w:ascii="Times New Roman" w:eastAsia="Times New Roman" w:hAnsi="Times New Roman"/>
          <w:sz w:val="18"/>
          <w:szCs w:val="18"/>
          <w:u w:val="none"/>
        </w:rPr>
        <w:t xml:space="preserve">) </w:t>
      </w:r>
      <w:r w:rsidRPr="00476A2B">
        <w:rPr>
          <w:rStyle w:val="Hyperlink"/>
          <w:rFonts w:ascii="Times New Roman" w:eastAsia="Times New Roman" w:hAnsi="Times New Roman"/>
          <w:color w:val="auto"/>
          <w:sz w:val="18"/>
          <w:szCs w:val="18"/>
          <w:u w:val="none"/>
        </w:rPr>
        <w:t>(accessed 1 October 2021)</w:t>
      </w:r>
    </w:p>
  </w:footnote>
  <w:footnote w:id="56">
    <w:p w14:paraId="344C7651" w14:textId="09596893" w:rsidR="00762E8C" w:rsidRPr="001022A3" w:rsidRDefault="00762E8C" w:rsidP="00680AF9">
      <w:pPr>
        <w:pStyle w:val="FootnoteText"/>
        <w:rPr>
          <w:rFonts w:ascii="Times New Roman" w:hAnsi="Times New Roman"/>
          <w:sz w:val="18"/>
          <w:szCs w:val="18"/>
          <w:lang w:val="en-NZ"/>
        </w:rPr>
      </w:pPr>
      <w:r w:rsidRPr="00680AF9">
        <w:rPr>
          <w:rStyle w:val="FootnoteReference"/>
          <w:rFonts w:ascii="Times New Roman" w:hAnsi="Times New Roman"/>
          <w:sz w:val="18"/>
          <w:szCs w:val="18"/>
        </w:rPr>
        <w:footnoteRef/>
      </w:r>
      <w:r w:rsidRPr="00680AF9">
        <w:rPr>
          <w:rFonts w:ascii="Times New Roman" w:hAnsi="Times New Roman"/>
          <w:sz w:val="18"/>
          <w:szCs w:val="18"/>
        </w:rPr>
        <w:t xml:space="preserve"> In 2018, leading New Zealand food and beverage industry members formed a </w:t>
      </w:r>
      <w:r w:rsidRPr="00680AF9">
        <w:rPr>
          <w:rFonts w:ascii="Times New Roman" w:hAnsi="Times New Roman"/>
          <w:sz w:val="18"/>
          <w:szCs w:val="18"/>
          <w:lang w:val="en-NZ"/>
        </w:rPr>
        <w:t>Taskforce on Addressing Factors Contributing to Obesity, at the request of Ministers of Health and Food Safety. The Taskforce is no longer formally meeting.</w:t>
      </w:r>
    </w:p>
  </w:footnote>
  <w:footnote w:id="57">
    <w:p w14:paraId="0192CE15" w14:textId="484E26E8" w:rsidR="00762E8C" w:rsidRPr="00796C0D" w:rsidRDefault="00762E8C">
      <w:pPr>
        <w:pStyle w:val="FootnoteText"/>
        <w:rPr>
          <w:rFonts w:ascii="Times New Roman" w:hAnsi="Times New Roman"/>
          <w:sz w:val="18"/>
          <w:szCs w:val="18"/>
          <w:lang w:val="en-US"/>
        </w:rPr>
      </w:pPr>
      <w:r w:rsidRPr="00796C0D">
        <w:rPr>
          <w:rStyle w:val="FootnoteReference"/>
          <w:rFonts w:ascii="Times New Roman" w:hAnsi="Times New Roman"/>
          <w:sz w:val="18"/>
          <w:szCs w:val="18"/>
        </w:rPr>
        <w:footnoteRef/>
      </w:r>
      <w:r w:rsidRPr="00796C0D">
        <w:rPr>
          <w:rFonts w:ascii="Times New Roman" w:hAnsi="Times New Roman"/>
          <w:sz w:val="18"/>
          <w:szCs w:val="18"/>
        </w:rPr>
        <w:t xml:space="preserve"> Minister for Health and Minister for Food Safety.</w:t>
      </w:r>
      <w:r>
        <w:rPr>
          <w:rFonts w:ascii="Times New Roman" w:hAnsi="Times New Roman"/>
          <w:sz w:val="18"/>
          <w:szCs w:val="18"/>
        </w:rPr>
        <w:t xml:space="preserve"> 2019.</w:t>
      </w:r>
      <w:r w:rsidRPr="00796C0D">
        <w:rPr>
          <w:rFonts w:ascii="Times New Roman" w:hAnsi="Times New Roman"/>
          <w:sz w:val="18"/>
          <w:szCs w:val="18"/>
        </w:rPr>
        <w:t xml:space="preserve"> </w:t>
      </w:r>
      <w:r w:rsidRPr="00796C0D">
        <w:rPr>
          <w:rFonts w:ascii="Times New Roman" w:hAnsi="Times New Roman"/>
          <w:i/>
          <w:iCs/>
          <w:sz w:val="18"/>
          <w:szCs w:val="18"/>
        </w:rPr>
        <w:t xml:space="preserve">Government response to the Food Industry Taskforce’s report. </w:t>
      </w:r>
      <w:hyperlink r:id="rId30" w:history="1">
        <w:r w:rsidRPr="00796C0D">
          <w:rPr>
            <w:rStyle w:val="Hyperlink"/>
            <w:rFonts w:ascii="Times New Roman" w:hAnsi="Times New Roman"/>
            <w:sz w:val="18"/>
            <w:szCs w:val="18"/>
          </w:rPr>
          <w:t>https://www.health.govt.nz/system/files/documents/pages/govt-reponse-to-food-industry-taskforce-report.pdf</w:t>
        </w:r>
      </w:hyperlink>
      <w:r w:rsidRPr="00796C0D">
        <w:rPr>
          <w:rFonts w:ascii="Times New Roman" w:hAnsi="Times New Roman"/>
          <w:sz w:val="18"/>
          <w:szCs w:val="18"/>
        </w:rPr>
        <w:t xml:space="preserve"> (accessed 1 October 2021)</w:t>
      </w:r>
    </w:p>
  </w:footnote>
  <w:footnote w:id="58">
    <w:p w14:paraId="55CDF25F" w14:textId="130AA284" w:rsidR="00762E8C" w:rsidRPr="00A43E68" w:rsidRDefault="00762E8C" w:rsidP="00A43E68">
      <w:pPr>
        <w:pStyle w:val="FootnoteText"/>
        <w:rPr>
          <w:rFonts w:ascii="Times New Roman" w:hAnsi="Times New Roman"/>
          <w:sz w:val="18"/>
          <w:szCs w:val="18"/>
          <w:lang w:val="en-US"/>
        </w:rPr>
      </w:pPr>
      <w:r w:rsidRPr="008A7E44">
        <w:rPr>
          <w:rStyle w:val="FootnoteReference"/>
          <w:rFonts w:ascii="Times New Roman" w:hAnsi="Times New Roman"/>
          <w:sz w:val="18"/>
          <w:szCs w:val="18"/>
        </w:rPr>
        <w:footnoteRef/>
      </w:r>
      <w:r w:rsidRPr="008A7E44">
        <w:rPr>
          <w:rStyle w:val="FootnoteReference"/>
          <w:rFonts w:ascii="Times New Roman" w:hAnsi="Times New Roman"/>
          <w:sz w:val="18"/>
          <w:szCs w:val="18"/>
        </w:rPr>
        <w:t xml:space="preserve"> </w:t>
      </w:r>
      <w:r w:rsidRPr="00E67A4C">
        <w:rPr>
          <w:rFonts w:ascii="Times New Roman" w:hAnsi="Times New Roman"/>
          <w:i/>
          <w:sz w:val="18"/>
          <w:szCs w:val="18"/>
        </w:rPr>
        <w:t>Food Standards Australia New Zealand (FSANZ) Act 1991, Part 2, Division 2, Section 18(1)</w:t>
      </w:r>
      <w:r>
        <w:rPr>
          <w:rFonts w:ascii="Times New Roman" w:hAnsi="Times New Roman"/>
          <w:i/>
          <w:sz w:val="18"/>
          <w:szCs w:val="18"/>
        </w:rPr>
        <w:t xml:space="preserve">. </w:t>
      </w:r>
      <w:hyperlink r:id="rId31" w:history="1">
        <w:r w:rsidRPr="00A43E68">
          <w:rPr>
            <w:rStyle w:val="Hyperlink"/>
            <w:rFonts w:ascii="Times New Roman" w:hAnsi="Times New Roman"/>
            <w:iCs/>
            <w:sz w:val="18"/>
            <w:szCs w:val="18"/>
          </w:rPr>
          <w:t>https://www.legislation.gov.au/Details/C2018C00243</w:t>
        </w:r>
      </w:hyperlink>
      <w:r>
        <w:rPr>
          <w:rFonts w:ascii="Times New Roman" w:hAnsi="Times New Roman"/>
          <w:i/>
          <w:sz w:val="18"/>
          <w:szCs w:val="18"/>
        </w:rPr>
        <w:t xml:space="preserve"> </w:t>
      </w:r>
      <w:r w:rsidRPr="00796C0D">
        <w:rPr>
          <w:rFonts w:ascii="Times New Roman" w:hAnsi="Times New Roman"/>
          <w:sz w:val="18"/>
          <w:szCs w:val="18"/>
        </w:rPr>
        <w:t>(accessed 1 October 2021)</w:t>
      </w:r>
    </w:p>
  </w:footnote>
  <w:footnote w:id="59">
    <w:p w14:paraId="6F801B76" w14:textId="0D0D1CCC" w:rsidR="00762E8C" w:rsidRPr="00047413" w:rsidRDefault="00762E8C">
      <w:pPr>
        <w:pStyle w:val="FootnoteText"/>
        <w:rPr>
          <w:rFonts w:ascii="Times New Roman" w:hAnsi="Times New Roman"/>
          <w:sz w:val="18"/>
          <w:szCs w:val="18"/>
          <w:lang w:val="en-US"/>
        </w:rPr>
      </w:pPr>
      <w:r w:rsidRPr="00047413">
        <w:rPr>
          <w:rStyle w:val="FootnoteReference"/>
          <w:rFonts w:ascii="Times New Roman" w:hAnsi="Times New Roman"/>
          <w:sz w:val="18"/>
          <w:szCs w:val="18"/>
        </w:rPr>
        <w:footnoteRef/>
      </w:r>
      <w:r w:rsidRPr="00047413">
        <w:rPr>
          <w:rFonts w:ascii="Times New Roman" w:hAnsi="Times New Roman"/>
          <w:sz w:val="18"/>
          <w:szCs w:val="18"/>
        </w:rPr>
        <w:t xml:space="preserve"> FSANZ. 2021. Australia New Zealand Food Standards Code – Standard 1.2.1 – Requirements to have labels or otherwise provide information. </w:t>
      </w:r>
      <w:hyperlink r:id="rId32" w:history="1">
        <w:r w:rsidRPr="00047413">
          <w:rPr>
            <w:rStyle w:val="Hyperlink"/>
            <w:rFonts w:ascii="Times New Roman" w:hAnsi="Times New Roman"/>
            <w:sz w:val="18"/>
            <w:szCs w:val="18"/>
          </w:rPr>
          <w:t>https://www.legislation.gov.au/Series/F2015L00386</w:t>
        </w:r>
      </w:hyperlink>
      <w:r w:rsidRPr="00047413">
        <w:rPr>
          <w:rFonts w:ascii="Times New Roman" w:hAnsi="Times New Roman"/>
          <w:sz w:val="18"/>
          <w:szCs w:val="18"/>
        </w:rPr>
        <w:t xml:space="preserve"> (accessed 1 October 2021)</w:t>
      </w:r>
    </w:p>
  </w:footnote>
  <w:footnote w:id="60">
    <w:p w14:paraId="0BAF5619" w14:textId="56D38433" w:rsidR="00762E8C" w:rsidRPr="00476A2B" w:rsidRDefault="00762E8C">
      <w:pPr>
        <w:pStyle w:val="FootnoteText"/>
        <w:rPr>
          <w:rFonts w:ascii="Times New Roman" w:hAnsi="Times New Roman"/>
          <w:sz w:val="18"/>
          <w:szCs w:val="18"/>
          <w:lang w:val="en-US"/>
        </w:rPr>
      </w:pPr>
      <w:r w:rsidRPr="00A86EF3">
        <w:rPr>
          <w:rStyle w:val="FootnoteReference"/>
          <w:rFonts w:ascii="Times New Roman" w:hAnsi="Times New Roman"/>
          <w:sz w:val="18"/>
          <w:szCs w:val="18"/>
        </w:rPr>
        <w:footnoteRef/>
      </w:r>
      <w:r w:rsidRPr="00A86EF3">
        <w:rPr>
          <w:rFonts w:ascii="Times New Roman" w:hAnsi="Times New Roman"/>
          <w:sz w:val="18"/>
          <w:szCs w:val="18"/>
        </w:rPr>
        <w:t xml:space="preserve"> </w:t>
      </w:r>
      <w:r w:rsidRPr="00A86EF3">
        <w:rPr>
          <w:rFonts w:ascii="Times New Roman" w:hAnsi="Times New Roman"/>
          <w:i/>
          <w:iCs/>
          <w:sz w:val="18"/>
          <w:szCs w:val="18"/>
          <w:lang w:val="en-US"/>
        </w:rPr>
        <w:t xml:space="preserve">Australia and New Zealand Ministerial Forum on Food Regulation Communique 16 August 2019. </w:t>
      </w:r>
      <w:hyperlink r:id="rId33" w:history="1">
        <w:r w:rsidRPr="00476A2B">
          <w:rPr>
            <w:rStyle w:val="Hyperlink"/>
            <w:rFonts w:ascii="Times New Roman" w:hAnsi="Times New Roman"/>
            <w:sz w:val="18"/>
            <w:szCs w:val="18"/>
            <w:lang w:val="en-US"/>
          </w:rPr>
          <w:t>https://foodregulation.gov.au/internet/fr/publishing.nsf/Content/forum-communique-2019-August</w:t>
        </w:r>
      </w:hyperlink>
      <w:r w:rsidRPr="00476A2B">
        <w:rPr>
          <w:rFonts w:ascii="Times New Roman" w:hAnsi="Times New Roman"/>
          <w:sz w:val="18"/>
          <w:szCs w:val="18"/>
          <w:lang w:val="en-US"/>
        </w:rPr>
        <w:t xml:space="preserve"> </w:t>
      </w:r>
      <w:r w:rsidRPr="00476A2B">
        <w:rPr>
          <w:rFonts w:ascii="Times New Roman" w:hAnsi="Times New Roman"/>
          <w:sz w:val="18"/>
          <w:szCs w:val="18"/>
        </w:rPr>
        <w:t>(accessed 1 October 2021)</w:t>
      </w:r>
    </w:p>
  </w:footnote>
  <w:footnote w:id="61">
    <w:p w14:paraId="4DCCCF64" w14:textId="71E41A58" w:rsidR="00762E8C" w:rsidRPr="00476A2B" w:rsidRDefault="00762E8C">
      <w:pPr>
        <w:pStyle w:val="FootnoteText"/>
        <w:rPr>
          <w:rFonts w:ascii="Times New Roman" w:hAnsi="Times New Roman"/>
          <w:sz w:val="18"/>
          <w:szCs w:val="18"/>
          <w:lang w:val="en-US"/>
        </w:rPr>
      </w:pPr>
      <w:r w:rsidRPr="00476A2B">
        <w:rPr>
          <w:rStyle w:val="FootnoteReference"/>
          <w:rFonts w:ascii="Times New Roman" w:hAnsi="Times New Roman"/>
          <w:sz w:val="18"/>
          <w:szCs w:val="18"/>
        </w:rPr>
        <w:footnoteRef/>
      </w:r>
      <w:r w:rsidRPr="00476A2B">
        <w:rPr>
          <w:rFonts w:ascii="Times New Roman" w:hAnsi="Times New Roman"/>
          <w:sz w:val="18"/>
          <w:szCs w:val="18"/>
        </w:rPr>
        <w:t xml:space="preserve"> Australia and New Zealand Ministerial Forum on Food Regulation. 2020. </w:t>
      </w:r>
      <w:r w:rsidRPr="00476A2B">
        <w:rPr>
          <w:rFonts w:ascii="Times New Roman" w:hAnsi="Times New Roman"/>
          <w:i/>
          <w:iCs/>
          <w:sz w:val="18"/>
          <w:szCs w:val="18"/>
        </w:rPr>
        <w:t xml:space="preserve">Policy Guideline on food labelling to support consumers to make informed healthy food choices. </w:t>
      </w:r>
      <w:hyperlink r:id="rId34" w:history="1">
        <w:r w:rsidRPr="00476A2B">
          <w:rPr>
            <w:rStyle w:val="Hyperlink"/>
            <w:rFonts w:ascii="Times New Roman" w:hAnsi="Times New Roman"/>
            <w:sz w:val="18"/>
            <w:szCs w:val="18"/>
          </w:rPr>
          <w:t>https://foodregulation.gov.au/internet/fr/publishing.nsf/Content/Policy-Guideline-on-Food-Labelling-to-Support-Consumers-Make-Informed-Healthy-Choices</w:t>
        </w:r>
      </w:hyperlink>
      <w:r w:rsidRPr="00476A2B">
        <w:rPr>
          <w:rFonts w:ascii="Times New Roman" w:hAnsi="Times New Roman"/>
          <w:sz w:val="18"/>
          <w:szCs w:val="18"/>
        </w:rPr>
        <w:t xml:space="preserve"> (accessed 1 October 2021)</w:t>
      </w:r>
    </w:p>
  </w:footnote>
  <w:footnote w:id="62">
    <w:p w14:paraId="48E2DCBA" w14:textId="46F788D1" w:rsidR="002A25D5" w:rsidRPr="002A25D5" w:rsidRDefault="002A25D5">
      <w:pPr>
        <w:pStyle w:val="FootnoteText"/>
        <w:rPr>
          <w:lang w:val="en-US"/>
        </w:rPr>
      </w:pPr>
      <w:r w:rsidRPr="00476A2B">
        <w:rPr>
          <w:rStyle w:val="FootnoteReference"/>
        </w:rPr>
        <w:footnoteRef/>
      </w:r>
      <w:r w:rsidRPr="00476A2B">
        <w:t xml:space="preserve"> </w:t>
      </w:r>
      <w:r w:rsidRPr="00476A2B">
        <w:rPr>
          <w:rFonts w:ascii="Times New Roman" w:hAnsi="Times New Roman"/>
          <w:sz w:val="18"/>
          <w:szCs w:val="18"/>
        </w:rPr>
        <w:t>This review was undertaken by t</w:t>
      </w:r>
      <w:r w:rsidR="00D2675F" w:rsidRPr="00476A2B">
        <w:rPr>
          <w:rFonts w:ascii="Times New Roman" w:hAnsi="Times New Roman"/>
          <w:sz w:val="18"/>
          <w:szCs w:val="18"/>
        </w:rPr>
        <w:t>h</w:t>
      </w:r>
      <w:r w:rsidRPr="00476A2B">
        <w:rPr>
          <w:rFonts w:ascii="Times New Roman" w:hAnsi="Times New Roman"/>
          <w:sz w:val="18"/>
          <w:szCs w:val="18"/>
        </w:rPr>
        <w:t xml:space="preserve">e Health and Food Collaboration </w:t>
      </w:r>
      <w:r w:rsidR="00D2675F" w:rsidRPr="00476A2B">
        <w:rPr>
          <w:rFonts w:ascii="Times New Roman" w:hAnsi="Times New Roman"/>
          <w:sz w:val="18"/>
          <w:szCs w:val="18"/>
        </w:rPr>
        <w:t xml:space="preserve">which </w:t>
      </w:r>
      <w:r w:rsidRPr="00476A2B">
        <w:rPr>
          <w:rFonts w:ascii="Times New Roman" w:hAnsi="Times New Roman"/>
          <w:sz w:val="18"/>
          <w:szCs w:val="18"/>
        </w:rPr>
        <w:t>was established to progress work on identifying opportunities for the food regulation system to support obesity prevention objectives. It was a collaboration</w:t>
      </w:r>
      <w:r w:rsidRPr="00C6201A">
        <w:rPr>
          <w:rFonts w:ascii="Times New Roman" w:hAnsi="Times New Roman"/>
          <w:sz w:val="18"/>
          <w:szCs w:val="18"/>
        </w:rPr>
        <w:t xml:space="preserve"> of Food Regulation Standing Committee (FRSC) and Australian Health Ministers’ Advisory Committee representatives; and has now been disbanded.</w:t>
      </w:r>
      <w:r w:rsidR="00D2675F">
        <w:rPr>
          <w:rFonts w:ascii="Times New Roman" w:hAnsi="Times New Roman"/>
          <w:sz w:val="18"/>
          <w:szCs w:val="18"/>
        </w:rPr>
        <w:t xml:space="preserve"> The review formed the basis of the 2018 consultation paper</w:t>
      </w:r>
      <w:r w:rsidR="00C47124">
        <w:rPr>
          <w:rFonts w:ascii="Times New Roman" w:hAnsi="Times New Roman"/>
          <w:sz w:val="18"/>
          <w:szCs w:val="18"/>
        </w:rPr>
        <w:t>.</w:t>
      </w:r>
    </w:p>
  </w:footnote>
  <w:footnote w:id="63">
    <w:p w14:paraId="2F4BF231" w14:textId="4475A4C2" w:rsidR="00762E8C" w:rsidRPr="00D869FC" w:rsidRDefault="00762E8C">
      <w:pPr>
        <w:pStyle w:val="FootnoteText"/>
      </w:pPr>
      <w:r w:rsidRPr="009A538E">
        <w:rPr>
          <w:rStyle w:val="FootnoteReference"/>
          <w:rFonts w:ascii="Times New Roman" w:hAnsi="Times New Roman"/>
          <w:sz w:val="18"/>
          <w:szCs w:val="18"/>
        </w:rPr>
        <w:footnoteRef/>
      </w:r>
      <w:r>
        <w:t xml:space="preserve"> </w:t>
      </w:r>
      <w:r w:rsidRPr="00C90328">
        <w:rPr>
          <w:rFonts w:ascii="Times New Roman" w:hAnsi="Times New Roman"/>
          <w:sz w:val="18"/>
          <w:szCs w:val="18"/>
        </w:rPr>
        <w:t xml:space="preserve">Food Regulation Standing Committee. 2018. </w:t>
      </w:r>
      <w:r w:rsidRPr="00C90328">
        <w:rPr>
          <w:rFonts w:ascii="Times New Roman" w:hAnsi="Times New Roman"/>
          <w:i/>
          <w:sz w:val="18"/>
          <w:szCs w:val="18"/>
        </w:rPr>
        <w:t>Consultation Summary Report: Review of fast food menu labelling schemes.</w:t>
      </w:r>
      <w:r w:rsidRPr="00C90328">
        <w:rPr>
          <w:rFonts w:ascii="Times New Roman" w:hAnsi="Times New Roman"/>
          <w:sz w:val="18"/>
          <w:szCs w:val="18"/>
        </w:rPr>
        <w:t xml:space="preserve"> Available at: </w:t>
      </w:r>
      <w:hyperlink r:id="rId35" w:history="1">
        <w:r w:rsidRPr="00D869FC">
          <w:rPr>
            <w:rFonts w:ascii="Times New Roman" w:eastAsia="Times New Roman" w:hAnsi="Times New Roman"/>
            <w:color w:val="0000FF"/>
            <w:sz w:val="18"/>
            <w:szCs w:val="18"/>
            <w:u w:val="single"/>
          </w:rPr>
          <w:t>https://foodregulation.gov.au/internet/fr/publishing.nsf/Content/review-fast-food-menu-labelling-schemes</w:t>
        </w:r>
      </w:hyperlink>
    </w:p>
  </w:footnote>
  <w:footnote w:id="64">
    <w:p w14:paraId="22C0361B" w14:textId="2F647CC0" w:rsidR="00762E8C" w:rsidRPr="001F6905" w:rsidRDefault="00762E8C">
      <w:pPr>
        <w:pStyle w:val="FootnoteText"/>
        <w:rPr>
          <w:rFonts w:ascii="Times New Roman" w:hAnsi="Times New Roman"/>
          <w:sz w:val="18"/>
          <w:szCs w:val="18"/>
        </w:rPr>
      </w:pPr>
      <w:r w:rsidRPr="00D869FC">
        <w:rPr>
          <w:rStyle w:val="FootnoteReference"/>
          <w:rFonts w:ascii="Times New Roman" w:hAnsi="Times New Roman"/>
          <w:sz w:val="18"/>
          <w:szCs w:val="18"/>
        </w:rPr>
        <w:footnoteRef/>
      </w:r>
      <w:r w:rsidRPr="00D869FC">
        <w:rPr>
          <w:rFonts w:ascii="Times New Roman" w:hAnsi="Times New Roman"/>
          <w:sz w:val="18"/>
          <w:szCs w:val="18"/>
        </w:rPr>
        <w:t xml:space="preserve"> Refer to section 6 and Appendix </w:t>
      </w:r>
      <w:r w:rsidR="00BC7CAB">
        <w:rPr>
          <w:rFonts w:ascii="Times New Roman" w:hAnsi="Times New Roman"/>
          <w:sz w:val="18"/>
          <w:szCs w:val="18"/>
        </w:rPr>
        <w:t>7</w:t>
      </w:r>
      <w:r>
        <w:rPr>
          <w:rFonts w:ascii="Times New Roman" w:hAnsi="Times New Roman"/>
          <w:sz w:val="18"/>
          <w:szCs w:val="18"/>
        </w:rPr>
        <w:t xml:space="preserve"> </w:t>
      </w:r>
      <w:r w:rsidRPr="00D869FC">
        <w:rPr>
          <w:rFonts w:ascii="Times New Roman" w:hAnsi="Times New Roman"/>
          <w:sz w:val="18"/>
          <w:szCs w:val="18"/>
        </w:rPr>
        <w:t>for further</w:t>
      </w:r>
      <w:r w:rsidRPr="00796C0D">
        <w:rPr>
          <w:rFonts w:ascii="Times New Roman" w:hAnsi="Times New Roman"/>
          <w:sz w:val="18"/>
          <w:szCs w:val="18"/>
        </w:rPr>
        <w:t xml:space="preserve"> details about the 2021 consultation process and outcomes.</w:t>
      </w:r>
    </w:p>
  </w:footnote>
  <w:footnote w:id="65">
    <w:p w14:paraId="7859524F" w14:textId="77777777" w:rsidR="00762E8C" w:rsidRPr="00D37110" w:rsidRDefault="00762E8C" w:rsidP="00C90328">
      <w:pPr>
        <w:pStyle w:val="FootnoteText"/>
        <w:rPr>
          <w:rFonts w:ascii="Times New Roman" w:hAnsi="Times New Roman"/>
          <w:sz w:val="18"/>
          <w:szCs w:val="18"/>
          <w:lang w:val="en-US"/>
        </w:rPr>
      </w:pPr>
      <w:r w:rsidRPr="00D37110">
        <w:rPr>
          <w:rStyle w:val="FootnoteReference"/>
          <w:rFonts w:ascii="Times New Roman" w:hAnsi="Times New Roman"/>
          <w:sz w:val="18"/>
          <w:szCs w:val="18"/>
        </w:rPr>
        <w:footnoteRef/>
      </w:r>
      <w:r w:rsidRPr="00D37110">
        <w:rPr>
          <w:rFonts w:ascii="Times New Roman" w:hAnsi="Times New Roman"/>
          <w:sz w:val="18"/>
          <w:szCs w:val="18"/>
        </w:rPr>
        <w:t xml:space="preserve"> Food Regulation Standing Committee. 2018. </w:t>
      </w:r>
      <w:r w:rsidRPr="00D37110">
        <w:rPr>
          <w:rFonts w:ascii="Times New Roman" w:hAnsi="Times New Roman"/>
          <w:i/>
          <w:sz w:val="18"/>
          <w:szCs w:val="18"/>
        </w:rPr>
        <w:t>Consultation Summary Report: Review of fast food menu labelling schemes.</w:t>
      </w:r>
      <w:r w:rsidRPr="00D37110">
        <w:rPr>
          <w:rFonts w:ascii="Times New Roman" w:hAnsi="Times New Roman"/>
          <w:sz w:val="18"/>
          <w:szCs w:val="18"/>
        </w:rPr>
        <w:t xml:space="preserve"> Available at: </w:t>
      </w:r>
      <w:hyperlink r:id="rId36" w:history="1">
        <w:r w:rsidRPr="00D37110">
          <w:rPr>
            <w:rFonts w:ascii="Times New Roman" w:eastAsia="Times New Roman" w:hAnsi="Times New Roman"/>
            <w:color w:val="0000FF"/>
            <w:sz w:val="18"/>
            <w:szCs w:val="18"/>
            <w:u w:val="single"/>
          </w:rPr>
          <w:t>https://foodregulation.gov.au/internet/fr/publishing.nsf/Content/review-fast-food-menu-labelling-schemes</w:t>
        </w:r>
      </w:hyperlink>
    </w:p>
  </w:footnote>
  <w:footnote w:id="66">
    <w:p w14:paraId="7AD2580B" w14:textId="77777777" w:rsidR="00762E8C" w:rsidRPr="003D3C4F" w:rsidRDefault="00762E8C" w:rsidP="00E76E78">
      <w:pPr>
        <w:pStyle w:val="Default"/>
        <w:rPr>
          <w:color w:val="auto"/>
          <w:sz w:val="18"/>
          <w:szCs w:val="18"/>
        </w:rPr>
      </w:pPr>
      <w:r w:rsidRPr="003D3C4F">
        <w:rPr>
          <w:rStyle w:val="FootnoteReference"/>
          <w:color w:val="auto"/>
          <w:sz w:val="18"/>
          <w:szCs w:val="18"/>
        </w:rPr>
        <w:footnoteRef/>
      </w:r>
      <w:r w:rsidRPr="003D3C4F">
        <w:rPr>
          <w:color w:val="auto"/>
          <w:sz w:val="18"/>
          <w:szCs w:val="18"/>
        </w:rPr>
        <w:t xml:space="preserve"> Australian Bureau of Statistics. 2018. </w:t>
      </w:r>
      <w:r w:rsidRPr="003D3C4F">
        <w:rPr>
          <w:i/>
          <w:color w:val="auto"/>
          <w:sz w:val="18"/>
          <w:szCs w:val="18"/>
        </w:rPr>
        <w:t xml:space="preserve">National Health Survey – First Results, Australia 2017-18. </w:t>
      </w:r>
      <w:hyperlink r:id="rId37" w:history="1">
        <w:r w:rsidRPr="003D3C4F">
          <w:rPr>
            <w:rStyle w:val="Hyperlink"/>
            <w:sz w:val="18"/>
            <w:szCs w:val="18"/>
          </w:rPr>
          <w:t>https://www.abs.gov.au/ausstats/abs@.nsf/PrimaryMainFeatures/4364.0.55.001?OpenDocument</w:t>
        </w:r>
      </w:hyperlink>
      <w:r>
        <w:rPr>
          <w:rStyle w:val="Hyperlink"/>
          <w:sz w:val="18"/>
          <w:szCs w:val="18"/>
        </w:rPr>
        <w:t xml:space="preserve"> </w:t>
      </w:r>
      <w:r>
        <w:rPr>
          <w:sz w:val="18"/>
          <w:szCs w:val="18"/>
        </w:rPr>
        <w:t>(accessed 17 September 2021)</w:t>
      </w:r>
    </w:p>
  </w:footnote>
  <w:footnote w:id="67">
    <w:p w14:paraId="728893A1" w14:textId="77777777" w:rsidR="00762E8C" w:rsidRPr="003D3C4F" w:rsidRDefault="00762E8C" w:rsidP="00E76E78">
      <w:pPr>
        <w:pStyle w:val="Default"/>
        <w:rPr>
          <w:rStyle w:val="Hyperlink"/>
          <w:sz w:val="18"/>
          <w:szCs w:val="18"/>
        </w:rPr>
      </w:pPr>
      <w:r w:rsidRPr="003D3C4F">
        <w:rPr>
          <w:rStyle w:val="FootnoteReference"/>
          <w:sz w:val="18"/>
          <w:szCs w:val="18"/>
        </w:rPr>
        <w:footnoteRef/>
      </w:r>
      <w:r w:rsidRPr="003D3C4F">
        <w:rPr>
          <w:rStyle w:val="FootnoteReference"/>
          <w:sz w:val="18"/>
          <w:szCs w:val="18"/>
        </w:rPr>
        <w:t xml:space="preserve"> </w:t>
      </w:r>
      <w:r w:rsidRPr="003D3C4F">
        <w:rPr>
          <w:sz w:val="18"/>
          <w:szCs w:val="18"/>
        </w:rPr>
        <w:t xml:space="preserve">Australian Bureau of Statistics. 2019. </w:t>
      </w:r>
      <w:r w:rsidRPr="00DB4340">
        <w:rPr>
          <w:i/>
          <w:sz w:val="18"/>
          <w:szCs w:val="18"/>
        </w:rPr>
        <w:t>National Aboriginal and Torres Strait Islander Health Survey, 2018-19.</w:t>
      </w:r>
      <w:r w:rsidRPr="003D3C4F">
        <w:rPr>
          <w:i/>
          <w:sz w:val="18"/>
          <w:szCs w:val="18"/>
        </w:rPr>
        <w:t xml:space="preserve"> </w:t>
      </w:r>
      <w:hyperlink r:id="rId38" w:history="1">
        <w:r w:rsidRPr="0096008C">
          <w:rPr>
            <w:rStyle w:val="Hyperlink"/>
            <w:sz w:val="18"/>
            <w:szCs w:val="18"/>
          </w:rPr>
          <w:t>https://www.abs.gov.au/AUSSTATS/abs@.nsf/Lookup/4715.0Main+Features12018-19?OpenDocument</w:t>
        </w:r>
      </w:hyperlink>
      <w:r>
        <w:rPr>
          <w:rStyle w:val="Hyperlink"/>
          <w:sz w:val="18"/>
          <w:szCs w:val="18"/>
        </w:rPr>
        <w:t xml:space="preserve"> </w:t>
      </w:r>
      <w:r>
        <w:rPr>
          <w:sz w:val="18"/>
          <w:szCs w:val="18"/>
        </w:rPr>
        <w:t>(accessed 17 September 2021)</w:t>
      </w:r>
    </w:p>
  </w:footnote>
  <w:footnote w:id="68">
    <w:p w14:paraId="7C948E95" w14:textId="77777777" w:rsidR="00762E8C" w:rsidRPr="003D3C4F" w:rsidRDefault="00762E8C" w:rsidP="00E76E78">
      <w:pPr>
        <w:pStyle w:val="FootnoteText"/>
        <w:tabs>
          <w:tab w:val="left" w:pos="142"/>
        </w:tabs>
        <w:rPr>
          <w:rFonts w:ascii="Times New Roman" w:hAnsi="Times New Roman"/>
          <w:sz w:val="18"/>
          <w:szCs w:val="18"/>
        </w:rPr>
      </w:pPr>
      <w:r w:rsidRPr="003D3C4F">
        <w:rPr>
          <w:rStyle w:val="FootnoteReference"/>
          <w:rFonts w:ascii="Times New Roman" w:hAnsi="Times New Roman"/>
          <w:sz w:val="18"/>
          <w:szCs w:val="18"/>
        </w:rPr>
        <w:footnoteRef/>
      </w:r>
      <w:r w:rsidRPr="003D3C4F">
        <w:rPr>
          <w:rStyle w:val="FootnoteReference"/>
          <w:rFonts w:ascii="Times New Roman" w:hAnsi="Times New Roman"/>
          <w:sz w:val="18"/>
          <w:szCs w:val="18"/>
        </w:rPr>
        <w:t xml:space="preserve"> </w:t>
      </w:r>
      <w:r w:rsidRPr="003D3C4F">
        <w:rPr>
          <w:rFonts w:ascii="Times New Roman" w:hAnsi="Times New Roman"/>
          <w:sz w:val="18"/>
          <w:szCs w:val="18"/>
        </w:rPr>
        <w:t>Ministry of Health. 20</w:t>
      </w:r>
      <w:r>
        <w:rPr>
          <w:rFonts w:ascii="Times New Roman" w:hAnsi="Times New Roman"/>
          <w:sz w:val="18"/>
          <w:szCs w:val="18"/>
        </w:rPr>
        <w:t>20</w:t>
      </w:r>
      <w:r w:rsidRPr="003D3C4F">
        <w:rPr>
          <w:rFonts w:ascii="Times New Roman" w:hAnsi="Times New Roman"/>
          <w:sz w:val="18"/>
          <w:szCs w:val="18"/>
        </w:rPr>
        <w:t xml:space="preserve">. </w:t>
      </w:r>
      <w:r w:rsidRPr="003D3C4F">
        <w:rPr>
          <w:rFonts w:ascii="Times New Roman" w:hAnsi="Times New Roman"/>
          <w:i/>
          <w:sz w:val="18"/>
          <w:szCs w:val="18"/>
        </w:rPr>
        <w:t>201</w:t>
      </w:r>
      <w:r>
        <w:rPr>
          <w:rFonts w:ascii="Times New Roman" w:hAnsi="Times New Roman"/>
          <w:i/>
          <w:sz w:val="18"/>
          <w:szCs w:val="18"/>
        </w:rPr>
        <w:t>9</w:t>
      </w:r>
      <w:r w:rsidRPr="003D3C4F">
        <w:rPr>
          <w:rFonts w:ascii="Times New Roman" w:hAnsi="Times New Roman"/>
          <w:i/>
          <w:sz w:val="18"/>
          <w:szCs w:val="18"/>
        </w:rPr>
        <w:t>/</w:t>
      </w:r>
      <w:r>
        <w:rPr>
          <w:rFonts w:ascii="Times New Roman" w:hAnsi="Times New Roman"/>
          <w:i/>
          <w:sz w:val="18"/>
          <w:szCs w:val="18"/>
        </w:rPr>
        <w:t>20</w:t>
      </w:r>
      <w:r w:rsidRPr="003D3C4F">
        <w:rPr>
          <w:rFonts w:ascii="Times New Roman" w:hAnsi="Times New Roman"/>
          <w:i/>
          <w:sz w:val="18"/>
          <w:szCs w:val="18"/>
        </w:rPr>
        <w:t>: New Zealand Health Survey</w:t>
      </w:r>
      <w:r w:rsidRPr="003D3C4F">
        <w:rPr>
          <w:rFonts w:ascii="Times New Roman" w:hAnsi="Times New Roman"/>
          <w:sz w:val="18"/>
          <w:szCs w:val="18"/>
        </w:rPr>
        <w:t xml:space="preserve">. </w:t>
      </w:r>
      <w:hyperlink r:id="rId39" w:anchor="!/home" w:history="1">
        <w:r w:rsidRPr="0096008C">
          <w:rPr>
            <w:rStyle w:val="Hyperlink"/>
            <w:rFonts w:ascii="Times New Roman" w:hAnsi="Times New Roman"/>
            <w:sz w:val="18"/>
            <w:szCs w:val="18"/>
          </w:rPr>
          <w:t>https://minhealthnz.shinyapps.io/nz-health-survey-2019-20-annual-data-explorer/_w_6fcb44c5/#!/home</w:t>
        </w:r>
      </w:hyperlink>
      <w:r>
        <w:rPr>
          <w:rFonts w:ascii="Times New Roman" w:hAnsi="Times New Roman"/>
          <w:sz w:val="18"/>
          <w:szCs w:val="18"/>
        </w:rPr>
        <w:t xml:space="preserve"> (accessed 17 September 2021)</w:t>
      </w:r>
    </w:p>
  </w:footnote>
  <w:footnote w:id="69">
    <w:p w14:paraId="6A2ED726" w14:textId="77777777" w:rsidR="00762E8C" w:rsidRPr="003D3C4F" w:rsidRDefault="00762E8C" w:rsidP="00E76E78">
      <w:pPr>
        <w:pStyle w:val="FootnoteText"/>
        <w:tabs>
          <w:tab w:val="left" w:pos="142"/>
        </w:tabs>
        <w:rPr>
          <w:rFonts w:ascii="Times New Roman" w:hAnsi="Times New Roman"/>
          <w:sz w:val="18"/>
          <w:szCs w:val="18"/>
        </w:rPr>
      </w:pPr>
      <w:r w:rsidRPr="003D3C4F">
        <w:rPr>
          <w:rStyle w:val="FootnoteReference"/>
          <w:rFonts w:ascii="Times New Roman" w:hAnsi="Times New Roman"/>
          <w:sz w:val="18"/>
          <w:szCs w:val="18"/>
        </w:rPr>
        <w:footnoteRef/>
      </w:r>
      <w:r w:rsidRPr="003D3C4F">
        <w:rPr>
          <w:rFonts w:ascii="Times New Roman" w:hAnsi="Times New Roman"/>
          <w:sz w:val="18"/>
          <w:szCs w:val="18"/>
        </w:rPr>
        <w:t xml:space="preserve"> Ibid. </w:t>
      </w:r>
    </w:p>
  </w:footnote>
  <w:footnote w:id="70">
    <w:p w14:paraId="554606BB" w14:textId="77777777" w:rsidR="00762E8C" w:rsidRPr="003D3C4F" w:rsidRDefault="00762E8C" w:rsidP="00834803">
      <w:pPr>
        <w:rPr>
          <w:sz w:val="18"/>
          <w:szCs w:val="18"/>
          <w:lang w:val="en-US"/>
        </w:rPr>
      </w:pPr>
      <w:r w:rsidRPr="003D3C4F">
        <w:rPr>
          <w:rStyle w:val="FootnoteReference"/>
          <w:sz w:val="18"/>
          <w:szCs w:val="18"/>
        </w:rPr>
        <w:footnoteRef/>
      </w:r>
      <w:r w:rsidRPr="003D3C4F">
        <w:rPr>
          <w:sz w:val="18"/>
          <w:szCs w:val="18"/>
        </w:rPr>
        <w:t xml:space="preserve"> Institute for Health Metrics and Evaluation. 2020. </w:t>
      </w:r>
      <w:r w:rsidRPr="003D3C4F">
        <w:rPr>
          <w:i/>
          <w:iCs/>
          <w:sz w:val="18"/>
          <w:szCs w:val="18"/>
        </w:rPr>
        <w:t>GBD 201</w:t>
      </w:r>
      <w:r>
        <w:rPr>
          <w:i/>
          <w:iCs/>
          <w:sz w:val="18"/>
          <w:szCs w:val="18"/>
        </w:rPr>
        <w:t>9</w:t>
      </w:r>
      <w:r w:rsidRPr="003D3C4F">
        <w:rPr>
          <w:i/>
          <w:iCs/>
          <w:sz w:val="18"/>
          <w:szCs w:val="18"/>
        </w:rPr>
        <w:t xml:space="preserve">. </w:t>
      </w:r>
      <w:r w:rsidRPr="003D3C4F">
        <w:rPr>
          <w:sz w:val="18"/>
          <w:szCs w:val="18"/>
        </w:rPr>
        <w:t xml:space="preserve">Available from </w:t>
      </w:r>
      <w:hyperlink r:id="rId40" w:history="1">
        <w:r w:rsidRPr="003D3C4F">
          <w:rPr>
            <w:rStyle w:val="Hyperlink"/>
            <w:sz w:val="18"/>
            <w:szCs w:val="18"/>
          </w:rPr>
          <w:t>https://vizhub.healthdata.org/gbd-compare/</w:t>
        </w:r>
      </w:hyperlink>
      <w:r w:rsidRPr="003D3C4F">
        <w:rPr>
          <w:sz w:val="18"/>
          <w:szCs w:val="18"/>
        </w:rPr>
        <w:t>.</w:t>
      </w:r>
    </w:p>
  </w:footnote>
  <w:footnote w:id="71">
    <w:p w14:paraId="2CD55B93" w14:textId="77777777" w:rsidR="00762E8C" w:rsidRPr="003D3C4F" w:rsidRDefault="00762E8C" w:rsidP="00E76E78">
      <w:pPr>
        <w:pStyle w:val="FootnoteText"/>
        <w:rPr>
          <w:rFonts w:ascii="Times New Roman" w:hAnsi="Times New Roman"/>
          <w:sz w:val="18"/>
          <w:szCs w:val="18"/>
        </w:rPr>
      </w:pPr>
      <w:r w:rsidRPr="003D3C4F">
        <w:rPr>
          <w:rStyle w:val="FootnoteReference"/>
          <w:rFonts w:ascii="Times New Roman" w:hAnsi="Times New Roman"/>
          <w:sz w:val="18"/>
          <w:szCs w:val="18"/>
        </w:rPr>
        <w:footnoteRef/>
      </w:r>
      <w:r w:rsidRPr="003D3C4F">
        <w:rPr>
          <w:rFonts w:ascii="Times New Roman" w:hAnsi="Times New Roman"/>
          <w:sz w:val="18"/>
          <w:szCs w:val="18"/>
        </w:rPr>
        <w:t xml:space="preserve"> PricewaterhouseCoopers and Obesity Australia. 2015. </w:t>
      </w:r>
      <w:r w:rsidRPr="003D3C4F">
        <w:rPr>
          <w:rFonts w:ascii="Times New Roman" w:hAnsi="Times New Roman"/>
          <w:i/>
          <w:sz w:val="18"/>
          <w:szCs w:val="18"/>
        </w:rPr>
        <w:t xml:space="preserve">Weighing the cost of obesity: A case for action. </w:t>
      </w:r>
      <w:hyperlink r:id="rId41" w:history="1">
        <w:r w:rsidRPr="003D3C4F">
          <w:rPr>
            <w:rStyle w:val="Hyperlink"/>
            <w:rFonts w:ascii="Times New Roman" w:hAnsi="Times New Roman"/>
            <w:sz w:val="18"/>
            <w:szCs w:val="18"/>
          </w:rPr>
          <w:t>https://www.pwc.com.au/pdf/weighing-the-cost-of-obesity-final.pdf</w:t>
        </w:r>
      </w:hyperlink>
    </w:p>
  </w:footnote>
  <w:footnote w:id="72">
    <w:p w14:paraId="1026D096" w14:textId="77777777" w:rsidR="00762E8C" w:rsidRPr="003D3C4F" w:rsidRDefault="00762E8C" w:rsidP="00E76E78">
      <w:pPr>
        <w:pStyle w:val="FootnoteText"/>
        <w:rPr>
          <w:rFonts w:ascii="Times New Roman" w:hAnsi="Times New Roman"/>
          <w:sz w:val="18"/>
          <w:szCs w:val="18"/>
        </w:rPr>
      </w:pPr>
      <w:r w:rsidRPr="003D3C4F">
        <w:rPr>
          <w:rStyle w:val="FootnoteReference"/>
          <w:rFonts w:ascii="Times New Roman" w:hAnsi="Times New Roman"/>
          <w:sz w:val="18"/>
          <w:szCs w:val="18"/>
        </w:rPr>
        <w:footnoteRef/>
      </w:r>
      <w:r w:rsidRPr="003D3C4F">
        <w:rPr>
          <w:rFonts w:ascii="Times New Roman" w:hAnsi="Times New Roman"/>
          <w:sz w:val="18"/>
          <w:szCs w:val="18"/>
        </w:rPr>
        <w:t xml:space="preserve"> The Collective for Action on Obesity. </w:t>
      </w:r>
      <w:r w:rsidRPr="003D3C4F">
        <w:rPr>
          <w:rFonts w:ascii="Times New Roman" w:hAnsi="Times New Roman"/>
          <w:i/>
          <w:sz w:val="18"/>
          <w:szCs w:val="18"/>
        </w:rPr>
        <w:t>Weighing In: Australia’s growing obesity epidemic.</w:t>
      </w:r>
      <w:r w:rsidRPr="003D3C4F">
        <w:rPr>
          <w:rFonts w:ascii="Times New Roman" w:hAnsi="Times New Roman"/>
          <w:sz w:val="18"/>
          <w:szCs w:val="18"/>
        </w:rPr>
        <w:t xml:space="preserve"> </w:t>
      </w:r>
      <w:hyperlink r:id="rId42" w:history="1">
        <w:r w:rsidRPr="003D3C4F">
          <w:rPr>
            <w:rStyle w:val="Hyperlink"/>
            <w:rFonts w:ascii="Times New Roman" w:hAnsi="Times New Roman"/>
            <w:sz w:val="18"/>
            <w:szCs w:val="18"/>
          </w:rPr>
          <w:t>http://www.obesityaustralia.org/points-of-view</w:t>
        </w:r>
      </w:hyperlink>
      <w:r w:rsidRPr="003D3C4F">
        <w:rPr>
          <w:rFonts w:ascii="Times New Roman" w:hAnsi="Times New Roman"/>
          <w:sz w:val="18"/>
          <w:szCs w:val="18"/>
        </w:rPr>
        <w:t xml:space="preserve"> </w:t>
      </w:r>
    </w:p>
  </w:footnote>
  <w:footnote w:id="73">
    <w:p w14:paraId="3C1CD2D6" w14:textId="77777777" w:rsidR="00762E8C" w:rsidRPr="003D3C4F" w:rsidRDefault="00762E8C" w:rsidP="00E76E78">
      <w:pPr>
        <w:pStyle w:val="FootnoteText"/>
        <w:rPr>
          <w:rFonts w:ascii="Times New Roman" w:hAnsi="Times New Roman"/>
          <w:sz w:val="18"/>
          <w:szCs w:val="18"/>
        </w:rPr>
      </w:pPr>
      <w:r w:rsidRPr="003D3C4F">
        <w:rPr>
          <w:rStyle w:val="FootnoteReference"/>
          <w:rFonts w:ascii="Times New Roman" w:hAnsi="Times New Roman"/>
          <w:sz w:val="18"/>
          <w:szCs w:val="18"/>
        </w:rPr>
        <w:footnoteRef/>
      </w:r>
      <w:r w:rsidRPr="003D3C4F">
        <w:rPr>
          <w:rFonts w:ascii="Times New Roman" w:hAnsi="Times New Roman"/>
          <w:sz w:val="18"/>
          <w:szCs w:val="18"/>
        </w:rPr>
        <w:t xml:space="preserve"> PricewaterhouseCoopers and Obesity Australia. 2015. </w:t>
      </w:r>
      <w:r w:rsidRPr="003D3C4F">
        <w:rPr>
          <w:rFonts w:ascii="Times New Roman" w:hAnsi="Times New Roman"/>
          <w:i/>
          <w:sz w:val="18"/>
          <w:szCs w:val="18"/>
        </w:rPr>
        <w:t xml:space="preserve">Weighing the cost of obesity: A case for action. </w:t>
      </w:r>
      <w:hyperlink r:id="rId43" w:history="1">
        <w:r w:rsidRPr="003D3C4F">
          <w:rPr>
            <w:rStyle w:val="Hyperlink"/>
            <w:rFonts w:ascii="Times New Roman" w:hAnsi="Times New Roman"/>
            <w:sz w:val="18"/>
            <w:szCs w:val="18"/>
          </w:rPr>
          <w:t>https://www.pwc.com.au/pdf/weighing-the-cost-of-obesity-final.pdf</w:t>
        </w:r>
      </w:hyperlink>
      <w:r w:rsidRPr="003D3C4F">
        <w:rPr>
          <w:rFonts w:ascii="Times New Roman" w:hAnsi="Times New Roman"/>
          <w:sz w:val="18"/>
          <w:szCs w:val="18"/>
        </w:rPr>
        <w:t xml:space="preserve"> </w:t>
      </w:r>
    </w:p>
  </w:footnote>
  <w:footnote w:id="74">
    <w:p w14:paraId="38D130C0" w14:textId="77777777" w:rsidR="00762E8C" w:rsidRPr="001F4027" w:rsidRDefault="00762E8C" w:rsidP="00E76E78">
      <w:pPr>
        <w:pStyle w:val="FootnoteText"/>
        <w:rPr>
          <w:rFonts w:ascii="Times New Roman" w:hAnsi="Times New Roman"/>
          <w:sz w:val="18"/>
          <w:szCs w:val="18"/>
          <w:lang w:val="en-US"/>
        </w:rPr>
      </w:pPr>
      <w:r w:rsidRPr="003D3C4F">
        <w:rPr>
          <w:rStyle w:val="FootnoteReference"/>
          <w:rFonts w:ascii="Times New Roman" w:hAnsi="Times New Roman"/>
          <w:sz w:val="18"/>
          <w:szCs w:val="18"/>
        </w:rPr>
        <w:footnoteRef/>
      </w:r>
      <w:r w:rsidRPr="003D3C4F">
        <w:rPr>
          <w:rFonts w:ascii="Times New Roman" w:hAnsi="Times New Roman"/>
          <w:sz w:val="18"/>
          <w:szCs w:val="18"/>
        </w:rPr>
        <w:t xml:space="preserve"> </w:t>
      </w:r>
      <w:r w:rsidRPr="003D3C4F">
        <w:rPr>
          <w:rFonts w:ascii="Times New Roman" w:hAnsi="Times New Roman"/>
          <w:sz w:val="18"/>
          <w:szCs w:val="18"/>
          <w:lang w:val="en-NZ"/>
        </w:rPr>
        <w:t xml:space="preserve">Ministry of Health. 2013.  </w:t>
      </w:r>
      <w:r w:rsidRPr="003D3C4F">
        <w:rPr>
          <w:rFonts w:ascii="Times New Roman" w:hAnsi="Times New Roman"/>
          <w:i/>
          <w:sz w:val="18"/>
          <w:szCs w:val="18"/>
          <w:lang w:val="en-NZ"/>
        </w:rPr>
        <w:t>Health Loss in New Zealand: A report from the New Zealand Burden of Diseases, Injuries and Risk Factors Study, 2006-2016</w:t>
      </w:r>
      <w:r w:rsidRPr="003D3C4F">
        <w:rPr>
          <w:rFonts w:ascii="Times New Roman" w:hAnsi="Times New Roman"/>
          <w:sz w:val="18"/>
          <w:szCs w:val="18"/>
          <w:lang w:val="en-NZ"/>
        </w:rPr>
        <w:t>.</w:t>
      </w:r>
      <w:r w:rsidRPr="003D3C4F">
        <w:rPr>
          <w:rFonts w:ascii="Times New Roman" w:hAnsi="Times New Roman"/>
          <w:sz w:val="18"/>
          <w:szCs w:val="18"/>
        </w:rPr>
        <w:t xml:space="preserve"> </w:t>
      </w:r>
      <w:hyperlink r:id="rId44" w:history="1">
        <w:r w:rsidRPr="003D3C4F">
          <w:rPr>
            <w:rStyle w:val="Hyperlink"/>
            <w:rFonts w:ascii="Times New Roman" w:hAnsi="Times New Roman"/>
            <w:sz w:val="18"/>
            <w:szCs w:val="18"/>
            <w:lang w:val="en-NZ"/>
          </w:rPr>
          <w:t>http://www.moh.govt.nz/notebook/nbbooks.nsf/0/F85C39E4495B9684CC257BD3006F6299/$file/health-loss-in-new-zealand-final.pdf</w:t>
        </w:r>
      </w:hyperlink>
      <w:r w:rsidRPr="001F4027">
        <w:rPr>
          <w:rFonts w:ascii="Times New Roman" w:hAnsi="Times New Roman"/>
          <w:sz w:val="18"/>
          <w:szCs w:val="18"/>
          <w:lang w:val="en-NZ"/>
        </w:rPr>
        <w:t xml:space="preserve">    </w:t>
      </w:r>
    </w:p>
  </w:footnote>
  <w:footnote w:id="75">
    <w:p w14:paraId="65425CED" w14:textId="15B5C718" w:rsidR="00762E8C" w:rsidRPr="00882E5C" w:rsidRDefault="00762E8C">
      <w:pPr>
        <w:pStyle w:val="FootnoteText"/>
        <w:rPr>
          <w:rFonts w:ascii="Times New Roman" w:hAnsi="Times New Roman"/>
          <w:sz w:val="18"/>
          <w:szCs w:val="18"/>
          <w:lang w:val="en-US"/>
        </w:rPr>
      </w:pPr>
      <w:r w:rsidRPr="00882E5C">
        <w:rPr>
          <w:rStyle w:val="FootnoteReference"/>
          <w:rFonts w:ascii="Times New Roman" w:eastAsia="Times New Roman" w:hAnsi="Times New Roman"/>
          <w:sz w:val="18"/>
          <w:szCs w:val="18"/>
        </w:rPr>
        <w:footnoteRef/>
      </w:r>
      <w:r w:rsidRPr="00882E5C">
        <w:rPr>
          <w:rStyle w:val="FootnoteReference"/>
          <w:rFonts w:ascii="Times New Roman" w:eastAsia="Times New Roman" w:hAnsi="Times New Roman"/>
          <w:sz w:val="18"/>
          <w:szCs w:val="18"/>
        </w:rPr>
        <w:t xml:space="preserve"> </w:t>
      </w:r>
      <w:r w:rsidRPr="008E5669">
        <w:rPr>
          <w:rFonts w:ascii="Times New Roman" w:hAnsi="Times New Roman"/>
          <w:sz w:val="18"/>
          <w:szCs w:val="18"/>
          <w:lang w:val="en-US"/>
        </w:rPr>
        <w:t xml:space="preserve">OECD. 2019. </w:t>
      </w:r>
      <w:r w:rsidRPr="007374BF">
        <w:rPr>
          <w:rFonts w:ascii="Times New Roman" w:hAnsi="Times New Roman"/>
          <w:i/>
          <w:iCs/>
          <w:sz w:val="18"/>
          <w:szCs w:val="18"/>
          <w:lang w:val="en-US"/>
        </w:rPr>
        <w:t>The Heavy Burden of Obesity: The Economics of Prevention</w:t>
      </w:r>
      <w:r w:rsidRPr="008E5669">
        <w:rPr>
          <w:rFonts w:ascii="Times New Roman" w:hAnsi="Times New Roman"/>
          <w:sz w:val="18"/>
          <w:szCs w:val="18"/>
          <w:lang w:val="en-US"/>
        </w:rPr>
        <w:t xml:space="preserve">. </w:t>
      </w:r>
      <w:hyperlink r:id="rId45" w:history="1">
        <w:r w:rsidRPr="003718EB">
          <w:rPr>
            <w:rStyle w:val="Hyperlink"/>
            <w:rFonts w:ascii="Times New Roman" w:hAnsi="Times New Roman"/>
            <w:sz w:val="18"/>
            <w:szCs w:val="18"/>
            <w:lang w:val="en-US"/>
          </w:rPr>
          <w:t>https://www.oecd.org/health/the-heavy-burden-of-obesity-67450d67-en.htm</w:t>
        </w:r>
      </w:hyperlink>
      <w:r>
        <w:rPr>
          <w:rFonts w:ascii="Times New Roman" w:hAnsi="Times New Roman"/>
          <w:sz w:val="18"/>
          <w:szCs w:val="18"/>
          <w:lang w:val="en-US"/>
        </w:rPr>
        <w:t xml:space="preserve"> (accessed 23 September 2021)</w:t>
      </w:r>
    </w:p>
  </w:footnote>
  <w:footnote w:id="76">
    <w:p w14:paraId="51F09C5D" w14:textId="77777777" w:rsidR="00762E8C" w:rsidRPr="003D3C4F" w:rsidRDefault="00762E8C" w:rsidP="00A87A29">
      <w:pPr>
        <w:tabs>
          <w:tab w:val="left" w:pos="567"/>
        </w:tabs>
        <w:rPr>
          <w:sz w:val="18"/>
          <w:szCs w:val="18"/>
        </w:rPr>
      </w:pPr>
      <w:r w:rsidRPr="003D3C4F">
        <w:rPr>
          <w:rStyle w:val="FootnoteReference"/>
          <w:sz w:val="18"/>
          <w:szCs w:val="18"/>
        </w:rPr>
        <w:footnoteRef/>
      </w:r>
      <w:r w:rsidRPr="003D3C4F">
        <w:rPr>
          <w:sz w:val="18"/>
          <w:szCs w:val="18"/>
        </w:rPr>
        <w:t xml:space="preserve"> Swinburn et al. 2011. The global obesity pandemic: shaped by global drivers and local environments. </w:t>
      </w:r>
      <w:r w:rsidRPr="003D3C4F">
        <w:rPr>
          <w:i/>
          <w:sz w:val="18"/>
          <w:szCs w:val="18"/>
        </w:rPr>
        <w:t>The Lancet</w:t>
      </w:r>
      <w:r w:rsidRPr="003D3C4F">
        <w:rPr>
          <w:sz w:val="18"/>
          <w:szCs w:val="18"/>
        </w:rPr>
        <w:t>, 378(9793): 804-14.</w:t>
      </w:r>
    </w:p>
  </w:footnote>
  <w:footnote w:id="77">
    <w:p w14:paraId="22FE8BF4" w14:textId="2A30E79C" w:rsidR="00762E8C" w:rsidRPr="00C63C9D" w:rsidRDefault="00762E8C">
      <w:pPr>
        <w:pStyle w:val="FootnoteText"/>
        <w:rPr>
          <w:rFonts w:ascii="Times New Roman" w:hAnsi="Times New Roman"/>
          <w:sz w:val="18"/>
          <w:szCs w:val="18"/>
        </w:rPr>
      </w:pPr>
      <w:r w:rsidRPr="00C63C9D">
        <w:rPr>
          <w:rStyle w:val="FootnoteReference"/>
          <w:rFonts w:ascii="Times New Roman" w:hAnsi="Times New Roman"/>
          <w:sz w:val="18"/>
          <w:szCs w:val="18"/>
        </w:rPr>
        <w:footnoteRef/>
      </w:r>
      <w:r w:rsidRPr="00C63C9D">
        <w:rPr>
          <w:rFonts w:ascii="Times New Roman" w:hAnsi="Times New Roman"/>
          <w:sz w:val="18"/>
          <w:szCs w:val="18"/>
        </w:rPr>
        <w:t xml:space="preserve"> </w:t>
      </w:r>
      <w:r w:rsidRPr="00C63C9D">
        <w:rPr>
          <w:rFonts w:ascii="Times New Roman" w:eastAsia="Arial" w:hAnsi="Times New Roman"/>
          <w:spacing w:val="-1"/>
          <w:sz w:val="18"/>
          <w:szCs w:val="18"/>
        </w:rPr>
        <w:t>L</w:t>
      </w:r>
      <w:r w:rsidRPr="00C63C9D">
        <w:rPr>
          <w:rFonts w:ascii="Times New Roman" w:eastAsia="Arial" w:hAnsi="Times New Roman"/>
          <w:spacing w:val="-2"/>
          <w:sz w:val="18"/>
          <w:szCs w:val="18"/>
        </w:rPr>
        <w:t>i</w:t>
      </w:r>
      <w:r w:rsidRPr="00C63C9D">
        <w:rPr>
          <w:rFonts w:ascii="Times New Roman" w:eastAsia="Arial" w:hAnsi="Times New Roman"/>
          <w:spacing w:val="1"/>
          <w:sz w:val="18"/>
          <w:szCs w:val="18"/>
        </w:rPr>
        <w:t>t</w:t>
      </w:r>
      <w:r w:rsidRPr="00C63C9D">
        <w:rPr>
          <w:rFonts w:ascii="Times New Roman" w:eastAsia="Arial" w:hAnsi="Times New Roman"/>
          <w:spacing w:val="-1"/>
          <w:sz w:val="18"/>
          <w:szCs w:val="18"/>
        </w:rPr>
        <w:t>t</w:t>
      </w:r>
      <w:r w:rsidRPr="00C63C9D">
        <w:rPr>
          <w:rFonts w:ascii="Times New Roman" w:eastAsia="Arial" w:hAnsi="Times New Roman"/>
          <w:sz w:val="18"/>
          <w:szCs w:val="18"/>
        </w:rPr>
        <w:t>l</w:t>
      </w:r>
      <w:r w:rsidRPr="00C63C9D">
        <w:rPr>
          <w:rFonts w:ascii="Times New Roman" w:eastAsia="Arial" w:hAnsi="Times New Roman"/>
          <w:spacing w:val="-1"/>
          <w:sz w:val="18"/>
          <w:szCs w:val="18"/>
        </w:rPr>
        <w:t>e</w:t>
      </w:r>
      <w:r w:rsidRPr="00C63C9D">
        <w:rPr>
          <w:rFonts w:ascii="Times New Roman" w:eastAsia="Arial" w:hAnsi="Times New Roman"/>
          <w:spacing w:val="-3"/>
          <w:sz w:val="18"/>
          <w:szCs w:val="18"/>
        </w:rPr>
        <w:t>w</w:t>
      </w:r>
      <w:r w:rsidRPr="00C63C9D">
        <w:rPr>
          <w:rFonts w:ascii="Times New Roman" w:eastAsia="Arial" w:hAnsi="Times New Roman"/>
          <w:spacing w:val="-1"/>
          <w:sz w:val="18"/>
          <w:szCs w:val="18"/>
        </w:rPr>
        <w:t>ood et al. 2015</w:t>
      </w:r>
      <w:r w:rsidRPr="00C63C9D">
        <w:rPr>
          <w:rFonts w:ascii="Times New Roman" w:eastAsia="Arial" w:hAnsi="Times New Roman"/>
          <w:sz w:val="18"/>
          <w:szCs w:val="18"/>
        </w:rPr>
        <w:t>.</w:t>
      </w:r>
      <w:r w:rsidRPr="00C63C9D">
        <w:rPr>
          <w:rFonts w:ascii="Times New Roman" w:eastAsia="Arial" w:hAnsi="Times New Roman"/>
          <w:spacing w:val="2"/>
          <w:sz w:val="18"/>
          <w:szCs w:val="18"/>
        </w:rPr>
        <w:t xml:space="preserve"> </w:t>
      </w:r>
      <w:r w:rsidRPr="00C63C9D">
        <w:rPr>
          <w:rFonts w:ascii="Times New Roman" w:eastAsia="Arial" w:hAnsi="Times New Roman"/>
          <w:spacing w:val="-2"/>
          <w:sz w:val="18"/>
          <w:szCs w:val="18"/>
        </w:rPr>
        <w:t>M</w:t>
      </w:r>
      <w:r w:rsidRPr="00C63C9D">
        <w:rPr>
          <w:rFonts w:ascii="Times New Roman" w:eastAsia="Arial" w:hAnsi="Times New Roman"/>
          <w:spacing w:val="-1"/>
          <w:sz w:val="18"/>
          <w:szCs w:val="18"/>
        </w:rPr>
        <w:t>en</w:t>
      </w:r>
      <w:r w:rsidRPr="00C63C9D">
        <w:rPr>
          <w:rFonts w:ascii="Times New Roman" w:eastAsia="Arial" w:hAnsi="Times New Roman"/>
          <w:sz w:val="18"/>
          <w:szCs w:val="18"/>
        </w:rPr>
        <w:t>u</w:t>
      </w:r>
      <w:r w:rsidRPr="00C63C9D">
        <w:rPr>
          <w:rFonts w:ascii="Times New Roman" w:eastAsia="Arial" w:hAnsi="Times New Roman"/>
          <w:spacing w:val="1"/>
          <w:sz w:val="18"/>
          <w:szCs w:val="18"/>
        </w:rPr>
        <w:t xml:space="preserve"> </w:t>
      </w:r>
      <w:r w:rsidRPr="00C63C9D">
        <w:rPr>
          <w:rFonts w:ascii="Times New Roman" w:eastAsia="Arial" w:hAnsi="Times New Roman"/>
          <w:spacing w:val="-2"/>
          <w:sz w:val="18"/>
          <w:szCs w:val="18"/>
        </w:rPr>
        <w:t>l</w:t>
      </w:r>
      <w:r w:rsidRPr="00C63C9D">
        <w:rPr>
          <w:rFonts w:ascii="Times New Roman" w:eastAsia="Arial" w:hAnsi="Times New Roman"/>
          <w:spacing w:val="-1"/>
          <w:sz w:val="18"/>
          <w:szCs w:val="18"/>
        </w:rPr>
        <w:t>abe</w:t>
      </w:r>
      <w:r w:rsidRPr="00C63C9D">
        <w:rPr>
          <w:rFonts w:ascii="Times New Roman" w:eastAsia="Arial" w:hAnsi="Times New Roman"/>
          <w:sz w:val="18"/>
          <w:szCs w:val="18"/>
        </w:rPr>
        <w:t>lli</w:t>
      </w:r>
      <w:r w:rsidRPr="00C63C9D">
        <w:rPr>
          <w:rFonts w:ascii="Times New Roman" w:eastAsia="Arial" w:hAnsi="Times New Roman"/>
          <w:spacing w:val="-1"/>
          <w:sz w:val="18"/>
          <w:szCs w:val="18"/>
        </w:rPr>
        <w:t>n</w:t>
      </w:r>
      <w:r w:rsidRPr="00C63C9D">
        <w:rPr>
          <w:rFonts w:ascii="Times New Roman" w:eastAsia="Arial" w:hAnsi="Times New Roman"/>
          <w:sz w:val="18"/>
          <w:szCs w:val="18"/>
        </w:rPr>
        <w:t>g</w:t>
      </w:r>
      <w:r w:rsidRPr="00C63C9D">
        <w:rPr>
          <w:rFonts w:ascii="Times New Roman" w:eastAsia="Arial" w:hAnsi="Times New Roman"/>
          <w:spacing w:val="1"/>
          <w:sz w:val="18"/>
          <w:szCs w:val="18"/>
        </w:rPr>
        <w:t xml:space="preserve"> </w:t>
      </w:r>
      <w:r w:rsidRPr="00C63C9D">
        <w:rPr>
          <w:rFonts w:ascii="Times New Roman" w:eastAsia="Arial" w:hAnsi="Times New Roman"/>
          <w:sz w:val="18"/>
          <w:szCs w:val="18"/>
        </w:rPr>
        <w:t xml:space="preserve">is </w:t>
      </w:r>
      <w:r w:rsidRPr="00C63C9D">
        <w:rPr>
          <w:rFonts w:ascii="Times New Roman" w:eastAsia="Arial" w:hAnsi="Times New Roman"/>
          <w:spacing w:val="-1"/>
          <w:sz w:val="18"/>
          <w:szCs w:val="18"/>
        </w:rPr>
        <w:t>e</w:t>
      </w:r>
      <w:r w:rsidRPr="00C63C9D">
        <w:rPr>
          <w:rFonts w:ascii="Times New Roman" w:eastAsia="Arial" w:hAnsi="Times New Roman"/>
          <w:spacing w:val="-2"/>
          <w:sz w:val="18"/>
          <w:szCs w:val="18"/>
        </w:rPr>
        <w:t>f</w:t>
      </w:r>
      <w:r w:rsidRPr="00C63C9D">
        <w:rPr>
          <w:rFonts w:ascii="Times New Roman" w:eastAsia="Arial" w:hAnsi="Times New Roman"/>
          <w:spacing w:val="1"/>
          <w:sz w:val="18"/>
          <w:szCs w:val="18"/>
        </w:rPr>
        <w:t>f</w:t>
      </w:r>
      <w:r w:rsidRPr="00C63C9D">
        <w:rPr>
          <w:rFonts w:ascii="Times New Roman" w:eastAsia="Arial" w:hAnsi="Times New Roman"/>
          <w:spacing w:val="-1"/>
          <w:sz w:val="18"/>
          <w:szCs w:val="18"/>
        </w:rPr>
        <w:t>ec</w:t>
      </w:r>
      <w:r w:rsidRPr="00C63C9D">
        <w:rPr>
          <w:rFonts w:ascii="Times New Roman" w:eastAsia="Arial" w:hAnsi="Times New Roman"/>
          <w:spacing w:val="1"/>
          <w:sz w:val="18"/>
          <w:szCs w:val="18"/>
        </w:rPr>
        <w:t>t</w:t>
      </w:r>
      <w:r w:rsidRPr="00C63C9D">
        <w:rPr>
          <w:rFonts w:ascii="Times New Roman" w:eastAsia="Arial" w:hAnsi="Times New Roman"/>
          <w:sz w:val="18"/>
          <w:szCs w:val="18"/>
        </w:rPr>
        <w:t>i</w:t>
      </w:r>
      <w:r w:rsidRPr="00C63C9D">
        <w:rPr>
          <w:rFonts w:ascii="Times New Roman" w:eastAsia="Arial" w:hAnsi="Times New Roman"/>
          <w:spacing w:val="-1"/>
          <w:sz w:val="18"/>
          <w:szCs w:val="18"/>
        </w:rPr>
        <w:t>v</w:t>
      </w:r>
      <w:r w:rsidRPr="00C63C9D">
        <w:rPr>
          <w:rFonts w:ascii="Times New Roman" w:eastAsia="Arial" w:hAnsi="Times New Roman"/>
          <w:sz w:val="18"/>
          <w:szCs w:val="18"/>
        </w:rPr>
        <w:t>e</w:t>
      </w:r>
      <w:r w:rsidRPr="00C63C9D">
        <w:rPr>
          <w:rFonts w:ascii="Times New Roman" w:eastAsia="Arial" w:hAnsi="Times New Roman"/>
          <w:spacing w:val="1"/>
          <w:sz w:val="18"/>
          <w:szCs w:val="18"/>
        </w:rPr>
        <w:t xml:space="preserve"> </w:t>
      </w:r>
      <w:r w:rsidRPr="00C63C9D">
        <w:rPr>
          <w:rFonts w:ascii="Times New Roman" w:eastAsia="Arial" w:hAnsi="Times New Roman"/>
          <w:sz w:val="18"/>
          <w:szCs w:val="18"/>
        </w:rPr>
        <w:t xml:space="preserve">in </w:t>
      </w:r>
      <w:r w:rsidRPr="00C63C9D">
        <w:rPr>
          <w:rFonts w:ascii="Times New Roman" w:eastAsia="Arial" w:hAnsi="Times New Roman"/>
          <w:spacing w:val="-1"/>
          <w:sz w:val="18"/>
          <w:szCs w:val="18"/>
        </w:rPr>
        <w:t>redu</w:t>
      </w:r>
      <w:r w:rsidRPr="00C63C9D">
        <w:rPr>
          <w:rFonts w:ascii="Times New Roman" w:eastAsia="Arial" w:hAnsi="Times New Roman"/>
          <w:spacing w:val="1"/>
          <w:sz w:val="18"/>
          <w:szCs w:val="18"/>
        </w:rPr>
        <w:t>c</w:t>
      </w:r>
      <w:r w:rsidRPr="00C63C9D">
        <w:rPr>
          <w:rFonts w:ascii="Times New Roman" w:eastAsia="Arial" w:hAnsi="Times New Roman"/>
          <w:sz w:val="18"/>
          <w:szCs w:val="18"/>
        </w:rPr>
        <w:t>i</w:t>
      </w:r>
      <w:r w:rsidRPr="00C63C9D">
        <w:rPr>
          <w:rFonts w:ascii="Times New Roman" w:eastAsia="Arial" w:hAnsi="Times New Roman"/>
          <w:spacing w:val="-1"/>
          <w:sz w:val="18"/>
          <w:szCs w:val="18"/>
        </w:rPr>
        <w:t>n</w:t>
      </w:r>
      <w:r w:rsidRPr="00C63C9D">
        <w:rPr>
          <w:rFonts w:ascii="Times New Roman" w:eastAsia="Arial" w:hAnsi="Times New Roman"/>
          <w:sz w:val="18"/>
          <w:szCs w:val="18"/>
        </w:rPr>
        <w:t>g</w:t>
      </w:r>
      <w:r w:rsidRPr="00C63C9D">
        <w:rPr>
          <w:rFonts w:ascii="Times New Roman" w:eastAsia="Arial" w:hAnsi="Times New Roman"/>
          <w:spacing w:val="1"/>
          <w:sz w:val="18"/>
          <w:szCs w:val="18"/>
        </w:rPr>
        <w:t xml:space="preserve"> </w:t>
      </w:r>
      <w:r w:rsidRPr="00C63C9D">
        <w:rPr>
          <w:rFonts w:ascii="Times New Roman" w:eastAsia="Arial" w:hAnsi="Times New Roman"/>
          <w:spacing w:val="-1"/>
          <w:sz w:val="18"/>
          <w:szCs w:val="18"/>
        </w:rPr>
        <w:t>energ</w:t>
      </w:r>
      <w:r w:rsidRPr="00C63C9D">
        <w:rPr>
          <w:rFonts w:ascii="Times New Roman" w:eastAsia="Arial" w:hAnsi="Times New Roman"/>
          <w:sz w:val="18"/>
          <w:szCs w:val="18"/>
        </w:rPr>
        <w:t xml:space="preserve">y </w:t>
      </w:r>
      <w:r w:rsidRPr="00C63C9D">
        <w:rPr>
          <w:rFonts w:ascii="Times New Roman" w:eastAsia="Arial" w:hAnsi="Times New Roman"/>
          <w:spacing w:val="-1"/>
          <w:sz w:val="18"/>
          <w:szCs w:val="18"/>
        </w:rPr>
        <w:t>ordere</w:t>
      </w:r>
      <w:r w:rsidRPr="00C63C9D">
        <w:rPr>
          <w:rFonts w:ascii="Times New Roman" w:eastAsia="Arial" w:hAnsi="Times New Roman"/>
          <w:sz w:val="18"/>
          <w:szCs w:val="18"/>
        </w:rPr>
        <w:t>d</w:t>
      </w:r>
      <w:r w:rsidRPr="00C63C9D">
        <w:rPr>
          <w:rFonts w:ascii="Times New Roman" w:eastAsia="Arial" w:hAnsi="Times New Roman"/>
          <w:spacing w:val="1"/>
          <w:sz w:val="18"/>
          <w:szCs w:val="18"/>
        </w:rPr>
        <w:t xml:space="preserve"> </w:t>
      </w:r>
      <w:r w:rsidRPr="00C63C9D">
        <w:rPr>
          <w:rFonts w:ascii="Times New Roman" w:eastAsia="Arial" w:hAnsi="Times New Roman"/>
          <w:spacing w:val="-1"/>
          <w:sz w:val="18"/>
          <w:szCs w:val="18"/>
        </w:rPr>
        <w:t>an</w:t>
      </w:r>
      <w:r w:rsidRPr="00C63C9D">
        <w:rPr>
          <w:rFonts w:ascii="Times New Roman" w:eastAsia="Arial" w:hAnsi="Times New Roman"/>
          <w:sz w:val="18"/>
          <w:szCs w:val="18"/>
        </w:rPr>
        <w:t>d</w:t>
      </w:r>
      <w:r w:rsidRPr="00C63C9D">
        <w:rPr>
          <w:rFonts w:ascii="Times New Roman" w:eastAsia="Arial" w:hAnsi="Times New Roman"/>
          <w:spacing w:val="1"/>
          <w:sz w:val="18"/>
          <w:szCs w:val="18"/>
        </w:rPr>
        <w:t xml:space="preserve"> c</w:t>
      </w:r>
      <w:r w:rsidRPr="00C63C9D">
        <w:rPr>
          <w:rFonts w:ascii="Times New Roman" w:eastAsia="Arial" w:hAnsi="Times New Roman"/>
          <w:spacing w:val="-1"/>
          <w:sz w:val="18"/>
          <w:szCs w:val="18"/>
        </w:rPr>
        <w:t>onsu</w:t>
      </w:r>
      <w:r w:rsidRPr="00C63C9D">
        <w:rPr>
          <w:rFonts w:ascii="Times New Roman" w:eastAsia="Arial" w:hAnsi="Times New Roman"/>
          <w:spacing w:val="3"/>
          <w:sz w:val="18"/>
          <w:szCs w:val="18"/>
        </w:rPr>
        <w:t>m</w:t>
      </w:r>
      <w:r w:rsidRPr="00C63C9D">
        <w:rPr>
          <w:rFonts w:ascii="Times New Roman" w:eastAsia="Arial" w:hAnsi="Times New Roman"/>
          <w:spacing w:val="-1"/>
          <w:sz w:val="18"/>
          <w:szCs w:val="18"/>
        </w:rPr>
        <w:t>e</w:t>
      </w:r>
      <w:r w:rsidRPr="00C63C9D">
        <w:rPr>
          <w:rFonts w:ascii="Times New Roman" w:eastAsia="Arial" w:hAnsi="Times New Roman"/>
          <w:spacing w:val="-3"/>
          <w:sz w:val="18"/>
          <w:szCs w:val="18"/>
        </w:rPr>
        <w:t>d</w:t>
      </w:r>
      <w:r w:rsidRPr="00C63C9D">
        <w:rPr>
          <w:rFonts w:ascii="Times New Roman" w:eastAsia="Arial" w:hAnsi="Times New Roman"/>
          <w:sz w:val="18"/>
          <w:szCs w:val="18"/>
        </w:rPr>
        <w:t>:</w:t>
      </w:r>
      <w:r w:rsidRPr="00C63C9D">
        <w:rPr>
          <w:rFonts w:ascii="Times New Roman" w:eastAsia="Arial" w:hAnsi="Times New Roman"/>
          <w:spacing w:val="2"/>
          <w:sz w:val="18"/>
          <w:szCs w:val="18"/>
        </w:rPr>
        <w:t xml:space="preserve"> </w:t>
      </w:r>
      <w:r w:rsidRPr="00C63C9D">
        <w:rPr>
          <w:rFonts w:ascii="Times New Roman" w:eastAsia="Arial" w:hAnsi="Times New Roman"/>
          <w:sz w:val="18"/>
          <w:szCs w:val="18"/>
        </w:rPr>
        <w:t>a</w:t>
      </w:r>
      <w:r w:rsidRPr="00C63C9D">
        <w:rPr>
          <w:rFonts w:ascii="Times New Roman" w:eastAsia="Arial" w:hAnsi="Times New Roman"/>
          <w:spacing w:val="-2"/>
          <w:sz w:val="18"/>
          <w:szCs w:val="18"/>
        </w:rPr>
        <w:t xml:space="preserve"> </w:t>
      </w:r>
      <w:r w:rsidRPr="00C63C9D">
        <w:rPr>
          <w:rFonts w:ascii="Times New Roman" w:eastAsia="Arial" w:hAnsi="Times New Roman"/>
          <w:spacing w:val="1"/>
          <w:sz w:val="18"/>
          <w:szCs w:val="18"/>
        </w:rPr>
        <w:t>s</w:t>
      </w:r>
      <w:r w:rsidRPr="00C63C9D">
        <w:rPr>
          <w:rFonts w:ascii="Times New Roman" w:eastAsia="Arial" w:hAnsi="Times New Roman"/>
          <w:spacing w:val="-4"/>
          <w:sz w:val="18"/>
          <w:szCs w:val="18"/>
        </w:rPr>
        <w:t>y</w:t>
      </w:r>
      <w:r w:rsidRPr="00C63C9D">
        <w:rPr>
          <w:rFonts w:ascii="Times New Roman" w:eastAsia="Arial" w:hAnsi="Times New Roman"/>
          <w:spacing w:val="1"/>
          <w:sz w:val="18"/>
          <w:szCs w:val="18"/>
        </w:rPr>
        <w:t>st</w:t>
      </w:r>
      <w:r w:rsidRPr="00C63C9D">
        <w:rPr>
          <w:rFonts w:ascii="Times New Roman" w:eastAsia="Arial" w:hAnsi="Times New Roman"/>
          <w:spacing w:val="-3"/>
          <w:sz w:val="18"/>
          <w:szCs w:val="18"/>
        </w:rPr>
        <w:t>e</w:t>
      </w:r>
      <w:r w:rsidRPr="00C63C9D">
        <w:rPr>
          <w:rFonts w:ascii="Times New Roman" w:eastAsia="Arial" w:hAnsi="Times New Roman"/>
          <w:spacing w:val="3"/>
          <w:sz w:val="18"/>
          <w:szCs w:val="18"/>
        </w:rPr>
        <w:t>m</w:t>
      </w:r>
      <w:r w:rsidRPr="00C63C9D">
        <w:rPr>
          <w:rFonts w:ascii="Times New Roman" w:eastAsia="Arial" w:hAnsi="Times New Roman"/>
          <w:spacing w:val="-3"/>
          <w:sz w:val="18"/>
          <w:szCs w:val="18"/>
        </w:rPr>
        <w:t>a</w:t>
      </w:r>
      <w:r w:rsidRPr="00C63C9D">
        <w:rPr>
          <w:rFonts w:ascii="Times New Roman" w:eastAsia="Arial" w:hAnsi="Times New Roman"/>
          <w:spacing w:val="1"/>
          <w:sz w:val="18"/>
          <w:szCs w:val="18"/>
        </w:rPr>
        <w:t>t</w:t>
      </w:r>
      <w:r w:rsidRPr="00C63C9D">
        <w:rPr>
          <w:rFonts w:ascii="Times New Roman" w:eastAsia="Arial" w:hAnsi="Times New Roman"/>
          <w:spacing w:val="-2"/>
          <w:sz w:val="18"/>
          <w:szCs w:val="18"/>
        </w:rPr>
        <w:t>i</w:t>
      </w:r>
      <w:r w:rsidRPr="00C63C9D">
        <w:rPr>
          <w:rFonts w:ascii="Times New Roman" w:eastAsia="Arial" w:hAnsi="Times New Roman"/>
          <w:sz w:val="18"/>
          <w:szCs w:val="18"/>
        </w:rPr>
        <w:t>c</w:t>
      </w:r>
      <w:r w:rsidRPr="00C63C9D">
        <w:rPr>
          <w:rFonts w:ascii="Times New Roman" w:eastAsia="Arial" w:hAnsi="Times New Roman"/>
          <w:spacing w:val="2"/>
          <w:sz w:val="18"/>
          <w:szCs w:val="18"/>
        </w:rPr>
        <w:t xml:space="preserve"> </w:t>
      </w:r>
      <w:r w:rsidRPr="00C63C9D">
        <w:rPr>
          <w:rFonts w:ascii="Times New Roman" w:eastAsia="Arial" w:hAnsi="Times New Roman"/>
          <w:spacing w:val="-1"/>
          <w:sz w:val="18"/>
          <w:szCs w:val="18"/>
        </w:rPr>
        <w:t>rev</w:t>
      </w:r>
      <w:r w:rsidRPr="00C63C9D">
        <w:rPr>
          <w:rFonts w:ascii="Times New Roman" w:eastAsia="Arial" w:hAnsi="Times New Roman"/>
          <w:sz w:val="18"/>
          <w:szCs w:val="18"/>
        </w:rPr>
        <w:t>i</w:t>
      </w:r>
      <w:r w:rsidRPr="00C63C9D">
        <w:rPr>
          <w:rFonts w:ascii="Times New Roman" w:eastAsia="Arial" w:hAnsi="Times New Roman"/>
          <w:spacing w:val="-1"/>
          <w:sz w:val="18"/>
          <w:szCs w:val="18"/>
        </w:rPr>
        <w:t>e</w:t>
      </w:r>
      <w:r w:rsidRPr="00C63C9D">
        <w:rPr>
          <w:rFonts w:ascii="Times New Roman" w:eastAsia="Arial" w:hAnsi="Times New Roman"/>
          <w:sz w:val="18"/>
          <w:szCs w:val="18"/>
        </w:rPr>
        <w:t>w</w:t>
      </w:r>
      <w:r w:rsidRPr="00C63C9D">
        <w:rPr>
          <w:rFonts w:ascii="Times New Roman" w:eastAsia="Arial" w:hAnsi="Times New Roman"/>
          <w:spacing w:val="-2"/>
          <w:sz w:val="18"/>
          <w:szCs w:val="18"/>
        </w:rPr>
        <w:t xml:space="preserve"> </w:t>
      </w:r>
      <w:r w:rsidRPr="00C63C9D">
        <w:rPr>
          <w:rFonts w:ascii="Times New Roman" w:eastAsia="Arial" w:hAnsi="Times New Roman"/>
          <w:spacing w:val="-1"/>
          <w:sz w:val="18"/>
          <w:szCs w:val="18"/>
        </w:rPr>
        <w:t>an</w:t>
      </w:r>
      <w:r w:rsidRPr="00C63C9D">
        <w:rPr>
          <w:rFonts w:ascii="Times New Roman" w:eastAsia="Arial" w:hAnsi="Times New Roman"/>
          <w:sz w:val="18"/>
          <w:szCs w:val="18"/>
        </w:rPr>
        <w:t>d</w:t>
      </w:r>
      <w:r w:rsidRPr="00C63C9D">
        <w:rPr>
          <w:rFonts w:ascii="Times New Roman" w:eastAsia="Arial" w:hAnsi="Times New Roman"/>
          <w:spacing w:val="-2"/>
          <w:sz w:val="18"/>
          <w:szCs w:val="18"/>
        </w:rPr>
        <w:t xml:space="preserve"> </w:t>
      </w:r>
      <w:r w:rsidRPr="00C63C9D">
        <w:rPr>
          <w:rFonts w:ascii="Times New Roman" w:eastAsia="Arial" w:hAnsi="Times New Roman"/>
          <w:sz w:val="18"/>
          <w:szCs w:val="18"/>
        </w:rPr>
        <w:t>m</w:t>
      </w:r>
      <w:r w:rsidRPr="00C63C9D">
        <w:rPr>
          <w:rFonts w:ascii="Times New Roman" w:eastAsia="Arial" w:hAnsi="Times New Roman"/>
          <w:spacing w:val="-1"/>
          <w:sz w:val="18"/>
          <w:szCs w:val="18"/>
        </w:rPr>
        <w:t>e</w:t>
      </w:r>
      <w:r w:rsidRPr="00C63C9D">
        <w:rPr>
          <w:rFonts w:ascii="Times New Roman" w:eastAsia="Arial" w:hAnsi="Times New Roman"/>
          <w:spacing w:val="1"/>
          <w:sz w:val="18"/>
          <w:szCs w:val="18"/>
        </w:rPr>
        <w:t>t</w:t>
      </w:r>
      <w:r w:rsidRPr="00C63C9D">
        <w:rPr>
          <w:rFonts w:ascii="Times New Roman" w:eastAsia="Arial" w:hAnsi="Times New Roman"/>
          <w:spacing w:val="-1"/>
          <w:sz w:val="18"/>
          <w:szCs w:val="18"/>
        </w:rPr>
        <w:t>a</w:t>
      </w:r>
      <w:r w:rsidRPr="00C63C9D">
        <w:rPr>
          <w:rFonts w:ascii="Times New Roman" w:eastAsia="Arial" w:hAnsi="Times New Roman"/>
          <w:sz w:val="18"/>
          <w:szCs w:val="18"/>
        </w:rPr>
        <w:t>-</w:t>
      </w:r>
      <w:r w:rsidRPr="00C63C9D">
        <w:rPr>
          <w:rFonts w:ascii="Times New Roman" w:eastAsia="Arial" w:hAnsi="Times New Roman"/>
          <w:spacing w:val="-1"/>
          <w:sz w:val="18"/>
          <w:szCs w:val="18"/>
        </w:rPr>
        <w:t>ana</w:t>
      </w:r>
      <w:r w:rsidRPr="00C63C9D">
        <w:rPr>
          <w:rFonts w:ascii="Times New Roman" w:eastAsia="Arial" w:hAnsi="Times New Roman"/>
          <w:sz w:val="18"/>
          <w:szCs w:val="18"/>
        </w:rPr>
        <w:t>l</w:t>
      </w:r>
      <w:r w:rsidRPr="00C63C9D">
        <w:rPr>
          <w:rFonts w:ascii="Times New Roman" w:eastAsia="Arial" w:hAnsi="Times New Roman"/>
          <w:spacing w:val="-1"/>
          <w:sz w:val="18"/>
          <w:szCs w:val="18"/>
        </w:rPr>
        <w:t>y</w:t>
      </w:r>
      <w:r w:rsidRPr="00C63C9D">
        <w:rPr>
          <w:rFonts w:ascii="Times New Roman" w:eastAsia="Arial" w:hAnsi="Times New Roman"/>
          <w:spacing w:val="1"/>
          <w:sz w:val="18"/>
          <w:szCs w:val="18"/>
        </w:rPr>
        <w:t>s</w:t>
      </w:r>
      <w:r w:rsidRPr="00C63C9D">
        <w:rPr>
          <w:rFonts w:ascii="Times New Roman" w:eastAsia="Arial" w:hAnsi="Times New Roman"/>
          <w:sz w:val="18"/>
          <w:szCs w:val="18"/>
        </w:rPr>
        <w:t xml:space="preserve">is </w:t>
      </w:r>
      <w:r w:rsidRPr="00C63C9D">
        <w:rPr>
          <w:rFonts w:ascii="Times New Roman" w:eastAsia="Arial" w:hAnsi="Times New Roman"/>
          <w:spacing w:val="-1"/>
          <w:sz w:val="18"/>
          <w:szCs w:val="18"/>
        </w:rPr>
        <w:t>o</w:t>
      </w:r>
      <w:r w:rsidRPr="00C63C9D">
        <w:rPr>
          <w:rFonts w:ascii="Times New Roman" w:eastAsia="Arial" w:hAnsi="Times New Roman"/>
          <w:sz w:val="18"/>
          <w:szCs w:val="18"/>
        </w:rPr>
        <w:t xml:space="preserve">f </w:t>
      </w:r>
      <w:r w:rsidRPr="00C63C9D">
        <w:rPr>
          <w:rFonts w:ascii="Times New Roman" w:eastAsia="Arial" w:hAnsi="Times New Roman"/>
          <w:spacing w:val="-1"/>
          <w:sz w:val="18"/>
          <w:szCs w:val="18"/>
        </w:rPr>
        <w:t>re</w:t>
      </w:r>
      <w:r w:rsidRPr="00C63C9D">
        <w:rPr>
          <w:rFonts w:ascii="Times New Roman" w:eastAsia="Arial" w:hAnsi="Times New Roman"/>
          <w:spacing w:val="1"/>
          <w:sz w:val="18"/>
          <w:szCs w:val="18"/>
        </w:rPr>
        <w:t>c</w:t>
      </w:r>
      <w:r w:rsidRPr="00C63C9D">
        <w:rPr>
          <w:rFonts w:ascii="Times New Roman" w:eastAsia="Arial" w:hAnsi="Times New Roman"/>
          <w:spacing w:val="-1"/>
          <w:sz w:val="18"/>
          <w:szCs w:val="18"/>
        </w:rPr>
        <w:t>en</w:t>
      </w:r>
      <w:r w:rsidRPr="00C63C9D">
        <w:rPr>
          <w:rFonts w:ascii="Times New Roman" w:eastAsia="Arial" w:hAnsi="Times New Roman"/>
          <w:sz w:val="18"/>
          <w:szCs w:val="18"/>
        </w:rPr>
        <w:t xml:space="preserve">t </w:t>
      </w:r>
      <w:r w:rsidRPr="00C63C9D">
        <w:rPr>
          <w:rFonts w:ascii="Times New Roman" w:eastAsia="Arial" w:hAnsi="Times New Roman"/>
          <w:spacing w:val="-1"/>
          <w:sz w:val="18"/>
          <w:szCs w:val="18"/>
        </w:rPr>
        <w:t>s</w:t>
      </w:r>
      <w:r w:rsidRPr="00C63C9D">
        <w:rPr>
          <w:rFonts w:ascii="Times New Roman" w:eastAsia="Arial" w:hAnsi="Times New Roman"/>
          <w:spacing w:val="1"/>
          <w:sz w:val="18"/>
          <w:szCs w:val="18"/>
        </w:rPr>
        <w:t>t</w:t>
      </w:r>
      <w:r w:rsidRPr="00C63C9D">
        <w:rPr>
          <w:rFonts w:ascii="Times New Roman" w:eastAsia="Arial" w:hAnsi="Times New Roman"/>
          <w:spacing w:val="-1"/>
          <w:sz w:val="18"/>
          <w:szCs w:val="18"/>
        </w:rPr>
        <w:t>ud</w:t>
      </w:r>
      <w:r w:rsidRPr="00C63C9D">
        <w:rPr>
          <w:rFonts w:ascii="Times New Roman" w:eastAsia="Arial" w:hAnsi="Times New Roman"/>
          <w:sz w:val="18"/>
          <w:szCs w:val="18"/>
        </w:rPr>
        <w:t>i</w:t>
      </w:r>
      <w:r w:rsidRPr="00C63C9D">
        <w:rPr>
          <w:rFonts w:ascii="Times New Roman" w:eastAsia="Arial" w:hAnsi="Times New Roman"/>
          <w:spacing w:val="-3"/>
          <w:sz w:val="18"/>
          <w:szCs w:val="18"/>
        </w:rPr>
        <w:t>e</w:t>
      </w:r>
      <w:r w:rsidRPr="00C63C9D">
        <w:rPr>
          <w:rFonts w:ascii="Times New Roman" w:eastAsia="Arial" w:hAnsi="Times New Roman"/>
          <w:spacing w:val="1"/>
          <w:sz w:val="18"/>
          <w:szCs w:val="18"/>
        </w:rPr>
        <w:t>s.</w:t>
      </w:r>
      <w:r w:rsidRPr="00C63C9D">
        <w:rPr>
          <w:rFonts w:ascii="Times New Roman" w:eastAsia="Arial" w:hAnsi="Times New Roman"/>
          <w:sz w:val="18"/>
          <w:szCs w:val="18"/>
        </w:rPr>
        <w:t xml:space="preserve"> </w:t>
      </w:r>
      <w:r w:rsidRPr="00C63C9D">
        <w:rPr>
          <w:rFonts w:ascii="Times New Roman" w:eastAsia="Arial" w:hAnsi="Times New Roman"/>
          <w:i/>
          <w:spacing w:val="-1"/>
          <w:sz w:val="18"/>
          <w:szCs w:val="18"/>
        </w:rPr>
        <w:t>Pu</w:t>
      </w:r>
      <w:r w:rsidRPr="00C63C9D">
        <w:rPr>
          <w:rFonts w:ascii="Times New Roman" w:eastAsia="Arial" w:hAnsi="Times New Roman"/>
          <w:i/>
          <w:spacing w:val="-3"/>
          <w:sz w:val="18"/>
          <w:szCs w:val="18"/>
        </w:rPr>
        <w:t>b</w:t>
      </w:r>
      <w:r w:rsidRPr="00C63C9D">
        <w:rPr>
          <w:rFonts w:ascii="Times New Roman" w:eastAsia="Arial" w:hAnsi="Times New Roman"/>
          <w:i/>
          <w:sz w:val="18"/>
          <w:szCs w:val="18"/>
        </w:rPr>
        <w:t>lic H</w:t>
      </w:r>
      <w:r w:rsidRPr="00C63C9D">
        <w:rPr>
          <w:rFonts w:ascii="Times New Roman" w:eastAsia="Arial" w:hAnsi="Times New Roman"/>
          <w:i/>
          <w:spacing w:val="-1"/>
          <w:sz w:val="18"/>
          <w:szCs w:val="18"/>
        </w:rPr>
        <w:t>ea</w:t>
      </w:r>
      <w:r w:rsidRPr="00C63C9D">
        <w:rPr>
          <w:rFonts w:ascii="Times New Roman" w:eastAsia="Arial" w:hAnsi="Times New Roman"/>
          <w:i/>
          <w:sz w:val="18"/>
          <w:szCs w:val="18"/>
        </w:rPr>
        <w:t>l</w:t>
      </w:r>
      <w:r w:rsidRPr="00C63C9D">
        <w:rPr>
          <w:rFonts w:ascii="Times New Roman" w:eastAsia="Arial" w:hAnsi="Times New Roman"/>
          <w:i/>
          <w:spacing w:val="1"/>
          <w:sz w:val="18"/>
          <w:szCs w:val="18"/>
        </w:rPr>
        <w:t>t</w:t>
      </w:r>
      <w:r w:rsidRPr="00C63C9D">
        <w:rPr>
          <w:rFonts w:ascii="Times New Roman" w:eastAsia="Arial" w:hAnsi="Times New Roman"/>
          <w:i/>
          <w:sz w:val="18"/>
          <w:szCs w:val="18"/>
        </w:rPr>
        <w:t>h</w:t>
      </w:r>
      <w:r w:rsidRPr="00C63C9D">
        <w:rPr>
          <w:rFonts w:ascii="Times New Roman" w:eastAsia="Arial" w:hAnsi="Times New Roman"/>
          <w:i/>
          <w:spacing w:val="1"/>
          <w:sz w:val="18"/>
          <w:szCs w:val="18"/>
        </w:rPr>
        <w:t xml:space="preserve"> N</w:t>
      </w:r>
      <w:r w:rsidRPr="00C63C9D">
        <w:rPr>
          <w:rFonts w:ascii="Times New Roman" w:eastAsia="Arial" w:hAnsi="Times New Roman"/>
          <w:i/>
          <w:spacing w:val="-3"/>
          <w:sz w:val="18"/>
          <w:szCs w:val="18"/>
        </w:rPr>
        <w:t>u</w:t>
      </w:r>
      <w:r w:rsidRPr="00C63C9D">
        <w:rPr>
          <w:rFonts w:ascii="Times New Roman" w:eastAsia="Arial" w:hAnsi="Times New Roman"/>
          <w:i/>
          <w:spacing w:val="1"/>
          <w:sz w:val="18"/>
          <w:szCs w:val="18"/>
        </w:rPr>
        <w:t>t</w:t>
      </w:r>
      <w:r w:rsidRPr="00C63C9D">
        <w:rPr>
          <w:rFonts w:ascii="Times New Roman" w:eastAsia="Arial" w:hAnsi="Times New Roman"/>
          <w:i/>
          <w:spacing w:val="-1"/>
          <w:sz w:val="18"/>
          <w:szCs w:val="18"/>
        </w:rPr>
        <w:t>r</w:t>
      </w:r>
      <w:r w:rsidRPr="00C63C9D">
        <w:rPr>
          <w:rFonts w:ascii="Times New Roman" w:eastAsia="Arial" w:hAnsi="Times New Roman"/>
          <w:i/>
          <w:sz w:val="18"/>
          <w:szCs w:val="18"/>
        </w:rPr>
        <w:t>i</w:t>
      </w:r>
      <w:r w:rsidRPr="00C63C9D">
        <w:rPr>
          <w:rFonts w:ascii="Times New Roman" w:eastAsia="Arial" w:hAnsi="Times New Roman"/>
          <w:i/>
          <w:spacing w:val="1"/>
          <w:sz w:val="18"/>
          <w:szCs w:val="18"/>
        </w:rPr>
        <w:t>t</w:t>
      </w:r>
      <w:r w:rsidRPr="00C63C9D">
        <w:rPr>
          <w:rFonts w:ascii="Times New Roman" w:eastAsia="Arial" w:hAnsi="Times New Roman"/>
          <w:i/>
          <w:sz w:val="18"/>
          <w:szCs w:val="18"/>
        </w:rPr>
        <w:t>i</w:t>
      </w:r>
      <w:r w:rsidRPr="00C63C9D">
        <w:rPr>
          <w:rFonts w:ascii="Times New Roman" w:eastAsia="Arial" w:hAnsi="Times New Roman"/>
          <w:i/>
          <w:spacing w:val="-1"/>
          <w:sz w:val="18"/>
          <w:szCs w:val="18"/>
        </w:rPr>
        <w:t>on,</w:t>
      </w:r>
      <w:r w:rsidRPr="00C63C9D">
        <w:rPr>
          <w:rFonts w:ascii="Times New Roman" w:eastAsia="Arial" w:hAnsi="Times New Roman"/>
          <w:sz w:val="18"/>
          <w:szCs w:val="18"/>
        </w:rPr>
        <w:t xml:space="preserve"> </w:t>
      </w:r>
      <w:r w:rsidRPr="00C63C9D">
        <w:rPr>
          <w:rFonts w:ascii="Times New Roman" w:eastAsia="Arial" w:hAnsi="Times New Roman"/>
          <w:spacing w:val="-1"/>
          <w:sz w:val="18"/>
          <w:szCs w:val="18"/>
        </w:rPr>
        <w:t>19(12)</w:t>
      </w:r>
      <w:r w:rsidRPr="00C63C9D">
        <w:rPr>
          <w:rFonts w:ascii="Times New Roman" w:eastAsia="Arial" w:hAnsi="Times New Roman"/>
          <w:sz w:val="18"/>
          <w:szCs w:val="18"/>
        </w:rPr>
        <w:t>,</w:t>
      </w:r>
      <w:r w:rsidRPr="00C63C9D">
        <w:rPr>
          <w:rFonts w:ascii="Times New Roman" w:eastAsia="Arial" w:hAnsi="Times New Roman"/>
          <w:spacing w:val="-16"/>
          <w:sz w:val="18"/>
          <w:szCs w:val="18"/>
        </w:rPr>
        <w:t xml:space="preserve"> </w:t>
      </w:r>
      <w:r w:rsidRPr="00C63C9D">
        <w:rPr>
          <w:rFonts w:ascii="Times New Roman" w:eastAsia="Arial" w:hAnsi="Times New Roman"/>
          <w:spacing w:val="-1"/>
          <w:sz w:val="18"/>
          <w:szCs w:val="18"/>
        </w:rPr>
        <w:t>2106</w:t>
      </w:r>
      <w:r w:rsidRPr="00C63C9D">
        <w:rPr>
          <w:rFonts w:ascii="Times New Roman" w:eastAsia="Arial" w:hAnsi="Times New Roman"/>
          <w:sz w:val="18"/>
          <w:szCs w:val="18"/>
        </w:rPr>
        <w:t>-</w:t>
      </w:r>
      <w:r w:rsidRPr="00C63C9D">
        <w:rPr>
          <w:rFonts w:ascii="Times New Roman" w:eastAsia="Arial" w:hAnsi="Times New Roman"/>
          <w:spacing w:val="-1"/>
          <w:sz w:val="18"/>
          <w:szCs w:val="18"/>
        </w:rPr>
        <w:t>2121.</w:t>
      </w:r>
    </w:p>
  </w:footnote>
  <w:footnote w:id="78">
    <w:p w14:paraId="0AF6D617" w14:textId="6B4E45F8" w:rsidR="00762E8C" w:rsidRPr="00796C0D" w:rsidRDefault="00762E8C">
      <w:pPr>
        <w:pStyle w:val="FootnoteText"/>
        <w:rPr>
          <w:rFonts w:ascii="Times New Roman" w:hAnsi="Times New Roman"/>
          <w:sz w:val="18"/>
          <w:szCs w:val="18"/>
        </w:rPr>
      </w:pPr>
      <w:r w:rsidRPr="00796C0D">
        <w:rPr>
          <w:rStyle w:val="FootnoteReference"/>
          <w:rFonts w:ascii="Times New Roman" w:hAnsi="Times New Roman"/>
          <w:sz w:val="18"/>
          <w:szCs w:val="18"/>
        </w:rPr>
        <w:footnoteRef/>
      </w:r>
      <w:r w:rsidRPr="00796C0D">
        <w:rPr>
          <w:rFonts w:ascii="Times New Roman" w:hAnsi="Times New Roman"/>
          <w:sz w:val="18"/>
          <w:szCs w:val="18"/>
        </w:rPr>
        <w:t xml:space="preserve"> These objectives are of equal importance, and not weighted.</w:t>
      </w:r>
      <w:r>
        <w:rPr>
          <w:rFonts w:ascii="Times New Roman" w:hAnsi="Times New Roman"/>
          <w:sz w:val="18"/>
          <w:szCs w:val="18"/>
        </w:rPr>
        <w:t xml:space="preserve"> It is expected that any regulatory or non-regulatory measures are designed to achieve all four objectives. </w:t>
      </w:r>
    </w:p>
  </w:footnote>
  <w:footnote w:id="79">
    <w:p w14:paraId="0CA2BFAE" w14:textId="77777777" w:rsidR="00762E8C" w:rsidRPr="006531D8" w:rsidRDefault="00762E8C" w:rsidP="00B871FA">
      <w:pPr>
        <w:pStyle w:val="FootnoteText"/>
        <w:rPr>
          <w:rFonts w:ascii="Times New Roman" w:hAnsi="Times New Roman"/>
          <w:sz w:val="18"/>
          <w:szCs w:val="18"/>
          <w:lang w:val="en-US"/>
        </w:rPr>
      </w:pPr>
      <w:r w:rsidRPr="006531D8">
        <w:rPr>
          <w:rStyle w:val="FootnoteReference"/>
          <w:rFonts w:ascii="Times New Roman" w:hAnsi="Times New Roman"/>
          <w:sz w:val="18"/>
          <w:szCs w:val="18"/>
        </w:rPr>
        <w:footnoteRef/>
      </w:r>
      <w:r w:rsidRPr="006531D8">
        <w:rPr>
          <w:rFonts w:ascii="Times New Roman" w:hAnsi="Times New Roman"/>
          <w:sz w:val="18"/>
          <w:szCs w:val="18"/>
        </w:rPr>
        <w:t xml:space="preserve"> </w:t>
      </w:r>
      <w:r w:rsidRPr="006531D8">
        <w:rPr>
          <w:rFonts w:ascii="Times New Roman" w:hAnsi="Times New Roman"/>
          <w:sz w:val="18"/>
          <w:szCs w:val="18"/>
          <w:lang w:val="en-US"/>
        </w:rPr>
        <w:t>Modes of sale include</w:t>
      </w:r>
      <w:r>
        <w:rPr>
          <w:rFonts w:ascii="Times New Roman" w:hAnsi="Times New Roman"/>
          <w:sz w:val="18"/>
          <w:szCs w:val="18"/>
          <w:lang w:val="en-US"/>
        </w:rPr>
        <w:t>, but is not limited to,</w:t>
      </w:r>
      <w:r w:rsidRPr="006531D8">
        <w:rPr>
          <w:rFonts w:ascii="Times New Roman" w:hAnsi="Times New Roman"/>
          <w:sz w:val="18"/>
          <w:szCs w:val="18"/>
          <w:lang w:val="en-US"/>
        </w:rPr>
        <w:t xml:space="preserve"> in-store, online, third-party providers; types of menus include</w:t>
      </w:r>
      <w:r>
        <w:rPr>
          <w:rFonts w:ascii="Times New Roman" w:hAnsi="Times New Roman"/>
          <w:sz w:val="18"/>
          <w:szCs w:val="18"/>
          <w:lang w:val="en-US"/>
        </w:rPr>
        <w:t>, but is not limited to,</w:t>
      </w:r>
      <w:r w:rsidRPr="006531D8">
        <w:rPr>
          <w:rFonts w:ascii="Times New Roman" w:hAnsi="Times New Roman"/>
          <w:sz w:val="18"/>
          <w:szCs w:val="18"/>
          <w:lang w:val="en-US"/>
        </w:rPr>
        <w:t xml:space="preserve"> digital menu panels, </w:t>
      </w:r>
      <w:r>
        <w:rPr>
          <w:rFonts w:ascii="Times New Roman" w:hAnsi="Times New Roman"/>
          <w:sz w:val="18"/>
          <w:szCs w:val="18"/>
          <w:lang w:val="en-US"/>
        </w:rPr>
        <w:t xml:space="preserve">kiosks, </w:t>
      </w:r>
      <w:r w:rsidRPr="006531D8">
        <w:rPr>
          <w:rFonts w:ascii="Times New Roman" w:hAnsi="Times New Roman"/>
          <w:sz w:val="18"/>
          <w:szCs w:val="18"/>
          <w:lang w:val="en-US"/>
        </w:rPr>
        <w:t>paper menus</w:t>
      </w:r>
      <w:r>
        <w:rPr>
          <w:rFonts w:ascii="Times New Roman" w:hAnsi="Times New Roman"/>
          <w:sz w:val="18"/>
          <w:szCs w:val="18"/>
          <w:lang w:val="en-US"/>
        </w:rPr>
        <w:t xml:space="preserve"> and tags</w:t>
      </w:r>
      <w:r w:rsidRPr="006531D8">
        <w:rPr>
          <w:rFonts w:ascii="Times New Roman" w:hAnsi="Times New Roman"/>
          <w:sz w:val="18"/>
          <w:szCs w:val="18"/>
          <w:lang w:val="en-US"/>
        </w:rPr>
        <w:t xml:space="preserve">, menu boards, </w:t>
      </w:r>
      <w:r>
        <w:rPr>
          <w:rFonts w:ascii="Times New Roman" w:hAnsi="Times New Roman"/>
          <w:sz w:val="18"/>
          <w:szCs w:val="18"/>
          <w:lang w:val="en-US"/>
        </w:rPr>
        <w:t xml:space="preserve">drive-thru menus, </w:t>
      </w:r>
      <w:r w:rsidRPr="006531D8">
        <w:rPr>
          <w:rFonts w:ascii="Times New Roman" w:hAnsi="Times New Roman"/>
          <w:sz w:val="18"/>
          <w:szCs w:val="18"/>
          <w:lang w:val="en-US"/>
        </w:rPr>
        <w:t>online menus.</w:t>
      </w:r>
    </w:p>
  </w:footnote>
  <w:footnote w:id="80">
    <w:p w14:paraId="522C2D8A" w14:textId="77777777" w:rsidR="00762E8C" w:rsidRPr="004C6987" w:rsidRDefault="00762E8C" w:rsidP="007F2121">
      <w:pPr>
        <w:pStyle w:val="FootnoteText"/>
        <w:rPr>
          <w:rFonts w:ascii="Times New Roman" w:hAnsi="Times New Roman"/>
          <w:sz w:val="18"/>
          <w:szCs w:val="18"/>
          <w:lang w:val="en-US"/>
        </w:rPr>
      </w:pPr>
      <w:r w:rsidRPr="004C6987">
        <w:rPr>
          <w:rStyle w:val="FootnoteReference"/>
          <w:rFonts w:ascii="Times New Roman" w:hAnsi="Times New Roman"/>
          <w:sz w:val="18"/>
          <w:szCs w:val="18"/>
        </w:rPr>
        <w:footnoteRef/>
      </w:r>
      <w:r w:rsidRPr="004C6987">
        <w:rPr>
          <w:rFonts w:ascii="Times New Roman" w:hAnsi="Times New Roman"/>
          <w:sz w:val="18"/>
          <w:szCs w:val="18"/>
          <w:lang w:val="en-US"/>
        </w:rPr>
        <w:t xml:space="preserve"> </w:t>
      </w:r>
      <w:r>
        <w:rPr>
          <w:rFonts w:ascii="Times New Roman" w:hAnsi="Times New Roman"/>
          <w:sz w:val="18"/>
          <w:szCs w:val="18"/>
          <w:lang w:val="en-US"/>
        </w:rPr>
        <w:t xml:space="preserve">Meaning a Standard or a Code of Practice - as defined by the </w:t>
      </w:r>
      <w:r w:rsidRPr="004C6987">
        <w:rPr>
          <w:rFonts w:ascii="Times New Roman" w:hAnsi="Times New Roman"/>
          <w:i/>
          <w:iCs/>
          <w:sz w:val="18"/>
          <w:szCs w:val="18"/>
          <w:lang w:val="en-US"/>
        </w:rPr>
        <w:t>FSANZ Act 1991</w:t>
      </w:r>
      <w:r w:rsidRPr="004C6987">
        <w:rPr>
          <w:rFonts w:ascii="Times New Roman" w:hAnsi="Times New Roman"/>
          <w:sz w:val="18"/>
          <w:szCs w:val="18"/>
          <w:lang w:val="en-US"/>
        </w:rPr>
        <w:t>, Part 1, section</w:t>
      </w:r>
      <w:r>
        <w:rPr>
          <w:rFonts w:ascii="Times New Roman" w:hAnsi="Times New Roman"/>
          <w:sz w:val="18"/>
          <w:szCs w:val="18"/>
          <w:lang w:val="en-US"/>
        </w:rPr>
        <w:t xml:space="preserve"> </w:t>
      </w:r>
      <w:r w:rsidRPr="004C6987">
        <w:rPr>
          <w:rFonts w:ascii="Times New Roman" w:hAnsi="Times New Roman"/>
          <w:sz w:val="18"/>
          <w:szCs w:val="18"/>
          <w:lang w:val="en-US"/>
        </w:rPr>
        <w:t xml:space="preserve">4, and </w:t>
      </w:r>
      <w:r>
        <w:rPr>
          <w:rFonts w:ascii="Times New Roman" w:hAnsi="Times New Roman"/>
          <w:sz w:val="18"/>
          <w:szCs w:val="18"/>
          <w:lang w:val="en-US"/>
        </w:rPr>
        <w:t xml:space="preserve">further described in </w:t>
      </w:r>
      <w:r w:rsidRPr="004C6987">
        <w:rPr>
          <w:rFonts w:ascii="Times New Roman" w:hAnsi="Times New Roman"/>
          <w:sz w:val="18"/>
          <w:szCs w:val="18"/>
          <w:lang w:val="en-US"/>
        </w:rPr>
        <w:t>Part 2, Division 2, sections 16 and 17.</w:t>
      </w:r>
    </w:p>
  </w:footnote>
  <w:footnote w:id="81">
    <w:p w14:paraId="76C7DEF1" w14:textId="2E9683A7" w:rsidR="00957800" w:rsidRPr="006B1C42" w:rsidRDefault="00957800" w:rsidP="00957800">
      <w:pPr>
        <w:pStyle w:val="FootnoteText"/>
        <w:rPr>
          <w:rFonts w:ascii="Times New Roman" w:hAnsi="Times New Roman"/>
          <w:sz w:val="18"/>
          <w:szCs w:val="18"/>
          <w:lang w:val="en-US"/>
        </w:rPr>
      </w:pPr>
      <w:r w:rsidRPr="006B1C42">
        <w:rPr>
          <w:rStyle w:val="FootnoteReference"/>
          <w:rFonts w:ascii="Times New Roman" w:hAnsi="Times New Roman"/>
          <w:sz w:val="18"/>
          <w:szCs w:val="18"/>
        </w:rPr>
        <w:footnoteRef/>
      </w:r>
      <w:r w:rsidRPr="006B1C42">
        <w:rPr>
          <w:rFonts w:ascii="Times New Roman" w:hAnsi="Times New Roman"/>
          <w:sz w:val="18"/>
          <w:szCs w:val="18"/>
        </w:rPr>
        <w:t xml:space="preserve"> </w:t>
      </w:r>
      <w:r>
        <w:rPr>
          <w:rFonts w:ascii="Times New Roman" w:hAnsi="Times New Roman"/>
          <w:sz w:val="18"/>
          <w:szCs w:val="18"/>
        </w:rPr>
        <w:t xml:space="preserve">For example, </w:t>
      </w:r>
      <w:r>
        <w:rPr>
          <w:rFonts w:ascii="Times New Roman" w:hAnsi="Times New Roman"/>
          <w:sz w:val="18"/>
          <w:szCs w:val="18"/>
          <w:lang w:val="en-US"/>
        </w:rPr>
        <w:t>t</w:t>
      </w:r>
      <w:r w:rsidRPr="006B1C42">
        <w:rPr>
          <w:rFonts w:ascii="Times New Roman" w:hAnsi="Times New Roman"/>
          <w:sz w:val="18"/>
          <w:szCs w:val="18"/>
          <w:lang w:val="en-US"/>
        </w:rPr>
        <w:t xml:space="preserve">his is the situation with </w:t>
      </w:r>
      <w:r w:rsidRPr="006B1C42">
        <w:rPr>
          <w:rFonts w:ascii="Times New Roman" w:hAnsi="Times New Roman"/>
          <w:i/>
          <w:iCs/>
          <w:sz w:val="18"/>
          <w:szCs w:val="18"/>
          <w:lang w:val="en-US"/>
        </w:rPr>
        <w:t>Standard 3.3.1: Food Safety Programs for Food Service to Vulnerable Persons</w:t>
      </w:r>
      <w:r w:rsidRPr="006B1C42">
        <w:rPr>
          <w:rFonts w:ascii="Times New Roman" w:hAnsi="Times New Roman"/>
          <w:sz w:val="18"/>
          <w:szCs w:val="18"/>
          <w:lang w:val="en-US"/>
        </w:rPr>
        <w:t xml:space="preserve"> which does not apply in Victoria as the Victorian class 1 declaration overrides the Food Standards Code</w:t>
      </w:r>
      <w:r>
        <w:rPr>
          <w:rFonts w:ascii="Times New Roman" w:hAnsi="Times New Roman"/>
          <w:sz w:val="18"/>
          <w:szCs w:val="18"/>
          <w:lang w:val="en-US"/>
        </w:rPr>
        <w:t xml:space="preserve"> requirements; and does not apply in Queensland as the Queensland Food Act specifically excludes the adoption of the Standard.</w:t>
      </w:r>
    </w:p>
  </w:footnote>
  <w:footnote w:id="82">
    <w:p w14:paraId="57C7EAFD" w14:textId="77777777" w:rsidR="001C66CA" w:rsidRDefault="001C66CA" w:rsidP="001C66CA">
      <w:pPr>
        <w:pStyle w:val="FootnoteText"/>
      </w:pPr>
      <w:r w:rsidRPr="006B1C42">
        <w:rPr>
          <w:rStyle w:val="FootnoteReference"/>
          <w:rFonts w:ascii="Times New Roman" w:hAnsi="Times New Roman"/>
          <w:sz w:val="18"/>
          <w:szCs w:val="18"/>
        </w:rPr>
        <w:footnoteRef/>
      </w:r>
      <w:r w:rsidRPr="006B1C42">
        <w:rPr>
          <w:rFonts w:ascii="Times New Roman" w:hAnsi="Times New Roman"/>
          <w:sz w:val="18"/>
          <w:szCs w:val="18"/>
        </w:rPr>
        <w:t xml:space="preserve"> </w:t>
      </w:r>
      <w:r w:rsidRPr="006B1C42">
        <w:rPr>
          <w:rFonts w:ascii="Times New Roman" w:hAnsi="Times New Roman"/>
          <w:i/>
          <w:iCs/>
          <w:sz w:val="18"/>
          <w:szCs w:val="18"/>
        </w:rPr>
        <w:t>Food Regulation Agreement</w:t>
      </w:r>
      <w:r w:rsidRPr="006B1C42">
        <w:rPr>
          <w:rFonts w:ascii="Times New Roman" w:hAnsi="Times New Roman"/>
          <w:sz w:val="18"/>
          <w:szCs w:val="18"/>
        </w:rPr>
        <w:t>. 2010.</w:t>
      </w:r>
      <w:r>
        <w:t xml:space="preserve"> </w:t>
      </w:r>
      <w:hyperlink r:id="rId46" w:history="1">
        <w:r w:rsidRPr="00E331E9">
          <w:rPr>
            <w:rStyle w:val="Hyperlink"/>
            <w:rFonts w:ascii="Times New Roman" w:hAnsi="Times New Roman"/>
            <w:sz w:val="18"/>
            <w:szCs w:val="18"/>
          </w:rPr>
          <w:t>https://foodregulation.gov.au/internet/fr/publishing.nsf/Content/480670060E89F438CA257CED001BF485/$File/Food%20Regulation%20Agreement%206%20July%202010.pdf</w:t>
        </w:r>
      </w:hyperlink>
      <w:r>
        <w:rPr>
          <w:rFonts w:ascii="Times New Roman" w:hAnsi="Times New Roman"/>
          <w:sz w:val="18"/>
          <w:szCs w:val="18"/>
        </w:rPr>
        <w:t xml:space="preserve"> </w:t>
      </w:r>
      <w:r w:rsidRPr="006B1C42">
        <w:rPr>
          <w:rFonts w:ascii="Times New Roman" w:hAnsi="Times New Roman"/>
          <w:sz w:val="18"/>
          <w:szCs w:val="18"/>
        </w:rPr>
        <w:t>(accessed 17 December 2021)</w:t>
      </w:r>
    </w:p>
  </w:footnote>
  <w:footnote w:id="83">
    <w:p w14:paraId="767123FD" w14:textId="4A0E8AC1" w:rsidR="00762E8C" w:rsidRPr="00C73309" w:rsidRDefault="00762E8C">
      <w:pPr>
        <w:pStyle w:val="FootnoteText"/>
        <w:rPr>
          <w:rFonts w:ascii="Times New Roman" w:hAnsi="Times New Roman"/>
          <w:sz w:val="18"/>
          <w:szCs w:val="18"/>
          <w:lang w:val="en-US"/>
        </w:rPr>
      </w:pPr>
      <w:r w:rsidRPr="00C73309">
        <w:rPr>
          <w:rStyle w:val="FootnoteReference"/>
          <w:rFonts w:ascii="Times New Roman" w:hAnsi="Times New Roman"/>
          <w:sz w:val="18"/>
          <w:szCs w:val="18"/>
        </w:rPr>
        <w:footnoteRef/>
      </w:r>
      <w:r w:rsidRPr="00C73309">
        <w:rPr>
          <w:rFonts w:ascii="Times New Roman" w:hAnsi="Times New Roman"/>
          <w:sz w:val="18"/>
          <w:szCs w:val="18"/>
        </w:rPr>
        <w:t xml:space="preserve"> </w:t>
      </w:r>
      <w:r w:rsidRPr="00C73309">
        <w:rPr>
          <w:rFonts w:ascii="Times New Roman" w:hAnsi="Times New Roman"/>
          <w:sz w:val="18"/>
          <w:szCs w:val="18"/>
          <w:lang w:val="en-US"/>
        </w:rPr>
        <w:t xml:space="preserve">Allen and Clarke Consulting. 2021. Final Report Menu Labelling Economic Evaluation. </w:t>
      </w:r>
      <w:hyperlink r:id="rId47" w:history="1">
        <w:r w:rsidRPr="00585308">
          <w:rPr>
            <w:rStyle w:val="Hyperlink"/>
            <w:rFonts w:ascii="Times New Roman" w:hAnsi="Times New Roman"/>
            <w:sz w:val="18"/>
            <w:szCs w:val="18"/>
            <w:lang w:val="en-US"/>
          </w:rPr>
          <w:t>www.foodregu</w:t>
        </w:r>
        <w:r w:rsidRPr="00585308">
          <w:rPr>
            <w:rStyle w:val="Hyperlink"/>
            <w:rFonts w:ascii="Times New Roman" w:hAnsi="Times New Roman"/>
            <w:sz w:val="18"/>
            <w:szCs w:val="18"/>
            <w:lang w:val="en-US"/>
          </w:rPr>
          <w:t>l</w:t>
        </w:r>
        <w:r w:rsidRPr="00585308">
          <w:rPr>
            <w:rStyle w:val="Hyperlink"/>
            <w:rFonts w:ascii="Times New Roman" w:hAnsi="Times New Roman"/>
            <w:sz w:val="18"/>
            <w:szCs w:val="18"/>
            <w:lang w:val="en-US"/>
          </w:rPr>
          <w:t>ation.gov.au</w:t>
        </w:r>
      </w:hyperlink>
      <w:r>
        <w:rPr>
          <w:rFonts w:ascii="Times New Roman" w:hAnsi="Times New Roman"/>
          <w:sz w:val="18"/>
          <w:szCs w:val="18"/>
          <w:lang w:val="en-US"/>
        </w:rPr>
        <w:t xml:space="preserve"> </w:t>
      </w:r>
    </w:p>
  </w:footnote>
  <w:footnote w:id="84">
    <w:p w14:paraId="03AC1146" w14:textId="4B3FB638" w:rsidR="001E2C00" w:rsidRPr="001E2C00" w:rsidRDefault="001E2C00">
      <w:pPr>
        <w:pStyle w:val="FootnoteText"/>
        <w:rPr>
          <w:rFonts w:ascii="Times New Roman" w:hAnsi="Times New Roman"/>
          <w:sz w:val="18"/>
          <w:szCs w:val="18"/>
          <w:lang w:val="en-US"/>
        </w:rPr>
      </w:pPr>
      <w:r w:rsidRPr="001E2C00">
        <w:rPr>
          <w:rStyle w:val="FootnoteReference"/>
          <w:rFonts w:ascii="Times New Roman" w:hAnsi="Times New Roman"/>
          <w:sz w:val="18"/>
          <w:szCs w:val="18"/>
        </w:rPr>
        <w:footnoteRef/>
      </w:r>
      <w:r w:rsidRPr="001E2C00">
        <w:rPr>
          <w:rFonts w:ascii="Times New Roman" w:hAnsi="Times New Roman"/>
          <w:sz w:val="18"/>
          <w:szCs w:val="18"/>
        </w:rPr>
        <w:t xml:space="preserve"> </w:t>
      </w:r>
      <w:r w:rsidRPr="001E2C00">
        <w:rPr>
          <w:rFonts w:ascii="Times New Roman" w:hAnsi="Times New Roman"/>
          <w:sz w:val="18"/>
          <w:szCs w:val="18"/>
          <w:lang w:val="en-US"/>
        </w:rPr>
        <w:t>Ibid.</w:t>
      </w:r>
    </w:p>
  </w:footnote>
  <w:footnote w:id="85">
    <w:p w14:paraId="472DF4D8" w14:textId="18A5AEB7" w:rsidR="00762E8C" w:rsidRPr="00632488" w:rsidRDefault="00762E8C">
      <w:pPr>
        <w:pStyle w:val="FootnoteText"/>
        <w:rPr>
          <w:lang w:val="en-US"/>
        </w:rPr>
      </w:pPr>
      <w:r w:rsidRPr="00476A2B">
        <w:rPr>
          <w:rStyle w:val="FootnoteReference"/>
        </w:rPr>
        <w:footnoteRef/>
      </w:r>
      <w:r w:rsidRPr="00476A2B">
        <w:t xml:space="preserve"> </w:t>
      </w:r>
      <w:r w:rsidRPr="00476A2B">
        <w:rPr>
          <w:rFonts w:ascii="Times New Roman" w:hAnsi="Times New Roman"/>
          <w:sz w:val="18"/>
          <w:szCs w:val="18"/>
          <w:lang w:val="en-US"/>
        </w:rPr>
        <w:t>The limitations and changes to some cost estimates were identified by the Priority 2 Advisory Group and the Ad-hoc jurisdictional menu labelling working group after the completion of the independent economic evaluation. The limitations and changes have been noted to ensure transparency and to aid decision-making.</w:t>
      </w:r>
    </w:p>
  </w:footnote>
  <w:footnote w:id="86">
    <w:p w14:paraId="031D9CD8" w14:textId="77777777" w:rsidR="00762E8C" w:rsidRPr="00CD40EE" w:rsidRDefault="00762E8C" w:rsidP="00857058">
      <w:pPr>
        <w:pStyle w:val="FootnoteText"/>
        <w:rPr>
          <w:rFonts w:ascii="Times New Roman" w:hAnsi="Times New Roman"/>
          <w:sz w:val="18"/>
          <w:szCs w:val="18"/>
        </w:rPr>
      </w:pPr>
      <w:r w:rsidRPr="00CD40EE">
        <w:rPr>
          <w:rStyle w:val="FootnoteReference"/>
          <w:rFonts w:ascii="Times New Roman" w:hAnsi="Times New Roman"/>
          <w:sz w:val="18"/>
          <w:szCs w:val="18"/>
        </w:rPr>
        <w:footnoteRef/>
      </w:r>
      <w:r w:rsidRPr="00CD40EE">
        <w:rPr>
          <w:rFonts w:ascii="Times New Roman" w:hAnsi="Times New Roman"/>
          <w:sz w:val="18"/>
          <w:szCs w:val="18"/>
        </w:rPr>
        <w:t xml:space="preserve"> Based on data from the New South Wales Food Authority, which estimated in 2012 (using industry-provided data) that for the industry the start-up cost was $5.4M (AUD) ($1,390 per outlet) and the ongoing cost was $1.9M (AUD) ($490 per outlet) per annum. </w:t>
      </w:r>
      <w:r w:rsidRPr="00CD40EE">
        <w:rPr>
          <w:rFonts w:ascii="Times New Roman" w:hAnsi="Times New Roman"/>
          <w:sz w:val="18"/>
          <w:szCs w:val="18"/>
          <w:lang w:val="en-US"/>
        </w:rPr>
        <w:t xml:space="preserve">Reported in NSW Government. 2012. </w:t>
      </w:r>
      <w:r w:rsidRPr="00CD40EE">
        <w:rPr>
          <w:rFonts w:ascii="Times New Roman" w:hAnsi="Times New Roman"/>
          <w:i/>
          <w:sz w:val="18"/>
          <w:szCs w:val="18"/>
          <w:lang w:val="en-US"/>
        </w:rPr>
        <w:t xml:space="preserve">Review of Fast-food Labelling Requirements (“Fast Choices”). </w:t>
      </w:r>
      <w:hyperlink r:id="rId48" w:history="1">
        <w:r w:rsidRPr="00CD40EE">
          <w:rPr>
            <w:rStyle w:val="Hyperlink"/>
            <w:rFonts w:ascii="Times New Roman" w:eastAsia="Times New Roman" w:hAnsi="Times New Roman"/>
            <w:sz w:val="18"/>
            <w:szCs w:val="18"/>
          </w:rPr>
          <w:t>https://www.parliament.nsw.gov.au/tp/files/8934/Section%20106R%20Review%20of%20Food%20Act%202003.pdf</w:t>
        </w:r>
      </w:hyperlink>
    </w:p>
    <w:p w14:paraId="2216C2BE" w14:textId="07CAD094" w:rsidR="00762E8C" w:rsidRPr="00CD40EE" w:rsidRDefault="00762E8C" w:rsidP="00857058">
      <w:pPr>
        <w:pStyle w:val="FootnoteText"/>
        <w:rPr>
          <w:rFonts w:ascii="Times New Roman" w:hAnsi="Times New Roman"/>
          <w:sz w:val="18"/>
          <w:szCs w:val="18"/>
          <w:lang w:val="en-US"/>
        </w:rPr>
      </w:pPr>
      <w:r w:rsidRPr="00CD40EE">
        <w:rPr>
          <w:rFonts w:ascii="Times New Roman" w:hAnsi="Times New Roman"/>
          <w:sz w:val="18"/>
          <w:szCs w:val="18"/>
        </w:rPr>
        <w:t xml:space="preserve">The Australian Bureau of Statistics Consumer Price Index Inflation Calculator was used to convert these 2012 costs to 2019. </w:t>
      </w:r>
    </w:p>
  </w:footnote>
  <w:footnote w:id="87">
    <w:p w14:paraId="3A1EA337" w14:textId="0FF28F11" w:rsidR="00762E8C" w:rsidRPr="00CD40EE" w:rsidRDefault="00762E8C">
      <w:pPr>
        <w:pStyle w:val="FootnoteText"/>
        <w:rPr>
          <w:rFonts w:ascii="Times New Roman" w:hAnsi="Times New Roman"/>
          <w:sz w:val="18"/>
          <w:szCs w:val="18"/>
          <w:lang w:val="en-US"/>
        </w:rPr>
      </w:pPr>
      <w:r w:rsidRPr="00CD40EE">
        <w:rPr>
          <w:rStyle w:val="FootnoteReference"/>
          <w:rFonts w:ascii="Times New Roman" w:hAnsi="Times New Roman"/>
          <w:sz w:val="18"/>
          <w:szCs w:val="18"/>
        </w:rPr>
        <w:footnoteRef/>
      </w:r>
      <w:r w:rsidRPr="00CD40EE">
        <w:rPr>
          <w:rFonts w:ascii="Times New Roman" w:hAnsi="Times New Roman"/>
          <w:sz w:val="18"/>
          <w:szCs w:val="18"/>
        </w:rPr>
        <w:t xml:space="preserve"> </w:t>
      </w:r>
      <w:r w:rsidRPr="00CD40EE">
        <w:rPr>
          <w:rFonts w:ascii="Times New Roman" w:hAnsi="Times New Roman"/>
          <w:sz w:val="18"/>
          <w:szCs w:val="18"/>
          <w:lang w:val="en-US"/>
        </w:rPr>
        <w:t xml:space="preserve">Variable cost depending on type of menu (e.g. paper menus, static menu boards, digital panels, online menus, apps). The costs may be overinflated, as the emergence of more electronic menus may have reduced costs associated with changing static menu boards. </w:t>
      </w:r>
    </w:p>
  </w:footnote>
  <w:footnote w:id="88">
    <w:p w14:paraId="5416F7FD" w14:textId="75F45AF1" w:rsidR="00762E8C" w:rsidRPr="00CD40EE" w:rsidRDefault="00762E8C">
      <w:pPr>
        <w:pStyle w:val="FootnoteText"/>
        <w:rPr>
          <w:rFonts w:ascii="Times New Roman" w:hAnsi="Times New Roman"/>
          <w:sz w:val="18"/>
          <w:szCs w:val="18"/>
          <w:lang w:val="en-US"/>
        </w:rPr>
      </w:pPr>
      <w:r w:rsidRPr="00CD40EE">
        <w:rPr>
          <w:rStyle w:val="FootnoteReference"/>
          <w:rFonts w:ascii="Times New Roman" w:hAnsi="Times New Roman"/>
          <w:sz w:val="18"/>
          <w:szCs w:val="18"/>
        </w:rPr>
        <w:footnoteRef/>
      </w:r>
      <w:r w:rsidRPr="00CD40EE">
        <w:rPr>
          <w:rFonts w:ascii="Times New Roman" w:hAnsi="Times New Roman"/>
          <w:sz w:val="18"/>
          <w:szCs w:val="18"/>
        </w:rPr>
        <w:t xml:space="preserve"> </w:t>
      </w:r>
      <w:r w:rsidRPr="00CD40EE">
        <w:rPr>
          <w:rFonts w:ascii="Times New Roman" w:hAnsi="Times New Roman"/>
          <w:sz w:val="18"/>
          <w:szCs w:val="18"/>
          <w:lang w:val="en-US"/>
        </w:rPr>
        <w:t>There is a lower cost option of using the freely available FSANZ Nutrition Panel Calculator or higher cost option of laboratory testing).</w:t>
      </w:r>
    </w:p>
  </w:footnote>
  <w:footnote w:id="89">
    <w:p w14:paraId="308B95E5" w14:textId="05D01CBC" w:rsidR="00762E8C" w:rsidRPr="00CD40EE" w:rsidRDefault="00762E8C">
      <w:pPr>
        <w:pStyle w:val="FootnoteText"/>
        <w:rPr>
          <w:rFonts w:ascii="Times New Roman" w:hAnsi="Times New Roman"/>
          <w:sz w:val="18"/>
          <w:szCs w:val="18"/>
          <w:lang w:val="en-US"/>
        </w:rPr>
      </w:pPr>
      <w:r w:rsidRPr="00CD40EE">
        <w:rPr>
          <w:rStyle w:val="FootnoteReference"/>
          <w:rFonts w:ascii="Times New Roman" w:hAnsi="Times New Roman"/>
          <w:sz w:val="18"/>
          <w:szCs w:val="18"/>
        </w:rPr>
        <w:footnoteRef/>
      </w:r>
      <w:r w:rsidRPr="00CD40EE">
        <w:rPr>
          <w:rFonts w:ascii="Times New Roman" w:hAnsi="Times New Roman"/>
          <w:sz w:val="18"/>
          <w:szCs w:val="18"/>
        </w:rPr>
        <w:t xml:space="preserve"> </w:t>
      </w:r>
      <w:r w:rsidRPr="00CD40EE">
        <w:rPr>
          <w:rFonts w:ascii="Times New Roman" w:hAnsi="Times New Roman"/>
          <w:sz w:val="18"/>
          <w:szCs w:val="18"/>
          <w:lang w:val="en-US"/>
        </w:rPr>
        <w:t xml:space="preserve">Reported in NSW Government. 2012. </w:t>
      </w:r>
      <w:r w:rsidRPr="00CD40EE">
        <w:rPr>
          <w:rFonts w:ascii="Times New Roman" w:hAnsi="Times New Roman"/>
          <w:i/>
          <w:sz w:val="18"/>
          <w:szCs w:val="18"/>
          <w:lang w:val="en-US"/>
        </w:rPr>
        <w:t xml:space="preserve">Review of Fast-food Labelling Requirements (“Fast Choices”). </w:t>
      </w:r>
      <w:hyperlink r:id="rId49" w:history="1">
        <w:r w:rsidRPr="00CD40EE">
          <w:rPr>
            <w:rStyle w:val="Hyperlink"/>
            <w:rFonts w:ascii="Times New Roman" w:eastAsia="Times New Roman" w:hAnsi="Times New Roman"/>
            <w:sz w:val="18"/>
            <w:szCs w:val="18"/>
          </w:rPr>
          <w:t>https://www.parliament.nsw.gov.au/tp/files/8934/Section%20106R%20Review%20of%20Food%20Act%202003.pdf</w:t>
        </w:r>
      </w:hyperlink>
    </w:p>
  </w:footnote>
  <w:footnote w:id="90">
    <w:p w14:paraId="4BFB1E1D" w14:textId="0E1007C7" w:rsidR="00762E8C" w:rsidRPr="00CD40EE" w:rsidRDefault="00762E8C">
      <w:pPr>
        <w:pStyle w:val="FootnoteText"/>
        <w:rPr>
          <w:rFonts w:ascii="Times New Roman" w:hAnsi="Times New Roman"/>
          <w:sz w:val="18"/>
          <w:szCs w:val="18"/>
          <w:lang w:val="en-US"/>
        </w:rPr>
      </w:pPr>
      <w:r w:rsidRPr="00CD40EE">
        <w:rPr>
          <w:rStyle w:val="FootnoteReference"/>
          <w:rFonts w:ascii="Times New Roman" w:hAnsi="Times New Roman"/>
          <w:sz w:val="18"/>
          <w:szCs w:val="18"/>
        </w:rPr>
        <w:footnoteRef/>
      </w:r>
      <w:r w:rsidRPr="00CD40EE">
        <w:rPr>
          <w:rFonts w:ascii="Times New Roman" w:hAnsi="Times New Roman"/>
          <w:sz w:val="18"/>
          <w:szCs w:val="18"/>
        </w:rPr>
        <w:t xml:space="preserve"> </w:t>
      </w:r>
      <w:r w:rsidRPr="00CD40EE">
        <w:rPr>
          <w:rFonts w:ascii="Times New Roman" w:hAnsi="Times New Roman"/>
          <w:sz w:val="18"/>
          <w:szCs w:val="18"/>
          <w:lang w:val="en-US"/>
        </w:rPr>
        <w:t>Note: A</w:t>
      </w:r>
      <w:r w:rsidRPr="00CD40EE">
        <w:rPr>
          <w:rFonts w:ascii="Times New Roman" w:hAnsi="Times New Roman"/>
          <w:sz w:val="18"/>
          <w:szCs w:val="18"/>
        </w:rPr>
        <w:t xml:space="preserve"> New Zealand/Australian exchange rate of 0.934, which is the average rate prevailing in the year to March 2021, was used.</w:t>
      </w:r>
    </w:p>
  </w:footnote>
  <w:footnote w:id="91">
    <w:p w14:paraId="7C2CE864" w14:textId="4CF4A124" w:rsidR="00762E8C" w:rsidRPr="00CD40EE" w:rsidRDefault="00762E8C">
      <w:pPr>
        <w:pStyle w:val="FootnoteText"/>
        <w:rPr>
          <w:lang w:val="en-US"/>
        </w:rPr>
      </w:pPr>
      <w:r w:rsidRPr="00476A2B">
        <w:rPr>
          <w:rStyle w:val="FootnoteReference"/>
          <w:rFonts w:ascii="Times New Roman" w:hAnsi="Times New Roman"/>
          <w:sz w:val="18"/>
          <w:szCs w:val="18"/>
        </w:rPr>
        <w:footnoteRef/>
      </w:r>
      <w:r w:rsidRPr="00476A2B">
        <w:rPr>
          <w:rFonts w:ascii="Times New Roman" w:hAnsi="Times New Roman"/>
          <w:sz w:val="18"/>
          <w:szCs w:val="18"/>
        </w:rPr>
        <w:t xml:space="preserve"> </w:t>
      </w:r>
      <w:r w:rsidRPr="00476A2B">
        <w:rPr>
          <w:rFonts w:ascii="Times New Roman" w:hAnsi="Times New Roman"/>
          <w:sz w:val="18"/>
          <w:szCs w:val="18"/>
          <w:lang w:val="en-US"/>
        </w:rPr>
        <w:t>This was done by a manual count of food outlets for each business if provided on the business website. There may be some inaccuracies as not all businesses provide a list of outlets. If a business uses a postcode map locater for its outlets, it is difficult to ensure all outlets were captured.</w:t>
      </w:r>
    </w:p>
  </w:footnote>
  <w:footnote w:id="92">
    <w:p w14:paraId="038AC352" w14:textId="66DC39C1" w:rsidR="00762E8C" w:rsidRPr="005B46E7" w:rsidRDefault="00762E8C" w:rsidP="000C3AA4">
      <w:pPr>
        <w:spacing w:after="40"/>
        <w:jc w:val="both"/>
        <w:rPr>
          <w:lang w:val="en-US"/>
        </w:rPr>
      </w:pPr>
      <w:r w:rsidRPr="005B46E7">
        <w:rPr>
          <w:rStyle w:val="FootnoteReference"/>
          <w:sz w:val="18"/>
          <w:szCs w:val="18"/>
        </w:rPr>
        <w:footnoteRef/>
      </w:r>
      <w:r w:rsidRPr="005B46E7">
        <w:rPr>
          <w:sz w:val="18"/>
          <w:szCs w:val="18"/>
        </w:rPr>
        <w:t xml:space="preserve"> Note: Under the New South Wales, South Australia, Australian Capital Territory and Queensland menu labelling regulations, any voluntary menu labelling must be compliant with the legislative provisions. The compliance costs for businesses that voluntarily </w:t>
      </w:r>
      <w:r w:rsidRPr="00476A2B">
        <w:rPr>
          <w:sz w:val="18"/>
          <w:szCs w:val="18"/>
        </w:rPr>
        <w:t>choose to implement menu labelling under Options 2 and 3 have not been explicitly included, as they were assumed to be within the margin of error for the overall compliance costs associated with mandatory menu labelling. In practice, compliance monitoring of voluntary implementation is focused on ensuring all menu items and not just the ‘healthier’ items have energy information displayed.</w:t>
      </w:r>
    </w:p>
  </w:footnote>
  <w:footnote w:id="93">
    <w:p w14:paraId="53EF75A3" w14:textId="74BEE5A8" w:rsidR="00762E8C" w:rsidRPr="00476A2B" w:rsidRDefault="00762E8C">
      <w:pPr>
        <w:pStyle w:val="FootnoteText"/>
        <w:rPr>
          <w:rFonts w:ascii="Times New Roman" w:hAnsi="Times New Roman"/>
          <w:sz w:val="18"/>
          <w:szCs w:val="18"/>
        </w:rPr>
      </w:pPr>
      <w:r w:rsidRPr="00476A2B">
        <w:rPr>
          <w:rStyle w:val="FootnoteReference"/>
          <w:rFonts w:ascii="Times New Roman" w:hAnsi="Times New Roman"/>
          <w:sz w:val="18"/>
          <w:szCs w:val="18"/>
        </w:rPr>
        <w:footnoteRef/>
      </w:r>
      <w:r w:rsidRPr="00476A2B">
        <w:rPr>
          <w:rFonts w:ascii="Times New Roman" w:hAnsi="Times New Roman"/>
          <w:sz w:val="18"/>
          <w:szCs w:val="18"/>
        </w:rPr>
        <w:t xml:space="preserve"> Presented in present value terms, based on calculations over a ten-year period discounted into present values using a 7% discount rate.</w:t>
      </w:r>
    </w:p>
  </w:footnote>
  <w:footnote w:id="94">
    <w:p w14:paraId="1208F5B9" w14:textId="47DE40DC" w:rsidR="00762E8C" w:rsidRPr="00476A2B" w:rsidRDefault="00762E8C">
      <w:pPr>
        <w:pStyle w:val="FootnoteText"/>
        <w:rPr>
          <w:rFonts w:ascii="Times New Roman" w:hAnsi="Times New Roman"/>
          <w:sz w:val="18"/>
          <w:szCs w:val="18"/>
          <w:lang w:val="en-US"/>
        </w:rPr>
      </w:pPr>
      <w:r w:rsidRPr="00476A2B">
        <w:rPr>
          <w:rStyle w:val="FootnoteReference"/>
          <w:rFonts w:ascii="Times New Roman" w:hAnsi="Times New Roman"/>
          <w:sz w:val="18"/>
          <w:szCs w:val="18"/>
        </w:rPr>
        <w:footnoteRef/>
      </w:r>
      <w:r w:rsidRPr="00476A2B">
        <w:rPr>
          <w:rFonts w:ascii="Times New Roman" w:hAnsi="Times New Roman"/>
          <w:sz w:val="18"/>
          <w:szCs w:val="18"/>
        </w:rPr>
        <w:t xml:space="preserve"> For Option 3, the lower amounts for NSW, Victoria, Queensland, and South Australia reflect the 20% cost saving from a binational approach. It appears to be a lower than expected compliance cost for Victoria in comparison to the other jurisdictions. The economic evaluation calculations indicate a negative compliance cost for years 2 to 10 in Victoria, which is not the case for the other three jurisdictions.</w:t>
      </w:r>
    </w:p>
  </w:footnote>
  <w:footnote w:id="95">
    <w:p w14:paraId="1D1B4D9F" w14:textId="441AE013" w:rsidR="00762E8C" w:rsidRPr="00C343BC" w:rsidRDefault="00762E8C">
      <w:pPr>
        <w:pStyle w:val="FootnoteText"/>
        <w:rPr>
          <w:rFonts w:ascii="Times New Roman" w:hAnsi="Times New Roman"/>
          <w:sz w:val="18"/>
          <w:szCs w:val="18"/>
          <w:lang w:val="en-US"/>
        </w:rPr>
      </w:pPr>
      <w:r w:rsidRPr="00476A2B">
        <w:rPr>
          <w:rStyle w:val="FootnoteReference"/>
          <w:rFonts w:ascii="Times New Roman" w:hAnsi="Times New Roman"/>
          <w:sz w:val="18"/>
          <w:szCs w:val="18"/>
        </w:rPr>
        <w:footnoteRef/>
      </w:r>
      <w:r w:rsidRPr="00476A2B">
        <w:rPr>
          <w:rStyle w:val="FootnoteReference"/>
          <w:rFonts w:ascii="Times New Roman" w:hAnsi="Times New Roman"/>
          <w:sz w:val="18"/>
          <w:szCs w:val="18"/>
        </w:rPr>
        <w:t xml:space="preserve"> </w:t>
      </w:r>
      <w:r w:rsidRPr="00476A2B">
        <w:rPr>
          <w:rFonts w:ascii="Times New Roman" w:hAnsi="Times New Roman"/>
          <w:sz w:val="18"/>
          <w:szCs w:val="18"/>
          <w:lang w:val="en-US"/>
        </w:rPr>
        <w:t>The compliance costs for businesses that voluntarily</w:t>
      </w:r>
      <w:r w:rsidRPr="00C343BC">
        <w:rPr>
          <w:rFonts w:ascii="Times New Roman" w:hAnsi="Times New Roman"/>
          <w:sz w:val="18"/>
          <w:szCs w:val="18"/>
          <w:lang w:val="en-US"/>
        </w:rPr>
        <w:t xml:space="preserve"> choose to implement menu labelling under Option 4 were estimated proportionally to the scale of consumer education; and were included to demonstrate that compliance costs would not fall to zero despite the voluntary nature of the option.</w:t>
      </w:r>
    </w:p>
  </w:footnote>
  <w:footnote w:id="96">
    <w:p w14:paraId="726F7420" w14:textId="241224BF" w:rsidR="00762E8C" w:rsidRPr="00981E8A" w:rsidRDefault="00762E8C">
      <w:pPr>
        <w:pStyle w:val="FootnoteText"/>
        <w:rPr>
          <w:lang w:val="en-US"/>
        </w:rPr>
      </w:pPr>
      <w:r w:rsidRPr="00981E8A">
        <w:rPr>
          <w:rStyle w:val="FootnoteReference"/>
          <w:rFonts w:ascii="Times New Roman" w:hAnsi="Times New Roman"/>
          <w:sz w:val="18"/>
          <w:szCs w:val="18"/>
        </w:rPr>
        <w:footnoteRef/>
      </w:r>
      <w:r>
        <w:t xml:space="preserve"> </w:t>
      </w:r>
      <w:r w:rsidRPr="00D6393B">
        <w:rPr>
          <w:rFonts w:ascii="Times New Roman" w:hAnsi="Times New Roman"/>
          <w:sz w:val="18"/>
          <w:szCs w:val="18"/>
          <w:lang w:val="en-US"/>
        </w:rPr>
        <w:t xml:space="preserve">For </w:t>
      </w:r>
      <w:r>
        <w:rPr>
          <w:rFonts w:ascii="Times New Roman" w:hAnsi="Times New Roman"/>
          <w:sz w:val="18"/>
          <w:szCs w:val="18"/>
          <w:lang w:val="en-US"/>
        </w:rPr>
        <w:t xml:space="preserve">more </w:t>
      </w:r>
      <w:r w:rsidRPr="00D6393B">
        <w:rPr>
          <w:rFonts w:ascii="Times New Roman" w:hAnsi="Times New Roman"/>
          <w:sz w:val="18"/>
          <w:szCs w:val="18"/>
          <w:lang w:val="en-US"/>
        </w:rPr>
        <w:t>details refer to the economic evaluation report.</w:t>
      </w:r>
      <w:r w:rsidR="00585308">
        <w:rPr>
          <w:rFonts w:ascii="Times New Roman" w:hAnsi="Times New Roman"/>
          <w:sz w:val="18"/>
          <w:szCs w:val="18"/>
          <w:lang w:val="en-US"/>
        </w:rPr>
        <w:t xml:space="preserve"> </w:t>
      </w:r>
      <w:hyperlink r:id="rId50" w:history="1">
        <w:r w:rsidR="00585308" w:rsidRPr="008A42F5">
          <w:rPr>
            <w:rStyle w:val="Hyperlink"/>
            <w:rFonts w:ascii="Times New Roman" w:hAnsi="Times New Roman"/>
            <w:sz w:val="18"/>
            <w:szCs w:val="18"/>
            <w:lang w:val="en-US"/>
          </w:rPr>
          <w:t>www.foodregulation.gov.au</w:t>
        </w:r>
      </w:hyperlink>
      <w:r w:rsidR="00585308">
        <w:rPr>
          <w:rFonts w:ascii="Times New Roman" w:hAnsi="Times New Roman"/>
          <w:sz w:val="18"/>
          <w:szCs w:val="18"/>
          <w:lang w:val="en-US"/>
        </w:rPr>
        <w:t xml:space="preserve"> </w:t>
      </w:r>
    </w:p>
  </w:footnote>
  <w:footnote w:id="97">
    <w:p w14:paraId="1053277B" w14:textId="77777777" w:rsidR="00762E8C" w:rsidRDefault="00762E8C" w:rsidP="007C080B">
      <w:pPr>
        <w:pStyle w:val="FootnoteText"/>
        <w:rPr>
          <w:rStyle w:val="Hyperlink"/>
          <w:rFonts w:ascii="Times New Roman" w:hAnsi="Times New Roman"/>
          <w:sz w:val="18"/>
          <w:szCs w:val="18"/>
          <w:lang w:val="en-US"/>
        </w:rPr>
      </w:pPr>
      <w:r w:rsidRPr="00CD10A6">
        <w:rPr>
          <w:rStyle w:val="FootnoteReference"/>
          <w:rFonts w:ascii="Times New Roman" w:hAnsi="Times New Roman"/>
          <w:sz w:val="18"/>
          <w:szCs w:val="18"/>
        </w:rPr>
        <w:footnoteRef/>
      </w:r>
      <w:r w:rsidRPr="00CD10A6">
        <w:rPr>
          <w:rFonts w:ascii="Times New Roman" w:hAnsi="Times New Roman"/>
          <w:sz w:val="18"/>
          <w:szCs w:val="18"/>
        </w:rPr>
        <w:t xml:space="preserve"> </w:t>
      </w:r>
      <w:bookmarkStart w:id="67" w:name="_Hlk88217407"/>
      <w:r w:rsidRPr="00CD10A6">
        <w:rPr>
          <w:rFonts w:ascii="Times New Roman" w:hAnsi="Times New Roman"/>
          <w:sz w:val="18"/>
          <w:szCs w:val="18"/>
          <w:lang w:val="en-US"/>
        </w:rPr>
        <w:t xml:space="preserve">Based on FSANZ </w:t>
      </w:r>
      <w:r>
        <w:rPr>
          <w:rFonts w:ascii="Times New Roman" w:hAnsi="Times New Roman"/>
          <w:sz w:val="18"/>
          <w:szCs w:val="18"/>
          <w:lang w:val="en-US"/>
        </w:rPr>
        <w:t>c</w:t>
      </w:r>
      <w:r w:rsidRPr="00CD10A6">
        <w:rPr>
          <w:rFonts w:ascii="Times New Roman" w:hAnsi="Times New Roman"/>
          <w:sz w:val="18"/>
          <w:szCs w:val="18"/>
          <w:lang w:val="en-US"/>
        </w:rPr>
        <w:t xml:space="preserve">ost </w:t>
      </w:r>
      <w:r>
        <w:rPr>
          <w:rFonts w:ascii="Times New Roman" w:hAnsi="Times New Roman"/>
          <w:sz w:val="18"/>
          <w:szCs w:val="18"/>
          <w:lang w:val="en-US"/>
        </w:rPr>
        <w:t>r</w:t>
      </w:r>
      <w:r w:rsidRPr="00CD10A6">
        <w:rPr>
          <w:rFonts w:ascii="Times New Roman" w:hAnsi="Times New Roman"/>
          <w:sz w:val="18"/>
          <w:szCs w:val="18"/>
          <w:lang w:val="en-US"/>
        </w:rPr>
        <w:t xml:space="preserve">ecovery fees for a major procedure for an </w:t>
      </w:r>
      <w:r>
        <w:rPr>
          <w:rFonts w:ascii="Times New Roman" w:hAnsi="Times New Roman"/>
          <w:sz w:val="18"/>
          <w:szCs w:val="18"/>
          <w:lang w:val="en-US"/>
        </w:rPr>
        <w:t>A</w:t>
      </w:r>
      <w:r w:rsidRPr="00CD10A6">
        <w:rPr>
          <w:rFonts w:ascii="Times New Roman" w:hAnsi="Times New Roman"/>
          <w:sz w:val="18"/>
          <w:szCs w:val="18"/>
          <w:lang w:val="en-US"/>
        </w:rPr>
        <w:t>pplication (1050 hours)</w:t>
      </w:r>
      <w:r>
        <w:rPr>
          <w:rFonts w:ascii="Times New Roman" w:hAnsi="Times New Roman"/>
          <w:sz w:val="18"/>
          <w:szCs w:val="18"/>
          <w:lang w:val="en-US"/>
        </w:rPr>
        <w:t xml:space="preserve"> in 2018-19</w:t>
      </w:r>
      <w:r w:rsidRPr="00CD10A6">
        <w:rPr>
          <w:rFonts w:ascii="Times New Roman" w:hAnsi="Times New Roman"/>
          <w:sz w:val="18"/>
          <w:szCs w:val="18"/>
          <w:lang w:val="en-US"/>
        </w:rPr>
        <w:t xml:space="preserve"> - </w:t>
      </w:r>
      <w:hyperlink r:id="rId51" w:history="1">
        <w:r w:rsidRPr="00CD10A6">
          <w:rPr>
            <w:rStyle w:val="Hyperlink"/>
            <w:rFonts w:ascii="Times New Roman" w:hAnsi="Times New Roman"/>
            <w:sz w:val="18"/>
            <w:szCs w:val="18"/>
            <w:lang w:val="en-US"/>
          </w:rPr>
          <w:t>https://www.foodstandards.gov.au/code/applications/Pages/Cost-recovery-arrangements.aspx</w:t>
        </w:r>
      </w:hyperlink>
    </w:p>
    <w:p w14:paraId="532FFD23" w14:textId="27E2B86F" w:rsidR="00762E8C" w:rsidRPr="00A042FD" w:rsidRDefault="00762E8C" w:rsidP="007C080B">
      <w:pPr>
        <w:pStyle w:val="FootnoteText"/>
        <w:rPr>
          <w:rFonts w:ascii="Times New Roman" w:hAnsi="Times New Roman"/>
          <w:sz w:val="18"/>
          <w:szCs w:val="18"/>
          <w:lang w:val="en-US"/>
        </w:rPr>
      </w:pPr>
      <w:r w:rsidRPr="00476A2B">
        <w:rPr>
          <w:rStyle w:val="Hyperlink"/>
          <w:rFonts w:ascii="Times New Roman" w:hAnsi="Times New Roman"/>
          <w:color w:val="auto"/>
          <w:sz w:val="18"/>
          <w:szCs w:val="18"/>
          <w:u w:val="none"/>
          <w:lang w:val="en-US"/>
        </w:rPr>
        <w:t>Note: since the economic evaluation was conducted, it has</w:t>
      </w:r>
      <w:r w:rsidRPr="00476A2B">
        <w:rPr>
          <w:rFonts w:ascii="Times New Roman" w:hAnsi="Times New Roman"/>
          <w:sz w:val="18"/>
          <w:szCs w:val="18"/>
          <w:lang w:val="en-US"/>
        </w:rPr>
        <w:t xml:space="preserve"> been advised that based on similar work, the cost to FSANZ would more realistically be estimated at around $450,000. This higher cost relates to a greater number of estimated hours and the expertise required to undertake the work. Therefore, the government administration costs for Option 3 would be more than was estimated. The higher estimate of administration costs assumed in the economic evaluation is more in line with the predicted true cost to FSANZ.</w:t>
      </w:r>
      <w:bookmarkEnd w:id="67"/>
      <w:r w:rsidR="00F65FCF" w:rsidRPr="00476A2B">
        <w:rPr>
          <w:rFonts w:ascii="Times New Roman" w:hAnsi="Times New Roman"/>
          <w:sz w:val="18"/>
          <w:szCs w:val="18"/>
          <w:lang w:val="en-US"/>
        </w:rPr>
        <w:t xml:space="preserve"> </w:t>
      </w:r>
      <w:r w:rsidR="00F24F36" w:rsidRPr="00476A2B">
        <w:rPr>
          <w:rFonts w:ascii="Times New Roman" w:hAnsi="Times New Roman"/>
          <w:sz w:val="18"/>
          <w:szCs w:val="18"/>
          <w:lang w:val="en-US"/>
        </w:rPr>
        <w:t>As this change in cost</w:t>
      </w:r>
      <w:r w:rsidR="00F9305E" w:rsidRPr="00476A2B">
        <w:rPr>
          <w:rFonts w:ascii="Times New Roman" w:hAnsi="Times New Roman"/>
          <w:sz w:val="18"/>
          <w:szCs w:val="18"/>
          <w:lang w:val="en-US"/>
        </w:rPr>
        <w:t xml:space="preserve"> is within the range of estimations</w:t>
      </w:r>
      <w:r w:rsidR="00841EE9" w:rsidRPr="00476A2B">
        <w:rPr>
          <w:rFonts w:ascii="Times New Roman" w:hAnsi="Times New Roman"/>
          <w:sz w:val="18"/>
          <w:szCs w:val="18"/>
          <w:lang w:val="en-US"/>
        </w:rPr>
        <w:t>,</w:t>
      </w:r>
      <w:r w:rsidR="00F9305E" w:rsidRPr="00476A2B">
        <w:rPr>
          <w:rFonts w:ascii="Times New Roman" w:hAnsi="Times New Roman"/>
          <w:sz w:val="18"/>
          <w:szCs w:val="18"/>
          <w:lang w:val="en-US"/>
        </w:rPr>
        <w:t xml:space="preserve"> t</w:t>
      </w:r>
      <w:r w:rsidR="00F65FCF" w:rsidRPr="00476A2B">
        <w:rPr>
          <w:rFonts w:ascii="Times New Roman" w:hAnsi="Times New Roman"/>
          <w:sz w:val="18"/>
          <w:szCs w:val="18"/>
          <w:lang w:val="en-US"/>
        </w:rPr>
        <w:t xml:space="preserve">he </w:t>
      </w:r>
      <w:r w:rsidR="00C86B2C" w:rsidRPr="00476A2B">
        <w:rPr>
          <w:rFonts w:ascii="Times New Roman" w:hAnsi="Times New Roman"/>
          <w:sz w:val="18"/>
          <w:szCs w:val="18"/>
          <w:lang w:val="en-US"/>
        </w:rPr>
        <w:t>economic evaluation has not been</w:t>
      </w:r>
      <w:r w:rsidR="00841EE9" w:rsidRPr="00476A2B">
        <w:rPr>
          <w:rFonts w:ascii="Times New Roman" w:hAnsi="Times New Roman"/>
          <w:sz w:val="18"/>
          <w:szCs w:val="18"/>
          <w:lang w:val="en-US"/>
        </w:rPr>
        <w:t xml:space="preserve"> re-calculated</w:t>
      </w:r>
      <w:r w:rsidR="007C5602" w:rsidRPr="00476A2B">
        <w:rPr>
          <w:rFonts w:ascii="Times New Roman" w:hAnsi="Times New Roman"/>
          <w:sz w:val="18"/>
          <w:szCs w:val="18"/>
          <w:lang w:val="en-US"/>
        </w:rPr>
        <w:t>.</w:t>
      </w:r>
      <w:r w:rsidR="00C86B2C">
        <w:rPr>
          <w:rFonts w:ascii="Times New Roman" w:hAnsi="Times New Roman"/>
          <w:sz w:val="18"/>
          <w:szCs w:val="18"/>
          <w:lang w:val="en-US"/>
        </w:rPr>
        <w:t xml:space="preserve"> </w:t>
      </w:r>
    </w:p>
  </w:footnote>
  <w:footnote w:id="98">
    <w:p w14:paraId="1C6CDF5B" w14:textId="21166AA8" w:rsidR="00762E8C" w:rsidRPr="00476A2B" w:rsidRDefault="00762E8C">
      <w:pPr>
        <w:pStyle w:val="FootnoteText"/>
        <w:rPr>
          <w:rFonts w:ascii="Times New Roman" w:hAnsi="Times New Roman"/>
          <w:sz w:val="18"/>
          <w:szCs w:val="18"/>
          <w:lang w:val="en-US"/>
        </w:rPr>
      </w:pPr>
      <w:r w:rsidRPr="00476A2B">
        <w:rPr>
          <w:rStyle w:val="FootnoteReference"/>
          <w:rFonts w:ascii="Times New Roman" w:hAnsi="Times New Roman"/>
          <w:sz w:val="18"/>
          <w:szCs w:val="18"/>
        </w:rPr>
        <w:footnoteRef/>
      </w:r>
      <w:r w:rsidRPr="00476A2B">
        <w:rPr>
          <w:rFonts w:ascii="Times New Roman" w:hAnsi="Times New Roman"/>
          <w:sz w:val="18"/>
          <w:szCs w:val="18"/>
        </w:rPr>
        <w:t xml:space="preserve"> </w:t>
      </w:r>
      <w:r w:rsidRPr="00476A2B">
        <w:rPr>
          <w:rFonts w:ascii="Times New Roman" w:hAnsi="Times New Roman"/>
          <w:sz w:val="18"/>
          <w:szCs w:val="18"/>
          <w:lang w:val="en-US"/>
        </w:rPr>
        <w:t xml:space="preserve">Note: since the economic evaluation was conducted, it has been advised that for the Northern Territory, 0.5FTE per annum or 5FTE over 10 years is a more realistic estimate based on actual resources available. Therefore, the administration cost would be less than was estimated. </w:t>
      </w:r>
    </w:p>
  </w:footnote>
  <w:footnote w:id="99">
    <w:p w14:paraId="22B87CCA" w14:textId="3030A44F" w:rsidR="00762E8C" w:rsidRPr="00476A2B" w:rsidRDefault="00762E8C">
      <w:pPr>
        <w:pStyle w:val="FootnoteText"/>
        <w:rPr>
          <w:rFonts w:ascii="Times New Roman" w:hAnsi="Times New Roman"/>
          <w:sz w:val="18"/>
          <w:szCs w:val="18"/>
          <w:lang w:val="en-US"/>
        </w:rPr>
      </w:pPr>
      <w:r w:rsidRPr="00476A2B">
        <w:rPr>
          <w:rStyle w:val="FootnoteReference"/>
          <w:rFonts w:ascii="Times New Roman" w:hAnsi="Times New Roman"/>
          <w:sz w:val="18"/>
          <w:szCs w:val="18"/>
        </w:rPr>
        <w:footnoteRef/>
      </w:r>
      <w:r w:rsidRPr="00476A2B">
        <w:rPr>
          <w:rFonts w:ascii="Times New Roman" w:hAnsi="Times New Roman"/>
          <w:sz w:val="18"/>
          <w:szCs w:val="18"/>
        </w:rPr>
        <w:t xml:space="preserve"> </w:t>
      </w:r>
      <w:r w:rsidRPr="00476A2B">
        <w:rPr>
          <w:rFonts w:ascii="Times New Roman" w:hAnsi="Times New Roman"/>
          <w:sz w:val="18"/>
          <w:szCs w:val="18"/>
          <w:lang w:val="en-US"/>
        </w:rPr>
        <w:t xml:space="preserve">Costs based on New Zealand Treasury. 2015. </w:t>
      </w:r>
      <w:r w:rsidRPr="00476A2B">
        <w:rPr>
          <w:rFonts w:ascii="Times New Roman" w:hAnsi="Times New Roman"/>
          <w:i/>
          <w:iCs/>
          <w:sz w:val="18"/>
          <w:szCs w:val="18"/>
          <w:lang w:val="en-US"/>
        </w:rPr>
        <w:t xml:space="preserve">Policy Measurement Report 2014/15. </w:t>
      </w:r>
      <w:hyperlink r:id="rId52" w:history="1">
        <w:r w:rsidRPr="00476A2B">
          <w:rPr>
            <w:rStyle w:val="Hyperlink"/>
            <w:rFonts w:ascii="Times New Roman" w:hAnsi="Times New Roman"/>
            <w:sz w:val="18"/>
            <w:szCs w:val="18"/>
            <w:lang w:val="en-US"/>
          </w:rPr>
          <w:t>https://www.treasury.govt.nz/sites/default/files/2016-09/policy-measurement-report-14-15.pdf</w:t>
        </w:r>
      </w:hyperlink>
      <w:r w:rsidRPr="00476A2B">
        <w:rPr>
          <w:rFonts w:ascii="Times New Roman" w:hAnsi="Times New Roman"/>
          <w:sz w:val="18"/>
          <w:szCs w:val="18"/>
          <w:lang w:val="en-US"/>
        </w:rPr>
        <w:t xml:space="preserve">  and adjusted for 2021 prices, and for Australia, adjusted by the NZ/AUS exchange rate and the premium that Australian public sector workers have over New Zealand public sector workers. Costs include employee wages, management overheads, ancillary services (e.g. accounts, IT support, HR). No adjustment was made for potential pay rate differences between jurisdictions.</w:t>
      </w:r>
    </w:p>
  </w:footnote>
  <w:footnote w:id="100">
    <w:p w14:paraId="7D566D5D" w14:textId="7F895183" w:rsidR="00762E8C" w:rsidRDefault="00762E8C">
      <w:pPr>
        <w:pStyle w:val="FootnoteText"/>
      </w:pPr>
      <w:r w:rsidRPr="00476A2B">
        <w:rPr>
          <w:rStyle w:val="FootnoteReference"/>
          <w:rFonts w:ascii="Times New Roman" w:hAnsi="Times New Roman"/>
          <w:sz w:val="18"/>
          <w:szCs w:val="18"/>
        </w:rPr>
        <w:footnoteRef/>
      </w:r>
      <w:r w:rsidRPr="00476A2B">
        <w:rPr>
          <w:rFonts w:ascii="Times New Roman" w:hAnsi="Times New Roman"/>
          <w:sz w:val="18"/>
          <w:szCs w:val="18"/>
        </w:rPr>
        <w:t xml:space="preserve"> Presented in present value terms, based on calculations over a ten-year period discounted into present values using a 7% discount rate.</w:t>
      </w:r>
    </w:p>
  </w:footnote>
  <w:footnote w:id="101">
    <w:p w14:paraId="6BF6ACD1" w14:textId="1C56E4A4" w:rsidR="00762E8C" w:rsidRPr="00476A2B" w:rsidRDefault="00762E8C" w:rsidP="00973211">
      <w:pPr>
        <w:jc w:val="both"/>
        <w:rPr>
          <w:sz w:val="18"/>
          <w:szCs w:val="18"/>
          <w:lang w:val="en-US"/>
        </w:rPr>
      </w:pPr>
      <w:r w:rsidRPr="00476A2B">
        <w:rPr>
          <w:rStyle w:val="FootnoteReference"/>
          <w:sz w:val="18"/>
          <w:szCs w:val="18"/>
        </w:rPr>
        <w:footnoteRef/>
      </w:r>
      <w:r w:rsidRPr="00476A2B">
        <w:rPr>
          <w:sz w:val="18"/>
          <w:szCs w:val="18"/>
        </w:rPr>
        <w:t xml:space="preserve"> </w:t>
      </w:r>
      <w:r w:rsidRPr="00476A2B">
        <w:rPr>
          <w:sz w:val="18"/>
          <w:szCs w:val="18"/>
          <w:lang w:val="en-US"/>
        </w:rPr>
        <w:t xml:space="preserve">As previously noted in Section 1.3, it is important to note that this is a logic model for menu labelling. It is not a representation of the complex system for obesity, nor does it establish causality between menu labelling and obesity, as there are many intermediate decisions and contributing factors not included. The purpose of this paper is to improve and strengthen menu labelling – it is not intended to be a comprehensive strategy for what the food regulation system can contribute to obesity prevention. </w:t>
      </w:r>
    </w:p>
  </w:footnote>
  <w:footnote w:id="102">
    <w:p w14:paraId="5B237731" w14:textId="270D0290" w:rsidR="00762E8C" w:rsidRPr="00476A2B" w:rsidRDefault="00762E8C">
      <w:pPr>
        <w:pStyle w:val="FootnoteText"/>
        <w:rPr>
          <w:rFonts w:ascii="Times New Roman" w:hAnsi="Times New Roman"/>
          <w:sz w:val="18"/>
          <w:szCs w:val="18"/>
          <w:lang w:val="en-US"/>
        </w:rPr>
      </w:pPr>
      <w:r w:rsidRPr="00476A2B">
        <w:rPr>
          <w:rStyle w:val="FootnoteReference"/>
          <w:rFonts w:ascii="Times New Roman" w:hAnsi="Times New Roman"/>
          <w:sz w:val="18"/>
          <w:szCs w:val="18"/>
        </w:rPr>
        <w:footnoteRef/>
      </w:r>
      <w:r w:rsidRPr="00476A2B">
        <w:rPr>
          <w:rFonts w:ascii="Times New Roman" w:hAnsi="Times New Roman"/>
          <w:sz w:val="18"/>
          <w:szCs w:val="18"/>
        </w:rPr>
        <w:t xml:space="preserve"> </w:t>
      </w:r>
      <w:r w:rsidRPr="00476A2B">
        <w:rPr>
          <w:rFonts w:ascii="Times New Roman" w:hAnsi="Times New Roman"/>
          <w:sz w:val="18"/>
          <w:szCs w:val="18"/>
          <w:lang w:val="en-US"/>
        </w:rPr>
        <w:t xml:space="preserve">Based on Crockett et al (2018) (a systematic review of 28 studies), Littlewood et al (2016) (a systematic review and meta-analysis of 15 studies), </w:t>
      </w:r>
      <w:proofErr w:type="spellStart"/>
      <w:r w:rsidRPr="00476A2B">
        <w:rPr>
          <w:rFonts w:ascii="Times New Roman" w:hAnsi="Times New Roman"/>
          <w:sz w:val="18"/>
          <w:szCs w:val="18"/>
          <w:lang w:val="en-US"/>
        </w:rPr>
        <w:t>Shangguan</w:t>
      </w:r>
      <w:proofErr w:type="spellEnd"/>
      <w:r w:rsidRPr="00476A2B">
        <w:rPr>
          <w:rFonts w:ascii="Times New Roman" w:hAnsi="Times New Roman"/>
          <w:sz w:val="18"/>
          <w:szCs w:val="18"/>
          <w:lang w:val="en-US"/>
        </w:rPr>
        <w:t xml:space="preserve"> et al (2019) (a meta-analysis of 60 studies), Lui et al (2020) (an economic evaluation of the United States menu labelling). See Appendix 2 and section 5.7 for further details.</w:t>
      </w:r>
    </w:p>
  </w:footnote>
  <w:footnote w:id="103">
    <w:p w14:paraId="6748D1CD" w14:textId="6CBD7871" w:rsidR="00762E8C" w:rsidRPr="00113E92" w:rsidRDefault="00762E8C">
      <w:pPr>
        <w:pStyle w:val="FootnoteText"/>
        <w:rPr>
          <w:rFonts w:ascii="Times New Roman" w:hAnsi="Times New Roman"/>
          <w:sz w:val="18"/>
          <w:szCs w:val="18"/>
          <w:lang w:val="en-US"/>
        </w:rPr>
      </w:pPr>
      <w:r w:rsidRPr="00476A2B">
        <w:rPr>
          <w:rStyle w:val="FootnoteReference"/>
          <w:rFonts w:ascii="Times New Roman" w:hAnsi="Times New Roman"/>
          <w:sz w:val="18"/>
          <w:szCs w:val="18"/>
        </w:rPr>
        <w:footnoteRef/>
      </w:r>
      <w:r w:rsidRPr="00476A2B">
        <w:rPr>
          <w:rFonts w:ascii="Times New Roman" w:hAnsi="Times New Roman"/>
          <w:sz w:val="18"/>
          <w:szCs w:val="18"/>
        </w:rPr>
        <w:t xml:space="preserve"> Note: The relative cheapness may mean that energy intake from fast food is</w:t>
      </w:r>
      <w:r w:rsidRPr="00113E92">
        <w:rPr>
          <w:rFonts w:ascii="Times New Roman" w:hAnsi="Times New Roman"/>
          <w:sz w:val="18"/>
          <w:szCs w:val="18"/>
        </w:rPr>
        <w:t xml:space="preserve"> higher than its proportion of food expenditure. </w:t>
      </w:r>
    </w:p>
  </w:footnote>
  <w:footnote w:id="104">
    <w:p w14:paraId="4F350039" w14:textId="5907E6F9" w:rsidR="00762E8C" w:rsidRPr="004F1CF6" w:rsidRDefault="00762E8C">
      <w:pPr>
        <w:pStyle w:val="FootnoteText"/>
        <w:rPr>
          <w:lang w:val="en-US"/>
        </w:rPr>
      </w:pPr>
      <w:r w:rsidRPr="00ED2AC8">
        <w:rPr>
          <w:rStyle w:val="FootnoteReference"/>
          <w:rFonts w:ascii="Times New Roman" w:hAnsi="Times New Roman"/>
          <w:sz w:val="18"/>
          <w:szCs w:val="18"/>
        </w:rPr>
        <w:footnoteRef/>
      </w:r>
      <w:r w:rsidRPr="00ED2AC8">
        <w:rPr>
          <w:rFonts w:ascii="Times New Roman" w:hAnsi="Times New Roman"/>
          <w:sz w:val="18"/>
          <w:szCs w:val="18"/>
        </w:rPr>
        <w:t xml:space="preserve"> </w:t>
      </w:r>
      <w:r w:rsidRPr="00ED2AC8">
        <w:rPr>
          <w:rFonts w:ascii="Times New Roman" w:hAnsi="Times New Roman"/>
          <w:sz w:val="18"/>
          <w:szCs w:val="18"/>
          <w:lang w:val="en-US"/>
        </w:rPr>
        <w:t>Note: this is consistent wit</w:t>
      </w:r>
      <w:r>
        <w:rPr>
          <w:rFonts w:ascii="Times New Roman" w:hAnsi="Times New Roman"/>
          <w:sz w:val="18"/>
          <w:szCs w:val="18"/>
          <w:lang w:val="en-US"/>
        </w:rPr>
        <w:t xml:space="preserve">h modelling of the impacts of the New South Wales menu labelling legislation as </w:t>
      </w:r>
      <w:r>
        <w:rPr>
          <w:rFonts w:ascii="Times New Roman" w:hAnsi="Times New Roman"/>
          <w:sz w:val="18"/>
          <w:szCs w:val="18"/>
        </w:rPr>
        <w:t>reported by</w:t>
      </w:r>
      <w:r w:rsidRPr="007A5589">
        <w:rPr>
          <w:rFonts w:ascii="Times New Roman" w:hAnsi="Times New Roman"/>
          <w:sz w:val="18"/>
          <w:szCs w:val="18"/>
        </w:rPr>
        <w:t xml:space="preserve"> Mantilla-Herrera et al. </w:t>
      </w:r>
      <w:r w:rsidRPr="007A5589">
        <w:rPr>
          <w:rFonts w:ascii="Times New Roman" w:hAnsi="Times New Roman"/>
          <w:i/>
          <w:iCs/>
          <w:sz w:val="18"/>
          <w:szCs w:val="18"/>
        </w:rPr>
        <w:t>Menu kilojoule labelling on fast food</w:t>
      </w:r>
      <w:r w:rsidRPr="007A5589">
        <w:rPr>
          <w:rFonts w:ascii="Times New Roman" w:hAnsi="Times New Roman"/>
          <w:sz w:val="18"/>
          <w:szCs w:val="18"/>
        </w:rPr>
        <w:t xml:space="preserve"> in </w:t>
      </w:r>
      <w:proofErr w:type="spellStart"/>
      <w:r w:rsidRPr="007A5589">
        <w:rPr>
          <w:rFonts w:ascii="Times New Roman" w:hAnsi="Times New Roman"/>
          <w:sz w:val="18"/>
          <w:szCs w:val="18"/>
        </w:rPr>
        <w:t>Ananthapavan</w:t>
      </w:r>
      <w:proofErr w:type="spellEnd"/>
      <w:r w:rsidRPr="007A5589">
        <w:rPr>
          <w:rFonts w:ascii="Times New Roman" w:hAnsi="Times New Roman"/>
          <w:sz w:val="18"/>
          <w:szCs w:val="18"/>
        </w:rPr>
        <w:t xml:space="preserve"> et al. 2018. </w:t>
      </w:r>
      <w:r w:rsidRPr="007A5589">
        <w:rPr>
          <w:rFonts w:ascii="Times New Roman" w:hAnsi="Times New Roman"/>
          <w:i/>
          <w:sz w:val="18"/>
          <w:szCs w:val="18"/>
        </w:rPr>
        <w:t>Assessing cost-effectiveness of obesity prevention policies in Australia 2018</w:t>
      </w:r>
      <w:r w:rsidRPr="007A5589">
        <w:rPr>
          <w:rFonts w:ascii="Times New Roman" w:hAnsi="Times New Roman"/>
          <w:sz w:val="18"/>
          <w:szCs w:val="18"/>
        </w:rPr>
        <w:t xml:space="preserve">. Melbourne: Deakin University. </w:t>
      </w:r>
      <w:hyperlink r:id="rId53" w:history="1">
        <w:r w:rsidRPr="007A5589">
          <w:rPr>
            <w:rStyle w:val="Hyperlink"/>
            <w:rFonts w:ascii="Times New Roman" w:hAnsi="Times New Roman"/>
            <w:sz w:val="18"/>
            <w:szCs w:val="18"/>
          </w:rPr>
          <w:t>http://www.aceobesitypolicy.com.au/</w:t>
        </w:r>
      </w:hyperlink>
    </w:p>
  </w:footnote>
  <w:footnote w:id="105">
    <w:p w14:paraId="1827FA1D" w14:textId="159ABA43" w:rsidR="00762E8C" w:rsidRPr="002F2F08" w:rsidRDefault="00762E8C" w:rsidP="008F51DB">
      <w:pPr>
        <w:spacing w:after="40"/>
        <w:rPr>
          <w:lang w:val="en-US"/>
        </w:rPr>
      </w:pPr>
      <w:r w:rsidRPr="0067389A">
        <w:rPr>
          <w:rStyle w:val="FootnoteReference"/>
          <w:sz w:val="18"/>
          <w:szCs w:val="18"/>
        </w:rPr>
        <w:footnoteRef/>
      </w:r>
      <w:r w:rsidRPr="0067389A">
        <w:rPr>
          <w:sz w:val="18"/>
          <w:szCs w:val="18"/>
        </w:rPr>
        <w:t xml:space="preserve"> </w:t>
      </w:r>
      <w:r w:rsidRPr="0067389A">
        <w:rPr>
          <w:sz w:val="18"/>
          <w:szCs w:val="18"/>
          <w:lang w:val="en-US"/>
        </w:rPr>
        <w:t>Based on</w:t>
      </w:r>
      <w:r w:rsidRPr="0067389A">
        <w:rPr>
          <w:sz w:val="18"/>
          <w:szCs w:val="18"/>
        </w:rPr>
        <w:t xml:space="preserve"> </w:t>
      </w:r>
      <w:r>
        <w:rPr>
          <w:sz w:val="18"/>
          <w:szCs w:val="18"/>
        </w:rPr>
        <w:t>s</w:t>
      </w:r>
      <w:r w:rsidRPr="0067389A">
        <w:rPr>
          <w:sz w:val="18"/>
          <w:szCs w:val="18"/>
        </w:rPr>
        <w:t xml:space="preserve">ustained decline of 100 kilojoule per day leads to a 1kg weight loss after 3 years, with half of weight reduction in the first year </w:t>
      </w:r>
      <w:r>
        <w:rPr>
          <w:sz w:val="18"/>
          <w:szCs w:val="18"/>
        </w:rPr>
        <w:t xml:space="preserve">in </w:t>
      </w:r>
      <w:r w:rsidRPr="00363E39">
        <w:rPr>
          <w:sz w:val="18"/>
          <w:szCs w:val="18"/>
          <w:lang w:val="en-US"/>
        </w:rPr>
        <w:t>Hall</w:t>
      </w:r>
      <w:r>
        <w:rPr>
          <w:sz w:val="18"/>
          <w:szCs w:val="18"/>
          <w:lang w:val="en-US"/>
        </w:rPr>
        <w:t xml:space="preserve"> et al.</w:t>
      </w:r>
      <w:r w:rsidRPr="00363E39">
        <w:rPr>
          <w:sz w:val="18"/>
          <w:szCs w:val="18"/>
          <w:lang w:val="en-US"/>
        </w:rPr>
        <w:t xml:space="preserve"> 2011. Quantification of the Effect of Energy Imbalance on Bodyweight. </w:t>
      </w:r>
      <w:r w:rsidRPr="00363E39">
        <w:rPr>
          <w:i/>
          <w:iCs/>
          <w:sz w:val="18"/>
          <w:szCs w:val="18"/>
          <w:lang w:val="en-US"/>
        </w:rPr>
        <w:t>Lancet</w:t>
      </w:r>
      <w:r>
        <w:rPr>
          <w:i/>
          <w:iCs/>
          <w:sz w:val="18"/>
          <w:szCs w:val="18"/>
          <w:lang w:val="en-US"/>
        </w:rPr>
        <w:t>,</w:t>
      </w:r>
      <w:r w:rsidRPr="00363E39">
        <w:rPr>
          <w:sz w:val="18"/>
          <w:szCs w:val="18"/>
          <w:lang w:val="en-US"/>
        </w:rPr>
        <w:t xml:space="preserve"> 378 (9793): 826–37. </w:t>
      </w:r>
      <w:hyperlink r:id="rId54" w:history="1">
        <w:r w:rsidRPr="0050299F">
          <w:rPr>
            <w:rStyle w:val="Hyperlink"/>
            <w:sz w:val="18"/>
            <w:szCs w:val="18"/>
            <w:lang w:val="en-US"/>
          </w:rPr>
          <w:t>https://doi.org/10.1016/S0140-6736(11)60812-X</w:t>
        </w:r>
      </w:hyperlink>
      <w:r>
        <w:rPr>
          <w:sz w:val="18"/>
          <w:szCs w:val="18"/>
          <w:lang w:val="en-US"/>
        </w:rPr>
        <w:t xml:space="preserve"> </w:t>
      </w:r>
    </w:p>
  </w:footnote>
  <w:footnote w:id="106">
    <w:p w14:paraId="523DDF4A" w14:textId="7EC0F028" w:rsidR="00762E8C" w:rsidRPr="000B70B8" w:rsidRDefault="00762E8C">
      <w:pPr>
        <w:pStyle w:val="FootnoteText"/>
        <w:rPr>
          <w:rFonts w:ascii="Times New Roman" w:hAnsi="Times New Roman"/>
          <w:sz w:val="18"/>
          <w:szCs w:val="18"/>
        </w:rPr>
      </w:pPr>
      <w:r w:rsidRPr="004F2650">
        <w:rPr>
          <w:rStyle w:val="FootnoteReference"/>
          <w:rFonts w:ascii="Times New Roman" w:hAnsi="Times New Roman"/>
          <w:sz w:val="18"/>
          <w:szCs w:val="18"/>
        </w:rPr>
        <w:footnoteRef/>
      </w:r>
      <w:r w:rsidRPr="004F2650">
        <w:rPr>
          <w:rFonts w:ascii="Times New Roman" w:hAnsi="Times New Roman"/>
          <w:sz w:val="18"/>
          <w:szCs w:val="18"/>
        </w:rPr>
        <w:t xml:space="preserve"> Based on average Australian adult weight of 79.2kg (2017-18 National Health Survey) and average New Zealand adult </w:t>
      </w:r>
      <w:r w:rsidRPr="000B70B8">
        <w:rPr>
          <w:rFonts w:ascii="Times New Roman" w:hAnsi="Times New Roman"/>
          <w:sz w:val="18"/>
          <w:szCs w:val="18"/>
        </w:rPr>
        <w:t>weight of 80.5kg (2019-20 National Health Survey).</w:t>
      </w:r>
    </w:p>
  </w:footnote>
  <w:footnote w:id="107">
    <w:p w14:paraId="524B7109" w14:textId="473D754E" w:rsidR="00762E8C" w:rsidRPr="00E45CA5" w:rsidRDefault="00762E8C">
      <w:pPr>
        <w:pStyle w:val="FootnoteText"/>
        <w:rPr>
          <w:rFonts w:ascii="Times New Roman" w:hAnsi="Times New Roman"/>
          <w:sz w:val="18"/>
          <w:szCs w:val="18"/>
          <w:lang w:val="en-US"/>
        </w:rPr>
      </w:pPr>
      <w:r w:rsidRPr="000B70B8">
        <w:rPr>
          <w:rStyle w:val="FootnoteReference"/>
          <w:rFonts w:ascii="Times New Roman" w:hAnsi="Times New Roman"/>
          <w:sz w:val="18"/>
          <w:szCs w:val="18"/>
        </w:rPr>
        <w:footnoteRef/>
      </w:r>
      <w:r w:rsidRPr="000B70B8">
        <w:rPr>
          <w:rFonts w:ascii="Times New Roman" w:hAnsi="Times New Roman"/>
          <w:sz w:val="18"/>
          <w:szCs w:val="18"/>
        </w:rPr>
        <w:t xml:space="preserve"> </w:t>
      </w:r>
      <w:r w:rsidRPr="00D77011">
        <w:rPr>
          <w:rFonts w:ascii="Times New Roman" w:hAnsi="Times New Roman"/>
          <w:sz w:val="18"/>
          <w:szCs w:val="18"/>
          <w:lang w:val="en-US"/>
        </w:rPr>
        <w:t xml:space="preserve">Based on </w:t>
      </w:r>
      <w:r w:rsidRPr="00AC1576">
        <w:rPr>
          <w:rFonts w:ascii="Times New Roman" w:hAnsi="Times New Roman"/>
          <w:color w:val="000000"/>
          <w:sz w:val="18"/>
          <w:szCs w:val="18"/>
          <w:lang w:eastAsia="en-AU"/>
        </w:rPr>
        <w:t>Institute for Health Metrics and Evaluation</w:t>
      </w:r>
      <w:r w:rsidR="001E3B74">
        <w:rPr>
          <w:rFonts w:ascii="Times New Roman" w:hAnsi="Times New Roman"/>
          <w:color w:val="000000"/>
          <w:sz w:val="18"/>
          <w:szCs w:val="18"/>
          <w:lang w:eastAsia="en-AU"/>
        </w:rPr>
        <w:t>’s</w:t>
      </w:r>
      <w:r w:rsidR="009B3459">
        <w:rPr>
          <w:rFonts w:ascii="Times New Roman" w:hAnsi="Times New Roman"/>
          <w:color w:val="000000"/>
          <w:sz w:val="18"/>
          <w:szCs w:val="18"/>
          <w:lang w:eastAsia="en-AU"/>
        </w:rPr>
        <w:t xml:space="preserve"> Global Burden of Disease</w:t>
      </w:r>
      <w:r w:rsidR="00270440">
        <w:rPr>
          <w:rFonts w:ascii="Times New Roman" w:hAnsi="Times New Roman"/>
          <w:color w:val="000000"/>
          <w:sz w:val="18"/>
          <w:szCs w:val="18"/>
          <w:lang w:eastAsia="en-AU"/>
        </w:rPr>
        <w:t xml:space="preserve"> </w:t>
      </w:r>
      <w:r w:rsidR="001E3B74">
        <w:rPr>
          <w:rFonts w:ascii="Times New Roman" w:hAnsi="Times New Roman"/>
          <w:color w:val="000000"/>
          <w:sz w:val="18"/>
          <w:szCs w:val="18"/>
          <w:lang w:eastAsia="en-AU"/>
        </w:rPr>
        <w:t xml:space="preserve">(GBD) </w:t>
      </w:r>
      <w:r w:rsidR="00270440">
        <w:rPr>
          <w:rFonts w:ascii="Times New Roman" w:hAnsi="Times New Roman"/>
          <w:color w:val="000000"/>
          <w:sz w:val="18"/>
          <w:szCs w:val="18"/>
          <w:lang w:eastAsia="en-AU"/>
        </w:rPr>
        <w:t>Study</w:t>
      </w:r>
      <w:r w:rsidR="001353AA">
        <w:rPr>
          <w:rFonts w:ascii="Times New Roman" w:hAnsi="Times New Roman"/>
          <w:color w:val="000000"/>
          <w:sz w:val="18"/>
          <w:szCs w:val="18"/>
          <w:lang w:eastAsia="en-AU"/>
        </w:rPr>
        <w:t xml:space="preserve"> which </w:t>
      </w:r>
      <w:r w:rsidR="001353AA" w:rsidRPr="006B1C42">
        <w:rPr>
          <w:rFonts w:ascii="Times New Roman" w:hAnsi="Times New Roman"/>
          <w:sz w:val="18"/>
          <w:szCs w:val="18"/>
        </w:rPr>
        <w:t xml:space="preserve">provides comparable data for Australia and New Zealand.   </w:t>
      </w:r>
      <w:r w:rsidR="00270440">
        <w:rPr>
          <w:rFonts w:ascii="Times New Roman" w:hAnsi="Times New Roman"/>
          <w:color w:val="000000"/>
          <w:sz w:val="18"/>
          <w:szCs w:val="18"/>
          <w:lang w:eastAsia="en-AU"/>
        </w:rPr>
        <w:t>Methodology</w:t>
      </w:r>
      <w:r w:rsidR="00025D56">
        <w:rPr>
          <w:rFonts w:ascii="Times New Roman" w:hAnsi="Times New Roman"/>
          <w:color w:val="000000"/>
          <w:sz w:val="18"/>
          <w:szCs w:val="18"/>
          <w:lang w:eastAsia="en-AU"/>
        </w:rPr>
        <w:t xml:space="preserve"> and results from the GBD</w:t>
      </w:r>
      <w:r w:rsidR="00270440">
        <w:rPr>
          <w:rFonts w:ascii="Times New Roman" w:hAnsi="Times New Roman"/>
          <w:color w:val="000000"/>
          <w:sz w:val="18"/>
          <w:szCs w:val="18"/>
          <w:lang w:eastAsia="en-AU"/>
        </w:rPr>
        <w:t xml:space="preserve"> </w:t>
      </w:r>
      <w:r w:rsidR="001E3B74">
        <w:rPr>
          <w:rFonts w:ascii="Times New Roman" w:hAnsi="Times New Roman"/>
          <w:color w:val="000000"/>
          <w:sz w:val="18"/>
          <w:szCs w:val="18"/>
          <w:lang w:eastAsia="en-AU"/>
        </w:rPr>
        <w:t>2019 are</w:t>
      </w:r>
      <w:r w:rsidR="00270440">
        <w:rPr>
          <w:rFonts w:ascii="Times New Roman" w:hAnsi="Times New Roman"/>
          <w:color w:val="000000"/>
          <w:sz w:val="18"/>
          <w:szCs w:val="18"/>
          <w:lang w:eastAsia="en-AU"/>
        </w:rPr>
        <w:t xml:space="preserve"> available at: </w:t>
      </w:r>
      <w:hyperlink r:id="rId55" w:history="1">
        <w:r w:rsidR="00DD5119" w:rsidRPr="0040556F">
          <w:rPr>
            <w:rStyle w:val="Hyperlink"/>
            <w:rFonts w:ascii="Times New Roman" w:hAnsi="Times New Roman"/>
            <w:sz w:val="18"/>
            <w:szCs w:val="18"/>
            <w:lang w:eastAsia="en-AU"/>
          </w:rPr>
          <w:t>https://www.thelancet.com/journals/lancet/article/PIIS0140-6736(20)30925-9/fulltext</w:t>
        </w:r>
      </w:hyperlink>
      <w:r w:rsidR="00DD5119">
        <w:rPr>
          <w:rFonts w:ascii="Times New Roman" w:hAnsi="Times New Roman"/>
          <w:color w:val="000000"/>
          <w:sz w:val="18"/>
          <w:szCs w:val="18"/>
          <w:lang w:eastAsia="en-AU"/>
        </w:rPr>
        <w:t xml:space="preserve">. </w:t>
      </w:r>
      <w:r w:rsidR="00D52E7D">
        <w:rPr>
          <w:rFonts w:ascii="Times New Roman" w:hAnsi="Times New Roman"/>
          <w:color w:val="000000"/>
          <w:sz w:val="18"/>
          <w:szCs w:val="18"/>
          <w:lang w:eastAsia="en-AU"/>
        </w:rPr>
        <w:t>The</w:t>
      </w:r>
      <w:r w:rsidR="00270440">
        <w:rPr>
          <w:rFonts w:ascii="Times New Roman" w:hAnsi="Times New Roman"/>
          <w:color w:val="000000"/>
          <w:sz w:val="18"/>
          <w:szCs w:val="18"/>
          <w:lang w:eastAsia="en-AU"/>
        </w:rPr>
        <w:t xml:space="preserve"> </w:t>
      </w:r>
      <w:r w:rsidR="00B162C5">
        <w:rPr>
          <w:rFonts w:ascii="Times New Roman" w:hAnsi="Times New Roman"/>
          <w:color w:val="000000"/>
          <w:sz w:val="18"/>
          <w:szCs w:val="18"/>
          <w:lang w:eastAsia="en-AU"/>
        </w:rPr>
        <w:t>d</w:t>
      </w:r>
      <w:r w:rsidR="00270440">
        <w:rPr>
          <w:rFonts w:ascii="Times New Roman" w:hAnsi="Times New Roman"/>
          <w:color w:val="000000"/>
          <w:sz w:val="18"/>
          <w:szCs w:val="18"/>
          <w:lang w:eastAsia="en-AU"/>
        </w:rPr>
        <w:t xml:space="preserve">ata </w:t>
      </w:r>
      <w:r w:rsidR="00B162C5">
        <w:rPr>
          <w:rFonts w:ascii="Times New Roman" w:hAnsi="Times New Roman"/>
          <w:color w:val="000000"/>
          <w:sz w:val="18"/>
          <w:szCs w:val="18"/>
          <w:lang w:eastAsia="en-AU"/>
        </w:rPr>
        <w:t xml:space="preserve">is </w:t>
      </w:r>
      <w:r w:rsidR="00D849D4">
        <w:rPr>
          <w:rFonts w:ascii="Times New Roman" w:hAnsi="Times New Roman"/>
          <w:color w:val="000000"/>
          <w:sz w:val="18"/>
          <w:szCs w:val="18"/>
          <w:lang w:eastAsia="en-AU"/>
        </w:rPr>
        <w:t>from</w:t>
      </w:r>
      <w:r w:rsidR="00B162C5">
        <w:rPr>
          <w:rFonts w:ascii="Times New Roman" w:hAnsi="Times New Roman"/>
          <w:color w:val="000000"/>
          <w:sz w:val="18"/>
          <w:szCs w:val="18"/>
          <w:lang w:eastAsia="en-AU"/>
        </w:rPr>
        <w:t xml:space="preserve"> the visualisations </w:t>
      </w:r>
      <w:r w:rsidR="00270440">
        <w:rPr>
          <w:rFonts w:ascii="Times New Roman" w:hAnsi="Times New Roman"/>
          <w:color w:val="000000"/>
          <w:sz w:val="18"/>
          <w:szCs w:val="18"/>
          <w:lang w:eastAsia="en-AU"/>
        </w:rPr>
        <w:t>available at:</w:t>
      </w:r>
      <w:r w:rsidRPr="00D77011">
        <w:rPr>
          <w:rFonts w:ascii="Times New Roman" w:hAnsi="Times New Roman"/>
          <w:color w:val="000000"/>
          <w:sz w:val="18"/>
          <w:szCs w:val="18"/>
          <w:lang w:eastAsia="en-AU"/>
        </w:rPr>
        <w:t xml:space="preserve"> </w:t>
      </w:r>
      <w:hyperlink r:id="rId56" w:history="1">
        <w:r w:rsidRPr="003718EB">
          <w:rPr>
            <w:rStyle w:val="Hyperlink"/>
            <w:rFonts w:ascii="Times New Roman" w:hAnsi="Times New Roman"/>
            <w:sz w:val="18"/>
            <w:szCs w:val="18"/>
          </w:rPr>
          <w:t>https://vizhub.healthdata.org/gbd-compare/</w:t>
        </w:r>
      </w:hyperlink>
      <w:r w:rsidR="00270440">
        <w:rPr>
          <w:rStyle w:val="Hyperlink"/>
          <w:rFonts w:ascii="Times New Roman" w:hAnsi="Times New Roman"/>
          <w:sz w:val="18"/>
          <w:szCs w:val="18"/>
        </w:rPr>
        <w:t>.</w:t>
      </w:r>
      <w:r>
        <w:t xml:space="preserve"> </w:t>
      </w:r>
    </w:p>
  </w:footnote>
  <w:footnote w:id="108">
    <w:p w14:paraId="2C6F504B" w14:textId="62D95526" w:rsidR="00762E8C" w:rsidRPr="00E45CA5" w:rsidRDefault="00762E8C" w:rsidP="00B50434">
      <w:pPr>
        <w:pStyle w:val="FootnoteText"/>
        <w:rPr>
          <w:rFonts w:ascii="Times New Roman" w:hAnsi="Times New Roman"/>
          <w:sz w:val="18"/>
          <w:szCs w:val="18"/>
          <w:lang w:val="en-US"/>
        </w:rPr>
      </w:pPr>
      <w:r w:rsidRPr="001353AA">
        <w:rPr>
          <w:rStyle w:val="FootnoteReference"/>
          <w:rFonts w:ascii="Times New Roman" w:hAnsi="Times New Roman"/>
          <w:sz w:val="18"/>
          <w:szCs w:val="18"/>
        </w:rPr>
        <w:footnoteRef/>
      </w:r>
      <w:r w:rsidRPr="001353AA">
        <w:rPr>
          <w:rFonts w:ascii="Times New Roman" w:hAnsi="Times New Roman"/>
          <w:sz w:val="18"/>
          <w:szCs w:val="18"/>
        </w:rPr>
        <w:t xml:space="preserve"> </w:t>
      </w:r>
      <w:r w:rsidRPr="001353AA">
        <w:rPr>
          <w:rFonts w:ascii="Times New Roman" w:hAnsi="Times New Roman"/>
          <w:sz w:val="18"/>
          <w:szCs w:val="18"/>
          <w:lang w:val="en-US"/>
        </w:rPr>
        <w:t>Ibid.</w:t>
      </w:r>
      <w:r w:rsidRPr="00E45CA5">
        <w:rPr>
          <w:rFonts w:ascii="Times New Roman" w:hAnsi="Times New Roman"/>
          <w:sz w:val="18"/>
          <w:szCs w:val="18"/>
        </w:rPr>
        <w:t xml:space="preserve">    </w:t>
      </w:r>
    </w:p>
  </w:footnote>
  <w:footnote w:id="109">
    <w:p w14:paraId="24163803" w14:textId="4F973A24" w:rsidR="00762E8C" w:rsidRPr="00F77E26" w:rsidRDefault="00762E8C">
      <w:pPr>
        <w:pStyle w:val="FootnoteText"/>
        <w:rPr>
          <w:rFonts w:ascii="Times New Roman" w:hAnsi="Times New Roman"/>
          <w:sz w:val="18"/>
          <w:szCs w:val="18"/>
          <w:lang w:val="en-US"/>
        </w:rPr>
      </w:pPr>
      <w:r w:rsidRPr="00F77E26">
        <w:rPr>
          <w:rStyle w:val="FootnoteReference"/>
          <w:rFonts w:ascii="Times New Roman" w:hAnsi="Times New Roman"/>
          <w:sz w:val="18"/>
          <w:szCs w:val="18"/>
        </w:rPr>
        <w:footnoteRef/>
      </w:r>
      <w:r w:rsidRPr="00F77E26">
        <w:rPr>
          <w:rFonts w:ascii="Times New Roman" w:hAnsi="Times New Roman"/>
          <w:sz w:val="18"/>
          <w:szCs w:val="18"/>
        </w:rPr>
        <w:t xml:space="preserve"> Office of Best Practice Regulation. 2020. </w:t>
      </w:r>
      <w:r w:rsidRPr="00212857">
        <w:rPr>
          <w:rFonts w:ascii="Times New Roman" w:hAnsi="Times New Roman"/>
          <w:i/>
          <w:iCs/>
          <w:sz w:val="18"/>
          <w:szCs w:val="18"/>
        </w:rPr>
        <w:t>Best Practice Regulation Guidance Note: Value of Statistical Life.</w:t>
      </w:r>
      <w:r>
        <w:rPr>
          <w:rFonts w:ascii="Times New Roman" w:hAnsi="Times New Roman"/>
          <w:sz w:val="18"/>
          <w:szCs w:val="18"/>
        </w:rPr>
        <w:t xml:space="preserve"> </w:t>
      </w:r>
      <w:hyperlink r:id="rId57" w:history="1">
        <w:r w:rsidRPr="00540897">
          <w:rPr>
            <w:rStyle w:val="Hyperlink"/>
            <w:rFonts w:ascii="Times New Roman" w:hAnsi="Times New Roman"/>
            <w:sz w:val="18"/>
            <w:szCs w:val="18"/>
          </w:rPr>
          <w:t>https://obpr.pmc.gov.au/sites/default/files/2021-06/value-of-statistical-life-guidance-note-2.pdf</w:t>
        </w:r>
      </w:hyperlink>
      <w:r>
        <w:rPr>
          <w:rFonts w:ascii="Times New Roman" w:hAnsi="Times New Roman"/>
          <w:sz w:val="18"/>
          <w:szCs w:val="18"/>
        </w:rPr>
        <w:t xml:space="preserve"> (accessed 15 November 2021)</w:t>
      </w:r>
    </w:p>
  </w:footnote>
  <w:footnote w:id="110">
    <w:p w14:paraId="582B78FD" w14:textId="77777777" w:rsidR="00AF213A" w:rsidRPr="00476A2B" w:rsidRDefault="00AF213A" w:rsidP="00AF213A">
      <w:pPr>
        <w:pStyle w:val="FootnoteText"/>
      </w:pPr>
      <w:r w:rsidRPr="00476A2B">
        <w:rPr>
          <w:rStyle w:val="FootnoteReference"/>
          <w:rFonts w:ascii="Times New Roman" w:hAnsi="Times New Roman"/>
          <w:sz w:val="18"/>
          <w:szCs w:val="18"/>
        </w:rPr>
        <w:footnoteRef/>
      </w:r>
      <w:r w:rsidRPr="00476A2B">
        <w:rPr>
          <w:rFonts w:ascii="Times New Roman" w:hAnsi="Times New Roman"/>
          <w:sz w:val="18"/>
          <w:szCs w:val="18"/>
        </w:rPr>
        <w:t xml:space="preserve"> Presented in present value terms, based on calculations over a ten-year period discounted into present values using a 7% discount rate.</w:t>
      </w:r>
    </w:p>
  </w:footnote>
  <w:footnote w:id="111">
    <w:p w14:paraId="16CD7860" w14:textId="77777777" w:rsidR="00AF213A" w:rsidRDefault="00AF213A" w:rsidP="00AF213A">
      <w:pPr>
        <w:pStyle w:val="FootnoteText"/>
      </w:pPr>
      <w:r w:rsidRPr="00476A2B">
        <w:rPr>
          <w:rStyle w:val="FootnoteReference"/>
          <w:rFonts w:ascii="Times New Roman" w:hAnsi="Times New Roman"/>
          <w:sz w:val="18"/>
          <w:szCs w:val="18"/>
        </w:rPr>
        <w:footnoteRef/>
      </w:r>
      <w:r w:rsidRPr="00476A2B">
        <w:rPr>
          <w:rFonts w:ascii="Times New Roman" w:hAnsi="Times New Roman"/>
          <w:sz w:val="18"/>
          <w:szCs w:val="18"/>
        </w:rPr>
        <w:t xml:space="preserve"> Presented in present value terms, based on calculations over a ten-year period discounted into present values using a 7% discount rate.</w:t>
      </w:r>
    </w:p>
  </w:footnote>
  <w:footnote w:id="112">
    <w:p w14:paraId="7E676823" w14:textId="40CF49E2" w:rsidR="006F67F3" w:rsidRPr="00E45CA5" w:rsidRDefault="006F67F3">
      <w:pPr>
        <w:pStyle w:val="FootnoteText"/>
        <w:rPr>
          <w:lang w:val="en-US"/>
        </w:rPr>
      </w:pPr>
      <w:r w:rsidRPr="00E45CA5">
        <w:rPr>
          <w:rStyle w:val="FootnoteReference"/>
          <w:rFonts w:ascii="Times New Roman" w:hAnsi="Times New Roman"/>
          <w:sz w:val="18"/>
          <w:szCs w:val="18"/>
        </w:rPr>
        <w:footnoteRef/>
      </w:r>
      <w:r>
        <w:t xml:space="preserve"> </w:t>
      </w:r>
      <w:r w:rsidR="0089458C" w:rsidRPr="00D6393B">
        <w:rPr>
          <w:rFonts w:ascii="Times New Roman" w:hAnsi="Times New Roman"/>
          <w:sz w:val="18"/>
          <w:szCs w:val="18"/>
          <w:lang w:val="en-US"/>
        </w:rPr>
        <w:t xml:space="preserve">For </w:t>
      </w:r>
      <w:r w:rsidR="0089458C">
        <w:rPr>
          <w:rFonts w:ascii="Times New Roman" w:hAnsi="Times New Roman"/>
          <w:sz w:val="18"/>
          <w:szCs w:val="18"/>
          <w:lang w:val="en-US"/>
        </w:rPr>
        <w:t xml:space="preserve">more </w:t>
      </w:r>
      <w:r w:rsidR="0089458C" w:rsidRPr="00D6393B">
        <w:rPr>
          <w:rFonts w:ascii="Times New Roman" w:hAnsi="Times New Roman"/>
          <w:sz w:val="18"/>
          <w:szCs w:val="18"/>
          <w:lang w:val="en-US"/>
        </w:rPr>
        <w:t xml:space="preserve">details </w:t>
      </w:r>
      <w:r w:rsidR="0089458C">
        <w:rPr>
          <w:rFonts w:ascii="Times New Roman" w:hAnsi="Times New Roman"/>
          <w:sz w:val="18"/>
          <w:szCs w:val="18"/>
          <w:lang w:val="en-US"/>
        </w:rPr>
        <w:t>of the Monte Carlo analysis</w:t>
      </w:r>
      <w:r w:rsidR="0038360E">
        <w:rPr>
          <w:rFonts w:ascii="Times New Roman" w:hAnsi="Times New Roman"/>
          <w:sz w:val="18"/>
          <w:szCs w:val="18"/>
          <w:lang w:val="en-US"/>
        </w:rPr>
        <w:t xml:space="preserve">, </w:t>
      </w:r>
      <w:r w:rsidR="0089458C" w:rsidRPr="00D6393B">
        <w:rPr>
          <w:rFonts w:ascii="Times New Roman" w:hAnsi="Times New Roman"/>
          <w:sz w:val="18"/>
          <w:szCs w:val="18"/>
          <w:lang w:val="en-US"/>
        </w:rPr>
        <w:t>refer to the economic evaluation report.</w:t>
      </w:r>
      <w:r w:rsidR="0089458C">
        <w:rPr>
          <w:rFonts w:ascii="Times New Roman" w:hAnsi="Times New Roman"/>
          <w:sz w:val="18"/>
          <w:szCs w:val="18"/>
          <w:lang w:val="en-US"/>
        </w:rPr>
        <w:t xml:space="preserve"> </w:t>
      </w:r>
      <w:hyperlink r:id="rId58" w:history="1">
        <w:r w:rsidR="00585308" w:rsidRPr="008A42F5">
          <w:rPr>
            <w:rStyle w:val="Hyperlink"/>
            <w:rFonts w:ascii="Times New Roman" w:hAnsi="Times New Roman"/>
            <w:sz w:val="18"/>
            <w:szCs w:val="18"/>
            <w:lang w:val="en-US"/>
          </w:rPr>
          <w:t>www.foodregulation.gov.au</w:t>
        </w:r>
      </w:hyperlink>
    </w:p>
  </w:footnote>
  <w:footnote w:id="113">
    <w:p w14:paraId="45BCF49D" w14:textId="684AEAFE" w:rsidR="00762E8C" w:rsidRPr="00541F1D" w:rsidRDefault="00762E8C">
      <w:pPr>
        <w:pStyle w:val="FootnoteText"/>
        <w:rPr>
          <w:rFonts w:ascii="Times New Roman" w:hAnsi="Times New Roman"/>
          <w:sz w:val="18"/>
          <w:szCs w:val="18"/>
          <w:highlight w:val="yellow"/>
          <w:lang w:val="en-US"/>
        </w:rPr>
      </w:pPr>
      <w:r w:rsidRPr="00476A2B">
        <w:rPr>
          <w:rStyle w:val="FootnoteReference"/>
          <w:rFonts w:ascii="Times New Roman" w:hAnsi="Times New Roman"/>
          <w:sz w:val="18"/>
          <w:szCs w:val="18"/>
        </w:rPr>
        <w:footnoteRef/>
      </w:r>
      <w:r w:rsidRPr="00476A2B">
        <w:rPr>
          <w:rFonts w:ascii="Times New Roman" w:hAnsi="Times New Roman"/>
          <w:sz w:val="18"/>
          <w:szCs w:val="18"/>
        </w:rPr>
        <w:t xml:space="preserve"> </w:t>
      </w:r>
      <w:proofErr w:type="spellStart"/>
      <w:r w:rsidRPr="00476A2B">
        <w:rPr>
          <w:rFonts w:ascii="Times New Roman" w:hAnsi="Times New Roman"/>
          <w:sz w:val="18"/>
          <w:szCs w:val="18"/>
        </w:rPr>
        <w:t>Zlatevska</w:t>
      </w:r>
      <w:proofErr w:type="spellEnd"/>
      <w:r w:rsidRPr="00476A2B">
        <w:rPr>
          <w:rFonts w:ascii="Times New Roman" w:hAnsi="Times New Roman"/>
          <w:sz w:val="18"/>
          <w:szCs w:val="18"/>
        </w:rPr>
        <w:t xml:space="preserve"> et al. 2018. Mandatory calorie disclosure: a comprehensive analysis of its effect on consumers and retailers. </w:t>
      </w:r>
      <w:r w:rsidRPr="00476A2B">
        <w:rPr>
          <w:rFonts w:ascii="Times New Roman" w:hAnsi="Times New Roman"/>
          <w:i/>
          <w:iCs/>
          <w:sz w:val="18"/>
          <w:szCs w:val="18"/>
        </w:rPr>
        <w:t>Journal of Retailing</w:t>
      </w:r>
      <w:r w:rsidRPr="00476A2B">
        <w:rPr>
          <w:rFonts w:ascii="Times New Roman" w:hAnsi="Times New Roman"/>
          <w:sz w:val="18"/>
          <w:szCs w:val="18"/>
        </w:rPr>
        <w:t>, 94(1), 89-101.</w:t>
      </w:r>
    </w:p>
  </w:footnote>
  <w:footnote w:id="114">
    <w:p w14:paraId="5854E704" w14:textId="3A79D534" w:rsidR="00762E8C" w:rsidRPr="00177D36" w:rsidRDefault="00762E8C">
      <w:pPr>
        <w:pStyle w:val="FootnoteText"/>
        <w:rPr>
          <w:rFonts w:ascii="Times New Roman" w:hAnsi="Times New Roman"/>
          <w:sz w:val="18"/>
          <w:szCs w:val="18"/>
        </w:rPr>
      </w:pPr>
      <w:r w:rsidRPr="00177D36">
        <w:rPr>
          <w:rStyle w:val="FootnoteReference"/>
          <w:rFonts w:ascii="Times New Roman" w:hAnsi="Times New Roman"/>
          <w:sz w:val="18"/>
          <w:szCs w:val="18"/>
        </w:rPr>
        <w:footnoteRef/>
      </w:r>
      <w:r w:rsidRPr="00177D36">
        <w:rPr>
          <w:rFonts w:ascii="Times New Roman" w:hAnsi="Times New Roman"/>
          <w:sz w:val="18"/>
          <w:szCs w:val="18"/>
        </w:rPr>
        <w:t xml:space="preserve"> Net Benefit = Benefit less Government Administration </w:t>
      </w:r>
      <w:r>
        <w:rPr>
          <w:rFonts w:ascii="Times New Roman" w:hAnsi="Times New Roman"/>
          <w:sz w:val="18"/>
          <w:szCs w:val="18"/>
        </w:rPr>
        <w:t xml:space="preserve">costs </w:t>
      </w:r>
      <w:r w:rsidRPr="00177D36">
        <w:rPr>
          <w:rFonts w:ascii="Times New Roman" w:hAnsi="Times New Roman"/>
          <w:sz w:val="18"/>
          <w:szCs w:val="18"/>
        </w:rPr>
        <w:t>and Business Compliance costs</w:t>
      </w:r>
    </w:p>
  </w:footnote>
  <w:footnote w:id="115">
    <w:p w14:paraId="78C62A4A" w14:textId="4A9A3683" w:rsidR="00F2410B" w:rsidRPr="00E45CA5" w:rsidRDefault="00F2410B">
      <w:pPr>
        <w:pStyle w:val="FootnoteText"/>
        <w:rPr>
          <w:rFonts w:ascii="Times New Roman" w:hAnsi="Times New Roman"/>
          <w:sz w:val="18"/>
          <w:szCs w:val="18"/>
          <w:lang w:val="en-US"/>
        </w:rPr>
      </w:pPr>
      <w:r w:rsidRPr="00E45CA5">
        <w:rPr>
          <w:rStyle w:val="FootnoteReference"/>
          <w:rFonts w:ascii="Times New Roman" w:hAnsi="Times New Roman"/>
          <w:sz w:val="18"/>
          <w:szCs w:val="18"/>
        </w:rPr>
        <w:footnoteRef/>
      </w:r>
      <w:r w:rsidRPr="00E45CA5">
        <w:rPr>
          <w:rFonts w:ascii="Times New Roman" w:hAnsi="Times New Roman"/>
          <w:sz w:val="18"/>
          <w:szCs w:val="18"/>
        </w:rPr>
        <w:t xml:space="preserve"> </w:t>
      </w:r>
      <w:r w:rsidR="009B593E" w:rsidRPr="009B593E">
        <w:rPr>
          <w:rFonts w:ascii="Times New Roman" w:hAnsi="Times New Roman"/>
          <w:sz w:val="18"/>
          <w:szCs w:val="18"/>
          <w:lang w:val="en-US"/>
        </w:rPr>
        <w:t xml:space="preserve">Allen and Clarke Consulting. 2021. Final Report Menu Labelling Economic Evaluation. </w:t>
      </w:r>
      <w:hyperlink r:id="rId59" w:history="1">
        <w:r w:rsidR="00585308" w:rsidRPr="008A42F5">
          <w:rPr>
            <w:rStyle w:val="Hyperlink"/>
            <w:rFonts w:ascii="Times New Roman" w:hAnsi="Times New Roman"/>
            <w:sz w:val="18"/>
            <w:szCs w:val="18"/>
            <w:lang w:val="en-US"/>
          </w:rPr>
          <w:t>www.foodregulation.gov.au</w:t>
        </w:r>
      </w:hyperlink>
    </w:p>
  </w:footnote>
  <w:footnote w:id="116">
    <w:p w14:paraId="481397A1" w14:textId="0E9FBEEA" w:rsidR="00762E8C" w:rsidRPr="00BF58DF" w:rsidRDefault="00762E8C">
      <w:pPr>
        <w:pStyle w:val="FootnoteText"/>
        <w:rPr>
          <w:rFonts w:ascii="Times New Roman" w:hAnsi="Times New Roman"/>
          <w:sz w:val="18"/>
          <w:szCs w:val="18"/>
          <w:lang w:val="en-US"/>
        </w:rPr>
      </w:pPr>
      <w:r w:rsidRPr="00476A2B">
        <w:rPr>
          <w:rStyle w:val="FootnoteReference"/>
          <w:rFonts w:ascii="Times New Roman" w:hAnsi="Times New Roman"/>
          <w:sz w:val="18"/>
          <w:szCs w:val="18"/>
        </w:rPr>
        <w:footnoteRef/>
      </w:r>
      <w:r w:rsidRPr="00476A2B">
        <w:rPr>
          <w:rFonts w:ascii="Times New Roman" w:hAnsi="Times New Roman"/>
          <w:sz w:val="18"/>
          <w:szCs w:val="18"/>
        </w:rPr>
        <w:t xml:space="preserve"> </w:t>
      </w:r>
      <w:r w:rsidRPr="00476A2B">
        <w:rPr>
          <w:rFonts w:ascii="Times New Roman" w:hAnsi="Times New Roman"/>
          <w:i/>
          <w:iCs/>
          <w:sz w:val="18"/>
          <w:szCs w:val="18"/>
        </w:rPr>
        <w:t>Fast Choices: An evaluation of energy purchased and consumer education – Findings from Waves 1,2 &amp; 3</w:t>
      </w:r>
      <w:r w:rsidRPr="00476A2B">
        <w:rPr>
          <w:rFonts w:ascii="Times New Roman" w:hAnsi="Times New Roman"/>
          <w:sz w:val="18"/>
          <w:szCs w:val="18"/>
        </w:rPr>
        <w:t xml:space="preserve">. Prepared for NSW Food Authority and NSW Health. </w:t>
      </w:r>
      <w:hyperlink r:id="rId60" w:history="1">
        <w:r w:rsidRPr="00476A2B">
          <w:rPr>
            <w:rStyle w:val="Hyperlink"/>
            <w:rFonts w:ascii="Times New Roman" w:hAnsi="Times New Roman"/>
            <w:sz w:val="18"/>
            <w:szCs w:val="18"/>
          </w:rPr>
          <w:t>https://www.foodauthority.nsw.gov.au/sites/default/files/_Documents/scienceandtechnical/fast_choices_TNS_report.pdf</w:t>
        </w:r>
      </w:hyperlink>
    </w:p>
  </w:footnote>
  <w:footnote w:id="117">
    <w:p w14:paraId="2E17206F" w14:textId="7D247964" w:rsidR="00F2410B" w:rsidRPr="00E45CA5" w:rsidRDefault="00F2410B">
      <w:pPr>
        <w:pStyle w:val="FootnoteText"/>
        <w:rPr>
          <w:rFonts w:ascii="Times New Roman" w:hAnsi="Times New Roman"/>
          <w:sz w:val="18"/>
          <w:szCs w:val="18"/>
          <w:lang w:val="en-US"/>
        </w:rPr>
      </w:pPr>
      <w:r w:rsidRPr="00E45CA5">
        <w:rPr>
          <w:rStyle w:val="FootnoteReference"/>
          <w:rFonts w:ascii="Times New Roman" w:hAnsi="Times New Roman"/>
          <w:sz w:val="18"/>
          <w:szCs w:val="18"/>
        </w:rPr>
        <w:footnoteRef/>
      </w:r>
      <w:r w:rsidRPr="00E45CA5">
        <w:rPr>
          <w:rFonts w:ascii="Times New Roman" w:hAnsi="Times New Roman"/>
          <w:sz w:val="18"/>
          <w:szCs w:val="18"/>
        </w:rPr>
        <w:t xml:space="preserve"> </w:t>
      </w:r>
      <w:r w:rsidR="009B593E" w:rsidRPr="009B593E">
        <w:rPr>
          <w:rFonts w:ascii="Times New Roman" w:hAnsi="Times New Roman"/>
          <w:sz w:val="18"/>
          <w:szCs w:val="18"/>
          <w:lang w:val="en-US"/>
        </w:rPr>
        <w:t xml:space="preserve">Allen and Clarke Consulting. 2021. Final Report Menu Labelling Economic Evaluation. </w:t>
      </w:r>
      <w:hyperlink r:id="rId61" w:history="1">
        <w:r w:rsidR="00585308" w:rsidRPr="008A42F5">
          <w:rPr>
            <w:rStyle w:val="Hyperlink"/>
            <w:rFonts w:ascii="Times New Roman" w:hAnsi="Times New Roman"/>
            <w:sz w:val="18"/>
            <w:szCs w:val="18"/>
            <w:lang w:val="en-US"/>
          </w:rPr>
          <w:t>www.foodregulation.gov.au</w:t>
        </w:r>
      </w:hyperlink>
    </w:p>
  </w:footnote>
  <w:footnote w:id="118">
    <w:p w14:paraId="52B23AB1" w14:textId="77777777" w:rsidR="00762E8C" w:rsidRPr="00D75125" w:rsidRDefault="00762E8C" w:rsidP="00926790">
      <w:pPr>
        <w:pStyle w:val="FootnoteText"/>
        <w:rPr>
          <w:rFonts w:ascii="Times New Roman" w:hAnsi="Times New Roman"/>
          <w:sz w:val="18"/>
          <w:szCs w:val="18"/>
          <w:lang w:val="en-US"/>
        </w:rPr>
      </w:pPr>
      <w:r w:rsidRPr="00DB4340">
        <w:rPr>
          <w:rStyle w:val="FootnoteReference"/>
          <w:rFonts w:ascii="Times New Roman" w:hAnsi="Times New Roman"/>
          <w:sz w:val="18"/>
          <w:szCs w:val="18"/>
        </w:rPr>
        <w:footnoteRef/>
      </w:r>
      <w:r w:rsidRPr="00DB4340">
        <w:rPr>
          <w:rFonts w:ascii="Times New Roman" w:hAnsi="Times New Roman"/>
          <w:sz w:val="18"/>
          <w:szCs w:val="18"/>
        </w:rPr>
        <w:t xml:space="preserve"> </w:t>
      </w:r>
      <w:r>
        <w:rPr>
          <w:rFonts w:ascii="Times New Roman" w:hAnsi="Times New Roman"/>
          <w:sz w:val="18"/>
          <w:szCs w:val="18"/>
        </w:rPr>
        <w:t xml:space="preserve">Department of Health and Mental Hygiene Board of Health. 2008. </w:t>
      </w:r>
      <w:r w:rsidRPr="00DB4340">
        <w:rPr>
          <w:rFonts w:ascii="Times New Roman" w:hAnsi="Times New Roman"/>
          <w:i/>
          <w:sz w:val="18"/>
          <w:szCs w:val="18"/>
        </w:rPr>
        <w:t xml:space="preserve">Notice of </w:t>
      </w:r>
      <w:r>
        <w:rPr>
          <w:rFonts w:ascii="Times New Roman" w:hAnsi="Times New Roman"/>
          <w:i/>
          <w:iCs/>
          <w:sz w:val="18"/>
          <w:szCs w:val="18"/>
        </w:rPr>
        <w:t>a</w:t>
      </w:r>
      <w:r w:rsidRPr="00DB4340">
        <w:rPr>
          <w:rFonts w:ascii="Times New Roman" w:hAnsi="Times New Roman"/>
          <w:i/>
          <w:sz w:val="18"/>
          <w:szCs w:val="18"/>
        </w:rPr>
        <w:t xml:space="preserve">doption of a resolution to repeal and </w:t>
      </w:r>
      <w:r w:rsidRPr="006709D1">
        <w:rPr>
          <w:rFonts w:ascii="Times New Roman" w:hAnsi="Times New Roman"/>
          <w:i/>
          <w:iCs/>
          <w:sz w:val="18"/>
          <w:szCs w:val="18"/>
        </w:rPr>
        <w:t>re-enact</w:t>
      </w:r>
      <w:r w:rsidRPr="00DB4340">
        <w:rPr>
          <w:rFonts w:ascii="Times New Roman" w:hAnsi="Times New Roman"/>
          <w:i/>
          <w:sz w:val="18"/>
          <w:szCs w:val="18"/>
        </w:rPr>
        <w:t xml:space="preserve"> 81.50 of the New York City Health Code.</w:t>
      </w:r>
      <w:r>
        <w:rPr>
          <w:rFonts w:ascii="Times New Roman" w:hAnsi="Times New Roman"/>
          <w:sz w:val="18"/>
          <w:szCs w:val="18"/>
        </w:rPr>
        <w:t xml:space="preserve"> </w:t>
      </w:r>
      <w:hyperlink r:id="rId62" w:history="1">
        <w:r w:rsidRPr="00D75125">
          <w:rPr>
            <w:rStyle w:val="Hyperlink"/>
            <w:rFonts w:ascii="Times New Roman" w:hAnsi="Times New Roman"/>
            <w:sz w:val="18"/>
            <w:szCs w:val="18"/>
          </w:rPr>
          <w:t>https://www1.nyc.gov/assets/doh/downloads/pdf/public/notice-adoption-hc-art81-50-0108.pdf</w:t>
        </w:r>
      </w:hyperlink>
      <w:r w:rsidRPr="00D75125">
        <w:rPr>
          <w:rFonts w:ascii="Times New Roman" w:eastAsia="Times New Roman" w:hAnsi="Times New Roman"/>
          <w:color w:val="0000FF"/>
          <w:sz w:val="18"/>
          <w:szCs w:val="18"/>
          <w:u w:val="single"/>
        </w:rPr>
        <w:t xml:space="preserve"> </w:t>
      </w:r>
      <w:r w:rsidRPr="00D75125">
        <w:rPr>
          <w:rFonts w:ascii="Times New Roman" w:hAnsi="Times New Roman"/>
          <w:sz w:val="18"/>
          <w:szCs w:val="18"/>
        </w:rPr>
        <w:t>(accessed 23 September 2021)</w:t>
      </w:r>
    </w:p>
  </w:footnote>
  <w:footnote w:id="119">
    <w:p w14:paraId="1A82719E" w14:textId="77777777" w:rsidR="00762E8C" w:rsidRPr="00D87B15" w:rsidRDefault="00762E8C" w:rsidP="00926790">
      <w:pPr>
        <w:pStyle w:val="FootnoteText"/>
        <w:rPr>
          <w:lang w:val="en-US"/>
        </w:rPr>
      </w:pPr>
      <w:r w:rsidRPr="00D75125">
        <w:rPr>
          <w:rStyle w:val="FootnoteReference"/>
          <w:rFonts w:ascii="Times New Roman" w:hAnsi="Times New Roman"/>
          <w:sz w:val="18"/>
          <w:szCs w:val="18"/>
        </w:rPr>
        <w:footnoteRef/>
      </w:r>
      <w:r w:rsidRPr="00D75125">
        <w:rPr>
          <w:rFonts w:ascii="Times New Roman" w:hAnsi="Times New Roman"/>
          <w:sz w:val="18"/>
          <w:szCs w:val="18"/>
        </w:rPr>
        <w:t xml:space="preserve"> </w:t>
      </w:r>
      <w:r w:rsidRPr="00D75125">
        <w:rPr>
          <w:rFonts w:ascii="Times New Roman" w:hAnsi="Times New Roman"/>
          <w:sz w:val="18"/>
          <w:szCs w:val="18"/>
          <w:lang w:val="en-US"/>
        </w:rPr>
        <w:t xml:space="preserve">World Cancer </w:t>
      </w:r>
      <w:r>
        <w:rPr>
          <w:rFonts w:ascii="Times New Roman" w:hAnsi="Times New Roman"/>
          <w:sz w:val="18"/>
          <w:szCs w:val="18"/>
          <w:lang w:val="en-US"/>
        </w:rPr>
        <w:t>R</w:t>
      </w:r>
      <w:r w:rsidRPr="00D75125">
        <w:rPr>
          <w:rFonts w:ascii="Times New Roman" w:hAnsi="Times New Roman"/>
          <w:sz w:val="18"/>
          <w:szCs w:val="18"/>
          <w:lang w:val="en-US"/>
        </w:rPr>
        <w:t xml:space="preserve">esearch Fund International. </w:t>
      </w:r>
      <w:r w:rsidRPr="00D75125">
        <w:rPr>
          <w:rFonts w:ascii="Times New Roman" w:hAnsi="Times New Roman"/>
          <w:i/>
          <w:iCs/>
          <w:sz w:val="18"/>
          <w:szCs w:val="18"/>
          <w:lang w:val="en-US"/>
        </w:rPr>
        <w:t xml:space="preserve">NOURISHING Policy Database: Calorie and nutrient labelling on menus and displays in out-of-home venues. </w:t>
      </w:r>
      <w:hyperlink r:id="rId63" w:history="1">
        <w:r w:rsidRPr="00D75125">
          <w:rPr>
            <w:rStyle w:val="Hyperlink"/>
            <w:rFonts w:ascii="Times New Roman" w:hAnsi="Times New Roman"/>
            <w:sz w:val="18"/>
            <w:szCs w:val="18"/>
            <w:lang w:val="en-US"/>
          </w:rPr>
          <w:t>https://policydatabase.wcrf.org/nourishing-moving-search</w:t>
        </w:r>
      </w:hyperlink>
      <w:r>
        <w:rPr>
          <w:i/>
          <w:iCs/>
          <w:lang w:val="en-US"/>
        </w:rPr>
        <w:t xml:space="preserve"> </w:t>
      </w:r>
      <w:r w:rsidRPr="00D75125">
        <w:rPr>
          <w:rFonts w:ascii="Times New Roman" w:hAnsi="Times New Roman"/>
          <w:sz w:val="18"/>
          <w:szCs w:val="18"/>
        </w:rPr>
        <w:t>(accessed 23 September 2021)</w:t>
      </w:r>
    </w:p>
  </w:footnote>
  <w:footnote w:id="120">
    <w:p w14:paraId="194D81A8" w14:textId="77777777" w:rsidR="00762E8C" w:rsidRPr="007851EF" w:rsidRDefault="00762E8C" w:rsidP="00926790">
      <w:pPr>
        <w:pStyle w:val="FootnoteText"/>
        <w:rPr>
          <w:rFonts w:ascii="Times New Roman" w:hAnsi="Times New Roman"/>
          <w:sz w:val="18"/>
          <w:szCs w:val="18"/>
          <w:lang w:val="en-US"/>
        </w:rPr>
      </w:pPr>
      <w:r w:rsidRPr="007851EF">
        <w:rPr>
          <w:rStyle w:val="FootnoteReference"/>
          <w:rFonts w:ascii="Times New Roman" w:hAnsi="Times New Roman"/>
          <w:sz w:val="18"/>
          <w:szCs w:val="18"/>
        </w:rPr>
        <w:footnoteRef/>
      </w:r>
      <w:r w:rsidRPr="007851EF">
        <w:rPr>
          <w:rFonts w:ascii="Times New Roman" w:hAnsi="Times New Roman"/>
          <w:sz w:val="18"/>
          <w:szCs w:val="18"/>
        </w:rPr>
        <w:t xml:space="preserve"> US Food &amp; Drug Administration. 2020. </w:t>
      </w:r>
      <w:r w:rsidRPr="007851EF">
        <w:rPr>
          <w:rFonts w:ascii="Times New Roman" w:hAnsi="Times New Roman"/>
          <w:i/>
          <w:sz w:val="18"/>
          <w:szCs w:val="18"/>
        </w:rPr>
        <w:t xml:space="preserve">Menu </w:t>
      </w:r>
      <w:proofErr w:type="spellStart"/>
      <w:r w:rsidRPr="007851EF">
        <w:rPr>
          <w:rFonts w:ascii="Times New Roman" w:hAnsi="Times New Roman"/>
          <w:i/>
          <w:sz w:val="18"/>
          <w:szCs w:val="18"/>
        </w:rPr>
        <w:t>Labeling</w:t>
      </w:r>
      <w:proofErr w:type="spellEnd"/>
      <w:r w:rsidRPr="007851EF">
        <w:rPr>
          <w:rFonts w:ascii="Times New Roman" w:hAnsi="Times New Roman"/>
          <w:i/>
          <w:sz w:val="18"/>
          <w:szCs w:val="18"/>
        </w:rPr>
        <w:t xml:space="preserve"> Requirements</w:t>
      </w:r>
      <w:r w:rsidRPr="007851EF">
        <w:rPr>
          <w:rFonts w:ascii="Times New Roman" w:hAnsi="Times New Roman"/>
          <w:sz w:val="18"/>
          <w:szCs w:val="18"/>
        </w:rPr>
        <w:t xml:space="preserve">. </w:t>
      </w:r>
      <w:hyperlink r:id="rId64" w:history="1">
        <w:r w:rsidRPr="007851EF">
          <w:rPr>
            <w:rStyle w:val="Hyperlink"/>
            <w:rFonts w:ascii="Times New Roman" w:hAnsi="Times New Roman"/>
            <w:sz w:val="18"/>
            <w:szCs w:val="18"/>
          </w:rPr>
          <w:t>www.fda.gov/food/food-labeling-nutrition/menu-labeling-requirements</w:t>
        </w:r>
      </w:hyperlink>
      <w:r w:rsidRPr="007851EF">
        <w:rPr>
          <w:rFonts w:ascii="Times New Roman" w:hAnsi="Times New Roman"/>
          <w:sz w:val="18"/>
          <w:szCs w:val="18"/>
        </w:rPr>
        <w:t xml:space="preserve"> (accessed 23 September 2021)</w:t>
      </w:r>
    </w:p>
  </w:footnote>
  <w:footnote w:id="121">
    <w:p w14:paraId="4D73D9E8" w14:textId="77777777" w:rsidR="00762E8C" w:rsidRPr="007851EF" w:rsidRDefault="00762E8C" w:rsidP="00926790">
      <w:pPr>
        <w:pStyle w:val="FootnoteText"/>
        <w:rPr>
          <w:rFonts w:ascii="Times New Roman" w:hAnsi="Times New Roman"/>
          <w:sz w:val="18"/>
          <w:szCs w:val="18"/>
          <w:lang w:val="en-US"/>
        </w:rPr>
      </w:pPr>
      <w:r w:rsidRPr="007851EF">
        <w:rPr>
          <w:rStyle w:val="FootnoteReference"/>
          <w:rFonts w:ascii="Times New Roman" w:hAnsi="Times New Roman"/>
          <w:sz w:val="18"/>
          <w:szCs w:val="18"/>
        </w:rPr>
        <w:footnoteRef/>
      </w:r>
      <w:r w:rsidRPr="007851EF">
        <w:rPr>
          <w:rFonts w:ascii="Times New Roman" w:hAnsi="Times New Roman"/>
          <w:sz w:val="18"/>
          <w:szCs w:val="18"/>
        </w:rPr>
        <w:t xml:space="preserve"> United Kingdom Government. 2021. </w:t>
      </w:r>
      <w:r w:rsidRPr="007851EF">
        <w:rPr>
          <w:rFonts w:ascii="Times New Roman" w:hAnsi="Times New Roman"/>
          <w:i/>
          <w:sz w:val="18"/>
          <w:szCs w:val="18"/>
        </w:rPr>
        <w:t>The Calorie Labelling (Out of Home Sector) (England) Regulations 2021.</w:t>
      </w:r>
      <w:r w:rsidRPr="007851EF">
        <w:rPr>
          <w:rFonts w:ascii="Times New Roman" w:hAnsi="Times New Roman"/>
          <w:sz w:val="18"/>
          <w:szCs w:val="18"/>
        </w:rPr>
        <w:t xml:space="preserve"> </w:t>
      </w:r>
      <w:hyperlink r:id="rId65" w:history="1">
        <w:r w:rsidRPr="007851EF">
          <w:rPr>
            <w:rFonts w:ascii="Times New Roman" w:eastAsia="Times New Roman" w:hAnsi="Times New Roman"/>
            <w:color w:val="0000FF"/>
            <w:sz w:val="18"/>
            <w:szCs w:val="18"/>
            <w:u w:val="single"/>
          </w:rPr>
          <w:t>https://www.legislation.gov.uk/uksi/2021/909/contents/made</w:t>
        </w:r>
      </w:hyperlink>
      <w:r w:rsidRPr="007851EF">
        <w:rPr>
          <w:rFonts w:ascii="Times New Roman" w:eastAsia="Times New Roman" w:hAnsi="Times New Roman"/>
          <w:sz w:val="18"/>
          <w:szCs w:val="18"/>
        </w:rPr>
        <w:t xml:space="preserve"> </w:t>
      </w:r>
      <w:r w:rsidRPr="007851EF">
        <w:rPr>
          <w:rFonts w:ascii="Times New Roman" w:hAnsi="Times New Roman"/>
          <w:sz w:val="18"/>
          <w:szCs w:val="18"/>
        </w:rPr>
        <w:t>(accessed 23 September 2021)</w:t>
      </w:r>
    </w:p>
  </w:footnote>
  <w:footnote w:id="122">
    <w:p w14:paraId="707B64E2" w14:textId="77777777" w:rsidR="00762E8C" w:rsidRPr="007851EF" w:rsidRDefault="00762E8C" w:rsidP="00926790">
      <w:pPr>
        <w:pStyle w:val="FootnoteText"/>
        <w:rPr>
          <w:rFonts w:ascii="Times New Roman" w:hAnsi="Times New Roman"/>
          <w:sz w:val="18"/>
          <w:szCs w:val="18"/>
          <w:lang w:val="en-US"/>
        </w:rPr>
      </w:pPr>
      <w:r w:rsidRPr="007851EF">
        <w:rPr>
          <w:rStyle w:val="FootnoteReference"/>
          <w:rFonts w:ascii="Times New Roman" w:hAnsi="Times New Roman"/>
          <w:sz w:val="18"/>
          <w:szCs w:val="18"/>
        </w:rPr>
        <w:footnoteRef/>
      </w:r>
      <w:r w:rsidRPr="007851EF">
        <w:rPr>
          <w:rFonts w:ascii="Times New Roman" w:hAnsi="Times New Roman"/>
          <w:sz w:val="18"/>
          <w:szCs w:val="18"/>
        </w:rPr>
        <w:t xml:space="preserve"> Republic of Korea. Ministry of Food and Drug Safety. 2013. </w:t>
      </w:r>
      <w:r w:rsidRPr="007851EF">
        <w:rPr>
          <w:rFonts w:ascii="Times New Roman" w:hAnsi="Times New Roman"/>
          <w:i/>
          <w:iCs/>
          <w:sz w:val="18"/>
          <w:szCs w:val="18"/>
        </w:rPr>
        <w:t xml:space="preserve">Special Act on Safety Control of Children’s Dietary Life. </w:t>
      </w:r>
      <w:hyperlink r:id="rId66" w:history="1">
        <w:r w:rsidRPr="007851EF">
          <w:rPr>
            <w:rStyle w:val="Hyperlink"/>
            <w:rFonts w:ascii="Times New Roman" w:hAnsi="Times New Roman"/>
            <w:sz w:val="18"/>
            <w:szCs w:val="18"/>
          </w:rPr>
          <w:t>https://www.mfds.go.kr/eng/brd/m_15/view.do?seq=70002&amp;srchFr=&amp;srchTo=&amp;srchWord=&amp;srchTp=&amp;itm_seq_1=0&amp;itm_seq_2=0&amp;multi_itm_seq=0&amp;company_cd=&amp;company_nm=&amp;page=3</w:t>
        </w:r>
      </w:hyperlink>
      <w:r w:rsidRPr="007851EF">
        <w:rPr>
          <w:rFonts w:ascii="Times New Roman" w:hAnsi="Times New Roman"/>
          <w:sz w:val="18"/>
          <w:szCs w:val="18"/>
        </w:rPr>
        <w:t xml:space="preserve"> </w:t>
      </w:r>
    </w:p>
  </w:footnote>
  <w:footnote w:id="123">
    <w:p w14:paraId="48DA1681" w14:textId="77777777" w:rsidR="00762E8C" w:rsidRPr="007851EF" w:rsidRDefault="00762E8C" w:rsidP="00926790">
      <w:pPr>
        <w:pStyle w:val="FootnoteText"/>
        <w:rPr>
          <w:rFonts w:ascii="Times New Roman" w:hAnsi="Times New Roman"/>
          <w:sz w:val="18"/>
          <w:szCs w:val="18"/>
          <w:lang w:val="en-US"/>
        </w:rPr>
      </w:pPr>
      <w:r w:rsidRPr="007851EF">
        <w:rPr>
          <w:rStyle w:val="FootnoteReference"/>
          <w:rFonts w:ascii="Times New Roman" w:hAnsi="Times New Roman"/>
          <w:sz w:val="18"/>
          <w:szCs w:val="18"/>
        </w:rPr>
        <w:footnoteRef/>
      </w:r>
      <w:r w:rsidRPr="007851EF">
        <w:rPr>
          <w:rFonts w:ascii="Times New Roman" w:hAnsi="Times New Roman"/>
          <w:sz w:val="18"/>
          <w:szCs w:val="18"/>
        </w:rPr>
        <w:t xml:space="preserve"> Government of Ontario. 2019. </w:t>
      </w:r>
      <w:r w:rsidRPr="007851EF">
        <w:rPr>
          <w:rFonts w:ascii="Times New Roman" w:hAnsi="Times New Roman"/>
          <w:i/>
          <w:sz w:val="18"/>
          <w:szCs w:val="18"/>
        </w:rPr>
        <w:t>Guide to menu-labelling requirements</w:t>
      </w:r>
      <w:r w:rsidRPr="007851EF">
        <w:rPr>
          <w:rFonts w:ascii="Times New Roman" w:hAnsi="Times New Roman"/>
          <w:sz w:val="18"/>
          <w:szCs w:val="18"/>
        </w:rPr>
        <w:t xml:space="preserve">. </w:t>
      </w:r>
      <w:hyperlink r:id="rId67" w:history="1">
        <w:r w:rsidRPr="007851EF">
          <w:rPr>
            <w:rStyle w:val="Hyperlink"/>
            <w:rFonts w:ascii="Times New Roman" w:hAnsi="Times New Roman"/>
            <w:sz w:val="18"/>
            <w:szCs w:val="18"/>
          </w:rPr>
          <w:t>https://www.ontario.ca/document/guide-menu-labelling-requirements</w:t>
        </w:r>
      </w:hyperlink>
      <w:r w:rsidRPr="007851EF">
        <w:rPr>
          <w:rFonts w:ascii="Times New Roman" w:eastAsia="Times New Roman" w:hAnsi="Times New Roman"/>
          <w:color w:val="0000FF"/>
          <w:sz w:val="18"/>
          <w:szCs w:val="18"/>
          <w:u w:val="single"/>
        </w:rPr>
        <w:t xml:space="preserve"> </w:t>
      </w:r>
      <w:r w:rsidRPr="007851EF">
        <w:rPr>
          <w:rFonts w:ascii="Times New Roman" w:hAnsi="Times New Roman"/>
          <w:sz w:val="18"/>
          <w:szCs w:val="18"/>
        </w:rPr>
        <w:t xml:space="preserve">(accessed 23 September 2021) </w:t>
      </w:r>
    </w:p>
  </w:footnote>
  <w:footnote w:id="124">
    <w:p w14:paraId="719E3BFC" w14:textId="77777777" w:rsidR="00762E8C" w:rsidRPr="007851EF" w:rsidRDefault="00762E8C" w:rsidP="00926790">
      <w:pPr>
        <w:pStyle w:val="FootnoteText"/>
        <w:rPr>
          <w:rFonts w:ascii="Times New Roman" w:hAnsi="Times New Roman"/>
          <w:sz w:val="18"/>
          <w:szCs w:val="18"/>
          <w:lang w:val="en-US"/>
        </w:rPr>
      </w:pPr>
      <w:r w:rsidRPr="007851EF">
        <w:rPr>
          <w:rStyle w:val="FootnoteReference"/>
          <w:rFonts w:ascii="Times New Roman" w:hAnsi="Times New Roman"/>
          <w:sz w:val="18"/>
          <w:szCs w:val="18"/>
        </w:rPr>
        <w:footnoteRef/>
      </w:r>
      <w:r w:rsidRPr="007851EF">
        <w:rPr>
          <w:rFonts w:ascii="Times New Roman" w:hAnsi="Times New Roman"/>
          <w:sz w:val="18"/>
          <w:szCs w:val="18"/>
        </w:rPr>
        <w:t xml:space="preserve"> City of Philadelphia. 2018. </w:t>
      </w:r>
      <w:r w:rsidRPr="007851EF">
        <w:rPr>
          <w:rFonts w:ascii="Times New Roman" w:hAnsi="Times New Roman"/>
          <w:i/>
          <w:sz w:val="18"/>
          <w:szCs w:val="18"/>
        </w:rPr>
        <w:t>Bill No. 180001-A: An Ordinance</w:t>
      </w:r>
      <w:r w:rsidRPr="007851EF">
        <w:rPr>
          <w:rFonts w:ascii="Times New Roman" w:hAnsi="Times New Roman"/>
          <w:sz w:val="18"/>
          <w:szCs w:val="18"/>
        </w:rPr>
        <w:t xml:space="preserve">. </w:t>
      </w:r>
      <w:hyperlink r:id="rId68" w:history="1">
        <w:r w:rsidRPr="007851EF">
          <w:rPr>
            <w:rStyle w:val="Hyperlink"/>
            <w:rFonts w:ascii="Times New Roman" w:hAnsi="Times New Roman"/>
            <w:sz w:val="18"/>
            <w:szCs w:val="18"/>
          </w:rPr>
          <w:t>http://www.amlegal.com/pdffiles/Philadelphia/180001-A.pdf</w:t>
        </w:r>
      </w:hyperlink>
      <w:r w:rsidRPr="007851EF">
        <w:rPr>
          <w:rFonts w:ascii="Times New Roman" w:hAnsi="Times New Roman"/>
          <w:sz w:val="18"/>
          <w:szCs w:val="18"/>
        </w:rPr>
        <w:t xml:space="preserve"> (accessed 23 September 2021)</w:t>
      </w:r>
    </w:p>
  </w:footnote>
  <w:footnote w:id="125">
    <w:p w14:paraId="5E702CAE" w14:textId="77777777" w:rsidR="00762E8C" w:rsidRPr="007851EF" w:rsidRDefault="00762E8C" w:rsidP="00926790">
      <w:pPr>
        <w:pStyle w:val="FootnoteText"/>
        <w:rPr>
          <w:rFonts w:ascii="Times New Roman" w:hAnsi="Times New Roman"/>
          <w:sz w:val="18"/>
          <w:szCs w:val="18"/>
          <w:lang w:val="en-US"/>
        </w:rPr>
      </w:pPr>
      <w:r w:rsidRPr="007851EF">
        <w:rPr>
          <w:rStyle w:val="FootnoteReference"/>
          <w:rFonts w:ascii="Times New Roman" w:hAnsi="Times New Roman"/>
          <w:sz w:val="18"/>
          <w:szCs w:val="18"/>
        </w:rPr>
        <w:footnoteRef/>
      </w:r>
      <w:r w:rsidRPr="007851EF">
        <w:rPr>
          <w:rFonts w:ascii="Times New Roman" w:hAnsi="Times New Roman"/>
          <w:sz w:val="18"/>
          <w:szCs w:val="18"/>
        </w:rPr>
        <w:t xml:space="preserve"> </w:t>
      </w:r>
      <w:r w:rsidRPr="007851EF">
        <w:rPr>
          <w:rFonts w:ascii="Times New Roman" w:hAnsi="Times New Roman"/>
          <w:sz w:val="18"/>
          <w:szCs w:val="18"/>
          <w:lang w:val="en-US"/>
        </w:rPr>
        <w:t xml:space="preserve">Healthier Dining </w:t>
      </w:r>
      <w:proofErr w:type="spellStart"/>
      <w:r w:rsidRPr="007851EF">
        <w:rPr>
          <w:rFonts w:ascii="Times New Roman" w:hAnsi="Times New Roman"/>
          <w:sz w:val="18"/>
          <w:szCs w:val="18"/>
          <w:lang w:val="en-US"/>
        </w:rPr>
        <w:t>Prog</w:t>
      </w:r>
      <w:r>
        <w:rPr>
          <w:rFonts w:ascii="Times New Roman" w:hAnsi="Times New Roman"/>
          <w:sz w:val="18"/>
          <w:szCs w:val="18"/>
          <w:lang w:val="en-US"/>
        </w:rPr>
        <w:t>ramme</w:t>
      </w:r>
      <w:proofErr w:type="spellEnd"/>
      <w:r>
        <w:rPr>
          <w:rFonts w:ascii="Times New Roman" w:hAnsi="Times New Roman"/>
          <w:sz w:val="18"/>
          <w:szCs w:val="18"/>
          <w:lang w:val="en-US"/>
        </w:rPr>
        <w:t xml:space="preserve">. 2021. </w:t>
      </w:r>
      <w:hyperlink r:id="rId69" w:history="1">
        <w:r w:rsidRPr="00DC44DB">
          <w:rPr>
            <w:rStyle w:val="Hyperlink"/>
            <w:rFonts w:ascii="Times New Roman" w:hAnsi="Times New Roman"/>
            <w:sz w:val="18"/>
            <w:szCs w:val="18"/>
            <w:lang w:val="en-US"/>
          </w:rPr>
          <w:t>https://www.hpb.gov.sg/healthy-living/food-beverage/healthier-dining-programme</w:t>
        </w:r>
      </w:hyperlink>
      <w:r>
        <w:rPr>
          <w:rFonts w:ascii="Times New Roman" w:hAnsi="Times New Roman"/>
          <w:sz w:val="18"/>
          <w:szCs w:val="18"/>
          <w:lang w:val="en-US"/>
        </w:rPr>
        <w:t xml:space="preserve"> (accessed 23 September 2021)</w:t>
      </w:r>
    </w:p>
  </w:footnote>
  <w:footnote w:id="126">
    <w:p w14:paraId="106EEC0D" w14:textId="77777777" w:rsidR="00762E8C" w:rsidRPr="007851EF" w:rsidRDefault="00762E8C" w:rsidP="00926790">
      <w:pPr>
        <w:pStyle w:val="FootnoteText"/>
        <w:rPr>
          <w:rFonts w:ascii="Times New Roman" w:hAnsi="Times New Roman"/>
          <w:sz w:val="18"/>
          <w:szCs w:val="18"/>
          <w:lang w:val="en-US"/>
        </w:rPr>
      </w:pPr>
      <w:r w:rsidRPr="007851EF">
        <w:rPr>
          <w:rStyle w:val="FootnoteReference"/>
          <w:rFonts w:ascii="Times New Roman" w:hAnsi="Times New Roman"/>
          <w:sz w:val="18"/>
          <w:szCs w:val="18"/>
        </w:rPr>
        <w:footnoteRef/>
      </w:r>
      <w:r w:rsidRPr="007851EF">
        <w:rPr>
          <w:rFonts w:ascii="Times New Roman" w:hAnsi="Times New Roman"/>
          <w:sz w:val="18"/>
          <w:szCs w:val="18"/>
        </w:rPr>
        <w:t xml:space="preserve"> Food Safety Authority of Ireland. 2012. </w:t>
      </w:r>
      <w:r w:rsidRPr="007851EF">
        <w:rPr>
          <w:rFonts w:ascii="Times New Roman" w:hAnsi="Times New Roman"/>
          <w:i/>
          <w:iCs/>
          <w:sz w:val="18"/>
          <w:szCs w:val="18"/>
        </w:rPr>
        <w:t xml:space="preserve">Calories on menus in Ireland: report on a national consultation. </w:t>
      </w:r>
      <w:hyperlink r:id="rId70" w:history="1">
        <w:r w:rsidRPr="00796C0D">
          <w:rPr>
            <w:rStyle w:val="Hyperlink"/>
            <w:rFonts w:ascii="Times New Roman" w:hAnsi="Times New Roman"/>
            <w:sz w:val="18"/>
            <w:szCs w:val="18"/>
          </w:rPr>
          <w:t>https://www.fsai.ie/details.aspx?id=11418</w:t>
        </w:r>
      </w:hyperlink>
      <w:r w:rsidRPr="00796C0D">
        <w:rPr>
          <w:rFonts w:ascii="Times New Roman" w:hAnsi="Times New Roman"/>
          <w:sz w:val="18"/>
          <w:szCs w:val="18"/>
        </w:rPr>
        <w:t xml:space="preserve"> </w:t>
      </w:r>
      <w:r w:rsidRPr="007851EF">
        <w:rPr>
          <w:rFonts w:ascii="Times New Roman" w:hAnsi="Times New Roman"/>
          <w:sz w:val="18"/>
          <w:szCs w:val="18"/>
        </w:rPr>
        <w:t>(accessed 23 September 2021)</w:t>
      </w:r>
    </w:p>
  </w:footnote>
  <w:footnote w:id="127">
    <w:p w14:paraId="0A62643A" w14:textId="77777777" w:rsidR="00762E8C" w:rsidRPr="00796C0D" w:rsidRDefault="00762E8C" w:rsidP="00926790">
      <w:pPr>
        <w:pStyle w:val="FootnoteText"/>
        <w:rPr>
          <w:lang w:val="en-US"/>
        </w:rPr>
      </w:pPr>
      <w:r w:rsidRPr="00796C0D">
        <w:rPr>
          <w:rStyle w:val="FootnoteReference"/>
          <w:rFonts w:ascii="Times New Roman" w:hAnsi="Times New Roman"/>
          <w:sz w:val="18"/>
          <w:szCs w:val="18"/>
        </w:rPr>
        <w:footnoteRef/>
      </w:r>
      <w:r w:rsidRPr="00796C0D">
        <w:rPr>
          <w:rFonts w:ascii="Times New Roman" w:hAnsi="Times New Roman"/>
          <w:sz w:val="18"/>
          <w:szCs w:val="18"/>
        </w:rPr>
        <w:t xml:space="preserve"> Government of Ireland, Department of Health. 2020. </w:t>
      </w:r>
      <w:r w:rsidRPr="00796C0D">
        <w:rPr>
          <w:rFonts w:ascii="Times New Roman" w:hAnsi="Times New Roman"/>
          <w:i/>
          <w:iCs/>
          <w:sz w:val="18"/>
          <w:szCs w:val="18"/>
        </w:rPr>
        <w:t>Consultation with Food Businesses on the Introduction of Mandatory Calorie Posting on Menus</w:t>
      </w:r>
      <w:r w:rsidRPr="00796C0D">
        <w:rPr>
          <w:rFonts w:ascii="Times New Roman" w:hAnsi="Times New Roman"/>
          <w:sz w:val="18"/>
          <w:szCs w:val="18"/>
        </w:rPr>
        <w:t xml:space="preserve">. </w:t>
      </w:r>
      <w:hyperlink r:id="rId71" w:history="1">
        <w:r w:rsidRPr="00796C0D">
          <w:rPr>
            <w:rStyle w:val="Hyperlink"/>
            <w:rFonts w:ascii="Times New Roman" w:hAnsi="Times New Roman"/>
            <w:sz w:val="18"/>
            <w:szCs w:val="18"/>
          </w:rPr>
          <w:t>https://www.gov.ie/en/consultation/d9bfcc-consultation-with-food-businesses-on-the-introduction-of-mandatory-c/</w:t>
        </w:r>
      </w:hyperlink>
      <w:r w:rsidRPr="00796C0D">
        <w:rPr>
          <w:rFonts w:ascii="Times New Roman" w:hAnsi="Times New Roman"/>
          <w:sz w:val="18"/>
          <w:szCs w:val="18"/>
        </w:rPr>
        <w:t xml:space="preserve"> (accessed 23 September 2021)</w:t>
      </w:r>
    </w:p>
  </w:footnote>
  <w:footnote w:id="128">
    <w:p w14:paraId="32031B27" w14:textId="0638B58A" w:rsidR="00762E8C" w:rsidRPr="009D5139" w:rsidRDefault="00762E8C">
      <w:pPr>
        <w:pStyle w:val="FootnoteText"/>
        <w:rPr>
          <w:rFonts w:ascii="Times New Roman" w:hAnsi="Times New Roman"/>
          <w:sz w:val="18"/>
          <w:szCs w:val="18"/>
          <w:lang w:val="en-US"/>
        </w:rPr>
      </w:pPr>
      <w:r w:rsidRPr="009D5139">
        <w:rPr>
          <w:rStyle w:val="FootnoteReference"/>
          <w:rFonts w:ascii="Times New Roman" w:hAnsi="Times New Roman"/>
          <w:sz w:val="18"/>
          <w:szCs w:val="18"/>
        </w:rPr>
        <w:footnoteRef/>
      </w:r>
      <w:r w:rsidRPr="009D5139">
        <w:rPr>
          <w:rFonts w:ascii="Times New Roman" w:hAnsi="Times New Roman"/>
          <w:sz w:val="18"/>
          <w:szCs w:val="18"/>
        </w:rPr>
        <w:t xml:space="preserve"> </w:t>
      </w:r>
      <w:proofErr w:type="spellStart"/>
      <w:r w:rsidRPr="009D5139">
        <w:rPr>
          <w:rFonts w:ascii="Times New Roman" w:hAnsi="Times New Roman"/>
          <w:sz w:val="18"/>
          <w:szCs w:val="18"/>
          <w:lang w:val="en-US"/>
        </w:rPr>
        <w:t>Mengxi</w:t>
      </w:r>
      <w:proofErr w:type="spellEnd"/>
      <w:r w:rsidRPr="009D5139">
        <w:rPr>
          <w:rFonts w:ascii="Times New Roman" w:hAnsi="Times New Roman"/>
          <w:sz w:val="18"/>
          <w:szCs w:val="18"/>
          <w:lang w:val="en-US"/>
        </w:rPr>
        <w:t xml:space="preserve"> Du et al. 2020. Cost-effectiveness of the FDA menu labeling to reduce obesity-associated cancer burden in the United States. </w:t>
      </w:r>
      <w:r w:rsidRPr="009D5139">
        <w:rPr>
          <w:rFonts w:ascii="Times New Roman" w:hAnsi="Times New Roman"/>
          <w:i/>
          <w:iCs/>
          <w:sz w:val="18"/>
          <w:szCs w:val="18"/>
          <w:lang w:val="en-US"/>
        </w:rPr>
        <w:t>Current Developments in Nutrition</w:t>
      </w:r>
      <w:r w:rsidRPr="009D5139">
        <w:rPr>
          <w:rFonts w:ascii="Times New Roman" w:hAnsi="Times New Roman"/>
          <w:sz w:val="18"/>
          <w:szCs w:val="18"/>
          <w:lang w:val="en-US"/>
        </w:rPr>
        <w:t>, 4(2): 1712.</w:t>
      </w:r>
    </w:p>
  </w:footnote>
  <w:footnote w:id="129">
    <w:p w14:paraId="4E482FC1" w14:textId="6A1744B6" w:rsidR="00762E8C" w:rsidRDefault="00762E8C">
      <w:pPr>
        <w:pStyle w:val="FootnoteText"/>
      </w:pPr>
      <w:r w:rsidRPr="009D5139">
        <w:rPr>
          <w:rStyle w:val="FootnoteReference"/>
          <w:rFonts w:ascii="Times New Roman" w:hAnsi="Times New Roman"/>
          <w:sz w:val="18"/>
          <w:szCs w:val="18"/>
        </w:rPr>
        <w:footnoteRef/>
      </w:r>
      <w:r w:rsidRPr="009D5139">
        <w:rPr>
          <w:rFonts w:ascii="Times New Roman" w:hAnsi="Times New Roman"/>
          <w:sz w:val="18"/>
          <w:szCs w:val="18"/>
        </w:rPr>
        <w:t xml:space="preserve"> </w:t>
      </w:r>
      <w:proofErr w:type="spellStart"/>
      <w:r w:rsidRPr="009D5139">
        <w:rPr>
          <w:rFonts w:ascii="Times New Roman" w:hAnsi="Times New Roman"/>
          <w:sz w:val="18"/>
          <w:szCs w:val="18"/>
        </w:rPr>
        <w:t>Junxiu</w:t>
      </w:r>
      <w:proofErr w:type="spellEnd"/>
      <w:r w:rsidRPr="009D5139">
        <w:rPr>
          <w:rFonts w:ascii="Times New Roman" w:hAnsi="Times New Roman"/>
          <w:sz w:val="18"/>
          <w:szCs w:val="18"/>
        </w:rPr>
        <w:t xml:space="preserve"> Liu et al. 2020. Health and economic Impacts of the national menu calorie </w:t>
      </w:r>
      <w:proofErr w:type="spellStart"/>
      <w:r w:rsidRPr="009D5139">
        <w:rPr>
          <w:rFonts w:ascii="Times New Roman" w:hAnsi="Times New Roman"/>
          <w:sz w:val="18"/>
          <w:szCs w:val="18"/>
        </w:rPr>
        <w:t>labeling</w:t>
      </w:r>
      <w:proofErr w:type="spellEnd"/>
      <w:r w:rsidRPr="009D5139">
        <w:rPr>
          <w:rFonts w:ascii="Times New Roman" w:hAnsi="Times New Roman"/>
          <w:sz w:val="18"/>
          <w:szCs w:val="18"/>
        </w:rPr>
        <w:t xml:space="preserve"> law in the United States: A microsimulation study. </w:t>
      </w:r>
      <w:r w:rsidRPr="009D5139">
        <w:rPr>
          <w:rFonts w:ascii="Times New Roman" w:hAnsi="Times New Roman"/>
          <w:i/>
          <w:iCs/>
          <w:sz w:val="18"/>
          <w:szCs w:val="18"/>
        </w:rPr>
        <w:t>Circulation: Cardiovascular Quality and Outcomes</w:t>
      </w:r>
      <w:r w:rsidRPr="009D5139">
        <w:rPr>
          <w:rFonts w:ascii="Times New Roman" w:hAnsi="Times New Roman"/>
          <w:sz w:val="18"/>
          <w:szCs w:val="18"/>
        </w:rPr>
        <w:t xml:space="preserve">, 13: e006313. </w:t>
      </w:r>
      <w:r w:rsidRPr="009D5139">
        <w:rPr>
          <w:rFonts w:ascii="Times New Roman" w:hAnsi="Times New Roman"/>
          <w:sz w:val="18"/>
          <w:szCs w:val="18"/>
          <w:lang w:val="en-US"/>
        </w:rPr>
        <w:t>(Accessed 1 October 2021</w:t>
      </w:r>
      <w:r>
        <w:rPr>
          <w:rFonts w:ascii="Times New Roman" w:hAnsi="Times New Roman"/>
          <w:sz w:val="18"/>
          <w:szCs w:val="18"/>
          <w:lang w:val="en-US"/>
        </w:rPr>
        <w:t>)</w:t>
      </w:r>
    </w:p>
  </w:footnote>
  <w:footnote w:id="130">
    <w:p w14:paraId="367CBF09" w14:textId="7C097D2F" w:rsidR="00762E8C" w:rsidRPr="003D382A" w:rsidRDefault="00762E8C">
      <w:pPr>
        <w:pStyle w:val="FootnoteText"/>
        <w:rPr>
          <w:lang w:val="en-US"/>
        </w:rPr>
      </w:pPr>
      <w:r w:rsidRPr="009078B8">
        <w:rPr>
          <w:rStyle w:val="FootnoteReference"/>
          <w:rFonts w:ascii="Times New Roman" w:hAnsi="Times New Roman"/>
          <w:sz w:val="18"/>
          <w:szCs w:val="18"/>
        </w:rPr>
        <w:footnoteRef/>
      </w:r>
      <w:r w:rsidRPr="009078B8">
        <w:rPr>
          <w:rFonts w:ascii="Times New Roman" w:hAnsi="Times New Roman"/>
          <w:sz w:val="18"/>
          <w:szCs w:val="18"/>
        </w:rPr>
        <w:t xml:space="preserve"> </w:t>
      </w:r>
      <w:r>
        <w:rPr>
          <w:rFonts w:ascii="Times New Roman" w:hAnsi="Times New Roman"/>
          <w:sz w:val="18"/>
          <w:szCs w:val="18"/>
        </w:rPr>
        <w:t xml:space="preserve">Commonwealth of Australia. 2021. </w:t>
      </w:r>
      <w:r w:rsidRPr="009078B8">
        <w:rPr>
          <w:rFonts w:ascii="Times New Roman" w:hAnsi="Times New Roman"/>
          <w:i/>
          <w:iCs/>
          <w:sz w:val="18"/>
          <w:szCs w:val="18"/>
          <w:lang w:val="en-US"/>
        </w:rPr>
        <w:t xml:space="preserve">Policy Guidance for Menu Labelling in Australia and New Zealand </w:t>
      </w:r>
      <w:hyperlink r:id="rId72" w:history="1">
        <w:r w:rsidRPr="00EF44D1">
          <w:rPr>
            <w:rStyle w:val="Hyperlink"/>
            <w:rFonts w:ascii="Times New Roman" w:hAnsi="Times New Roman"/>
            <w:sz w:val="18"/>
            <w:szCs w:val="18"/>
          </w:rPr>
          <w:t>https://foodregulation.gov.au/internet/fr/publishing.nsf/Content/Policy-Guidance-for-Menu-Labelling-in-Australia-and-New-Zealand</w:t>
        </w:r>
      </w:hyperlink>
    </w:p>
  </w:footnote>
  <w:footnote w:id="131">
    <w:p w14:paraId="3C0030C7" w14:textId="77777777" w:rsidR="00762E8C" w:rsidRPr="006531D8" w:rsidRDefault="00762E8C" w:rsidP="00EA447B">
      <w:pPr>
        <w:pStyle w:val="FootnoteText"/>
        <w:rPr>
          <w:rFonts w:ascii="Times New Roman" w:hAnsi="Times New Roman"/>
          <w:sz w:val="18"/>
          <w:szCs w:val="18"/>
          <w:lang w:val="en-US"/>
        </w:rPr>
      </w:pPr>
      <w:r w:rsidRPr="006531D8">
        <w:rPr>
          <w:rStyle w:val="FootnoteReference"/>
          <w:rFonts w:ascii="Times New Roman" w:hAnsi="Times New Roman"/>
          <w:sz w:val="18"/>
          <w:szCs w:val="18"/>
        </w:rPr>
        <w:footnoteRef/>
      </w:r>
      <w:r w:rsidRPr="006531D8">
        <w:rPr>
          <w:rFonts w:ascii="Times New Roman" w:hAnsi="Times New Roman"/>
          <w:sz w:val="18"/>
          <w:szCs w:val="18"/>
        </w:rPr>
        <w:t xml:space="preserve"> </w:t>
      </w:r>
      <w:r w:rsidRPr="006531D8">
        <w:rPr>
          <w:rFonts w:ascii="Times New Roman" w:hAnsi="Times New Roman"/>
          <w:sz w:val="18"/>
          <w:szCs w:val="18"/>
          <w:lang w:val="en-US"/>
        </w:rPr>
        <w:t>Modes of sale include</w:t>
      </w:r>
      <w:r>
        <w:rPr>
          <w:rFonts w:ascii="Times New Roman" w:hAnsi="Times New Roman"/>
          <w:sz w:val="18"/>
          <w:szCs w:val="18"/>
          <w:lang w:val="en-US"/>
        </w:rPr>
        <w:t>, but is not limited to,</w:t>
      </w:r>
      <w:r w:rsidRPr="006531D8">
        <w:rPr>
          <w:rFonts w:ascii="Times New Roman" w:hAnsi="Times New Roman"/>
          <w:sz w:val="18"/>
          <w:szCs w:val="18"/>
          <w:lang w:val="en-US"/>
        </w:rPr>
        <w:t xml:space="preserve"> in-store, online, third-party providers; types of menus include</w:t>
      </w:r>
      <w:r>
        <w:rPr>
          <w:rFonts w:ascii="Times New Roman" w:hAnsi="Times New Roman"/>
          <w:sz w:val="18"/>
          <w:szCs w:val="18"/>
          <w:lang w:val="en-US"/>
        </w:rPr>
        <w:t>, but is not limited to,</w:t>
      </w:r>
      <w:r w:rsidRPr="006531D8">
        <w:rPr>
          <w:rFonts w:ascii="Times New Roman" w:hAnsi="Times New Roman"/>
          <w:sz w:val="18"/>
          <w:szCs w:val="18"/>
          <w:lang w:val="en-US"/>
        </w:rPr>
        <w:t xml:space="preserve"> digital menu panels, </w:t>
      </w:r>
      <w:r>
        <w:rPr>
          <w:rFonts w:ascii="Times New Roman" w:hAnsi="Times New Roman"/>
          <w:sz w:val="18"/>
          <w:szCs w:val="18"/>
          <w:lang w:val="en-US"/>
        </w:rPr>
        <w:t xml:space="preserve">kiosks, </w:t>
      </w:r>
      <w:r w:rsidRPr="006531D8">
        <w:rPr>
          <w:rFonts w:ascii="Times New Roman" w:hAnsi="Times New Roman"/>
          <w:sz w:val="18"/>
          <w:szCs w:val="18"/>
          <w:lang w:val="en-US"/>
        </w:rPr>
        <w:t>paper menus</w:t>
      </w:r>
      <w:r>
        <w:rPr>
          <w:rFonts w:ascii="Times New Roman" w:hAnsi="Times New Roman"/>
          <w:sz w:val="18"/>
          <w:szCs w:val="18"/>
          <w:lang w:val="en-US"/>
        </w:rPr>
        <w:t xml:space="preserve"> and tags</w:t>
      </w:r>
      <w:r w:rsidRPr="006531D8">
        <w:rPr>
          <w:rFonts w:ascii="Times New Roman" w:hAnsi="Times New Roman"/>
          <w:sz w:val="18"/>
          <w:szCs w:val="18"/>
          <w:lang w:val="en-US"/>
        </w:rPr>
        <w:t xml:space="preserve">, menu boards, </w:t>
      </w:r>
      <w:r>
        <w:rPr>
          <w:rFonts w:ascii="Times New Roman" w:hAnsi="Times New Roman"/>
          <w:sz w:val="18"/>
          <w:szCs w:val="18"/>
          <w:lang w:val="en-US"/>
        </w:rPr>
        <w:t xml:space="preserve">drive-thru menus, </w:t>
      </w:r>
      <w:r w:rsidRPr="006531D8">
        <w:rPr>
          <w:rFonts w:ascii="Times New Roman" w:hAnsi="Times New Roman"/>
          <w:sz w:val="18"/>
          <w:szCs w:val="18"/>
          <w:lang w:val="en-US"/>
        </w:rPr>
        <w:t>online menus.</w:t>
      </w:r>
    </w:p>
  </w:footnote>
  <w:footnote w:id="132">
    <w:p w14:paraId="2C8D6A17" w14:textId="77777777" w:rsidR="00762E8C" w:rsidRPr="00531E10" w:rsidRDefault="00762E8C" w:rsidP="003D6A24">
      <w:pPr>
        <w:pStyle w:val="FootnoteText"/>
        <w:rPr>
          <w:rFonts w:ascii="Times New Roman" w:hAnsi="Times New Roman"/>
          <w:sz w:val="18"/>
          <w:szCs w:val="18"/>
          <w:lang w:val="en-US"/>
        </w:rPr>
      </w:pPr>
      <w:r w:rsidRPr="000A001A">
        <w:rPr>
          <w:rStyle w:val="FootnoteReference"/>
          <w:rFonts w:ascii="Times New Roman" w:hAnsi="Times New Roman"/>
          <w:sz w:val="18"/>
          <w:szCs w:val="18"/>
        </w:rPr>
        <w:footnoteRef/>
      </w:r>
      <w:r w:rsidRPr="000A001A">
        <w:rPr>
          <w:rFonts w:ascii="Times New Roman" w:hAnsi="Times New Roman"/>
          <w:sz w:val="18"/>
          <w:szCs w:val="18"/>
        </w:rPr>
        <w:t xml:space="preserve"> </w:t>
      </w:r>
      <w:r w:rsidRPr="000A001A">
        <w:rPr>
          <w:rFonts w:ascii="Times New Roman" w:hAnsi="Times New Roman"/>
          <w:sz w:val="18"/>
          <w:szCs w:val="18"/>
          <w:lang w:val="en-US"/>
        </w:rPr>
        <w:t>Font weight is defined as the thinness or thickness of a font; and the range is 100 to 900. Normal is 400, bold is 700.</w:t>
      </w:r>
    </w:p>
  </w:footnote>
  <w:footnote w:id="133">
    <w:p w14:paraId="0E524C35" w14:textId="208F00D0" w:rsidR="00762E8C" w:rsidRPr="000B23D8" w:rsidRDefault="00762E8C">
      <w:pPr>
        <w:pStyle w:val="FootnoteText"/>
        <w:rPr>
          <w:rFonts w:ascii="Times New Roman" w:hAnsi="Times New Roman"/>
          <w:sz w:val="18"/>
          <w:szCs w:val="18"/>
          <w:lang w:val="en-US"/>
        </w:rPr>
      </w:pPr>
      <w:r w:rsidRPr="000B23D8">
        <w:rPr>
          <w:rStyle w:val="FootnoteReference"/>
          <w:rFonts w:ascii="Times New Roman" w:hAnsi="Times New Roman"/>
          <w:sz w:val="18"/>
          <w:szCs w:val="18"/>
        </w:rPr>
        <w:footnoteRef/>
      </w:r>
      <w:r w:rsidRPr="000B23D8">
        <w:rPr>
          <w:rFonts w:ascii="Times New Roman" w:hAnsi="Times New Roman"/>
          <w:sz w:val="18"/>
          <w:szCs w:val="18"/>
        </w:rPr>
        <w:t xml:space="preserve"> </w:t>
      </w:r>
      <w:r w:rsidRPr="000B23D8">
        <w:rPr>
          <w:rFonts w:ascii="Times New Roman" w:hAnsi="Times New Roman"/>
          <w:sz w:val="18"/>
          <w:szCs w:val="18"/>
          <w:lang w:val="en-US"/>
        </w:rPr>
        <w:t xml:space="preserve">Note: RCTs = randomized controlled trials, Q-RCTs = quasi randomized controlled trials, NE = natural experiments, </w:t>
      </w:r>
      <w:r>
        <w:rPr>
          <w:rFonts w:ascii="Times New Roman" w:hAnsi="Times New Roman"/>
          <w:sz w:val="18"/>
          <w:szCs w:val="18"/>
          <w:lang w:val="en-US"/>
        </w:rPr>
        <w:t xml:space="preserve">P/P = pre/post design, CBA = controlled before and after, </w:t>
      </w:r>
      <w:r w:rsidRPr="000B23D8">
        <w:rPr>
          <w:rFonts w:ascii="Times New Roman" w:hAnsi="Times New Roman"/>
          <w:sz w:val="18"/>
          <w:szCs w:val="18"/>
          <w:lang w:val="en-US"/>
        </w:rPr>
        <w:t xml:space="preserve">CS = cross-sectional, </w:t>
      </w:r>
      <w:r>
        <w:rPr>
          <w:rFonts w:ascii="Times New Roman" w:hAnsi="Times New Roman"/>
          <w:sz w:val="18"/>
          <w:szCs w:val="18"/>
          <w:lang w:val="en-US"/>
        </w:rPr>
        <w:t xml:space="preserve">L/S = laboratory/simulation, </w:t>
      </w:r>
      <w:r w:rsidRPr="000B23D8">
        <w:rPr>
          <w:rFonts w:ascii="Times New Roman" w:hAnsi="Times New Roman"/>
          <w:sz w:val="18"/>
          <w:szCs w:val="18"/>
          <w:lang w:val="en-US"/>
        </w:rPr>
        <w:t>ITS = interrupted time series studies</w:t>
      </w:r>
      <w:r>
        <w:rPr>
          <w:rFonts w:ascii="Times New Roman" w:hAnsi="Times New Roman"/>
          <w:sz w:val="18"/>
          <w:szCs w:val="18"/>
          <w:lang w:val="en-US"/>
        </w:rPr>
        <w:t xml:space="preserve">, </w:t>
      </w:r>
      <w:proofErr w:type="spellStart"/>
      <w:r>
        <w:rPr>
          <w:rFonts w:ascii="Times New Roman" w:hAnsi="Times New Roman"/>
          <w:sz w:val="18"/>
          <w:szCs w:val="18"/>
          <w:lang w:val="en-US"/>
        </w:rPr>
        <w:t>Obs</w:t>
      </w:r>
      <w:proofErr w:type="spellEnd"/>
      <w:r>
        <w:rPr>
          <w:rFonts w:ascii="Times New Roman" w:hAnsi="Times New Roman"/>
          <w:sz w:val="18"/>
          <w:szCs w:val="18"/>
          <w:lang w:val="en-US"/>
        </w:rPr>
        <w:t xml:space="preserve"> (L) = longitudinal observational, CC = case-controlled, Exp = experimental, Q-Exp = quasi-experimental</w:t>
      </w:r>
    </w:p>
  </w:footnote>
  <w:footnote w:id="134">
    <w:p w14:paraId="41460617" w14:textId="77777777" w:rsidR="00762E8C" w:rsidRPr="00DC4D93" w:rsidRDefault="00762E8C" w:rsidP="00C91F0D">
      <w:pPr>
        <w:pStyle w:val="FootnoteText"/>
        <w:rPr>
          <w:rFonts w:ascii="Times New Roman" w:hAnsi="Times New Roman"/>
          <w:sz w:val="18"/>
          <w:szCs w:val="18"/>
          <w:lang w:val="en-US"/>
        </w:rPr>
      </w:pPr>
      <w:r w:rsidRPr="00DC4D93">
        <w:rPr>
          <w:rStyle w:val="FootnoteReference"/>
          <w:rFonts w:ascii="Times New Roman" w:hAnsi="Times New Roman"/>
          <w:sz w:val="18"/>
          <w:szCs w:val="18"/>
        </w:rPr>
        <w:footnoteRef/>
      </w:r>
      <w:r w:rsidRPr="00DC4D93">
        <w:rPr>
          <w:rFonts w:ascii="Times New Roman" w:hAnsi="Times New Roman"/>
          <w:sz w:val="18"/>
          <w:szCs w:val="18"/>
        </w:rPr>
        <w:t xml:space="preserve"> Note: New Zealand provided the research for the purchase of this paper, but it is yet to be published.</w:t>
      </w:r>
    </w:p>
  </w:footnote>
  <w:footnote w:id="135">
    <w:p w14:paraId="45CDD8A6" w14:textId="77777777" w:rsidR="00762E8C" w:rsidRPr="0047327A" w:rsidRDefault="00762E8C" w:rsidP="00C91F0D">
      <w:pPr>
        <w:pStyle w:val="FootnoteText"/>
        <w:rPr>
          <w:lang w:val="en-US"/>
        </w:rPr>
      </w:pPr>
      <w:r w:rsidRPr="00DC4D93">
        <w:rPr>
          <w:rStyle w:val="FootnoteReference"/>
          <w:rFonts w:ascii="Times New Roman" w:hAnsi="Times New Roman"/>
          <w:sz w:val="18"/>
          <w:szCs w:val="18"/>
        </w:rPr>
        <w:footnoteRef/>
      </w:r>
      <w:r w:rsidRPr="00DC4D93">
        <w:rPr>
          <w:rFonts w:ascii="Times New Roman" w:hAnsi="Times New Roman"/>
          <w:sz w:val="18"/>
          <w:szCs w:val="18"/>
        </w:rPr>
        <w:t xml:space="preserve"> The two Australian studies included in </w:t>
      </w:r>
      <w:proofErr w:type="spellStart"/>
      <w:r w:rsidRPr="00DC4D93">
        <w:rPr>
          <w:rFonts w:ascii="Times New Roman" w:hAnsi="Times New Roman"/>
          <w:sz w:val="18"/>
          <w:szCs w:val="18"/>
        </w:rPr>
        <w:t>Shangguan</w:t>
      </w:r>
      <w:proofErr w:type="spellEnd"/>
      <w:r w:rsidRPr="00DC4D93">
        <w:rPr>
          <w:rFonts w:ascii="Times New Roman" w:hAnsi="Times New Roman"/>
          <w:sz w:val="18"/>
          <w:szCs w:val="18"/>
        </w:rPr>
        <w:t xml:space="preserve"> et al (2019) assessed nutritional labelling on packaged foods, rather than menu labelling, so have not been described here.</w:t>
      </w:r>
    </w:p>
  </w:footnote>
  <w:footnote w:id="136">
    <w:p w14:paraId="29FF82C4" w14:textId="77777777" w:rsidR="00762E8C" w:rsidRPr="00152362" w:rsidRDefault="00762E8C" w:rsidP="00DE628A">
      <w:pPr>
        <w:pStyle w:val="FootnoteText"/>
        <w:rPr>
          <w:rFonts w:ascii="Times New Roman" w:hAnsi="Times New Roman"/>
          <w:sz w:val="18"/>
          <w:szCs w:val="18"/>
          <w:lang w:val="en-US"/>
        </w:rPr>
      </w:pPr>
      <w:r w:rsidRPr="005F150C">
        <w:rPr>
          <w:rStyle w:val="FootnoteReference"/>
          <w:rFonts w:ascii="Times New Roman" w:hAnsi="Times New Roman"/>
          <w:sz w:val="18"/>
          <w:szCs w:val="18"/>
        </w:rPr>
        <w:footnoteRef/>
      </w:r>
      <w:r w:rsidRPr="005F150C">
        <w:rPr>
          <w:rFonts w:ascii="Times New Roman" w:hAnsi="Times New Roman"/>
          <w:sz w:val="18"/>
          <w:szCs w:val="18"/>
        </w:rPr>
        <w:t xml:space="preserve"> </w:t>
      </w:r>
      <w:r w:rsidRPr="005F150C">
        <w:rPr>
          <w:rFonts w:ascii="Times New Roman" w:hAnsi="Times New Roman"/>
          <w:i/>
          <w:iCs/>
          <w:sz w:val="18"/>
          <w:szCs w:val="18"/>
        </w:rPr>
        <w:t>Fast Choices: An evaluation of energy purchased and consumer education – Findings from Waves 1,2 &amp; 3</w:t>
      </w:r>
      <w:r w:rsidRPr="005F150C">
        <w:rPr>
          <w:rFonts w:ascii="Times New Roman" w:hAnsi="Times New Roman"/>
          <w:sz w:val="18"/>
          <w:szCs w:val="18"/>
        </w:rPr>
        <w:t xml:space="preserve">. Prepared for NSW Food Authority and NSW Health. </w:t>
      </w:r>
      <w:hyperlink r:id="rId73" w:history="1">
        <w:r w:rsidRPr="00A738E9">
          <w:rPr>
            <w:rStyle w:val="Hyperlink"/>
            <w:rFonts w:ascii="Times New Roman" w:hAnsi="Times New Roman"/>
            <w:sz w:val="18"/>
            <w:szCs w:val="18"/>
          </w:rPr>
          <w:t>https://www.foodauthority.nsw.gov.au/sites/default/files/_Documents/scienceandtechnical/fast_choices_TNS_report.pdf</w:t>
        </w:r>
      </w:hyperlink>
    </w:p>
  </w:footnote>
  <w:footnote w:id="137">
    <w:p w14:paraId="4A485A04" w14:textId="77777777" w:rsidR="00762E8C" w:rsidRPr="00F90C36" w:rsidRDefault="00762E8C" w:rsidP="00DE628A">
      <w:pPr>
        <w:pStyle w:val="FootnoteText"/>
        <w:rPr>
          <w:lang w:val="en-US"/>
        </w:rPr>
      </w:pPr>
      <w:r w:rsidRPr="001A5E94">
        <w:rPr>
          <w:rStyle w:val="FootnoteReference"/>
          <w:rFonts w:ascii="Times New Roman" w:hAnsi="Times New Roman"/>
          <w:sz w:val="18"/>
          <w:szCs w:val="18"/>
        </w:rPr>
        <w:footnoteRef/>
      </w:r>
      <w:r w:rsidRPr="001A5E94">
        <w:rPr>
          <w:rFonts w:ascii="Times New Roman" w:hAnsi="Times New Roman"/>
          <w:sz w:val="18"/>
          <w:szCs w:val="18"/>
        </w:rPr>
        <w:t xml:space="preserve"> Mantilla-Herrera et al. </w:t>
      </w:r>
      <w:r w:rsidRPr="001A5E94">
        <w:rPr>
          <w:rFonts w:ascii="Times New Roman" w:hAnsi="Times New Roman"/>
          <w:i/>
          <w:iCs/>
          <w:sz w:val="18"/>
          <w:szCs w:val="18"/>
        </w:rPr>
        <w:t>Menu kilojoule labelling on fast food</w:t>
      </w:r>
      <w:r w:rsidRPr="001A5E94">
        <w:rPr>
          <w:rFonts w:ascii="Times New Roman" w:hAnsi="Times New Roman"/>
          <w:sz w:val="18"/>
          <w:szCs w:val="18"/>
        </w:rPr>
        <w:t xml:space="preserve"> in </w:t>
      </w:r>
      <w:proofErr w:type="spellStart"/>
      <w:r w:rsidRPr="001A5E94">
        <w:rPr>
          <w:rFonts w:ascii="Times New Roman" w:hAnsi="Times New Roman"/>
          <w:sz w:val="18"/>
          <w:szCs w:val="18"/>
        </w:rPr>
        <w:t>Ananthapavan</w:t>
      </w:r>
      <w:proofErr w:type="spellEnd"/>
      <w:r w:rsidRPr="001A5E94">
        <w:rPr>
          <w:rFonts w:ascii="Times New Roman" w:hAnsi="Times New Roman"/>
          <w:sz w:val="18"/>
          <w:szCs w:val="18"/>
        </w:rPr>
        <w:t xml:space="preserve"> et al. 2018. </w:t>
      </w:r>
      <w:r w:rsidRPr="001A5E94">
        <w:rPr>
          <w:rFonts w:ascii="Times New Roman" w:hAnsi="Times New Roman"/>
          <w:i/>
          <w:sz w:val="18"/>
          <w:szCs w:val="18"/>
        </w:rPr>
        <w:t>Assessing cost-effectiveness of obesity prevention policies in Australia 2018</w:t>
      </w:r>
      <w:r w:rsidRPr="001A5E94">
        <w:rPr>
          <w:rFonts w:ascii="Times New Roman" w:hAnsi="Times New Roman"/>
          <w:sz w:val="18"/>
          <w:szCs w:val="18"/>
        </w:rPr>
        <w:t xml:space="preserve">. Melbourne: Deakin University. </w:t>
      </w:r>
      <w:hyperlink r:id="rId74" w:history="1">
        <w:r w:rsidRPr="001A5E94">
          <w:rPr>
            <w:rStyle w:val="Hyperlink"/>
            <w:rFonts w:ascii="Times New Roman" w:hAnsi="Times New Roman"/>
            <w:sz w:val="18"/>
            <w:szCs w:val="18"/>
          </w:rPr>
          <w:t>http://www.aceobesitypolicy.com.au/</w:t>
        </w:r>
      </w:hyperlink>
    </w:p>
  </w:footnote>
  <w:footnote w:id="138">
    <w:p w14:paraId="61767C9E" w14:textId="77777777" w:rsidR="00762E8C" w:rsidRPr="00152362" w:rsidRDefault="00762E8C" w:rsidP="007D6758">
      <w:pPr>
        <w:pStyle w:val="FootnoteText"/>
        <w:tabs>
          <w:tab w:val="left" w:pos="0"/>
        </w:tabs>
        <w:rPr>
          <w:rFonts w:ascii="Times New Roman" w:hAnsi="Times New Roman"/>
          <w:sz w:val="18"/>
          <w:szCs w:val="18"/>
        </w:rPr>
      </w:pPr>
      <w:r w:rsidRPr="00152362">
        <w:rPr>
          <w:rStyle w:val="FootnoteReference"/>
          <w:rFonts w:ascii="Times New Roman" w:hAnsi="Times New Roman"/>
          <w:sz w:val="18"/>
          <w:szCs w:val="18"/>
        </w:rPr>
        <w:footnoteRef/>
      </w:r>
      <w:r w:rsidRPr="00152362">
        <w:rPr>
          <w:rFonts w:ascii="Times New Roman" w:hAnsi="Times New Roman"/>
          <w:sz w:val="18"/>
          <w:szCs w:val="18"/>
        </w:rPr>
        <w:t xml:space="preserve"> </w:t>
      </w:r>
      <w:r w:rsidRPr="00152362">
        <w:rPr>
          <w:rStyle w:val="Hyperlink"/>
          <w:rFonts w:ascii="Times New Roman" w:hAnsi="Times New Roman"/>
          <w:color w:val="auto"/>
          <w:sz w:val="18"/>
          <w:szCs w:val="18"/>
          <w:u w:val="none"/>
        </w:rPr>
        <w:t>R</w:t>
      </w:r>
      <w:r w:rsidRPr="00152362">
        <w:rPr>
          <w:rFonts w:ascii="Times New Roman" w:hAnsi="Times New Roman"/>
          <w:sz w:val="18"/>
          <w:szCs w:val="18"/>
        </w:rPr>
        <w:t xml:space="preserve">eported in Queensland Health. 2018. </w:t>
      </w:r>
      <w:r w:rsidRPr="00152362">
        <w:rPr>
          <w:rFonts w:ascii="Times New Roman" w:hAnsi="Times New Roman"/>
          <w:i/>
          <w:sz w:val="18"/>
          <w:szCs w:val="18"/>
        </w:rPr>
        <w:t>Health and Wellbeing Strategic Framework 2017 to 2016. Performance Review 2017-18</w:t>
      </w:r>
      <w:r w:rsidRPr="00152362">
        <w:rPr>
          <w:rFonts w:ascii="Times New Roman" w:hAnsi="Times New Roman"/>
          <w:sz w:val="18"/>
          <w:szCs w:val="18"/>
        </w:rPr>
        <w:t xml:space="preserve">. </w:t>
      </w:r>
      <w:hyperlink r:id="rId75" w:history="1">
        <w:r w:rsidRPr="00152362">
          <w:rPr>
            <w:rStyle w:val="Hyperlink"/>
            <w:rFonts w:ascii="Times New Roman" w:hAnsi="Times New Roman"/>
            <w:sz w:val="18"/>
            <w:szCs w:val="18"/>
          </w:rPr>
          <w:t>https://www.health.qld.gov.au/__data/assets/pdf_file/0030/813972/health-wellbeing-performance-review-2017-18.pdf</w:t>
        </w:r>
      </w:hyperlink>
    </w:p>
  </w:footnote>
  <w:footnote w:id="139">
    <w:p w14:paraId="54B229DD" w14:textId="77777777" w:rsidR="00762E8C" w:rsidRPr="00152362" w:rsidRDefault="00762E8C" w:rsidP="00DE628A">
      <w:pPr>
        <w:pStyle w:val="FootnoteText"/>
        <w:rPr>
          <w:rFonts w:ascii="Times New Roman" w:hAnsi="Times New Roman"/>
          <w:sz w:val="18"/>
          <w:szCs w:val="18"/>
          <w:lang w:val="en-US"/>
        </w:rPr>
      </w:pPr>
      <w:r w:rsidRPr="00152362">
        <w:rPr>
          <w:rStyle w:val="FootnoteReference"/>
          <w:rFonts w:ascii="Times New Roman" w:hAnsi="Times New Roman"/>
          <w:sz w:val="18"/>
          <w:szCs w:val="18"/>
        </w:rPr>
        <w:footnoteRef/>
      </w:r>
      <w:r w:rsidRPr="00152362">
        <w:rPr>
          <w:rFonts w:ascii="Times New Roman" w:hAnsi="Times New Roman"/>
          <w:sz w:val="18"/>
          <w:szCs w:val="18"/>
        </w:rPr>
        <w:t xml:space="preserve">ACT Health. 2017. </w:t>
      </w:r>
      <w:r w:rsidRPr="00152362">
        <w:rPr>
          <w:rFonts w:ascii="Times New Roman" w:hAnsi="Times New Roman"/>
          <w:i/>
          <w:sz w:val="18"/>
          <w:szCs w:val="18"/>
        </w:rPr>
        <w:t xml:space="preserve">Review of display of nutritional information for food. </w:t>
      </w:r>
      <w:hyperlink r:id="rId76" w:history="1">
        <w:r w:rsidRPr="00152362">
          <w:rPr>
            <w:rStyle w:val="Hyperlink"/>
            <w:rFonts w:ascii="Times New Roman" w:hAnsi="Times New Roman"/>
            <w:sz w:val="18"/>
            <w:szCs w:val="18"/>
          </w:rPr>
          <w:t>https://www.health.act.gov.au/sites/default/files/2018-09/Review%20of%20Display%20of%20Nutritional%20Information%20for%20Food%20Report%202017.pdf</w:t>
        </w:r>
      </w:hyperlink>
    </w:p>
  </w:footnote>
  <w:footnote w:id="140">
    <w:p w14:paraId="38EEAC6B" w14:textId="51F60379" w:rsidR="00762E8C" w:rsidRPr="002F3211" w:rsidRDefault="00762E8C">
      <w:pPr>
        <w:pStyle w:val="FootnoteText"/>
        <w:rPr>
          <w:rFonts w:ascii="Times New Roman" w:hAnsi="Times New Roman"/>
          <w:sz w:val="18"/>
          <w:szCs w:val="18"/>
          <w:lang w:val="en-US"/>
        </w:rPr>
      </w:pPr>
      <w:r w:rsidRPr="00DC4D93">
        <w:rPr>
          <w:rStyle w:val="FootnoteReference"/>
          <w:rFonts w:ascii="Times New Roman" w:hAnsi="Times New Roman"/>
          <w:sz w:val="18"/>
          <w:szCs w:val="18"/>
        </w:rPr>
        <w:footnoteRef/>
      </w:r>
      <w:r w:rsidRPr="00DC4D93">
        <w:rPr>
          <w:rFonts w:ascii="Times New Roman" w:hAnsi="Times New Roman"/>
          <w:sz w:val="18"/>
          <w:szCs w:val="18"/>
        </w:rPr>
        <w:t xml:space="preserve"> </w:t>
      </w:r>
      <w:r w:rsidR="001168D9" w:rsidRPr="00DC4D93">
        <w:rPr>
          <w:rFonts w:ascii="Times New Roman" w:hAnsi="Times New Roman"/>
          <w:sz w:val="18"/>
          <w:szCs w:val="18"/>
        </w:rPr>
        <w:t>T</w:t>
      </w:r>
      <w:r w:rsidRPr="00DC4D93">
        <w:rPr>
          <w:rFonts w:ascii="Times New Roman" w:hAnsi="Times New Roman"/>
          <w:sz w:val="18"/>
          <w:szCs w:val="18"/>
        </w:rPr>
        <w:t>his is not a comprehensive list and there are other policy areas and actions to support healthier food and drink purchasing and consumption, including at the State and Territory-level</w:t>
      </w:r>
      <w:r w:rsidR="001168D9" w:rsidRPr="00DC4D93">
        <w:rPr>
          <w:rFonts w:ascii="Times New Roman" w:hAnsi="Times New Roman"/>
          <w:sz w:val="18"/>
          <w:szCs w:val="18"/>
        </w:rPr>
        <w:t xml:space="preserve">, and </w:t>
      </w:r>
      <w:r w:rsidR="00AE05AD" w:rsidRPr="00DC4D93">
        <w:rPr>
          <w:rFonts w:ascii="Times New Roman" w:hAnsi="Times New Roman"/>
          <w:sz w:val="18"/>
          <w:szCs w:val="18"/>
        </w:rPr>
        <w:t>industry-initiated actions</w:t>
      </w:r>
      <w:r w:rsidRPr="00DC4D93">
        <w:rPr>
          <w:rFonts w:ascii="Times New Roman" w:hAnsi="Times New Roman"/>
          <w:sz w:val="18"/>
          <w:szCs w:val="18"/>
        </w:rPr>
        <w:t>, which are not in the table.</w:t>
      </w:r>
    </w:p>
  </w:footnote>
  <w:footnote w:id="141">
    <w:p w14:paraId="72B27A33" w14:textId="75E928AA" w:rsidR="00762E8C" w:rsidRPr="00EF4D18" w:rsidRDefault="00762E8C">
      <w:pPr>
        <w:pStyle w:val="FootnoteText"/>
        <w:rPr>
          <w:rFonts w:ascii="Times New Roman" w:hAnsi="Times New Roman"/>
          <w:sz w:val="18"/>
          <w:szCs w:val="18"/>
        </w:rPr>
      </w:pPr>
      <w:r w:rsidRPr="00EF4D18">
        <w:rPr>
          <w:rStyle w:val="FootnoteReference"/>
          <w:rFonts w:ascii="Times New Roman" w:hAnsi="Times New Roman"/>
          <w:sz w:val="18"/>
          <w:szCs w:val="18"/>
        </w:rPr>
        <w:footnoteRef/>
      </w:r>
      <w:r w:rsidRPr="00EF4D18">
        <w:rPr>
          <w:rFonts w:ascii="Times New Roman" w:hAnsi="Times New Roman"/>
          <w:sz w:val="18"/>
          <w:szCs w:val="18"/>
        </w:rPr>
        <w:t xml:space="preserve"> </w:t>
      </w:r>
      <w:r>
        <w:rPr>
          <w:rFonts w:ascii="Times New Roman" w:hAnsi="Times New Roman"/>
          <w:sz w:val="18"/>
          <w:szCs w:val="18"/>
        </w:rPr>
        <w:t>Note: This is not a definitive list of which businesses sell standard food items, or which would meet the definition of a standard food outlet.</w:t>
      </w:r>
      <w:r>
        <w:rPr>
          <w:rStyle w:val="Heading1Char"/>
          <w:rFonts w:ascii="Times New Roman" w:hAnsi="Times New Roman" w:cs="Times New Roman"/>
          <w:b w:val="0"/>
          <w:bCs w:val="0"/>
          <w:sz w:val="24"/>
          <w:szCs w:val="24"/>
        </w:rPr>
        <w:t xml:space="preserve"> </w:t>
      </w:r>
      <w:r w:rsidRPr="00296077">
        <w:rPr>
          <w:rStyle w:val="Heading1Char"/>
          <w:rFonts w:ascii="Times New Roman" w:hAnsi="Times New Roman" w:cs="Times New Roman"/>
          <w:b w:val="0"/>
          <w:bCs w:val="0"/>
          <w:sz w:val="18"/>
          <w:szCs w:val="18"/>
        </w:rPr>
        <w:t xml:space="preserve">Ongoing monitoring of business types that may sell standard food items is necessary to account for </w:t>
      </w:r>
      <w:r>
        <w:rPr>
          <w:rStyle w:val="Heading1Char"/>
          <w:rFonts w:ascii="Times New Roman" w:hAnsi="Times New Roman" w:cs="Times New Roman"/>
          <w:b w:val="0"/>
          <w:bCs w:val="0"/>
          <w:sz w:val="18"/>
          <w:szCs w:val="18"/>
        </w:rPr>
        <w:t xml:space="preserve">changes and </w:t>
      </w:r>
      <w:r w:rsidRPr="00296077">
        <w:rPr>
          <w:rStyle w:val="Heading1Char"/>
          <w:rFonts w:ascii="Times New Roman" w:hAnsi="Times New Roman" w:cs="Times New Roman"/>
          <w:b w:val="0"/>
          <w:bCs w:val="0"/>
          <w:sz w:val="18"/>
          <w:szCs w:val="18"/>
        </w:rPr>
        <w:t>innovations in the Australian and New Zealand food supply.</w:t>
      </w:r>
    </w:p>
  </w:footnote>
  <w:footnote w:id="142">
    <w:p w14:paraId="1A4CABD6" w14:textId="481E2D37" w:rsidR="00762E8C" w:rsidRPr="00DB4340" w:rsidRDefault="00762E8C">
      <w:pPr>
        <w:pStyle w:val="FootnoteText"/>
        <w:rPr>
          <w:lang w:val="en-US"/>
        </w:rPr>
      </w:pPr>
      <w:r w:rsidRPr="00DB4340">
        <w:rPr>
          <w:rStyle w:val="FootnoteReference"/>
          <w:rFonts w:ascii="Times New Roman" w:hAnsi="Times New Roman"/>
          <w:sz w:val="18"/>
          <w:szCs w:val="18"/>
        </w:rPr>
        <w:footnoteRef/>
      </w:r>
      <w:r w:rsidRPr="00DB4340">
        <w:rPr>
          <w:rFonts w:ascii="Times New Roman" w:hAnsi="Times New Roman"/>
          <w:sz w:val="18"/>
          <w:szCs w:val="18"/>
        </w:rPr>
        <w:t xml:space="preserve"> </w:t>
      </w:r>
      <w:r>
        <w:rPr>
          <w:rFonts w:ascii="Times New Roman" w:hAnsi="Times New Roman"/>
          <w:sz w:val="18"/>
          <w:szCs w:val="18"/>
        </w:rPr>
        <w:t>Note: Some businesses undertake multiple activities and are classified by the predominant activity. For example, a service station may predominantly engage in fuel retailing, while also engaging in the sale of takeaway food. Therefore, while the predominant activity isn’t selling standard food items, a component of the business activity involves the sale of standard food items.</w:t>
      </w:r>
    </w:p>
  </w:footnote>
  <w:footnote w:id="143">
    <w:p w14:paraId="404AB2E0" w14:textId="77777777" w:rsidR="00762E8C" w:rsidRPr="00DB4340" w:rsidRDefault="00762E8C" w:rsidP="00243BEE">
      <w:pPr>
        <w:pStyle w:val="FootnoteText"/>
        <w:rPr>
          <w:lang w:val="en-US"/>
        </w:rPr>
      </w:pPr>
      <w:r w:rsidRPr="00DB4340">
        <w:rPr>
          <w:rStyle w:val="FootnoteReference"/>
          <w:rFonts w:ascii="Times New Roman" w:hAnsi="Times New Roman"/>
          <w:sz w:val="18"/>
          <w:szCs w:val="18"/>
        </w:rPr>
        <w:footnoteRef/>
      </w:r>
      <w:r w:rsidRPr="00DB4340">
        <w:rPr>
          <w:rFonts w:ascii="Times New Roman" w:hAnsi="Times New Roman"/>
          <w:sz w:val="18"/>
          <w:szCs w:val="18"/>
        </w:rPr>
        <w:t xml:space="preserve"> </w:t>
      </w:r>
      <w:r w:rsidRPr="00DB4340">
        <w:rPr>
          <w:rFonts w:ascii="Times New Roman" w:hAnsi="Times New Roman"/>
          <w:sz w:val="18"/>
          <w:szCs w:val="18"/>
          <w:lang w:val="en-US"/>
        </w:rPr>
        <w:t xml:space="preserve">Australian Bureau of Statistics and Statistics New Zealand. 2013. </w:t>
      </w:r>
      <w:r w:rsidRPr="00DB4340">
        <w:rPr>
          <w:rFonts w:ascii="Times New Roman" w:hAnsi="Times New Roman"/>
          <w:i/>
          <w:sz w:val="18"/>
          <w:szCs w:val="18"/>
          <w:lang w:val="en-US"/>
        </w:rPr>
        <w:t>Australian and New Zealand Standard Industrial Classification 2006</w:t>
      </w:r>
      <w:r w:rsidRPr="00DB4340">
        <w:rPr>
          <w:rFonts w:ascii="Times New Roman" w:hAnsi="Times New Roman"/>
          <w:sz w:val="18"/>
          <w:szCs w:val="18"/>
          <w:lang w:val="en-US"/>
        </w:rPr>
        <w:t xml:space="preserve">. </w:t>
      </w:r>
      <w:hyperlink r:id="rId77" w:history="1">
        <w:r w:rsidRPr="00DB4340">
          <w:rPr>
            <w:rStyle w:val="Hyperlink"/>
            <w:rFonts w:ascii="Times New Roman" w:hAnsi="Times New Roman"/>
            <w:sz w:val="18"/>
            <w:szCs w:val="18"/>
            <w:lang w:val="en-US"/>
          </w:rPr>
          <w:t>https://www.abs.gov.au/AUSSTATS/abs@.nsf/DetailsPage/1292.02006%20(Revision%201.0)?OpenDocument</w:t>
        </w:r>
      </w:hyperlink>
      <w:r w:rsidRPr="00DB4340">
        <w:rPr>
          <w:rFonts w:ascii="Times New Roman" w:hAnsi="Times New Roman"/>
          <w:sz w:val="18"/>
          <w:szCs w:val="18"/>
          <w:lang w:val="en-US"/>
        </w:rPr>
        <w:t xml:space="preserve"> (accessed 23 September 2021)</w:t>
      </w:r>
    </w:p>
  </w:footnote>
  <w:footnote w:id="144">
    <w:p w14:paraId="518DCD74" w14:textId="77777777" w:rsidR="00762E8C" w:rsidRPr="00E01DC8" w:rsidRDefault="00762E8C" w:rsidP="00972A23">
      <w:pPr>
        <w:pStyle w:val="FootnoteText"/>
        <w:rPr>
          <w:rFonts w:ascii="Times New Roman" w:hAnsi="Times New Roman"/>
          <w:sz w:val="18"/>
          <w:szCs w:val="18"/>
        </w:rPr>
      </w:pPr>
      <w:r w:rsidRPr="00E01DC8">
        <w:rPr>
          <w:rStyle w:val="FootnoteReference"/>
          <w:rFonts w:ascii="Times New Roman" w:hAnsi="Times New Roman"/>
          <w:sz w:val="18"/>
          <w:szCs w:val="18"/>
        </w:rPr>
        <w:footnoteRef/>
      </w:r>
      <w:r w:rsidRPr="00E01DC8">
        <w:rPr>
          <w:rFonts w:ascii="Times New Roman" w:hAnsi="Times New Roman"/>
          <w:sz w:val="18"/>
          <w:szCs w:val="18"/>
        </w:rPr>
        <w:t xml:space="preserve"> Food Regulation Standing Committee. 2018. </w:t>
      </w:r>
      <w:r w:rsidRPr="00E01DC8">
        <w:rPr>
          <w:rFonts w:ascii="Times New Roman" w:hAnsi="Times New Roman"/>
          <w:i/>
          <w:sz w:val="18"/>
          <w:szCs w:val="18"/>
        </w:rPr>
        <w:t>Consultation Paper: Review of fast food menu labelling schemes</w:t>
      </w:r>
      <w:r w:rsidRPr="00E01DC8">
        <w:rPr>
          <w:rFonts w:ascii="Times New Roman" w:hAnsi="Times New Roman"/>
          <w:sz w:val="18"/>
          <w:szCs w:val="18"/>
        </w:rPr>
        <w:t xml:space="preserve">. Available at: </w:t>
      </w:r>
      <w:hyperlink r:id="rId78" w:history="1">
        <w:r w:rsidRPr="00E01DC8">
          <w:rPr>
            <w:rFonts w:ascii="Times New Roman" w:eastAsia="Times New Roman" w:hAnsi="Times New Roman"/>
            <w:color w:val="0000FF"/>
            <w:sz w:val="18"/>
            <w:szCs w:val="18"/>
            <w:u w:val="single"/>
          </w:rPr>
          <w:t>https://foodregulation.gov.au/internet/fr/publishing.nsf/Content/review-fast-food-menu-labelling-schemes</w:t>
        </w:r>
      </w:hyperlink>
    </w:p>
  </w:footnote>
  <w:footnote w:id="145">
    <w:p w14:paraId="480FC949" w14:textId="77777777" w:rsidR="00762E8C" w:rsidRDefault="00762E8C" w:rsidP="00972A23">
      <w:pPr>
        <w:pStyle w:val="FootnoteText"/>
      </w:pPr>
      <w:r w:rsidRPr="00E01DC8">
        <w:rPr>
          <w:rStyle w:val="FootnoteReference"/>
          <w:rFonts w:ascii="Times New Roman" w:hAnsi="Times New Roman"/>
          <w:sz w:val="18"/>
          <w:szCs w:val="18"/>
        </w:rPr>
        <w:footnoteRef/>
      </w:r>
      <w:r w:rsidRPr="00E01DC8">
        <w:rPr>
          <w:rFonts w:ascii="Times New Roman" w:hAnsi="Times New Roman"/>
          <w:sz w:val="18"/>
          <w:szCs w:val="18"/>
        </w:rPr>
        <w:t xml:space="preserve"> Food Regulation Standing Committee. 2018. </w:t>
      </w:r>
      <w:r w:rsidRPr="00E01DC8">
        <w:rPr>
          <w:rFonts w:ascii="Times New Roman" w:hAnsi="Times New Roman"/>
          <w:i/>
          <w:sz w:val="18"/>
          <w:szCs w:val="18"/>
        </w:rPr>
        <w:t>Consultation Summary Report: Review of fast food menu labelling schemes.</w:t>
      </w:r>
      <w:r w:rsidRPr="00E01DC8">
        <w:rPr>
          <w:rFonts w:ascii="Times New Roman" w:hAnsi="Times New Roman"/>
          <w:sz w:val="18"/>
          <w:szCs w:val="18"/>
        </w:rPr>
        <w:t xml:space="preserve"> Available at: </w:t>
      </w:r>
      <w:hyperlink r:id="rId79" w:history="1">
        <w:r w:rsidRPr="00E01DC8">
          <w:rPr>
            <w:rFonts w:ascii="Times New Roman" w:eastAsia="Times New Roman" w:hAnsi="Times New Roman"/>
            <w:color w:val="0000FF"/>
            <w:sz w:val="18"/>
            <w:szCs w:val="18"/>
            <w:u w:val="single"/>
          </w:rPr>
          <w:t>https://foodregulation.gov.au/internet/fr/publishing.nsf/Content/review-fast-food-menu-labelling-schemes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E323E" w14:textId="101B9A0F" w:rsidR="00762E8C" w:rsidRDefault="00762E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25B63"/>
    <w:multiLevelType w:val="hybridMultilevel"/>
    <w:tmpl w:val="3CE809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5012AF1"/>
    <w:multiLevelType w:val="hybridMultilevel"/>
    <w:tmpl w:val="35CC630E"/>
    <w:lvl w:ilvl="0" w:tplc="0C09000F">
      <w:start w:val="1"/>
      <w:numFmt w:val="decimal"/>
      <w:lvlText w:val="%1."/>
      <w:lvlJc w:val="left"/>
      <w:pPr>
        <w:ind w:left="780" w:hanging="360"/>
      </w:pPr>
    </w:lvl>
    <w:lvl w:ilvl="1" w:tplc="0C090019">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 w15:restartNumberingAfterBreak="0">
    <w:nsid w:val="05146FA7"/>
    <w:multiLevelType w:val="hybridMultilevel"/>
    <w:tmpl w:val="45DA09A2"/>
    <w:lvl w:ilvl="0" w:tplc="0C090001">
      <w:start w:val="1"/>
      <w:numFmt w:val="bullet"/>
      <w:lvlText w:val=""/>
      <w:lvlJc w:val="left"/>
      <w:pPr>
        <w:ind w:left="780" w:hanging="360"/>
      </w:pPr>
      <w:rPr>
        <w:rFonts w:ascii="Symbol" w:hAnsi="Symbol" w:hint="default"/>
      </w:rPr>
    </w:lvl>
    <w:lvl w:ilvl="1" w:tplc="0526E776">
      <w:start w:val="1"/>
      <w:numFmt w:val="bullet"/>
      <w:lvlText w:val="-"/>
      <w:lvlJc w:val="left"/>
      <w:pPr>
        <w:ind w:left="1500" w:hanging="360"/>
      </w:pPr>
      <w:rPr>
        <w:rFonts w:ascii="Courier New" w:hAnsi="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06522127"/>
    <w:multiLevelType w:val="hybridMultilevel"/>
    <w:tmpl w:val="B60699DC"/>
    <w:lvl w:ilvl="0" w:tplc="0C090001">
      <w:start w:val="1"/>
      <w:numFmt w:val="bullet"/>
      <w:lvlText w:val=""/>
      <w:lvlJc w:val="left"/>
      <w:pPr>
        <w:ind w:left="360" w:hanging="360"/>
      </w:pPr>
      <w:rPr>
        <w:rFonts w:ascii="Symbol" w:hAnsi="Symbol" w:hint="default"/>
      </w:rPr>
    </w:lvl>
    <w:lvl w:ilvl="1" w:tplc="69F20722">
      <w:numFmt w:val="bullet"/>
      <w:lvlText w:val="-"/>
      <w:lvlJc w:val="left"/>
      <w:pPr>
        <w:ind w:left="1080" w:hanging="360"/>
      </w:pPr>
      <w:rPr>
        <w:rFonts w:ascii="Arial" w:eastAsia="Times New Roman" w:hAnsi="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65E61FE"/>
    <w:multiLevelType w:val="hybridMultilevel"/>
    <w:tmpl w:val="1EFCFD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87E7A96"/>
    <w:multiLevelType w:val="hybridMultilevel"/>
    <w:tmpl w:val="43E875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89729C6"/>
    <w:multiLevelType w:val="hybridMultilevel"/>
    <w:tmpl w:val="7A1CFF4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0780760"/>
    <w:multiLevelType w:val="hybridMultilevel"/>
    <w:tmpl w:val="50AA09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1837031"/>
    <w:multiLevelType w:val="hybridMultilevel"/>
    <w:tmpl w:val="B7CC8A54"/>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15:restartNumberingAfterBreak="0">
    <w:nsid w:val="11AC33B9"/>
    <w:multiLevelType w:val="hybridMultilevel"/>
    <w:tmpl w:val="FE82755C"/>
    <w:lvl w:ilvl="0" w:tplc="14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10" w15:restartNumberingAfterBreak="0">
    <w:nsid w:val="11B861D0"/>
    <w:multiLevelType w:val="hybridMultilevel"/>
    <w:tmpl w:val="C2CA58C0"/>
    <w:lvl w:ilvl="0" w:tplc="1BD069D2">
      <w:start w:val="3"/>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3EF7796"/>
    <w:multiLevelType w:val="hybridMultilevel"/>
    <w:tmpl w:val="35CC630E"/>
    <w:lvl w:ilvl="0" w:tplc="FFFFFFFF">
      <w:start w:val="1"/>
      <w:numFmt w:val="decimal"/>
      <w:lvlText w:val="%1."/>
      <w:lvlJc w:val="lef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2" w15:restartNumberingAfterBreak="0">
    <w:nsid w:val="14426E1F"/>
    <w:multiLevelType w:val="hybridMultilevel"/>
    <w:tmpl w:val="70D2CCC8"/>
    <w:lvl w:ilvl="0" w:tplc="0C09000F">
      <w:start w:val="1"/>
      <w:numFmt w:val="decimal"/>
      <w:lvlText w:val="%1."/>
      <w:lvlJc w:val="left"/>
      <w:pPr>
        <w:ind w:left="720" w:hanging="360"/>
      </w:pPr>
      <w:rPr>
        <w:rFonts w:hint="default"/>
      </w:rPr>
    </w:lvl>
    <w:lvl w:ilvl="1" w:tplc="0526E776">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48A2D11"/>
    <w:multiLevelType w:val="hybridMultilevel"/>
    <w:tmpl w:val="4140A08A"/>
    <w:lvl w:ilvl="0" w:tplc="14090001">
      <w:start w:val="1"/>
      <w:numFmt w:val="bullet"/>
      <w:lvlText w:val=""/>
      <w:lvlJc w:val="left"/>
      <w:pPr>
        <w:ind w:left="862" w:hanging="360"/>
      </w:pPr>
      <w:rPr>
        <w:rFonts w:ascii="Symbol" w:hAnsi="Symbol" w:hint="default"/>
      </w:rPr>
    </w:lvl>
    <w:lvl w:ilvl="1" w:tplc="14090003" w:tentative="1">
      <w:start w:val="1"/>
      <w:numFmt w:val="bullet"/>
      <w:lvlText w:val="o"/>
      <w:lvlJc w:val="left"/>
      <w:pPr>
        <w:ind w:left="1582" w:hanging="360"/>
      </w:pPr>
      <w:rPr>
        <w:rFonts w:ascii="Courier New" w:hAnsi="Courier New" w:hint="default"/>
      </w:rPr>
    </w:lvl>
    <w:lvl w:ilvl="2" w:tplc="14090005" w:tentative="1">
      <w:start w:val="1"/>
      <w:numFmt w:val="bullet"/>
      <w:lvlText w:val=""/>
      <w:lvlJc w:val="left"/>
      <w:pPr>
        <w:ind w:left="2302" w:hanging="360"/>
      </w:pPr>
      <w:rPr>
        <w:rFonts w:ascii="Wingdings" w:hAnsi="Wingdings" w:hint="default"/>
      </w:rPr>
    </w:lvl>
    <w:lvl w:ilvl="3" w:tplc="14090001" w:tentative="1">
      <w:start w:val="1"/>
      <w:numFmt w:val="bullet"/>
      <w:lvlText w:val=""/>
      <w:lvlJc w:val="left"/>
      <w:pPr>
        <w:ind w:left="3022" w:hanging="360"/>
      </w:pPr>
      <w:rPr>
        <w:rFonts w:ascii="Symbol" w:hAnsi="Symbol" w:hint="default"/>
      </w:rPr>
    </w:lvl>
    <w:lvl w:ilvl="4" w:tplc="14090003" w:tentative="1">
      <w:start w:val="1"/>
      <w:numFmt w:val="bullet"/>
      <w:lvlText w:val="o"/>
      <w:lvlJc w:val="left"/>
      <w:pPr>
        <w:ind w:left="3742" w:hanging="360"/>
      </w:pPr>
      <w:rPr>
        <w:rFonts w:ascii="Courier New" w:hAnsi="Courier New" w:hint="default"/>
      </w:rPr>
    </w:lvl>
    <w:lvl w:ilvl="5" w:tplc="14090005" w:tentative="1">
      <w:start w:val="1"/>
      <w:numFmt w:val="bullet"/>
      <w:lvlText w:val=""/>
      <w:lvlJc w:val="left"/>
      <w:pPr>
        <w:ind w:left="4462" w:hanging="360"/>
      </w:pPr>
      <w:rPr>
        <w:rFonts w:ascii="Wingdings" w:hAnsi="Wingdings" w:hint="default"/>
      </w:rPr>
    </w:lvl>
    <w:lvl w:ilvl="6" w:tplc="14090001" w:tentative="1">
      <w:start w:val="1"/>
      <w:numFmt w:val="bullet"/>
      <w:lvlText w:val=""/>
      <w:lvlJc w:val="left"/>
      <w:pPr>
        <w:ind w:left="5182" w:hanging="360"/>
      </w:pPr>
      <w:rPr>
        <w:rFonts w:ascii="Symbol" w:hAnsi="Symbol" w:hint="default"/>
      </w:rPr>
    </w:lvl>
    <w:lvl w:ilvl="7" w:tplc="14090003" w:tentative="1">
      <w:start w:val="1"/>
      <w:numFmt w:val="bullet"/>
      <w:lvlText w:val="o"/>
      <w:lvlJc w:val="left"/>
      <w:pPr>
        <w:ind w:left="5902" w:hanging="360"/>
      </w:pPr>
      <w:rPr>
        <w:rFonts w:ascii="Courier New" w:hAnsi="Courier New" w:hint="default"/>
      </w:rPr>
    </w:lvl>
    <w:lvl w:ilvl="8" w:tplc="14090005" w:tentative="1">
      <w:start w:val="1"/>
      <w:numFmt w:val="bullet"/>
      <w:lvlText w:val=""/>
      <w:lvlJc w:val="left"/>
      <w:pPr>
        <w:ind w:left="6622" w:hanging="360"/>
      </w:pPr>
      <w:rPr>
        <w:rFonts w:ascii="Wingdings" w:hAnsi="Wingdings" w:hint="default"/>
      </w:rPr>
    </w:lvl>
  </w:abstractNum>
  <w:abstractNum w:abstractNumId="14" w15:restartNumberingAfterBreak="0">
    <w:nsid w:val="1724714E"/>
    <w:multiLevelType w:val="hybridMultilevel"/>
    <w:tmpl w:val="3962E2C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89257E7"/>
    <w:multiLevelType w:val="hybridMultilevel"/>
    <w:tmpl w:val="25767B7C"/>
    <w:lvl w:ilvl="0" w:tplc="E938BBCE">
      <w:start w:val="1"/>
      <w:numFmt w:val="bullet"/>
      <w:lvlText w:val=""/>
      <w:lvlJc w:val="left"/>
      <w:pPr>
        <w:ind w:left="360" w:hanging="360"/>
      </w:pPr>
      <w:rPr>
        <w:rFonts w:ascii="Symbol" w:hAnsi="Symbol" w:hint="default"/>
        <w:color w:val="354677"/>
        <w:sz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8FF2F27"/>
    <w:multiLevelType w:val="hybridMultilevel"/>
    <w:tmpl w:val="4CA237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A695EE4"/>
    <w:multiLevelType w:val="hybridMultilevel"/>
    <w:tmpl w:val="34DE8C08"/>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AAE3D90"/>
    <w:multiLevelType w:val="hybridMultilevel"/>
    <w:tmpl w:val="13249B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BF66323"/>
    <w:multiLevelType w:val="hybridMultilevel"/>
    <w:tmpl w:val="27D0A4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E000B3B"/>
    <w:multiLevelType w:val="hybridMultilevel"/>
    <w:tmpl w:val="31805A1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1" w15:restartNumberingAfterBreak="0">
    <w:nsid w:val="1F721953"/>
    <w:multiLevelType w:val="hybridMultilevel"/>
    <w:tmpl w:val="829AE6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12E256D"/>
    <w:multiLevelType w:val="hybridMultilevel"/>
    <w:tmpl w:val="EBD2875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21A15E16"/>
    <w:multiLevelType w:val="hybridMultilevel"/>
    <w:tmpl w:val="9EA4A6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242277DD"/>
    <w:multiLevelType w:val="hybridMultilevel"/>
    <w:tmpl w:val="4CBA01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27290E23"/>
    <w:multiLevelType w:val="hybridMultilevel"/>
    <w:tmpl w:val="34DE8C08"/>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27AE7CD6"/>
    <w:multiLevelType w:val="hybridMultilevel"/>
    <w:tmpl w:val="F8DCD08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27ED63A6"/>
    <w:multiLevelType w:val="hybridMultilevel"/>
    <w:tmpl w:val="5DB69A4C"/>
    <w:lvl w:ilvl="0" w:tplc="27B21D44">
      <w:start w:val="1"/>
      <w:numFmt w:val="bullet"/>
      <w:lvlText w:val=""/>
      <w:lvlJc w:val="left"/>
      <w:pPr>
        <w:tabs>
          <w:tab w:val="num" w:pos="360"/>
        </w:tabs>
        <w:ind w:left="360" w:hanging="360"/>
      </w:pPr>
      <w:rPr>
        <w:rFonts w:ascii="Symbol" w:hAnsi="Symbol" w:hint="default"/>
        <w:color w:val="354677"/>
        <w:sz w:val="18"/>
      </w:rPr>
    </w:lvl>
    <w:lvl w:ilvl="1" w:tplc="0C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8324DA4"/>
    <w:multiLevelType w:val="hybridMultilevel"/>
    <w:tmpl w:val="95009E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28EC224B"/>
    <w:multiLevelType w:val="hybridMultilevel"/>
    <w:tmpl w:val="6588ABC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2A647A6D"/>
    <w:multiLevelType w:val="hybridMultilevel"/>
    <w:tmpl w:val="C1F8FFD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2A7F7AD3"/>
    <w:multiLevelType w:val="hybridMultilevel"/>
    <w:tmpl w:val="9A263A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2C270E61"/>
    <w:multiLevelType w:val="hybridMultilevel"/>
    <w:tmpl w:val="AADC5AEA"/>
    <w:lvl w:ilvl="0" w:tplc="0C090001">
      <w:start w:val="1"/>
      <w:numFmt w:val="bullet"/>
      <w:lvlText w:val=""/>
      <w:lvlJc w:val="left"/>
      <w:pPr>
        <w:ind w:left="720" w:hanging="360"/>
      </w:pPr>
      <w:rPr>
        <w:rFonts w:ascii="Symbol" w:hAnsi="Symbol" w:hint="default"/>
      </w:rPr>
    </w:lvl>
    <w:lvl w:ilvl="1" w:tplc="0526E776">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E251094"/>
    <w:multiLevelType w:val="hybridMultilevel"/>
    <w:tmpl w:val="4C803E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F3130C6"/>
    <w:multiLevelType w:val="hybridMultilevel"/>
    <w:tmpl w:val="B496723E"/>
    <w:lvl w:ilvl="0" w:tplc="0C090001">
      <w:start w:val="1"/>
      <w:numFmt w:val="bullet"/>
      <w:lvlText w:val=""/>
      <w:lvlJc w:val="left"/>
      <w:pPr>
        <w:ind w:left="360" w:hanging="360"/>
      </w:pPr>
      <w:rPr>
        <w:rFonts w:ascii="Symbol" w:hAnsi="Symbol" w:hint="default"/>
      </w:rPr>
    </w:lvl>
    <w:lvl w:ilvl="1" w:tplc="0C09000F">
      <w:start w:val="1"/>
      <w:numFmt w:val="decimal"/>
      <w:lvlText w:val="%2."/>
      <w:lvlJc w:val="left"/>
      <w:pPr>
        <w:ind w:left="1080" w:hanging="360"/>
      </w:pPr>
      <w:rPr>
        <w:rFont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35A5490A"/>
    <w:multiLevelType w:val="multilevel"/>
    <w:tmpl w:val="590A6E1E"/>
    <w:lvl w:ilvl="0">
      <w:start w:val="1"/>
      <w:numFmt w:val="decimal"/>
      <w:lvlText w:val="%1."/>
      <w:lvlJc w:val="left"/>
      <w:pPr>
        <w:ind w:left="360" w:hanging="360"/>
      </w:pPr>
      <w:rPr>
        <w:rFonts w:hint="default"/>
        <w:b w:val="0"/>
        <w:sz w:val="24"/>
        <w:szCs w:val="24"/>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6" w15:restartNumberingAfterBreak="0">
    <w:nsid w:val="371E36C2"/>
    <w:multiLevelType w:val="hybridMultilevel"/>
    <w:tmpl w:val="70D2CCC8"/>
    <w:lvl w:ilvl="0" w:tplc="0C09000F">
      <w:start w:val="1"/>
      <w:numFmt w:val="decimal"/>
      <w:lvlText w:val="%1."/>
      <w:lvlJc w:val="left"/>
      <w:pPr>
        <w:ind w:left="720" w:hanging="360"/>
      </w:pPr>
      <w:rPr>
        <w:rFonts w:hint="default"/>
      </w:rPr>
    </w:lvl>
    <w:lvl w:ilvl="1" w:tplc="0526E776">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7811248"/>
    <w:multiLevelType w:val="hybridMultilevel"/>
    <w:tmpl w:val="F62C8B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3DE54636"/>
    <w:multiLevelType w:val="hybridMultilevel"/>
    <w:tmpl w:val="81D2C1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abstractNum w:abstractNumId="39" w15:restartNumberingAfterBreak="0">
    <w:nsid w:val="3E421D6E"/>
    <w:multiLevelType w:val="hybridMultilevel"/>
    <w:tmpl w:val="EBD2875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3E5F7A99"/>
    <w:multiLevelType w:val="hybridMultilevel"/>
    <w:tmpl w:val="9C4816B4"/>
    <w:lvl w:ilvl="0" w:tplc="0526E776">
      <w:start w:val="1"/>
      <w:numFmt w:val="bullet"/>
      <w:lvlText w:val="-"/>
      <w:lvlJc w:val="left"/>
      <w:pPr>
        <w:ind w:left="1440" w:hanging="360"/>
      </w:pPr>
      <w:rPr>
        <w:rFonts w:ascii="Courier New"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1" w15:restartNumberingAfterBreak="0">
    <w:nsid w:val="3F531695"/>
    <w:multiLevelType w:val="hybridMultilevel"/>
    <w:tmpl w:val="1A72DEB2"/>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439E3AD4"/>
    <w:multiLevelType w:val="hybridMultilevel"/>
    <w:tmpl w:val="14A2DF4C"/>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44C56975"/>
    <w:multiLevelType w:val="hybridMultilevel"/>
    <w:tmpl w:val="E9B09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7793A41"/>
    <w:multiLevelType w:val="hybridMultilevel"/>
    <w:tmpl w:val="34DE8C08"/>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4A3A4A29"/>
    <w:multiLevelType w:val="hybridMultilevel"/>
    <w:tmpl w:val="DC8800C0"/>
    <w:lvl w:ilvl="0" w:tplc="0C09000F">
      <w:start w:val="1"/>
      <w:numFmt w:val="decimal"/>
      <w:lvlText w:val="%1."/>
      <w:lvlJc w:val="left"/>
      <w:pPr>
        <w:ind w:left="720" w:hanging="360"/>
      </w:pPr>
      <w:rPr>
        <w:rFonts w:hint="default"/>
      </w:rPr>
    </w:lvl>
    <w:lvl w:ilvl="1" w:tplc="0C09001B">
      <w:start w:val="1"/>
      <w:numFmt w:val="lowerRoman"/>
      <w:lvlText w:val="%2."/>
      <w:lvlJc w:val="right"/>
      <w:pPr>
        <w:ind w:left="1440" w:hanging="360"/>
      </w:pPr>
    </w:lvl>
    <w:lvl w:ilvl="2" w:tplc="0C090019">
      <w:start w:val="1"/>
      <w:numFmt w:val="lowerLetter"/>
      <w:lvlText w:val="%3."/>
      <w:lvlJc w:val="lef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4B99679E"/>
    <w:multiLevelType w:val="singleLevel"/>
    <w:tmpl w:val="7832B752"/>
    <w:lvl w:ilvl="0">
      <w:start w:val="1"/>
      <w:numFmt w:val="bullet"/>
      <w:pStyle w:val="ISCbulleted"/>
      <w:lvlText w:val=""/>
      <w:lvlJc w:val="left"/>
      <w:pPr>
        <w:tabs>
          <w:tab w:val="num" w:pos="360"/>
        </w:tabs>
        <w:ind w:left="360" w:hanging="360"/>
      </w:pPr>
      <w:rPr>
        <w:rFonts w:ascii="Symbol" w:hAnsi="Symbol" w:hint="default"/>
        <w:sz w:val="16"/>
      </w:rPr>
    </w:lvl>
  </w:abstractNum>
  <w:abstractNum w:abstractNumId="47" w15:restartNumberingAfterBreak="0">
    <w:nsid w:val="4BB47514"/>
    <w:multiLevelType w:val="hybridMultilevel"/>
    <w:tmpl w:val="AAAAA8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4E2D633F"/>
    <w:multiLevelType w:val="hybridMultilevel"/>
    <w:tmpl w:val="4E86D7D6"/>
    <w:lvl w:ilvl="0" w:tplc="0C09000F">
      <w:start w:val="1"/>
      <w:numFmt w:val="decimal"/>
      <w:lvlText w:val="%1."/>
      <w:lvlJc w:val="left"/>
      <w:pPr>
        <w:ind w:left="720" w:hanging="360"/>
      </w:pPr>
      <w:rPr>
        <w:rFonts w:hint="default"/>
      </w:rPr>
    </w:lvl>
    <w:lvl w:ilvl="1" w:tplc="0526E776">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7E546F4"/>
    <w:multiLevelType w:val="hybridMultilevel"/>
    <w:tmpl w:val="9D7C20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580E4B40"/>
    <w:multiLevelType w:val="hybridMultilevel"/>
    <w:tmpl w:val="363E790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1" w15:restartNumberingAfterBreak="0">
    <w:nsid w:val="58347945"/>
    <w:multiLevelType w:val="hybridMultilevel"/>
    <w:tmpl w:val="720C9F46"/>
    <w:lvl w:ilvl="0" w:tplc="12A822B4">
      <w:start w:val="2"/>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5A8F7A0A"/>
    <w:multiLevelType w:val="hybridMultilevel"/>
    <w:tmpl w:val="35CC630E"/>
    <w:lvl w:ilvl="0" w:tplc="0C09000F">
      <w:start w:val="1"/>
      <w:numFmt w:val="decimal"/>
      <w:lvlText w:val="%1."/>
      <w:lvlJc w:val="left"/>
      <w:pPr>
        <w:ind w:left="780" w:hanging="360"/>
      </w:pPr>
    </w:lvl>
    <w:lvl w:ilvl="1" w:tplc="0C090019">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53" w15:restartNumberingAfterBreak="0">
    <w:nsid w:val="5C2B2CF0"/>
    <w:multiLevelType w:val="hybridMultilevel"/>
    <w:tmpl w:val="7CE0338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4" w15:restartNumberingAfterBreak="0">
    <w:nsid w:val="5CB54E8A"/>
    <w:multiLevelType w:val="hybridMultilevel"/>
    <w:tmpl w:val="99387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5F54722B"/>
    <w:multiLevelType w:val="hybridMultilevel"/>
    <w:tmpl w:val="660C597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6" w15:restartNumberingAfterBreak="0">
    <w:nsid w:val="61A256B4"/>
    <w:multiLevelType w:val="hybridMultilevel"/>
    <w:tmpl w:val="52785904"/>
    <w:lvl w:ilvl="0" w:tplc="4AE0C538">
      <w:start w:val="1"/>
      <w:numFmt w:val="bullet"/>
      <w:pStyle w:val="Bodytextwithbullets-TMRfont1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207054A"/>
    <w:multiLevelType w:val="hybridMultilevel"/>
    <w:tmpl w:val="467C7566"/>
    <w:lvl w:ilvl="0" w:tplc="E938BBCE">
      <w:start w:val="1"/>
      <w:numFmt w:val="bullet"/>
      <w:lvlText w:val=""/>
      <w:lvlJc w:val="left"/>
      <w:pPr>
        <w:tabs>
          <w:tab w:val="num" w:pos="720"/>
        </w:tabs>
        <w:ind w:left="720" w:hanging="360"/>
      </w:pPr>
      <w:rPr>
        <w:rFonts w:ascii="Symbol" w:hAnsi="Symbol" w:hint="default"/>
        <w:color w:val="354677"/>
        <w:sz w:val="18"/>
      </w:rPr>
    </w:lvl>
    <w:lvl w:ilvl="1" w:tplc="E938BBCE">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8" w15:restartNumberingAfterBreak="0">
    <w:nsid w:val="63255A6E"/>
    <w:multiLevelType w:val="hybridMultilevel"/>
    <w:tmpl w:val="14A2FC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64E6279C"/>
    <w:multiLevelType w:val="hybridMultilevel"/>
    <w:tmpl w:val="39CEF7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 w15:restartNumberingAfterBreak="0">
    <w:nsid w:val="659007F5"/>
    <w:multiLevelType w:val="hybridMultilevel"/>
    <w:tmpl w:val="F230AA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65FA71C7"/>
    <w:multiLevelType w:val="hybridMultilevel"/>
    <w:tmpl w:val="610EAC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66B45402"/>
    <w:multiLevelType w:val="hybridMultilevel"/>
    <w:tmpl w:val="3B56B1B0"/>
    <w:lvl w:ilvl="0" w:tplc="27B21D44">
      <w:start w:val="1"/>
      <w:numFmt w:val="bullet"/>
      <w:pStyle w:val="ListBullet"/>
      <w:lvlText w:val=""/>
      <w:lvlJc w:val="left"/>
      <w:pPr>
        <w:tabs>
          <w:tab w:val="num" w:pos="360"/>
        </w:tabs>
        <w:ind w:left="360" w:hanging="360"/>
      </w:pPr>
      <w:rPr>
        <w:rFonts w:ascii="Symbol" w:hAnsi="Symbol" w:hint="default"/>
        <w:color w:val="354677"/>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7E63950"/>
    <w:multiLevelType w:val="hybridMultilevel"/>
    <w:tmpl w:val="3F2AC2C4"/>
    <w:lvl w:ilvl="0" w:tplc="0C090001">
      <w:start w:val="1"/>
      <w:numFmt w:val="bullet"/>
      <w:lvlText w:val=""/>
      <w:lvlJc w:val="left"/>
      <w:pPr>
        <w:ind w:left="360" w:hanging="360"/>
      </w:pPr>
      <w:rPr>
        <w:rFonts w:ascii="Symbol" w:hAnsi="Symbol" w:hint="default"/>
      </w:rPr>
    </w:lvl>
    <w:lvl w:ilvl="1" w:tplc="0C090005">
      <w:start w:val="1"/>
      <w:numFmt w:val="bullet"/>
      <w:lvlText w:val=""/>
      <w:lvlJc w:val="left"/>
      <w:pPr>
        <w:ind w:left="108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4" w15:restartNumberingAfterBreak="0">
    <w:nsid w:val="681241D0"/>
    <w:multiLevelType w:val="hybridMultilevel"/>
    <w:tmpl w:val="35CC630E"/>
    <w:lvl w:ilvl="0" w:tplc="FFFFFFFF">
      <w:start w:val="1"/>
      <w:numFmt w:val="decimal"/>
      <w:lvlText w:val="%1."/>
      <w:lvlJc w:val="left"/>
      <w:pPr>
        <w:ind w:left="780" w:hanging="360"/>
      </w:pPr>
    </w:lvl>
    <w:lvl w:ilvl="1" w:tplc="FFFFFFFF">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65" w15:restartNumberingAfterBreak="0">
    <w:nsid w:val="69244CDE"/>
    <w:multiLevelType w:val="hybridMultilevel"/>
    <w:tmpl w:val="70D2CCC8"/>
    <w:lvl w:ilvl="0" w:tplc="0C09000F">
      <w:start w:val="1"/>
      <w:numFmt w:val="decimal"/>
      <w:lvlText w:val="%1."/>
      <w:lvlJc w:val="left"/>
      <w:pPr>
        <w:ind w:left="720" w:hanging="360"/>
      </w:pPr>
      <w:rPr>
        <w:rFonts w:hint="default"/>
      </w:rPr>
    </w:lvl>
    <w:lvl w:ilvl="1" w:tplc="0526E776">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6B765A74"/>
    <w:multiLevelType w:val="hybridMultilevel"/>
    <w:tmpl w:val="D45A32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7" w15:restartNumberingAfterBreak="0">
    <w:nsid w:val="6BB427BE"/>
    <w:multiLevelType w:val="hybridMultilevel"/>
    <w:tmpl w:val="C26084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6C647B43"/>
    <w:multiLevelType w:val="hybridMultilevel"/>
    <w:tmpl w:val="F3384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6F4C7582"/>
    <w:multiLevelType w:val="hybridMultilevel"/>
    <w:tmpl w:val="83D880BC"/>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0" w15:restartNumberingAfterBreak="0">
    <w:nsid w:val="6FD51FFE"/>
    <w:multiLevelType w:val="hybridMultilevel"/>
    <w:tmpl w:val="B150C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71755AD1"/>
    <w:multiLevelType w:val="hybridMultilevel"/>
    <w:tmpl w:val="1EC2527C"/>
    <w:lvl w:ilvl="0" w:tplc="C900AFDA">
      <w:start w:val="1"/>
      <w:numFmt w:val="bullet"/>
      <w:pStyle w:val="FSBullet1"/>
      <w:lvlText w:val=""/>
      <w:lvlJc w:val="left"/>
      <w:pPr>
        <w:ind w:left="360" w:hanging="360"/>
      </w:pPr>
      <w:rPr>
        <w:rFonts w:ascii="Symbol" w:hAnsi="Symbol" w:hint="default"/>
        <w:sz w:val="16"/>
        <w:szCs w:val="16"/>
      </w:rPr>
    </w:lvl>
    <w:lvl w:ilvl="1" w:tplc="08090003">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72" w15:restartNumberingAfterBreak="0">
    <w:nsid w:val="734C72F5"/>
    <w:multiLevelType w:val="hybridMultilevel"/>
    <w:tmpl w:val="E312D89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3" w15:restartNumberingAfterBreak="0">
    <w:nsid w:val="766602F1"/>
    <w:multiLevelType w:val="hybridMultilevel"/>
    <w:tmpl w:val="8D740736"/>
    <w:lvl w:ilvl="0" w:tplc="01E286FA">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77124C8A"/>
    <w:multiLevelType w:val="hybridMultilevel"/>
    <w:tmpl w:val="FC060BD2"/>
    <w:lvl w:ilvl="0" w:tplc="E8E8A52A">
      <w:start w:val="1"/>
      <w:numFmt w:val="bullet"/>
      <w:pStyle w:val="FSBulletlist"/>
      <w:lvlText w:val=""/>
      <w:lvlJc w:val="left"/>
      <w:pPr>
        <w:ind w:left="363" w:hanging="360"/>
      </w:pPr>
      <w:rPr>
        <w:rFonts w:ascii="Symbol" w:hAnsi="Symbol" w:hint="default"/>
        <w:sz w:val="16"/>
        <w:szCs w:val="16"/>
      </w:rPr>
    </w:lvl>
    <w:lvl w:ilvl="1" w:tplc="08090003">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5" w15:restartNumberingAfterBreak="0">
    <w:nsid w:val="78AF1A3C"/>
    <w:multiLevelType w:val="hybridMultilevel"/>
    <w:tmpl w:val="50A40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79A74AD5"/>
    <w:multiLevelType w:val="hybridMultilevel"/>
    <w:tmpl w:val="2E76F1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7" w15:restartNumberingAfterBreak="0">
    <w:nsid w:val="7D6730B3"/>
    <w:multiLevelType w:val="hybridMultilevel"/>
    <w:tmpl w:val="DF2081B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8" w15:restartNumberingAfterBreak="0">
    <w:nsid w:val="7D9C1AD6"/>
    <w:multiLevelType w:val="hybridMultilevel"/>
    <w:tmpl w:val="35CC630E"/>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79" w15:restartNumberingAfterBreak="0">
    <w:nsid w:val="7DE93808"/>
    <w:multiLevelType w:val="hybridMultilevel"/>
    <w:tmpl w:val="9FEA4494"/>
    <w:lvl w:ilvl="0" w:tplc="F3B06E90">
      <w:start w:val="4"/>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4"/>
  </w:num>
  <w:num w:numId="2">
    <w:abstractNumId w:val="71"/>
  </w:num>
  <w:num w:numId="3">
    <w:abstractNumId w:val="32"/>
  </w:num>
  <w:num w:numId="4">
    <w:abstractNumId w:val="62"/>
  </w:num>
  <w:num w:numId="5">
    <w:abstractNumId w:val="45"/>
  </w:num>
  <w:num w:numId="6">
    <w:abstractNumId w:val="46"/>
  </w:num>
  <w:num w:numId="7">
    <w:abstractNumId w:val="65"/>
  </w:num>
  <w:num w:numId="8">
    <w:abstractNumId w:val="61"/>
  </w:num>
  <w:num w:numId="9">
    <w:abstractNumId w:val="17"/>
  </w:num>
  <w:num w:numId="10">
    <w:abstractNumId w:val="22"/>
  </w:num>
  <w:num w:numId="11">
    <w:abstractNumId w:val="41"/>
  </w:num>
  <w:num w:numId="12">
    <w:abstractNumId w:val="42"/>
  </w:num>
  <w:num w:numId="13">
    <w:abstractNumId w:val="69"/>
  </w:num>
  <w:num w:numId="14">
    <w:abstractNumId w:val="38"/>
  </w:num>
  <w:num w:numId="15">
    <w:abstractNumId w:val="34"/>
  </w:num>
  <w:num w:numId="16">
    <w:abstractNumId w:val="39"/>
  </w:num>
  <w:num w:numId="17">
    <w:abstractNumId w:val="25"/>
  </w:num>
  <w:num w:numId="18">
    <w:abstractNumId w:val="44"/>
  </w:num>
  <w:num w:numId="19">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6"/>
  </w:num>
  <w:num w:numId="21">
    <w:abstractNumId w:val="77"/>
  </w:num>
  <w:num w:numId="22">
    <w:abstractNumId w:val="36"/>
  </w:num>
  <w:num w:numId="23">
    <w:abstractNumId w:val="47"/>
  </w:num>
  <w:num w:numId="24">
    <w:abstractNumId w:val="24"/>
  </w:num>
  <w:num w:numId="25">
    <w:abstractNumId w:val="49"/>
  </w:num>
  <w:num w:numId="26">
    <w:abstractNumId w:val="16"/>
  </w:num>
  <w:num w:numId="27">
    <w:abstractNumId w:val="0"/>
  </w:num>
  <w:num w:numId="28">
    <w:abstractNumId w:val="7"/>
  </w:num>
  <w:num w:numId="29">
    <w:abstractNumId w:val="23"/>
  </w:num>
  <w:num w:numId="30">
    <w:abstractNumId w:val="76"/>
  </w:num>
  <w:num w:numId="31">
    <w:abstractNumId w:val="31"/>
  </w:num>
  <w:num w:numId="32">
    <w:abstractNumId w:val="75"/>
  </w:num>
  <w:num w:numId="33">
    <w:abstractNumId w:val="63"/>
  </w:num>
  <w:num w:numId="34">
    <w:abstractNumId w:val="72"/>
  </w:num>
  <w:num w:numId="35">
    <w:abstractNumId w:val="13"/>
  </w:num>
  <w:num w:numId="36">
    <w:abstractNumId w:val="9"/>
  </w:num>
  <w:num w:numId="37">
    <w:abstractNumId w:val="50"/>
  </w:num>
  <w:num w:numId="38">
    <w:abstractNumId w:val="3"/>
  </w:num>
  <w:num w:numId="39">
    <w:abstractNumId w:val="27"/>
  </w:num>
  <w:num w:numId="40">
    <w:abstractNumId w:val="62"/>
  </w:num>
  <w:num w:numId="41">
    <w:abstractNumId w:val="57"/>
  </w:num>
  <w:num w:numId="42">
    <w:abstractNumId w:val="18"/>
  </w:num>
  <w:num w:numId="43">
    <w:abstractNumId w:val="43"/>
  </w:num>
  <w:num w:numId="44">
    <w:abstractNumId w:val="68"/>
  </w:num>
  <w:num w:numId="45">
    <w:abstractNumId w:val="28"/>
  </w:num>
  <w:num w:numId="46">
    <w:abstractNumId w:val="5"/>
  </w:num>
  <w:num w:numId="47">
    <w:abstractNumId w:val="58"/>
  </w:num>
  <w:num w:numId="48">
    <w:abstractNumId w:val="59"/>
  </w:num>
  <w:num w:numId="49">
    <w:abstractNumId w:val="48"/>
  </w:num>
  <w:num w:numId="50">
    <w:abstractNumId w:val="70"/>
  </w:num>
  <w:num w:numId="51">
    <w:abstractNumId w:val="67"/>
  </w:num>
  <w:num w:numId="52">
    <w:abstractNumId w:val="53"/>
  </w:num>
  <w:num w:numId="53">
    <w:abstractNumId w:val="62"/>
  </w:num>
  <w:num w:numId="54">
    <w:abstractNumId w:val="27"/>
  </w:num>
  <w:num w:numId="55">
    <w:abstractNumId w:val="33"/>
  </w:num>
  <w:num w:numId="56">
    <w:abstractNumId w:val="54"/>
  </w:num>
  <w:num w:numId="57">
    <w:abstractNumId w:val="60"/>
  </w:num>
  <w:num w:numId="58">
    <w:abstractNumId w:val="8"/>
  </w:num>
  <w:num w:numId="59">
    <w:abstractNumId w:val="2"/>
  </w:num>
  <w:num w:numId="60">
    <w:abstractNumId w:val="40"/>
  </w:num>
  <w:num w:numId="61">
    <w:abstractNumId w:val="14"/>
  </w:num>
  <w:num w:numId="62">
    <w:abstractNumId w:val="52"/>
  </w:num>
  <w:num w:numId="63">
    <w:abstractNumId w:val="12"/>
  </w:num>
  <w:num w:numId="64">
    <w:abstractNumId w:val="78"/>
  </w:num>
  <w:num w:numId="65">
    <w:abstractNumId w:val="15"/>
  </w:num>
  <w:num w:numId="66">
    <w:abstractNumId w:val="4"/>
  </w:num>
  <w:num w:numId="67">
    <w:abstractNumId w:val="66"/>
  </w:num>
  <w:num w:numId="68">
    <w:abstractNumId w:val="6"/>
  </w:num>
  <w:num w:numId="69">
    <w:abstractNumId w:val="21"/>
  </w:num>
  <w:num w:numId="70">
    <w:abstractNumId w:val="29"/>
  </w:num>
  <w:num w:numId="71">
    <w:abstractNumId w:val="26"/>
  </w:num>
  <w:num w:numId="72">
    <w:abstractNumId w:val="51"/>
  </w:num>
  <w:num w:numId="73">
    <w:abstractNumId w:val="10"/>
  </w:num>
  <w:num w:numId="74">
    <w:abstractNumId w:val="79"/>
  </w:num>
  <w:num w:numId="75">
    <w:abstractNumId w:val="30"/>
  </w:num>
  <w:num w:numId="76">
    <w:abstractNumId w:val="37"/>
  </w:num>
  <w:num w:numId="77">
    <w:abstractNumId w:val="73"/>
  </w:num>
  <w:num w:numId="78">
    <w:abstractNumId w:val="11"/>
  </w:num>
  <w:num w:numId="79">
    <w:abstractNumId w:val="19"/>
  </w:num>
  <w:num w:numId="80">
    <w:abstractNumId w:val="20"/>
  </w:num>
  <w:num w:numId="81">
    <w:abstractNumId w:val="1"/>
  </w:num>
  <w:num w:numId="82">
    <w:abstractNumId w:val="35"/>
  </w:num>
  <w:num w:numId="83">
    <w:abstractNumId w:val="64"/>
  </w:num>
  <w:num w:numId="84">
    <w:abstractNumId w:val="55"/>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C05"/>
    <w:rsid w:val="000000B0"/>
    <w:rsid w:val="0000049C"/>
    <w:rsid w:val="0000076C"/>
    <w:rsid w:val="00000865"/>
    <w:rsid w:val="0000095D"/>
    <w:rsid w:val="00000CB8"/>
    <w:rsid w:val="000010E2"/>
    <w:rsid w:val="000012B4"/>
    <w:rsid w:val="0000151B"/>
    <w:rsid w:val="000018DF"/>
    <w:rsid w:val="00001B73"/>
    <w:rsid w:val="00001E1A"/>
    <w:rsid w:val="00001E4E"/>
    <w:rsid w:val="00001E65"/>
    <w:rsid w:val="00001E6B"/>
    <w:rsid w:val="0000208C"/>
    <w:rsid w:val="00002178"/>
    <w:rsid w:val="00002550"/>
    <w:rsid w:val="00002ACD"/>
    <w:rsid w:val="00002BCE"/>
    <w:rsid w:val="00002EFA"/>
    <w:rsid w:val="0000301C"/>
    <w:rsid w:val="000034A5"/>
    <w:rsid w:val="00003743"/>
    <w:rsid w:val="00003B33"/>
    <w:rsid w:val="00004074"/>
    <w:rsid w:val="000042D0"/>
    <w:rsid w:val="0000459C"/>
    <w:rsid w:val="000047F6"/>
    <w:rsid w:val="0000480E"/>
    <w:rsid w:val="0000481B"/>
    <w:rsid w:val="00005175"/>
    <w:rsid w:val="00005177"/>
    <w:rsid w:val="000051A9"/>
    <w:rsid w:val="000051D2"/>
    <w:rsid w:val="00005484"/>
    <w:rsid w:val="0000581C"/>
    <w:rsid w:val="00005A55"/>
    <w:rsid w:val="00005D07"/>
    <w:rsid w:val="00005FD3"/>
    <w:rsid w:val="00006094"/>
    <w:rsid w:val="000060C8"/>
    <w:rsid w:val="000063CD"/>
    <w:rsid w:val="00006525"/>
    <w:rsid w:val="000066FA"/>
    <w:rsid w:val="00006738"/>
    <w:rsid w:val="00006963"/>
    <w:rsid w:val="00006A64"/>
    <w:rsid w:val="00006AF4"/>
    <w:rsid w:val="00006B97"/>
    <w:rsid w:val="00006BB0"/>
    <w:rsid w:val="00006BFB"/>
    <w:rsid w:val="00006E39"/>
    <w:rsid w:val="00006ECC"/>
    <w:rsid w:val="0000707B"/>
    <w:rsid w:val="0000774B"/>
    <w:rsid w:val="000079DC"/>
    <w:rsid w:val="00007A37"/>
    <w:rsid w:val="00007AC4"/>
    <w:rsid w:val="00007BD0"/>
    <w:rsid w:val="00007C6D"/>
    <w:rsid w:val="00010088"/>
    <w:rsid w:val="000101B1"/>
    <w:rsid w:val="00010440"/>
    <w:rsid w:val="000106BF"/>
    <w:rsid w:val="00010DD1"/>
    <w:rsid w:val="000111FF"/>
    <w:rsid w:val="000112F2"/>
    <w:rsid w:val="0001138D"/>
    <w:rsid w:val="000114F2"/>
    <w:rsid w:val="0001162B"/>
    <w:rsid w:val="00011AF0"/>
    <w:rsid w:val="0001210A"/>
    <w:rsid w:val="00012305"/>
    <w:rsid w:val="0001238F"/>
    <w:rsid w:val="00012B64"/>
    <w:rsid w:val="00012BF2"/>
    <w:rsid w:val="00012D8B"/>
    <w:rsid w:val="00012FE2"/>
    <w:rsid w:val="00013028"/>
    <w:rsid w:val="00013196"/>
    <w:rsid w:val="000133DF"/>
    <w:rsid w:val="00013632"/>
    <w:rsid w:val="000139BE"/>
    <w:rsid w:val="00013AA7"/>
    <w:rsid w:val="00013D3E"/>
    <w:rsid w:val="00013FD6"/>
    <w:rsid w:val="0001426F"/>
    <w:rsid w:val="000142DE"/>
    <w:rsid w:val="000143E6"/>
    <w:rsid w:val="0001453B"/>
    <w:rsid w:val="0001465C"/>
    <w:rsid w:val="0001481B"/>
    <w:rsid w:val="0001484C"/>
    <w:rsid w:val="00014C42"/>
    <w:rsid w:val="00014C4B"/>
    <w:rsid w:val="00014CD0"/>
    <w:rsid w:val="00014F45"/>
    <w:rsid w:val="000150D6"/>
    <w:rsid w:val="000152CE"/>
    <w:rsid w:val="000153BD"/>
    <w:rsid w:val="000155EB"/>
    <w:rsid w:val="00015999"/>
    <w:rsid w:val="00015A75"/>
    <w:rsid w:val="00015BA6"/>
    <w:rsid w:val="00015D55"/>
    <w:rsid w:val="00015F1F"/>
    <w:rsid w:val="00016000"/>
    <w:rsid w:val="00016449"/>
    <w:rsid w:val="0001659E"/>
    <w:rsid w:val="00016824"/>
    <w:rsid w:val="00016880"/>
    <w:rsid w:val="00016A2C"/>
    <w:rsid w:val="00016CFD"/>
    <w:rsid w:val="00017180"/>
    <w:rsid w:val="00017388"/>
    <w:rsid w:val="000173B2"/>
    <w:rsid w:val="000173C3"/>
    <w:rsid w:val="0001788B"/>
    <w:rsid w:val="00017A2F"/>
    <w:rsid w:val="00017A48"/>
    <w:rsid w:val="00017CAC"/>
    <w:rsid w:val="00017E3E"/>
    <w:rsid w:val="00017F16"/>
    <w:rsid w:val="00017F20"/>
    <w:rsid w:val="00017FF2"/>
    <w:rsid w:val="0002011D"/>
    <w:rsid w:val="0002020A"/>
    <w:rsid w:val="00020741"/>
    <w:rsid w:val="00020895"/>
    <w:rsid w:val="00021564"/>
    <w:rsid w:val="00021663"/>
    <w:rsid w:val="00021B4E"/>
    <w:rsid w:val="00021BE7"/>
    <w:rsid w:val="00021C69"/>
    <w:rsid w:val="00021FE4"/>
    <w:rsid w:val="000221C1"/>
    <w:rsid w:val="0002246B"/>
    <w:rsid w:val="000224A8"/>
    <w:rsid w:val="00022734"/>
    <w:rsid w:val="0002286E"/>
    <w:rsid w:val="000229D4"/>
    <w:rsid w:val="00022AA9"/>
    <w:rsid w:val="00022E76"/>
    <w:rsid w:val="00022EC0"/>
    <w:rsid w:val="00022F2D"/>
    <w:rsid w:val="000230A1"/>
    <w:rsid w:val="00023F10"/>
    <w:rsid w:val="00023F4E"/>
    <w:rsid w:val="00024195"/>
    <w:rsid w:val="000245C0"/>
    <w:rsid w:val="00024F8F"/>
    <w:rsid w:val="00024F95"/>
    <w:rsid w:val="000252A8"/>
    <w:rsid w:val="0002543B"/>
    <w:rsid w:val="0002546F"/>
    <w:rsid w:val="00025918"/>
    <w:rsid w:val="00025A62"/>
    <w:rsid w:val="00025D56"/>
    <w:rsid w:val="00025D85"/>
    <w:rsid w:val="0002600B"/>
    <w:rsid w:val="000261C3"/>
    <w:rsid w:val="00026330"/>
    <w:rsid w:val="00026342"/>
    <w:rsid w:val="00026AF5"/>
    <w:rsid w:val="00026C7A"/>
    <w:rsid w:val="00026DDD"/>
    <w:rsid w:val="00026EFE"/>
    <w:rsid w:val="00027297"/>
    <w:rsid w:val="00027448"/>
    <w:rsid w:val="000275BB"/>
    <w:rsid w:val="000277FA"/>
    <w:rsid w:val="000278F2"/>
    <w:rsid w:val="00027932"/>
    <w:rsid w:val="00027ACA"/>
    <w:rsid w:val="00030A87"/>
    <w:rsid w:val="00030F47"/>
    <w:rsid w:val="00031445"/>
    <w:rsid w:val="000317B5"/>
    <w:rsid w:val="00031A86"/>
    <w:rsid w:val="00031E1F"/>
    <w:rsid w:val="00031FC5"/>
    <w:rsid w:val="00031FFE"/>
    <w:rsid w:val="0003225B"/>
    <w:rsid w:val="0003255C"/>
    <w:rsid w:val="000325A4"/>
    <w:rsid w:val="000325A8"/>
    <w:rsid w:val="0003261A"/>
    <w:rsid w:val="00032C8C"/>
    <w:rsid w:val="00032D3A"/>
    <w:rsid w:val="00032D98"/>
    <w:rsid w:val="00032F3A"/>
    <w:rsid w:val="00032F54"/>
    <w:rsid w:val="00032FC1"/>
    <w:rsid w:val="0003305C"/>
    <w:rsid w:val="0003312B"/>
    <w:rsid w:val="0003314A"/>
    <w:rsid w:val="000339EE"/>
    <w:rsid w:val="00033C4C"/>
    <w:rsid w:val="00033C67"/>
    <w:rsid w:val="00034029"/>
    <w:rsid w:val="00034212"/>
    <w:rsid w:val="00034426"/>
    <w:rsid w:val="0003447A"/>
    <w:rsid w:val="000345F2"/>
    <w:rsid w:val="000347DF"/>
    <w:rsid w:val="00035703"/>
    <w:rsid w:val="00035726"/>
    <w:rsid w:val="00035893"/>
    <w:rsid w:val="00035C2C"/>
    <w:rsid w:val="00035F38"/>
    <w:rsid w:val="00035F3D"/>
    <w:rsid w:val="0003618D"/>
    <w:rsid w:val="00036B22"/>
    <w:rsid w:val="00036D2C"/>
    <w:rsid w:val="00036DC2"/>
    <w:rsid w:val="00036EAE"/>
    <w:rsid w:val="00036FB7"/>
    <w:rsid w:val="00037411"/>
    <w:rsid w:val="00037671"/>
    <w:rsid w:val="000378A7"/>
    <w:rsid w:val="0003799F"/>
    <w:rsid w:val="00037BBA"/>
    <w:rsid w:val="00037D47"/>
    <w:rsid w:val="00037E1D"/>
    <w:rsid w:val="00037E31"/>
    <w:rsid w:val="00040382"/>
    <w:rsid w:val="000407EA"/>
    <w:rsid w:val="0004099F"/>
    <w:rsid w:val="000409A0"/>
    <w:rsid w:val="00040A0A"/>
    <w:rsid w:val="00040CDA"/>
    <w:rsid w:val="00041016"/>
    <w:rsid w:val="000410C4"/>
    <w:rsid w:val="000410F0"/>
    <w:rsid w:val="0004125A"/>
    <w:rsid w:val="00041946"/>
    <w:rsid w:val="00041D5E"/>
    <w:rsid w:val="00041D85"/>
    <w:rsid w:val="00041DA7"/>
    <w:rsid w:val="00041DFD"/>
    <w:rsid w:val="000424DC"/>
    <w:rsid w:val="00042559"/>
    <w:rsid w:val="000428E7"/>
    <w:rsid w:val="00042977"/>
    <w:rsid w:val="00042BF0"/>
    <w:rsid w:val="00042E71"/>
    <w:rsid w:val="0004398F"/>
    <w:rsid w:val="00043AB2"/>
    <w:rsid w:val="00043B9D"/>
    <w:rsid w:val="00043C3E"/>
    <w:rsid w:val="00044333"/>
    <w:rsid w:val="00044402"/>
    <w:rsid w:val="0004453D"/>
    <w:rsid w:val="000445BE"/>
    <w:rsid w:val="000447CF"/>
    <w:rsid w:val="00044927"/>
    <w:rsid w:val="00044A23"/>
    <w:rsid w:val="00044ACF"/>
    <w:rsid w:val="00044C1C"/>
    <w:rsid w:val="00044DB7"/>
    <w:rsid w:val="00044F51"/>
    <w:rsid w:val="00044F66"/>
    <w:rsid w:val="00045430"/>
    <w:rsid w:val="0004551D"/>
    <w:rsid w:val="000457AC"/>
    <w:rsid w:val="00045D83"/>
    <w:rsid w:val="00046240"/>
    <w:rsid w:val="00046244"/>
    <w:rsid w:val="00046390"/>
    <w:rsid w:val="00046A6C"/>
    <w:rsid w:val="00046D03"/>
    <w:rsid w:val="00046E16"/>
    <w:rsid w:val="000470F1"/>
    <w:rsid w:val="0004722F"/>
    <w:rsid w:val="00047413"/>
    <w:rsid w:val="0004760A"/>
    <w:rsid w:val="00047920"/>
    <w:rsid w:val="00047B23"/>
    <w:rsid w:val="00047B89"/>
    <w:rsid w:val="00047B96"/>
    <w:rsid w:val="00047D53"/>
    <w:rsid w:val="00047DA6"/>
    <w:rsid w:val="00050AB7"/>
    <w:rsid w:val="00050C2E"/>
    <w:rsid w:val="00051228"/>
    <w:rsid w:val="000513B7"/>
    <w:rsid w:val="00051969"/>
    <w:rsid w:val="00051A00"/>
    <w:rsid w:val="00051BF0"/>
    <w:rsid w:val="000520D6"/>
    <w:rsid w:val="0005270E"/>
    <w:rsid w:val="0005277F"/>
    <w:rsid w:val="0005279A"/>
    <w:rsid w:val="00052A35"/>
    <w:rsid w:val="00052D47"/>
    <w:rsid w:val="000531CB"/>
    <w:rsid w:val="000535E1"/>
    <w:rsid w:val="000536B2"/>
    <w:rsid w:val="000536FF"/>
    <w:rsid w:val="000538F1"/>
    <w:rsid w:val="0005393A"/>
    <w:rsid w:val="00053B96"/>
    <w:rsid w:val="00053D3E"/>
    <w:rsid w:val="00053FE7"/>
    <w:rsid w:val="00054065"/>
    <w:rsid w:val="000541E2"/>
    <w:rsid w:val="0005422C"/>
    <w:rsid w:val="000542C3"/>
    <w:rsid w:val="000543A7"/>
    <w:rsid w:val="0005449D"/>
    <w:rsid w:val="000545A3"/>
    <w:rsid w:val="00054657"/>
    <w:rsid w:val="0005471E"/>
    <w:rsid w:val="000549BD"/>
    <w:rsid w:val="00054A92"/>
    <w:rsid w:val="0005506A"/>
    <w:rsid w:val="00055150"/>
    <w:rsid w:val="00055333"/>
    <w:rsid w:val="00055750"/>
    <w:rsid w:val="00055A13"/>
    <w:rsid w:val="00055D46"/>
    <w:rsid w:val="00055F0D"/>
    <w:rsid w:val="00056221"/>
    <w:rsid w:val="00056522"/>
    <w:rsid w:val="000567D7"/>
    <w:rsid w:val="00056868"/>
    <w:rsid w:val="00056894"/>
    <w:rsid w:val="00056997"/>
    <w:rsid w:val="00056BA3"/>
    <w:rsid w:val="00056DF1"/>
    <w:rsid w:val="00056E4A"/>
    <w:rsid w:val="000573DA"/>
    <w:rsid w:val="00057820"/>
    <w:rsid w:val="0005788E"/>
    <w:rsid w:val="000578FD"/>
    <w:rsid w:val="00057B10"/>
    <w:rsid w:val="00057B84"/>
    <w:rsid w:val="00057C71"/>
    <w:rsid w:val="00060535"/>
    <w:rsid w:val="000605B2"/>
    <w:rsid w:val="00060D30"/>
    <w:rsid w:val="00060DC6"/>
    <w:rsid w:val="00060FDE"/>
    <w:rsid w:val="0006142B"/>
    <w:rsid w:val="00061CB7"/>
    <w:rsid w:val="0006209D"/>
    <w:rsid w:val="00062294"/>
    <w:rsid w:val="00062668"/>
    <w:rsid w:val="000628E4"/>
    <w:rsid w:val="00062A48"/>
    <w:rsid w:val="00062DB3"/>
    <w:rsid w:val="00063254"/>
    <w:rsid w:val="000633DC"/>
    <w:rsid w:val="0006408B"/>
    <w:rsid w:val="00064233"/>
    <w:rsid w:val="000642BE"/>
    <w:rsid w:val="00064419"/>
    <w:rsid w:val="000648E6"/>
    <w:rsid w:val="00064A29"/>
    <w:rsid w:val="00064FE9"/>
    <w:rsid w:val="00065071"/>
    <w:rsid w:val="000653A8"/>
    <w:rsid w:val="00065C38"/>
    <w:rsid w:val="00065C92"/>
    <w:rsid w:val="00065CE6"/>
    <w:rsid w:val="00065CEA"/>
    <w:rsid w:val="0006623E"/>
    <w:rsid w:val="000662DB"/>
    <w:rsid w:val="0006643D"/>
    <w:rsid w:val="00066775"/>
    <w:rsid w:val="00066DB4"/>
    <w:rsid w:val="000671C1"/>
    <w:rsid w:val="00067456"/>
    <w:rsid w:val="00067992"/>
    <w:rsid w:val="00067B06"/>
    <w:rsid w:val="00067B89"/>
    <w:rsid w:val="00067C52"/>
    <w:rsid w:val="000708FB"/>
    <w:rsid w:val="00070951"/>
    <w:rsid w:val="00070C63"/>
    <w:rsid w:val="00071281"/>
    <w:rsid w:val="00071636"/>
    <w:rsid w:val="000720A8"/>
    <w:rsid w:val="000720C8"/>
    <w:rsid w:val="0007237E"/>
    <w:rsid w:val="00072CA4"/>
    <w:rsid w:val="00072F4C"/>
    <w:rsid w:val="00072FE9"/>
    <w:rsid w:val="0007349A"/>
    <w:rsid w:val="00073687"/>
    <w:rsid w:val="00073789"/>
    <w:rsid w:val="00073ABF"/>
    <w:rsid w:val="00073F06"/>
    <w:rsid w:val="00074038"/>
    <w:rsid w:val="0007429F"/>
    <w:rsid w:val="000744CE"/>
    <w:rsid w:val="000747AC"/>
    <w:rsid w:val="00074B37"/>
    <w:rsid w:val="00074BF0"/>
    <w:rsid w:val="00074C77"/>
    <w:rsid w:val="00074E4D"/>
    <w:rsid w:val="00074FA6"/>
    <w:rsid w:val="000753B9"/>
    <w:rsid w:val="000754C1"/>
    <w:rsid w:val="0007553A"/>
    <w:rsid w:val="000755B4"/>
    <w:rsid w:val="000755CB"/>
    <w:rsid w:val="0007569F"/>
    <w:rsid w:val="000758D7"/>
    <w:rsid w:val="0007593C"/>
    <w:rsid w:val="00075A4D"/>
    <w:rsid w:val="00075CAB"/>
    <w:rsid w:val="00076200"/>
    <w:rsid w:val="000765E1"/>
    <w:rsid w:val="00076C2D"/>
    <w:rsid w:val="00076C78"/>
    <w:rsid w:val="00076F16"/>
    <w:rsid w:val="00076F3E"/>
    <w:rsid w:val="0007741F"/>
    <w:rsid w:val="00077A78"/>
    <w:rsid w:val="00077D10"/>
    <w:rsid w:val="000800CE"/>
    <w:rsid w:val="00080250"/>
    <w:rsid w:val="000806D9"/>
    <w:rsid w:val="00080B14"/>
    <w:rsid w:val="00080B8E"/>
    <w:rsid w:val="00080C23"/>
    <w:rsid w:val="0008124B"/>
    <w:rsid w:val="000814E0"/>
    <w:rsid w:val="0008150D"/>
    <w:rsid w:val="00081711"/>
    <w:rsid w:val="00081BD8"/>
    <w:rsid w:val="00081CD4"/>
    <w:rsid w:val="00081D03"/>
    <w:rsid w:val="00081D31"/>
    <w:rsid w:val="00082152"/>
    <w:rsid w:val="000821E5"/>
    <w:rsid w:val="000821EB"/>
    <w:rsid w:val="00082206"/>
    <w:rsid w:val="00082638"/>
    <w:rsid w:val="00082696"/>
    <w:rsid w:val="000828DA"/>
    <w:rsid w:val="0008292E"/>
    <w:rsid w:val="00082A21"/>
    <w:rsid w:val="00082B7E"/>
    <w:rsid w:val="00082D13"/>
    <w:rsid w:val="00083179"/>
    <w:rsid w:val="000832C1"/>
    <w:rsid w:val="000839EA"/>
    <w:rsid w:val="00083B50"/>
    <w:rsid w:val="000842B3"/>
    <w:rsid w:val="000843E2"/>
    <w:rsid w:val="000847C2"/>
    <w:rsid w:val="000849D6"/>
    <w:rsid w:val="00084D89"/>
    <w:rsid w:val="00084DD7"/>
    <w:rsid w:val="00084F65"/>
    <w:rsid w:val="00085094"/>
    <w:rsid w:val="00085240"/>
    <w:rsid w:val="00085279"/>
    <w:rsid w:val="00085C35"/>
    <w:rsid w:val="00085D4C"/>
    <w:rsid w:val="000862C0"/>
    <w:rsid w:val="0008671C"/>
    <w:rsid w:val="0008673C"/>
    <w:rsid w:val="00086A79"/>
    <w:rsid w:val="00086D8D"/>
    <w:rsid w:val="00086FCA"/>
    <w:rsid w:val="000871C7"/>
    <w:rsid w:val="00087402"/>
    <w:rsid w:val="000874A7"/>
    <w:rsid w:val="0008754C"/>
    <w:rsid w:val="000875D5"/>
    <w:rsid w:val="00087BDB"/>
    <w:rsid w:val="00087C12"/>
    <w:rsid w:val="00087D01"/>
    <w:rsid w:val="00087F1D"/>
    <w:rsid w:val="00087F74"/>
    <w:rsid w:val="000902A5"/>
    <w:rsid w:val="0009034B"/>
    <w:rsid w:val="00090484"/>
    <w:rsid w:val="000904A8"/>
    <w:rsid w:val="000906D6"/>
    <w:rsid w:val="00090754"/>
    <w:rsid w:val="00090954"/>
    <w:rsid w:val="000909E9"/>
    <w:rsid w:val="00090AA5"/>
    <w:rsid w:val="00090BC0"/>
    <w:rsid w:val="00090BD2"/>
    <w:rsid w:val="00090DAF"/>
    <w:rsid w:val="00090F33"/>
    <w:rsid w:val="000912D1"/>
    <w:rsid w:val="000914F2"/>
    <w:rsid w:val="00091538"/>
    <w:rsid w:val="000915DB"/>
    <w:rsid w:val="00091A96"/>
    <w:rsid w:val="00091BD4"/>
    <w:rsid w:val="00091CBA"/>
    <w:rsid w:val="00091F1D"/>
    <w:rsid w:val="00091F52"/>
    <w:rsid w:val="00092041"/>
    <w:rsid w:val="00092283"/>
    <w:rsid w:val="00092502"/>
    <w:rsid w:val="00092532"/>
    <w:rsid w:val="000932AB"/>
    <w:rsid w:val="00093363"/>
    <w:rsid w:val="00093387"/>
    <w:rsid w:val="000936EC"/>
    <w:rsid w:val="000939C3"/>
    <w:rsid w:val="00093D17"/>
    <w:rsid w:val="00093DBE"/>
    <w:rsid w:val="00094094"/>
    <w:rsid w:val="000940EC"/>
    <w:rsid w:val="000940FD"/>
    <w:rsid w:val="0009424B"/>
    <w:rsid w:val="000947F3"/>
    <w:rsid w:val="00094854"/>
    <w:rsid w:val="0009498B"/>
    <w:rsid w:val="00094A1B"/>
    <w:rsid w:val="00094C55"/>
    <w:rsid w:val="00094E35"/>
    <w:rsid w:val="00094E72"/>
    <w:rsid w:val="00095084"/>
    <w:rsid w:val="000951A3"/>
    <w:rsid w:val="00095292"/>
    <w:rsid w:val="0009569A"/>
    <w:rsid w:val="000957B2"/>
    <w:rsid w:val="000957FB"/>
    <w:rsid w:val="00095A4B"/>
    <w:rsid w:val="00095E6E"/>
    <w:rsid w:val="000961D6"/>
    <w:rsid w:val="00096531"/>
    <w:rsid w:val="00096538"/>
    <w:rsid w:val="00096613"/>
    <w:rsid w:val="000966BF"/>
    <w:rsid w:val="00096725"/>
    <w:rsid w:val="000968B3"/>
    <w:rsid w:val="00096A45"/>
    <w:rsid w:val="00096BD9"/>
    <w:rsid w:val="00096BDF"/>
    <w:rsid w:val="00096DAF"/>
    <w:rsid w:val="00096E13"/>
    <w:rsid w:val="00096FA3"/>
    <w:rsid w:val="00097177"/>
    <w:rsid w:val="00097315"/>
    <w:rsid w:val="00097A1E"/>
    <w:rsid w:val="00097B5B"/>
    <w:rsid w:val="00097C7C"/>
    <w:rsid w:val="000A001A"/>
    <w:rsid w:val="000A00C1"/>
    <w:rsid w:val="000A062F"/>
    <w:rsid w:val="000A06EF"/>
    <w:rsid w:val="000A071D"/>
    <w:rsid w:val="000A0928"/>
    <w:rsid w:val="000A0B21"/>
    <w:rsid w:val="000A0D58"/>
    <w:rsid w:val="000A0E20"/>
    <w:rsid w:val="000A0E79"/>
    <w:rsid w:val="000A0F07"/>
    <w:rsid w:val="000A130D"/>
    <w:rsid w:val="000A13A0"/>
    <w:rsid w:val="000A13C9"/>
    <w:rsid w:val="000A14AE"/>
    <w:rsid w:val="000A1B78"/>
    <w:rsid w:val="000A1DEC"/>
    <w:rsid w:val="000A2098"/>
    <w:rsid w:val="000A2160"/>
    <w:rsid w:val="000A2296"/>
    <w:rsid w:val="000A2383"/>
    <w:rsid w:val="000A263E"/>
    <w:rsid w:val="000A269E"/>
    <w:rsid w:val="000A2719"/>
    <w:rsid w:val="000A2999"/>
    <w:rsid w:val="000A29A7"/>
    <w:rsid w:val="000A2A27"/>
    <w:rsid w:val="000A2B06"/>
    <w:rsid w:val="000A2B28"/>
    <w:rsid w:val="000A2E23"/>
    <w:rsid w:val="000A3159"/>
    <w:rsid w:val="000A3320"/>
    <w:rsid w:val="000A36BA"/>
    <w:rsid w:val="000A36C5"/>
    <w:rsid w:val="000A3A8E"/>
    <w:rsid w:val="000A3CE6"/>
    <w:rsid w:val="000A40DB"/>
    <w:rsid w:val="000A41CE"/>
    <w:rsid w:val="000A423B"/>
    <w:rsid w:val="000A43C6"/>
    <w:rsid w:val="000A4973"/>
    <w:rsid w:val="000A49A2"/>
    <w:rsid w:val="000A4AF0"/>
    <w:rsid w:val="000A4B89"/>
    <w:rsid w:val="000A4ECD"/>
    <w:rsid w:val="000A4F4C"/>
    <w:rsid w:val="000A51F0"/>
    <w:rsid w:val="000A5287"/>
    <w:rsid w:val="000A5312"/>
    <w:rsid w:val="000A546F"/>
    <w:rsid w:val="000A55F9"/>
    <w:rsid w:val="000A5903"/>
    <w:rsid w:val="000A5A85"/>
    <w:rsid w:val="000A5EFF"/>
    <w:rsid w:val="000A5F95"/>
    <w:rsid w:val="000A60E1"/>
    <w:rsid w:val="000A6849"/>
    <w:rsid w:val="000A6A85"/>
    <w:rsid w:val="000A6B68"/>
    <w:rsid w:val="000A6F5C"/>
    <w:rsid w:val="000A726C"/>
    <w:rsid w:val="000A72A1"/>
    <w:rsid w:val="000A75B4"/>
    <w:rsid w:val="000A768B"/>
    <w:rsid w:val="000A76B8"/>
    <w:rsid w:val="000A7841"/>
    <w:rsid w:val="000A7A32"/>
    <w:rsid w:val="000A7F77"/>
    <w:rsid w:val="000B0034"/>
    <w:rsid w:val="000B066D"/>
    <w:rsid w:val="000B06BD"/>
    <w:rsid w:val="000B07C0"/>
    <w:rsid w:val="000B0902"/>
    <w:rsid w:val="000B0C49"/>
    <w:rsid w:val="000B0F62"/>
    <w:rsid w:val="000B1149"/>
    <w:rsid w:val="000B121A"/>
    <w:rsid w:val="000B13A4"/>
    <w:rsid w:val="000B1464"/>
    <w:rsid w:val="000B155C"/>
    <w:rsid w:val="000B1F06"/>
    <w:rsid w:val="000B2066"/>
    <w:rsid w:val="000B2377"/>
    <w:rsid w:val="000B23D8"/>
    <w:rsid w:val="000B2A7B"/>
    <w:rsid w:val="000B2B78"/>
    <w:rsid w:val="000B2B81"/>
    <w:rsid w:val="000B2E62"/>
    <w:rsid w:val="000B3149"/>
    <w:rsid w:val="000B3AD7"/>
    <w:rsid w:val="000B3B34"/>
    <w:rsid w:val="000B3C90"/>
    <w:rsid w:val="000B3CA3"/>
    <w:rsid w:val="000B3F57"/>
    <w:rsid w:val="000B4191"/>
    <w:rsid w:val="000B4313"/>
    <w:rsid w:val="000B4BA5"/>
    <w:rsid w:val="000B5181"/>
    <w:rsid w:val="000B52B8"/>
    <w:rsid w:val="000B54C4"/>
    <w:rsid w:val="000B5559"/>
    <w:rsid w:val="000B5683"/>
    <w:rsid w:val="000B568A"/>
    <w:rsid w:val="000B56A4"/>
    <w:rsid w:val="000B58DA"/>
    <w:rsid w:val="000B5F68"/>
    <w:rsid w:val="000B63A8"/>
    <w:rsid w:val="000B64EC"/>
    <w:rsid w:val="000B667E"/>
    <w:rsid w:val="000B671A"/>
    <w:rsid w:val="000B6780"/>
    <w:rsid w:val="000B67EA"/>
    <w:rsid w:val="000B6877"/>
    <w:rsid w:val="000B6A64"/>
    <w:rsid w:val="000B6F27"/>
    <w:rsid w:val="000B7062"/>
    <w:rsid w:val="000B70B8"/>
    <w:rsid w:val="000B710E"/>
    <w:rsid w:val="000B7442"/>
    <w:rsid w:val="000B79D0"/>
    <w:rsid w:val="000B7F42"/>
    <w:rsid w:val="000B7F51"/>
    <w:rsid w:val="000C00E0"/>
    <w:rsid w:val="000C01B9"/>
    <w:rsid w:val="000C0526"/>
    <w:rsid w:val="000C06F0"/>
    <w:rsid w:val="000C0785"/>
    <w:rsid w:val="000C09A9"/>
    <w:rsid w:val="000C0BA2"/>
    <w:rsid w:val="000C0C71"/>
    <w:rsid w:val="000C0CEB"/>
    <w:rsid w:val="000C0DF1"/>
    <w:rsid w:val="000C0E1E"/>
    <w:rsid w:val="000C0F38"/>
    <w:rsid w:val="000C1213"/>
    <w:rsid w:val="000C142C"/>
    <w:rsid w:val="000C164C"/>
    <w:rsid w:val="000C1811"/>
    <w:rsid w:val="000C18A5"/>
    <w:rsid w:val="000C1975"/>
    <w:rsid w:val="000C1E33"/>
    <w:rsid w:val="000C203C"/>
    <w:rsid w:val="000C21C7"/>
    <w:rsid w:val="000C24CD"/>
    <w:rsid w:val="000C2535"/>
    <w:rsid w:val="000C263A"/>
    <w:rsid w:val="000C2728"/>
    <w:rsid w:val="000C2881"/>
    <w:rsid w:val="000C295E"/>
    <w:rsid w:val="000C2D61"/>
    <w:rsid w:val="000C2EED"/>
    <w:rsid w:val="000C2F81"/>
    <w:rsid w:val="000C2FCF"/>
    <w:rsid w:val="000C3652"/>
    <w:rsid w:val="000C36C9"/>
    <w:rsid w:val="000C36FE"/>
    <w:rsid w:val="000C3720"/>
    <w:rsid w:val="000C3874"/>
    <w:rsid w:val="000C3AA4"/>
    <w:rsid w:val="000C3AA8"/>
    <w:rsid w:val="000C3E33"/>
    <w:rsid w:val="000C3F2F"/>
    <w:rsid w:val="000C44B5"/>
    <w:rsid w:val="000C46A2"/>
    <w:rsid w:val="000C479D"/>
    <w:rsid w:val="000C48FD"/>
    <w:rsid w:val="000C4BFD"/>
    <w:rsid w:val="000C4D3E"/>
    <w:rsid w:val="000C5274"/>
    <w:rsid w:val="000C52B2"/>
    <w:rsid w:val="000C55C9"/>
    <w:rsid w:val="000C5629"/>
    <w:rsid w:val="000C58F7"/>
    <w:rsid w:val="000C5A6D"/>
    <w:rsid w:val="000C5B1B"/>
    <w:rsid w:val="000C5C55"/>
    <w:rsid w:val="000C618B"/>
    <w:rsid w:val="000C6391"/>
    <w:rsid w:val="000C653A"/>
    <w:rsid w:val="000C66AE"/>
    <w:rsid w:val="000C694B"/>
    <w:rsid w:val="000C6BC2"/>
    <w:rsid w:val="000C6BF3"/>
    <w:rsid w:val="000C6D54"/>
    <w:rsid w:val="000C6F40"/>
    <w:rsid w:val="000C7108"/>
    <w:rsid w:val="000C791C"/>
    <w:rsid w:val="000C7B4B"/>
    <w:rsid w:val="000C7FF1"/>
    <w:rsid w:val="000D06C2"/>
    <w:rsid w:val="000D0801"/>
    <w:rsid w:val="000D08D3"/>
    <w:rsid w:val="000D0D26"/>
    <w:rsid w:val="000D14AB"/>
    <w:rsid w:val="000D1559"/>
    <w:rsid w:val="000D1634"/>
    <w:rsid w:val="000D1795"/>
    <w:rsid w:val="000D1CBF"/>
    <w:rsid w:val="000D1E5D"/>
    <w:rsid w:val="000D1EF3"/>
    <w:rsid w:val="000D229C"/>
    <w:rsid w:val="000D22AC"/>
    <w:rsid w:val="000D236A"/>
    <w:rsid w:val="000D2436"/>
    <w:rsid w:val="000D264C"/>
    <w:rsid w:val="000D27BE"/>
    <w:rsid w:val="000D2CC6"/>
    <w:rsid w:val="000D2DF0"/>
    <w:rsid w:val="000D2ED0"/>
    <w:rsid w:val="000D3449"/>
    <w:rsid w:val="000D3488"/>
    <w:rsid w:val="000D35A0"/>
    <w:rsid w:val="000D35C8"/>
    <w:rsid w:val="000D386A"/>
    <w:rsid w:val="000D3886"/>
    <w:rsid w:val="000D3B7D"/>
    <w:rsid w:val="000D4281"/>
    <w:rsid w:val="000D42D3"/>
    <w:rsid w:val="000D475F"/>
    <w:rsid w:val="000D48AC"/>
    <w:rsid w:val="000D4B1E"/>
    <w:rsid w:val="000D4B4D"/>
    <w:rsid w:val="000D4C52"/>
    <w:rsid w:val="000D4FB7"/>
    <w:rsid w:val="000D507E"/>
    <w:rsid w:val="000D5784"/>
    <w:rsid w:val="000D59D5"/>
    <w:rsid w:val="000D5A7A"/>
    <w:rsid w:val="000D5B5E"/>
    <w:rsid w:val="000D5EB9"/>
    <w:rsid w:val="000D5F42"/>
    <w:rsid w:val="000D6073"/>
    <w:rsid w:val="000D631B"/>
    <w:rsid w:val="000D67B4"/>
    <w:rsid w:val="000D6A23"/>
    <w:rsid w:val="000D6AF4"/>
    <w:rsid w:val="000D6D58"/>
    <w:rsid w:val="000D7283"/>
    <w:rsid w:val="000D729A"/>
    <w:rsid w:val="000D7A12"/>
    <w:rsid w:val="000D7D65"/>
    <w:rsid w:val="000D7E66"/>
    <w:rsid w:val="000D7F48"/>
    <w:rsid w:val="000D7F97"/>
    <w:rsid w:val="000E00DF"/>
    <w:rsid w:val="000E0328"/>
    <w:rsid w:val="000E062B"/>
    <w:rsid w:val="000E06D3"/>
    <w:rsid w:val="000E0763"/>
    <w:rsid w:val="000E0BB4"/>
    <w:rsid w:val="000E0F8B"/>
    <w:rsid w:val="000E1576"/>
    <w:rsid w:val="000E15FC"/>
    <w:rsid w:val="000E1747"/>
    <w:rsid w:val="000E1C47"/>
    <w:rsid w:val="000E1E14"/>
    <w:rsid w:val="000E2277"/>
    <w:rsid w:val="000E22C7"/>
    <w:rsid w:val="000E2B2E"/>
    <w:rsid w:val="000E2D90"/>
    <w:rsid w:val="000E2E48"/>
    <w:rsid w:val="000E3604"/>
    <w:rsid w:val="000E361E"/>
    <w:rsid w:val="000E37BF"/>
    <w:rsid w:val="000E3845"/>
    <w:rsid w:val="000E38FF"/>
    <w:rsid w:val="000E39CB"/>
    <w:rsid w:val="000E39E6"/>
    <w:rsid w:val="000E3A57"/>
    <w:rsid w:val="000E3F6C"/>
    <w:rsid w:val="000E494E"/>
    <w:rsid w:val="000E5B6F"/>
    <w:rsid w:val="000E5BC0"/>
    <w:rsid w:val="000E5D3D"/>
    <w:rsid w:val="000E6100"/>
    <w:rsid w:val="000E62BD"/>
    <w:rsid w:val="000E6529"/>
    <w:rsid w:val="000E6837"/>
    <w:rsid w:val="000E6D3C"/>
    <w:rsid w:val="000E6DD5"/>
    <w:rsid w:val="000E6EFB"/>
    <w:rsid w:val="000E6F11"/>
    <w:rsid w:val="000E729B"/>
    <w:rsid w:val="000E73E8"/>
    <w:rsid w:val="000E778B"/>
    <w:rsid w:val="000E778D"/>
    <w:rsid w:val="000E77C6"/>
    <w:rsid w:val="000E7B12"/>
    <w:rsid w:val="000E7E6E"/>
    <w:rsid w:val="000F00AC"/>
    <w:rsid w:val="000F01A2"/>
    <w:rsid w:val="000F022D"/>
    <w:rsid w:val="000F02BE"/>
    <w:rsid w:val="000F04BE"/>
    <w:rsid w:val="000F04D2"/>
    <w:rsid w:val="000F0704"/>
    <w:rsid w:val="000F07DE"/>
    <w:rsid w:val="000F0828"/>
    <w:rsid w:val="000F0985"/>
    <w:rsid w:val="000F0A7D"/>
    <w:rsid w:val="000F0BF8"/>
    <w:rsid w:val="000F1849"/>
    <w:rsid w:val="000F1CC0"/>
    <w:rsid w:val="000F1FBF"/>
    <w:rsid w:val="000F21D2"/>
    <w:rsid w:val="000F225A"/>
    <w:rsid w:val="000F2308"/>
    <w:rsid w:val="000F239D"/>
    <w:rsid w:val="000F23D2"/>
    <w:rsid w:val="000F263D"/>
    <w:rsid w:val="000F3122"/>
    <w:rsid w:val="000F360E"/>
    <w:rsid w:val="000F37BD"/>
    <w:rsid w:val="000F38C3"/>
    <w:rsid w:val="000F3E1F"/>
    <w:rsid w:val="000F406E"/>
    <w:rsid w:val="000F4651"/>
    <w:rsid w:val="000F4672"/>
    <w:rsid w:val="000F4CE3"/>
    <w:rsid w:val="000F4D85"/>
    <w:rsid w:val="000F4DAE"/>
    <w:rsid w:val="000F4EF6"/>
    <w:rsid w:val="000F51DD"/>
    <w:rsid w:val="000F52D9"/>
    <w:rsid w:val="000F5631"/>
    <w:rsid w:val="000F5AE3"/>
    <w:rsid w:val="000F5DA6"/>
    <w:rsid w:val="000F5F1A"/>
    <w:rsid w:val="000F6291"/>
    <w:rsid w:val="000F64CF"/>
    <w:rsid w:val="000F67AE"/>
    <w:rsid w:val="000F6858"/>
    <w:rsid w:val="000F69A5"/>
    <w:rsid w:val="000F6B2F"/>
    <w:rsid w:val="000F78BF"/>
    <w:rsid w:val="000F78C2"/>
    <w:rsid w:val="000F7A9E"/>
    <w:rsid w:val="001000B9"/>
    <w:rsid w:val="001000D8"/>
    <w:rsid w:val="00100B62"/>
    <w:rsid w:val="001010AD"/>
    <w:rsid w:val="00101228"/>
    <w:rsid w:val="001012DE"/>
    <w:rsid w:val="00101312"/>
    <w:rsid w:val="001016F5"/>
    <w:rsid w:val="00101748"/>
    <w:rsid w:val="00101985"/>
    <w:rsid w:val="001021FE"/>
    <w:rsid w:val="001022A3"/>
    <w:rsid w:val="00102696"/>
    <w:rsid w:val="00102B43"/>
    <w:rsid w:val="00102C9D"/>
    <w:rsid w:val="00102E23"/>
    <w:rsid w:val="00102F3F"/>
    <w:rsid w:val="0010311E"/>
    <w:rsid w:val="00103502"/>
    <w:rsid w:val="00103530"/>
    <w:rsid w:val="0010356B"/>
    <w:rsid w:val="00103980"/>
    <w:rsid w:val="00103ADE"/>
    <w:rsid w:val="00103B4A"/>
    <w:rsid w:val="00103E98"/>
    <w:rsid w:val="00103FC1"/>
    <w:rsid w:val="00103FCB"/>
    <w:rsid w:val="00104050"/>
    <w:rsid w:val="00104236"/>
    <w:rsid w:val="0010423E"/>
    <w:rsid w:val="00104319"/>
    <w:rsid w:val="001043AD"/>
    <w:rsid w:val="001043FB"/>
    <w:rsid w:val="00104735"/>
    <w:rsid w:val="001049FC"/>
    <w:rsid w:val="00104D2B"/>
    <w:rsid w:val="00104E0B"/>
    <w:rsid w:val="00105479"/>
    <w:rsid w:val="0010583A"/>
    <w:rsid w:val="00105A57"/>
    <w:rsid w:val="00105D29"/>
    <w:rsid w:val="00105D83"/>
    <w:rsid w:val="00106018"/>
    <w:rsid w:val="0010635A"/>
    <w:rsid w:val="0010655D"/>
    <w:rsid w:val="001065DF"/>
    <w:rsid w:val="001066D3"/>
    <w:rsid w:val="00106B8B"/>
    <w:rsid w:val="00106DD5"/>
    <w:rsid w:val="00107125"/>
    <w:rsid w:val="0010722A"/>
    <w:rsid w:val="001073EF"/>
    <w:rsid w:val="001075A3"/>
    <w:rsid w:val="0010779F"/>
    <w:rsid w:val="00107BE1"/>
    <w:rsid w:val="00110BCE"/>
    <w:rsid w:val="00110C6E"/>
    <w:rsid w:val="00110FB3"/>
    <w:rsid w:val="00111352"/>
    <w:rsid w:val="0011139D"/>
    <w:rsid w:val="001118A1"/>
    <w:rsid w:val="00111919"/>
    <w:rsid w:val="0011197D"/>
    <w:rsid w:val="00111980"/>
    <w:rsid w:val="00111BB5"/>
    <w:rsid w:val="001120A5"/>
    <w:rsid w:val="00112491"/>
    <w:rsid w:val="001128B3"/>
    <w:rsid w:val="001128DA"/>
    <w:rsid w:val="00112D6A"/>
    <w:rsid w:val="001131E2"/>
    <w:rsid w:val="00113284"/>
    <w:rsid w:val="00113515"/>
    <w:rsid w:val="00113696"/>
    <w:rsid w:val="00113779"/>
    <w:rsid w:val="00113883"/>
    <w:rsid w:val="001138D8"/>
    <w:rsid w:val="00113AFD"/>
    <w:rsid w:val="00113E28"/>
    <w:rsid w:val="00113E92"/>
    <w:rsid w:val="00114267"/>
    <w:rsid w:val="0011438A"/>
    <w:rsid w:val="00114AA2"/>
    <w:rsid w:val="00114AB8"/>
    <w:rsid w:val="00114E9C"/>
    <w:rsid w:val="00115086"/>
    <w:rsid w:val="001154B2"/>
    <w:rsid w:val="001158C0"/>
    <w:rsid w:val="001158F8"/>
    <w:rsid w:val="00115B33"/>
    <w:rsid w:val="0011609E"/>
    <w:rsid w:val="0011629A"/>
    <w:rsid w:val="00116329"/>
    <w:rsid w:val="00116529"/>
    <w:rsid w:val="0011654F"/>
    <w:rsid w:val="00116829"/>
    <w:rsid w:val="001168D9"/>
    <w:rsid w:val="00116C7A"/>
    <w:rsid w:val="00116D09"/>
    <w:rsid w:val="00116DEA"/>
    <w:rsid w:val="00116DF4"/>
    <w:rsid w:val="00116EF3"/>
    <w:rsid w:val="00117102"/>
    <w:rsid w:val="00117309"/>
    <w:rsid w:val="00117865"/>
    <w:rsid w:val="00117C52"/>
    <w:rsid w:val="0012002E"/>
    <w:rsid w:val="00120266"/>
    <w:rsid w:val="001206D8"/>
    <w:rsid w:val="0012076B"/>
    <w:rsid w:val="0012083E"/>
    <w:rsid w:val="00120C93"/>
    <w:rsid w:val="001214A6"/>
    <w:rsid w:val="00121915"/>
    <w:rsid w:val="00121C1D"/>
    <w:rsid w:val="00121DAC"/>
    <w:rsid w:val="00121EE5"/>
    <w:rsid w:val="0012205D"/>
    <w:rsid w:val="001222EB"/>
    <w:rsid w:val="001224D6"/>
    <w:rsid w:val="001224DA"/>
    <w:rsid w:val="001229B4"/>
    <w:rsid w:val="00123037"/>
    <w:rsid w:val="0012311C"/>
    <w:rsid w:val="00123300"/>
    <w:rsid w:val="00123399"/>
    <w:rsid w:val="001235F3"/>
    <w:rsid w:val="00123998"/>
    <w:rsid w:val="001239B8"/>
    <w:rsid w:val="00123BCE"/>
    <w:rsid w:val="00123C52"/>
    <w:rsid w:val="00123CB8"/>
    <w:rsid w:val="00123F2E"/>
    <w:rsid w:val="00124141"/>
    <w:rsid w:val="001242AA"/>
    <w:rsid w:val="0012437C"/>
    <w:rsid w:val="00124A72"/>
    <w:rsid w:val="00124D09"/>
    <w:rsid w:val="00125177"/>
    <w:rsid w:val="0012529E"/>
    <w:rsid w:val="001255E9"/>
    <w:rsid w:val="00125630"/>
    <w:rsid w:val="0012573F"/>
    <w:rsid w:val="0012591E"/>
    <w:rsid w:val="00125D3C"/>
    <w:rsid w:val="00125D76"/>
    <w:rsid w:val="00125F66"/>
    <w:rsid w:val="001260E4"/>
    <w:rsid w:val="001260F3"/>
    <w:rsid w:val="00126170"/>
    <w:rsid w:val="0012622E"/>
    <w:rsid w:val="00126245"/>
    <w:rsid w:val="0012685B"/>
    <w:rsid w:val="0012690F"/>
    <w:rsid w:val="00126C45"/>
    <w:rsid w:val="001271E2"/>
    <w:rsid w:val="001272F6"/>
    <w:rsid w:val="001275F2"/>
    <w:rsid w:val="00127603"/>
    <w:rsid w:val="00127884"/>
    <w:rsid w:val="00127892"/>
    <w:rsid w:val="00127925"/>
    <w:rsid w:val="00127943"/>
    <w:rsid w:val="00127A82"/>
    <w:rsid w:val="00127B2F"/>
    <w:rsid w:val="00127DCA"/>
    <w:rsid w:val="0013036C"/>
    <w:rsid w:val="00130591"/>
    <w:rsid w:val="00130874"/>
    <w:rsid w:val="00130C85"/>
    <w:rsid w:val="00131426"/>
    <w:rsid w:val="00131482"/>
    <w:rsid w:val="001315F0"/>
    <w:rsid w:val="0013191F"/>
    <w:rsid w:val="00131935"/>
    <w:rsid w:val="001319A7"/>
    <w:rsid w:val="001319D0"/>
    <w:rsid w:val="00131DC7"/>
    <w:rsid w:val="00131DFB"/>
    <w:rsid w:val="00131E19"/>
    <w:rsid w:val="00131F5A"/>
    <w:rsid w:val="00132631"/>
    <w:rsid w:val="001327B1"/>
    <w:rsid w:val="00132953"/>
    <w:rsid w:val="00132BA5"/>
    <w:rsid w:val="00132E9D"/>
    <w:rsid w:val="0013370B"/>
    <w:rsid w:val="00133CEC"/>
    <w:rsid w:val="001341B3"/>
    <w:rsid w:val="001344A6"/>
    <w:rsid w:val="0013492D"/>
    <w:rsid w:val="00134974"/>
    <w:rsid w:val="00134BDF"/>
    <w:rsid w:val="00134C72"/>
    <w:rsid w:val="00134D41"/>
    <w:rsid w:val="00134E1C"/>
    <w:rsid w:val="00134F0E"/>
    <w:rsid w:val="0013509B"/>
    <w:rsid w:val="001351CE"/>
    <w:rsid w:val="001353AA"/>
    <w:rsid w:val="001353BA"/>
    <w:rsid w:val="00135444"/>
    <w:rsid w:val="001358E9"/>
    <w:rsid w:val="00135A90"/>
    <w:rsid w:val="00135C87"/>
    <w:rsid w:val="00135CF4"/>
    <w:rsid w:val="00135D3A"/>
    <w:rsid w:val="001363EA"/>
    <w:rsid w:val="0013682E"/>
    <w:rsid w:val="00136DAF"/>
    <w:rsid w:val="00137123"/>
    <w:rsid w:val="0013713A"/>
    <w:rsid w:val="00137A8E"/>
    <w:rsid w:val="00137E9D"/>
    <w:rsid w:val="0014004B"/>
    <w:rsid w:val="001400A0"/>
    <w:rsid w:val="001400BB"/>
    <w:rsid w:val="00140853"/>
    <w:rsid w:val="00140FA8"/>
    <w:rsid w:val="001410B8"/>
    <w:rsid w:val="0014113A"/>
    <w:rsid w:val="0014138B"/>
    <w:rsid w:val="001414CB"/>
    <w:rsid w:val="001415A5"/>
    <w:rsid w:val="00141A40"/>
    <w:rsid w:val="00141A4D"/>
    <w:rsid w:val="00141B33"/>
    <w:rsid w:val="00141D80"/>
    <w:rsid w:val="001421FE"/>
    <w:rsid w:val="001424CC"/>
    <w:rsid w:val="00142BAA"/>
    <w:rsid w:val="00142DE1"/>
    <w:rsid w:val="0014300A"/>
    <w:rsid w:val="0014305E"/>
    <w:rsid w:val="00143477"/>
    <w:rsid w:val="001434ED"/>
    <w:rsid w:val="00143502"/>
    <w:rsid w:val="0014357F"/>
    <w:rsid w:val="001439E3"/>
    <w:rsid w:val="00143C1F"/>
    <w:rsid w:val="00143E7E"/>
    <w:rsid w:val="00143F62"/>
    <w:rsid w:val="00144183"/>
    <w:rsid w:val="0014461A"/>
    <w:rsid w:val="00144BFB"/>
    <w:rsid w:val="00144E39"/>
    <w:rsid w:val="00144F61"/>
    <w:rsid w:val="00145093"/>
    <w:rsid w:val="001453B1"/>
    <w:rsid w:val="00145433"/>
    <w:rsid w:val="001454EF"/>
    <w:rsid w:val="0014553A"/>
    <w:rsid w:val="00145A94"/>
    <w:rsid w:val="00145BD3"/>
    <w:rsid w:val="00145D9A"/>
    <w:rsid w:val="00145DAD"/>
    <w:rsid w:val="00145DE1"/>
    <w:rsid w:val="00145E32"/>
    <w:rsid w:val="00146260"/>
    <w:rsid w:val="00146281"/>
    <w:rsid w:val="001462CF"/>
    <w:rsid w:val="001464C1"/>
    <w:rsid w:val="001465D1"/>
    <w:rsid w:val="0014666F"/>
    <w:rsid w:val="001467E0"/>
    <w:rsid w:val="00146A8E"/>
    <w:rsid w:val="001477DC"/>
    <w:rsid w:val="00147BDD"/>
    <w:rsid w:val="00147C48"/>
    <w:rsid w:val="00150075"/>
    <w:rsid w:val="001502C2"/>
    <w:rsid w:val="001502EE"/>
    <w:rsid w:val="00150758"/>
    <w:rsid w:val="00150932"/>
    <w:rsid w:val="00150C02"/>
    <w:rsid w:val="001511F5"/>
    <w:rsid w:val="00151329"/>
    <w:rsid w:val="001514D3"/>
    <w:rsid w:val="0015168D"/>
    <w:rsid w:val="00151A87"/>
    <w:rsid w:val="00151E89"/>
    <w:rsid w:val="00151F46"/>
    <w:rsid w:val="00151F52"/>
    <w:rsid w:val="0015223C"/>
    <w:rsid w:val="00152362"/>
    <w:rsid w:val="0015247D"/>
    <w:rsid w:val="00152601"/>
    <w:rsid w:val="001527E5"/>
    <w:rsid w:val="00152BCD"/>
    <w:rsid w:val="00153027"/>
    <w:rsid w:val="001530AB"/>
    <w:rsid w:val="00153166"/>
    <w:rsid w:val="001532B4"/>
    <w:rsid w:val="00153447"/>
    <w:rsid w:val="001536EE"/>
    <w:rsid w:val="0015379D"/>
    <w:rsid w:val="0015385D"/>
    <w:rsid w:val="001538E4"/>
    <w:rsid w:val="00153BD0"/>
    <w:rsid w:val="00153D83"/>
    <w:rsid w:val="00153F8E"/>
    <w:rsid w:val="001540FE"/>
    <w:rsid w:val="001543BF"/>
    <w:rsid w:val="00154460"/>
    <w:rsid w:val="00154513"/>
    <w:rsid w:val="00154F79"/>
    <w:rsid w:val="00155025"/>
    <w:rsid w:val="00155080"/>
    <w:rsid w:val="001550FC"/>
    <w:rsid w:val="00155112"/>
    <w:rsid w:val="00155190"/>
    <w:rsid w:val="001551A6"/>
    <w:rsid w:val="0015527F"/>
    <w:rsid w:val="0015554A"/>
    <w:rsid w:val="00155628"/>
    <w:rsid w:val="0015569F"/>
    <w:rsid w:val="00155788"/>
    <w:rsid w:val="00156138"/>
    <w:rsid w:val="00156279"/>
    <w:rsid w:val="00156361"/>
    <w:rsid w:val="0015654C"/>
    <w:rsid w:val="001566D9"/>
    <w:rsid w:val="0015678E"/>
    <w:rsid w:val="00156BEC"/>
    <w:rsid w:val="00156F94"/>
    <w:rsid w:val="00157336"/>
    <w:rsid w:val="0015763E"/>
    <w:rsid w:val="0015779C"/>
    <w:rsid w:val="00157CAB"/>
    <w:rsid w:val="00157CD6"/>
    <w:rsid w:val="0016001F"/>
    <w:rsid w:val="0016019B"/>
    <w:rsid w:val="00160626"/>
    <w:rsid w:val="001606F1"/>
    <w:rsid w:val="0016074B"/>
    <w:rsid w:val="0016086B"/>
    <w:rsid w:val="00160924"/>
    <w:rsid w:val="00160AA6"/>
    <w:rsid w:val="00160AC9"/>
    <w:rsid w:val="00160C36"/>
    <w:rsid w:val="00160CA7"/>
    <w:rsid w:val="00160CAA"/>
    <w:rsid w:val="00160CFE"/>
    <w:rsid w:val="00161101"/>
    <w:rsid w:val="00161649"/>
    <w:rsid w:val="001617BD"/>
    <w:rsid w:val="00161919"/>
    <w:rsid w:val="00161A1D"/>
    <w:rsid w:val="00161A89"/>
    <w:rsid w:val="00161A9E"/>
    <w:rsid w:val="00161AD8"/>
    <w:rsid w:val="00161ADB"/>
    <w:rsid w:val="00161EB2"/>
    <w:rsid w:val="0016203E"/>
    <w:rsid w:val="0016225B"/>
    <w:rsid w:val="001625E4"/>
    <w:rsid w:val="00162775"/>
    <w:rsid w:val="00162837"/>
    <w:rsid w:val="0016297B"/>
    <w:rsid w:val="00162DAF"/>
    <w:rsid w:val="001630E6"/>
    <w:rsid w:val="00163785"/>
    <w:rsid w:val="00163B1E"/>
    <w:rsid w:val="0016463D"/>
    <w:rsid w:val="00164810"/>
    <w:rsid w:val="00164B95"/>
    <w:rsid w:val="00164CCC"/>
    <w:rsid w:val="00164E89"/>
    <w:rsid w:val="00165107"/>
    <w:rsid w:val="00165145"/>
    <w:rsid w:val="00165282"/>
    <w:rsid w:val="0016581F"/>
    <w:rsid w:val="00165A10"/>
    <w:rsid w:val="00165E00"/>
    <w:rsid w:val="00166189"/>
    <w:rsid w:val="00166468"/>
    <w:rsid w:val="00166489"/>
    <w:rsid w:val="00166865"/>
    <w:rsid w:val="0016699F"/>
    <w:rsid w:val="00166AEC"/>
    <w:rsid w:val="00167228"/>
    <w:rsid w:val="0016728D"/>
    <w:rsid w:val="0016784C"/>
    <w:rsid w:val="0016789C"/>
    <w:rsid w:val="00170046"/>
    <w:rsid w:val="00170076"/>
    <w:rsid w:val="001704C0"/>
    <w:rsid w:val="00170517"/>
    <w:rsid w:val="00170658"/>
    <w:rsid w:val="001708B5"/>
    <w:rsid w:val="00170933"/>
    <w:rsid w:val="00170A42"/>
    <w:rsid w:val="00170C0E"/>
    <w:rsid w:val="00170DDF"/>
    <w:rsid w:val="00170E05"/>
    <w:rsid w:val="00171B8C"/>
    <w:rsid w:val="00171C58"/>
    <w:rsid w:val="00171CAF"/>
    <w:rsid w:val="00171F14"/>
    <w:rsid w:val="00171F90"/>
    <w:rsid w:val="001720E0"/>
    <w:rsid w:val="001725FC"/>
    <w:rsid w:val="00172E91"/>
    <w:rsid w:val="001730CB"/>
    <w:rsid w:val="001731B1"/>
    <w:rsid w:val="00173321"/>
    <w:rsid w:val="001733C5"/>
    <w:rsid w:val="001737B6"/>
    <w:rsid w:val="00173823"/>
    <w:rsid w:val="00173840"/>
    <w:rsid w:val="00173940"/>
    <w:rsid w:val="00173EA3"/>
    <w:rsid w:val="00174099"/>
    <w:rsid w:val="00174505"/>
    <w:rsid w:val="00174684"/>
    <w:rsid w:val="00175076"/>
    <w:rsid w:val="0017557C"/>
    <w:rsid w:val="00175CBE"/>
    <w:rsid w:val="00176081"/>
    <w:rsid w:val="001760C9"/>
    <w:rsid w:val="00176267"/>
    <w:rsid w:val="001766F2"/>
    <w:rsid w:val="001769BA"/>
    <w:rsid w:val="0017738A"/>
    <w:rsid w:val="00177608"/>
    <w:rsid w:val="00177787"/>
    <w:rsid w:val="00177799"/>
    <w:rsid w:val="00177906"/>
    <w:rsid w:val="00177BCA"/>
    <w:rsid w:val="00177D36"/>
    <w:rsid w:val="001800B1"/>
    <w:rsid w:val="00180395"/>
    <w:rsid w:val="00180569"/>
    <w:rsid w:val="0018075E"/>
    <w:rsid w:val="0018080D"/>
    <w:rsid w:val="00180A4E"/>
    <w:rsid w:val="00181093"/>
    <w:rsid w:val="001811EC"/>
    <w:rsid w:val="00181316"/>
    <w:rsid w:val="00181376"/>
    <w:rsid w:val="001814F2"/>
    <w:rsid w:val="001815F3"/>
    <w:rsid w:val="00181787"/>
    <w:rsid w:val="001817E0"/>
    <w:rsid w:val="00181BAC"/>
    <w:rsid w:val="001820A9"/>
    <w:rsid w:val="001829AD"/>
    <w:rsid w:val="00182A56"/>
    <w:rsid w:val="0018353F"/>
    <w:rsid w:val="00183D1E"/>
    <w:rsid w:val="00183D3B"/>
    <w:rsid w:val="00184007"/>
    <w:rsid w:val="001844F0"/>
    <w:rsid w:val="00184A66"/>
    <w:rsid w:val="00184CF1"/>
    <w:rsid w:val="00185448"/>
    <w:rsid w:val="00185754"/>
    <w:rsid w:val="00185C24"/>
    <w:rsid w:val="00185F33"/>
    <w:rsid w:val="001861F3"/>
    <w:rsid w:val="001864E5"/>
    <w:rsid w:val="00186788"/>
    <w:rsid w:val="00186FB8"/>
    <w:rsid w:val="00187175"/>
    <w:rsid w:val="0018723C"/>
    <w:rsid w:val="001872B5"/>
    <w:rsid w:val="0018789E"/>
    <w:rsid w:val="00187C59"/>
    <w:rsid w:val="00187D12"/>
    <w:rsid w:val="00187D48"/>
    <w:rsid w:val="00187FA8"/>
    <w:rsid w:val="00190098"/>
    <w:rsid w:val="00190242"/>
    <w:rsid w:val="00190316"/>
    <w:rsid w:val="001903A3"/>
    <w:rsid w:val="00190462"/>
    <w:rsid w:val="00190502"/>
    <w:rsid w:val="0019050A"/>
    <w:rsid w:val="001906E8"/>
    <w:rsid w:val="00190C34"/>
    <w:rsid w:val="001913FF"/>
    <w:rsid w:val="001914FE"/>
    <w:rsid w:val="00191841"/>
    <w:rsid w:val="001918BC"/>
    <w:rsid w:val="00191AF7"/>
    <w:rsid w:val="0019237C"/>
    <w:rsid w:val="00192415"/>
    <w:rsid w:val="00192754"/>
    <w:rsid w:val="0019276B"/>
    <w:rsid w:val="00192CD9"/>
    <w:rsid w:val="00193099"/>
    <w:rsid w:val="001933B8"/>
    <w:rsid w:val="0019386E"/>
    <w:rsid w:val="00193ABF"/>
    <w:rsid w:val="0019455D"/>
    <w:rsid w:val="0019490B"/>
    <w:rsid w:val="00194CD2"/>
    <w:rsid w:val="001952C5"/>
    <w:rsid w:val="001953E6"/>
    <w:rsid w:val="0019571B"/>
    <w:rsid w:val="001958A1"/>
    <w:rsid w:val="00195971"/>
    <w:rsid w:val="00195BC5"/>
    <w:rsid w:val="00195C2B"/>
    <w:rsid w:val="001964B2"/>
    <w:rsid w:val="001964BD"/>
    <w:rsid w:val="001967B8"/>
    <w:rsid w:val="00196825"/>
    <w:rsid w:val="00196ADD"/>
    <w:rsid w:val="00196EBB"/>
    <w:rsid w:val="00196F3E"/>
    <w:rsid w:val="00196F7F"/>
    <w:rsid w:val="00197092"/>
    <w:rsid w:val="001972DE"/>
    <w:rsid w:val="00197343"/>
    <w:rsid w:val="00197609"/>
    <w:rsid w:val="00197849"/>
    <w:rsid w:val="001978F8"/>
    <w:rsid w:val="00197ECE"/>
    <w:rsid w:val="001A0047"/>
    <w:rsid w:val="001A063E"/>
    <w:rsid w:val="001A0843"/>
    <w:rsid w:val="001A0D3D"/>
    <w:rsid w:val="001A0E97"/>
    <w:rsid w:val="001A10A5"/>
    <w:rsid w:val="001A1253"/>
    <w:rsid w:val="001A1255"/>
    <w:rsid w:val="001A13EC"/>
    <w:rsid w:val="001A18A7"/>
    <w:rsid w:val="001A1ADD"/>
    <w:rsid w:val="001A1AEA"/>
    <w:rsid w:val="001A1E3E"/>
    <w:rsid w:val="001A202C"/>
    <w:rsid w:val="001A2494"/>
    <w:rsid w:val="001A27A8"/>
    <w:rsid w:val="001A2CE3"/>
    <w:rsid w:val="001A2E63"/>
    <w:rsid w:val="001A3137"/>
    <w:rsid w:val="001A375D"/>
    <w:rsid w:val="001A392F"/>
    <w:rsid w:val="001A396D"/>
    <w:rsid w:val="001A3C03"/>
    <w:rsid w:val="001A3C86"/>
    <w:rsid w:val="001A3DE2"/>
    <w:rsid w:val="001A3E06"/>
    <w:rsid w:val="001A3F00"/>
    <w:rsid w:val="001A3F7A"/>
    <w:rsid w:val="001A439A"/>
    <w:rsid w:val="001A43A2"/>
    <w:rsid w:val="001A46F6"/>
    <w:rsid w:val="001A47EC"/>
    <w:rsid w:val="001A50CD"/>
    <w:rsid w:val="001A51DA"/>
    <w:rsid w:val="001A5371"/>
    <w:rsid w:val="001A57B3"/>
    <w:rsid w:val="001A586C"/>
    <w:rsid w:val="001A5E94"/>
    <w:rsid w:val="001A608C"/>
    <w:rsid w:val="001A6169"/>
    <w:rsid w:val="001A622A"/>
    <w:rsid w:val="001A633F"/>
    <w:rsid w:val="001A6464"/>
    <w:rsid w:val="001A674C"/>
    <w:rsid w:val="001A67A3"/>
    <w:rsid w:val="001A6982"/>
    <w:rsid w:val="001A6BC8"/>
    <w:rsid w:val="001A6EF4"/>
    <w:rsid w:val="001A6FBA"/>
    <w:rsid w:val="001A71AC"/>
    <w:rsid w:val="001A757F"/>
    <w:rsid w:val="001A76F1"/>
    <w:rsid w:val="001A77F6"/>
    <w:rsid w:val="001A7CCA"/>
    <w:rsid w:val="001B0A5D"/>
    <w:rsid w:val="001B0B41"/>
    <w:rsid w:val="001B0E87"/>
    <w:rsid w:val="001B0EDD"/>
    <w:rsid w:val="001B0F79"/>
    <w:rsid w:val="001B1084"/>
    <w:rsid w:val="001B10DC"/>
    <w:rsid w:val="001B11B7"/>
    <w:rsid w:val="001B1373"/>
    <w:rsid w:val="001B188F"/>
    <w:rsid w:val="001B19B7"/>
    <w:rsid w:val="001B1D7E"/>
    <w:rsid w:val="001B1ECB"/>
    <w:rsid w:val="001B1F47"/>
    <w:rsid w:val="001B2105"/>
    <w:rsid w:val="001B217B"/>
    <w:rsid w:val="001B2544"/>
    <w:rsid w:val="001B2C3F"/>
    <w:rsid w:val="001B2E0A"/>
    <w:rsid w:val="001B3143"/>
    <w:rsid w:val="001B33C4"/>
    <w:rsid w:val="001B3441"/>
    <w:rsid w:val="001B3443"/>
    <w:rsid w:val="001B351F"/>
    <w:rsid w:val="001B355F"/>
    <w:rsid w:val="001B3B16"/>
    <w:rsid w:val="001B3F16"/>
    <w:rsid w:val="001B4116"/>
    <w:rsid w:val="001B4265"/>
    <w:rsid w:val="001B42D2"/>
    <w:rsid w:val="001B43EA"/>
    <w:rsid w:val="001B4765"/>
    <w:rsid w:val="001B4FCA"/>
    <w:rsid w:val="001B507D"/>
    <w:rsid w:val="001B5ABE"/>
    <w:rsid w:val="001B5DD7"/>
    <w:rsid w:val="001B5F5A"/>
    <w:rsid w:val="001B65AB"/>
    <w:rsid w:val="001B682A"/>
    <w:rsid w:val="001B6847"/>
    <w:rsid w:val="001B6A07"/>
    <w:rsid w:val="001B6AC9"/>
    <w:rsid w:val="001B6B9E"/>
    <w:rsid w:val="001B6C3E"/>
    <w:rsid w:val="001B6DED"/>
    <w:rsid w:val="001B6FA8"/>
    <w:rsid w:val="001B7A7F"/>
    <w:rsid w:val="001B7C71"/>
    <w:rsid w:val="001B7D20"/>
    <w:rsid w:val="001B7FE5"/>
    <w:rsid w:val="001C00E9"/>
    <w:rsid w:val="001C0300"/>
    <w:rsid w:val="001C061D"/>
    <w:rsid w:val="001C0656"/>
    <w:rsid w:val="001C06C2"/>
    <w:rsid w:val="001C08CE"/>
    <w:rsid w:val="001C0ADD"/>
    <w:rsid w:val="001C0CE8"/>
    <w:rsid w:val="001C0DE0"/>
    <w:rsid w:val="001C10D1"/>
    <w:rsid w:val="001C128A"/>
    <w:rsid w:val="001C13A1"/>
    <w:rsid w:val="001C14B8"/>
    <w:rsid w:val="001C188E"/>
    <w:rsid w:val="001C1B3D"/>
    <w:rsid w:val="001C1CF8"/>
    <w:rsid w:val="001C1D7E"/>
    <w:rsid w:val="001C21EA"/>
    <w:rsid w:val="001C2249"/>
    <w:rsid w:val="001C235A"/>
    <w:rsid w:val="001C23D5"/>
    <w:rsid w:val="001C255E"/>
    <w:rsid w:val="001C2D0F"/>
    <w:rsid w:val="001C2E15"/>
    <w:rsid w:val="001C30D4"/>
    <w:rsid w:val="001C3294"/>
    <w:rsid w:val="001C378B"/>
    <w:rsid w:val="001C396D"/>
    <w:rsid w:val="001C4274"/>
    <w:rsid w:val="001C45F1"/>
    <w:rsid w:val="001C4959"/>
    <w:rsid w:val="001C4C08"/>
    <w:rsid w:val="001C4D77"/>
    <w:rsid w:val="001C4D9C"/>
    <w:rsid w:val="001C4E4C"/>
    <w:rsid w:val="001C515F"/>
    <w:rsid w:val="001C51B3"/>
    <w:rsid w:val="001C545D"/>
    <w:rsid w:val="001C56C3"/>
    <w:rsid w:val="001C570D"/>
    <w:rsid w:val="001C5F58"/>
    <w:rsid w:val="001C5FF8"/>
    <w:rsid w:val="001C603C"/>
    <w:rsid w:val="001C6286"/>
    <w:rsid w:val="001C636E"/>
    <w:rsid w:val="001C64E0"/>
    <w:rsid w:val="001C6582"/>
    <w:rsid w:val="001C666D"/>
    <w:rsid w:val="001C66CA"/>
    <w:rsid w:val="001C67C0"/>
    <w:rsid w:val="001C6A51"/>
    <w:rsid w:val="001C6D8F"/>
    <w:rsid w:val="001C6E28"/>
    <w:rsid w:val="001C70A3"/>
    <w:rsid w:val="001C7227"/>
    <w:rsid w:val="001C7E44"/>
    <w:rsid w:val="001C7EFC"/>
    <w:rsid w:val="001D02E5"/>
    <w:rsid w:val="001D06DE"/>
    <w:rsid w:val="001D0961"/>
    <w:rsid w:val="001D09EE"/>
    <w:rsid w:val="001D0EF1"/>
    <w:rsid w:val="001D0F6D"/>
    <w:rsid w:val="001D0F92"/>
    <w:rsid w:val="001D164E"/>
    <w:rsid w:val="001D165F"/>
    <w:rsid w:val="001D17E6"/>
    <w:rsid w:val="001D1F08"/>
    <w:rsid w:val="001D2559"/>
    <w:rsid w:val="001D27AD"/>
    <w:rsid w:val="001D296F"/>
    <w:rsid w:val="001D2A33"/>
    <w:rsid w:val="001D35F0"/>
    <w:rsid w:val="001D3F65"/>
    <w:rsid w:val="001D436E"/>
    <w:rsid w:val="001D4645"/>
    <w:rsid w:val="001D4AF5"/>
    <w:rsid w:val="001D56B8"/>
    <w:rsid w:val="001D5874"/>
    <w:rsid w:val="001D5D63"/>
    <w:rsid w:val="001D5EFB"/>
    <w:rsid w:val="001D65B7"/>
    <w:rsid w:val="001D65B8"/>
    <w:rsid w:val="001D66DB"/>
    <w:rsid w:val="001D67E2"/>
    <w:rsid w:val="001D68A8"/>
    <w:rsid w:val="001D74D6"/>
    <w:rsid w:val="001D780F"/>
    <w:rsid w:val="001D7896"/>
    <w:rsid w:val="001D78B8"/>
    <w:rsid w:val="001E0154"/>
    <w:rsid w:val="001E0533"/>
    <w:rsid w:val="001E07CC"/>
    <w:rsid w:val="001E07FD"/>
    <w:rsid w:val="001E094A"/>
    <w:rsid w:val="001E097D"/>
    <w:rsid w:val="001E0A51"/>
    <w:rsid w:val="001E0B0A"/>
    <w:rsid w:val="001E0B25"/>
    <w:rsid w:val="001E0CBC"/>
    <w:rsid w:val="001E0EE5"/>
    <w:rsid w:val="001E1259"/>
    <w:rsid w:val="001E14E2"/>
    <w:rsid w:val="001E15FE"/>
    <w:rsid w:val="001E1780"/>
    <w:rsid w:val="001E1CC1"/>
    <w:rsid w:val="001E220C"/>
    <w:rsid w:val="001E2503"/>
    <w:rsid w:val="001E2682"/>
    <w:rsid w:val="001E2703"/>
    <w:rsid w:val="001E2879"/>
    <w:rsid w:val="001E2A77"/>
    <w:rsid w:val="001E2C00"/>
    <w:rsid w:val="001E2DCA"/>
    <w:rsid w:val="001E30E5"/>
    <w:rsid w:val="001E3205"/>
    <w:rsid w:val="001E34A0"/>
    <w:rsid w:val="001E3512"/>
    <w:rsid w:val="001E3740"/>
    <w:rsid w:val="001E3B74"/>
    <w:rsid w:val="001E3DA4"/>
    <w:rsid w:val="001E3E2E"/>
    <w:rsid w:val="001E40A9"/>
    <w:rsid w:val="001E4323"/>
    <w:rsid w:val="001E434D"/>
    <w:rsid w:val="001E4893"/>
    <w:rsid w:val="001E4B44"/>
    <w:rsid w:val="001E4CD4"/>
    <w:rsid w:val="001E4D68"/>
    <w:rsid w:val="001E4E54"/>
    <w:rsid w:val="001E51DE"/>
    <w:rsid w:val="001E51FD"/>
    <w:rsid w:val="001E5916"/>
    <w:rsid w:val="001E5A83"/>
    <w:rsid w:val="001E5C5C"/>
    <w:rsid w:val="001E5E77"/>
    <w:rsid w:val="001E603C"/>
    <w:rsid w:val="001E665C"/>
    <w:rsid w:val="001E6B5C"/>
    <w:rsid w:val="001E6EDF"/>
    <w:rsid w:val="001E7202"/>
    <w:rsid w:val="001E74D4"/>
    <w:rsid w:val="001E7987"/>
    <w:rsid w:val="001E79FD"/>
    <w:rsid w:val="001E7C7D"/>
    <w:rsid w:val="001E7D63"/>
    <w:rsid w:val="001E7D7C"/>
    <w:rsid w:val="001E7D8C"/>
    <w:rsid w:val="001E7F4D"/>
    <w:rsid w:val="001F0231"/>
    <w:rsid w:val="001F0351"/>
    <w:rsid w:val="001F0942"/>
    <w:rsid w:val="001F1299"/>
    <w:rsid w:val="001F1466"/>
    <w:rsid w:val="001F15DB"/>
    <w:rsid w:val="001F1B40"/>
    <w:rsid w:val="001F1B92"/>
    <w:rsid w:val="001F1C74"/>
    <w:rsid w:val="001F2135"/>
    <w:rsid w:val="001F21AA"/>
    <w:rsid w:val="001F2201"/>
    <w:rsid w:val="001F22BD"/>
    <w:rsid w:val="001F2681"/>
    <w:rsid w:val="001F29DC"/>
    <w:rsid w:val="001F2C40"/>
    <w:rsid w:val="001F2C80"/>
    <w:rsid w:val="001F2FB5"/>
    <w:rsid w:val="001F32A4"/>
    <w:rsid w:val="001F32E4"/>
    <w:rsid w:val="001F378A"/>
    <w:rsid w:val="001F3B18"/>
    <w:rsid w:val="001F3C7D"/>
    <w:rsid w:val="001F3D42"/>
    <w:rsid w:val="001F3F79"/>
    <w:rsid w:val="001F4027"/>
    <w:rsid w:val="001F4357"/>
    <w:rsid w:val="001F4B41"/>
    <w:rsid w:val="001F4D38"/>
    <w:rsid w:val="001F4F2A"/>
    <w:rsid w:val="001F4F39"/>
    <w:rsid w:val="001F4F3B"/>
    <w:rsid w:val="001F544E"/>
    <w:rsid w:val="001F5694"/>
    <w:rsid w:val="001F5828"/>
    <w:rsid w:val="001F5B11"/>
    <w:rsid w:val="001F5DB6"/>
    <w:rsid w:val="001F5E20"/>
    <w:rsid w:val="001F61EF"/>
    <w:rsid w:val="001F6265"/>
    <w:rsid w:val="001F64FA"/>
    <w:rsid w:val="001F6552"/>
    <w:rsid w:val="001F66F7"/>
    <w:rsid w:val="001F6841"/>
    <w:rsid w:val="001F6856"/>
    <w:rsid w:val="001F6905"/>
    <w:rsid w:val="001F6F56"/>
    <w:rsid w:val="001F7162"/>
    <w:rsid w:val="001F717F"/>
    <w:rsid w:val="001F725B"/>
    <w:rsid w:val="001F7453"/>
    <w:rsid w:val="001F75E0"/>
    <w:rsid w:val="001F7DA4"/>
    <w:rsid w:val="001F7F3F"/>
    <w:rsid w:val="002005A1"/>
    <w:rsid w:val="00200702"/>
    <w:rsid w:val="00200A58"/>
    <w:rsid w:val="00200A63"/>
    <w:rsid w:val="00200A7B"/>
    <w:rsid w:val="00200B75"/>
    <w:rsid w:val="00200C40"/>
    <w:rsid w:val="00200EE7"/>
    <w:rsid w:val="002010FF"/>
    <w:rsid w:val="00201AFB"/>
    <w:rsid w:val="00201C0F"/>
    <w:rsid w:val="00202047"/>
    <w:rsid w:val="002022A4"/>
    <w:rsid w:val="0020230B"/>
    <w:rsid w:val="00202682"/>
    <w:rsid w:val="00202B20"/>
    <w:rsid w:val="00202BB6"/>
    <w:rsid w:val="00202C34"/>
    <w:rsid w:val="00202CA8"/>
    <w:rsid w:val="00202F05"/>
    <w:rsid w:val="00203302"/>
    <w:rsid w:val="002037B6"/>
    <w:rsid w:val="00203927"/>
    <w:rsid w:val="00203B0E"/>
    <w:rsid w:val="00203B17"/>
    <w:rsid w:val="00203C01"/>
    <w:rsid w:val="00203E04"/>
    <w:rsid w:val="002040D5"/>
    <w:rsid w:val="002042F5"/>
    <w:rsid w:val="002044EC"/>
    <w:rsid w:val="00204722"/>
    <w:rsid w:val="0020475D"/>
    <w:rsid w:val="00204DF9"/>
    <w:rsid w:val="002050AD"/>
    <w:rsid w:val="0020514D"/>
    <w:rsid w:val="002055FC"/>
    <w:rsid w:val="00205701"/>
    <w:rsid w:val="002057D7"/>
    <w:rsid w:val="00205BD0"/>
    <w:rsid w:val="00205EF9"/>
    <w:rsid w:val="002060B5"/>
    <w:rsid w:val="002062A7"/>
    <w:rsid w:val="00206522"/>
    <w:rsid w:val="00206661"/>
    <w:rsid w:val="00206AE1"/>
    <w:rsid w:val="00206BFA"/>
    <w:rsid w:val="00206DEB"/>
    <w:rsid w:val="00206EA6"/>
    <w:rsid w:val="002074D4"/>
    <w:rsid w:val="002074E3"/>
    <w:rsid w:val="00207996"/>
    <w:rsid w:val="00207A02"/>
    <w:rsid w:val="00207A62"/>
    <w:rsid w:val="00207DE5"/>
    <w:rsid w:val="00210270"/>
    <w:rsid w:val="0021038F"/>
    <w:rsid w:val="00210617"/>
    <w:rsid w:val="00210799"/>
    <w:rsid w:val="002107B1"/>
    <w:rsid w:val="002107C4"/>
    <w:rsid w:val="002108A3"/>
    <w:rsid w:val="002109B2"/>
    <w:rsid w:val="002109C3"/>
    <w:rsid w:val="002109ED"/>
    <w:rsid w:val="00210CD7"/>
    <w:rsid w:val="00210CE4"/>
    <w:rsid w:val="00210ED6"/>
    <w:rsid w:val="00211312"/>
    <w:rsid w:val="00211339"/>
    <w:rsid w:val="0021139B"/>
    <w:rsid w:val="002117A8"/>
    <w:rsid w:val="00211B9F"/>
    <w:rsid w:val="00211CBD"/>
    <w:rsid w:val="00211E59"/>
    <w:rsid w:val="00211E80"/>
    <w:rsid w:val="00211F0A"/>
    <w:rsid w:val="0021219F"/>
    <w:rsid w:val="002123E5"/>
    <w:rsid w:val="0021273E"/>
    <w:rsid w:val="00212857"/>
    <w:rsid w:val="00212D1A"/>
    <w:rsid w:val="00212D7E"/>
    <w:rsid w:val="002130C2"/>
    <w:rsid w:val="00213260"/>
    <w:rsid w:val="00213311"/>
    <w:rsid w:val="002134CB"/>
    <w:rsid w:val="00213545"/>
    <w:rsid w:val="00213571"/>
    <w:rsid w:val="002135AC"/>
    <w:rsid w:val="0021393E"/>
    <w:rsid w:val="00213BE1"/>
    <w:rsid w:val="00213DB3"/>
    <w:rsid w:val="00214132"/>
    <w:rsid w:val="00214237"/>
    <w:rsid w:val="002142A4"/>
    <w:rsid w:val="0021454B"/>
    <w:rsid w:val="002145D8"/>
    <w:rsid w:val="00214857"/>
    <w:rsid w:val="00214DB1"/>
    <w:rsid w:val="00214DEC"/>
    <w:rsid w:val="0021523D"/>
    <w:rsid w:val="0021532C"/>
    <w:rsid w:val="0021578F"/>
    <w:rsid w:val="00215A27"/>
    <w:rsid w:val="00215B3F"/>
    <w:rsid w:val="00215B6A"/>
    <w:rsid w:val="0021649B"/>
    <w:rsid w:val="00216541"/>
    <w:rsid w:val="00216578"/>
    <w:rsid w:val="00216A69"/>
    <w:rsid w:val="00217285"/>
    <w:rsid w:val="00217348"/>
    <w:rsid w:val="0021783E"/>
    <w:rsid w:val="002179A2"/>
    <w:rsid w:val="00217CC3"/>
    <w:rsid w:val="00217CDD"/>
    <w:rsid w:val="00217EB9"/>
    <w:rsid w:val="00220A20"/>
    <w:rsid w:val="00220BF5"/>
    <w:rsid w:val="00220C42"/>
    <w:rsid w:val="00220D92"/>
    <w:rsid w:val="00220E8D"/>
    <w:rsid w:val="00220F13"/>
    <w:rsid w:val="00220FBA"/>
    <w:rsid w:val="002210C8"/>
    <w:rsid w:val="002215EB"/>
    <w:rsid w:val="002218FC"/>
    <w:rsid w:val="00221B15"/>
    <w:rsid w:val="00221B18"/>
    <w:rsid w:val="00221D1E"/>
    <w:rsid w:val="00221E7A"/>
    <w:rsid w:val="00221F4B"/>
    <w:rsid w:val="00221F69"/>
    <w:rsid w:val="00221FF0"/>
    <w:rsid w:val="002221D9"/>
    <w:rsid w:val="002222CC"/>
    <w:rsid w:val="00222319"/>
    <w:rsid w:val="002225AF"/>
    <w:rsid w:val="002227D5"/>
    <w:rsid w:val="00222840"/>
    <w:rsid w:val="00222CE1"/>
    <w:rsid w:val="0022304C"/>
    <w:rsid w:val="00223335"/>
    <w:rsid w:val="0022380F"/>
    <w:rsid w:val="00223B7A"/>
    <w:rsid w:val="00223D08"/>
    <w:rsid w:val="00223EE2"/>
    <w:rsid w:val="002242B7"/>
    <w:rsid w:val="002246BA"/>
    <w:rsid w:val="002249D6"/>
    <w:rsid w:val="002249F8"/>
    <w:rsid w:val="00224C07"/>
    <w:rsid w:val="00224DAB"/>
    <w:rsid w:val="00224E00"/>
    <w:rsid w:val="00224E62"/>
    <w:rsid w:val="00225484"/>
    <w:rsid w:val="002254A2"/>
    <w:rsid w:val="002254C8"/>
    <w:rsid w:val="0022577D"/>
    <w:rsid w:val="00225AA6"/>
    <w:rsid w:val="00225B5B"/>
    <w:rsid w:val="00225F43"/>
    <w:rsid w:val="00225F60"/>
    <w:rsid w:val="0022617B"/>
    <w:rsid w:val="00226232"/>
    <w:rsid w:val="00226337"/>
    <w:rsid w:val="0022638E"/>
    <w:rsid w:val="002269FC"/>
    <w:rsid w:val="00226B57"/>
    <w:rsid w:val="0022717A"/>
    <w:rsid w:val="00227312"/>
    <w:rsid w:val="0022765D"/>
    <w:rsid w:val="002276AE"/>
    <w:rsid w:val="00227796"/>
    <w:rsid w:val="002279C6"/>
    <w:rsid w:val="00227B2A"/>
    <w:rsid w:val="00227CF2"/>
    <w:rsid w:val="00227DA8"/>
    <w:rsid w:val="00227EBC"/>
    <w:rsid w:val="0023023C"/>
    <w:rsid w:val="00230364"/>
    <w:rsid w:val="0023050D"/>
    <w:rsid w:val="00230B7F"/>
    <w:rsid w:val="00230CEF"/>
    <w:rsid w:val="00230D05"/>
    <w:rsid w:val="00230EC2"/>
    <w:rsid w:val="00230F05"/>
    <w:rsid w:val="00230F42"/>
    <w:rsid w:val="00230F89"/>
    <w:rsid w:val="002310D8"/>
    <w:rsid w:val="00231281"/>
    <w:rsid w:val="0023138E"/>
    <w:rsid w:val="002314C9"/>
    <w:rsid w:val="002315E4"/>
    <w:rsid w:val="00231E2F"/>
    <w:rsid w:val="00231F9C"/>
    <w:rsid w:val="0023285C"/>
    <w:rsid w:val="00233016"/>
    <w:rsid w:val="002332AF"/>
    <w:rsid w:val="002334CB"/>
    <w:rsid w:val="002336A6"/>
    <w:rsid w:val="002336FC"/>
    <w:rsid w:val="00233957"/>
    <w:rsid w:val="00233B47"/>
    <w:rsid w:val="00233CA5"/>
    <w:rsid w:val="00234387"/>
    <w:rsid w:val="0023491B"/>
    <w:rsid w:val="00234AB8"/>
    <w:rsid w:val="00234CA3"/>
    <w:rsid w:val="00234CDD"/>
    <w:rsid w:val="0023511E"/>
    <w:rsid w:val="002352C8"/>
    <w:rsid w:val="002356EA"/>
    <w:rsid w:val="0023609B"/>
    <w:rsid w:val="002361B5"/>
    <w:rsid w:val="0023643C"/>
    <w:rsid w:val="002364EA"/>
    <w:rsid w:val="00236B69"/>
    <w:rsid w:val="00236ECB"/>
    <w:rsid w:val="00237144"/>
    <w:rsid w:val="00237320"/>
    <w:rsid w:val="00237693"/>
    <w:rsid w:val="002376B6"/>
    <w:rsid w:val="002377C1"/>
    <w:rsid w:val="00237B15"/>
    <w:rsid w:val="00237D4F"/>
    <w:rsid w:val="002402C3"/>
    <w:rsid w:val="002402FB"/>
    <w:rsid w:val="00240672"/>
    <w:rsid w:val="00240727"/>
    <w:rsid w:val="00240799"/>
    <w:rsid w:val="00240A4A"/>
    <w:rsid w:val="00240C5D"/>
    <w:rsid w:val="00240F78"/>
    <w:rsid w:val="00241048"/>
    <w:rsid w:val="00241063"/>
    <w:rsid w:val="00241409"/>
    <w:rsid w:val="00241A76"/>
    <w:rsid w:val="00241ADC"/>
    <w:rsid w:val="00241DAB"/>
    <w:rsid w:val="00241DD1"/>
    <w:rsid w:val="00241FDE"/>
    <w:rsid w:val="0024203A"/>
    <w:rsid w:val="0024226A"/>
    <w:rsid w:val="002427E9"/>
    <w:rsid w:val="00242F34"/>
    <w:rsid w:val="00242F8D"/>
    <w:rsid w:val="0024356E"/>
    <w:rsid w:val="002438A3"/>
    <w:rsid w:val="00243A34"/>
    <w:rsid w:val="00243AC7"/>
    <w:rsid w:val="00243AFE"/>
    <w:rsid w:val="00243AFF"/>
    <w:rsid w:val="00243BEE"/>
    <w:rsid w:val="00243E14"/>
    <w:rsid w:val="0024420B"/>
    <w:rsid w:val="00245071"/>
    <w:rsid w:val="002453EA"/>
    <w:rsid w:val="0024543D"/>
    <w:rsid w:val="00245455"/>
    <w:rsid w:val="00245709"/>
    <w:rsid w:val="002458EB"/>
    <w:rsid w:val="00245E72"/>
    <w:rsid w:val="00245FA6"/>
    <w:rsid w:val="00246032"/>
    <w:rsid w:val="00246295"/>
    <w:rsid w:val="00246595"/>
    <w:rsid w:val="002465F5"/>
    <w:rsid w:val="00246697"/>
    <w:rsid w:val="00246964"/>
    <w:rsid w:val="00246AF4"/>
    <w:rsid w:val="00246C15"/>
    <w:rsid w:val="00246E00"/>
    <w:rsid w:val="00246E01"/>
    <w:rsid w:val="002472DA"/>
    <w:rsid w:val="00247354"/>
    <w:rsid w:val="002474E7"/>
    <w:rsid w:val="0024761C"/>
    <w:rsid w:val="0024764C"/>
    <w:rsid w:val="00247718"/>
    <w:rsid w:val="0024780B"/>
    <w:rsid w:val="00247864"/>
    <w:rsid w:val="00247AE2"/>
    <w:rsid w:val="00247BEA"/>
    <w:rsid w:val="00247CAE"/>
    <w:rsid w:val="00247F93"/>
    <w:rsid w:val="0025014A"/>
    <w:rsid w:val="0025019E"/>
    <w:rsid w:val="00250491"/>
    <w:rsid w:val="00250537"/>
    <w:rsid w:val="00250573"/>
    <w:rsid w:val="002508DC"/>
    <w:rsid w:val="0025095A"/>
    <w:rsid w:val="00250A5F"/>
    <w:rsid w:val="00250C43"/>
    <w:rsid w:val="002512B2"/>
    <w:rsid w:val="0025134F"/>
    <w:rsid w:val="002513E6"/>
    <w:rsid w:val="00251606"/>
    <w:rsid w:val="00251BE0"/>
    <w:rsid w:val="002521F6"/>
    <w:rsid w:val="0025264A"/>
    <w:rsid w:val="00252740"/>
    <w:rsid w:val="00252EEF"/>
    <w:rsid w:val="00253180"/>
    <w:rsid w:val="00253827"/>
    <w:rsid w:val="00253A3C"/>
    <w:rsid w:val="00253B4A"/>
    <w:rsid w:val="00253BAA"/>
    <w:rsid w:val="00253CDB"/>
    <w:rsid w:val="00253D51"/>
    <w:rsid w:val="00253EDE"/>
    <w:rsid w:val="002545A8"/>
    <w:rsid w:val="002545B8"/>
    <w:rsid w:val="002547F3"/>
    <w:rsid w:val="00254D11"/>
    <w:rsid w:val="00254DD9"/>
    <w:rsid w:val="0025510B"/>
    <w:rsid w:val="00255370"/>
    <w:rsid w:val="00255576"/>
    <w:rsid w:val="002556A8"/>
    <w:rsid w:val="00255AD8"/>
    <w:rsid w:val="00255CAF"/>
    <w:rsid w:val="0025633C"/>
    <w:rsid w:val="002565F9"/>
    <w:rsid w:val="00256623"/>
    <w:rsid w:val="002567AE"/>
    <w:rsid w:val="00256D14"/>
    <w:rsid w:val="00256D4B"/>
    <w:rsid w:val="00256EBB"/>
    <w:rsid w:val="00256F0E"/>
    <w:rsid w:val="002571A9"/>
    <w:rsid w:val="00257475"/>
    <w:rsid w:val="00257BF3"/>
    <w:rsid w:val="00257CD4"/>
    <w:rsid w:val="00257E0B"/>
    <w:rsid w:val="00257EB6"/>
    <w:rsid w:val="002601FC"/>
    <w:rsid w:val="002605C2"/>
    <w:rsid w:val="002606AA"/>
    <w:rsid w:val="002606E8"/>
    <w:rsid w:val="00260C7A"/>
    <w:rsid w:val="00260E95"/>
    <w:rsid w:val="00261029"/>
    <w:rsid w:val="0026157D"/>
    <w:rsid w:val="00261713"/>
    <w:rsid w:val="00261B93"/>
    <w:rsid w:val="00262150"/>
    <w:rsid w:val="00262263"/>
    <w:rsid w:val="002625CD"/>
    <w:rsid w:val="00262959"/>
    <w:rsid w:val="002629AB"/>
    <w:rsid w:val="00262A6F"/>
    <w:rsid w:val="00262EB4"/>
    <w:rsid w:val="00263344"/>
    <w:rsid w:val="00263539"/>
    <w:rsid w:val="00263667"/>
    <w:rsid w:val="00263759"/>
    <w:rsid w:val="00263E4C"/>
    <w:rsid w:val="00263F72"/>
    <w:rsid w:val="00264ADA"/>
    <w:rsid w:val="00264B65"/>
    <w:rsid w:val="00264BAC"/>
    <w:rsid w:val="00264CF8"/>
    <w:rsid w:val="00264D1D"/>
    <w:rsid w:val="00264F0D"/>
    <w:rsid w:val="0026515D"/>
    <w:rsid w:val="002653A5"/>
    <w:rsid w:val="002653E8"/>
    <w:rsid w:val="002656AC"/>
    <w:rsid w:val="00265876"/>
    <w:rsid w:val="00265A19"/>
    <w:rsid w:val="00265DAB"/>
    <w:rsid w:val="00265FA7"/>
    <w:rsid w:val="00265FCA"/>
    <w:rsid w:val="00266A32"/>
    <w:rsid w:val="0026700D"/>
    <w:rsid w:val="00267759"/>
    <w:rsid w:val="00267D40"/>
    <w:rsid w:val="00270440"/>
    <w:rsid w:val="002705E4"/>
    <w:rsid w:val="002709E5"/>
    <w:rsid w:val="00270BEF"/>
    <w:rsid w:val="00270CA2"/>
    <w:rsid w:val="00270DF0"/>
    <w:rsid w:val="00271EDE"/>
    <w:rsid w:val="00272181"/>
    <w:rsid w:val="00272186"/>
    <w:rsid w:val="002721F3"/>
    <w:rsid w:val="0027220E"/>
    <w:rsid w:val="0027244F"/>
    <w:rsid w:val="002726D6"/>
    <w:rsid w:val="002726EF"/>
    <w:rsid w:val="002727BA"/>
    <w:rsid w:val="002727BD"/>
    <w:rsid w:val="00272F18"/>
    <w:rsid w:val="002732F8"/>
    <w:rsid w:val="00273A52"/>
    <w:rsid w:val="00273EAD"/>
    <w:rsid w:val="00273ECD"/>
    <w:rsid w:val="0027408D"/>
    <w:rsid w:val="00274632"/>
    <w:rsid w:val="0027492C"/>
    <w:rsid w:val="002750AB"/>
    <w:rsid w:val="00275298"/>
    <w:rsid w:val="002752A8"/>
    <w:rsid w:val="0027530C"/>
    <w:rsid w:val="002753A0"/>
    <w:rsid w:val="00275974"/>
    <w:rsid w:val="00275C1E"/>
    <w:rsid w:val="00275D2D"/>
    <w:rsid w:val="00275E1F"/>
    <w:rsid w:val="002761BF"/>
    <w:rsid w:val="00276265"/>
    <w:rsid w:val="00276477"/>
    <w:rsid w:val="00276502"/>
    <w:rsid w:val="00276F74"/>
    <w:rsid w:val="00277076"/>
    <w:rsid w:val="0027717D"/>
    <w:rsid w:val="00277270"/>
    <w:rsid w:val="00277271"/>
    <w:rsid w:val="00277486"/>
    <w:rsid w:val="0027754C"/>
    <w:rsid w:val="00277561"/>
    <w:rsid w:val="002778D3"/>
    <w:rsid w:val="0027792D"/>
    <w:rsid w:val="002779B0"/>
    <w:rsid w:val="00277CD4"/>
    <w:rsid w:val="00277E2B"/>
    <w:rsid w:val="00277E82"/>
    <w:rsid w:val="0028005A"/>
    <w:rsid w:val="0028005E"/>
    <w:rsid w:val="0028036D"/>
    <w:rsid w:val="002804B8"/>
    <w:rsid w:val="00280F09"/>
    <w:rsid w:val="00281176"/>
    <w:rsid w:val="002814C1"/>
    <w:rsid w:val="002814EF"/>
    <w:rsid w:val="00281638"/>
    <w:rsid w:val="00281772"/>
    <w:rsid w:val="0028181A"/>
    <w:rsid w:val="0028198C"/>
    <w:rsid w:val="00281C78"/>
    <w:rsid w:val="00282617"/>
    <w:rsid w:val="0028269C"/>
    <w:rsid w:val="002827A8"/>
    <w:rsid w:val="002829AA"/>
    <w:rsid w:val="00282C82"/>
    <w:rsid w:val="00282CCE"/>
    <w:rsid w:val="00282EDE"/>
    <w:rsid w:val="00282F8F"/>
    <w:rsid w:val="00283004"/>
    <w:rsid w:val="0028313A"/>
    <w:rsid w:val="00283931"/>
    <w:rsid w:val="00283B02"/>
    <w:rsid w:val="00283D3F"/>
    <w:rsid w:val="00283E52"/>
    <w:rsid w:val="00284177"/>
    <w:rsid w:val="002842F0"/>
    <w:rsid w:val="0028438D"/>
    <w:rsid w:val="00284422"/>
    <w:rsid w:val="00284678"/>
    <w:rsid w:val="0028468A"/>
    <w:rsid w:val="00284AC8"/>
    <w:rsid w:val="00284B86"/>
    <w:rsid w:val="00284F09"/>
    <w:rsid w:val="0028508A"/>
    <w:rsid w:val="00285178"/>
    <w:rsid w:val="002856DC"/>
    <w:rsid w:val="00285F4A"/>
    <w:rsid w:val="00285FE3"/>
    <w:rsid w:val="002860F7"/>
    <w:rsid w:val="002861A4"/>
    <w:rsid w:val="00286398"/>
    <w:rsid w:val="002863E7"/>
    <w:rsid w:val="00286401"/>
    <w:rsid w:val="002867E2"/>
    <w:rsid w:val="00286BD9"/>
    <w:rsid w:val="00286C3A"/>
    <w:rsid w:val="00286DE6"/>
    <w:rsid w:val="00286F70"/>
    <w:rsid w:val="00286FAD"/>
    <w:rsid w:val="002870ED"/>
    <w:rsid w:val="00287153"/>
    <w:rsid w:val="00287456"/>
    <w:rsid w:val="002874EA"/>
    <w:rsid w:val="0028768A"/>
    <w:rsid w:val="00287D69"/>
    <w:rsid w:val="00287E3E"/>
    <w:rsid w:val="00290654"/>
    <w:rsid w:val="002909C2"/>
    <w:rsid w:val="00290DD2"/>
    <w:rsid w:val="002910A7"/>
    <w:rsid w:val="002915A1"/>
    <w:rsid w:val="00291859"/>
    <w:rsid w:val="00291949"/>
    <w:rsid w:val="00291D40"/>
    <w:rsid w:val="00291F86"/>
    <w:rsid w:val="002920DC"/>
    <w:rsid w:val="00292289"/>
    <w:rsid w:val="0029287E"/>
    <w:rsid w:val="0029293B"/>
    <w:rsid w:val="002929F3"/>
    <w:rsid w:val="00292E21"/>
    <w:rsid w:val="00292EBA"/>
    <w:rsid w:val="00292F6B"/>
    <w:rsid w:val="00293678"/>
    <w:rsid w:val="0029388E"/>
    <w:rsid w:val="00293BC8"/>
    <w:rsid w:val="00293DD1"/>
    <w:rsid w:val="002948A0"/>
    <w:rsid w:val="002949FF"/>
    <w:rsid w:val="00294B81"/>
    <w:rsid w:val="00294D6C"/>
    <w:rsid w:val="00294F29"/>
    <w:rsid w:val="00294FD8"/>
    <w:rsid w:val="0029536E"/>
    <w:rsid w:val="0029549F"/>
    <w:rsid w:val="00295546"/>
    <w:rsid w:val="0029555D"/>
    <w:rsid w:val="0029559B"/>
    <w:rsid w:val="002955DD"/>
    <w:rsid w:val="0029568C"/>
    <w:rsid w:val="002957FC"/>
    <w:rsid w:val="00295F3A"/>
    <w:rsid w:val="00296077"/>
    <w:rsid w:val="002960B0"/>
    <w:rsid w:val="00296243"/>
    <w:rsid w:val="002966E9"/>
    <w:rsid w:val="002966F4"/>
    <w:rsid w:val="00296738"/>
    <w:rsid w:val="00297050"/>
    <w:rsid w:val="002971B0"/>
    <w:rsid w:val="002974C8"/>
    <w:rsid w:val="00297684"/>
    <w:rsid w:val="002977C5"/>
    <w:rsid w:val="0029782C"/>
    <w:rsid w:val="00297C77"/>
    <w:rsid w:val="00297EBE"/>
    <w:rsid w:val="00297FEC"/>
    <w:rsid w:val="002A01DB"/>
    <w:rsid w:val="002A0254"/>
    <w:rsid w:val="002A0821"/>
    <w:rsid w:val="002A0E0E"/>
    <w:rsid w:val="002A0E70"/>
    <w:rsid w:val="002A11BF"/>
    <w:rsid w:val="002A11C4"/>
    <w:rsid w:val="002A11F1"/>
    <w:rsid w:val="002A11F8"/>
    <w:rsid w:val="002A1354"/>
    <w:rsid w:val="002A1721"/>
    <w:rsid w:val="002A1994"/>
    <w:rsid w:val="002A1A15"/>
    <w:rsid w:val="002A1A57"/>
    <w:rsid w:val="002A1BDE"/>
    <w:rsid w:val="002A1D77"/>
    <w:rsid w:val="002A21A8"/>
    <w:rsid w:val="002A2219"/>
    <w:rsid w:val="002A22AB"/>
    <w:rsid w:val="002A24C1"/>
    <w:rsid w:val="002A25D5"/>
    <w:rsid w:val="002A26B8"/>
    <w:rsid w:val="002A2784"/>
    <w:rsid w:val="002A2B8B"/>
    <w:rsid w:val="002A2C61"/>
    <w:rsid w:val="002A2C85"/>
    <w:rsid w:val="002A2CDE"/>
    <w:rsid w:val="002A2E8C"/>
    <w:rsid w:val="002A2FB4"/>
    <w:rsid w:val="002A3231"/>
    <w:rsid w:val="002A32D1"/>
    <w:rsid w:val="002A3469"/>
    <w:rsid w:val="002A35D0"/>
    <w:rsid w:val="002A391D"/>
    <w:rsid w:val="002A3A74"/>
    <w:rsid w:val="002A3C90"/>
    <w:rsid w:val="002A409D"/>
    <w:rsid w:val="002A424F"/>
    <w:rsid w:val="002A4879"/>
    <w:rsid w:val="002A4B02"/>
    <w:rsid w:val="002A4CD3"/>
    <w:rsid w:val="002A4DBD"/>
    <w:rsid w:val="002A4E59"/>
    <w:rsid w:val="002A5089"/>
    <w:rsid w:val="002A52F7"/>
    <w:rsid w:val="002A5319"/>
    <w:rsid w:val="002A551D"/>
    <w:rsid w:val="002A5525"/>
    <w:rsid w:val="002A5557"/>
    <w:rsid w:val="002A57C5"/>
    <w:rsid w:val="002A5B21"/>
    <w:rsid w:val="002A5DBB"/>
    <w:rsid w:val="002A5DEE"/>
    <w:rsid w:val="002A60D7"/>
    <w:rsid w:val="002A61EE"/>
    <w:rsid w:val="002A6499"/>
    <w:rsid w:val="002A65FB"/>
    <w:rsid w:val="002A68DE"/>
    <w:rsid w:val="002A6C6C"/>
    <w:rsid w:val="002A6CEE"/>
    <w:rsid w:val="002A6D82"/>
    <w:rsid w:val="002A6E60"/>
    <w:rsid w:val="002A72CD"/>
    <w:rsid w:val="002A73C5"/>
    <w:rsid w:val="002A7AA2"/>
    <w:rsid w:val="002A7BC0"/>
    <w:rsid w:val="002B05B9"/>
    <w:rsid w:val="002B0B69"/>
    <w:rsid w:val="002B0E8E"/>
    <w:rsid w:val="002B1A91"/>
    <w:rsid w:val="002B1BBE"/>
    <w:rsid w:val="002B1BFE"/>
    <w:rsid w:val="002B1CF6"/>
    <w:rsid w:val="002B1D67"/>
    <w:rsid w:val="002B225B"/>
    <w:rsid w:val="002B2485"/>
    <w:rsid w:val="002B24C1"/>
    <w:rsid w:val="002B265A"/>
    <w:rsid w:val="002B2734"/>
    <w:rsid w:val="002B297A"/>
    <w:rsid w:val="002B2DAF"/>
    <w:rsid w:val="002B3633"/>
    <w:rsid w:val="002B388D"/>
    <w:rsid w:val="002B3B0F"/>
    <w:rsid w:val="002B3C25"/>
    <w:rsid w:val="002B44D6"/>
    <w:rsid w:val="002B47F7"/>
    <w:rsid w:val="002B4A83"/>
    <w:rsid w:val="002B4D22"/>
    <w:rsid w:val="002B50E9"/>
    <w:rsid w:val="002B55D1"/>
    <w:rsid w:val="002B5DFF"/>
    <w:rsid w:val="002B6258"/>
    <w:rsid w:val="002B6410"/>
    <w:rsid w:val="002B67EC"/>
    <w:rsid w:val="002B6CFF"/>
    <w:rsid w:val="002B7309"/>
    <w:rsid w:val="002B7368"/>
    <w:rsid w:val="002B74CD"/>
    <w:rsid w:val="002B7677"/>
    <w:rsid w:val="002B7BB2"/>
    <w:rsid w:val="002B7BF8"/>
    <w:rsid w:val="002B7C98"/>
    <w:rsid w:val="002B7EEB"/>
    <w:rsid w:val="002C02AE"/>
    <w:rsid w:val="002C062F"/>
    <w:rsid w:val="002C0946"/>
    <w:rsid w:val="002C0DD1"/>
    <w:rsid w:val="002C0DD3"/>
    <w:rsid w:val="002C1196"/>
    <w:rsid w:val="002C16B6"/>
    <w:rsid w:val="002C16DA"/>
    <w:rsid w:val="002C1C98"/>
    <w:rsid w:val="002C1DE4"/>
    <w:rsid w:val="002C1E50"/>
    <w:rsid w:val="002C23FA"/>
    <w:rsid w:val="002C26FC"/>
    <w:rsid w:val="002C29F2"/>
    <w:rsid w:val="002C2C14"/>
    <w:rsid w:val="002C2DCD"/>
    <w:rsid w:val="002C32BE"/>
    <w:rsid w:val="002C383D"/>
    <w:rsid w:val="002C3FEC"/>
    <w:rsid w:val="002C4054"/>
    <w:rsid w:val="002C44AE"/>
    <w:rsid w:val="002C4504"/>
    <w:rsid w:val="002C451F"/>
    <w:rsid w:val="002C4767"/>
    <w:rsid w:val="002C47BD"/>
    <w:rsid w:val="002C480D"/>
    <w:rsid w:val="002C4857"/>
    <w:rsid w:val="002C4AC0"/>
    <w:rsid w:val="002C4ADB"/>
    <w:rsid w:val="002C4B43"/>
    <w:rsid w:val="002C4C8E"/>
    <w:rsid w:val="002C4D15"/>
    <w:rsid w:val="002C4E4E"/>
    <w:rsid w:val="002C4E54"/>
    <w:rsid w:val="002C4F71"/>
    <w:rsid w:val="002C4FE5"/>
    <w:rsid w:val="002C502E"/>
    <w:rsid w:val="002C5532"/>
    <w:rsid w:val="002C5579"/>
    <w:rsid w:val="002C57F6"/>
    <w:rsid w:val="002C595E"/>
    <w:rsid w:val="002C6055"/>
    <w:rsid w:val="002C6249"/>
    <w:rsid w:val="002C64DA"/>
    <w:rsid w:val="002C6794"/>
    <w:rsid w:val="002C6DEA"/>
    <w:rsid w:val="002C6EC9"/>
    <w:rsid w:val="002C7451"/>
    <w:rsid w:val="002C7576"/>
    <w:rsid w:val="002C7831"/>
    <w:rsid w:val="002C7861"/>
    <w:rsid w:val="002C7CD9"/>
    <w:rsid w:val="002C7CF9"/>
    <w:rsid w:val="002D0678"/>
    <w:rsid w:val="002D07F8"/>
    <w:rsid w:val="002D0994"/>
    <w:rsid w:val="002D0A25"/>
    <w:rsid w:val="002D0B28"/>
    <w:rsid w:val="002D0BAA"/>
    <w:rsid w:val="002D0C03"/>
    <w:rsid w:val="002D0E97"/>
    <w:rsid w:val="002D0F64"/>
    <w:rsid w:val="002D106D"/>
    <w:rsid w:val="002D1BC7"/>
    <w:rsid w:val="002D1E4C"/>
    <w:rsid w:val="002D21D6"/>
    <w:rsid w:val="002D2235"/>
    <w:rsid w:val="002D23F2"/>
    <w:rsid w:val="002D252A"/>
    <w:rsid w:val="002D292F"/>
    <w:rsid w:val="002D293B"/>
    <w:rsid w:val="002D2CE9"/>
    <w:rsid w:val="002D2CED"/>
    <w:rsid w:val="002D2F1F"/>
    <w:rsid w:val="002D2FBF"/>
    <w:rsid w:val="002D3754"/>
    <w:rsid w:val="002D380F"/>
    <w:rsid w:val="002D3AA9"/>
    <w:rsid w:val="002D3F25"/>
    <w:rsid w:val="002D45EB"/>
    <w:rsid w:val="002D46C1"/>
    <w:rsid w:val="002D4714"/>
    <w:rsid w:val="002D472F"/>
    <w:rsid w:val="002D4774"/>
    <w:rsid w:val="002D478F"/>
    <w:rsid w:val="002D48F0"/>
    <w:rsid w:val="002D49D0"/>
    <w:rsid w:val="002D53A4"/>
    <w:rsid w:val="002D589C"/>
    <w:rsid w:val="002D58EB"/>
    <w:rsid w:val="002D5988"/>
    <w:rsid w:val="002D5C0E"/>
    <w:rsid w:val="002D5D65"/>
    <w:rsid w:val="002D649E"/>
    <w:rsid w:val="002D69FC"/>
    <w:rsid w:val="002D6B2B"/>
    <w:rsid w:val="002D6EA6"/>
    <w:rsid w:val="002D717F"/>
    <w:rsid w:val="002D71AC"/>
    <w:rsid w:val="002D7364"/>
    <w:rsid w:val="002D7E1A"/>
    <w:rsid w:val="002D7E79"/>
    <w:rsid w:val="002E005E"/>
    <w:rsid w:val="002E0199"/>
    <w:rsid w:val="002E0309"/>
    <w:rsid w:val="002E031E"/>
    <w:rsid w:val="002E0324"/>
    <w:rsid w:val="002E0500"/>
    <w:rsid w:val="002E0CE3"/>
    <w:rsid w:val="002E0CEC"/>
    <w:rsid w:val="002E10E1"/>
    <w:rsid w:val="002E136E"/>
    <w:rsid w:val="002E156D"/>
    <w:rsid w:val="002E16C4"/>
    <w:rsid w:val="002E1860"/>
    <w:rsid w:val="002E19E8"/>
    <w:rsid w:val="002E1AFF"/>
    <w:rsid w:val="002E1C06"/>
    <w:rsid w:val="002E1CE6"/>
    <w:rsid w:val="002E1E87"/>
    <w:rsid w:val="002E215B"/>
    <w:rsid w:val="002E2507"/>
    <w:rsid w:val="002E25A2"/>
    <w:rsid w:val="002E274B"/>
    <w:rsid w:val="002E27C7"/>
    <w:rsid w:val="002E27DE"/>
    <w:rsid w:val="002E2C44"/>
    <w:rsid w:val="002E2E59"/>
    <w:rsid w:val="002E2F1E"/>
    <w:rsid w:val="002E3040"/>
    <w:rsid w:val="002E33D1"/>
    <w:rsid w:val="002E362C"/>
    <w:rsid w:val="002E36F2"/>
    <w:rsid w:val="002E3840"/>
    <w:rsid w:val="002E385B"/>
    <w:rsid w:val="002E397E"/>
    <w:rsid w:val="002E39DF"/>
    <w:rsid w:val="002E3E87"/>
    <w:rsid w:val="002E400C"/>
    <w:rsid w:val="002E41C7"/>
    <w:rsid w:val="002E4371"/>
    <w:rsid w:val="002E4493"/>
    <w:rsid w:val="002E46D2"/>
    <w:rsid w:val="002E4A36"/>
    <w:rsid w:val="002E4F99"/>
    <w:rsid w:val="002E5509"/>
    <w:rsid w:val="002E550D"/>
    <w:rsid w:val="002E55AE"/>
    <w:rsid w:val="002E585E"/>
    <w:rsid w:val="002E5963"/>
    <w:rsid w:val="002E5DA8"/>
    <w:rsid w:val="002E5E9B"/>
    <w:rsid w:val="002E5F20"/>
    <w:rsid w:val="002E63AF"/>
    <w:rsid w:val="002E645F"/>
    <w:rsid w:val="002E669B"/>
    <w:rsid w:val="002E68B4"/>
    <w:rsid w:val="002E68F0"/>
    <w:rsid w:val="002E6AA1"/>
    <w:rsid w:val="002E6B3D"/>
    <w:rsid w:val="002E6BCD"/>
    <w:rsid w:val="002E6FEB"/>
    <w:rsid w:val="002E7128"/>
    <w:rsid w:val="002E71D4"/>
    <w:rsid w:val="002E7463"/>
    <w:rsid w:val="002E7493"/>
    <w:rsid w:val="002E786B"/>
    <w:rsid w:val="002E7ADF"/>
    <w:rsid w:val="002E7D4C"/>
    <w:rsid w:val="002E7DF3"/>
    <w:rsid w:val="002F03B1"/>
    <w:rsid w:val="002F06EA"/>
    <w:rsid w:val="002F0B20"/>
    <w:rsid w:val="002F0C4B"/>
    <w:rsid w:val="002F0FCD"/>
    <w:rsid w:val="002F136F"/>
    <w:rsid w:val="002F1660"/>
    <w:rsid w:val="002F192E"/>
    <w:rsid w:val="002F196E"/>
    <w:rsid w:val="002F25A2"/>
    <w:rsid w:val="002F2E98"/>
    <w:rsid w:val="002F2EF4"/>
    <w:rsid w:val="002F2F08"/>
    <w:rsid w:val="002F3211"/>
    <w:rsid w:val="002F3551"/>
    <w:rsid w:val="002F38A5"/>
    <w:rsid w:val="002F3AE3"/>
    <w:rsid w:val="002F3D76"/>
    <w:rsid w:val="002F3FFB"/>
    <w:rsid w:val="002F418B"/>
    <w:rsid w:val="002F432B"/>
    <w:rsid w:val="002F47C5"/>
    <w:rsid w:val="002F47D1"/>
    <w:rsid w:val="002F49BF"/>
    <w:rsid w:val="002F4A79"/>
    <w:rsid w:val="002F4BE8"/>
    <w:rsid w:val="002F52A8"/>
    <w:rsid w:val="002F5555"/>
    <w:rsid w:val="002F5670"/>
    <w:rsid w:val="002F5903"/>
    <w:rsid w:val="002F5B10"/>
    <w:rsid w:val="002F5B98"/>
    <w:rsid w:val="002F5D11"/>
    <w:rsid w:val="002F5FB7"/>
    <w:rsid w:val="002F6261"/>
    <w:rsid w:val="002F63D9"/>
    <w:rsid w:val="002F6632"/>
    <w:rsid w:val="002F6814"/>
    <w:rsid w:val="002F6CC2"/>
    <w:rsid w:val="002F6CC5"/>
    <w:rsid w:val="002F6DE4"/>
    <w:rsid w:val="002F6DE5"/>
    <w:rsid w:val="002F6FF3"/>
    <w:rsid w:val="002F71A0"/>
    <w:rsid w:val="002F7383"/>
    <w:rsid w:val="002F7767"/>
    <w:rsid w:val="002F7849"/>
    <w:rsid w:val="002F7BEE"/>
    <w:rsid w:val="002F7CA4"/>
    <w:rsid w:val="00300005"/>
    <w:rsid w:val="003004C4"/>
    <w:rsid w:val="0030078B"/>
    <w:rsid w:val="00300E67"/>
    <w:rsid w:val="00300F6E"/>
    <w:rsid w:val="00301001"/>
    <w:rsid w:val="00301606"/>
    <w:rsid w:val="0030172D"/>
    <w:rsid w:val="0030175E"/>
    <w:rsid w:val="00301863"/>
    <w:rsid w:val="00301E18"/>
    <w:rsid w:val="0030223D"/>
    <w:rsid w:val="003022C5"/>
    <w:rsid w:val="0030230F"/>
    <w:rsid w:val="003027E1"/>
    <w:rsid w:val="003029A6"/>
    <w:rsid w:val="00302A28"/>
    <w:rsid w:val="00302A88"/>
    <w:rsid w:val="00302B04"/>
    <w:rsid w:val="00302FC5"/>
    <w:rsid w:val="00303071"/>
    <w:rsid w:val="003030CB"/>
    <w:rsid w:val="003037EE"/>
    <w:rsid w:val="00303AAE"/>
    <w:rsid w:val="00303E8A"/>
    <w:rsid w:val="00304059"/>
    <w:rsid w:val="003043C9"/>
    <w:rsid w:val="00304770"/>
    <w:rsid w:val="0030477A"/>
    <w:rsid w:val="00304985"/>
    <w:rsid w:val="00304B7B"/>
    <w:rsid w:val="00304C5D"/>
    <w:rsid w:val="00305034"/>
    <w:rsid w:val="00305595"/>
    <w:rsid w:val="0030562A"/>
    <w:rsid w:val="00305846"/>
    <w:rsid w:val="003058E9"/>
    <w:rsid w:val="00305922"/>
    <w:rsid w:val="00305AE3"/>
    <w:rsid w:val="00305DF4"/>
    <w:rsid w:val="00305E0F"/>
    <w:rsid w:val="00305EF2"/>
    <w:rsid w:val="003063B6"/>
    <w:rsid w:val="0030660D"/>
    <w:rsid w:val="0030667C"/>
    <w:rsid w:val="0030677C"/>
    <w:rsid w:val="0030692C"/>
    <w:rsid w:val="0030694E"/>
    <w:rsid w:val="00306996"/>
    <w:rsid w:val="003069D9"/>
    <w:rsid w:val="00306DBF"/>
    <w:rsid w:val="00306EAC"/>
    <w:rsid w:val="00306F27"/>
    <w:rsid w:val="003075EC"/>
    <w:rsid w:val="0030774C"/>
    <w:rsid w:val="0030786C"/>
    <w:rsid w:val="003078EE"/>
    <w:rsid w:val="00307A75"/>
    <w:rsid w:val="00307B27"/>
    <w:rsid w:val="00307D0D"/>
    <w:rsid w:val="00307D9B"/>
    <w:rsid w:val="00307FFA"/>
    <w:rsid w:val="003101AF"/>
    <w:rsid w:val="00310499"/>
    <w:rsid w:val="003106E5"/>
    <w:rsid w:val="00310C85"/>
    <w:rsid w:val="00310DD4"/>
    <w:rsid w:val="00310DE3"/>
    <w:rsid w:val="00310EA3"/>
    <w:rsid w:val="00310F61"/>
    <w:rsid w:val="0031182A"/>
    <w:rsid w:val="00311A79"/>
    <w:rsid w:val="00311B10"/>
    <w:rsid w:val="00311DE9"/>
    <w:rsid w:val="00311EBB"/>
    <w:rsid w:val="00311F19"/>
    <w:rsid w:val="00312388"/>
    <w:rsid w:val="003124AF"/>
    <w:rsid w:val="00312518"/>
    <w:rsid w:val="003125E0"/>
    <w:rsid w:val="00313783"/>
    <w:rsid w:val="00313870"/>
    <w:rsid w:val="00313C5E"/>
    <w:rsid w:val="00313E24"/>
    <w:rsid w:val="00314139"/>
    <w:rsid w:val="003146EF"/>
    <w:rsid w:val="00314940"/>
    <w:rsid w:val="00314A04"/>
    <w:rsid w:val="00315012"/>
    <w:rsid w:val="00315210"/>
    <w:rsid w:val="00315282"/>
    <w:rsid w:val="003152CA"/>
    <w:rsid w:val="00315454"/>
    <w:rsid w:val="003154AB"/>
    <w:rsid w:val="003155F7"/>
    <w:rsid w:val="003157C0"/>
    <w:rsid w:val="0031584F"/>
    <w:rsid w:val="00315A49"/>
    <w:rsid w:val="00315EF5"/>
    <w:rsid w:val="00316294"/>
    <w:rsid w:val="00316343"/>
    <w:rsid w:val="00316572"/>
    <w:rsid w:val="003168A6"/>
    <w:rsid w:val="00316B38"/>
    <w:rsid w:val="00316D3C"/>
    <w:rsid w:val="00316F55"/>
    <w:rsid w:val="00317116"/>
    <w:rsid w:val="003171E5"/>
    <w:rsid w:val="00317263"/>
    <w:rsid w:val="00317479"/>
    <w:rsid w:val="0031769F"/>
    <w:rsid w:val="00317B84"/>
    <w:rsid w:val="00317C56"/>
    <w:rsid w:val="00317DE6"/>
    <w:rsid w:val="003200D7"/>
    <w:rsid w:val="0032034A"/>
    <w:rsid w:val="003203CB"/>
    <w:rsid w:val="00320470"/>
    <w:rsid w:val="00320631"/>
    <w:rsid w:val="00320935"/>
    <w:rsid w:val="00320A55"/>
    <w:rsid w:val="00320ECC"/>
    <w:rsid w:val="00320FB7"/>
    <w:rsid w:val="00321442"/>
    <w:rsid w:val="0032192E"/>
    <w:rsid w:val="00321A84"/>
    <w:rsid w:val="00321ABE"/>
    <w:rsid w:val="0032209C"/>
    <w:rsid w:val="00322633"/>
    <w:rsid w:val="00322B95"/>
    <w:rsid w:val="00322C26"/>
    <w:rsid w:val="00322DCE"/>
    <w:rsid w:val="0032343B"/>
    <w:rsid w:val="003236B4"/>
    <w:rsid w:val="00323C69"/>
    <w:rsid w:val="00323C75"/>
    <w:rsid w:val="0032404B"/>
    <w:rsid w:val="003240A9"/>
    <w:rsid w:val="003245B5"/>
    <w:rsid w:val="00324A13"/>
    <w:rsid w:val="00324D2F"/>
    <w:rsid w:val="00324E49"/>
    <w:rsid w:val="0032520E"/>
    <w:rsid w:val="003255ED"/>
    <w:rsid w:val="00325DDB"/>
    <w:rsid w:val="00325EB0"/>
    <w:rsid w:val="00326539"/>
    <w:rsid w:val="00326B0C"/>
    <w:rsid w:val="00326BBF"/>
    <w:rsid w:val="00326C41"/>
    <w:rsid w:val="00326C84"/>
    <w:rsid w:val="00326FE3"/>
    <w:rsid w:val="00327147"/>
    <w:rsid w:val="003271EB"/>
    <w:rsid w:val="003271F7"/>
    <w:rsid w:val="00327222"/>
    <w:rsid w:val="00327323"/>
    <w:rsid w:val="0032744A"/>
    <w:rsid w:val="0032752B"/>
    <w:rsid w:val="0032762F"/>
    <w:rsid w:val="0032770B"/>
    <w:rsid w:val="0032773A"/>
    <w:rsid w:val="00327A4C"/>
    <w:rsid w:val="00327B0D"/>
    <w:rsid w:val="00327B76"/>
    <w:rsid w:val="00327B7C"/>
    <w:rsid w:val="003301C6"/>
    <w:rsid w:val="0033031F"/>
    <w:rsid w:val="00330B73"/>
    <w:rsid w:val="00330CED"/>
    <w:rsid w:val="00331146"/>
    <w:rsid w:val="00331490"/>
    <w:rsid w:val="003319D2"/>
    <w:rsid w:val="00332621"/>
    <w:rsid w:val="003326BA"/>
    <w:rsid w:val="003326BB"/>
    <w:rsid w:val="003326F5"/>
    <w:rsid w:val="00332847"/>
    <w:rsid w:val="00332895"/>
    <w:rsid w:val="00332B08"/>
    <w:rsid w:val="00332B8B"/>
    <w:rsid w:val="00332FC9"/>
    <w:rsid w:val="00332FCF"/>
    <w:rsid w:val="00333488"/>
    <w:rsid w:val="0033386D"/>
    <w:rsid w:val="003339F9"/>
    <w:rsid w:val="00333BBB"/>
    <w:rsid w:val="00333F52"/>
    <w:rsid w:val="00334DCC"/>
    <w:rsid w:val="003350C6"/>
    <w:rsid w:val="00335145"/>
    <w:rsid w:val="003351EE"/>
    <w:rsid w:val="003352B3"/>
    <w:rsid w:val="00335444"/>
    <w:rsid w:val="00335481"/>
    <w:rsid w:val="0033552E"/>
    <w:rsid w:val="00335765"/>
    <w:rsid w:val="003358DC"/>
    <w:rsid w:val="00335947"/>
    <w:rsid w:val="00335CBC"/>
    <w:rsid w:val="00335DE3"/>
    <w:rsid w:val="00335FBE"/>
    <w:rsid w:val="00335FC0"/>
    <w:rsid w:val="0033604A"/>
    <w:rsid w:val="00336332"/>
    <w:rsid w:val="00336377"/>
    <w:rsid w:val="00336407"/>
    <w:rsid w:val="0033655E"/>
    <w:rsid w:val="003365E1"/>
    <w:rsid w:val="0033671D"/>
    <w:rsid w:val="00336770"/>
    <w:rsid w:val="0033677C"/>
    <w:rsid w:val="003373F3"/>
    <w:rsid w:val="003379D0"/>
    <w:rsid w:val="0034004C"/>
    <w:rsid w:val="003401DF"/>
    <w:rsid w:val="00340389"/>
    <w:rsid w:val="00340460"/>
    <w:rsid w:val="00340B22"/>
    <w:rsid w:val="00340F26"/>
    <w:rsid w:val="0034160A"/>
    <w:rsid w:val="00341657"/>
    <w:rsid w:val="003419E8"/>
    <w:rsid w:val="00341B86"/>
    <w:rsid w:val="00341C85"/>
    <w:rsid w:val="00342249"/>
    <w:rsid w:val="0034243D"/>
    <w:rsid w:val="003424FB"/>
    <w:rsid w:val="0034252D"/>
    <w:rsid w:val="003425A0"/>
    <w:rsid w:val="00342634"/>
    <w:rsid w:val="0034287A"/>
    <w:rsid w:val="0034296A"/>
    <w:rsid w:val="003429FB"/>
    <w:rsid w:val="0034307C"/>
    <w:rsid w:val="003436FA"/>
    <w:rsid w:val="0034375D"/>
    <w:rsid w:val="00343A31"/>
    <w:rsid w:val="00343F1F"/>
    <w:rsid w:val="003440AA"/>
    <w:rsid w:val="003440EB"/>
    <w:rsid w:val="0034421A"/>
    <w:rsid w:val="0034435B"/>
    <w:rsid w:val="00344797"/>
    <w:rsid w:val="00344C9A"/>
    <w:rsid w:val="00344FCC"/>
    <w:rsid w:val="00345031"/>
    <w:rsid w:val="0034510E"/>
    <w:rsid w:val="00345525"/>
    <w:rsid w:val="00345938"/>
    <w:rsid w:val="00345947"/>
    <w:rsid w:val="00345AE4"/>
    <w:rsid w:val="00345D3B"/>
    <w:rsid w:val="00345F5D"/>
    <w:rsid w:val="0034623A"/>
    <w:rsid w:val="00346481"/>
    <w:rsid w:val="00346868"/>
    <w:rsid w:val="00346931"/>
    <w:rsid w:val="00346AE2"/>
    <w:rsid w:val="00346BBF"/>
    <w:rsid w:val="00346E97"/>
    <w:rsid w:val="00347154"/>
    <w:rsid w:val="0034717B"/>
    <w:rsid w:val="0034733A"/>
    <w:rsid w:val="003477ED"/>
    <w:rsid w:val="00350047"/>
    <w:rsid w:val="00350077"/>
    <w:rsid w:val="003500DD"/>
    <w:rsid w:val="003501D4"/>
    <w:rsid w:val="0035038A"/>
    <w:rsid w:val="0035058F"/>
    <w:rsid w:val="00350663"/>
    <w:rsid w:val="003506F2"/>
    <w:rsid w:val="00350851"/>
    <w:rsid w:val="003508BA"/>
    <w:rsid w:val="003511F7"/>
    <w:rsid w:val="0035125E"/>
    <w:rsid w:val="00351304"/>
    <w:rsid w:val="003514A7"/>
    <w:rsid w:val="003517E4"/>
    <w:rsid w:val="0035182D"/>
    <w:rsid w:val="003518F1"/>
    <w:rsid w:val="00351B02"/>
    <w:rsid w:val="00351DC6"/>
    <w:rsid w:val="00351E84"/>
    <w:rsid w:val="0035203E"/>
    <w:rsid w:val="00352179"/>
    <w:rsid w:val="0035241D"/>
    <w:rsid w:val="00352959"/>
    <w:rsid w:val="003529CC"/>
    <w:rsid w:val="00352AAD"/>
    <w:rsid w:val="0035301C"/>
    <w:rsid w:val="00353205"/>
    <w:rsid w:val="003533D5"/>
    <w:rsid w:val="00353618"/>
    <w:rsid w:val="003538B8"/>
    <w:rsid w:val="0035464C"/>
    <w:rsid w:val="003546B2"/>
    <w:rsid w:val="00354749"/>
    <w:rsid w:val="00354A3F"/>
    <w:rsid w:val="00354C70"/>
    <w:rsid w:val="00354C94"/>
    <w:rsid w:val="00354EE1"/>
    <w:rsid w:val="0035546E"/>
    <w:rsid w:val="0035557B"/>
    <w:rsid w:val="0035571A"/>
    <w:rsid w:val="00355725"/>
    <w:rsid w:val="0035575B"/>
    <w:rsid w:val="0035599E"/>
    <w:rsid w:val="003561AC"/>
    <w:rsid w:val="0035645F"/>
    <w:rsid w:val="0035689F"/>
    <w:rsid w:val="00356961"/>
    <w:rsid w:val="00356CAA"/>
    <w:rsid w:val="00356D6C"/>
    <w:rsid w:val="003574C2"/>
    <w:rsid w:val="00357747"/>
    <w:rsid w:val="0035775B"/>
    <w:rsid w:val="00357B47"/>
    <w:rsid w:val="00357CAE"/>
    <w:rsid w:val="00357D67"/>
    <w:rsid w:val="00357DF1"/>
    <w:rsid w:val="00357E25"/>
    <w:rsid w:val="00357EA9"/>
    <w:rsid w:val="00357F4C"/>
    <w:rsid w:val="0036011A"/>
    <w:rsid w:val="00360452"/>
    <w:rsid w:val="00360488"/>
    <w:rsid w:val="003604FF"/>
    <w:rsid w:val="0036071C"/>
    <w:rsid w:val="00360B7C"/>
    <w:rsid w:val="00360D51"/>
    <w:rsid w:val="00360D8B"/>
    <w:rsid w:val="00360EEF"/>
    <w:rsid w:val="003610D9"/>
    <w:rsid w:val="0036148E"/>
    <w:rsid w:val="00361553"/>
    <w:rsid w:val="00361725"/>
    <w:rsid w:val="00361C1A"/>
    <w:rsid w:val="0036207E"/>
    <w:rsid w:val="003620A5"/>
    <w:rsid w:val="0036223E"/>
    <w:rsid w:val="00362CA7"/>
    <w:rsid w:val="00362D8E"/>
    <w:rsid w:val="00362DCD"/>
    <w:rsid w:val="0036310D"/>
    <w:rsid w:val="00363894"/>
    <w:rsid w:val="00363910"/>
    <w:rsid w:val="00363938"/>
    <w:rsid w:val="003639F0"/>
    <w:rsid w:val="00363A91"/>
    <w:rsid w:val="00363BE5"/>
    <w:rsid w:val="00363C10"/>
    <w:rsid w:val="00363DA5"/>
    <w:rsid w:val="00363E39"/>
    <w:rsid w:val="00363E87"/>
    <w:rsid w:val="00363EF7"/>
    <w:rsid w:val="00364CB5"/>
    <w:rsid w:val="00364DD9"/>
    <w:rsid w:val="00364DDB"/>
    <w:rsid w:val="00364E1C"/>
    <w:rsid w:val="00364EA3"/>
    <w:rsid w:val="00364EC3"/>
    <w:rsid w:val="003652FA"/>
    <w:rsid w:val="00365592"/>
    <w:rsid w:val="00365750"/>
    <w:rsid w:val="00365A55"/>
    <w:rsid w:val="00365FDE"/>
    <w:rsid w:val="0036650B"/>
    <w:rsid w:val="003666E1"/>
    <w:rsid w:val="00366C31"/>
    <w:rsid w:val="003676B9"/>
    <w:rsid w:val="00370152"/>
    <w:rsid w:val="0037017E"/>
    <w:rsid w:val="00370790"/>
    <w:rsid w:val="00370954"/>
    <w:rsid w:val="00370AF2"/>
    <w:rsid w:val="00370C11"/>
    <w:rsid w:val="00370DBC"/>
    <w:rsid w:val="00371122"/>
    <w:rsid w:val="00371588"/>
    <w:rsid w:val="0037190F"/>
    <w:rsid w:val="00371E6E"/>
    <w:rsid w:val="00371F3C"/>
    <w:rsid w:val="00372079"/>
    <w:rsid w:val="003722A8"/>
    <w:rsid w:val="00372336"/>
    <w:rsid w:val="003726BC"/>
    <w:rsid w:val="003726C9"/>
    <w:rsid w:val="003729F9"/>
    <w:rsid w:val="00372EDD"/>
    <w:rsid w:val="00372FD6"/>
    <w:rsid w:val="0037333B"/>
    <w:rsid w:val="0037336E"/>
    <w:rsid w:val="00373CE4"/>
    <w:rsid w:val="00373D58"/>
    <w:rsid w:val="00373DCD"/>
    <w:rsid w:val="00373ED8"/>
    <w:rsid w:val="00374604"/>
    <w:rsid w:val="00374D54"/>
    <w:rsid w:val="0037500D"/>
    <w:rsid w:val="0037584A"/>
    <w:rsid w:val="00375913"/>
    <w:rsid w:val="00375EE3"/>
    <w:rsid w:val="00376179"/>
    <w:rsid w:val="0037627D"/>
    <w:rsid w:val="003762A0"/>
    <w:rsid w:val="0037632A"/>
    <w:rsid w:val="00376537"/>
    <w:rsid w:val="00376643"/>
    <w:rsid w:val="003766DD"/>
    <w:rsid w:val="00376C44"/>
    <w:rsid w:val="0037731E"/>
    <w:rsid w:val="0037731F"/>
    <w:rsid w:val="0037770F"/>
    <w:rsid w:val="00377875"/>
    <w:rsid w:val="00377A31"/>
    <w:rsid w:val="00377A4C"/>
    <w:rsid w:val="00377B7C"/>
    <w:rsid w:val="00377E78"/>
    <w:rsid w:val="00377F68"/>
    <w:rsid w:val="00380108"/>
    <w:rsid w:val="00380488"/>
    <w:rsid w:val="00380BDE"/>
    <w:rsid w:val="00380E73"/>
    <w:rsid w:val="00381134"/>
    <w:rsid w:val="00381762"/>
    <w:rsid w:val="00381933"/>
    <w:rsid w:val="00381A6A"/>
    <w:rsid w:val="00381B4E"/>
    <w:rsid w:val="00381C8C"/>
    <w:rsid w:val="00381EE8"/>
    <w:rsid w:val="00381FCD"/>
    <w:rsid w:val="00382099"/>
    <w:rsid w:val="003824E9"/>
    <w:rsid w:val="0038258E"/>
    <w:rsid w:val="00382795"/>
    <w:rsid w:val="00382935"/>
    <w:rsid w:val="00382C3B"/>
    <w:rsid w:val="00382D0B"/>
    <w:rsid w:val="00382DD3"/>
    <w:rsid w:val="00383208"/>
    <w:rsid w:val="0038323E"/>
    <w:rsid w:val="00383296"/>
    <w:rsid w:val="00383342"/>
    <w:rsid w:val="0038360E"/>
    <w:rsid w:val="003837DF"/>
    <w:rsid w:val="003839ED"/>
    <w:rsid w:val="00383C55"/>
    <w:rsid w:val="00383DE4"/>
    <w:rsid w:val="003841D8"/>
    <w:rsid w:val="003842D3"/>
    <w:rsid w:val="003843A1"/>
    <w:rsid w:val="0038453D"/>
    <w:rsid w:val="003847E2"/>
    <w:rsid w:val="00384863"/>
    <w:rsid w:val="00384A02"/>
    <w:rsid w:val="00384BBD"/>
    <w:rsid w:val="00384D2D"/>
    <w:rsid w:val="00384DB7"/>
    <w:rsid w:val="00384EF4"/>
    <w:rsid w:val="0038517C"/>
    <w:rsid w:val="00385181"/>
    <w:rsid w:val="00385294"/>
    <w:rsid w:val="003854B0"/>
    <w:rsid w:val="00386062"/>
    <w:rsid w:val="00386566"/>
    <w:rsid w:val="003866DC"/>
    <w:rsid w:val="0038676C"/>
    <w:rsid w:val="0038678A"/>
    <w:rsid w:val="00386AD1"/>
    <w:rsid w:val="00386B93"/>
    <w:rsid w:val="00386C1D"/>
    <w:rsid w:val="0038718E"/>
    <w:rsid w:val="00387595"/>
    <w:rsid w:val="003876CF"/>
    <w:rsid w:val="003877BD"/>
    <w:rsid w:val="00387892"/>
    <w:rsid w:val="00387989"/>
    <w:rsid w:val="00387AF1"/>
    <w:rsid w:val="00387CC6"/>
    <w:rsid w:val="00387CFE"/>
    <w:rsid w:val="00387F2F"/>
    <w:rsid w:val="00387FB8"/>
    <w:rsid w:val="00390042"/>
    <w:rsid w:val="0039040F"/>
    <w:rsid w:val="003905D2"/>
    <w:rsid w:val="00390700"/>
    <w:rsid w:val="00390888"/>
    <w:rsid w:val="003908F8"/>
    <w:rsid w:val="003908F9"/>
    <w:rsid w:val="00390A72"/>
    <w:rsid w:val="00390B27"/>
    <w:rsid w:val="00390E15"/>
    <w:rsid w:val="00390F63"/>
    <w:rsid w:val="00390FAB"/>
    <w:rsid w:val="003912CA"/>
    <w:rsid w:val="0039137F"/>
    <w:rsid w:val="0039195F"/>
    <w:rsid w:val="00391DAD"/>
    <w:rsid w:val="0039203D"/>
    <w:rsid w:val="00392178"/>
    <w:rsid w:val="0039239E"/>
    <w:rsid w:val="00392967"/>
    <w:rsid w:val="00392B57"/>
    <w:rsid w:val="00392FD6"/>
    <w:rsid w:val="0039382B"/>
    <w:rsid w:val="00393C16"/>
    <w:rsid w:val="00393C59"/>
    <w:rsid w:val="00393CA0"/>
    <w:rsid w:val="00393E84"/>
    <w:rsid w:val="00394275"/>
    <w:rsid w:val="003943FD"/>
    <w:rsid w:val="00394922"/>
    <w:rsid w:val="00394EF7"/>
    <w:rsid w:val="003953BE"/>
    <w:rsid w:val="00395782"/>
    <w:rsid w:val="00395A7A"/>
    <w:rsid w:val="00395CB0"/>
    <w:rsid w:val="0039650A"/>
    <w:rsid w:val="00396545"/>
    <w:rsid w:val="00396679"/>
    <w:rsid w:val="00396A75"/>
    <w:rsid w:val="00396A8F"/>
    <w:rsid w:val="003971D2"/>
    <w:rsid w:val="0039742E"/>
    <w:rsid w:val="00397938"/>
    <w:rsid w:val="00397A26"/>
    <w:rsid w:val="00397A83"/>
    <w:rsid w:val="00397C53"/>
    <w:rsid w:val="003A0098"/>
    <w:rsid w:val="003A0160"/>
    <w:rsid w:val="003A03C6"/>
    <w:rsid w:val="003A0762"/>
    <w:rsid w:val="003A08D5"/>
    <w:rsid w:val="003A0E6C"/>
    <w:rsid w:val="003A10DC"/>
    <w:rsid w:val="003A1251"/>
    <w:rsid w:val="003A141A"/>
    <w:rsid w:val="003A167E"/>
    <w:rsid w:val="003A1690"/>
    <w:rsid w:val="003A16E0"/>
    <w:rsid w:val="003A16E9"/>
    <w:rsid w:val="003A1717"/>
    <w:rsid w:val="003A1A3A"/>
    <w:rsid w:val="003A1D56"/>
    <w:rsid w:val="003A1EBB"/>
    <w:rsid w:val="003A1F1D"/>
    <w:rsid w:val="003A1F8A"/>
    <w:rsid w:val="003A2003"/>
    <w:rsid w:val="003A2526"/>
    <w:rsid w:val="003A2527"/>
    <w:rsid w:val="003A255A"/>
    <w:rsid w:val="003A2683"/>
    <w:rsid w:val="003A2705"/>
    <w:rsid w:val="003A2961"/>
    <w:rsid w:val="003A2E88"/>
    <w:rsid w:val="003A32FB"/>
    <w:rsid w:val="003A33AD"/>
    <w:rsid w:val="003A363D"/>
    <w:rsid w:val="003A36C4"/>
    <w:rsid w:val="003A377C"/>
    <w:rsid w:val="003A388B"/>
    <w:rsid w:val="003A3936"/>
    <w:rsid w:val="003A3ACE"/>
    <w:rsid w:val="003A3EE2"/>
    <w:rsid w:val="003A3F27"/>
    <w:rsid w:val="003A418A"/>
    <w:rsid w:val="003A419B"/>
    <w:rsid w:val="003A46F2"/>
    <w:rsid w:val="003A4815"/>
    <w:rsid w:val="003A4C09"/>
    <w:rsid w:val="003A4CBF"/>
    <w:rsid w:val="003A4DAF"/>
    <w:rsid w:val="003A4F71"/>
    <w:rsid w:val="003A559F"/>
    <w:rsid w:val="003A5633"/>
    <w:rsid w:val="003A5F71"/>
    <w:rsid w:val="003A61BB"/>
    <w:rsid w:val="003A64A8"/>
    <w:rsid w:val="003A66EC"/>
    <w:rsid w:val="003A67E9"/>
    <w:rsid w:val="003A6A62"/>
    <w:rsid w:val="003A6CCD"/>
    <w:rsid w:val="003A6DB1"/>
    <w:rsid w:val="003A6ECD"/>
    <w:rsid w:val="003A70E1"/>
    <w:rsid w:val="003A77CA"/>
    <w:rsid w:val="003A78EE"/>
    <w:rsid w:val="003A79BF"/>
    <w:rsid w:val="003B0049"/>
    <w:rsid w:val="003B02EC"/>
    <w:rsid w:val="003B069A"/>
    <w:rsid w:val="003B0950"/>
    <w:rsid w:val="003B0E2F"/>
    <w:rsid w:val="003B1256"/>
    <w:rsid w:val="003B148A"/>
    <w:rsid w:val="003B14F2"/>
    <w:rsid w:val="003B1771"/>
    <w:rsid w:val="003B17E1"/>
    <w:rsid w:val="003B193F"/>
    <w:rsid w:val="003B1CAF"/>
    <w:rsid w:val="003B21F1"/>
    <w:rsid w:val="003B2505"/>
    <w:rsid w:val="003B2716"/>
    <w:rsid w:val="003B28D0"/>
    <w:rsid w:val="003B2996"/>
    <w:rsid w:val="003B2D3F"/>
    <w:rsid w:val="003B2DC7"/>
    <w:rsid w:val="003B310E"/>
    <w:rsid w:val="003B37AD"/>
    <w:rsid w:val="003B3AFB"/>
    <w:rsid w:val="003B3B2E"/>
    <w:rsid w:val="003B3E8B"/>
    <w:rsid w:val="003B3EF2"/>
    <w:rsid w:val="003B3F0F"/>
    <w:rsid w:val="003B4667"/>
    <w:rsid w:val="003B4D79"/>
    <w:rsid w:val="003B4ED3"/>
    <w:rsid w:val="003B52E4"/>
    <w:rsid w:val="003B597D"/>
    <w:rsid w:val="003B5981"/>
    <w:rsid w:val="003B5B24"/>
    <w:rsid w:val="003B5CEB"/>
    <w:rsid w:val="003B5F31"/>
    <w:rsid w:val="003B5F70"/>
    <w:rsid w:val="003B605E"/>
    <w:rsid w:val="003B63E5"/>
    <w:rsid w:val="003B66AF"/>
    <w:rsid w:val="003B6B65"/>
    <w:rsid w:val="003B6D2A"/>
    <w:rsid w:val="003B7382"/>
    <w:rsid w:val="003B7C1A"/>
    <w:rsid w:val="003B7CC6"/>
    <w:rsid w:val="003B7E2A"/>
    <w:rsid w:val="003B7F91"/>
    <w:rsid w:val="003C01EE"/>
    <w:rsid w:val="003C02D9"/>
    <w:rsid w:val="003C02F9"/>
    <w:rsid w:val="003C04F5"/>
    <w:rsid w:val="003C0674"/>
    <w:rsid w:val="003C0909"/>
    <w:rsid w:val="003C0A98"/>
    <w:rsid w:val="003C0B06"/>
    <w:rsid w:val="003C0FD0"/>
    <w:rsid w:val="003C10A1"/>
    <w:rsid w:val="003C13B0"/>
    <w:rsid w:val="003C1587"/>
    <w:rsid w:val="003C1B01"/>
    <w:rsid w:val="003C1CD5"/>
    <w:rsid w:val="003C1DFE"/>
    <w:rsid w:val="003C1E55"/>
    <w:rsid w:val="003C27AC"/>
    <w:rsid w:val="003C283D"/>
    <w:rsid w:val="003C2A30"/>
    <w:rsid w:val="003C2E8C"/>
    <w:rsid w:val="003C2FBE"/>
    <w:rsid w:val="003C3013"/>
    <w:rsid w:val="003C31CE"/>
    <w:rsid w:val="003C31D8"/>
    <w:rsid w:val="003C3497"/>
    <w:rsid w:val="003C34FF"/>
    <w:rsid w:val="003C362E"/>
    <w:rsid w:val="003C392A"/>
    <w:rsid w:val="003C3C72"/>
    <w:rsid w:val="003C3D00"/>
    <w:rsid w:val="003C42B1"/>
    <w:rsid w:val="003C42B7"/>
    <w:rsid w:val="003C4C69"/>
    <w:rsid w:val="003C4CE1"/>
    <w:rsid w:val="003C5117"/>
    <w:rsid w:val="003C5863"/>
    <w:rsid w:val="003C5DC1"/>
    <w:rsid w:val="003C5E1C"/>
    <w:rsid w:val="003C60CB"/>
    <w:rsid w:val="003C62CB"/>
    <w:rsid w:val="003C64A9"/>
    <w:rsid w:val="003C6532"/>
    <w:rsid w:val="003C65BB"/>
    <w:rsid w:val="003C693F"/>
    <w:rsid w:val="003C6A22"/>
    <w:rsid w:val="003C6DAF"/>
    <w:rsid w:val="003C70CA"/>
    <w:rsid w:val="003C70E5"/>
    <w:rsid w:val="003C7449"/>
    <w:rsid w:val="003C7976"/>
    <w:rsid w:val="003C79EC"/>
    <w:rsid w:val="003C7CDD"/>
    <w:rsid w:val="003C7D9D"/>
    <w:rsid w:val="003D045B"/>
    <w:rsid w:val="003D06FA"/>
    <w:rsid w:val="003D072F"/>
    <w:rsid w:val="003D0777"/>
    <w:rsid w:val="003D09A1"/>
    <w:rsid w:val="003D09A3"/>
    <w:rsid w:val="003D0A80"/>
    <w:rsid w:val="003D0AA2"/>
    <w:rsid w:val="003D0ADF"/>
    <w:rsid w:val="003D0F7E"/>
    <w:rsid w:val="003D1183"/>
    <w:rsid w:val="003D1648"/>
    <w:rsid w:val="003D17F9"/>
    <w:rsid w:val="003D185E"/>
    <w:rsid w:val="003D1A55"/>
    <w:rsid w:val="003D2569"/>
    <w:rsid w:val="003D261A"/>
    <w:rsid w:val="003D27AC"/>
    <w:rsid w:val="003D283E"/>
    <w:rsid w:val="003D2B1E"/>
    <w:rsid w:val="003D2BE4"/>
    <w:rsid w:val="003D2D19"/>
    <w:rsid w:val="003D2D76"/>
    <w:rsid w:val="003D2DF4"/>
    <w:rsid w:val="003D2E3A"/>
    <w:rsid w:val="003D365B"/>
    <w:rsid w:val="003D3781"/>
    <w:rsid w:val="003D3798"/>
    <w:rsid w:val="003D382A"/>
    <w:rsid w:val="003D3A0E"/>
    <w:rsid w:val="003D3C4F"/>
    <w:rsid w:val="003D3C51"/>
    <w:rsid w:val="003D3C67"/>
    <w:rsid w:val="003D3CEC"/>
    <w:rsid w:val="003D3D89"/>
    <w:rsid w:val="003D400A"/>
    <w:rsid w:val="003D42ED"/>
    <w:rsid w:val="003D4796"/>
    <w:rsid w:val="003D4A6E"/>
    <w:rsid w:val="003D4DA4"/>
    <w:rsid w:val="003D4FE2"/>
    <w:rsid w:val="003D51CA"/>
    <w:rsid w:val="003D528C"/>
    <w:rsid w:val="003D543B"/>
    <w:rsid w:val="003D5688"/>
    <w:rsid w:val="003D5B23"/>
    <w:rsid w:val="003D5B45"/>
    <w:rsid w:val="003D5C01"/>
    <w:rsid w:val="003D5E2B"/>
    <w:rsid w:val="003D6030"/>
    <w:rsid w:val="003D6153"/>
    <w:rsid w:val="003D61D1"/>
    <w:rsid w:val="003D64F3"/>
    <w:rsid w:val="003D6564"/>
    <w:rsid w:val="003D6579"/>
    <w:rsid w:val="003D69B4"/>
    <w:rsid w:val="003D6A24"/>
    <w:rsid w:val="003D6EE4"/>
    <w:rsid w:val="003D7182"/>
    <w:rsid w:val="003D71D6"/>
    <w:rsid w:val="003D737D"/>
    <w:rsid w:val="003D784B"/>
    <w:rsid w:val="003D7B56"/>
    <w:rsid w:val="003D7C55"/>
    <w:rsid w:val="003D7F60"/>
    <w:rsid w:val="003E008C"/>
    <w:rsid w:val="003E0155"/>
    <w:rsid w:val="003E0280"/>
    <w:rsid w:val="003E039C"/>
    <w:rsid w:val="003E06AC"/>
    <w:rsid w:val="003E07E0"/>
    <w:rsid w:val="003E0D38"/>
    <w:rsid w:val="003E0E00"/>
    <w:rsid w:val="003E0E8D"/>
    <w:rsid w:val="003E1322"/>
    <w:rsid w:val="003E1381"/>
    <w:rsid w:val="003E1457"/>
    <w:rsid w:val="003E1732"/>
    <w:rsid w:val="003E1FFF"/>
    <w:rsid w:val="003E211C"/>
    <w:rsid w:val="003E2591"/>
    <w:rsid w:val="003E2685"/>
    <w:rsid w:val="003E26F4"/>
    <w:rsid w:val="003E26FF"/>
    <w:rsid w:val="003E2BF9"/>
    <w:rsid w:val="003E2E63"/>
    <w:rsid w:val="003E2ECB"/>
    <w:rsid w:val="003E2F6D"/>
    <w:rsid w:val="003E3271"/>
    <w:rsid w:val="003E33CB"/>
    <w:rsid w:val="003E393E"/>
    <w:rsid w:val="003E3A18"/>
    <w:rsid w:val="003E3AB2"/>
    <w:rsid w:val="003E3B7A"/>
    <w:rsid w:val="003E3E51"/>
    <w:rsid w:val="003E44B4"/>
    <w:rsid w:val="003E46C8"/>
    <w:rsid w:val="003E49FC"/>
    <w:rsid w:val="003E4CBE"/>
    <w:rsid w:val="003E4CC9"/>
    <w:rsid w:val="003E4E55"/>
    <w:rsid w:val="003E50BE"/>
    <w:rsid w:val="003E5568"/>
    <w:rsid w:val="003E6133"/>
    <w:rsid w:val="003E61A4"/>
    <w:rsid w:val="003E65D8"/>
    <w:rsid w:val="003E66E6"/>
    <w:rsid w:val="003E686A"/>
    <w:rsid w:val="003E6C55"/>
    <w:rsid w:val="003E6F51"/>
    <w:rsid w:val="003E721C"/>
    <w:rsid w:val="003E73A2"/>
    <w:rsid w:val="003E74F1"/>
    <w:rsid w:val="003E7551"/>
    <w:rsid w:val="003E75DB"/>
    <w:rsid w:val="003E791A"/>
    <w:rsid w:val="003E7DDF"/>
    <w:rsid w:val="003F00D6"/>
    <w:rsid w:val="003F02D6"/>
    <w:rsid w:val="003F035B"/>
    <w:rsid w:val="003F0555"/>
    <w:rsid w:val="003F06B1"/>
    <w:rsid w:val="003F096D"/>
    <w:rsid w:val="003F0BD4"/>
    <w:rsid w:val="003F0D9D"/>
    <w:rsid w:val="003F13D5"/>
    <w:rsid w:val="003F1A2D"/>
    <w:rsid w:val="003F1D03"/>
    <w:rsid w:val="003F216F"/>
    <w:rsid w:val="003F24CB"/>
    <w:rsid w:val="003F24E1"/>
    <w:rsid w:val="003F2A2B"/>
    <w:rsid w:val="003F2A58"/>
    <w:rsid w:val="003F2B27"/>
    <w:rsid w:val="003F2EDB"/>
    <w:rsid w:val="003F31DE"/>
    <w:rsid w:val="003F3532"/>
    <w:rsid w:val="003F39CE"/>
    <w:rsid w:val="003F39D1"/>
    <w:rsid w:val="003F3A05"/>
    <w:rsid w:val="003F3C91"/>
    <w:rsid w:val="003F3D6B"/>
    <w:rsid w:val="003F4031"/>
    <w:rsid w:val="003F40BA"/>
    <w:rsid w:val="003F4560"/>
    <w:rsid w:val="003F4B3C"/>
    <w:rsid w:val="003F504F"/>
    <w:rsid w:val="003F5A0A"/>
    <w:rsid w:val="003F5A9B"/>
    <w:rsid w:val="003F5B04"/>
    <w:rsid w:val="003F637F"/>
    <w:rsid w:val="003F642E"/>
    <w:rsid w:val="003F64C0"/>
    <w:rsid w:val="003F657B"/>
    <w:rsid w:val="003F657F"/>
    <w:rsid w:val="003F660C"/>
    <w:rsid w:val="003F6B4F"/>
    <w:rsid w:val="003F6E75"/>
    <w:rsid w:val="003F712B"/>
    <w:rsid w:val="003F72DD"/>
    <w:rsid w:val="003F7549"/>
    <w:rsid w:val="003F7613"/>
    <w:rsid w:val="003F7655"/>
    <w:rsid w:val="004002EC"/>
    <w:rsid w:val="00400799"/>
    <w:rsid w:val="00400836"/>
    <w:rsid w:val="004008CB"/>
    <w:rsid w:val="0040154C"/>
    <w:rsid w:val="004015EC"/>
    <w:rsid w:val="004015F1"/>
    <w:rsid w:val="00401717"/>
    <w:rsid w:val="0040189E"/>
    <w:rsid w:val="00401D65"/>
    <w:rsid w:val="00401F65"/>
    <w:rsid w:val="00401F8F"/>
    <w:rsid w:val="00402172"/>
    <w:rsid w:val="004022F5"/>
    <w:rsid w:val="00402485"/>
    <w:rsid w:val="00402662"/>
    <w:rsid w:val="00402767"/>
    <w:rsid w:val="0040280F"/>
    <w:rsid w:val="00402949"/>
    <w:rsid w:val="004029E1"/>
    <w:rsid w:val="00402AC0"/>
    <w:rsid w:val="00402B1D"/>
    <w:rsid w:val="00402BC6"/>
    <w:rsid w:val="00402BEB"/>
    <w:rsid w:val="00402D3A"/>
    <w:rsid w:val="00402D78"/>
    <w:rsid w:val="0040310E"/>
    <w:rsid w:val="004031D8"/>
    <w:rsid w:val="00403285"/>
    <w:rsid w:val="00403682"/>
    <w:rsid w:val="00403A57"/>
    <w:rsid w:val="00403BAF"/>
    <w:rsid w:val="00403BCA"/>
    <w:rsid w:val="00403D91"/>
    <w:rsid w:val="00403DD4"/>
    <w:rsid w:val="00403EAF"/>
    <w:rsid w:val="00403F31"/>
    <w:rsid w:val="0040407A"/>
    <w:rsid w:val="004045AD"/>
    <w:rsid w:val="004045D2"/>
    <w:rsid w:val="004045EB"/>
    <w:rsid w:val="00404663"/>
    <w:rsid w:val="00404768"/>
    <w:rsid w:val="0040488F"/>
    <w:rsid w:val="00404C9D"/>
    <w:rsid w:val="00404E7C"/>
    <w:rsid w:val="004053A9"/>
    <w:rsid w:val="004055E7"/>
    <w:rsid w:val="0040577A"/>
    <w:rsid w:val="00405841"/>
    <w:rsid w:val="004058C0"/>
    <w:rsid w:val="004058DB"/>
    <w:rsid w:val="00405B5C"/>
    <w:rsid w:val="00405BE5"/>
    <w:rsid w:val="00405DE6"/>
    <w:rsid w:val="00406106"/>
    <w:rsid w:val="0040621B"/>
    <w:rsid w:val="0040651B"/>
    <w:rsid w:val="00406AF0"/>
    <w:rsid w:val="00406E1A"/>
    <w:rsid w:val="004070D8"/>
    <w:rsid w:val="00407114"/>
    <w:rsid w:val="00407406"/>
    <w:rsid w:val="0040742E"/>
    <w:rsid w:val="00407AEA"/>
    <w:rsid w:val="00407CF5"/>
    <w:rsid w:val="00407FDB"/>
    <w:rsid w:val="00407FFA"/>
    <w:rsid w:val="0041003E"/>
    <w:rsid w:val="004100B1"/>
    <w:rsid w:val="004100EC"/>
    <w:rsid w:val="00410170"/>
    <w:rsid w:val="004103F4"/>
    <w:rsid w:val="00410727"/>
    <w:rsid w:val="004107DB"/>
    <w:rsid w:val="00410AED"/>
    <w:rsid w:val="00410C24"/>
    <w:rsid w:val="00410EDB"/>
    <w:rsid w:val="00410EE7"/>
    <w:rsid w:val="004110D5"/>
    <w:rsid w:val="004114B8"/>
    <w:rsid w:val="004115AE"/>
    <w:rsid w:val="004118D5"/>
    <w:rsid w:val="004119AB"/>
    <w:rsid w:val="00411AF8"/>
    <w:rsid w:val="00411E09"/>
    <w:rsid w:val="00411F9D"/>
    <w:rsid w:val="0041221F"/>
    <w:rsid w:val="00412511"/>
    <w:rsid w:val="004128EF"/>
    <w:rsid w:val="00412C29"/>
    <w:rsid w:val="00412C8C"/>
    <w:rsid w:val="00412DF8"/>
    <w:rsid w:val="00412F16"/>
    <w:rsid w:val="00413431"/>
    <w:rsid w:val="00413592"/>
    <w:rsid w:val="00413948"/>
    <w:rsid w:val="00413993"/>
    <w:rsid w:val="00413D61"/>
    <w:rsid w:val="00413DE2"/>
    <w:rsid w:val="00413F44"/>
    <w:rsid w:val="00413FAE"/>
    <w:rsid w:val="00414546"/>
    <w:rsid w:val="00414736"/>
    <w:rsid w:val="00414848"/>
    <w:rsid w:val="00414D54"/>
    <w:rsid w:val="00414D65"/>
    <w:rsid w:val="00414E8E"/>
    <w:rsid w:val="00415544"/>
    <w:rsid w:val="004155E3"/>
    <w:rsid w:val="00415634"/>
    <w:rsid w:val="00415ACF"/>
    <w:rsid w:val="0041608F"/>
    <w:rsid w:val="00416291"/>
    <w:rsid w:val="004163CF"/>
    <w:rsid w:val="0041643C"/>
    <w:rsid w:val="004165FE"/>
    <w:rsid w:val="00416816"/>
    <w:rsid w:val="00416994"/>
    <w:rsid w:val="00416AA4"/>
    <w:rsid w:val="00416CAC"/>
    <w:rsid w:val="004173F7"/>
    <w:rsid w:val="0041760A"/>
    <w:rsid w:val="00417912"/>
    <w:rsid w:val="00417A3A"/>
    <w:rsid w:val="00417BEA"/>
    <w:rsid w:val="00417FAB"/>
    <w:rsid w:val="0042011C"/>
    <w:rsid w:val="004206EF"/>
    <w:rsid w:val="004206FA"/>
    <w:rsid w:val="004207CE"/>
    <w:rsid w:val="004207DC"/>
    <w:rsid w:val="004208C3"/>
    <w:rsid w:val="004209A8"/>
    <w:rsid w:val="00420BAF"/>
    <w:rsid w:val="00420C18"/>
    <w:rsid w:val="00420D5F"/>
    <w:rsid w:val="00421051"/>
    <w:rsid w:val="004213F7"/>
    <w:rsid w:val="00421752"/>
    <w:rsid w:val="00421826"/>
    <w:rsid w:val="00421955"/>
    <w:rsid w:val="00422064"/>
    <w:rsid w:val="004223D1"/>
    <w:rsid w:val="004225E8"/>
    <w:rsid w:val="004227B0"/>
    <w:rsid w:val="00422C1C"/>
    <w:rsid w:val="0042334F"/>
    <w:rsid w:val="0042335C"/>
    <w:rsid w:val="00423B12"/>
    <w:rsid w:val="00423BB6"/>
    <w:rsid w:val="00423C03"/>
    <w:rsid w:val="00423F68"/>
    <w:rsid w:val="004240ED"/>
    <w:rsid w:val="0042416A"/>
    <w:rsid w:val="004244EC"/>
    <w:rsid w:val="00424C99"/>
    <w:rsid w:val="0042501F"/>
    <w:rsid w:val="00425338"/>
    <w:rsid w:val="00425BA4"/>
    <w:rsid w:val="00425BD9"/>
    <w:rsid w:val="00425D58"/>
    <w:rsid w:val="00425E7D"/>
    <w:rsid w:val="004261E0"/>
    <w:rsid w:val="004267BC"/>
    <w:rsid w:val="00426983"/>
    <w:rsid w:val="004269B6"/>
    <w:rsid w:val="00426AAA"/>
    <w:rsid w:val="00426B4E"/>
    <w:rsid w:val="00426FC0"/>
    <w:rsid w:val="0042707E"/>
    <w:rsid w:val="004271CF"/>
    <w:rsid w:val="004279F2"/>
    <w:rsid w:val="00427BB4"/>
    <w:rsid w:val="00427D17"/>
    <w:rsid w:val="00430BA3"/>
    <w:rsid w:val="00430BBF"/>
    <w:rsid w:val="00430D58"/>
    <w:rsid w:val="00430E4A"/>
    <w:rsid w:val="00430F8A"/>
    <w:rsid w:val="00431398"/>
    <w:rsid w:val="00431436"/>
    <w:rsid w:val="004315AB"/>
    <w:rsid w:val="0043170C"/>
    <w:rsid w:val="0043174F"/>
    <w:rsid w:val="00431758"/>
    <w:rsid w:val="004317C7"/>
    <w:rsid w:val="00431824"/>
    <w:rsid w:val="00431854"/>
    <w:rsid w:val="00431A11"/>
    <w:rsid w:val="00431B97"/>
    <w:rsid w:val="00431F1A"/>
    <w:rsid w:val="00431F5F"/>
    <w:rsid w:val="00432975"/>
    <w:rsid w:val="00432BA0"/>
    <w:rsid w:val="00432C96"/>
    <w:rsid w:val="004333D9"/>
    <w:rsid w:val="0043341C"/>
    <w:rsid w:val="0043360E"/>
    <w:rsid w:val="004336B2"/>
    <w:rsid w:val="0043376B"/>
    <w:rsid w:val="00433920"/>
    <w:rsid w:val="00433A57"/>
    <w:rsid w:val="00433AAF"/>
    <w:rsid w:val="00433AD5"/>
    <w:rsid w:val="00433C4B"/>
    <w:rsid w:val="00433C55"/>
    <w:rsid w:val="00433C9D"/>
    <w:rsid w:val="00433DD2"/>
    <w:rsid w:val="004341E1"/>
    <w:rsid w:val="004342F6"/>
    <w:rsid w:val="0043475E"/>
    <w:rsid w:val="00434ABF"/>
    <w:rsid w:val="00434BBD"/>
    <w:rsid w:val="00434D81"/>
    <w:rsid w:val="0043561C"/>
    <w:rsid w:val="00435933"/>
    <w:rsid w:val="00435D34"/>
    <w:rsid w:val="00435E19"/>
    <w:rsid w:val="00435F98"/>
    <w:rsid w:val="00435FE3"/>
    <w:rsid w:val="00436494"/>
    <w:rsid w:val="004365B1"/>
    <w:rsid w:val="0043676F"/>
    <w:rsid w:val="00436E0C"/>
    <w:rsid w:val="00436EEF"/>
    <w:rsid w:val="004372E8"/>
    <w:rsid w:val="0043749E"/>
    <w:rsid w:val="00437558"/>
    <w:rsid w:val="0043762A"/>
    <w:rsid w:val="00437642"/>
    <w:rsid w:val="0043791A"/>
    <w:rsid w:val="00437966"/>
    <w:rsid w:val="00437A9C"/>
    <w:rsid w:val="00437CCA"/>
    <w:rsid w:val="00437FC3"/>
    <w:rsid w:val="004400C7"/>
    <w:rsid w:val="00440154"/>
    <w:rsid w:val="004402A7"/>
    <w:rsid w:val="00440616"/>
    <w:rsid w:val="00440683"/>
    <w:rsid w:val="00440A33"/>
    <w:rsid w:val="004415CC"/>
    <w:rsid w:val="00441643"/>
    <w:rsid w:val="0044166D"/>
    <w:rsid w:val="00441964"/>
    <w:rsid w:val="00441F4D"/>
    <w:rsid w:val="00442889"/>
    <w:rsid w:val="00442923"/>
    <w:rsid w:val="00442CA8"/>
    <w:rsid w:val="00442E9A"/>
    <w:rsid w:val="00442F52"/>
    <w:rsid w:val="004433BA"/>
    <w:rsid w:val="00443559"/>
    <w:rsid w:val="00443679"/>
    <w:rsid w:val="00443D84"/>
    <w:rsid w:val="00443E42"/>
    <w:rsid w:val="00443E60"/>
    <w:rsid w:val="004442C1"/>
    <w:rsid w:val="00444336"/>
    <w:rsid w:val="004444B8"/>
    <w:rsid w:val="00444A65"/>
    <w:rsid w:val="00444C28"/>
    <w:rsid w:val="00444E0A"/>
    <w:rsid w:val="00444FF4"/>
    <w:rsid w:val="00445026"/>
    <w:rsid w:val="00445278"/>
    <w:rsid w:val="004454EE"/>
    <w:rsid w:val="0044564F"/>
    <w:rsid w:val="004457C7"/>
    <w:rsid w:val="0044590B"/>
    <w:rsid w:val="00445A3A"/>
    <w:rsid w:val="00445B09"/>
    <w:rsid w:val="00445FF5"/>
    <w:rsid w:val="0044616D"/>
    <w:rsid w:val="00446594"/>
    <w:rsid w:val="004466A1"/>
    <w:rsid w:val="00446BAB"/>
    <w:rsid w:val="00446FDF"/>
    <w:rsid w:val="00447555"/>
    <w:rsid w:val="00447665"/>
    <w:rsid w:val="00447884"/>
    <w:rsid w:val="00447A86"/>
    <w:rsid w:val="00447E17"/>
    <w:rsid w:val="00447F96"/>
    <w:rsid w:val="00450155"/>
    <w:rsid w:val="0045025C"/>
    <w:rsid w:val="00450A88"/>
    <w:rsid w:val="00450AB8"/>
    <w:rsid w:val="00450B3D"/>
    <w:rsid w:val="00450BCB"/>
    <w:rsid w:val="00450BFC"/>
    <w:rsid w:val="00450CC2"/>
    <w:rsid w:val="00451093"/>
    <w:rsid w:val="00451427"/>
    <w:rsid w:val="00451539"/>
    <w:rsid w:val="004518E1"/>
    <w:rsid w:val="00451CFD"/>
    <w:rsid w:val="0045239D"/>
    <w:rsid w:val="004526B4"/>
    <w:rsid w:val="00452A7F"/>
    <w:rsid w:val="00452A98"/>
    <w:rsid w:val="00452BA8"/>
    <w:rsid w:val="00452C78"/>
    <w:rsid w:val="00452E13"/>
    <w:rsid w:val="004532DF"/>
    <w:rsid w:val="004532FF"/>
    <w:rsid w:val="00453438"/>
    <w:rsid w:val="00453610"/>
    <w:rsid w:val="004538CB"/>
    <w:rsid w:val="00453BEB"/>
    <w:rsid w:val="00453C55"/>
    <w:rsid w:val="00453D2E"/>
    <w:rsid w:val="00453DB6"/>
    <w:rsid w:val="0045404E"/>
    <w:rsid w:val="00454165"/>
    <w:rsid w:val="004546A0"/>
    <w:rsid w:val="0045480C"/>
    <w:rsid w:val="00454A83"/>
    <w:rsid w:val="00454D3B"/>
    <w:rsid w:val="00454E04"/>
    <w:rsid w:val="00454EDE"/>
    <w:rsid w:val="0045529D"/>
    <w:rsid w:val="0045574B"/>
    <w:rsid w:val="00455A50"/>
    <w:rsid w:val="00455AB6"/>
    <w:rsid w:val="00455D51"/>
    <w:rsid w:val="00455EAA"/>
    <w:rsid w:val="004563ED"/>
    <w:rsid w:val="00456868"/>
    <w:rsid w:val="00456902"/>
    <w:rsid w:val="00456AC3"/>
    <w:rsid w:val="00456C4D"/>
    <w:rsid w:val="00456E0F"/>
    <w:rsid w:val="00456F55"/>
    <w:rsid w:val="004570DF"/>
    <w:rsid w:val="004573B3"/>
    <w:rsid w:val="004573E6"/>
    <w:rsid w:val="0045749C"/>
    <w:rsid w:val="004576A9"/>
    <w:rsid w:val="0045773A"/>
    <w:rsid w:val="00457BDB"/>
    <w:rsid w:val="00457DE6"/>
    <w:rsid w:val="00460083"/>
    <w:rsid w:val="00460337"/>
    <w:rsid w:val="004603D7"/>
    <w:rsid w:val="004607C0"/>
    <w:rsid w:val="00460A01"/>
    <w:rsid w:val="00460CC7"/>
    <w:rsid w:val="0046136B"/>
    <w:rsid w:val="004614E2"/>
    <w:rsid w:val="00461D51"/>
    <w:rsid w:val="00462033"/>
    <w:rsid w:val="004621CA"/>
    <w:rsid w:val="004622F0"/>
    <w:rsid w:val="00462405"/>
    <w:rsid w:val="00462743"/>
    <w:rsid w:val="00462871"/>
    <w:rsid w:val="004628B3"/>
    <w:rsid w:val="00462908"/>
    <w:rsid w:val="00462AB6"/>
    <w:rsid w:val="00462C02"/>
    <w:rsid w:val="00462D87"/>
    <w:rsid w:val="00462F00"/>
    <w:rsid w:val="004631A6"/>
    <w:rsid w:val="00463747"/>
    <w:rsid w:val="00463F0C"/>
    <w:rsid w:val="00463FB6"/>
    <w:rsid w:val="00464346"/>
    <w:rsid w:val="00464361"/>
    <w:rsid w:val="00464ABC"/>
    <w:rsid w:val="00464B9F"/>
    <w:rsid w:val="00464EE2"/>
    <w:rsid w:val="00464FB7"/>
    <w:rsid w:val="00464FFF"/>
    <w:rsid w:val="004652C7"/>
    <w:rsid w:val="004652F3"/>
    <w:rsid w:val="00465456"/>
    <w:rsid w:val="004654C5"/>
    <w:rsid w:val="0046563F"/>
    <w:rsid w:val="00465929"/>
    <w:rsid w:val="00465C9B"/>
    <w:rsid w:val="0046623D"/>
    <w:rsid w:val="0046636C"/>
    <w:rsid w:val="00466429"/>
    <w:rsid w:val="00466614"/>
    <w:rsid w:val="004666A7"/>
    <w:rsid w:val="004666E8"/>
    <w:rsid w:val="00466D65"/>
    <w:rsid w:val="00466FBA"/>
    <w:rsid w:val="004670DD"/>
    <w:rsid w:val="0046739B"/>
    <w:rsid w:val="00467523"/>
    <w:rsid w:val="00467564"/>
    <w:rsid w:val="0046776C"/>
    <w:rsid w:val="00467B5D"/>
    <w:rsid w:val="00467FB7"/>
    <w:rsid w:val="0047019D"/>
    <w:rsid w:val="0047026E"/>
    <w:rsid w:val="00470385"/>
    <w:rsid w:val="0047047B"/>
    <w:rsid w:val="00470A67"/>
    <w:rsid w:val="00470E13"/>
    <w:rsid w:val="004710F5"/>
    <w:rsid w:val="00471164"/>
    <w:rsid w:val="00471609"/>
    <w:rsid w:val="00471983"/>
    <w:rsid w:val="00471F43"/>
    <w:rsid w:val="00471F46"/>
    <w:rsid w:val="004723D6"/>
    <w:rsid w:val="0047243A"/>
    <w:rsid w:val="004725ED"/>
    <w:rsid w:val="00472FEE"/>
    <w:rsid w:val="0047306C"/>
    <w:rsid w:val="0047327A"/>
    <w:rsid w:val="004732D3"/>
    <w:rsid w:val="0047385B"/>
    <w:rsid w:val="00473905"/>
    <w:rsid w:val="004739B3"/>
    <w:rsid w:val="00473BB2"/>
    <w:rsid w:val="0047450F"/>
    <w:rsid w:val="0047483F"/>
    <w:rsid w:val="004748FE"/>
    <w:rsid w:val="00474954"/>
    <w:rsid w:val="00474DD0"/>
    <w:rsid w:val="00474EBA"/>
    <w:rsid w:val="0047545F"/>
    <w:rsid w:val="00475469"/>
    <w:rsid w:val="00475618"/>
    <w:rsid w:val="004757E2"/>
    <w:rsid w:val="00476005"/>
    <w:rsid w:val="00476043"/>
    <w:rsid w:val="00476052"/>
    <w:rsid w:val="00476458"/>
    <w:rsid w:val="00476A2B"/>
    <w:rsid w:val="00476BDB"/>
    <w:rsid w:val="00476BE9"/>
    <w:rsid w:val="00476E49"/>
    <w:rsid w:val="00477136"/>
    <w:rsid w:val="0047724D"/>
    <w:rsid w:val="00477380"/>
    <w:rsid w:val="00477538"/>
    <w:rsid w:val="004776FF"/>
    <w:rsid w:val="004777E1"/>
    <w:rsid w:val="00477917"/>
    <w:rsid w:val="00477BEC"/>
    <w:rsid w:val="00477C93"/>
    <w:rsid w:val="00477DB0"/>
    <w:rsid w:val="00480353"/>
    <w:rsid w:val="00480819"/>
    <w:rsid w:val="00480853"/>
    <w:rsid w:val="004808BA"/>
    <w:rsid w:val="00480A81"/>
    <w:rsid w:val="00480BEC"/>
    <w:rsid w:val="00481104"/>
    <w:rsid w:val="0048163E"/>
    <w:rsid w:val="0048199C"/>
    <w:rsid w:val="00481CC3"/>
    <w:rsid w:val="00481CD6"/>
    <w:rsid w:val="00481E1D"/>
    <w:rsid w:val="00482184"/>
    <w:rsid w:val="00482270"/>
    <w:rsid w:val="004828D8"/>
    <w:rsid w:val="00482B8E"/>
    <w:rsid w:val="00483012"/>
    <w:rsid w:val="00483A1B"/>
    <w:rsid w:val="00483A66"/>
    <w:rsid w:val="00483B74"/>
    <w:rsid w:val="00483BD9"/>
    <w:rsid w:val="0048431B"/>
    <w:rsid w:val="0048474D"/>
    <w:rsid w:val="004847DF"/>
    <w:rsid w:val="00484A33"/>
    <w:rsid w:val="00484C45"/>
    <w:rsid w:val="00484D48"/>
    <w:rsid w:val="00484F3D"/>
    <w:rsid w:val="00484FC2"/>
    <w:rsid w:val="00485B95"/>
    <w:rsid w:val="00485F13"/>
    <w:rsid w:val="00485F2D"/>
    <w:rsid w:val="00486189"/>
    <w:rsid w:val="00486281"/>
    <w:rsid w:val="00486302"/>
    <w:rsid w:val="0048634D"/>
    <w:rsid w:val="0048647B"/>
    <w:rsid w:val="004864C8"/>
    <w:rsid w:val="004867E2"/>
    <w:rsid w:val="0048697A"/>
    <w:rsid w:val="00486AEB"/>
    <w:rsid w:val="0048710B"/>
    <w:rsid w:val="004871AE"/>
    <w:rsid w:val="00487214"/>
    <w:rsid w:val="00487265"/>
    <w:rsid w:val="00487298"/>
    <w:rsid w:val="00487300"/>
    <w:rsid w:val="0048734E"/>
    <w:rsid w:val="004874EF"/>
    <w:rsid w:val="004875FE"/>
    <w:rsid w:val="004876EA"/>
    <w:rsid w:val="00487762"/>
    <w:rsid w:val="00487792"/>
    <w:rsid w:val="00487848"/>
    <w:rsid w:val="004878B3"/>
    <w:rsid w:val="00490428"/>
    <w:rsid w:val="0049045F"/>
    <w:rsid w:val="0049051A"/>
    <w:rsid w:val="0049052B"/>
    <w:rsid w:val="004906EE"/>
    <w:rsid w:val="004908D1"/>
    <w:rsid w:val="00490931"/>
    <w:rsid w:val="00490D2A"/>
    <w:rsid w:val="00490F1C"/>
    <w:rsid w:val="00491476"/>
    <w:rsid w:val="00491759"/>
    <w:rsid w:val="00491F44"/>
    <w:rsid w:val="0049232D"/>
    <w:rsid w:val="00492416"/>
    <w:rsid w:val="004924F0"/>
    <w:rsid w:val="0049260B"/>
    <w:rsid w:val="004926B2"/>
    <w:rsid w:val="00492911"/>
    <w:rsid w:val="00492C68"/>
    <w:rsid w:val="00492DB9"/>
    <w:rsid w:val="00493169"/>
    <w:rsid w:val="004931C6"/>
    <w:rsid w:val="004931F4"/>
    <w:rsid w:val="0049376B"/>
    <w:rsid w:val="004938AA"/>
    <w:rsid w:val="00493A11"/>
    <w:rsid w:val="00493F34"/>
    <w:rsid w:val="00493F6E"/>
    <w:rsid w:val="00494275"/>
    <w:rsid w:val="00494757"/>
    <w:rsid w:val="004947F6"/>
    <w:rsid w:val="004949D3"/>
    <w:rsid w:val="00494CB0"/>
    <w:rsid w:val="0049530F"/>
    <w:rsid w:val="0049535F"/>
    <w:rsid w:val="004953EB"/>
    <w:rsid w:val="0049557E"/>
    <w:rsid w:val="004957A8"/>
    <w:rsid w:val="00495C1D"/>
    <w:rsid w:val="00495C25"/>
    <w:rsid w:val="00495F21"/>
    <w:rsid w:val="00495FD4"/>
    <w:rsid w:val="00496265"/>
    <w:rsid w:val="0049649D"/>
    <w:rsid w:val="0049663A"/>
    <w:rsid w:val="00496771"/>
    <w:rsid w:val="0049678E"/>
    <w:rsid w:val="0049688D"/>
    <w:rsid w:val="00496AFB"/>
    <w:rsid w:val="00496B1E"/>
    <w:rsid w:val="00496E4B"/>
    <w:rsid w:val="00496F84"/>
    <w:rsid w:val="00497097"/>
    <w:rsid w:val="004972CF"/>
    <w:rsid w:val="00497721"/>
    <w:rsid w:val="00497862"/>
    <w:rsid w:val="00497B00"/>
    <w:rsid w:val="00497C69"/>
    <w:rsid w:val="00497C73"/>
    <w:rsid w:val="004A045E"/>
    <w:rsid w:val="004A10E6"/>
    <w:rsid w:val="004A11B7"/>
    <w:rsid w:val="004A1522"/>
    <w:rsid w:val="004A17F1"/>
    <w:rsid w:val="004A1971"/>
    <w:rsid w:val="004A1A86"/>
    <w:rsid w:val="004A1A9F"/>
    <w:rsid w:val="004A1D37"/>
    <w:rsid w:val="004A2244"/>
    <w:rsid w:val="004A22C4"/>
    <w:rsid w:val="004A2414"/>
    <w:rsid w:val="004A2485"/>
    <w:rsid w:val="004A2BA7"/>
    <w:rsid w:val="004A2BCD"/>
    <w:rsid w:val="004A2BF2"/>
    <w:rsid w:val="004A2EC9"/>
    <w:rsid w:val="004A3148"/>
    <w:rsid w:val="004A315F"/>
    <w:rsid w:val="004A3596"/>
    <w:rsid w:val="004A36E5"/>
    <w:rsid w:val="004A3902"/>
    <w:rsid w:val="004A42CD"/>
    <w:rsid w:val="004A45E8"/>
    <w:rsid w:val="004A4B3B"/>
    <w:rsid w:val="004A4C79"/>
    <w:rsid w:val="004A4F42"/>
    <w:rsid w:val="004A5001"/>
    <w:rsid w:val="004A508A"/>
    <w:rsid w:val="004A51DB"/>
    <w:rsid w:val="004A56D3"/>
    <w:rsid w:val="004A5721"/>
    <w:rsid w:val="004A5C35"/>
    <w:rsid w:val="004A6008"/>
    <w:rsid w:val="004A61C8"/>
    <w:rsid w:val="004A6293"/>
    <w:rsid w:val="004A6964"/>
    <w:rsid w:val="004A6BAE"/>
    <w:rsid w:val="004A6CED"/>
    <w:rsid w:val="004A6D84"/>
    <w:rsid w:val="004A7086"/>
    <w:rsid w:val="004A7103"/>
    <w:rsid w:val="004A7473"/>
    <w:rsid w:val="004A74E7"/>
    <w:rsid w:val="004A7B8C"/>
    <w:rsid w:val="004A7CE0"/>
    <w:rsid w:val="004B015B"/>
    <w:rsid w:val="004B02B6"/>
    <w:rsid w:val="004B038B"/>
    <w:rsid w:val="004B0488"/>
    <w:rsid w:val="004B0982"/>
    <w:rsid w:val="004B130B"/>
    <w:rsid w:val="004B1814"/>
    <w:rsid w:val="004B1BDD"/>
    <w:rsid w:val="004B1E5F"/>
    <w:rsid w:val="004B27B2"/>
    <w:rsid w:val="004B296E"/>
    <w:rsid w:val="004B2A26"/>
    <w:rsid w:val="004B2DA1"/>
    <w:rsid w:val="004B2F11"/>
    <w:rsid w:val="004B33D8"/>
    <w:rsid w:val="004B3ACC"/>
    <w:rsid w:val="004B3F5C"/>
    <w:rsid w:val="004B428F"/>
    <w:rsid w:val="004B43E4"/>
    <w:rsid w:val="004B4582"/>
    <w:rsid w:val="004B4628"/>
    <w:rsid w:val="004B482C"/>
    <w:rsid w:val="004B4B8F"/>
    <w:rsid w:val="004B4BF2"/>
    <w:rsid w:val="004B5030"/>
    <w:rsid w:val="004B5042"/>
    <w:rsid w:val="004B50CB"/>
    <w:rsid w:val="004B52BF"/>
    <w:rsid w:val="004B5388"/>
    <w:rsid w:val="004B5A79"/>
    <w:rsid w:val="004B5C4D"/>
    <w:rsid w:val="004B5FD0"/>
    <w:rsid w:val="004B62B8"/>
    <w:rsid w:val="004B6576"/>
    <w:rsid w:val="004B6789"/>
    <w:rsid w:val="004B6A63"/>
    <w:rsid w:val="004B6B9E"/>
    <w:rsid w:val="004B6C4C"/>
    <w:rsid w:val="004B6DC0"/>
    <w:rsid w:val="004B6EA0"/>
    <w:rsid w:val="004B6FFF"/>
    <w:rsid w:val="004B72C1"/>
    <w:rsid w:val="004B7429"/>
    <w:rsid w:val="004B75AA"/>
    <w:rsid w:val="004B778D"/>
    <w:rsid w:val="004B789C"/>
    <w:rsid w:val="004B7A05"/>
    <w:rsid w:val="004B7D3E"/>
    <w:rsid w:val="004B7D49"/>
    <w:rsid w:val="004B7E76"/>
    <w:rsid w:val="004B7ED7"/>
    <w:rsid w:val="004C000A"/>
    <w:rsid w:val="004C03E2"/>
    <w:rsid w:val="004C079C"/>
    <w:rsid w:val="004C0807"/>
    <w:rsid w:val="004C0EC0"/>
    <w:rsid w:val="004C0F49"/>
    <w:rsid w:val="004C1084"/>
    <w:rsid w:val="004C10D5"/>
    <w:rsid w:val="004C1217"/>
    <w:rsid w:val="004C12BA"/>
    <w:rsid w:val="004C17A3"/>
    <w:rsid w:val="004C1801"/>
    <w:rsid w:val="004C1908"/>
    <w:rsid w:val="004C1B1B"/>
    <w:rsid w:val="004C1BC1"/>
    <w:rsid w:val="004C1CF1"/>
    <w:rsid w:val="004C1D2B"/>
    <w:rsid w:val="004C1DC0"/>
    <w:rsid w:val="004C2421"/>
    <w:rsid w:val="004C296B"/>
    <w:rsid w:val="004C300C"/>
    <w:rsid w:val="004C351D"/>
    <w:rsid w:val="004C3637"/>
    <w:rsid w:val="004C3703"/>
    <w:rsid w:val="004C37F4"/>
    <w:rsid w:val="004C3AD7"/>
    <w:rsid w:val="004C48D2"/>
    <w:rsid w:val="004C4910"/>
    <w:rsid w:val="004C4B88"/>
    <w:rsid w:val="004C4DEE"/>
    <w:rsid w:val="004C50BC"/>
    <w:rsid w:val="004C525F"/>
    <w:rsid w:val="004C5452"/>
    <w:rsid w:val="004C56CA"/>
    <w:rsid w:val="004C64F4"/>
    <w:rsid w:val="004C65C3"/>
    <w:rsid w:val="004C6987"/>
    <w:rsid w:val="004C6AA9"/>
    <w:rsid w:val="004C6CCD"/>
    <w:rsid w:val="004C6F3D"/>
    <w:rsid w:val="004C7449"/>
    <w:rsid w:val="004C75FD"/>
    <w:rsid w:val="004C7711"/>
    <w:rsid w:val="004C7788"/>
    <w:rsid w:val="004C7870"/>
    <w:rsid w:val="004C7913"/>
    <w:rsid w:val="004C797A"/>
    <w:rsid w:val="004C7BCC"/>
    <w:rsid w:val="004C7F85"/>
    <w:rsid w:val="004D04E7"/>
    <w:rsid w:val="004D056D"/>
    <w:rsid w:val="004D0F0D"/>
    <w:rsid w:val="004D109A"/>
    <w:rsid w:val="004D11B5"/>
    <w:rsid w:val="004D1541"/>
    <w:rsid w:val="004D155D"/>
    <w:rsid w:val="004D1725"/>
    <w:rsid w:val="004D1B49"/>
    <w:rsid w:val="004D1D5F"/>
    <w:rsid w:val="004D1F05"/>
    <w:rsid w:val="004D20F8"/>
    <w:rsid w:val="004D22BD"/>
    <w:rsid w:val="004D245F"/>
    <w:rsid w:val="004D2715"/>
    <w:rsid w:val="004D2CDB"/>
    <w:rsid w:val="004D2D62"/>
    <w:rsid w:val="004D2D79"/>
    <w:rsid w:val="004D3393"/>
    <w:rsid w:val="004D3789"/>
    <w:rsid w:val="004D37CD"/>
    <w:rsid w:val="004D38D8"/>
    <w:rsid w:val="004D3C05"/>
    <w:rsid w:val="004D3C35"/>
    <w:rsid w:val="004D3C4E"/>
    <w:rsid w:val="004D3E0E"/>
    <w:rsid w:val="004D3E7C"/>
    <w:rsid w:val="004D3F92"/>
    <w:rsid w:val="004D40E4"/>
    <w:rsid w:val="004D41D4"/>
    <w:rsid w:val="004D440C"/>
    <w:rsid w:val="004D46BA"/>
    <w:rsid w:val="004D4AAB"/>
    <w:rsid w:val="004D4D23"/>
    <w:rsid w:val="004D4D3E"/>
    <w:rsid w:val="004D53A2"/>
    <w:rsid w:val="004D53C5"/>
    <w:rsid w:val="004D55C1"/>
    <w:rsid w:val="004D5602"/>
    <w:rsid w:val="004D5695"/>
    <w:rsid w:val="004D5709"/>
    <w:rsid w:val="004D5871"/>
    <w:rsid w:val="004D5A67"/>
    <w:rsid w:val="004D5B29"/>
    <w:rsid w:val="004D5C54"/>
    <w:rsid w:val="004D5FCE"/>
    <w:rsid w:val="004D600C"/>
    <w:rsid w:val="004D6274"/>
    <w:rsid w:val="004D62CD"/>
    <w:rsid w:val="004D664E"/>
    <w:rsid w:val="004D66C2"/>
    <w:rsid w:val="004D68B2"/>
    <w:rsid w:val="004D69BC"/>
    <w:rsid w:val="004D6AEB"/>
    <w:rsid w:val="004D6D80"/>
    <w:rsid w:val="004D6F02"/>
    <w:rsid w:val="004D7293"/>
    <w:rsid w:val="004D7459"/>
    <w:rsid w:val="004D7DDB"/>
    <w:rsid w:val="004D7EDB"/>
    <w:rsid w:val="004E00B8"/>
    <w:rsid w:val="004E0669"/>
    <w:rsid w:val="004E0AF0"/>
    <w:rsid w:val="004E0D57"/>
    <w:rsid w:val="004E1202"/>
    <w:rsid w:val="004E159D"/>
    <w:rsid w:val="004E18BC"/>
    <w:rsid w:val="004E1D18"/>
    <w:rsid w:val="004E24DC"/>
    <w:rsid w:val="004E26DA"/>
    <w:rsid w:val="004E2DA4"/>
    <w:rsid w:val="004E2E41"/>
    <w:rsid w:val="004E3435"/>
    <w:rsid w:val="004E34D8"/>
    <w:rsid w:val="004E3800"/>
    <w:rsid w:val="004E38E7"/>
    <w:rsid w:val="004E3E67"/>
    <w:rsid w:val="004E43B7"/>
    <w:rsid w:val="004E43EF"/>
    <w:rsid w:val="004E4729"/>
    <w:rsid w:val="004E4C2C"/>
    <w:rsid w:val="004E5071"/>
    <w:rsid w:val="004E50C4"/>
    <w:rsid w:val="004E5383"/>
    <w:rsid w:val="004E5572"/>
    <w:rsid w:val="004E57E1"/>
    <w:rsid w:val="004E5B97"/>
    <w:rsid w:val="004E5D23"/>
    <w:rsid w:val="004E6060"/>
    <w:rsid w:val="004E608C"/>
    <w:rsid w:val="004E648F"/>
    <w:rsid w:val="004E65A8"/>
    <w:rsid w:val="004E6784"/>
    <w:rsid w:val="004E6B51"/>
    <w:rsid w:val="004E6DA0"/>
    <w:rsid w:val="004E6EA1"/>
    <w:rsid w:val="004E6FA5"/>
    <w:rsid w:val="004E705C"/>
    <w:rsid w:val="004E70B2"/>
    <w:rsid w:val="004E70D2"/>
    <w:rsid w:val="004E715E"/>
    <w:rsid w:val="004E71A1"/>
    <w:rsid w:val="004E71DE"/>
    <w:rsid w:val="004E7211"/>
    <w:rsid w:val="004E727A"/>
    <w:rsid w:val="004E7393"/>
    <w:rsid w:val="004E74FB"/>
    <w:rsid w:val="004E7704"/>
    <w:rsid w:val="004E780A"/>
    <w:rsid w:val="004E7DA6"/>
    <w:rsid w:val="004E7F2C"/>
    <w:rsid w:val="004F01E9"/>
    <w:rsid w:val="004F02BD"/>
    <w:rsid w:val="004F0684"/>
    <w:rsid w:val="004F0692"/>
    <w:rsid w:val="004F08AF"/>
    <w:rsid w:val="004F0914"/>
    <w:rsid w:val="004F0932"/>
    <w:rsid w:val="004F0D79"/>
    <w:rsid w:val="004F0FF0"/>
    <w:rsid w:val="004F104D"/>
    <w:rsid w:val="004F1214"/>
    <w:rsid w:val="004F19EE"/>
    <w:rsid w:val="004F1A79"/>
    <w:rsid w:val="004F1B1B"/>
    <w:rsid w:val="004F1CF6"/>
    <w:rsid w:val="004F2306"/>
    <w:rsid w:val="004F2650"/>
    <w:rsid w:val="004F283F"/>
    <w:rsid w:val="004F2878"/>
    <w:rsid w:val="004F289A"/>
    <w:rsid w:val="004F2BE3"/>
    <w:rsid w:val="004F2CC3"/>
    <w:rsid w:val="004F2D09"/>
    <w:rsid w:val="004F353D"/>
    <w:rsid w:val="004F394F"/>
    <w:rsid w:val="004F3AB5"/>
    <w:rsid w:val="004F3BD7"/>
    <w:rsid w:val="004F3C4C"/>
    <w:rsid w:val="004F3D76"/>
    <w:rsid w:val="004F3FE6"/>
    <w:rsid w:val="004F40CB"/>
    <w:rsid w:val="004F4271"/>
    <w:rsid w:val="004F4629"/>
    <w:rsid w:val="004F4648"/>
    <w:rsid w:val="004F464D"/>
    <w:rsid w:val="004F4678"/>
    <w:rsid w:val="004F491C"/>
    <w:rsid w:val="004F4954"/>
    <w:rsid w:val="004F4A96"/>
    <w:rsid w:val="004F4B6B"/>
    <w:rsid w:val="004F4CCD"/>
    <w:rsid w:val="004F54A5"/>
    <w:rsid w:val="004F5514"/>
    <w:rsid w:val="004F562E"/>
    <w:rsid w:val="004F569D"/>
    <w:rsid w:val="004F56CC"/>
    <w:rsid w:val="004F5A13"/>
    <w:rsid w:val="004F5DED"/>
    <w:rsid w:val="004F60A2"/>
    <w:rsid w:val="004F65F4"/>
    <w:rsid w:val="004F66B4"/>
    <w:rsid w:val="004F6AA5"/>
    <w:rsid w:val="004F6F41"/>
    <w:rsid w:val="004F6F7A"/>
    <w:rsid w:val="004F7479"/>
    <w:rsid w:val="004F7B4B"/>
    <w:rsid w:val="004F7C24"/>
    <w:rsid w:val="004F7D11"/>
    <w:rsid w:val="004F7D59"/>
    <w:rsid w:val="004F7E59"/>
    <w:rsid w:val="004F7FD5"/>
    <w:rsid w:val="00500053"/>
    <w:rsid w:val="00500060"/>
    <w:rsid w:val="005000B8"/>
    <w:rsid w:val="00500690"/>
    <w:rsid w:val="00500B7E"/>
    <w:rsid w:val="00500E88"/>
    <w:rsid w:val="00500F5A"/>
    <w:rsid w:val="00501758"/>
    <w:rsid w:val="00501820"/>
    <w:rsid w:val="005018F7"/>
    <w:rsid w:val="00501A84"/>
    <w:rsid w:val="00501B3D"/>
    <w:rsid w:val="00501BC5"/>
    <w:rsid w:val="005024C1"/>
    <w:rsid w:val="00502934"/>
    <w:rsid w:val="005029C4"/>
    <w:rsid w:val="00502A98"/>
    <w:rsid w:val="00502F31"/>
    <w:rsid w:val="00502FE6"/>
    <w:rsid w:val="00503166"/>
    <w:rsid w:val="00503726"/>
    <w:rsid w:val="00503A54"/>
    <w:rsid w:val="00503BBA"/>
    <w:rsid w:val="00503BC3"/>
    <w:rsid w:val="005041D2"/>
    <w:rsid w:val="00504784"/>
    <w:rsid w:val="0050478C"/>
    <w:rsid w:val="00504912"/>
    <w:rsid w:val="00504AB8"/>
    <w:rsid w:val="00504CDB"/>
    <w:rsid w:val="00505C70"/>
    <w:rsid w:val="00505F63"/>
    <w:rsid w:val="005063D9"/>
    <w:rsid w:val="0050652C"/>
    <w:rsid w:val="0050661B"/>
    <w:rsid w:val="00506AC6"/>
    <w:rsid w:val="00506C0E"/>
    <w:rsid w:val="00506FAF"/>
    <w:rsid w:val="0050707C"/>
    <w:rsid w:val="005077FF"/>
    <w:rsid w:val="005078C6"/>
    <w:rsid w:val="00507C00"/>
    <w:rsid w:val="00507C12"/>
    <w:rsid w:val="00507CFB"/>
    <w:rsid w:val="0051005F"/>
    <w:rsid w:val="00510097"/>
    <w:rsid w:val="005100EA"/>
    <w:rsid w:val="00510C23"/>
    <w:rsid w:val="00510E84"/>
    <w:rsid w:val="005110C1"/>
    <w:rsid w:val="0051137B"/>
    <w:rsid w:val="005113E6"/>
    <w:rsid w:val="005114A0"/>
    <w:rsid w:val="00511578"/>
    <w:rsid w:val="00511603"/>
    <w:rsid w:val="0051162C"/>
    <w:rsid w:val="0051178E"/>
    <w:rsid w:val="00511AF4"/>
    <w:rsid w:val="00511F02"/>
    <w:rsid w:val="00512296"/>
    <w:rsid w:val="005122F4"/>
    <w:rsid w:val="0051265A"/>
    <w:rsid w:val="00512A5A"/>
    <w:rsid w:val="005130D2"/>
    <w:rsid w:val="00513164"/>
    <w:rsid w:val="00513300"/>
    <w:rsid w:val="005135B0"/>
    <w:rsid w:val="00513885"/>
    <w:rsid w:val="005139D1"/>
    <w:rsid w:val="00513A8A"/>
    <w:rsid w:val="00513B78"/>
    <w:rsid w:val="00513D6B"/>
    <w:rsid w:val="00513E08"/>
    <w:rsid w:val="005142B6"/>
    <w:rsid w:val="0051444D"/>
    <w:rsid w:val="0051455A"/>
    <w:rsid w:val="005148F1"/>
    <w:rsid w:val="00514A40"/>
    <w:rsid w:val="00514C8E"/>
    <w:rsid w:val="00514EF1"/>
    <w:rsid w:val="0051516C"/>
    <w:rsid w:val="00515D24"/>
    <w:rsid w:val="0051670C"/>
    <w:rsid w:val="00516756"/>
    <w:rsid w:val="005167AA"/>
    <w:rsid w:val="005169DE"/>
    <w:rsid w:val="00516FCD"/>
    <w:rsid w:val="005170F5"/>
    <w:rsid w:val="00517453"/>
    <w:rsid w:val="005174F3"/>
    <w:rsid w:val="00517D98"/>
    <w:rsid w:val="00517FD0"/>
    <w:rsid w:val="005203D2"/>
    <w:rsid w:val="005205AF"/>
    <w:rsid w:val="005208B6"/>
    <w:rsid w:val="00520A4A"/>
    <w:rsid w:val="00520CD5"/>
    <w:rsid w:val="00520DF1"/>
    <w:rsid w:val="00521298"/>
    <w:rsid w:val="0052156B"/>
    <w:rsid w:val="00521689"/>
    <w:rsid w:val="00521CA5"/>
    <w:rsid w:val="0052243C"/>
    <w:rsid w:val="005227EF"/>
    <w:rsid w:val="005229B7"/>
    <w:rsid w:val="00522ED0"/>
    <w:rsid w:val="005233DC"/>
    <w:rsid w:val="005235E3"/>
    <w:rsid w:val="0052361F"/>
    <w:rsid w:val="00523C5D"/>
    <w:rsid w:val="00523D55"/>
    <w:rsid w:val="00523E79"/>
    <w:rsid w:val="00523FFB"/>
    <w:rsid w:val="0052441D"/>
    <w:rsid w:val="00524C63"/>
    <w:rsid w:val="0052551E"/>
    <w:rsid w:val="00525A63"/>
    <w:rsid w:val="00525B61"/>
    <w:rsid w:val="0052650B"/>
    <w:rsid w:val="005266D3"/>
    <w:rsid w:val="00526A20"/>
    <w:rsid w:val="00526DBF"/>
    <w:rsid w:val="00526EF4"/>
    <w:rsid w:val="00526FA8"/>
    <w:rsid w:val="00527064"/>
    <w:rsid w:val="005270E5"/>
    <w:rsid w:val="005273EF"/>
    <w:rsid w:val="005273F1"/>
    <w:rsid w:val="0052787D"/>
    <w:rsid w:val="00527984"/>
    <w:rsid w:val="00527A08"/>
    <w:rsid w:val="00527A27"/>
    <w:rsid w:val="00527C57"/>
    <w:rsid w:val="00527E06"/>
    <w:rsid w:val="005300E6"/>
    <w:rsid w:val="0053012F"/>
    <w:rsid w:val="00530274"/>
    <w:rsid w:val="005303D8"/>
    <w:rsid w:val="005307D6"/>
    <w:rsid w:val="00530A2A"/>
    <w:rsid w:val="00530AAE"/>
    <w:rsid w:val="00530C82"/>
    <w:rsid w:val="00530CB9"/>
    <w:rsid w:val="005314F6"/>
    <w:rsid w:val="005316A5"/>
    <w:rsid w:val="005316F7"/>
    <w:rsid w:val="00531A0A"/>
    <w:rsid w:val="00531A99"/>
    <w:rsid w:val="00531ACC"/>
    <w:rsid w:val="00531C14"/>
    <w:rsid w:val="00531CB6"/>
    <w:rsid w:val="00531E10"/>
    <w:rsid w:val="005327E2"/>
    <w:rsid w:val="00532D96"/>
    <w:rsid w:val="00532F7B"/>
    <w:rsid w:val="00533026"/>
    <w:rsid w:val="0053310D"/>
    <w:rsid w:val="00533350"/>
    <w:rsid w:val="005333CA"/>
    <w:rsid w:val="005336B2"/>
    <w:rsid w:val="00533888"/>
    <w:rsid w:val="00533A3A"/>
    <w:rsid w:val="00533BF1"/>
    <w:rsid w:val="00533DF8"/>
    <w:rsid w:val="00533E48"/>
    <w:rsid w:val="00533FD2"/>
    <w:rsid w:val="00533FFC"/>
    <w:rsid w:val="00534007"/>
    <w:rsid w:val="00534221"/>
    <w:rsid w:val="0053433A"/>
    <w:rsid w:val="00534773"/>
    <w:rsid w:val="00534EB0"/>
    <w:rsid w:val="00535007"/>
    <w:rsid w:val="00535040"/>
    <w:rsid w:val="00535154"/>
    <w:rsid w:val="0053518B"/>
    <w:rsid w:val="0053545F"/>
    <w:rsid w:val="00535530"/>
    <w:rsid w:val="00535699"/>
    <w:rsid w:val="005356A1"/>
    <w:rsid w:val="00535AFB"/>
    <w:rsid w:val="00535B03"/>
    <w:rsid w:val="00535B80"/>
    <w:rsid w:val="00535B81"/>
    <w:rsid w:val="00535C05"/>
    <w:rsid w:val="00535CC1"/>
    <w:rsid w:val="00535D18"/>
    <w:rsid w:val="00535F25"/>
    <w:rsid w:val="00535FDB"/>
    <w:rsid w:val="005363A0"/>
    <w:rsid w:val="005365E0"/>
    <w:rsid w:val="005369CD"/>
    <w:rsid w:val="00536B31"/>
    <w:rsid w:val="00536C0D"/>
    <w:rsid w:val="00536E19"/>
    <w:rsid w:val="00536EBC"/>
    <w:rsid w:val="00537395"/>
    <w:rsid w:val="00540110"/>
    <w:rsid w:val="00540239"/>
    <w:rsid w:val="005409C1"/>
    <w:rsid w:val="00540BF2"/>
    <w:rsid w:val="00540D10"/>
    <w:rsid w:val="00540E97"/>
    <w:rsid w:val="00540FF8"/>
    <w:rsid w:val="005416A4"/>
    <w:rsid w:val="005416BD"/>
    <w:rsid w:val="0054177F"/>
    <w:rsid w:val="00541B2F"/>
    <w:rsid w:val="00541F1D"/>
    <w:rsid w:val="00541F8D"/>
    <w:rsid w:val="005421D1"/>
    <w:rsid w:val="00542FFC"/>
    <w:rsid w:val="00543159"/>
    <w:rsid w:val="00543221"/>
    <w:rsid w:val="005433E0"/>
    <w:rsid w:val="00543AAE"/>
    <w:rsid w:val="00543EA7"/>
    <w:rsid w:val="005442C3"/>
    <w:rsid w:val="0054433F"/>
    <w:rsid w:val="00544575"/>
    <w:rsid w:val="005445A3"/>
    <w:rsid w:val="00544986"/>
    <w:rsid w:val="00544B5F"/>
    <w:rsid w:val="00544C57"/>
    <w:rsid w:val="00544DC1"/>
    <w:rsid w:val="00544F95"/>
    <w:rsid w:val="00545133"/>
    <w:rsid w:val="005451C7"/>
    <w:rsid w:val="005451D9"/>
    <w:rsid w:val="0054526F"/>
    <w:rsid w:val="005454A5"/>
    <w:rsid w:val="00545BBF"/>
    <w:rsid w:val="0054601A"/>
    <w:rsid w:val="005460A4"/>
    <w:rsid w:val="0054612E"/>
    <w:rsid w:val="005464DF"/>
    <w:rsid w:val="00546F6A"/>
    <w:rsid w:val="0054715A"/>
    <w:rsid w:val="00547C94"/>
    <w:rsid w:val="0055023D"/>
    <w:rsid w:val="005507E5"/>
    <w:rsid w:val="005511B8"/>
    <w:rsid w:val="0055141E"/>
    <w:rsid w:val="00551444"/>
    <w:rsid w:val="00551927"/>
    <w:rsid w:val="00551BB0"/>
    <w:rsid w:val="00551D13"/>
    <w:rsid w:val="005524CE"/>
    <w:rsid w:val="005524F8"/>
    <w:rsid w:val="00552794"/>
    <w:rsid w:val="00552915"/>
    <w:rsid w:val="00552CDE"/>
    <w:rsid w:val="00552EDF"/>
    <w:rsid w:val="00553BB9"/>
    <w:rsid w:val="00553DAD"/>
    <w:rsid w:val="00553EA2"/>
    <w:rsid w:val="00554375"/>
    <w:rsid w:val="00554B78"/>
    <w:rsid w:val="00554C1C"/>
    <w:rsid w:val="00554F1F"/>
    <w:rsid w:val="00554FEC"/>
    <w:rsid w:val="00555295"/>
    <w:rsid w:val="00555315"/>
    <w:rsid w:val="005554BB"/>
    <w:rsid w:val="005555FF"/>
    <w:rsid w:val="00555710"/>
    <w:rsid w:val="00555FBC"/>
    <w:rsid w:val="00555FE2"/>
    <w:rsid w:val="0055609E"/>
    <w:rsid w:val="005563A1"/>
    <w:rsid w:val="0055688D"/>
    <w:rsid w:val="005569B5"/>
    <w:rsid w:val="00556C8A"/>
    <w:rsid w:val="00556E93"/>
    <w:rsid w:val="00556FDE"/>
    <w:rsid w:val="00557261"/>
    <w:rsid w:val="005576B3"/>
    <w:rsid w:val="00557AE0"/>
    <w:rsid w:val="00557E22"/>
    <w:rsid w:val="0056035A"/>
    <w:rsid w:val="005603A8"/>
    <w:rsid w:val="005609A3"/>
    <w:rsid w:val="00560C19"/>
    <w:rsid w:val="00560CBD"/>
    <w:rsid w:val="00560E08"/>
    <w:rsid w:val="00560E12"/>
    <w:rsid w:val="00560EB8"/>
    <w:rsid w:val="00561118"/>
    <w:rsid w:val="005616E4"/>
    <w:rsid w:val="00561ADD"/>
    <w:rsid w:val="00561EEA"/>
    <w:rsid w:val="00561F11"/>
    <w:rsid w:val="005620F4"/>
    <w:rsid w:val="00562305"/>
    <w:rsid w:val="005623F7"/>
    <w:rsid w:val="005624E3"/>
    <w:rsid w:val="005627A9"/>
    <w:rsid w:val="00562976"/>
    <w:rsid w:val="00562B51"/>
    <w:rsid w:val="00563089"/>
    <w:rsid w:val="00563172"/>
    <w:rsid w:val="00563A6F"/>
    <w:rsid w:val="00563F79"/>
    <w:rsid w:val="005645DF"/>
    <w:rsid w:val="005647D1"/>
    <w:rsid w:val="00564B5E"/>
    <w:rsid w:val="00564C05"/>
    <w:rsid w:val="00564DB3"/>
    <w:rsid w:val="00565347"/>
    <w:rsid w:val="005654B9"/>
    <w:rsid w:val="00565688"/>
    <w:rsid w:val="00565E6E"/>
    <w:rsid w:val="00565F8E"/>
    <w:rsid w:val="0056609D"/>
    <w:rsid w:val="0056638E"/>
    <w:rsid w:val="00566597"/>
    <w:rsid w:val="00566D33"/>
    <w:rsid w:val="00566F51"/>
    <w:rsid w:val="00566FDD"/>
    <w:rsid w:val="0056715F"/>
    <w:rsid w:val="005673D1"/>
    <w:rsid w:val="00567569"/>
    <w:rsid w:val="005675BD"/>
    <w:rsid w:val="0056764C"/>
    <w:rsid w:val="0056770E"/>
    <w:rsid w:val="005678AA"/>
    <w:rsid w:val="00567CE5"/>
    <w:rsid w:val="00570164"/>
    <w:rsid w:val="00570488"/>
    <w:rsid w:val="005704F5"/>
    <w:rsid w:val="00570A8A"/>
    <w:rsid w:val="00570AD8"/>
    <w:rsid w:val="00570B5D"/>
    <w:rsid w:val="00571096"/>
    <w:rsid w:val="00571302"/>
    <w:rsid w:val="00571504"/>
    <w:rsid w:val="00571522"/>
    <w:rsid w:val="00571658"/>
    <w:rsid w:val="00571A48"/>
    <w:rsid w:val="00571C8A"/>
    <w:rsid w:val="00571C97"/>
    <w:rsid w:val="00571EFD"/>
    <w:rsid w:val="00572265"/>
    <w:rsid w:val="005722EF"/>
    <w:rsid w:val="00572382"/>
    <w:rsid w:val="00572429"/>
    <w:rsid w:val="005725AA"/>
    <w:rsid w:val="00572B25"/>
    <w:rsid w:val="00572EDB"/>
    <w:rsid w:val="0057338E"/>
    <w:rsid w:val="00573886"/>
    <w:rsid w:val="0057391C"/>
    <w:rsid w:val="00573BA6"/>
    <w:rsid w:val="00573D75"/>
    <w:rsid w:val="00573E43"/>
    <w:rsid w:val="00573EFF"/>
    <w:rsid w:val="00573FE3"/>
    <w:rsid w:val="00574183"/>
    <w:rsid w:val="005741C7"/>
    <w:rsid w:val="005742F0"/>
    <w:rsid w:val="00574923"/>
    <w:rsid w:val="00574A82"/>
    <w:rsid w:val="00574DB3"/>
    <w:rsid w:val="00574E6C"/>
    <w:rsid w:val="00574FAF"/>
    <w:rsid w:val="005754F7"/>
    <w:rsid w:val="005758A7"/>
    <w:rsid w:val="00575BA5"/>
    <w:rsid w:val="00575F75"/>
    <w:rsid w:val="00575F84"/>
    <w:rsid w:val="00576104"/>
    <w:rsid w:val="0057619B"/>
    <w:rsid w:val="005762A9"/>
    <w:rsid w:val="0057631B"/>
    <w:rsid w:val="005763E4"/>
    <w:rsid w:val="00576628"/>
    <w:rsid w:val="0057665E"/>
    <w:rsid w:val="00576675"/>
    <w:rsid w:val="00576AA7"/>
    <w:rsid w:val="00576BA4"/>
    <w:rsid w:val="00576D30"/>
    <w:rsid w:val="00576DAB"/>
    <w:rsid w:val="00577093"/>
    <w:rsid w:val="0057756E"/>
    <w:rsid w:val="0057779C"/>
    <w:rsid w:val="0057788C"/>
    <w:rsid w:val="00577A21"/>
    <w:rsid w:val="00577AE1"/>
    <w:rsid w:val="0058007B"/>
    <w:rsid w:val="005800CE"/>
    <w:rsid w:val="005801ED"/>
    <w:rsid w:val="00580633"/>
    <w:rsid w:val="005806A2"/>
    <w:rsid w:val="00580AF8"/>
    <w:rsid w:val="00580CD1"/>
    <w:rsid w:val="00581272"/>
    <w:rsid w:val="005813BC"/>
    <w:rsid w:val="00581613"/>
    <w:rsid w:val="00581C36"/>
    <w:rsid w:val="00581CFD"/>
    <w:rsid w:val="00581DA5"/>
    <w:rsid w:val="00582031"/>
    <w:rsid w:val="00582135"/>
    <w:rsid w:val="005824BB"/>
    <w:rsid w:val="005828B6"/>
    <w:rsid w:val="005830BA"/>
    <w:rsid w:val="0058330B"/>
    <w:rsid w:val="00583311"/>
    <w:rsid w:val="00583427"/>
    <w:rsid w:val="005837C6"/>
    <w:rsid w:val="00583A16"/>
    <w:rsid w:val="00583A79"/>
    <w:rsid w:val="00583DAE"/>
    <w:rsid w:val="00583EED"/>
    <w:rsid w:val="00584257"/>
    <w:rsid w:val="005843C6"/>
    <w:rsid w:val="00584570"/>
    <w:rsid w:val="0058490C"/>
    <w:rsid w:val="00584A88"/>
    <w:rsid w:val="00584AE0"/>
    <w:rsid w:val="00584BDC"/>
    <w:rsid w:val="00585308"/>
    <w:rsid w:val="00585675"/>
    <w:rsid w:val="00585B7F"/>
    <w:rsid w:val="00585CBA"/>
    <w:rsid w:val="00585D48"/>
    <w:rsid w:val="00586190"/>
    <w:rsid w:val="00586308"/>
    <w:rsid w:val="0058648F"/>
    <w:rsid w:val="0058651C"/>
    <w:rsid w:val="00586E7C"/>
    <w:rsid w:val="00586F1E"/>
    <w:rsid w:val="005873B6"/>
    <w:rsid w:val="00587911"/>
    <w:rsid w:val="00587C0B"/>
    <w:rsid w:val="00587EFB"/>
    <w:rsid w:val="005901E1"/>
    <w:rsid w:val="00590565"/>
    <w:rsid w:val="005907D9"/>
    <w:rsid w:val="0059087A"/>
    <w:rsid w:val="00590EC0"/>
    <w:rsid w:val="00590EE7"/>
    <w:rsid w:val="00590F06"/>
    <w:rsid w:val="005910EA"/>
    <w:rsid w:val="005913B3"/>
    <w:rsid w:val="00591487"/>
    <w:rsid w:val="005916A0"/>
    <w:rsid w:val="00591A47"/>
    <w:rsid w:val="00591B1A"/>
    <w:rsid w:val="00591E02"/>
    <w:rsid w:val="00591FAE"/>
    <w:rsid w:val="005922A2"/>
    <w:rsid w:val="005923E3"/>
    <w:rsid w:val="00592685"/>
    <w:rsid w:val="00592C37"/>
    <w:rsid w:val="00593371"/>
    <w:rsid w:val="00593794"/>
    <w:rsid w:val="0059381F"/>
    <w:rsid w:val="005939A0"/>
    <w:rsid w:val="00593D8D"/>
    <w:rsid w:val="00593F94"/>
    <w:rsid w:val="005941EB"/>
    <w:rsid w:val="005947BF"/>
    <w:rsid w:val="005947E2"/>
    <w:rsid w:val="0059481D"/>
    <w:rsid w:val="0059498D"/>
    <w:rsid w:val="00594AC9"/>
    <w:rsid w:val="005951FD"/>
    <w:rsid w:val="00595763"/>
    <w:rsid w:val="005959CF"/>
    <w:rsid w:val="00595A6D"/>
    <w:rsid w:val="00595F4B"/>
    <w:rsid w:val="00595FAD"/>
    <w:rsid w:val="005969D6"/>
    <w:rsid w:val="00596C82"/>
    <w:rsid w:val="00596C8F"/>
    <w:rsid w:val="00596EC3"/>
    <w:rsid w:val="005970AE"/>
    <w:rsid w:val="00597253"/>
    <w:rsid w:val="00597382"/>
    <w:rsid w:val="0059739B"/>
    <w:rsid w:val="00597B4D"/>
    <w:rsid w:val="00597D0A"/>
    <w:rsid w:val="005A0031"/>
    <w:rsid w:val="005A0624"/>
    <w:rsid w:val="005A06F4"/>
    <w:rsid w:val="005A091E"/>
    <w:rsid w:val="005A0AE2"/>
    <w:rsid w:val="005A0DBC"/>
    <w:rsid w:val="005A11BC"/>
    <w:rsid w:val="005A1407"/>
    <w:rsid w:val="005A143C"/>
    <w:rsid w:val="005A1473"/>
    <w:rsid w:val="005A1501"/>
    <w:rsid w:val="005A1C78"/>
    <w:rsid w:val="005A1D22"/>
    <w:rsid w:val="005A1FB8"/>
    <w:rsid w:val="005A2127"/>
    <w:rsid w:val="005A2137"/>
    <w:rsid w:val="005A24F9"/>
    <w:rsid w:val="005A25F8"/>
    <w:rsid w:val="005A261E"/>
    <w:rsid w:val="005A2A60"/>
    <w:rsid w:val="005A2A6A"/>
    <w:rsid w:val="005A2C66"/>
    <w:rsid w:val="005A2F68"/>
    <w:rsid w:val="005A2FA6"/>
    <w:rsid w:val="005A3486"/>
    <w:rsid w:val="005A403A"/>
    <w:rsid w:val="005A4084"/>
    <w:rsid w:val="005A414C"/>
    <w:rsid w:val="005A41CE"/>
    <w:rsid w:val="005A4332"/>
    <w:rsid w:val="005A489A"/>
    <w:rsid w:val="005A4B76"/>
    <w:rsid w:val="005A5215"/>
    <w:rsid w:val="005A5303"/>
    <w:rsid w:val="005A546E"/>
    <w:rsid w:val="005A56AB"/>
    <w:rsid w:val="005A579D"/>
    <w:rsid w:val="005A5AF1"/>
    <w:rsid w:val="005A66EC"/>
    <w:rsid w:val="005A6A0B"/>
    <w:rsid w:val="005A6A97"/>
    <w:rsid w:val="005A6BB0"/>
    <w:rsid w:val="005A6D29"/>
    <w:rsid w:val="005A6F08"/>
    <w:rsid w:val="005A70FB"/>
    <w:rsid w:val="005A73CE"/>
    <w:rsid w:val="005A7451"/>
    <w:rsid w:val="005A745F"/>
    <w:rsid w:val="005A7527"/>
    <w:rsid w:val="005A762F"/>
    <w:rsid w:val="005A7941"/>
    <w:rsid w:val="005A7A06"/>
    <w:rsid w:val="005A7A8C"/>
    <w:rsid w:val="005A7A94"/>
    <w:rsid w:val="005A7D36"/>
    <w:rsid w:val="005A7D82"/>
    <w:rsid w:val="005A7E5E"/>
    <w:rsid w:val="005A7E95"/>
    <w:rsid w:val="005B0030"/>
    <w:rsid w:val="005B07E1"/>
    <w:rsid w:val="005B0906"/>
    <w:rsid w:val="005B0B1B"/>
    <w:rsid w:val="005B1695"/>
    <w:rsid w:val="005B1AA7"/>
    <w:rsid w:val="005B1B53"/>
    <w:rsid w:val="005B1B99"/>
    <w:rsid w:val="005B2343"/>
    <w:rsid w:val="005B2425"/>
    <w:rsid w:val="005B2876"/>
    <w:rsid w:val="005B2A03"/>
    <w:rsid w:val="005B2DE7"/>
    <w:rsid w:val="005B2DFF"/>
    <w:rsid w:val="005B3481"/>
    <w:rsid w:val="005B374A"/>
    <w:rsid w:val="005B3758"/>
    <w:rsid w:val="005B37FE"/>
    <w:rsid w:val="005B3970"/>
    <w:rsid w:val="005B3A91"/>
    <w:rsid w:val="005B3BA7"/>
    <w:rsid w:val="005B3DB1"/>
    <w:rsid w:val="005B3F2D"/>
    <w:rsid w:val="005B40EC"/>
    <w:rsid w:val="005B45CC"/>
    <w:rsid w:val="005B46E7"/>
    <w:rsid w:val="005B4C57"/>
    <w:rsid w:val="005B50B3"/>
    <w:rsid w:val="005B50E4"/>
    <w:rsid w:val="005B5392"/>
    <w:rsid w:val="005B583B"/>
    <w:rsid w:val="005B5880"/>
    <w:rsid w:val="005B594D"/>
    <w:rsid w:val="005B5B1A"/>
    <w:rsid w:val="005B5C3E"/>
    <w:rsid w:val="005B5C49"/>
    <w:rsid w:val="005B6CA0"/>
    <w:rsid w:val="005B731C"/>
    <w:rsid w:val="005B73C5"/>
    <w:rsid w:val="005B7417"/>
    <w:rsid w:val="005B7C63"/>
    <w:rsid w:val="005C005C"/>
    <w:rsid w:val="005C053B"/>
    <w:rsid w:val="005C0916"/>
    <w:rsid w:val="005C0AF7"/>
    <w:rsid w:val="005C0E0E"/>
    <w:rsid w:val="005C0F9C"/>
    <w:rsid w:val="005C0FFC"/>
    <w:rsid w:val="005C101A"/>
    <w:rsid w:val="005C1159"/>
    <w:rsid w:val="005C1445"/>
    <w:rsid w:val="005C174A"/>
    <w:rsid w:val="005C1956"/>
    <w:rsid w:val="005C1988"/>
    <w:rsid w:val="005C19CA"/>
    <w:rsid w:val="005C1A25"/>
    <w:rsid w:val="005C1C4E"/>
    <w:rsid w:val="005C1E07"/>
    <w:rsid w:val="005C246E"/>
    <w:rsid w:val="005C26B9"/>
    <w:rsid w:val="005C29B3"/>
    <w:rsid w:val="005C2A0C"/>
    <w:rsid w:val="005C3078"/>
    <w:rsid w:val="005C3261"/>
    <w:rsid w:val="005C3346"/>
    <w:rsid w:val="005C3997"/>
    <w:rsid w:val="005C3C94"/>
    <w:rsid w:val="005C3D14"/>
    <w:rsid w:val="005C3FAD"/>
    <w:rsid w:val="005C47C9"/>
    <w:rsid w:val="005C47F1"/>
    <w:rsid w:val="005C481D"/>
    <w:rsid w:val="005C4F24"/>
    <w:rsid w:val="005C53D4"/>
    <w:rsid w:val="005C5515"/>
    <w:rsid w:val="005C55F7"/>
    <w:rsid w:val="005C56F6"/>
    <w:rsid w:val="005C574F"/>
    <w:rsid w:val="005C5A04"/>
    <w:rsid w:val="005C5AFF"/>
    <w:rsid w:val="005C5C62"/>
    <w:rsid w:val="005C5CFB"/>
    <w:rsid w:val="005C5E44"/>
    <w:rsid w:val="005C610D"/>
    <w:rsid w:val="005C6368"/>
    <w:rsid w:val="005C67FB"/>
    <w:rsid w:val="005C6A8A"/>
    <w:rsid w:val="005C6DDA"/>
    <w:rsid w:val="005C6FEA"/>
    <w:rsid w:val="005C71E5"/>
    <w:rsid w:val="005C7235"/>
    <w:rsid w:val="005C7BCA"/>
    <w:rsid w:val="005D0359"/>
    <w:rsid w:val="005D07E6"/>
    <w:rsid w:val="005D0D47"/>
    <w:rsid w:val="005D126B"/>
    <w:rsid w:val="005D134E"/>
    <w:rsid w:val="005D1A63"/>
    <w:rsid w:val="005D1B3B"/>
    <w:rsid w:val="005D1BAB"/>
    <w:rsid w:val="005D2884"/>
    <w:rsid w:val="005D28AD"/>
    <w:rsid w:val="005D2BC0"/>
    <w:rsid w:val="005D2BD5"/>
    <w:rsid w:val="005D2C61"/>
    <w:rsid w:val="005D2FEF"/>
    <w:rsid w:val="005D30B0"/>
    <w:rsid w:val="005D31D5"/>
    <w:rsid w:val="005D34E3"/>
    <w:rsid w:val="005D3952"/>
    <w:rsid w:val="005D3E83"/>
    <w:rsid w:val="005D3F82"/>
    <w:rsid w:val="005D45E4"/>
    <w:rsid w:val="005D49AF"/>
    <w:rsid w:val="005D49E3"/>
    <w:rsid w:val="005D4C1C"/>
    <w:rsid w:val="005D5071"/>
    <w:rsid w:val="005D5166"/>
    <w:rsid w:val="005D5476"/>
    <w:rsid w:val="005D58B1"/>
    <w:rsid w:val="005D59A0"/>
    <w:rsid w:val="005D5A61"/>
    <w:rsid w:val="005D5B87"/>
    <w:rsid w:val="005D5D4B"/>
    <w:rsid w:val="005D6058"/>
    <w:rsid w:val="005D6178"/>
    <w:rsid w:val="005D61BE"/>
    <w:rsid w:val="005D61CD"/>
    <w:rsid w:val="005D6536"/>
    <w:rsid w:val="005D6810"/>
    <w:rsid w:val="005D6824"/>
    <w:rsid w:val="005D689D"/>
    <w:rsid w:val="005D6942"/>
    <w:rsid w:val="005D6A02"/>
    <w:rsid w:val="005D6B52"/>
    <w:rsid w:val="005D6F3C"/>
    <w:rsid w:val="005D7326"/>
    <w:rsid w:val="005D7395"/>
    <w:rsid w:val="005D7529"/>
    <w:rsid w:val="005D7643"/>
    <w:rsid w:val="005D78FF"/>
    <w:rsid w:val="005D7BC3"/>
    <w:rsid w:val="005D7E9F"/>
    <w:rsid w:val="005D7F0C"/>
    <w:rsid w:val="005E010C"/>
    <w:rsid w:val="005E0155"/>
    <w:rsid w:val="005E0380"/>
    <w:rsid w:val="005E03F7"/>
    <w:rsid w:val="005E07FC"/>
    <w:rsid w:val="005E0956"/>
    <w:rsid w:val="005E0B3E"/>
    <w:rsid w:val="005E0EB2"/>
    <w:rsid w:val="005E11B3"/>
    <w:rsid w:val="005E12BC"/>
    <w:rsid w:val="005E134C"/>
    <w:rsid w:val="005E1386"/>
    <w:rsid w:val="005E19B4"/>
    <w:rsid w:val="005E1A4B"/>
    <w:rsid w:val="005E1D76"/>
    <w:rsid w:val="005E2084"/>
    <w:rsid w:val="005E23C6"/>
    <w:rsid w:val="005E2402"/>
    <w:rsid w:val="005E241D"/>
    <w:rsid w:val="005E2529"/>
    <w:rsid w:val="005E2883"/>
    <w:rsid w:val="005E2BFA"/>
    <w:rsid w:val="005E2F65"/>
    <w:rsid w:val="005E3024"/>
    <w:rsid w:val="005E313D"/>
    <w:rsid w:val="005E3236"/>
    <w:rsid w:val="005E3433"/>
    <w:rsid w:val="005E356B"/>
    <w:rsid w:val="005E3A3E"/>
    <w:rsid w:val="005E3D1D"/>
    <w:rsid w:val="005E3F8F"/>
    <w:rsid w:val="005E404F"/>
    <w:rsid w:val="005E4104"/>
    <w:rsid w:val="005E4375"/>
    <w:rsid w:val="005E4403"/>
    <w:rsid w:val="005E49A8"/>
    <w:rsid w:val="005E4A0D"/>
    <w:rsid w:val="005E4C4D"/>
    <w:rsid w:val="005E4CA0"/>
    <w:rsid w:val="005E4DD1"/>
    <w:rsid w:val="005E4E6E"/>
    <w:rsid w:val="005E4EEF"/>
    <w:rsid w:val="005E51E5"/>
    <w:rsid w:val="005E549C"/>
    <w:rsid w:val="005E54DB"/>
    <w:rsid w:val="005E5B8E"/>
    <w:rsid w:val="005E5E71"/>
    <w:rsid w:val="005E660F"/>
    <w:rsid w:val="005E6694"/>
    <w:rsid w:val="005E6918"/>
    <w:rsid w:val="005E6DDD"/>
    <w:rsid w:val="005E7228"/>
    <w:rsid w:val="005E7437"/>
    <w:rsid w:val="005E7549"/>
    <w:rsid w:val="005E7556"/>
    <w:rsid w:val="005E7A4B"/>
    <w:rsid w:val="005F00A0"/>
    <w:rsid w:val="005F05B8"/>
    <w:rsid w:val="005F0691"/>
    <w:rsid w:val="005F0773"/>
    <w:rsid w:val="005F077D"/>
    <w:rsid w:val="005F0962"/>
    <w:rsid w:val="005F09EB"/>
    <w:rsid w:val="005F0C9A"/>
    <w:rsid w:val="005F0E92"/>
    <w:rsid w:val="005F110A"/>
    <w:rsid w:val="005F150C"/>
    <w:rsid w:val="005F1558"/>
    <w:rsid w:val="005F16B5"/>
    <w:rsid w:val="005F1912"/>
    <w:rsid w:val="005F1DB0"/>
    <w:rsid w:val="005F1FBE"/>
    <w:rsid w:val="005F1FE5"/>
    <w:rsid w:val="005F21D9"/>
    <w:rsid w:val="005F23AA"/>
    <w:rsid w:val="005F2CE7"/>
    <w:rsid w:val="005F319A"/>
    <w:rsid w:val="005F3214"/>
    <w:rsid w:val="005F3387"/>
    <w:rsid w:val="005F3867"/>
    <w:rsid w:val="005F3B57"/>
    <w:rsid w:val="005F4047"/>
    <w:rsid w:val="005F43A4"/>
    <w:rsid w:val="005F43DA"/>
    <w:rsid w:val="005F483E"/>
    <w:rsid w:val="005F49EF"/>
    <w:rsid w:val="005F4CCB"/>
    <w:rsid w:val="005F4E8F"/>
    <w:rsid w:val="005F4EA6"/>
    <w:rsid w:val="005F4EC7"/>
    <w:rsid w:val="005F4EF7"/>
    <w:rsid w:val="005F5126"/>
    <w:rsid w:val="005F5D88"/>
    <w:rsid w:val="005F62C3"/>
    <w:rsid w:val="005F6588"/>
    <w:rsid w:val="005F66BF"/>
    <w:rsid w:val="005F6847"/>
    <w:rsid w:val="005F6A33"/>
    <w:rsid w:val="005F701D"/>
    <w:rsid w:val="005F78CA"/>
    <w:rsid w:val="005F7C12"/>
    <w:rsid w:val="005F7DB5"/>
    <w:rsid w:val="0060001D"/>
    <w:rsid w:val="00600157"/>
    <w:rsid w:val="006008D0"/>
    <w:rsid w:val="00600A9A"/>
    <w:rsid w:val="00600B20"/>
    <w:rsid w:val="00600CB7"/>
    <w:rsid w:val="00601096"/>
    <w:rsid w:val="006010B3"/>
    <w:rsid w:val="006011D8"/>
    <w:rsid w:val="006013B9"/>
    <w:rsid w:val="0060154D"/>
    <w:rsid w:val="00601E60"/>
    <w:rsid w:val="00601ECF"/>
    <w:rsid w:val="00601EFB"/>
    <w:rsid w:val="00601FF8"/>
    <w:rsid w:val="006029BA"/>
    <w:rsid w:val="00602EA2"/>
    <w:rsid w:val="00603067"/>
    <w:rsid w:val="006031F0"/>
    <w:rsid w:val="00603681"/>
    <w:rsid w:val="006037E6"/>
    <w:rsid w:val="00603956"/>
    <w:rsid w:val="00603CC4"/>
    <w:rsid w:val="00603ECE"/>
    <w:rsid w:val="00604734"/>
    <w:rsid w:val="00604A31"/>
    <w:rsid w:val="00604BC6"/>
    <w:rsid w:val="00604FD2"/>
    <w:rsid w:val="00605117"/>
    <w:rsid w:val="00605177"/>
    <w:rsid w:val="006052B4"/>
    <w:rsid w:val="0060554D"/>
    <w:rsid w:val="00605705"/>
    <w:rsid w:val="00605A8A"/>
    <w:rsid w:val="00605B08"/>
    <w:rsid w:val="00605B37"/>
    <w:rsid w:val="00605B4D"/>
    <w:rsid w:val="00605E33"/>
    <w:rsid w:val="00605EC6"/>
    <w:rsid w:val="00605FA4"/>
    <w:rsid w:val="006060CB"/>
    <w:rsid w:val="00606227"/>
    <w:rsid w:val="0060624A"/>
    <w:rsid w:val="006066A6"/>
    <w:rsid w:val="006068EC"/>
    <w:rsid w:val="00607304"/>
    <w:rsid w:val="006079FF"/>
    <w:rsid w:val="00607AF4"/>
    <w:rsid w:val="00610015"/>
    <w:rsid w:val="006103BD"/>
    <w:rsid w:val="00610D7E"/>
    <w:rsid w:val="00610D8D"/>
    <w:rsid w:val="006112BB"/>
    <w:rsid w:val="00611540"/>
    <w:rsid w:val="00611E91"/>
    <w:rsid w:val="0061236B"/>
    <w:rsid w:val="0061240E"/>
    <w:rsid w:val="006129FF"/>
    <w:rsid w:val="00612A04"/>
    <w:rsid w:val="00612BA3"/>
    <w:rsid w:val="006132E7"/>
    <w:rsid w:val="00613BF0"/>
    <w:rsid w:val="00613EE4"/>
    <w:rsid w:val="00614167"/>
    <w:rsid w:val="006142FC"/>
    <w:rsid w:val="0061496E"/>
    <w:rsid w:val="00614998"/>
    <w:rsid w:val="00614EBB"/>
    <w:rsid w:val="00615488"/>
    <w:rsid w:val="006156A7"/>
    <w:rsid w:val="00615700"/>
    <w:rsid w:val="006158BC"/>
    <w:rsid w:val="006158DB"/>
    <w:rsid w:val="00615915"/>
    <w:rsid w:val="00615A1F"/>
    <w:rsid w:val="00615A47"/>
    <w:rsid w:val="006163C8"/>
    <w:rsid w:val="0061675C"/>
    <w:rsid w:val="0061695A"/>
    <w:rsid w:val="00616C6E"/>
    <w:rsid w:val="00616D08"/>
    <w:rsid w:val="00616D0D"/>
    <w:rsid w:val="00616E49"/>
    <w:rsid w:val="00616EF1"/>
    <w:rsid w:val="00616FA6"/>
    <w:rsid w:val="00617040"/>
    <w:rsid w:val="006172A5"/>
    <w:rsid w:val="00617418"/>
    <w:rsid w:val="00617592"/>
    <w:rsid w:val="00617D55"/>
    <w:rsid w:val="006202D7"/>
    <w:rsid w:val="006204BE"/>
    <w:rsid w:val="0062069A"/>
    <w:rsid w:val="0062077D"/>
    <w:rsid w:val="0062080C"/>
    <w:rsid w:val="006209F0"/>
    <w:rsid w:val="00620B11"/>
    <w:rsid w:val="00620D94"/>
    <w:rsid w:val="00620E9A"/>
    <w:rsid w:val="00620FB3"/>
    <w:rsid w:val="00620FCC"/>
    <w:rsid w:val="00621000"/>
    <w:rsid w:val="00621103"/>
    <w:rsid w:val="0062110E"/>
    <w:rsid w:val="006215C9"/>
    <w:rsid w:val="0062171F"/>
    <w:rsid w:val="00621730"/>
    <w:rsid w:val="006217B3"/>
    <w:rsid w:val="006219B3"/>
    <w:rsid w:val="00621B0A"/>
    <w:rsid w:val="00621D38"/>
    <w:rsid w:val="00621F93"/>
    <w:rsid w:val="00622357"/>
    <w:rsid w:val="00622594"/>
    <w:rsid w:val="0062284B"/>
    <w:rsid w:val="00622B68"/>
    <w:rsid w:val="00622BE6"/>
    <w:rsid w:val="00622D56"/>
    <w:rsid w:val="00622DAF"/>
    <w:rsid w:val="00622E5F"/>
    <w:rsid w:val="0062314C"/>
    <w:rsid w:val="0062343D"/>
    <w:rsid w:val="006235C1"/>
    <w:rsid w:val="006237A0"/>
    <w:rsid w:val="00623B43"/>
    <w:rsid w:val="00623B54"/>
    <w:rsid w:val="00623C2F"/>
    <w:rsid w:val="00623CDF"/>
    <w:rsid w:val="00623D72"/>
    <w:rsid w:val="00623E34"/>
    <w:rsid w:val="006249FC"/>
    <w:rsid w:val="00624A1D"/>
    <w:rsid w:val="00624D0D"/>
    <w:rsid w:val="00625189"/>
    <w:rsid w:val="006251BE"/>
    <w:rsid w:val="006252C3"/>
    <w:rsid w:val="00625354"/>
    <w:rsid w:val="0062564A"/>
    <w:rsid w:val="006257DE"/>
    <w:rsid w:val="00625983"/>
    <w:rsid w:val="006259E0"/>
    <w:rsid w:val="00625C78"/>
    <w:rsid w:val="00626233"/>
    <w:rsid w:val="00626309"/>
    <w:rsid w:val="00626519"/>
    <w:rsid w:val="006267A4"/>
    <w:rsid w:val="00626801"/>
    <w:rsid w:val="00626A68"/>
    <w:rsid w:val="00626A8B"/>
    <w:rsid w:val="00626BB3"/>
    <w:rsid w:val="00626BC1"/>
    <w:rsid w:val="00626F54"/>
    <w:rsid w:val="00627151"/>
    <w:rsid w:val="0062751D"/>
    <w:rsid w:val="00627704"/>
    <w:rsid w:val="00627C23"/>
    <w:rsid w:val="00627E5F"/>
    <w:rsid w:val="00627F59"/>
    <w:rsid w:val="0063004C"/>
    <w:rsid w:val="0063007F"/>
    <w:rsid w:val="00630110"/>
    <w:rsid w:val="006303CF"/>
    <w:rsid w:val="00630497"/>
    <w:rsid w:val="006304F6"/>
    <w:rsid w:val="00630723"/>
    <w:rsid w:val="006309C9"/>
    <w:rsid w:val="00630E36"/>
    <w:rsid w:val="00630F2C"/>
    <w:rsid w:val="0063108D"/>
    <w:rsid w:val="00631100"/>
    <w:rsid w:val="0063148C"/>
    <w:rsid w:val="00631603"/>
    <w:rsid w:val="006316C7"/>
    <w:rsid w:val="006316F3"/>
    <w:rsid w:val="00631747"/>
    <w:rsid w:val="0063196B"/>
    <w:rsid w:val="00631B0E"/>
    <w:rsid w:val="00631D75"/>
    <w:rsid w:val="006320AC"/>
    <w:rsid w:val="00632488"/>
    <w:rsid w:val="00632579"/>
    <w:rsid w:val="00632713"/>
    <w:rsid w:val="00632925"/>
    <w:rsid w:val="006329A1"/>
    <w:rsid w:val="00632AF2"/>
    <w:rsid w:val="00632B3E"/>
    <w:rsid w:val="00632BB3"/>
    <w:rsid w:val="00633032"/>
    <w:rsid w:val="00633457"/>
    <w:rsid w:val="00633508"/>
    <w:rsid w:val="0063367F"/>
    <w:rsid w:val="00633802"/>
    <w:rsid w:val="00633F3A"/>
    <w:rsid w:val="0063405C"/>
    <w:rsid w:val="006345A3"/>
    <w:rsid w:val="00634B3F"/>
    <w:rsid w:val="0063522D"/>
    <w:rsid w:val="006354F4"/>
    <w:rsid w:val="006357F4"/>
    <w:rsid w:val="006358C0"/>
    <w:rsid w:val="00635D04"/>
    <w:rsid w:val="00635D26"/>
    <w:rsid w:val="006363F6"/>
    <w:rsid w:val="00636434"/>
    <w:rsid w:val="006368AC"/>
    <w:rsid w:val="00636B96"/>
    <w:rsid w:val="00636CCC"/>
    <w:rsid w:val="00637112"/>
    <w:rsid w:val="00637589"/>
    <w:rsid w:val="006376AB"/>
    <w:rsid w:val="006376CE"/>
    <w:rsid w:val="00637D80"/>
    <w:rsid w:val="00637FC3"/>
    <w:rsid w:val="00640614"/>
    <w:rsid w:val="00640665"/>
    <w:rsid w:val="006406FE"/>
    <w:rsid w:val="00640801"/>
    <w:rsid w:val="00640855"/>
    <w:rsid w:val="006408E2"/>
    <w:rsid w:val="00640C5A"/>
    <w:rsid w:val="00640EE3"/>
    <w:rsid w:val="0064103B"/>
    <w:rsid w:val="006410AE"/>
    <w:rsid w:val="00641164"/>
    <w:rsid w:val="006411D7"/>
    <w:rsid w:val="00641839"/>
    <w:rsid w:val="00641F9C"/>
    <w:rsid w:val="00642056"/>
    <w:rsid w:val="0064229C"/>
    <w:rsid w:val="006424CE"/>
    <w:rsid w:val="00642562"/>
    <w:rsid w:val="00642640"/>
    <w:rsid w:val="00642C82"/>
    <w:rsid w:val="00642F01"/>
    <w:rsid w:val="00642F73"/>
    <w:rsid w:val="00642FD3"/>
    <w:rsid w:val="00642FDC"/>
    <w:rsid w:val="00643490"/>
    <w:rsid w:val="006435DB"/>
    <w:rsid w:val="006437FF"/>
    <w:rsid w:val="00643B61"/>
    <w:rsid w:val="00643C49"/>
    <w:rsid w:val="00643DDA"/>
    <w:rsid w:val="00643F04"/>
    <w:rsid w:val="00644088"/>
    <w:rsid w:val="006440E3"/>
    <w:rsid w:val="006441CE"/>
    <w:rsid w:val="006442B4"/>
    <w:rsid w:val="0064436A"/>
    <w:rsid w:val="00644825"/>
    <w:rsid w:val="006448D4"/>
    <w:rsid w:val="00644903"/>
    <w:rsid w:val="00644F61"/>
    <w:rsid w:val="006450D4"/>
    <w:rsid w:val="006456D6"/>
    <w:rsid w:val="00645BFC"/>
    <w:rsid w:val="00645C67"/>
    <w:rsid w:val="00645D8F"/>
    <w:rsid w:val="00645E2F"/>
    <w:rsid w:val="00645F04"/>
    <w:rsid w:val="00646039"/>
    <w:rsid w:val="006460A0"/>
    <w:rsid w:val="0064610B"/>
    <w:rsid w:val="006461E0"/>
    <w:rsid w:val="0064658E"/>
    <w:rsid w:val="006465D6"/>
    <w:rsid w:val="00646E7A"/>
    <w:rsid w:val="00646FAF"/>
    <w:rsid w:val="0064700D"/>
    <w:rsid w:val="006470D1"/>
    <w:rsid w:val="00647338"/>
    <w:rsid w:val="0064749A"/>
    <w:rsid w:val="006474F1"/>
    <w:rsid w:val="00647956"/>
    <w:rsid w:val="006479D3"/>
    <w:rsid w:val="006501ED"/>
    <w:rsid w:val="00650306"/>
    <w:rsid w:val="00650344"/>
    <w:rsid w:val="0065068F"/>
    <w:rsid w:val="006509A8"/>
    <w:rsid w:val="00650BA0"/>
    <w:rsid w:val="00650BDE"/>
    <w:rsid w:val="00650BEA"/>
    <w:rsid w:val="0065109F"/>
    <w:rsid w:val="00651158"/>
    <w:rsid w:val="00651273"/>
    <w:rsid w:val="0065158F"/>
    <w:rsid w:val="00651F56"/>
    <w:rsid w:val="006524D6"/>
    <w:rsid w:val="00652648"/>
    <w:rsid w:val="006531D8"/>
    <w:rsid w:val="00653297"/>
    <w:rsid w:val="0065334E"/>
    <w:rsid w:val="006534DE"/>
    <w:rsid w:val="006535D9"/>
    <w:rsid w:val="00653645"/>
    <w:rsid w:val="006541A0"/>
    <w:rsid w:val="006547F3"/>
    <w:rsid w:val="006548CC"/>
    <w:rsid w:val="00654D62"/>
    <w:rsid w:val="00654DCD"/>
    <w:rsid w:val="00654E95"/>
    <w:rsid w:val="00654EA5"/>
    <w:rsid w:val="00655462"/>
    <w:rsid w:val="006554CD"/>
    <w:rsid w:val="006554DD"/>
    <w:rsid w:val="006555C9"/>
    <w:rsid w:val="0065596D"/>
    <w:rsid w:val="00655BA0"/>
    <w:rsid w:val="006560B9"/>
    <w:rsid w:val="00656212"/>
    <w:rsid w:val="006562AD"/>
    <w:rsid w:val="006564E1"/>
    <w:rsid w:val="006566BC"/>
    <w:rsid w:val="006567B4"/>
    <w:rsid w:val="00656A38"/>
    <w:rsid w:val="00656C8A"/>
    <w:rsid w:val="00656CD2"/>
    <w:rsid w:val="00656E90"/>
    <w:rsid w:val="00656F35"/>
    <w:rsid w:val="006572E6"/>
    <w:rsid w:val="00657828"/>
    <w:rsid w:val="00657836"/>
    <w:rsid w:val="006578F9"/>
    <w:rsid w:val="006579D8"/>
    <w:rsid w:val="00657EBB"/>
    <w:rsid w:val="006601CA"/>
    <w:rsid w:val="006603AF"/>
    <w:rsid w:val="00660525"/>
    <w:rsid w:val="00660920"/>
    <w:rsid w:val="00660A0E"/>
    <w:rsid w:val="00660C2A"/>
    <w:rsid w:val="00660C56"/>
    <w:rsid w:val="00660EBF"/>
    <w:rsid w:val="006610CB"/>
    <w:rsid w:val="00661109"/>
    <w:rsid w:val="00661438"/>
    <w:rsid w:val="00661538"/>
    <w:rsid w:val="0066167A"/>
    <w:rsid w:val="0066199C"/>
    <w:rsid w:val="00661F67"/>
    <w:rsid w:val="006621D4"/>
    <w:rsid w:val="00662222"/>
    <w:rsid w:val="00662321"/>
    <w:rsid w:val="00662607"/>
    <w:rsid w:val="00662841"/>
    <w:rsid w:val="0066291E"/>
    <w:rsid w:val="006629EE"/>
    <w:rsid w:val="00662F6F"/>
    <w:rsid w:val="00663076"/>
    <w:rsid w:val="00663193"/>
    <w:rsid w:val="0066382E"/>
    <w:rsid w:val="006639E3"/>
    <w:rsid w:val="00663A0A"/>
    <w:rsid w:val="00663CFE"/>
    <w:rsid w:val="00663D51"/>
    <w:rsid w:val="0066409A"/>
    <w:rsid w:val="00664277"/>
    <w:rsid w:val="00664305"/>
    <w:rsid w:val="006643B0"/>
    <w:rsid w:val="00664A21"/>
    <w:rsid w:val="00664B59"/>
    <w:rsid w:val="00664BF4"/>
    <w:rsid w:val="00664E74"/>
    <w:rsid w:val="00664EBF"/>
    <w:rsid w:val="00665054"/>
    <w:rsid w:val="0066517A"/>
    <w:rsid w:val="006653DA"/>
    <w:rsid w:val="006659E6"/>
    <w:rsid w:val="00665C54"/>
    <w:rsid w:val="00665D30"/>
    <w:rsid w:val="00665F2C"/>
    <w:rsid w:val="0066617D"/>
    <w:rsid w:val="006663C0"/>
    <w:rsid w:val="00666433"/>
    <w:rsid w:val="0066654A"/>
    <w:rsid w:val="00666912"/>
    <w:rsid w:val="00666B9D"/>
    <w:rsid w:val="00666D92"/>
    <w:rsid w:val="006673D1"/>
    <w:rsid w:val="00667755"/>
    <w:rsid w:val="00667A8B"/>
    <w:rsid w:val="00667B47"/>
    <w:rsid w:val="00667FF8"/>
    <w:rsid w:val="0067038C"/>
    <w:rsid w:val="006707D9"/>
    <w:rsid w:val="00670903"/>
    <w:rsid w:val="006709D1"/>
    <w:rsid w:val="00670E9A"/>
    <w:rsid w:val="00671094"/>
    <w:rsid w:val="00671289"/>
    <w:rsid w:val="0067147F"/>
    <w:rsid w:val="006716E5"/>
    <w:rsid w:val="00671701"/>
    <w:rsid w:val="006717BF"/>
    <w:rsid w:val="00671884"/>
    <w:rsid w:val="006718B8"/>
    <w:rsid w:val="006719C5"/>
    <w:rsid w:val="00671C00"/>
    <w:rsid w:val="00671C4C"/>
    <w:rsid w:val="00671D78"/>
    <w:rsid w:val="00671F52"/>
    <w:rsid w:val="00671F9E"/>
    <w:rsid w:val="0067279C"/>
    <w:rsid w:val="006727C6"/>
    <w:rsid w:val="00672850"/>
    <w:rsid w:val="00672948"/>
    <w:rsid w:val="00672973"/>
    <w:rsid w:val="00672994"/>
    <w:rsid w:val="00672A80"/>
    <w:rsid w:val="00672B1C"/>
    <w:rsid w:val="0067354B"/>
    <w:rsid w:val="006736F1"/>
    <w:rsid w:val="0067386E"/>
    <w:rsid w:val="0067389A"/>
    <w:rsid w:val="00673973"/>
    <w:rsid w:val="00673A2C"/>
    <w:rsid w:val="0067427C"/>
    <w:rsid w:val="00674287"/>
    <w:rsid w:val="0067447C"/>
    <w:rsid w:val="0067448F"/>
    <w:rsid w:val="00674672"/>
    <w:rsid w:val="00674829"/>
    <w:rsid w:val="006749A3"/>
    <w:rsid w:val="00674FAF"/>
    <w:rsid w:val="00674FEE"/>
    <w:rsid w:val="006751E0"/>
    <w:rsid w:val="006754CC"/>
    <w:rsid w:val="0067560A"/>
    <w:rsid w:val="006756ED"/>
    <w:rsid w:val="00675BE5"/>
    <w:rsid w:val="006763D6"/>
    <w:rsid w:val="00676528"/>
    <w:rsid w:val="00676628"/>
    <w:rsid w:val="00676A9F"/>
    <w:rsid w:val="00676FA7"/>
    <w:rsid w:val="00677234"/>
    <w:rsid w:val="0067749C"/>
    <w:rsid w:val="00677971"/>
    <w:rsid w:val="00677DF8"/>
    <w:rsid w:val="00677E09"/>
    <w:rsid w:val="00680633"/>
    <w:rsid w:val="00680908"/>
    <w:rsid w:val="00680A21"/>
    <w:rsid w:val="00680AF9"/>
    <w:rsid w:val="006814A1"/>
    <w:rsid w:val="0068167F"/>
    <w:rsid w:val="006816DB"/>
    <w:rsid w:val="00681847"/>
    <w:rsid w:val="00681EE8"/>
    <w:rsid w:val="00681F4C"/>
    <w:rsid w:val="006820EE"/>
    <w:rsid w:val="00682475"/>
    <w:rsid w:val="00682C85"/>
    <w:rsid w:val="00682DB0"/>
    <w:rsid w:val="00682E64"/>
    <w:rsid w:val="00683066"/>
    <w:rsid w:val="0068310F"/>
    <w:rsid w:val="006831D0"/>
    <w:rsid w:val="0068383F"/>
    <w:rsid w:val="00683F55"/>
    <w:rsid w:val="00683F5A"/>
    <w:rsid w:val="00684039"/>
    <w:rsid w:val="006840B2"/>
    <w:rsid w:val="006844EA"/>
    <w:rsid w:val="0068453C"/>
    <w:rsid w:val="006846C3"/>
    <w:rsid w:val="006847FE"/>
    <w:rsid w:val="006849C0"/>
    <w:rsid w:val="00684ED5"/>
    <w:rsid w:val="00685019"/>
    <w:rsid w:val="006852E6"/>
    <w:rsid w:val="00685E88"/>
    <w:rsid w:val="00686177"/>
    <w:rsid w:val="0068631C"/>
    <w:rsid w:val="0068641B"/>
    <w:rsid w:val="00686A43"/>
    <w:rsid w:val="00686B34"/>
    <w:rsid w:val="00686C24"/>
    <w:rsid w:val="00687017"/>
    <w:rsid w:val="0068721C"/>
    <w:rsid w:val="0068737D"/>
    <w:rsid w:val="00687459"/>
    <w:rsid w:val="006876D6"/>
    <w:rsid w:val="00687B61"/>
    <w:rsid w:val="006900B0"/>
    <w:rsid w:val="00690147"/>
    <w:rsid w:val="00690307"/>
    <w:rsid w:val="006904EF"/>
    <w:rsid w:val="00690B63"/>
    <w:rsid w:val="00690CBB"/>
    <w:rsid w:val="00690FC1"/>
    <w:rsid w:val="006911A4"/>
    <w:rsid w:val="00691294"/>
    <w:rsid w:val="00691E09"/>
    <w:rsid w:val="006921D1"/>
    <w:rsid w:val="006925F4"/>
    <w:rsid w:val="006928A9"/>
    <w:rsid w:val="00692C9C"/>
    <w:rsid w:val="00692EFA"/>
    <w:rsid w:val="00692F00"/>
    <w:rsid w:val="006932D3"/>
    <w:rsid w:val="00693591"/>
    <w:rsid w:val="006936A3"/>
    <w:rsid w:val="00693846"/>
    <w:rsid w:val="006938BA"/>
    <w:rsid w:val="00693CBC"/>
    <w:rsid w:val="00693DDC"/>
    <w:rsid w:val="006943AD"/>
    <w:rsid w:val="00694C72"/>
    <w:rsid w:val="00694DB0"/>
    <w:rsid w:val="00694E35"/>
    <w:rsid w:val="0069512C"/>
    <w:rsid w:val="006952F7"/>
    <w:rsid w:val="0069540D"/>
    <w:rsid w:val="00695437"/>
    <w:rsid w:val="00695449"/>
    <w:rsid w:val="0069550A"/>
    <w:rsid w:val="00695BF3"/>
    <w:rsid w:val="00695CB6"/>
    <w:rsid w:val="00695D8E"/>
    <w:rsid w:val="00695E88"/>
    <w:rsid w:val="006961E2"/>
    <w:rsid w:val="00696782"/>
    <w:rsid w:val="006969AC"/>
    <w:rsid w:val="006969BB"/>
    <w:rsid w:val="00696F96"/>
    <w:rsid w:val="00697190"/>
    <w:rsid w:val="006978BA"/>
    <w:rsid w:val="00697A84"/>
    <w:rsid w:val="00697AE1"/>
    <w:rsid w:val="00697C25"/>
    <w:rsid w:val="00697D91"/>
    <w:rsid w:val="00697E67"/>
    <w:rsid w:val="006A01BA"/>
    <w:rsid w:val="006A0288"/>
    <w:rsid w:val="006A0E9F"/>
    <w:rsid w:val="006A16D7"/>
    <w:rsid w:val="006A179A"/>
    <w:rsid w:val="006A1A04"/>
    <w:rsid w:val="006A22CF"/>
    <w:rsid w:val="006A2576"/>
    <w:rsid w:val="006A25BE"/>
    <w:rsid w:val="006A267E"/>
    <w:rsid w:val="006A2A19"/>
    <w:rsid w:val="006A2BD8"/>
    <w:rsid w:val="006A3500"/>
    <w:rsid w:val="006A3B48"/>
    <w:rsid w:val="006A3D52"/>
    <w:rsid w:val="006A4272"/>
    <w:rsid w:val="006A4285"/>
    <w:rsid w:val="006A439B"/>
    <w:rsid w:val="006A462D"/>
    <w:rsid w:val="006A4B99"/>
    <w:rsid w:val="006A511F"/>
    <w:rsid w:val="006A51D2"/>
    <w:rsid w:val="006A537F"/>
    <w:rsid w:val="006A552A"/>
    <w:rsid w:val="006A5721"/>
    <w:rsid w:val="006A5730"/>
    <w:rsid w:val="006A5854"/>
    <w:rsid w:val="006A59D3"/>
    <w:rsid w:val="006A5AA0"/>
    <w:rsid w:val="006A5EFD"/>
    <w:rsid w:val="006A622B"/>
    <w:rsid w:val="006A6295"/>
    <w:rsid w:val="006A653B"/>
    <w:rsid w:val="006A681E"/>
    <w:rsid w:val="006A6922"/>
    <w:rsid w:val="006A6C9F"/>
    <w:rsid w:val="006A6FB7"/>
    <w:rsid w:val="006A724A"/>
    <w:rsid w:val="006A750C"/>
    <w:rsid w:val="006A755D"/>
    <w:rsid w:val="006A7832"/>
    <w:rsid w:val="006A79CA"/>
    <w:rsid w:val="006A7B1A"/>
    <w:rsid w:val="006A7D1D"/>
    <w:rsid w:val="006A7E50"/>
    <w:rsid w:val="006A7E56"/>
    <w:rsid w:val="006B00FF"/>
    <w:rsid w:val="006B02E3"/>
    <w:rsid w:val="006B0389"/>
    <w:rsid w:val="006B0AE0"/>
    <w:rsid w:val="006B0BF2"/>
    <w:rsid w:val="006B0CD6"/>
    <w:rsid w:val="006B0F33"/>
    <w:rsid w:val="006B1162"/>
    <w:rsid w:val="006B1460"/>
    <w:rsid w:val="006B1929"/>
    <w:rsid w:val="006B1985"/>
    <w:rsid w:val="006B1D7D"/>
    <w:rsid w:val="006B2555"/>
    <w:rsid w:val="006B28F4"/>
    <w:rsid w:val="006B2CFB"/>
    <w:rsid w:val="006B2D5A"/>
    <w:rsid w:val="006B328A"/>
    <w:rsid w:val="006B35C7"/>
    <w:rsid w:val="006B3AD8"/>
    <w:rsid w:val="006B3EA3"/>
    <w:rsid w:val="006B41B3"/>
    <w:rsid w:val="006B4443"/>
    <w:rsid w:val="006B483B"/>
    <w:rsid w:val="006B4B22"/>
    <w:rsid w:val="006B4D00"/>
    <w:rsid w:val="006B4D27"/>
    <w:rsid w:val="006B5462"/>
    <w:rsid w:val="006B5615"/>
    <w:rsid w:val="006B5B0B"/>
    <w:rsid w:val="006B5E09"/>
    <w:rsid w:val="006B5FFC"/>
    <w:rsid w:val="006B6086"/>
    <w:rsid w:val="006B6168"/>
    <w:rsid w:val="006B6A6A"/>
    <w:rsid w:val="006B6D7A"/>
    <w:rsid w:val="006B6D8D"/>
    <w:rsid w:val="006B6E38"/>
    <w:rsid w:val="006B6FF2"/>
    <w:rsid w:val="006B71CA"/>
    <w:rsid w:val="006B7BB1"/>
    <w:rsid w:val="006B7CB4"/>
    <w:rsid w:val="006B7F67"/>
    <w:rsid w:val="006C01B4"/>
    <w:rsid w:val="006C043B"/>
    <w:rsid w:val="006C049D"/>
    <w:rsid w:val="006C0536"/>
    <w:rsid w:val="006C0801"/>
    <w:rsid w:val="006C0902"/>
    <w:rsid w:val="006C096F"/>
    <w:rsid w:val="006C0C3F"/>
    <w:rsid w:val="006C0E91"/>
    <w:rsid w:val="006C15E4"/>
    <w:rsid w:val="006C171E"/>
    <w:rsid w:val="006C17BC"/>
    <w:rsid w:val="006C1B95"/>
    <w:rsid w:val="006C1C24"/>
    <w:rsid w:val="006C1DA2"/>
    <w:rsid w:val="006C1DF9"/>
    <w:rsid w:val="006C1E7A"/>
    <w:rsid w:val="006C1E9C"/>
    <w:rsid w:val="006C1EBA"/>
    <w:rsid w:val="006C1EC9"/>
    <w:rsid w:val="006C200E"/>
    <w:rsid w:val="006C2432"/>
    <w:rsid w:val="006C24BC"/>
    <w:rsid w:val="006C2646"/>
    <w:rsid w:val="006C284D"/>
    <w:rsid w:val="006C2904"/>
    <w:rsid w:val="006C2B88"/>
    <w:rsid w:val="006C2BD2"/>
    <w:rsid w:val="006C2FA0"/>
    <w:rsid w:val="006C3346"/>
    <w:rsid w:val="006C3660"/>
    <w:rsid w:val="006C391B"/>
    <w:rsid w:val="006C4152"/>
    <w:rsid w:val="006C420D"/>
    <w:rsid w:val="006C4452"/>
    <w:rsid w:val="006C47AF"/>
    <w:rsid w:val="006C4ABC"/>
    <w:rsid w:val="006C4B02"/>
    <w:rsid w:val="006C4B6D"/>
    <w:rsid w:val="006C4C6B"/>
    <w:rsid w:val="006C54D2"/>
    <w:rsid w:val="006C55BA"/>
    <w:rsid w:val="006C562B"/>
    <w:rsid w:val="006C58BA"/>
    <w:rsid w:val="006C5980"/>
    <w:rsid w:val="006C612D"/>
    <w:rsid w:val="006C635E"/>
    <w:rsid w:val="006C6485"/>
    <w:rsid w:val="006C6617"/>
    <w:rsid w:val="006C6749"/>
    <w:rsid w:val="006C6773"/>
    <w:rsid w:val="006C6A1F"/>
    <w:rsid w:val="006C6B57"/>
    <w:rsid w:val="006C6DC5"/>
    <w:rsid w:val="006C6EFD"/>
    <w:rsid w:val="006C75C3"/>
    <w:rsid w:val="006C797B"/>
    <w:rsid w:val="006C79BE"/>
    <w:rsid w:val="006C7A1B"/>
    <w:rsid w:val="006C7DA7"/>
    <w:rsid w:val="006C7E01"/>
    <w:rsid w:val="006D00B4"/>
    <w:rsid w:val="006D0395"/>
    <w:rsid w:val="006D0754"/>
    <w:rsid w:val="006D09CB"/>
    <w:rsid w:val="006D0A99"/>
    <w:rsid w:val="006D0AA8"/>
    <w:rsid w:val="006D0FED"/>
    <w:rsid w:val="006D1171"/>
    <w:rsid w:val="006D1268"/>
    <w:rsid w:val="006D12C5"/>
    <w:rsid w:val="006D15DF"/>
    <w:rsid w:val="006D194B"/>
    <w:rsid w:val="006D2461"/>
    <w:rsid w:val="006D27FD"/>
    <w:rsid w:val="006D280B"/>
    <w:rsid w:val="006D2ADB"/>
    <w:rsid w:val="006D2C7E"/>
    <w:rsid w:val="006D2D64"/>
    <w:rsid w:val="006D312F"/>
    <w:rsid w:val="006D3716"/>
    <w:rsid w:val="006D3927"/>
    <w:rsid w:val="006D3C32"/>
    <w:rsid w:val="006D3CD1"/>
    <w:rsid w:val="006D43E4"/>
    <w:rsid w:val="006D44E5"/>
    <w:rsid w:val="006D450B"/>
    <w:rsid w:val="006D5123"/>
    <w:rsid w:val="006D529E"/>
    <w:rsid w:val="006D580B"/>
    <w:rsid w:val="006D5BF3"/>
    <w:rsid w:val="006D5D7E"/>
    <w:rsid w:val="006D5F14"/>
    <w:rsid w:val="006D608D"/>
    <w:rsid w:val="006D62D1"/>
    <w:rsid w:val="006D62D9"/>
    <w:rsid w:val="006D6627"/>
    <w:rsid w:val="006D6AE9"/>
    <w:rsid w:val="006D6C13"/>
    <w:rsid w:val="006D716D"/>
    <w:rsid w:val="006D7266"/>
    <w:rsid w:val="006D726D"/>
    <w:rsid w:val="006D738F"/>
    <w:rsid w:val="006D744B"/>
    <w:rsid w:val="006D74E8"/>
    <w:rsid w:val="006D7753"/>
    <w:rsid w:val="006D78FC"/>
    <w:rsid w:val="006D7D86"/>
    <w:rsid w:val="006E0084"/>
    <w:rsid w:val="006E00A7"/>
    <w:rsid w:val="006E0738"/>
    <w:rsid w:val="006E0B6D"/>
    <w:rsid w:val="006E0C5E"/>
    <w:rsid w:val="006E10FF"/>
    <w:rsid w:val="006E1289"/>
    <w:rsid w:val="006E179B"/>
    <w:rsid w:val="006E18F3"/>
    <w:rsid w:val="006E2058"/>
    <w:rsid w:val="006E20DC"/>
    <w:rsid w:val="006E2137"/>
    <w:rsid w:val="006E23ED"/>
    <w:rsid w:val="006E2667"/>
    <w:rsid w:val="006E2751"/>
    <w:rsid w:val="006E2987"/>
    <w:rsid w:val="006E2A9E"/>
    <w:rsid w:val="006E2B4F"/>
    <w:rsid w:val="006E2E1D"/>
    <w:rsid w:val="006E3146"/>
    <w:rsid w:val="006E31D9"/>
    <w:rsid w:val="006E35E1"/>
    <w:rsid w:val="006E367B"/>
    <w:rsid w:val="006E3B5C"/>
    <w:rsid w:val="006E3B7E"/>
    <w:rsid w:val="006E3DD0"/>
    <w:rsid w:val="006E3F06"/>
    <w:rsid w:val="006E3F30"/>
    <w:rsid w:val="006E410C"/>
    <w:rsid w:val="006E43BD"/>
    <w:rsid w:val="006E45D8"/>
    <w:rsid w:val="006E4B37"/>
    <w:rsid w:val="006E4E4B"/>
    <w:rsid w:val="006E4F3B"/>
    <w:rsid w:val="006E5031"/>
    <w:rsid w:val="006E5C6C"/>
    <w:rsid w:val="006E5CB0"/>
    <w:rsid w:val="006E600F"/>
    <w:rsid w:val="006E6107"/>
    <w:rsid w:val="006E6351"/>
    <w:rsid w:val="006E6A0E"/>
    <w:rsid w:val="006E6AFC"/>
    <w:rsid w:val="006E6E11"/>
    <w:rsid w:val="006E6E77"/>
    <w:rsid w:val="006E6E90"/>
    <w:rsid w:val="006E7199"/>
    <w:rsid w:val="006E75A1"/>
    <w:rsid w:val="006E77A6"/>
    <w:rsid w:val="006E7A82"/>
    <w:rsid w:val="006E7AAE"/>
    <w:rsid w:val="006E7C7D"/>
    <w:rsid w:val="006E7FD7"/>
    <w:rsid w:val="006F058A"/>
    <w:rsid w:val="006F0829"/>
    <w:rsid w:val="006F0A6F"/>
    <w:rsid w:val="006F0DA8"/>
    <w:rsid w:val="006F0DAB"/>
    <w:rsid w:val="006F0DD4"/>
    <w:rsid w:val="006F102E"/>
    <w:rsid w:val="006F10F0"/>
    <w:rsid w:val="006F115C"/>
    <w:rsid w:val="006F13C3"/>
    <w:rsid w:val="006F17B7"/>
    <w:rsid w:val="006F18D6"/>
    <w:rsid w:val="006F19B2"/>
    <w:rsid w:val="006F1B2D"/>
    <w:rsid w:val="006F1CD0"/>
    <w:rsid w:val="006F1F2A"/>
    <w:rsid w:val="006F2229"/>
    <w:rsid w:val="006F23C7"/>
    <w:rsid w:val="006F24B4"/>
    <w:rsid w:val="006F2641"/>
    <w:rsid w:val="006F2741"/>
    <w:rsid w:val="006F2932"/>
    <w:rsid w:val="006F2B56"/>
    <w:rsid w:val="006F2CB1"/>
    <w:rsid w:val="006F2D0E"/>
    <w:rsid w:val="006F31C0"/>
    <w:rsid w:val="006F350D"/>
    <w:rsid w:val="006F36F1"/>
    <w:rsid w:val="006F38BD"/>
    <w:rsid w:val="006F3D7F"/>
    <w:rsid w:val="006F410B"/>
    <w:rsid w:val="006F41E8"/>
    <w:rsid w:val="006F427F"/>
    <w:rsid w:val="006F43FE"/>
    <w:rsid w:val="006F4634"/>
    <w:rsid w:val="006F4635"/>
    <w:rsid w:val="006F471A"/>
    <w:rsid w:val="006F47D7"/>
    <w:rsid w:val="006F4830"/>
    <w:rsid w:val="006F48A4"/>
    <w:rsid w:val="006F48A8"/>
    <w:rsid w:val="006F4AB8"/>
    <w:rsid w:val="006F59AB"/>
    <w:rsid w:val="006F5B07"/>
    <w:rsid w:val="006F5CA2"/>
    <w:rsid w:val="006F5DF2"/>
    <w:rsid w:val="006F5F7F"/>
    <w:rsid w:val="006F60C2"/>
    <w:rsid w:val="006F62F9"/>
    <w:rsid w:val="006F6534"/>
    <w:rsid w:val="006F6664"/>
    <w:rsid w:val="006F67F3"/>
    <w:rsid w:val="006F692E"/>
    <w:rsid w:val="006F69E0"/>
    <w:rsid w:val="006F6BF5"/>
    <w:rsid w:val="006F6EB9"/>
    <w:rsid w:val="006F7032"/>
    <w:rsid w:val="006F73D6"/>
    <w:rsid w:val="007005FC"/>
    <w:rsid w:val="00700732"/>
    <w:rsid w:val="00700781"/>
    <w:rsid w:val="00700970"/>
    <w:rsid w:val="00700A13"/>
    <w:rsid w:val="00700F09"/>
    <w:rsid w:val="00701063"/>
    <w:rsid w:val="007013C8"/>
    <w:rsid w:val="007013D1"/>
    <w:rsid w:val="007013DB"/>
    <w:rsid w:val="007017FB"/>
    <w:rsid w:val="00701C0D"/>
    <w:rsid w:val="00702039"/>
    <w:rsid w:val="007025A0"/>
    <w:rsid w:val="0070267C"/>
    <w:rsid w:val="0070273F"/>
    <w:rsid w:val="00702AEF"/>
    <w:rsid w:val="00702B88"/>
    <w:rsid w:val="00702CE4"/>
    <w:rsid w:val="007037B3"/>
    <w:rsid w:val="007038F5"/>
    <w:rsid w:val="00703EE9"/>
    <w:rsid w:val="00703FA3"/>
    <w:rsid w:val="00704317"/>
    <w:rsid w:val="007044B1"/>
    <w:rsid w:val="007044D9"/>
    <w:rsid w:val="00704592"/>
    <w:rsid w:val="007049A1"/>
    <w:rsid w:val="00704A14"/>
    <w:rsid w:val="00704D05"/>
    <w:rsid w:val="00704E4A"/>
    <w:rsid w:val="00705073"/>
    <w:rsid w:val="007054C4"/>
    <w:rsid w:val="0070579D"/>
    <w:rsid w:val="00705B02"/>
    <w:rsid w:val="00706041"/>
    <w:rsid w:val="0070616E"/>
    <w:rsid w:val="007064A8"/>
    <w:rsid w:val="0070652C"/>
    <w:rsid w:val="00706532"/>
    <w:rsid w:val="00706998"/>
    <w:rsid w:val="00706AF3"/>
    <w:rsid w:val="007075DB"/>
    <w:rsid w:val="00707E88"/>
    <w:rsid w:val="00710105"/>
    <w:rsid w:val="00710141"/>
    <w:rsid w:val="00710263"/>
    <w:rsid w:val="007104C7"/>
    <w:rsid w:val="00710BB1"/>
    <w:rsid w:val="00710BB9"/>
    <w:rsid w:val="007111A7"/>
    <w:rsid w:val="0071129A"/>
    <w:rsid w:val="007115E8"/>
    <w:rsid w:val="00711815"/>
    <w:rsid w:val="0071193B"/>
    <w:rsid w:val="00711997"/>
    <w:rsid w:val="00711C61"/>
    <w:rsid w:val="00712135"/>
    <w:rsid w:val="00712211"/>
    <w:rsid w:val="00712350"/>
    <w:rsid w:val="007124B6"/>
    <w:rsid w:val="00712707"/>
    <w:rsid w:val="0071276C"/>
    <w:rsid w:val="0071288D"/>
    <w:rsid w:val="0071290D"/>
    <w:rsid w:val="00712962"/>
    <w:rsid w:val="00712B48"/>
    <w:rsid w:val="00712D32"/>
    <w:rsid w:val="007130C8"/>
    <w:rsid w:val="0071314E"/>
    <w:rsid w:val="00713264"/>
    <w:rsid w:val="007136DE"/>
    <w:rsid w:val="00713944"/>
    <w:rsid w:val="0071394E"/>
    <w:rsid w:val="007139A6"/>
    <w:rsid w:val="00713A5E"/>
    <w:rsid w:val="00713B94"/>
    <w:rsid w:val="00713FD4"/>
    <w:rsid w:val="0071429D"/>
    <w:rsid w:val="007142A0"/>
    <w:rsid w:val="007148AA"/>
    <w:rsid w:val="00714D8B"/>
    <w:rsid w:val="00714FD2"/>
    <w:rsid w:val="0071501A"/>
    <w:rsid w:val="0071521D"/>
    <w:rsid w:val="0071573D"/>
    <w:rsid w:val="0071574B"/>
    <w:rsid w:val="007158DE"/>
    <w:rsid w:val="007159BA"/>
    <w:rsid w:val="00715AD9"/>
    <w:rsid w:val="00715B89"/>
    <w:rsid w:val="00715F13"/>
    <w:rsid w:val="007161A7"/>
    <w:rsid w:val="0071634A"/>
    <w:rsid w:val="007164B5"/>
    <w:rsid w:val="0071663E"/>
    <w:rsid w:val="007166CE"/>
    <w:rsid w:val="007168DE"/>
    <w:rsid w:val="00716A5A"/>
    <w:rsid w:val="00716BA4"/>
    <w:rsid w:val="00716CC6"/>
    <w:rsid w:val="00717038"/>
    <w:rsid w:val="007176D1"/>
    <w:rsid w:val="0071780E"/>
    <w:rsid w:val="007179DE"/>
    <w:rsid w:val="00717C97"/>
    <w:rsid w:val="00717CD7"/>
    <w:rsid w:val="00717FA0"/>
    <w:rsid w:val="007204F7"/>
    <w:rsid w:val="00720610"/>
    <w:rsid w:val="007207FC"/>
    <w:rsid w:val="0072080A"/>
    <w:rsid w:val="007209A4"/>
    <w:rsid w:val="00720A50"/>
    <w:rsid w:val="00720D61"/>
    <w:rsid w:val="00721099"/>
    <w:rsid w:val="0072141E"/>
    <w:rsid w:val="0072178D"/>
    <w:rsid w:val="007218A3"/>
    <w:rsid w:val="00721AD4"/>
    <w:rsid w:val="00721C34"/>
    <w:rsid w:val="00721CB4"/>
    <w:rsid w:val="007220CE"/>
    <w:rsid w:val="00722238"/>
    <w:rsid w:val="00722708"/>
    <w:rsid w:val="007227D1"/>
    <w:rsid w:val="00723056"/>
    <w:rsid w:val="0072318B"/>
    <w:rsid w:val="00723679"/>
    <w:rsid w:val="007237AB"/>
    <w:rsid w:val="00723C9B"/>
    <w:rsid w:val="00723FCA"/>
    <w:rsid w:val="00724039"/>
    <w:rsid w:val="00724088"/>
    <w:rsid w:val="007240CB"/>
    <w:rsid w:val="007241A3"/>
    <w:rsid w:val="00724912"/>
    <w:rsid w:val="00724BED"/>
    <w:rsid w:val="00724CF4"/>
    <w:rsid w:val="00724E12"/>
    <w:rsid w:val="0072526B"/>
    <w:rsid w:val="007253E0"/>
    <w:rsid w:val="007253F0"/>
    <w:rsid w:val="00725433"/>
    <w:rsid w:val="00725E0C"/>
    <w:rsid w:val="00725F21"/>
    <w:rsid w:val="00726184"/>
    <w:rsid w:val="007263BD"/>
    <w:rsid w:val="00726707"/>
    <w:rsid w:val="007267A0"/>
    <w:rsid w:val="007269E8"/>
    <w:rsid w:val="00726B01"/>
    <w:rsid w:val="007272E9"/>
    <w:rsid w:val="00727419"/>
    <w:rsid w:val="007277D4"/>
    <w:rsid w:val="00727A69"/>
    <w:rsid w:val="007301A6"/>
    <w:rsid w:val="007303DE"/>
    <w:rsid w:val="00730CE9"/>
    <w:rsid w:val="00730DA7"/>
    <w:rsid w:val="00730FF8"/>
    <w:rsid w:val="00731382"/>
    <w:rsid w:val="00731397"/>
    <w:rsid w:val="00731531"/>
    <w:rsid w:val="00731932"/>
    <w:rsid w:val="007319CF"/>
    <w:rsid w:val="00731C52"/>
    <w:rsid w:val="00732017"/>
    <w:rsid w:val="0073232C"/>
    <w:rsid w:val="007323A4"/>
    <w:rsid w:val="00732697"/>
    <w:rsid w:val="00732810"/>
    <w:rsid w:val="007328B8"/>
    <w:rsid w:val="00732C30"/>
    <w:rsid w:val="00732DA7"/>
    <w:rsid w:val="00733300"/>
    <w:rsid w:val="007333B4"/>
    <w:rsid w:val="00733695"/>
    <w:rsid w:val="00733738"/>
    <w:rsid w:val="0073379E"/>
    <w:rsid w:val="007338F0"/>
    <w:rsid w:val="00733E82"/>
    <w:rsid w:val="00733E9A"/>
    <w:rsid w:val="00733F0B"/>
    <w:rsid w:val="007341C5"/>
    <w:rsid w:val="007342A7"/>
    <w:rsid w:val="007342C1"/>
    <w:rsid w:val="00734699"/>
    <w:rsid w:val="0073469A"/>
    <w:rsid w:val="00734C40"/>
    <w:rsid w:val="00734CB0"/>
    <w:rsid w:val="00734DEF"/>
    <w:rsid w:val="00735443"/>
    <w:rsid w:val="0073545A"/>
    <w:rsid w:val="0073545B"/>
    <w:rsid w:val="00735799"/>
    <w:rsid w:val="007357C0"/>
    <w:rsid w:val="00735889"/>
    <w:rsid w:val="00735A04"/>
    <w:rsid w:val="00735AA4"/>
    <w:rsid w:val="00735C4C"/>
    <w:rsid w:val="00735D7A"/>
    <w:rsid w:val="00735E89"/>
    <w:rsid w:val="00736045"/>
    <w:rsid w:val="00736471"/>
    <w:rsid w:val="0073673F"/>
    <w:rsid w:val="00736E91"/>
    <w:rsid w:val="0073708F"/>
    <w:rsid w:val="0073744D"/>
    <w:rsid w:val="007374BF"/>
    <w:rsid w:val="007376AF"/>
    <w:rsid w:val="007376EE"/>
    <w:rsid w:val="007377AC"/>
    <w:rsid w:val="00737A8C"/>
    <w:rsid w:val="00737EA6"/>
    <w:rsid w:val="00737EC6"/>
    <w:rsid w:val="007407B3"/>
    <w:rsid w:val="00740879"/>
    <w:rsid w:val="007408EA"/>
    <w:rsid w:val="00740C9F"/>
    <w:rsid w:val="00740D51"/>
    <w:rsid w:val="00740E49"/>
    <w:rsid w:val="007414AD"/>
    <w:rsid w:val="0074162F"/>
    <w:rsid w:val="00741A76"/>
    <w:rsid w:val="00741B1F"/>
    <w:rsid w:val="00741DCC"/>
    <w:rsid w:val="007421CF"/>
    <w:rsid w:val="007424B9"/>
    <w:rsid w:val="007428E5"/>
    <w:rsid w:val="00742928"/>
    <w:rsid w:val="0074293A"/>
    <w:rsid w:val="00742987"/>
    <w:rsid w:val="007429B5"/>
    <w:rsid w:val="00742BD5"/>
    <w:rsid w:val="00742D96"/>
    <w:rsid w:val="00742E98"/>
    <w:rsid w:val="00742F71"/>
    <w:rsid w:val="0074339C"/>
    <w:rsid w:val="0074381F"/>
    <w:rsid w:val="00743A4F"/>
    <w:rsid w:val="00743B6F"/>
    <w:rsid w:val="00743C3C"/>
    <w:rsid w:val="00743FD0"/>
    <w:rsid w:val="00744134"/>
    <w:rsid w:val="00744139"/>
    <w:rsid w:val="00744372"/>
    <w:rsid w:val="007444C8"/>
    <w:rsid w:val="00744F0A"/>
    <w:rsid w:val="00744F6C"/>
    <w:rsid w:val="007451D8"/>
    <w:rsid w:val="00745241"/>
    <w:rsid w:val="00745672"/>
    <w:rsid w:val="0074580B"/>
    <w:rsid w:val="007458C7"/>
    <w:rsid w:val="00746138"/>
    <w:rsid w:val="00746382"/>
    <w:rsid w:val="007463D2"/>
    <w:rsid w:val="007469C7"/>
    <w:rsid w:val="00746A70"/>
    <w:rsid w:val="00746B39"/>
    <w:rsid w:val="00746B3D"/>
    <w:rsid w:val="00746B58"/>
    <w:rsid w:val="00746FFC"/>
    <w:rsid w:val="0074703E"/>
    <w:rsid w:val="00747703"/>
    <w:rsid w:val="00747EE8"/>
    <w:rsid w:val="00747FF6"/>
    <w:rsid w:val="007501C6"/>
    <w:rsid w:val="00750A18"/>
    <w:rsid w:val="00750A96"/>
    <w:rsid w:val="00750AAA"/>
    <w:rsid w:val="00750BDF"/>
    <w:rsid w:val="00750C6F"/>
    <w:rsid w:val="00750CBB"/>
    <w:rsid w:val="00751012"/>
    <w:rsid w:val="0075106C"/>
    <w:rsid w:val="00751566"/>
    <w:rsid w:val="007517B0"/>
    <w:rsid w:val="007517EE"/>
    <w:rsid w:val="00751981"/>
    <w:rsid w:val="00751D13"/>
    <w:rsid w:val="00751E8A"/>
    <w:rsid w:val="0075200F"/>
    <w:rsid w:val="007520A2"/>
    <w:rsid w:val="007520AC"/>
    <w:rsid w:val="0075244F"/>
    <w:rsid w:val="00752528"/>
    <w:rsid w:val="007528FD"/>
    <w:rsid w:val="00752B33"/>
    <w:rsid w:val="00752B69"/>
    <w:rsid w:val="0075335E"/>
    <w:rsid w:val="00753794"/>
    <w:rsid w:val="007537C7"/>
    <w:rsid w:val="007538B7"/>
    <w:rsid w:val="00753BCA"/>
    <w:rsid w:val="00753C77"/>
    <w:rsid w:val="00754101"/>
    <w:rsid w:val="00754611"/>
    <w:rsid w:val="00754694"/>
    <w:rsid w:val="00754A5B"/>
    <w:rsid w:val="00754C76"/>
    <w:rsid w:val="00754EAC"/>
    <w:rsid w:val="0075510E"/>
    <w:rsid w:val="00756083"/>
    <w:rsid w:val="007560B3"/>
    <w:rsid w:val="00756153"/>
    <w:rsid w:val="00756230"/>
    <w:rsid w:val="0075626F"/>
    <w:rsid w:val="00756509"/>
    <w:rsid w:val="007565FD"/>
    <w:rsid w:val="00756720"/>
    <w:rsid w:val="00756A47"/>
    <w:rsid w:val="00756B9B"/>
    <w:rsid w:val="00756CF7"/>
    <w:rsid w:val="00756EA8"/>
    <w:rsid w:val="007579B9"/>
    <w:rsid w:val="00757B36"/>
    <w:rsid w:val="00757FBC"/>
    <w:rsid w:val="007601C7"/>
    <w:rsid w:val="00760421"/>
    <w:rsid w:val="0076043A"/>
    <w:rsid w:val="007607A6"/>
    <w:rsid w:val="007607BB"/>
    <w:rsid w:val="00760907"/>
    <w:rsid w:val="00760E2D"/>
    <w:rsid w:val="00760E84"/>
    <w:rsid w:val="00761418"/>
    <w:rsid w:val="0076141F"/>
    <w:rsid w:val="00761626"/>
    <w:rsid w:val="00761709"/>
    <w:rsid w:val="007617DC"/>
    <w:rsid w:val="00761A95"/>
    <w:rsid w:val="00761C0E"/>
    <w:rsid w:val="00761C3D"/>
    <w:rsid w:val="00761D47"/>
    <w:rsid w:val="00762010"/>
    <w:rsid w:val="00762183"/>
    <w:rsid w:val="00762203"/>
    <w:rsid w:val="00762303"/>
    <w:rsid w:val="007629E9"/>
    <w:rsid w:val="00762E8C"/>
    <w:rsid w:val="00763096"/>
    <w:rsid w:val="0076331D"/>
    <w:rsid w:val="00763338"/>
    <w:rsid w:val="007636F2"/>
    <w:rsid w:val="0076377E"/>
    <w:rsid w:val="00763EB0"/>
    <w:rsid w:val="007641F6"/>
    <w:rsid w:val="0076462F"/>
    <w:rsid w:val="00764C70"/>
    <w:rsid w:val="00764F16"/>
    <w:rsid w:val="00765194"/>
    <w:rsid w:val="007651A5"/>
    <w:rsid w:val="00765203"/>
    <w:rsid w:val="0076571B"/>
    <w:rsid w:val="00765CF9"/>
    <w:rsid w:val="00765D53"/>
    <w:rsid w:val="00765F0C"/>
    <w:rsid w:val="0076617D"/>
    <w:rsid w:val="00766241"/>
    <w:rsid w:val="007662DF"/>
    <w:rsid w:val="007664BA"/>
    <w:rsid w:val="0076665F"/>
    <w:rsid w:val="00766D90"/>
    <w:rsid w:val="00766FE2"/>
    <w:rsid w:val="007676D2"/>
    <w:rsid w:val="00767CA2"/>
    <w:rsid w:val="00767CAA"/>
    <w:rsid w:val="00770473"/>
    <w:rsid w:val="007704C1"/>
    <w:rsid w:val="007706DE"/>
    <w:rsid w:val="00770779"/>
    <w:rsid w:val="0077099C"/>
    <w:rsid w:val="00770C44"/>
    <w:rsid w:val="00770E8A"/>
    <w:rsid w:val="007710B2"/>
    <w:rsid w:val="00771387"/>
    <w:rsid w:val="00771D37"/>
    <w:rsid w:val="00771E65"/>
    <w:rsid w:val="00771F28"/>
    <w:rsid w:val="00772101"/>
    <w:rsid w:val="007724EE"/>
    <w:rsid w:val="00772728"/>
    <w:rsid w:val="007727E3"/>
    <w:rsid w:val="00772C56"/>
    <w:rsid w:val="00772DFC"/>
    <w:rsid w:val="0077339B"/>
    <w:rsid w:val="00773527"/>
    <w:rsid w:val="00773BED"/>
    <w:rsid w:val="00773E5D"/>
    <w:rsid w:val="0077451B"/>
    <w:rsid w:val="0077458A"/>
    <w:rsid w:val="007745E6"/>
    <w:rsid w:val="007747B6"/>
    <w:rsid w:val="00774A70"/>
    <w:rsid w:val="00774D00"/>
    <w:rsid w:val="00774E5D"/>
    <w:rsid w:val="007758DF"/>
    <w:rsid w:val="00775D66"/>
    <w:rsid w:val="00775DCF"/>
    <w:rsid w:val="00776073"/>
    <w:rsid w:val="007760CA"/>
    <w:rsid w:val="00776259"/>
    <w:rsid w:val="007762CB"/>
    <w:rsid w:val="0077659B"/>
    <w:rsid w:val="007766D8"/>
    <w:rsid w:val="00776961"/>
    <w:rsid w:val="00776ABB"/>
    <w:rsid w:val="00776D8E"/>
    <w:rsid w:val="00776EB0"/>
    <w:rsid w:val="007771B6"/>
    <w:rsid w:val="00777237"/>
    <w:rsid w:val="007774E2"/>
    <w:rsid w:val="00777708"/>
    <w:rsid w:val="0077780B"/>
    <w:rsid w:val="0077785B"/>
    <w:rsid w:val="0077787D"/>
    <w:rsid w:val="00777B30"/>
    <w:rsid w:val="00777C10"/>
    <w:rsid w:val="00777F15"/>
    <w:rsid w:val="007800AC"/>
    <w:rsid w:val="00780249"/>
    <w:rsid w:val="00780455"/>
    <w:rsid w:val="007807E7"/>
    <w:rsid w:val="007809FA"/>
    <w:rsid w:val="00780AFC"/>
    <w:rsid w:val="00781742"/>
    <w:rsid w:val="00781860"/>
    <w:rsid w:val="0078193D"/>
    <w:rsid w:val="0078194F"/>
    <w:rsid w:val="00781A7B"/>
    <w:rsid w:val="00781F25"/>
    <w:rsid w:val="0078201B"/>
    <w:rsid w:val="007820F9"/>
    <w:rsid w:val="007821A6"/>
    <w:rsid w:val="00782C81"/>
    <w:rsid w:val="00782F45"/>
    <w:rsid w:val="007830BD"/>
    <w:rsid w:val="00783409"/>
    <w:rsid w:val="007836B4"/>
    <w:rsid w:val="00783914"/>
    <w:rsid w:val="00783DEC"/>
    <w:rsid w:val="00783E07"/>
    <w:rsid w:val="00783EB5"/>
    <w:rsid w:val="007842C0"/>
    <w:rsid w:val="00784914"/>
    <w:rsid w:val="00784918"/>
    <w:rsid w:val="00784D0B"/>
    <w:rsid w:val="00784D6E"/>
    <w:rsid w:val="00784DE9"/>
    <w:rsid w:val="00785173"/>
    <w:rsid w:val="007851EF"/>
    <w:rsid w:val="0078520E"/>
    <w:rsid w:val="0078523C"/>
    <w:rsid w:val="007852A4"/>
    <w:rsid w:val="007852E9"/>
    <w:rsid w:val="00785431"/>
    <w:rsid w:val="0078559D"/>
    <w:rsid w:val="007855BF"/>
    <w:rsid w:val="0078596E"/>
    <w:rsid w:val="00785E95"/>
    <w:rsid w:val="00785FA9"/>
    <w:rsid w:val="0078607A"/>
    <w:rsid w:val="0078626E"/>
    <w:rsid w:val="00786853"/>
    <w:rsid w:val="00786AA1"/>
    <w:rsid w:val="00786E86"/>
    <w:rsid w:val="007872E8"/>
    <w:rsid w:val="007873F0"/>
    <w:rsid w:val="007874A7"/>
    <w:rsid w:val="00787557"/>
    <w:rsid w:val="007879C9"/>
    <w:rsid w:val="00787E74"/>
    <w:rsid w:val="0079006B"/>
    <w:rsid w:val="007901A2"/>
    <w:rsid w:val="007903C0"/>
    <w:rsid w:val="00790843"/>
    <w:rsid w:val="00790910"/>
    <w:rsid w:val="00790C64"/>
    <w:rsid w:val="00790D6C"/>
    <w:rsid w:val="00790E17"/>
    <w:rsid w:val="00791215"/>
    <w:rsid w:val="007916E4"/>
    <w:rsid w:val="00791AD0"/>
    <w:rsid w:val="00791CD2"/>
    <w:rsid w:val="00791D4D"/>
    <w:rsid w:val="007921BC"/>
    <w:rsid w:val="0079223A"/>
    <w:rsid w:val="007924A6"/>
    <w:rsid w:val="00792728"/>
    <w:rsid w:val="00792A97"/>
    <w:rsid w:val="00792EA3"/>
    <w:rsid w:val="00792ED0"/>
    <w:rsid w:val="00792FEF"/>
    <w:rsid w:val="0079303C"/>
    <w:rsid w:val="00793069"/>
    <w:rsid w:val="007932D6"/>
    <w:rsid w:val="00793971"/>
    <w:rsid w:val="007939A3"/>
    <w:rsid w:val="00793C77"/>
    <w:rsid w:val="00793E87"/>
    <w:rsid w:val="0079405A"/>
    <w:rsid w:val="00794186"/>
    <w:rsid w:val="007941A3"/>
    <w:rsid w:val="007942B8"/>
    <w:rsid w:val="00794595"/>
    <w:rsid w:val="00794812"/>
    <w:rsid w:val="00794BEC"/>
    <w:rsid w:val="00794FFB"/>
    <w:rsid w:val="007951CD"/>
    <w:rsid w:val="007953F4"/>
    <w:rsid w:val="00795444"/>
    <w:rsid w:val="007954D5"/>
    <w:rsid w:val="007959A6"/>
    <w:rsid w:val="007959DC"/>
    <w:rsid w:val="00795A2F"/>
    <w:rsid w:val="00795C4D"/>
    <w:rsid w:val="00795DB3"/>
    <w:rsid w:val="00796054"/>
    <w:rsid w:val="0079629E"/>
    <w:rsid w:val="00796506"/>
    <w:rsid w:val="00796733"/>
    <w:rsid w:val="007968DE"/>
    <w:rsid w:val="00796C0D"/>
    <w:rsid w:val="00796C62"/>
    <w:rsid w:val="00796EA2"/>
    <w:rsid w:val="00797371"/>
    <w:rsid w:val="00797468"/>
    <w:rsid w:val="007974C3"/>
    <w:rsid w:val="00797561"/>
    <w:rsid w:val="0079765E"/>
    <w:rsid w:val="00797994"/>
    <w:rsid w:val="00797CCE"/>
    <w:rsid w:val="00797D8A"/>
    <w:rsid w:val="00797DBF"/>
    <w:rsid w:val="007A00BB"/>
    <w:rsid w:val="007A014B"/>
    <w:rsid w:val="007A032C"/>
    <w:rsid w:val="007A03CC"/>
    <w:rsid w:val="007A093A"/>
    <w:rsid w:val="007A0A3F"/>
    <w:rsid w:val="007A0B97"/>
    <w:rsid w:val="007A1273"/>
    <w:rsid w:val="007A1432"/>
    <w:rsid w:val="007A167E"/>
    <w:rsid w:val="007A18DB"/>
    <w:rsid w:val="007A1B21"/>
    <w:rsid w:val="007A1B47"/>
    <w:rsid w:val="007A1EA6"/>
    <w:rsid w:val="007A1F27"/>
    <w:rsid w:val="007A205C"/>
    <w:rsid w:val="007A23ED"/>
    <w:rsid w:val="007A30C5"/>
    <w:rsid w:val="007A36AE"/>
    <w:rsid w:val="007A3755"/>
    <w:rsid w:val="007A389D"/>
    <w:rsid w:val="007A3AC2"/>
    <w:rsid w:val="007A3BBF"/>
    <w:rsid w:val="007A44D3"/>
    <w:rsid w:val="007A489B"/>
    <w:rsid w:val="007A4921"/>
    <w:rsid w:val="007A4D51"/>
    <w:rsid w:val="007A4D85"/>
    <w:rsid w:val="007A51B8"/>
    <w:rsid w:val="007A5589"/>
    <w:rsid w:val="007A59A4"/>
    <w:rsid w:val="007A5BF4"/>
    <w:rsid w:val="007A616A"/>
    <w:rsid w:val="007A632D"/>
    <w:rsid w:val="007A642B"/>
    <w:rsid w:val="007A66F9"/>
    <w:rsid w:val="007A6720"/>
    <w:rsid w:val="007A6756"/>
    <w:rsid w:val="007A695D"/>
    <w:rsid w:val="007A6A2C"/>
    <w:rsid w:val="007A6BE9"/>
    <w:rsid w:val="007A6FD7"/>
    <w:rsid w:val="007A71D0"/>
    <w:rsid w:val="007A7285"/>
    <w:rsid w:val="007A7346"/>
    <w:rsid w:val="007A74F4"/>
    <w:rsid w:val="007A7641"/>
    <w:rsid w:val="007A79C0"/>
    <w:rsid w:val="007A7C5B"/>
    <w:rsid w:val="007A7F66"/>
    <w:rsid w:val="007B02F0"/>
    <w:rsid w:val="007B0412"/>
    <w:rsid w:val="007B0454"/>
    <w:rsid w:val="007B046B"/>
    <w:rsid w:val="007B054E"/>
    <w:rsid w:val="007B0666"/>
    <w:rsid w:val="007B06AC"/>
    <w:rsid w:val="007B0950"/>
    <w:rsid w:val="007B0CAA"/>
    <w:rsid w:val="007B0EF9"/>
    <w:rsid w:val="007B10E3"/>
    <w:rsid w:val="007B16B9"/>
    <w:rsid w:val="007B16C6"/>
    <w:rsid w:val="007B1A28"/>
    <w:rsid w:val="007B1DAD"/>
    <w:rsid w:val="007B23D3"/>
    <w:rsid w:val="007B2694"/>
    <w:rsid w:val="007B297A"/>
    <w:rsid w:val="007B29EF"/>
    <w:rsid w:val="007B2A28"/>
    <w:rsid w:val="007B2A31"/>
    <w:rsid w:val="007B2C1A"/>
    <w:rsid w:val="007B395C"/>
    <w:rsid w:val="007B3978"/>
    <w:rsid w:val="007B3C47"/>
    <w:rsid w:val="007B3D0B"/>
    <w:rsid w:val="007B40FC"/>
    <w:rsid w:val="007B486A"/>
    <w:rsid w:val="007B49F4"/>
    <w:rsid w:val="007B4BCC"/>
    <w:rsid w:val="007B4CF1"/>
    <w:rsid w:val="007B4D2F"/>
    <w:rsid w:val="007B4E37"/>
    <w:rsid w:val="007B50E5"/>
    <w:rsid w:val="007B51A6"/>
    <w:rsid w:val="007B53C6"/>
    <w:rsid w:val="007B56C1"/>
    <w:rsid w:val="007B5709"/>
    <w:rsid w:val="007B59E4"/>
    <w:rsid w:val="007B59F0"/>
    <w:rsid w:val="007B5D7A"/>
    <w:rsid w:val="007B6065"/>
    <w:rsid w:val="007B60C3"/>
    <w:rsid w:val="007B656D"/>
    <w:rsid w:val="007B6BD6"/>
    <w:rsid w:val="007B6D70"/>
    <w:rsid w:val="007B6D98"/>
    <w:rsid w:val="007B7586"/>
    <w:rsid w:val="007B7840"/>
    <w:rsid w:val="007B7ADD"/>
    <w:rsid w:val="007B7D53"/>
    <w:rsid w:val="007C00C3"/>
    <w:rsid w:val="007C0121"/>
    <w:rsid w:val="007C0471"/>
    <w:rsid w:val="007C0803"/>
    <w:rsid w:val="007C080B"/>
    <w:rsid w:val="007C0BDF"/>
    <w:rsid w:val="007C0C1B"/>
    <w:rsid w:val="007C0D46"/>
    <w:rsid w:val="007C0E34"/>
    <w:rsid w:val="007C0F42"/>
    <w:rsid w:val="007C112B"/>
    <w:rsid w:val="007C1801"/>
    <w:rsid w:val="007C1C2C"/>
    <w:rsid w:val="007C1C4E"/>
    <w:rsid w:val="007C1E9E"/>
    <w:rsid w:val="007C20C0"/>
    <w:rsid w:val="007C2214"/>
    <w:rsid w:val="007C27E1"/>
    <w:rsid w:val="007C2840"/>
    <w:rsid w:val="007C295A"/>
    <w:rsid w:val="007C3147"/>
    <w:rsid w:val="007C369F"/>
    <w:rsid w:val="007C38BB"/>
    <w:rsid w:val="007C3C90"/>
    <w:rsid w:val="007C4052"/>
    <w:rsid w:val="007C41F7"/>
    <w:rsid w:val="007C43F3"/>
    <w:rsid w:val="007C4508"/>
    <w:rsid w:val="007C46E8"/>
    <w:rsid w:val="007C4B60"/>
    <w:rsid w:val="007C5602"/>
    <w:rsid w:val="007C598E"/>
    <w:rsid w:val="007C5FCE"/>
    <w:rsid w:val="007C66C0"/>
    <w:rsid w:val="007C67EF"/>
    <w:rsid w:val="007C68ED"/>
    <w:rsid w:val="007C68FF"/>
    <w:rsid w:val="007C6B54"/>
    <w:rsid w:val="007C6C42"/>
    <w:rsid w:val="007C6E60"/>
    <w:rsid w:val="007C6EA9"/>
    <w:rsid w:val="007C6FD7"/>
    <w:rsid w:val="007C727B"/>
    <w:rsid w:val="007C75F5"/>
    <w:rsid w:val="007C76ED"/>
    <w:rsid w:val="007C77C7"/>
    <w:rsid w:val="007C7813"/>
    <w:rsid w:val="007C7A52"/>
    <w:rsid w:val="007C7A99"/>
    <w:rsid w:val="007C7B9C"/>
    <w:rsid w:val="007C7BDE"/>
    <w:rsid w:val="007D0023"/>
    <w:rsid w:val="007D00AD"/>
    <w:rsid w:val="007D01DF"/>
    <w:rsid w:val="007D06DF"/>
    <w:rsid w:val="007D06F3"/>
    <w:rsid w:val="007D074D"/>
    <w:rsid w:val="007D07FB"/>
    <w:rsid w:val="007D10BD"/>
    <w:rsid w:val="007D11E2"/>
    <w:rsid w:val="007D13FA"/>
    <w:rsid w:val="007D1572"/>
    <w:rsid w:val="007D1670"/>
    <w:rsid w:val="007D17CB"/>
    <w:rsid w:val="007D18FD"/>
    <w:rsid w:val="007D1AE7"/>
    <w:rsid w:val="007D1BED"/>
    <w:rsid w:val="007D1E9B"/>
    <w:rsid w:val="007D1ED6"/>
    <w:rsid w:val="007D2416"/>
    <w:rsid w:val="007D27C1"/>
    <w:rsid w:val="007D2943"/>
    <w:rsid w:val="007D29EC"/>
    <w:rsid w:val="007D2C3D"/>
    <w:rsid w:val="007D2CFD"/>
    <w:rsid w:val="007D2F09"/>
    <w:rsid w:val="007D3118"/>
    <w:rsid w:val="007D31D3"/>
    <w:rsid w:val="007D3348"/>
    <w:rsid w:val="007D33DC"/>
    <w:rsid w:val="007D3505"/>
    <w:rsid w:val="007D3743"/>
    <w:rsid w:val="007D39B0"/>
    <w:rsid w:val="007D39FB"/>
    <w:rsid w:val="007D3A89"/>
    <w:rsid w:val="007D3C13"/>
    <w:rsid w:val="007D3CB2"/>
    <w:rsid w:val="007D3F11"/>
    <w:rsid w:val="007D4284"/>
    <w:rsid w:val="007D4605"/>
    <w:rsid w:val="007D465B"/>
    <w:rsid w:val="007D4687"/>
    <w:rsid w:val="007D468B"/>
    <w:rsid w:val="007D46BB"/>
    <w:rsid w:val="007D4C72"/>
    <w:rsid w:val="007D4C93"/>
    <w:rsid w:val="007D4C9A"/>
    <w:rsid w:val="007D4EDC"/>
    <w:rsid w:val="007D4F58"/>
    <w:rsid w:val="007D563C"/>
    <w:rsid w:val="007D580D"/>
    <w:rsid w:val="007D5B1C"/>
    <w:rsid w:val="007D5BDE"/>
    <w:rsid w:val="007D5E0B"/>
    <w:rsid w:val="007D5EEE"/>
    <w:rsid w:val="007D6308"/>
    <w:rsid w:val="007D64EC"/>
    <w:rsid w:val="007D6684"/>
    <w:rsid w:val="007D66A1"/>
    <w:rsid w:val="007D671B"/>
    <w:rsid w:val="007D6752"/>
    <w:rsid w:val="007D6758"/>
    <w:rsid w:val="007D6854"/>
    <w:rsid w:val="007D6AD2"/>
    <w:rsid w:val="007D6AE1"/>
    <w:rsid w:val="007D6F98"/>
    <w:rsid w:val="007D743D"/>
    <w:rsid w:val="007D766D"/>
    <w:rsid w:val="007D792C"/>
    <w:rsid w:val="007D7B03"/>
    <w:rsid w:val="007D7CA2"/>
    <w:rsid w:val="007D7F3E"/>
    <w:rsid w:val="007E0022"/>
    <w:rsid w:val="007E00BC"/>
    <w:rsid w:val="007E087C"/>
    <w:rsid w:val="007E08F3"/>
    <w:rsid w:val="007E09B4"/>
    <w:rsid w:val="007E0B57"/>
    <w:rsid w:val="007E0C9A"/>
    <w:rsid w:val="007E0E13"/>
    <w:rsid w:val="007E0E2A"/>
    <w:rsid w:val="007E1AC4"/>
    <w:rsid w:val="007E23A0"/>
    <w:rsid w:val="007E23A8"/>
    <w:rsid w:val="007E24B7"/>
    <w:rsid w:val="007E271F"/>
    <w:rsid w:val="007E2924"/>
    <w:rsid w:val="007E296A"/>
    <w:rsid w:val="007E2E7D"/>
    <w:rsid w:val="007E2EF4"/>
    <w:rsid w:val="007E2EFA"/>
    <w:rsid w:val="007E2F19"/>
    <w:rsid w:val="007E2FED"/>
    <w:rsid w:val="007E312F"/>
    <w:rsid w:val="007E354D"/>
    <w:rsid w:val="007E39C1"/>
    <w:rsid w:val="007E3F36"/>
    <w:rsid w:val="007E43C7"/>
    <w:rsid w:val="007E4B46"/>
    <w:rsid w:val="007E4E27"/>
    <w:rsid w:val="007E4E36"/>
    <w:rsid w:val="007E4F05"/>
    <w:rsid w:val="007E50D7"/>
    <w:rsid w:val="007E53EB"/>
    <w:rsid w:val="007E551A"/>
    <w:rsid w:val="007E592F"/>
    <w:rsid w:val="007E59E5"/>
    <w:rsid w:val="007E66A9"/>
    <w:rsid w:val="007E68ED"/>
    <w:rsid w:val="007E6C9F"/>
    <w:rsid w:val="007E6D14"/>
    <w:rsid w:val="007E6D89"/>
    <w:rsid w:val="007E6DF5"/>
    <w:rsid w:val="007E6EAA"/>
    <w:rsid w:val="007E7415"/>
    <w:rsid w:val="007E7552"/>
    <w:rsid w:val="007E785F"/>
    <w:rsid w:val="007E7B7D"/>
    <w:rsid w:val="007F03B2"/>
    <w:rsid w:val="007F0AC9"/>
    <w:rsid w:val="007F0E57"/>
    <w:rsid w:val="007F0F9C"/>
    <w:rsid w:val="007F103A"/>
    <w:rsid w:val="007F1295"/>
    <w:rsid w:val="007F1453"/>
    <w:rsid w:val="007F153C"/>
    <w:rsid w:val="007F1829"/>
    <w:rsid w:val="007F18CD"/>
    <w:rsid w:val="007F1AC0"/>
    <w:rsid w:val="007F1B81"/>
    <w:rsid w:val="007F1DB1"/>
    <w:rsid w:val="007F1F83"/>
    <w:rsid w:val="007F2121"/>
    <w:rsid w:val="007F23EA"/>
    <w:rsid w:val="007F27AD"/>
    <w:rsid w:val="007F2A71"/>
    <w:rsid w:val="007F2BAE"/>
    <w:rsid w:val="007F2E20"/>
    <w:rsid w:val="007F304E"/>
    <w:rsid w:val="007F314F"/>
    <w:rsid w:val="007F31D9"/>
    <w:rsid w:val="007F3534"/>
    <w:rsid w:val="007F3A63"/>
    <w:rsid w:val="007F3C1B"/>
    <w:rsid w:val="007F44DC"/>
    <w:rsid w:val="007F463D"/>
    <w:rsid w:val="007F4B33"/>
    <w:rsid w:val="007F4BAE"/>
    <w:rsid w:val="007F5113"/>
    <w:rsid w:val="007F53D1"/>
    <w:rsid w:val="007F595A"/>
    <w:rsid w:val="007F5C5E"/>
    <w:rsid w:val="007F5E1D"/>
    <w:rsid w:val="007F6675"/>
    <w:rsid w:val="007F67E5"/>
    <w:rsid w:val="007F688E"/>
    <w:rsid w:val="007F6B15"/>
    <w:rsid w:val="007F6B8A"/>
    <w:rsid w:val="007F6E1A"/>
    <w:rsid w:val="007F6E4B"/>
    <w:rsid w:val="007F72CE"/>
    <w:rsid w:val="007F76D5"/>
    <w:rsid w:val="007F7976"/>
    <w:rsid w:val="008003B7"/>
    <w:rsid w:val="00800489"/>
    <w:rsid w:val="008005A0"/>
    <w:rsid w:val="008006AD"/>
    <w:rsid w:val="008006EF"/>
    <w:rsid w:val="00800A3F"/>
    <w:rsid w:val="00800C09"/>
    <w:rsid w:val="00800DDE"/>
    <w:rsid w:val="008012CE"/>
    <w:rsid w:val="00801AAF"/>
    <w:rsid w:val="008023D2"/>
    <w:rsid w:val="0080242D"/>
    <w:rsid w:val="00802744"/>
    <w:rsid w:val="00802A62"/>
    <w:rsid w:val="0080309D"/>
    <w:rsid w:val="00803223"/>
    <w:rsid w:val="008033CD"/>
    <w:rsid w:val="00803738"/>
    <w:rsid w:val="0080404D"/>
    <w:rsid w:val="008045FD"/>
    <w:rsid w:val="0080468C"/>
    <w:rsid w:val="00804C83"/>
    <w:rsid w:val="008050C6"/>
    <w:rsid w:val="008051A7"/>
    <w:rsid w:val="00805224"/>
    <w:rsid w:val="00805769"/>
    <w:rsid w:val="00805892"/>
    <w:rsid w:val="008059E6"/>
    <w:rsid w:val="00805C93"/>
    <w:rsid w:val="0080603A"/>
    <w:rsid w:val="00806271"/>
    <w:rsid w:val="008063E3"/>
    <w:rsid w:val="008067A9"/>
    <w:rsid w:val="00806D86"/>
    <w:rsid w:val="00806E80"/>
    <w:rsid w:val="00807208"/>
    <w:rsid w:val="00807C62"/>
    <w:rsid w:val="008100C9"/>
    <w:rsid w:val="008101AA"/>
    <w:rsid w:val="0081021D"/>
    <w:rsid w:val="008107B2"/>
    <w:rsid w:val="00810F68"/>
    <w:rsid w:val="00810F9C"/>
    <w:rsid w:val="0081101B"/>
    <w:rsid w:val="008111DE"/>
    <w:rsid w:val="00811A97"/>
    <w:rsid w:val="00811AFF"/>
    <w:rsid w:val="00811E1D"/>
    <w:rsid w:val="00811F99"/>
    <w:rsid w:val="00812051"/>
    <w:rsid w:val="0081240F"/>
    <w:rsid w:val="00812CD6"/>
    <w:rsid w:val="00812FF7"/>
    <w:rsid w:val="008133C6"/>
    <w:rsid w:val="00813482"/>
    <w:rsid w:val="00813793"/>
    <w:rsid w:val="00813813"/>
    <w:rsid w:val="00813933"/>
    <w:rsid w:val="0081394D"/>
    <w:rsid w:val="00813AF8"/>
    <w:rsid w:val="00813B7F"/>
    <w:rsid w:val="00813C4A"/>
    <w:rsid w:val="00813D62"/>
    <w:rsid w:val="00813E82"/>
    <w:rsid w:val="00813F84"/>
    <w:rsid w:val="0081410F"/>
    <w:rsid w:val="008144C4"/>
    <w:rsid w:val="008144C7"/>
    <w:rsid w:val="00814736"/>
    <w:rsid w:val="00814A08"/>
    <w:rsid w:val="00814AB4"/>
    <w:rsid w:val="00814BA2"/>
    <w:rsid w:val="00814EF9"/>
    <w:rsid w:val="008153D1"/>
    <w:rsid w:val="0081563D"/>
    <w:rsid w:val="008158D0"/>
    <w:rsid w:val="0081595A"/>
    <w:rsid w:val="00815BBB"/>
    <w:rsid w:val="00816093"/>
    <w:rsid w:val="00816477"/>
    <w:rsid w:val="0081679E"/>
    <w:rsid w:val="00816B3E"/>
    <w:rsid w:val="00816BBD"/>
    <w:rsid w:val="00816DAB"/>
    <w:rsid w:val="00816DFE"/>
    <w:rsid w:val="00816EBF"/>
    <w:rsid w:val="00816FBA"/>
    <w:rsid w:val="00817174"/>
    <w:rsid w:val="0081727C"/>
    <w:rsid w:val="0081761E"/>
    <w:rsid w:val="00817705"/>
    <w:rsid w:val="008178AD"/>
    <w:rsid w:val="00817DFA"/>
    <w:rsid w:val="00820007"/>
    <w:rsid w:val="00820314"/>
    <w:rsid w:val="00820360"/>
    <w:rsid w:val="0082045C"/>
    <w:rsid w:val="00820468"/>
    <w:rsid w:val="00820479"/>
    <w:rsid w:val="00820A79"/>
    <w:rsid w:val="00820B0D"/>
    <w:rsid w:val="00820C7A"/>
    <w:rsid w:val="00820CCC"/>
    <w:rsid w:val="00820DE2"/>
    <w:rsid w:val="00820EBD"/>
    <w:rsid w:val="00820FCD"/>
    <w:rsid w:val="00821021"/>
    <w:rsid w:val="0082105F"/>
    <w:rsid w:val="00821191"/>
    <w:rsid w:val="008211BF"/>
    <w:rsid w:val="00821301"/>
    <w:rsid w:val="008219C5"/>
    <w:rsid w:val="00821A92"/>
    <w:rsid w:val="00821D9D"/>
    <w:rsid w:val="008223B8"/>
    <w:rsid w:val="00822488"/>
    <w:rsid w:val="008225A0"/>
    <w:rsid w:val="00822623"/>
    <w:rsid w:val="008228A2"/>
    <w:rsid w:val="00822B61"/>
    <w:rsid w:val="00822CE6"/>
    <w:rsid w:val="00822E62"/>
    <w:rsid w:val="0082319E"/>
    <w:rsid w:val="008238A5"/>
    <w:rsid w:val="00823D19"/>
    <w:rsid w:val="00824068"/>
    <w:rsid w:val="00824128"/>
    <w:rsid w:val="00824504"/>
    <w:rsid w:val="00824986"/>
    <w:rsid w:val="00824BBC"/>
    <w:rsid w:val="00824DF1"/>
    <w:rsid w:val="00824EB9"/>
    <w:rsid w:val="00824F3C"/>
    <w:rsid w:val="008250DA"/>
    <w:rsid w:val="008253B5"/>
    <w:rsid w:val="00825B37"/>
    <w:rsid w:val="00825E3A"/>
    <w:rsid w:val="008262C4"/>
    <w:rsid w:val="008263CC"/>
    <w:rsid w:val="008264EB"/>
    <w:rsid w:val="00826523"/>
    <w:rsid w:val="00826B41"/>
    <w:rsid w:val="00826B79"/>
    <w:rsid w:val="008274D6"/>
    <w:rsid w:val="00827906"/>
    <w:rsid w:val="00827F01"/>
    <w:rsid w:val="008301A8"/>
    <w:rsid w:val="00830333"/>
    <w:rsid w:val="008304EF"/>
    <w:rsid w:val="008306A9"/>
    <w:rsid w:val="00830CB7"/>
    <w:rsid w:val="00830D92"/>
    <w:rsid w:val="00830F2A"/>
    <w:rsid w:val="008314E7"/>
    <w:rsid w:val="00831610"/>
    <w:rsid w:val="0083168C"/>
    <w:rsid w:val="0083176E"/>
    <w:rsid w:val="00831F13"/>
    <w:rsid w:val="00832140"/>
    <w:rsid w:val="0083227B"/>
    <w:rsid w:val="008322A9"/>
    <w:rsid w:val="00832373"/>
    <w:rsid w:val="00832604"/>
    <w:rsid w:val="008328E8"/>
    <w:rsid w:val="00832FA4"/>
    <w:rsid w:val="008330B7"/>
    <w:rsid w:val="00833215"/>
    <w:rsid w:val="008334BC"/>
    <w:rsid w:val="008335B0"/>
    <w:rsid w:val="00833A26"/>
    <w:rsid w:val="00833D31"/>
    <w:rsid w:val="00833EDB"/>
    <w:rsid w:val="00833FB3"/>
    <w:rsid w:val="0083400E"/>
    <w:rsid w:val="008342D3"/>
    <w:rsid w:val="008347B7"/>
    <w:rsid w:val="008347C3"/>
    <w:rsid w:val="00834803"/>
    <w:rsid w:val="00834B4E"/>
    <w:rsid w:val="0083517A"/>
    <w:rsid w:val="00835343"/>
    <w:rsid w:val="008358D9"/>
    <w:rsid w:val="008358FE"/>
    <w:rsid w:val="00835AA0"/>
    <w:rsid w:val="00835AEE"/>
    <w:rsid w:val="00835E07"/>
    <w:rsid w:val="00835E2F"/>
    <w:rsid w:val="00835ECA"/>
    <w:rsid w:val="00835ED5"/>
    <w:rsid w:val="00835F65"/>
    <w:rsid w:val="00836004"/>
    <w:rsid w:val="00836105"/>
    <w:rsid w:val="0083621A"/>
    <w:rsid w:val="0083624A"/>
    <w:rsid w:val="008364C2"/>
    <w:rsid w:val="0083655F"/>
    <w:rsid w:val="0083691A"/>
    <w:rsid w:val="00836AA7"/>
    <w:rsid w:val="00836D3F"/>
    <w:rsid w:val="00837097"/>
    <w:rsid w:val="008376B0"/>
    <w:rsid w:val="008378EC"/>
    <w:rsid w:val="008378FA"/>
    <w:rsid w:val="00837990"/>
    <w:rsid w:val="00837DCB"/>
    <w:rsid w:val="00840055"/>
    <w:rsid w:val="0084008C"/>
    <w:rsid w:val="008404A1"/>
    <w:rsid w:val="008404FD"/>
    <w:rsid w:val="0084079E"/>
    <w:rsid w:val="0084094F"/>
    <w:rsid w:val="00840A30"/>
    <w:rsid w:val="00840B56"/>
    <w:rsid w:val="00840C0A"/>
    <w:rsid w:val="00840D2A"/>
    <w:rsid w:val="00840DEB"/>
    <w:rsid w:val="00841630"/>
    <w:rsid w:val="00841A5C"/>
    <w:rsid w:val="00841C3C"/>
    <w:rsid w:val="00841E21"/>
    <w:rsid w:val="00841EE9"/>
    <w:rsid w:val="00841F08"/>
    <w:rsid w:val="0084207A"/>
    <w:rsid w:val="00842692"/>
    <w:rsid w:val="00842E6A"/>
    <w:rsid w:val="00843410"/>
    <w:rsid w:val="008436FB"/>
    <w:rsid w:val="008439B9"/>
    <w:rsid w:val="00843AE3"/>
    <w:rsid w:val="008442F3"/>
    <w:rsid w:val="008443C7"/>
    <w:rsid w:val="008444F8"/>
    <w:rsid w:val="008447A8"/>
    <w:rsid w:val="008448DE"/>
    <w:rsid w:val="00844C04"/>
    <w:rsid w:val="00845153"/>
    <w:rsid w:val="0084520A"/>
    <w:rsid w:val="008454E6"/>
    <w:rsid w:val="0084567D"/>
    <w:rsid w:val="008458A8"/>
    <w:rsid w:val="0084597D"/>
    <w:rsid w:val="00845A1F"/>
    <w:rsid w:val="00845C6E"/>
    <w:rsid w:val="00845CE7"/>
    <w:rsid w:val="008462BC"/>
    <w:rsid w:val="008462D6"/>
    <w:rsid w:val="008463C4"/>
    <w:rsid w:val="008465A6"/>
    <w:rsid w:val="00846DE5"/>
    <w:rsid w:val="00846F83"/>
    <w:rsid w:val="00847149"/>
    <w:rsid w:val="00847366"/>
    <w:rsid w:val="008478C9"/>
    <w:rsid w:val="008479AF"/>
    <w:rsid w:val="00847C54"/>
    <w:rsid w:val="00847D9B"/>
    <w:rsid w:val="00847E24"/>
    <w:rsid w:val="0085000C"/>
    <w:rsid w:val="0085014F"/>
    <w:rsid w:val="00850496"/>
    <w:rsid w:val="008505FF"/>
    <w:rsid w:val="00850663"/>
    <w:rsid w:val="00850A7C"/>
    <w:rsid w:val="00850C43"/>
    <w:rsid w:val="00850C9E"/>
    <w:rsid w:val="00850DFD"/>
    <w:rsid w:val="00850FC0"/>
    <w:rsid w:val="00850FDF"/>
    <w:rsid w:val="00851156"/>
    <w:rsid w:val="00851253"/>
    <w:rsid w:val="008515C9"/>
    <w:rsid w:val="008516F6"/>
    <w:rsid w:val="00851736"/>
    <w:rsid w:val="008518A6"/>
    <w:rsid w:val="00851AD1"/>
    <w:rsid w:val="00852302"/>
    <w:rsid w:val="008523A1"/>
    <w:rsid w:val="0085244E"/>
    <w:rsid w:val="00852B97"/>
    <w:rsid w:val="00852F84"/>
    <w:rsid w:val="00853C0B"/>
    <w:rsid w:val="00853DE9"/>
    <w:rsid w:val="00853F27"/>
    <w:rsid w:val="008540F8"/>
    <w:rsid w:val="00854985"/>
    <w:rsid w:val="0085517F"/>
    <w:rsid w:val="00855332"/>
    <w:rsid w:val="00855649"/>
    <w:rsid w:val="008556FF"/>
    <w:rsid w:val="0085572F"/>
    <w:rsid w:val="008559AD"/>
    <w:rsid w:val="00855A02"/>
    <w:rsid w:val="00855AF9"/>
    <w:rsid w:val="00855F60"/>
    <w:rsid w:val="00856152"/>
    <w:rsid w:val="00856674"/>
    <w:rsid w:val="008567DE"/>
    <w:rsid w:val="00856ECB"/>
    <w:rsid w:val="00857058"/>
    <w:rsid w:val="008574EA"/>
    <w:rsid w:val="00857571"/>
    <w:rsid w:val="00857689"/>
    <w:rsid w:val="008577C2"/>
    <w:rsid w:val="0085785F"/>
    <w:rsid w:val="00857C74"/>
    <w:rsid w:val="00857E34"/>
    <w:rsid w:val="008600C5"/>
    <w:rsid w:val="0086030B"/>
    <w:rsid w:val="00860A47"/>
    <w:rsid w:val="00860BC9"/>
    <w:rsid w:val="00860C52"/>
    <w:rsid w:val="00860D08"/>
    <w:rsid w:val="00860DA7"/>
    <w:rsid w:val="0086107F"/>
    <w:rsid w:val="008611EC"/>
    <w:rsid w:val="0086146A"/>
    <w:rsid w:val="008614DC"/>
    <w:rsid w:val="008615E6"/>
    <w:rsid w:val="008617E7"/>
    <w:rsid w:val="008618DF"/>
    <w:rsid w:val="00861901"/>
    <w:rsid w:val="008619F9"/>
    <w:rsid w:val="008619FC"/>
    <w:rsid w:val="00861CBA"/>
    <w:rsid w:val="00861E0F"/>
    <w:rsid w:val="00861EAE"/>
    <w:rsid w:val="00862106"/>
    <w:rsid w:val="0086216A"/>
    <w:rsid w:val="00862289"/>
    <w:rsid w:val="0086230C"/>
    <w:rsid w:val="008624F9"/>
    <w:rsid w:val="00862868"/>
    <w:rsid w:val="008629A7"/>
    <w:rsid w:val="008630D8"/>
    <w:rsid w:val="008637E4"/>
    <w:rsid w:val="008638F9"/>
    <w:rsid w:val="00863C72"/>
    <w:rsid w:val="00863D6E"/>
    <w:rsid w:val="00863DCF"/>
    <w:rsid w:val="00863DF3"/>
    <w:rsid w:val="00863E90"/>
    <w:rsid w:val="00863E97"/>
    <w:rsid w:val="00863F5E"/>
    <w:rsid w:val="00864397"/>
    <w:rsid w:val="008644E8"/>
    <w:rsid w:val="00864504"/>
    <w:rsid w:val="00864C04"/>
    <w:rsid w:val="00865210"/>
    <w:rsid w:val="008655F1"/>
    <w:rsid w:val="00865AA2"/>
    <w:rsid w:val="0086606B"/>
    <w:rsid w:val="00866627"/>
    <w:rsid w:val="0086672D"/>
    <w:rsid w:val="0086682D"/>
    <w:rsid w:val="00866AC0"/>
    <w:rsid w:val="00866B9E"/>
    <w:rsid w:val="00866DB0"/>
    <w:rsid w:val="00866DEC"/>
    <w:rsid w:val="00866F7B"/>
    <w:rsid w:val="008671FA"/>
    <w:rsid w:val="008672C5"/>
    <w:rsid w:val="0086762F"/>
    <w:rsid w:val="008679B7"/>
    <w:rsid w:val="00867B4B"/>
    <w:rsid w:val="00867CD9"/>
    <w:rsid w:val="00867EF0"/>
    <w:rsid w:val="008701A7"/>
    <w:rsid w:val="0087026E"/>
    <w:rsid w:val="00870342"/>
    <w:rsid w:val="00870E44"/>
    <w:rsid w:val="00870FE8"/>
    <w:rsid w:val="0087114A"/>
    <w:rsid w:val="008712A4"/>
    <w:rsid w:val="00871383"/>
    <w:rsid w:val="00871EC1"/>
    <w:rsid w:val="0087274B"/>
    <w:rsid w:val="0087277D"/>
    <w:rsid w:val="008728A1"/>
    <w:rsid w:val="00872E6A"/>
    <w:rsid w:val="00873075"/>
    <w:rsid w:val="008731C3"/>
    <w:rsid w:val="00873266"/>
    <w:rsid w:val="008732DC"/>
    <w:rsid w:val="00873709"/>
    <w:rsid w:val="008737AA"/>
    <w:rsid w:val="008737E2"/>
    <w:rsid w:val="00873898"/>
    <w:rsid w:val="00873998"/>
    <w:rsid w:val="00873A0B"/>
    <w:rsid w:val="00873A61"/>
    <w:rsid w:val="00874283"/>
    <w:rsid w:val="008743F4"/>
    <w:rsid w:val="00874495"/>
    <w:rsid w:val="008745CB"/>
    <w:rsid w:val="0087462F"/>
    <w:rsid w:val="00874819"/>
    <w:rsid w:val="00874890"/>
    <w:rsid w:val="00874B83"/>
    <w:rsid w:val="00874BCE"/>
    <w:rsid w:val="00874C56"/>
    <w:rsid w:val="00874CEC"/>
    <w:rsid w:val="00874D55"/>
    <w:rsid w:val="00874F1F"/>
    <w:rsid w:val="00875257"/>
    <w:rsid w:val="00875337"/>
    <w:rsid w:val="00875BD4"/>
    <w:rsid w:val="00875D44"/>
    <w:rsid w:val="0087609F"/>
    <w:rsid w:val="0087622A"/>
    <w:rsid w:val="00876421"/>
    <w:rsid w:val="00876430"/>
    <w:rsid w:val="0087665D"/>
    <w:rsid w:val="00876690"/>
    <w:rsid w:val="008766A3"/>
    <w:rsid w:val="00876767"/>
    <w:rsid w:val="00876BED"/>
    <w:rsid w:val="00876CB2"/>
    <w:rsid w:val="00876E57"/>
    <w:rsid w:val="008775A0"/>
    <w:rsid w:val="00877C81"/>
    <w:rsid w:val="00877CC7"/>
    <w:rsid w:val="00877D9F"/>
    <w:rsid w:val="008800A8"/>
    <w:rsid w:val="0088079A"/>
    <w:rsid w:val="008807FA"/>
    <w:rsid w:val="00880836"/>
    <w:rsid w:val="00880957"/>
    <w:rsid w:val="00880A0C"/>
    <w:rsid w:val="00880BEC"/>
    <w:rsid w:val="00880EB8"/>
    <w:rsid w:val="008812CD"/>
    <w:rsid w:val="008815A7"/>
    <w:rsid w:val="008817C5"/>
    <w:rsid w:val="00881B99"/>
    <w:rsid w:val="00881DC8"/>
    <w:rsid w:val="00881E67"/>
    <w:rsid w:val="008820A1"/>
    <w:rsid w:val="00882217"/>
    <w:rsid w:val="0088228E"/>
    <w:rsid w:val="008824A5"/>
    <w:rsid w:val="008825BB"/>
    <w:rsid w:val="00882D5A"/>
    <w:rsid w:val="00882E5C"/>
    <w:rsid w:val="00883052"/>
    <w:rsid w:val="008832FD"/>
    <w:rsid w:val="00883476"/>
    <w:rsid w:val="00883492"/>
    <w:rsid w:val="00883498"/>
    <w:rsid w:val="008835D9"/>
    <w:rsid w:val="00883846"/>
    <w:rsid w:val="0088386F"/>
    <w:rsid w:val="00883A2F"/>
    <w:rsid w:val="00883A9B"/>
    <w:rsid w:val="00883C2F"/>
    <w:rsid w:val="00883C75"/>
    <w:rsid w:val="00883FCA"/>
    <w:rsid w:val="0088400C"/>
    <w:rsid w:val="00884068"/>
    <w:rsid w:val="00884305"/>
    <w:rsid w:val="00884636"/>
    <w:rsid w:val="008846FB"/>
    <w:rsid w:val="00884720"/>
    <w:rsid w:val="00884A1B"/>
    <w:rsid w:val="00884A56"/>
    <w:rsid w:val="008850C5"/>
    <w:rsid w:val="0088583F"/>
    <w:rsid w:val="008859C3"/>
    <w:rsid w:val="00885B1D"/>
    <w:rsid w:val="00885BE2"/>
    <w:rsid w:val="00885F62"/>
    <w:rsid w:val="008860B3"/>
    <w:rsid w:val="008864D8"/>
    <w:rsid w:val="00886B8C"/>
    <w:rsid w:val="00886E50"/>
    <w:rsid w:val="00886E88"/>
    <w:rsid w:val="008870FE"/>
    <w:rsid w:val="0088722F"/>
    <w:rsid w:val="008872AE"/>
    <w:rsid w:val="008874CF"/>
    <w:rsid w:val="0088776B"/>
    <w:rsid w:val="00887D48"/>
    <w:rsid w:val="00890417"/>
    <w:rsid w:val="00890533"/>
    <w:rsid w:val="008909D6"/>
    <w:rsid w:val="00890A57"/>
    <w:rsid w:val="00890DA1"/>
    <w:rsid w:val="00890E64"/>
    <w:rsid w:val="00891078"/>
    <w:rsid w:val="00891163"/>
    <w:rsid w:val="0089133D"/>
    <w:rsid w:val="00891843"/>
    <w:rsid w:val="008918D5"/>
    <w:rsid w:val="008920A2"/>
    <w:rsid w:val="008921E5"/>
    <w:rsid w:val="0089232B"/>
    <w:rsid w:val="008924CE"/>
    <w:rsid w:val="008924DE"/>
    <w:rsid w:val="0089261C"/>
    <w:rsid w:val="0089291F"/>
    <w:rsid w:val="00892C01"/>
    <w:rsid w:val="00892C03"/>
    <w:rsid w:val="008934A9"/>
    <w:rsid w:val="00893538"/>
    <w:rsid w:val="0089365E"/>
    <w:rsid w:val="00893678"/>
    <w:rsid w:val="00893748"/>
    <w:rsid w:val="00893ACA"/>
    <w:rsid w:val="00893F0C"/>
    <w:rsid w:val="00894077"/>
    <w:rsid w:val="00894259"/>
    <w:rsid w:val="00894572"/>
    <w:rsid w:val="0089458C"/>
    <w:rsid w:val="008945B2"/>
    <w:rsid w:val="008949FA"/>
    <w:rsid w:val="00894ADE"/>
    <w:rsid w:val="00894BC5"/>
    <w:rsid w:val="00894D26"/>
    <w:rsid w:val="00895392"/>
    <w:rsid w:val="00895434"/>
    <w:rsid w:val="008957ED"/>
    <w:rsid w:val="00895804"/>
    <w:rsid w:val="00895835"/>
    <w:rsid w:val="00896178"/>
    <w:rsid w:val="0089617C"/>
    <w:rsid w:val="008961A1"/>
    <w:rsid w:val="008965D8"/>
    <w:rsid w:val="0089675B"/>
    <w:rsid w:val="00896B2C"/>
    <w:rsid w:val="00896B49"/>
    <w:rsid w:val="00896C53"/>
    <w:rsid w:val="00896C68"/>
    <w:rsid w:val="00896E0C"/>
    <w:rsid w:val="008971C5"/>
    <w:rsid w:val="00897452"/>
    <w:rsid w:val="00897618"/>
    <w:rsid w:val="008977F0"/>
    <w:rsid w:val="00897ED4"/>
    <w:rsid w:val="00897F84"/>
    <w:rsid w:val="008A01FD"/>
    <w:rsid w:val="008A0275"/>
    <w:rsid w:val="008A0302"/>
    <w:rsid w:val="008A0338"/>
    <w:rsid w:val="008A05C1"/>
    <w:rsid w:val="008A061F"/>
    <w:rsid w:val="008A06B6"/>
    <w:rsid w:val="008A077B"/>
    <w:rsid w:val="008A0A8B"/>
    <w:rsid w:val="008A0AAE"/>
    <w:rsid w:val="008A0C2C"/>
    <w:rsid w:val="008A1176"/>
    <w:rsid w:val="008A1184"/>
    <w:rsid w:val="008A13E1"/>
    <w:rsid w:val="008A14FD"/>
    <w:rsid w:val="008A187B"/>
    <w:rsid w:val="008A1A80"/>
    <w:rsid w:val="008A1D42"/>
    <w:rsid w:val="008A1E91"/>
    <w:rsid w:val="008A1F43"/>
    <w:rsid w:val="008A1FBD"/>
    <w:rsid w:val="008A20E2"/>
    <w:rsid w:val="008A2268"/>
    <w:rsid w:val="008A265A"/>
    <w:rsid w:val="008A29FC"/>
    <w:rsid w:val="008A2A1D"/>
    <w:rsid w:val="008A2CDF"/>
    <w:rsid w:val="008A3023"/>
    <w:rsid w:val="008A3083"/>
    <w:rsid w:val="008A3191"/>
    <w:rsid w:val="008A35ED"/>
    <w:rsid w:val="008A3601"/>
    <w:rsid w:val="008A3DF8"/>
    <w:rsid w:val="008A450E"/>
    <w:rsid w:val="008A451D"/>
    <w:rsid w:val="008A45DE"/>
    <w:rsid w:val="008A4A02"/>
    <w:rsid w:val="008A4ACC"/>
    <w:rsid w:val="008A4F20"/>
    <w:rsid w:val="008A529C"/>
    <w:rsid w:val="008A52E2"/>
    <w:rsid w:val="008A5344"/>
    <w:rsid w:val="008A5925"/>
    <w:rsid w:val="008A59D9"/>
    <w:rsid w:val="008A6006"/>
    <w:rsid w:val="008A60DA"/>
    <w:rsid w:val="008A60FF"/>
    <w:rsid w:val="008A6276"/>
    <w:rsid w:val="008A633F"/>
    <w:rsid w:val="008A6468"/>
    <w:rsid w:val="008A694E"/>
    <w:rsid w:val="008A73C5"/>
    <w:rsid w:val="008A7B16"/>
    <w:rsid w:val="008A7D4E"/>
    <w:rsid w:val="008A7E44"/>
    <w:rsid w:val="008B0210"/>
    <w:rsid w:val="008B02ED"/>
    <w:rsid w:val="008B0648"/>
    <w:rsid w:val="008B0822"/>
    <w:rsid w:val="008B0841"/>
    <w:rsid w:val="008B0950"/>
    <w:rsid w:val="008B0A58"/>
    <w:rsid w:val="008B0C59"/>
    <w:rsid w:val="008B14D7"/>
    <w:rsid w:val="008B15C9"/>
    <w:rsid w:val="008B1E7C"/>
    <w:rsid w:val="008B218D"/>
    <w:rsid w:val="008B25A4"/>
    <w:rsid w:val="008B2815"/>
    <w:rsid w:val="008B2819"/>
    <w:rsid w:val="008B2A43"/>
    <w:rsid w:val="008B2AD9"/>
    <w:rsid w:val="008B2BFD"/>
    <w:rsid w:val="008B3130"/>
    <w:rsid w:val="008B3256"/>
    <w:rsid w:val="008B3478"/>
    <w:rsid w:val="008B35A3"/>
    <w:rsid w:val="008B36D7"/>
    <w:rsid w:val="008B3774"/>
    <w:rsid w:val="008B3D71"/>
    <w:rsid w:val="008B41EF"/>
    <w:rsid w:val="008B43DC"/>
    <w:rsid w:val="008B493A"/>
    <w:rsid w:val="008B4AA5"/>
    <w:rsid w:val="008B4C82"/>
    <w:rsid w:val="008B4F93"/>
    <w:rsid w:val="008B50F1"/>
    <w:rsid w:val="008B546A"/>
    <w:rsid w:val="008B54DD"/>
    <w:rsid w:val="008B54F3"/>
    <w:rsid w:val="008B5787"/>
    <w:rsid w:val="008B5B62"/>
    <w:rsid w:val="008B5B72"/>
    <w:rsid w:val="008B5CB6"/>
    <w:rsid w:val="008B5CFD"/>
    <w:rsid w:val="008B615B"/>
    <w:rsid w:val="008B6173"/>
    <w:rsid w:val="008B6181"/>
    <w:rsid w:val="008B6231"/>
    <w:rsid w:val="008B65AB"/>
    <w:rsid w:val="008B65CF"/>
    <w:rsid w:val="008B680F"/>
    <w:rsid w:val="008B6994"/>
    <w:rsid w:val="008B6B09"/>
    <w:rsid w:val="008B6BFA"/>
    <w:rsid w:val="008B6E83"/>
    <w:rsid w:val="008B6EC8"/>
    <w:rsid w:val="008B6FE9"/>
    <w:rsid w:val="008B6FFC"/>
    <w:rsid w:val="008B7178"/>
    <w:rsid w:val="008B7209"/>
    <w:rsid w:val="008B7510"/>
    <w:rsid w:val="008B753D"/>
    <w:rsid w:val="008B75CA"/>
    <w:rsid w:val="008B7A8D"/>
    <w:rsid w:val="008B7AA2"/>
    <w:rsid w:val="008B7DE5"/>
    <w:rsid w:val="008B7F69"/>
    <w:rsid w:val="008B7F77"/>
    <w:rsid w:val="008C0304"/>
    <w:rsid w:val="008C0796"/>
    <w:rsid w:val="008C0AB5"/>
    <w:rsid w:val="008C0CEA"/>
    <w:rsid w:val="008C107E"/>
    <w:rsid w:val="008C1147"/>
    <w:rsid w:val="008C1705"/>
    <w:rsid w:val="008C1D01"/>
    <w:rsid w:val="008C1D63"/>
    <w:rsid w:val="008C1E77"/>
    <w:rsid w:val="008C21C2"/>
    <w:rsid w:val="008C2A78"/>
    <w:rsid w:val="008C2D32"/>
    <w:rsid w:val="008C2E7D"/>
    <w:rsid w:val="008C2EB1"/>
    <w:rsid w:val="008C2F8B"/>
    <w:rsid w:val="008C31EC"/>
    <w:rsid w:val="008C32D6"/>
    <w:rsid w:val="008C35C4"/>
    <w:rsid w:val="008C3F43"/>
    <w:rsid w:val="008C42AD"/>
    <w:rsid w:val="008C4676"/>
    <w:rsid w:val="008C47CB"/>
    <w:rsid w:val="008C4B7D"/>
    <w:rsid w:val="008C4D9E"/>
    <w:rsid w:val="008C4EAD"/>
    <w:rsid w:val="008C4FF3"/>
    <w:rsid w:val="008C5179"/>
    <w:rsid w:val="008C5365"/>
    <w:rsid w:val="008C5582"/>
    <w:rsid w:val="008C57FA"/>
    <w:rsid w:val="008C5887"/>
    <w:rsid w:val="008C6108"/>
    <w:rsid w:val="008C61F5"/>
    <w:rsid w:val="008C6405"/>
    <w:rsid w:val="008C6723"/>
    <w:rsid w:val="008C6863"/>
    <w:rsid w:val="008C696E"/>
    <w:rsid w:val="008C6B19"/>
    <w:rsid w:val="008C6EE5"/>
    <w:rsid w:val="008C6F6B"/>
    <w:rsid w:val="008C7279"/>
    <w:rsid w:val="008C7592"/>
    <w:rsid w:val="008C7B68"/>
    <w:rsid w:val="008D0206"/>
    <w:rsid w:val="008D0463"/>
    <w:rsid w:val="008D0657"/>
    <w:rsid w:val="008D0891"/>
    <w:rsid w:val="008D0B47"/>
    <w:rsid w:val="008D0B51"/>
    <w:rsid w:val="008D0C5B"/>
    <w:rsid w:val="008D0D11"/>
    <w:rsid w:val="008D10F5"/>
    <w:rsid w:val="008D111D"/>
    <w:rsid w:val="008D1141"/>
    <w:rsid w:val="008D1C97"/>
    <w:rsid w:val="008D1E26"/>
    <w:rsid w:val="008D1E4E"/>
    <w:rsid w:val="008D1FD0"/>
    <w:rsid w:val="008D2144"/>
    <w:rsid w:val="008D23D6"/>
    <w:rsid w:val="008D2601"/>
    <w:rsid w:val="008D263E"/>
    <w:rsid w:val="008D2973"/>
    <w:rsid w:val="008D2E35"/>
    <w:rsid w:val="008D30F7"/>
    <w:rsid w:val="008D35FF"/>
    <w:rsid w:val="008D37A0"/>
    <w:rsid w:val="008D3AA6"/>
    <w:rsid w:val="008D3D9C"/>
    <w:rsid w:val="008D42DA"/>
    <w:rsid w:val="008D4631"/>
    <w:rsid w:val="008D478E"/>
    <w:rsid w:val="008D50B0"/>
    <w:rsid w:val="008D517D"/>
    <w:rsid w:val="008D5345"/>
    <w:rsid w:val="008D54B3"/>
    <w:rsid w:val="008D54CA"/>
    <w:rsid w:val="008D55A2"/>
    <w:rsid w:val="008D571B"/>
    <w:rsid w:val="008D5805"/>
    <w:rsid w:val="008D58CE"/>
    <w:rsid w:val="008D58F3"/>
    <w:rsid w:val="008D5A58"/>
    <w:rsid w:val="008D5BE2"/>
    <w:rsid w:val="008D6114"/>
    <w:rsid w:val="008D6E05"/>
    <w:rsid w:val="008D7004"/>
    <w:rsid w:val="008D73ED"/>
    <w:rsid w:val="008D77D9"/>
    <w:rsid w:val="008D78FB"/>
    <w:rsid w:val="008D7B8C"/>
    <w:rsid w:val="008D7CA6"/>
    <w:rsid w:val="008D7E33"/>
    <w:rsid w:val="008E0059"/>
    <w:rsid w:val="008E01D3"/>
    <w:rsid w:val="008E050B"/>
    <w:rsid w:val="008E0B12"/>
    <w:rsid w:val="008E0F01"/>
    <w:rsid w:val="008E0FCE"/>
    <w:rsid w:val="008E1457"/>
    <w:rsid w:val="008E149B"/>
    <w:rsid w:val="008E170F"/>
    <w:rsid w:val="008E19A5"/>
    <w:rsid w:val="008E1A48"/>
    <w:rsid w:val="008E1B16"/>
    <w:rsid w:val="008E241D"/>
    <w:rsid w:val="008E2A4A"/>
    <w:rsid w:val="008E2D4F"/>
    <w:rsid w:val="008E2D77"/>
    <w:rsid w:val="008E37CE"/>
    <w:rsid w:val="008E3D29"/>
    <w:rsid w:val="008E432F"/>
    <w:rsid w:val="008E44C2"/>
    <w:rsid w:val="008E452C"/>
    <w:rsid w:val="008E49CE"/>
    <w:rsid w:val="008E5346"/>
    <w:rsid w:val="008E5357"/>
    <w:rsid w:val="008E5669"/>
    <w:rsid w:val="008E56FB"/>
    <w:rsid w:val="008E571B"/>
    <w:rsid w:val="008E57A8"/>
    <w:rsid w:val="008E594E"/>
    <w:rsid w:val="008E5C82"/>
    <w:rsid w:val="008E5F32"/>
    <w:rsid w:val="008E6121"/>
    <w:rsid w:val="008E6174"/>
    <w:rsid w:val="008E61BC"/>
    <w:rsid w:val="008E6332"/>
    <w:rsid w:val="008E63F4"/>
    <w:rsid w:val="008E65F2"/>
    <w:rsid w:val="008E66E1"/>
    <w:rsid w:val="008E694E"/>
    <w:rsid w:val="008E69DF"/>
    <w:rsid w:val="008E6A18"/>
    <w:rsid w:val="008E6B07"/>
    <w:rsid w:val="008E6F7A"/>
    <w:rsid w:val="008E7127"/>
    <w:rsid w:val="008E78EA"/>
    <w:rsid w:val="008E7B87"/>
    <w:rsid w:val="008F00AF"/>
    <w:rsid w:val="008F030D"/>
    <w:rsid w:val="008F079F"/>
    <w:rsid w:val="008F07FF"/>
    <w:rsid w:val="008F0E52"/>
    <w:rsid w:val="008F1005"/>
    <w:rsid w:val="008F11DD"/>
    <w:rsid w:val="008F130E"/>
    <w:rsid w:val="008F1374"/>
    <w:rsid w:val="008F1A6D"/>
    <w:rsid w:val="008F1CEE"/>
    <w:rsid w:val="008F225E"/>
    <w:rsid w:val="008F2438"/>
    <w:rsid w:val="008F2505"/>
    <w:rsid w:val="008F2AEF"/>
    <w:rsid w:val="008F2E4E"/>
    <w:rsid w:val="008F2E93"/>
    <w:rsid w:val="008F319B"/>
    <w:rsid w:val="008F31DD"/>
    <w:rsid w:val="008F3288"/>
    <w:rsid w:val="008F33FE"/>
    <w:rsid w:val="008F3BA5"/>
    <w:rsid w:val="008F400A"/>
    <w:rsid w:val="008F41CC"/>
    <w:rsid w:val="008F41E0"/>
    <w:rsid w:val="008F453F"/>
    <w:rsid w:val="008F45BD"/>
    <w:rsid w:val="008F4741"/>
    <w:rsid w:val="008F4D3C"/>
    <w:rsid w:val="008F4E2D"/>
    <w:rsid w:val="008F4FE7"/>
    <w:rsid w:val="008F5028"/>
    <w:rsid w:val="008F51DB"/>
    <w:rsid w:val="008F541E"/>
    <w:rsid w:val="008F55E5"/>
    <w:rsid w:val="008F5639"/>
    <w:rsid w:val="008F6002"/>
    <w:rsid w:val="008F62CE"/>
    <w:rsid w:val="008F66AD"/>
    <w:rsid w:val="008F674E"/>
    <w:rsid w:val="008F6994"/>
    <w:rsid w:val="008F6D25"/>
    <w:rsid w:val="008F712D"/>
    <w:rsid w:val="008F7216"/>
    <w:rsid w:val="008F7294"/>
    <w:rsid w:val="008F738B"/>
    <w:rsid w:val="008F74A0"/>
    <w:rsid w:val="008F7672"/>
    <w:rsid w:val="008F77BE"/>
    <w:rsid w:val="008F7B66"/>
    <w:rsid w:val="00900171"/>
    <w:rsid w:val="00900438"/>
    <w:rsid w:val="0090051A"/>
    <w:rsid w:val="00900863"/>
    <w:rsid w:val="0090098F"/>
    <w:rsid w:val="00900CD0"/>
    <w:rsid w:val="00900E80"/>
    <w:rsid w:val="00901067"/>
    <w:rsid w:val="00901331"/>
    <w:rsid w:val="009017FF"/>
    <w:rsid w:val="0090217B"/>
    <w:rsid w:val="009022BB"/>
    <w:rsid w:val="009023A7"/>
    <w:rsid w:val="00902441"/>
    <w:rsid w:val="0090269A"/>
    <w:rsid w:val="009029F1"/>
    <w:rsid w:val="00902AE2"/>
    <w:rsid w:val="00902AED"/>
    <w:rsid w:val="00902DE8"/>
    <w:rsid w:val="0090320F"/>
    <w:rsid w:val="00903233"/>
    <w:rsid w:val="00903CF3"/>
    <w:rsid w:val="00903DBA"/>
    <w:rsid w:val="00903EDE"/>
    <w:rsid w:val="00903FBF"/>
    <w:rsid w:val="00904268"/>
    <w:rsid w:val="00904527"/>
    <w:rsid w:val="00904B65"/>
    <w:rsid w:val="00905055"/>
    <w:rsid w:val="00905799"/>
    <w:rsid w:val="00905C38"/>
    <w:rsid w:val="00905DFF"/>
    <w:rsid w:val="0090610D"/>
    <w:rsid w:val="00906421"/>
    <w:rsid w:val="009064E7"/>
    <w:rsid w:val="009065DC"/>
    <w:rsid w:val="009069F7"/>
    <w:rsid w:val="00906F62"/>
    <w:rsid w:val="00906F92"/>
    <w:rsid w:val="00907317"/>
    <w:rsid w:val="0090731C"/>
    <w:rsid w:val="009076C8"/>
    <w:rsid w:val="009078B8"/>
    <w:rsid w:val="00907A52"/>
    <w:rsid w:val="00907BE0"/>
    <w:rsid w:val="00907C5C"/>
    <w:rsid w:val="0091018F"/>
    <w:rsid w:val="009102BA"/>
    <w:rsid w:val="00910441"/>
    <w:rsid w:val="00910610"/>
    <w:rsid w:val="00910BEF"/>
    <w:rsid w:val="009110D2"/>
    <w:rsid w:val="009112FB"/>
    <w:rsid w:val="00911538"/>
    <w:rsid w:val="00911C2C"/>
    <w:rsid w:val="00911E26"/>
    <w:rsid w:val="00911E6B"/>
    <w:rsid w:val="00912271"/>
    <w:rsid w:val="009122CD"/>
    <w:rsid w:val="00912593"/>
    <w:rsid w:val="00912FA4"/>
    <w:rsid w:val="00912FD4"/>
    <w:rsid w:val="009135E7"/>
    <w:rsid w:val="00913BAD"/>
    <w:rsid w:val="00913D9D"/>
    <w:rsid w:val="00913E7B"/>
    <w:rsid w:val="00914142"/>
    <w:rsid w:val="0091450C"/>
    <w:rsid w:val="0091464C"/>
    <w:rsid w:val="00914841"/>
    <w:rsid w:val="00914AE6"/>
    <w:rsid w:val="00914DC9"/>
    <w:rsid w:val="00915057"/>
    <w:rsid w:val="009154BF"/>
    <w:rsid w:val="00915500"/>
    <w:rsid w:val="00915527"/>
    <w:rsid w:val="009157AF"/>
    <w:rsid w:val="0091588A"/>
    <w:rsid w:val="00915999"/>
    <w:rsid w:val="00915C56"/>
    <w:rsid w:val="00915C6C"/>
    <w:rsid w:val="00915FC3"/>
    <w:rsid w:val="00916245"/>
    <w:rsid w:val="00916903"/>
    <w:rsid w:val="00916A9C"/>
    <w:rsid w:val="00916E56"/>
    <w:rsid w:val="00916FD2"/>
    <w:rsid w:val="00917075"/>
    <w:rsid w:val="0091721C"/>
    <w:rsid w:val="009172ED"/>
    <w:rsid w:val="00917617"/>
    <w:rsid w:val="00917705"/>
    <w:rsid w:val="009205DA"/>
    <w:rsid w:val="00920663"/>
    <w:rsid w:val="0092087F"/>
    <w:rsid w:val="00920A81"/>
    <w:rsid w:val="00920BFD"/>
    <w:rsid w:val="00920DFD"/>
    <w:rsid w:val="00920EFA"/>
    <w:rsid w:val="0092109D"/>
    <w:rsid w:val="009210FF"/>
    <w:rsid w:val="0092158B"/>
    <w:rsid w:val="009216F4"/>
    <w:rsid w:val="0092178E"/>
    <w:rsid w:val="009217B8"/>
    <w:rsid w:val="00921966"/>
    <w:rsid w:val="00921B5D"/>
    <w:rsid w:val="009222F1"/>
    <w:rsid w:val="00922496"/>
    <w:rsid w:val="009227C7"/>
    <w:rsid w:val="009231A1"/>
    <w:rsid w:val="009232C4"/>
    <w:rsid w:val="00923375"/>
    <w:rsid w:val="009235A9"/>
    <w:rsid w:val="00923AE8"/>
    <w:rsid w:val="0092413E"/>
    <w:rsid w:val="00924145"/>
    <w:rsid w:val="009241BA"/>
    <w:rsid w:val="00924774"/>
    <w:rsid w:val="00924A64"/>
    <w:rsid w:val="00925466"/>
    <w:rsid w:val="009254C5"/>
    <w:rsid w:val="00925683"/>
    <w:rsid w:val="009256AB"/>
    <w:rsid w:val="0092570D"/>
    <w:rsid w:val="00925A37"/>
    <w:rsid w:val="00925AF2"/>
    <w:rsid w:val="0092655A"/>
    <w:rsid w:val="00926790"/>
    <w:rsid w:val="009267BF"/>
    <w:rsid w:val="0092685F"/>
    <w:rsid w:val="009269AA"/>
    <w:rsid w:val="00926A1E"/>
    <w:rsid w:val="00926E0A"/>
    <w:rsid w:val="00927143"/>
    <w:rsid w:val="00927416"/>
    <w:rsid w:val="009274DE"/>
    <w:rsid w:val="009277AD"/>
    <w:rsid w:val="00927D87"/>
    <w:rsid w:val="00927E6E"/>
    <w:rsid w:val="009300BF"/>
    <w:rsid w:val="00930385"/>
    <w:rsid w:val="0093041C"/>
    <w:rsid w:val="00930437"/>
    <w:rsid w:val="00930858"/>
    <w:rsid w:val="009308C3"/>
    <w:rsid w:val="00930927"/>
    <w:rsid w:val="00930A3E"/>
    <w:rsid w:val="00930A88"/>
    <w:rsid w:val="00931161"/>
    <w:rsid w:val="00931231"/>
    <w:rsid w:val="0093129C"/>
    <w:rsid w:val="00931482"/>
    <w:rsid w:val="00931773"/>
    <w:rsid w:val="00931AE4"/>
    <w:rsid w:val="00931BE1"/>
    <w:rsid w:val="00931F34"/>
    <w:rsid w:val="009320D9"/>
    <w:rsid w:val="00932147"/>
    <w:rsid w:val="009329DA"/>
    <w:rsid w:val="009333D6"/>
    <w:rsid w:val="00933638"/>
    <w:rsid w:val="009336A9"/>
    <w:rsid w:val="00933B79"/>
    <w:rsid w:val="009340C0"/>
    <w:rsid w:val="009343CC"/>
    <w:rsid w:val="009344CC"/>
    <w:rsid w:val="0093484B"/>
    <w:rsid w:val="00934E40"/>
    <w:rsid w:val="0093524A"/>
    <w:rsid w:val="009353D4"/>
    <w:rsid w:val="009358B8"/>
    <w:rsid w:val="00935B98"/>
    <w:rsid w:val="00935BC4"/>
    <w:rsid w:val="00935EC4"/>
    <w:rsid w:val="00935F0A"/>
    <w:rsid w:val="009363D6"/>
    <w:rsid w:val="00936543"/>
    <w:rsid w:val="00936DD5"/>
    <w:rsid w:val="00936FBD"/>
    <w:rsid w:val="0093701B"/>
    <w:rsid w:val="009370CC"/>
    <w:rsid w:val="009371B3"/>
    <w:rsid w:val="0093726C"/>
    <w:rsid w:val="0093757F"/>
    <w:rsid w:val="0093775F"/>
    <w:rsid w:val="00937A4A"/>
    <w:rsid w:val="00937CA0"/>
    <w:rsid w:val="00937E07"/>
    <w:rsid w:val="00937FC2"/>
    <w:rsid w:val="00937FEC"/>
    <w:rsid w:val="0094086E"/>
    <w:rsid w:val="00940CF6"/>
    <w:rsid w:val="00941020"/>
    <w:rsid w:val="009412EA"/>
    <w:rsid w:val="00941D64"/>
    <w:rsid w:val="00941EA3"/>
    <w:rsid w:val="00942150"/>
    <w:rsid w:val="009421D7"/>
    <w:rsid w:val="00942493"/>
    <w:rsid w:val="00942515"/>
    <w:rsid w:val="00942802"/>
    <w:rsid w:val="009428A0"/>
    <w:rsid w:val="009431B8"/>
    <w:rsid w:val="0094322D"/>
    <w:rsid w:val="009433AA"/>
    <w:rsid w:val="00943715"/>
    <w:rsid w:val="0094392C"/>
    <w:rsid w:val="00943A7B"/>
    <w:rsid w:val="00943CF8"/>
    <w:rsid w:val="0094400B"/>
    <w:rsid w:val="0094433F"/>
    <w:rsid w:val="00944874"/>
    <w:rsid w:val="0094495B"/>
    <w:rsid w:val="00944E44"/>
    <w:rsid w:val="0094508C"/>
    <w:rsid w:val="00945275"/>
    <w:rsid w:val="009457B5"/>
    <w:rsid w:val="009457F2"/>
    <w:rsid w:val="009458A5"/>
    <w:rsid w:val="009459EF"/>
    <w:rsid w:val="00945C8B"/>
    <w:rsid w:val="00945E8F"/>
    <w:rsid w:val="0094604E"/>
    <w:rsid w:val="00946256"/>
    <w:rsid w:val="009462BA"/>
    <w:rsid w:val="009462D7"/>
    <w:rsid w:val="009464A3"/>
    <w:rsid w:val="0094651A"/>
    <w:rsid w:val="00946682"/>
    <w:rsid w:val="00946864"/>
    <w:rsid w:val="00946BF6"/>
    <w:rsid w:val="00947705"/>
    <w:rsid w:val="009477C3"/>
    <w:rsid w:val="0094781C"/>
    <w:rsid w:val="0094789A"/>
    <w:rsid w:val="00947C2A"/>
    <w:rsid w:val="00947CED"/>
    <w:rsid w:val="00947FA6"/>
    <w:rsid w:val="0095015A"/>
    <w:rsid w:val="00950240"/>
    <w:rsid w:val="00950770"/>
    <w:rsid w:val="00950885"/>
    <w:rsid w:val="00950C3C"/>
    <w:rsid w:val="00950EDB"/>
    <w:rsid w:val="00950F31"/>
    <w:rsid w:val="0095113C"/>
    <w:rsid w:val="00951365"/>
    <w:rsid w:val="00951437"/>
    <w:rsid w:val="00951709"/>
    <w:rsid w:val="00951E22"/>
    <w:rsid w:val="00952098"/>
    <w:rsid w:val="00952252"/>
    <w:rsid w:val="00952286"/>
    <w:rsid w:val="00952364"/>
    <w:rsid w:val="00952600"/>
    <w:rsid w:val="00952722"/>
    <w:rsid w:val="00952E1D"/>
    <w:rsid w:val="00952F53"/>
    <w:rsid w:val="009532FE"/>
    <w:rsid w:val="0095361F"/>
    <w:rsid w:val="009536B9"/>
    <w:rsid w:val="009536C6"/>
    <w:rsid w:val="0095390F"/>
    <w:rsid w:val="00953A74"/>
    <w:rsid w:val="00953B25"/>
    <w:rsid w:val="00953EB2"/>
    <w:rsid w:val="00953FC9"/>
    <w:rsid w:val="009540CE"/>
    <w:rsid w:val="009541E0"/>
    <w:rsid w:val="00954291"/>
    <w:rsid w:val="009544DD"/>
    <w:rsid w:val="009544E6"/>
    <w:rsid w:val="009545B2"/>
    <w:rsid w:val="009548EA"/>
    <w:rsid w:val="00954A33"/>
    <w:rsid w:val="00954BAA"/>
    <w:rsid w:val="009550E6"/>
    <w:rsid w:val="009551C5"/>
    <w:rsid w:val="00955271"/>
    <w:rsid w:val="0095527D"/>
    <w:rsid w:val="00955485"/>
    <w:rsid w:val="009554D5"/>
    <w:rsid w:val="00955506"/>
    <w:rsid w:val="009555A0"/>
    <w:rsid w:val="009555CF"/>
    <w:rsid w:val="00955610"/>
    <w:rsid w:val="00955C99"/>
    <w:rsid w:val="0095603A"/>
    <w:rsid w:val="0095661C"/>
    <w:rsid w:val="0095665E"/>
    <w:rsid w:val="009568AA"/>
    <w:rsid w:val="00956BE1"/>
    <w:rsid w:val="00956CBC"/>
    <w:rsid w:val="00956F79"/>
    <w:rsid w:val="009570B5"/>
    <w:rsid w:val="0095710A"/>
    <w:rsid w:val="00957204"/>
    <w:rsid w:val="00957721"/>
    <w:rsid w:val="00957778"/>
    <w:rsid w:val="009577BE"/>
    <w:rsid w:val="00957800"/>
    <w:rsid w:val="00957A12"/>
    <w:rsid w:val="00957B8A"/>
    <w:rsid w:val="00957D0E"/>
    <w:rsid w:val="00957EC3"/>
    <w:rsid w:val="00957F25"/>
    <w:rsid w:val="0096036B"/>
    <w:rsid w:val="00960570"/>
    <w:rsid w:val="009605F7"/>
    <w:rsid w:val="00960B95"/>
    <w:rsid w:val="00960BB5"/>
    <w:rsid w:val="00960DCA"/>
    <w:rsid w:val="00960DD8"/>
    <w:rsid w:val="00960E3A"/>
    <w:rsid w:val="00961171"/>
    <w:rsid w:val="00961195"/>
    <w:rsid w:val="009615D5"/>
    <w:rsid w:val="009619EC"/>
    <w:rsid w:val="00961AD1"/>
    <w:rsid w:val="00961B59"/>
    <w:rsid w:val="00961C3B"/>
    <w:rsid w:val="00961C74"/>
    <w:rsid w:val="00961D40"/>
    <w:rsid w:val="00961D96"/>
    <w:rsid w:val="00961DE9"/>
    <w:rsid w:val="00961EB3"/>
    <w:rsid w:val="00961ED5"/>
    <w:rsid w:val="009622A3"/>
    <w:rsid w:val="009623B2"/>
    <w:rsid w:val="00962410"/>
    <w:rsid w:val="009625CF"/>
    <w:rsid w:val="00962663"/>
    <w:rsid w:val="009629D9"/>
    <w:rsid w:val="00962D8B"/>
    <w:rsid w:val="00962E8D"/>
    <w:rsid w:val="00962F1B"/>
    <w:rsid w:val="00962F50"/>
    <w:rsid w:val="00962FBF"/>
    <w:rsid w:val="009635F4"/>
    <w:rsid w:val="009639AD"/>
    <w:rsid w:val="00963AE3"/>
    <w:rsid w:val="00963EE5"/>
    <w:rsid w:val="00963FC2"/>
    <w:rsid w:val="00964202"/>
    <w:rsid w:val="009642C9"/>
    <w:rsid w:val="00964537"/>
    <w:rsid w:val="00964663"/>
    <w:rsid w:val="0096483D"/>
    <w:rsid w:val="0096499B"/>
    <w:rsid w:val="00964A72"/>
    <w:rsid w:val="00964BC4"/>
    <w:rsid w:val="00964CE6"/>
    <w:rsid w:val="00964D4C"/>
    <w:rsid w:val="0096513E"/>
    <w:rsid w:val="00965330"/>
    <w:rsid w:val="00965448"/>
    <w:rsid w:val="0096577F"/>
    <w:rsid w:val="00965C91"/>
    <w:rsid w:val="00965D93"/>
    <w:rsid w:val="00965ECD"/>
    <w:rsid w:val="00965FA3"/>
    <w:rsid w:val="009660CE"/>
    <w:rsid w:val="00966116"/>
    <w:rsid w:val="0096632B"/>
    <w:rsid w:val="00966391"/>
    <w:rsid w:val="009663C3"/>
    <w:rsid w:val="009663CA"/>
    <w:rsid w:val="0096640F"/>
    <w:rsid w:val="0096680D"/>
    <w:rsid w:val="00966B72"/>
    <w:rsid w:val="00966EB2"/>
    <w:rsid w:val="00967227"/>
    <w:rsid w:val="009672F8"/>
    <w:rsid w:val="009676E5"/>
    <w:rsid w:val="00967882"/>
    <w:rsid w:val="00967AD4"/>
    <w:rsid w:val="00967B4E"/>
    <w:rsid w:val="00967C4B"/>
    <w:rsid w:val="00967E6E"/>
    <w:rsid w:val="009702F9"/>
    <w:rsid w:val="0097037F"/>
    <w:rsid w:val="009709EA"/>
    <w:rsid w:val="00970C74"/>
    <w:rsid w:val="00970C9F"/>
    <w:rsid w:val="00970D06"/>
    <w:rsid w:val="00970D6C"/>
    <w:rsid w:val="00971064"/>
    <w:rsid w:val="0097115A"/>
    <w:rsid w:val="009715A6"/>
    <w:rsid w:val="009718A2"/>
    <w:rsid w:val="00971BE2"/>
    <w:rsid w:val="00971C68"/>
    <w:rsid w:val="00971FBE"/>
    <w:rsid w:val="00972163"/>
    <w:rsid w:val="009721B6"/>
    <w:rsid w:val="0097221E"/>
    <w:rsid w:val="009727D6"/>
    <w:rsid w:val="009728B1"/>
    <w:rsid w:val="009729BB"/>
    <w:rsid w:val="00972A0D"/>
    <w:rsid w:val="00972A21"/>
    <w:rsid w:val="00972A23"/>
    <w:rsid w:val="00972A50"/>
    <w:rsid w:val="00972AE3"/>
    <w:rsid w:val="00972F54"/>
    <w:rsid w:val="009730D2"/>
    <w:rsid w:val="00973211"/>
    <w:rsid w:val="00973445"/>
    <w:rsid w:val="00973473"/>
    <w:rsid w:val="009734F2"/>
    <w:rsid w:val="00973552"/>
    <w:rsid w:val="009735E4"/>
    <w:rsid w:val="00973BB9"/>
    <w:rsid w:val="00973D1A"/>
    <w:rsid w:val="00973EFC"/>
    <w:rsid w:val="00973F64"/>
    <w:rsid w:val="00974027"/>
    <w:rsid w:val="009743A1"/>
    <w:rsid w:val="0097440C"/>
    <w:rsid w:val="00974508"/>
    <w:rsid w:val="00974C6B"/>
    <w:rsid w:val="00974F88"/>
    <w:rsid w:val="00974F95"/>
    <w:rsid w:val="00975369"/>
    <w:rsid w:val="0097567A"/>
    <w:rsid w:val="00975761"/>
    <w:rsid w:val="009759DC"/>
    <w:rsid w:val="00975D70"/>
    <w:rsid w:val="00976466"/>
    <w:rsid w:val="00976757"/>
    <w:rsid w:val="009769F5"/>
    <w:rsid w:val="00976F23"/>
    <w:rsid w:val="00976FCE"/>
    <w:rsid w:val="009770A3"/>
    <w:rsid w:val="0097710F"/>
    <w:rsid w:val="0097724F"/>
    <w:rsid w:val="00977613"/>
    <w:rsid w:val="009801AE"/>
    <w:rsid w:val="00980503"/>
    <w:rsid w:val="00980753"/>
    <w:rsid w:val="00980BD0"/>
    <w:rsid w:val="00980BEA"/>
    <w:rsid w:val="00981289"/>
    <w:rsid w:val="00981373"/>
    <w:rsid w:val="00981A1B"/>
    <w:rsid w:val="00981AD6"/>
    <w:rsid w:val="00981AFC"/>
    <w:rsid w:val="00981CF7"/>
    <w:rsid w:val="00981E8A"/>
    <w:rsid w:val="00981FF8"/>
    <w:rsid w:val="0098224B"/>
    <w:rsid w:val="00982591"/>
    <w:rsid w:val="00982636"/>
    <w:rsid w:val="009826B2"/>
    <w:rsid w:val="00982735"/>
    <w:rsid w:val="0098278F"/>
    <w:rsid w:val="009828AE"/>
    <w:rsid w:val="009830F9"/>
    <w:rsid w:val="0098313A"/>
    <w:rsid w:val="0098337F"/>
    <w:rsid w:val="009834CB"/>
    <w:rsid w:val="009836AD"/>
    <w:rsid w:val="009838EB"/>
    <w:rsid w:val="00983930"/>
    <w:rsid w:val="00983E04"/>
    <w:rsid w:val="00983E71"/>
    <w:rsid w:val="0098402F"/>
    <w:rsid w:val="0098435B"/>
    <w:rsid w:val="0098459D"/>
    <w:rsid w:val="009846FC"/>
    <w:rsid w:val="00984732"/>
    <w:rsid w:val="00984AB3"/>
    <w:rsid w:val="00984ABA"/>
    <w:rsid w:val="00984B99"/>
    <w:rsid w:val="00985434"/>
    <w:rsid w:val="00985B94"/>
    <w:rsid w:val="00985C37"/>
    <w:rsid w:val="00985C61"/>
    <w:rsid w:val="00985CFD"/>
    <w:rsid w:val="00985F2D"/>
    <w:rsid w:val="00986654"/>
    <w:rsid w:val="00986951"/>
    <w:rsid w:val="00986B2A"/>
    <w:rsid w:val="00986BCB"/>
    <w:rsid w:val="00986F99"/>
    <w:rsid w:val="009872C4"/>
    <w:rsid w:val="00987331"/>
    <w:rsid w:val="00987731"/>
    <w:rsid w:val="00987CCF"/>
    <w:rsid w:val="00987D9B"/>
    <w:rsid w:val="0099039E"/>
    <w:rsid w:val="00990512"/>
    <w:rsid w:val="00990914"/>
    <w:rsid w:val="00990FB2"/>
    <w:rsid w:val="009912BB"/>
    <w:rsid w:val="00991427"/>
    <w:rsid w:val="0099159D"/>
    <w:rsid w:val="0099165E"/>
    <w:rsid w:val="00991799"/>
    <w:rsid w:val="009917FE"/>
    <w:rsid w:val="00992292"/>
    <w:rsid w:val="0099233F"/>
    <w:rsid w:val="00992B3F"/>
    <w:rsid w:val="00992B8F"/>
    <w:rsid w:val="00992BEA"/>
    <w:rsid w:val="009931F0"/>
    <w:rsid w:val="00993284"/>
    <w:rsid w:val="00993620"/>
    <w:rsid w:val="00993D69"/>
    <w:rsid w:val="009944A7"/>
    <w:rsid w:val="009944C1"/>
    <w:rsid w:val="00994543"/>
    <w:rsid w:val="0099459D"/>
    <w:rsid w:val="00994C96"/>
    <w:rsid w:val="00994DAD"/>
    <w:rsid w:val="00994EE6"/>
    <w:rsid w:val="009953FB"/>
    <w:rsid w:val="009957B1"/>
    <w:rsid w:val="00995904"/>
    <w:rsid w:val="0099594D"/>
    <w:rsid w:val="00995AE0"/>
    <w:rsid w:val="00995E2D"/>
    <w:rsid w:val="00995FAF"/>
    <w:rsid w:val="0099616D"/>
    <w:rsid w:val="0099620E"/>
    <w:rsid w:val="009967DF"/>
    <w:rsid w:val="00996B20"/>
    <w:rsid w:val="00996DE1"/>
    <w:rsid w:val="009970C4"/>
    <w:rsid w:val="0099719C"/>
    <w:rsid w:val="0099738A"/>
    <w:rsid w:val="00997458"/>
    <w:rsid w:val="00997545"/>
    <w:rsid w:val="009978C9"/>
    <w:rsid w:val="00997BE7"/>
    <w:rsid w:val="00997E12"/>
    <w:rsid w:val="00997EEE"/>
    <w:rsid w:val="00997FD1"/>
    <w:rsid w:val="00997FF0"/>
    <w:rsid w:val="009A0174"/>
    <w:rsid w:val="009A01AE"/>
    <w:rsid w:val="009A02BA"/>
    <w:rsid w:val="009A0678"/>
    <w:rsid w:val="009A0785"/>
    <w:rsid w:val="009A097A"/>
    <w:rsid w:val="009A0B80"/>
    <w:rsid w:val="009A0EAC"/>
    <w:rsid w:val="009A0F8C"/>
    <w:rsid w:val="009A0FC8"/>
    <w:rsid w:val="009A11BE"/>
    <w:rsid w:val="009A1372"/>
    <w:rsid w:val="009A147A"/>
    <w:rsid w:val="009A157B"/>
    <w:rsid w:val="009A17A8"/>
    <w:rsid w:val="009A193A"/>
    <w:rsid w:val="009A19E6"/>
    <w:rsid w:val="009A1D43"/>
    <w:rsid w:val="009A2390"/>
    <w:rsid w:val="009A23A7"/>
    <w:rsid w:val="009A288F"/>
    <w:rsid w:val="009A2E73"/>
    <w:rsid w:val="009A2F84"/>
    <w:rsid w:val="009A2FFA"/>
    <w:rsid w:val="009A31E0"/>
    <w:rsid w:val="009A3652"/>
    <w:rsid w:val="009A3991"/>
    <w:rsid w:val="009A3D71"/>
    <w:rsid w:val="009A3EB0"/>
    <w:rsid w:val="009A3F7B"/>
    <w:rsid w:val="009A4433"/>
    <w:rsid w:val="009A44EE"/>
    <w:rsid w:val="009A46F7"/>
    <w:rsid w:val="009A4955"/>
    <w:rsid w:val="009A4DB8"/>
    <w:rsid w:val="009A4E49"/>
    <w:rsid w:val="009A4E90"/>
    <w:rsid w:val="009A4F58"/>
    <w:rsid w:val="009A513C"/>
    <w:rsid w:val="009A530F"/>
    <w:rsid w:val="009A538E"/>
    <w:rsid w:val="009A54F0"/>
    <w:rsid w:val="009A5BC0"/>
    <w:rsid w:val="009A5F0C"/>
    <w:rsid w:val="009A5F5C"/>
    <w:rsid w:val="009A602D"/>
    <w:rsid w:val="009A632F"/>
    <w:rsid w:val="009A6422"/>
    <w:rsid w:val="009A6546"/>
    <w:rsid w:val="009A65BF"/>
    <w:rsid w:val="009A6A96"/>
    <w:rsid w:val="009A6AA0"/>
    <w:rsid w:val="009A6DFC"/>
    <w:rsid w:val="009A6E66"/>
    <w:rsid w:val="009A6E8E"/>
    <w:rsid w:val="009A7572"/>
    <w:rsid w:val="009A75A4"/>
    <w:rsid w:val="009A7A70"/>
    <w:rsid w:val="009A7B95"/>
    <w:rsid w:val="009A7D98"/>
    <w:rsid w:val="009A7EDD"/>
    <w:rsid w:val="009A7FE4"/>
    <w:rsid w:val="009B02DB"/>
    <w:rsid w:val="009B03B3"/>
    <w:rsid w:val="009B0494"/>
    <w:rsid w:val="009B04B1"/>
    <w:rsid w:val="009B05E5"/>
    <w:rsid w:val="009B062C"/>
    <w:rsid w:val="009B0EE3"/>
    <w:rsid w:val="009B1678"/>
    <w:rsid w:val="009B1820"/>
    <w:rsid w:val="009B1C5E"/>
    <w:rsid w:val="009B225F"/>
    <w:rsid w:val="009B24D8"/>
    <w:rsid w:val="009B2809"/>
    <w:rsid w:val="009B287A"/>
    <w:rsid w:val="009B29DC"/>
    <w:rsid w:val="009B2AC4"/>
    <w:rsid w:val="009B2CF6"/>
    <w:rsid w:val="009B3459"/>
    <w:rsid w:val="009B3D94"/>
    <w:rsid w:val="009B3E31"/>
    <w:rsid w:val="009B3E84"/>
    <w:rsid w:val="009B4112"/>
    <w:rsid w:val="009B4724"/>
    <w:rsid w:val="009B489D"/>
    <w:rsid w:val="009B4B43"/>
    <w:rsid w:val="009B4C52"/>
    <w:rsid w:val="009B4F54"/>
    <w:rsid w:val="009B4FE8"/>
    <w:rsid w:val="009B5081"/>
    <w:rsid w:val="009B5463"/>
    <w:rsid w:val="009B54E5"/>
    <w:rsid w:val="009B55EE"/>
    <w:rsid w:val="009B56C3"/>
    <w:rsid w:val="009B5733"/>
    <w:rsid w:val="009B574B"/>
    <w:rsid w:val="009B593E"/>
    <w:rsid w:val="009B5F01"/>
    <w:rsid w:val="009B666F"/>
    <w:rsid w:val="009B6799"/>
    <w:rsid w:val="009B689F"/>
    <w:rsid w:val="009B6B66"/>
    <w:rsid w:val="009B6C32"/>
    <w:rsid w:val="009B6E0C"/>
    <w:rsid w:val="009B7071"/>
    <w:rsid w:val="009B72D7"/>
    <w:rsid w:val="009B731F"/>
    <w:rsid w:val="009B7AE1"/>
    <w:rsid w:val="009B7BB6"/>
    <w:rsid w:val="009B7F22"/>
    <w:rsid w:val="009B7F5A"/>
    <w:rsid w:val="009C00DB"/>
    <w:rsid w:val="009C0304"/>
    <w:rsid w:val="009C0412"/>
    <w:rsid w:val="009C0445"/>
    <w:rsid w:val="009C063E"/>
    <w:rsid w:val="009C0908"/>
    <w:rsid w:val="009C09C7"/>
    <w:rsid w:val="009C0A7F"/>
    <w:rsid w:val="009C0B61"/>
    <w:rsid w:val="009C0DE0"/>
    <w:rsid w:val="009C1142"/>
    <w:rsid w:val="009C11DF"/>
    <w:rsid w:val="009C159E"/>
    <w:rsid w:val="009C170E"/>
    <w:rsid w:val="009C1972"/>
    <w:rsid w:val="009C1A3F"/>
    <w:rsid w:val="009C1C64"/>
    <w:rsid w:val="009C1FD5"/>
    <w:rsid w:val="009C2055"/>
    <w:rsid w:val="009C2340"/>
    <w:rsid w:val="009C23F5"/>
    <w:rsid w:val="009C248B"/>
    <w:rsid w:val="009C248F"/>
    <w:rsid w:val="009C2989"/>
    <w:rsid w:val="009C2BA5"/>
    <w:rsid w:val="009C2D9D"/>
    <w:rsid w:val="009C2DAB"/>
    <w:rsid w:val="009C2E43"/>
    <w:rsid w:val="009C3464"/>
    <w:rsid w:val="009C3522"/>
    <w:rsid w:val="009C3550"/>
    <w:rsid w:val="009C3AA8"/>
    <w:rsid w:val="009C3F8E"/>
    <w:rsid w:val="009C406F"/>
    <w:rsid w:val="009C412D"/>
    <w:rsid w:val="009C42DF"/>
    <w:rsid w:val="009C43C1"/>
    <w:rsid w:val="009C4538"/>
    <w:rsid w:val="009C4714"/>
    <w:rsid w:val="009C475C"/>
    <w:rsid w:val="009C4A0A"/>
    <w:rsid w:val="009C4B3C"/>
    <w:rsid w:val="009C508E"/>
    <w:rsid w:val="009C563F"/>
    <w:rsid w:val="009C57C4"/>
    <w:rsid w:val="009C599A"/>
    <w:rsid w:val="009C5FDD"/>
    <w:rsid w:val="009C644B"/>
    <w:rsid w:val="009C64F2"/>
    <w:rsid w:val="009C65B9"/>
    <w:rsid w:val="009C66C8"/>
    <w:rsid w:val="009C68C9"/>
    <w:rsid w:val="009C68FF"/>
    <w:rsid w:val="009C69A6"/>
    <w:rsid w:val="009C6A57"/>
    <w:rsid w:val="009C6A66"/>
    <w:rsid w:val="009C6BFA"/>
    <w:rsid w:val="009C7324"/>
    <w:rsid w:val="009C7395"/>
    <w:rsid w:val="009C781B"/>
    <w:rsid w:val="009C7D13"/>
    <w:rsid w:val="009C7DA0"/>
    <w:rsid w:val="009C7FE3"/>
    <w:rsid w:val="009D081A"/>
    <w:rsid w:val="009D08C5"/>
    <w:rsid w:val="009D0CE3"/>
    <w:rsid w:val="009D0CE8"/>
    <w:rsid w:val="009D1296"/>
    <w:rsid w:val="009D14E3"/>
    <w:rsid w:val="009D17E6"/>
    <w:rsid w:val="009D17EC"/>
    <w:rsid w:val="009D1893"/>
    <w:rsid w:val="009D1A68"/>
    <w:rsid w:val="009D1B6B"/>
    <w:rsid w:val="009D1D89"/>
    <w:rsid w:val="009D1ED5"/>
    <w:rsid w:val="009D265E"/>
    <w:rsid w:val="009D2688"/>
    <w:rsid w:val="009D269E"/>
    <w:rsid w:val="009D278E"/>
    <w:rsid w:val="009D2AE7"/>
    <w:rsid w:val="009D2B17"/>
    <w:rsid w:val="009D2BF2"/>
    <w:rsid w:val="009D2F4A"/>
    <w:rsid w:val="009D3131"/>
    <w:rsid w:val="009D316A"/>
    <w:rsid w:val="009D3430"/>
    <w:rsid w:val="009D37A1"/>
    <w:rsid w:val="009D3988"/>
    <w:rsid w:val="009D3D3C"/>
    <w:rsid w:val="009D3D96"/>
    <w:rsid w:val="009D3EF1"/>
    <w:rsid w:val="009D4062"/>
    <w:rsid w:val="009D40B3"/>
    <w:rsid w:val="009D41D5"/>
    <w:rsid w:val="009D42AF"/>
    <w:rsid w:val="009D4313"/>
    <w:rsid w:val="009D480E"/>
    <w:rsid w:val="009D4AC7"/>
    <w:rsid w:val="009D5139"/>
    <w:rsid w:val="009D51AF"/>
    <w:rsid w:val="009D5604"/>
    <w:rsid w:val="009D56C4"/>
    <w:rsid w:val="009D573A"/>
    <w:rsid w:val="009D57FA"/>
    <w:rsid w:val="009D5ABD"/>
    <w:rsid w:val="009D5B79"/>
    <w:rsid w:val="009D5BCB"/>
    <w:rsid w:val="009D5D44"/>
    <w:rsid w:val="009D5F36"/>
    <w:rsid w:val="009D60AE"/>
    <w:rsid w:val="009D6890"/>
    <w:rsid w:val="009D69CC"/>
    <w:rsid w:val="009D6C18"/>
    <w:rsid w:val="009D725A"/>
    <w:rsid w:val="009D746D"/>
    <w:rsid w:val="009D74E7"/>
    <w:rsid w:val="009D7B3F"/>
    <w:rsid w:val="009E046E"/>
    <w:rsid w:val="009E04D4"/>
    <w:rsid w:val="009E0576"/>
    <w:rsid w:val="009E05E1"/>
    <w:rsid w:val="009E05EB"/>
    <w:rsid w:val="009E0B2B"/>
    <w:rsid w:val="009E0B98"/>
    <w:rsid w:val="009E0DE8"/>
    <w:rsid w:val="009E151A"/>
    <w:rsid w:val="009E1838"/>
    <w:rsid w:val="009E1862"/>
    <w:rsid w:val="009E1893"/>
    <w:rsid w:val="009E1A6B"/>
    <w:rsid w:val="009E1B1C"/>
    <w:rsid w:val="009E20A6"/>
    <w:rsid w:val="009E2768"/>
    <w:rsid w:val="009E297B"/>
    <w:rsid w:val="009E2A46"/>
    <w:rsid w:val="009E2B69"/>
    <w:rsid w:val="009E3028"/>
    <w:rsid w:val="009E3077"/>
    <w:rsid w:val="009E3360"/>
    <w:rsid w:val="009E34BA"/>
    <w:rsid w:val="009E38A3"/>
    <w:rsid w:val="009E3954"/>
    <w:rsid w:val="009E3CC3"/>
    <w:rsid w:val="009E3EBE"/>
    <w:rsid w:val="009E3F1D"/>
    <w:rsid w:val="009E43A2"/>
    <w:rsid w:val="009E4586"/>
    <w:rsid w:val="009E45C5"/>
    <w:rsid w:val="009E4803"/>
    <w:rsid w:val="009E4824"/>
    <w:rsid w:val="009E4D4E"/>
    <w:rsid w:val="009E50F2"/>
    <w:rsid w:val="009E557D"/>
    <w:rsid w:val="009E5C8A"/>
    <w:rsid w:val="009E6114"/>
    <w:rsid w:val="009E62C9"/>
    <w:rsid w:val="009E658E"/>
    <w:rsid w:val="009E6607"/>
    <w:rsid w:val="009E672B"/>
    <w:rsid w:val="009E690F"/>
    <w:rsid w:val="009E7943"/>
    <w:rsid w:val="009E7AD7"/>
    <w:rsid w:val="009E7B01"/>
    <w:rsid w:val="009E7C7A"/>
    <w:rsid w:val="009E7E9B"/>
    <w:rsid w:val="009F0184"/>
    <w:rsid w:val="009F01AF"/>
    <w:rsid w:val="009F02B9"/>
    <w:rsid w:val="009F033F"/>
    <w:rsid w:val="009F04B9"/>
    <w:rsid w:val="009F0573"/>
    <w:rsid w:val="009F05CE"/>
    <w:rsid w:val="009F0643"/>
    <w:rsid w:val="009F07BA"/>
    <w:rsid w:val="009F0967"/>
    <w:rsid w:val="009F0ACD"/>
    <w:rsid w:val="009F0D43"/>
    <w:rsid w:val="009F13FA"/>
    <w:rsid w:val="009F14A2"/>
    <w:rsid w:val="009F1616"/>
    <w:rsid w:val="009F1E85"/>
    <w:rsid w:val="009F1FC1"/>
    <w:rsid w:val="009F2430"/>
    <w:rsid w:val="009F244C"/>
    <w:rsid w:val="009F266D"/>
    <w:rsid w:val="009F26C6"/>
    <w:rsid w:val="009F2BF5"/>
    <w:rsid w:val="009F2D12"/>
    <w:rsid w:val="009F2E3E"/>
    <w:rsid w:val="009F2F9E"/>
    <w:rsid w:val="009F2FB1"/>
    <w:rsid w:val="009F3391"/>
    <w:rsid w:val="009F39E0"/>
    <w:rsid w:val="009F3BA4"/>
    <w:rsid w:val="009F3E0D"/>
    <w:rsid w:val="009F4274"/>
    <w:rsid w:val="009F45AE"/>
    <w:rsid w:val="009F47F1"/>
    <w:rsid w:val="009F491E"/>
    <w:rsid w:val="009F50F9"/>
    <w:rsid w:val="009F5303"/>
    <w:rsid w:val="009F5335"/>
    <w:rsid w:val="009F552E"/>
    <w:rsid w:val="009F56A7"/>
    <w:rsid w:val="009F59BD"/>
    <w:rsid w:val="009F5A08"/>
    <w:rsid w:val="009F5A87"/>
    <w:rsid w:val="009F5B6B"/>
    <w:rsid w:val="009F5C15"/>
    <w:rsid w:val="009F63E5"/>
    <w:rsid w:val="009F6D8F"/>
    <w:rsid w:val="009F6E68"/>
    <w:rsid w:val="009F6EB3"/>
    <w:rsid w:val="009F70BF"/>
    <w:rsid w:val="009F70C1"/>
    <w:rsid w:val="009F727D"/>
    <w:rsid w:val="009F76C0"/>
    <w:rsid w:val="009F7815"/>
    <w:rsid w:val="00A0037E"/>
    <w:rsid w:val="00A00426"/>
    <w:rsid w:val="00A00A9B"/>
    <w:rsid w:val="00A00CAE"/>
    <w:rsid w:val="00A00DA3"/>
    <w:rsid w:val="00A00EF0"/>
    <w:rsid w:val="00A00FE3"/>
    <w:rsid w:val="00A01133"/>
    <w:rsid w:val="00A01226"/>
    <w:rsid w:val="00A017BC"/>
    <w:rsid w:val="00A01A12"/>
    <w:rsid w:val="00A02281"/>
    <w:rsid w:val="00A023C2"/>
    <w:rsid w:val="00A02474"/>
    <w:rsid w:val="00A024A3"/>
    <w:rsid w:val="00A026F2"/>
    <w:rsid w:val="00A029A2"/>
    <w:rsid w:val="00A02B5C"/>
    <w:rsid w:val="00A02ECC"/>
    <w:rsid w:val="00A02FDF"/>
    <w:rsid w:val="00A0321D"/>
    <w:rsid w:val="00A03C25"/>
    <w:rsid w:val="00A03FAC"/>
    <w:rsid w:val="00A042FD"/>
    <w:rsid w:val="00A045CC"/>
    <w:rsid w:val="00A045EE"/>
    <w:rsid w:val="00A047B2"/>
    <w:rsid w:val="00A047DC"/>
    <w:rsid w:val="00A04CB3"/>
    <w:rsid w:val="00A04DD1"/>
    <w:rsid w:val="00A04DFF"/>
    <w:rsid w:val="00A04E84"/>
    <w:rsid w:val="00A05180"/>
    <w:rsid w:val="00A053E1"/>
    <w:rsid w:val="00A05453"/>
    <w:rsid w:val="00A054D8"/>
    <w:rsid w:val="00A0586C"/>
    <w:rsid w:val="00A05A9C"/>
    <w:rsid w:val="00A05D3E"/>
    <w:rsid w:val="00A05F47"/>
    <w:rsid w:val="00A0641B"/>
    <w:rsid w:val="00A064C7"/>
    <w:rsid w:val="00A06728"/>
    <w:rsid w:val="00A06EE8"/>
    <w:rsid w:val="00A0731D"/>
    <w:rsid w:val="00A07656"/>
    <w:rsid w:val="00A07B8F"/>
    <w:rsid w:val="00A07C43"/>
    <w:rsid w:val="00A07D1F"/>
    <w:rsid w:val="00A07E8C"/>
    <w:rsid w:val="00A07F7C"/>
    <w:rsid w:val="00A10096"/>
    <w:rsid w:val="00A101B6"/>
    <w:rsid w:val="00A101FC"/>
    <w:rsid w:val="00A1036F"/>
    <w:rsid w:val="00A10482"/>
    <w:rsid w:val="00A10684"/>
    <w:rsid w:val="00A106B2"/>
    <w:rsid w:val="00A1083A"/>
    <w:rsid w:val="00A1099E"/>
    <w:rsid w:val="00A10AB3"/>
    <w:rsid w:val="00A10AE8"/>
    <w:rsid w:val="00A10B20"/>
    <w:rsid w:val="00A10CC5"/>
    <w:rsid w:val="00A10E3C"/>
    <w:rsid w:val="00A10F45"/>
    <w:rsid w:val="00A11293"/>
    <w:rsid w:val="00A11A3E"/>
    <w:rsid w:val="00A11C33"/>
    <w:rsid w:val="00A11E7D"/>
    <w:rsid w:val="00A1248E"/>
    <w:rsid w:val="00A124C9"/>
    <w:rsid w:val="00A124D6"/>
    <w:rsid w:val="00A12567"/>
    <w:rsid w:val="00A125BC"/>
    <w:rsid w:val="00A126C6"/>
    <w:rsid w:val="00A128A4"/>
    <w:rsid w:val="00A12E27"/>
    <w:rsid w:val="00A12E70"/>
    <w:rsid w:val="00A12F10"/>
    <w:rsid w:val="00A12FFF"/>
    <w:rsid w:val="00A132BC"/>
    <w:rsid w:val="00A13352"/>
    <w:rsid w:val="00A13437"/>
    <w:rsid w:val="00A134D6"/>
    <w:rsid w:val="00A13982"/>
    <w:rsid w:val="00A13D52"/>
    <w:rsid w:val="00A13D71"/>
    <w:rsid w:val="00A13DBF"/>
    <w:rsid w:val="00A13E44"/>
    <w:rsid w:val="00A14048"/>
    <w:rsid w:val="00A14368"/>
    <w:rsid w:val="00A144B7"/>
    <w:rsid w:val="00A14580"/>
    <w:rsid w:val="00A14938"/>
    <w:rsid w:val="00A149AD"/>
    <w:rsid w:val="00A14EC3"/>
    <w:rsid w:val="00A15798"/>
    <w:rsid w:val="00A15937"/>
    <w:rsid w:val="00A15B4A"/>
    <w:rsid w:val="00A15C9B"/>
    <w:rsid w:val="00A15DE1"/>
    <w:rsid w:val="00A15E77"/>
    <w:rsid w:val="00A164E0"/>
    <w:rsid w:val="00A1673F"/>
    <w:rsid w:val="00A169AD"/>
    <w:rsid w:val="00A16AB6"/>
    <w:rsid w:val="00A17127"/>
    <w:rsid w:val="00A174C9"/>
    <w:rsid w:val="00A177AF"/>
    <w:rsid w:val="00A1787E"/>
    <w:rsid w:val="00A17A57"/>
    <w:rsid w:val="00A17C1F"/>
    <w:rsid w:val="00A17CD5"/>
    <w:rsid w:val="00A203E0"/>
    <w:rsid w:val="00A2069A"/>
    <w:rsid w:val="00A20A11"/>
    <w:rsid w:val="00A20AAF"/>
    <w:rsid w:val="00A20C22"/>
    <w:rsid w:val="00A20D7F"/>
    <w:rsid w:val="00A20DBE"/>
    <w:rsid w:val="00A20F2F"/>
    <w:rsid w:val="00A2175F"/>
    <w:rsid w:val="00A2178D"/>
    <w:rsid w:val="00A2186C"/>
    <w:rsid w:val="00A21BFB"/>
    <w:rsid w:val="00A22312"/>
    <w:rsid w:val="00A22796"/>
    <w:rsid w:val="00A22BA8"/>
    <w:rsid w:val="00A22CEF"/>
    <w:rsid w:val="00A22D5B"/>
    <w:rsid w:val="00A231E5"/>
    <w:rsid w:val="00A23611"/>
    <w:rsid w:val="00A23771"/>
    <w:rsid w:val="00A238BA"/>
    <w:rsid w:val="00A23B6D"/>
    <w:rsid w:val="00A23BF8"/>
    <w:rsid w:val="00A23E8B"/>
    <w:rsid w:val="00A245A9"/>
    <w:rsid w:val="00A24629"/>
    <w:rsid w:val="00A247F4"/>
    <w:rsid w:val="00A24B6F"/>
    <w:rsid w:val="00A25457"/>
    <w:rsid w:val="00A254A4"/>
    <w:rsid w:val="00A25BF9"/>
    <w:rsid w:val="00A25DAA"/>
    <w:rsid w:val="00A25DC4"/>
    <w:rsid w:val="00A25F2E"/>
    <w:rsid w:val="00A2609E"/>
    <w:rsid w:val="00A26678"/>
    <w:rsid w:val="00A266E8"/>
    <w:rsid w:val="00A26750"/>
    <w:rsid w:val="00A26900"/>
    <w:rsid w:val="00A26F8A"/>
    <w:rsid w:val="00A27014"/>
    <w:rsid w:val="00A27020"/>
    <w:rsid w:val="00A2723D"/>
    <w:rsid w:val="00A2739C"/>
    <w:rsid w:val="00A274D1"/>
    <w:rsid w:val="00A27991"/>
    <w:rsid w:val="00A27BEF"/>
    <w:rsid w:val="00A27CAE"/>
    <w:rsid w:val="00A27CFD"/>
    <w:rsid w:val="00A30BA1"/>
    <w:rsid w:val="00A30E6D"/>
    <w:rsid w:val="00A30FA0"/>
    <w:rsid w:val="00A312D3"/>
    <w:rsid w:val="00A31329"/>
    <w:rsid w:val="00A31415"/>
    <w:rsid w:val="00A31768"/>
    <w:rsid w:val="00A31A7B"/>
    <w:rsid w:val="00A31ABC"/>
    <w:rsid w:val="00A31AF3"/>
    <w:rsid w:val="00A32013"/>
    <w:rsid w:val="00A320D6"/>
    <w:rsid w:val="00A324CD"/>
    <w:rsid w:val="00A327DF"/>
    <w:rsid w:val="00A32B14"/>
    <w:rsid w:val="00A330C2"/>
    <w:rsid w:val="00A331A5"/>
    <w:rsid w:val="00A3357C"/>
    <w:rsid w:val="00A33779"/>
    <w:rsid w:val="00A33B3D"/>
    <w:rsid w:val="00A33D79"/>
    <w:rsid w:val="00A33D89"/>
    <w:rsid w:val="00A341E0"/>
    <w:rsid w:val="00A3460A"/>
    <w:rsid w:val="00A3461A"/>
    <w:rsid w:val="00A34942"/>
    <w:rsid w:val="00A34947"/>
    <w:rsid w:val="00A34FA0"/>
    <w:rsid w:val="00A3559F"/>
    <w:rsid w:val="00A3580B"/>
    <w:rsid w:val="00A35F7C"/>
    <w:rsid w:val="00A36389"/>
    <w:rsid w:val="00A3643F"/>
    <w:rsid w:val="00A367C3"/>
    <w:rsid w:val="00A3685E"/>
    <w:rsid w:val="00A36E4C"/>
    <w:rsid w:val="00A36EDC"/>
    <w:rsid w:val="00A36FE4"/>
    <w:rsid w:val="00A3755F"/>
    <w:rsid w:val="00A375B3"/>
    <w:rsid w:val="00A3768F"/>
    <w:rsid w:val="00A37710"/>
    <w:rsid w:val="00A37803"/>
    <w:rsid w:val="00A37A4E"/>
    <w:rsid w:val="00A37E24"/>
    <w:rsid w:val="00A37EBB"/>
    <w:rsid w:val="00A4013D"/>
    <w:rsid w:val="00A40A18"/>
    <w:rsid w:val="00A40BA2"/>
    <w:rsid w:val="00A40BDB"/>
    <w:rsid w:val="00A40C51"/>
    <w:rsid w:val="00A412A7"/>
    <w:rsid w:val="00A41394"/>
    <w:rsid w:val="00A41886"/>
    <w:rsid w:val="00A41C75"/>
    <w:rsid w:val="00A41C7D"/>
    <w:rsid w:val="00A41F7F"/>
    <w:rsid w:val="00A42122"/>
    <w:rsid w:val="00A421F3"/>
    <w:rsid w:val="00A422AB"/>
    <w:rsid w:val="00A4249E"/>
    <w:rsid w:val="00A427F5"/>
    <w:rsid w:val="00A42B47"/>
    <w:rsid w:val="00A4312F"/>
    <w:rsid w:val="00A43350"/>
    <w:rsid w:val="00A433F4"/>
    <w:rsid w:val="00A437A6"/>
    <w:rsid w:val="00A43845"/>
    <w:rsid w:val="00A43A22"/>
    <w:rsid w:val="00A43E68"/>
    <w:rsid w:val="00A440C0"/>
    <w:rsid w:val="00A441E7"/>
    <w:rsid w:val="00A44346"/>
    <w:rsid w:val="00A44B4A"/>
    <w:rsid w:val="00A44B68"/>
    <w:rsid w:val="00A44BD9"/>
    <w:rsid w:val="00A44EA7"/>
    <w:rsid w:val="00A4512D"/>
    <w:rsid w:val="00A45142"/>
    <w:rsid w:val="00A45564"/>
    <w:rsid w:val="00A455C7"/>
    <w:rsid w:val="00A45605"/>
    <w:rsid w:val="00A4583E"/>
    <w:rsid w:val="00A45D4C"/>
    <w:rsid w:val="00A45F6E"/>
    <w:rsid w:val="00A4608B"/>
    <w:rsid w:val="00A46217"/>
    <w:rsid w:val="00A464FF"/>
    <w:rsid w:val="00A46B31"/>
    <w:rsid w:val="00A46BAE"/>
    <w:rsid w:val="00A46EE4"/>
    <w:rsid w:val="00A4708F"/>
    <w:rsid w:val="00A47110"/>
    <w:rsid w:val="00A47484"/>
    <w:rsid w:val="00A476F5"/>
    <w:rsid w:val="00A47BC2"/>
    <w:rsid w:val="00A47D31"/>
    <w:rsid w:val="00A500D1"/>
    <w:rsid w:val="00A50144"/>
    <w:rsid w:val="00A50377"/>
    <w:rsid w:val="00A50700"/>
    <w:rsid w:val="00A507E0"/>
    <w:rsid w:val="00A508E1"/>
    <w:rsid w:val="00A50A41"/>
    <w:rsid w:val="00A50B68"/>
    <w:rsid w:val="00A50F07"/>
    <w:rsid w:val="00A50FF3"/>
    <w:rsid w:val="00A510C9"/>
    <w:rsid w:val="00A51204"/>
    <w:rsid w:val="00A51A80"/>
    <w:rsid w:val="00A51C69"/>
    <w:rsid w:val="00A51EFF"/>
    <w:rsid w:val="00A51FB6"/>
    <w:rsid w:val="00A52004"/>
    <w:rsid w:val="00A5217D"/>
    <w:rsid w:val="00A523F6"/>
    <w:rsid w:val="00A5257B"/>
    <w:rsid w:val="00A52825"/>
    <w:rsid w:val="00A52A2B"/>
    <w:rsid w:val="00A52AC7"/>
    <w:rsid w:val="00A5307F"/>
    <w:rsid w:val="00A534A2"/>
    <w:rsid w:val="00A536ED"/>
    <w:rsid w:val="00A537C6"/>
    <w:rsid w:val="00A5399E"/>
    <w:rsid w:val="00A53D58"/>
    <w:rsid w:val="00A53D71"/>
    <w:rsid w:val="00A54127"/>
    <w:rsid w:val="00A54148"/>
    <w:rsid w:val="00A542D9"/>
    <w:rsid w:val="00A546B7"/>
    <w:rsid w:val="00A546EC"/>
    <w:rsid w:val="00A54EE9"/>
    <w:rsid w:val="00A54F70"/>
    <w:rsid w:val="00A550EF"/>
    <w:rsid w:val="00A55489"/>
    <w:rsid w:val="00A555CD"/>
    <w:rsid w:val="00A5579C"/>
    <w:rsid w:val="00A55FDE"/>
    <w:rsid w:val="00A56649"/>
    <w:rsid w:val="00A5684B"/>
    <w:rsid w:val="00A568F4"/>
    <w:rsid w:val="00A56999"/>
    <w:rsid w:val="00A569CC"/>
    <w:rsid w:val="00A56BF8"/>
    <w:rsid w:val="00A56D23"/>
    <w:rsid w:val="00A570E0"/>
    <w:rsid w:val="00A5713C"/>
    <w:rsid w:val="00A572E2"/>
    <w:rsid w:val="00A57477"/>
    <w:rsid w:val="00A57852"/>
    <w:rsid w:val="00A57976"/>
    <w:rsid w:val="00A57A51"/>
    <w:rsid w:val="00A57C8B"/>
    <w:rsid w:val="00A57C97"/>
    <w:rsid w:val="00A57E52"/>
    <w:rsid w:val="00A6091D"/>
    <w:rsid w:val="00A60B5D"/>
    <w:rsid w:val="00A60B7E"/>
    <w:rsid w:val="00A60C3B"/>
    <w:rsid w:val="00A60CAA"/>
    <w:rsid w:val="00A60E58"/>
    <w:rsid w:val="00A60F8B"/>
    <w:rsid w:val="00A6168D"/>
    <w:rsid w:val="00A6188A"/>
    <w:rsid w:val="00A61A73"/>
    <w:rsid w:val="00A61E39"/>
    <w:rsid w:val="00A623EA"/>
    <w:rsid w:val="00A625E6"/>
    <w:rsid w:val="00A62994"/>
    <w:rsid w:val="00A6309A"/>
    <w:rsid w:val="00A63104"/>
    <w:rsid w:val="00A6320F"/>
    <w:rsid w:val="00A63454"/>
    <w:rsid w:val="00A635E1"/>
    <w:rsid w:val="00A639B0"/>
    <w:rsid w:val="00A639EE"/>
    <w:rsid w:val="00A63C0B"/>
    <w:rsid w:val="00A6417D"/>
    <w:rsid w:val="00A64200"/>
    <w:rsid w:val="00A64293"/>
    <w:rsid w:val="00A644A2"/>
    <w:rsid w:val="00A644F4"/>
    <w:rsid w:val="00A645FF"/>
    <w:rsid w:val="00A64897"/>
    <w:rsid w:val="00A648D8"/>
    <w:rsid w:val="00A64D8C"/>
    <w:rsid w:val="00A64F43"/>
    <w:rsid w:val="00A64FFB"/>
    <w:rsid w:val="00A6512A"/>
    <w:rsid w:val="00A65385"/>
    <w:rsid w:val="00A653A4"/>
    <w:rsid w:val="00A6578E"/>
    <w:rsid w:val="00A65E44"/>
    <w:rsid w:val="00A663CF"/>
    <w:rsid w:val="00A66B0F"/>
    <w:rsid w:val="00A66FA7"/>
    <w:rsid w:val="00A67468"/>
    <w:rsid w:val="00A67C9B"/>
    <w:rsid w:val="00A67EDA"/>
    <w:rsid w:val="00A70067"/>
    <w:rsid w:val="00A7017F"/>
    <w:rsid w:val="00A70584"/>
    <w:rsid w:val="00A705AF"/>
    <w:rsid w:val="00A7060A"/>
    <w:rsid w:val="00A70671"/>
    <w:rsid w:val="00A707B2"/>
    <w:rsid w:val="00A7133D"/>
    <w:rsid w:val="00A71358"/>
    <w:rsid w:val="00A71371"/>
    <w:rsid w:val="00A713D3"/>
    <w:rsid w:val="00A714CF"/>
    <w:rsid w:val="00A71612"/>
    <w:rsid w:val="00A716C9"/>
    <w:rsid w:val="00A7178A"/>
    <w:rsid w:val="00A717AA"/>
    <w:rsid w:val="00A71894"/>
    <w:rsid w:val="00A71FC8"/>
    <w:rsid w:val="00A72138"/>
    <w:rsid w:val="00A72161"/>
    <w:rsid w:val="00A721B1"/>
    <w:rsid w:val="00A72358"/>
    <w:rsid w:val="00A72486"/>
    <w:rsid w:val="00A72B4F"/>
    <w:rsid w:val="00A73692"/>
    <w:rsid w:val="00A73855"/>
    <w:rsid w:val="00A73AD8"/>
    <w:rsid w:val="00A73FAC"/>
    <w:rsid w:val="00A740B2"/>
    <w:rsid w:val="00A740BC"/>
    <w:rsid w:val="00A74560"/>
    <w:rsid w:val="00A7458C"/>
    <w:rsid w:val="00A745A6"/>
    <w:rsid w:val="00A746A2"/>
    <w:rsid w:val="00A7493B"/>
    <w:rsid w:val="00A74B9F"/>
    <w:rsid w:val="00A74EA8"/>
    <w:rsid w:val="00A75485"/>
    <w:rsid w:val="00A754F8"/>
    <w:rsid w:val="00A75A3B"/>
    <w:rsid w:val="00A75BB2"/>
    <w:rsid w:val="00A75CFF"/>
    <w:rsid w:val="00A75DD2"/>
    <w:rsid w:val="00A75FF5"/>
    <w:rsid w:val="00A76406"/>
    <w:rsid w:val="00A76809"/>
    <w:rsid w:val="00A76A3B"/>
    <w:rsid w:val="00A76C39"/>
    <w:rsid w:val="00A76D93"/>
    <w:rsid w:val="00A77763"/>
    <w:rsid w:val="00A77814"/>
    <w:rsid w:val="00A77877"/>
    <w:rsid w:val="00A77A94"/>
    <w:rsid w:val="00A77C76"/>
    <w:rsid w:val="00A80347"/>
    <w:rsid w:val="00A803E0"/>
    <w:rsid w:val="00A803EC"/>
    <w:rsid w:val="00A80675"/>
    <w:rsid w:val="00A807BC"/>
    <w:rsid w:val="00A809E9"/>
    <w:rsid w:val="00A80B14"/>
    <w:rsid w:val="00A80BC4"/>
    <w:rsid w:val="00A80DDB"/>
    <w:rsid w:val="00A81114"/>
    <w:rsid w:val="00A811D2"/>
    <w:rsid w:val="00A813F7"/>
    <w:rsid w:val="00A8151B"/>
    <w:rsid w:val="00A819BE"/>
    <w:rsid w:val="00A81B56"/>
    <w:rsid w:val="00A81DAC"/>
    <w:rsid w:val="00A81F92"/>
    <w:rsid w:val="00A828B5"/>
    <w:rsid w:val="00A82EE3"/>
    <w:rsid w:val="00A82F4E"/>
    <w:rsid w:val="00A82FE2"/>
    <w:rsid w:val="00A83495"/>
    <w:rsid w:val="00A83599"/>
    <w:rsid w:val="00A83D93"/>
    <w:rsid w:val="00A83E8B"/>
    <w:rsid w:val="00A83EE1"/>
    <w:rsid w:val="00A84294"/>
    <w:rsid w:val="00A84449"/>
    <w:rsid w:val="00A84646"/>
    <w:rsid w:val="00A84A9F"/>
    <w:rsid w:val="00A84AA5"/>
    <w:rsid w:val="00A85210"/>
    <w:rsid w:val="00A852C0"/>
    <w:rsid w:val="00A85466"/>
    <w:rsid w:val="00A859B9"/>
    <w:rsid w:val="00A85A09"/>
    <w:rsid w:val="00A85CF1"/>
    <w:rsid w:val="00A85D1E"/>
    <w:rsid w:val="00A85D60"/>
    <w:rsid w:val="00A85E5E"/>
    <w:rsid w:val="00A860C0"/>
    <w:rsid w:val="00A866C6"/>
    <w:rsid w:val="00A86948"/>
    <w:rsid w:val="00A86A6E"/>
    <w:rsid w:val="00A86C15"/>
    <w:rsid w:val="00A86C1D"/>
    <w:rsid w:val="00A86EF3"/>
    <w:rsid w:val="00A86FEB"/>
    <w:rsid w:val="00A870D6"/>
    <w:rsid w:val="00A87538"/>
    <w:rsid w:val="00A876A8"/>
    <w:rsid w:val="00A87A29"/>
    <w:rsid w:val="00A87E17"/>
    <w:rsid w:val="00A9012F"/>
    <w:rsid w:val="00A90274"/>
    <w:rsid w:val="00A90447"/>
    <w:rsid w:val="00A90739"/>
    <w:rsid w:val="00A90886"/>
    <w:rsid w:val="00A90AD9"/>
    <w:rsid w:val="00A913F2"/>
    <w:rsid w:val="00A914EB"/>
    <w:rsid w:val="00A9175B"/>
    <w:rsid w:val="00A91AB4"/>
    <w:rsid w:val="00A91E10"/>
    <w:rsid w:val="00A9246F"/>
    <w:rsid w:val="00A924C5"/>
    <w:rsid w:val="00A9252A"/>
    <w:rsid w:val="00A92687"/>
    <w:rsid w:val="00A92910"/>
    <w:rsid w:val="00A92A94"/>
    <w:rsid w:val="00A934A6"/>
    <w:rsid w:val="00A9369B"/>
    <w:rsid w:val="00A937B1"/>
    <w:rsid w:val="00A938E4"/>
    <w:rsid w:val="00A93F7B"/>
    <w:rsid w:val="00A940B2"/>
    <w:rsid w:val="00A941A9"/>
    <w:rsid w:val="00A94315"/>
    <w:rsid w:val="00A9433D"/>
    <w:rsid w:val="00A943A8"/>
    <w:rsid w:val="00A944DF"/>
    <w:rsid w:val="00A9451F"/>
    <w:rsid w:val="00A94947"/>
    <w:rsid w:val="00A94D2E"/>
    <w:rsid w:val="00A94DD7"/>
    <w:rsid w:val="00A94DF9"/>
    <w:rsid w:val="00A95040"/>
    <w:rsid w:val="00A9524E"/>
    <w:rsid w:val="00A953A7"/>
    <w:rsid w:val="00A954EC"/>
    <w:rsid w:val="00A95B93"/>
    <w:rsid w:val="00A960DE"/>
    <w:rsid w:val="00A96CF4"/>
    <w:rsid w:val="00A96D72"/>
    <w:rsid w:val="00A97175"/>
    <w:rsid w:val="00A97459"/>
    <w:rsid w:val="00A977ED"/>
    <w:rsid w:val="00A97B91"/>
    <w:rsid w:val="00A97D24"/>
    <w:rsid w:val="00A97D2F"/>
    <w:rsid w:val="00AA05C9"/>
    <w:rsid w:val="00AA0A82"/>
    <w:rsid w:val="00AA0B39"/>
    <w:rsid w:val="00AA0F6A"/>
    <w:rsid w:val="00AA145B"/>
    <w:rsid w:val="00AA1696"/>
    <w:rsid w:val="00AA176A"/>
    <w:rsid w:val="00AA1DCC"/>
    <w:rsid w:val="00AA1FD5"/>
    <w:rsid w:val="00AA2AD8"/>
    <w:rsid w:val="00AA2D00"/>
    <w:rsid w:val="00AA3265"/>
    <w:rsid w:val="00AA3366"/>
    <w:rsid w:val="00AA368B"/>
    <w:rsid w:val="00AA38E4"/>
    <w:rsid w:val="00AA3AAD"/>
    <w:rsid w:val="00AA3DF2"/>
    <w:rsid w:val="00AA40C7"/>
    <w:rsid w:val="00AA44C6"/>
    <w:rsid w:val="00AA4515"/>
    <w:rsid w:val="00AA4748"/>
    <w:rsid w:val="00AA4AD1"/>
    <w:rsid w:val="00AA4C60"/>
    <w:rsid w:val="00AA4E80"/>
    <w:rsid w:val="00AA4E81"/>
    <w:rsid w:val="00AA4FC4"/>
    <w:rsid w:val="00AA5082"/>
    <w:rsid w:val="00AA515F"/>
    <w:rsid w:val="00AA52D4"/>
    <w:rsid w:val="00AA561F"/>
    <w:rsid w:val="00AA57CE"/>
    <w:rsid w:val="00AA5954"/>
    <w:rsid w:val="00AA59F2"/>
    <w:rsid w:val="00AA5D78"/>
    <w:rsid w:val="00AA6009"/>
    <w:rsid w:val="00AA601F"/>
    <w:rsid w:val="00AA6947"/>
    <w:rsid w:val="00AA6CD7"/>
    <w:rsid w:val="00AA6EE3"/>
    <w:rsid w:val="00AA6F63"/>
    <w:rsid w:val="00AA7824"/>
    <w:rsid w:val="00AA79C1"/>
    <w:rsid w:val="00AA7A70"/>
    <w:rsid w:val="00AA7DF8"/>
    <w:rsid w:val="00AB0101"/>
    <w:rsid w:val="00AB01A1"/>
    <w:rsid w:val="00AB03F2"/>
    <w:rsid w:val="00AB0CC5"/>
    <w:rsid w:val="00AB0CEA"/>
    <w:rsid w:val="00AB0E7B"/>
    <w:rsid w:val="00AB14B2"/>
    <w:rsid w:val="00AB15A2"/>
    <w:rsid w:val="00AB19E2"/>
    <w:rsid w:val="00AB1FF3"/>
    <w:rsid w:val="00AB1FF8"/>
    <w:rsid w:val="00AB2451"/>
    <w:rsid w:val="00AB245C"/>
    <w:rsid w:val="00AB2A7F"/>
    <w:rsid w:val="00AB2E6C"/>
    <w:rsid w:val="00AB344D"/>
    <w:rsid w:val="00AB346E"/>
    <w:rsid w:val="00AB34A8"/>
    <w:rsid w:val="00AB35F7"/>
    <w:rsid w:val="00AB35FD"/>
    <w:rsid w:val="00AB379E"/>
    <w:rsid w:val="00AB3C0B"/>
    <w:rsid w:val="00AB3CFF"/>
    <w:rsid w:val="00AB424B"/>
    <w:rsid w:val="00AB434D"/>
    <w:rsid w:val="00AB453B"/>
    <w:rsid w:val="00AB4671"/>
    <w:rsid w:val="00AB4699"/>
    <w:rsid w:val="00AB4BFD"/>
    <w:rsid w:val="00AB54C5"/>
    <w:rsid w:val="00AB59AD"/>
    <w:rsid w:val="00AB5BE8"/>
    <w:rsid w:val="00AB625D"/>
    <w:rsid w:val="00AB64E9"/>
    <w:rsid w:val="00AB651B"/>
    <w:rsid w:val="00AB6628"/>
    <w:rsid w:val="00AB68AF"/>
    <w:rsid w:val="00AB6988"/>
    <w:rsid w:val="00AB69F1"/>
    <w:rsid w:val="00AB6AF3"/>
    <w:rsid w:val="00AB6E1B"/>
    <w:rsid w:val="00AB7520"/>
    <w:rsid w:val="00AB7ABE"/>
    <w:rsid w:val="00AB7B8F"/>
    <w:rsid w:val="00AC0258"/>
    <w:rsid w:val="00AC03DB"/>
    <w:rsid w:val="00AC04E3"/>
    <w:rsid w:val="00AC0EF5"/>
    <w:rsid w:val="00AC0F7F"/>
    <w:rsid w:val="00AC1178"/>
    <w:rsid w:val="00AC1505"/>
    <w:rsid w:val="00AC1576"/>
    <w:rsid w:val="00AC1692"/>
    <w:rsid w:val="00AC1898"/>
    <w:rsid w:val="00AC1957"/>
    <w:rsid w:val="00AC19DB"/>
    <w:rsid w:val="00AC19DD"/>
    <w:rsid w:val="00AC1B78"/>
    <w:rsid w:val="00AC1C4A"/>
    <w:rsid w:val="00AC1D95"/>
    <w:rsid w:val="00AC1E9B"/>
    <w:rsid w:val="00AC207B"/>
    <w:rsid w:val="00AC2162"/>
    <w:rsid w:val="00AC2441"/>
    <w:rsid w:val="00AC2828"/>
    <w:rsid w:val="00AC2D95"/>
    <w:rsid w:val="00AC3002"/>
    <w:rsid w:val="00AC301D"/>
    <w:rsid w:val="00AC3133"/>
    <w:rsid w:val="00AC31FD"/>
    <w:rsid w:val="00AC327D"/>
    <w:rsid w:val="00AC352C"/>
    <w:rsid w:val="00AC370A"/>
    <w:rsid w:val="00AC3A46"/>
    <w:rsid w:val="00AC3C0E"/>
    <w:rsid w:val="00AC3D8B"/>
    <w:rsid w:val="00AC3ED6"/>
    <w:rsid w:val="00AC3F54"/>
    <w:rsid w:val="00AC4091"/>
    <w:rsid w:val="00AC40A9"/>
    <w:rsid w:val="00AC4111"/>
    <w:rsid w:val="00AC4124"/>
    <w:rsid w:val="00AC4204"/>
    <w:rsid w:val="00AC4486"/>
    <w:rsid w:val="00AC49EE"/>
    <w:rsid w:val="00AC4A3D"/>
    <w:rsid w:val="00AC50CD"/>
    <w:rsid w:val="00AC518B"/>
    <w:rsid w:val="00AC5651"/>
    <w:rsid w:val="00AC6951"/>
    <w:rsid w:val="00AC698C"/>
    <w:rsid w:val="00AC6BF9"/>
    <w:rsid w:val="00AC6D02"/>
    <w:rsid w:val="00AC6FED"/>
    <w:rsid w:val="00AC7249"/>
    <w:rsid w:val="00AC7700"/>
    <w:rsid w:val="00AC78BE"/>
    <w:rsid w:val="00AC796B"/>
    <w:rsid w:val="00AC7E38"/>
    <w:rsid w:val="00AC7F57"/>
    <w:rsid w:val="00AD0222"/>
    <w:rsid w:val="00AD0337"/>
    <w:rsid w:val="00AD0383"/>
    <w:rsid w:val="00AD03AB"/>
    <w:rsid w:val="00AD064C"/>
    <w:rsid w:val="00AD09F0"/>
    <w:rsid w:val="00AD0A28"/>
    <w:rsid w:val="00AD11BC"/>
    <w:rsid w:val="00AD122D"/>
    <w:rsid w:val="00AD13E2"/>
    <w:rsid w:val="00AD1415"/>
    <w:rsid w:val="00AD1A6B"/>
    <w:rsid w:val="00AD1FC3"/>
    <w:rsid w:val="00AD23E3"/>
    <w:rsid w:val="00AD259E"/>
    <w:rsid w:val="00AD2A5E"/>
    <w:rsid w:val="00AD2E01"/>
    <w:rsid w:val="00AD2FDD"/>
    <w:rsid w:val="00AD30F1"/>
    <w:rsid w:val="00AD323E"/>
    <w:rsid w:val="00AD32AF"/>
    <w:rsid w:val="00AD38CC"/>
    <w:rsid w:val="00AD3A8F"/>
    <w:rsid w:val="00AD3DCB"/>
    <w:rsid w:val="00AD4046"/>
    <w:rsid w:val="00AD4154"/>
    <w:rsid w:val="00AD44BA"/>
    <w:rsid w:val="00AD4560"/>
    <w:rsid w:val="00AD48F7"/>
    <w:rsid w:val="00AD4A19"/>
    <w:rsid w:val="00AD4ADF"/>
    <w:rsid w:val="00AD4C6C"/>
    <w:rsid w:val="00AD4F90"/>
    <w:rsid w:val="00AD5083"/>
    <w:rsid w:val="00AD52F1"/>
    <w:rsid w:val="00AD5306"/>
    <w:rsid w:val="00AD54BA"/>
    <w:rsid w:val="00AD57FA"/>
    <w:rsid w:val="00AD5856"/>
    <w:rsid w:val="00AD5CA7"/>
    <w:rsid w:val="00AD5CAD"/>
    <w:rsid w:val="00AD60F0"/>
    <w:rsid w:val="00AD61FB"/>
    <w:rsid w:val="00AD6390"/>
    <w:rsid w:val="00AD67E3"/>
    <w:rsid w:val="00AD6915"/>
    <w:rsid w:val="00AD6BFF"/>
    <w:rsid w:val="00AD6FDC"/>
    <w:rsid w:val="00AD71A2"/>
    <w:rsid w:val="00AD7254"/>
    <w:rsid w:val="00AD7350"/>
    <w:rsid w:val="00AD7528"/>
    <w:rsid w:val="00AD75C9"/>
    <w:rsid w:val="00AD7671"/>
    <w:rsid w:val="00AD798C"/>
    <w:rsid w:val="00AD7B0D"/>
    <w:rsid w:val="00AD7F14"/>
    <w:rsid w:val="00AE01A1"/>
    <w:rsid w:val="00AE05AD"/>
    <w:rsid w:val="00AE092E"/>
    <w:rsid w:val="00AE0C1C"/>
    <w:rsid w:val="00AE1129"/>
    <w:rsid w:val="00AE1216"/>
    <w:rsid w:val="00AE1250"/>
    <w:rsid w:val="00AE13B2"/>
    <w:rsid w:val="00AE140C"/>
    <w:rsid w:val="00AE16EF"/>
    <w:rsid w:val="00AE19DB"/>
    <w:rsid w:val="00AE1B21"/>
    <w:rsid w:val="00AE22BE"/>
    <w:rsid w:val="00AE26C5"/>
    <w:rsid w:val="00AE29D1"/>
    <w:rsid w:val="00AE2A0F"/>
    <w:rsid w:val="00AE2BA2"/>
    <w:rsid w:val="00AE2BB9"/>
    <w:rsid w:val="00AE2FDB"/>
    <w:rsid w:val="00AE3390"/>
    <w:rsid w:val="00AE33D6"/>
    <w:rsid w:val="00AE3762"/>
    <w:rsid w:val="00AE39AB"/>
    <w:rsid w:val="00AE3A80"/>
    <w:rsid w:val="00AE3C48"/>
    <w:rsid w:val="00AE42D8"/>
    <w:rsid w:val="00AE4464"/>
    <w:rsid w:val="00AE4633"/>
    <w:rsid w:val="00AE511C"/>
    <w:rsid w:val="00AE525D"/>
    <w:rsid w:val="00AE5415"/>
    <w:rsid w:val="00AE54C6"/>
    <w:rsid w:val="00AE5656"/>
    <w:rsid w:val="00AE570C"/>
    <w:rsid w:val="00AE5999"/>
    <w:rsid w:val="00AE5AAC"/>
    <w:rsid w:val="00AE5EFF"/>
    <w:rsid w:val="00AE607A"/>
    <w:rsid w:val="00AE6844"/>
    <w:rsid w:val="00AE68CF"/>
    <w:rsid w:val="00AE6AEC"/>
    <w:rsid w:val="00AE6BC8"/>
    <w:rsid w:val="00AE7092"/>
    <w:rsid w:val="00AE7196"/>
    <w:rsid w:val="00AE770E"/>
    <w:rsid w:val="00AE792E"/>
    <w:rsid w:val="00AE7944"/>
    <w:rsid w:val="00AE7B5A"/>
    <w:rsid w:val="00AE7DE0"/>
    <w:rsid w:val="00AF0196"/>
    <w:rsid w:val="00AF0221"/>
    <w:rsid w:val="00AF09F5"/>
    <w:rsid w:val="00AF0A22"/>
    <w:rsid w:val="00AF0AF6"/>
    <w:rsid w:val="00AF0B55"/>
    <w:rsid w:val="00AF0D3E"/>
    <w:rsid w:val="00AF124C"/>
    <w:rsid w:val="00AF12DE"/>
    <w:rsid w:val="00AF13CB"/>
    <w:rsid w:val="00AF14F1"/>
    <w:rsid w:val="00AF1537"/>
    <w:rsid w:val="00AF18ED"/>
    <w:rsid w:val="00AF19AC"/>
    <w:rsid w:val="00AF1B51"/>
    <w:rsid w:val="00AF1BFD"/>
    <w:rsid w:val="00AF1E23"/>
    <w:rsid w:val="00AF213A"/>
    <w:rsid w:val="00AF23D9"/>
    <w:rsid w:val="00AF24F6"/>
    <w:rsid w:val="00AF26A6"/>
    <w:rsid w:val="00AF282C"/>
    <w:rsid w:val="00AF2B17"/>
    <w:rsid w:val="00AF3175"/>
    <w:rsid w:val="00AF3708"/>
    <w:rsid w:val="00AF3709"/>
    <w:rsid w:val="00AF382C"/>
    <w:rsid w:val="00AF3F4E"/>
    <w:rsid w:val="00AF42D6"/>
    <w:rsid w:val="00AF4457"/>
    <w:rsid w:val="00AF4740"/>
    <w:rsid w:val="00AF47AD"/>
    <w:rsid w:val="00AF4943"/>
    <w:rsid w:val="00AF495E"/>
    <w:rsid w:val="00AF5193"/>
    <w:rsid w:val="00AF53B9"/>
    <w:rsid w:val="00AF57CD"/>
    <w:rsid w:val="00AF5C3E"/>
    <w:rsid w:val="00AF5CF0"/>
    <w:rsid w:val="00AF5D31"/>
    <w:rsid w:val="00AF5E71"/>
    <w:rsid w:val="00AF69C4"/>
    <w:rsid w:val="00AF6B1D"/>
    <w:rsid w:val="00AF6B98"/>
    <w:rsid w:val="00AF6CC0"/>
    <w:rsid w:val="00AF6F55"/>
    <w:rsid w:val="00AF759A"/>
    <w:rsid w:val="00AF7705"/>
    <w:rsid w:val="00AF7807"/>
    <w:rsid w:val="00AF78AD"/>
    <w:rsid w:val="00AF7A8F"/>
    <w:rsid w:val="00AF7ACC"/>
    <w:rsid w:val="00AF7DD5"/>
    <w:rsid w:val="00B002CE"/>
    <w:rsid w:val="00B003FB"/>
    <w:rsid w:val="00B007C8"/>
    <w:rsid w:val="00B00E4F"/>
    <w:rsid w:val="00B01104"/>
    <w:rsid w:val="00B011FC"/>
    <w:rsid w:val="00B0139D"/>
    <w:rsid w:val="00B016F7"/>
    <w:rsid w:val="00B018A5"/>
    <w:rsid w:val="00B019FF"/>
    <w:rsid w:val="00B01A16"/>
    <w:rsid w:val="00B01C71"/>
    <w:rsid w:val="00B0204C"/>
    <w:rsid w:val="00B0259B"/>
    <w:rsid w:val="00B027F2"/>
    <w:rsid w:val="00B02813"/>
    <w:rsid w:val="00B02A97"/>
    <w:rsid w:val="00B02C16"/>
    <w:rsid w:val="00B0300A"/>
    <w:rsid w:val="00B0301D"/>
    <w:rsid w:val="00B03297"/>
    <w:rsid w:val="00B035DC"/>
    <w:rsid w:val="00B03D7F"/>
    <w:rsid w:val="00B041EC"/>
    <w:rsid w:val="00B041FD"/>
    <w:rsid w:val="00B04271"/>
    <w:rsid w:val="00B043A0"/>
    <w:rsid w:val="00B04AA6"/>
    <w:rsid w:val="00B04BD8"/>
    <w:rsid w:val="00B04C5F"/>
    <w:rsid w:val="00B04D9E"/>
    <w:rsid w:val="00B04E8B"/>
    <w:rsid w:val="00B0523C"/>
    <w:rsid w:val="00B052CC"/>
    <w:rsid w:val="00B055B4"/>
    <w:rsid w:val="00B055CA"/>
    <w:rsid w:val="00B05758"/>
    <w:rsid w:val="00B0582F"/>
    <w:rsid w:val="00B058DD"/>
    <w:rsid w:val="00B05A66"/>
    <w:rsid w:val="00B05B86"/>
    <w:rsid w:val="00B05F80"/>
    <w:rsid w:val="00B06842"/>
    <w:rsid w:val="00B06E36"/>
    <w:rsid w:val="00B06F3A"/>
    <w:rsid w:val="00B070AC"/>
    <w:rsid w:val="00B07491"/>
    <w:rsid w:val="00B07E43"/>
    <w:rsid w:val="00B105CA"/>
    <w:rsid w:val="00B106E7"/>
    <w:rsid w:val="00B10848"/>
    <w:rsid w:val="00B10985"/>
    <w:rsid w:val="00B10A1E"/>
    <w:rsid w:val="00B10B40"/>
    <w:rsid w:val="00B10B43"/>
    <w:rsid w:val="00B10C3B"/>
    <w:rsid w:val="00B10DB4"/>
    <w:rsid w:val="00B10F4D"/>
    <w:rsid w:val="00B116D0"/>
    <w:rsid w:val="00B116EC"/>
    <w:rsid w:val="00B1178F"/>
    <w:rsid w:val="00B1192A"/>
    <w:rsid w:val="00B12141"/>
    <w:rsid w:val="00B1228B"/>
    <w:rsid w:val="00B126D5"/>
    <w:rsid w:val="00B12910"/>
    <w:rsid w:val="00B12AE4"/>
    <w:rsid w:val="00B12F03"/>
    <w:rsid w:val="00B12F09"/>
    <w:rsid w:val="00B13202"/>
    <w:rsid w:val="00B133BC"/>
    <w:rsid w:val="00B13411"/>
    <w:rsid w:val="00B13578"/>
    <w:rsid w:val="00B135D5"/>
    <w:rsid w:val="00B13788"/>
    <w:rsid w:val="00B1383F"/>
    <w:rsid w:val="00B13A9C"/>
    <w:rsid w:val="00B13AAC"/>
    <w:rsid w:val="00B13BBA"/>
    <w:rsid w:val="00B13E93"/>
    <w:rsid w:val="00B14337"/>
    <w:rsid w:val="00B148A9"/>
    <w:rsid w:val="00B14A4E"/>
    <w:rsid w:val="00B14B6B"/>
    <w:rsid w:val="00B14C76"/>
    <w:rsid w:val="00B14CD2"/>
    <w:rsid w:val="00B14DFD"/>
    <w:rsid w:val="00B14F8F"/>
    <w:rsid w:val="00B15054"/>
    <w:rsid w:val="00B1510B"/>
    <w:rsid w:val="00B152AF"/>
    <w:rsid w:val="00B154B4"/>
    <w:rsid w:val="00B15535"/>
    <w:rsid w:val="00B15910"/>
    <w:rsid w:val="00B15C88"/>
    <w:rsid w:val="00B15DC9"/>
    <w:rsid w:val="00B15F32"/>
    <w:rsid w:val="00B1608C"/>
    <w:rsid w:val="00B161D1"/>
    <w:rsid w:val="00B162C5"/>
    <w:rsid w:val="00B162EE"/>
    <w:rsid w:val="00B163BF"/>
    <w:rsid w:val="00B163C3"/>
    <w:rsid w:val="00B165C9"/>
    <w:rsid w:val="00B166AA"/>
    <w:rsid w:val="00B166C7"/>
    <w:rsid w:val="00B167CF"/>
    <w:rsid w:val="00B169DB"/>
    <w:rsid w:val="00B17203"/>
    <w:rsid w:val="00B172C5"/>
    <w:rsid w:val="00B1754F"/>
    <w:rsid w:val="00B17975"/>
    <w:rsid w:val="00B179B3"/>
    <w:rsid w:val="00B17C51"/>
    <w:rsid w:val="00B17D47"/>
    <w:rsid w:val="00B17E48"/>
    <w:rsid w:val="00B17EDB"/>
    <w:rsid w:val="00B20039"/>
    <w:rsid w:val="00B20243"/>
    <w:rsid w:val="00B20319"/>
    <w:rsid w:val="00B203C5"/>
    <w:rsid w:val="00B203CA"/>
    <w:rsid w:val="00B2075C"/>
    <w:rsid w:val="00B207A1"/>
    <w:rsid w:val="00B20B05"/>
    <w:rsid w:val="00B20DCD"/>
    <w:rsid w:val="00B2146E"/>
    <w:rsid w:val="00B21592"/>
    <w:rsid w:val="00B21970"/>
    <w:rsid w:val="00B220F6"/>
    <w:rsid w:val="00B225CE"/>
    <w:rsid w:val="00B22660"/>
    <w:rsid w:val="00B2281B"/>
    <w:rsid w:val="00B22A0B"/>
    <w:rsid w:val="00B22A5B"/>
    <w:rsid w:val="00B22B56"/>
    <w:rsid w:val="00B22D6C"/>
    <w:rsid w:val="00B22EF5"/>
    <w:rsid w:val="00B22FBA"/>
    <w:rsid w:val="00B236FE"/>
    <w:rsid w:val="00B2395D"/>
    <w:rsid w:val="00B24190"/>
    <w:rsid w:val="00B244EA"/>
    <w:rsid w:val="00B24821"/>
    <w:rsid w:val="00B24AEE"/>
    <w:rsid w:val="00B24B9F"/>
    <w:rsid w:val="00B24D34"/>
    <w:rsid w:val="00B252C7"/>
    <w:rsid w:val="00B25394"/>
    <w:rsid w:val="00B25683"/>
    <w:rsid w:val="00B259A3"/>
    <w:rsid w:val="00B25B4C"/>
    <w:rsid w:val="00B25EE9"/>
    <w:rsid w:val="00B26225"/>
    <w:rsid w:val="00B265A0"/>
    <w:rsid w:val="00B26777"/>
    <w:rsid w:val="00B268C3"/>
    <w:rsid w:val="00B2697C"/>
    <w:rsid w:val="00B269AB"/>
    <w:rsid w:val="00B26BB4"/>
    <w:rsid w:val="00B26BE1"/>
    <w:rsid w:val="00B26D4A"/>
    <w:rsid w:val="00B26F10"/>
    <w:rsid w:val="00B27013"/>
    <w:rsid w:val="00B2734D"/>
    <w:rsid w:val="00B27445"/>
    <w:rsid w:val="00B27914"/>
    <w:rsid w:val="00B27967"/>
    <w:rsid w:val="00B27BF5"/>
    <w:rsid w:val="00B27C06"/>
    <w:rsid w:val="00B27D44"/>
    <w:rsid w:val="00B30211"/>
    <w:rsid w:val="00B3022E"/>
    <w:rsid w:val="00B30295"/>
    <w:rsid w:val="00B30468"/>
    <w:rsid w:val="00B3053D"/>
    <w:rsid w:val="00B30ACC"/>
    <w:rsid w:val="00B314E9"/>
    <w:rsid w:val="00B31931"/>
    <w:rsid w:val="00B31F87"/>
    <w:rsid w:val="00B3248E"/>
    <w:rsid w:val="00B32497"/>
    <w:rsid w:val="00B325CD"/>
    <w:rsid w:val="00B326A8"/>
    <w:rsid w:val="00B328BD"/>
    <w:rsid w:val="00B32A75"/>
    <w:rsid w:val="00B32A92"/>
    <w:rsid w:val="00B32B01"/>
    <w:rsid w:val="00B32CD6"/>
    <w:rsid w:val="00B32E08"/>
    <w:rsid w:val="00B32EE8"/>
    <w:rsid w:val="00B33044"/>
    <w:rsid w:val="00B3354F"/>
    <w:rsid w:val="00B3391B"/>
    <w:rsid w:val="00B33A18"/>
    <w:rsid w:val="00B33B5E"/>
    <w:rsid w:val="00B33F59"/>
    <w:rsid w:val="00B34A1A"/>
    <w:rsid w:val="00B34A33"/>
    <w:rsid w:val="00B34EBF"/>
    <w:rsid w:val="00B34FCA"/>
    <w:rsid w:val="00B35088"/>
    <w:rsid w:val="00B3552A"/>
    <w:rsid w:val="00B35943"/>
    <w:rsid w:val="00B35F56"/>
    <w:rsid w:val="00B36485"/>
    <w:rsid w:val="00B368AC"/>
    <w:rsid w:val="00B36DCD"/>
    <w:rsid w:val="00B37436"/>
    <w:rsid w:val="00B37753"/>
    <w:rsid w:val="00B37A92"/>
    <w:rsid w:val="00B37B22"/>
    <w:rsid w:val="00B37C00"/>
    <w:rsid w:val="00B37CE9"/>
    <w:rsid w:val="00B37D68"/>
    <w:rsid w:val="00B4015C"/>
    <w:rsid w:val="00B401C4"/>
    <w:rsid w:val="00B40240"/>
    <w:rsid w:val="00B4039F"/>
    <w:rsid w:val="00B40593"/>
    <w:rsid w:val="00B40885"/>
    <w:rsid w:val="00B40C33"/>
    <w:rsid w:val="00B40CA3"/>
    <w:rsid w:val="00B40CB3"/>
    <w:rsid w:val="00B40D7A"/>
    <w:rsid w:val="00B40DF1"/>
    <w:rsid w:val="00B412FC"/>
    <w:rsid w:val="00B4146F"/>
    <w:rsid w:val="00B41527"/>
    <w:rsid w:val="00B41975"/>
    <w:rsid w:val="00B419E9"/>
    <w:rsid w:val="00B41B6B"/>
    <w:rsid w:val="00B42023"/>
    <w:rsid w:val="00B4277C"/>
    <w:rsid w:val="00B427CC"/>
    <w:rsid w:val="00B42851"/>
    <w:rsid w:val="00B428C5"/>
    <w:rsid w:val="00B42B99"/>
    <w:rsid w:val="00B42C70"/>
    <w:rsid w:val="00B42D58"/>
    <w:rsid w:val="00B42EE7"/>
    <w:rsid w:val="00B42F83"/>
    <w:rsid w:val="00B43213"/>
    <w:rsid w:val="00B4330A"/>
    <w:rsid w:val="00B4368C"/>
    <w:rsid w:val="00B43875"/>
    <w:rsid w:val="00B439B5"/>
    <w:rsid w:val="00B4400A"/>
    <w:rsid w:val="00B443BE"/>
    <w:rsid w:val="00B44408"/>
    <w:rsid w:val="00B44832"/>
    <w:rsid w:val="00B44916"/>
    <w:rsid w:val="00B45898"/>
    <w:rsid w:val="00B45A9E"/>
    <w:rsid w:val="00B463CD"/>
    <w:rsid w:val="00B465BD"/>
    <w:rsid w:val="00B466CC"/>
    <w:rsid w:val="00B46B5D"/>
    <w:rsid w:val="00B4771F"/>
    <w:rsid w:val="00B479A6"/>
    <w:rsid w:val="00B47A46"/>
    <w:rsid w:val="00B47B84"/>
    <w:rsid w:val="00B47C41"/>
    <w:rsid w:val="00B47E9C"/>
    <w:rsid w:val="00B47EAD"/>
    <w:rsid w:val="00B501B6"/>
    <w:rsid w:val="00B50434"/>
    <w:rsid w:val="00B50469"/>
    <w:rsid w:val="00B50751"/>
    <w:rsid w:val="00B50883"/>
    <w:rsid w:val="00B51447"/>
    <w:rsid w:val="00B51B39"/>
    <w:rsid w:val="00B51DAC"/>
    <w:rsid w:val="00B51DAD"/>
    <w:rsid w:val="00B51EF2"/>
    <w:rsid w:val="00B52406"/>
    <w:rsid w:val="00B52472"/>
    <w:rsid w:val="00B525D2"/>
    <w:rsid w:val="00B526C4"/>
    <w:rsid w:val="00B527A1"/>
    <w:rsid w:val="00B527FD"/>
    <w:rsid w:val="00B529B7"/>
    <w:rsid w:val="00B529D4"/>
    <w:rsid w:val="00B52A32"/>
    <w:rsid w:val="00B52C7F"/>
    <w:rsid w:val="00B52EAC"/>
    <w:rsid w:val="00B53307"/>
    <w:rsid w:val="00B5343D"/>
    <w:rsid w:val="00B534DA"/>
    <w:rsid w:val="00B53734"/>
    <w:rsid w:val="00B537DA"/>
    <w:rsid w:val="00B53AAA"/>
    <w:rsid w:val="00B542E6"/>
    <w:rsid w:val="00B545A6"/>
    <w:rsid w:val="00B545B6"/>
    <w:rsid w:val="00B5465C"/>
    <w:rsid w:val="00B5487F"/>
    <w:rsid w:val="00B54CB2"/>
    <w:rsid w:val="00B54E96"/>
    <w:rsid w:val="00B54F8C"/>
    <w:rsid w:val="00B5501B"/>
    <w:rsid w:val="00B55050"/>
    <w:rsid w:val="00B55250"/>
    <w:rsid w:val="00B5547C"/>
    <w:rsid w:val="00B555EB"/>
    <w:rsid w:val="00B55872"/>
    <w:rsid w:val="00B55B41"/>
    <w:rsid w:val="00B55C9A"/>
    <w:rsid w:val="00B55E4A"/>
    <w:rsid w:val="00B56271"/>
    <w:rsid w:val="00B5643F"/>
    <w:rsid w:val="00B56468"/>
    <w:rsid w:val="00B5657F"/>
    <w:rsid w:val="00B565EE"/>
    <w:rsid w:val="00B567D3"/>
    <w:rsid w:val="00B5690D"/>
    <w:rsid w:val="00B56E19"/>
    <w:rsid w:val="00B56E4D"/>
    <w:rsid w:val="00B56EC0"/>
    <w:rsid w:val="00B570D0"/>
    <w:rsid w:val="00B57287"/>
    <w:rsid w:val="00B57416"/>
    <w:rsid w:val="00B577AF"/>
    <w:rsid w:val="00B60474"/>
    <w:rsid w:val="00B6092C"/>
    <w:rsid w:val="00B60B69"/>
    <w:rsid w:val="00B60C2A"/>
    <w:rsid w:val="00B60E0A"/>
    <w:rsid w:val="00B60E33"/>
    <w:rsid w:val="00B60E90"/>
    <w:rsid w:val="00B6101E"/>
    <w:rsid w:val="00B611E0"/>
    <w:rsid w:val="00B6143D"/>
    <w:rsid w:val="00B615A2"/>
    <w:rsid w:val="00B615E8"/>
    <w:rsid w:val="00B6162B"/>
    <w:rsid w:val="00B617A3"/>
    <w:rsid w:val="00B61B38"/>
    <w:rsid w:val="00B61D7F"/>
    <w:rsid w:val="00B61F1E"/>
    <w:rsid w:val="00B61F77"/>
    <w:rsid w:val="00B62034"/>
    <w:rsid w:val="00B6212E"/>
    <w:rsid w:val="00B62489"/>
    <w:rsid w:val="00B628E7"/>
    <w:rsid w:val="00B62D70"/>
    <w:rsid w:val="00B62DA7"/>
    <w:rsid w:val="00B630C9"/>
    <w:rsid w:val="00B63856"/>
    <w:rsid w:val="00B639D8"/>
    <w:rsid w:val="00B63B47"/>
    <w:rsid w:val="00B63C51"/>
    <w:rsid w:val="00B64063"/>
    <w:rsid w:val="00B645CD"/>
    <w:rsid w:val="00B64D3C"/>
    <w:rsid w:val="00B64ED3"/>
    <w:rsid w:val="00B6530F"/>
    <w:rsid w:val="00B65629"/>
    <w:rsid w:val="00B657C1"/>
    <w:rsid w:val="00B6592E"/>
    <w:rsid w:val="00B659F6"/>
    <w:rsid w:val="00B65D34"/>
    <w:rsid w:val="00B663C4"/>
    <w:rsid w:val="00B663F7"/>
    <w:rsid w:val="00B6655C"/>
    <w:rsid w:val="00B666A9"/>
    <w:rsid w:val="00B66B92"/>
    <w:rsid w:val="00B66BDA"/>
    <w:rsid w:val="00B66C00"/>
    <w:rsid w:val="00B66DDF"/>
    <w:rsid w:val="00B674E2"/>
    <w:rsid w:val="00B67691"/>
    <w:rsid w:val="00B676CB"/>
    <w:rsid w:val="00B67707"/>
    <w:rsid w:val="00B677A3"/>
    <w:rsid w:val="00B677B8"/>
    <w:rsid w:val="00B6789F"/>
    <w:rsid w:val="00B6795D"/>
    <w:rsid w:val="00B67B73"/>
    <w:rsid w:val="00B67C37"/>
    <w:rsid w:val="00B67C56"/>
    <w:rsid w:val="00B70012"/>
    <w:rsid w:val="00B7015E"/>
    <w:rsid w:val="00B702E9"/>
    <w:rsid w:val="00B70783"/>
    <w:rsid w:val="00B707FF"/>
    <w:rsid w:val="00B70A9A"/>
    <w:rsid w:val="00B70BA1"/>
    <w:rsid w:val="00B70C67"/>
    <w:rsid w:val="00B70D74"/>
    <w:rsid w:val="00B70F60"/>
    <w:rsid w:val="00B71044"/>
    <w:rsid w:val="00B7106A"/>
    <w:rsid w:val="00B71408"/>
    <w:rsid w:val="00B71C88"/>
    <w:rsid w:val="00B720B8"/>
    <w:rsid w:val="00B72120"/>
    <w:rsid w:val="00B722EE"/>
    <w:rsid w:val="00B724F5"/>
    <w:rsid w:val="00B729CD"/>
    <w:rsid w:val="00B72A41"/>
    <w:rsid w:val="00B7302C"/>
    <w:rsid w:val="00B7311A"/>
    <w:rsid w:val="00B733A5"/>
    <w:rsid w:val="00B733B2"/>
    <w:rsid w:val="00B73462"/>
    <w:rsid w:val="00B735E6"/>
    <w:rsid w:val="00B739F3"/>
    <w:rsid w:val="00B73B4B"/>
    <w:rsid w:val="00B73D58"/>
    <w:rsid w:val="00B73FF6"/>
    <w:rsid w:val="00B74113"/>
    <w:rsid w:val="00B741C3"/>
    <w:rsid w:val="00B7420A"/>
    <w:rsid w:val="00B74247"/>
    <w:rsid w:val="00B74302"/>
    <w:rsid w:val="00B745CC"/>
    <w:rsid w:val="00B74794"/>
    <w:rsid w:val="00B747AA"/>
    <w:rsid w:val="00B74A9A"/>
    <w:rsid w:val="00B74F6B"/>
    <w:rsid w:val="00B750E7"/>
    <w:rsid w:val="00B75104"/>
    <w:rsid w:val="00B7516D"/>
    <w:rsid w:val="00B751C6"/>
    <w:rsid w:val="00B75825"/>
    <w:rsid w:val="00B75831"/>
    <w:rsid w:val="00B75BA5"/>
    <w:rsid w:val="00B75BED"/>
    <w:rsid w:val="00B75C06"/>
    <w:rsid w:val="00B76497"/>
    <w:rsid w:val="00B76666"/>
    <w:rsid w:val="00B76729"/>
    <w:rsid w:val="00B768D8"/>
    <w:rsid w:val="00B76C86"/>
    <w:rsid w:val="00B76D09"/>
    <w:rsid w:val="00B76D5A"/>
    <w:rsid w:val="00B76ED3"/>
    <w:rsid w:val="00B76EEE"/>
    <w:rsid w:val="00B77052"/>
    <w:rsid w:val="00B77484"/>
    <w:rsid w:val="00B77981"/>
    <w:rsid w:val="00B77EF5"/>
    <w:rsid w:val="00B8086E"/>
    <w:rsid w:val="00B80C31"/>
    <w:rsid w:val="00B81006"/>
    <w:rsid w:val="00B81050"/>
    <w:rsid w:val="00B81573"/>
    <w:rsid w:val="00B816AA"/>
    <w:rsid w:val="00B817C4"/>
    <w:rsid w:val="00B821F4"/>
    <w:rsid w:val="00B82C06"/>
    <w:rsid w:val="00B82CDE"/>
    <w:rsid w:val="00B8332A"/>
    <w:rsid w:val="00B8339D"/>
    <w:rsid w:val="00B83789"/>
    <w:rsid w:val="00B838A0"/>
    <w:rsid w:val="00B83A70"/>
    <w:rsid w:val="00B8440E"/>
    <w:rsid w:val="00B845B9"/>
    <w:rsid w:val="00B84654"/>
    <w:rsid w:val="00B84FBD"/>
    <w:rsid w:val="00B850E6"/>
    <w:rsid w:val="00B85157"/>
    <w:rsid w:val="00B85279"/>
    <w:rsid w:val="00B8529F"/>
    <w:rsid w:val="00B8536C"/>
    <w:rsid w:val="00B85998"/>
    <w:rsid w:val="00B85A21"/>
    <w:rsid w:val="00B85BF3"/>
    <w:rsid w:val="00B86C44"/>
    <w:rsid w:val="00B86CEB"/>
    <w:rsid w:val="00B86CF5"/>
    <w:rsid w:val="00B86DBB"/>
    <w:rsid w:val="00B86E0D"/>
    <w:rsid w:val="00B86FD7"/>
    <w:rsid w:val="00B8702D"/>
    <w:rsid w:val="00B871FA"/>
    <w:rsid w:val="00B874CB"/>
    <w:rsid w:val="00B87778"/>
    <w:rsid w:val="00B878F3"/>
    <w:rsid w:val="00B87F25"/>
    <w:rsid w:val="00B90057"/>
    <w:rsid w:val="00B90353"/>
    <w:rsid w:val="00B904C3"/>
    <w:rsid w:val="00B906B7"/>
    <w:rsid w:val="00B9147C"/>
    <w:rsid w:val="00B917BF"/>
    <w:rsid w:val="00B91A3E"/>
    <w:rsid w:val="00B91B65"/>
    <w:rsid w:val="00B91D00"/>
    <w:rsid w:val="00B91DA8"/>
    <w:rsid w:val="00B91DF5"/>
    <w:rsid w:val="00B92137"/>
    <w:rsid w:val="00B9227E"/>
    <w:rsid w:val="00B92423"/>
    <w:rsid w:val="00B9276C"/>
    <w:rsid w:val="00B9299F"/>
    <w:rsid w:val="00B92A05"/>
    <w:rsid w:val="00B92DB4"/>
    <w:rsid w:val="00B931BD"/>
    <w:rsid w:val="00B93801"/>
    <w:rsid w:val="00B939D5"/>
    <w:rsid w:val="00B93A5F"/>
    <w:rsid w:val="00B93CC8"/>
    <w:rsid w:val="00B9476C"/>
    <w:rsid w:val="00B9480E"/>
    <w:rsid w:val="00B94866"/>
    <w:rsid w:val="00B94B48"/>
    <w:rsid w:val="00B94C54"/>
    <w:rsid w:val="00B94DD4"/>
    <w:rsid w:val="00B94E5C"/>
    <w:rsid w:val="00B94F3E"/>
    <w:rsid w:val="00B95364"/>
    <w:rsid w:val="00B95476"/>
    <w:rsid w:val="00B95AFA"/>
    <w:rsid w:val="00B95C27"/>
    <w:rsid w:val="00B95FB7"/>
    <w:rsid w:val="00B96254"/>
    <w:rsid w:val="00B9632D"/>
    <w:rsid w:val="00B96A87"/>
    <w:rsid w:val="00B96C73"/>
    <w:rsid w:val="00B96CBB"/>
    <w:rsid w:val="00B97114"/>
    <w:rsid w:val="00B97145"/>
    <w:rsid w:val="00B9753F"/>
    <w:rsid w:val="00B976A7"/>
    <w:rsid w:val="00B97A51"/>
    <w:rsid w:val="00B97A7F"/>
    <w:rsid w:val="00B97DC4"/>
    <w:rsid w:val="00B97E7C"/>
    <w:rsid w:val="00B97FFC"/>
    <w:rsid w:val="00BA015F"/>
    <w:rsid w:val="00BA0427"/>
    <w:rsid w:val="00BA081C"/>
    <w:rsid w:val="00BA084E"/>
    <w:rsid w:val="00BA0D38"/>
    <w:rsid w:val="00BA115F"/>
    <w:rsid w:val="00BA12E1"/>
    <w:rsid w:val="00BA139E"/>
    <w:rsid w:val="00BA1458"/>
    <w:rsid w:val="00BA14BC"/>
    <w:rsid w:val="00BA15CC"/>
    <w:rsid w:val="00BA1602"/>
    <w:rsid w:val="00BA166D"/>
    <w:rsid w:val="00BA1767"/>
    <w:rsid w:val="00BA1B75"/>
    <w:rsid w:val="00BA1FE7"/>
    <w:rsid w:val="00BA203D"/>
    <w:rsid w:val="00BA21E0"/>
    <w:rsid w:val="00BA3197"/>
    <w:rsid w:val="00BA31DA"/>
    <w:rsid w:val="00BA34AB"/>
    <w:rsid w:val="00BA370C"/>
    <w:rsid w:val="00BA3882"/>
    <w:rsid w:val="00BA39AC"/>
    <w:rsid w:val="00BA3A2C"/>
    <w:rsid w:val="00BA3F15"/>
    <w:rsid w:val="00BA4041"/>
    <w:rsid w:val="00BA482A"/>
    <w:rsid w:val="00BA487C"/>
    <w:rsid w:val="00BA488D"/>
    <w:rsid w:val="00BA4B35"/>
    <w:rsid w:val="00BA4C52"/>
    <w:rsid w:val="00BA4C89"/>
    <w:rsid w:val="00BA4F3C"/>
    <w:rsid w:val="00BA4FCC"/>
    <w:rsid w:val="00BA5344"/>
    <w:rsid w:val="00BA5A9D"/>
    <w:rsid w:val="00BA5CDE"/>
    <w:rsid w:val="00BA5CE4"/>
    <w:rsid w:val="00BA5DD2"/>
    <w:rsid w:val="00BA61D4"/>
    <w:rsid w:val="00BA6222"/>
    <w:rsid w:val="00BA6325"/>
    <w:rsid w:val="00BA6398"/>
    <w:rsid w:val="00BA644E"/>
    <w:rsid w:val="00BA6537"/>
    <w:rsid w:val="00BA653B"/>
    <w:rsid w:val="00BA66A7"/>
    <w:rsid w:val="00BA683D"/>
    <w:rsid w:val="00BA6B7E"/>
    <w:rsid w:val="00BA7843"/>
    <w:rsid w:val="00BA7892"/>
    <w:rsid w:val="00BA7A67"/>
    <w:rsid w:val="00BA7F06"/>
    <w:rsid w:val="00BA7F68"/>
    <w:rsid w:val="00BB0270"/>
    <w:rsid w:val="00BB02E6"/>
    <w:rsid w:val="00BB038F"/>
    <w:rsid w:val="00BB047B"/>
    <w:rsid w:val="00BB04DB"/>
    <w:rsid w:val="00BB08FA"/>
    <w:rsid w:val="00BB0993"/>
    <w:rsid w:val="00BB0A38"/>
    <w:rsid w:val="00BB0AF6"/>
    <w:rsid w:val="00BB0C05"/>
    <w:rsid w:val="00BB125F"/>
    <w:rsid w:val="00BB1288"/>
    <w:rsid w:val="00BB1318"/>
    <w:rsid w:val="00BB143A"/>
    <w:rsid w:val="00BB14B0"/>
    <w:rsid w:val="00BB177A"/>
    <w:rsid w:val="00BB17A9"/>
    <w:rsid w:val="00BB1A44"/>
    <w:rsid w:val="00BB1A53"/>
    <w:rsid w:val="00BB1AF6"/>
    <w:rsid w:val="00BB1DC1"/>
    <w:rsid w:val="00BB1F35"/>
    <w:rsid w:val="00BB2040"/>
    <w:rsid w:val="00BB2182"/>
    <w:rsid w:val="00BB218D"/>
    <w:rsid w:val="00BB21EA"/>
    <w:rsid w:val="00BB25EC"/>
    <w:rsid w:val="00BB26EA"/>
    <w:rsid w:val="00BB284A"/>
    <w:rsid w:val="00BB2854"/>
    <w:rsid w:val="00BB2D37"/>
    <w:rsid w:val="00BB2DB4"/>
    <w:rsid w:val="00BB35C7"/>
    <w:rsid w:val="00BB3D11"/>
    <w:rsid w:val="00BB3DA3"/>
    <w:rsid w:val="00BB3FF0"/>
    <w:rsid w:val="00BB4208"/>
    <w:rsid w:val="00BB424A"/>
    <w:rsid w:val="00BB4738"/>
    <w:rsid w:val="00BB48E2"/>
    <w:rsid w:val="00BB4A6A"/>
    <w:rsid w:val="00BB4BA6"/>
    <w:rsid w:val="00BB5055"/>
    <w:rsid w:val="00BB5702"/>
    <w:rsid w:val="00BB5892"/>
    <w:rsid w:val="00BB5B29"/>
    <w:rsid w:val="00BB5D7E"/>
    <w:rsid w:val="00BB6079"/>
    <w:rsid w:val="00BB6085"/>
    <w:rsid w:val="00BB60A0"/>
    <w:rsid w:val="00BB619A"/>
    <w:rsid w:val="00BB6254"/>
    <w:rsid w:val="00BB6509"/>
    <w:rsid w:val="00BB678E"/>
    <w:rsid w:val="00BB6A42"/>
    <w:rsid w:val="00BB6AED"/>
    <w:rsid w:val="00BB6D37"/>
    <w:rsid w:val="00BB70C4"/>
    <w:rsid w:val="00BB70EE"/>
    <w:rsid w:val="00BB715F"/>
    <w:rsid w:val="00BB71AE"/>
    <w:rsid w:val="00BB72B1"/>
    <w:rsid w:val="00BB75EB"/>
    <w:rsid w:val="00BB7717"/>
    <w:rsid w:val="00BB7838"/>
    <w:rsid w:val="00BC0150"/>
    <w:rsid w:val="00BC03F8"/>
    <w:rsid w:val="00BC04FF"/>
    <w:rsid w:val="00BC06F9"/>
    <w:rsid w:val="00BC07D8"/>
    <w:rsid w:val="00BC0B32"/>
    <w:rsid w:val="00BC0B76"/>
    <w:rsid w:val="00BC1130"/>
    <w:rsid w:val="00BC113F"/>
    <w:rsid w:val="00BC124D"/>
    <w:rsid w:val="00BC1694"/>
    <w:rsid w:val="00BC1CEF"/>
    <w:rsid w:val="00BC1E0E"/>
    <w:rsid w:val="00BC20BF"/>
    <w:rsid w:val="00BC2228"/>
    <w:rsid w:val="00BC2395"/>
    <w:rsid w:val="00BC2864"/>
    <w:rsid w:val="00BC2A96"/>
    <w:rsid w:val="00BC2D08"/>
    <w:rsid w:val="00BC2D61"/>
    <w:rsid w:val="00BC3125"/>
    <w:rsid w:val="00BC31E6"/>
    <w:rsid w:val="00BC3413"/>
    <w:rsid w:val="00BC3539"/>
    <w:rsid w:val="00BC357C"/>
    <w:rsid w:val="00BC38B9"/>
    <w:rsid w:val="00BC3AEE"/>
    <w:rsid w:val="00BC3B78"/>
    <w:rsid w:val="00BC3C34"/>
    <w:rsid w:val="00BC3D54"/>
    <w:rsid w:val="00BC4108"/>
    <w:rsid w:val="00BC4269"/>
    <w:rsid w:val="00BC44E5"/>
    <w:rsid w:val="00BC45BC"/>
    <w:rsid w:val="00BC4701"/>
    <w:rsid w:val="00BC47EB"/>
    <w:rsid w:val="00BC4911"/>
    <w:rsid w:val="00BC4971"/>
    <w:rsid w:val="00BC4E20"/>
    <w:rsid w:val="00BC4EEB"/>
    <w:rsid w:val="00BC5051"/>
    <w:rsid w:val="00BC53B8"/>
    <w:rsid w:val="00BC53E3"/>
    <w:rsid w:val="00BC5A2F"/>
    <w:rsid w:val="00BC5B04"/>
    <w:rsid w:val="00BC5D76"/>
    <w:rsid w:val="00BC5DAB"/>
    <w:rsid w:val="00BC5E01"/>
    <w:rsid w:val="00BC5EB9"/>
    <w:rsid w:val="00BC615E"/>
    <w:rsid w:val="00BC6568"/>
    <w:rsid w:val="00BC68C2"/>
    <w:rsid w:val="00BC70FC"/>
    <w:rsid w:val="00BC7158"/>
    <w:rsid w:val="00BC718C"/>
    <w:rsid w:val="00BC7600"/>
    <w:rsid w:val="00BC7BD2"/>
    <w:rsid w:val="00BC7C82"/>
    <w:rsid w:val="00BC7CAB"/>
    <w:rsid w:val="00BC7D57"/>
    <w:rsid w:val="00BC7DC3"/>
    <w:rsid w:val="00BC7F8D"/>
    <w:rsid w:val="00BD005E"/>
    <w:rsid w:val="00BD09D1"/>
    <w:rsid w:val="00BD0B81"/>
    <w:rsid w:val="00BD0C78"/>
    <w:rsid w:val="00BD0F8D"/>
    <w:rsid w:val="00BD1051"/>
    <w:rsid w:val="00BD1198"/>
    <w:rsid w:val="00BD123B"/>
    <w:rsid w:val="00BD12D5"/>
    <w:rsid w:val="00BD1366"/>
    <w:rsid w:val="00BD13CE"/>
    <w:rsid w:val="00BD1564"/>
    <w:rsid w:val="00BD1574"/>
    <w:rsid w:val="00BD1A6B"/>
    <w:rsid w:val="00BD1BD6"/>
    <w:rsid w:val="00BD1C2E"/>
    <w:rsid w:val="00BD1CC9"/>
    <w:rsid w:val="00BD21F9"/>
    <w:rsid w:val="00BD23C1"/>
    <w:rsid w:val="00BD2619"/>
    <w:rsid w:val="00BD2634"/>
    <w:rsid w:val="00BD26D8"/>
    <w:rsid w:val="00BD2E60"/>
    <w:rsid w:val="00BD2F89"/>
    <w:rsid w:val="00BD325F"/>
    <w:rsid w:val="00BD3887"/>
    <w:rsid w:val="00BD3ACD"/>
    <w:rsid w:val="00BD3CD3"/>
    <w:rsid w:val="00BD42CB"/>
    <w:rsid w:val="00BD4477"/>
    <w:rsid w:val="00BD4496"/>
    <w:rsid w:val="00BD479E"/>
    <w:rsid w:val="00BD47AD"/>
    <w:rsid w:val="00BD51C4"/>
    <w:rsid w:val="00BD52B3"/>
    <w:rsid w:val="00BD52F2"/>
    <w:rsid w:val="00BD5A8E"/>
    <w:rsid w:val="00BD5B5E"/>
    <w:rsid w:val="00BD5C00"/>
    <w:rsid w:val="00BD5ED6"/>
    <w:rsid w:val="00BD608F"/>
    <w:rsid w:val="00BD60D9"/>
    <w:rsid w:val="00BD6138"/>
    <w:rsid w:val="00BD615E"/>
    <w:rsid w:val="00BD61AA"/>
    <w:rsid w:val="00BD6211"/>
    <w:rsid w:val="00BD644A"/>
    <w:rsid w:val="00BD6618"/>
    <w:rsid w:val="00BD692D"/>
    <w:rsid w:val="00BD6C91"/>
    <w:rsid w:val="00BD6D0D"/>
    <w:rsid w:val="00BD6DC5"/>
    <w:rsid w:val="00BD6FD7"/>
    <w:rsid w:val="00BD721B"/>
    <w:rsid w:val="00BD73EC"/>
    <w:rsid w:val="00BD7735"/>
    <w:rsid w:val="00BD7A6A"/>
    <w:rsid w:val="00BD7B58"/>
    <w:rsid w:val="00BD7E88"/>
    <w:rsid w:val="00BD7EEB"/>
    <w:rsid w:val="00BE0710"/>
    <w:rsid w:val="00BE0835"/>
    <w:rsid w:val="00BE091B"/>
    <w:rsid w:val="00BE09E6"/>
    <w:rsid w:val="00BE0D18"/>
    <w:rsid w:val="00BE0E19"/>
    <w:rsid w:val="00BE1155"/>
    <w:rsid w:val="00BE1337"/>
    <w:rsid w:val="00BE1590"/>
    <w:rsid w:val="00BE1817"/>
    <w:rsid w:val="00BE1A37"/>
    <w:rsid w:val="00BE1BDC"/>
    <w:rsid w:val="00BE2310"/>
    <w:rsid w:val="00BE2392"/>
    <w:rsid w:val="00BE266F"/>
    <w:rsid w:val="00BE2E27"/>
    <w:rsid w:val="00BE2E97"/>
    <w:rsid w:val="00BE2FBF"/>
    <w:rsid w:val="00BE303A"/>
    <w:rsid w:val="00BE3739"/>
    <w:rsid w:val="00BE3823"/>
    <w:rsid w:val="00BE386F"/>
    <w:rsid w:val="00BE3A06"/>
    <w:rsid w:val="00BE424A"/>
    <w:rsid w:val="00BE445D"/>
    <w:rsid w:val="00BE44FD"/>
    <w:rsid w:val="00BE459F"/>
    <w:rsid w:val="00BE4A91"/>
    <w:rsid w:val="00BE4ACD"/>
    <w:rsid w:val="00BE4BCB"/>
    <w:rsid w:val="00BE4D4E"/>
    <w:rsid w:val="00BE4DF5"/>
    <w:rsid w:val="00BE4E76"/>
    <w:rsid w:val="00BE56A0"/>
    <w:rsid w:val="00BE5970"/>
    <w:rsid w:val="00BE5BE4"/>
    <w:rsid w:val="00BE5EDD"/>
    <w:rsid w:val="00BE5FEE"/>
    <w:rsid w:val="00BE6258"/>
    <w:rsid w:val="00BE6387"/>
    <w:rsid w:val="00BE63C3"/>
    <w:rsid w:val="00BE692E"/>
    <w:rsid w:val="00BE6BDD"/>
    <w:rsid w:val="00BE7437"/>
    <w:rsid w:val="00BE75E3"/>
    <w:rsid w:val="00BE77E3"/>
    <w:rsid w:val="00BE7892"/>
    <w:rsid w:val="00BE7F3B"/>
    <w:rsid w:val="00BE7FF0"/>
    <w:rsid w:val="00BF0435"/>
    <w:rsid w:val="00BF0A97"/>
    <w:rsid w:val="00BF0BEA"/>
    <w:rsid w:val="00BF1205"/>
    <w:rsid w:val="00BF15C3"/>
    <w:rsid w:val="00BF1621"/>
    <w:rsid w:val="00BF16AA"/>
    <w:rsid w:val="00BF16C5"/>
    <w:rsid w:val="00BF1966"/>
    <w:rsid w:val="00BF1C9E"/>
    <w:rsid w:val="00BF1D26"/>
    <w:rsid w:val="00BF1D86"/>
    <w:rsid w:val="00BF1E77"/>
    <w:rsid w:val="00BF1F25"/>
    <w:rsid w:val="00BF3174"/>
    <w:rsid w:val="00BF32E5"/>
    <w:rsid w:val="00BF33D9"/>
    <w:rsid w:val="00BF3AA4"/>
    <w:rsid w:val="00BF3CFF"/>
    <w:rsid w:val="00BF4098"/>
    <w:rsid w:val="00BF40E4"/>
    <w:rsid w:val="00BF4852"/>
    <w:rsid w:val="00BF4D8C"/>
    <w:rsid w:val="00BF4F10"/>
    <w:rsid w:val="00BF50A1"/>
    <w:rsid w:val="00BF51CC"/>
    <w:rsid w:val="00BF522E"/>
    <w:rsid w:val="00BF52D8"/>
    <w:rsid w:val="00BF53F9"/>
    <w:rsid w:val="00BF5425"/>
    <w:rsid w:val="00BF5566"/>
    <w:rsid w:val="00BF55E6"/>
    <w:rsid w:val="00BF567E"/>
    <w:rsid w:val="00BF58C0"/>
    <w:rsid w:val="00BF58DF"/>
    <w:rsid w:val="00BF5CA3"/>
    <w:rsid w:val="00BF5CF9"/>
    <w:rsid w:val="00BF5D48"/>
    <w:rsid w:val="00BF5D53"/>
    <w:rsid w:val="00BF5DA0"/>
    <w:rsid w:val="00BF6D1D"/>
    <w:rsid w:val="00BF6DD5"/>
    <w:rsid w:val="00BF739A"/>
    <w:rsid w:val="00BF759B"/>
    <w:rsid w:val="00BF78A6"/>
    <w:rsid w:val="00BF795A"/>
    <w:rsid w:val="00C000FC"/>
    <w:rsid w:val="00C0017D"/>
    <w:rsid w:val="00C00AC2"/>
    <w:rsid w:val="00C00C25"/>
    <w:rsid w:val="00C010E0"/>
    <w:rsid w:val="00C0115B"/>
    <w:rsid w:val="00C011E2"/>
    <w:rsid w:val="00C01270"/>
    <w:rsid w:val="00C0173C"/>
    <w:rsid w:val="00C01778"/>
    <w:rsid w:val="00C0191E"/>
    <w:rsid w:val="00C01A53"/>
    <w:rsid w:val="00C01AD7"/>
    <w:rsid w:val="00C01CE3"/>
    <w:rsid w:val="00C01DE6"/>
    <w:rsid w:val="00C01F3C"/>
    <w:rsid w:val="00C02061"/>
    <w:rsid w:val="00C0232D"/>
    <w:rsid w:val="00C02454"/>
    <w:rsid w:val="00C0252D"/>
    <w:rsid w:val="00C02AA4"/>
    <w:rsid w:val="00C02D9D"/>
    <w:rsid w:val="00C03151"/>
    <w:rsid w:val="00C03207"/>
    <w:rsid w:val="00C032BB"/>
    <w:rsid w:val="00C03501"/>
    <w:rsid w:val="00C03714"/>
    <w:rsid w:val="00C03D4C"/>
    <w:rsid w:val="00C03F6F"/>
    <w:rsid w:val="00C040FE"/>
    <w:rsid w:val="00C0414E"/>
    <w:rsid w:val="00C04290"/>
    <w:rsid w:val="00C046C7"/>
    <w:rsid w:val="00C047C0"/>
    <w:rsid w:val="00C05280"/>
    <w:rsid w:val="00C05312"/>
    <w:rsid w:val="00C05360"/>
    <w:rsid w:val="00C0570C"/>
    <w:rsid w:val="00C05C32"/>
    <w:rsid w:val="00C05C4B"/>
    <w:rsid w:val="00C05D6B"/>
    <w:rsid w:val="00C05D73"/>
    <w:rsid w:val="00C0638B"/>
    <w:rsid w:val="00C0648B"/>
    <w:rsid w:val="00C06D51"/>
    <w:rsid w:val="00C07027"/>
    <w:rsid w:val="00C072E6"/>
    <w:rsid w:val="00C07671"/>
    <w:rsid w:val="00C077B4"/>
    <w:rsid w:val="00C0780D"/>
    <w:rsid w:val="00C07B43"/>
    <w:rsid w:val="00C103D3"/>
    <w:rsid w:val="00C10526"/>
    <w:rsid w:val="00C1074F"/>
    <w:rsid w:val="00C109A3"/>
    <w:rsid w:val="00C109BA"/>
    <w:rsid w:val="00C10AB0"/>
    <w:rsid w:val="00C10EE9"/>
    <w:rsid w:val="00C11257"/>
    <w:rsid w:val="00C1150C"/>
    <w:rsid w:val="00C11F41"/>
    <w:rsid w:val="00C120E7"/>
    <w:rsid w:val="00C12325"/>
    <w:rsid w:val="00C1279C"/>
    <w:rsid w:val="00C127E9"/>
    <w:rsid w:val="00C128ED"/>
    <w:rsid w:val="00C12C34"/>
    <w:rsid w:val="00C12DE6"/>
    <w:rsid w:val="00C12E1E"/>
    <w:rsid w:val="00C1327B"/>
    <w:rsid w:val="00C132E2"/>
    <w:rsid w:val="00C13D8F"/>
    <w:rsid w:val="00C1406E"/>
    <w:rsid w:val="00C14492"/>
    <w:rsid w:val="00C1473F"/>
    <w:rsid w:val="00C1481D"/>
    <w:rsid w:val="00C14915"/>
    <w:rsid w:val="00C14C10"/>
    <w:rsid w:val="00C1505C"/>
    <w:rsid w:val="00C15153"/>
    <w:rsid w:val="00C15249"/>
    <w:rsid w:val="00C1574D"/>
    <w:rsid w:val="00C15AF4"/>
    <w:rsid w:val="00C15E06"/>
    <w:rsid w:val="00C15F2A"/>
    <w:rsid w:val="00C16168"/>
    <w:rsid w:val="00C166C5"/>
    <w:rsid w:val="00C16C09"/>
    <w:rsid w:val="00C16E5F"/>
    <w:rsid w:val="00C1729D"/>
    <w:rsid w:val="00C17445"/>
    <w:rsid w:val="00C1760C"/>
    <w:rsid w:val="00C17615"/>
    <w:rsid w:val="00C2004E"/>
    <w:rsid w:val="00C20065"/>
    <w:rsid w:val="00C20220"/>
    <w:rsid w:val="00C2027E"/>
    <w:rsid w:val="00C214C9"/>
    <w:rsid w:val="00C21724"/>
    <w:rsid w:val="00C2186B"/>
    <w:rsid w:val="00C21EB9"/>
    <w:rsid w:val="00C21F5D"/>
    <w:rsid w:val="00C225F5"/>
    <w:rsid w:val="00C22624"/>
    <w:rsid w:val="00C226B4"/>
    <w:rsid w:val="00C227E7"/>
    <w:rsid w:val="00C22807"/>
    <w:rsid w:val="00C22946"/>
    <w:rsid w:val="00C22A58"/>
    <w:rsid w:val="00C22AF6"/>
    <w:rsid w:val="00C22E7D"/>
    <w:rsid w:val="00C239CA"/>
    <w:rsid w:val="00C2400E"/>
    <w:rsid w:val="00C242E0"/>
    <w:rsid w:val="00C248CC"/>
    <w:rsid w:val="00C24C23"/>
    <w:rsid w:val="00C24CE6"/>
    <w:rsid w:val="00C24DFA"/>
    <w:rsid w:val="00C24E6C"/>
    <w:rsid w:val="00C251B1"/>
    <w:rsid w:val="00C2589F"/>
    <w:rsid w:val="00C25B6A"/>
    <w:rsid w:val="00C25CF5"/>
    <w:rsid w:val="00C26114"/>
    <w:rsid w:val="00C26138"/>
    <w:rsid w:val="00C261B2"/>
    <w:rsid w:val="00C26241"/>
    <w:rsid w:val="00C262F0"/>
    <w:rsid w:val="00C26333"/>
    <w:rsid w:val="00C2651E"/>
    <w:rsid w:val="00C26543"/>
    <w:rsid w:val="00C2684D"/>
    <w:rsid w:val="00C26E90"/>
    <w:rsid w:val="00C27511"/>
    <w:rsid w:val="00C27C8A"/>
    <w:rsid w:val="00C27F75"/>
    <w:rsid w:val="00C303EB"/>
    <w:rsid w:val="00C30481"/>
    <w:rsid w:val="00C306AC"/>
    <w:rsid w:val="00C30844"/>
    <w:rsid w:val="00C30B47"/>
    <w:rsid w:val="00C30FC1"/>
    <w:rsid w:val="00C31216"/>
    <w:rsid w:val="00C31608"/>
    <w:rsid w:val="00C3205B"/>
    <w:rsid w:val="00C323F9"/>
    <w:rsid w:val="00C32443"/>
    <w:rsid w:val="00C324EC"/>
    <w:rsid w:val="00C3278A"/>
    <w:rsid w:val="00C3299A"/>
    <w:rsid w:val="00C33292"/>
    <w:rsid w:val="00C333AA"/>
    <w:rsid w:val="00C336C0"/>
    <w:rsid w:val="00C33803"/>
    <w:rsid w:val="00C33DF3"/>
    <w:rsid w:val="00C34005"/>
    <w:rsid w:val="00C34168"/>
    <w:rsid w:val="00C34292"/>
    <w:rsid w:val="00C34392"/>
    <w:rsid w:val="00C343BC"/>
    <w:rsid w:val="00C345B6"/>
    <w:rsid w:val="00C3464B"/>
    <w:rsid w:val="00C349C0"/>
    <w:rsid w:val="00C34EF9"/>
    <w:rsid w:val="00C35075"/>
    <w:rsid w:val="00C3556C"/>
    <w:rsid w:val="00C35624"/>
    <w:rsid w:val="00C3583E"/>
    <w:rsid w:val="00C35962"/>
    <w:rsid w:val="00C35A5C"/>
    <w:rsid w:val="00C35DAE"/>
    <w:rsid w:val="00C35DCD"/>
    <w:rsid w:val="00C35FC1"/>
    <w:rsid w:val="00C360D6"/>
    <w:rsid w:val="00C3622E"/>
    <w:rsid w:val="00C36411"/>
    <w:rsid w:val="00C364C5"/>
    <w:rsid w:val="00C366DC"/>
    <w:rsid w:val="00C36975"/>
    <w:rsid w:val="00C369D4"/>
    <w:rsid w:val="00C36A3F"/>
    <w:rsid w:val="00C36C1B"/>
    <w:rsid w:val="00C3736C"/>
    <w:rsid w:val="00C374FE"/>
    <w:rsid w:val="00C37907"/>
    <w:rsid w:val="00C3792A"/>
    <w:rsid w:val="00C37A40"/>
    <w:rsid w:val="00C37ABA"/>
    <w:rsid w:val="00C37B2C"/>
    <w:rsid w:val="00C37BAD"/>
    <w:rsid w:val="00C37CBE"/>
    <w:rsid w:val="00C37FA2"/>
    <w:rsid w:val="00C40375"/>
    <w:rsid w:val="00C404FE"/>
    <w:rsid w:val="00C4062C"/>
    <w:rsid w:val="00C409A1"/>
    <w:rsid w:val="00C40CEB"/>
    <w:rsid w:val="00C40F15"/>
    <w:rsid w:val="00C41400"/>
    <w:rsid w:val="00C417A9"/>
    <w:rsid w:val="00C41A34"/>
    <w:rsid w:val="00C41AE7"/>
    <w:rsid w:val="00C41D6A"/>
    <w:rsid w:val="00C41D6B"/>
    <w:rsid w:val="00C42119"/>
    <w:rsid w:val="00C426E7"/>
    <w:rsid w:val="00C430B6"/>
    <w:rsid w:val="00C431B2"/>
    <w:rsid w:val="00C43357"/>
    <w:rsid w:val="00C43380"/>
    <w:rsid w:val="00C4358D"/>
    <w:rsid w:val="00C435A6"/>
    <w:rsid w:val="00C438D0"/>
    <w:rsid w:val="00C43E01"/>
    <w:rsid w:val="00C44421"/>
    <w:rsid w:val="00C44825"/>
    <w:rsid w:val="00C44A3C"/>
    <w:rsid w:val="00C4503A"/>
    <w:rsid w:val="00C45147"/>
    <w:rsid w:val="00C45249"/>
    <w:rsid w:val="00C45459"/>
    <w:rsid w:val="00C45494"/>
    <w:rsid w:val="00C456CD"/>
    <w:rsid w:val="00C457FB"/>
    <w:rsid w:val="00C45847"/>
    <w:rsid w:val="00C4585E"/>
    <w:rsid w:val="00C45A76"/>
    <w:rsid w:val="00C45EE6"/>
    <w:rsid w:val="00C4603E"/>
    <w:rsid w:val="00C462E3"/>
    <w:rsid w:val="00C4636F"/>
    <w:rsid w:val="00C46427"/>
    <w:rsid w:val="00C465C7"/>
    <w:rsid w:val="00C47124"/>
    <w:rsid w:val="00C471A2"/>
    <w:rsid w:val="00C473F0"/>
    <w:rsid w:val="00C4798B"/>
    <w:rsid w:val="00C506D9"/>
    <w:rsid w:val="00C50919"/>
    <w:rsid w:val="00C50A2C"/>
    <w:rsid w:val="00C510D7"/>
    <w:rsid w:val="00C51150"/>
    <w:rsid w:val="00C512B6"/>
    <w:rsid w:val="00C512C2"/>
    <w:rsid w:val="00C51677"/>
    <w:rsid w:val="00C516DE"/>
    <w:rsid w:val="00C51DE9"/>
    <w:rsid w:val="00C52197"/>
    <w:rsid w:val="00C5266B"/>
    <w:rsid w:val="00C5268C"/>
    <w:rsid w:val="00C526B8"/>
    <w:rsid w:val="00C52825"/>
    <w:rsid w:val="00C5292C"/>
    <w:rsid w:val="00C52ABC"/>
    <w:rsid w:val="00C52FCE"/>
    <w:rsid w:val="00C53331"/>
    <w:rsid w:val="00C53348"/>
    <w:rsid w:val="00C5384B"/>
    <w:rsid w:val="00C5386A"/>
    <w:rsid w:val="00C53C91"/>
    <w:rsid w:val="00C53D43"/>
    <w:rsid w:val="00C540B8"/>
    <w:rsid w:val="00C541D2"/>
    <w:rsid w:val="00C54277"/>
    <w:rsid w:val="00C542D2"/>
    <w:rsid w:val="00C543DE"/>
    <w:rsid w:val="00C544BF"/>
    <w:rsid w:val="00C5477F"/>
    <w:rsid w:val="00C54A95"/>
    <w:rsid w:val="00C54B75"/>
    <w:rsid w:val="00C54CD7"/>
    <w:rsid w:val="00C54D35"/>
    <w:rsid w:val="00C550CE"/>
    <w:rsid w:val="00C55157"/>
    <w:rsid w:val="00C5527A"/>
    <w:rsid w:val="00C558E4"/>
    <w:rsid w:val="00C56221"/>
    <w:rsid w:val="00C56257"/>
    <w:rsid w:val="00C5628D"/>
    <w:rsid w:val="00C56B06"/>
    <w:rsid w:val="00C56BB3"/>
    <w:rsid w:val="00C56C34"/>
    <w:rsid w:val="00C571BA"/>
    <w:rsid w:val="00C5736F"/>
    <w:rsid w:val="00C573D5"/>
    <w:rsid w:val="00C5788D"/>
    <w:rsid w:val="00C57C7A"/>
    <w:rsid w:val="00C57CE6"/>
    <w:rsid w:val="00C57D81"/>
    <w:rsid w:val="00C57DA7"/>
    <w:rsid w:val="00C60232"/>
    <w:rsid w:val="00C605EB"/>
    <w:rsid w:val="00C60812"/>
    <w:rsid w:val="00C60986"/>
    <w:rsid w:val="00C60B2B"/>
    <w:rsid w:val="00C60EA7"/>
    <w:rsid w:val="00C60F6D"/>
    <w:rsid w:val="00C60FE2"/>
    <w:rsid w:val="00C60FEA"/>
    <w:rsid w:val="00C610B1"/>
    <w:rsid w:val="00C6130E"/>
    <w:rsid w:val="00C61378"/>
    <w:rsid w:val="00C6180B"/>
    <w:rsid w:val="00C61DC1"/>
    <w:rsid w:val="00C61E89"/>
    <w:rsid w:val="00C6201A"/>
    <w:rsid w:val="00C6212A"/>
    <w:rsid w:val="00C62710"/>
    <w:rsid w:val="00C62AF2"/>
    <w:rsid w:val="00C6366E"/>
    <w:rsid w:val="00C63C9D"/>
    <w:rsid w:val="00C63CB0"/>
    <w:rsid w:val="00C63D97"/>
    <w:rsid w:val="00C63EA3"/>
    <w:rsid w:val="00C6407D"/>
    <w:rsid w:val="00C64280"/>
    <w:rsid w:val="00C646AE"/>
    <w:rsid w:val="00C64712"/>
    <w:rsid w:val="00C64C34"/>
    <w:rsid w:val="00C64C57"/>
    <w:rsid w:val="00C64F26"/>
    <w:rsid w:val="00C64F27"/>
    <w:rsid w:val="00C65086"/>
    <w:rsid w:val="00C65637"/>
    <w:rsid w:val="00C65B35"/>
    <w:rsid w:val="00C65C00"/>
    <w:rsid w:val="00C65D1C"/>
    <w:rsid w:val="00C65EB1"/>
    <w:rsid w:val="00C6607D"/>
    <w:rsid w:val="00C666C5"/>
    <w:rsid w:val="00C66CFB"/>
    <w:rsid w:val="00C66D73"/>
    <w:rsid w:val="00C670B9"/>
    <w:rsid w:val="00C674ED"/>
    <w:rsid w:val="00C6796E"/>
    <w:rsid w:val="00C67AFC"/>
    <w:rsid w:val="00C67B83"/>
    <w:rsid w:val="00C67B99"/>
    <w:rsid w:val="00C67D66"/>
    <w:rsid w:val="00C67FF0"/>
    <w:rsid w:val="00C70136"/>
    <w:rsid w:val="00C702D9"/>
    <w:rsid w:val="00C703C0"/>
    <w:rsid w:val="00C703E5"/>
    <w:rsid w:val="00C70466"/>
    <w:rsid w:val="00C70A0E"/>
    <w:rsid w:val="00C70D28"/>
    <w:rsid w:val="00C70EF7"/>
    <w:rsid w:val="00C70FAF"/>
    <w:rsid w:val="00C71566"/>
    <w:rsid w:val="00C71745"/>
    <w:rsid w:val="00C7199E"/>
    <w:rsid w:val="00C71BF0"/>
    <w:rsid w:val="00C71E32"/>
    <w:rsid w:val="00C71FFA"/>
    <w:rsid w:val="00C7201C"/>
    <w:rsid w:val="00C722D1"/>
    <w:rsid w:val="00C72910"/>
    <w:rsid w:val="00C72C95"/>
    <w:rsid w:val="00C72CBD"/>
    <w:rsid w:val="00C72D08"/>
    <w:rsid w:val="00C7311E"/>
    <w:rsid w:val="00C73309"/>
    <w:rsid w:val="00C7433D"/>
    <w:rsid w:val="00C746BE"/>
    <w:rsid w:val="00C7482D"/>
    <w:rsid w:val="00C74B0F"/>
    <w:rsid w:val="00C74BB1"/>
    <w:rsid w:val="00C7512B"/>
    <w:rsid w:val="00C755B6"/>
    <w:rsid w:val="00C755DF"/>
    <w:rsid w:val="00C75758"/>
    <w:rsid w:val="00C75A5B"/>
    <w:rsid w:val="00C75A9A"/>
    <w:rsid w:val="00C75D6C"/>
    <w:rsid w:val="00C76153"/>
    <w:rsid w:val="00C761D7"/>
    <w:rsid w:val="00C76252"/>
    <w:rsid w:val="00C76413"/>
    <w:rsid w:val="00C76591"/>
    <w:rsid w:val="00C767B9"/>
    <w:rsid w:val="00C76B1A"/>
    <w:rsid w:val="00C76C93"/>
    <w:rsid w:val="00C76FC2"/>
    <w:rsid w:val="00C77042"/>
    <w:rsid w:val="00C773E0"/>
    <w:rsid w:val="00C77487"/>
    <w:rsid w:val="00C774B5"/>
    <w:rsid w:val="00C774C4"/>
    <w:rsid w:val="00C774FD"/>
    <w:rsid w:val="00C807F8"/>
    <w:rsid w:val="00C8091E"/>
    <w:rsid w:val="00C80B05"/>
    <w:rsid w:val="00C80B22"/>
    <w:rsid w:val="00C80B32"/>
    <w:rsid w:val="00C80DAD"/>
    <w:rsid w:val="00C80F46"/>
    <w:rsid w:val="00C811D5"/>
    <w:rsid w:val="00C81218"/>
    <w:rsid w:val="00C815B0"/>
    <w:rsid w:val="00C816C5"/>
    <w:rsid w:val="00C81738"/>
    <w:rsid w:val="00C81768"/>
    <w:rsid w:val="00C8197C"/>
    <w:rsid w:val="00C81A77"/>
    <w:rsid w:val="00C81D1C"/>
    <w:rsid w:val="00C81FF1"/>
    <w:rsid w:val="00C82058"/>
    <w:rsid w:val="00C824CA"/>
    <w:rsid w:val="00C82511"/>
    <w:rsid w:val="00C8278F"/>
    <w:rsid w:val="00C829C5"/>
    <w:rsid w:val="00C82AAB"/>
    <w:rsid w:val="00C82BE0"/>
    <w:rsid w:val="00C82E27"/>
    <w:rsid w:val="00C82FCA"/>
    <w:rsid w:val="00C83241"/>
    <w:rsid w:val="00C83545"/>
    <w:rsid w:val="00C83574"/>
    <w:rsid w:val="00C83749"/>
    <w:rsid w:val="00C83996"/>
    <w:rsid w:val="00C83BB4"/>
    <w:rsid w:val="00C84009"/>
    <w:rsid w:val="00C8402E"/>
    <w:rsid w:val="00C845E6"/>
    <w:rsid w:val="00C84975"/>
    <w:rsid w:val="00C84B76"/>
    <w:rsid w:val="00C84F81"/>
    <w:rsid w:val="00C85049"/>
    <w:rsid w:val="00C852E8"/>
    <w:rsid w:val="00C8541D"/>
    <w:rsid w:val="00C856FE"/>
    <w:rsid w:val="00C85817"/>
    <w:rsid w:val="00C8591A"/>
    <w:rsid w:val="00C85FB1"/>
    <w:rsid w:val="00C86103"/>
    <w:rsid w:val="00C86150"/>
    <w:rsid w:val="00C864E4"/>
    <w:rsid w:val="00C865B3"/>
    <w:rsid w:val="00C8665F"/>
    <w:rsid w:val="00C86706"/>
    <w:rsid w:val="00C8686C"/>
    <w:rsid w:val="00C86988"/>
    <w:rsid w:val="00C86B2C"/>
    <w:rsid w:val="00C86B3C"/>
    <w:rsid w:val="00C86DE0"/>
    <w:rsid w:val="00C86E9A"/>
    <w:rsid w:val="00C86F17"/>
    <w:rsid w:val="00C86F2F"/>
    <w:rsid w:val="00C87007"/>
    <w:rsid w:val="00C870EF"/>
    <w:rsid w:val="00C87257"/>
    <w:rsid w:val="00C875A2"/>
    <w:rsid w:val="00C8779F"/>
    <w:rsid w:val="00C878A7"/>
    <w:rsid w:val="00C87C31"/>
    <w:rsid w:val="00C9001D"/>
    <w:rsid w:val="00C90264"/>
    <w:rsid w:val="00C9031F"/>
    <w:rsid w:val="00C90328"/>
    <w:rsid w:val="00C90410"/>
    <w:rsid w:val="00C90582"/>
    <w:rsid w:val="00C905A4"/>
    <w:rsid w:val="00C90708"/>
    <w:rsid w:val="00C90827"/>
    <w:rsid w:val="00C90A17"/>
    <w:rsid w:val="00C90D15"/>
    <w:rsid w:val="00C9115D"/>
    <w:rsid w:val="00C911D9"/>
    <w:rsid w:val="00C911DC"/>
    <w:rsid w:val="00C9125F"/>
    <w:rsid w:val="00C913A5"/>
    <w:rsid w:val="00C918B9"/>
    <w:rsid w:val="00C91A94"/>
    <w:rsid w:val="00C91AA4"/>
    <w:rsid w:val="00C91F0D"/>
    <w:rsid w:val="00C9221B"/>
    <w:rsid w:val="00C922B7"/>
    <w:rsid w:val="00C9265B"/>
    <w:rsid w:val="00C9274A"/>
    <w:rsid w:val="00C92C77"/>
    <w:rsid w:val="00C92FAC"/>
    <w:rsid w:val="00C93155"/>
    <w:rsid w:val="00C933F7"/>
    <w:rsid w:val="00C936B5"/>
    <w:rsid w:val="00C936E8"/>
    <w:rsid w:val="00C93A66"/>
    <w:rsid w:val="00C93B3F"/>
    <w:rsid w:val="00C93D76"/>
    <w:rsid w:val="00C944CE"/>
    <w:rsid w:val="00C94696"/>
    <w:rsid w:val="00C94BB8"/>
    <w:rsid w:val="00C9510E"/>
    <w:rsid w:val="00C953F9"/>
    <w:rsid w:val="00C954A9"/>
    <w:rsid w:val="00C95866"/>
    <w:rsid w:val="00C95C44"/>
    <w:rsid w:val="00C95FC2"/>
    <w:rsid w:val="00C964B5"/>
    <w:rsid w:val="00C965F3"/>
    <w:rsid w:val="00C96B7D"/>
    <w:rsid w:val="00C96BA3"/>
    <w:rsid w:val="00C96BBD"/>
    <w:rsid w:val="00C96EDC"/>
    <w:rsid w:val="00C973F8"/>
    <w:rsid w:val="00C97459"/>
    <w:rsid w:val="00C978E9"/>
    <w:rsid w:val="00C9792E"/>
    <w:rsid w:val="00C97AD3"/>
    <w:rsid w:val="00C97B61"/>
    <w:rsid w:val="00C97D5B"/>
    <w:rsid w:val="00C97E52"/>
    <w:rsid w:val="00CA0039"/>
    <w:rsid w:val="00CA0273"/>
    <w:rsid w:val="00CA04D4"/>
    <w:rsid w:val="00CA06D0"/>
    <w:rsid w:val="00CA08B3"/>
    <w:rsid w:val="00CA0B3F"/>
    <w:rsid w:val="00CA0D25"/>
    <w:rsid w:val="00CA119B"/>
    <w:rsid w:val="00CA119F"/>
    <w:rsid w:val="00CA13A9"/>
    <w:rsid w:val="00CA1583"/>
    <w:rsid w:val="00CA1A97"/>
    <w:rsid w:val="00CA1C1C"/>
    <w:rsid w:val="00CA1E93"/>
    <w:rsid w:val="00CA25B5"/>
    <w:rsid w:val="00CA272B"/>
    <w:rsid w:val="00CA29F7"/>
    <w:rsid w:val="00CA2BF1"/>
    <w:rsid w:val="00CA2DC4"/>
    <w:rsid w:val="00CA2DD8"/>
    <w:rsid w:val="00CA32C8"/>
    <w:rsid w:val="00CA37C2"/>
    <w:rsid w:val="00CA380D"/>
    <w:rsid w:val="00CA3CB3"/>
    <w:rsid w:val="00CA3FED"/>
    <w:rsid w:val="00CA4080"/>
    <w:rsid w:val="00CA4199"/>
    <w:rsid w:val="00CA4520"/>
    <w:rsid w:val="00CA4704"/>
    <w:rsid w:val="00CA47F6"/>
    <w:rsid w:val="00CA49CC"/>
    <w:rsid w:val="00CA4CBC"/>
    <w:rsid w:val="00CA4DAB"/>
    <w:rsid w:val="00CA4F69"/>
    <w:rsid w:val="00CA50F6"/>
    <w:rsid w:val="00CA5490"/>
    <w:rsid w:val="00CA55AD"/>
    <w:rsid w:val="00CA56A3"/>
    <w:rsid w:val="00CA56D1"/>
    <w:rsid w:val="00CA5725"/>
    <w:rsid w:val="00CA57E9"/>
    <w:rsid w:val="00CA5BB0"/>
    <w:rsid w:val="00CA5DEE"/>
    <w:rsid w:val="00CA5EA6"/>
    <w:rsid w:val="00CA6398"/>
    <w:rsid w:val="00CA6A01"/>
    <w:rsid w:val="00CA6E52"/>
    <w:rsid w:val="00CA6F10"/>
    <w:rsid w:val="00CA75F1"/>
    <w:rsid w:val="00CA75F6"/>
    <w:rsid w:val="00CA7682"/>
    <w:rsid w:val="00CA7985"/>
    <w:rsid w:val="00CB03F0"/>
    <w:rsid w:val="00CB05C7"/>
    <w:rsid w:val="00CB077A"/>
    <w:rsid w:val="00CB07E2"/>
    <w:rsid w:val="00CB0C6B"/>
    <w:rsid w:val="00CB132E"/>
    <w:rsid w:val="00CB17BA"/>
    <w:rsid w:val="00CB1A5F"/>
    <w:rsid w:val="00CB1EB6"/>
    <w:rsid w:val="00CB2051"/>
    <w:rsid w:val="00CB219C"/>
    <w:rsid w:val="00CB2357"/>
    <w:rsid w:val="00CB23B9"/>
    <w:rsid w:val="00CB2541"/>
    <w:rsid w:val="00CB2667"/>
    <w:rsid w:val="00CB26AE"/>
    <w:rsid w:val="00CB286B"/>
    <w:rsid w:val="00CB2A73"/>
    <w:rsid w:val="00CB2C00"/>
    <w:rsid w:val="00CB2C13"/>
    <w:rsid w:val="00CB2F07"/>
    <w:rsid w:val="00CB3323"/>
    <w:rsid w:val="00CB33DC"/>
    <w:rsid w:val="00CB34E0"/>
    <w:rsid w:val="00CB37DC"/>
    <w:rsid w:val="00CB37E8"/>
    <w:rsid w:val="00CB3959"/>
    <w:rsid w:val="00CB3B1C"/>
    <w:rsid w:val="00CB3C0F"/>
    <w:rsid w:val="00CB3D54"/>
    <w:rsid w:val="00CB43C8"/>
    <w:rsid w:val="00CB46C2"/>
    <w:rsid w:val="00CB49C3"/>
    <w:rsid w:val="00CB4E23"/>
    <w:rsid w:val="00CB4FA3"/>
    <w:rsid w:val="00CB5527"/>
    <w:rsid w:val="00CB5546"/>
    <w:rsid w:val="00CB56F1"/>
    <w:rsid w:val="00CB5B1A"/>
    <w:rsid w:val="00CB5CA8"/>
    <w:rsid w:val="00CB5D85"/>
    <w:rsid w:val="00CB5EF6"/>
    <w:rsid w:val="00CB5FB5"/>
    <w:rsid w:val="00CB6269"/>
    <w:rsid w:val="00CB626B"/>
    <w:rsid w:val="00CB6709"/>
    <w:rsid w:val="00CB6FCB"/>
    <w:rsid w:val="00CB70CD"/>
    <w:rsid w:val="00CB71D3"/>
    <w:rsid w:val="00CB741B"/>
    <w:rsid w:val="00CB7550"/>
    <w:rsid w:val="00CB7625"/>
    <w:rsid w:val="00CB768F"/>
    <w:rsid w:val="00CB7835"/>
    <w:rsid w:val="00CB78B2"/>
    <w:rsid w:val="00CB7B6D"/>
    <w:rsid w:val="00CB7DF4"/>
    <w:rsid w:val="00CB7F12"/>
    <w:rsid w:val="00CB7FEF"/>
    <w:rsid w:val="00CC0036"/>
    <w:rsid w:val="00CC00C0"/>
    <w:rsid w:val="00CC01AC"/>
    <w:rsid w:val="00CC0323"/>
    <w:rsid w:val="00CC0799"/>
    <w:rsid w:val="00CC07FD"/>
    <w:rsid w:val="00CC0863"/>
    <w:rsid w:val="00CC0B96"/>
    <w:rsid w:val="00CC0B98"/>
    <w:rsid w:val="00CC0EBD"/>
    <w:rsid w:val="00CC133F"/>
    <w:rsid w:val="00CC194F"/>
    <w:rsid w:val="00CC1AB9"/>
    <w:rsid w:val="00CC1AD3"/>
    <w:rsid w:val="00CC1C80"/>
    <w:rsid w:val="00CC225A"/>
    <w:rsid w:val="00CC23A4"/>
    <w:rsid w:val="00CC2457"/>
    <w:rsid w:val="00CC24E0"/>
    <w:rsid w:val="00CC25B8"/>
    <w:rsid w:val="00CC263C"/>
    <w:rsid w:val="00CC26B3"/>
    <w:rsid w:val="00CC2784"/>
    <w:rsid w:val="00CC28C8"/>
    <w:rsid w:val="00CC2AB9"/>
    <w:rsid w:val="00CC2BA2"/>
    <w:rsid w:val="00CC2D56"/>
    <w:rsid w:val="00CC2F70"/>
    <w:rsid w:val="00CC303C"/>
    <w:rsid w:val="00CC3770"/>
    <w:rsid w:val="00CC38DD"/>
    <w:rsid w:val="00CC3AA2"/>
    <w:rsid w:val="00CC3B8D"/>
    <w:rsid w:val="00CC3C93"/>
    <w:rsid w:val="00CC3CB1"/>
    <w:rsid w:val="00CC3D18"/>
    <w:rsid w:val="00CC4513"/>
    <w:rsid w:val="00CC465D"/>
    <w:rsid w:val="00CC46BD"/>
    <w:rsid w:val="00CC4706"/>
    <w:rsid w:val="00CC477D"/>
    <w:rsid w:val="00CC4A30"/>
    <w:rsid w:val="00CC4AD4"/>
    <w:rsid w:val="00CC4CA3"/>
    <w:rsid w:val="00CC4D52"/>
    <w:rsid w:val="00CC4ECE"/>
    <w:rsid w:val="00CC4EDE"/>
    <w:rsid w:val="00CC56C1"/>
    <w:rsid w:val="00CC5737"/>
    <w:rsid w:val="00CC5C61"/>
    <w:rsid w:val="00CC5F3E"/>
    <w:rsid w:val="00CC6444"/>
    <w:rsid w:val="00CC67A3"/>
    <w:rsid w:val="00CC6843"/>
    <w:rsid w:val="00CC6BDC"/>
    <w:rsid w:val="00CC6D4B"/>
    <w:rsid w:val="00CC7648"/>
    <w:rsid w:val="00CC799E"/>
    <w:rsid w:val="00CC7A18"/>
    <w:rsid w:val="00CC7C20"/>
    <w:rsid w:val="00CC7FB0"/>
    <w:rsid w:val="00CD09D9"/>
    <w:rsid w:val="00CD0C4E"/>
    <w:rsid w:val="00CD0F55"/>
    <w:rsid w:val="00CD10A6"/>
    <w:rsid w:val="00CD12B5"/>
    <w:rsid w:val="00CD131E"/>
    <w:rsid w:val="00CD1795"/>
    <w:rsid w:val="00CD1B62"/>
    <w:rsid w:val="00CD2193"/>
    <w:rsid w:val="00CD24C7"/>
    <w:rsid w:val="00CD2848"/>
    <w:rsid w:val="00CD29D1"/>
    <w:rsid w:val="00CD2A17"/>
    <w:rsid w:val="00CD3037"/>
    <w:rsid w:val="00CD353F"/>
    <w:rsid w:val="00CD3692"/>
    <w:rsid w:val="00CD3B1D"/>
    <w:rsid w:val="00CD3D36"/>
    <w:rsid w:val="00CD3EA1"/>
    <w:rsid w:val="00CD3F6C"/>
    <w:rsid w:val="00CD40EE"/>
    <w:rsid w:val="00CD45E8"/>
    <w:rsid w:val="00CD4B23"/>
    <w:rsid w:val="00CD4B3A"/>
    <w:rsid w:val="00CD4BEB"/>
    <w:rsid w:val="00CD4BEF"/>
    <w:rsid w:val="00CD53F8"/>
    <w:rsid w:val="00CD550B"/>
    <w:rsid w:val="00CD5589"/>
    <w:rsid w:val="00CD5703"/>
    <w:rsid w:val="00CD5E5D"/>
    <w:rsid w:val="00CD624D"/>
    <w:rsid w:val="00CD63E6"/>
    <w:rsid w:val="00CD648C"/>
    <w:rsid w:val="00CD6676"/>
    <w:rsid w:val="00CD69AB"/>
    <w:rsid w:val="00CD6CCF"/>
    <w:rsid w:val="00CD71FF"/>
    <w:rsid w:val="00CD7446"/>
    <w:rsid w:val="00CD745E"/>
    <w:rsid w:val="00CD796B"/>
    <w:rsid w:val="00CD7A89"/>
    <w:rsid w:val="00CE01C8"/>
    <w:rsid w:val="00CE0246"/>
    <w:rsid w:val="00CE03D9"/>
    <w:rsid w:val="00CE04B0"/>
    <w:rsid w:val="00CE0526"/>
    <w:rsid w:val="00CE06F0"/>
    <w:rsid w:val="00CE0A78"/>
    <w:rsid w:val="00CE0B39"/>
    <w:rsid w:val="00CE0B71"/>
    <w:rsid w:val="00CE0D43"/>
    <w:rsid w:val="00CE0F48"/>
    <w:rsid w:val="00CE0FC1"/>
    <w:rsid w:val="00CE1341"/>
    <w:rsid w:val="00CE1415"/>
    <w:rsid w:val="00CE172D"/>
    <w:rsid w:val="00CE19C9"/>
    <w:rsid w:val="00CE19EB"/>
    <w:rsid w:val="00CE1E4C"/>
    <w:rsid w:val="00CE25E5"/>
    <w:rsid w:val="00CE29D3"/>
    <w:rsid w:val="00CE2A5B"/>
    <w:rsid w:val="00CE2BA6"/>
    <w:rsid w:val="00CE2FE2"/>
    <w:rsid w:val="00CE3865"/>
    <w:rsid w:val="00CE3B2C"/>
    <w:rsid w:val="00CE3D1F"/>
    <w:rsid w:val="00CE3FF4"/>
    <w:rsid w:val="00CE4472"/>
    <w:rsid w:val="00CE49F7"/>
    <w:rsid w:val="00CE4C20"/>
    <w:rsid w:val="00CE4D5E"/>
    <w:rsid w:val="00CE53C4"/>
    <w:rsid w:val="00CE53EE"/>
    <w:rsid w:val="00CE565E"/>
    <w:rsid w:val="00CE5789"/>
    <w:rsid w:val="00CE5919"/>
    <w:rsid w:val="00CE5BC2"/>
    <w:rsid w:val="00CE5D79"/>
    <w:rsid w:val="00CE5DEF"/>
    <w:rsid w:val="00CE5F35"/>
    <w:rsid w:val="00CE6453"/>
    <w:rsid w:val="00CE6554"/>
    <w:rsid w:val="00CE7012"/>
    <w:rsid w:val="00CE716F"/>
    <w:rsid w:val="00CE7206"/>
    <w:rsid w:val="00CE7466"/>
    <w:rsid w:val="00CE75BC"/>
    <w:rsid w:val="00CE793B"/>
    <w:rsid w:val="00CE7C17"/>
    <w:rsid w:val="00CE7DA1"/>
    <w:rsid w:val="00CE7F43"/>
    <w:rsid w:val="00CF00FF"/>
    <w:rsid w:val="00CF0355"/>
    <w:rsid w:val="00CF0442"/>
    <w:rsid w:val="00CF0755"/>
    <w:rsid w:val="00CF1081"/>
    <w:rsid w:val="00CF114D"/>
    <w:rsid w:val="00CF1316"/>
    <w:rsid w:val="00CF18AF"/>
    <w:rsid w:val="00CF1E2E"/>
    <w:rsid w:val="00CF21BF"/>
    <w:rsid w:val="00CF236F"/>
    <w:rsid w:val="00CF26C1"/>
    <w:rsid w:val="00CF26EC"/>
    <w:rsid w:val="00CF2CD8"/>
    <w:rsid w:val="00CF2F8A"/>
    <w:rsid w:val="00CF2F93"/>
    <w:rsid w:val="00CF2F94"/>
    <w:rsid w:val="00CF2FD1"/>
    <w:rsid w:val="00CF3117"/>
    <w:rsid w:val="00CF405F"/>
    <w:rsid w:val="00CF4423"/>
    <w:rsid w:val="00CF455A"/>
    <w:rsid w:val="00CF4679"/>
    <w:rsid w:val="00CF46A3"/>
    <w:rsid w:val="00CF480D"/>
    <w:rsid w:val="00CF48D7"/>
    <w:rsid w:val="00CF49B7"/>
    <w:rsid w:val="00CF4ED4"/>
    <w:rsid w:val="00CF5395"/>
    <w:rsid w:val="00CF54D5"/>
    <w:rsid w:val="00CF5762"/>
    <w:rsid w:val="00CF578D"/>
    <w:rsid w:val="00CF595A"/>
    <w:rsid w:val="00CF5BAD"/>
    <w:rsid w:val="00CF5BD5"/>
    <w:rsid w:val="00CF6040"/>
    <w:rsid w:val="00CF6124"/>
    <w:rsid w:val="00CF6289"/>
    <w:rsid w:val="00CF6828"/>
    <w:rsid w:val="00CF6CA3"/>
    <w:rsid w:val="00CF6E29"/>
    <w:rsid w:val="00CF6E59"/>
    <w:rsid w:val="00CF70D4"/>
    <w:rsid w:val="00CF72CA"/>
    <w:rsid w:val="00CF72DA"/>
    <w:rsid w:val="00CF7344"/>
    <w:rsid w:val="00CF7631"/>
    <w:rsid w:val="00CF775D"/>
    <w:rsid w:val="00CF781A"/>
    <w:rsid w:val="00CF785B"/>
    <w:rsid w:val="00CF78D5"/>
    <w:rsid w:val="00CF79A5"/>
    <w:rsid w:val="00CF7DB9"/>
    <w:rsid w:val="00CF7ED5"/>
    <w:rsid w:val="00CF7FDD"/>
    <w:rsid w:val="00D001AC"/>
    <w:rsid w:val="00D00319"/>
    <w:rsid w:val="00D004F3"/>
    <w:rsid w:val="00D00713"/>
    <w:rsid w:val="00D00AF9"/>
    <w:rsid w:val="00D00F6C"/>
    <w:rsid w:val="00D01537"/>
    <w:rsid w:val="00D0180C"/>
    <w:rsid w:val="00D01B04"/>
    <w:rsid w:val="00D01E2A"/>
    <w:rsid w:val="00D01EB9"/>
    <w:rsid w:val="00D01EFC"/>
    <w:rsid w:val="00D01FB8"/>
    <w:rsid w:val="00D0232E"/>
    <w:rsid w:val="00D028D9"/>
    <w:rsid w:val="00D02913"/>
    <w:rsid w:val="00D0293F"/>
    <w:rsid w:val="00D02A0D"/>
    <w:rsid w:val="00D02B4F"/>
    <w:rsid w:val="00D02CA1"/>
    <w:rsid w:val="00D0301F"/>
    <w:rsid w:val="00D0346D"/>
    <w:rsid w:val="00D034E3"/>
    <w:rsid w:val="00D0359E"/>
    <w:rsid w:val="00D0399E"/>
    <w:rsid w:val="00D03EC3"/>
    <w:rsid w:val="00D03F04"/>
    <w:rsid w:val="00D044BB"/>
    <w:rsid w:val="00D0464D"/>
    <w:rsid w:val="00D0483F"/>
    <w:rsid w:val="00D04E02"/>
    <w:rsid w:val="00D04F40"/>
    <w:rsid w:val="00D05068"/>
    <w:rsid w:val="00D06351"/>
    <w:rsid w:val="00D06461"/>
    <w:rsid w:val="00D065BD"/>
    <w:rsid w:val="00D0680C"/>
    <w:rsid w:val="00D069BA"/>
    <w:rsid w:val="00D06D21"/>
    <w:rsid w:val="00D07022"/>
    <w:rsid w:val="00D07083"/>
    <w:rsid w:val="00D076FE"/>
    <w:rsid w:val="00D0772D"/>
    <w:rsid w:val="00D077B3"/>
    <w:rsid w:val="00D077D7"/>
    <w:rsid w:val="00D07958"/>
    <w:rsid w:val="00D07AEC"/>
    <w:rsid w:val="00D10A7D"/>
    <w:rsid w:val="00D10D91"/>
    <w:rsid w:val="00D10E84"/>
    <w:rsid w:val="00D110E0"/>
    <w:rsid w:val="00D11469"/>
    <w:rsid w:val="00D1148B"/>
    <w:rsid w:val="00D11613"/>
    <w:rsid w:val="00D11CA2"/>
    <w:rsid w:val="00D11CEF"/>
    <w:rsid w:val="00D11D51"/>
    <w:rsid w:val="00D11F80"/>
    <w:rsid w:val="00D123D9"/>
    <w:rsid w:val="00D1266C"/>
    <w:rsid w:val="00D128B8"/>
    <w:rsid w:val="00D12D77"/>
    <w:rsid w:val="00D13128"/>
    <w:rsid w:val="00D13288"/>
    <w:rsid w:val="00D1349B"/>
    <w:rsid w:val="00D1373B"/>
    <w:rsid w:val="00D13A1B"/>
    <w:rsid w:val="00D1428A"/>
    <w:rsid w:val="00D144AC"/>
    <w:rsid w:val="00D1461E"/>
    <w:rsid w:val="00D146FB"/>
    <w:rsid w:val="00D1473F"/>
    <w:rsid w:val="00D14AD7"/>
    <w:rsid w:val="00D1522B"/>
    <w:rsid w:val="00D15687"/>
    <w:rsid w:val="00D15B15"/>
    <w:rsid w:val="00D15BE1"/>
    <w:rsid w:val="00D15F68"/>
    <w:rsid w:val="00D16217"/>
    <w:rsid w:val="00D162D8"/>
    <w:rsid w:val="00D1669F"/>
    <w:rsid w:val="00D16A52"/>
    <w:rsid w:val="00D16B40"/>
    <w:rsid w:val="00D16B89"/>
    <w:rsid w:val="00D16CB2"/>
    <w:rsid w:val="00D16CC4"/>
    <w:rsid w:val="00D16CCD"/>
    <w:rsid w:val="00D16E3F"/>
    <w:rsid w:val="00D1721C"/>
    <w:rsid w:val="00D1724E"/>
    <w:rsid w:val="00D17BF5"/>
    <w:rsid w:val="00D2011A"/>
    <w:rsid w:val="00D201AB"/>
    <w:rsid w:val="00D206C4"/>
    <w:rsid w:val="00D2081A"/>
    <w:rsid w:val="00D20D12"/>
    <w:rsid w:val="00D20E39"/>
    <w:rsid w:val="00D21302"/>
    <w:rsid w:val="00D21D4A"/>
    <w:rsid w:val="00D2240A"/>
    <w:rsid w:val="00D2271F"/>
    <w:rsid w:val="00D2276B"/>
    <w:rsid w:val="00D22D74"/>
    <w:rsid w:val="00D22E87"/>
    <w:rsid w:val="00D22EB6"/>
    <w:rsid w:val="00D231D7"/>
    <w:rsid w:val="00D23314"/>
    <w:rsid w:val="00D2331D"/>
    <w:rsid w:val="00D235CC"/>
    <w:rsid w:val="00D236C0"/>
    <w:rsid w:val="00D237AA"/>
    <w:rsid w:val="00D237DE"/>
    <w:rsid w:val="00D2380F"/>
    <w:rsid w:val="00D23985"/>
    <w:rsid w:val="00D23DA3"/>
    <w:rsid w:val="00D23DDE"/>
    <w:rsid w:val="00D240C8"/>
    <w:rsid w:val="00D24248"/>
    <w:rsid w:val="00D242A5"/>
    <w:rsid w:val="00D2438B"/>
    <w:rsid w:val="00D2455D"/>
    <w:rsid w:val="00D25591"/>
    <w:rsid w:val="00D25AF4"/>
    <w:rsid w:val="00D2614C"/>
    <w:rsid w:val="00D261C7"/>
    <w:rsid w:val="00D26310"/>
    <w:rsid w:val="00D2639D"/>
    <w:rsid w:val="00D263A5"/>
    <w:rsid w:val="00D2675F"/>
    <w:rsid w:val="00D26865"/>
    <w:rsid w:val="00D26E0D"/>
    <w:rsid w:val="00D26F90"/>
    <w:rsid w:val="00D26FC2"/>
    <w:rsid w:val="00D26FCE"/>
    <w:rsid w:val="00D27100"/>
    <w:rsid w:val="00D27A0B"/>
    <w:rsid w:val="00D27DA6"/>
    <w:rsid w:val="00D27E32"/>
    <w:rsid w:val="00D27F31"/>
    <w:rsid w:val="00D27FEB"/>
    <w:rsid w:val="00D3014D"/>
    <w:rsid w:val="00D301A4"/>
    <w:rsid w:val="00D3031A"/>
    <w:rsid w:val="00D30432"/>
    <w:rsid w:val="00D30605"/>
    <w:rsid w:val="00D30926"/>
    <w:rsid w:val="00D309FA"/>
    <w:rsid w:val="00D30BFE"/>
    <w:rsid w:val="00D30C04"/>
    <w:rsid w:val="00D30C66"/>
    <w:rsid w:val="00D30FDB"/>
    <w:rsid w:val="00D31103"/>
    <w:rsid w:val="00D317CF"/>
    <w:rsid w:val="00D31959"/>
    <w:rsid w:val="00D31D49"/>
    <w:rsid w:val="00D321A3"/>
    <w:rsid w:val="00D3264C"/>
    <w:rsid w:val="00D326F4"/>
    <w:rsid w:val="00D32E34"/>
    <w:rsid w:val="00D32E47"/>
    <w:rsid w:val="00D32E50"/>
    <w:rsid w:val="00D32E96"/>
    <w:rsid w:val="00D330C3"/>
    <w:rsid w:val="00D33156"/>
    <w:rsid w:val="00D33192"/>
    <w:rsid w:val="00D334B0"/>
    <w:rsid w:val="00D3355C"/>
    <w:rsid w:val="00D33A24"/>
    <w:rsid w:val="00D33CC2"/>
    <w:rsid w:val="00D33DE0"/>
    <w:rsid w:val="00D33F80"/>
    <w:rsid w:val="00D34496"/>
    <w:rsid w:val="00D344A6"/>
    <w:rsid w:val="00D34563"/>
    <w:rsid w:val="00D3479A"/>
    <w:rsid w:val="00D34C0B"/>
    <w:rsid w:val="00D35008"/>
    <w:rsid w:val="00D35192"/>
    <w:rsid w:val="00D3525B"/>
    <w:rsid w:val="00D35407"/>
    <w:rsid w:val="00D35430"/>
    <w:rsid w:val="00D35506"/>
    <w:rsid w:val="00D35549"/>
    <w:rsid w:val="00D3586B"/>
    <w:rsid w:val="00D35D42"/>
    <w:rsid w:val="00D35DCD"/>
    <w:rsid w:val="00D3616A"/>
    <w:rsid w:val="00D36499"/>
    <w:rsid w:val="00D364CA"/>
    <w:rsid w:val="00D3659C"/>
    <w:rsid w:val="00D36745"/>
    <w:rsid w:val="00D36812"/>
    <w:rsid w:val="00D36845"/>
    <w:rsid w:val="00D36A92"/>
    <w:rsid w:val="00D36A9A"/>
    <w:rsid w:val="00D36F0A"/>
    <w:rsid w:val="00D37110"/>
    <w:rsid w:val="00D371E1"/>
    <w:rsid w:val="00D3720D"/>
    <w:rsid w:val="00D37B4C"/>
    <w:rsid w:val="00D37F24"/>
    <w:rsid w:val="00D401C0"/>
    <w:rsid w:val="00D402C5"/>
    <w:rsid w:val="00D405E3"/>
    <w:rsid w:val="00D4119C"/>
    <w:rsid w:val="00D4134C"/>
    <w:rsid w:val="00D41561"/>
    <w:rsid w:val="00D4185C"/>
    <w:rsid w:val="00D423B4"/>
    <w:rsid w:val="00D42837"/>
    <w:rsid w:val="00D42838"/>
    <w:rsid w:val="00D42891"/>
    <w:rsid w:val="00D42ADA"/>
    <w:rsid w:val="00D42D8F"/>
    <w:rsid w:val="00D42DD4"/>
    <w:rsid w:val="00D42E56"/>
    <w:rsid w:val="00D42E7F"/>
    <w:rsid w:val="00D437A6"/>
    <w:rsid w:val="00D43BCB"/>
    <w:rsid w:val="00D43DCB"/>
    <w:rsid w:val="00D43ECB"/>
    <w:rsid w:val="00D43F41"/>
    <w:rsid w:val="00D43F6C"/>
    <w:rsid w:val="00D440DC"/>
    <w:rsid w:val="00D442B9"/>
    <w:rsid w:val="00D4446E"/>
    <w:rsid w:val="00D44695"/>
    <w:rsid w:val="00D449CC"/>
    <w:rsid w:val="00D45267"/>
    <w:rsid w:val="00D45453"/>
    <w:rsid w:val="00D454FA"/>
    <w:rsid w:val="00D45604"/>
    <w:rsid w:val="00D4604C"/>
    <w:rsid w:val="00D4614E"/>
    <w:rsid w:val="00D4615C"/>
    <w:rsid w:val="00D46169"/>
    <w:rsid w:val="00D46515"/>
    <w:rsid w:val="00D46546"/>
    <w:rsid w:val="00D465E2"/>
    <w:rsid w:val="00D46791"/>
    <w:rsid w:val="00D46DF8"/>
    <w:rsid w:val="00D46F48"/>
    <w:rsid w:val="00D4712C"/>
    <w:rsid w:val="00D473D2"/>
    <w:rsid w:val="00D47545"/>
    <w:rsid w:val="00D475F2"/>
    <w:rsid w:val="00D47D9F"/>
    <w:rsid w:val="00D47DB4"/>
    <w:rsid w:val="00D47F85"/>
    <w:rsid w:val="00D50243"/>
    <w:rsid w:val="00D502E1"/>
    <w:rsid w:val="00D50507"/>
    <w:rsid w:val="00D5117E"/>
    <w:rsid w:val="00D512C7"/>
    <w:rsid w:val="00D51447"/>
    <w:rsid w:val="00D51449"/>
    <w:rsid w:val="00D517A0"/>
    <w:rsid w:val="00D51952"/>
    <w:rsid w:val="00D51B3C"/>
    <w:rsid w:val="00D51B7E"/>
    <w:rsid w:val="00D51CCC"/>
    <w:rsid w:val="00D52299"/>
    <w:rsid w:val="00D523B1"/>
    <w:rsid w:val="00D523F9"/>
    <w:rsid w:val="00D526DC"/>
    <w:rsid w:val="00D529F6"/>
    <w:rsid w:val="00D52BCD"/>
    <w:rsid w:val="00D52D30"/>
    <w:rsid w:val="00D52E7D"/>
    <w:rsid w:val="00D537C2"/>
    <w:rsid w:val="00D53B19"/>
    <w:rsid w:val="00D53CF6"/>
    <w:rsid w:val="00D53DC5"/>
    <w:rsid w:val="00D53F2D"/>
    <w:rsid w:val="00D541D7"/>
    <w:rsid w:val="00D54464"/>
    <w:rsid w:val="00D54881"/>
    <w:rsid w:val="00D54A71"/>
    <w:rsid w:val="00D54A93"/>
    <w:rsid w:val="00D550BD"/>
    <w:rsid w:val="00D55521"/>
    <w:rsid w:val="00D555BA"/>
    <w:rsid w:val="00D55680"/>
    <w:rsid w:val="00D5589E"/>
    <w:rsid w:val="00D55BD3"/>
    <w:rsid w:val="00D55FF3"/>
    <w:rsid w:val="00D560D9"/>
    <w:rsid w:val="00D562EF"/>
    <w:rsid w:val="00D5639B"/>
    <w:rsid w:val="00D56B3A"/>
    <w:rsid w:val="00D56C40"/>
    <w:rsid w:val="00D571C6"/>
    <w:rsid w:val="00D575AB"/>
    <w:rsid w:val="00D5789D"/>
    <w:rsid w:val="00D57CCC"/>
    <w:rsid w:val="00D60105"/>
    <w:rsid w:val="00D6054D"/>
    <w:rsid w:val="00D605AF"/>
    <w:rsid w:val="00D606A1"/>
    <w:rsid w:val="00D606AE"/>
    <w:rsid w:val="00D60AC6"/>
    <w:rsid w:val="00D60D47"/>
    <w:rsid w:val="00D615F9"/>
    <w:rsid w:val="00D61640"/>
    <w:rsid w:val="00D616B0"/>
    <w:rsid w:val="00D617CA"/>
    <w:rsid w:val="00D617EC"/>
    <w:rsid w:val="00D61A9F"/>
    <w:rsid w:val="00D61AA3"/>
    <w:rsid w:val="00D62643"/>
    <w:rsid w:val="00D6291D"/>
    <w:rsid w:val="00D62F71"/>
    <w:rsid w:val="00D63456"/>
    <w:rsid w:val="00D6393B"/>
    <w:rsid w:val="00D63D1C"/>
    <w:rsid w:val="00D63F55"/>
    <w:rsid w:val="00D63FF6"/>
    <w:rsid w:val="00D64005"/>
    <w:rsid w:val="00D64360"/>
    <w:rsid w:val="00D64462"/>
    <w:rsid w:val="00D6469A"/>
    <w:rsid w:val="00D646C7"/>
    <w:rsid w:val="00D647C5"/>
    <w:rsid w:val="00D64907"/>
    <w:rsid w:val="00D64A92"/>
    <w:rsid w:val="00D65130"/>
    <w:rsid w:val="00D6524F"/>
    <w:rsid w:val="00D65293"/>
    <w:rsid w:val="00D656DC"/>
    <w:rsid w:val="00D6570F"/>
    <w:rsid w:val="00D65A83"/>
    <w:rsid w:val="00D65BC3"/>
    <w:rsid w:val="00D65EFE"/>
    <w:rsid w:val="00D6603F"/>
    <w:rsid w:val="00D661DF"/>
    <w:rsid w:val="00D668F1"/>
    <w:rsid w:val="00D669D9"/>
    <w:rsid w:val="00D66ADC"/>
    <w:rsid w:val="00D66ED5"/>
    <w:rsid w:val="00D67826"/>
    <w:rsid w:val="00D67870"/>
    <w:rsid w:val="00D67890"/>
    <w:rsid w:val="00D67B08"/>
    <w:rsid w:val="00D67DB7"/>
    <w:rsid w:val="00D7000E"/>
    <w:rsid w:val="00D70770"/>
    <w:rsid w:val="00D70F53"/>
    <w:rsid w:val="00D712ED"/>
    <w:rsid w:val="00D7135E"/>
    <w:rsid w:val="00D7159D"/>
    <w:rsid w:val="00D71983"/>
    <w:rsid w:val="00D721B9"/>
    <w:rsid w:val="00D72590"/>
    <w:rsid w:val="00D72990"/>
    <w:rsid w:val="00D72D67"/>
    <w:rsid w:val="00D73143"/>
    <w:rsid w:val="00D731FB"/>
    <w:rsid w:val="00D737C8"/>
    <w:rsid w:val="00D738BD"/>
    <w:rsid w:val="00D73AD7"/>
    <w:rsid w:val="00D73C71"/>
    <w:rsid w:val="00D74424"/>
    <w:rsid w:val="00D745F5"/>
    <w:rsid w:val="00D74959"/>
    <w:rsid w:val="00D74BE9"/>
    <w:rsid w:val="00D74CC9"/>
    <w:rsid w:val="00D75125"/>
    <w:rsid w:val="00D751BD"/>
    <w:rsid w:val="00D758AA"/>
    <w:rsid w:val="00D75AD2"/>
    <w:rsid w:val="00D7616F"/>
    <w:rsid w:val="00D76289"/>
    <w:rsid w:val="00D76895"/>
    <w:rsid w:val="00D7691E"/>
    <w:rsid w:val="00D76B3B"/>
    <w:rsid w:val="00D76C49"/>
    <w:rsid w:val="00D76D12"/>
    <w:rsid w:val="00D77011"/>
    <w:rsid w:val="00D77019"/>
    <w:rsid w:val="00D772AC"/>
    <w:rsid w:val="00D77476"/>
    <w:rsid w:val="00D775C0"/>
    <w:rsid w:val="00D7794D"/>
    <w:rsid w:val="00D77A31"/>
    <w:rsid w:val="00D77ADC"/>
    <w:rsid w:val="00D77BAC"/>
    <w:rsid w:val="00D77CD7"/>
    <w:rsid w:val="00D77E99"/>
    <w:rsid w:val="00D77F09"/>
    <w:rsid w:val="00D80022"/>
    <w:rsid w:val="00D8025F"/>
    <w:rsid w:val="00D808D4"/>
    <w:rsid w:val="00D80947"/>
    <w:rsid w:val="00D809F5"/>
    <w:rsid w:val="00D80F7F"/>
    <w:rsid w:val="00D81100"/>
    <w:rsid w:val="00D81329"/>
    <w:rsid w:val="00D81445"/>
    <w:rsid w:val="00D81841"/>
    <w:rsid w:val="00D8188A"/>
    <w:rsid w:val="00D81E56"/>
    <w:rsid w:val="00D81ECE"/>
    <w:rsid w:val="00D820F1"/>
    <w:rsid w:val="00D82181"/>
    <w:rsid w:val="00D8242E"/>
    <w:rsid w:val="00D82509"/>
    <w:rsid w:val="00D82524"/>
    <w:rsid w:val="00D82681"/>
    <w:rsid w:val="00D826B1"/>
    <w:rsid w:val="00D82836"/>
    <w:rsid w:val="00D82B3D"/>
    <w:rsid w:val="00D82BEA"/>
    <w:rsid w:val="00D82D52"/>
    <w:rsid w:val="00D82FB5"/>
    <w:rsid w:val="00D82FFA"/>
    <w:rsid w:val="00D83214"/>
    <w:rsid w:val="00D832DD"/>
    <w:rsid w:val="00D8340E"/>
    <w:rsid w:val="00D8352F"/>
    <w:rsid w:val="00D83C76"/>
    <w:rsid w:val="00D83D40"/>
    <w:rsid w:val="00D846E8"/>
    <w:rsid w:val="00D849AB"/>
    <w:rsid w:val="00D849D4"/>
    <w:rsid w:val="00D84A56"/>
    <w:rsid w:val="00D84AD5"/>
    <w:rsid w:val="00D85056"/>
    <w:rsid w:val="00D850F5"/>
    <w:rsid w:val="00D851EC"/>
    <w:rsid w:val="00D85356"/>
    <w:rsid w:val="00D85498"/>
    <w:rsid w:val="00D85BB2"/>
    <w:rsid w:val="00D85D52"/>
    <w:rsid w:val="00D8609E"/>
    <w:rsid w:val="00D86435"/>
    <w:rsid w:val="00D864A2"/>
    <w:rsid w:val="00D864EA"/>
    <w:rsid w:val="00D86817"/>
    <w:rsid w:val="00D86979"/>
    <w:rsid w:val="00D869FC"/>
    <w:rsid w:val="00D86ADC"/>
    <w:rsid w:val="00D86C81"/>
    <w:rsid w:val="00D86DDA"/>
    <w:rsid w:val="00D86E6F"/>
    <w:rsid w:val="00D86F1A"/>
    <w:rsid w:val="00D86FFE"/>
    <w:rsid w:val="00D8704E"/>
    <w:rsid w:val="00D875F2"/>
    <w:rsid w:val="00D877C9"/>
    <w:rsid w:val="00D87B15"/>
    <w:rsid w:val="00D87B59"/>
    <w:rsid w:val="00D87E37"/>
    <w:rsid w:val="00D90021"/>
    <w:rsid w:val="00D9016A"/>
    <w:rsid w:val="00D901D0"/>
    <w:rsid w:val="00D90249"/>
    <w:rsid w:val="00D9033E"/>
    <w:rsid w:val="00D904B8"/>
    <w:rsid w:val="00D90775"/>
    <w:rsid w:val="00D907D5"/>
    <w:rsid w:val="00D90E72"/>
    <w:rsid w:val="00D90E76"/>
    <w:rsid w:val="00D91021"/>
    <w:rsid w:val="00D91264"/>
    <w:rsid w:val="00D91394"/>
    <w:rsid w:val="00D916BD"/>
    <w:rsid w:val="00D9174F"/>
    <w:rsid w:val="00D91DEE"/>
    <w:rsid w:val="00D91FA7"/>
    <w:rsid w:val="00D9203E"/>
    <w:rsid w:val="00D921E9"/>
    <w:rsid w:val="00D9252A"/>
    <w:rsid w:val="00D925D1"/>
    <w:rsid w:val="00D926BF"/>
    <w:rsid w:val="00D9272B"/>
    <w:rsid w:val="00D92740"/>
    <w:rsid w:val="00D92796"/>
    <w:rsid w:val="00D92A4F"/>
    <w:rsid w:val="00D92A9B"/>
    <w:rsid w:val="00D93040"/>
    <w:rsid w:val="00D93177"/>
    <w:rsid w:val="00D93179"/>
    <w:rsid w:val="00D932EF"/>
    <w:rsid w:val="00D93305"/>
    <w:rsid w:val="00D93669"/>
    <w:rsid w:val="00D93CE5"/>
    <w:rsid w:val="00D94240"/>
    <w:rsid w:val="00D94A7F"/>
    <w:rsid w:val="00D94B8F"/>
    <w:rsid w:val="00D94BA5"/>
    <w:rsid w:val="00D95309"/>
    <w:rsid w:val="00D95341"/>
    <w:rsid w:val="00D953E0"/>
    <w:rsid w:val="00D9587C"/>
    <w:rsid w:val="00D95D99"/>
    <w:rsid w:val="00D963C4"/>
    <w:rsid w:val="00D964A7"/>
    <w:rsid w:val="00D96583"/>
    <w:rsid w:val="00D96FD7"/>
    <w:rsid w:val="00D970E2"/>
    <w:rsid w:val="00D971CB"/>
    <w:rsid w:val="00D97364"/>
    <w:rsid w:val="00D975D4"/>
    <w:rsid w:val="00D976B8"/>
    <w:rsid w:val="00D977D8"/>
    <w:rsid w:val="00D97CDC"/>
    <w:rsid w:val="00D97DF1"/>
    <w:rsid w:val="00DA0285"/>
    <w:rsid w:val="00DA0661"/>
    <w:rsid w:val="00DA06EA"/>
    <w:rsid w:val="00DA0AB1"/>
    <w:rsid w:val="00DA0BDD"/>
    <w:rsid w:val="00DA0F49"/>
    <w:rsid w:val="00DA1010"/>
    <w:rsid w:val="00DA110F"/>
    <w:rsid w:val="00DA13FD"/>
    <w:rsid w:val="00DA1404"/>
    <w:rsid w:val="00DA19F4"/>
    <w:rsid w:val="00DA1C4B"/>
    <w:rsid w:val="00DA1F8E"/>
    <w:rsid w:val="00DA21C3"/>
    <w:rsid w:val="00DA227C"/>
    <w:rsid w:val="00DA23B4"/>
    <w:rsid w:val="00DA2811"/>
    <w:rsid w:val="00DA29B4"/>
    <w:rsid w:val="00DA2A8C"/>
    <w:rsid w:val="00DA3076"/>
    <w:rsid w:val="00DA30CE"/>
    <w:rsid w:val="00DA3780"/>
    <w:rsid w:val="00DA3985"/>
    <w:rsid w:val="00DA3AB2"/>
    <w:rsid w:val="00DA3F04"/>
    <w:rsid w:val="00DA413A"/>
    <w:rsid w:val="00DA44CE"/>
    <w:rsid w:val="00DA458D"/>
    <w:rsid w:val="00DA48CB"/>
    <w:rsid w:val="00DA4B4A"/>
    <w:rsid w:val="00DA4CC8"/>
    <w:rsid w:val="00DA4FF8"/>
    <w:rsid w:val="00DA50C2"/>
    <w:rsid w:val="00DA59E1"/>
    <w:rsid w:val="00DA5ECB"/>
    <w:rsid w:val="00DA602F"/>
    <w:rsid w:val="00DA6644"/>
    <w:rsid w:val="00DA6768"/>
    <w:rsid w:val="00DA6908"/>
    <w:rsid w:val="00DA69EB"/>
    <w:rsid w:val="00DA6A3A"/>
    <w:rsid w:val="00DA6D15"/>
    <w:rsid w:val="00DA6F41"/>
    <w:rsid w:val="00DA702F"/>
    <w:rsid w:val="00DA70FA"/>
    <w:rsid w:val="00DA71FC"/>
    <w:rsid w:val="00DA76F5"/>
    <w:rsid w:val="00DA7CF7"/>
    <w:rsid w:val="00DA7FA2"/>
    <w:rsid w:val="00DA7FB6"/>
    <w:rsid w:val="00DA7FE4"/>
    <w:rsid w:val="00DB00CA"/>
    <w:rsid w:val="00DB0210"/>
    <w:rsid w:val="00DB02B3"/>
    <w:rsid w:val="00DB059A"/>
    <w:rsid w:val="00DB0680"/>
    <w:rsid w:val="00DB0CE9"/>
    <w:rsid w:val="00DB0F08"/>
    <w:rsid w:val="00DB1034"/>
    <w:rsid w:val="00DB12F7"/>
    <w:rsid w:val="00DB1349"/>
    <w:rsid w:val="00DB13E5"/>
    <w:rsid w:val="00DB1604"/>
    <w:rsid w:val="00DB164C"/>
    <w:rsid w:val="00DB199C"/>
    <w:rsid w:val="00DB1B4B"/>
    <w:rsid w:val="00DB1B4C"/>
    <w:rsid w:val="00DB1F01"/>
    <w:rsid w:val="00DB2214"/>
    <w:rsid w:val="00DB2B6B"/>
    <w:rsid w:val="00DB2BF7"/>
    <w:rsid w:val="00DB2C62"/>
    <w:rsid w:val="00DB2D94"/>
    <w:rsid w:val="00DB33B5"/>
    <w:rsid w:val="00DB34FC"/>
    <w:rsid w:val="00DB3969"/>
    <w:rsid w:val="00DB3A57"/>
    <w:rsid w:val="00DB3AC8"/>
    <w:rsid w:val="00DB4071"/>
    <w:rsid w:val="00DB42E4"/>
    <w:rsid w:val="00DB4340"/>
    <w:rsid w:val="00DB4451"/>
    <w:rsid w:val="00DB4EC4"/>
    <w:rsid w:val="00DB518A"/>
    <w:rsid w:val="00DB54FC"/>
    <w:rsid w:val="00DB553F"/>
    <w:rsid w:val="00DB59B3"/>
    <w:rsid w:val="00DB5A22"/>
    <w:rsid w:val="00DB5BBC"/>
    <w:rsid w:val="00DB5E02"/>
    <w:rsid w:val="00DB6204"/>
    <w:rsid w:val="00DB63DB"/>
    <w:rsid w:val="00DB647A"/>
    <w:rsid w:val="00DB64B3"/>
    <w:rsid w:val="00DB6961"/>
    <w:rsid w:val="00DB76DC"/>
    <w:rsid w:val="00DB774E"/>
    <w:rsid w:val="00DB7891"/>
    <w:rsid w:val="00DB7A63"/>
    <w:rsid w:val="00DB7E3E"/>
    <w:rsid w:val="00DC013D"/>
    <w:rsid w:val="00DC03D4"/>
    <w:rsid w:val="00DC04AF"/>
    <w:rsid w:val="00DC05CE"/>
    <w:rsid w:val="00DC09C8"/>
    <w:rsid w:val="00DC0A54"/>
    <w:rsid w:val="00DC0C6A"/>
    <w:rsid w:val="00DC0D44"/>
    <w:rsid w:val="00DC0E44"/>
    <w:rsid w:val="00DC0F9D"/>
    <w:rsid w:val="00DC10E1"/>
    <w:rsid w:val="00DC11B5"/>
    <w:rsid w:val="00DC143B"/>
    <w:rsid w:val="00DC16C7"/>
    <w:rsid w:val="00DC19F9"/>
    <w:rsid w:val="00DC1CE8"/>
    <w:rsid w:val="00DC1E31"/>
    <w:rsid w:val="00DC1FC2"/>
    <w:rsid w:val="00DC253E"/>
    <w:rsid w:val="00DC260A"/>
    <w:rsid w:val="00DC27C0"/>
    <w:rsid w:val="00DC27C3"/>
    <w:rsid w:val="00DC2ABC"/>
    <w:rsid w:val="00DC2B88"/>
    <w:rsid w:val="00DC2DC5"/>
    <w:rsid w:val="00DC361A"/>
    <w:rsid w:val="00DC3890"/>
    <w:rsid w:val="00DC3A42"/>
    <w:rsid w:val="00DC3B83"/>
    <w:rsid w:val="00DC40A9"/>
    <w:rsid w:val="00DC421B"/>
    <w:rsid w:val="00DC43EE"/>
    <w:rsid w:val="00DC4B6B"/>
    <w:rsid w:val="00DC4D93"/>
    <w:rsid w:val="00DC4DD3"/>
    <w:rsid w:val="00DC501D"/>
    <w:rsid w:val="00DC5072"/>
    <w:rsid w:val="00DC53EF"/>
    <w:rsid w:val="00DC5840"/>
    <w:rsid w:val="00DC59F7"/>
    <w:rsid w:val="00DC5A5E"/>
    <w:rsid w:val="00DC5C84"/>
    <w:rsid w:val="00DC5CD0"/>
    <w:rsid w:val="00DC5CF0"/>
    <w:rsid w:val="00DC5DD6"/>
    <w:rsid w:val="00DC6318"/>
    <w:rsid w:val="00DC6D96"/>
    <w:rsid w:val="00DC744D"/>
    <w:rsid w:val="00DC7478"/>
    <w:rsid w:val="00DC7522"/>
    <w:rsid w:val="00DC7704"/>
    <w:rsid w:val="00DC77B3"/>
    <w:rsid w:val="00DC77FE"/>
    <w:rsid w:val="00DC7931"/>
    <w:rsid w:val="00DC7A69"/>
    <w:rsid w:val="00DC7ADD"/>
    <w:rsid w:val="00DC7B68"/>
    <w:rsid w:val="00DC7C56"/>
    <w:rsid w:val="00DC7C5E"/>
    <w:rsid w:val="00DC7CE9"/>
    <w:rsid w:val="00DD01BE"/>
    <w:rsid w:val="00DD0FFF"/>
    <w:rsid w:val="00DD10D0"/>
    <w:rsid w:val="00DD1A3B"/>
    <w:rsid w:val="00DD1C90"/>
    <w:rsid w:val="00DD1EA4"/>
    <w:rsid w:val="00DD22B1"/>
    <w:rsid w:val="00DD2421"/>
    <w:rsid w:val="00DD27CD"/>
    <w:rsid w:val="00DD2AB4"/>
    <w:rsid w:val="00DD31A2"/>
    <w:rsid w:val="00DD3265"/>
    <w:rsid w:val="00DD3489"/>
    <w:rsid w:val="00DD3691"/>
    <w:rsid w:val="00DD38D2"/>
    <w:rsid w:val="00DD3AC0"/>
    <w:rsid w:val="00DD3B20"/>
    <w:rsid w:val="00DD409A"/>
    <w:rsid w:val="00DD471F"/>
    <w:rsid w:val="00DD486E"/>
    <w:rsid w:val="00DD4A6D"/>
    <w:rsid w:val="00DD4AF6"/>
    <w:rsid w:val="00DD4C35"/>
    <w:rsid w:val="00DD50AF"/>
    <w:rsid w:val="00DD5119"/>
    <w:rsid w:val="00DD5129"/>
    <w:rsid w:val="00DD553D"/>
    <w:rsid w:val="00DD5B2B"/>
    <w:rsid w:val="00DD673A"/>
    <w:rsid w:val="00DD6805"/>
    <w:rsid w:val="00DD69D2"/>
    <w:rsid w:val="00DD6B1D"/>
    <w:rsid w:val="00DD6D70"/>
    <w:rsid w:val="00DD7013"/>
    <w:rsid w:val="00DD7144"/>
    <w:rsid w:val="00DD77F9"/>
    <w:rsid w:val="00DD7BD1"/>
    <w:rsid w:val="00DE0660"/>
    <w:rsid w:val="00DE07D9"/>
    <w:rsid w:val="00DE08E6"/>
    <w:rsid w:val="00DE0B92"/>
    <w:rsid w:val="00DE0ED0"/>
    <w:rsid w:val="00DE128E"/>
    <w:rsid w:val="00DE13B7"/>
    <w:rsid w:val="00DE1896"/>
    <w:rsid w:val="00DE1BFB"/>
    <w:rsid w:val="00DE1C9E"/>
    <w:rsid w:val="00DE1D18"/>
    <w:rsid w:val="00DE2730"/>
    <w:rsid w:val="00DE28B0"/>
    <w:rsid w:val="00DE2CA5"/>
    <w:rsid w:val="00DE2E99"/>
    <w:rsid w:val="00DE2FB8"/>
    <w:rsid w:val="00DE3541"/>
    <w:rsid w:val="00DE3932"/>
    <w:rsid w:val="00DE3CD2"/>
    <w:rsid w:val="00DE422A"/>
    <w:rsid w:val="00DE457B"/>
    <w:rsid w:val="00DE4965"/>
    <w:rsid w:val="00DE4DD3"/>
    <w:rsid w:val="00DE4E28"/>
    <w:rsid w:val="00DE51AB"/>
    <w:rsid w:val="00DE56B5"/>
    <w:rsid w:val="00DE5751"/>
    <w:rsid w:val="00DE57D4"/>
    <w:rsid w:val="00DE595F"/>
    <w:rsid w:val="00DE59F7"/>
    <w:rsid w:val="00DE5A0A"/>
    <w:rsid w:val="00DE5A2C"/>
    <w:rsid w:val="00DE5AD1"/>
    <w:rsid w:val="00DE5C35"/>
    <w:rsid w:val="00DE603F"/>
    <w:rsid w:val="00DE628A"/>
    <w:rsid w:val="00DE6854"/>
    <w:rsid w:val="00DE696D"/>
    <w:rsid w:val="00DE699B"/>
    <w:rsid w:val="00DE6A6F"/>
    <w:rsid w:val="00DE6B21"/>
    <w:rsid w:val="00DE6B71"/>
    <w:rsid w:val="00DE6BAF"/>
    <w:rsid w:val="00DE6E4E"/>
    <w:rsid w:val="00DE6E8F"/>
    <w:rsid w:val="00DE6FA9"/>
    <w:rsid w:val="00DE70B6"/>
    <w:rsid w:val="00DE79ED"/>
    <w:rsid w:val="00DE7BB7"/>
    <w:rsid w:val="00DE7CE3"/>
    <w:rsid w:val="00DE7ED6"/>
    <w:rsid w:val="00DF01B5"/>
    <w:rsid w:val="00DF01F2"/>
    <w:rsid w:val="00DF06A5"/>
    <w:rsid w:val="00DF06FE"/>
    <w:rsid w:val="00DF0C54"/>
    <w:rsid w:val="00DF0D03"/>
    <w:rsid w:val="00DF1318"/>
    <w:rsid w:val="00DF17F5"/>
    <w:rsid w:val="00DF181D"/>
    <w:rsid w:val="00DF1B2D"/>
    <w:rsid w:val="00DF1D96"/>
    <w:rsid w:val="00DF1E13"/>
    <w:rsid w:val="00DF21A4"/>
    <w:rsid w:val="00DF290B"/>
    <w:rsid w:val="00DF29FD"/>
    <w:rsid w:val="00DF2C99"/>
    <w:rsid w:val="00DF2F61"/>
    <w:rsid w:val="00DF301A"/>
    <w:rsid w:val="00DF3040"/>
    <w:rsid w:val="00DF30B1"/>
    <w:rsid w:val="00DF34C9"/>
    <w:rsid w:val="00DF3568"/>
    <w:rsid w:val="00DF39AE"/>
    <w:rsid w:val="00DF3A5D"/>
    <w:rsid w:val="00DF3D96"/>
    <w:rsid w:val="00DF3E0A"/>
    <w:rsid w:val="00DF4150"/>
    <w:rsid w:val="00DF44C2"/>
    <w:rsid w:val="00DF460D"/>
    <w:rsid w:val="00DF4914"/>
    <w:rsid w:val="00DF4BBC"/>
    <w:rsid w:val="00DF4F3F"/>
    <w:rsid w:val="00DF5110"/>
    <w:rsid w:val="00DF53EC"/>
    <w:rsid w:val="00DF57EC"/>
    <w:rsid w:val="00DF5A40"/>
    <w:rsid w:val="00DF5FD2"/>
    <w:rsid w:val="00DF6230"/>
    <w:rsid w:val="00DF630B"/>
    <w:rsid w:val="00DF651D"/>
    <w:rsid w:val="00DF6821"/>
    <w:rsid w:val="00DF69BE"/>
    <w:rsid w:val="00DF7217"/>
    <w:rsid w:val="00DF75D3"/>
    <w:rsid w:val="00DF7772"/>
    <w:rsid w:val="00DF77E8"/>
    <w:rsid w:val="00DF780D"/>
    <w:rsid w:val="00DF7824"/>
    <w:rsid w:val="00DF7A1E"/>
    <w:rsid w:val="00DF7A5C"/>
    <w:rsid w:val="00DF7B9A"/>
    <w:rsid w:val="00E001FF"/>
    <w:rsid w:val="00E00547"/>
    <w:rsid w:val="00E008E0"/>
    <w:rsid w:val="00E00EE8"/>
    <w:rsid w:val="00E01241"/>
    <w:rsid w:val="00E0133C"/>
    <w:rsid w:val="00E0151F"/>
    <w:rsid w:val="00E01626"/>
    <w:rsid w:val="00E01664"/>
    <w:rsid w:val="00E01B32"/>
    <w:rsid w:val="00E01C88"/>
    <w:rsid w:val="00E01DC8"/>
    <w:rsid w:val="00E02045"/>
    <w:rsid w:val="00E021FF"/>
    <w:rsid w:val="00E025BC"/>
    <w:rsid w:val="00E028B8"/>
    <w:rsid w:val="00E02C1D"/>
    <w:rsid w:val="00E02D3A"/>
    <w:rsid w:val="00E032EA"/>
    <w:rsid w:val="00E03734"/>
    <w:rsid w:val="00E0398F"/>
    <w:rsid w:val="00E03E0C"/>
    <w:rsid w:val="00E04144"/>
    <w:rsid w:val="00E04B10"/>
    <w:rsid w:val="00E04D28"/>
    <w:rsid w:val="00E04DA7"/>
    <w:rsid w:val="00E04ECB"/>
    <w:rsid w:val="00E051A9"/>
    <w:rsid w:val="00E05293"/>
    <w:rsid w:val="00E05346"/>
    <w:rsid w:val="00E054EB"/>
    <w:rsid w:val="00E05628"/>
    <w:rsid w:val="00E058F1"/>
    <w:rsid w:val="00E05EBD"/>
    <w:rsid w:val="00E05F9D"/>
    <w:rsid w:val="00E06003"/>
    <w:rsid w:val="00E0615C"/>
    <w:rsid w:val="00E065C1"/>
    <w:rsid w:val="00E066E1"/>
    <w:rsid w:val="00E06CEE"/>
    <w:rsid w:val="00E06D70"/>
    <w:rsid w:val="00E06EBF"/>
    <w:rsid w:val="00E070B9"/>
    <w:rsid w:val="00E0718C"/>
    <w:rsid w:val="00E07529"/>
    <w:rsid w:val="00E07559"/>
    <w:rsid w:val="00E0759D"/>
    <w:rsid w:val="00E0763C"/>
    <w:rsid w:val="00E07D13"/>
    <w:rsid w:val="00E07D6A"/>
    <w:rsid w:val="00E07EE3"/>
    <w:rsid w:val="00E07F31"/>
    <w:rsid w:val="00E07FE7"/>
    <w:rsid w:val="00E10187"/>
    <w:rsid w:val="00E1030D"/>
    <w:rsid w:val="00E1066F"/>
    <w:rsid w:val="00E10672"/>
    <w:rsid w:val="00E109A8"/>
    <w:rsid w:val="00E10A24"/>
    <w:rsid w:val="00E10D56"/>
    <w:rsid w:val="00E10EA6"/>
    <w:rsid w:val="00E10F05"/>
    <w:rsid w:val="00E1112F"/>
    <w:rsid w:val="00E11379"/>
    <w:rsid w:val="00E11464"/>
    <w:rsid w:val="00E11492"/>
    <w:rsid w:val="00E11753"/>
    <w:rsid w:val="00E11A24"/>
    <w:rsid w:val="00E11A3D"/>
    <w:rsid w:val="00E11B38"/>
    <w:rsid w:val="00E12027"/>
    <w:rsid w:val="00E120A0"/>
    <w:rsid w:val="00E12710"/>
    <w:rsid w:val="00E129B1"/>
    <w:rsid w:val="00E12A29"/>
    <w:rsid w:val="00E12D5D"/>
    <w:rsid w:val="00E130C6"/>
    <w:rsid w:val="00E13635"/>
    <w:rsid w:val="00E136B4"/>
    <w:rsid w:val="00E13767"/>
    <w:rsid w:val="00E13837"/>
    <w:rsid w:val="00E139A4"/>
    <w:rsid w:val="00E13B9A"/>
    <w:rsid w:val="00E13E24"/>
    <w:rsid w:val="00E14012"/>
    <w:rsid w:val="00E142ED"/>
    <w:rsid w:val="00E14302"/>
    <w:rsid w:val="00E14801"/>
    <w:rsid w:val="00E14FF5"/>
    <w:rsid w:val="00E15007"/>
    <w:rsid w:val="00E152C1"/>
    <w:rsid w:val="00E152E3"/>
    <w:rsid w:val="00E152E4"/>
    <w:rsid w:val="00E15371"/>
    <w:rsid w:val="00E1555D"/>
    <w:rsid w:val="00E157E5"/>
    <w:rsid w:val="00E15858"/>
    <w:rsid w:val="00E15883"/>
    <w:rsid w:val="00E158B8"/>
    <w:rsid w:val="00E1600E"/>
    <w:rsid w:val="00E161C0"/>
    <w:rsid w:val="00E165D7"/>
    <w:rsid w:val="00E1669E"/>
    <w:rsid w:val="00E16760"/>
    <w:rsid w:val="00E16940"/>
    <w:rsid w:val="00E16A72"/>
    <w:rsid w:val="00E16C68"/>
    <w:rsid w:val="00E16E3E"/>
    <w:rsid w:val="00E16F13"/>
    <w:rsid w:val="00E17238"/>
    <w:rsid w:val="00E17663"/>
    <w:rsid w:val="00E17699"/>
    <w:rsid w:val="00E176B7"/>
    <w:rsid w:val="00E178B2"/>
    <w:rsid w:val="00E2000F"/>
    <w:rsid w:val="00E20025"/>
    <w:rsid w:val="00E2024D"/>
    <w:rsid w:val="00E20408"/>
    <w:rsid w:val="00E20434"/>
    <w:rsid w:val="00E204CD"/>
    <w:rsid w:val="00E205AB"/>
    <w:rsid w:val="00E205C1"/>
    <w:rsid w:val="00E20696"/>
    <w:rsid w:val="00E2134F"/>
    <w:rsid w:val="00E21902"/>
    <w:rsid w:val="00E21934"/>
    <w:rsid w:val="00E21D2B"/>
    <w:rsid w:val="00E222E3"/>
    <w:rsid w:val="00E22359"/>
    <w:rsid w:val="00E22757"/>
    <w:rsid w:val="00E22790"/>
    <w:rsid w:val="00E22E01"/>
    <w:rsid w:val="00E2305E"/>
    <w:rsid w:val="00E230A5"/>
    <w:rsid w:val="00E23152"/>
    <w:rsid w:val="00E23B74"/>
    <w:rsid w:val="00E23E1A"/>
    <w:rsid w:val="00E242D6"/>
    <w:rsid w:val="00E24307"/>
    <w:rsid w:val="00E243D1"/>
    <w:rsid w:val="00E244D2"/>
    <w:rsid w:val="00E24757"/>
    <w:rsid w:val="00E248A4"/>
    <w:rsid w:val="00E24A06"/>
    <w:rsid w:val="00E24D09"/>
    <w:rsid w:val="00E24E9D"/>
    <w:rsid w:val="00E25220"/>
    <w:rsid w:val="00E25368"/>
    <w:rsid w:val="00E255D0"/>
    <w:rsid w:val="00E25E09"/>
    <w:rsid w:val="00E25EFF"/>
    <w:rsid w:val="00E25F47"/>
    <w:rsid w:val="00E26166"/>
    <w:rsid w:val="00E261DA"/>
    <w:rsid w:val="00E265D2"/>
    <w:rsid w:val="00E267B2"/>
    <w:rsid w:val="00E269C8"/>
    <w:rsid w:val="00E26A97"/>
    <w:rsid w:val="00E26AA7"/>
    <w:rsid w:val="00E26AE9"/>
    <w:rsid w:val="00E26B4A"/>
    <w:rsid w:val="00E26C48"/>
    <w:rsid w:val="00E26F00"/>
    <w:rsid w:val="00E26F69"/>
    <w:rsid w:val="00E2717E"/>
    <w:rsid w:val="00E27577"/>
    <w:rsid w:val="00E2774E"/>
    <w:rsid w:val="00E27857"/>
    <w:rsid w:val="00E27B72"/>
    <w:rsid w:val="00E27D1F"/>
    <w:rsid w:val="00E30012"/>
    <w:rsid w:val="00E30251"/>
    <w:rsid w:val="00E30341"/>
    <w:rsid w:val="00E304D7"/>
    <w:rsid w:val="00E30882"/>
    <w:rsid w:val="00E30980"/>
    <w:rsid w:val="00E30A5F"/>
    <w:rsid w:val="00E310F3"/>
    <w:rsid w:val="00E31E8E"/>
    <w:rsid w:val="00E321A3"/>
    <w:rsid w:val="00E3231E"/>
    <w:rsid w:val="00E326F1"/>
    <w:rsid w:val="00E328AA"/>
    <w:rsid w:val="00E32E24"/>
    <w:rsid w:val="00E32F62"/>
    <w:rsid w:val="00E33469"/>
    <w:rsid w:val="00E3347C"/>
    <w:rsid w:val="00E33573"/>
    <w:rsid w:val="00E335ED"/>
    <w:rsid w:val="00E33ACE"/>
    <w:rsid w:val="00E33B4B"/>
    <w:rsid w:val="00E33C40"/>
    <w:rsid w:val="00E33E21"/>
    <w:rsid w:val="00E33EDD"/>
    <w:rsid w:val="00E34054"/>
    <w:rsid w:val="00E34193"/>
    <w:rsid w:val="00E341B1"/>
    <w:rsid w:val="00E3432F"/>
    <w:rsid w:val="00E3455B"/>
    <w:rsid w:val="00E346BB"/>
    <w:rsid w:val="00E34B7E"/>
    <w:rsid w:val="00E354F2"/>
    <w:rsid w:val="00E355A9"/>
    <w:rsid w:val="00E35614"/>
    <w:rsid w:val="00E358E3"/>
    <w:rsid w:val="00E35F4D"/>
    <w:rsid w:val="00E35F56"/>
    <w:rsid w:val="00E361C4"/>
    <w:rsid w:val="00E3639C"/>
    <w:rsid w:val="00E36D31"/>
    <w:rsid w:val="00E36D7B"/>
    <w:rsid w:val="00E3708A"/>
    <w:rsid w:val="00E371D9"/>
    <w:rsid w:val="00E37366"/>
    <w:rsid w:val="00E3774B"/>
    <w:rsid w:val="00E377DF"/>
    <w:rsid w:val="00E37904"/>
    <w:rsid w:val="00E37947"/>
    <w:rsid w:val="00E4088E"/>
    <w:rsid w:val="00E40CBD"/>
    <w:rsid w:val="00E40F7D"/>
    <w:rsid w:val="00E40FEA"/>
    <w:rsid w:val="00E4116C"/>
    <w:rsid w:val="00E41200"/>
    <w:rsid w:val="00E412C9"/>
    <w:rsid w:val="00E41720"/>
    <w:rsid w:val="00E418B6"/>
    <w:rsid w:val="00E41E4D"/>
    <w:rsid w:val="00E41E98"/>
    <w:rsid w:val="00E41FDA"/>
    <w:rsid w:val="00E4251C"/>
    <w:rsid w:val="00E425B7"/>
    <w:rsid w:val="00E425CA"/>
    <w:rsid w:val="00E4286F"/>
    <w:rsid w:val="00E42A3E"/>
    <w:rsid w:val="00E42B69"/>
    <w:rsid w:val="00E42BAB"/>
    <w:rsid w:val="00E42C06"/>
    <w:rsid w:val="00E42F8A"/>
    <w:rsid w:val="00E430A4"/>
    <w:rsid w:val="00E43666"/>
    <w:rsid w:val="00E438E1"/>
    <w:rsid w:val="00E43952"/>
    <w:rsid w:val="00E439C4"/>
    <w:rsid w:val="00E43B20"/>
    <w:rsid w:val="00E43E20"/>
    <w:rsid w:val="00E43E68"/>
    <w:rsid w:val="00E43F7A"/>
    <w:rsid w:val="00E44108"/>
    <w:rsid w:val="00E4447A"/>
    <w:rsid w:val="00E446E3"/>
    <w:rsid w:val="00E44785"/>
    <w:rsid w:val="00E4483A"/>
    <w:rsid w:val="00E448FA"/>
    <w:rsid w:val="00E44B2F"/>
    <w:rsid w:val="00E44B56"/>
    <w:rsid w:val="00E44BD4"/>
    <w:rsid w:val="00E44DB7"/>
    <w:rsid w:val="00E44FC4"/>
    <w:rsid w:val="00E450A8"/>
    <w:rsid w:val="00E45266"/>
    <w:rsid w:val="00E452FB"/>
    <w:rsid w:val="00E456BF"/>
    <w:rsid w:val="00E4580B"/>
    <w:rsid w:val="00E45B26"/>
    <w:rsid w:val="00E45C22"/>
    <w:rsid w:val="00E45CA5"/>
    <w:rsid w:val="00E45D13"/>
    <w:rsid w:val="00E45D4A"/>
    <w:rsid w:val="00E46163"/>
    <w:rsid w:val="00E46194"/>
    <w:rsid w:val="00E463CD"/>
    <w:rsid w:val="00E463ED"/>
    <w:rsid w:val="00E4650A"/>
    <w:rsid w:val="00E46A6C"/>
    <w:rsid w:val="00E46B86"/>
    <w:rsid w:val="00E46C11"/>
    <w:rsid w:val="00E46EC3"/>
    <w:rsid w:val="00E47079"/>
    <w:rsid w:val="00E47117"/>
    <w:rsid w:val="00E471A0"/>
    <w:rsid w:val="00E475A7"/>
    <w:rsid w:val="00E47679"/>
    <w:rsid w:val="00E47A43"/>
    <w:rsid w:val="00E47AD9"/>
    <w:rsid w:val="00E47B40"/>
    <w:rsid w:val="00E47DAC"/>
    <w:rsid w:val="00E47E04"/>
    <w:rsid w:val="00E47E89"/>
    <w:rsid w:val="00E47FD3"/>
    <w:rsid w:val="00E50505"/>
    <w:rsid w:val="00E50650"/>
    <w:rsid w:val="00E50C9C"/>
    <w:rsid w:val="00E50CA4"/>
    <w:rsid w:val="00E512E2"/>
    <w:rsid w:val="00E51845"/>
    <w:rsid w:val="00E51854"/>
    <w:rsid w:val="00E51DF6"/>
    <w:rsid w:val="00E5216D"/>
    <w:rsid w:val="00E529B0"/>
    <w:rsid w:val="00E529D9"/>
    <w:rsid w:val="00E52B3A"/>
    <w:rsid w:val="00E52C71"/>
    <w:rsid w:val="00E52EB7"/>
    <w:rsid w:val="00E5306C"/>
    <w:rsid w:val="00E5342C"/>
    <w:rsid w:val="00E5345D"/>
    <w:rsid w:val="00E5392B"/>
    <w:rsid w:val="00E539B2"/>
    <w:rsid w:val="00E539EF"/>
    <w:rsid w:val="00E53C5D"/>
    <w:rsid w:val="00E53E97"/>
    <w:rsid w:val="00E53F3B"/>
    <w:rsid w:val="00E54243"/>
    <w:rsid w:val="00E542CA"/>
    <w:rsid w:val="00E546F2"/>
    <w:rsid w:val="00E54BC9"/>
    <w:rsid w:val="00E54C6D"/>
    <w:rsid w:val="00E54CA6"/>
    <w:rsid w:val="00E552E0"/>
    <w:rsid w:val="00E55D35"/>
    <w:rsid w:val="00E55D3C"/>
    <w:rsid w:val="00E55D84"/>
    <w:rsid w:val="00E55E87"/>
    <w:rsid w:val="00E55F11"/>
    <w:rsid w:val="00E56377"/>
    <w:rsid w:val="00E563ED"/>
    <w:rsid w:val="00E5643D"/>
    <w:rsid w:val="00E564D1"/>
    <w:rsid w:val="00E567E9"/>
    <w:rsid w:val="00E568A0"/>
    <w:rsid w:val="00E56B87"/>
    <w:rsid w:val="00E57374"/>
    <w:rsid w:val="00E57581"/>
    <w:rsid w:val="00E577FD"/>
    <w:rsid w:val="00E57810"/>
    <w:rsid w:val="00E57D54"/>
    <w:rsid w:val="00E57EFA"/>
    <w:rsid w:val="00E6015E"/>
    <w:rsid w:val="00E602C0"/>
    <w:rsid w:val="00E60909"/>
    <w:rsid w:val="00E6092E"/>
    <w:rsid w:val="00E609A9"/>
    <w:rsid w:val="00E60E8B"/>
    <w:rsid w:val="00E60F65"/>
    <w:rsid w:val="00E61142"/>
    <w:rsid w:val="00E6128E"/>
    <w:rsid w:val="00E6139D"/>
    <w:rsid w:val="00E6145D"/>
    <w:rsid w:val="00E617A2"/>
    <w:rsid w:val="00E617EA"/>
    <w:rsid w:val="00E62866"/>
    <w:rsid w:val="00E62949"/>
    <w:rsid w:val="00E6295F"/>
    <w:rsid w:val="00E62A2A"/>
    <w:rsid w:val="00E62B21"/>
    <w:rsid w:val="00E62B33"/>
    <w:rsid w:val="00E62DD5"/>
    <w:rsid w:val="00E62E7F"/>
    <w:rsid w:val="00E62F7C"/>
    <w:rsid w:val="00E635A4"/>
    <w:rsid w:val="00E63A1A"/>
    <w:rsid w:val="00E63DAC"/>
    <w:rsid w:val="00E6401A"/>
    <w:rsid w:val="00E64148"/>
    <w:rsid w:val="00E64884"/>
    <w:rsid w:val="00E649DE"/>
    <w:rsid w:val="00E64B9B"/>
    <w:rsid w:val="00E65037"/>
    <w:rsid w:val="00E6512F"/>
    <w:rsid w:val="00E6520D"/>
    <w:rsid w:val="00E654C3"/>
    <w:rsid w:val="00E658AB"/>
    <w:rsid w:val="00E663CC"/>
    <w:rsid w:val="00E6646D"/>
    <w:rsid w:val="00E664D2"/>
    <w:rsid w:val="00E6650B"/>
    <w:rsid w:val="00E6653D"/>
    <w:rsid w:val="00E666D7"/>
    <w:rsid w:val="00E6689A"/>
    <w:rsid w:val="00E668C4"/>
    <w:rsid w:val="00E66981"/>
    <w:rsid w:val="00E6705F"/>
    <w:rsid w:val="00E6732E"/>
    <w:rsid w:val="00E6753C"/>
    <w:rsid w:val="00E6772F"/>
    <w:rsid w:val="00E67818"/>
    <w:rsid w:val="00E67A4C"/>
    <w:rsid w:val="00E7004B"/>
    <w:rsid w:val="00E702C7"/>
    <w:rsid w:val="00E7049D"/>
    <w:rsid w:val="00E70A65"/>
    <w:rsid w:val="00E70F75"/>
    <w:rsid w:val="00E712BE"/>
    <w:rsid w:val="00E7138D"/>
    <w:rsid w:val="00E71421"/>
    <w:rsid w:val="00E71437"/>
    <w:rsid w:val="00E71872"/>
    <w:rsid w:val="00E71A04"/>
    <w:rsid w:val="00E71A5B"/>
    <w:rsid w:val="00E71B2E"/>
    <w:rsid w:val="00E71E5F"/>
    <w:rsid w:val="00E722DF"/>
    <w:rsid w:val="00E727FF"/>
    <w:rsid w:val="00E7290C"/>
    <w:rsid w:val="00E72A66"/>
    <w:rsid w:val="00E72BC7"/>
    <w:rsid w:val="00E7315A"/>
    <w:rsid w:val="00E73183"/>
    <w:rsid w:val="00E73489"/>
    <w:rsid w:val="00E7351B"/>
    <w:rsid w:val="00E736A6"/>
    <w:rsid w:val="00E73741"/>
    <w:rsid w:val="00E73C35"/>
    <w:rsid w:val="00E73CF3"/>
    <w:rsid w:val="00E74226"/>
    <w:rsid w:val="00E74483"/>
    <w:rsid w:val="00E7497A"/>
    <w:rsid w:val="00E749C3"/>
    <w:rsid w:val="00E750D8"/>
    <w:rsid w:val="00E753C8"/>
    <w:rsid w:val="00E75722"/>
    <w:rsid w:val="00E75877"/>
    <w:rsid w:val="00E75D18"/>
    <w:rsid w:val="00E75D97"/>
    <w:rsid w:val="00E75EEA"/>
    <w:rsid w:val="00E75FA3"/>
    <w:rsid w:val="00E75FA6"/>
    <w:rsid w:val="00E7606A"/>
    <w:rsid w:val="00E7648B"/>
    <w:rsid w:val="00E767BC"/>
    <w:rsid w:val="00E76E78"/>
    <w:rsid w:val="00E77336"/>
    <w:rsid w:val="00E774A0"/>
    <w:rsid w:val="00E774E9"/>
    <w:rsid w:val="00E7754F"/>
    <w:rsid w:val="00E7772D"/>
    <w:rsid w:val="00E77750"/>
    <w:rsid w:val="00E7776C"/>
    <w:rsid w:val="00E7776F"/>
    <w:rsid w:val="00E77950"/>
    <w:rsid w:val="00E77D46"/>
    <w:rsid w:val="00E77F0C"/>
    <w:rsid w:val="00E77F35"/>
    <w:rsid w:val="00E77F87"/>
    <w:rsid w:val="00E8009B"/>
    <w:rsid w:val="00E80F24"/>
    <w:rsid w:val="00E8117B"/>
    <w:rsid w:val="00E813CA"/>
    <w:rsid w:val="00E81704"/>
    <w:rsid w:val="00E81831"/>
    <w:rsid w:val="00E81A11"/>
    <w:rsid w:val="00E82000"/>
    <w:rsid w:val="00E820BE"/>
    <w:rsid w:val="00E82B0D"/>
    <w:rsid w:val="00E82E42"/>
    <w:rsid w:val="00E82E71"/>
    <w:rsid w:val="00E8350D"/>
    <w:rsid w:val="00E839E7"/>
    <w:rsid w:val="00E83A08"/>
    <w:rsid w:val="00E83A42"/>
    <w:rsid w:val="00E83AA1"/>
    <w:rsid w:val="00E83D29"/>
    <w:rsid w:val="00E83F32"/>
    <w:rsid w:val="00E83FD0"/>
    <w:rsid w:val="00E8403F"/>
    <w:rsid w:val="00E84127"/>
    <w:rsid w:val="00E8419F"/>
    <w:rsid w:val="00E84776"/>
    <w:rsid w:val="00E8489A"/>
    <w:rsid w:val="00E84A9E"/>
    <w:rsid w:val="00E84EF0"/>
    <w:rsid w:val="00E85257"/>
    <w:rsid w:val="00E855FC"/>
    <w:rsid w:val="00E85B67"/>
    <w:rsid w:val="00E85CB8"/>
    <w:rsid w:val="00E85D9E"/>
    <w:rsid w:val="00E85ED7"/>
    <w:rsid w:val="00E85F57"/>
    <w:rsid w:val="00E8628B"/>
    <w:rsid w:val="00E86412"/>
    <w:rsid w:val="00E86475"/>
    <w:rsid w:val="00E86AA0"/>
    <w:rsid w:val="00E86D7E"/>
    <w:rsid w:val="00E86E41"/>
    <w:rsid w:val="00E86F7B"/>
    <w:rsid w:val="00E8707F"/>
    <w:rsid w:val="00E87471"/>
    <w:rsid w:val="00E87474"/>
    <w:rsid w:val="00E874B4"/>
    <w:rsid w:val="00E8755A"/>
    <w:rsid w:val="00E87628"/>
    <w:rsid w:val="00E8789B"/>
    <w:rsid w:val="00E87A24"/>
    <w:rsid w:val="00E87D45"/>
    <w:rsid w:val="00E87E73"/>
    <w:rsid w:val="00E87EF9"/>
    <w:rsid w:val="00E900FE"/>
    <w:rsid w:val="00E90297"/>
    <w:rsid w:val="00E905A9"/>
    <w:rsid w:val="00E90E4E"/>
    <w:rsid w:val="00E91369"/>
    <w:rsid w:val="00E91821"/>
    <w:rsid w:val="00E91B91"/>
    <w:rsid w:val="00E91D7E"/>
    <w:rsid w:val="00E9280F"/>
    <w:rsid w:val="00E92A60"/>
    <w:rsid w:val="00E92B9B"/>
    <w:rsid w:val="00E92E61"/>
    <w:rsid w:val="00E9323E"/>
    <w:rsid w:val="00E93274"/>
    <w:rsid w:val="00E936FE"/>
    <w:rsid w:val="00E9399B"/>
    <w:rsid w:val="00E93CC9"/>
    <w:rsid w:val="00E93E28"/>
    <w:rsid w:val="00E93E3B"/>
    <w:rsid w:val="00E9409F"/>
    <w:rsid w:val="00E940E0"/>
    <w:rsid w:val="00E940E6"/>
    <w:rsid w:val="00E9412A"/>
    <w:rsid w:val="00E94158"/>
    <w:rsid w:val="00E945E0"/>
    <w:rsid w:val="00E94C45"/>
    <w:rsid w:val="00E94F4B"/>
    <w:rsid w:val="00E9508A"/>
    <w:rsid w:val="00E95094"/>
    <w:rsid w:val="00E9573C"/>
    <w:rsid w:val="00E95762"/>
    <w:rsid w:val="00E959C1"/>
    <w:rsid w:val="00E96258"/>
    <w:rsid w:val="00E96511"/>
    <w:rsid w:val="00E96534"/>
    <w:rsid w:val="00E96E88"/>
    <w:rsid w:val="00E96FF5"/>
    <w:rsid w:val="00E9701D"/>
    <w:rsid w:val="00E97056"/>
    <w:rsid w:val="00E979A3"/>
    <w:rsid w:val="00E97A14"/>
    <w:rsid w:val="00E97ABE"/>
    <w:rsid w:val="00E97B9D"/>
    <w:rsid w:val="00E97CFB"/>
    <w:rsid w:val="00E97DB9"/>
    <w:rsid w:val="00E97F5F"/>
    <w:rsid w:val="00EA00CA"/>
    <w:rsid w:val="00EA03EF"/>
    <w:rsid w:val="00EA065E"/>
    <w:rsid w:val="00EA0712"/>
    <w:rsid w:val="00EA11AE"/>
    <w:rsid w:val="00EA12CE"/>
    <w:rsid w:val="00EA1389"/>
    <w:rsid w:val="00EA138E"/>
    <w:rsid w:val="00EA16F2"/>
    <w:rsid w:val="00EA1777"/>
    <w:rsid w:val="00EA17C6"/>
    <w:rsid w:val="00EA180B"/>
    <w:rsid w:val="00EA1E18"/>
    <w:rsid w:val="00EA1E4A"/>
    <w:rsid w:val="00EA201C"/>
    <w:rsid w:val="00EA2177"/>
    <w:rsid w:val="00EA2594"/>
    <w:rsid w:val="00EA27E6"/>
    <w:rsid w:val="00EA2A61"/>
    <w:rsid w:val="00EA2B78"/>
    <w:rsid w:val="00EA2C3F"/>
    <w:rsid w:val="00EA2DE8"/>
    <w:rsid w:val="00EA2E43"/>
    <w:rsid w:val="00EA2EEF"/>
    <w:rsid w:val="00EA301B"/>
    <w:rsid w:val="00EA31CA"/>
    <w:rsid w:val="00EA31E6"/>
    <w:rsid w:val="00EA339B"/>
    <w:rsid w:val="00EA3511"/>
    <w:rsid w:val="00EA373A"/>
    <w:rsid w:val="00EA3A8C"/>
    <w:rsid w:val="00EA3B2E"/>
    <w:rsid w:val="00EA3BF3"/>
    <w:rsid w:val="00EA3CC7"/>
    <w:rsid w:val="00EA3E5C"/>
    <w:rsid w:val="00EA3EA2"/>
    <w:rsid w:val="00EA3FAD"/>
    <w:rsid w:val="00EA4224"/>
    <w:rsid w:val="00EA4412"/>
    <w:rsid w:val="00EA4441"/>
    <w:rsid w:val="00EA447B"/>
    <w:rsid w:val="00EA4BA9"/>
    <w:rsid w:val="00EA568C"/>
    <w:rsid w:val="00EA58E8"/>
    <w:rsid w:val="00EA5E2A"/>
    <w:rsid w:val="00EA5EDE"/>
    <w:rsid w:val="00EA608C"/>
    <w:rsid w:val="00EA63F5"/>
    <w:rsid w:val="00EA73B1"/>
    <w:rsid w:val="00EA7697"/>
    <w:rsid w:val="00EA77AB"/>
    <w:rsid w:val="00EA7887"/>
    <w:rsid w:val="00EA7A81"/>
    <w:rsid w:val="00EA7DEA"/>
    <w:rsid w:val="00EA7E14"/>
    <w:rsid w:val="00EB0299"/>
    <w:rsid w:val="00EB048E"/>
    <w:rsid w:val="00EB0A35"/>
    <w:rsid w:val="00EB0A97"/>
    <w:rsid w:val="00EB0DAC"/>
    <w:rsid w:val="00EB114A"/>
    <w:rsid w:val="00EB1A1F"/>
    <w:rsid w:val="00EB1A2E"/>
    <w:rsid w:val="00EB1B25"/>
    <w:rsid w:val="00EB1B3D"/>
    <w:rsid w:val="00EB1C17"/>
    <w:rsid w:val="00EB1C51"/>
    <w:rsid w:val="00EB1C78"/>
    <w:rsid w:val="00EB1DA5"/>
    <w:rsid w:val="00EB20E4"/>
    <w:rsid w:val="00EB20F5"/>
    <w:rsid w:val="00EB2690"/>
    <w:rsid w:val="00EB2A34"/>
    <w:rsid w:val="00EB2F7E"/>
    <w:rsid w:val="00EB2FCA"/>
    <w:rsid w:val="00EB3575"/>
    <w:rsid w:val="00EB370E"/>
    <w:rsid w:val="00EB3E3A"/>
    <w:rsid w:val="00EB3F5B"/>
    <w:rsid w:val="00EB4326"/>
    <w:rsid w:val="00EB43F3"/>
    <w:rsid w:val="00EB4694"/>
    <w:rsid w:val="00EB46F3"/>
    <w:rsid w:val="00EB4755"/>
    <w:rsid w:val="00EB4824"/>
    <w:rsid w:val="00EB489B"/>
    <w:rsid w:val="00EB4A33"/>
    <w:rsid w:val="00EB4B91"/>
    <w:rsid w:val="00EB586E"/>
    <w:rsid w:val="00EB5BDE"/>
    <w:rsid w:val="00EB5C2C"/>
    <w:rsid w:val="00EB5D37"/>
    <w:rsid w:val="00EB627B"/>
    <w:rsid w:val="00EB6501"/>
    <w:rsid w:val="00EB65C0"/>
    <w:rsid w:val="00EB6EBF"/>
    <w:rsid w:val="00EB6FAF"/>
    <w:rsid w:val="00EB72DA"/>
    <w:rsid w:val="00EB738A"/>
    <w:rsid w:val="00EB7B80"/>
    <w:rsid w:val="00EB7F66"/>
    <w:rsid w:val="00EC0315"/>
    <w:rsid w:val="00EC0832"/>
    <w:rsid w:val="00EC098F"/>
    <w:rsid w:val="00EC0C1C"/>
    <w:rsid w:val="00EC10D0"/>
    <w:rsid w:val="00EC14E6"/>
    <w:rsid w:val="00EC15CD"/>
    <w:rsid w:val="00EC192E"/>
    <w:rsid w:val="00EC1EB5"/>
    <w:rsid w:val="00EC1F63"/>
    <w:rsid w:val="00EC2569"/>
    <w:rsid w:val="00EC2916"/>
    <w:rsid w:val="00EC2999"/>
    <w:rsid w:val="00EC2C09"/>
    <w:rsid w:val="00EC301A"/>
    <w:rsid w:val="00EC3133"/>
    <w:rsid w:val="00EC3204"/>
    <w:rsid w:val="00EC3311"/>
    <w:rsid w:val="00EC338B"/>
    <w:rsid w:val="00EC33AC"/>
    <w:rsid w:val="00EC355C"/>
    <w:rsid w:val="00EC374B"/>
    <w:rsid w:val="00EC3B9C"/>
    <w:rsid w:val="00EC3EF0"/>
    <w:rsid w:val="00EC4171"/>
    <w:rsid w:val="00EC417D"/>
    <w:rsid w:val="00EC41BF"/>
    <w:rsid w:val="00EC41EE"/>
    <w:rsid w:val="00EC434F"/>
    <w:rsid w:val="00EC472E"/>
    <w:rsid w:val="00EC4CE5"/>
    <w:rsid w:val="00EC4DEB"/>
    <w:rsid w:val="00EC4F30"/>
    <w:rsid w:val="00EC510A"/>
    <w:rsid w:val="00EC5517"/>
    <w:rsid w:val="00EC5552"/>
    <w:rsid w:val="00EC5967"/>
    <w:rsid w:val="00EC5C20"/>
    <w:rsid w:val="00EC605D"/>
    <w:rsid w:val="00EC617F"/>
    <w:rsid w:val="00EC624F"/>
    <w:rsid w:val="00EC638C"/>
    <w:rsid w:val="00EC660D"/>
    <w:rsid w:val="00EC667A"/>
    <w:rsid w:val="00EC66CA"/>
    <w:rsid w:val="00EC670B"/>
    <w:rsid w:val="00EC672F"/>
    <w:rsid w:val="00EC68DB"/>
    <w:rsid w:val="00EC6D22"/>
    <w:rsid w:val="00EC6FB4"/>
    <w:rsid w:val="00EC7154"/>
    <w:rsid w:val="00EC77AF"/>
    <w:rsid w:val="00EC7A05"/>
    <w:rsid w:val="00EC7A1F"/>
    <w:rsid w:val="00EC7A22"/>
    <w:rsid w:val="00EC7C43"/>
    <w:rsid w:val="00EC7E35"/>
    <w:rsid w:val="00ED00B4"/>
    <w:rsid w:val="00ED00F3"/>
    <w:rsid w:val="00ED014A"/>
    <w:rsid w:val="00ED05E8"/>
    <w:rsid w:val="00ED063B"/>
    <w:rsid w:val="00ED07C1"/>
    <w:rsid w:val="00ED08C8"/>
    <w:rsid w:val="00ED1195"/>
    <w:rsid w:val="00ED12CD"/>
    <w:rsid w:val="00ED152B"/>
    <w:rsid w:val="00ED1D40"/>
    <w:rsid w:val="00ED1E85"/>
    <w:rsid w:val="00ED1FB1"/>
    <w:rsid w:val="00ED210D"/>
    <w:rsid w:val="00ED21D2"/>
    <w:rsid w:val="00ED2916"/>
    <w:rsid w:val="00ED2956"/>
    <w:rsid w:val="00ED29CB"/>
    <w:rsid w:val="00ED2A16"/>
    <w:rsid w:val="00ED2ABF"/>
    <w:rsid w:val="00ED2AC8"/>
    <w:rsid w:val="00ED2B6F"/>
    <w:rsid w:val="00ED2F2B"/>
    <w:rsid w:val="00ED2FEB"/>
    <w:rsid w:val="00ED309F"/>
    <w:rsid w:val="00ED3DAC"/>
    <w:rsid w:val="00ED3E80"/>
    <w:rsid w:val="00ED3F7C"/>
    <w:rsid w:val="00ED42ED"/>
    <w:rsid w:val="00ED47BC"/>
    <w:rsid w:val="00ED4B47"/>
    <w:rsid w:val="00ED5594"/>
    <w:rsid w:val="00ED55B6"/>
    <w:rsid w:val="00ED5650"/>
    <w:rsid w:val="00ED5705"/>
    <w:rsid w:val="00ED571B"/>
    <w:rsid w:val="00ED575F"/>
    <w:rsid w:val="00ED5790"/>
    <w:rsid w:val="00ED58BF"/>
    <w:rsid w:val="00ED59B2"/>
    <w:rsid w:val="00ED5A67"/>
    <w:rsid w:val="00ED6003"/>
    <w:rsid w:val="00ED6076"/>
    <w:rsid w:val="00ED6214"/>
    <w:rsid w:val="00ED6602"/>
    <w:rsid w:val="00ED667D"/>
    <w:rsid w:val="00ED6838"/>
    <w:rsid w:val="00ED68D1"/>
    <w:rsid w:val="00ED68E2"/>
    <w:rsid w:val="00ED6DE9"/>
    <w:rsid w:val="00ED6F0F"/>
    <w:rsid w:val="00ED71B1"/>
    <w:rsid w:val="00ED758F"/>
    <w:rsid w:val="00ED777E"/>
    <w:rsid w:val="00ED77EB"/>
    <w:rsid w:val="00ED7F12"/>
    <w:rsid w:val="00EE003A"/>
    <w:rsid w:val="00EE0173"/>
    <w:rsid w:val="00EE01A6"/>
    <w:rsid w:val="00EE02D8"/>
    <w:rsid w:val="00EE05C4"/>
    <w:rsid w:val="00EE0B62"/>
    <w:rsid w:val="00EE0D16"/>
    <w:rsid w:val="00EE1136"/>
    <w:rsid w:val="00EE11DE"/>
    <w:rsid w:val="00EE1554"/>
    <w:rsid w:val="00EE164F"/>
    <w:rsid w:val="00EE18EE"/>
    <w:rsid w:val="00EE1BD2"/>
    <w:rsid w:val="00EE1DD7"/>
    <w:rsid w:val="00EE2091"/>
    <w:rsid w:val="00EE271F"/>
    <w:rsid w:val="00EE2723"/>
    <w:rsid w:val="00EE2A31"/>
    <w:rsid w:val="00EE2A9E"/>
    <w:rsid w:val="00EE2AA5"/>
    <w:rsid w:val="00EE2D4E"/>
    <w:rsid w:val="00EE2D87"/>
    <w:rsid w:val="00EE3166"/>
    <w:rsid w:val="00EE31F9"/>
    <w:rsid w:val="00EE3713"/>
    <w:rsid w:val="00EE3829"/>
    <w:rsid w:val="00EE3E50"/>
    <w:rsid w:val="00EE4687"/>
    <w:rsid w:val="00EE4BC9"/>
    <w:rsid w:val="00EE4C51"/>
    <w:rsid w:val="00EE4F7B"/>
    <w:rsid w:val="00EE503E"/>
    <w:rsid w:val="00EE57CD"/>
    <w:rsid w:val="00EE587D"/>
    <w:rsid w:val="00EE5E70"/>
    <w:rsid w:val="00EE5EFA"/>
    <w:rsid w:val="00EE6100"/>
    <w:rsid w:val="00EE6517"/>
    <w:rsid w:val="00EE666A"/>
    <w:rsid w:val="00EE6803"/>
    <w:rsid w:val="00EE6ED9"/>
    <w:rsid w:val="00EE702F"/>
    <w:rsid w:val="00EE71A3"/>
    <w:rsid w:val="00EE72DF"/>
    <w:rsid w:val="00EE72E8"/>
    <w:rsid w:val="00EE745E"/>
    <w:rsid w:val="00EE74E0"/>
    <w:rsid w:val="00EE765A"/>
    <w:rsid w:val="00EE7682"/>
    <w:rsid w:val="00EE7BEA"/>
    <w:rsid w:val="00EE7BF8"/>
    <w:rsid w:val="00EF05FF"/>
    <w:rsid w:val="00EF0803"/>
    <w:rsid w:val="00EF08C8"/>
    <w:rsid w:val="00EF0976"/>
    <w:rsid w:val="00EF0ACB"/>
    <w:rsid w:val="00EF0B07"/>
    <w:rsid w:val="00EF0EE0"/>
    <w:rsid w:val="00EF1105"/>
    <w:rsid w:val="00EF1818"/>
    <w:rsid w:val="00EF190A"/>
    <w:rsid w:val="00EF1E3D"/>
    <w:rsid w:val="00EF1E9C"/>
    <w:rsid w:val="00EF2469"/>
    <w:rsid w:val="00EF26C7"/>
    <w:rsid w:val="00EF2C96"/>
    <w:rsid w:val="00EF2E83"/>
    <w:rsid w:val="00EF2E97"/>
    <w:rsid w:val="00EF3022"/>
    <w:rsid w:val="00EF325A"/>
    <w:rsid w:val="00EF37B7"/>
    <w:rsid w:val="00EF3800"/>
    <w:rsid w:val="00EF3AA1"/>
    <w:rsid w:val="00EF3C5C"/>
    <w:rsid w:val="00EF427C"/>
    <w:rsid w:val="00EF45FE"/>
    <w:rsid w:val="00EF4D18"/>
    <w:rsid w:val="00EF4EA2"/>
    <w:rsid w:val="00EF4F9F"/>
    <w:rsid w:val="00EF5010"/>
    <w:rsid w:val="00EF5283"/>
    <w:rsid w:val="00EF5893"/>
    <w:rsid w:val="00EF5B50"/>
    <w:rsid w:val="00EF5C39"/>
    <w:rsid w:val="00EF5F30"/>
    <w:rsid w:val="00EF6277"/>
    <w:rsid w:val="00EF66A4"/>
    <w:rsid w:val="00EF67BD"/>
    <w:rsid w:val="00EF6865"/>
    <w:rsid w:val="00EF6B3E"/>
    <w:rsid w:val="00EF6B58"/>
    <w:rsid w:val="00EF6CEE"/>
    <w:rsid w:val="00EF6F3B"/>
    <w:rsid w:val="00EF7131"/>
    <w:rsid w:val="00EF7305"/>
    <w:rsid w:val="00EF753D"/>
    <w:rsid w:val="00EF7A09"/>
    <w:rsid w:val="00EF7ACA"/>
    <w:rsid w:val="00EF7DD7"/>
    <w:rsid w:val="00EF7EB7"/>
    <w:rsid w:val="00EF7F5A"/>
    <w:rsid w:val="00F00059"/>
    <w:rsid w:val="00F00075"/>
    <w:rsid w:val="00F007DD"/>
    <w:rsid w:val="00F007FA"/>
    <w:rsid w:val="00F00992"/>
    <w:rsid w:val="00F00C4F"/>
    <w:rsid w:val="00F0113F"/>
    <w:rsid w:val="00F014FA"/>
    <w:rsid w:val="00F0165F"/>
    <w:rsid w:val="00F01756"/>
    <w:rsid w:val="00F01816"/>
    <w:rsid w:val="00F01B65"/>
    <w:rsid w:val="00F02306"/>
    <w:rsid w:val="00F024AD"/>
    <w:rsid w:val="00F02503"/>
    <w:rsid w:val="00F0285B"/>
    <w:rsid w:val="00F0291A"/>
    <w:rsid w:val="00F02B7A"/>
    <w:rsid w:val="00F02CD6"/>
    <w:rsid w:val="00F02EC9"/>
    <w:rsid w:val="00F0312D"/>
    <w:rsid w:val="00F03189"/>
    <w:rsid w:val="00F0339A"/>
    <w:rsid w:val="00F03776"/>
    <w:rsid w:val="00F03807"/>
    <w:rsid w:val="00F038D5"/>
    <w:rsid w:val="00F038DE"/>
    <w:rsid w:val="00F03939"/>
    <w:rsid w:val="00F03B1F"/>
    <w:rsid w:val="00F03C0F"/>
    <w:rsid w:val="00F03D35"/>
    <w:rsid w:val="00F03DC5"/>
    <w:rsid w:val="00F04050"/>
    <w:rsid w:val="00F0418D"/>
    <w:rsid w:val="00F0451C"/>
    <w:rsid w:val="00F049B7"/>
    <w:rsid w:val="00F04E48"/>
    <w:rsid w:val="00F05859"/>
    <w:rsid w:val="00F059B2"/>
    <w:rsid w:val="00F059EF"/>
    <w:rsid w:val="00F05A09"/>
    <w:rsid w:val="00F05ADF"/>
    <w:rsid w:val="00F05B28"/>
    <w:rsid w:val="00F06544"/>
    <w:rsid w:val="00F065EF"/>
    <w:rsid w:val="00F068F7"/>
    <w:rsid w:val="00F06ABC"/>
    <w:rsid w:val="00F06CC5"/>
    <w:rsid w:val="00F06EF2"/>
    <w:rsid w:val="00F07053"/>
    <w:rsid w:val="00F0710B"/>
    <w:rsid w:val="00F07110"/>
    <w:rsid w:val="00F0725A"/>
    <w:rsid w:val="00F07473"/>
    <w:rsid w:val="00F07640"/>
    <w:rsid w:val="00F077F2"/>
    <w:rsid w:val="00F07922"/>
    <w:rsid w:val="00F07BB9"/>
    <w:rsid w:val="00F07D9A"/>
    <w:rsid w:val="00F07F4C"/>
    <w:rsid w:val="00F07F98"/>
    <w:rsid w:val="00F102EC"/>
    <w:rsid w:val="00F104B7"/>
    <w:rsid w:val="00F10A4D"/>
    <w:rsid w:val="00F10AF1"/>
    <w:rsid w:val="00F10BCB"/>
    <w:rsid w:val="00F1137A"/>
    <w:rsid w:val="00F114F0"/>
    <w:rsid w:val="00F115C4"/>
    <w:rsid w:val="00F11608"/>
    <w:rsid w:val="00F11868"/>
    <w:rsid w:val="00F118DB"/>
    <w:rsid w:val="00F119C5"/>
    <w:rsid w:val="00F119EA"/>
    <w:rsid w:val="00F11F0A"/>
    <w:rsid w:val="00F12387"/>
    <w:rsid w:val="00F12472"/>
    <w:rsid w:val="00F125D7"/>
    <w:rsid w:val="00F127D3"/>
    <w:rsid w:val="00F12861"/>
    <w:rsid w:val="00F12B31"/>
    <w:rsid w:val="00F12C7B"/>
    <w:rsid w:val="00F12D19"/>
    <w:rsid w:val="00F1328B"/>
    <w:rsid w:val="00F13298"/>
    <w:rsid w:val="00F13996"/>
    <w:rsid w:val="00F140BC"/>
    <w:rsid w:val="00F140C0"/>
    <w:rsid w:val="00F1419E"/>
    <w:rsid w:val="00F1432D"/>
    <w:rsid w:val="00F14482"/>
    <w:rsid w:val="00F14542"/>
    <w:rsid w:val="00F14705"/>
    <w:rsid w:val="00F1497A"/>
    <w:rsid w:val="00F14A27"/>
    <w:rsid w:val="00F14C0E"/>
    <w:rsid w:val="00F14E01"/>
    <w:rsid w:val="00F14F61"/>
    <w:rsid w:val="00F15197"/>
    <w:rsid w:val="00F1536E"/>
    <w:rsid w:val="00F157BE"/>
    <w:rsid w:val="00F159C0"/>
    <w:rsid w:val="00F15B07"/>
    <w:rsid w:val="00F15BEA"/>
    <w:rsid w:val="00F15C27"/>
    <w:rsid w:val="00F15C2D"/>
    <w:rsid w:val="00F15DB4"/>
    <w:rsid w:val="00F160C0"/>
    <w:rsid w:val="00F16176"/>
    <w:rsid w:val="00F16417"/>
    <w:rsid w:val="00F16531"/>
    <w:rsid w:val="00F165D1"/>
    <w:rsid w:val="00F16DBB"/>
    <w:rsid w:val="00F16DCD"/>
    <w:rsid w:val="00F170E4"/>
    <w:rsid w:val="00F1721C"/>
    <w:rsid w:val="00F174D4"/>
    <w:rsid w:val="00F1753D"/>
    <w:rsid w:val="00F17621"/>
    <w:rsid w:val="00F176B8"/>
    <w:rsid w:val="00F17745"/>
    <w:rsid w:val="00F17A9E"/>
    <w:rsid w:val="00F17B23"/>
    <w:rsid w:val="00F17DDE"/>
    <w:rsid w:val="00F2014B"/>
    <w:rsid w:val="00F2020B"/>
    <w:rsid w:val="00F2079A"/>
    <w:rsid w:val="00F20A5E"/>
    <w:rsid w:val="00F20F00"/>
    <w:rsid w:val="00F20F7F"/>
    <w:rsid w:val="00F2118F"/>
    <w:rsid w:val="00F21226"/>
    <w:rsid w:val="00F21239"/>
    <w:rsid w:val="00F21561"/>
    <w:rsid w:val="00F2165A"/>
    <w:rsid w:val="00F21734"/>
    <w:rsid w:val="00F21780"/>
    <w:rsid w:val="00F2187D"/>
    <w:rsid w:val="00F21936"/>
    <w:rsid w:val="00F219B1"/>
    <w:rsid w:val="00F21A94"/>
    <w:rsid w:val="00F21C93"/>
    <w:rsid w:val="00F21D91"/>
    <w:rsid w:val="00F21E49"/>
    <w:rsid w:val="00F22238"/>
    <w:rsid w:val="00F22609"/>
    <w:rsid w:val="00F226F1"/>
    <w:rsid w:val="00F227DC"/>
    <w:rsid w:val="00F2282C"/>
    <w:rsid w:val="00F22962"/>
    <w:rsid w:val="00F22C29"/>
    <w:rsid w:val="00F22CBD"/>
    <w:rsid w:val="00F22D26"/>
    <w:rsid w:val="00F22D7F"/>
    <w:rsid w:val="00F22E0C"/>
    <w:rsid w:val="00F22EA1"/>
    <w:rsid w:val="00F22FE8"/>
    <w:rsid w:val="00F2303C"/>
    <w:rsid w:val="00F2335E"/>
    <w:rsid w:val="00F2343E"/>
    <w:rsid w:val="00F2353E"/>
    <w:rsid w:val="00F237F8"/>
    <w:rsid w:val="00F23825"/>
    <w:rsid w:val="00F23B7B"/>
    <w:rsid w:val="00F23D7D"/>
    <w:rsid w:val="00F23DF9"/>
    <w:rsid w:val="00F23F1F"/>
    <w:rsid w:val="00F23F84"/>
    <w:rsid w:val="00F2410B"/>
    <w:rsid w:val="00F245F9"/>
    <w:rsid w:val="00F249E5"/>
    <w:rsid w:val="00F24B61"/>
    <w:rsid w:val="00F24CC6"/>
    <w:rsid w:val="00F24EA3"/>
    <w:rsid w:val="00F24F36"/>
    <w:rsid w:val="00F24F68"/>
    <w:rsid w:val="00F254AA"/>
    <w:rsid w:val="00F25901"/>
    <w:rsid w:val="00F26079"/>
    <w:rsid w:val="00F262CB"/>
    <w:rsid w:val="00F26430"/>
    <w:rsid w:val="00F267CC"/>
    <w:rsid w:val="00F269F6"/>
    <w:rsid w:val="00F26B20"/>
    <w:rsid w:val="00F26D47"/>
    <w:rsid w:val="00F26F27"/>
    <w:rsid w:val="00F27047"/>
    <w:rsid w:val="00F272F5"/>
    <w:rsid w:val="00F27602"/>
    <w:rsid w:val="00F276F4"/>
    <w:rsid w:val="00F27723"/>
    <w:rsid w:val="00F27834"/>
    <w:rsid w:val="00F27D11"/>
    <w:rsid w:val="00F27DC4"/>
    <w:rsid w:val="00F27E10"/>
    <w:rsid w:val="00F30093"/>
    <w:rsid w:val="00F302CD"/>
    <w:rsid w:val="00F302DF"/>
    <w:rsid w:val="00F30AAB"/>
    <w:rsid w:val="00F30CE1"/>
    <w:rsid w:val="00F30D5E"/>
    <w:rsid w:val="00F30F39"/>
    <w:rsid w:val="00F3117B"/>
    <w:rsid w:val="00F31961"/>
    <w:rsid w:val="00F32174"/>
    <w:rsid w:val="00F328AE"/>
    <w:rsid w:val="00F32ADE"/>
    <w:rsid w:val="00F331D0"/>
    <w:rsid w:val="00F3355A"/>
    <w:rsid w:val="00F33996"/>
    <w:rsid w:val="00F33B32"/>
    <w:rsid w:val="00F33D6B"/>
    <w:rsid w:val="00F343B0"/>
    <w:rsid w:val="00F34517"/>
    <w:rsid w:val="00F347F6"/>
    <w:rsid w:val="00F3496F"/>
    <w:rsid w:val="00F34EF8"/>
    <w:rsid w:val="00F35052"/>
    <w:rsid w:val="00F352A5"/>
    <w:rsid w:val="00F3554B"/>
    <w:rsid w:val="00F3572F"/>
    <w:rsid w:val="00F35A92"/>
    <w:rsid w:val="00F35AFE"/>
    <w:rsid w:val="00F35F94"/>
    <w:rsid w:val="00F361CA"/>
    <w:rsid w:val="00F3656F"/>
    <w:rsid w:val="00F3674D"/>
    <w:rsid w:val="00F3685E"/>
    <w:rsid w:val="00F36AFF"/>
    <w:rsid w:val="00F36B9F"/>
    <w:rsid w:val="00F37232"/>
    <w:rsid w:val="00F37A4E"/>
    <w:rsid w:val="00F37D20"/>
    <w:rsid w:val="00F40239"/>
    <w:rsid w:val="00F40494"/>
    <w:rsid w:val="00F406F2"/>
    <w:rsid w:val="00F4071F"/>
    <w:rsid w:val="00F40894"/>
    <w:rsid w:val="00F41194"/>
    <w:rsid w:val="00F414AE"/>
    <w:rsid w:val="00F414EF"/>
    <w:rsid w:val="00F414F9"/>
    <w:rsid w:val="00F4158A"/>
    <w:rsid w:val="00F415CC"/>
    <w:rsid w:val="00F41C0E"/>
    <w:rsid w:val="00F41CE1"/>
    <w:rsid w:val="00F4209C"/>
    <w:rsid w:val="00F4234E"/>
    <w:rsid w:val="00F4235C"/>
    <w:rsid w:val="00F42487"/>
    <w:rsid w:val="00F42509"/>
    <w:rsid w:val="00F42929"/>
    <w:rsid w:val="00F42B1E"/>
    <w:rsid w:val="00F43622"/>
    <w:rsid w:val="00F43F18"/>
    <w:rsid w:val="00F44025"/>
    <w:rsid w:val="00F4408E"/>
    <w:rsid w:val="00F449AF"/>
    <w:rsid w:val="00F44A11"/>
    <w:rsid w:val="00F44B84"/>
    <w:rsid w:val="00F44BEE"/>
    <w:rsid w:val="00F44EDB"/>
    <w:rsid w:val="00F4504D"/>
    <w:rsid w:val="00F45382"/>
    <w:rsid w:val="00F45ACC"/>
    <w:rsid w:val="00F45F0B"/>
    <w:rsid w:val="00F46029"/>
    <w:rsid w:val="00F46204"/>
    <w:rsid w:val="00F46414"/>
    <w:rsid w:val="00F46487"/>
    <w:rsid w:val="00F4654B"/>
    <w:rsid w:val="00F46A00"/>
    <w:rsid w:val="00F46C64"/>
    <w:rsid w:val="00F475D8"/>
    <w:rsid w:val="00F475DD"/>
    <w:rsid w:val="00F477A0"/>
    <w:rsid w:val="00F47B0E"/>
    <w:rsid w:val="00F47F52"/>
    <w:rsid w:val="00F50117"/>
    <w:rsid w:val="00F504BC"/>
    <w:rsid w:val="00F505CD"/>
    <w:rsid w:val="00F5092B"/>
    <w:rsid w:val="00F51183"/>
    <w:rsid w:val="00F516DB"/>
    <w:rsid w:val="00F51787"/>
    <w:rsid w:val="00F5217E"/>
    <w:rsid w:val="00F5270F"/>
    <w:rsid w:val="00F529A4"/>
    <w:rsid w:val="00F52E72"/>
    <w:rsid w:val="00F53187"/>
    <w:rsid w:val="00F533BB"/>
    <w:rsid w:val="00F53477"/>
    <w:rsid w:val="00F5356D"/>
    <w:rsid w:val="00F53A05"/>
    <w:rsid w:val="00F53A5B"/>
    <w:rsid w:val="00F53B9F"/>
    <w:rsid w:val="00F53BEB"/>
    <w:rsid w:val="00F53DC8"/>
    <w:rsid w:val="00F5411A"/>
    <w:rsid w:val="00F5416A"/>
    <w:rsid w:val="00F5455E"/>
    <w:rsid w:val="00F545CB"/>
    <w:rsid w:val="00F5466F"/>
    <w:rsid w:val="00F54719"/>
    <w:rsid w:val="00F548F3"/>
    <w:rsid w:val="00F54C0B"/>
    <w:rsid w:val="00F54FD1"/>
    <w:rsid w:val="00F5595D"/>
    <w:rsid w:val="00F55ACF"/>
    <w:rsid w:val="00F55F6C"/>
    <w:rsid w:val="00F55FBA"/>
    <w:rsid w:val="00F56019"/>
    <w:rsid w:val="00F56239"/>
    <w:rsid w:val="00F5624B"/>
    <w:rsid w:val="00F56473"/>
    <w:rsid w:val="00F568C6"/>
    <w:rsid w:val="00F568E7"/>
    <w:rsid w:val="00F56924"/>
    <w:rsid w:val="00F56964"/>
    <w:rsid w:val="00F569A0"/>
    <w:rsid w:val="00F569D9"/>
    <w:rsid w:val="00F56ADA"/>
    <w:rsid w:val="00F56ADF"/>
    <w:rsid w:val="00F56AF8"/>
    <w:rsid w:val="00F56C48"/>
    <w:rsid w:val="00F56CB0"/>
    <w:rsid w:val="00F56D32"/>
    <w:rsid w:val="00F57115"/>
    <w:rsid w:val="00F571D9"/>
    <w:rsid w:val="00F5728F"/>
    <w:rsid w:val="00F57331"/>
    <w:rsid w:val="00F5738F"/>
    <w:rsid w:val="00F574FE"/>
    <w:rsid w:val="00F57849"/>
    <w:rsid w:val="00F57BB0"/>
    <w:rsid w:val="00F57BB8"/>
    <w:rsid w:val="00F57EBA"/>
    <w:rsid w:val="00F60083"/>
    <w:rsid w:val="00F601D5"/>
    <w:rsid w:val="00F6044E"/>
    <w:rsid w:val="00F606C1"/>
    <w:rsid w:val="00F6081F"/>
    <w:rsid w:val="00F60B59"/>
    <w:rsid w:val="00F60DD6"/>
    <w:rsid w:val="00F60E1E"/>
    <w:rsid w:val="00F611F6"/>
    <w:rsid w:val="00F6139D"/>
    <w:rsid w:val="00F6154A"/>
    <w:rsid w:val="00F615E0"/>
    <w:rsid w:val="00F61662"/>
    <w:rsid w:val="00F618F5"/>
    <w:rsid w:val="00F619C7"/>
    <w:rsid w:val="00F61A19"/>
    <w:rsid w:val="00F61AA1"/>
    <w:rsid w:val="00F61B31"/>
    <w:rsid w:val="00F61CC2"/>
    <w:rsid w:val="00F62022"/>
    <w:rsid w:val="00F6222A"/>
    <w:rsid w:val="00F62403"/>
    <w:rsid w:val="00F6255B"/>
    <w:rsid w:val="00F626FF"/>
    <w:rsid w:val="00F62A43"/>
    <w:rsid w:val="00F62A7E"/>
    <w:rsid w:val="00F62B90"/>
    <w:rsid w:val="00F62C00"/>
    <w:rsid w:val="00F62C1C"/>
    <w:rsid w:val="00F62E74"/>
    <w:rsid w:val="00F62F9D"/>
    <w:rsid w:val="00F630A1"/>
    <w:rsid w:val="00F63147"/>
    <w:rsid w:val="00F635C3"/>
    <w:rsid w:val="00F63B8F"/>
    <w:rsid w:val="00F63C05"/>
    <w:rsid w:val="00F63F18"/>
    <w:rsid w:val="00F63F7E"/>
    <w:rsid w:val="00F63FD5"/>
    <w:rsid w:val="00F648DE"/>
    <w:rsid w:val="00F649A1"/>
    <w:rsid w:val="00F64C43"/>
    <w:rsid w:val="00F64FBD"/>
    <w:rsid w:val="00F6567B"/>
    <w:rsid w:val="00F65BB1"/>
    <w:rsid w:val="00F65FCF"/>
    <w:rsid w:val="00F661B4"/>
    <w:rsid w:val="00F6620D"/>
    <w:rsid w:val="00F6677E"/>
    <w:rsid w:val="00F668A2"/>
    <w:rsid w:val="00F669CB"/>
    <w:rsid w:val="00F66C6B"/>
    <w:rsid w:val="00F67043"/>
    <w:rsid w:val="00F6717B"/>
    <w:rsid w:val="00F67337"/>
    <w:rsid w:val="00F673BA"/>
    <w:rsid w:val="00F6780C"/>
    <w:rsid w:val="00F6780F"/>
    <w:rsid w:val="00F678F0"/>
    <w:rsid w:val="00F702DE"/>
    <w:rsid w:val="00F70482"/>
    <w:rsid w:val="00F7048D"/>
    <w:rsid w:val="00F7066E"/>
    <w:rsid w:val="00F706EA"/>
    <w:rsid w:val="00F706F8"/>
    <w:rsid w:val="00F70EA9"/>
    <w:rsid w:val="00F710DA"/>
    <w:rsid w:val="00F713FA"/>
    <w:rsid w:val="00F7150B"/>
    <w:rsid w:val="00F715FD"/>
    <w:rsid w:val="00F71770"/>
    <w:rsid w:val="00F71B11"/>
    <w:rsid w:val="00F71E09"/>
    <w:rsid w:val="00F71F07"/>
    <w:rsid w:val="00F72278"/>
    <w:rsid w:val="00F72435"/>
    <w:rsid w:val="00F7262A"/>
    <w:rsid w:val="00F72B38"/>
    <w:rsid w:val="00F730C3"/>
    <w:rsid w:val="00F7321E"/>
    <w:rsid w:val="00F73556"/>
    <w:rsid w:val="00F735A0"/>
    <w:rsid w:val="00F73739"/>
    <w:rsid w:val="00F73857"/>
    <w:rsid w:val="00F73BD0"/>
    <w:rsid w:val="00F73D5C"/>
    <w:rsid w:val="00F73F06"/>
    <w:rsid w:val="00F744B8"/>
    <w:rsid w:val="00F745B2"/>
    <w:rsid w:val="00F74699"/>
    <w:rsid w:val="00F746AE"/>
    <w:rsid w:val="00F74887"/>
    <w:rsid w:val="00F750CC"/>
    <w:rsid w:val="00F75394"/>
    <w:rsid w:val="00F75784"/>
    <w:rsid w:val="00F758A2"/>
    <w:rsid w:val="00F7606F"/>
    <w:rsid w:val="00F76205"/>
    <w:rsid w:val="00F763A6"/>
    <w:rsid w:val="00F766EF"/>
    <w:rsid w:val="00F767DC"/>
    <w:rsid w:val="00F76EEA"/>
    <w:rsid w:val="00F76FDC"/>
    <w:rsid w:val="00F770BB"/>
    <w:rsid w:val="00F7710F"/>
    <w:rsid w:val="00F775C6"/>
    <w:rsid w:val="00F77640"/>
    <w:rsid w:val="00F77A52"/>
    <w:rsid w:val="00F77CC0"/>
    <w:rsid w:val="00F77E26"/>
    <w:rsid w:val="00F808AB"/>
    <w:rsid w:val="00F80A0D"/>
    <w:rsid w:val="00F80A11"/>
    <w:rsid w:val="00F80CD5"/>
    <w:rsid w:val="00F80F18"/>
    <w:rsid w:val="00F80F2A"/>
    <w:rsid w:val="00F81264"/>
    <w:rsid w:val="00F81493"/>
    <w:rsid w:val="00F81AAA"/>
    <w:rsid w:val="00F81C88"/>
    <w:rsid w:val="00F81E02"/>
    <w:rsid w:val="00F81EB5"/>
    <w:rsid w:val="00F824D2"/>
    <w:rsid w:val="00F825DF"/>
    <w:rsid w:val="00F82785"/>
    <w:rsid w:val="00F827A5"/>
    <w:rsid w:val="00F828CD"/>
    <w:rsid w:val="00F82B75"/>
    <w:rsid w:val="00F82C0E"/>
    <w:rsid w:val="00F82DC4"/>
    <w:rsid w:val="00F82DEF"/>
    <w:rsid w:val="00F82E98"/>
    <w:rsid w:val="00F82F53"/>
    <w:rsid w:val="00F830FB"/>
    <w:rsid w:val="00F834B5"/>
    <w:rsid w:val="00F837F1"/>
    <w:rsid w:val="00F83AFC"/>
    <w:rsid w:val="00F83D55"/>
    <w:rsid w:val="00F83F3A"/>
    <w:rsid w:val="00F83F58"/>
    <w:rsid w:val="00F83FBE"/>
    <w:rsid w:val="00F8448E"/>
    <w:rsid w:val="00F844CD"/>
    <w:rsid w:val="00F8487E"/>
    <w:rsid w:val="00F84D13"/>
    <w:rsid w:val="00F84E27"/>
    <w:rsid w:val="00F8523D"/>
    <w:rsid w:val="00F85334"/>
    <w:rsid w:val="00F853AB"/>
    <w:rsid w:val="00F853BB"/>
    <w:rsid w:val="00F8545D"/>
    <w:rsid w:val="00F85C1C"/>
    <w:rsid w:val="00F85E7A"/>
    <w:rsid w:val="00F867AD"/>
    <w:rsid w:val="00F867B4"/>
    <w:rsid w:val="00F868FE"/>
    <w:rsid w:val="00F86D20"/>
    <w:rsid w:val="00F8719E"/>
    <w:rsid w:val="00F873D0"/>
    <w:rsid w:val="00F87DDE"/>
    <w:rsid w:val="00F87E77"/>
    <w:rsid w:val="00F87F2D"/>
    <w:rsid w:val="00F90043"/>
    <w:rsid w:val="00F90108"/>
    <w:rsid w:val="00F901F7"/>
    <w:rsid w:val="00F906A3"/>
    <w:rsid w:val="00F90C36"/>
    <w:rsid w:val="00F90CBF"/>
    <w:rsid w:val="00F90CF0"/>
    <w:rsid w:val="00F90F32"/>
    <w:rsid w:val="00F912D0"/>
    <w:rsid w:val="00F91350"/>
    <w:rsid w:val="00F918CE"/>
    <w:rsid w:val="00F9194C"/>
    <w:rsid w:val="00F91995"/>
    <w:rsid w:val="00F91B7F"/>
    <w:rsid w:val="00F91D97"/>
    <w:rsid w:val="00F91E40"/>
    <w:rsid w:val="00F924D2"/>
    <w:rsid w:val="00F924DC"/>
    <w:rsid w:val="00F92745"/>
    <w:rsid w:val="00F92999"/>
    <w:rsid w:val="00F92B04"/>
    <w:rsid w:val="00F92FA0"/>
    <w:rsid w:val="00F9305E"/>
    <w:rsid w:val="00F93260"/>
    <w:rsid w:val="00F9368A"/>
    <w:rsid w:val="00F93966"/>
    <w:rsid w:val="00F93E03"/>
    <w:rsid w:val="00F93EB3"/>
    <w:rsid w:val="00F93F9E"/>
    <w:rsid w:val="00F94013"/>
    <w:rsid w:val="00F94613"/>
    <w:rsid w:val="00F94694"/>
    <w:rsid w:val="00F9486D"/>
    <w:rsid w:val="00F9499D"/>
    <w:rsid w:val="00F94A2B"/>
    <w:rsid w:val="00F94B6C"/>
    <w:rsid w:val="00F94E0F"/>
    <w:rsid w:val="00F94EF6"/>
    <w:rsid w:val="00F95054"/>
    <w:rsid w:val="00F95554"/>
    <w:rsid w:val="00F95BE2"/>
    <w:rsid w:val="00F95C60"/>
    <w:rsid w:val="00F95CF1"/>
    <w:rsid w:val="00F96278"/>
    <w:rsid w:val="00F962B9"/>
    <w:rsid w:val="00F9634D"/>
    <w:rsid w:val="00F96BD7"/>
    <w:rsid w:val="00F97138"/>
    <w:rsid w:val="00F97149"/>
    <w:rsid w:val="00F9720B"/>
    <w:rsid w:val="00F97528"/>
    <w:rsid w:val="00F97577"/>
    <w:rsid w:val="00F975B6"/>
    <w:rsid w:val="00F97930"/>
    <w:rsid w:val="00F9795E"/>
    <w:rsid w:val="00F97C2E"/>
    <w:rsid w:val="00FA023F"/>
    <w:rsid w:val="00FA02E5"/>
    <w:rsid w:val="00FA0823"/>
    <w:rsid w:val="00FA0B26"/>
    <w:rsid w:val="00FA0E28"/>
    <w:rsid w:val="00FA0E83"/>
    <w:rsid w:val="00FA1519"/>
    <w:rsid w:val="00FA1CF5"/>
    <w:rsid w:val="00FA1D2A"/>
    <w:rsid w:val="00FA2181"/>
    <w:rsid w:val="00FA22E7"/>
    <w:rsid w:val="00FA27CA"/>
    <w:rsid w:val="00FA287C"/>
    <w:rsid w:val="00FA288A"/>
    <w:rsid w:val="00FA2A54"/>
    <w:rsid w:val="00FA3022"/>
    <w:rsid w:val="00FA35CB"/>
    <w:rsid w:val="00FA3662"/>
    <w:rsid w:val="00FA3AFC"/>
    <w:rsid w:val="00FA3B03"/>
    <w:rsid w:val="00FA3C1C"/>
    <w:rsid w:val="00FA3CE7"/>
    <w:rsid w:val="00FA412D"/>
    <w:rsid w:val="00FA445E"/>
    <w:rsid w:val="00FA4956"/>
    <w:rsid w:val="00FA49F1"/>
    <w:rsid w:val="00FA4F75"/>
    <w:rsid w:val="00FA5018"/>
    <w:rsid w:val="00FA55B4"/>
    <w:rsid w:val="00FA57DC"/>
    <w:rsid w:val="00FA57FC"/>
    <w:rsid w:val="00FA58AD"/>
    <w:rsid w:val="00FA5BED"/>
    <w:rsid w:val="00FA6113"/>
    <w:rsid w:val="00FA6327"/>
    <w:rsid w:val="00FA638D"/>
    <w:rsid w:val="00FA640E"/>
    <w:rsid w:val="00FA645B"/>
    <w:rsid w:val="00FA66E1"/>
    <w:rsid w:val="00FA6808"/>
    <w:rsid w:val="00FA68D5"/>
    <w:rsid w:val="00FA6BD1"/>
    <w:rsid w:val="00FA6C57"/>
    <w:rsid w:val="00FA763C"/>
    <w:rsid w:val="00FA774F"/>
    <w:rsid w:val="00FA7912"/>
    <w:rsid w:val="00FA79C0"/>
    <w:rsid w:val="00FA7C2B"/>
    <w:rsid w:val="00FA7F26"/>
    <w:rsid w:val="00FB01D6"/>
    <w:rsid w:val="00FB021A"/>
    <w:rsid w:val="00FB0515"/>
    <w:rsid w:val="00FB0852"/>
    <w:rsid w:val="00FB0B24"/>
    <w:rsid w:val="00FB0B58"/>
    <w:rsid w:val="00FB0E42"/>
    <w:rsid w:val="00FB0EF2"/>
    <w:rsid w:val="00FB1234"/>
    <w:rsid w:val="00FB15BC"/>
    <w:rsid w:val="00FB168D"/>
    <w:rsid w:val="00FB1873"/>
    <w:rsid w:val="00FB1BDA"/>
    <w:rsid w:val="00FB1C53"/>
    <w:rsid w:val="00FB1DA0"/>
    <w:rsid w:val="00FB20CA"/>
    <w:rsid w:val="00FB216D"/>
    <w:rsid w:val="00FB2214"/>
    <w:rsid w:val="00FB233F"/>
    <w:rsid w:val="00FB289B"/>
    <w:rsid w:val="00FB2C67"/>
    <w:rsid w:val="00FB2E12"/>
    <w:rsid w:val="00FB2FB2"/>
    <w:rsid w:val="00FB3449"/>
    <w:rsid w:val="00FB3754"/>
    <w:rsid w:val="00FB3879"/>
    <w:rsid w:val="00FB3A26"/>
    <w:rsid w:val="00FB3DE7"/>
    <w:rsid w:val="00FB3E2C"/>
    <w:rsid w:val="00FB3FE3"/>
    <w:rsid w:val="00FB4053"/>
    <w:rsid w:val="00FB4124"/>
    <w:rsid w:val="00FB446E"/>
    <w:rsid w:val="00FB49A1"/>
    <w:rsid w:val="00FB4C72"/>
    <w:rsid w:val="00FB5176"/>
    <w:rsid w:val="00FB5258"/>
    <w:rsid w:val="00FB54D4"/>
    <w:rsid w:val="00FB5509"/>
    <w:rsid w:val="00FB5539"/>
    <w:rsid w:val="00FB5685"/>
    <w:rsid w:val="00FB5A1E"/>
    <w:rsid w:val="00FB5D54"/>
    <w:rsid w:val="00FB5DE7"/>
    <w:rsid w:val="00FB5E48"/>
    <w:rsid w:val="00FB61CD"/>
    <w:rsid w:val="00FB620E"/>
    <w:rsid w:val="00FB6646"/>
    <w:rsid w:val="00FB6991"/>
    <w:rsid w:val="00FB6D2E"/>
    <w:rsid w:val="00FB732F"/>
    <w:rsid w:val="00FB740D"/>
    <w:rsid w:val="00FB7AFB"/>
    <w:rsid w:val="00FB7B75"/>
    <w:rsid w:val="00FB7C90"/>
    <w:rsid w:val="00FB7E1A"/>
    <w:rsid w:val="00FC0406"/>
    <w:rsid w:val="00FC0532"/>
    <w:rsid w:val="00FC058C"/>
    <w:rsid w:val="00FC0F8F"/>
    <w:rsid w:val="00FC128E"/>
    <w:rsid w:val="00FC1530"/>
    <w:rsid w:val="00FC17C8"/>
    <w:rsid w:val="00FC1E43"/>
    <w:rsid w:val="00FC20EF"/>
    <w:rsid w:val="00FC22E2"/>
    <w:rsid w:val="00FC24CF"/>
    <w:rsid w:val="00FC251A"/>
    <w:rsid w:val="00FC2775"/>
    <w:rsid w:val="00FC280F"/>
    <w:rsid w:val="00FC2C2B"/>
    <w:rsid w:val="00FC31EE"/>
    <w:rsid w:val="00FC3480"/>
    <w:rsid w:val="00FC3608"/>
    <w:rsid w:val="00FC36A9"/>
    <w:rsid w:val="00FC38BA"/>
    <w:rsid w:val="00FC38D9"/>
    <w:rsid w:val="00FC3B16"/>
    <w:rsid w:val="00FC3B1D"/>
    <w:rsid w:val="00FC3FB0"/>
    <w:rsid w:val="00FC3FDF"/>
    <w:rsid w:val="00FC4216"/>
    <w:rsid w:val="00FC4502"/>
    <w:rsid w:val="00FC4765"/>
    <w:rsid w:val="00FC4847"/>
    <w:rsid w:val="00FC4885"/>
    <w:rsid w:val="00FC493D"/>
    <w:rsid w:val="00FC4987"/>
    <w:rsid w:val="00FC4C8A"/>
    <w:rsid w:val="00FC4D40"/>
    <w:rsid w:val="00FC4DE7"/>
    <w:rsid w:val="00FC51D2"/>
    <w:rsid w:val="00FC5200"/>
    <w:rsid w:val="00FC54FA"/>
    <w:rsid w:val="00FC5B3A"/>
    <w:rsid w:val="00FC5B86"/>
    <w:rsid w:val="00FC5B8F"/>
    <w:rsid w:val="00FC5BCA"/>
    <w:rsid w:val="00FC5E19"/>
    <w:rsid w:val="00FC6145"/>
    <w:rsid w:val="00FC62C4"/>
    <w:rsid w:val="00FC6695"/>
    <w:rsid w:val="00FC66DF"/>
    <w:rsid w:val="00FC6863"/>
    <w:rsid w:val="00FC6918"/>
    <w:rsid w:val="00FC6A16"/>
    <w:rsid w:val="00FC6AC0"/>
    <w:rsid w:val="00FC7013"/>
    <w:rsid w:val="00FC715E"/>
    <w:rsid w:val="00FC72AE"/>
    <w:rsid w:val="00FC734F"/>
    <w:rsid w:val="00FC77C4"/>
    <w:rsid w:val="00FC782C"/>
    <w:rsid w:val="00FC7E67"/>
    <w:rsid w:val="00FC7F3D"/>
    <w:rsid w:val="00FD01B4"/>
    <w:rsid w:val="00FD0200"/>
    <w:rsid w:val="00FD055E"/>
    <w:rsid w:val="00FD0581"/>
    <w:rsid w:val="00FD060E"/>
    <w:rsid w:val="00FD08AC"/>
    <w:rsid w:val="00FD0A69"/>
    <w:rsid w:val="00FD0A7E"/>
    <w:rsid w:val="00FD0C8E"/>
    <w:rsid w:val="00FD13A6"/>
    <w:rsid w:val="00FD14F1"/>
    <w:rsid w:val="00FD16DA"/>
    <w:rsid w:val="00FD1B35"/>
    <w:rsid w:val="00FD20D8"/>
    <w:rsid w:val="00FD2125"/>
    <w:rsid w:val="00FD2210"/>
    <w:rsid w:val="00FD2339"/>
    <w:rsid w:val="00FD244E"/>
    <w:rsid w:val="00FD2643"/>
    <w:rsid w:val="00FD2674"/>
    <w:rsid w:val="00FD2902"/>
    <w:rsid w:val="00FD2B08"/>
    <w:rsid w:val="00FD2BF9"/>
    <w:rsid w:val="00FD34DE"/>
    <w:rsid w:val="00FD36BF"/>
    <w:rsid w:val="00FD388D"/>
    <w:rsid w:val="00FD3C50"/>
    <w:rsid w:val="00FD3CBE"/>
    <w:rsid w:val="00FD4106"/>
    <w:rsid w:val="00FD41D7"/>
    <w:rsid w:val="00FD44AD"/>
    <w:rsid w:val="00FD483B"/>
    <w:rsid w:val="00FD4963"/>
    <w:rsid w:val="00FD4DA4"/>
    <w:rsid w:val="00FD516B"/>
    <w:rsid w:val="00FD518D"/>
    <w:rsid w:val="00FD51E3"/>
    <w:rsid w:val="00FD528C"/>
    <w:rsid w:val="00FD52D0"/>
    <w:rsid w:val="00FD5533"/>
    <w:rsid w:val="00FD5AA3"/>
    <w:rsid w:val="00FD5FB0"/>
    <w:rsid w:val="00FD628D"/>
    <w:rsid w:val="00FD64E4"/>
    <w:rsid w:val="00FD6A4B"/>
    <w:rsid w:val="00FD6C90"/>
    <w:rsid w:val="00FD6ECD"/>
    <w:rsid w:val="00FD7216"/>
    <w:rsid w:val="00FD7519"/>
    <w:rsid w:val="00FD770A"/>
    <w:rsid w:val="00FD7DCE"/>
    <w:rsid w:val="00FD7F22"/>
    <w:rsid w:val="00FE0021"/>
    <w:rsid w:val="00FE0226"/>
    <w:rsid w:val="00FE034A"/>
    <w:rsid w:val="00FE03A7"/>
    <w:rsid w:val="00FE08EA"/>
    <w:rsid w:val="00FE08F8"/>
    <w:rsid w:val="00FE1102"/>
    <w:rsid w:val="00FE12C1"/>
    <w:rsid w:val="00FE13AB"/>
    <w:rsid w:val="00FE1B37"/>
    <w:rsid w:val="00FE1F6B"/>
    <w:rsid w:val="00FE2036"/>
    <w:rsid w:val="00FE22C9"/>
    <w:rsid w:val="00FE2491"/>
    <w:rsid w:val="00FE24AF"/>
    <w:rsid w:val="00FE24B6"/>
    <w:rsid w:val="00FE26BD"/>
    <w:rsid w:val="00FE2A63"/>
    <w:rsid w:val="00FE312D"/>
    <w:rsid w:val="00FE323F"/>
    <w:rsid w:val="00FE37CB"/>
    <w:rsid w:val="00FE3A4E"/>
    <w:rsid w:val="00FE4333"/>
    <w:rsid w:val="00FE43CF"/>
    <w:rsid w:val="00FE468F"/>
    <w:rsid w:val="00FE4942"/>
    <w:rsid w:val="00FE4A0C"/>
    <w:rsid w:val="00FE4AF7"/>
    <w:rsid w:val="00FE4E0E"/>
    <w:rsid w:val="00FE50E2"/>
    <w:rsid w:val="00FE5316"/>
    <w:rsid w:val="00FE5913"/>
    <w:rsid w:val="00FE598E"/>
    <w:rsid w:val="00FE5D98"/>
    <w:rsid w:val="00FE62B0"/>
    <w:rsid w:val="00FE6809"/>
    <w:rsid w:val="00FE6BE2"/>
    <w:rsid w:val="00FE6F54"/>
    <w:rsid w:val="00FE70B7"/>
    <w:rsid w:val="00FE715D"/>
    <w:rsid w:val="00FE71DC"/>
    <w:rsid w:val="00FE73F3"/>
    <w:rsid w:val="00FE746A"/>
    <w:rsid w:val="00FE76C4"/>
    <w:rsid w:val="00FE788A"/>
    <w:rsid w:val="00FE7D2A"/>
    <w:rsid w:val="00FE7DF0"/>
    <w:rsid w:val="00FF00A1"/>
    <w:rsid w:val="00FF0348"/>
    <w:rsid w:val="00FF0470"/>
    <w:rsid w:val="00FF07FC"/>
    <w:rsid w:val="00FF0D80"/>
    <w:rsid w:val="00FF12A0"/>
    <w:rsid w:val="00FF1360"/>
    <w:rsid w:val="00FF13F7"/>
    <w:rsid w:val="00FF1980"/>
    <w:rsid w:val="00FF1B45"/>
    <w:rsid w:val="00FF20B1"/>
    <w:rsid w:val="00FF20E8"/>
    <w:rsid w:val="00FF23F7"/>
    <w:rsid w:val="00FF2411"/>
    <w:rsid w:val="00FF268C"/>
    <w:rsid w:val="00FF2809"/>
    <w:rsid w:val="00FF2A25"/>
    <w:rsid w:val="00FF2AB6"/>
    <w:rsid w:val="00FF38E3"/>
    <w:rsid w:val="00FF42E6"/>
    <w:rsid w:val="00FF44E4"/>
    <w:rsid w:val="00FF461A"/>
    <w:rsid w:val="00FF4AB1"/>
    <w:rsid w:val="00FF4EFB"/>
    <w:rsid w:val="00FF4F27"/>
    <w:rsid w:val="00FF4F67"/>
    <w:rsid w:val="00FF517D"/>
    <w:rsid w:val="00FF5206"/>
    <w:rsid w:val="00FF5714"/>
    <w:rsid w:val="00FF57CB"/>
    <w:rsid w:val="00FF57FD"/>
    <w:rsid w:val="00FF5B07"/>
    <w:rsid w:val="00FF5B44"/>
    <w:rsid w:val="00FF5D75"/>
    <w:rsid w:val="00FF5D9F"/>
    <w:rsid w:val="00FF6974"/>
    <w:rsid w:val="00FF69C4"/>
    <w:rsid w:val="00FF6D93"/>
    <w:rsid w:val="00FF719C"/>
    <w:rsid w:val="00FF71F8"/>
    <w:rsid w:val="00FF720D"/>
    <w:rsid w:val="00FF735F"/>
    <w:rsid w:val="00FF74AE"/>
    <w:rsid w:val="00FF7859"/>
    <w:rsid w:val="00FF7957"/>
    <w:rsid w:val="00FF7C4B"/>
    <w:rsid w:val="00FF7C8E"/>
    <w:rsid w:val="00FF7E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B42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3C05"/>
    <w:rPr>
      <w:sz w:val="24"/>
      <w:szCs w:val="24"/>
      <w:lang w:eastAsia="en-US"/>
    </w:rPr>
  </w:style>
  <w:style w:type="paragraph" w:styleId="Heading1">
    <w:name w:val="heading 1"/>
    <w:basedOn w:val="Normal"/>
    <w:next w:val="Normal"/>
    <w:link w:val="Heading1Char"/>
    <w:uiPriority w:val="9"/>
    <w:qFormat/>
    <w:rsid w:val="00BB284A"/>
    <w:pPr>
      <w:keepNext/>
      <w:spacing w:before="240" w:after="60"/>
      <w:outlineLvl w:val="0"/>
    </w:pPr>
    <w:rPr>
      <w:rFonts w:ascii="Arial" w:hAnsi="Arial" w:cs="Arial"/>
      <w:b/>
      <w:bCs/>
      <w:kern w:val="28"/>
      <w:sz w:val="28"/>
      <w:szCs w:val="32"/>
    </w:rPr>
  </w:style>
  <w:style w:type="paragraph" w:styleId="Heading2">
    <w:name w:val="heading 2"/>
    <w:basedOn w:val="Normal"/>
    <w:next w:val="Normal"/>
    <w:autoRedefine/>
    <w:qFormat/>
    <w:rsid w:val="00F6154A"/>
    <w:pPr>
      <w:keepNext/>
      <w:tabs>
        <w:tab w:val="left" w:pos="8931"/>
      </w:tabs>
      <w:spacing w:before="240" w:after="60"/>
      <w:ind w:right="-289"/>
      <w:jc w:val="both"/>
      <w:outlineLvl w:val="1"/>
    </w:pPr>
    <w:rPr>
      <w:b/>
      <w:bCs/>
      <w:i/>
      <w:iCs/>
      <w:sz w:val="28"/>
      <w:szCs w:val="28"/>
    </w:rPr>
  </w:style>
  <w:style w:type="paragraph" w:styleId="Heading3">
    <w:name w:val="heading 3"/>
    <w:basedOn w:val="Normal"/>
    <w:next w:val="Normal"/>
    <w:link w:val="Heading3Char"/>
    <w:autoRedefine/>
    <w:uiPriority w:val="9"/>
    <w:qFormat/>
    <w:rsid w:val="00F53A05"/>
    <w:pPr>
      <w:keepNext/>
      <w:spacing w:before="120" w:after="60"/>
      <w:outlineLvl w:val="2"/>
    </w:pPr>
    <w:rPr>
      <w:b/>
      <w:bCs/>
      <w:i/>
      <w:szCs w:val="26"/>
    </w:rPr>
  </w:style>
  <w:style w:type="paragraph" w:styleId="Heading4">
    <w:name w:val="heading 4"/>
    <w:basedOn w:val="Normal"/>
    <w:next w:val="Normal"/>
    <w:qFormat/>
    <w:rsid w:val="00812051"/>
    <w:pPr>
      <w:keepNext/>
      <w:spacing w:before="240" w:after="60"/>
      <w:outlineLvl w:val="3"/>
    </w:pPr>
    <w:rPr>
      <w:bCs/>
      <w:i/>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A705AF"/>
    <w:rPr>
      <w:i/>
      <w:iCs/>
    </w:rPr>
  </w:style>
  <w:style w:type="character" w:styleId="Strong">
    <w:name w:val="Strong"/>
    <w:qFormat/>
    <w:rsid w:val="00A705AF"/>
    <w:rPr>
      <w:b/>
      <w:bCs/>
    </w:rPr>
  </w:style>
  <w:style w:type="paragraph" w:styleId="Subtitle">
    <w:name w:val="Subtitle"/>
    <w:basedOn w:val="Normal"/>
    <w:next w:val="Normal"/>
    <w:link w:val="SubtitleChar"/>
    <w:qFormat/>
    <w:rsid w:val="00B24B9F"/>
    <w:pPr>
      <w:numPr>
        <w:ilvl w:val="1"/>
      </w:numPr>
    </w:pPr>
    <w:rPr>
      <w:rFonts w:ascii="Cambria" w:hAnsi="Cambria"/>
      <w:iCs/>
      <w:spacing w:val="15"/>
    </w:rPr>
  </w:style>
  <w:style w:type="character" w:customStyle="1" w:styleId="SubtitleChar">
    <w:name w:val="Subtitle Char"/>
    <w:link w:val="Subtitle"/>
    <w:rsid w:val="00A705AF"/>
    <w:rPr>
      <w:rFonts w:ascii="Cambria" w:hAnsi="Cambria"/>
      <w:iCs/>
      <w:spacing w:val="15"/>
      <w:sz w:val="24"/>
      <w:szCs w:val="24"/>
      <w:lang w:eastAsia="en-US"/>
    </w:rPr>
  </w:style>
  <w:style w:type="paragraph" w:styleId="Title">
    <w:name w:val="Title"/>
    <w:basedOn w:val="Normal"/>
    <w:next w:val="Normal"/>
    <w:link w:val="TitleChar"/>
    <w:qFormat/>
    <w:rsid w:val="00B24B9F"/>
    <w:pPr>
      <w:pBdr>
        <w:bottom w:val="single" w:sz="8" w:space="4" w:color="4F81BD"/>
      </w:pBdr>
      <w:spacing w:after="300"/>
      <w:contextualSpacing/>
      <w:jc w:val="center"/>
    </w:pPr>
    <w:rPr>
      <w:rFonts w:ascii="Arial" w:hAnsi="Arial"/>
      <w:b/>
      <w:kern w:val="28"/>
      <w:sz w:val="32"/>
      <w:szCs w:val="52"/>
    </w:rPr>
  </w:style>
  <w:style w:type="character" w:customStyle="1" w:styleId="TitleChar">
    <w:name w:val="Title Char"/>
    <w:link w:val="Title"/>
    <w:rsid w:val="00A705AF"/>
    <w:rPr>
      <w:rFonts w:ascii="Arial" w:hAnsi="Arial"/>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uiPriority w:val="19"/>
    <w:qFormat/>
    <w:rsid w:val="00B24B9F"/>
    <w:rPr>
      <w:i/>
      <w:iCs/>
      <w:color w:val="808080"/>
    </w:rPr>
  </w:style>
  <w:style w:type="character" w:styleId="IntenseEmphasis">
    <w:name w:val="Intense Emphasis"/>
    <w:uiPriority w:val="21"/>
    <w:qFormat/>
    <w:rsid w:val="00B24B9F"/>
    <w:rPr>
      <w:b/>
      <w:bCs/>
      <w:i/>
      <w:iCs/>
      <w:color w:val="4F81BD"/>
    </w:rPr>
  </w:style>
  <w:style w:type="paragraph" w:styleId="Quote">
    <w:name w:val="Quote"/>
    <w:basedOn w:val="Normal"/>
    <w:next w:val="Normal"/>
    <w:link w:val="QuoteChar"/>
    <w:uiPriority w:val="29"/>
    <w:qFormat/>
    <w:rsid w:val="00B24B9F"/>
    <w:rPr>
      <w:i/>
      <w:iCs/>
      <w:color w:val="000000"/>
    </w:rPr>
  </w:style>
  <w:style w:type="character" w:customStyle="1" w:styleId="QuoteChar">
    <w:name w:val="Quote Char"/>
    <w:link w:val="Quote"/>
    <w:uiPriority w:val="29"/>
    <w:rsid w:val="00A4512D"/>
    <w:rPr>
      <w:i/>
      <w:iCs/>
      <w:color w:val="000000"/>
      <w:sz w:val="24"/>
      <w:szCs w:val="24"/>
      <w:lang w:eastAsia="en-US"/>
    </w:rPr>
  </w:style>
  <w:style w:type="paragraph" w:styleId="IntenseQuote">
    <w:name w:val="Intense Quote"/>
    <w:basedOn w:val="Normal"/>
    <w:next w:val="Normal"/>
    <w:link w:val="IntenseQuoteChar"/>
    <w:uiPriority w:val="30"/>
    <w:qFormat/>
    <w:rsid w:val="00B24B9F"/>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A4512D"/>
    <w:rPr>
      <w:b/>
      <w:bCs/>
      <w:i/>
      <w:iCs/>
      <w:color w:val="4F81BD"/>
      <w:sz w:val="24"/>
      <w:szCs w:val="24"/>
      <w:lang w:eastAsia="en-US"/>
    </w:rPr>
  </w:style>
  <w:style w:type="character" w:styleId="SubtleReference">
    <w:name w:val="Subtle Reference"/>
    <w:uiPriority w:val="31"/>
    <w:qFormat/>
    <w:rsid w:val="00B24B9F"/>
    <w:rPr>
      <w:smallCaps/>
      <w:color w:val="C0504D"/>
      <w:u w:val="single"/>
    </w:rPr>
  </w:style>
  <w:style w:type="character" w:styleId="IntenseReference">
    <w:name w:val="Intense Reference"/>
    <w:uiPriority w:val="32"/>
    <w:qFormat/>
    <w:rsid w:val="00B24B9F"/>
    <w:rPr>
      <w:b/>
      <w:bCs/>
      <w:i/>
      <w:smallCaps/>
      <w:color w:val="C0504D"/>
      <w:spacing w:val="5"/>
      <w:u w:val="none"/>
    </w:rPr>
  </w:style>
  <w:style w:type="character" w:styleId="BookTitle">
    <w:name w:val="Book Title"/>
    <w:uiPriority w:val="33"/>
    <w:qFormat/>
    <w:rsid w:val="00A4512D"/>
    <w:rPr>
      <w:b/>
      <w:bCs/>
      <w:smallCaps/>
      <w:spacing w:val="5"/>
    </w:rPr>
  </w:style>
  <w:style w:type="paragraph" w:styleId="ListParagraph">
    <w:name w:val="List Paragraph"/>
    <w:aliases w:val="Bullet point,CV text,Dot pt,F5 List Paragraph,FooterText,L,List Paragraph1,List Paragraph11,List Paragraph111,List Paragraph2,Medium Grid 1 - Accent 21,NFP GP Bulleted List,Numbered Paragraph,Paragraphe de liste1,Recommendation,Table text"/>
    <w:basedOn w:val="Normal"/>
    <w:link w:val="ListParagraphChar"/>
    <w:uiPriority w:val="34"/>
    <w:qFormat/>
    <w:rsid w:val="00A4512D"/>
    <w:pPr>
      <w:ind w:left="720"/>
      <w:contextualSpacing/>
    </w:pPr>
  </w:style>
  <w:style w:type="character" w:customStyle="1" w:styleId="Heading3Char">
    <w:name w:val="Heading 3 Char"/>
    <w:link w:val="Heading3"/>
    <w:uiPriority w:val="9"/>
    <w:rsid w:val="00F53A05"/>
    <w:rPr>
      <w:b/>
      <w:bCs/>
      <w:i/>
      <w:sz w:val="24"/>
      <w:szCs w:val="26"/>
      <w:lang w:eastAsia="en-US"/>
    </w:rPr>
  </w:style>
  <w:style w:type="character" w:styleId="Hyperlink">
    <w:name w:val="Hyperlink"/>
    <w:uiPriority w:val="99"/>
    <w:unhideWhenUsed/>
    <w:rsid w:val="00316D3C"/>
    <w:rPr>
      <w:color w:val="0000FF"/>
      <w:u w:val="single"/>
    </w:rPr>
  </w:style>
  <w:style w:type="character" w:styleId="FootnoteReference">
    <w:name w:val="footnote reference"/>
    <w:uiPriority w:val="99"/>
    <w:unhideWhenUsed/>
    <w:rsid w:val="00316D3C"/>
    <w:rPr>
      <w:vertAlign w:val="superscript"/>
    </w:rPr>
  </w:style>
  <w:style w:type="paragraph" w:styleId="FootnoteText">
    <w:name w:val="footnote text"/>
    <w:aliases w:val="Footnotes Text,FSFootnotes Text"/>
    <w:basedOn w:val="Normal"/>
    <w:link w:val="FootnoteTextChar"/>
    <w:uiPriority w:val="99"/>
    <w:unhideWhenUsed/>
    <w:qFormat/>
    <w:rsid w:val="00B24B9F"/>
    <w:rPr>
      <w:rFonts w:ascii="Calibri" w:eastAsia="Calibri" w:hAnsi="Calibri"/>
      <w:sz w:val="20"/>
      <w:szCs w:val="20"/>
    </w:rPr>
  </w:style>
  <w:style w:type="character" w:customStyle="1" w:styleId="FootnoteTextChar">
    <w:name w:val="Footnote Text Char"/>
    <w:aliases w:val="Footnotes Text Char,FSFootnotes Text Char"/>
    <w:link w:val="FootnoteText"/>
    <w:uiPriority w:val="99"/>
    <w:rsid w:val="00316D3C"/>
    <w:rPr>
      <w:rFonts w:ascii="Calibri" w:eastAsia="Calibri" w:hAnsi="Calibri"/>
      <w:lang w:eastAsia="en-US"/>
    </w:rPr>
  </w:style>
  <w:style w:type="character" w:styleId="CommentReference">
    <w:name w:val="annotation reference"/>
    <w:rsid w:val="005C56F6"/>
    <w:rPr>
      <w:sz w:val="16"/>
      <w:szCs w:val="16"/>
    </w:rPr>
  </w:style>
  <w:style w:type="paragraph" w:styleId="CommentText">
    <w:name w:val="annotation text"/>
    <w:basedOn w:val="Normal"/>
    <w:link w:val="CommentTextChar"/>
    <w:rsid w:val="005C56F6"/>
    <w:rPr>
      <w:sz w:val="20"/>
      <w:szCs w:val="20"/>
    </w:rPr>
  </w:style>
  <w:style w:type="character" w:customStyle="1" w:styleId="CommentTextChar">
    <w:name w:val="Comment Text Char"/>
    <w:link w:val="CommentText"/>
    <w:rsid w:val="005C56F6"/>
    <w:rPr>
      <w:lang w:eastAsia="en-US"/>
    </w:rPr>
  </w:style>
  <w:style w:type="paragraph" w:styleId="CommentSubject">
    <w:name w:val="annotation subject"/>
    <w:basedOn w:val="CommentText"/>
    <w:next w:val="CommentText"/>
    <w:link w:val="CommentSubjectChar"/>
    <w:rsid w:val="005C56F6"/>
    <w:rPr>
      <w:b/>
      <w:bCs/>
    </w:rPr>
  </w:style>
  <w:style w:type="character" w:customStyle="1" w:styleId="CommentSubjectChar">
    <w:name w:val="Comment Subject Char"/>
    <w:link w:val="CommentSubject"/>
    <w:rsid w:val="005C56F6"/>
    <w:rPr>
      <w:b/>
      <w:bCs/>
      <w:lang w:eastAsia="en-US"/>
    </w:rPr>
  </w:style>
  <w:style w:type="paragraph" w:styleId="BalloonText">
    <w:name w:val="Balloon Text"/>
    <w:basedOn w:val="Normal"/>
    <w:link w:val="BalloonTextChar"/>
    <w:rsid w:val="005C56F6"/>
    <w:rPr>
      <w:rFonts w:ascii="Tahoma" w:hAnsi="Tahoma" w:cs="Tahoma"/>
      <w:sz w:val="16"/>
      <w:szCs w:val="16"/>
    </w:rPr>
  </w:style>
  <w:style w:type="character" w:customStyle="1" w:styleId="BalloonTextChar">
    <w:name w:val="Balloon Text Char"/>
    <w:link w:val="BalloonText"/>
    <w:rsid w:val="005C56F6"/>
    <w:rPr>
      <w:rFonts w:ascii="Tahoma" w:hAnsi="Tahoma" w:cs="Tahoma"/>
      <w:sz w:val="16"/>
      <w:szCs w:val="16"/>
      <w:lang w:eastAsia="en-US"/>
    </w:rPr>
  </w:style>
  <w:style w:type="character" w:styleId="FollowedHyperlink">
    <w:name w:val="FollowedHyperlink"/>
    <w:rsid w:val="00B24B9F"/>
    <w:rPr>
      <w:color w:val="800080"/>
      <w:u w:val="single"/>
    </w:r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FP GP Bulleted List Char"/>
    <w:link w:val="ListParagraph"/>
    <w:uiPriority w:val="34"/>
    <w:qFormat/>
    <w:locked/>
    <w:rsid w:val="00EA4412"/>
    <w:rPr>
      <w:sz w:val="24"/>
      <w:szCs w:val="24"/>
      <w:lang w:eastAsia="en-US"/>
    </w:rPr>
  </w:style>
  <w:style w:type="table" w:styleId="TableGrid">
    <w:name w:val="Table Grid"/>
    <w:basedOn w:val="TableNormal"/>
    <w:uiPriority w:val="59"/>
    <w:rsid w:val="00CD3B1D"/>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0707B"/>
    <w:pPr>
      <w:tabs>
        <w:tab w:val="center" w:pos="4513"/>
        <w:tab w:val="right" w:pos="9026"/>
      </w:tabs>
    </w:pPr>
  </w:style>
  <w:style w:type="character" w:customStyle="1" w:styleId="HeaderChar">
    <w:name w:val="Header Char"/>
    <w:link w:val="Header"/>
    <w:uiPriority w:val="99"/>
    <w:rsid w:val="0000707B"/>
    <w:rPr>
      <w:sz w:val="24"/>
      <w:szCs w:val="24"/>
      <w:lang w:eastAsia="en-US"/>
    </w:rPr>
  </w:style>
  <w:style w:type="paragraph" w:styleId="Footer">
    <w:name w:val="footer"/>
    <w:basedOn w:val="Normal"/>
    <w:link w:val="FooterChar"/>
    <w:uiPriority w:val="99"/>
    <w:rsid w:val="0000707B"/>
    <w:pPr>
      <w:tabs>
        <w:tab w:val="center" w:pos="4513"/>
        <w:tab w:val="right" w:pos="9026"/>
      </w:tabs>
    </w:pPr>
  </w:style>
  <w:style w:type="character" w:customStyle="1" w:styleId="FooterChar">
    <w:name w:val="Footer Char"/>
    <w:link w:val="Footer"/>
    <w:uiPriority w:val="99"/>
    <w:rsid w:val="0000707B"/>
    <w:rPr>
      <w:sz w:val="24"/>
      <w:szCs w:val="24"/>
      <w:lang w:eastAsia="en-US"/>
    </w:rPr>
  </w:style>
  <w:style w:type="character" w:customStyle="1" w:styleId="A2">
    <w:name w:val="A2"/>
    <w:uiPriority w:val="99"/>
    <w:rsid w:val="00552794"/>
    <w:rPr>
      <w:rFonts w:cs="Univers LT Std 55"/>
      <w:color w:val="000000"/>
      <w:sz w:val="18"/>
      <w:szCs w:val="18"/>
    </w:rPr>
  </w:style>
  <w:style w:type="paragraph" w:customStyle="1" w:styleId="FSBulletlist">
    <w:name w:val="FSBullet list"/>
    <w:basedOn w:val="ListParagraph"/>
    <w:link w:val="FSBulletlistChar"/>
    <w:uiPriority w:val="5"/>
    <w:qFormat/>
    <w:locked/>
    <w:rsid w:val="00552794"/>
    <w:pPr>
      <w:numPr>
        <w:numId w:val="1"/>
      </w:numPr>
      <w:spacing w:before="120" w:after="120"/>
      <w:ind w:left="714" w:hanging="357"/>
      <w:contextualSpacing w:val="0"/>
    </w:pPr>
    <w:rPr>
      <w:rFonts w:ascii="Arial" w:eastAsia="Calibri" w:hAnsi="Arial" w:cs="Arial"/>
      <w:color w:val="2E3037"/>
      <w:sz w:val="22"/>
      <w:szCs w:val="22"/>
      <w:lang w:eastAsia="en-GB"/>
    </w:rPr>
  </w:style>
  <w:style w:type="character" w:customStyle="1" w:styleId="FSBulletlistChar">
    <w:name w:val="FSBullet list Char"/>
    <w:link w:val="FSBulletlist"/>
    <w:uiPriority w:val="5"/>
    <w:rsid w:val="00552794"/>
    <w:rPr>
      <w:rFonts w:ascii="Arial" w:eastAsia="Calibri" w:hAnsi="Arial" w:cs="Arial"/>
      <w:color w:val="2E3037"/>
      <w:sz w:val="22"/>
      <w:szCs w:val="22"/>
      <w:lang w:eastAsia="en-GB"/>
    </w:rPr>
  </w:style>
  <w:style w:type="paragraph" w:customStyle="1" w:styleId="FSBullet1">
    <w:name w:val="FSBullet 1"/>
    <w:basedOn w:val="Normal"/>
    <w:next w:val="Normal"/>
    <w:link w:val="FSBullet1Char"/>
    <w:qFormat/>
    <w:locked/>
    <w:rsid w:val="00FD3C50"/>
    <w:pPr>
      <w:numPr>
        <w:numId w:val="2"/>
      </w:numPr>
    </w:pPr>
    <w:rPr>
      <w:rFonts w:ascii="Arial" w:hAnsi="Arial" w:cs="Arial"/>
      <w:sz w:val="22"/>
      <w:lang w:val="en-GB"/>
    </w:rPr>
  </w:style>
  <w:style w:type="character" w:customStyle="1" w:styleId="FSBullet1Char">
    <w:name w:val="FSBullet 1 Char"/>
    <w:link w:val="FSBullet1"/>
    <w:rsid w:val="00FD3C50"/>
    <w:rPr>
      <w:rFonts w:ascii="Arial" w:hAnsi="Arial" w:cs="Arial"/>
      <w:sz w:val="22"/>
      <w:szCs w:val="24"/>
      <w:lang w:val="en-GB" w:eastAsia="en-US"/>
    </w:rPr>
  </w:style>
  <w:style w:type="paragraph" w:styleId="Revision">
    <w:name w:val="Revision"/>
    <w:hidden/>
    <w:uiPriority w:val="99"/>
    <w:semiHidden/>
    <w:rsid w:val="005C3C94"/>
    <w:rPr>
      <w:sz w:val="24"/>
      <w:szCs w:val="24"/>
      <w:lang w:eastAsia="en-US"/>
    </w:rPr>
  </w:style>
  <w:style w:type="paragraph" w:styleId="TOCHeading">
    <w:name w:val="TOC Heading"/>
    <w:basedOn w:val="Heading1"/>
    <w:next w:val="Normal"/>
    <w:uiPriority w:val="39"/>
    <w:semiHidden/>
    <w:unhideWhenUsed/>
    <w:qFormat/>
    <w:rsid w:val="00B24B9F"/>
    <w:pPr>
      <w:keepLines/>
      <w:spacing w:before="480" w:after="0" w:line="276" w:lineRule="auto"/>
      <w:outlineLvl w:val="9"/>
    </w:pPr>
    <w:rPr>
      <w:rFonts w:ascii="Cambria" w:hAnsi="Cambria" w:cs="Times New Roman"/>
      <w:color w:val="365F91"/>
      <w:kern w:val="0"/>
      <w:szCs w:val="28"/>
      <w:lang w:val="en-US" w:eastAsia="ja-JP"/>
    </w:rPr>
  </w:style>
  <w:style w:type="paragraph" w:styleId="TOC2">
    <w:name w:val="toc 2"/>
    <w:basedOn w:val="Normal"/>
    <w:next w:val="Normal"/>
    <w:autoRedefine/>
    <w:uiPriority w:val="39"/>
    <w:unhideWhenUsed/>
    <w:rsid w:val="00BC7CAB"/>
    <w:pPr>
      <w:tabs>
        <w:tab w:val="left" w:pos="8931"/>
      </w:tabs>
      <w:spacing w:after="100"/>
      <w:ind w:right="-292"/>
    </w:pPr>
    <w:rPr>
      <w:noProof/>
      <w:kern w:val="28"/>
    </w:rPr>
  </w:style>
  <w:style w:type="paragraph" w:styleId="TOC1">
    <w:name w:val="toc 1"/>
    <w:basedOn w:val="Normal"/>
    <w:next w:val="Normal"/>
    <w:autoRedefine/>
    <w:uiPriority w:val="39"/>
    <w:unhideWhenUsed/>
    <w:rsid w:val="00463FB6"/>
    <w:pPr>
      <w:tabs>
        <w:tab w:val="left" w:pos="284"/>
        <w:tab w:val="right" w:leader="dot" w:pos="9072"/>
      </w:tabs>
      <w:spacing w:after="40"/>
      <w:ind w:right="-1"/>
    </w:pPr>
    <w:rPr>
      <w:iCs/>
      <w:noProof/>
      <w:sz w:val="28"/>
      <w:szCs w:val="28"/>
    </w:rPr>
  </w:style>
  <w:style w:type="paragraph" w:styleId="TOC3">
    <w:name w:val="toc 3"/>
    <w:basedOn w:val="Normal"/>
    <w:next w:val="Normal"/>
    <w:autoRedefine/>
    <w:uiPriority w:val="39"/>
    <w:unhideWhenUsed/>
    <w:rsid w:val="0066291E"/>
    <w:pPr>
      <w:spacing w:after="100"/>
      <w:ind w:left="480"/>
    </w:pPr>
  </w:style>
  <w:style w:type="character" w:customStyle="1" w:styleId="Heading1Char">
    <w:name w:val="Heading 1 Char"/>
    <w:link w:val="Heading1"/>
    <w:uiPriority w:val="9"/>
    <w:rsid w:val="00BB284A"/>
    <w:rPr>
      <w:rFonts w:ascii="Arial" w:hAnsi="Arial" w:cs="Arial"/>
      <w:b/>
      <w:bCs/>
      <w:kern w:val="28"/>
      <w:sz w:val="28"/>
      <w:szCs w:val="32"/>
      <w:lang w:eastAsia="en-US"/>
    </w:rPr>
  </w:style>
  <w:style w:type="paragraph" w:customStyle="1" w:styleId="Default">
    <w:name w:val="Default"/>
    <w:rsid w:val="008D3AA6"/>
    <w:pPr>
      <w:autoSpaceDE w:val="0"/>
      <w:autoSpaceDN w:val="0"/>
      <w:adjustRightInd w:val="0"/>
    </w:pPr>
    <w:rPr>
      <w:color w:val="000000"/>
      <w:sz w:val="24"/>
      <w:szCs w:val="24"/>
    </w:rPr>
  </w:style>
  <w:style w:type="paragraph" w:customStyle="1" w:styleId="BodyText1">
    <w:name w:val="Body Text1"/>
    <w:basedOn w:val="Normal"/>
    <w:qFormat/>
    <w:rsid w:val="008A633F"/>
    <w:pPr>
      <w:spacing w:after="200" w:line="260" w:lineRule="exact"/>
    </w:pPr>
    <w:rPr>
      <w:rFonts w:ascii="Arial" w:hAnsi="Arial"/>
      <w:sz w:val="22"/>
    </w:rPr>
  </w:style>
  <w:style w:type="paragraph" w:customStyle="1" w:styleId="fsctmain">
    <w:name w:val="fsctmain"/>
    <w:basedOn w:val="Normal"/>
    <w:rsid w:val="00E17238"/>
    <w:pPr>
      <w:spacing w:before="100" w:beforeAutospacing="1" w:after="100" w:afterAutospacing="1"/>
    </w:pPr>
    <w:rPr>
      <w:lang w:eastAsia="en-AU"/>
    </w:rPr>
  </w:style>
  <w:style w:type="paragraph" w:customStyle="1" w:styleId="fsctpara">
    <w:name w:val="fsctpara"/>
    <w:basedOn w:val="Normal"/>
    <w:rsid w:val="00E17238"/>
    <w:pPr>
      <w:spacing w:before="100" w:beforeAutospacing="1" w:after="100" w:afterAutospacing="1"/>
    </w:pPr>
    <w:rPr>
      <w:lang w:eastAsia="en-AU"/>
    </w:rPr>
  </w:style>
  <w:style w:type="paragraph" w:customStyle="1" w:styleId="fscnmain">
    <w:name w:val="fscnmain"/>
    <w:basedOn w:val="Normal"/>
    <w:rsid w:val="00E17238"/>
    <w:pPr>
      <w:spacing w:before="100" w:beforeAutospacing="1" w:after="100" w:afterAutospacing="1"/>
    </w:pPr>
    <w:rPr>
      <w:lang w:eastAsia="en-AU"/>
    </w:rPr>
  </w:style>
  <w:style w:type="paragraph" w:customStyle="1" w:styleId="fscnpara">
    <w:name w:val="fscnpara"/>
    <w:basedOn w:val="Normal"/>
    <w:rsid w:val="00E17238"/>
    <w:pPr>
      <w:spacing w:before="100" w:beforeAutospacing="1" w:after="100" w:afterAutospacing="1"/>
    </w:pPr>
    <w:rPr>
      <w:lang w:eastAsia="en-AU"/>
    </w:rPr>
  </w:style>
  <w:style w:type="paragraph" w:customStyle="1" w:styleId="FSCaption">
    <w:name w:val="FSCaption"/>
    <w:basedOn w:val="Normal"/>
    <w:uiPriority w:val="9"/>
    <w:qFormat/>
    <w:rsid w:val="0004125A"/>
    <w:pPr>
      <w:keepNext/>
      <w:keepLines/>
      <w:spacing w:before="120"/>
    </w:pPr>
    <w:rPr>
      <w:rFonts w:ascii="Arial" w:eastAsia="Calibri" w:hAnsi="Arial"/>
      <w:i/>
      <w:sz w:val="16"/>
      <w:szCs w:val="16"/>
      <w:lang w:val="en-GB"/>
    </w:rPr>
  </w:style>
  <w:style w:type="paragraph" w:styleId="ListBullet">
    <w:name w:val="List Bullet"/>
    <w:basedOn w:val="Normal"/>
    <w:uiPriority w:val="99"/>
    <w:rsid w:val="0004125A"/>
    <w:pPr>
      <w:numPr>
        <w:numId w:val="4"/>
      </w:numPr>
      <w:spacing w:after="120" w:line="280" w:lineRule="atLeast"/>
      <w:ind w:left="357" w:hanging="357"/>
      <w:jc w:val="both"/>
    </w:pPr>
    <w:rPr>
      <w:rFonts w:ascii="Arial" w:hAnsi="Arial"/>
      <w:sz w:val="20"/>
      <w:szCs w:val="20"/>
    </w:rPr>
  </w:style>
  <w:style w:type="paragraph" w:styleId="NormalWeb">
    <w:name w:val="Normal (Web)"/>
    <w:basedOn w:val="Normal"/>
    <w:uiPriority w:val="99"/>
    <w:semiHidden/>
    <w:unhideWhenUsed/>
    <w:rsid w:val="0004125A"/>
    <w:pPr>
      <w:spacing w:before="100" w:beforeAutospacing="1" w:after="100" w:afterAutospacing="1"/>
    </w:pPr>
    <w:rPr>
      <w:lang w:val="en-GB" w:eastAsia="en-GB"/>
    </w:rPr>
  </w:style>
  <w:style w:type="paragraph" w:styleId="BodyText">
    <w:name w:val="Body Text"/>
    <w:basedOn w:val="Normal"/>
    <w:link w:val="BodyTextChar"/>
    <w:uiPriority w:val="99"/>
    <w:unhideWhenUsed/>
    <w:rsid w:val="0004125A"/>
    <w:pPr>
      <w:spacing w:before="180" w:after="120" w:line="280" w:lineRule="atLeast"/>
    </w:pPr>
    <w:rPr>
      <w:rFonts w:ascii="Arial" w:hAnsi="Arial"/>
      <w:sz w:val="20"/>
      <w:szCs w:val="20"/>
      <w:lang w:eastAsia="en-AU"/>
    </w:rPr>
  </w:style>
  <w:style w:type="character" w:customStyle="1" w:styleId="BodyTextChar">
    <w:name w:val="Body Text Char"/>
    <w:link w:val="BodyText"/>
    <w:uiPriority w:val="99"/>
    <w:rsid w:val="0004125A"/>
    <w:rPr>
      <w:rFonts w:ascii="Arial" w:hAnsi="Arial"/>
    </w:rPr>
  </w:style>
  <w:style w:type="character" w:styleId="UnresolvedMention">
    <w:name w:val="Unresolved Mention"/>
    <w:uiPriority w:val="99"/>
    <w:semiHidden/>
    <w:unhideWhenUsed/>
    <w:rsid w:val="00C67B83"/>
    <w:rPr>
      <w:color w:val="605E5C"/>
      <w:shd w:val="clear" w:color="auto" w:fill="E1DFDD"/>
    </w:rPr>
  </w:style>
  <w:style w:type="paragraph" w:customStyle="1" w:styleId="ISCbulleted">
    <w:name w:val="ISC bulleted"/>
    <w:basedOn w:val="Normal"/>
    <w:uiPriority w:val="99"/>
    <w:rsid w:val="00442889"/>
    <w:pPr>
      <w:numPr>
        <w:numId w:val="6"/>
      </w:numPr>
      <w:tabs>
        <w:tab w:val="left" w:pos="567"/>
      </w:tabs>
      <w:spacing w:after="120"/>
    </w:pPr>
    <w:rPr>
      <w:lang w:eastAsia="en-AU"/>
    </w:rPr>
  </w:style>
  <w:style w:type="paragraph" w:styleId="EndnoteText">
    <w:name w:val="endnote text"/>
    <w:basedOn w:val="Normal"/>
    <w:link w:val="EndnoteTextChar"/>
    <w:uiPriority w:val="99"/>
    <w:unhideWhenUsed/>
    <w:rsid w:val="000C7FF1"/>
    <w:rPr>
      <w:rFonts w:ascii="Arial" w:hAnsi="Arial"/>
      <w:sz w:val="20"/>
      <w:szCs w:val="20"/>
      <w:lang w:val="en-NZ"/>
    </w:rPr>
  </w:style>
  <w:style w:type="character" w:customStyle="1" w:styleId="EndnoteTextChar">
    <w:name w:val="Endnote Text Char"/>
    <w:link w:val="EndnoteText"/>
    <w:uiPriority w:val="99"/>
    <w:rsid w:val="000C7FF1"/>
    <w:rPr>
      <w:rFonts w:ascii="Arial" w:hAnsi="Arial"/>
      <w:lang w:val="en-NZ" w:eastAsia="en-US"/>
    </w:rPr>
  </w:style>
  <w:style w:type="character" w:styleId="EndnoteReference">
    <w:name w:val="endnote reference"/>
    <w:uiPriority w:val="99"/>
    <w:semiHidden/>
    <w:unhideWhenUsed/>
    <w:rsid w:val="000C7FF1"/>
    <w:rPr>
      <w:vertAlign w:val="superscript"/>
    </w:rPr>
  </w:style>
  <w:style w:type="character" w:customStyle="1" w:styleId="UnresolvedMention1">
    <w:name w:val="Unresolved Mention1"/>
    <w:uiPriority w:val="99"/>
    <w:semiHidden/>
    <w:unhideWhenUsed/>
    <w:rsid w:val="007520A2"/>
    <w:rPr>
      <w:color w:val="605E5C"/>
      <w:shd w:val="clear" w:color="auto" w:fill="E1DFDD"/>
    </w:rPr>
  </w:style>
  <w:style w:type="paragraph" w:customStyle="1" w:styleId="paragraph">
    <w:name w:val="paragraph"/>
    <w:basedOn w:val="Normal"/>
    <w:rsid w:val="001B11B7"/>
    <w:pPr>
      <w:spacing w:before="100" w:beforeAutospacing="1" w:after="100" w:afterAutospacing="1"/>
    </w:pPr>
    <w:rPr>
      <w:lang w:eastAsia="en-AU"/>
    </w:rPr>
  </w:style>
  <w:style w:type="character" w:customStyle="1" w:styleId="heading">
    <w:name w:val="heading"/>
    <w:rsid w:val="008D7B8C"/>
  </w:style>
  <w:style w:type="paragraph" w:customStyle="1" w:styleId="subsection">
    <w:name w:val="subsection"/>
    <w:basedOn w:val="Normal"/>
    <w:rsid w:val="00B50469"/>
    <w:pPr>
      <w:spacing w:before="100" w:beforeAutospacing="1" w:after="100" w:afterAutospacing="1"/>
    </w:pPr>
    <w:rPr>
      <w:lang w:eastAsia="en-AU"/>
    </w:rPr>
  </w:style>
  <w:style w:type="character" w:customStyle="1" w:styleId="normaltextrun">
    <w:name w:val="normaltextrun"/>
    <w:basedOn w:val="DefaultParagraphFont"/>
    <w:rsid w:val="00A320D6"/>
  </w:style>
  <w:style w:type="character" w:customStyle="1" w:styleId="scxw2042120">
    <w:name w:val="scxw2042120"/>
    <w:basedOn w:val="DefaultParagraphFont"/>
    <w:rsid w:val="00A320D6"/>
  </w:style>
  <w:style w:type="character" w:customStyle="1" w:styleId="eop">
    <w:name w:val="eop"/>
    <w:basedOn w:val="DefaultParagraphFont"/>
    <w:rsid w:val="00A320D6"/>
  </w:style>
  <w:style w:type="character" w:customStyle="1" w:styleId="contextualspellingandgrammarerror">
    <w:name w:val="contextualspellingandgrammarerror"/>
    <w:basedOn w:val="DefaultParagraphFont"/>
    <w:rsid w:val="00A320D6"/>
  </w:style>
  <w:style w:type="table" w:styleId="ListTable3">
    <w:name w:val="List Table 3"/>
    <w:basedOn w:val="TableNormal"/>
    <w:uiPriority w:val="48"/>
    <w:rsid w:val="003C4CE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5Dark">
    <w:name w:val="Grid Table 5 Dark"/>
    <w:basedOn w:val="TableNormal"/>
    <w:uiPriority w:val="50"/>
    <w:rsid w:val="0082262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PlainTable3">
    <w:name w:val="Plain Table 3"/>
    <w:basedOn w:val="TableNormal"/>
    <w:uiPriority w:val="43"/>
    <w:rsid w:val="008F2E9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3">
    <w:name w:val="Grid Table 3"/>
    <w:basedOn w:val="TableNormal"/>
    <w:uiPriority w:val="48"/>
    <w:rsid w:val="003D568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GridLight">
    <w:name w:val="Grid Table Light"/>
    <w:basedOn w:val="TableNormal"/>
    <w:uiPriority w:val="40"/>
    <w:rsid w:val="007269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7269E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085D4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dytext-TMRfont12">
    <w:name w:val="Body text - TMR font 12"/>
    <w:basedOn w:val="Normal"/>
    <w:link w:val="Bodytext-TMRfont12Char"/>
    <w:qFormat/>
    <w:rsid w:val="00BB284A"/>
    <w:pPr>
      <w:spacing w:after="40"/>
      <w:jc w:val="both"/>
    </w:pPr>
    <w:rPr>
      <w:lang w:eastAsia="zh-CN" w:bidi="th-TH"/>
    </w:rPr>
  </w:style>
  <w:style w:type="paragraph" w:customStyle="1" w:styleId="Bodytextwithbullets-TMRfont12">
    <w:name w:val="Body text with bullets - TMR font 12"/>
    <w:basedOn w:val="Bodytext-TMRfont12"/>
    <w:link w:val="Bodytextwithbullets-TMRfont12Char"/>
    <w:qFormat/>
    <w:rsid w:val="00BB284A"/>
    <w:pPr>
      <w:numPr>
        <w:numId w:val="20"/>
      </w:numPr>
    </w:pPr>
  </w:style>
  <w:style w:type="character" w:customStyle="1" w:styleId="Bodytext-TMRfont12Char">
    <w:name w:val="Body text - TMR font 12 Char"/>
    <w:basedOn w:val="DefaultParagraphFont"/>
    <w:link w:val="Bodytext-TMRfont12"/>
    <w:rsid w:val="00BB284A"/>
    <w:rPr>
      <w:sz w:val="24"/>
      <w:szCs w:val="24"/>
      <w:lang w:eastAsia="zh-CN" w:bidi="th-TH"/>
    </w:rPr>
  </w:style>
  <w:style w:type="character" w:customStyle="1" w:styleId="Bodytextwithbullets-TMRfont12Char">
    <w:name w:val="Body text with bullets - TMR font 12 Char"/>
    <w:basedOn w:val="Bodytext-TMRfont12Char"/>
    <w:link w:val="Bodytextwithbullets-TMRfont12"/>
    <w:rsid w:val="00BB284A"/>
    <w:rPr>
      <w:sz w:val="24"/>
      <w:szCs w:val="24"/>
      <w:lang w:eastAsia="zh-CN" w:bidi="th-TH"/>
    </w:rPr>
  </w:style>
  <w:style w:type="table" w:styleId="PlainTable2">
    <w:name w:val="Plain Table 2"/>
    <w:basedOn w:val="TableNormal"/>
    <w:uiPriority w:val="42"/>
    <w:rsid w:val="000F5DA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numberedproforma">
    <w:name w:val="numbered proforma"/>
    <w:basedOn w:val="BodyTextIndent2"/>
    <w:uiPriority w:val="99"/>
    <w:rsid w:val="004E648F"/>
    <w:pPr>
      <w:widowControl w:val="0"/>
      <w:tabs>
        <w:tab w:val="left" w:pos="426"/>
      </w:tabs>
      <w:spacing w:line="240" w:lineRule="auto"/>
      <w:ind w:left="426" w:hanging="426"/>
    </w:pPr>
  </w:style>
  <w:style w:type="paragraph" w:styleId="BodyTextIndent2">
    <w:name w:val="Body Text Indent 2"/>
    <w:basedOn w:val="Normal"/>
    <w:link w:val="BodyTextIndent2Char"/>
    <w:semiHidden/>
    <w:unhideWhenUsed/>
    <w:rsid w:val="004E648F"/>
    <w:pPr>
      <w:spacing w:after="120" w:line="480" w:lineRule="auto"/>
      <w:ind w:left="283"/>
    </w:pPr>
  </w:style>
  <w:style w:type="character" w:customStyle="1" w:styleId="BodyTextIndent2Char">
    <w:name w:val="Body Text Indent 2 Char"/>
    <w:basedOn w:val="DefaultParagraphFont"/>
    <w:link w:val="BodyTextIndent2"/>
    <w:semiHidden/>
    <w:rsid w:val="004E648F"/>
    <w:rPr>
      <w:sz w:val="24"/>
      <w:szCs w:val="24"/>
      <w:lang w:eastAsia="en-US"/>
    </w:rPr>
  </w:style>
  <w:style w:type="paragraph" w:customStyle="1" w:styleId="FRSCBullet">
    <w:name w:val="FRSC Bullet"/>
    <w:basedOn w:val="Normal"/>
    <w:uiPriority w:val="99"/>
    <w:rsid w:val="003240A9"/>
    <w:pPr>
      <w:spacing w:after="120"/>
    </w:pPr>
    <w:rPr>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48946">
      <w:bodyDiv w:val="1"/>
      <w:marLeft w:val="0"/>
      <w:marRight w:val="0"/>
      <w:marTop w:val="0"/>
      <w:marBottom w:val="0"/>
      <w:divBdr>
        <w:top w:val="none" w:sz="0" w:space="0" w:color="auto"/>
        <w:left w:val="none" w:sz="0" w:space="0" w:color="auto"/>
        <w:bottom w:val="none" w:sz="0" w:space="0" w:color="auto"/>
        <w:right w:val="none" w:sz="0" w:space="0" w:color="auto"/>
      </w:divBdr>
    </w:div>
    <w:div w:id="72749557">
      <w:bodyDiv w:val="1"/>
      <w:marLeft w:val="0"/>
      <w:marRight w:val="0"/>
      <w:marTop w:val="0"/>
      <w:marBottom w:val="0"/>
      <w:divBdr>
        <w:top w:val="none" w:sz="0" w:space="0" w:color="auto"/>
        <w:left w:val="none" w:sz="0" w:space="0" w:color="auto"/>
        <w:bottom w:val="none" w:sz="0" w:space="0" w:color="auto"/>
        <w:right w:val="none" w:sz="0" w:space="0" w:color="auto"/>
      </w:divBdr>
    </w:div>
    <w:div w:id="102387721">
      <w:bodyDiv w:val="1"/>
      <w:marLeft w:val="0"/>
      <w:marRight w:val="0"/>
      <w:marTop w:val="0"/>
      <w:marBottom w:val="0"/>
      <w:divBdr>
        <w:top w:val="none" w:sz="0" w:space="0" w:color="auto"/>
        <w:left w:val="none" w:sz="0" w:space="0" w:color="auto"/>
        <w:bottom w:val="none" w:sz="0" w:space="0" w:color="auto"/>
        <w:right w:val="none" w:sz="0" w:space="0" w:color="auto"/>
      </w:divBdr>
    </w:div>
    <w:div w:id="111170732">
      <w:bodyDiv w:val="1"/>
      <w:marLeft w:val="0"/>
      <w:marRight w:val="0"/>
      <w:marTop w:val="0"/>
      <w:marBottom w:val="0"/>
      <w:divBdr>
        <w:top w:val="none" w:sz="0" w:space="0" w:color="auto"/>
        <w:left w:val="none" w:sz="0" w:space="0" w:color="auto"/>
        <w:bottom w:val="none" w:sz="0" w:space="0" w:color="auto"/>
        <w:right w:val="none" w:sz="0" w:space="0" w:color="auto"/>
      </w:divBdr>
      <w:divsChild>
        <w:div w:id="1473476913">
          <w:marLeft w:val="547"/>
          <w:marRight w:val="0"/>
          <w:marTop w:val="0"/>
          <w:marBottom w:val="0"/>
          <w:divBdr>
            <w:top w:val="none" w:sz="0" w:space="0" w:color="auto"/>
            <w:left w:val="none" w:sz="0" w:space="0" w:color="auto"/>
            <w:bottom w:val="none" w:sz="0" w:space="0" w:color="auto"/>
            <w:right w:val="none" w:sz="0" w:space="0" w:color="auto"/>
          </w:divBdr>
        </w:div>
      </w:divsChild>
    </w:div>
    <w:div w:id="127674953">
      <w:bodyDiv w:val="1"/>
      <w:marLeft w:val="0"/>
      <w:marRight w:val="0"/>
      <w:marTop w:val="0"/>
      <w:marBottom w:val="0"/>
      <w:divBdr>
        <w:top w:val="none" w:sz="0" w:space="0" w:color="auto"/>
        <w:left w:val="none" w:sz="0" w:space="0" w:color="auto"/>
        <w:bottom w:val="none" w:sz="0" w:space="0" w:color="auto"/>
        <w:right w:val="none" w:sz="0" w:space="0" w:color="auto"/>
      </w:divBdr>
      <w:divsChild>
        <w:div w:id="310601708">
          <w:marLeft w:val="0"/>
          <w:marRight w:val="0"/>
          <w:marTop w:val="0"/>
          <w:marBottom w:val="0"/>
          <w:divBdr>
            <w:top w:val="none" w:sz="0" w:space="0" w:color="auto"/>
            <w:left w:val="none" w:sz="0" w:space="0" w:color="auto"/>
            <w:bottom w:val="none" w:sz="0" w:space="0" w:color="auto"/>
            <w:right w:val="none" w:sz="0" w:space="0" w:color="auto"/>
          </w:divBdr>
        </w:div>
        <w:div w:id="1602102278">
          <w:marLeft w:val="300"/>
          <w:marRight w:val="0"/>
          <w:marTop w:val="0"/>
          <w:marBottom w:val="0"/>
          <w:divBdr>
            <w:top w:val="none" w:sz="0" w:space="0" w:color="auto"/>
            <w:left w:val="none" w:sz="0" w:space="0" w:color="auto"/>
            <w:bottom w:val="none" w:sz="0" w:space="0" w:color="auto"/>
            <w:right w:val="none" w:sz="0" w:space="0" w:color="auto"/>
          </w:divBdr>
          <w:divsChild>
            <w:div w:id="2108652001">
              <w:marLeft w:val="0"/>
              <w:marRight w:val="0"/>
              <w:marTop w:val="0"/>
              <w:marBottom w:val="0"/>
              <w:divBdr>
                <w:top w:val="none" w:sz="0" w:space="0" w:color="auto"/>
                <w:left w:val="none" w:sz="0" w:space="0" w:color="auto"/>
                <w:bottom w:val="none" w:sz="0" w:space="0" w:color="auto"/>
                <w:right w:val="none" w:sz="0" w:space="0" w:color="auto"/>
              </w:divBdr>
              <w:divsChild>
                <w:div w:id="1180657227">
                  <w:marLeft w:val="0"/>
                  <w:marRight w:val="0"/>
                  <w:marTop w:val="0"/>
                  <w:marBottom w:val="360"/>
                  <w:divBdr>
                    <w:top w:val="none" w:sz="0" w:space="0" w:color="auto"/>
                    <w:left w:val="none" w:sz="0" w:space="0" w:color="auto"/>
                    <w:bottom w:val="dotted" w:sz="6" w:space="0" w:color="CCCCCC"/>
                    <w:right w:val="none" w:sz="0" w:space="0" w:color="auto"/>
                  </w:divBdr>
                  <w:divsChild>
                    <w:div w:id="196996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870444">
      <w:bodyDiv w:val="1"/>
      <w:marLeft w:val="0"/>
      <w:marRight w:val="0"/>
      <w:marTop w:val="0"/>
      <w:marBottom w:val="0"/>
      <w:divBdr>
        <w:top w:val="none" w:sz="0" w:space="0" w:color="auto"/>
        <w:left w:val="none" w:sz="0" w:space="0" w:color="auto"/>
        <w:bottom w:val="none" w:sz="0" w:space="0" w:color="auto"/>
        <w:right w:val="none" w:sz="0" w:space="0" w:color="auto"/>
      </w:divBdr>
    </w:div>
    <w:div w:id="250937639">
      <w:bodyDiv w:val="1"/>
      <w:marLeft w:val="0"/>
      <w:marRight w:val="0"/>
      <w:marTop w:val="0"/>
      <w:marBottom w:val="0"/>
      <w:divBdr>
        <w:top w:val="none" w:sz="0" w:space="0" w:color="auto"/>
        <w:left w:val="none" w:sz="0" w:space="0" w:color="auto"/>
        <w:bottom w:val="none" w:sz="0" w:space="0" w:color="auto"/>
        <w:right w:val="none" w:sz="0" w:space="0" w:color="auto"/>
      </w:divBdr>
      <w:divsChild>
        <w:div w:id="333651091">
          <w:marLeft w:val="547"/>
          <w:marRight w:val="0"/>
          <w:marTop w:val="0"/>
          <w:marBottom w:val="0"/>
          <w:divBdr>
            <w:top w:val="none" w:sz="0" w:space="0" w:color="auto"/>
            <w:left w:val="none" w:sz="0" w:space="0" w:color="auto"/>
            <w:bottom w:val="none" w:sz="0" w:space="0" w:color="auto"/>
            <w:right w:val="none" w:sz="0" w:space="0" w:color="auto"/>
          </w:divBdr>
        </w:div>
        <w:div w:id="44333375">
          <w:marLeft w:val="547"/>
          <w:marRight w:val="0"/>
          <w:marTop w:val="0"/>
          <w:marBottom w:val="0"/>
          <w:divBdr>
            <w:top w:val="none" w:sz="0" w:space="0" w:color="auto"/>
            <w:left w:val="none" w:sz="0" w:space="0" w:color="auto"/>
            <w:bottom w:val="none" w:sz="0" w:space="0" w:color="auto"/>
            <w:right w:val="none" w:sz="0" w:space="0" w:color="auto"/>
          </w:divBdr>
        </w:div>
      </w:divsChild>
    </w:div>
    <w:div w:id="255601648">
      <w:bodyDiv w:val="1"/>
      <w:marLeft w:val="0"/>
      <w:marRight w:val="0"/>
      <w:marTop w:val="0"/>
      <w:marBottom w:val="0"/>
      <w:divBdr>
        <w:top w:val="none" w:sz="0" w:space="0" w:color="auto"/>
        <w:left w:val="none" w:sz="0" w:space="0" w:color="auto"/>
        <w:bottom w:val="none" w:sz="0" w:space="0" w:color="auto"/>
        <w:right w:val="none" w:sz="0" w:space="0" w:color="auto"/>
      </w:divBdr>
    </w:div>
    <w:div w:id="267662318">
      <w:bodyDiv w:val="1"/>
      <w:marLeft w:val="0"/>
      <w:marRight w:val="0"/>
      <w:marTop w:val="0"/>
      <w:marBottom w:val="0"/>
      <w:divBdr>
        <w:top w:val="none" w:sz="0" w:space="0" w:color="auto"/>
        <w:left w:val="none" w:sz="0" w:space="0" w:color="auto"/>
        <w:bottom w:val="none" w:sz="0" w:space="0" w:color="auto"/>
        <w:right w:val="none" w:sz="0" w:space="0" w:color="auto"/>
      </w:divBdr>
    </w:div>
    <w:div w:id="279457525">
      <w:bodyDiv w:val="1"/>
      <w:marLeft w:val="0"/>
      <w:marRight w:val="0"/>
      <w:marTop w:val="0"/>
      <w:marBottom w:val="0"/>
      <w:divBdr>
        <w:top w:val="none" w:sz="0" w:space="0" w:color="auto"/>
        <w:left w:val="none" w:sz="0" w:space="0" w:color="auto"/>
        <w:bottom w:val="none" w:sz="0" w:space="0" w:color="auto"/>
        <w:right w:val="none" w:sz="0" w:space="0" w:color="auto"/>
      </w:divBdr>
    </w:div>
    <w:div w:id="383218203">
      <w:bodyDiv w:val="1"/>
      <w:marLeft w:val="0"/>
      <w:marRight w:val="0"/>
      <w:marTop w:val="0"/>
      <w:marBottom w:val="0"/>
      <w:divBdr>
        <w:top w:val="none" w:sz="0" w:space="0" w:color="auto"/>
        <w:left w:val="none" w:sz="0" w:space="0" w:color="auto"/>
        <w:bottom w:val="none" w:sz="0" w:space="0" w:color="auto"/>
        <w:right w:val="none" w:sz="0" w:space="0" w:color="auto"/>
      </w:divBdr>
    </w:div>
    <w:div w:id="417558494">
      <w:bodyDiv w:val="1"/>
      <w:marLeft w:val="0"/>
      <w:marRight w:val="0"/>
      <w:marTop w:val="0"/>
      <w:marBottom w:val="0"/>
      <w:divBdr>
        <w:top w:val="none" w:sz="0" w:space="0" w:color="auto"/>
        <w:left w:val="none" w:sz="0" w:space="0" w:color="auto"/>
        <w:bottom w:val="none" w:sz="0" w:space="0" w:color="auto"/>
        <w:right w:val="none" w:sz="0" w:space="0" w:color="auto"/>
      </w:divBdr>
    </w:div>
    <w:div w:id="428745497">
      <w:bodyDiv w:val="1"/>
      <w:marLeft w:val="0"/>
      <w:marRight w:val="0"/>
      <w:marTop w:val="0"/>
      <w:marBottom w:val="0"/>
      <w:divBdr>
        <w:top w:val="none" w:sz="0" w:space="0" w:color="auto"/>
        <w:left w:val="none" w:sz="0" w:space="0" w:color="auto"/>
        <w:bottom w:val="none" w:sz="0" w:space="0" w:color="auto"/>
        <w:right w:val="none" w:sz="0" w:space="0" w:color="auto"/>
      </w:divBdr>
      <w:divsChild>
        <w:div w:id="1324773087">
          <w:marLeft w:val="0"/>
          <w:marRight w:val="0"/>
          <w:marTop w:val="0"/>
          <w:marBottom w:val="0"/>
          <w:divBdr>
            <w:top w:val="none" w:sz="0" w:space="0" w:color="auto"/>
            <w:left w:val="none" w:sz="0" w:space="0" w:color="auto"/>
            <w:bottom w:val="none" w:sz="0" w:space="0" w:color="auto"/>
            <w:right w:val="none" w:sz="0" w:space="0" w:color="auto"/>
          </w:divBdr>
        </w:div>
        <w:div w:id="137188488">
          <w:marLeft w:val="0"/>
          <w:marRight w:val="0"/>
          <w:marTop w:val="0"/>
          <w:marBottom w:val="0"/>
          <w:divBdr>
            <w:top w:val="none" w:sz="0" w:space="0" w:color="auto"/>
            <w:left w:val="none" w:sz="0" w:space="0" w:color="auto"/>
            <w:bottom w:val="none" w:sz="0" w:space="0" w:color="auto"/>
            <w:right w:val="none" w:sz="0" w:space="0" w:color="auto"/>
          </w:divBdr>
        </w:div>
        <w:div w:id="50269827">
          <w:marLeft w:val="0"/>
          <w:marRight w:val="0"/>
          <w:marTop w:val="0"/>
          <w:marBottom w:val="0"/>
          <w:divBdr>
            <w:top w:val="none" w:sz="0" w:space="0" w:color="auto"/>
            <w:left w:val="none" w:sz="0" w:space="0" w:color="auto"/>
            <w:bottom w:val="none" w:sz="0" w:space="0" w:color="auto"/>
            <w:right w:val="none" w:sz="0" w:space="0" w:color="auto"/>
          </w:divBdr>
        </w:div>
        <w:div w:id="1202286984">
          <w:marLeft w:val="0"/>
          <w:marRight w:val="0"/>
          <w:marTop w:val="0"/>
          <w:marBottom w:val="0"/>
          <w:divBdr>
            <w:top w:val="none" w:sz="0" w:space="0" w:color="auto"/>
            <w:left w:val="none" w:sz="0" w:space="0" w:color="auto"/>
            <w:bottom w:val="none" w:sz="0" w:space="0" w:color="auto"/>
            <w:right w:val="none" w:sz="0" w:space="0" w:color="auto"/>
          </w:divBdr>
        </w:div>
        <w:div w:id="208028771">
          <w:marLeft w:val="0"/>
          <w:marRight w:val="0"/>
          <w:marTop w:val="0"/>
          <w:marBottom w:val="0"/>
          <w:divBdr>
            <w:top w:val="none" w:sz="0" w:space="0" w:color="auto"/>
            <w:left w:val="none" w:sz="0" w:space="0" w:color="auto"/>
            <w:bottom w:val="none" w:sz="0" w:space="0" w:color="auto"/>
            <w:right w:val="none" w:sz="0" w:space="0" w:color="auto"/>
          </w:divBdr>
          <w:divsChild>
            <w:div w:id="690958418">
              <w:marLeft w:val="0"/>
              <w:marRight w:val="0"/>
              <w:marTop w:val="0"/>
              <w:marBottom w:val="0"/>
              <w:divBdr>
                <w:top w:val="none" w:sz="0" w:space="0" w:color="auto"/>
                <w:left w:val="none" w:sz="0" w:space="0" w:color="auto"/>
                <w:bottom w:val="none" w:sz="0" w:space="0" w:color="auto"/>
                <w:right w:val="none" w:sz="0" w:space="0" w:color="auto"/>
              </w:divBdr>
            </w:div>
            <w:div w:id="1523520049">
              <w:marLeft w:val="0"/>
              <w:marRight w:val="0"/>
              <w:marTop w:val="0"/>
              <w:marBottom w:val="0"/>
              <w:divBdr>
                <w:top w:val="none" w:sz="0" w:space="0" w:color="auto"/>
                <w:left w:val="none" w:sz="0" w:space="0" w:color="auto"/>
                <w:bottom w:val="none" w:sz="0" w:space="0" w:color="auto"/>
                <w:right w:val="none" w:sz="0" w:space="0" w:color="auto"/>
              </w:divBdr>
            </w:div>
            <w:div w:id="1637906769">
              <w:marLeft w:val="0"/>
              <w:marRight w:val="0"/>
              <w:marTop w:val="0"/>
              <w:marBottom w:val="0"/>
              <w:divBdr>
                <w:top w:val="none" w:sz="0" w:space="0" w:color="auto"/>
                <w:left w:val="none" w:sz="0" w:space="0" w:color="auto"/>
                <w:bottom w:val="none" w:sz="0" w:space="0" w:color="auto"/>
                <w:right w:val="none" w:sz="0" w:space="0" w:color="auto"/>
              </w:divBdr>
            </w:div>
            <w:div w:id="1730574634">
              <w:marLeft w:val="0"/>
              <w:marRight w:val="0"/>
              <w:marTop w:val="0"/>
              <w:marBottom w:val="0"/>
              <w:divBdr>
                <w:top w:val="none" w:sz="0" w:space="0" w:color="auto"/>
                <w:left w:val="none" w:sz="0" w:space="0" w:color="auto"/>
                <w:bottom w:val="none" w:sz="0" w:space="0" w:color="auto"/>
                <w:right w:val="none" w:sz="0" w:space="0" w:color="auto"/>
              </w:divBdr>
            </w:div>
            <w:div w:id="1781560809">
              <w:marLeft w:val="0"/>
              <w:marRight w:val="0"/>
              <w:marTop w:val="0"/>
              <w:marBottom w:val="0"/>
              <w:divBdr>
                <w:top w:val="none" w:sz="0" w:space="0" w:color="auto"/>
                <w:left w:val="none" w:sz="0" w:space="0" w:color="auto"/>
                <w:bottom w:val="none" w:sz="0" w:space="0" w:color="auto"/>
                <w:right w:val="none" w:sz="0" w:space="0" w:color="auto"/>
              </w:divBdr>
            </w:div>
          </w:divsChild>
        </w:div>
        <w:div w:id="291643062">
          <w:marLeft w:val="0"/>
          <w:marRight w:val="0"/>
          <w:marTop w:val="0"/>
          <w:marBottom w:val="0"/>
          <w:divBdr>
            <w:top w:val="none" w:sz="0" w:space="0" w:color="auto"/>
            <w:left w:val="none" w:sz="0" w:space="0" w:color="auto"/>
            <w:bottom w:val="none" w:sz="0" w:space="0" w:color="auto"/>
            <w:right w:val="none" w:sz="0" w:space="0" w:color="auto"/>
          </w:divBdr>
          <w:divsChild>
            <w:div w:id="915553887">
              <w:marLeft w:val="0"/>
              <w:marRight w:val="0"/>
              <w:marTop w:val="0"/>
              <w:marBottom w:val="0"/>
              <w:divBdr>
                <w:top w:val="none" w:sz="0" w:space="0" w:color="auto"/>
                <w:left w:val="none" w:sz="0" w:space="0" w:color="auto"/>
                <w:bottom w:val="none" w:sz="0" w:space="0" w:color="auto"/>
                <w:right w:val="none" w:sz="0" w:space="0" w:color="auto"/>
              </w:divBdr>
            </w:div>
            <w:div w:id="1411540753">
              <w:marLeft w:val="0"/>
              <w:marRight w:val="0"/>
              <w:marTop w:val="0"/>
              <w:marBottom w:val="0"/>
              <w:divBdr>
                <w:top w:val="none" w:sz="0" w:space="0" w:color="auto"/>
                <w:left w:val="none" w:sz="0" w:space="0" w:color="auto"/>
                <w:bottom w:val="none" w:sz="0" w:space="0" w:color="auto"/>
                <w:right w:val="none" w:sz="0" w:space="0" w:color="auto"/>
              </w:divBdr>
            </w:div>
            <w:div w:id="1089044129">
              <w:marLeft w:val="0"/>
              <w:marRight w:val="0"/>
              <w:marTop w:val="0"/>
              <w:marBottom w:val="0"/>
              <w:divBdr>
                <w:top w:val="none" w:sz="0" w:space="0" w:color="auto"/>
                <w:left w:val="none" w:sz="0" w:space="0" w:color="auto"/>
                <w:bottom w:val="none" w:sz="0" w:space="0" w:color="auto"/>
                <w:right w:val="none" w:sz="0" w:space="0" w:color="auto"/>
              </w:divBdr>
            </w:div>
            <w:div w:id="506864844">
              <w:marLeft w:val="0"/>
              <w:marRight w:val="0"/>
              <w:marTop w:val="0"/>
              <w:marBottom w:val="0"/>
              <w:divBdr>
                <w:top w:val="none" w:sz="0" w:space="0" w:color="auto"/>
                <w:left w:val="none" w:sz="0" w:space="0" w:color="auto"/>
                <w:bottom w:val="none" w:sz="0" w:space="0" w:color="auto"/>
                <w:right w:val="none" w:sz="0" w:space="0" w:color="auto"/>
              </w:divBdr>
            </w:div>
            <w:div w:id="1096095436">
              <w:marLeft w:val="0"/>
              <w:marRight w:val="0"/>
              <w:marTop w:val="0"/>
              <w:marBottom w:val="0"/>
              <w:divBdr>
                <w:top w:val="none" w:sz="0" w:space="0" w:color="auto"/>
                <w:left w:val="none" w:sz="0" w:space="0" w:color="auto"/>
                <w:bottom w:val="none" w:sz="0" w:space="0" w:color="auto"/>
                <w:right w:val="none" w:sz="0" w:space="0" w:color="auto"/>
              </w:divBdr>
            </w:div>
          </w:divsChild>
        </w:div>
        <w:div w:id="671568974">
          <w:marLeft w:val="0"/>
          <w:marRight w:val="0"/>
          <w:marTop w:val="0"/>
          <w:marBottom w:val="0"/>
          <w:divBdr>
            <w:top w:val="none" w:sz="0" w:space="0" w:color="auto"/>
            <w:left w:val="none" w:sz="0" w:space="0" w:color="auto"/>
            <w:bottom w:val="none" w:sz="0" w:space="0" w:color="auto"/>
            <w:right w:val="none" w:sz="0" w:space="0" w:color="auto"/>
          </w:divBdr>
          <w:divsChild>
            <w:div w:id="432941765">
              <w:marLeft w:val="0"/>
              <w:marRight w:val="0"/>
              <w:marTop w:val="0"/>
              <w:marBottom w:val="0"/>
              <w:divBdr>
                <w:top w:val="none" w:sz="0" w:space="0" w:color="auto"/>
                <w:left w:val="none" w:sz="0" w:space="0" w:color="auto"/>
                <w:bottom w:val="none" w:sz="0" w:space="0" w:color="auto"/>
                <w:right w:val="none" w:sz="0" w:space="0" w:color="auto"/>
              </w:divBdr>
            </w:div>
            <w:div w:id="1597057761">
              <w:marLeft w:val="0"/>
              <w:marRight w:val="0"/>
              <w:marTop w:val="0"/>
              <w:marBottom w:val="0"/>
              <w:divBdr>
                <w:top w:val="none" w:sz="0" w:space="0" w:color="auto"/>
                <w:left w:val="none" w:sz="0" w:space="0" w:color="auto"/>
                <w:bottom w:val="none" w:sz="0" w:space="0" w:color="auto"/>
                <w:right w:val="none" w:sz="0" w:space="0" w:color="auto"/>
              </w:divBdr>
            </w:div>
            <w:div w:id="1779250689">
              <w:marLeft w:val="0"/>
              <w:marRight w:val="0"/>
              <w:marTop w:val="0"/>
              <w:marBottom w:val="0"/>
              <w:divBdr>
                <w:top w:val="none" w:sz="0" w:space="0" w:color="auto"/>
                <w:left w:val="none" w:sz="0" w:space="0" w:color="auto"/>
                <w:bottom w:val="none" w:sz="0" w:space="0" w:color="auto"/>
                <w:right w:val="none" w:sz="0" w:space="0" w:color="auto"/>
              </w:divBdr>
            </w:div>
            <w:div w:id="442919147">
              <w:marLeft w:val="0"/>
              <w:marRight w:val="0"/>
              <w:marTop w:val="0"/>
              <w:marBottom w:val="0"/>
              <w:divBdr>
                <w:top w:val="none" w:sz="0" w:space="0" w:color="auto"/>
                <w:left w:val="none" w:sz="0" w:space="0" w:color="auto"/>
                <w:bottom w:val="none" w:sz="0" w:space="0" w:color="auto"/>
                <w:right w:val="none" w:sz="0" w:space="0" w:color="auto"/>
              </w:divBdr>
            </w:div>
            <w:div w:id="1358389756">
              <w:marLeft w:val="0"/>
              <w:marRight w:val="0"/>
              <w:marTop w:val="0"/>
              <w:marBottom w:val="0"/>
              <w:divBdr>
                <w:top w:val="none" w:sz="0" w:space="0" w:color="auto"/>
                <w:left w:val="none" w:sz="0" w:space="0" w:color="auto"/>
                <w:bottom w:val="none" w:sz="0" w:space="0" w:color="auto"/>
                <w:right w:val="none" w:sz="0" w:space="0" w:color="auto"/>
              </w:divBdr>
            </w:div>
          </w:divsChild>
        </w:div>
        <w:div w:id="1801224061">
          <w:marLeft w:val="0"/>
          <w:marRight w:val="0"/>
          <w:marTop w:val="0"/>
          <w:marBottom w:val="0"/>
          <w:divBdr>
            <w:top w:val="none" w:sz="0" w:space="0" w:color="auto"/>
            <w:left w:val="none" w:sz="0" w:space="0" w:color="auto"/>
            <w:bottom w:val="none" w:sz="0" w:space="0" w:color="auto"/>
            <w:right w:val="none" w:sz="0" w:space="0" w:color="auto"/>
          </w:divBdr>
          <w:divsChild>
            <w:div w:id="1151098243">
              <w:marLeft w:val="0"/>
              <w:marRight w:val="0"/>
              <w:marTop w:val="0"/>
              <w:marBottom w:val="0"/>
              <w:divBdr>
                <w:top w:val="none" w:sz="0" w:space="0" w:color="auto"/>
                <w:left w:val="none" w:sz="0" w:space="0" w:color="auto"/>
                <w:bottom w:val="none" w:sz="0" w:space="0" w:color="auto"/>
                <w:right w:val="none" w:sz="0" w:space="0" w:color="auto"/>
              </w:divBdr>
            </w:div>
            <w:div w:id="222570337">
              <w:marLeft w:val="0"/>
              <w:marRight w:val="0"/>
              <w:marTop w:val="0"/>
              <w:marBottom w:val="0"/>
              <w:divBdr>
                <w:top w:val="none" w:sz="0" w:space="0" w:color="auto"/>
                <w:left w:val="none" w:sz="0" w:space="0" w:color="auto"/>
                <w:bottom w:val="none" w:sz="0" w:space="0" w:color="auto"/>
                <w:right w:val="none" w:sz="0" w:space="0" w:color="auto"/>
              </w:divBdr>
            </w:div>
            <w:div w:id="381176096">
              <w:marLeft w:val="0"/>
              <w:marRight w:val="0"/>
              <w:marTop w:val="0"/>
              <w:marBottom w:val="0"/>
              <w:divBdr>
                <w:top w:val="none" w:sz="0" w:space="0" w:color="auto"/>
                <w:left w:val="none" w:sz="0" w:space="0" w:color="auto"/>
                <w:bottom w:val="none" w:sz="0" w:space="0" w:color="auto"/>
                <w:right w:val="none" w:sz="0" w:space="0" w:color="auto"/>
              </w:divBdr>
            </w:div>
            <w:div w:id="1892380852">
              <w:marLeft w:val="0"/>
              <w:marRight w:val="0"/>
              <w:marTop w:val="0"/>
              <w:marBottom w:val="0"/>
              <w:divBdr>
                <w:top w:val="none" w:sz="0" w:space="0" w:color="auto"/>
                <w:left w:val="none" w:sz="0" w:space="0" w:color="auto"/>
                <w:bottom w:val="none" w:sz="0" w:space="0" w:color="auto"/>
                <w:right w:val="none" w:sz="0" w:space="0" w:color="auto"/>
              </w:divBdr>
            </w:div>
            <w:div w:id="74059343">
              <w:marLeft w:val="0"/>
              <w:marRight w:val="0"/>
              <w:marTop w:val="0"/>
              <w:marBottom w:val="0"/>
              <w:divBdr>
                <w:top w:val="none" w:sz="0" w:space="0" w:color="auto"/>
                <w:left w:val="none" w:sz="0" w:space="0" w:color="auto"/>
                <w:bottom w:val="none" w:sz="0" w:space="0" w:color="auto"/>
                <w:right w:val="none" w:sz="0" w:space="0" w:color="auto"/>
              </w:divBdr>
            </w:div>
          </w:divsChild>
        </w:div>
        <w:div w:id="664361781">
          <w:marLeft w:val="0"/>
          <w:marRight w:val="0"/>
          <w:marTop w:val="0"/>
          <w:marBottom w:val="0"/>
          <w:divBdr>
            <w:top w:val="none" w:sz="0" w:space="0" w:color="auto"/>
            <w:left w:val="none" w:sz="0" w:space="0" w:color="auto"/>
            <w:bottom w:val="none" w:sz="0" w:space="0" w:color="auto"/>
            <w:right w:val="none" w:sz="0" w:space="0" w:color="auto"/>
          </w:divBdr>
          <w:divsChild>
            <w:div w:id="2083864701">
              <w:marLeft w:val="0"/>
              <w:marRight w:val="0"/>
              <w:marTop w:val="0"/>
              <w:marBottom w:val="0"/>
              <w:divBdr>
                <w:top w:val="none" w:sz="0" w:space="0" w:color="auto"/>
                <w:left w:val="none" w:sz="0" w:space="0" w:color="auto"/>
                <w:bottom w:val="none" w:sz="0" w:space="0" w:color="auto"/>
                <w:right w:val="none" w:sz="0" w:space="0" w:color="auto"/>
              </w:divBdr>
            </w:div>
            <w:div w:id="115755332">
              <w:marLeft w:val="0"/>
              <w:marRight w:val="0"/>
              <w:marTop w:val="0"/>
              <w:marBottom w:val="0"/>
              <w:divBdr>
                <w:top w:val="none" w:sz="0" w:space="0" w:color="auto"/>
                <w:left w:val="none" w:sz="0" w:space="0" w:color="auto"/>
                <w:bottom w:val="none" w:sz="0" w:space="0" w:color="auto"/>
                <w:right w:val="none" w:sz="0" w:space="0" w:color="auto"/>
              </w:divBdr>
            </w:div>
            <w:div w:id="1364866759">
              <w:marLeft w:val="0"/>
              <w:marRight w:val="0"/>
              <w:marTop w:val="0"/>
              <w:marBottom w:val="0"/>
              <w:divBdr>
                <w:top w:val="none" w:sz="0" w:space="0" w:color="auto"/>
                <w:left w:val="none" w:sz="0" w:space="0" w:color="auto"/>
                <w:bottom w:val="none" w:sz="0" w:space="0" w:color="auto"/>
                <w:right w:val="none" w:sz="0" w:space="0" w:color="auto"/>
              </w:divBdr>
            </w:div>
            <w:div w:id="29302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516994">
      <w:bodyDiv w:val="1"/>
      <w:marLeft w:val="0"/>
      <w:marRight w:val="0"/>
      <w:marTop w:val="0"/>
      <w:marBottom w:val="0"/>
      <w:divBdr>
        <w:top w:val="none" w:sz="0" w:space="0" w:color="auto"/>
        <w:left w:val="none" w:sz="0" w:space="0" w:color="auto"/>
        <w:bottom w:val="none" w:sz="0" w:space="0" w:color="auto"/>
        <w:right w:val="none" w:sz="0" w:space="0" w:color="auto"/>
      </w:divBdr>
    </w:div>
    <w:div w:id="438843664">
      <w:bodyDiv w:val="1"/>
      <w:marLeft w:val="0"/>
      <w:marRight w:val="0"/>
      <w:marTop w:val="0"/>
      <w:marBottom w:val="0"/>
      <w:divBdr>
        <w:top w:val="none" w:sz="0" w:space="0" w:color="auto"/>
        <w:left w:val="none" w:sz="0" w:space="0" w:color="auto"/>
        <w:bottom w:val="none" w:sz="0" w:space="0" w:color="auto"/>
        <w:right w:val="none" w:sz="0" w:space="0" w:color="auto"/>
      </w:divBdr>
    </w:div>
    <w:div w:id="441149898">
      <w:bodyDiv w:val="1"/>
      <w:marLeft w:val="0"/>
      <w:marRight w:val="0"/>
      <w:marTop w:val="0"/>
      <w:marBottom w:val="0"/>
      <w:divBdr>
        <w:top w:val="none" w:sz="0" w:space="0" w:color="auto"/>
        <w:left w:val="none" w:sz="0" w:space="0" w:color="auto"/>
        <w:bottom w:val="none" w:sz="0" w:space="0" w:color="auto"/>
        <w:right w:val="none" w:sz="0" w:space="0" w:color="auto"/>
      </w:divBdr>
    </w:div>
    <w:div w:id="540561074">
      <w:bodyDiv w:val="1"/>
      <w:marLeft w:val="0"/>
      <w:marRight w:val="0"/>
      <w:marTop w:val="0"/>
      <w:marBottom w:val="0"/>
      <w:divBdr>
        <w:top w:val="none" w:sz="0" w:space="0" w:color="auto"/>
        <w:left w:val="none" w:sz="0" w:space="0" w:color="auto"/>
        <w:bottom w:val="none" w:sz="0" w:space="0" w:color="auto"/>
        <w:right w:val="none" w:sz="0" w:space="0" w:color="auto"/>
      </w:divBdr>
    </w:div>
    <w:div w:id="574901634">
      <w:bodyDiv w:val="1"/>
      <w:marLeft w:val="0"/>
      <w:marRight w:val="0"/>
      <w:marTop w:val="0"/>
      <w:marBottom w:val="0"/>
      <w:divBdr>
        <w:top w:val="none" w:sz="0" w:space="0" w:color="auto"/>
        <w:left w:val="none" w:sz="0" w:space="0" w:color="auto"/>
        <w:bottom w:val="none" w:sz="0" w:space="0" w:color="auto"/>
        <w:right w:val="none" w:sz="0" w:space="0" w:color="auto"/>
      </w:divBdr>
    </w:div>
    <w:div w:id="631985000">
      <w:bodyDiv w:val="1"/>
      <w:marLeft w:val="0"/>
      <w:marRight w:val="0"/>
      <w:marTop w:val="0"/>
      <w:marBottom w:val="0"/>
      <w:divBdr>
        <w:top w:val="none" w:sz="0" w:space="0" w:color="auto"/>
        <w:left w:val="none" w:sz="0" w:space="0" w:color="auto"/>
        <w:bottom w:val="none" w:sz="0" w:space="0" w:color="auto"/>
        <w:right w:val="none" w:sz="0" w:space="0" w:color="auto"/>
      </w:divBdr>
    </w:div>
    <w:div w:id="663123317">
      <w:bodyDiv w:val="1"/>
      <w:marLeft w:val="0"/>
      <w:marRight w:val="0"/>
      <w:marTop w:val="0"/>
      <w:marBottom w:val="0"/>
      <w:divBdr>
        <w:top w:val="none" w:sz="0" w:space="0" w:color="auto"/>
        <w:left w:val="none" w:sz="0" w:space="0" w:color="auto"/>
        <w:bottom w:val="none" w:sz="0" w:space="0" w:color="auto"/>
        <w:right w:val="none" w:sz="0" w:space="0" w:color="auto"/>
      </w:divBdr>
    </w:div>
    <w:div w:id="695081785">
      <w:bodyDiv w:val="1"/>
      <w:marLeft w:val="0"/>
      <w:marRight w:val="0"/>
      <w:marTop w:val="0"/>
      <w:marBottom w:val="0"/>
      <w:divBdr>
        <w:top w:val="none" w:sz="0" w:space="0" w:color="auto"/>
        <w:left w:val="none" w:sz="0" w:space="0" w:color="auto"/>
        <w:bottom w:val="none" w:sz="0" w:space="0" w:color="auto"/>
        <w:right w:val="none" w:sz="0" w:space="0" w:color="auto"/>
      </w:divBdr>
      <w:divsChild>
        <w:div w:id="447744782">
          <w:marLeft w:val="0"/>
          <w:marRight w:val="0"/>
          <w:marTop w:val="0"/>
          <w:marBottom w:val="0"/>
          <w:divBdr>
            <w:top w:val="none" w:sz="0" w:space="0" w:color="auto"/>
            <w:left w:val="none" w:sz="0" w:space="0" w:color="auto"/>
            <w:bottom w:val="none" w:sz="0" w:space="0" w:color="auto"/>
            <w:right w:val="none" w:sz="0" w:space="0" w:color="auto"/>
          </w:divBdr>
          <w:divsChild>
            <w:div w:id="908658859">
              <w:marLeft w:val="0"/>
              <w:marRight w:val="0"/>
              <w:marTop w:val="0"/>
              <w:marBottom w:val="0"/>
              <w:divBdr>
                <w:top w:val="none" w:sz="0" w:space="0" w:color="auto"/>
                <w:left w:val="none" w:sz="0" w:space="0" w:color="auto"/>
                <w:bottom w:val="none" w:sz="0" w:space="0" w:color="auto"/>
                <w:right w:val="none" w:sz="0" w:space="0" w:color="auto"/>
              </w:divBdr>
              <w:divsChild>
                <w:div w:id="1542159794">
                  <w:marLeft w:val="0"/>
                  <w:marRight w:val="0"/>
                  <w:marTop w:val="0"/>
                  <w:marBottom w:val="0"/>
                  <w:divBdr>
                    <w:top w:val="none" w:sz="0" w:space="0" w:color="auto"/>
                    <w:left w:val="none" w:sz="0" w:space="0" w:color="auto"/>
                    <w:bottom w:val="none" w:sz="0" w:space="0" w:color="auto"/>
                    <w:right w:val="none" w:sz="0" w:space="0" w:color="auto"/>
                  </w:divBdr>
                  <w:divsChild>
                    <w:div w:id="2069331859">
                      <w:marLeft w:val="0"/>
                      <w:marRight w:val="0"/>
                      <w:marTop w:val="0"/>
                      <w:marBottom w:val="0"/>
                      <w:divBdr>
                        <w:top w:val="none" w:sz="0" w:space="0" w:color="auto"/>
                        <w:left w:val="none" w:sz="0" w:space="0" w:color="auto"/>
                        <w:bottom w:val="none" w:sz="0" w:space="0" w:color="auto"/>
                        <w:right w:val="none" w:sz="0" w:space="0" w:color="auto"/>
                      </w:divBdr>
                      <w:divsChild>
                        <w:div w:id="446433864">
                          <w:marLeft w:val="0"/>
                          <w:marRight w:val="0"/>
                          <w:marTop w:val="0"/>
                          <w:marBottom w:val="0"/>
                          <w:divBdr>
                            <w:top w:val="none" w:sz="0" w:space="0" w:color="auto"/>
                            <w:left w:val="none" w:sz="0" w:space="0" w:color="auto"/>
                            <w:bottom w:val="none" w:sz="0" w:space="0" w:color="auto"/>
                            <w:right w:val="none" w:sz="0" w:space="0" w:color="auto"/>
                          </w:divBdr>
                          <w:divsChild>
                            <w:div w:id="1536232019">
                              <w:marLeft w:val="0"/>
                              <w:marRight w:val="0"/>
                              <w:marTop w:val="0"/>
                              <w:marBottom w:val="0"/>
                              <w:divBdr>
                                <w:top w:val="none" w:sz="0" w:space="0" w:color="auto"/>
                                <w:left w:val="none" w:sz="0" w:space="0" w:color="auto"/>
                                <w:bottom w:val="none" w:sz="0" w:space="0" w:color="auto"/>
                                <w:right w:val="none" w:sz="0" w:space="0" w:color="auto"/>
                              </w:divBdr>
                              <w:divsChild>
                                <w:div w:id="109739526">
                                  <w:marLeft w:val="0"/>
                                  <w:marRight w:val="0"/>
                                  <w:marTop w:val="0"/>
                                  <w:marBottom w:val="0"/>
                                  <w:divBdr>
                                    <w:top w:val="none" w:sz="0" w:space="0" w:color="auto"/>
                                    <w:left w:val="none" w:sz="0" w:space="0" w:color="auto"/>
                                    <w:bottom w:val="none" w:sz="0" w:space="0" w:color="auto"/>
                                    <w:right w:val="none" w:sz="0" w:space="0" w:color="auto"/>
                                  </w:divBdr>
                                  <w:divsChild>
                                    <w:div w:id="898173442">
                                      <w:marLeft w:val="0"/>
                                      <w:marRight w:val="0"/>
                                      <w:marTop w:val="0"/>
                                      <w:marBottom w:val="0"/>
                                      <w:divBdr>
                                        <w:top w:val="none" w:sz="0" w:space="0" w:color="auto"/>
                                        <w:left w:val="none" w:sz="0" w:space="0" w:color="auto"/>
                                        <w:bottom w:val="none" w:sz="0" w:space="0" w:color="auto"/>
                                        <w:right w:val="none" w:sz="0" w:space="0" w:color="auto"/>
                                      </w:divBdr>
                                      <w:divsChild>
                                        <w:div w:id="296029963">
                                          <w:marLeft w:val="0"/>
                                          <w:marRight w:val="0"/>
                                          <w:marTop w:val="0"/>
                                          <w:marBottom w:val="0"/>
                                          <w:divBdr>
                                            <w:top w:val="none" w:sz="0" w:space="0" w:color="auto"/>
                                            <w:left w:val="none" w:sz="0" w:space="0" w:color="auto"/>
                                            <w:bottom w:val="none" w:sz="0" w:space="0" w:color="auto"/>
                                            <w:right w:val="none" w:sz="0" w:space="0" w:color="auto"/>
                                          </w:divBdr>
                                          <w:divsChild>
                                            <w:div w:id="57093681">
                                              <w:marLeft w:val="0"/>
                                              <w:marRight w:val="0"/>
                                              <w:marTop w:val="0"/>
                                              <w:marBottom w:val="0"/>
                                              <w:divBdr>
                                                <w:top w:val="none" w:sz="0" w:space="0" w:color="auto"/>
                                                <w:left w:val="none" w:sz="0" w:space="0" w:color="auto"/>
                                                <w:bottom w:val="none" w:sz="0" w:space="0" w:color="auto"/>
                                                <w:right w:val="none" w:sz="0" w:space="0" w:color="auto"/>
                                              </w:divBdr>
                                              <w:divsChild>
                                                <w:div w:id="1662924147">
                                                  <w:marLeft w:val="0"/>
                                                  <w:marRight w:val="0"/>
                                                  <w:marTop w:val="0"/>
                                                  <w:marBottom w:val="0"/>
                                                  <w:divBdr>
                                                    <w:top w:val="none" w:sz="0" w:space="0" w:color="auto"/>
                                                    <w:left w:val="none" w:sz="0" w:space="0" w:color="auto"/>
                                                    <w:bottom w:val="none" w:sz="0" w:space="0" w:color="auto"/>
                                                    <w:right w:val="none" w:sz="0" w:space="0" w:color="auto"/>
                                                  </w:divBdr>
                                                  <w:divsChild>
                                                    <w:div w:id="1108936357">
                                                      <w:marLeft w:val="0"/>
                                                      <w:marRight w:val="0"/>
                                                      <w:marTop w:val="0"/>
                                                      <w:marBottom w:val="0"/>
                                                      <w:divBdr>
                                                        <w:top w:val="none" w:sz="0" w:space="0" w:color="auto"/>
                                                        <w:left w:val="none" w:sz="0" w:space="0" w:color="auto"/>
                                                        <w:bottom w:val="none" w:sz="0" w:space="0" w:color="auto"/>
                                                        <w:right w:val="none" w:sz="0" w:space="0" w:color="auto"/>
                                                      </w:divBdr>
                                                      <w:divsChild>
                                                        <w:div w:id="26477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12730961">
      <w:bodyDiv w:val="1"/>
      <w:marLeft w:val="0"/>
      <w:marRight w:val="0"/>
      <w:marTop w:val="0"/>
      <w:marBottom w:val="0"/>
      <w:divBdr>
        <w:top w:val="none" w:sz="0" w:space="0" w:color="auto"/>
        <w:left w:val="none" w:sz="0" w:space="0" w:color="auto"/>
        <w:bottom w:val="none" w:sz="0" w:space="0" w:color="auto"/>
        <w:right w:val="none" w:sz="0" w:space="0" w:color="auto"/>
      </w:divBdr>
      <w:divsChild>
        <w:div w:id="1536699016">
          <w:marLeft w:val="547"/>
          <w:marRight w:val="0"/>
          <w:marTop w:val="0"/>
          <w:marBottom w:val="0"/>
          <w:divBdr>
            <w:top w:val="none" w:sz="0" w:space="0" w:color="auto"/>
            <w:left w:val="none" w:sz="0" w:space="0" w:color="auto"/>
            <w:bottom w:val="none" w:sz="0" w:space="0" w:color="auto"/>
            <w:right w:val="none" w:sz="0" w:space="0" w:color="auto"/>
          </w:divBdr>
        </w:div>
      </w:divsChild>
    </w:div>
    <w:div w:id="740756179">
      <w:bodyDiv w:val="1"/>
      <w:marLeft w:val="0"/>
      <w:marRight w:val="0"/>
      <w:marTop w:val="0"/>
      <w:marBottom w:val="0"/>
      <w:divBdr>
        <w:top w:val="none" w:sz="0" w:space="0" w:color="auto"/>
        <w:left w:val="none" w:sz="0" w:space="0" w:color="auto"/>
        <w:bottom w:val="none" w:sz="0" w:space="0" w:color="auto"/>
        <w:right w:val="none" w:sz="0" w:space="0" w:color="auto"/>
      </w:divBdr>
    </w:div>
    <w:div w:id="816344299">
      <w:bodyDiv w:val="1"/>
      <w:marLeft w:val="0"/>
      <w:marRight w:val="0"/>
      <w:marTop w:val="0"/>
      <w:marBottom w:val="0"/>
      <w:divBdr>
        <w:top w:val="none" w:sz="0" w:space="0" w:color="auto"/>
        <w:left w:val="none" w:sz="0" w:space="0" w:color="auto"/>
        <w:bottom w:val="none" w:sz="0" w:space="0" w:color="auto"/>
        <w:right w:val="none" w:sz="0" w:space="0" w:color="auto"/>
      </w:divBdr>
    </w:div>
    <w:div w:id="851993374">
      <w:bodyDiv w:val="1"/>
      <w:marLeft w:val="0"/>
      <w:marRight w:val="0"/>
      <w:marTop w:val="0"/>
      <w:marBottom w:val="0"/>
      <w:divBdr>
        <w:top w:val="none" w:sz="0" w:space="0" w:color="auto"/>
        <w:left w:val="none" w:sz="0" w:space="0" w:color="auto"/>
        <w:bottom w:val="none" w:sz="0" w:space="0" w:color="auto"/>
        <w:right w:val="none" w:sz="0" w:space="0" w:color="auto"/>
      </w:divBdr>
    </w:div>
    <w:div w:id="917665356">
      <w:bodyDiv w:val="1"/>
      <w:marLeft w:val="0"/>
      <w:marRight w:val="0"/>
      <w:marTop w:val="0"/>
      <w:marBottom w:val="0"/>
      <w:divBdr>
        <w:top w:val="none" w:sz="0" w:space="0" w:color="auto"/>
        <w:left w:val="none" w:sz="0" w:space="0" w:color="auto"/>
        <w:bottom w:val="none" w:sz="0" w:space="0" w:color="auto"/>
        <w:right w:val="none" w:sz="0" w:space="0" w:color="auto"/>
      </w:divBdr>
    </w:div>
    <w:div w:id="955524937">
      <w:bodyDiv w:val="1"/>
      <w:marLeft w:val="0"/>
      <w:marRight w:val="0"/>
      <w:marTop w:val="0"/>
      <w:marBottom w:val="0"/>
      <w:divBdr>
        <w:top w:val="none" w:sz="0" w:space="0" w:color="auto"/>
        <w:left w:val="none" w:sz="0" w:space="0" w:color="auto"/>
        <w:bottom w:val="none" w:sz="0" w:space="0" w:color="auto"/>
        <w:right w:val="none" w:sz="0" w:space="0" w:color="auto"/>
      </w:divBdr>
    </w:div>
    <w:div w:id="984701541">
      <w:bodyDiv w:val="1"/>
      <w:marLeft w:val="0"/>
      <w:marRight w:val="0"/>
      <w:marTop w:val="0"/>
      <w:marBottom w:val="0"/>
      <w:divBdr>
        <w:top w:val="none" w:sz="0" w:space="0" w:color="auto"/>
        <w:left w:val="none" w:sz="0" w:space="0" w:color="auto"/>
        <w:bottom w:val="none" w:sz="0" w:space="0" w:color="auto"/>
        <w:right w:val="none" w:sz="0" w:space="0" w:color="auto"/>
      </w:divBdr>
    </w:div>
    <w:div w:id="1036269141">
      <w:bodyDiv w:val="1"/>
      <w:marLeft w:val="0"/>
      <w:marRight w:val="0"/>
      <w:marTop w:val="0"/>
      <w:marBottom w:val="0"/>
      <w:divBdr>
        <w:top w:val="none" w:sz="0" w:space="0" w:color="auto"/>
        <w:left w:val="none" w:sz="0" w:space="0" w:color="auto"/>
        <w:bottom w:val="none" w:sz="0" w:space="0" w:color="auto"/>
        <w:right w:val="none" w:sz="0" w:space="0" w:color="auto"/>
      </w:divBdr>
    </w:div>
    <w:div w:id="1042945555">
      <w:bodyDiv w:val="1"/>
      <w:marLeft w:val="0"/>
      <w:marRight w:val="0"/>
      <w:marTop w:val="0"/>
      <w:marBottom w:val="0"/>
      <w:divBdr>
        <w:top w:val="none" w:sz="0" w:space="0" w:color="auto"/>
        <w:left w:val="none" w:sz="0" w:space="0" w:color="auto"/>
        <w:bottom w:val="none" w:sz="0" w:space="0" w:color="auto"/>
        <w:right w:val="none" w:sz="0" w:space="0" w:color="auto"/>
      </w:divBdr>
    </w:div>
    <w:div w:id="1063411134">
      <w:bodyDiv w:val="1"/>
      <w:marLeft w:val="0"/>
      <w:marRight w:val="0"/>
      <w:marTop w:val="0"/>
      <w:marBottom w:val="0"/>
      <w:divBdr>
        <w:top w:val="none" w:sz="0" w:space="0" w:color="auto"/>
        <w:left w:val="none" w:sz="0" w:space="0" w:color="auto"/>
        <w:bottom w:val="none" w:sz="0" w:space="0" w:color="auto"/>
        <w:right w:val="none" w:sz="0" w:space="0" w:color="auto"/>
      </w:divBdr>
      <w:divsChild>
        <w:div w:id="1878005263">
          <w:marLeft w:val="0"/>
          <w:marRight w:val="0"/>
          <w:marTop w:val="0"/>
          <w:marBottom w:val="0"/>
          <w:divBdr>
            <w:top w:val="none" w:sz="0" w:space="0" w:color="auto"/>
            <w:left w:val="none" w:sz="0" w:space="0" w:color="auto"/>
            <w:bottom w:val="none" w:sz="0" w:space="0" w:color="auto"/>
            <w:right w:val="none" w:sz="0" w:space="0" w:color="auto"/>
          </w:divBdr>
          <w:divsChild>
            <w:div w:id="1679653476">
              <w:marLeft w:val="0"/>
              <w:marRight w:val="0"/>
              <w:marTop w:val="0"/>
              <w:marBottom w:val="0"/>
              <w:divBdr>
                <w:top w:val="none" w:sz="0" w:space="0" w:color="auto"/>
                <w:left w:val="none" w:sz="0" w:space="0" w:color="auto"/>
                <w:bottom w:val="none" w:sz="0" w:space="0" w:color="auto"/>
                <w:right w:val="none" w:sz="0" w:space="0" w:color="auto"/>
              </w:divBdr>
              <w:divsChild>
                <w:div w:id="648631271">
                  <w:marLeft w:val="0"/>
                  <w:marRight w:val="0"/>
                  <w:marTop w:val="0"/>
                  <w:marBottom w:val="0"/>
                  <w:divBdr>
                    <w:top w:val="none" w:sz="0" w:space="0" w:color="auto"/>
                    <w:left w:val="none" w:sz="0" w:space="0" w:color="auto"/>
                    <w:bottom w:val="none" w:sz="0" w:space="0" w:color="auto"/>
                    <w:right w:val="none" w:sz="0" w:space="0" w:color="auto"/>
                  </w:divBdr>
                  <w:divsChild>
                    <w:div w:id="709651978">
                      <w:marLeft w:val="0"/>
                      <w:marRight w:val="0"/>
                      <w:marTop w:val="0"/>
                      <w:marBottom w:val="0"/>
                      <w:divBdr>
                        <w:top w:val="none" w:sz="0" w:space="0" w:color="auto"/>
                        <w:left w:val="none" w:sz="0" w:space="0" w:color="auto"/>
                        <w:bottom w:val="none" w:sz="0" w:space="0" w:color="auto"/>
                        <w:right w:val="none" w:sz="0" w:space="0" w:color="auto"/>
                      </w:divBdr>
                      <w:divsChild>
                        <w:div w:id="506603090">
                          <w:marLeft w:val="0"/>
                          <w:marRight w:val="0"/>
                          <w:marTop w:val="0"/>
                          <w:marBottom w:val="0"/>
                          <w:divBdr>
                            <w:top w:val="none" w:sz="0" w:space="0" w:color="auto"/>
                            <w:left w:val="none" w:sz="0" w:space="0" w:color="auto"/>
                            <w:bottom w:val="none" w:sz="0" w:space="0" w:color="auto"/>
                            <w:right w:val="none" w:sz="0" w:space="0" w:color="auto"/>
                          </w:divBdr>
                          <w:divsChild>
                            <w:div w:id="2079210704">
                              <w:marLeft w:val="0"/>
                              <w:marRight w:val="0"/>
                              <w:marTop w:val="0"/>
                              <w:marBottom w:val="0"/>
                              <w:divBdr>
                                <w:top w:val="none" w:sz="0" w:space="0" w:color="auto"/>
                                <w:left w:val="none" w:sz="0" w:space="0" w:color="auto"/>
                                <w:bottom w:val="none" w:sz="0" w:space="0" w:color="auto"/>
                                <w:right w:val="none" w:sz="0" w:space="0" w:color="auto"/>
                              </w:divBdr>
                              <w:divsChild>
                                <w:div w:id="852301151">
                                  <w:marLeft w:val="0"/>
                                  <w:marRight w:val="0"/>
                                  <w:marTop w:val="0"/>
                                  <w:marBottom w:val="0"/>
                                  <w:divBdr>
                                    <w:top w:val="none" w:sz="0" w:space="0" w:color="auto"/>
                                    <w:left w:val="none" w:sz="0" w:space="0" w:color="auto"/>
                                    <w:bottom w:val="none" w:sz="0" w:space="0" w:color="auto"/>
                                    <w:right w:val="none" w:sz="0" w:space="0" w:color="auto"/>
                                  </w:divBdr>
                                  <w:divsChild>
                                    <w:div w:id="1985692775">
                                      <w:marLeft w:val="0"/>
                                      <w:marRight w:val="0"/>
                                      <w:marTop w:val="0"/>
                                      <w:marBottom w:val="0"/>
                                      <w:divBdr>
                                        <w:top w:val="none" w:sz="0" w:space="0" w:color="auto"/>
                                        <w:left w:val="none" w:sz="0" w:space="0" w:color="auto"/>
                                        <w:bottom w:val="none" w:sz="0" w:space="0" w:color="auto"/>
                                        <w:right w:val="none" w:sz="0" w:space="0" w:color="auto"/>
                                      </w:divBdr>
                                      <w:divsChild>
                                        <w:div w:id="1225484181">
                                          <w:marLeft w:val="0"/>
                                          <w:marRight w:val="0"/>
                                          <w:marTop w:val="0"/>
                                          <w:marBottom w:val="0"/>
                                          <w:divBdr>
                                            <w:top w:val="none" w:sz="0" w:space="0" w:color="auto"/>
                                            <w:left w:val="none" w:sz="0" w:space="0" w:color="auto"/>
                                            <w:bottom w:val="none" w:sz="0" w:space="0" w:color="auto"/>
                                            <w:right w:val="none" w:sz="0" w:space="0" w:color="auto"/>
                                          </w:divBdr>
                                          <w:divsChild>
                                            <w:div w:id="570239227">
                                              <w:marLeft w:val="0"/>
                                              <w:marRight w:val="0"/>
                                              <w:marTop w:val="0"/>
                                              <w:marBottom w:val="0"/>
                                              <w:divBdr>
                                                <w:top w:val="none" w:sz="0" w:space="0" w:color="auto"/>
                                                <w:left w:val="none" w:sz="0" w:space="0" w:color="auto"/>
                                                <w:bottom w:val="none" w:sz="0" w:space="0" w:color="auto"/>
                                                <w:right w:val="none" w:sz="0" w:space="0" w:color="auto"/>
                                              </w:divBdr>
                                              <w:divsChild>
                                                <w:div w:id="901596092">
                                                  <w:marLeft w:val="0"/>
                                                  <w:marRight w:val="0"/>
                                                  <w:marTop w:val="0"/>
                                                  <w:marBottom w:val="0"/>
                                                  <w:divBdr>
                                                    <w:top w:val="none" w:sz="0" w:space="0" w:color="auto"/>
                                                    <w:left w:val="none" w:sz="0" w:space="0" w:color="auto"/>
                                                    <w:bottom w:val="none" w:sz="0" w:space="0" w:color="auto"/>
                                                    <w:right w:val="none" w:sz="0" w:space="0" w:color="auto"/>
                                                  </w:divBdr>
                                                  <w:divsChild>
                                                    <w:div w:id="1543521893">
                                                      <w:marLeft w:val="0"/>
                                                      <w:marRight w:val="0"/>
                                                      <w:marTop w:val="0"/>
                                                      <w:marBottom w:val="0"/>
                                                      <w:divBdr>
                                                        <w:top w:val="none" w:sz="0" w:space="0" w:color="auto"/>
                                                        <w:left w:val="none" w:sz="0" w:space="0" w:color="auto"/>
                                                        <w:bottom w:val="none" w:sz="0" w:space="0" w:color="auto"/>
                                                        <w:right w:val="none" w:sz="0" w:space="0" w:color="auto"/>
                                                      </w:divBdr>
                                                      <w:divsChild>
                                                        <w:div w:id="212114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4877768">
      <w:bodyDiv w:val="1"/>
      <w:marLeft w:val="0"/>
      <w:marRight w:val="0"/>
      <w:marTop w:val="0"/>
      <w:marBottom w:val="0"/>
      <w:divBdr>
        <w:top w:val="none" w:sz="0" w:space="0" w:color="auto"/>
        <w:left w:val="none" w:sz="0" w:space="0" w:color="auto"/>
        <w:bottom w:val="none" w:sz="0" w:space="0" w:color="auto"/>
        <w:right w:val="none" w:sz="0" w:space="0" w:color="auto"/>
      </w:divBdr>
    </w:div>
    <w:div w:id="1181358862">
      <w:bodyDiv w:val="1"/>
      <w:marLeft w:val="0"/>
      <w:marRight w:val="0"/>
      <w:marTop w:val="0"/>
      <w:marBottom w:val="0"/>
      <w:divBdr>
        <w:top w:val="none" w:sz="0" w:space="0" w:color="auto"/>
        <w:left w:val="none" w:sz="0" w:space="0" w:color="auto"/>
        <w:bottom w:val="none" w:sz="0" w:space="0" w:color="auto"/>
        <w:right w:val="none" w:sz="0" w:space="0" w:color="auto"/>
      </w:divBdr>
      <w:divsChild>
        <w:div w:id="769667699">
          <w:marLeft w:val="994"/>
          <w:marRight w:val="0"/>
          <w:marTop w:val="0"/>
          <w:marBottom w:val="0"/>
          <w:divBdr>
            <w:top w:val="none" w:sz="0" w:space="0" w:color="auto"/>
            <w:left w:val="none" w:sz="0" w:space="0" w:color="auto"/>
            <w:bottom w:val="none" w:sz="0" w:space="0" w:color="auto"/>
            <w:right w:val="none" w:sz="0" w:space="0" w:color="auto"/>
          </w:divBdr>
        </w:div>
        <w:div w:id="1633973600">
          <w:marLeft w:val="994"/>
          <w:marRight w:val="0"/>
          <w:marTop w:val="0"/>
          <w:marBottom w:val="0"/>
          <w:divBdr>
            <w:top w:val="none" w:sz="0" w:space="0" w:color="auto"/>
            <w:left w:val="none" w:sz="0" w:space="0" w:color="auto"/>
            <w:bottom w:val="none" w:sz="0" w:space="0" w:color="auto"/>
            <w:right w:val="none" w:sz="0" w:space="0" w:color="auto"/>
          </w:divBdr>
        </w:div>
        <w:div w:id="1642614360">
          <w:marLeft w:val="994"/>
          <w:marRight w:val="0"/>
          <w:marTop w:val="0"/>
          <w:marBottom w:val="0"/>
          <w:divBdr>
            <w:top w:val="none" w:sz="0" w:space="0" w:color="auto"/>
            <w:left w:val="none" w:sz="0" w:space="0" w:color="auto"/>
            <w:bottom w:val="none" w:sz="0" w:space="0" w:color="auto"/>
            <w:right w:val="none" w:sz="0" w:space="0" w:color="auto"/>
          </w:divBdr>
        </w:div>
        <w:div w:id="1999771452">
          <w:marLeft w:val="994"/>
          <w:marRight w:val="0"/>
          <w:marTop w:val="0"/>
          <w:marBottom w:val="0"/>
          <w:divBdr>
            <w:top w:val="none" w:sz="0" w:space="0" w:color="auto"/>
            <w:left w:val="none" w:sz="0" w:space="0" w:color="auto"/>
            <w:bottom w:val="none" w:sz="0" w:space="0" w:color="auto"/>
            <w:right w:val="none" w:sz="0" w:space="0" w:color="auto"/>
          </w:divBdr>
        </w:div>
        <w:div w:id="2042968821">
          <w:marLeft w:val="274"/>
          <w:marRight w:val="0"/>
          <w:marTop w:val="0"/>
          <w:marBottom w:val="0"/>
          <w:divBdr>
            <w:top w:val="none" w:sz="0" w:space="0" w:color="auto"/>
            <w:left w:val="none" w:sz="0" w:space="0" w:color="auto"/>
            <w:bottom w:val="none" w:sz="0" w:space="0" w:color="auto"/>
            <w:right w:val="none" w:sz="0" w:space="0" w:color="auto"/>
          </w:divBdr>
        </w:div>
        <w:div w:id="2057657636">
          <w:marLeft w:val="994"/>
          <w:marRight w:val="0"/>
          <w:marTop w:val="0"/>
          <w:marBottom w:val="0"/>
          <w:divBdr>
            <w:top w:val="none" w:sz="0" w:space="0" w:color="auto"/>
            <w:left w:val="none" w:sz="0" w:space="0" w:color="auto"/>
            <w:bottom w:val="none" w:sz="0" w:space="0" w:color="auto"/>
            <w:right w:val="none" w:sz="0" w:space="0" w:color="auto"/>
          </w:divBdr>
        </w:div>
      </w:divsChild>
    </w:div>
    <w:div w:id="1243485998">
      <w:bodyDiv w:val="1"/>
      <w:marLeft w:val="0"/>
      <w:marRight w:val="0"/>
      <w:marTop w:val="0"/>
      <w:marBottom w:val="0"/>
      <w:divBdr>
        <w:top w:val="none" w:sz="0" w:space="0" w:color="auto"/>
        <w:left w:val="none" w:sz="0" w:space="0" w:color="auto"/>
        <w:bottom w:val="none" w:sz="0" w:space="0" w:color="auto"/>
        <w:right w:val="none" w:sz="0" w:space="0" w:color="auto"/>
      </w:divBdr>
    </w:div>
    <w:div w:id="1253666672">
      <w:bodyDiv w:val="1"/>
      <w:marLeft w:val="0"/>
      <w:marRight w:val="0"/>
      <w:marTop w:val="0"/>
      <w:marBottom w:val="0"/>
      <w:divBdr>
        <w:top w:val="none" w:sz="0" w:space="0" w:color="auto"/>
        <w:left w:val="none" w:sz="0" w:space="0" w:color="auto"/>
        <w:bottom w:val="none" w:sz="0" w:space="0" w:color="auto"/>
        <w:right w:val="none" w:sz="0" w:space="0" w:color="auto"/>
      </w:divBdr>
    </w:div>
    <w:div w:id="1273706614">
      <w:bodyDiv w:val="1"/>
      <w:marLeft w:val="0"/>
      <w:marRight w:val="0"/>
      <w:marTop w:val="0"/>
      <w:marBottom w:val="0"/>
      <w:divBdr>
        <w:top w:val="none" w:sz="0" w:space="0" w:color="auto"/>
        <w:left w:val="none" w:sz="0" w:space="0" w:color="auto"/>
        <w:bottom w:val="none" w:sz="0" w:space="0" w:color="auto"/>
        <w:right w:val="none" w:sz="0" w:space="0" w:color="auto"/>
      </w:divBdr>
    </w:div>
    <w:div w:id="1276786966">
      <w:bodyDiv w:val="1"/>
      <w:marLeft w:val="0"/>
      <w:marRight w:val="0"/>
      <w:marTop w:val="0"/>
      <w:marBottom w:val="0"/>
      <w:divBdr>
        <w:top w:val="none" w:sz="0" w:space="0" w:color="auto"/>
        <w:left w:val="none" w:sz="0" w:space="0" w:color="auto"/>
        <w:bottom w:val="none" w:sz="0" w:space="0" w:color="auto"/>
        <w:right w:val="none" w:sz="0" w:space="0" w:color="auto"/>
      </w:divBdr>
    </w:div>
    <w:div w:id="1327247451">
      <w:bodyDiv w:val="1"/>
      <w:marLeft w:val="0"/>
      <w:marRight w:val="0"/>
      <w:marTop w:val="0"/>
      <w:marBottom w:val="0"/>
      <w:divBdr>
        <w:top w:val="none" w:sz="0" w:space="0" w:color="auto"/>
        <w:left w:val="none" w:sz="0" w:space="0" w:color="auto"/>
        <w:bottom w:val="none" w:sz="0" w:space="0" w:color="auto"/>
        <w:right w:val="none" w:sz="0" w:space="0" w:color="auto"/>
      </w:divBdr>
    </w:div>
    <w:div w:id="1370640471">
      <w:bodyDiv w:val="1"/>
      <w:marLeft w:val="0"/>
      <w:marRight w:val="0"/>
      <w:marTop w:val="0"/>
      <w:marBottom w:val="0"/>
      <w:divBdr>
        <w:top w:val="none" w:sz="0" w:space="0" w:color="auto"/>
        <w:left w:val="none" w:sz="0" w:space="0" w:color="auto"/>
        <w:bottom w:val="none" w:sz="0" w:space="0" w:color="auto"/>
        <w:right w:val="none" w:sz="0" w:space="0" w:color="auto"/>
      </w:divBdr>
    </w:div>
    <w:div w:id="1372149427">
      <w:bodyDiv w:val="1"/>
      <w:marLeft w:val="0"/>
      <w:marRight w:val="0"/>
      <w:marTop w:val="0"/>
      <w:marBottom w:val="0"/>
      <w:divBdr>
        <w:top w:val="none" w:sz="0" w:space="0" w:color="auto"/>
        <w:left w:val="none" w:sz="0" w:space="0" w:color="auto"/>
        <w:bottom w:val="none" w:sz="0" w:space="0" w:color="auto"/>
        <w:right w:val="none" w:sz="0" w:space="0" w:color="auto"/>
      </w:divBdr>
    </w:div>
    <w:div w:id="1430812755">
      <w:bodyDiv w:val="1"/>
      <w:marLeft w:val="0"/>
      <w:marRight w:val="0"/>
      <w:marTop w:val="0"/>
      <w:marBottom w:val="0"/>
      <w:divBdr>
        <w:top w:val="none" w:sz="0" w:space="0" w:color="auto"/>
        <w:left w:val="none" w:sz="0" w:space="0" w:color="auto"/>
        <w:bottom w:val="none" w:sz="0" w:space="0" w:color="auto"/>
        <w:right w:val="none" w:sz="0" w:space="0" w:color="auto"/>
      </w:divBdr>
    </w:div>
    <w:div w:id="1501038841">
      <w:bodyDiv w:val="1"/>
      <w:marLeft w:val="0"/>
      <w:marRight w:val="0"/>
      <w:marTop w:val="0"/>
      <w:marBottom w:val="0"/>
      <w:divBdr>
        <w:top w:val="none" w:sz="0" w:space="0" w:color="auto"/>
        <w:left w:val="none" w:sz="0" w:space="0" w:color="auto"/>
        <w:bottom w:val="none" w:sz="0" w:space="0" w:color="auto"/>
        <w:right w:val="none" w:sz="0" w:space="0" w:color="auto"/>
      </w:divBdr>
    </w:div>
    <w:div w:id="1524174530">
      <w:bodyDiv w:val="1"/>
      <w:marLeft w:val="0"/>
      <w:marRight w:val="0"/>
      <w:marTop w:val="0"/>
      <w:marBottom w:val="0"/>
      <w:divBdr>
        <w:top w:val="none" w:sz="0" w:space="0" w:color="auto"/>
        <w:left w:val="none" w:sz="0" w:space="0" w:color="auto"/>
        <w:bottom w:val="none" w:sz="0" w:space="0" w:color="auto"/>
        <w:right w:val="none" w:sz="0" w:space="0" w:color="auto"/>
      </w:divBdr>
    </w:div>
    <w:div w:id="1601058505">
      <w:bodyDiv w:val="1"/>
      <w:marLeft w:val="0"/>
      <w:marRight w:val="0"/>
      <w:marTop w:val="0"/>
      <w:marBottom w:val="0"/>
      <w:divBdr>
        <w:top w:val="none" w:sz="0" w:space="0" w:color="auto"/>
        <w:left w:val="none" w:sz="0" w:space="0" w:color="auto"/>
        <w:bottom w:val="none" w:sz="0" w:space="0" w:color="auto"/>
        <w:right w:val="none" w:sz="0" w:space="0" w:color="auto"/>
      </w:divBdr>
    </w:div>
    <w:div w:id="1725830025">
      <w:bodyDiv w:val="1"/>
      <w:marLeft w:val="0"/>
      <w:marRight w:val="0"/>
      <w:marTop w:val="0"/>
      <w:marBottom w:val="0"/>
      <w:divBdr>
        <w:top w:val="none" w:sz="0" w:space="0" w:color="auto"/>
        <w:left w:val="none" w:sz="0" w:space="0" w:color="auto"/>
        <w:bottom w:val="none" w:sz="0" w:space="0" w:color="auto"/>
        <w:right w:val="none" w:sz="0" w:space="0" w:color="auto"/>
      </w:divBdr>
    </w:div>
    <w:div w:id="1762142779">
      <w:bodyDiv w:val="1"/>
      <w:marLeft w:val="0"/>
      <w:marRight w:val="0"/>
      <w:marTop w:val="0"/>
      <w:marBottom w:val="0"/>
      <w:divBdr>
        <w:top w:val="none" w:sz="0" w:space="0" w:color="auto"/>
        <w:left w:val="none" w:sz="0" w:space="0" w:color="auto"/>
        <w:bottom w:val="none" w:sz="0" w:space="0" w:color="auto"/>
        <w:right w:val="none" w:sz="0" w:space="0" w:color="auto"/>
      </w:divBdr>
      <w:divsChild>
        <w:div w:id="2089229630">
          <w:marLeft w:val="0"/>
          <w:marRight w:val="0"/>
          <w:marTop w:val="0"/>
          <w:marBottom w:val="0"/>
          <w:divBdr>
            <w:top w:val="none" w:sz="0" w:space="0" w:color="auto"/>
            <w:left w:val="none" w:sz="0" w:space="0" w:color="auto"/>
            <w:bottom w:val="none" w:sz="0" w:space="0" w:color="auto"/>
            <w:right w:val="none" w:sz="0" w:space="0" w:color="auto"/>
          </w:divBdr>
        </w:div>
        <w:div w:id="1763722182">
          <w:marLeft w:val="0"/>
          <w:marRight w:val="0"/>
          <w:marTop w:val="0"/>
          <w:marBottom w:val="0"/>
          <w:divBdr>
            <w:top w:val="none" w:sz="0" w:space="0" w:color="auto"/>
            <w:left w:val="none" w:sz="0" w:space="0" w:color="auto"/>
            <w:bottom w:val="none" w:sz="0" w:space="0" w:color="auto"/>
            <w:right w:val="none" w:sz="0" w:space="0" w:color="auto"/>
          </w:divBdr>
        </w:div>
        <w:div w:id="729771214">
          <w:marLeft w:val="0"/>
          <w:marRight w:val="0"/>
          <w:marTop w:val="0"/>
          <w:marBottom w:val="0"/>
          <w:divBdr>
            <w:top w:val="none" w:sz="0" w:space="0" w:color="auto"/>
            <w:left w:val="none" w:sz="0" w:space="0" w:color="auto"/>
            <w:bottom w:val="none" w:sz="0" w:space="0" w:color="auto"/>
            <w:right w:val="none" w:sz="0" w:space="0" w:color="auto"/>
          </w:divBdr>
        </w:div>
        <w:div w:id="905144303">
          <w:marLeft w:val="0"/>
          <w:marRight w:val="0"/>
          <w:marTop w:val="0"/>
          <w:marBottom w:val="0"/>
          <w:divBdr>
            <w:top w:val="none" w:sz="0" w:space="0" w:color="auto"/>
            <w:left w:val="none" w:sz="0" w:space="0" w:color="auto"/>
            <w:bottom w:val="none" w:sz="0" w:space="0" w:color="auto"/>
            <w:right w:val="none" w:sz="0" w:space="0" w:color="auto"/>
          </w:divBdr>
        </w:div>
        <w:div w:id="1769738263">
          <w:marLeft w:val="0"/>
          <w:marRight w:val="0"/>
          <w:marTop w:val="0"/>
          <w:marBottom w:val="0"/>
          <w:divBdr>
            <w:top w:val="none" w:sz="0" w:space="0" w:color="auto"/>
            <w:left w:val="none" w:sz="0" w:space="0" w:color="auto"/>
            <w:bottom w:val="none" w:sz="0" w:space="0" w:color="auto"/>
            <w:right w:val="none" w:sz="0" w:space="0" w:color="auto"/>
          </w:divBdr>
        </w:div>
        <w:div w:id="1821772670">
          <w:marLeft w:val="0"/>
          <w:marRight w:val="0"/>
          <w:marTop w:val="0"/>
          <w:marBottom w:val="0"/>
          <w:divBdr>
            <w:top w:val="none" w:sz="0" w:space="0" w:color="auto"/>
            <w:left w:val="none" w:sz="0" w:space="0" w:color="auto"/>
            <w:bottom w:val="none" w:sz="0" w:space="0" w:color="auto"/>
            <w:right w:val="none" w:sz="0" w:space="0" w:color="auto"/>
          </w:divBdr>
          <w:divsChild>
            <w:div w:id="1132938207">
              <w:marLeft w:val="-75"/>
              <w:marRight w:val="0"/>
              <w:marTop w:val="30"/>
              <w:marBottom w:val="30"/>
              <w:divBdr>
                <w:top w:val="none" w:sz="0" w:space="0" w:color="auto"/>
                <w:left w:val="none" w:sz="0" w:space="0" w:color="auto"/>
                <w:bottom w:val="none" w:sz="0" w:space="0" w:color="auto"/>
                <w:right w:val="none" w:sz="0" w:space="0" w:color="auto"/>
              </w:divBdr>
              <w:divsChild>
                <w:div w:id="1543400989">
                  <w:marLeft w:val="0"/>
                  <w:marRight w:val="0"/>
                  <w:marTop w:val="0"/>
                  <w:marBottom w:val="0"/>
                  <w:divBdr>
                    <w:top w:val="none" w:sz="0" w:space="0" w:color="auto"/>
                    <w:left w:val="none" w:sz="0" w:space="0" w:color="auto"/>
                    <w:bottom w:val="none" w:sz="0" w:space="0" w:color="auto"/>
                    <w:right w:val="none" w:sz="0" w:space="0" w:color="auto"/>
                  </w:divBdr>
                  <w:divsChild>
                    <w:div w:id="1208027599">
                      <w:marLeft w:val="0"/>
                      <w:marRight w:val="0"/>
                      <w:marTop w:val="0"/>
                      <w:marBottom w:val="0"/>
                      <w:divBdr>
                        <w:top w:val="none" w:sz="0" w:space="0" w:color="auto"/>
                        <w:left w:val="none" w:sz="0" w:space="0" w:color="auto"/>
                        <w:bottom w:val="none" w:sz="0" w:space="0" w:color="auto"/>
                        <w:right w:val="none" w:sz="0" w:space="0" w:color="auto"/>
                      </w:divBdr>
                    </w:div>
                  </w:divsChild>
                </w:div>
                <w:div w:id="320930521">
                  <w:marLeft w:val="0"/>
                  <w:marRight w:val="0"/>
                  <w:marTop w:val="0"/>
                  <w:marBottom w:val="0"/>
                  <w:divBdr>
                    <w:top w:val="none" w:sz="0" w:space="0" w:color="auto"/>
                    <w:left w:val="none" w:sz="0" w:space="0" w:color="auto"/>
                    <w:bottom w:val="none" w:sz="0" w:space="0" w:color="auto"/>
                    <w:right w:val="none" w:sz="0" w:space="0" w:color="auto"/>
                  </w:divBdr>
                  <w:divsChild>
                    <w:div w:id="2103911033">
                      <w:marLeft w:val="0"/>
                      <w:marRight w:val="0"/>
                      <w:marTop w:val="0"/>
                      <w:marBottom w:val="0"/>
                      <w:divBdr>
                        <w:top w:val="none" w:sz="0" w:space="0" w:color="auto"/>
                        <w:left w:val="none" w:sz="0" w:space="0" w:color="auto"/>
                        <w:bottom w:val="none" w:sz="0" w:space="0" w:color="auto"/>
                        <w:right w:val="none" w:sz="0" w:space="0" w:color="auto"/>
                      </w:divBdr>
                    </w:div>
                  </w:divsChild>
                </w:div>
                <w:div w:id="1516335681">
                  <w:marLeft w:val="0"/>
                  <w:marRight w:val="0"/>
                  <w:marTop w:val="0"/>
                  <w:marBottom w:val="0"/>
                  <w:divBdr>
                    <w:top w:val="none" w:sz="0" w:space="0" w:color="auto"/>
                    <w:left w:val="none" w:sz="0" w:space="0" w:color="auto"/>
                    <w:bottom w:val="none" w:sz="0" w:space="0" w:color="auto"/>
                    <w:right w:val="none" w:sz="0" w:space="0" w:color="auto"/>
                  </w:divBdr>
                  <w:divsChild>
                    <w:div w:id="1417824643">
                      <w:marLeft w:val="0"/>
                      <w:marRight w:val="0"/>
                      <w:marTop w:val="0"/>
                      <w:marBottom w:val="0"/>
                      <w:divBdr>
                        <w:top w:val="none" w:sz="0" w:space="0" w:color="auto"/>
                        <w:left w:val="none" w:sz="0" w:space="0" w:color="auto"/>
                        <w:bottom w:val="none" w:sz="0" w:space="0" w:color="auto"/>
                        <w:right w:val="none" w:sz="0" w:space="0" w:color="auto"/>
                      </w:divBdr>
                    </w:div>
                    <w:div w:id="1234658989">
                      <w:marLeft w:val="0"/>
                      <w:marRight w:val="0"/>
                      <w:marTop w:val="0"/>
                      <w:marBottom w:val="0"/>
                      <w:divBdr>
                        <w:top w:val="none" w:sz="0" w:space="0" w:color="auto"/>
                        <w:left w:val="none" w:sz="0" w:space="0" w:color="auto"/>
                        <w:bottom w:val="none" w:sz="0" w:space="0" w:color="auto"/>
                        <w:right w:val="none" w:sz="0" w:space="0" w:color="auto"/>
                      </w:divBdr>
                    </w:div>
                    <w:div w:id="777992258">
                      <w:marLeft w:val="0"/>
                      <w:marRight w:val="0"/>
                      <w:marTop w:val="0"/>
                      <w:marBottom w:val="0"/>
                      <w:divBdr>
                        <w:top w:val="none" w:sz="0" w:space="0" w:color="auto"/>
                        <w:left w:val="none" w:sz="0" w:space="0" w:color="auto"/>
                        <w:bottom w:val="none" w:sz="0" w:space="0" w:color="auto"/>
                        <w:right w:val="none" w:sz="0" w:space="0" w:color="auto"/>
                      </w:divBdr>
                    </w:div>
                    <w:div w:id="1592812419">
                      <w:marLeft w:val="0"/>
                      <w:marRight w:val="0"/>
                      <w:marTop w:val="0"/>
                      <w:marBottom w:val="0"/>
                      <w:divBdr>
                        <w:top w:val="none" w:sz="0" w:space="0" w:color="auto"/>
                        <w:left w:val="none" w:sz="0" w:space="0" w:color="auto"/>
                        <w:bottom w:val="none" w:sz="0" w:space="0" w:color="auto"/>
                        <w:right w:val="none" w:sz="0" w:space="0" w:color="auto"/>
                      </w:divBdr>
                    </w:div>
                    <w:div w:id="963190891">
                      <w:marLeft w:val="0"/>
                      <w:marRight w:val="0"/>
                      <w:marTop w:val="0"/>
                      <w:marBottom w:val="0"/>
                      <w:divBdr>
                        <w:top w:val="none" w:sz="0" w:space="0" w:color="auto"/>
                        <w:left w:val="none" w:sz="0" w:space="0" w:color="auto"/>
                        <w:bottom w:val="none" w:sz="0" w:space="0" w:color="auto"/>
                        <w:right w:val="none" w:sz="0" w:space="0" w:color="auto"/>
                      </w:divBdr>
                    </w:div>
                    <w:div w:id="999847936">
                      <w:marLeft w:val="0"/>
                      <w:marRight w:val="0"/>
                      <w:marTop w:val="0"/>
                      <w:marBottom w:val="0"/>
                      <w:divBdr>
                        <w:top w:val="none" w:sz="0" w:space="0" w:color="auto"/>
                        <w:left w:val="none" w:sz="0" w:space="0" w:color="auto"/>
                        <w:bottom w:val="none" w:sz="0" w:space="0" w:color="auto"/>
                        <w:right w:val="none" w:sz="0" w:space="0" w:color="auto"/>
                      </w:divBdr>
                    </w:div>
                    <w:div w:id="1382440058">
                      <w:marLeft w:val="0"/>
                      <w:marRight w:val="0"/>
                      <w:marTop w:val="0"/>
                      <w:marBottom w:val="0"/>
                      <w:divBdr>
                        <w:top w:val="none" w:sz="0" w:space="0" w:color="auto"/>
                        <w:left w:val="none" w:sz="0" w:space="0" w:color="auto"/>
                        <w:bottom w:val="none" w:sz="0" w:space="0" w:color="auto"/>
                        <w:right w:val="none" w:sz="0" w:space="0" w:color="auto"/>
                      </w:divBdr>
                    </w:div>
                    <w:div w:id="1517689730">
                      <w:marLeft w:val="0"/>
                      <w:marRight w:val="0"/>
                      <w:marTop w:val="0"/>
                      <w:marBottom w:val="0"/>
                      <w:divBdr>
                        <w:top w:val="none" w:sz="0" w:space="0" w:color="auto"/>
                        <w:left w:val="none" w:sz="0" w:space="0" w:color="auto"/>
                        <w:bottom w:val="none" w:sz="0" w:space="0" w:color="auto"/>
                        <w:right w:val="none" w:sz="0" w:space="0" w:color="auto"/>
                      </w:divBdr>
                    </w:div>
                  </w:divsChild>
                </w:div>
                <w:div w:id="1896119437">
                  <w:marLeft w:val="0"/>
                  <w:marRight w:val="0"/>
                  <w:marTop w:val="0"/>
                  <w:marBottom w:val="0"/>
                  <w:divBdr>
                    <w:top w:val="none" w:sz="0" w:space="0" w:color="auto"/>
                    <w:left w:val="none" w:sz="0" w:space="0" w:color="auto"/>
                    <w:bottom w:val="none" w:sz="0" w:space="0" w:color="auto"/>
                    <w:right w:val="none" w:sz="0" w:space="0" w:color="auto"/>
                  </w:divBdr>
                  <w:divsChild>
                    <w:div w:id="1283538078">
                      <w:marLeft w:val="0"/>
                      <w:marRight w:val="0"/>
                      <w:marTop w:val="0"/>
                      <w:marBottom w:val="0"/>
                      <w:divBdr>
                        <w:top w:val="none" w:sz="0" w:space="0" w:color="auto"/>
                        <w:left w:val="none" w:sz="0" w:space="0" w:color="auto"/>
                        <w:bottom w:val="none" w:sz="0" w:space="0" w:color="auto"/>
                        <w:right w:val="none" w:sz="0" w:space="0" w:color="auto"/>
                      </w:divBdr>
                    </w:div>
                    <w:div w:id="191917716">
                      <w:marLeft w:val="0"/>
                      <w:marRight w:val="0"/>
                      <w:marTop w:val="0"/>
                      <w:marBottom w:val="0"/>
                      <w:divBdr>
                        <w:top w:val="none" w:sz="0" w:space="0" w:color="auto"/>
                        <w:left w:val="none" w:sz="0" w:space="0" w:color="auto"/>
                        <w:bottom w:val="none" w:sz="0" w:space="0" w:color="auto"/>
                        <w:right w:val="none" w:sz="0" w:space="0" w:color="auto"/>
                      </w:divBdr>
                    </w:div>
                    <w:div w:id="1424760424">
                      <w:marLeft w:val="0"/>
                      <w:marRight w:val="0"/>
                      <w:marTop w:val="0"/>
                      <w:marBottom w:val="0"/>
                      <w:divBdr>
                        <w:top w:val="none" w:sz="0" w:space="0" w:color="auto"/>
                        <w:left w:val="none" w:sz="0" w:space="0" w:color="auto"/>
                        <w:bottom w:val="none" w:sz="0" w:space="0" w:color="auto"/>
                        <w:right w:val="none" w:sz="0" w:space="0" w:color="auto"/>
                      </w:divBdr>
                    </w:div>
                    <w:div w:id="426654106">
                      <w:marLeft w:val="0"/>
                      <w:marRight w:val="0"/>
                      <w:marTop w:val="0"/>
                      <w:marBottom w:val="0"/>
                      <w:divBdr>
                        <w:top w:val="none" w:sz="0" w:space="0" w:color="auto"/>
                        <w:left w:val="none" w:sz="0" w:space="0" w:color="auto"/>
                        <w:bottom w:val="none" w:sz="0" w:space="0" w:color="auto"/>
                        <w:right w:val="none" w:sz="0" w:space="0" w:color="auto"/>
                      </w:divBdr>
                    </w:div>
                  </w:divsChild>
                </w:div>
                <w:div w:id="693075433">
                  <w:marLeft w:val="0"/>
                  <w:marRight w:val="0"/>
                  <w:marTop w:val="0"/>
                  <w:marBottom w:val="0"/>
                  <w:divBdr>
                    <w:top w:val="none" w:sz="0" w:space="0" w:color="auto"/>
                    <w:left w:val="none" w:sz="0" w:space="0" w:color="auto"/>
                    <w:bottom w:val="none" w:sz="0" w:space="0" w:color="auto"/>
                    <w:right w:val="none" w:sz="0" w:space="0" w:color="auto"/>
                  </w:divBdr>
                  <w:divsChild>
                    <w:div w:id="1269702577">
                      <w:marLeft w:val="0"/>
                      <w:marRight w:val="0"/>
                      <w:marTop w:val="0"/>
                      <w:marBottom w:val="0"/>
                      <w:divBdr>
                        <w:top w:val="none" w:sz="0" w:space="0" w:color="auto"/>
                        <w:left w:val="none" w:sz="0" w:space="0" w:color="auto"/>
                        <w:bottom w:val="none" w:sz="0" w:space="0" w:color="auto"/>
                        <w:right w:val="none" w:sz="0" w:space="0" w:color="auto"/>
                      </w:divBdr>
                    </w:div>
                    <w:div w:id="1539663180">
                      <w:marLeft w:val="0"/>
                      <w:marRight w:val="0"/>
                      <w:marTop w:val="0"/>
                      <w:marBottom w:val="0"/>
                      <w:divBdr>
                        <w:top w:val="none" w:sz="0" w:space="0" w:color="auto"/>
                        <w:left w:val="none" w:sz="0" w:space="0" w:color="auto"/>
                        <w:bottom w:val="none" w:sz="0" w:space="0" w:color="auto"/>
                        <w:right w:val="none" w:sz="0" w:space="0" w:color="auto"/>
                      </w:divBdr>
                    </w:div>
                  </w:divsChild>
                </w:div>
                <w:div w:id="950625357">
                  <w:marLeft w:val="0"/>
                  <w:marRight w:val="0"/>
                  <w:marTop w:val="0"/>
                  <w:marBottom w:val="0"/>
                  <w:divBdr>
                    <w:top w:val="none" w:sz="0" w:space="0" w:color="auto"/>
                    <w:left w:val="none" w:sz="0" w:space="0" w:color="auto"/>
                    <w:bottom w:val="none" w:sz="0" w:space="0" w:color="auto"/>
                    <w:right w:val="none" w:sz="0" w:space="0" w:color="auto"/>
                  </w:divBdr>
                  <w:divsChild>
                    <w:div w:id="156505523">
                      <w:marLeft w:val="0"/>
                      <w:marRight w:val="0"/>
                      <w:marTop w:val="0"/>
                      <w:marBottom w:val="0"/>
                      <w:divBdr>
                        <w:top w:val="none" w:sz="0" w:space="0" w:color="auto"/>
                        <w:left w:val="none" w:sz="0" w:space="0" w:color="auto"/>
                        <w:bottom w:val="none" w:sz="0" w:space="0" w:color="auto"/>
                        <w:right w:val="none" w:sz="0" w:space="0" w:color="auto"/>
                      </w:divBdr>
                    </w:div>
                    <w:div w:id="2079742185">
                      <w:marLeft w:val="0"/>
                      <w:marRight w:val="0"/>
                      <w:marTop w:val="0"/>
                      <w:marBottom w:val="0"/>
                      <w:divBdr>
                        <w:top w:val="none" w:sz="0" w:space="0" w:color="auto"/>
                        <w:left w:val="none" w:sz="0" w:space="0" w:color="auto"/>
                        <w:bottom w:val="none" w:sz="0" w:space="0" w:color="auto"/>
                        <w:right w:val="none" w:sz="0" w:space="0" w:color="auto"/>
                      </w:divBdr>
                    </w:div>
                    <w:div w:id="2129473494">
                      <w:marLeft w:val="0"/>
                      <w:marRight w:val="0"/>
                      <w:marTop w:val="0"/>
                      <w:marBottom w:val="0"/>
                      <w:divBdr>
                        <w:top w:val="none" w:sz="0" w:space="0" w:color="auto"/>
                        <w:left w:val="none" w:sz="0" w:space="0" w:color="auto"/>
                        <w:bottom w:val="none" w:sz="0" w:space="0" w:color="auto"/>
                        <w:right w:val="none" w:sz="0" w:space="0" w:color="auto"/>
                      </w:divBdr>
                    </w:div>
                  </w:divsChild>
                </w:div>
                <w:div w:id="1435596437">
                  <w:marLeft w:val="0"/>
                  <w:marRight w:val="0"/>
                  <w:marTop w:val="0"/>
                  <w:marBottom w:val="0"/>
                  <w:divBdr>
                    <w:top w:val="none" w:sz="0" w:space="0" w:color="auto"/>
                    <w:left w:val="none" w:sz="0" w:space="0" w:color="auto"/>
                    <w:bottom w:val="none" w:sz="0" w:space="0" w:color="auto"/>
                    <w:right w:val="none" w:sz="0" w:space="0" w:color="auto"/>
                  </w:divBdr>
                  <w:divsChild>
                    <w:div w:id="1989898078">
                      <w:marLeft w:val="0"/>
                      <w:marRight w:val="0"/>
                      <w:marTop w:val="0"/>
                      <w:marBottom w:val="0"/>
                      <w:divBdr>
                        <w:top w:val="none" w:sz="0" w:space="0" w:color="auto"/>
                        <w:left w:val="none" w:sz="0" w:space="0" w:color="auto"/>
                        <w:bottom w:val="none" w:sz="0" w:space="0" w:color="auto"/>
                        <w:right w:val="none" w:sz="0" w:space="0" w:color="auto"/>
                      </w:divBdr>
                    </w:div>
                    <w:div w:id="105345731">
                      <w:marLeft w:val="0"/>
                      <w:marRight w:val="0"/>
                      <w:marTop w:val="0"/>
                      <w:marBottom w:val="0"/>
                      <w:divBdr>
                        <w:top w:val="none" w:sz="0" w:space="0" w:color="auto"/>
                        <w:left w:val="none" w:sz="0" w:space="0" w:color="auto"/>
                        <w:bottom w:val="none" w:sz="0" w:space="0" w:color="auto"/>
                        <w:right w:val="none" w:sz="0" w:space="0" w:color="auto"/>
                      </w:divBdr>
                    </w:div>
                  </w:divsChild>
                </w:div>
                <w:div w:id="1349720474">
                  <w:marLeft w:val="0"/>
                  <w:marRight w:val="0"/>
                  <w:marTop w:val="0"/>
                  <w:marBottom w:val="0"/>
                  <w:divBdr>
                    <w:top w:val="none" w:sz="0" w:space="0" w:color="auto"/>
                    <w:left w:val="none" w:sz="0" w:space="0" w:color="auto"/>
                    <w:bottom w:val="none" w:sz="0" w:space="0" w:color="auto"/>
                    <w:right w:val="none" w:sz="0" w:space="0" w:color="auto"/>
                  </w:divBdr>
                  <w:divsChild>
                    <w:div w:id="1364284660">
                      <w:marLeft w:val="0"/>
                      <w:marRight w:val="0"/>
                      <w:marTop w:val="0"/>
                      <w:marBottom w:val="0"/>
                      <w:divBdr>
                        <w:top w:val="none" w:sz="0" w:space="0" w:color="auto"/>
                        <w:left w:val="none" w:sz="0" w:space="0" w:color="auto"/>
                        <w:bottom w:val="none" w:sz="0" w:space="0" w:color="auto"/>
                        <w:right w:val="none" w:sz="0" w:space="0" w:color="auto"/>
                      </w:divBdr>
                    </w:div>
                    <w:div w:id="827983881">
                      <w:marLeft w:val="0"/>
                      <w:marRight w:val="0"/>
                      <w:marTop w:val="0"/>
                      <w:marBottom w:val="0"/>
                      <w:divBdr>
                        <w:top w:val="none" w:sz="0" w:space="0" w:color="auto"/>
                        <w:left w:val="none" w:sz="0" w:space="0" w:color="auto"/>
                        <w:bottom w:val="none" w:sz="0" w:space="0" w:color="auto"/>
                        <w:right w:val="none" w:sz="0" w:space="0" w:color="auto"/>
                      </w:divBdr>
                    </w:div>
                    <w:div w:id="971061384">
                      <w:marLeft w:val="0"/>
                      <w:marRight w:val="0"/>
                      <w:marTop w:val="0"/>
                      <w:marBottom w:val="0"/>
                      <w:divBdr>
                        <w:top w:val="none" w:sz="0" w:space="0" w:color="auto"/>
                        <w:left w:val="none" w:sz="0" w:space="0" w:color="auto"/>
                        <w:bottom w:val="none" w:sz="0" w:space="0" w:color="auto"/>
                        <w:right w:val="none" w:sz="0" w:space="0" w:color="auto"/>
                      </w:divBdr>
                    </w:div>
                  </w:divsChild>
                </w:div>
                <w:div w:id="1581409307">
                  <w:marLeft w:val="0"/>
                  <w:marRight w:val="0"/>
                  <w:marTop w:val="0"/>
                  <w:marBottom w:val="0"/>
                  <w:divBdr>
                    <w:top w:val="none" w:sz="0" w:space="0" w:color="auto"/>
                    <w:left w:val="none" w:sz="0" w:space="0" w:color="auto"/>
                    <w:bottom w:val="none" w:sz="0" w:space="0" w:color="auto"/>
                    <w:right w:val="none" w:sz="0" w:space="0" w:color="auto"/>
                  </w:divBdr>
                  <w:divsChild>
                    <w:div w:id="706218631">
                      <w:marLeft w:val="0"/>
                      <w:marRight w:val="0"/>
                      <w:marTop w:val="0"/>
                      <w:marBottom w:val="0"/>
                      <w:divBdr>
                        <w:top w:val="none" w:sz="0" w:space="0" w:color="auto"/>
                        <w:left w:val="none" w:sz="0" w:space="0" w:color="auto"/>
                        <w:bottom w:val="none" w:sz="0" w:space="0" w:color="auto"/>
                        <w:right w:val="none" w:sz="0" w:space="0" w:color="auto"/>
                      </w:divBdr>
                    </w:div>
                    <w:div w:id="1775977478">
                      <w:marLeft w:val="0"/>
                      <w:marRight w:val="0"/>
                      <w:marTop w:val="0"/>
                      <w:marBottom w:val="0"/>
                      <w:divBdr>
                        <w:top w:val="none" w:sz="0" w:space="0" w:color="auto"/>
                        <w:left w:val="none" w:sz="0" w:space="0" w:color="auto"/>
                        <w:bottom w:val="none" w:sz="0" w:space="0" w:color="auto"/>
                        <w:right w:val="none" w:sz="0" w:space="0" w:color="auto"/>
                      </w:divBdr>
                    </w:div>
                    <w:div w:id="1036276858">
                      <w:marLeft w:val="0"/>
                      <w:marRight w:val="0"/>
                      <w:marTop w:val="0"/>
                      <w:marBottom w:val="0"/>
                      <w:divBdr>
                        <w:top w:val="none" w:sz="0" w:space="0" w:color="auto"/>
                        <w:left w:val="none" w:sz="0" w:space="0" w:color="auto"/>
                        <w:bottom w:val="none" w:sz="0" w:space="0" w:color="auto"/>
                        <w:right w:val="none" w:sz="0" w:space="0" w:color="auto"/>
                      </w:divBdr>
                    </w:div>
                    <w:div w:id="2038962412">
                      <w:marLeft w:val="0"/>
                      <w:marRight w:val="0"/>
                      <w:marTop w:val="0"/>
                      <w:marBottom w:val="0"/>
                      <w:divBdr>
                        <w:top w:val="none" w:sz="0" w:space="0" w:color="auto"/>
                        <w:left w:val="none" w:sz="0" w:space="0" w:color="auto"/>
                        <w:bottom w:val="none" w:sz="0" w:space="0" w:color="auto"/>
                        <w:right w:val="none" w:sz="0" w:space="0" w:color="auto"/>
                      </w:divBdr>
                    </w:div>
                    <w:div w:id="696270901">
                      <w:marLeft w:val="0"/>
                      <w:marRight w:val="0"/>
                      <w:marTop w:val="0"/>
                      <w:marBottom w:val="0"/>
                      <w:divBdr>
                        <w:top w:val="none" w:sz="0" w:space="0" w:color="auto"/>
                        <w:left w:val="none" w:sz="0" w:space="0" w:color="auto"/>
                        <w:bottom w:val="none" w:sz="0" w:space="0" w:color="auto"/>
                        <w:right w:val="none" w:sz="0" w:space="0" w:color="auto"/>
                      </w:divBdr>
                    </w:div>
                    <w:div w:id="990408070">
                      <w:marLeft w:val="0"/>
                      <w:marRight w:val="0"/>
                      <w:marTop w:val="0"/>
                      <w:marBottom w:val="0"/>
                      <w:divBdr>
                        <w:top w:val="none" w:sz="0" w:space="0" w:color="auto"/>
                        <w:left w:val="none" w:sz="0" w:space="0" w:color="auto"/>
                        <w:bottom w:val="none" w:sz="0" w:space="0" w:color="auto"/>
                        <w:right w:val="none" w:sz="0" w:space="0" w:color="auto"/>
                      </w:divBdr>
                    </w:div>
                    <w:div w:id="1399785745">
                      <w:marLeft w:val="0"/>
                      <w:marRight w:val="0"/>
                      <w:marTop w:val="0"/>
                      <w:marBottom w:val="0"/>
                      <w:divBdr>
                        <w:top w:val="none" w:sz="0" w:space="0" w:color="auto"/>
                        <w:left w:val="none" w:sz="0" w:space="0" w:color="auto"/>
                        <w:bottom w:val="none" w:sz="0" w:space="0" w:color="auto"/>
                        <w:right w:val="none" w:sz="0" w:space="0" w:color="auto"/>
                      </w:divBdr>
                    </w:div>
                    <w:div w:id="1806193109">
                      <w:marLeft w:val="0"/>
                      <w:marRight w:val="0"/>
                      <w:marTop w:val="0"/>
                      <w:marBottom w:val="0"/>
                      <w:divBdr>
                        <w:top w:val="none" w:sz="0" w:space="0" w:color="auto"/>
                        <w:left w:val="none" w:sz="0" w:space="0" w:color="auto"/>
                        <w:bottom w:val="none" w:sz="0" w:space="0" w:color="auto"/>
                        <w:right w:val="none" w:sz="0" w:space="0" w:color="auto"/>
                      </w:divBdr>
                    </w:div>
                    <w:div w:id="1975021765">
                      <w:marLeft w:val="0"/>
                      <w:marRight w:val="0"/>
                      <w:marTop w:val="0"/>
                      <w:marBottom w:val="0"/>
                      <w:divBdr>
                        <w:top w:val="none" w:sz="0" w:space="0" w:color="auto"/>
                        <w:left w:val="none" w:sz="0" w:space="0" w:color="auto"/>
                        <w:bottom w:val="none" w:sz="0" w:space="0" w:color="auto"/>
                        <w:right w:val="none" w:sz="0" w:space="0" w:color="auto"/>
                      </w:divBdr>
                    </w:div>
                    <w:div w:id="1491369565">
                      <w:marLeft w:val="0"/>
                      <w:marRight w:val="0"/>
                      <w:marTop w:val="0"/>
                      <w:marBottom w:val="0"/>
                      <w:divBdr>
                        <w:top w:val="none" w:sz="0" w:space="0" w:color="auto"/>
                        <w:left w:val="none" w:sz="0" w:space="0" w:color="auto"/>
                        <w:bottom w:val="none" w:sz="0" w:space="0" w:color="auto"/>
                        <w:right w:val="none" w:sz="0" w:space="0" w:color="auto"/>
                      </w:divBdr>
                    </w:div>
                    <w:div w:id="1712606171">
                      <w:marLeft w:val="0"/>
                      <w:marRight w:val="0"/>
                      <w:marTop w:val="0"/>
                      <w:marBottom w:val="0"/>
                      <w:divBdr>
                        <w:top w:val="none" w:sz="0" w:space="0" w:color="auto"/>
                        <w:left w:val="none" w:sz="0" w:space="0" w:color="auto"/>
                        <w:bottom w:val="none" w:sz="0" w:space="0" w:color="auto"/>
                        <w:right w:val="none" w:sz="0" w:space="0" w:color="auto"/>
                      </w:divBdr>
                    </w:div>
                    <w:div w:id="523786256">
                      <w:marLeft w:val="0"/>
                      <w:marRight w:val="0"/>
                      <w:marTop w:val="0"/>
                      <w:marBottom w:val="0"/>
                      <w:divBdr>
                        <w:top w:val="none" w:sz="0" w:space="0" w:color="auto"/>
                        <w:left w:val="none" w:sz="0" w:space="0" w:color="auto"/>
                        <w:bottom w:val="none" w:sz="0" w:space="0" w:color="auto"/>
                        <w:right w:val="none" w:sz="0" w:space="0" w:color="auto"/>
                      </w:divBdr>
                    </w:div>
                    <w:div w:id="279340564">
                      <w:marLeft w:val="0"/>
                      <w:marRight w:val="0"/>
                      <w:marTop w:val="0"/>
                      <w:marBottom w:val="0"/>
                      <w:divBdr>
                        <w:top w:val="none" w:sz="0" w:space="0" w:color="auto"/>
                        <w:left w:val="none" w:sz="0" w:space="0" w:color="auto"/>
                        <w:bottom w:val="none" w:sz="0" w:space="0" w:color="auto"/>
                        <w:right w:val="none" w:sz="0" w:space="0" w:color="auto"/>
                      </w:divBdr>
                    </w:div>
                    <w:div w:id="1126892820">
                      <w:marLeft w:val="0"/>
                      <w:marRight w:val="0"/>
                      <w:marTop w:val="0"/>
                      <w:marBottom w:val="0"/>
                      <w:divBdr>
                        <w:top w:val="none" w:sz="0" w:space="0" w:color="auto"/>
                        <w:left w:val="none" w:sz="0" w:space="0" w:color="auto"/>
                        <w:bottom w:val="none" w:sz="0" w:space="0" w:color="auto"/>
                        <w:right w:val="none" w:sz="0" w:space="0" w:color="auto"/>
                      </w:divBdr>
                    </w:div>
                    <w:div w:id="1313365996">
                      <w:marLeft w:val="0"/>
                      <w:marRight w:val="0"/>
                      <w:marTop w:val="0"/>
                      <w:marBottom w:val="0"/>
                      <w:divBdr>
                        <w:top w:val="none" w:sz="0" w:space="0" w:color="auto"/>
                        <w:left w:val="none" w:sz="0" w:space="0" w:color="auto"/>
                        <w:bottom w:val="none" w:sz="0" w:space="0" w:color="auto"/>
                        <w:right w:val="none" w:sz="0" w:space="0" w:color="auto"/>
                      </w:divBdr>
                    </w:div>
                    <w:div w:id="353532885">
                      <w:marLeft w:val="0"/>
                      <w:marRight w:val="0"/>
                      <w:marTop w:val="0"/>
                      <w:marBottom w:val="0"/>
                      <w:divBdr>
                        <w:top w:val="none" w:sz="0" w:space="0" w:color="auto"/>
                        <w:left w:val="none" w:sz="0" w:space="0" w:color="auto"/>
                        <w:bottom w:val="none" w:sz="0" w:space="0" w:color="auto"/>
                        <w:right w:val="none" w:sz="0" w:space="0" w:color="auto"/>
                      </w:divBdr>
                    </w:div>
                    <w:div w:id="1394698710">
                      <w:marLeft w:val="0"/>
                      <w:marRight w:val="0"/>
                      <w:marTop w:val="0"/>
                      <w:marBottom w:val="0"/>
                      <w:divBdr>
                        <w:top w:val="none" w:sz="0" w:space="0" w:color="auto"/>
                        <w:left w:val="none" w:sz="0" w:space="0" w:color="auto"/>
                        <w:bottom w:val="none" w:sz="0" w:space="0" w:color="auto"/>
                        <w:right w:val="none" w:sz="0" w:space="0" w:color="auto"/>
                      </w:divBdr>
                    </w:div>
                  </w:divsChild>
                </w:div>
                <w:div w:id="981734852">
                  <w:marLeft w:val="0"/>
                  <w:marRight w:val="0"/>
                  <w:marTop w:val="0"/>
                  <w:marBottom w:val="0"/>
                  <w:divBdr>
                    <w:top w:val="none" w:sz="0" w:space="0" w:color="auto"/>
                    <w:left w:val="none" w:sz="0" w:space="0" w:color="auto"/>
                    <w:bottom w:val="none" w:sz="0" w:space="0" w:color="auto"/>
                    <w:right w:val="none" w:sz="0" w:space="0" w:color="auto"/>
                  </w:divBdr>
                  <w:divsChild>
                    <w:div w:id="395666678">
                      <w:marLeft w:val="0"/>
                      <w:marRight w:val="0"/>
                      <w:marTop w:val="0"/>
                      <w:marBottom w:val="0"/>
                      <w:divBdr>
                        <w:top w:val="none" w:sz="0" w:space="0" w:color="auto"/>
                        <w:left w:val="none" w:sz="0" w:space="0" w:color="auto"/>
                        <w:bottom w:val="none" w:sz="0" w:space="0" w:color="auto"/>
                        <w:right w:val="none" w:sz="0" w:space="0" w:color="auto"/>
                      </w:divBdr>
                    </w:div>
                    <w:div w:id="1629094130">
                      <w:marLeft w:val="0"/>
                      <w:marRight w:val="0"/>
                      <w:marTop w:val="0"/>
                      <w:marBottom w:val="0"/>
                      <w:divBdr>
                        <w:top w:val="none" w:sz="0" w:space="0" w:color="auto"/>
                        <w:left w:val="none" w:sz="0" w:space="0" w:color="auto"/>
                        <w:bottom w:val="none" w:sz="0" w:space="0" w:color="auto"/>
                        <w:right w:val="none" w:sz="0" w:space="0" w:color="auto"/>
                      </w:divBdr>
                    </w:div>
                    <w:div w:id="1308820813">
                      <w:marLeft w:val="0"/>
                      <w:marRight w:val="0"/>
                      <w:marTop w:val="0"/>
                      <w:marBottom w:val="0"/>
                      <w:divBdr>
                        <w:top w:val="none" w:sz="0" w:space="0" w:color="auto"/>
                        <w:left w:val="none" w:sz="0" w:space="0" w:color="auto"/>
                        <w:bottom w:val="none" w:sz="0" w:space="0" w:color="auto"/>
                        <w:right w:val="none" w:sz="0" w:space="0" w:color="auto"/>
                      </w:divBdr>
                    </w:div>
                    <w:div w:id="1861427648">
                      <w:marLeft w:val="0"/>
                      <w:marRight w:val="0"/>
                      <w:marTop w:val="0"/>
                      <w:marBottom w:val="0"/>
                      <w:divBdr>
                        <w:top w:val="none" w:sz="0" w:space="0" w:color="auto"/>
                        <w:left w:val="none" w:sz="0" w:space="0" w:color="auto"/>
                        <w:bottom w:val="none" w:sz="0" w:space="0" w:color="auto"/>
                        <w:right w:val="none" w:sz="0" w:space="0" w:color="auto"/>
                      </w:divBdr>
                    </w:div>
                    <w:div w:id="1677732674">
                      <w:marLeft w:val="0"/>
                      <w:marRight w:val="0"/>
                      <w:marTop w:val="0"/>
                      <w:marBottom w:val="0"/>
                      <w:divBdr>
                        <w:top w:val="none" w:sz="0" w:space="0" w:color="auto"/>
                        <w:left w:val="none" w:sz="0" w:space="0" w:color="auto"/>
                        <w:bottom w:val="none" w:sz="0" w:space="0" w:color="auto"/>
                        <w:right w:val="none" w:sz="0" w:space="0" w:color="auto"/>
                      </w:divBdr>
                    </w:div>
                    <w:div w:id="342559389">
                      <w:marLeft w:val="0"/>
                      <w:marRight w:val="0"/>
                      <w:marTop w:val="0"/>
                      <w:marBottom w:val="0"/>
                      <w:divBdr>
                        <w:top w:val="none" w:sz="0" w:space="0" w:color="auto"/>
                        <w:left w:val="none" w:sz="0" w:space="0" w:color="auto"/>
                        <w:bottom w:val="none" w:sz="0" w:space="0" w:color="auto"/>
                        <w:right w:val="none" w:sz="0" w:space="0" w:color="auto"/>
                      </w:divBdr>
                    </w:div>
                  </w:divsChild>
                </w:div>
                <w:div w:id="993795531">
                  <w:marLeft w:val="0"/>
                  <w:marRight w:val="0"/>
                  <w:marTop w:val="0"/>
                  <w:marBottom w:val="0"/>
                  <w:divBdr>
                    <w:top w:val="none" w:sz="0" w:space="0" w:color="auto"/>
                    <w:left w:val="none" w:sz="0" w:space="0" w:color="auto"/>
                    <w:bottom w:val="none" w:sz="0" w:space="0" w:color="auto"/>
                    <w:right w:val="none" w:sz="0" w:space="0" w:color="auto"/>
                  </w:divBdr>
                  <w:divsChild>
                    <w:div w:id="24412064">
                      <w:marLeft w:val="0"/>
                      <w:marRight w:val="0"/>
                      <w:marTop w:val="0"/>
                      <w:marBottom w:val="0"/>
                      <w:divBdr>
                        <w:top w:val="none" w:sz="0" w:space="0" w:color="auto"/>
                        <w:left w:val="none" w:sz="0" w:space="0" w:color="auto"/>
                        <w:bottom w:val="none" w:sz="0" w:space="0" w:color="auto"/>
                        <w:right w:val="none" w:sz="0" w:space="0" w:color="auto"/>
                      </w:divBdr>
                    </w:div>
                    <w:div w:id="1185553076">
                      <w:marLeft w:val="0"/>
                      <w:marRight w:val="0"/>
                      <w:marTop w:val="0"/>
                      <w:marBottom w:val="0"/>
                      <w:divBdr>
                        <w:top w:val="none" w:sz="0" w:space="0" w:color="auto"/>
                        <w:left w:val="none" w:sz="0" w:space="0" w:color="auto"/>
                        <w:bottom w:val="none" w:sz="0" w:space="0" w:color="auto"/>
                        <w:right w:val="none" w:sz="0" w:space="0" w:color="auto"/>
                      </w:divBdr>
                    </w:div>
                    <w:div w:id="22245145">
                      <w:marLeft w:val="0"/>
                      <w:marRight w:val="0"/>
                      <w:marTop w:val="0"/>
                      <w:marBottom w:val="0"/>
                      <w:divBdr>
                        <w:top w:val="none" w:sz="0" w:space="0" w:color="auto"/>
                        <w:left w:val="none" w:sz="0" w:space="0" w:color="auto"/>
                        <w:bottom w:val="none" w:sz="0" w:space="0" w:color="auto"/>
                        <w:right w:val="none" w:sz="0" w:space="0" w:color="auto"/>
                      </w:divBdr>
                    </w:div>
                    <w:div w:id="906185739">
                      <w:marLeft w:val="0"/>
                      <w:marRight w:val="0"/>
                      <w:marTop w:val="0"/>
                      <w:marBottom w:val="0"/>
                      <w:divBdr>
                        <w:top w:val="none" w:sz="0" w:space="0" w:color="auto"/>
                        <w:left w:val="none" w:sz="0" w:space="0" w:color="auto"/>
                        <w:bottom w:val="none" w:sz="0" w:space="0" w:color="auto"/>
                        <w:right w:val="none" w:sz="0" w:space="0" w:color="auto"/>
                      </w:divBdr>
                    </w:div>
                    <w:div w:id="1342396290">
                      <w:marLeft w:val="0"/>
                      <w:marRight w:val="0"/>
                      <w:marTop w:val="0"/>
                      <w:marBottom w:val="0"/>
                      <w:divBdr>
                        <w:top w:val="none" w:sz="0" w:space="0" w:color="auto"/>
                        <w:left w:val="none" w:sz="0" w:space="0" w:color="auto"/>
                        <w:bottom w:val="none" w:sz="0" w:space="0" w:color="auto"/>
                        <w:right w:val="none" w:sz="0" w:space="0" w:color="auto"/>
                      </w:divBdr>
                    </w:div>
                    <w:div w:id="700059394">
                      <w:marLeft w:val="0"/>
                      <w:marRight w:val="0"/>
                      <w:marTop w:val="0"/>
                      <w:marBottom w:val="0"/>
                      <w:divBdr>
                        <w:top w:val="none" w:sz="0" w:space="0" w:color="auto"/>
                        <w:left w:val="none" w:sz="0" w:space="0" w:color="auto"/>
                        <w:bottom w:val="none" w:sz="0" w:space="0" w:color="auto"/>
                        <w:right w:val="none" w:sz="0" w:space="0" w:color="auto"/>
                      </w:divBdr>
                    </w:div>
                    <w:div w:id="1333025115">
                      <w:marLeft w:val="0"/>
                      <w:marRight w:val="0"/>
                      <w:marTop w:val="0"/>
                      <w:marBottom w:val="0"/>
                      <w:divBdr>
                        <w:top w:val="none" w:sz="0" w:space="0" w:color="auto"/>
                        <w:left w:val="none" w:sz="0" w:space="0" w:color="auto"/>
                        <w:bottom w:val="none" w:sz="0" w:space="0" w:color="auto"/>
                        <w:right w:val="none" w:sz="0" w:space="0" w:color="auto"/>
                      </w:divBdr>
                    </w:div>
                    <w:div w:id="350378421">
                      <w:marLeft w:val="0"/>
                      <w:marRight w:val="0"/>
                      <w:marTop w:val="0"/>
                      <w:marBottom w:val="0"/>
                      <w:divBdr>
                        <w:top w:val="none" w:sz="0" w:space="0" w:color="auto"/>
                        <w:left w:val="none" w:sz="0" w:space="0" w:color="auto"/>
                        <w:bottom w:val="none" w:sz="0" w:space="0" w:color="auto"/>
                        <w:right w:val="none" w:sz="0" w:space="0" w:color="auto"/>
                      </w:divBdr>
                    </w:div>
                    <w:div w:id="330302717">
                      <w:marLeft w:val="0"/>
                      <w:marRight w:val="0"/>
                      <w:marTop w:val="0"/>
                      <w:marBottom w:val="0"/>
                      <w:divBdr>
                        <w:top w:val="none" w:sz="0" w:space="0" w:color="auto"/>
                        <w:left w:val="none" w:sz="0" w:space="0" w:color="auto"/>
                        <w:bottom w:val="none" w:sz="0" w:space="0" w:color="auto"/>
                        <w:right w:val="none" w:sz="0" w:space="0" w:color="auto"/>
                      </w:divBdr>
                    </w:div>
                    <w:div w:id="1722905375">
                      <w:marLeft w:val="0"/>
                      <w:marRight w:val="0"/>
                      <w:marTop w:val="0"/>
                      <w:marBottom w:val="0"/>
                      <w:divBdr>
                        <w:top w:val="none" w:sz="0" w:space="0" w:color="auto"/>
                        <w:left w:val="none" w:sz="0" w:space="0" w:color="auto"/>
                        <w:bottom w:val="none" w:sz="0" w:space="0" w:color="auto"/>
                        <w:right w:val="none" w:sz="0" w:space="0" w:color="auto"/>
                      </w:divBdr>
                    </w:div>
                    <w:div w:id="70544278">
                      <w:marLeft w:val="0"/>
                      <w:marRight w:val="0"/>
                      <w:marTop w:val="0"/>
                      <w:marBottom w:val="0"/>
                      <w:divBdr>
                        <w:top w:val="none" w:sz="0" w:space="0" w:color="auto"/>
                        <w:left w:val="none" w:sz="0" w:space="0" w:color="auto"/>
                        <w:bottom w:val="none" w:sz="0" w:space="0" w:color="auto"/>
                        <w:right w:val="none" w:sz="0" w:space="0" w:color="auto"/>
                      </w:divBdr>
                    </w:div>
                    <w:div w:id="24597853">
                      <w:marLeft w:val="0"/>
                      <w:marRight w:val="0"/>
                      <w:marTop w:val="0"/>
                      <w:marBottom w:val="0"/>
                      <w:divBdr>
                        <w:top w:val="none" w:sz="0" w:space="0" w:color="auto"/>
                        <w:left w:val="none" w:sz="0" w:space="0" w:color="auto"/>
                        <w:bottom w:val="none" w:sz="0" w:space="0" w:color="auto"/>
                        <w:right w:val="none" w:sz="0" w:space="0" w:color="auto"/>
                      </w:divBdr>
                    </w:div>
                    <w:div w:id="1669089737">
                      <w:marLeft w:val="0"/>
                      <w:marRight w:val="0"/>
                      <w:marTop w:val="0"/>
                      <w:marBottom w:val="0"/>
                      <w:divBdr>
                        <w:top w:val="none" w:sz="0" w:space="0" w:color="auto"/>
                        <w:left w:val="none" w:sz="0" w:space="0" w:color="auto"/>
                        <w:bottom w:val="none" w:sz="0" w:space="0" w:color="auto"/>
                        <w:right w:val="none" w:sz="0" w:space="0" w:color="auto"/>
                      </w:divBdr>
                    </w:div>
                  </w:divsChild>
                </w:div>
                <w:div w:id="1348363991">
                  <w:marLeft w:val="0"/>
                  <w:marRight w:val="0"/>
                  <w:marTop w:val="0"/>
                  <w:marBottom w:val="0"/>
                  <w:divBdr>
                    <w:top w:val="none" w:sz="0" w:space="0" w:color="auto"/>
                    <w:left w:val="none" w:sz="0" w:space="0" w:color="auto"/>
                    <w:bottom w:val="none" w:sz="0" w:space="0" w:color="auto"/>
                    <w:right w:val="none" w:sz="0" w:space="0" w:color="auto"/>
                  </w:divBdr>
                  <w:divsChild>
                    <w:div w:id="1963880592">
                      <w:marLeft w:val="0"/>
                      <w:marRight w:val="0"/>
                      <w:marTop w:val="0"/>
                      <w:marBottom w:val="0"/>
                      <w:divBdr>
                        <w:top w:val="none" w:sz="0" w:space="0" w:color="auto"/>
                        <w:left w:val="none" w:sz="0" w:space="0" w:color="auto"/>
                        <w:bottom w:val="none" w:sz="0" w:space="0" w:color="auto"/>
                        <w:right w:val="none" w:sz="0" w:space="0" w:color="auto"/>
                      </w:divBdr>
                    </w:div>
                    <w:div w:id="1988045969">
                      <w:marLeft w:val="0"/>
                      <w:marRight w:val="0"/>
                      <w:marTop w:val="0"/>
                      <w:marBottom w:val="0"/>
                      <w:divBdr>
                        <w:top w:val="none" w:sz="0" w:space="0" w:color="auto"/>
                        <w:left w:val="none" w:sz="0" w:space="0" w:color="auto"/>
                        <w:bottom w:val="none" w:sz="0" w:space="0" w:color="auto"/>
                        <w:right w:val="none" w:sz="0" w:space="0" w:color="auto"/>
                      </w:divBdr>
                    </w:div>
                    <w:div w:id="1575240733">
                      <w:marLeft w:val="0"/>
                      <w:marRight w:val="0"/>
                      <w:marTop w:val="0"/>
                      <w:marBottom w:val="0"/>
                      <w:divBdr>
                        <w:top w:val="none" w:sz="0" w:space="0" w:color="auto"/>
                        <w:left w:val="none" w:sz="0" w:space="0" w:color="auto"/>
                        <w:bottom w:val="none" w:sz="0" w:space="0" w:color="auto"/>
                        <w:right w:val="none" w:sz="0" w:space="0" w:color="auto"/>
                      </w:divBdr>
                    </w:div>
                    <w:div w:id="965543671">
                      <w:marLeft w:val="0"/>
                      <w:marRight w:val="0"/>
                      <w:marTop w:val="0"/>
                      <w:marBottom w:val="0"/>
                      <w:divBdr>
                        <w:top w:val="none" w:sz="0" w:space="0" w:color="auto"/>
                        <w:left w:val="none" w:sz="0" w:space="0" w:color="auto"/>
                        <w:bottom w:val="none" w:sz="0" w:space="0" w:color="auto"/>
                        <w:right w:val="none" w:sz="0" w:space="0" w:color="auto"/>
                      </w:divBdr>
                    </w:div>
                    <w:div w:id="988560937">
                      <w:marLeft w:val="0"/>
                      <w:marRight w:val="0"/>
                      <w:marTop w:val="0"/>
                      <w:marBottom w:val="0"/>
                      <w:divBdr>
                        <w:top w:val="none" w:sz="0" w:space="0" w:color="auto"/>
                        <w:left w:val="none" w:sz="0" w:space="0" w:color="auto"/>
                        <w:bottom w:val="none" w:sz="0" w:space="0" w:color="auto"/>
                        <w:right w:val="none" w:sz="0" w:space="0" w:color="auto"/>
                      </w:divBdr>
                    </w:div>
                    <w:div w:id="1206915411">
                      <w:marLeft w:val="0"/>
                      <w:marRight w:val="0"/>
                      <w:marTop w:val="0"/>
                      <w:marBottom w:val="0"/>
                      <w:divBdr>
                        <w:top w:val="none" w:sz="0" w:space="0" w:color="auto"/>
                        <w:left w:val="none" w:sz="0" w:space="0" w:color="auto"/>
                        <w:bottom w:val="none" w:sz="0" w:space="0" w:color="auto"/>
                        <w:right w:val="none" w:sz="0" w:space="0" w:color="auto"/>
                      </w:divBdr>
                    </w:div>
                    <w:div w:id="467935725">
                      <w:marLeft w:val="0"/>
                      <w:marRight w:val="0"/>
                      <w:marTop w:val="0"/>
                      <w:marBottom w:val="0"/>
                      <w:divBdr>
                        <w:top w:val="none" w:sz="0" w:space="0" w:color="auto"/>
                        <w:left w:val="none" w:sz="0" w:space="0" w:color="auto"/>
                        <w:bottom w:val="none" w:sz="0" w:space="0" w:color="auto"/>
                        <w:right w:val="none" w:sz="0" w:space="0" w:color="auto"/>
                      </w:divBdr>
                    </w:div>
                    <w:div w:id="497960059">
                      <w:marLeft w:val="0"/>
                      <w:marRight w:val="0"/>
                      <w:marTop w:val="0"/>
                      <w:marBottom w:val="0"/>
                      <w:divBdr>
                        <w:top w:val="none" w:sz="0" w:space="0" w:color="auto"/>
                        <w:left w:val="none" w:sz="0" w:space="0" w:color="auto"/>
                        <w:bottom w:val="none" w:sz="0" w:space="0" w:color="auto"/>
                        <w:right w:val="none" w:sz="0" w:space="0" w:color="auto"/>
                      </w:divBdr>
                    </w:div>
                    <w:div w:id="1150246914">
                      <w:marLeft w:val="0"/>
                      <w:marRight w:val="0"/>
                      <w:marTop w:val="0"/>
                      <w:marBottom w:val="0"/>
                      <w:divBdr>
                        <w:top w:val="none" w:sz="0" w:space="0" w:color="auto"/>
                        <w:left w:val="none" w:sz="0" w:space="0" w:color="auto"/>
                        <w:bottom w:val="none" w:sz="0" w:space="0" w:color="auto"/>
                        <w:right w:val="none" w:sz="0" w:space="0" w:color="auto"/>
                      </w:divBdr>
                    </w:div>
                  </w:divsChild>
                </w:div>
                <w:div w:id="726344366">
                  <w:marLeft w:val="0"/>
                  <w:marRight w:val="0"/>
                  <w:marTop w:val="0"/>
                  <w:marBottom w:val="0"/>
                  <w:divBdr>
                    <w:top w:val="none" w:sz="0" w:space="0" w:color="auto"/>
                    <w:left w:val="none" w:sz="0" w:space="0" w:color="auto"/>
                    <w:bottom w:val="none" w:sz="0" w:space="0" w:color="auto"/>
                    <w:right w:val="none" w:sz="0" w:space="0" w:color="auto"/>
                  </w:divBdr>
                  <w:divsChild>
                    <w:div w:id="2084063226">
                      <w:marLeft w:val="0"/>
                      <w:marRight w:val="0"/>
                      <w:marTop w:val="0"/>
                      <w:marBottom w:val="0"/>
                      <w:divBdr>
                        <w:top w:val="none" w:sz="0" w:space="0" w:color="auto"/>
                        <w:left w:val="none" w:sz="0" w:space="0" w:color="auto"/>
                        <w:bottom w:val="none" w:sz="0" w:space="0" w:color="auto"/>
                        <w:right w:val="none" w:sz="0" w:space="0" w:color="auto"/>
                      </w:divBdr>
                    </w:div>
                    <w:div w:id="1681394401">
                      <w:marLeft w:val="0"/>
                      <w:marRight w:val="0"/>
                      <w:marTop w:val="0"/>
                      <w:marBottom w:val="0"/>
                      <w:divBdr>
                        <w:top w:val="none" w:sz="0" w:space="0" w:color="auto"/>
                        <w:left w:val="none" w:sz="0" w:space="0" w:color="auto"/>
                        <w:bottom w:val="none" w:sz="0" w:space="0" w:color="auto"/>
                        <w:right w:val="none" w:sz="0" w:space="0" w:color="auto"/>
                      </w:divBdr>
                    </w:div>
                    <w:div w:id="1971787531">
                      <w:marLeft w:val="0"/>
                      <w:marRight w:val="0"/>
                      <w:marTop w:val="0"/>
                      <w:marBottom w:val="0"/>
                      <w:divBdr>
                        <w:top w:val="none" w:sz="0" w:space="0" w:color="auto"/>
                        <w:left w:val="none" w:sz="0" w:space="0" w:color="auto"/>
                        <w:bottom w:val="none" w:sz="0" w:space="0" w:color="auto"/>
                        <w:right w:val="none" w:sz="0" w:space="0" w:color="auto"/>
                      </w:divBdr>
                    </w:div>
                    <w:div w:id="324209060">
                      <w:marLeft w:val="0"/>
                      <w:marRight w:val="0"/>
                      <w:marTop w:val="0"/>
                      <w:marBottom w:val="0"/>
                      <w:divBdr>
                        <w:top w:val="none" w:sz="0" w:space="0" w:color="auto"/>
                        <w:left w:val="none" w:sz="0" w:space="0" w:color="auto"/>
                        <w:bottom w:val="none" w:sz="0" w:space="0" w:color="auto"/>
                        <w:right w:val="none" w:sz="0" w:space="0" w:color="auto"/>
                      </w:divBdr>
                    </w:div>
                    <w:div w:id="1750619918">
                      <w:marLeft w:val="0"/>
                      <w:marRight w:val="0"/>
                      <w:marTop w:val="0"/>
                      <w:marBottom w:val="0"/>
                      <w:divBdr>
                        <w:top w:val="none" w:sz="0" w:space="0" w:color="auto"/>
                        <w:left w:val="none" w:sz="0" w:space="0" w:color="auto"/>
                        <w:bottom w:val="none" w:sz="0" w:space="0" w:color="auto"/>
                        <w:right w:val="none" w:sz="0" w:space="0" w:color="auto"/>
                      </w:divBdr>
                    </w:div>
                    <w:div w:id="1136141609">
                      <w:marLeft w:val="0"/>
                      <w:marRight w:val="0"/>
                      <w:marTop w:val="0"/>
                      <w:marBottom w:val="0"/>
                      <w:divBdr>
                        <w:top w:val="none" w:sz="0" w:space="0" w:color="auto"/>
                        <w:left w:val="none" w:sz="0" w:space="0" w:color="auto"/>
                        <w:bottom w:val="none" w:sz="0" w:space="0" w:color="auto"/>
                        <w:right w:val="none" w:sz="0" w:space="0" w:color="auto"/>
                      </w:divBdr>
                    </w:div>
                    <w:div w:id="657416859">
                      <w:marLeft w:val="0"/>
                      <w:marRight w:val="0"/>
                      <w:marTop w:val="0"/>
                      <w:marBottom w:val="0"/>
                      <w:divBdr>
                        <w:top w:val="none" w:sz="0" w:space="0" w:color="auto"/>
                        <w:left w:val="none" w:sz="0" w:space="0" w:color="auto"/>
                        <w:bottom w:val="none" w:sz="0" w:space="0" w:color="auto"/>
                        <w:right w:val="none" w:sz="0" w:space="0" w:color="auto"/>
                      </w:divBdr>
                    </w:div>
                    <w:div w:id="2086217369">
                      <w:marLeft w:val="0"/>
                      <w:marRight w:val="0"/>
                      <w:marTop w:val="0"/>
                      <w:marBottom w:val="0"/>
                      <w:divBdr>
                        <w:top w:val="none" w:sz="0" w:space="0" w:color="auto"/>
                        <w:left w:val="none" w:sz="0" w:space="0" w:color="auto"/>
                        <w:bottom w:val="none" w:sz="0" w:space="0" w:color="auto"/>
                        <w:right w:val="none" w:sz="0" w:space="0" w:color="auto"/>
                      </w:divBdr>
                    </w:div>
                    <w:div w:id="1340237876">
                      <w:marLeft w:val="0"/>
                      <w:marRight w:val="0"/>
                      <w:marTop w:val="0"/>
                      <w:marBottom w:val="0"/>
                      <w:divBdr>
                        <w:top w:val="none" w:sz="0" w:space="0" w:color="auto"/>
                        <w:left w:val="none" w:sz="0" w:space="0" w:color="auto"/>
                        <w:bottom w:val="none" w:sz="0" w:space="0" w:color="auto"/>
                        <w:right w:val="none" w:sz="0" w:space="0" w:color="auto"/>
                      </w:divBdr>
                    </w:div>
                  </w:divsChild>
                </w:div>
                <w:div w:id="204489883">
                  <w:marLeft w:val="0"/>
                  <w:marRight w:val="0"/>
                  <w:marTop w:val="0"/>
                  <w:marBottom w:val="0"/>
                  <w:divBdr>
                    <w:top w:val="none" w:sz="0" w:space="0" w:color="auto"/>
                    <w:left w:val="none" w:sz="0" w:space="0" w:color="auto"/>
                    <w:bottom w:val="none" w:sz="0" w:space="0" w:color="auto"/>
                    <w:right w:val="none" w:sz="0" w:space="0" w:color="auto"/>
                  </w:divBdr>
                  <w:divsChild>
                    <w:div w:id="226034538">
                      <w:marLeft w:val="0"/>
                      <w:marRight w:val="0"/>
                      <w:marTop w:val="0"/>
                      <w:marBottom w:val="0"/>
                      <w:divBdr>
                        <w:top w:val="none" w:sz="0" w:space="0" w:color="auto"/>
                        <w:left w:val="none" w:sz="0" w:space="0" w:color="auto"/>
                        <w:bottom w:val="none" w:sz="0" w:space="0" w:color="auto"/>
                        <w:right w:val="none" w:sz="0" w:space="0" w:color="auto"/>
                      </w:divBdr>
                    </w:div>
                    <w:div w:id="43720664">
                      <w:marLeft w:val="0"/>
                      <w:marRight w:val="0"/>
                      <w:marTop w:val="0"/>
                      <w:marBottom w:val="0"/>
                      <w:divBdr>
                        <w:top w:val="none" w:sz="0" w:space="0" w:color="auto"/>
                        <w:left w:val="none" w:sz="0" w:space="0" w:color="auto"/>
                        <w:bottom w:val="none" w:sz="0" w:space="0" w:color="auto"/>
                        <w:right w:val="none" w:sz="0" w:space="0" w:color="auto"/>
                      </w:divBdr>
                    </w:div>
                    <w:div w:id="562102327">
                      <w:marLeft w:val="0"/>
                      <w:marRight w:val="0"/>
                      <w:marTop w:val="0"/>
                      <w:marBottom w:val="0"/>
                      <w:divBdr>
                        <w:top w:val="none" w:sz="0" w:space="0" w:color="auto"/>
                        <w:left w:val="none" w:sz="0" w:space="0" w:color="auto"/>
                        <w:bottom w:val="none" w:sz="0" w:space="0" w:color="auto"/>
                        <w:right w:val="none" w:sz="0" w:space="0" w:color="auto"/>
                      </w:divBdr>
                    </w:div>
                    <w:div w:id="1054743371">
                      <w:marLeft w:val="0"/>
                      <w:marRight w:val="0"/>
                      <w:marTop w:val="0"/>
                      <w:marBottom w:val="0"/>
                      <w:divBdr>
                        <w:top w:val="none" w:sz="0" w:space="0" w:color="auto"/>
                        <w:left w:val="none" w:sz="0" w:space="0" w:color="auto"/>
                        <w:bottom w:val="none" w:sz="0" w:space="0" w:color="auto"/>
                        <w:right w:val="none" w:sz="0" w:space="0" w:color="auto"/>
                      </w:divBdr>
                    </w:div>
                  </w:divsChild>
                </w:div>
                <w:div w:id="1174341926">
                  <w:marLeft w:val="0"/>
                  <w:marRight w:val="0"/>
                  <w:marTop w:val="0"/>
                  <w:marBottom w:val="0"/>
                  <w:divBdr>
                    <w:top w:val="none" w:sz="0" w:space="0" w:color="auto"/>
                    <w:left w:val="none" w:sz="0" w:space="0" w:color="auto"/>
                    <w:bottom w:val="none" w:sz="0" w:space="0" w:color="auto"/>
                    <w:right w:val="none" w:sz="0" w:space="0" w:color="auto"/>
                  </w:divBdr>
                  <w:divsChild>
                    <w:div w:id="80028221">
                      <w:marLeft w:val="0"/>
                      <w:marRight w:val="0"/>
                      <w:marTop w:val="0"/>
                      <w:marBottom w:val="0"/>
                      <w:divBdr>
                        <w:top w:val="none" w:sz="0" w:space="0" w:color="auto"/>
                        <w:left w:val="none" w:sz="0" w:space="0" w:color="auto"/>
                        <w:bottom w:val="none" w:sz="0" w:space="0" w:color="auto"/>
                        <w:right w:val="none" w:sz="0" w:space="0" w:color="auto"/>
                      </w:divBdr>
                    </w:div>
                    <w:div w:id="371223700">
                      <w:marLeft w:val="0"/>
                      <w:marRight w:val="0"/>
                      <w:marTop w:val="0"/>
                      <w:marBottom w:val="0"/>
                      <w:divBdr>
                        <w:top w:val="none" w:sz="0" w:space="0" w:color="auto"/>
                        <w:left w:val="none" w:sz="0" w:space="0" w:color="auto"/>
                        <w:bottom w:val="none" w:sz="0" w:space="0" w:color="auto"/>
                        <w:right w:val="none" w:sz="0" w:space="0" w:color="auto"/>
                      </w:divBdr>
                    </w:div>
                    <w:div w:id="350187156">
                      <w:marLeft w:val="0"/>
                      <w:marRight w:val="0"/>
                      <w:marTop w:val="0"/>
                      <w:marBottom w:val="0"/>
                      <w:divBdr>
                        <w:top w:val="none" w:sz="0" w:space="0" w:color="auto"/>
                        <w:left w:val="none" w:sz="0" w:space="0" w:color="auto"/>
                        <w:bottom w:val="none" w:sz="0" w:space="0" w:color="auto"/>
                        <w:right w:val="none" w:sz="0" w:space="0" w:color="auto"/>
                      </w:divBdr>
                    </w:div>
                    <w:div w:id="1378319379">
                      <w:marLeft w:val="0"/>
                      <w:marRight w:val="0"/>
                      <w:marTop w:val="0"/>
                      <w:marBottom w:val="0"/>
                      <w:divBdr>
                        <w:top w:val="none" w:sz="0" w:space="0" w:color="auto"/>
                        <w:left w:val="none" w:sz="0" w:space="0" w:color="auto"/>
                        <w:bottom w:val="none" w:sz="0" w:space="0" w:color="auto"/>
                        <w:right w:val="none" w:sz="0" w:space="0" w:color="auto"/>
                      </w:divBdr>
                    </w:div>
                    <w:div w:id="149635794">
                      <w:marLeft w:val="0"/>
                      <w:marRight w:val="0"/>
                      <w:marTop w:val="0"/>
                      <w:marBottom w:val="0"/>
                      <w:divBdr>
                        <w:top w:val="none" w:sz="0" w:space="0" w:color="auto"/>
                        <w:left w:val="none" w:sz="0" w:space="0" w:color="auto"/>
                        <w:bottom w:val="none" w:sz="0" w:space="0" w:color="auto"/>
                        <w:right w:val="none" w:sz="0" w:space="0" w:color="auto"/>
                      </w:divBdr>
                    </w:div>
                    <w:div w:id="31617657">
                      <w:marLeft w:val="0"/>
                      <w:marRight w:val="0"/>
                      <w:marTop w:val="0"/>
                      <w:marBottom w:val="0"/>
                      <w:divBdr>
                        <w:top w:val="none" w:sz="0" w:space="0" w:color="auto"/>
                        <w:left w:val="none" w:sz="0" w:space="0" w:color="auto"/>
                        <w:bottom w:val="none" w:sz="0" w:space="0" w:color="auto"/>
                        <w:right w:val="none" w:sz="0" w:space="0" w:color="auto"/>
                      </w:divBdr>
                    </w:div>
                  </w:divsChild>
                </w:div>
                <w:div w:id="1824619068">
                  <w:marLeft w:val="0"/>
                  <w:marRight w:val="0"/>
                  <w:marTop w:val="0"/>
                  <w:marBottom w:val="0"/>
                  <w:divBdr>
                    <w:top w:val="none" w:sz="0" w:space="0" w:color="auto"/>
                    <w:left w:val="none" w:sz="0" w:space="0" w:color="auto"/>
                    <w:bottom w:val="none" w:sz="0" w:space="0" w:color="auto"/>
                    <w:right w:val="none" w:sz="0" w:space="0" w:color="auto"/>
                  </w:divBdr>
                  <w:divsChild>
                    <w:div w:id="2142459225">
                      <w:marLeft w:val="0"/>
                      <w:marRight w:val="0"/>
                      <w:marTop w:val="0"/>
                      <w:marBottom w:val="0"/>
                      <w:divBdr>
                        <w:top w:val="none" w:sz="0" w:space="0" w:color="auto"/>
                        <w:left w:val="none" w:sz="0" w:space="0" w:color="auto"/>
                        <w:bottom w:val="none" w:sz="0" w:space="0" w:color="auto"/>
                        <w:right w:val="none" w:sz="0" w:space="0" w:color="auto"/>
                      </w:divBdr>
                    </w:div>
                    <w:div w:id="1441685353">
                      <w:marLeft w:val="0"/>
                      <w:marRight w:val="0"/>
                      <w:marTop w:val="0"/>
                      <w:marBottom w:val="0"/>
                      <w:divBdr>
                        <w:top w:val="none" w:sz="0" w:space="0" w:color="auto"/>
                        <w:left w:val="none" w:sz="0" w:space="0" w:color="auto"/>
                        <w:bottom w:val="none" w:sz="0" w:space="0" w:color="auto"/>
                        <w:right w:val="none" w:sz="0" w:space="0" w:color="auto"/>
                      </w:divBdr>
                    </w:div>
                    <w:div w:id="1898778837">
                      <w:marLeft w:val="0"/>
                      <w:marRight w:val="0"/>
                      <w:marTop w:val="0"/>
                      <w:marBottom w:val="0"/>
                      <w:divBdr>
                        <w:top w:val="none" w:sz="0" w:space="0" w:color="auto"/>
                        <w:left w:val="none" w:sz="0" w:space="0" w:color="auto"/>
                        <w:bottom w:val="none" w:sz="0" w:space="0" w:color="auto"/>
                        <w:right w:val="none" w:sz="0" w:space="0" w:color="auto"/>
                      </w:divBdr>
                    </w:div>
                    <w:div w:id="918054375">
                      <w:marLeft w:val="0"/>
                      <w:marRight w:val="0"/>
                      <w:marTop w:val="0"/>
                      <w:marBottom w:val="0"/>
                      <w:divBdr>
                        <w:top w:val="none" w:sz="0" w:space="0" w:color="auto"/>
                        <w:left w:val="none" w:sz="0" w:space="0" w:color="auto"/>
                        <w:bottom w:val="none" w:sz="0" w:space="0" w:color="auto"/>
                        <w:right w:val="none" w:sz="0" w:space="0" w:color="auto"/>
                      </w:divBdr>
                    </w:div>
                  </w:divsChild>
                </w:div>
                <w:div w:id="2070031192">
                  <w:marLeft w:val="0"/>
                  <w:marRight w:val="0"/>
                  <w:marTop w:val="0"/>
                  <w:marBottom w:val="0"/>
                  <w:divBdr>
                    <w:top w:val="none" w:sz="0" w:space="0" w:color="auto"/>
                    <w:left w:val="none" w:sz="0" w:space="0" w:color="auto"/>
                    <w:bottom w:val="none" w:sz="0" w:space="0" w:color="auto"/>
                    <w:right w:val="none" w:sz="0" w:space="0" w:color="auto"/>
                  </w:divBdr>
                  <w:divsChild>
                    <w:div w:id="1953782200">
                      <w:marLeft w:val="0"/>
                      <w:marRight w:val="0"/>
                      <w:marTop w:val="0"/>
                      <w:marBottom w:val="0"/>
                      <w:divBdr>
                        <w:top w:val="none" w:sz="0" w:space="0" w:color="auto"/>
                        <w:left w:val="none" w:sz="0" w:space="0" w:color="auto"/>
                        <w:bottom w:val="none" w:sz="0" w:space="0" w:color="auto"/>
                        <w:right w:val="none" w:sz="0" w:space="0" w:color="auto"/>
                      </w:divBdr>
                    </w:div>
                    <w:div w:id="272202482">
                      <w:marLeft w:val="0"/>
                      <w:marRight w:val="0"/>
                      <w:marTop w:val="0"/>
                      <w:marBottom w:val="0"/>
                      <w:divBdr>
                        <w:top w:val="none" w:sz="0" w:space="0" w:color="auto"/>
                        <w:left w:val="none" w:sz="0" w:space="0" w:color="auto"/>
                        <w:bottom w:val="none" w:sz="0" w:space="0" w:color="auto"/>
                        <w:right w:val="none" w:sz="0" w:space="0" w:color="auto"/>
                      </w:divBdr>
                    </w:div>
                    <w:div w:id="1325625762">
                      <w:marLeft w:val="0"/>
                      <w:marRight w:val="0"/>
                      <w:marTop w:val="0"/>
                      <w:marBottom w:val="0"/>
                      <w:divBdr>
                        <w:top w:val="none" w:sz="0" w:space="0" w:color="auto"/>
                        <w:left w:val="none" w:sz="0" w:space="0" w:color="auto"/>
                        <w:bottom w:val="none" w:sz="0" w:space="0" w:color="auto"/>
                        <w:right w:val="none" w:sz="0" w:space="0" w:color="auto"/>
                      </w:divBdr>
                    </w:div>
                  </w:divsChild>
                </w:div>
                <w:div w:id="1350258184">
                  <w:marLeft w:val="0"/>
                  <w:marRight w:val="0"/>
                  <w:marTop w:val="0"/>
                  <w:marBottom w:val="0"/>
                  <w:divBdr>
                    <w:top w:val="none" w:sz="0" w:space="0" w:color="auto"/>
                    <w:left w:val="none" w:sz="0" w:space="0" w:color="auto"/>
                    <w:bottom w:val="none" w:sz="0" w:space="0" w:color="auto"/>
                    <w:right w:val="none" w:sz="0" w:space="0" w:color="auto"/>
                  </w:divBdr>
                  <w:divsChild>
                    <w:div w:id="190552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216104">
          <w:marLeft w:val="0"/>
          <w:marRight w:val="0"/>
          <w:marTop w:val="0"/>
          <w:marBottom w:val="0"/>
          <w:divBdr>
            <w:top w:val="none" w:sz="0" w:space="0" w:color="auto"/>
            <w:left w:val="none" w:sz="0" w:space="0" w:color="auto"/>
            <w:bottom w:val="none" w:sz="0" w:space="0" w:color="auto"/>
            <w:right w:val="none" w:sz="0" w:space="0" w:color="auto"/>
          </w:divBdr>
        </w:div>
      </w:divsChild>
    </w:div>
    <w:div w:id="1782531012">
      <w:bodyDiv w:val="1"/>
      <w:marLeft w:val="0"/>
      <w:marRight w:val="0"/>
      <w:marTop w:val="0"/>
      <w:marBottom w:val="0"/>
      <w:divBdr>
        <w:top w:val="none" w:sz="0" w:space="0" w:color="auto"/>
        <w:left w:val="none" w:sz="0" w:space="0" w:color="auto"/>
        <w:bottom w:val="none" w:sz="0" w:space="0" w:color="auto"/>
        <w:right w:val="none" w:sz="0" w:space="0" w:color="auto"/>
      </w:divBdr>
    </w:div>
    <w:div w:id="1807966286">
      <w:bodyDiv w:val="1"/>
      <w:marLeft w:val="0"/>
      <w:marRight w:val="0"/>
      <w:marTop w:val="0"/>
      <w:marBottom w:val="0"/>
      <w:divBdr>
        <w:top w:val="none" w:sz="0" w:space="0" w:color="auto"/>
        <w:left w:val="none" w:sz="0" w:space="0" w:color="auto"/>
        <w:bottom w:val="none" w:sz="0" w:space="0" w:color="auto"/>
        <w:right w:val="none" w:sz="0" w:space="0" w:color="auto"/>
      </w:divBdr>
      <w:divsChild>
        <w:div w:id="1315987405">
          <w:marLeft w:val="547"/>
          <w:marRight w:val="0"/>
          <w:marTop w:val="0"/>
          <w:marBottom w:val="0"/>
          <w:divBdr>
            <w:top w:val="none" w:sz="0" w:space="0" w:color="auto"/>
            <w:left w:val="none" w:sz="0" w:space="0" w:color="auto"/>
            <w:bottom w:val="none" w:sz="0" w:space="0" w:color="auto"/>
            <w:right w:val="none" w:sz="0" w:space="0" w:color="auto"/>
          </w:divBdr>
        </w:div>
      </w:divsChild>
    </w:div>
    <w:div w:id="1809787195">
      <w:bodyDiv w:val="1"/>
      <w:marLeft w:val="0"/>
      <w:marRight w:val="0"/>
      <w:marTop w:val="0"/>
      <w:marBottom w:val="0"/>
      <w:divBdr>
        <w:top w:val="none" w:sz="0" w:space="0" w:color="auto"/>
        <w:left w:val="none" w:sz="0" w:space="0" w:color="auto"/>
        <w:bottom w:val="none" w:sz="0" w:space="0" w:color="auto"/>
        <w:right w:val="none" w:sz="0" w:space="0" w:color="auto"/>
      </w:divBdr>
    </w:div>
    <w:div w:id="1866212590">
      <w:bodyDiv w:val="1"/>
      <w:marLeft w:val="0"/>
      <w:marRight w:val="0"/>
      <w:marTop w:val="0"/>
      <w:marBottom w:val="0"/>
      <w:divBdr>
        <w:top w:val="none" w:sz="0" w:space="0" w:color="auto"/>
        <w:left w:val="none" w:sz="0" w:space="0" w:color="auto"/>
        <w:bottom w:val="none" w:sz="0" w:space="0" w:color="auto"/>
        <w:right w:val="none" w:sz="0" w:space="0" w:color="auto"/>
      </w:divBdr>
    </w:div>
    <w:div w:id="1866940282">
      <w:bodyDiv w:val="1"/>
      <w:marLeft w:val="0"/>
      <w:marRight w:val="0"/>
      <w:marTop w:val="0"/>
      <w:marBottom w:val="0"/>
      <w:divBdr>
        <w:top w:val="none" w:sz="0" w:space="0" w:color="auto"/>
        <w:left w:val="none" w:sz="0" w:space="0" w:color="auto"/>
        <w:bottom w:val="none" w:sz="0" w:space="0" w:color="auto"/>
        <w:right w:val="none" w:sz="0" w:space="0" w:color="auto"/>
      </w:divBdr>
      <w:divsChild>
        <w:div w:id="56637820">
          <w:marLeft w:val="0"/>
          <w:marRight w:val="0"/>
          <w:marTop w:val="150"/>
          <w:marBottom w:val="150"/>
          <w:divBdr>
            <w:top w:val="single" w:sz="6" w:space="4" w:color="BCBCBC"/>
            <w:left w:val="single" w:sz="6" w:space="4" w:color="BCBCBC"/>
            <w:bottom w:val="single" w:sz="6" w:space="4" w:color="BCBCBC"/>
            <w:right w:val="single" w:sz="6" w:space="4" w:color="BCBCBC"/>
          </w:divBdr>
        </w:div>
      </w:divsChild>
    </w:div>
    <w:div w:id="1869640632">
      <w:bodyDiv w:val="1"/>
      <w:marLeft w:val="0"/>
      <w:marRight w:val="0"/>
      <w:marTop w:val="0"/>
      <w:marBottom w:val="0"/>
      <w:divBdr>
        <w:top w:val="none" w:sz="0" w:space="0" w:color="auto"/>
        <w:left w:val="none" w:sz="0" w:space="0" w:color="auto"/>
        <w:bottom w:val="none" w:sz="0" w:space="0" w:color="auto"/>
        <w:right w:val="none" w:sz="0" w:space="0" w:color="auto"/>
      </w:divBdr>
    </w:div>
    <w:div w:id="1880315648">
      <w:bodyDiv w:val="1"/>
      <w:marLeft w:val="0"/>
      <w:marRight w:val="0"/>
      <w:marTop w:val="0"/>
      <w:marBottom w:val="0"/>
      <w:divBdr>
        <w:top w:val="none" w:sz="0" w:space="0" w:color="auto"/>
        <w:left w:val="none" w:sz="0" w:space="0" w:color="auto"/>
        <w:bottom w:val="none" w:sz="0" w:space="0" w:color="auto"/>
        <w:right w:val="none" w:sz="0" w:space="0" w:color="auto"/>
      </w:divBdr>
      <w:divsChild>
        <w:div w:id="1256747916">
          <w:marLeft w:val="0"/>
          <w:marRight w:val="0"/>
          <w:marTop w:val="0"/>
          <w:marBottom w:val="0"/>
          <w:divBdr>
            <w:top w:val="none" w:sz="0" w:space="0" w:color="auto"/>
            <w:left w:val="none" w:sz="0" w:space="0" w:color="auto"/>
            <w:bottom w:val="none" w:sz="0" w:space="0" w:color="auto"/>
            <w:right w:val="none" w:sz="0" w:space="0" w:color="auto"/>
          </w:divBdr>
        </w:div>
        <w:div w:id="1691181255">
          <w:marLeft w:val="0"/>
          <w:marRight w:val="0"/>
          <w:marTop w:val="0"/>
          <w:marBottom w:val="0"/>
          <w:divBdr>
            <w:top w:val="none" w:sz="0" w:space="0" w:color="auto"/>
            <w:left w:val="none" w:sz="0" w:space="0" w:color="auto"/>
            <w:bottom w:val="none" w:sz="0" w:space="0" w:color="auto"/>
            <w:right w:val="none" w:sz="0" w:space="0" w:color="auto"/>
          </w:divBdr>
          <w:divsChild>
            <w:div w:id="1075081013">
              <w:marLeft w:val="0"/>
              <w:marRight w:val="0"/>
              <w:marTop w:val="675"/>
              <w:marBottom w:val="675"/>
              <w:divBdr>
                <w:top w:val="none" w:sz="0" w:space="0" w:color="auto"/>
                <w:left w:val="none" w:sz="0" w:space="0" w:color="auto"/>
                <w:bottom w:val="none" w:sz="0" w:space="0" w:color="auto"/>
                <w:right w:val="none" w:sz="0" w:space="0" w:color="auto"/>
              </w:divBdr>
            </w:div>
          </w:divsChild>
        </w:div>
      </w:divsChild>
    </w:div>
    <w:div w:id="1884973466">
      <w:bodyDiv w:val="1"/>
      <w:marLeft w:val="0"/>
      <w:marRight w:val="0"/>
      <w:marTop w:val="0"/>
      <w:marBottom w:val="0"/>
      <w:divBdr>
        <w:top w:val="none" w:sz="0" w:space="0" w:color="auto"/>
        <w:left w:val="none" w:sz="0" w:space="0" w:color="auto"/>
        <w:bottom w:val="none" w:sz="0" w:space="0" w:color="auto"/>
        <w:right w:val="none" w:sz="0" w:space="0" w:color="auto"/>
      </w:divBdr>
    </w:div>
    <w:div w:id="1899513962">
      <w:bodyDiv w:val="1"/>
      <w:marLeft w:val="0"/>
      <w:marRight w:val="0"/>
      <w:marTop w:val="0"/>
      <w:marBottom w:val="0"/>
      <w:divBdr>
        <w:top w:val="none" w:sz="0" w:space="0" w:color="auto"/>
        <w:left w:val="none" w:sz="0" w:space="0" w:color="auto"/>
        <w:bottom w:val="none" w:sz="0" w:space="0" w:color="auto"/>
        <w:right w:val="none" w:sz="0" w:space="0" w:color="auto"/>
      </w:divBdr>
    </w:div>
    <w:div w:id="1903952988">
      <w:bodyDiv w:val="1"/>
      <w:marLeft w:val="0"/>
      <w:marRight w:val="0"/>
      <w:marTop w:val="0"/>
      <w:marBottom w:val="0"/>
      <w:divBdr>
        <w:top w:val="none" w:sz="0" w:space="0" w:color="auto"/>
        <w:left w:val="none" w:sz="0" w:space="0" w:color="auto"/>
        <w:bottom w:val="none" w:sz="0" w:space="0" w:color="auto"/>
        <w:right w:val="none" w:sz="0" w:space="0" w:color="auto"/>
      </w:divBdr>
    </w:div>
    <w:div w:id="1949894276">
      <w:bodyDiv w:val="1"/>
      <w:marLeft w:val="0"/>
      <w:marRight w:val="0"/>
      <w:marTop w:val="0"/>
      <w:marBottom w:val="0"/>
      <w:divBdr>
        <w:top w:val="none" w:sz="0" w:space="0" w:color="auto"/>
        <w:left w:val="none" w:sz="0" w:space="0" w:color="auto"/>
        <w:bottom w:val="none" w:sz="0" w:space="0" w:color="auto"/>
        <w:right w:val="none" w:sz="0" w:space="0" w:color="auto"/>
      </w:divBdr>
    </w:div>
    <w:div w:id="1954242344">
      <w:bodyDiv w:val="1"/>
      <w:marLeft w:val="0"/>
      <w:marRight w:val="0"/>
      <w:marTop w:val="0"/>
      <w:marBottom w:val="0"/>
      <w:divBdr>
        <w:top w:val="none" w:sz="0" w:space="0" w:color="auto"/>
        <w:left w:val="none" w:sz="0" w:space="0" w:color="auto"/>
        <w:bottom w:val="none" w:sz="0" w:space="0" w:color="auto"/>
        <w:right w:val="none" w:sz="0" w:space="0" w:color="auto"/>
      </w:divBdr>
    </w:div>
    <w:div w:id="1969772972">
      <w:bodyDiv w:val="1"/>
      <w:marLeft w:val="0"/>
      <w:marRight w:val="0"/>
      <w:marTop w:val="0"/>
      <w:marBottom w:val="0"/>
      <w:divBdr>
        <w:top w:val="none" w:sz="0" w:space="0" w:color="auto"/>
        <w:left w:val="none" w:sz="0" w:space="0" w:color="auto"/>
        <w:bottom w:val="none" w:sz="0" w:space="0" w:color="auto"/>
        <w:right w:val="none" w:sz="0" w:space="0" w:color="auto"/>
      </w:divBdr>
    </w:div>
    <w:div w:id="1971862867">
      <w:bodyDiv w:val="1"/>
      <w:marLeft w:val="0"/>
      <w:marRight w:val="0"/>
      <w:marTop w:val="0"/>
      <w:marBottom w:val="0"/>
      <w:divBdr>
        <w:top w:val="none" w:sz="0" w:space="0" w:color="auto"/>
        <w:left w:val="none" w:sz="0" w:space="0" w:color="auto"/>
        <w:bottom w:val="none" w:sz="0" w:space="0" w:color="auto"/>
        <w:right w:val="none" w:sz="0" w:space="0" w:color="auto"/>
      </w:divBdr>
    </w:div>
    <w:div w:id="1979455269">
      <w:bodyDiv w:val="1"/>
      <w:marLeft w:val="0"/>
      <w:marRight w:val="0"/>
      <w:marTop w:val="0"/>
      <w:marBottom w:val="0"/>
      <w:divBdr>
        <w:top w:val="none" w:sz="0" w:space="0" w:color="auto"/>
        <w:left w:val="none" w:sz="0" w:space="0" w:color="auto"/>
        <w:bottom w:val="none" w:sz="0" w:space="0" w:color="auto"/>
        <w:right w:val="none" w:sz="0" w:space="0" w:color="auto"/>
      </w:divBdr>
    </w:div>
    <w:div w:id="2037845444">
      <w:bodyDiv w:val="1"/>
      <w:marLeft w:val="0"/>
      <w:marRight w:val="0"/>
      <w:marTop w:val="0"/>
      <w:marBottom w:val="0"/>
      <w:divBdr>
        <w:top w:val="none" w:sz="0" w:space="0" w:color="auto"/>
        <w:left w:val="none" w:sz="0" w:space="0" w:color="auto"/>
        <w:bottom w:val="none" w:sz="0" w:space="0" w:color="auto"/>
        <w:right w:val="none" w:sz="0" w:space="0" w:color="auto"/>
      </w:divBdr>
    </w:div>
    <w:div w:id="2073307516">
      <w:bodyDiv w:val="1"/>
      <w:marLeft w:val="0"/>
      <w:marRight w:val="0"/>
      <w:marTop w:val="0"/>
      <w:marBottom w:val="0"/>
      <w:divBdr>
        <w:top w:val="none" w:sz="0" w:space="0" w:color="auto"/>
        <w:left w:val="none" w:sz="0" w:space="0" w:color="auto"/>
        <w:bottom w:val="none" w:sz="0" w:space="0" w:color="auto"/>
        <w:right w:val="none" w:sz="0" w:space="0" w:color="auto"/>
      </w:divBdr>
    </w:div>
    <w:div w:id="2082024623">
      <w:bodyDiv w:val="1"/>
      <w:marLeft w:val="0"/>
      <w:marRight w:val="0"/>
      <w:marTop w:val="0"/>
      <w:marBottom w:val="0"/>
      <w:divBdr>
        <w:top w:val="none" w:sz="0" w:space="0" w:color="auto"/>
        <w:left w:val="none" w:sz="0" w:space="0" w:color="auto"/>
        <w:bottom w:val="none" w:sz="0" w:space="0" w:color="auto"/>
        <w:right w:val="none" w:sz="0" w:space="0" w:color="auto"/>
      </w:divBdr>
    </w:div>
    <w:div w:id="212396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hyperlink" Target="https://treasury.govt.nz/publications/guide/government-expectations-good-regulatory-practice" TargetMode="External"/><Relationship Id="rId39" Type="http://schemas.openxmlformats.org/officeDocument/2006/relationships/hyperlink" Target="https://foodregulation.gov.au/internet/fr/publishing.nsf/Content/Policy-Guideline-on-Food-Labelling-to-Support-Consumers-Make-Informed-Healthy-Choices" TargetMode="External"/><Relationship Id="rId21" Type="http://schemas.openxmlformats.org/officeDocument/2006/relationships/diagramColors" Target="diagrams/colors2.xml"/><Relationship Id="rId34" Type="http://schemas.openxmlformats.org/officeDocument/2006/relationships/hyperlink" Target="https://www.health.gov.au/committees-and-groups/healthy-food-partnership-industry-best-practice-guide-working-group"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diagramQuickStyle" Target="diagrams/quickStyle2.xml"/><Relationship Id="rId29" Type="http://schemas.openxmlformats.org/officeDocument/2006/relationships/hyperlink" Target="https://aana.com.au/self-regulation/codes-guidelines/food-and-beverages-cod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foodregulation.gov.au/internet/fr/publishing.nsf/Content/key-system-documents" TargetMode="External"/><Relationship Id="rId32" Type="http://schemas.openxmlformats.org/officeDocument/2006/relationships/hyperlink" Target="https://www.health.gov.au/initiatives-and-programs/healthy-food-partnership/partnership-reformulation-program" TargetMode="External"/><Relationship Id="rId37" Type="http://schemas.openxmlformats.org/officeDocument/2006/relationships/hyperlink" Target="https://www.foodstandards.gov.au/consumer/labelling/Pages/Sugar-labelling.aspx" TargetMode="External"/><Relationship Id="rId40" Type="http://schemas.openxmlformats.org/officeDocument/2006/relationships/hyperlink" Target="http://www.foodregulation.gov.au" TargetMode="External"/><Relationship Id="rId5" Type="http://schemas.openxmlformats.org/officeDocument/2006/relationships/numbering" Target="numbering.xml"/><Relationship Id="rId15" Type="http://schemas.openxmlformats.org/officeDocument/2006/relationships/diagramQuickStyle" Target="diagrams/quickStyle1.xml"/><Relationship Id="rId23" Type="http://schemas.openxmlformats.org/officeDocument/2006/relationships/hyperlink" Target="http://www.foodregulation.gov.au" TargetMode="External"/><Relationship Id="rId28" Type="http://schemas.openxmlformats.org/officeDocument/2006/relationships/hyperlink" Target="https://foodregulation.gov.au/internet/fr/publishing.nsf/Content/current-activities" TargetMode="External"/><Relationship Id="rId36" Type="http://schemas.openxmlformats.org/officeDocument/2006/relationships/hyperlink" Target="https://www.mpi.govt.nz/food-safety-home/how-health-star-ratings-work/" TargetMode="External"/><Relationship Id="rId10" Type="http://schemas.openxmlformats.org/officeDocument/2006/relationships/endnotes" Target="endnotes.xml"/><Relationship Id="rId19" Type="http://schemas.openxmlformats.org/officeDocument/2006/relationships/diagramLayout" Target="diagrams/layout2.xml"/><Relationship Id="rId31" Type="http://schemas.openxmlformats.org/officeDocument/2006/relationships/hyperlink" Target="https://foodregulation.gov.au/internet/fr/publishing.nsf/Content/current-activit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microsoft.com/office/2007/relationships/diagramDrawing" Target="diagrams/drawing2.xml"/><Relationship Id="rId27" Type="http://schemas.openxmlformats.org/officeDocument/2006/relationships/footer" Target="footer1.xml"/><Relationship Id="rId30" Type="http://schemas.openxmlformats.org/officeDocument/2006/relationships/hyperlink" Target="https://www.asa.co.nz/codes/codes/children-and-young-people/" TargetMode="External"/><Relationship Id="rId35" Type="http://schemas.openxmlformats.org/officeDocument/2006/relationships/hyperlink" Target="http://www.healthstarrating.gov.au/internet/healthstarrating/publishing.nsf/content/home" TargetMode="External"/><Relationship Id="rId43" Type="http://schemas.openxmlformats.org/officeDocument/2006/relationships/customXml" Target="../customXml/item5.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microsoft.com/office/2007/relationships/diagramDrawing" Target="diagrams/drawing1.xml"/><Relationship Id="rId25" Type="http://schemas.openxmlformats.org/officeDocument/2006/relationships/hyperlink" Target="https://obpr.pmc.gov.au/resources/guidance-impact-analysis/regulatory-impact-analysis-guide-ministers-meetings-and-national" TargetMode="External"/><Relationship Id="rId33" Type="http://schemas.openxmlformats.org/officeDocument/2006/relationships/hyperlink" Target="https://thechipgroup.co.nz/" TargetMode="External"/><Relationship Id="rId38" Type="http://schemas.openxmlformats.org/officeDocument/2006/relationships/hyperlink" Target="https://www.foodstandards.gov.au/consumer/labelling/Pages/Labelling-of-alcoholic-beverages.aspx"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abs.gov.au/statistics/people/people-and-communities/household-impacts-covid-19-survey/29-apr-4-may-2020" TargetMode="External"/><Relationship Id="rId18" Type="http://schemas.openxmlformats.org/officeDocument/2006/relationships/hyperlink" Target="https://www.oecd.org/health/the-heavy-burden-of-obesity-67450d67-en.htm" TargetMode="External"/><Relationship Id="rId26" Type="http://schemas.openxmlformats.org/officeDocument/2006/relationships/hyperlink" Target="https://www.8700.com.au/" TargetMode="External"/><Relationship Id="rId39" Type="http://schemas.openxmlformats.org/officeDocument/2006/relationships/hyperlink" Target="https://minhealthnz.shinyapps.io/nz-health-survey-2019-20-annual-data-explorer/_w_6fcb44c5/" TargetMode="External"/><Relationship Id="rId21" Type="http://schemas.openxmlformats.org/officeDocument/2006/relationships/hyperlink" Target="https://www.foodauthority.nsw.gov.au/sites/default/files/_Documents/scienceandtechnical/fast_choices_TNS_report.pdf" TargetMode="External"/><Relationship Id="rId34" Type="http://schemas.openxmlformats.org/officeDocument/2006/relationships/hyperlink" Target="https://foodregulation.gov.au/internet/fr/publishing.nsf/Content/Policy-Guideline-on-Food-Labelling-to-Support-Consumers-Make-Informed-Healthy-Choices" TargetMode="External"/><Relationship Id="rId42" Type="http://schemas.openxmlformats.org/officeDocument/2006/relationships/hyperlink" Target="http://www.obesityaustralia.org/points-of-view" TargetMode="External"/><Relationship Id="rId47" Type="http://schemas.openxmlformats.org/officeDocument/2006/relationships/hyperlink" Target="http://www.foodregulation.gov.au" TargetMode="External"/><Relationship Id="rId50" Type="http://schemas.openxmlformats.org/officeDocument/2006/relationships/hyperlink" Target="http://www.foodregulation.gov.au" TargetMode="External"/><Relationship Id="rId55" Type="http://schemas.openxmlformats.org/officeDocument/2006/relationships/hyperlink" Target="https://www.thelancet.com/journals/lancet/article/PIIS0140-6736(20)30925-9/fulltext" TargetMode="External"/><Relationship Id="rId63" Type="http://schemas.openxmlformats.org/officeDocument/2006/relationships/hyperlink" Target="https://policydatabase.wcrf.org/nourishing-moving-search" TargetMode="External"/><Relationship Id="rId68" Type="http://schemas.openxmlformats.org/officeDocument/2006/relationships/hyperlink" Target="http://www.amlegal.com/pdffiles/Philadelphia/180001-A.pdf" TargetMode="External"/><Relationship Id="rId76" Type="http://schemas.openxmlformats.org/officeDocument/2006/relationships/hyperlink" Target="https://www.health.act.gov.au/sites/default/files/2018-09/Review%20of%20Display%20of%20Nutritional%20Information%20for%20Food%20Report%202017.pdf" TargetMode="External"/><Relationship Id="rId7" Type="http://schemas.openxmlformats.org/officeDocument/2006/relationships/hyperlink" Target="https://www.stats.govt.nz/information-releases/household-expenditure-statistics-year-ended-june-2019" TargetMode="External"/><Relationship Id="rId71" Type="http://schemas.openxmlformats.org/officeDocument/2006/relationships/hyperlink" Target="https://www.gov.ie/en/consultation/d9bfcc-consultation-with-food-businesses-on-the-introduction-of-mandatory-c/" TargetMode="External"/><Relationship Id="rId2" Type="http://schemas.openxmlformats.org/officeDocument/2006/relationships/hyperlink" Target="https://foodregulation.gov.au/internet/fr/publishing.nsf/Content/forum-communique-2019-August" TargetMode="External"/><Relationship Id="rId16" Type="http://schemas.openxmlformats.org/officeDocument/2006/relationships/hyperlink" Target="https://www.mckinsey.com/industries/healthcare-systems-and-services/our-insights/how-the-world-could-better-fight-obesity" TargetMode="External"/><Relationship Id="rId29" Type="http://schemas.openxmlformats.org/officeDocument/2006/relationships/hyperlink" Target="https://www.betterhealth.vic.gov.au/campaigns/kilojoules-on-the-menu" TargetMode="External"/><Relationship Id="rId11" Type="http://schemas.openxmlformats.org/officeDocument/2006/relationships/hyperlink" Target="http://www.roymorgan.com/findings/7602-food-delivery-services-march-2018-201805240625" TargetMode="External"/><Relationship Id="rId24" Type="http://schemas.openxmlformats.org/officeDocument/2006/relationships/hyperlink" Target="https://foodregulation.gov.au/internet/fr/publishing.nsf/Content/publication-principles-point-of-sale-nutrition" TargetMode="External"/><Relationship Id="rId32" Type="http://schemas.openxmlformats.org/officeDocument/2006/relationships/hyperlink" Target="https://www.legislation.gov.au/Series/F2015L00386" TargetMode="External"/><Relationship Id="rId37" Type="http://schemas.openxmlformats.org/officeDocument/2006/relationships/hyperlink" Target="https://www.abs.gov.au/ausstats/abs@.nsf/PrimaryMainFeatures/4364.0.55.001?OpenDocument" TargetMode="External"/><Relationship Id="rId40" Type="http://schemas.openxmlformats.org/officeDocument/2006/relationships/hyperlink" Target="https://vizhub.healthdata.org/gbd-compare/" TargetMode="External"/><Relationship Id="rId45" Type="http://schemas.openxmlformats.org/officeDocument/2006/relationships/hyperlink" Target="https://www.oecd.org/health/the-heavy-burden-of-obesity-67450d67-en.htm" TargetMode="External"/><Relationship Id="rId53" Type="http://schemas.openxmlformats.org/officeDocument/2006/relationships/hyperlink" Target="http://www.aceobesitypolicy.com.au/" TargetMode="External"/><Relationship Id="rId58" Type="http://schemas.openxmlformats.org/officeDocument/2006/relationships/hyperlink" Target="http://www.foodregulation.gov.au" TargetMode="External"/><Relationship Id="rId66" Type="http://schemas.openxmlformats.org/officeDocument/2006/relationships/hyperlink" Target="https://www.mfds.go.kr/eng/brd/m_15/view.do?seq=70002&amp;srchFr=&amp;srchTo=&amp;srchWord=&amp;srchTp=&amp;itm_seq_1=0&amp;itm_seq_2=0&amp;multi_itm_seq=0&amp;company_cd=&amp;company_nm=&amp;page=3" TargetMode="External"/><Relationship Id="rId74" Type="http://schemas.openxmlformats.org/officeDocument/2006/relationships/hyperlink" Target="http://www.aceobesitypolicy.com.au/" TargetMode="External"/><Relationship Id="rId79" Type="http://schemas.openxmlformats.org/officeDocument/2006/relationships/hyperlink" Target="https://foodregulation.gov.au/internet/fr/publishing.nsf/Content/review-fast-food-menu-labelling-schemes" TargetMode="External"/><Relationship Id="rId5" Type="http://schemas.openxmlformats.org/officeDocument/2006/relationships/hyperlink" Target="https://www.abs.gov.au/statistics/economy/finance/household-expenditure-survey-australia-summary-results/latest-release" TargetMode="External"/><Relationship Id="rId61" Type="http://schemas.openxmlformats.org/officeDocument/2006/relationships/hyperlink" Target="http://www.foodregulation.gov.au" TargetMode="External"/><Relationship Id="rId10" Type="http://schemas.openxmlformats.org/officeDocument/2006/relationships/hyperlink" Target="https://futurefood.com.au/blog/2019/06/eating-out-in-australia-takeaways-on-takeaways" TargetMode="External"/><Relationship Id="rId19" Type="http://schemas.openxmlformats.org/officeDocument/2006/relationships/hyperlink" Target="http://www.aceobesitypolicy.com.au/" TargetMode="External"/><Relationship Id="rId31" Type="http://schemas.openxmlformats.org/officeDocument/2006/relationships/hyperlink" Target="https://www.legislation.gov.au/Details/C2018C00243" TargetMode="External"/><Relationship Id="rId44" Type="http://schemas.openxmlformats.org/officeDocument/2006/relationships/hyperlink" Target="http://www.moh.govt.nz/notebook/nbbooks.nsf/0/F85C39E4495B9684CC257BD3006F6299/$file/health-loss-in-new-zealand-final.pdf" TargetMode="External"/><Relationship Id="rId52" Type="http://schemas.openxmlformats.org/officeDocument/2006/relationships/hyperlink" Target="https://www.treasury.govt.nz/sites/default/files/2016-09/policy-measurement-report-14-15.pdf" TargetMode="External"/><Relationship Id="rId60" Type="http://schemas.openxmlformats.org/officeDocument/2006/relationships/hyperlink" Target="https://www.foodauthority.nsw.gov.au/sites/default/files/_Documents/scienceandtechnical/fast_choices_TNS_report.pdf" TargetMode="External"/><Relationship Id="rId65" Type="http://schemas.openxmlformats.org/officeDocument/2006/relationships/hyperlink" Target="https://www.legislation.gov.uk/uksi/2021/909/contents/made" TargetMode="External"/><Relationship Id="rId73" Type="http://schemas.openxmlformats.org/officeDocument/2006/relationships/hyperlink" Target="https://www.foodauthority.nsw.gov.au/sites/default/files/_Documents/scienceandtechnical/fast_choices_TNS_report.pdf" TargetMode="External"/><Relationship Id="rId78" Type="http://schemas.openxmlformats.org/officeDocument/2006/relationships/hyperlink" Target="https://foodregulation.gov.au/internet/fr/publishing.nsf/Content/review-fast-food-menu-labelling-schemes" TargetMode="External"/><Relationship Id="rId4" Type="http://schemas.openxmlformats.org/officeDocument/2006/relationships/hyperlink" Target="https://www.health.govt.nz/publication/focus-nutrition-key-findings-2008-09-nz-adult-nutrition-survey" TargetMode="External"/><Relationship Id="rId9" Type="http://schemas.openxmlformats.org/officeDocument/2006/relationships/hyperlink" Target="http://www.roymorgan.com/findings/7613-new-zealand-eating-habits-eating-in-out-qsr-restaurants-march-2018-201805310031" TargetMode="External"/><Relationship Id="rId14" Type="http://schemas.openxmlformats.org/officeDocument/2006/relationships/hyperlink" Target="https://www.abs.gov.au/statistics/people/people-and-communities/household-impacts-covid-19-survey/jun-2021" TargetMode="External"/><Relationship Id="rId22" Type="http://schemas.openxmlformats.org/officeDocument/2006/relationships/hyperlink" Target="https://www.foodstandards.gov.au/publications/Documents/Literature%20review%20on%20label%20format%20-%20commissioned%20report%202013.pdf" TargetMode="External"/><Relationship Id="rId27" Type="http://schemas.openxmlformats.org/officeDocument/2006/relationships/hyperlink" Target="https://www.healthier.qld.gov.au/" TargetMode="External"/><Relationship Id="rId30" Type="http://schemas.openxmlformats.org/officeDocument/2006/relationships/hyperlink" Target="https://www.health.govt.nz/system/files/documents/pages/govt-reponse-to-food-industry-taskforce-report.pdf" TargetMode="External"/><Relationship Id="rId35" Type="http://schemas.openxmlformats.org/officeDocument/2006/relationships/hyperlink" Target="https://foodregulation.gov.au/internet/fr/publishing.nsf/Content/review-fast-food-menu-labelling-schemes" TargetMode="External"/><Relationship Id="rId43" Type="http://schemas.openxmlformats.org/officeDocument/2006/relationships/hyperlink" Target="https://www.pwc.com.au/pdf/weighing-the-cost-of-obesity-final.pdf" TargetMode="External"/><Relationship Id="rId48" Type="http://schemas.openxmlformats.org/officeDocument/2006/relationships/hyperlink" Target="https://www.parliament.nsw.gov.au/tp/files/8934/Section%20106R%20Review%20of%20Food%20Act%202003.pdf" TargetMode="External"/><Relationship Id="rId56" Type="http://schemas.openxmlformats.org/officeDocument/2006/relationships/hyperlink" Target="https://vizhub.healthdata.org/gbd-compare/" TargetMode="External"/><Relationship Id="rId64" Type="http://schemas.openxmlformats.org/officeDocument/2006/relationships/hyperlink" Target="http://www.fda.gov/food/food-labeling-nutrition/menu-labeling-requirements" TargetMode="External"/><Relationship Id="rId69" Type="http://schemas.openxmlformats.org/officeDocument/2006/relationships/hyperlink" Target="https://www.hpb.gov.sg/healthy-living/food-beverage/healthier-dining-programme" TargetMode="External"/><Relationship Id="rId77" Type="http://schemas.openxmlformats.org/officeDocument/2006/relationships/hyperlink" Target="https://www.abs.gov.au/AUSSTATS/abs@.nsf/DetailsPage/1292.02006%20(Revision%201.0)?OpenDocument" TargetMode="External"/><Relationship Id="rId8" Type="http://schemas.openxmlformats.org/officeDocument/2006/relationships/hyperlink" Target="http://www.roymorgan.com/findings/7599-australian-eating-habits-eating-in-out-march-2018-201805290253" TargetMode="External"/><Relationship Id="rId51" Type="http://schemas.openxmlformats.org/officeDocument/2006/relationships/hyperlink" Target="https://www.foodstandards.gov.au/code/applications/Pages/Cost-recovery-arrangements.aspx" TargetMode="External"/><Relationship Id="rId72" Type="http://schemas.openxmlformats.org/officeDocument/2006/relationships/hyperlink" Target="https://foodregulation.gov.au/internet/fr/publishing.nsf/Content/Policy-Guidance-for-Menu-Labelling-in-Australia-and-New-Zealand" TargetMode="External"/><Relationship Id="rId3" Type="http://schemas.openxmlformats.org/officeDocument/2006/relationships/hyperlink" Target="https://obpr.pmc.gov.au/resources/guidance-impact-analysis/regulatory-impact-analysis-guide-ministers-meetings-and-national" TargetMode="External"/><Relationship Id="rId12" Type="http://schemas.openxmlformats.org/officeDocument/2006/relationships/hyperlink" Target="https://nutritionfoundation.org.nz/sites/default/files/Bayer_Survey%20Report_v10.pdf" TargetMode="External"/><Relationship Id="rId17" Type="http://schemas.openxmlformats.org/officeDocument/2006/relationships/hyperlink" Target="https://www.wcrf.org/int/policy/nourishing/our-policy-framework-promote-healthy-diets-reduce-obesity" TargetMode="External"/><Relationship Id="rId25" Type="http://schemas.openxmlformats.org/officeDocument/2006/relationships/hyperlink" Target="https://www.healthyliving.nsw.gov.au/Pages/kilojoules-calories.aspx" TargetMode="External"/><Relationship Id="rId33" Type="http://schemas.openxmlformats.org/officeDocument/2006/relationships/hyperlink" Target="https://foodregulation.gov.au/internet/fr/publishing.nsf/Content/forum-communique-2019-August" TargetMode="External"/><Relationship Id="rId38" Type="http://schemas.openxmlformats.org/officeDocument/2006/relationships/hyperlink" Target="https://www.abs.gov.au/AUSSTATS/abs@.nsf/Lookup/4715.0Main+Features12018-19?OpenDocument" TargetMode="External"/><Relationship Id="rId46" Type="http://schemas.openxmlformats.org/officeDocument/2006/relationships/hyperlink" Target="https://foodregulation.gov.au/internet/fr/publishing.nsf/Content/480670060E89F438CA257CED001BF485/$File/Food%20Regulation%20Agreement%206%20July%202010.pdf" TargetMode="External"/><Relationship Id="rId59" Type="http://schemas.openxmlformats.org/officeDocument/2006/relationships/hyperlink" Target="http://www.foodregulation.gov.au" TargetMode="External"/><Relationship Id="rId67" Type="http://schemas.openxmlformats.org/officeDocument/2006/relationships/hyperlink" Target="https://www.ontario.ca/document/guide-menu-labelling-requirements" TargetMode="External"/><Relationship Id="rId20" Type="http://schemas.openxmlformats.org/officeDocument/2006/relationships/hyperlink" Target="https://doi.org/10.1002/14651858.CD009315.pub2" TargetMode="External"/><Relationship Id="rId41" Type="http://schemas.openxmlformats.org/officeDocument/2006/relationships/hyperlink" Target="https://www.pwc.com.au/pdf/weighing-the-cost-of-obesity-final.pdf" TargetMode="External"/><Relationship Id="rId54" Type="http://schemas.openxmlformats.org/officeDocument/2006/relationships/hyperlink" Target="https://doi.org/10.1016/S0140-6736(11)60812-X" TargetMode="External"/><Relationship Id="rId62" Type="http://schemas.openxmlformats.org/officeDocument/2006/relationships/hyperlink" Target="https://www1.nyc.gov/assets/doh/downloads/pdf/public/notice-adoption-hc-art81-50-0108.pdf" TargetMode="External"/><Relationship Id="rId70" Type="http://schemas.openxmlformats.org/officeDocument/2006/relationships/hyperlink" Target="https://www.fsai.ie/details.aspx?id=11418" TargetMode="External"/><Relationship Id="rId75" Type="http://schemas.openxmlformats.org/officeDocument/2006/relationships/hyperlink" Target="https://www.health.qld.gov.au/__data/assets/pdf_file/0030/813972/health-wellbeing-performance-review-2017-18.pdf" TargetMode="External"/><Relationship Id="rId1" Type="http://schemas.openxmlformats.org/officeDocument/2006/relationships/hyperlink" Target="https://foodregulation.gov.au/internet/fr/publishing.nsf/Content/publication-principles-point-of-sale-nutrition" TargetMode="External"/><Relationship Id="rId6" Type="http://schemas.openxmlformats.org/officeDocument/2006/relationships/hyperlink" Target="http://data.daff.gov.au/data/warehouse/9aat/2018/fdati9aat20180822/FoodDemandInAustralia_20180822_v1.0.0.pdf" TargetMode="External"/><Relationship Id="rId15" Type="http://schemas.openxmlformats.org/officeDocument/2006/relationships/hyperlink" Target="https://foodregulation.gov.au/internet/fr/publishing.nsf/Content/publication-principles-point-of-sale-nutrition" TargetMode="External"/><Relationship Id="rId23" Type="http://schemas.openxmlformats.org/officeDocument/2006/relationships/hyperlink" Target="https://doi.org/10.1002/14651858.CD009315.pub2" TargetMode="External"/><Relationship Id="rId28" Type="http://schemas.openxmlformats.org/officeDocument/2006/relationships/hyperlink" Target="https://www.canberratimes.com.au/story/6015736/new-campaign-rolls-out-to-help-canberrans-understand-kilojoules/" TargetMode="External"/><Relationship Id="rId36" Type="http://schemas.openxmlformats.org/officeDocument/2006/relationships/hyperlink" Target="https://foodregulation.gov.au/internet/fr/publishing.nsf/Content/review-fast-food-menu-labelling-schemes" TargetMode="External"/><Relationship Id="rId49" Type="http://schemas.openxmlformats.org/officeDocument/2006/relationships/hyperlink" Target="https://www.parliament.nsw.gov.au/tp/files/8934/Section%20106R%20Review%20of%20Food%20Act%202003.pdf" TargetMode="External"/><Relationship Id="rId57" Type="http://schemas.openxmlformats.org/officeDocument/2006/relationships/hyperlink" Target="https://obpr.pmc.gov.au/sites/default/files/2021-06/value-of-statistical-life-guidance-note-2.pd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FB31386-DDBE-4311-807B-0E7D62DDAE61}" type="doc">
      <dgm:prSet loTypeId="urn:microsoft.com/office/officeart/2005/8/layout/process1" loCatId="process" qsTypeId="urn:microsoft.com/office/officeart/2005/8/quickstyle/simple1" qsCatId="simple" csTypeId="urn:microsoft.com/office/officeart/2005/8/colors/accent1_2" csCatId="accent1" phldr="1"/>
      <dgm:spPr/>
    </dgm:pt>
    <dgm:pt modelId="{A968B9CE-5689-4C4D-AB66-9FBBAB81215F}">
      <dgm:prSet phldrT="[Text]" custT="1"/>
      <dgm:spPr>
        <a:noFill/>
        <a:ln>
          <a:solidFill>
            <a:schemeClr val="tx1"/>
          </a:solidFill>
        </a:ln>
      </dgm:spPr>
      <dgm:t>
        <a:bodyPr/>
        <a:lstStyle/>
        <a:p>
          <a:r>
            <a:rPr lang="en-AU" sz="1000">
              <a:solidFill>
                <a:sysClr val="windowText" lastClr="000000"/>
              </a:solidFill>
              <a:latin typeface="Times New Roman" panose="02020603050405020304" pitchFamily="18" charset="0"/>
              <a:cs typeface="Times New Roman" panose="02020603050405020304" pitchFamily="18" charset="0"/>
            </a:rPr>
            <a:t>Exposure to energy information on menus</a:t>
          </a:r>
        </a:p>
      </dgm:t>
    </dgm:pt>
    <dgm:pt modelId="{E88DE76B-2570-4B47-B87A-3D6638B06C26}" type="parTrans" cxnId="{B22EE457-4C52-41BA-A33C-4EAFC4A3E025}">
      <dgm:prSet/>
      <dgm:spPr/>
      <dgm:t>
        <a:bodyPr/>
        <a:lstStyle/>
        <a:p>
          <a:endParaRPr lang="en-AU"/>
        </a:p>
      </dgm:t>
    </dgm:pt>
    <dgm:pt modelId="{95260566-F655-4897-A2D0-70B94CDF93C4}" type="sibTrans" cxnId="{B22EE457-4C52-41BA-A33C-4EAFC4A3E025}">
      <dgm:prSet/>
      <dgm:spPr>
        <a:solidFill>
          <a:schemeClr val="accent3"/>
        </a:solidFill>
      </dgm:spPr>
      <dgm:t>
        <a:bodyPr/>
        <a:lstStyle/>
        <a:p>
          <a:endParaRPr lang="en-AU"/>
        </a:p>
      </dgm:t>
    </dgm:pt>
    <dgm:pt modelId="{31AACAD5-466C-47DC-9C62-542D6013842D}">
      <dgm:prSet phldrT="[Text]" custT="1"/>
      <dgm:spPr>
        <a:solidFill>
          <a:schemeClr val="bg1"/>
        </a:solidFill>
        <a:ln>
          <a:solidFill>
            <a:schemeClr val="tx1"/>
          </a:solidFill>
        </a:ln>
      </dgm:spPr>
      <dgm:t>
        <a:bodyPr/>
        <a:lstStyle/>
        <a:p>
          <a:r>
            <a:rPr lang="en-AU" sz="1000">
              <a:solidFill>
                <a:sysClr val="windowText" lastClr="000000"/>
              </a:solidFill>
              <a:latin typeface="Times New Roman" panose="02020603050405020304" pitchFamily="18" charset="0"/>
              <a:cs typeface="Times New Roman" panose="02020603050405020304" pitchFamily="18" charset="0"/>
            </a:rPr>
            <a:t>Impact on meal selection:</a:t>
          </a:r>
        </a:p>
        <a:p>
          <a:r>
            <a:rPr lang="en-AU" sz="1000">
              <a:solidFill>
                <a:sysClr val="windowText" lastClr="000000"/>
              </a:solidFill>
              <a:latin typeface="Times New Roman" panose="02020603050405020304" pitchFamily="18" charset="0"/>
              <a:cs typeface="Times New Roman" panose="02020603050405020304" pitchFamily="18" charset="0"/>
            </a:rPr>
            <a:t> fewer kilojoules purchased</a:t>
          </a:r>
        </a:p>
      </dgm:t>
    </dgm:pt>
    <dgm:pt modelId="{4A616DB8-7639-49F4-A7A5-2163377D4614}" type="parTrans" cxnId="{CFAE6F19-2E7F-4B5C-8F48-E0233DC91CE5}">
      <dgm:prSet/>
      <dgm:spPr/>
      <dgm:t>
        <a:bodyPr/>
        <a:lstStyle/>
        <a:p>
          <a:endParaRPr lang="en-AU"/>
        </a:p>
      </dgm:t>
    </dgm:pt>
    <dgm:pt modelId="{10CBE5E9-FD49-45EF-B08E-73BAA3A2CA87}" type="sibTrans" cxnId="{CFAE6F19-2E7F-4B5C-8F48-E0233DC91CE5}">
      <dgm:prSet/>
      <dgm:spPr>
        <a:solidFill>
          <a:schemeClr val="accent3"/>
        </a:solidFill>
      </dgm:spPr>
      <dgm:t>
        <a:bodyPr/>
        <a:lstStyle/>
        <a:p>
          <a:endParaRPr lang="en-AU"/>
        </a:p>
      </dgm:t>
    </dgm:pt>
    <dgm:pt modelId="{8C151504-B4D2-475D-B495-8681610091F5}">
      <dgm:prSet phldrT="[Text]" custT="1"/>
      <dgm:spPr>
        <a:solidFill>
          <a:schemeClr val="bg1"/>
        </a:solidFill>
        <a:ln>
          <a:solidFill>
            <a:schemeClr val="tx1"/>
          </a:solidFill>
        </a:ln>
      </dgm:spPr>
      <dgm:t>
        <a:bodyPr/>
        <a:lstStyle/>
        <a:p>
          <a:r>
            <a:rPr lang="en-AU" sz="1000">
              <a:solidFill>
                <a:sysClr val="windowText" lastClr="000000"/>
              </a:solidFill>
              <a:latin typeface="Times New Roman" panose="02020603050405020304" pitchFamily="18" charset="0"/>
              <a:cs typeface="Times New Roman" panose="02020603050405020304" pitchFamily="18" charset="0"/>
            </a:rPr>
            <a:t>Impact on daily diet:</a:t>
          </a:r>
        </a:p>
        <a:p>
          <a:r>
            <a:rPr lang="en-AU" sz="1000">
              <a:solidFill>
                <a:sysClr val="windowText" lastClr="000000"/>
              </a:solidFill>
              <a:latin typeface="Times New Roman" panose="02020603050405020304" pitchFamily="18" charset="0"/>
              <a:cs typeface="Times New Roman" panose="02020603050405020304" pitchFamily="18" charset="0"/>
            </a:rPr>
            <a:t> reduced daily energy intake</a:t>
          </a:r>
        </a:p>
      </dgm:t>
    </dgm:pt>
    <dgm:pt modelId="{586B969A-A00B-4FA9-B531-DED2F8B0C385}" type="parTrans" cxnId="{BD6F7818-6F4D-4A40-8461-BBB70C1FDBA0}">
      <dgm:prSet/>
      <dgm:spPr/>
      <dgm:t>
        <a:bodyPr/>
        <a:lstStyle/>
        <a:p>
          <a:endParaRPr lang="en-AU"/>
        </a:p>
      </dgm:t>
    </dgm:pt>
    <dgm:pt modelId="{0E3C3503-D8F9-4A59-B801-B9F6EA0EED63}" type="sibTrans" cxnId="{BD6F7818-6F4D-4A40-8461-BBB70C1FDBA0}">
      <dgm:prSet/>
      <dgm:spPr>
        <a:solidFill>
          <a:schemeClr val="accent3"/>
        </a:solidFill>
      </dgm:spPr>
      <dgm:t>
        <a:bodyPr/>
        <a:lstStyle/>
        <a:p>
          <a:endParaRPr lang="en-AU"/>
        </a:p>
      </dgm:t>
    </dgm:pt>
    <dgm:pt modelId="{E2AE26F5-403E-49BF-919B-2B2E6EF0F1F3}">
      <dgm:prSet phldrT="[Text]" custT="1"/>
      <dgm:spPr>
        <a:solidFill>
          <a:schemeClr val="bg1"/>
        </a:solidFill>
        <a:ln>
          <a:solidFill>
            <a:schemeClr val="tx1"/>
          </a:solidFill>
        </a:ln>
      </dgm:spPr>
      <dgm:t>
        <a:bodyPr/>
        <a:lstStyle/>
        <a:p>
          <a:r>
            <a:rPr lang="en-AU" sz="1000">
              <a:solidFill>
                <a:sysClr val="windowText" lastClr="000000"/>
              </a:solidFill>
              <a:latin typeface="Times New Roman" panose="02020603050405020304" pitchFamily="18" charset="0"/>
              <a:cs typeface="Times New Roman" panose="02020603050405020304" pitchFamily="18" charset="0"/>
            </a:rPr>
            <a:t>Impact on weight:</a:t>
          </a:r>
        </a:p>
        <a:p>
          <a:r>
            <a:rPr lang="en-AU" sz="1000">
              <a:solidFill>
                <a:sysClr val="windowText" lastClr="000000"/>
              </a:solidFill>
              <a:latin typeface="Times New Roman" panose="02020603050405020304" pitchFamily="18" charset="0"/>
              <a:cs typeface="Times New Roman" panose="02020603050405020304" pitchFamily="18" charset="0"/>
            </a:rPr>
            <a:t> weight reduction</a:t>
          </a:r>
        </a:p>
      </dgm:t>
    </dgm:pt>
    <dgm:pt modelId="{EE8B2204-BB7E-4F71-8413-15C3BF64CAE6}" type="parTrans" cxnId="{38664B40-C3FD-4739-B6FE-707817565241}">
      <dgm:prSet/>
      <dgm:spPr/>
      <dgm:t>
        <a:bodyPr/>
        <a:lstStyle/>
        <a:p>
          <a:endParaRPr lang="en-AU"/>
        </a:p>
      </dgm:t>
    </dgm:pt>
    <dgm:pt modelId="{296D9A3E-767B-482D-A11F-12F651AA9911}" type="sibTrans" cxnId="{38664B40-C3FD-4739-B6FE-707817565241}">
      <dgm:prSet/>
      <dgm:spPr>
        <a:solidFill>
          <a:schemeClr val="accent3"/>
        </a:solidFill>
      </dgm:spPr>
      <dgm:t>
        <a:bodyPr/>
        <a:lstStyle/>
        <a:p>
          <a:endParaRPr lang="en-AU"/>
        </a:p>
      </dgm:t>
    </dgm:pt>
    <dgm:pt modelId="{DE3E5B07-302A-4FA7-A7CC-A90E065A2949}">
      <dgm:prSet phldrT="[Text]" custT="1"/>
      <dgm:spPr>
        <a:solidFill>
          <a:schemeClr val="bg1"/>
        </a:solidFill>
        <a:ln>
          <a:solidFill>
            <a:schemeClr val="tx1"/>
          </a:solidFill>
        </a:ln>
      </dgm:spPr>
      <dgm:t>
        <a:bodyPr/>
        <a:lstStyle/>
        <a:p>
          <a:r>
            <a:rPr lang="en-AU" sz="1000">
              <a:solidFill>
                <a:sysClr val="windowText" lastClr="000000"/>
              </a:solidFill>
              <a:latin typeface="Times New Roman" panose="02020603050405020304" pitchFamily="18" charset="0"/>
              <a:cs typeface="Times New Roman" panose="02020603050405020304" pitchFamily="18" charset="0"/>
            </a:rPr>
            <a:t>Impact on health risk:</a:t>
          </a:r>
        </a:p>
        <a:p>
          <a:r>
            <a:rPr lang="en-AU" sz="1000">
              <a:solidFill>
                <a:sysClr val="windowText" lastClr="000000"/>
              </a:solidFill>
              <a:latin typeface="Times New Roman" panose="02020603050405020304" pitchFamily="18" charset="0"/>
              <a:cs typeface="Times New Roman" panose="02020603050405020304" pitchFamily="18" charset="0"/>
            </a:rPr>
            <a:t> reduced burden of disease due to high body mass</a:t>
          </a:r>
        </a:p>
      </dgm:t>
    </dgm:pt>
    <dgm:pt modelId="{BCCEB367-6032-49FA-BFFB-BC5243F6DA54}" type="parTrans" cxnId="{0B3475C9-7286-457F-A1BD-0B72388E32C6}">
      <dgm:prSet/>
      <dgm:spPr/>
      <dgm:t>
        <a:bodyPr/>
        <a:lstStyle/>
        <a:p>
          <a:endParaRPr lang="en-AU"/>
        </a:p>
      </dgm:t>
    </dgm:pt>
    <dgm:pt modelId="{D4881891-78E4-4923-89A3-B054F6A31039}" type="sibTrans" cxnId="{0B3475C9-7286-457F-A1BD-0B72388E32C6}">
      <dgm:prSet/>
      <dgm:spPr/>
      <dgm:t>
        <a:bodyPr/>
        <a:lstStyle/>
        <a:p>
          <a:endParaRPr lang="en-AU"/>
        </a:p>
      </dgm:t>
    </dgm:pt>
    <dgm:pt modelId="{E210A9CB-80EA-45F0-9C36-AC48B11F6840}" type="pres">
      <dgm:prSet presAssocID="{EFB31386-DDBE-4311-807B-0E7D62DDAE61}" presName="Name0" presStyleCnt="0">
        <dgm:presLayoutVars>
          <dgm:dir/>
          <dgm:resizeHandles val="exact"/>
        </dgm:presLayoutVars>
      </dgm:prSet>
      <dgm:spPr/>
    </dgm:pt>
    <dgm:pt modelId="{D26DFB7A-A6D2-4A4A-8DE7-8FE082CFA213}" type="pres">
      <dgm:prSet presAssocID="{A968B9CE-5689-4C4D-AB66-9FBBAB81215F}" presName="node" presStyleLbl="node1" presStyleIdx="0" presStyleCnt="5">
        <dgm:presLayoutVars>
          <dgm:bulletEnabled val="1"/>
        </dgm:presLayoutVars>
      </dgm:prSet>
      <dgm:spPr/>
    </dgm:pt>
    <dgm:pt modelId="{2D45A9E4-0CDE-44B1-80EB-36F16146B273}" type="pres">
      <dgm:prSet presAssocID="{95260566-F655-4897-A2D0-70B94CDF93C4}" presName="sibTrans" presStyleLbl="sibTrans2D1" presStyleIdx="0" presStyleCnt="4"/>
      <dgm:spPr/>
    </dgm:pt>
    <dgm:pt modelId="{48628858-D839-4E74-8DC1-9D7E3DDA1C42}" type="pres">
      <dgm:prSet presAssocID="{95260566-F655-4897-A2D0-70B94CDF93C4}" presName="connectorText" presStyleLbl="sibTrans2D1" presStyleIdx="0" presStyleCnt="4"/>
      <dgm:spPr/>
    </dgm:pt>
    <dgm:pt modelId="{A5BBBFD2-5198-4A16-B9C8-470B49F561CD}" type="pres">
      <dgm:prSet presAssocID="{31AACAD5-466C-47DC-9C62-542D6013842D}" presName="node" presStyleLbl="node1" presStyleIdx="1" presStyleCnt="5">
        <dgm:presLayoutVars>
          <dgm:bulletEnabled val="1"/>
        </dgm:presLayoutVars>
      </dgm:prSet>
      <dgm:spPr/>
    </dgm:pt>
    <dgm:pt modelId="{9853063F-3387-4D39-A136-701035292208}" type="pres">
      <dgm:prSet presAssocID="{10CBE5E9-FD49-45EF-B08E-73BAA3A2CA87}" presName="sibTrans" presStyleLbl="sibTrans2D1" presStyleIdx="1" presStyleCnt="4"/>
      <dgm:spPr/>
    </dgm:pt>
    <dgm:pt modelId="{0C573107-BD1C-47B2-B136-368808F7D732}" type="pres">
      <dgm:prSet presAssocID="{10CBE5E9-FD49-45EF-B08E-73BAA3A2CA87}" presName="connectorText" presStyleLbl="sibTrans2D1" presStyleIdx="1" presStyleCnt="4"/>
      <dgm:spPr/>
    </dgm:pt>
    <dgm:pt modelId="{CE56E3E8-7036-47C5-9DA0-08866D113493}" type="pres">
      <dgm:prSet presAssocID="{8C151504-B4D2-475D-B495-8681610091F5}" presName="node" presStyleLbl="node1" presStyleIdx="2" presStyleCnt="5">
        <dgm:presLayoutVars>
          <dgm:bulletEnabled val="1"/>
        </dgm:presLayoutVars>
      </dgm:prSet>
      <dgm:spPr/>
    </dgm:pt>
    <dgm:pt modelId="{06F1E075-EFA6-41C5-B432-28AC17DFE9B2}" type="pres">
      <dgm:prSet presAssocID="{0E3C3503-D8F9-4A59-B801-B9F6EA0EED63}" presName="sibTrans" presStyleLbl="sibTrans2D1" presStyleIdx="2" presStyleCnt="4"/>
      <dgm:spPr/>
    </dgm:pt>
    <dgm:pt modelId="{D7768B96-F6BA-4DDA-9D83-948BE94C831F}" type="pres">
      <dgm:prSet presAssocID="{0E3C3503-D8F9-4A59-B801-B9F6EA0EED63}" presName="connectorText" presStyleLbl="sibTrans2D1" presStyleIdx="2" presStyleCnt="4"/>
      <dgm:spPr/>
    </dgm:pt>
    <dgm:pt modelId="{7B5015D3-AE61-44FE-973B-786ECF35E60A}" type="pres">
      <dgm:prSet presAssocID="{E2AE26F5-403E-49BF-919B-2B2E6EF0F1F3}" presName="node" presStyleLbl="node1" presStyleIdx="3" presStyleCnt="5">
        <dgm:presLayoutVars>
          <dgm:bulletEnabled val="1"/>
        </dgm:presLayoutVars>
      </dgm:prSet>
      <dgm:spPr/>
    </dgm:pt>
    <dgm:pt modelId="{DFEA5F90-4253-4257-9FBA-1A8465430195}" type="pres">
      <dgm:prSet presAssocID="{296D9A3E-767B-482D-A11F-12F651AA9911}" presName="sibTrans" presStyleLbl="sibTrans2D1" presStyleIdx="3" presStyleCnt="4"/>
      <dgm:spPr/>
    </dgm:pt>
    <dgm:pt modelId="{12A0E1B4-2EEE-42EA-8C32-A2D06F5C9A3F}" type="pres">
      <dgm:prSet presAssocID="{296D9A3E-767B-482D-A11F-12F651AA9911}" presName="connectorText" presStyleLbl="sibTrans2D1" presStyleIdx="3" presStyleCnt="4"/>
      <dgm:spPr/>
    </dgm:pt>
    <dgm:pt modelId="{7673702B-C6B8-4BB1-9603-A9609831BC97}" type="pres">
      <dgm:prSet presAssocID="{DE3E5B07-302A-4FA7-A7CC-A90E065A2949}" presName="node" presStyleLbl="node1" presStyleIdx="4" presStyleCnt="5">
        <dgm:presLayoutVars>
          <dgm:bulletEnabled val="1"/>
        </dgm:presLayoutVars>
      </dgm:prSet>
      <dgm:spPr/>
    </dgm:pt>
  </dgm:ptLst>
  <dgm:cxnLst>
    <dgm:cxn modelId="{62BA8C13-FEAF-4C86-82DA-7D28533D04FD}" type="presOf" srcId="{296D9A3E-767B-482D-A11F-12F651AA9911}" destId="{12A0E1B4-2EEE-42EA-8C32-A2D06F5C9A3F}" srcOrd="1" destOrd="0" presId="urn:microsoft.com/office/officeart/2005/8/layout/process1"/>
    <dgm:cxn modelId="{BD6F7818-6F4D-4A40-8461-BBB70C1FDBA0}" srcId="{EFB31386-DDBE-4311-807B-0E7D62DDAE61}" destId="{8C151504-B4D2-475D-B495-8681610091F5}" srcOrd="2" destOrd="0" parTransId="{586B969A-A00B-4FA9-B531-DED2F8B0C385}" sibTransId="{0E3C3503-D8F9-4A59-B801-B9F6EA0EED63}"/>
    <dgm:cxn modelId="{CFAE6F19-2E7F-4B5C-8F48-E0233DC91CE5}" srcId="{EFB31386-DDBE-4311-807B-0E7D62DDAE61}" destId="{31AACAD5-466C-47DC-9C62-542D6013842D}" srcOrd="1" destOrd="0" parTransId="{4A616DB8-7639-49F4-A7A5-2163377D4614}" sibTransId="{10CBE5E9-FD49-45EF-B08E-73BAA3A2CA87}"/>
    <dgm:cxn modelId="{C179C91D-1738-4D1A-84E0-00F8FA1875B7}" type="presOf" srcId="{0E3C3503-D8F9-4A59-B801-B9F6EA0EED63}" destId="{D7768B96-F6BA-4DDA-9D83-948BE94C831F}" srcOrd="1" destOrd="0" presId="urn:microsoft.com/office/officeart/2005/8/layout/process1"/>
    <dgm:cxn modelId="{38664B40-C3FD-4739-B6FE-707817565241}" srcId="{EFB31386-DDBE-4311-807B-0E7D62DDAE61}" destId="{E2AE26F5-403E-49BF-919B-2B2E6EF0F1F3}" srcOrd="3" destOrd="0" parTransId="{EE8B2204-BB7E-4F71-8413-15C3BF64CAE6}" sibTransId="{296D9A3E-767B-482D-A11F-12F651AA9911}"/>
    <dgm:cxn modelId="{620B295E-CA14-4F04-814A-00189F1D6EF8}" type="presOf" srcId="{0E3C3503-D8F9-4A59-B801-B9F6EA0EED63}" destId="{06F1E075-EFA6-41C5-B432-28AC17DFE9B2}" srcOrd="0" destOrd="0" presId="urn:microsoft.com/office/officeart/2005/8/layout/process1"/>
    <dgm:cxn modelId="{4EF6B446-D7AE-486E-991A-B3676B5B9FA2}" type="presOf" srcId="{10CBE5E9-FD49-45EF-B08E-73BAA3A2CA87}" destId="{9853063F-3387-4D39-A136-701035292208}" srcOrd="0" destOrd="0" presId="urn:microsoft.com/office/officeart/2005/8/layout/process1"/>
    <dgm:cxn modelId="{EC151550-6DFD-483B-9BF2-3E22A8986BC4}" type="presOf" srcId="{296D9A3E-767B-482D-A11F-12F651AA9911}" destId="{DFEA5F90-4253-4257-9FBA-1A8465430195}" srcOrd="0" destOrd="0" presId="urn:microsoft.com/office/officeart/2005/8/layout/process1"/>
    <dgm:cxn modelId="{B22EE457-4C52-41BA-A33C-4EAFC4A3E025}" srcId="{EFB31386-DDBE-4311-807B-0E7D62DDAE61}" destId="{A968B9CE-5689-4C4D-AB66-9FBBAB81215F}" srcOrd="0" destOrd="0" parTransId="{E88DE76B-2570-4B47-B87A-3D6638B06C26}" sibTransId="{95260566-F655-4897-A2D0-70B94CDF93C4}"/>
    <dgm:cxn modelId="{EC6C9179-DC4D-49BA-A9E5-F131F66CE41D}" type="presOf" srcId="{10CBE5E9-FD49-45EF-B08E-73BAA3A2CA87}" destId="{0C573107-BD1C-47B2-B136-368808F7D732}" srcOrd="1" destOrd="0" presId="urn:microsoft.com/office/officeart/2005/8/layout/process1"/>
    <dgm:cxn modelId="{668A5E7A-09DF-4802-940E-EB03CEC88CF8}" type="presOf" srcId="{95260566-F655-4897-A2D0-70B94CDF93C4}" destId="{48628858-D839-4E74-8DC1-9D7E3DDA1C42}" srcOrd="1" destOrd="0" presId="urn:microsoft.com/office/officeart/2005/8/layout/process1"/>
    <dgm:cxn modelId="{548B7E83-15AE-488F-B60C-4C1AF4252B79}" type="presOf" srcId="{A968B9CE-5689-4C4D-AB66-9FBBAB81215F}" destId="{D26DFB7A-A6D2-4A4A-8DE7-8FE082CFA213}" srcOrd="0" destOrd="0" presId="urn:microsoft.com/office/officeart/2005/8/layout/process1"/>
    <dgm:cxn modelId="{BE850693-7014-4DE8-9207-44CCBCF6E9CF}" type="presOf" srcId="{E2AE26F5-403E-49BF-919B-2B2E6EF0F1F3}" destId="{7B5015D3-AE61-44FE-973B-786ECF35E60A}" srcOrd="0" destOrd="0" presId="urn:microsoft.com/office/officeart/2005/8/layout/process1"/>
    <dgm:cxn modelId="{BA89C3A2-44C7-494D-9E3F-9D8B4C7EF87F}" type="presOf" srcId="{31AACAD5-466C-47DC-9C62-542D6013842D}" destId="{A5BBBFD2-5198-4A16-B9C8-470B49F561CD}" srcOrd="0" destOrd="0" presId="urn:microsoft.com/office/officeart/2005/8/layout/process1"/>
    <dgm:cxn modelId="{3126C4BC-23C5-43D1-99B4-AAEC5500BD79}" type="presOf" srcId="{EFB31386-DDBE-4311-807B-0E7D62DDAE61}" destId="{E210A9CB-80EA-45F0-9C36-AC48B11F6840}" srcOrd="0" destOrd="0" presId="urn:microsoft.com/office/officeart/2005/8/layout/process1"/>
    <dgm:cxn modelId="{85447EBE-9810-4B1B-A43A-CCB5D7A94AF9}" type="presOf" srcId="{DE3E5B07-302A-4FA7-A7CC-A90E065A2949}" destId="{7673702B-C6B8-4BB1-9603-A9609831BC97}" srcOrd="0" destOrd="0" presId="urn:microsoft.com/office/officeart/2005/8/layout/process1"/>
    <dgm:cxn modelId="{4756DDBF-9783-4364-BF45-51A4B77CA933}" type="presOf" srcId="{95260566-F655-4897-A2D0-70B94CDF93C4}" destId="{2D45A9E4-0CDE-44B1-80EB-36F16146B273}" srcOrd="0" destOrd="0" presId="urn:microsoft.com/office/officeart/2005/8/layout/process1"/>
    <dgm:cxn modelId="{0B3475C9-7286-457F-A1BD-0B72388E32C6}" srcId="{EFB31386-DDBE-4311-807B-0E7D62DDAE61}" destId="{DE3E5B07-302A-4FA7-A7CC-A90E065A2949}" srcOrd="4" destOrd="0" parTransId="{BCCEB367-6032-49FA-BFFB-BC5243F6DA54}" sibTransId="{D4881891-78E4-4923-89A3-B054F6A31039}"/>
    <dgm:cxn modelId="{A0EE0DFC-6B93-4B6E-A44F-D1B6519D5716}" type="presOf" srcId="{8C151504-B4D2-475D-B495-8681610091F5}" destId="{CE56E3E8-7036-47C5-9DA0-08866D113493}" srcOrd="0" destOrd="0" presId="urn:microsoft.com/office/officeart/2005/8/layout/process1"/>
    <dgm:cxn modelId="{98EF5387-5B09-4465-840A-DC4763454CFF}" type="presParOf" srcId="{E210A9CB-80EA-45F0-9C36-AC48B11F6840}" destId="{D26DFB7A-A6D2-4A4A-8DE7-8FE082CFA213}" srcOrd="0" destOrd="0" presId="urn:microsoft.com/office/officeart/2005/8/layout/process1"/>
    <dgm:cxn modelId="{924A82EA-943B-4142-A2F6-F110B25DAF02}" type="presParOf" srcId="{E210A9CB-80EA-45F0-9C36-AC48B11F6840}" destId="{2D45A9E4-0CDE-44B1-80EB-36F16146B273}" srcOrd="1" destOrd="0" presId="urn:microsoft.com/office/officeart/2005/8/layout/process1"/>
    <dgm:cxn modelId="{A9D2A866-825D-4998-9226-7D5D5286268B}" type="presParOf" srcId="{2D45A9E4-0CDE-44B1-80EB-36F16146B273}" destId="{48628858-D839-4E74-8DC1-9D7E3DDA1C42}" srcOrd="0" destOrd="0" presId="urn:microsoft.com/office/officeart/2005/8/layout/process1"/>
    <dgm:cxn modelId="{BCEA9A56-5162-4A29-9483-F4D56359BD4C}" type="presParOf" srcId="{E210A9CB-80EA-45F0-9C36-AC48B11F6840}" destId="{A5BBBFD2-5198-4A16-B9C8-470B49F561CD}" srcOrd="2" destOrd="0" presId="urn:microsoft.com/office/officeart/2005/8/layout/process1"/>
    <dgm:cxn modelId="{CE054C7C-6D39-4F36-AF81-AC502E565984}" type="presParOf" srcId="{E210A9CB-80EA-45F0-9C36-AC48B11F6840}" destId="{9853063F-3387-4D39-A136-701035292208}" srcOrd="3" destOrd="0" presId="urn:microsoft.com/office/officeart/2005/8/layout/process1"/>
    <dgm:cxn modelId="{85899F02-DC1B-409D-9B5C-CBD4005C2B61}" type="presParOf" srcId="{9853063F-3387-4D39-A136-701035292208}" destId="{0C573107-BD1C-47B2-B136-368808F7D732}" srcOrd="0" destOrd="0" presId="urn:microsoft.com/office/officeart/2005/8/layout/process1"/>
    <dgm:cxn modelId="{BF3CF54C-9E76-412D-8E28-A8586F9A7A63}" type="presParOf" srcId="{E210A9CB-80EA-45F0-9C36-AC48B11F6840}" destId="{CE56E3E8-7036-47C5-9DA0-08866D113493}" srcOrd="4" destOrd="0" presId="urn:microsoft.com/office/officeart/2005/8/layout/process1"/>
    <dgm:cxn modelId="{B92E92DB-80D0-4781-8B89-8DFB272597DA}" type="presParOf" srcId="{E210A9CB-80EA-45F0-9C36-AC48B11F6840}" destId="{06F1E075-EFA6-41C5-B432-28AC17DFE9B2}" srcOrd="5" destOrd="0" presId="urn:microsoft.com/office/officeart/2005/8/layout/process1"/>
    <dgm:cxn modelId="{DA47FDB2-F06B-4529-9EFE-D4C5E5BE6BDC}" type="presParOf" srcId="{06F1E075-EFA6-41C5-B432-28AC17DFE9B2}" destId="{D7768B96-F6BA-4DDA-9D83-948BE94C831F}" srcOrd="0" destOrd="0" presId="urn:microsoft.com/office/officeart/2005/8/layout/process1"/>
    <dgm:cxn modelId="{1E5CD8B4-37A5-47D8-90EA-A650C7A29114}" type="presParOf" srcId="{E210A9CB-80EA-45F0-9C36-AC48B11F6840}" destId="{7B5015D3-AE61-44FE-973B-786ECF35E60A}" srcOrd="6" destOrd="0" presId="urn:microsoft.com/office/officeart/2005/8/layout/process1"/>
    <dgm:cxn modelId="{E6981345-E6F5-4FF7-99D4-CDBC08D93F8F}" type="presParOf" srcId="{E210A9CB-80EA-45F0-9C36-AC48B11F6840}" destId="{DFEA5F90-4253-4257-9FBA-1A8465430195}" srcOrd="7" destOrd="0" presId="urn:microsoft.com/office/officeart/2005/8/layout/process1"/>
    <dgm:cxn modelId="{851A2B41-1179-427E-9199-A1AFB52EC486}" type="presParOf" srcId="{DFEA5F90-4253-4257-9FBA-1A8465430195}" destId="{12A0E1B4-2EEE-42EA-8C32-A2D06F5C9A3F}" srcOrd="0" destOrd="0" presId="urn:microsoft.com/office/officeart/2005/8/layout/process1"/>
    <dgm:cxn modelId="{A24AC52B-F13A-4190-9C0B-AD07D3482E6A}" type="presParOf" srcId="{E210A9CB-80EA-45F0-9C36-AC48B11F6840}" destId="{7673702B-C6B8-4BB1-9603-A9609831BC97}" srcOrd="8" destOrd="0" presId="urn:microsoft.com/office/officeart/2005/8/layout/process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FB31386-DDBE-4311-807B-0E7D62DDAE61}" type="doc">
      <dgm:prSet loTypeId="urn:microsoft.com/office/officeart/2005/8/layout/process1" loCatId="process" qsTypeId="urn:microsoft.com/office/officeart/2005/8/quickstyle/simple1" qsCatId="simple" csTypeId="urn:microsoft.com/office/officeart/2005/8/colors/accent1_2" csCatId="accent1" phldr="1"/>
      <dgm:spPr/>
      <dgm:t>
        <a:bodyPr/>
        <a:lstStyle/>
        <a:p>
          <a:endParaRPr lang="en-AU"/>
        </a:p>
      </dgm:t>
    </dgm:pt>
    <dgm:pt modelId="{A968B9CE-5689-4C4D-AB66-9FBBAB81215F}">
      <dgm:prSet phldrT="[Text]" custT="1"/>
      <dgm:spPr>
        <a:xfrm>
          <a:off x="2795" y="176455"/>
          <a:ext cx="866505" cy="1104413"/>
        </a:xfrm>
        <a:prstGeom prst="roundRect">
          <a:avLst>
            <a:gd name="adj" fmla="val 10000"/>
          </a:avLst>
        </a:prstGeom>
        <a:noFill/>
        <a:ln w="12700" cap="flat" cmpd="sng" algn="ctr">
          <a:solidFill>
            <a:sysClr val="windowText" lastClr="000000"/>
          </a:solidFill>
          <a:prstDash val="solid"/>
          <a:miter lim="800000"/>
        </a:ln>
        <a:effectLst/>
      </dgm:spPr>
      <dgm:t>
        <a:bodyPr/>
        <a:lstStyle/>
        <a:p>
          <a:pPr>
            <a:buNone/>
          </a:pPr>
          <a:r>
            <a:rPr lang="en-AU" sz="1000">
              <a:solidFill>
                <a:sysClr val="windowText" lastClr="000000"/>
              </a:solidFill>
              <a:latin typeface="Times New Roman" panose="02020603050405020304" pitchFamily="18" charset="0"/>
              <a:ea typeface="+mn-ea"/>
              <a:cs typeface="Times New Roman" panose="02020603050405020304" pitchFamily="18" charset="0"/>
            </a:rPr>
            <a:t>Increased exposure to energy information on menus</a:t>
          </a:r>
        </a:p>
      </dgm:t>
    </dgm:pt>
    <dgm:pt modelId="{E88DE76B-2570-4B47-B87A-3D6638B06C26}" type="parTrans" cxnId="{B22EE457-4C52-41BA-A33C-4EAFC4A3E025}">
      <dgm:prSet/>
      <dgm:spPr/>
      <dgm:t>
        <a:bodyPr/>
        <a:lstStyle/>
        <a:p>
          <a:endParaRPr lang="en-AU"/>
        </a:p>
      </dgm:t>
    </dgm:pt>
    <dgm:pt modelId="{95260566-F655-4897-A2D0-70B94CDF93C4}" type="sibTrans" cxnId="{B22EE457-4C52-41BA-A33C-4EAFC4A3E025}">
      <dgm:prSet/>
      <dgm:spPr>
        <a:xfrm>
          <a:off x="955950" y="621215"/>
          <a:ext cx="183699" cy="214893"/>
        </a:xfrm>
        <a:prstGeom prst="rightArrow">
          <a:avLst>
            <a:gd name="adj1" fmla="val 60000"/>
            <a:gd name="adj2" fmla="val 50000"/>
          </a:avLst>
        </a:prstGeom>
        <a:solidFill>
          <a:srgbClr val="A5A5A5"/>
        </a:solidFill>
        <a:ln>
          <a:noFill/>
        </a:ln>
        <a:effectLst/>
      </dgm:spPr>
      <dgm:t>
        <a:bodyPr/>
        <a:lstStyle/>
        <a:p>
          <a:pPr>
            <a:buNone/>
          </a:pPr>
          <a:endParaRPr lang="en-AU">
            <a:solidFill>
              <a:sysClr val="window" lastClr="FFFFFF"/>
            </a:solidFill>
            <a:latin typeface="Calibri" panose="020F0502020204030204"/>
            <a:ea typeface="+mn-ea"/>
            <a:cs typeface="+mn-cs"/>
          </a:endParaRPr>
        </a:p>
      </dgm:t>
    </dgm:pt>
    <dgm:pt modelId="{31AACAD5-466C-47DC-9C62-542D6013842D}">
      <dgm:prSet phldrT="[Text]" custT="1"/>
      <dgm:spPr>
        <a:xfrm>
          <a:off x="1215902" y="176455"/>
          <a:ext cx="866505" cy="1104413"/>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gm:spPr>
      <dgm:t>
        <a:bodyPr/>
        <a:lstStyle/>
        <a:p>
          <a:pPr>
            <a:buNone/>
          </a:pPr>
          <a:r>
            <a:rPr lang="en-AU" sz="1000">
              <a:solidFill>
                <a:sysClr val="windowText" lastClr="000000"/>
              </a:solidFill>
              <a:latin typeface="Times New Roman" panose="02020603050405020304" pitchFamily="18" charset="0"/>
              <a:ea typeface="+mn-ea"/>
              <a:cs typeface="Times New Roman" panose="02020603050405020304" pitchFamily="18" charset="0"/>
            </a:rPr>
            <a:t>Impact on meal selection:</a:t>
          </a:r>
        </a:p>
        <a:p>
          <a:pPr>
            <a:buNone/>
          </a:pPr>
          <a:r>
            <a:rPr lang="en-AU" sz="1000">
              <a:solidFill>
                <a:sysClr val="windowText" lastClr="000000"/>
              </a:solidFill>
              <a:latin typeface="Times New Roman" panose="02020603050405020304" pitchFamily="18" charset="0"/>
              <a:ea typeface="+mn-ea"/>
              <a:cs typeface="Times New Roman" panose="02020603050405020304" pitchFamily="18" charset="0"/>
            </a:rPr>
            <a:t> fewer kilojoules purchased</a:t>
          </a:r>
        </a:p>
      </dgm:t>
    </dgm:pt>
    <dgm:pt modelId="{4A616DB8-7639-49F4-A7A5-2163377D4614}" type="parTrans" cxnId="{CFAE6F19-2E7F-4B5C-8F48-E0233DC91CE5}">
      <dgm:prSet/>
      <dgm:spPr/>
      <dgm:t>
        <a:bodyPr/>
        <a:lstStyle/>
        <a:p>
          <a:endParaRPr lang="en-AU"/>
        </a:p>
      </dgm:t>
    </dgm:pt>
    <dgm:pt modelId="{10CBE5E9-FD49-45EF-B08E-73BAA3A2CA87}" type="sibTrans" cxnId="{CFAE6F19-2E7F-4B5C-8F48-E0233DC91CE5}">
      <dgm:prSet/>
      <dgm:spPr>
        <a:xfrm>
          <a:off x="2169058" y="621215"/>
          <a:ext cx="183699" cy="214893"/>
        </a:xfrm>
        <a:prstGeom prst="rightArrow">
          <a:avLst>
            <a:gd name="adj1" fmla="val 60000"/>
            <a:gd name="adj2" fmla="val 50000"/>
          </a:avLst>
        </a:prstGeom>
        <a:solidFill>
          <a:srgbClr val="A5A5A5"/>
        </a:solidFill>
        <a:ln>
          <a:noFill/>
        </a:ln>
        <a:effectLst/>
      </dgm:spPr>
      <dgm:t>
        <a:bodyPr/>
        <a:lstStyle/>
        <a:p>
          <a:pPr>
            <a:buNone/>
          </a:pPr>
          <a:endParaRPr lang="en-AU">
            <a:solidFill>
              <a:sysClr val="window" lastClr="FFFFFF"/>
            </a:solidFill>
            <a:latin typeface="Calibri" panose="020F0502020204030204"/>
            <a:ea typeface="+mn-ea"/>
            <a:cs typeface="+mn-cs"/>
          </a:endParaRPr>
        </a:p>
      </dgm:t>
    </dgm:pt>
    <dgm:pt modelId="{8C151504-B4D2-475D-B495-8681610091F5}">
      <dgm:prSet phldrT="[Text]" custT="1"/>
      <dgm:spPr>
        <a:xfrm>
          <a:off x="2429009" y="176455"/>
          <a:ext cx="866505" cy="1104413"/>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gm:spPr>
      <dgm:t>
        <a:bodyPr/>
        <a:lstStyle/>
        <a:p>
          <a:pPr>
            <a:buNone/>
          </a:pPr>
          <a:r>
            <a:rPr lang="en-AU" sz="1000">
              <a:solidFill>
                <a:sysClr val="windowText" lastClr="000000"/>
              </a:solidFill>
              <a:latin typeface="Times New Roman" panose="02020603050405020304" pitchFamily="18" charset="0"/>
              <a:ea typeface="+mn-ea"/>
              <a:cs typeface="Times New Roman" panose="02020603050405020304" pitchFamily="18" charset="0"/>
            </a:rPr>
            <a:t>Impact on daily diet:</a:t>
          </a:r>
        </a:p>
        <a:p>
          <a:pPr>
            <a:buNone/>
          </a:pPr>
          <a:r>
            <a:rPr lang="en-AU" sz="1000">
              <a:solidFill>
                <a:sysClr val="windowText" lastClr="000000"/>
              </a:solidFill>
              <a:latin typeface="Times New Roman" panose="02020603050405020304" pitchFamily="18" charset="0"/>
              <a:ea typeface="+mn-ea"/>
              <a:cs typeface="Times New Roman" panose="02020603050405020304" pitchFamily="18" charset="0"/>
            </a:rPr>
            <a:t> reduced daily energy intake</a:t>
          </a:r>
        </a:p>
      </dgm:t>
    </dgm:pt>
    <dgm:pt modelId="{586B969A-A00B-4FA9-B531-DED2F8B0C385}" type="parTrans" cxnId="{BD6F7818-6F4D-4A40-8461-BBB70C1FDBA0}">
      <dgm:prSet/>
      <dgm:spPr/>
      <dgm:t>
        <a:bodyPr/>
        <a:lstStyle/>
        <a:p>
          <a:endParaRPr lang="en-AU"/>
        </a:p>
      </dgm:t>
    </dgm:pt>
    <dgm:pt modelId="{0E3C3503-D8F9-4A59-B801-B9F6EA0EED63}" type="sibTrans" cxnId="{BD6F7818-6F4D-4A40-8461-BBB70C1FDBA0}">
      <dgm:prSet/>
      <dgm:spPr>
        <a:xfrm>
          <a:off x="3382165" y="621215"/>
          <a:ext cx="183699" cy="214893"/>
        </a:xfrm>
        <a:prstGeom prst="rightArrow">
          <a:avLst>
            <a:gd name="adj1" fmla="val 60000"/>
            <a:gd name="adj2" fmla="val 50000"/>
          </a:avLst>
        </a:prstGeom>
        <a:solidFill>
          <a:srgbClr val="A5A5A5"/>
        </a:solidFill>
        <a:ln>
          <a:noFill/>
        </a:ln>
        <a:effectLst/>
      </dgm:spPr>
      <dgm:t>
        <a:bodyPr/>
        <a:lstStyle/>
        <a:p>
          <a:pPr>
            <a:buNone/>
          </a:pPr>
          <a:endParaRPr lang="en-AU">
            <a:solidFill>
              <a:sysClr val="window" lastClr="FFFFFF"/>
            </a:solidFill>
            <a:latin typeface="Calibri" panose="020F0502020204030204"/>
            <a:ea typeface="+mn-ea"/>
            <a:cs typeface="+mn-cs"/>
          </a:endParaRPr>
        </a:p>
      </dgm:t>
    </dgm:pt>
    <dgm:pt modelId="{E2AE26F5-403E-49BF-919B-2B2E6EF0F1F3}">
      <dgm:prSet phldrT="[Text]" custT="1"/>
      <dgm:spPr>
        <a:xfrm>
          <a:off x="3642117" y="176455"/>
          <a:ext cx="866505" cy="1104413"/>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gm:spPr>
      <dgm:t>
        <a:bodyPr/>
        <a:lstStyle/>
        <a:p>
          <a:pPr>
            <a:buNone/>
          </a:pPr>
          <a:r>
            <a:rPr lang="en-AU" sz="1000">
              <a:solidFill>
                <a:sysClr val="windowText" lastClr="000000"/>
              </a:solidFill>
              <a:latin typeface="Times New Roman" panose="02020603050405020304" pitchFamily="18" charset="0"/>
              <a:ea typeface="+mn-ea"/>
              <a:cs typeface="Times New Roman" panose="02020603050405020304" pitchFamily="18" charset="0"/>
            </a:rPr>
            <a:t>Impact on weight:</a:t>
          </a:r>
        </a:p>
        <a:p>
          <a:pPr>
            <a:buNone/>
          </a:pPr>
          <a:r>
            <a:rPr lang="en-AU" sz="1000">
              <a:solidFill>
                <a:sysClr val="windowText" lastClr="000000"/>
              </a:solidFill>
              <a:latin typeface="Times New Roman" panose="02020603050405020304" pitchFamily="18" charset="0"/>
              <a:ea typeface="+mn-ea"/>
              <a:cs typeface="Times New Roman" panose="02020603050405020304" pitchFamily="18" charset="0"/>
            </a:rPr>
            <a:t> weight reduction</a:t>
          </a:r>
        </a:p>
      </dgm:t>
    </dgm:pt>
    <dgm:pt modelId="{EE8B2204-BB7E-4F71-8413-15C3BF64CAE6}" type="parTrans" cxnId="{38664B40-C3FD-4739-B6FE-707817565241}">
      <dgm:prSet/>
      <dgm:spPr/>
      <dgm:t>
        <a:bodyPr/>
        <a:lstStyle/>
        <a:p>
          <a:endParaRPr lang="en-AU"/>
        </a:p>
      </dgm:t>
    </dgm:pt>
    <dgm:pt modelId="{296D9A3E-767B-482D-A11F-12F651AA9911}" type="sibTrans" cxnId="{38664B40-C3FD-4739-B6FE-707817565241}">
      <dgm:prSet/>
      <dgm:spPr>
        <a:xfrm>
          <a:off x="4595272" y="621215"/>
          <a:ext cx="183699" cy="214893"/>
        </a:xfrm>
        <a:prstGeom prst="rightArrow">
          <a:avLst>
            <a:gd name="adj1" fmla="val 60000"/>
            <a:gd name="adj2" fmla="val 50000"/>
          </a:avLst>
        </a:prstGeom>
        <a:solidFill>
          <a:srgbClr val="A5A5A5"/>
        </a:solidFill>
        <a:ln>
          <a:noFill/>
        </a:ln>
        <a:effectLst/>
      </dgm:spPr>
      <dgm:t>
        <a:bodyPr/>
        <a:lstStyle/>
        <a:p>
          <a:pPr>
            <a:buNone/>
          </a:pPr>
          <a:endParaRPr lang="en-AU">
            <a:solidFill>
              <a:sysClr val="window" lastClr="FFFFFF"/>
            </a:solidFill>
            <a:latin typeface="Calibri" panose="020F0502020204030204"/>
            <a:ea typeface="+mn-ea"/>
            <a:cs typeface="+mn-cs"/>
          </a:endParaRPr>
        </a:p>
      </dgm:t>
    </dgm:pt>
    <dgm:pt modelId="{DE3E5B07-302A-4FA7-A7CC-A90E065A2949}">
      <dgm:prSet phldrT="[Text]" custT="1"/>
      <dgm:spPr>
        <a:xfrm>
          <a:off x="4855224" y="176455"/>
          <a:ext cx="866505" cy="1104413"/>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gm:spPr>
      <dgm:t>
        <a:bodyPr/>
        <a:lstStyle/>
        <a:p>
          <a:pPr>
            <a:buNone/>
          </a:pPr>
          <a:r>
            <a:rPr lang="en-AU" sz="1000">
              <a:solidFill>
                <a:sysClr val="windowText" lastClr="000000"/>
              </a:solidFill>
              <a:latin typeface="Times New Roman" panose="02020603050405020304" pitchFamily="18" charset="0"/>
              <a:ea typeface="+mn-ea"/>
              <a:cs typeface="Times New Roman" panose="02020603050405020304" pitchFamily="18" charset="0"/>
            </a:rPr>
            <a:t>Impact on health risk:</a:t>
          </a:r>
        </a:p>
        <a:p>
          <a:pPr>
            <a:buNone/>
          </a:pPr>
          <a:r>
            <a:rPr lang="en-AU" sz="1000">
              <a:solidFill>
                <a:sysClr val="windowText" lastClr="000000"/>
              </a:solidFill>
              <a:latin typeface="Times New Roman" panose="02020603050405020304" pitchFamily="18" charset="0"/>
              <a:ea typeface="+mn-ea"/>
              <a:cs typeface="Times New Roman" panose="02020603050405020304" pitchFamily="18" charset="0"/>
            </a:rPr>
            <a:t> reduced burden of disease due to high body mass</a:t>
          </a:r>
        </a:p>
      </dgm:t>
    </dgm:pt>
    <dgm:pt modelId="{BCCEB367-6032-49FA-BFFB-BC5243F6DA54}" type="parTrans" cxnId="{0B3475C9-7286-457F-A1BD-0B72388E32C6}">
      <dgm:prSet/>
      <dgm:spPr/>
      <dgm:t>
        <a:bodyPr/>
        <a:lstStyle/>
        <a:p>
          <a:endParaRPr lang="en-AU"/>
        </a:p>
      </dgm:t>
    </dgm:pt>
    <dgm:pt modelId="{D4881891-78E4-4923-89A3-B054F6A31039}" type="sibTrans" cxnId="{0B3475C9-7286-457F-A1BD-0B72388E32C6}">
      <dgm:prSet/>
      <dgm:spPr>
        <a:solidFill>
          <a:schemeClr val="accent3"/>
        </a:solidFill>
      </dgm:spPr>
      <dgm:t>
        <a:bodyPr/>
        <a:lstStyle/>
        <a:p>
          <a:endParaRPr lang="en-AU"/>
        </a:p>
      </dgm:t>
    </dgm:pt>
    <dgm:pt modelId="{39576CA9-0668-4D26-AC4A-DE27DA79DC5A}">
      <dgm:prSet custT="1"/>
      <dgm:spPr>
        <a:solidFill>
          <a:schemeClr val="bg1"/>
        </a:solidFill>
        <a:ln>
          <a:solidFill>
            <a:schemeClr val="tx1"/>
          </a:solidFill>
        </a:ln>
      </dgm:spPr>
      <dgm:t>
        <a:bodyPr/>
        <a:lstStyle/>
        <a:p>
          <a:r>
            <a:rPr lang="en-AU" sz="1000">
              <a:solidFill>
                <a:sysClr val="windowText" lastClr="000000"/>
              </a:solidFill>
              <a:latin typeface="Times New Roman" panose="02020603050405020304" pitchFamily="18" charset="0"/>
              <a:cs typeface="Times New Roman" panose="02020603050405020304" pitchFamily="18" charset="0"/>
            </a:rPr>
            <a:t>Value that society places on improved health</a:t>
          </a:r>
        </a:p>
      </dgm:t>
    </dgm:pt>
    <dgm:pt modelId="{139F7287-8570-43E9-BA34-3282336892F4}" type="parTrans" cxnId="{E56601BB-FBCD-4B1D-A0F6-6CD762D55A5C}">
      <dgm:prSet/>
      <dgm:spPr/>
      <dgm:t>
        <a:bodyPr/>
        <a:lstStyle/>
        <a:p>
          <a:endParaRPr lang="en-AU"/>
        </a:p>
      </dgm:t>
    </dgm:pt>
    <dgm:pt modelId="{AB09EB66-58B2-43D1-BEFE-BF1996D19EE0}" type="sibTrans" cxnId="{E56601BB-FBCD-4B1D-A0F6-6CD762D55A5C}">
      <dgm:prSet/>
      <dgm:spPr/>
      <dgm:t>
        <a:bodyPr/>
        <a:lstStyle/>
        <a:p>
          <a:endParaRPr lang="en-AU"/>
        </a:p>
      </dgm:t>
    </dgm:pt>
    <dgm:pt modelId="{E210A9CB-80EA-45F0-9C36-AC48B11F6840}" type="pres">
      <dgm:prSet presAssocID="{EFB31386-DDBE-4311-807B-0E7D62DDAE61}" presName="Name0" presStyleCnt="0">
        <dgm:presLayoutVars>
          <dgm:dir/>
          <dgm:resizeHandles val="exact"/>
        </dgm:presLayoutVars>
      </dgm:prSet>
      <dgm:spPr/>
    </dgm:pt>
    <dgm:pt modelId="{D26DFB7A-A6D2-4A4A-8DE7-8FE082CFA213}" type="pres">
      <dgm:prSet presAssocID="{A968B9CE-5689-4C4D-AB66-9FBBAB81215F}" presName="node" presStyleLbl="node1" presStyleIdx="0" presStyleCnt="6">
        <dgm:presLayoutVars>
          <dgm:bulletEnabled val="1"/>
        </dgm:presLayoutVars>
      </dgm:prSet>
      <dgm:spPr/>
    </dgm:pt>
    <dgm:pt modelId="{2D45A9E4-0CDE-44B1-80EB-36F16146B273}" type="pres">
      <dgm:prSet presAssocID="{95260566-F655-4897-A2D0-70B94CDF93C4}" presName="sibTrans" presStyleLbl="sibTrans2D1" presStyleIdx="0" presStyleCnt="5"/>
      <dgm:spPr/>
    </dgm:pt>
    <dgm:pt modelId="{48628858-D839-4E74-8DC1-9D7E3DDA1C42}" type="pres">
      <dgm:prSet presAssocID="{95260566-F655-4897-A2D0-70B94CDF93C4}" presName="connectorText" presStyleLbl="sibTrans2D1" presStyleIdx="0" presStyleCnt="5"/>
      <dgm:spPr/>
    </dgm:pt>
    <dgm:pt modelId="{A5BBBFD2-5198-4A16-B9C8-470B49F561CD}" type="pres">
      <dgm:prSet presAssocID="{31AACAD5-466C-47DC-9C62-542D6013842D}" presName="node" presStyleLbl="node1" presStyleIdx="1" presStyleCnt="6">
        <dgm:presLayoutVars>
          <dgm:bulletEnabled val="1"/>
        </dgm:presLayoutVars>
      </dgm:prSet>
      <dgm:spPr/>
    </dgm:pt>
    <dgm:pt modelId="{9853063F-3387-4D39-A136-701035292208}" type="pres">
      <dgm:prSet presAssocID="{10CBE5E9-FD49-45EF-B08E-73BAA3A2CA87}" presName="sibTrans" presStyleLbl="sibTrans2D1" presStyleIdx="1" presStyleCnt="5"/>
      <dgm:spPr/>
    </dgm:pt>
    <dgm:pt modelId="{0C573107-BD1C-47B2-B136-368808F7D732}" type="pres">
      <dgm:prSet presAssocID="{10CBE5E9-FD49-45EF-B08E-73BAA3A2CA87}" presName="connectorText" presStyleLbl="sibTrans2D1" presStyleIdx="1" presStyleCnt="5"/>
      <dgm:spPr/>
    </dgm:pt>
    <dgm:pt modelId="{CE56E3E8-7036-47C5-9DA0-08866D113493}" type="pres">
      <dgm:prSet presAssocID="{8C151504-B4D2-475D-B495-8681610091F5}" presName="node" presStyleLbl="node1" presStyleIdx="2" presStyleCnt="6">
        <dgm:presLayoutVars>
          <dgm:bulletEnabled val="1"/>
        </dgm:presLayoutVars>
      </dgm:prSet>
      <dgm:spPr/>
    </dgm:pt>
    <dgm:pt modelId="{06F1E075-EFA6-41C5-B432-28AC17DFE9B2}" type="pres">
      <dgm:prSet presAssocID="{0E3C3503-D8F9-4A59-B801-B9F6EA0EED63}" presName="sibTrans" presStyleLbl="sibTrans2D1" presStyleIdx="2" presStyleCnt="5"/>
      <dgm:spPr/>
    </dgm:pt>
    <dgm:pt modelId="{D7768B96-F6BA-4DDA-9D83-948BE94C831F}" type="pres">
      <dgm:prSet presAssocID="{0E3C3503-D8F9-4A59-B801-B9F6EA0EED63}" presName="connectorText" presStyleLbl="sibTrans2D1" presStyleIdx="2" presStyleCnt="5"/>
      <dgm:spPr/>
    </dgm:pt>
    <dgm:pt modelId="{7B5015D3-AE61-44FE-973B-786ECF35E60A}" type="pres">
      <dgm:prSet presAssocID="{E2AE26F5-403E-49BF-919B-2B2E6EF0F1F3}" presName="node" presStyleLbl="node1" presStyleIdx="3" presStyleCnt="6">
        <dgm:presLayoutVars>
          <dgm:bulletEnabled val="1"/>
        </dgm:presLayoutVars>
      </dgm:prSet>
      <dgm:spPr/>
    </dgm:pt>
    <dgm:pt modelId="{DFEA5F90-4253-4257-9FBA-1A8465430195}" type="pres">
      <dgm:prSet presAssocID="{296D9A3E-767B-482D-A11F-12F651AA9911}" presName="sibTrans" presStyleLbl="sibTrans2D1" presStyleIdx="3" presStyleCnt="5"/>
      <dgm:spPr/>
    </dgm:pt>
    <dgm:pt modelId="{12A0E1B4-2EEE-42EA-8C32-A2D06F5C9A3F}" type="pres">
      <dgm:prSet presAssocID="{296D9A3E-767B-482D-A11F-12F651AA9911}" presName="connectorText" presStyleLbl="sibTrans2D1" presStyleIdx="3" presStyleCnt="5"/>
      <dgm:spPr/>
    </dgm:pt>
    <dgm:pt modelId="{7673702B-C6B8-4BB1-9603-A9609831BC97}" type="pres">
      <dgm:prSet presAssocID="{DE3E5B07-302A-4FA7-A7CC-A90E065A2949}" presName="node" presStyleLbl="node1" presStyleIdx="4" presStyleCnt="6">
        <dgm:presLayoutVars>
          <dgm:bulletEnabled val="1"/>
        </dgm:presLayoutVars>
      </dgm:prSet>
      <dgm:spPr/>
    </dgm:pt>
    <dgm:pt modelId="{E2E1B6E4-BD14-4F11-A3DC-85FB36962627}" type="pres">
      <dgm:prSet presAssocID="{D4881891-78E4-4923-89A3-B054F6A31039}" presName="sibTrans" presStyleLbl="sibTrans2D1" presStyleIdx="4" presStyleCnt="5"/>
      <dgm:spPr/>
    </dgm:pt>
    <dgm:pt modelId="{7DCF33EB-92DE-4175-B325-B64D33D278AE}" type="pres">
      <dgm:prSet presAssocID="{D4881891-78E4-4923-89A3-B054F6A31039}" presName="connectorText" presStyleLbl="sibTrans2D1" presStyleIdx="4" presStyleCnt="5"/>
      <dgm:spPr/>
    </dgm:pt>
    <dgm:pt modelId="{776BB485-36CA-4EFE-B58D-0DF120303AF2}" type="pres">
      <dgm:prSet presAssocID="{39576CA9-0668-4D26-AC4A-DE27DA79DC5A}" presName="node" presStyleLbl="node1" presStyleIdx="5" presStyleCnt="6">
        <dgm:presLayoutVars>
          <dgm:bulletEnabled val="1"/>
        </dgm:presLayoutVars>
      </dgm:prSet>
      <dgm:spPr/>
    </dgm:pt>
  </dgm:ptLst>
  <dgm:cxnLst>
    <dgm:cxn modelId="{62BA8C13-FEAF-4C86-82DA-7D28533D04FD}" type="presOf" srcId="{296D9A3E-767B-482D-A11F-12F651AA9911}" destId="{12A0E1B4-2EEE-42EA-8C32-A2D06F5C9A3F}" srcOrd="1" destOrd="0" presId="urn:microsoft.com/office/officeart/2005/8/layout/process1"/>
    <dgm:cxn modelId="{BD6F7818-6F4D-4A40-8461-BBB70C1FDBA0}" srcId="{EFB31386-DDBE-4311-807B-0E7D62DDAE61}" destId="{8C151504-B4D2-475D-B495-8681610091F5}" srcOrd="2" destOrd="0" parTransId="{586B969A-A00B-4FA9-B531-DED2F8B0C385}" sibTransId="{0E3C3503-D8F9-4A59-B801-B9F6EA0EED63}"/>
    <dgm:cxn modelId="{CFAE6F19-2E7F-4B5C-8F48-E0233DC91CE5}" srcId="{EFB31386-DDBE-4311-807B-0E7D62DDAE61}" destId="{31AACAD5-466C-47DC-9C62-542D6013842D}" srcOrd="1" destOrd="0" parTransId="{4A616DB8-7639-49F4-A7A5-2163377D4614}" sibTransId="{10CBE5E9-FD49-45EF-B08E-73BAA3A2CA87}"/>
    <dgm:cxn modelId="{C179C91D-1738-4D1A-84E0-00F8FA1875B7}" type="presOf" srcId="{0E3C3503-D8F9-4A59-B801-B9F6EA0EED63}" destId="{D7768B96-F6BA-4DDA-9D83-948BE94C831F}" srcOrd="1" destOrd="0" presId="urn:microsoft.com/office/officeart/2005/8/layout/process1"/>
    <dgm:cxn modelId="{F9E67523-E229-4874-9B7D-88C179B8DDF5}" type="presOf" srcId="{39576CA9-0668-4D26-AC4A-DE27DA79DC5A}" destId="{776BB485-36CA-4EFE-B58D-0DF120303AF2}" srcOrd="0" destOrd="0" presId="urn:microsoft.com/office/officeart/2005/8/layout/process1"/>
    <dgm:cxn modelId="{38664B40-C3FD-4739-B6FE-707817565241}" srcId="{EFB31386-DDBE-4311-807B-0E7D62DDAE61}" destId="{E2AE26F5-403E-49BF-919B-2B2E6EF0F1F3}" srcOrd="3" destOrd="0" parTransId="{EE8B2204-BB7E-4F71-8413-15C3BF64CAE6}" sibTransId="{296D9A3E-767B-482D-A11F-12F651AA9911}"/>
    <dgm:cxn modelId="{620B295E-CA14-4F04-814A-00189F1D6EF8}" type="presOf" srcId="{0E3C3503-D8F9-4A59-B801-B9F6EA0EED63}" destId="{06F1E075-EFA6-41C5-B432-28AC17DFE9B2}" srcOrd="0" destOrd="0" presId="urn:microsoft.com/office/officeart/2005/8/layout/process1"/>
    <dgm:cxn modelId="{4EF6B446-D7AE-486E-991A-B3676B5B9FA2}" type="presOf" srcId="{10CBE5E9-FD49-45EF-B08E-73BAA3A2CA87}" destId="{9853063F-3387-4D39-A136-701035292208}" srcOrd="0" destOrd="0" presId="urn:microsoft.com/office/officeart/2005/8/layout/process1"/>
    <dgm:cxn modelId="{860AD44A-62F1-46CE-BC4F-31C79DCD91A7}" type="presOf" srcId="{D4881891-78E4-4923-89A3-B054F6A31039}" destId="{7DCF33EB-92DE-4175-B325-B64D33D278AE}" srcOrd="1" destOrd="0" presId="urn:microsoft.com/office/officeart/2005/8/layout/process1"/>
    <dgm:cxn modelId="{142FCF4B-5F1A-4630-9692-71FB16E2B1C8}" type="presOf" srcId="{D4881891-78E4-4923-89A3-B054F6A31039}" destId="{E2E1B6E4-BD14-4F11-A3DC-85FB36962627}" srcOrd="0" destOrd="0" presId="urn:microsoft.com/office/officeart/2005/8/layout/process1"/>
    <dgm:cxn modelId="{EC151550-6DFD-483B-9BF2-3E22A8986BC4}" type="presOf" srcId="{296D9A3E-767B-482D-A11F-12F651AA9911}" destId="{DFEA5F90-4253-4257-9FBA-1A8465430195}" srcOrd="0" destOrd="0" presId="urn:microsoft.com/office/officeart/2005/8/layout/process1"/>
    <dgm:cxn modelId="{B22EE457-4C52-41BA-A33C-4EAFC4A3E025}" srcId="{EFB31386-DDBE-4311-807B-0E7D62DDAE61}" destId="{A968B9CE-5689-4C4D-AB66-9FBBAB81215F}" srcOrd="0" destOrd="0" parTransId="{E88DE76B-2570-4B47-B87A-3D6638B06C26}" sibTransId="{95260566-F655-4897-A2D0-70B94CDF93C4}"/>
    <dgm:cxn modelId="{EC6C9179-DC4D-49BA-A9E5-F131F66CE41D}" type="presOf" srcId="{10CBE5E9-FD49-45EF-B08E-73BAA3A2CA87}" destId="{0C573107-BD1C-47B2-B136-368808F7D732}" srcOrd="1" destOrd="0" presId="urn:microsoft.com/office/officeart/2005/8/layout/process1"/>
    <dgm:cxn modelId="{668A5E7A-09DF-4802-940E-EB03CEC88CF8}" type="presOf" srcId="{95260566-F655-4897-A2D0-70B94CDF93C4}" destId="{48628858-D839-4E74-8DC1-9D7E3DDA1C42}" srcOrd="1" destOrd="0" presId="urn:microsoft.com/office/officeart/2005/8/layout/process1"/>
    <dgm:cxn modelId="{548B7E83-15AE-488F-B60C-4C1AF4252B79}" type="presOf" srcId="{A968B9CE-5689-4C4D-AB66-9FBBAB81215F}" destId="{D26DFB7A-A6D2-4A4A-8DE7-8FE082CFA213}" srcOrd="0" destOrd="0" presId="urn:microsoft.com/office/officeart/2005/8/layout/process1"/>
    <dgm:cxn modelId="{BE850693-7014-4DE8-9207-44CCBCF6E9CF}" type="presOf" srcId="{E2AE26F5-403E-49BF-919B-2B2E6EF0F1F3}" destId="{7B5015D3-AE61-44FE-973B-786ECF35E60A}" srcOrd="0" destOrd="0" presId="urn:microsoft.com/office/officeart/2005/8/layout/process1"/>
    <dgm:cxn modelId="{BA89C3A2-44C7-494D-9E3F-9D8B4C7EF87F}" type="presOf" srcId="{31AACAD5-466C-47DC-9C62-542D6013842D}" destId="{A5BBBFD2-5198-4A16-B9C8-470B49F561CD}" srcOrd="0" destOrd="0" presId="urn:microsoft.com/office/officeart/2005/8/layout/process1"/>
    <dgm:cxn modelId="{E56601BB-FBCD-4B1D-A0F6-6CD762D55A5C}" srcId="{EFB31386-DDBE-4311-807B-0E7D62DDAE61}" destId="{39576CA9-0668-4D26-AC4A-DE27DA79DC5A}" srcOrd="5" destOrd="0" parTransId="{139F7287-8570-43E9-BA34-3282336892F4}" sibTransId="{AB09EB66-58B2-43D1-BEFE-BF1996D19EE0}"/>
    <dgm:cxn modelId="{3126C4BC-23C5-43D1-99B4-AAEC5500BD79}" type="presOf" srcId="{EFB31386-DDBE-4311-807B-0E7D62DDAE61}" destId="{E210A9CB-80EA-45F0-9C36-AC48B11F6840}" srcOrd="0" destOrd="0" presId="urn:microsoft.com/office/officeart/2005/8/layout/process1"/>
    <dgm:cxn modelId="{85447EBE-9810-4B1B-A43A-CCB5D7A94AF9}" type="presOf" srcId="{DE3E5B07-302A-4FA7-A7CC-A90E065A2949}" destId="{7673702B-C6B8-4BB1-9603-A9609831BC97}" srcOrd="0" destOrd="0" presId="urn:microsoft.com/office/officeart/2005/8/layout/process1"/>
    <dgm:cxn modelId="{4756DDBF-9783-4364-BF45-51A4B77CA933}" type="presOf" srcId="{95260566-F655-4897-A2D0-70B94CDF93C4}" destId="{2D45A9E4-0CDE-44B1-80EB-36F16146B273}" srcOrd="0" destOrd="0" presId="urn:microsoft.com/office/officeart/2005/8/layout/process1"/>
    <dgm:cxn modelId="{0B3475C9-7286-457F-A1BD-0B72388E32C6}" srcId="{EFB31386-DDBE-4311-807B-0E7D62DDAE61}" destId="{DE3E5B07-302A-4FA7-A7CC-A90E065A2949}" srcOrd="4" destOrd="0" parTransId="{BCCEB367-6032-49FA-BFFB-BC5243F6DA54}" sibTransId="{D4881891-78E4-4923-89A3-B054F6A31039}"/>
    <dgm:cxn modelId="{A0EE0DFC-6B93-4B6E-A44F-D1B6519D5716}" type="presOf" srcId="{8C151504-B4D2-475D-B495-8681610091F5}" destId="{CE56E3E8-7036-47C5-9DA0-08866D113493}" srcOrd="0" destOrd="0" presId="urn:microsoft.com/office/officeart/2005/8/layout/process1"/>
    <dgm:cxn modelId="{98EF5387-5B09-4465-840A-DC4763454CFF}" type="presParOf" srcId="{E210A9CB-80EA-45F0-9C36-AC48B11F6840}" destId="{D26DFB7A-A6D2-4A4A-8DE7-8FE082CFA213}" srcOrd="0" destOrd="0" presId="urn:microsoft.com/office/officeart/2005/8/layout/process1"/>
    <dgm:cxn modelId="{924A82EA-943B-4142-A2F6-F110B25DAF02}" type="presParOf" srcId="{E210A9CB-80EA-45F0-9C36-AC48B11F6840}" destId="{2D45A9E4-0CDE-44B1-80EB-36F16146B273}" srcOrd="1" destOrd="0" presId="urn:microsoft.com/office/officeart/2005/8/layout/process1"/>
    <dgm:cxn modelId="{A9D2A866-825D-4998-9226-7D5D5286268B}" type="presParOf" srcId="{2D45A9E4-0CDE-44B1-80EB-36F16146B273}" destId="{48628858-D839-4E74-8DC1-9D7E3DDA1C42}" srcOrd="0" destOrd="0" presId="urn:microsoft.com/office/officeart/2005/8/layout/process1"/>
    <dgm:cxn modelId="{BCEA9A56-5162-4A29-9483-F4D56359BD4C}" type="presParOf" srcId="{E210A9CB-80EA-45F0-9C36-AC48B11F6840}" destId="{A5BBBFD2-5198-4A16-B9C8-470B49F561CD}" srcOrd="2" destOrd="0" presId="urn:microsoft.com/office/officeart/2005/8/layout/process1"/>
    <dgm:cxn modelId="{CE054C7C-6D39-4F36-AF81-AC502E565984}" type="presParOf" srcId="{E210A9CB-80EA-45F0-9C36-AC48B11F6840}" destId="{9853063F-3387-4D39-A136-701035292208}" srcOrd="3" destOrd="0" presId="urn:microsoft.com/office/officeart/2005/8/layout/process1"/>
    <dgm:cxn modelId="{85899F02-DC1B-409D-9B5C-CBD4005C2B61}" type="presParOf" srcId="{9853063F-3387-4D39-A136-701035292208}" destId="{0C573107-BD1C-47B2-B136-368808F7D732}" srcOrd="0" destOrd="0" presId="urn:microsoft.com/office/officeart/2005/8/layout/process1"/>
    <dgm:cxn modelId="{BF3CF54C-9E76-412D-8E28-A8586F9A7A63}" type="presParOf" srcId="{E210A9CB-80EA-45F0-9C36-AC48B11F6840}" destId="{CE56E3E8-7036-47C5-9DA0-08866D113493}" srcOrd="4" destOrd="0" presId="urn:microsoft.com/office/officeart/2005/8/layout/process1"/>
    <dgm:cxn modelId="{B92E92DB-80D0-4781-8B89-8DFB272597DA}" type="presParOf" srcId="{E210A9CB-80EA-45F0-9C36-AC48B11F6840}" destId="{06F1E075-EFA6-41C5-B432-28AC17DFE9B2}" srcOrd="5" destOrd="0" presId="urn:microsoft.com/office/officeart/2005/8/layout/process1"/>
    <dgm:cxn modelId="{DA47FDB2-F06B-4529-9EFE-D4C5E5BE6BDC}" type="presParOf" srcId="{06F1E075-EFA6-41C5-B432-28AC17DFE9B2}" destId="{D7768B96-F6BA-4DDA-9D83-948BE94C831F}" srcOrd="0" destOrd="0" presId="urn:microsoft.com/office/officeart/2005/8/layout/process1"/>
    <dgm:cxn modelId="{1E5CD8B4-37A5-47D8-90EA-A650C7A29114}" type="presParOf" srcId="{E210A9CB-80EA-45F0-9C36-AC48B11F6840}" destId="{7B5015D3-AE61-44FE-973B-786ECF35E60A}" srcOrd="6" destOrd="0" presId="urn:microsoft.com/office/officeart/2005/8/layout/process1"/>
    <dgm:cxn modelId="{E6981345-E6F5-4FF7-99D4-CDBC08D93F8F}" type="presParOf" srcId="{E210A9CB-80EA-45F0-9C36-AC48B11F6840}" destId="{DFEA5F90-4253-4257-9FBA-1A8465430195}" srcOrd="7" destOrd="0" presId="urn:microsoft.com/office/officeart/2005/8/layout/process1"/>
    <dgm:cxn modelId="{851A2B41-1179-427E-9199-A1AFB52EC486}" type="presParOf" srcId="{DFEA5F90-4253-4257-9FBA-1A8465430195}" destId="{12A0E1B4-2EEE-42EA-8C32-A2D06F5C9A3F}" srcOrd="0" destOrd="0" presId="urn:microsoft.com/office/officeart/2005/8/layout/process1"/>
    <dgm:cxn modelId="{A24AC52B-F13A-4190-9C0B-AD07D3482E6A}" type="presParOf" srcId="{E210A9CB-80EA-45F0-9C36-AC48B11F6840}" destId="{7673702B-C6B8-4BB1-9603-A9609831BC97}" srcOrd="8" destOrd="0" presId="urn:microsoft.com/office/officeart/2005/8/layout/process1"/>
    <dgm:cxn modelId="{5FED4ADB-A46C-46D6-BBB7-D1A06D6800D9}" type="presParOf" srcId="{E210A9CB-80EA-45F0-9C36-AC48B11F6840}" destId="{E2E1B6E4-BD14-4F11-A3DC-85FB36962627}" srcOrd="9" destOrd="0" presId="urn:microsoft.com/office/officeart/2005/8/layout/process1"/>
    <dgm:cxn modelId="{7B9F9D06-DBC9-42B1-BD0B-B68832CAF0C4}" type="presParOf" srcId="{E2E1B6E4-BD14-4F11-A3DC-85FB36962627}" destId="{7DCF33EB-92DE-4175-B325-B64D33D278AE}" srcOrd="0" destOrd="0" presId="urn:microsoft.com/office/officeart/2005/8/layout/process1"/>
    <dgm:cxn modelId="{C42B4CB8-741F-4DE4-BA46-84EAD0F433B5}" type="presParOf" srcId="{E210A9CB-80EA-45F0-9C36-AC48B11F6840}" destId="{776BB485-36CA-4EFE-B58D-0DF120303AF2}" srcOrd="10" destOrd="0" presId="urn:microsoft.com/office/officeart/2005/8/layout/process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26DFB7A-A6D2-4A4A-8DE7-8FE082CFA213}">
      <dsp:nvSpPr>
        <dsp:cNvPr id="0" name=""/>
        <dsp:cNvSpPr/>
      </dsp:nvSpPr>
      <dsp:spPr>
        <a:xfrm>
          <a:off x="2795" y="176455"/>
          <a:ext cx="866505" cy="1104413"/>
        </a:xfrm>
        <a:prstGeom prst="roundRect">
          <a:avLst>
            <a:gd name="adj" fmla="val 10000"/>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kern="1200">
              <a:solidFill>
                <a:sysClr val="windowText" lastClr="000000"/>
              </a:solidFill>
              <a:latin typeface="Times New Roman" panose="02020603050405020304" pitchFamily="18" charset="0"/>
              <a:cs typeface="Times New Roman" panose="02020603050405020304" pitchFamily="18" charset="0"/>
            </a:rPr>
            <a:t>Exposure to energy information on menus</a:t>
          </a:r>
        </a:p>
      </dsp:txBody>
      <dsp:txXfrm>
        <a:off x="28174" y="201834"/>
        <a:ext cx="815747" cy="1053655"/>
      </dsp:txXfrm>
    </dsp:sp>
    <dsp:sp modelId="{2D45A9E4-0CDE-44B1-80EB-36F16146B273}">
      <dsp:nvSpPr>
        <dsp:cNvPr id="0" name=""/>
        <dsp:cNvSpPr/>
      </dsp:nvSpPr>
      <dsp:spPr>
        <a:xfrm>
          <a:off x="955950" y="621215"/>
          <a:ext cx="183699" cy="214893"/>
        </a:xfrm>
        <a:prstGeom prst="rightArrow">
          <a:avLst>
            <a:gd name="adj1" fmla="val 60000"/>
            <a:gd name="adj2" fmla="val 50000"/>
          </a:avLst>
        </a:prstGeom>
        <a:solidFill>
          <a:schemeClr val="accent3"/>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AU" sz="900" kern="1200"/>
        </a:p>
      </dsp:txBody>
      <dsp:txXfrm>
        <a:off x="955950" y="664194"/>
        <a:ext cx="128589" cy="128935"/>
      </dsp:txXfrm>
    </dsp:sp>
    <dsp:sp modelId="{A5BBBFD2-5198-4A16-B9C8-470B49F561CD}">
      <dsp:nvSpPr>
        <dsp:cNvPr id="0" name=""/>
        <dsp:cNvSpPr/>
      </dsp:nvSpPr>
      <dsp:spPr>
        <a:xfrm>
          <a:off x="1215902" y="176455"/>
          <a:ext cx="866505" cy="1104413"/>
        </a:xfrm>
        <a:prstGeom prst="roundRect">
          <a:avLst>
            <a:gd name="adj" fmla="val 10000"/>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kern="1200">
              <a:solidFill>
                <a:sysClr val="windowText" lastClr="000000"/>
              </a:solidFill>
              <a:latin typeface="Times New Roman" panose="02020603050405020304" pitchFamily="18" charset="0"/>
              <a:cs typeface="Times New Roman" panose="02020603050405020304" pitchFamily="18" charset="0"/>
            </a:rPr>
            <a:t>Impact on meal selection:</a:t>
          </a:r>
        </a:p>
        <a:p>
          <a:pPr marL="0" lvl="0" indent="0" algn="ctr" defTabSz="444500">
            <a:lnSpc>
              <a:spcPct val="90000"/>
            </a:lnSpc>
            <a:spcBef>
              <a:spcPct val="0"/>
            </a:spcBef>
            <a:spcAft>
              <a:spcPct val="35000"/>
            </a:spcAft>
            <a:buNone/>
          </a:pPr>
          <a:r>
            <a:rPr lang="en-AU" sz="1000" kern="1200">
              <a:solidFill>
                <a:sysClr val="windowText" lastClr="000000"/>
              </a:solidFill>
              <a:latin typeface="Times New Roman" panose="02020603050405020304" pitchFamily="18" charset="0"/>
              <a:cs typeface="Times New Roman" panose="02020603050405020304" pitchFamily="18" charset="0"/>
            </a:rPr>
            <a:t> fewer kilojoules purchased</a:t>
          </a:r>
        </a:p>
      </dsp:txBody>
      <dsp:txXfrm>
        <a:off x="1241281" y="201834"/>
        <a:ext cx="815747" cy="1053655"/>
      </dsp:txXfrm>
    </dsp:sp>
    <dsp:sp modelId="{9853063F-3387-4D39-A136-701035292208}">
      <dsp:nvSpPr>
        <dsp:cNvPr id="0" name=""/>
        <dsp:cNvSpPr/>
      </dsp:nvSpPr>
      <dsp:spPr>
        <a:xfrm>
          <a:off x="2169058" y="621215"/>
          <a:ext cx="183699" cy="214893"/>
        </a:xfrm>
        <a:prstGeom prst="rightArrow">
          <a:avLst>
            <a:gd name="adj1" fmla="val 60000"/>
            <a:gd name="adj2" fmla="val 50000"/>
          </a:avLst>
        </a:prstGeom>
        <a:solidFill>
          <a:schemeClr val="accent3"/>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AU" sz="900" kern="1200"/>
        </a:p>
      </dsp:txBody>
      <dsp:txXfrm>
        <a:off x="2169058" y="664194"/>
        <a:ext cx="128589" cy="128935"/>
      </dsp:txXfrm>
    </dsp:sp>
    <dsp:sp modelId="{CE56E3E8-7036-47C5-9DA0-08866D113493}">
      <dsp:nvSpPr>
        <dsp:cNvPr id="0" name=""/>
        <dsp:cNvSpPr/>
      </dsp:nvSpPr>
      <dsp:spPr>
        <a:xfrm>
          <a:off x="2429009" y="176455"/>
          <a:ext cx="866505" cy="1104413"/>
        </a:xfrm>
        <a:prstGeom prst="roundRect">
          <a:avLst>
            <a:gd name="adj" fmla="val 10000"/>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kern="1200">
              <a:solidFill>
                <a:sysClr val="windowText" lastClr="000000"/>
              </a:solidFill>
              <a:latin typeface="Times New Roman" panose="02020603050405020304" pitchFamily="18" charset="0"/>
              <a:cs typeface="Times New Roman" panose="02020603050405020304" pitchFamily="18" charset="0"/>
            </a:rPr>
            <a:t>Impact on daily diet:</a:t>
          </a:r>
        </a:p>
        <a:p>
          <a:pPr marL="0" lvl="0" indent="0" algn="ctr" defTabSz="444500">
            <a:lnSpc>
              <a:spcPct val="90000"/>
            </a:lnSpc>
            <a:spcBef>
              <a:spcPct val="0"/>
            </a:spcBef>
            <a:spcAft>
              <a:spcPct val="35000"/>
            </a:spcAft>
            <a:buNone/>
          </a:pPr>
          <a:r>
            <a:rPr lang="en-AU" sz="1000" kern="1200">
              <a:solidFill>
                <a:sysClr val="windowText" lastClr="000000"/>
              </a:solidFill>
              <a:latin typeface="Times New Roman" panose="02020603050405020304" pitchFamily="18" charset="0"/>
              <a:cs typeface="Times New Roman" panose="02020603050405020304" pitchFamily="18" charset="0"/>
            </a:rPr>
            <a:t> reduced daily energy intake</a:t>
          </a:r>
        </a:p>
      </dsp:txBody>
      <dsp:txXfrm>
        <a:off x="2454388" y="201834"/>
        <a:ext cx="815747" cy="1053655"/>
      </dsp:txXfrm>
    </dsp:sp>
    <dsp:sp modelId="{06F1E075-EFA6-41C5-B432-28AC17DFE9B2}">
      <dsp:nvSpPr>
        <dsp:cNvPr id="0" name=""/>
        <dsp:cNvSpPr/>
      </dsp:nvSpPr>
      <dsp:spPr>
        <a:xfrm>
          <a:off x="3382165" y="621215"/>
          <a:ext cx="183699" cy="214893"/>
        </a:xfrm>
        <a:prstGeom prst="rightArrow">
          <a:avLst>
            <a:gd name="adj1" fmla="val 60000"/>
            <a:gd name="adj2" fmla="val 50000"/>
          </a:avLst>
        </a:prstGeom>
        <a:solidFill>
          <a:schemeClr val="accent3"/>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AU" sz="900" kern="1200"/>
        </a:p>
      </dsp:txBody>
      <dsp:txXfrm>
        <a:off x="3382165" y="664194"/>
        <a:ext cx="128589" cy="128935"/>
      </dsp:txXfrm>
    </dsp:sp>
    <dsp:sp modelId="{7B5015D3-AE61-44FE-973B-786ECF35E60A}">
      <dsp:nvSpPr>
        <dsp:cNvPr id="0" name=""/>
        <dsp:cNvSpPr/>
      </dsp:nvSpPr>
      <dsp:spPr>
        <a:xfrm>
          <a:off x="3642117" y="176455"/>
          <a:ext cx="866505" cy="1104413"/>
        </a:xfrm>
        <a:prstGeom prst="roundRect">
          <a:avLst>
            <a:gd name="adj" fmla="val 10000"/>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kern="1200">
              <a:solidFill>
                <a:sysClr val="windowText" lastClr="000000"/>
              </a:solidFill>
              <a:latin typeface="Times New Roman" panose="02020603050405020304" pitchFamily="18" charset="0"/>
              <a:cs typeface="Times New Roman" panose="02020603050405020304" pitchFamily="18" charset="0"/>
            </a:rPr>
            <a:t>Impact on weight:</a:t>
          </a:r>
        </a:p>
        <a:p>
          <a:pPr marL="0" lvl="0" indent="0" algn="ctr" defTabSz="444500">
            <a:lnSpc>
              <a:spcPct val="90000"/>
            </a:lnSpc>
            <a:spcBef>
              <a:spcPct val="0"/>
            </a:spcBef>
            <a:spcAft>
              <a:spcPct val="35000"/>
            </a:spcAft>
            <a:buNone/>
          </a:pPr>
          <a:r>
            <a:rPr lang="en-AU" sz="1000" kern="1200">
              <a:solidFill>
                <a:sysClr val="windowText" lastClr="000000"/>
              </a:solidFill>
              <a:latin typeface="Times New Roman" panose="02020603050405020304" pitchFamily="18" charset="0"/>
              <a:cs typeface="Times New Roman" panose="02020603050405020304" pitchFamily="18" charset="0"/>
            </a:rPr>
            <a:t> weight reduction</a:t>
          </a:r>
        </a:p>
      </dsp:txBody>
      <dsp:txXfrm>
        <a:off x="3667496" y="201834"/>
        <a:ext cx="815747" cy="1053655"/>
      </dsp:txXfrm>
    </dsp:sp>
    <dsp:sp modelId="{DFEA5F90-4253-4257-9FBA-1A8465430195}">
      <dsp:nvSpPr>
        <dsp:cNvPr id="0" name=""/>
        <dsp:cNvSpPr/>
      </dsp:nvSpPr>
      <dsp:spPr>
        <a:xfrm>
          <a:off x="4595272" y="621215"/>
          <a:ext cx="183699" cy="214893"/>
        </a:xfrm>
        <a:prstGeom prst="rightArrow">
          <a:avLst>
            <a:gd name="adj1" fmla="val 60000"/>
            <a:gd name="adj2" fmla="val 50000"/>
          </a:avLst>
        </a:prstGeom>
        <a:solidFill>
          <a:schemeClr val="accent3"/>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AU" sz="900" kern="1200"/>
        </a:p>
      </dsp:txBody>
      <dsp:txXfrm>
        <a:off x="4595272" y="664194"/>
        <a:ext cx="128589" cy="128935"/>
      </dsp:txXfrm>
    </dsp:sp>
    <dsp:sp modelId="{7673702B-C6B8-4BB1-9603-A9609831BC97}">
      <dsp:nvSpPr>
        <dsp:cNvPr id="0" name=""/>
        <dsp:cNvSpPr/>
      </dsp:nvSpPr>
      <dsp:spPr>
        <a:xfrm>
          <a:off x="4855224" y="176455"/>
          <a:ext cx="866505" cy="1104413"/>
        </a:xfrm>
        <a:prstGeom prst="roundRect">
          <a:avLst>
            <a:gd name="adj" fmla="val 10000"/>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kern="1200">
              <a:solidFill>
                <a:sysClr val="windowText" lastClr="000000"/>
              </a:solidFill>
              <a:latin typeface="Times New Roman" panose="02020603050405020304" pitchFamily="18" charset="0"/>
              <a:cs typeface="Times New Roman" panose="02020603050405020304" pitchFamily="18" charset="0"/>
            </a:rPr>
            <a:t>Impact on health risk:</a:t>
          </a:r>
        </a:p>
        <a:p>
          <a:pPr marL="0" lvl="0" indent="0" algn="ctr" defTabSz="444500">
            <a:lnSpc>
              <a:spcPct val="90000"/>
            </a:lnSpc>
            <a:spcBef>
              <a:spcPct val="0"/>
            </a:spcBef>
            <a:spcAft>
              <a:spcPct val="35000"/>
            </a:spcAft>
            <a:buNone/>
          </a:pPr>
          <a:r>
            <a:rPr lang="en-AU" sz="1000" kern="1200">
              <a:solidFill>
                <a:sysClr val="windowText" lastClr="000000"/>
              </a:solidFill>
              <a:latin typeface="Times New Roman" panose="02020603050405020304" pitchFamily="18" charset="0"/>
              <a:cs typeface="Times New Roman" panose="02020603050405020304" pitchFamily="18" charset="0"/>
            </a:rPr>
            <a:t> reduced burden of disease due to high body mass</a:t>
          </a:r>
        </a:p>
      </dsp:txBody>
      <dsp:txXfrm>
        <a:off x="4880603" y="201834"/>
        <a:ext cx="815747" cy="105365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26DFB7A-A6D2-4A4A-8DE7-8FE082CFA213}">
      <dsp:nvSpPr>
        <dsp:cNvPr id="0" name=""/>
        <dsp:cNvSpPr/>
      </dsp:nvSpPr>
      <dsp:spPr>
        <a:xfrm>
          <a:off x="0" y="168771"/>
          <a:ext cx="727471" cy="1091207"/>
        </a:xfrm>
        <a:prstGeom prst="roundRect">
          <a:avLst>
            <a:gd name="adj" fmla="val 10000"/>
          </a:avLst>
        </a:prstGeom>
        <a:no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kern="1200">
              <a:solidFill>
                <a:sysClr val="windowText" lastClr="000000"/>
              </a:solidFill>
              <a:latin typeface="Times New Roman" panose="02020603050405020304" pitchFamily="18" charset="0"/>
              <a:ea typeface="+mn-ea"/>
              <a:cs typeface="Times New Roman" panose="02020603050405020304" pitchFamily="18" charset="0"/>
            </a:rPr>
            <a:t>Increased exposure to energy information on menus</a:t>
          </a:r>
        </a:p>
      </dsp:txBody>
      <dsp:txXfrm>
        <a:off x="21307" y="190078"/>
        <a:ext cx="684857" cy="1048593"/>
      </dsp:txXfrm>
    </dsp:sp>
    <dsp:sp modelId="{2D45A9E4-0CDE-44B1-80EB-36F16146B273}">
      <dsp:nvSpPr>
        <dsp:cNvPr id="0" name=""/>
        <dsp:cNvSpPr/>
      </dsp:nvSpPr>
      <dsp:spPr>
        <a:xfrm>
          <a:off x="800219" y="624168"/>
          <a:ext cx="154224" cy="180413"/>
        </a:xfrm>
        <a:prstGeom prst="rightArrow">
          <a:avLst>
            <a:gd name="adj1" fmla="val 60000"/>
            <a:gd name="adj2" fmla="val 50000"/>
          </a:avLst>
        </a:prstGeom>
        <a:solidFill>
          <a:srgbClr val="A5A5A5"/>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AU" sz="700" kern="1200">
            <a:solidFill>
              <a:sysClr val="window" lastClr="FFFFFF"/>
            </a:solidFill>
            <a:latin typeface="Calibri" panose="020F0502020204030204"/>
            <a:ea typeface="+mn-ea"/>
            <a:cs typeface="+mn-cs"/>
          </a:endParaRPr>
        </a:p>
      </dsp:txBody>
      <dsp:txXfrm>
        <a:off x="800219" y="660251"/>
        <a:ext cx="107957" cy="108247"/>
      </dsp:txXfrm>
    </dsp:sp>
    <dsp:sp modelId="{A5BBBFD2-5198-4A16-B9C8-470B49F561CD}">
      <dsp:nvSpPr>
        <dsp:cNvPr id="0" name=""/>
        <dsp:cNvSpPr/>
      </dsp:nvSpPr>
      <dsp:spPr>
        <a:xfrm>
          <a:off x="1018460" y="168771"/>
          <a:ext cx="727471" cy="1091207"/>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kern="1200">
              <a:solidFill>
                <a:sysClr val="windowText" lastClr="000000"/>
              </a:solidFill>
              <a:latin typeface="Times New Roman" panose="02020603050405020304" pitchFamily="18" charset="0"/>
              <a:ea typeface="+mn-ea"/>
              <a:cs typeface="Times New Roman" panose="02020603050405020304" pitchFamily="18" charset="0"/>
            </a:rPr>
            <a:t>Impact on meal selection:</a:t>
          </a:r>
        </a:p>
        <a:p>
          <a:pPr marL="0" lvl="0" indent="0" algn="ctr" defTabSz="444500">
            <a:lnSpc>
              <a:spcPct val="90000"/>
            </a:lnSpc>
            <a:spcBef>
              <a:spcPct val="0"/>
            </a:spcBef>
            <a:spcAft>
              <a:spcPct val="35000"/>
            </a:spcAft>
            <a:buNone/>
          </a:pPr>
          <a:r>
            <a:rPr lang="en-AU" sz="1000" kern="1200">
              <a:solidFill>
                <a:sysClr val="windowText" lastClr="000000"/>
              </a:solidFill>
              <a:latin typeface="Times New Roman" panose="02020603050405020304" pitchFamily="18" charset="0"/>
              <a:ea typeface="+mn-ea"/>
              <a:cs typeface="Times New Roman" panose="02020603050405020304" pitchFamily="18" charset="0"/>
            </a:rPr>
            <a:t> fewer kilojoules purchased</a:t>
          </a:r>
        </a:p>
      </dsp:txBody>
      <dsp:txXfrm>
        <a:off x="1039767" y="190078"/>
        <a:ext cx="684857" cy="1048593"/>
      </dsp:txXfrm>
    </dsp:sp>
    <dsp:sp modelId="{9853063F-3387-4D39-A136-701035292208}">
      <dsp:nvSpPr>
        <dsp:cNvPr id="0" name=""/>
        <dsp:cNvSpPr/>
      </dsp:nvSpPr>
      <dsp:spPr>
        <a:xfrm>
          <a:off x="1818679" y="624168"/>
          <a:ext cx="154224" cy="180413"/>
        </a:xfrm>
        <a:prstGeom prst="rightArrow">
          <a:avLst>
            <a:gd name="adj1" fmla="val 60000"/>
            <a:gd name="adj2" fmla="val 50000"/>
          </a:avLst>
        </a:prstGeom>
        <a:solidFill>
          <a:srgbClr val="A5A5A5"/>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AU" sz="700" kern="1200">
            <a:solidFill>
              <a:sysClr val="window" lastClr="FFFFFF"/>
            </a:solidFill>
            <a:latin typeface="Calibri" panose="020F0502020204030204"/>
            <a:ea typeface="+mn-ea"/>
            <a:cs typeface="+mn-cs"/>
          </a:endParaRPr>
        </a:p>
      </dsp:txBody>
      <dsp:txXfrm>
        <a:off x="1818679" y="660251"/>
        <a:ext cx="107957" cy="108247"/>
      </dsp:txXfrm>
    </dsp:sp>
    <dsp:sp modelId="{CE56E3E8-7036-47C5-9DA0-08866D113493}">
      <dsp:nvSpPr>
        <dsp:cNvPr id="0" name=""/>
        <dsp:cNvSpPr/>
      </dsp:nvSpPr>
      <dsp:spPr>
        <a:xfrm>
          <a:off x="2036921" y="168771"/>
          <a:ext cx="727471" cy="1091207"/>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kern="1200">
              <a:solidFill>
                <a:sysClr val="windowText" lastClr="000000"/>
              </a:solidFill>
              <a:latin typeface="Times New Roman" panose="02020603050405020304" pitchFamily="18" charset="0"/>
              <a:ea typeface="+mn-ea"/>
              <a:cs typeface="Times New Roman" panose="02020603050405020304" pitchFamily="18" charset="0"/>
            </a:rPr>
            <a:t>Impact on daily diet:</a:t>
          </a:r>
        </a:p>
        <a:p>
          <a:pPr marL="0" lvl="0" indent="0" algn="ctr" defTabSz="444500">
            <a:lnSpc>
              <a:spcPct val="90000"/>
            </a:lnSpc>
            <a:spcBef>
              <a:spcPct val="0"/>
            </a:spcBef>
            <a:spcAft>
              <a:spcPct val="35000"/>
            </a:spcAft>
            <a:buNone/>
          </a:pPr>
          <a:r>
            <a:rPr lang="en-AU" sz="1000" kern="1200">
              <a:solidFill>
                <a:sysClr val="windowText" lastClr="000000"/>
              </a:solidFill>
              <a:latin typeface="Times New Roman" panose="02020603050405020304" pitchFamily="18" charset="0"/>
              <a:ea typeface="+mn-ea"/>
              <a:cs typeface="Times New Roman" panose="02020603050405020304" pitchFamily="18" charset="0"/>
            </a:rPr>
            <a:t> reduced daily energy intake</a:t>
          </a:r>
        </a:p>
      </dsp:txBody>
      <dsp:txXfrm>
        <a:off x="2058228" y="190078"/>
        <a:ext cx="684857" cy="1048593"/>
      </dsp:txXfrm>
    </dsp:sp>
    <dsp:sp modelId="{06F1E075-EFA6-41C5-B432-28AC17DFE9B2}">
      <dsp:nvSpPr>
        <dsp:cNvPr id="0" name=""/>
        <dsp:cNvSpPr/>
      </dsp:nvSpPr>
      <dsp:spPr>
        <a:xfrm>
          <a:off x="2837140" y="624168"/>
          <a:ext cx="154224" cy="180413"/>
        </a:xfrm>
        <a:prstGeom prst="rightArrow">
          <a:avLst>
            <a:gd name="adj1" fmla="val 60000"/>
            <a:gd name="adj2" fmla="val 50000"/>
          </a:avLst>
        </a:prstGeom>
        <a:solidFill>
          <a:srgbClr val="A5A5A5"/>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AU" sz="700" kern="1200">
            <a:solidFill>
              <a:sysClr val="window" lastClr="FFFFFF"/>
            </a:solidFill>
            <a:latin typeface="Calibri" panose="020F0502020204030204"/>
            <a:ea typeface="+mn-ea"/>
            <a:cs typeface="+mn-cs"/>
          </a:endParaRPr>
        </a:p>
      </dsp:txBody>
      <dsp:txXfrm>
        <a:off x="2837140" y="660251"/>
        <a:ext cx="107957" cy="108247"/>
      </dsp:txXfrm>
    </dsp:sp>
    <dsp:sp modelId="{7B5015D3-AE61-44FE-973B-786ECF35E60A}">
      <dsp:nvSpPr>
        <dsp:cNvPr id="0" name=""/>
        <dsp:cNvSpPr/>
      </dsp:nvSpPr>
      <dsp:spPr>
        <a:xfrm>
          <a:off x="3055381" y="168771"/>
          <a:ext cx="727471" cy="1091207"/>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kern="1200">
              <a:solidFill>
                <a:sysClr val="windowText" lastClr="000000"/>
              </a:solidFill>
              <a:latin typeface="Times New Roman" panose="02020603050405020304" pitchFamily="18" charset="0"/>
              <a:ea typeface="+mn-ea"/>
              <a:cs typeface="Times New Roman" panose="02020603050405020304" pitchFamily="18" charset="0"/>
            </a:rPr>
            <a:t>Impact on weight:</a:t>
          </a:r>
        </a:p>
        <a:p>
          <a:pPr marL="0" lvl="0" indent="0" algn="ctr" defTabSz="444500">
            <a:lnSpc>
              <a:spcPct val="90000"/>
            </a:lnSpc>
            <a:spcBef>
              <a:spcPct val="0"/>
            </a:spcBef>
            <a:spcAft>
              <a:spcPct val="35000"/>
            </a:spcAft>
            <a:buNone/>
          </a:pPr>
          <a:r>
            <a:rPr lang="en-AU" sz="1000" kern="1200">
              <a:solidFill>
                <a:sysClr val="windowText" lastClr="000000"/>
              </a:solidFill>
              <a:latin typeface="Times New Roman" panose="02020603050405020304" pitchFamily="18" charset="0"/>
              <a:ea typeface="+mn-ea"/>
              <a:cs typeface="Times New Roman" panose="02020603050405020304" pitchFamily="18" charset="0"/>
            </a:rPr>
            <a:t> weight reduction</a:t>
          </a:r>
        </a:p>
      </dsp:txBody>
      <dsp:txXfrm>
        <a:off x="3076688" y="190078"/>
        <a:ext cx="684857" cy="1048593"/>
      </dsp:txXfrm>
    </dsp:sp>
    <dsp:sp modelId="{DFEA5F90-4253-4257-9FBA-1A8465430195}">
      <dsp:nvSpPr>
        <dsp:cNvPr id="0" name=""/>
        <dsp:cNvSpPr/>
      </dsp:nvSpPr>
      <dsp:spPr>
        <a:xfrm>
          <a:off x="3855600" y="624168"/>
          <a:ext cx="154224" cy="180413"/>
        </a:xfrm>
        <a:prstGeom prst="rightArrow">
          <a:avLst>
            <a:gd name="adj1" fmla="val 60000"/>
            <a:gd name="adj2" fmla="val 50000"/>
          </a:avLst>
        </a:prstGeom>
        <a:solidFill>
          <a:srgbClr val="A5A5A5"/>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AU" sz="700" kern="1200">
            <a:solidFill>
              <a:sysClr val="window" lastClr="FFFFFF"/>
            </a:solidFill>
            <a:latin typeface="Calibri" panose="020F0502020204030204"/>
            <a:ea typeface="+mn-ea"/>
            <a:cs typeface="+mn-cs"/>
          </a:endParaRPr>
        </a:p>
      </dsp:txBody>
      <dsp:txXfrm>
        <a:off x="3855600" y="660251"/>
        <a:ext cx="107957" cy="108247"/>
      </dsp:txXfrm>
    </dsp:sp>
    <dsp:sp modelId="{7673702B-C6B8-4BB1-9603-A9609831BC97}">
      <dsp:nvSpPr>
        <dsp:cNvPr id="0" name=""/>
        <dsp:cNvSpPr/>
      </dsp:nvSpPr>
      <dsp:spPr>
        <a:xfrm>
          <a:off x="4073842" y="168771"/>
          <a:ext cx="727471" cy="1091207"/>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kern="1200">
              <a:solidFill>
                <a:sysClr val="windowText" lastClr="000000"/>
              </a:solidFill>
              <a:latin typeface="Times New Roman" panose="02020603050405020304" pitchFamily="18" charset="0"/>
              <a:ea typeface="+mn-ea"/>
              <a:cs typeface="Times New Roman" panose="02020603050405020304" pitchFamily="18" charset="0"/>
            </a:rPr>
            <a:t>Impact on health risk:</a:t>
          </a:r>
        </a:p>
        <a:p>
          <a:pPr marL="0" lvl="0" indent="0" algn="ctr" defTabSz="444500">
            <a:lnSpc>
              <a:spcPct val="90000"/>
            </a:lnSpc>
            <a:spcBef>
              <a:spcPct val="0"/>
            </a:spcBef>
            <a:spcAft>
              <a:spcPct val="35000"/>
            </a:spcAft>
            <a:buNone/>
          </a:pPr>
          <a:r>
            <a:rPr lang="en-AU" sz="1000" kern="1200">
              <a:solidFill>
                <a:sysClr val="windowText" lastClr="000000"/>
              </a:solidFill>
              <a:latin typeface="Times New Roman" panose="02020603050405020304" pitchFamily="18" charset="0"/>
              <a:ea typeface="+mn-ea"/>
              <a:cs typeface="Times New Roman" panose="02020603050405020304" pitchFamily="18" charset="0"/>
            </a:rPr>
            <a:t> reduced burden of disease due to high body mass</a:t>
          </a:r>
        </a:p>
      </dsp:txBody>
      <dsp:txXfrm>
        <a:off x="4095149" y="190078"/>
        <a:ext cx="684857" cy="1048593"/>
      </dsp:txXfrm>
    </dsp:sp>
    <dsp:sp modelId="{E2E1B6E4-BD14-4F11-A3DC-85FB36962627}">
      <dsp:nvSpPr>
        <dsp:cNvPr id="0" name=""/>
        <dsp:cNvSpPr/>
      </dsp:nvSpPr>
      <dsp:spPr>
        <a:xfrm>
          <a:off x="4874061" y="624168"/>
          <a:ext cx="154224" cy="180413"/>
        </a:xfrm>
        <a:prstGeom prst="rightArrow">
          <a:avLst>
            <a:gd name="adj1" fmla="val 60000"/>
            <a:gd name="adj2" fmla="val 50000"/>
          </a:avLst>
        </a:prstGeom>
        <a:solidFill>
          <a:schemeClr val="accent3"/>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AU" sz="700" kern="1200"/>
        </a:p>
      </dsp:txBody>
      <dsp:txXfrm>
        <a:off x="4874061" y="660251"/>
        <a:ext cx="107957" cy="108247"/>
      </dsp:txXfrm>
    </dsp:sp>
    <dsp:sp modelId="{776BB485-36CA-4EFE-B58D-0DF120303AF2}">
      <dsp:nvSpPr>
        <dsp:cNvPr id="0" name=""/>
        <dsp:cNvSpPr/>
      </dsp:nvSpPr>
      <dsp:spPr>
        <a:xfrm>
          <a:off x="5092303" y="168771"/>
          <a:ext cx="727471" cy="1091207"/>
        </a:xfrm>
        <a:prstGeom prst="roundRect">
          <a:avLst>
            <a:gd name="adj" fmla="val 10000"/>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kern="1200">
              <a:solidFill>
                <a:sysClr val="windowText" lastClr="000000"/>
              </a:solidFill>
              <a:latin typeface="Times New Roman" panose="02020603050405020304" pitchFamily="18" charset="0"/>
              <a:cs typeface="Times New Roman" panose="02020603050405020304" pitchFamily="18" charset="0"/>
            </a:rPr>
            <a:t>Value that society places on improved health</a:t>
          </a:r>
        </a:p>
      </dsp:txBody>
      <dsp:txXfrm>
        <a:off x="5113610" y="190078"/>
        <a:ext cx="684857" cy="104859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A239676470E04B809DDC4E24CF2322" ma:contentTypeVersion="16" ma:contentTypeDescription="Create a new document." ma:contentTypeScope="" ma:versionID="15883b792da53fd44784623907b31bb4">
  <xsd:schema xmlns:xsd="http://www.w3.org/2001/XMLSchema" xmlns:xs="http://www.w3.org/2001/XMLSchema" xmlns:p="http://schemas.microsoft.com/office/2006/metadata/properties" xmlns:ns1="http://schemas.microsoft.com/sharepoint/v3" xmlns:ns2="4195ad5f-cdf2-4c4a-8d9b-b7944a108e98" xmlns:ns3="26285671-540d-468b-b7a1-f3e0438dd51a" targetNamespace="http://schemas.microsoft.com/office/2006/metadata/properties" ma:root="true" ma:fieldsID="0fc62fc07c23b42ad0842bced76ef983" ns1:_="" ns2:_="" ns3:_="">
    <xsd:import namespace="http://schemas.microsoft.com/sharepoint/v3"/>
    <xsd:import namespace="4195ad5f-cdf2-4c4a-8d9b-b7944a108e98"/>
    <xsd:import namespace="26285671-540d-468b-b7a1-f3e0438dd5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lcf76f155ced4ddcb4097134ff3c332f" minOccurs="0"/>
                <xsd:element ref="ns2: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95ad5f-cdf2-4c4a-8d9b-b7944a108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cfc965e-522b-48e0-94e0-2258889ba25b}" ma:internalName="TaxCatchAll" ma:showField="CatchAllData" ma:web="4195ad5f-cdf2-4c4a-8d9b-b7944a108e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285671-540d-468b-b7a1-f3e0438dd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195ad5f-cdf2-4c4a-8d9b-b7944a108e98" xsi:nil="true"/>
    <_ip_UnifiedCompliancePolicyProperties xmlns="http://schemas.microsoft.com/sharepoint/v3" xsi:nil="true"/>
    <lcf76f155ced4ddcb4097134ff3c332f xmlns="26285671-540d-468b-b7a1-f3e0438dd51a">
      <Terms xmlns="http://schemas.microsoft.com/office/infopath/2007/PartnerControls"/>
    </lcf76f155ced4ddcb4097134ff3c332f>
    <_dlc_DocId xmlns="4195ad5f-cdf2-4c4a-8d9b-b7944a108e98">DOCID-322795542-33319</_dlc_DocId>
    <_dlc_DocIdUrl xmlns="4195ad5f-cdf2-4c4a-8d9b-b7944a108e98">
      <Url>https://pmc01.sharepoint.com/sites/CRMOBPR/_layouts/15/DocIdRedir.aspx?ID=DOCID-322795542-33319</Url>
      <Description>DOCID-322795542-33319</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61C1DDA-7BCA-4084-B2BD-4A4075E4DEFF}"/>
</file>

<file path=customXml/itemProps2.xml><?xml version="1.0" encoding="utf-8"?>
<ds:datastoreItem xmlns:ds="http://schemas.openxmlformats.org/officeDocument/2006/customXml" ds:itemID="{8D838E94-A7CB-4AA1-9E97-254F2F0D5C25}">
  <ds:schemaRefs>
    <ds:schemaRef ds:uri="http://schemas.openxmlformats.org/officeDocument/2006/bibliography"/>
  </ds:schemaRefs>
</ds:datastoreItem>
</file>

<file path=customXml/itemProps3.xml><?xml version="1.0" encoding="utf-8"?>
<ds:datastoreItem xmlns:ds="http://schemas.openxmlformats.org/officeDocument/2006/customXml" ds:itemID="{308E1595-49BE-437E-829B-DE9AF03CA7B2}">
  <ds:schemaRefs>
    <ds:schemaRef ds:uri="http://schemas.microsoft.com/sharepoint/v3/contenttype/forms"/>
  </ds:schemaRefs>
</ds:datastoreItem>
</file>

<file path=customXml/itemProps4.xml><?xml version="1.0" encoding="utf-8"?>
<ds:datastoreItem xmlns:ds="http://schemas.openxmlformats.org/officeDocument/2006/customXml" ds:itemID="{E450973C-286E-41B3-8C36-B37AF8BAB7A0}">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557B0F8-9F4F-47FA-BD2E-6519564E4E9A}"/>
</file>

<file path=docProps/app.xml><?xml version="1.0" encoding="utf-8"?>
<Properties xmlns="http://schemas.openxmlformats.org/officeDocument/2006/extended-properties" xmlns:vt="http://schemas.openxmlformats.org/officeDocument/2006/docPropsVTypes">
  <Template>Normal.dotm</Template>
  <TotalTime>0</TotalTime>
  <Pages>88</Pages>
  <Words>38648</Words>
  <Characters>220298</Characters>
  <Application>Microsoft Office Word</Application>
  <DocSecurity>0</DocSecurity>
  <Lines>1835</Lines>
  <Paragraphs>516</Paragraphs>
  <ScaleCrop>false</ScaleCrop>
  <HeadingPairs>
    <vt:vector size="2" baseType="variant">
      <vt:variant>
        <vt:lpstr>Title</vt:lpstr>
      </vt:variant>
      <vt:variant>
        <vt:i4>1</vt:i4>
      </vt:variant>
    </vt:vector>
  </HeadingPairs>
  <TitlesOfParts>
    <vt:vector size="1" baseType="lpstr">
      <vt:lpstr>Decision Regulatory Impact Statement - Menu labelling in Australi aand New Zealand</vt:lpstr>
    </vt:vector>
  </TitlesOfParts>
  <Company/>
  <LinksUpToDate>false</LinksUpToDate>
  <CharactersWithSpaces>258430</CharactersWithSpaces>
  <SharedDoc>false</SharedDoc>
  <HLinks>
    <vt:vector size="450" baseType="variant">
      <vt:variant>
        <vt:i4>4915285</vt:i4>
      </vt:variant>
      <vt:variant>
        <vt:i4>192</vt:i4>
      </vt:variant>
      <vt:variant>
        <vt:i4>0</vt:i4>
      </vt:variant>
      <vt:variant>
        <vt:i4>5</vt:i4>
      </vt:variant>
      <vt:variant>
        <vt:lpwstr>https://treasury.govt.nz/publications/guide/government-expectations-good-regulatory-practice</vt:lpwstr>
      </vt:variant>
      <vt:variant>
        <vt:lpwstr/>
      </vt:variant>
      <vt:variant>
        <vt:i4>7864445</vt:i4>
      </vt:variant>
      <vt:variant>
        <vt:i4>189</vt:i4>
      </vt:variant>
      <vt:variant>
        <vt:i4>0</vt:i4>
      </vt:variant>
      <vt:variant>
        <vt:i4>5</vt:i4>
      </vt:variant>
      <vt:variant>
        <vt:lpwstr>https://www.pmc.gov.au/resource-centre/regulation/best-practice-regulation-guide-ministerial-councils-and-national-standard-setting-bodies</vt:lpwstr>
      </vt:variant>
      <vt:variant>
        <vt:lpwstr/>
      </vt:variant>
      <vt:variant>
        <vt:i4>4849695</vt:i4>
      </vt:variant>
      <vt:variant>
        <vt:i4>186</vt:i4>
      </vt:variant>
      <vt:variant>
        <vt:i4>0</vt:i4>
      </vt:variant>
      <vt:variant>
        <vt:i4>5</vt:i4>
      </vt:variant>
      <vt:variant>
        <vt:lpwstr>https://foodregulation.gov.au/internet/fr/publishing.nsf/Content/key-system-documents</vt:lpwstr>
      </vt:variant>
      <vt:variant>
        <vt:lpwstr/>
      </vt:variant>
      <vt:variant>
        <vt:i4>720964</vt:i4>
      </vt:variant>
      <vt:variant>
        <vt:i4>183</vt:i4>
      </vt:variant>
      <vt:variant>
        <vt:i4>0</vt:i4>
      </vt:variant>
      <vt:variant>
        <vt:i4>5</vt:i4>
      </vt:variant>
      <vt:variant>
        <vt:lpwstr>https://www.stats.govt.nz/information-releases/household-expenditure-statistics-year-ended-june-2016</vt:lpwstr>
      </vt:variant>
      <vt:variant>
        <vt:lpwstr/>
      </vt:variant>
      <vt:variant>
        <vt:i4>2424875</vt:i4>
      </vt:variant>
      <vt:variant>
        <vt:i4>180</vt:i4>
      </vt:variant>
      <vt:variant>
        <vt:i4>0</vt:i4>
      </vt:variant>
      <vt:variant>
        <vt:i4>5</vt:i4>
      </vt:variant>
      <vt:variant>
        <vt:lpwstr>http://data.daff.gov.au/data/warehouse/9aat/2018/fdati9aat20180822/FoodDemandInAustralia_20180822_v1.0.0.pdf</vt:lpwstr>
      </vt:variant>
      <vt:variant>
        <vt:lpwstr/>
      </vt:variant>
      <vt:variant>
        <vt:i4>1900634</vt:i4>
      </vt:variant>
      <vt:variant>
        <vt:i4>177</vt:i4>
      </vt:variant>
      <vt:variant>
        <vt:i4>0</vt:i4>
      </vt:variant>
      <vt:variant>
        <vt:i4>5</vt:i4>
      </vt:variant>
      <vt:variant>
        <vt:lpwstr>https://www.emma.com.au/wp-content/uploads/2014/03/emma-Industry-Report_Out-of-Home-Dining_website-version.pdf</vt:lpwstr>
      </vt:variant>
      <vt:variant>
        <vt:lpwstr/>
      </vt:variant>
      <vt:variant>
        <vt:i4>1835066</vt:i4>
      </vt:variant>
      <vt:variant>
        <vt:i4>170</vt:i4>
      </vt:variant>
      <vt:variant>
        <vt:i4>0</vt:i4>
      </vt:variant>
      <vt:variant>
        <vt:i4>5</vt:i4>
      </vt:variant>
      <vt:variant>
        <vt:lpwstr/>
      </vt:variant>
      <vt:variant>
        <vt:lpwstr>_Toc36736987</vt:lpwstr>
      </vt:variant>
      <vt:variant>
        <vt:i4>1900602</vt:i4>
      </vt:variant>
      <vt:variant>
        <vt:i4>164</vt:i4>
      </vt:variant>
      <vt:variant>
        <vt:i4>0</vt:i4>
      </vt:variant>
      <vt:variant>
        <vt:i4>5</vt:i4>
      </vt:variant>
      <vt:variant>
        <vt:lpwstr/>
      </vt:variant>
      <vt:variant>
        <vt:lpwstr>_Toc36736986</vt:lpwstr>
      </vt:variant>
      <vt:variant>
        <vt:i4>1966138</vt:i4>
      </vt:variant>
      <vt:variant>
        <vt:i4>158</vt:i4>
      </vt:variant>
      <vt:variant>
        <vt:i4>0</vt:i4>
      </vt:variant>
      <vt:variant>
        <vt:i4>5</vt:i4>
      </vt:variant>
      <vt:variant>
        <vt:lpwstr/>
      </vt:variant>
      <vt:variant>
        <vt:lpwstr>_Toc36736985</vt:lpwstr>
      </vt:variant>
      <vt:variant>
        <vt:i4>2031674</vt:i4>
      </vt:variant>
      <vt:variant>
        <vt:i4>152</vt:i4>
      </vt:variant>
      <vt:variant>
        <vt:i4>0</vt:i4>
      </vt:variant>
      <vt:variant>
        <vt:i4>5</vt:i4>
      </vt:variant>
      <vt:variant>
        <vt:lpwstr/>
      </vt:variant>
      <vt:variant>
        <vt:lpwstr>_Toc36736984</vt:lpwstr>
      </vt:variant>
      <vt:variant>
        <vt:i4>1572922</vt:i4>
      </vt:variant>
      <vt:variant>
        <vt:i4>146</vt:i4>
      </vt:variant>
      <vt:variant>
        <vt:i4>0</vt:i4>
      </vt:variant>
      <vt:variant>
        <vt:i4>5</vt:i4>
      </vt:variant>
      <vt:variant>
        <vt:lpwstr/>
      </vt:variant>
      <vt:variant>
        <vt:lpwstr>_Toc36736983</vt:lpwstr>
      </vt:variant>
      <vt:variant>
        <vt:i4>1638458</vt:i4>
      </vt:variant>
      <vt:variant>
        <vt:i4>140</vt:i4>
      </vt:variant>
      <vt:variant>
        <vt:i4>0</vt:i4>
      </vt:variant>
      <vt:variant>
        <vt:i4>5</vt:i4>
      </vt:variant>
      <vt:variant>
        <vt:lpwstr/>
      </vt:variant>
      <vt:variant>
        <vt:lpwstr>_Toc36736982</vt:lpwstr>
      </vt:variant>
      <vt:variant>
        <vt:i4>1703994</vt:i4>
      </vt:variant>
      <vt:variant>
        <vt:i4>134</vt:i4>
      </vt:variant>
      <vt:variant>
        <vt:i4>0</vt:i4>
      </vt:variant>
      <vt:variant>
        <vt:i4>5</vt:i4>
      </vt:variant>
      <vt:variant>
        <vt:lpwstr/>
      </vt:variant>
      <vt:variant>
        <vt:lpwstr>_Toc36736981</vt:lpwstr>
      </vt:variant>
      <vt:variant>
        <vt:i4>1769530</vt:i4>
      </vt:variant>
      <vt:variant>
        <vt:i4>128</vt:i4>
      </vt:variant>
      <vt:variant>
        <vt:i4>0</vt:i4>
      </vt:variant>
      <vt:variant>
        <vt:i4>5</vt:i4>
      </vt:variant>
      <vt:variant>
        <vt:lpwstr/>
      </vt:variant>
      <vt:variant>
        <vt:lpwstr>_Toc36736980</vt:lpwstr>
      </vt:variant>
      <vt:variant>
        <vt:i4>1179701</vt:i4>
      </vt:variant>
      <vt:variant>
        <vt:i4>122</vt:i4>
      </vt:variant>
      <vt:variant>
        <vt:i4>0</vt:i4>
      </vt:variant>
      <vt:variant>
        <vt:i4>5</vt:i4>
      </vt:variant>
      <vt:variant>
        <vt:lpwstr/>
      </vt:variant>
      <vt:variant>
        <vt:lpwstr>_Toc36736979</vt:lpwstr>
      </vt:variant>
      <vt:variant>
        <vt:i4>1245237</vt:i4>
      </vt:variant>
      <vt:variant>
        <vt:i4>116</vt:i4>
      </vt:variant>
      <vt:variant>
        <vt:i4>0</vt:i4>
      </vt:variant>
      <vt:variant>
        <vt:i4>5</vt:i4>
      </vt:variant>
      <vt:variant>
        <vt:lpwstr/>
      </vt:variant>
      <vt:variant>
        <vt:lpwstr>_Toc36736978</vt:lpwstr>
      </vt:variant>
      <vt:variant>
        <vt:i4>1835061</vt:i4>
      </vt:variant>
      <vt:variant>
        <vt:i4>110</vt:i4>
      </vt:variant>
      <vt:variant>
        <vt:i4>0</vt:i4>
      </vt:variant>
      <vt:variant>
        <vt:i4>5</vt:i4>
      </vt:variant>
      <vt:variant>
        <vt:lpwstr/>
      </vt:variant>
      <vt:variant>
        <vt:lpwstr>_Toc36736977</vt:lpwstr>
      </vt:variant>
      <vt:variant>
        <vt:i4>1900597</vt:i4>
      </vt:variant>
      <vt:variant>
        <vt:i4>104</vt:i4>
      </vt:variant>
      <vt:variant>
        <vt:i4>0</vt:i4>
      </vt:variant>
      <vt:variant>
        <vt:i4>5</vt:i4>
      </vt:variant>
      <vt:variant>
        <vt:lpwstr/>
      </vt:variant>
      <vt:variant>
        <vt:lpwstr>_Toc36736976</vt:lpwstr>
      </vt:variant>
      <vt:variant>
        <vt:i4>1966133</vt:i4>
      </vt:variant>
      <vt:variant>
        <vt:i4>98</vt:i4>
      </vt:variant>
      <vt:variant>
        <vt:i4>0</vt:i4>
      </vt:variant>
      <vt:variant>
        <vt:i4>5</vt:i4>
      </vt:variant>
      <vt:variant>
        <vt:lpwstr/>
      </vt:variant>
      <vt:variant>
        <vt:lpwstr>_Toc36736975</vt:lpwstr>
      </vt:variant>
      <vt:variant>
        <vt:i4>2031669</vt:i4>
      </vt:variant>
      <vt:variant>
        <vt:i4>92</vt:i4>
      </vt:variant>
      <vt:variant>
        <vt:i4>0</vt:i4>
      </vt:variant>
      <vt:variant>
        <vt:i4>5</vt:i4>
      </vt:variant>
      <vt:variant>
        <vt:lpwstr/>
      </vt:variant>
      <vt:variant>
        <vt:lpwstr>_Toc36736974</vt:lpwstr>
      </vt:variant>
      <vt:variant>
        <vt:i4>1572917</vt:i4>
      </vt:variant>
      <vt:variant>
        <vt:i4>86</vt:i4>
      </vt:variant>
      <vt:variant>
        <vt:i4>0</vt:i4>
      </vt:variant>
      <vt:variant>
        <vt:i4>5</vt:i4>
      </vt:variant>
      <vt:variant>
        <vt:lpwstr/>
      </vt:variant>
      <vt:variant>
        <vt:lpwstr>_Toc36736973</vt:lpwstr>
      </vt:variant>
      <vt:variant>
        <vt:i4>1638453</vt:i4>
      </vt:variant>
      <vt:variant>
        <vt:i4>80</vt:i4>
      </vt:variant>
      <vt:variant>
        <vt:i4>0</vt:i4>
      </vt:variant>
      <vt:variant>
        <vt:i4>5</vt:i4>
      </vt:variant>
      <vt:variant>
        <vt:lpwstr/>
      </vt:variant>
      <vt:variant>
        <vt:lpwstr>_Toc36736972</vt:lpwstr>
      </vt:variant>
      <vt:variant>
        <vt:i4>1703989</vt:i4>
      </vt:variant>
      <vt:variant>
        <vt:i4>74</vt:i4>
      </vt:variant>
      <vt:variant>
        <vt:i4>0</vt:i4>
      </vt:variant>
      <vt:variant>
        <vt:i4>5</vt:i4>
      </vt:variant>
      <vt:variant>
        <vt:lpwstr/>
      </vt:variant>
      <vt:variant>
        <vt:lpwstr>_Toc36736971</vt:lpwstr>
      </vt:variant>
      <vt:variant>
        <vt:i4>1769525</vt:i4>
      </vt:variant>
      <vt:variant>
        <vt:i4>68</vt:i4>
      </vt:variant>
      <vt:variant>
        <vt:i4>0</vt:i4>
      </vt:variant>
      <vt:variant>
        <vt:i4>5</vt:i4>
      </vt:variant>
      <vt:variant>
        <vt:lpwstr/>
      </vt:variant>
      <vt:variant>
        <vt:lpwstr>_Toc36736970</vt:lpwstr>
      </vt:variant>
      <vt:variant>
        <vt:i4>1179700</vt:i4>
      </vt:variant>
      <vt:variant>
        <vt:i4>62</vt:i4>
      </vt:variant>
      <vt:variant>
        <vt:i4>0</vt:i4>
      </vt:variant>
      <vt:variant>
        <vt:i4>5</vt:i4>
      </vt:variant>
      <vt:variant>
        <vt:lpwstr/>
      </vt:variant>
      <vt:variant>
        <vt:lpwstr>_Toc36736969</vt:lpwstr>
      </vt:variant>
      <vt:variant>
        <vt:i4>1245236</vt:i4>
      </vt:variant>
      <vt:variant>
        <vt:i4>56</vt:i4>
      </vt:variant>
      <vt:variant>
        <vt:i4>0</vt:i4>
      </vt:variant>
      <vt:variant>
        <vt:i4>5</vt:i4>
      </vt:variant>
      <vt:variant>
        <vt:lpwstr/>
      </vt:variant>
      <vt:variant>
        <vt:lpwstr>_Toc36736968</vt:lpwstr>
      </vt:variant>
      <vt:variant>
        <vt:i4>1835060</vt:i4>
      </vt:variant>
      <vt:variant>
        <vt:i4>50</vt:i4>
      </vt:variant>
      <vt:variant>
        <vt:i4>0</vt:i4>
      </vt:variant>
      <vt:variant>
        <vt:i4>5</vt:i4>
      </vt:variant>
      <vt:variant>
        <vt:lpwstr/>
      </vt:variant>
      <vt:variant>
        <vt:lpwstr>_Toc36736967</vt:lpwstr>
      </vt:variant>
      <vt:variant>
        <vt:i4>1900596</vt:i4>
      </vt:variant>
      <vt:variant>
        <vt:i4>44</vt:i4>
      </vt:variant>
      <vt:variant>
        <vt:i4>0</vt:i4>
      </vt:variant>
      <vt:variant>
        <vt:i4>5</vt:i4>
      </vt:variant>
      <vt:variant>
        <vt:lpwstr/>
      </vt:variant>
      <vt:variant>
        <vt:lpwstr>_Toc36736966</vt:lpwstr>
      </vt:variant>
      <vt:variant>
        <vt:i4>1966132</vt:i4>
      </vt:variant>
      <vt:variant>
        <vt:i4>38</vt:i4>
      </vt:variant>
      <vt:variant>
        <vt:i4>0</vt:i4>
      </vt:variant>
      <vt:variant>
        <vt:i4>5</vt:i4>
      </vt:variant>
      <vt:variant>
        <vt:lpwstr/>
      </vt:variant>
      <vt:variant>
        <vt:lpwstr>_Toc36736965</vt:lpwstr>
      </vt:variant>
      <vt:variant>
        <vt:i4>2031668</vt:i4>
      </vt:variant>
      <vt:variant>
        <vt:i4>32</vt:i4>
      </vt:variant>
      <vt:variant>
        <vt:i4>0</vt:i4>
      </vt:variant>
      <vt:variant>
        <vt:i4>5</vt:i4>
      </vt:variant>
      <vt:variant>
        <vt:lpwstr/>
      </vt:variant>
      <vt:variant>
        <vt:lpwstr>_Toc36736964</vt:lpwstr>
      </vt:variant>
      <vt:variant>
        <vt:i4>1572916</vt:i4>
      </vt:variant>
      <vt:variant>
        <vt:i4>26</vt:i4>
      </vt:variant>
      <vt:variant>
        <vt:i4>0</vt:i4>
      </vt:variant>
      <vt:variant>
        <vt:i4>5</vt:i4>
      </vt:variant>
      <vt:variant>
        <vt:lpwstr/>
      </vt:variant>
      <vt:variant>
        <vt:lpwstr>_Toc36736963</vt:lpwstr>
      </vt:variant>
      <vt:variant>
        <vt:i4>1638452</vt:i4>
      </vt:variant>
      <vt:variant>
        <vt:i4>20</vt:i4>
      </vt:variant>
      <vt:variant>
        <vt:i4>0</vt:i4>
      </vt:variant>
      <vt:variant>
        <vt:i4>5</vt:i4>
      </vt:variant>
      <vt:variant>
        <vt:lpwstr/>
      </vt:variant>
      <vt:variant>
        <vt:lpwstr>_Toc36736962</vt:lpwstr>
      </vt:variant>
      <vt:variant>
        <vt:i4>1703988</vt:i4>
      </vt:variant>
      <vt:variant>
        <vt:i4>14</vt:i4>
      </vt:variant>
      <vt:variant>
        <vt:i4>0</vt:i4>
      </vt:variant>
      <vt:variant>
        <vt:i4>5</vt:i4>
      </vt:variant>
      <vt:variant>
        <vt:lpwstr/>
      </vt:variant>
      <vt:variant>
        <vt:lpwstr>_Toc36736961</vt:lpwstr>
      </vt:variant>
      <vt:variant>
        <vt:i4>1769524</vt:i4>
      </vt:variant>
      <vt:variant>
        <vt:i4>8</vt:i4>
      </vt:variant>
      <vt:variant>
        <vt:i4>0</vt:i4>
      </vt:variant>
      <vt:variant>
        <vt:i4>5</vt:i4>
      </vt:variant>
      <vt:variant>
        <vt:lpwstr/>
      </vt:variant>
      <vt:variant>
        <vt:lpwstr>_Toc36736960</vt:lpwstr>
      </vt:variant>
      <vt:variant>
        <vt:i4>1179703</vt:i4>
      </vt:variant>
      <vt:variant>
        <vt:i4>2</vt:i4>
      </vt:variant>
      <vt:variant>
        <vt:i4>0</vt:i4>
      </vt:variant>
      <vt:variant>
        <vt:i4>5</vt:i4>
      </vt:variant>
      <vt:variant>
        <vt:lpwstr/>
      </vt:variant>
      <vt:variant>
        <vt:lpwstr>_Toc36736959</vt:lpwstr>
      </vt:variant>
      <vt:variant>
        <vt:i4>1704008</vt:i4>
      </vt:variant>
      <vt:variant>
        <vt:i4>117</vt:i4>
      </vt:variant>
      <vt:variant>
        <vt:i4>0</vt:i4>
      </vt:variant>
      <vt:variant>
        <vt:i4>5</vt:i4>
      </vt:variant>
      <vt:variant>
        <vt:lpwstr>https://www.parliament.nsw.gov.au/tp/files/8934/Section 106R Review of Food Act 2003.pdf</vt:lpwstr>
      </vt:variant>
      <vt:variant>
        <vt:lpwstr/>
      </vt:variant>
      <vt:variant>
        <vt:i4>3080249</vt:i4>
      </vt:variant>
      <vt:variant>
        <vt:i4>114</vt:i4>
      </vt:variant>
      <vt:variant>
        <vt:i4>0</vt:i4>
      </vt:variant>
      <vt:variant>
        <vt:i4>5</vt:i4>
      </vt:variant>
      <vt:variant>
        <vt:lpwstr>http://www.aceobesitypolicy.com.au/</vt:lpwstr>
      </vt:variant>
      <vt:variant>
        <vt:lpwstr/>
      </vt:variant>
      <vt:variant>
        <vt:i4>4980761</vt:i4>
      </vt:variant>
      <vt:variant>
        <vt:i4>111</vt:i4>
      </vt:variant>
      <vt:variant>
        <vt:i4>0</vt:i4>
      </vt:variant>
      <vt:variant>
        <vt:i4>5</vt:i4>
      </vt:variant>
      <vt:variant>
        <vt:lpwstr>https://www.ibisworld.com.au/industry-trends/nz-market-research-reports/</vt:lpwstr>
      </vt:variant>
      <vt:variant>
        <vt:lpwstr/>
      </vt:variant>
      <vt:variant>
        <vt:i4>4194307</vt:i4>
      </vt:variant>
      <vt:variant>
        <vt:i4>108</vt:i4>
      </vt:variant>
      <vt:variant>
        <vt:i4>0</vt:i4>
      </vt:variant>
      <vt:variant>
        <vt:i4>5</vt:i4>
      </vt:variant>
      <vt:variant>
        <vt:lpwstr>https://www.ibisworld.com.au/industry-trends/market-research-reports/</vt:lpwstr>
      </vt:variant>
      <vt:variant>
        <vt:lpwstr/>
      </vt:variant>
      <vt:variant>
        <vt:i4>2031645</vt:i4>
      </vt:variant>
      <vt:variant>
        <vt:i4>105</vt:i4>
      </vt:variant>
      <vt:variant>
        <vt:i4>0</vt:i4>
      </vt:variant>
      <vt:variant>
        <vt:i4>5</vt:i4>
      </vt:variant>
      <vt:variant>
        <vt:lpwstr>https://foodregulation.gov.au/internet/fr/publishing.nsf/Content/review-fast-food-menu-labelling-schemes</vt:lpwstr>
      </vt:variant>
      <vt:variant>
        <vt:lpwstr/>
      </vt:variant>
      <vt:variant>
        <vt:i4>2031645</vt:i4>
      </vt:variant>
      <vt:variant>
        <vt:i4>102</vt:i4>
      </vt:variant>
      <vt:variant>
        <vt:i4>0</vt:i4>
      </vt:variant>
      <vt:variant>
        <vt:i4>5</vt:i4>
      </vt:variant>
      <vt:variant>
        <vt:lpwstr>https://foodregulation.gov.au/internet/fr/publishing.nsf/Content/review-fast-food-menu-labelling-schemes</vt:lpwstr>
      </vt:variant>
      <vt:variant>
        <vt:lpwstr/>
      </vt:variant>
      <vt:variant>
        <vt:i4>2031645</vt:i4>
      </vt:variant>
      <vt:variant>
        <vt:i4>99</vt:i4>
      </vt:variant>
      <vt:variant>
        <vt:i4>0</vt:i4>
      </vt:variant>
      <vt:variant>
        <vt:i4>5</vt:i4>
      </vt:variant>
      <vt:variant>
        <vt:lpwstr>https://foodregulation.gov.au/internet/fr/publishing.nsf/Content/review-fast-food-menu-labelling-schemes</vt:lpwstr>
      </vt:variant>
      <vt:variant>
        <vt:lpwstr/>
      </vt:variant>
      <vt:variant>
        <vt:i4>4784213</vt:i4>
      </vt:variant>
      <vt:variant>
        <vt:i4>96</vt:i4>
      </vt:variant>
      <vt:variant>
        <vt:i4>0</vt:i4>
      </vt:variant>
      <vt:variant>
        <vt:i4>5</vt:i4>
      </vt:variant>
      <vt:variant>
        <vt:lpwstr>https://www.heartfoundation.org.au/news/4-in-5-victorians-support-kilojoules-on-the-menu-survey-shows</vt:lpwstr>
      </vt:variant>
      <vt:variant>
        <vt:lpwstr/>
      </vt:variant>
      <vt:variant>
        <vt:i4>917613</vt:i4>
      </vt:variant>
      <vt:variant>
        <vt:i4>93</vt:i4>
      </vt:variant>
      <vt:variant>
        <vt:i4>0</vt:i4>
      </vt:variant>
      <vt:variant>
        <vt:i4>5</vt:i4>
      </vt:variant>
      <vt:variant>
        <vt:lpwstr>https://www.health.qld.gov.au/__data/assets/pdf_file/0030/813972/health-wellbeing-performance-review-2017-18.pdf</vt:lpwstr>
      </vt:variant>
      <vt:variant>
        <vt:lpwstr/>
      </vt:variant>
      <vt:variant>
        <vt:i4>3145840</vt:i4>
      </vt:variant>
      <vt:variant>
        <vt:i4>90</vt:i4>
      </vt:variant>
      <vt:variant>
        <vt:i4>0</vt:i4>
      </vt:variant>
      <vt:variant>
        <vt:i4>5</vt:i4>
      </vt:variant>
      <vt:variant>
        <vt:lpwstr>https://www.health.act.gov.au/sites/default/files/2018-09/Review of Display of Nutritional Information for Food Report 2017.pdf</vt:lpwstr>
      </vt:variant>
      <vt:variant>
        <vt:lpwstr/>
      </vt:variant>
      <vt:variant>
        <vt:i4>5767170</vt:i4>
      </vt:variant>
      <vt:variant>
        <vt:i4>87</vt:i4>
      </vt:variant>
      <vt:variant>
        <vt:i4>0</vt:i4>
      </vt:variant>
      <vt:variant>
        <vt:i4>5</vt:i4>
      </vt:variant>
      <vt:variant>
        <vt:lpwstr>http://www.foodauthority.nsw.gov.au/_Documents/scienceandtechnical/fast_choices_TNS_report.pdf</vt:lpwstr>
      </vt:variant>
      <vt:variant>
        <vt:lpwstr/>
      </vt:variant>
      <vt:variant>
        <vt:i4>5767236</vt:i4>
      </vt:variant>
      <vt:variant>
        <vt:i4>84</vt:i4>
      </vt:variant>
      <vt:variant>
        <vt:i4>0</vt:i4>
      </vt:variant>
      <vt:variant>
        <vt:i4>5</vt:i4>
      </vt:variant>
      <vt:variant>
        <vt:lpwstr>https://www.betterhealth.vic.gov.au/campaigns/kilojoules-on-the-menu</vt:lpwstr>
      </vt:variant>
      <vt:variant>
        <vt:lpwstr/>
      </vt:variant>
      <vt:variant>
        <vt:i4>7602291</vt:i4>
      </vt:variant>
      <vt:variant>
        <vt:i4>81</vt:i4>
      </vt:variant>
      <vt:variant>
        <vt:i4>0</vt:i4>
      </vt:variant>
      <vt:variant>
        <vt:i4>5</vt:i4>
      </vt:variant>
      <vt:variant>
        <vt:lpwstr>https://www.health.qld.gov.au/news-events/campaigns/previous-campaigns</vt:lpwstr>
      </vt:variant>
      <vt:variant>
        <vt:lpwstr/>
      </vt:variant>
      <vt:variant>
        <vt:i4>983122</vt:i4>
      </vt:variant>
      <vt:variant>
        <vt:i4>78</vt:i4>
      </vt:variant>
      <vt:variant>
        <vt:i4>0</vt:i4>
      </vt:variant>
      <vt:variant>
        <vt:i4>5</vt:i4>
      </vt:variant>
      <vt:variant>
        <vt:lpwstr>https://www.8700.com.au/</vt:lpwstr>
      </vt:variant>
      <vt:variant>
        <vt:lpwstr/>
      </vt:variant>
      <vt:variant>
        <vt:i4>4325386</vt:i4>
      </vt:variant>
      <vt:variant>
        <vt:i4>75</vt:i4>
      </vt:variant>
      <vt:variant>
        <vt:i4>0</vt:i4>
      </vt:variant>
      <vt:variant>
        <vt:i4>5</vt:i4>
      </vt:variant>
      <vt:variant>
        <vt:lpwstr>https://www.foodstandards.gov.au/publications/Documents/Literature review on label format - commissioned report 2013.pdf</vt:lpwstr>
      </vt:variant>
      <vt:variant>
        <vt:lpwstr/>
      </vt:variant>
      <vt:variant>
        <vt:i4>3145834</vt:i4>
      </vt:variant>
      <vt:variant>
        <vt:i4>72</vt:i4>
      </vt:variant>
      <vt:variant>
        <vt:i4>0</vt:i4>
      </vt:variant>
      <vt:variant>
        <vt:i4>5</vt:i4>
      </vt:variant>
      <vt:variant>
        <vt:lpwstr>https://foodregulation.gov.au/internet/fr/publishing.nsf/Content/review-food-labelling</vt:lpwstr>
      </vt:variant>
      <vt:variant>
        <vt:lpwstr/>
      </vt:variant>
      <vt:variant>
        <vt:i4>4259866</vt:i4>
      </vt:variant>
      <vt:variant>
        <vt:i4>69</vt:i4>
      </vt:variant>
      <vt:variant>
        <vt:i4>0</vt:i4>
      </vt:variant>
      <vt:variant>
        <vt:i4>5</vt:i4>
      </vt:variant>
      <vt:variant>
        <vt:lpwstr>https://webarchive.nla.gov.au/awa/20170215181007/http://foodlabellingreview.gov.au/internet/foodlabelling/publishing.nsf/content/labelling-logic</vt:lpwstr>
      </vt:variant>
      <vt:variant>
        <vt:lpwstr/>
      </vt:variant>
      <vt:variant>
        <vt:i4>2097188</vt:i4>
      </vt:variant>
      <vt:variant>
        <vt:i4>66</vt:i4>
      </vt:variant>
      <vt:variant>
        <vt:i4>0</vt:i4>
      </vt:variant>
      <vt:variant>
        <vt:i4>5</vt:i4>
      </vt:variant>
      <vt:variant>
        <vt:lpwstr>https://foodregulation.gov.au/internet/fr/publishing.nsf/Content/publication-principles-point-of-sale-nutrition</vt:lpwstr>
      </vt:variant>
      <vt:variant>
        <vt:lpwstr/>
      </vt:variant>
      <vt:variant>
        <vt:i4>4849695</vt:i4>
      </vt:variant>
      <vt:variant>
        <vt:i4>63</vt:i4>
      </vt:variant>
      <vt:variant>
        <vt:i4>0</vt:i4>
      </vt:variant>
      <vt:variant>
        <vt:i4>5</vt:i4>
      </vt:variant>
      <vt:variant>
        <vt:lpwstr>https://foodregulation.gov.au/internet/fr/publishing.nsf/Content/key-system-documents</vt:lpwstr>
      </vt:variant>
      <vt:variant>
        <vt:lpwstr/>
      </vt:variant>
      <vt:variant>
        <vt:i4>2097205</vt:i4>
      </vt:variant>
      <vt:variant>
        <vt:i4>60</vt:i4>
      </vt:variant>
      <vt:variant>
        <vt:i4>0</vt:i4>
      </vt:variant>
      <vt:variant>
        <vt:i4>5</vt:i4>
      </vt:variant>
      <vt:variant>
        <vt:lpwstr>https://doi.org/10.1002/14651858.CD009315.pub2</vt:lpwstr>
      </vt:variant>
      <vt:variant>
        <vt:lpwstr/>
      </vt:variant>
      <vt:variant>
        <vt:i4>1704019</vt:i4>
      </vt:variant>
      <vt:variant>
        <vt:i4>57</vt:i4>
      </vt:variant>
      <vt:variant>
        <vt:i4>0</vt:i4>
      </vt:variant>
      <vt:variant>
        <vt:i4>5</vt:i4>
      </vt:variant>
      <vt:variant>
        <vt:lpwstr>https://www.mckinsey.com/industries/healthcare-systems-and-services/our-insights/how-the-world-could-better-fight-obesity</vt:lpwstr>
      </vt:variant>
      <vt:variant>
        <vt:lpwstr/>
      </vt:variant>
      <vt:variant>
        <vt:i4>3080249</vt:i4>
      </vt:variant>
      <vt:variant>
        <vt:i4>54</vt:i4>
      </vt:variant>
      <vt:variant>
        <vt:i4>0</vt:i4>
      </vt:variant>
      <vt:variant>
        <vt:i4>5</vt:i4>
      </vt:variant>
      <vt:variant>
        <vt:lpwstr>http://www.aceobesitypolicy.com.au/</vt:lpwstr>
      </vt:variant>
      <vt:variant>
        <vt:lpwstr/>
      </vt:variant>
      <vt:variant>
        <vt:i4>4522060</vt:i4>
      </vt:variant>
      <vt:variant>
        <vt:i4>51</vt:i4>
      </vt:variant>
      <vt:variant>
        <vt:i4>0</vt:i4>
      </vt:variant>
      <vt:variant>
        <vt:i4>5</vt:i4>
      </vt:variant>
      <vt:variant>
        <vt:lpwstr>https://www.wcrf.org/int/policy/nourishing/our-policy-framework-promote-healthy-diets-reduce-obesity</vt:lpwstr>
      </vt:variant>
      <vt:variant>
        <vt:lpwstr/>
      </vt:variant>
      <vt:variant>
        <vt:i4>720964</vt:i4>
      </vt:variant>
      <vt:variant>
        <vt:i4>48</vt:i4>
      </vt:variant>
      <vt:variant>
        <vt:i4>0</vt:i4>
      </vt:variant>
      <vt:variant>
        <vt:i4>5</vt:i4>
      </vt:variant>
      <vt:variant>
        <vt:lpwstr>https://www.stats.govt.nz/information-releases/household-expenditure-statistics-year-ended-june-2016</vt:lpwstr>
      </vt:variant>
      <vt:variant>
        <vt:lpwstr/>
      </vt:variant>
      <vt:variant>
        <vt:i4>2424875</vt:i4>
      </vt:variant>
      <vt:variant>
        <vt:i4>45</vt:i4>
      </vt:variant>
      <vt:variant>
        <vt:i4>0</vt:i4>
      </vt:variant>
      <vt:variant>
        <vt:i4>5</vt:i4>
      </vt:variant>
      <vt:variant>
        <vt:lpwstr>http://data.daff.gov.au/data/warehouse/9aat/2018/fdati9aat20180822/FoodDemandInAustralia_20180822_v1.0.0.pdf</vt:lpwstr>
      </vt:variant>
      <vt:variant>
        <vt:lpwstr/>
      </vt:variant>
      <vt:variant>
        <vt:i4>5570650</vt:i4>
      </vt:variant>
      <vt:variant>
        <vt:i4>42</vt:i4>
      </vt:variant>
      <vt:variant>
        <vt:i4>0</vt:i4>
      </vt:variant>
      <vt:variant>
        <vt:i4>5</vt:i4>
      </vt:variant>
      <vt:variant>
        <vt:lpwstr>http://www.roymorgan.com/findings/7602-food-delivery-services-march-2018-201805240625</vt:lpwstr>
      </vt:variant>
      <vt:variant>
        <vt:lpwstr/>
      </vt:variant>
      <vt:variant>
        <vt:i4>196677</vt:i4>
      </vt:variant>
      <vt:variant>
        <vt:i4>39</vt:i4>
      </vt:variant>
      <vt:variant>
        <vt:i4>0</vt:i4>
      </vt:variant>
      <vt:variant>
        <vt:i4>5</vt:i4>
      </vt:variant>
      <vt:variant>
        <vt:lpwstr>https://futurefood.com.au/blog/2019/06/eating-out-in-australia-takeaways-on-takeaways</vt:lpwstr>
      </vt:variant>
      <vt:variant>
        <vt:lpwstr/>
      </vt:variant>
      <vt:variant>
        <vt:i4>1900634</vt:i4>
      </vt:variant>
      <vt:variant>
        <vt:i4>36</vt:i4>
      </vt:variant>
      <vt:variant>
        <vt:i4>0</vt:i4>
      </vt:variant>
      <vt:variant>
        <vt:i4>5</vt:i4>
      </vt:variant>
      <vt:variant>
        <vt:lpwstr>https://www.emma.com.au/wp-content/uploads/2014/03/emma-Industry-Report_Out-of-Home-Dining_website-version.pdf</vt:lpwstr>
      </vt:variant>
      <vt:variant>
        <vt:lpwstr/>
      </vt:variant>
      <vt:variant>
        <vt:i4>4259866</vt:i4>
      </vt:variant>
      <vt:variant>
        <vt:i4>33</vt:i4>
      </vt:variant>
      <vt:variant>
        <vt:i4>0</vt:i4>
      </vt:variant>
      <vt:variant>
        <vt:i4>5</vt:i4>
      </vt:variant>
      <vt:variant>
        <vt:lpwstr>http://www.roymorgan.com/findings/7599-australian-eating-habits-eating-in-out-march-2018-201805290253</vt:lpwstr>
      </vt:variant>
      <vt:variant>
        <vt:lpwstr/>
      </vt:variant>
      <vt:variant>
        <vt:i4>1048592</vt:i4>
      </vt:variant>
      <vt:variant>
        <vt:i4>30</vt:i4>
      </vt:variant>
      <vt:variant>
        <vt:i4>0</vt:i4>
      </vt:variant>
      <vt:variant>
        <vt:i4>5</vt:i4>
      </vt:variant>
      <vt:variant>
        <vt:lpwstr>https://www.pwc.com.au/pdf/weighing-the-cost-of-obesity-final.pdf</vt:lpwstr>
      </vt:variant>
      <vt:variant>
        <vt:lpwstr/>
      </vt:variant>
      <vt:variant>
        <vt:i4>6619237</vt:i4>
      </vt:variant>
      <vt:variant>
        <vt:i4>27</vt:i4>
      </vt:variant>
      <vt:variant>
        <vt:i4>0</vt:i4>
      </vt:variant>
      <vt:variant>
        <vt:i4>5</vt:i4>
      </vt:variant>
      <vt:variant>
        <vt:lpwstr>http://www.obesityaustralia.org/points-of-view</vt:lpwstr>
      </vt:variant>
      <vt:variant>
        <vt:lpwstr/>
      </vt:variant>
      <vt:variant>
        <vt:i4>1048592</vt:i4>
      </vt:variant>
      <vt:variant>
        <vt:i4>24</vt:i4>
      </vt:variant>
      <vt:variant>
        <vt:i4>0</vt:i4>
      </vt:variant>
      <vt:variant>
        <vt:i4>5</vt:i4>
      </vt:variant>
      <vt:variant>
        <vt:lpwstr>https://www.pwc.com.au/pdf/weighing-the-cost-of-obesity-final.pdf</vt:lpwstr>
      </vt:variant>
      <vt:variant>
        <vt:lpwstr/>
      </vt:variant>
      <vt:variant>
        <vt:i4>327758</vt:i4>
      </vt:variant>
      <vt:variant>
        <vt:i4>21</vt:i4>
      </vt:variant>
      <vt:variant>
        <vt:i4>0</vt:i4>
      </vt:variant>
      <vt:variant>
        <vt:i4>5</vt:i4>
      </vt:variant>
      <vt:variant>
        <vt:lpwstr>https://onlinelibrary.wiley.com/doi/full/10.1111/1753-6405.12804</vt:lpwstr>
      </vt:variant>
      <vt:variant>
        <vt:lpwstr/>
      </vt:variant>
      <vt:variant>
        <vt:i4>6094919</vt:i4>
      </vt:variant>
      <vt:variant>
        <vt:i4>18</vt:i4>
      </vt:variant>
      <vt:variant>
        <vt:i4>0</vt:i4>
      </vt:variant>
      <vt:variant>
        <vt:i4>5</vt:i4>
      </vt:variant>
      <vt:variant>
        <vt:lpwstr>http://www.moh.govt.nz/notebook/nbbooks.nsf/0/F85C39E4495B9684CC257BD3006F6299/$file/health-loss-in-new-zealand-final.pdf</vt:lpwstr>
      </vt:variant>
      <vt:variant>
        <vt:lpwstr/>
      </vt:variant>
      <vt:variant>
        <vt:i4>4522054</vt:i4>
      </vt:variant>
      <vt:variant>
        <vt:i4>15</vt:i4>
      </vt:variant>
      <vt:variant>
        <vt:i4>0</vt:i4>
      </vt:variant>
      <vt:variant>
        <vt:i4>5</vt:i4>
      </vt:variant>
      <vt:variant>
        <vt:lpwstr>https://www.aihw.gov.au/reports/burden-of-disease/burden-disease-study-illness-death-2015/contents/table-of-contents</vt:lpwstr>
      </vt:variant>
      <vt:variant>
        <vt:lpwstr/>
      </vt:variant>
      <vt:variant>
        <vt:i4>6750315</vt:i4>
      </vt:variant>
      <vt:variant>
        <vt:i4>12</vt:i4>
      </vt:variant>
      <vt:variant>
        <vt:i4>0</vt:i4>
      </vt:variant>
      <vt:variant>
        <vt:i4>5</vt:i4>
      </vt:variant>
      <vt:variant>
        <vt:lpwstr>https://www.health.govt.nz/nz-health-statistics/health-statistics-and-data-sets/obesity-statistics</vt:lpwstr>
      </vt:variant>
      <vt:variant>
        <vt:lpwstr/>
      </vt:variant>
      <vt:variant>
        <vt:i4>65642</vt:i4>
      </vt:variant>
      <vt:variant>
        <vt:i4>9</vt:i4>
      </vt:variant>
      <vt:variant>
        <vt:i4>0</vt:i4>
      </vt:variant>
      <vt:variant>
        <vt:i4>5</vt:i4>
      </vt:variant>
      <vt:variant>
        <vt:lpwstr>https://www.abs.gov.au/ausstats/abs@.nsf/PrimaryMainFeatures/4364.0.55.001?OpenDocument</vt:lpwstr>
      </vt:variant>
      <vt:variant>
        <vt:lpwstr/>
      </vt:variant>
      <vt:variant>
        <vt:i4>8061045</vt:i4>
      </vt:variant>
      <vt:variant>
        <vt:i4>6</vt:i4>
      </vt:variant>
      <vt:variant>
        <vt:i4>0</vt:i4>
      </vt:variant>
      <vt:variant>
        <vt:i4>5</vt:i4>
      </vt:variant>
      <vt:variant>
        <vt:lpwstr>https://www.pmc.gov.au/sites/default/files/publications/COAG_best_practice_guide_2007.pdf</vt:lpwstr>
      </vt:variant>
      <vt:variant>
        <vt:lpwstr/>
      </vt:variant>
      <vt:variant>
        <vt:i4>2097188</vt:i4>
      </vt:variant>
      <vt:variant>
        <vt:i4>3</vt:i4>
      </vt:variant>
      <vt:variant>
        <vt:i4>0</vt:i4>
      </vt:variant>
      <vt:variant>
        <vt:i4>5</vt:i4>
      </vt:variant>
      <vt:variant>
        <vt:lpwstr>https://foodregulation.gov.au/internet/fr/publishing.nsf/Content/publication-principles-point-of-sale-nutrition</vt:lpwstr>
      </vt:variant>
      <vt:variant>
        <vt:lpwstr/>
      </vt:variant>
      <vt:variant>
        <vt:i4>2097188</vt:i4>
      </vt:variant>
      <vt:variant>
        <vt:i4>0</vt:i4>
      </vt:variant>
      <vt:variant>
        <vt:i4>0</vt:i4>
      </vt:variant>
      <vt:variant>
        <vt:i4>5</vt:i4>
      </vt:variant>
      <vt:variant>
        <vt:lpwstr>https://foodregulation.gov.au/internet/fr/publishing.nsf/Content/publication-principles-point-of-sale-nutrition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Regulatory Impact Statement - Menu labelling in Australi aand New Zealand</dc:title>
  <dc:subject>Food and nutrition</dc:subject>
  <dc:creator/>
  <cp:keywords/>
  <dc:description/>
  <cp:lastModifiedBy/>
  <cp:revision>1</cp:revision>
  <dcterms:created xsi:type="dcterms:W3CDTF">2023-01-19T02:50:00Z</dcterms:created>
  <dcterms:modified xsi:type="dcterms:W3CDTF">2023-01-24T05:26:00Z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0x0101009CA239676470E04B809DDC4E24CF2322</vt:lpwstr>
  </property>
  <property fmtid="{D5CDD505-2E9C-101B-9397-08002B2CF9AE}" pid="3" name="_dlc_DocIdItemGuid">
    <vt:lpwstr>c6f4f3e7-47b0-4d5e-88e7-c5f1be54c219</vt:lpwstr>
  </property>
</Properties>
</file>