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8B0F" w14:textId="60C63F37" w:rsidR="00E551D2" w:rsidRDefault="00E551D2" w:rsidP="008B1B24">
      <w:pPr>
        <w:pStyle w:val="CoverTitleMain"/>
      </w:pPr>
      <w:r w:rsidRPr="009643E4">
        <w:rPr>
          <w:b/>
          <w:bCs/>
        </w:rPr>
        <w:t xml:space="preserve">Regulation </w:t>
      </w:r>
      <w:r w:rsidR="0035350A">
        <w:rPr>
          <w:b/>
          <w:bCs/>
        </w:rPr>
        <w:t>I</w:t>
      </w:r>
      <w:r w:rsidRPr="009643E4">
        <w:rPr>
          <w:b/>
          <w:bCs/>
        </w:rPr>
        <w:t xml:space="preserve">mpact </w:t>
      </w:r>
      <w:r w:rsidR="0035350A">
        <w:rPr>
          <w:b/>
          <w:bCs/>
        </w:rPr>
        <w:t>S</w:t>
      </w:r>
      <w:r w:rsidRPr="009643E4">
        <w:rPr>
          <w:b/>
          <w:bCs/>
        </w:rPr>
        <w:t>tatement</w:t>
      </w:r>
      <w:r w:rsidR="009643E4">
        <w:br/>
      </w:r>
      <w:r w:rsidR="001A058A">
        <w:t>Education Standards for Experienced Financial Advisers</w:t>
      </w:r>
    </w:p>
    <w:p w14:paraId="7B4597B3" w14:textId="431C16A0" w:rsidR="000029ED" w:rsidRDefault="304B7E68" w:rsidP="000029ED">
      <w:pPr>
        <w:pStyle w:val="CoverDate"/>
        <w:rPr>
          <w:rStyle w:val="ReportDateChar"/>
        </w:rPr>
        <w:sectPr w:rsidR="000029ED" w:rsidSect="00BA38FA">
          <w:headerReference w:type="first" r:id="rId12"/>
          <w:footerReference w:type="first" r:id="rId13"/>
          <w:type w:val="oddPage"/>
          <w:pgSz w:w="11906" w:h="16838"/>
          <w:pgMar w:top="1418" w:right="1418" w:bottom="1418" w:left="1418" w:header="709" w:footer="709" w:gutter="0"/>
          <w:pgNumType w:fmt="lowerRoman"/>
          <w:cols w:space="708"/>
          <w:titlePg/>
          <w:docGrid w:linePitch="360"/>
        </w:sectPr>
      </w:pPr>
      <w:r w:rsidRPr="296D627B">
        <w:rPr>
          <w:rStyle w:val="ReportDateChar"/>
        </w:rPr>
        <w:t xml:space="preserve">April </w:t>
      </w:r>
      <w:r w:rsidR="00ED185F" w:rsidRPr="296D627B">
        <w:rPr>
          <w:rStyle w:val="ReportDateChar"/>
        </w:rPr>
        <w:t>202</w:t>
      </w:r>
      <w:r w:rsidR="008D56E2" w:rsidRPr="296D627B">
        <w:rPr>
          <w:rStyle w:val="ReportDateChar"/>
        </w:rPr>
        <w:t>3</w:t>
      </w:r>
    </w:p>
    <w:p w14:paraId="37D9B68C" w14:textId="4DF6FE17" w:rsidR="001464B0" w:rsidRDefault="001464B0" w:rsidP="001464B0">
      <w:pPr>
        <w:spacing w:before="0" w:after="160" w:line="259" w:lineRule="auto"/>
      </w:pPr>
      <w:r w:rsidRPr="00661BF0">
        <w:lastRenderedPageBreak/>
        <w:t xml:space="preserve">© Commonwealth of Australia </w:t>
      </w:r>
      <w:r w:rsidR="00FD56DB">
        <w:t>2022</w:t>
      </w:r>
    </w:p>
    <w:p w14:paraId="363CF0E7" w14:textId="33DEF584" w:rsidR="001464B0" w:rsidRPr="00086F82" w:rsidRDefault="001464B0" w:rsidP="001464B0">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4"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5"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5AF291CD" w14:textId="77777777" w:rsidR="001464B0" w:rsidRDefault="001464B0" w:rsidP="001464B0">
      <w:pPr>
        <w:pStyle w:val="ChartGraphic"/>
        <w:jc w:val="left"/>
      </w:pPr>
      <w:r w:rsidRPr="00E56DFB">
        <w:rPr>
          <w:noProof/>
        </w:rPr>
        <w:drawing>
          <wp:inline distT="0" distB="0" distL="0" distR="0" wp14:anchorId="7E86A6D5" wp14:editId="0EBB2A3A">
            <wp:extent cx="809625" cy="285750"/>
            <wp:effectExtent l="0" t="0" r="9525" b="0"/>
            <wp:docPr id="1"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6D0550B" w14:textId="77777777" w:rsidR="001464B0" w:rsidRPr="006627B4" w:rsidRDefault="001464B0" w:rsidP="001464B0">
      <w:pPr>
        <w:tabs>
          <w:tab w:val="left" w:pos="1650"/>
        </w:tabs>
        <w:spacing w:before="240"/>
      </w:pPr>
      <w:r w:rsidRPr="006627B4">
        <w:t>Use of Treasury material under a</w:t>
      </w:r>
      <w:r w:rsidRPr="00476F09">
        <w:rPr>
          <w:rFonts w:cstheme="minorHAnsi"/>
          <w:sz w:val="24"/>
          <w:szCs w:val="24"/>
        </w:rPr>
        <w:t xml:space="preserve"> </w:t>
      </w:r>
      <w:hyperlink r:id="rId17"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215B4C3B" w14:textId="77777777" w:rsidR="001464B0" w:rsidRPr="006469CC" w:rsidRDefault="001464B0" w:rsidP="001464B0">
      <w:pPr>
        <w:spacing w:before="240"/>
        <w:rPr>
          <w:b/>
        </w:rPr>
      </w:pPr>
      <w:r w:rsidRPr="006469CC">
        <w:rPr>
          <w:b/>
        </w:rPr>
        <w:t>Treasury material used ‘as supplied’.</w:t>
      </w:r>
    </w:p>
    <w:p w14:paraId="468846FB" w14:textId="77777777" w:rsidR="001464B0" w:rsidRPr="00476F09" w:rsidRDefault="001464B0" w:rsidP="001464B0">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7517D2F6" w14:textId="58B08CE8" w:rsidR="001464B0" w:rsidRPr="00A13A11" w:rsidRDefault="001464B0" w:rsidP="001464B0">
      <w:pPr>
        <w:ind w:firstLine="720"/>
      </w:pPr>
      <w:r w:rsidRPr="002F1BC2">
        <w:rPr>
          <w:i/>
        </w:rPr>
        <w:t xml:space="preserve">Source: The </w:t>
      </w:r>
      <w:r w:rsidRPr="002F1BC2">
        <w:rPr>
          <w:i/>
          <w:iCs/>
        </w:rPr>
        <w:t xml:space="preserve">Australian Government the Treasury </w:t>
      </w:r>
    </w:p>
    <w:p w14:paraId="2E052805" w14:textId="77777777" w:rsidR="001464B0" w:rsidRPr="006627B4" w:rsidRDefault="001464B0" w:rsidP="001464B0">
      <w:pPr>
        <w:spacing w:before="240"/>
      </w:pPr>
      <w:r w:rsidRPr="00CC63CC">
        <w:rPr>
          <w:b/>
        </w:rPr>
        <w:t>Derivative</w:t>
      </w:r>
      <w:r w:rsidRPr="006627B4">
        <w:t xml:space="preserve"> </w:t>
      </w:r>
      <w:r w:rsidRPr="00CC63CC">
        <w:rPr>
          <w:b/>
        </w:rPr>
        <w:t>material</w:t>
      </w:r>
    </w:p>
    <w:p w14:paraId="16DD1D03" w14:textId="77777777" w:rsidR="001464B0" w:rsidRPr="006627B4" w:rsidRDefault="001464B0" w:rsidP="001464B0">
      <w:r w:rsidRPr="006627B4">
        <w:t xml:space="preserve">If you have modified or transformed Treasury material, or derived new material from those of the Treasury in any way, then Treasury prefers the following attribution: </w:t>
      </w:r>
    </w:p>
    <w:p w14:paraId="3BAEC3B9" w14:textId="081A89A2" w:rsidR="001464B0" w:rsidRPr="006627B4" w:rsidRDefault="001464B0" w:rsidP="001464B0">
      <w:pPr>
        <w:ind w:firstLine="720"/>
      </w:pPr>
      <w:r w:rsidRPr="002F1BC2">
        <w:rPr>
          <w:i/>
        </w:rPr>
        <w:t>Based on The Australian Government the Treasury data</w:t>
      </w:r>
      <w:r>
        <w:t>.</w:t>
      </w:r>
    </w:p>
    <w:p w14:paraId="3A975C8F" w14:textId="77777777" w:rsidR="001464B0" w:rsidRPr="006627B4" w:rsidRDefault="001464B0" w:rsidP="001464B0">
      <w:pPr>
        <w:spacing w:before="240"/>
        <w:rPr>
          <w:b/>
        </w:rPr>
      </w:pPr>
      <w:r w:rsidRPr="006627B4">
        <w:rPr>
          <w:b/>
        </w:rPr>
        <w:t>Use of the Coat of Arms</w:t>
      </w:r>
    </w:p>
    <w:p w14:paraId="5BC6B74F" w14:textId="7D1ECE29" w:rsidR="001464B0" w:rsidRPr="005C503A" w:rsidRDefault="001464B0" w:rsidP="001464B0">
      <w:pPr>
        <w:spacing w:before="240"/>
      </w:pPr>
      <w:r w:rsidRPr="005C503A">
        <w:t xml:space="preserve">The terms under which the Coat of Arms can be used are set out on the Department of the Prime Minister and Cabinet website (see </w:t>
      </w:r>
      <w:hyperlink r:id="rId18" w:history="1">
        <w:r>
          <w:rPr>
            <w:rStyle w:val="Hyperlink"/>
          </w:rPr>
          <w:t>http://www.pmc.gov.au/</w:t>
        </w:r>
        <w:r w:rsidR="005E38B7">
          <w:rPr>
            <w:rStyle w:val="Hyperlink"/>
          </w:rPr>
          <w:t>Government</w:t>
        </w:r>
        <w:r>
          <w:rPr>
            <w:rStyle w:val="Hyperlink"/>
          </w:rPr>
          <w:t>/commonwealth-coat-arms</w:t>
        </w:r>
      </w:hyperlink>
      <w:r w:rsidRPr="005C503A">
        <w:t>).</w:t>
      </w:r>
    </w:p>
    <w:p w14:paraId="717337F9" w14:textId="77777777" w:rsidR="001464B0" w:rsidRPr="006627B4" w:rsidRDefault="001464B0" w:rsidP="001464B0">
      <w:pPr>
        <w:spacing w:before="240"/>
        <w:rPr>
          <w:b/>
        </w:rPr>
      </w:pPr>
      <w:r>
        <w:rPr>
          <w:b/>
        </w:rPr>
        <w:t>Other u</w:t>
      </w:r>
      <w:r w:rsidRPr="006627B4">
        <w:rPr>
          <w:b/>
        </w:rPr>
        <w:t>ses</w:t>
      </w:r>
    </w:p>
    <w:p w14:paraId="6C374956" w14:textId="77777777" w:rsidR="001464B0" w:rsidRPr="006627B4" w:rsidRDefault="001464B0" w:rsidP="001464B0">
      <w:r>
        <w:t>E</w:t>
      </w:r>
      <w:r w:rsidRPr="006627B4">
        <w:t>nquiries regarding this licence and any other use of this document are welcome at:</w:t>
      </w:r>
    </w:p>
    <w:p w14:paraId="7B56681E" w14:textId="08918FA0" w:rsidR="000029ED" w:rsidRPr="0052726C" w:rsidRDefault="001464B0" w:rsidP="0052726C">
      <w:pPr>
        <w:ind w:left="720"/>
        <w:rPr>
          <w:color w:val="3A6FAF"/>
        </w:rPr>
      </w:pPr>
      <w:r w:rsidRPr="006627B4">
        <w:t>Manager</w:t>
      </w:r>
      <w:r>
        <w:b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9" w:history="1">
        <w:r w:rsidRPr="00B31CFB">
          <w:rPr>
            <w:rStyle w:val="Hyperlink"/>
          </w:rPr>
          <w:t>medialiaison@treasury.gov.au</w:t>
        </w:r>
      </w:hyperlink>
      <w:r w:rsidR="000029ED" w:rsidRPr="000029ED">
        <w:t>.</w:t>
      </w:r>
    </w:p>
    <w:p w14:paraId="3CE55291" w14:textId="77777777" w:rsidR="000029ED" w:rsidRDefault="000029ED" w:rsidP="000029ED">
      <w:pPr>
        <w:rPr>
          <w:rStyle w:val="ReportDateChar"/>
        </w:rPr>
        <w:sectPr w:rsidR="000029ED" w:rsidSect="001B2A30">
          <w:headerReference w:type="first" r:id="rId20"/>
          <w:footerReference w:type="first" r:id="rId21"/>
          <w:pgSz w:w="11906" w:h="16838"/>
          <w:pgMar w:top="1418" w:right="1418" w:bottom="1418" w:left="1418" w:header="709" w:footer="709" w:gutter="0"/>
          <w:pgNumType w:fmt="lowerRoman"/>
          <w:cols w:space="708"/>
          <w:titlePg/>
          <w:docGrid w:linePitch="360"/>
        </w:sectPr>
      </w:pPr>
    </w:p>
    <w:bookmarkStart w:id="0" w:name="_Toc130562394" w:displacedByCustomXml="next"/>
    <w:sdt>
      <w:sdtPr>
        <w:rPr>
          <w:rFonts w:asciiTheme="minorHAnsi" w:eastAsiaTheme="minorHAnsi" w:hAnsiTheme="minorHAnsi" w:cstheme="minorBidi"/>
          <w:b w:val="0"/>
          <w:bCs/>
          <w:color w:val="auto"/>
          <w:kern w:val="0"/>
          <w:sz w:val="22"/>
          <w:szCs w:val="22"/>
          <w:lang w:eastAsia="en-US"/>
        </w:rPr>
        <w:id w:val="-863443742"/>
        <w:docPartObj>
          <w:docPartGallery w:val="Table of Contents"/>
          <w:docPartUnique/>
        </w:docPartObj>
      </w:sdtPr>
      <w:sdtEndPr>
        <w:rPr>
          <w:rFonts w:ascii="Calibri Light" w:eastAsia="Times New Roman" w:hAnsi="Calibri Light" w:cs="Times New Roman"/>
          <w:bCs w:val="0"/>
          <w:noProof/>
          <w:szCs w:val="20"/>
          <w:lang w:eastAsia="en-AU"/>
        </w:rPr>
      </w:sdtEndPr>
      <w:sdtContent>
        <w:p w14:paraId="449D4E55" w14:textId="77777777" w:rsidR="00E551D2" w:rsidRDefault="00E551D2" w:rsidP="00BA38FA">
          <w:pPr>
            <w:pStyle w:val="Heading1"/>
          </w:pPr>
          <w:r>
            <w:t>Contents</w:t>
          </w:r>
          <w:bookmarkEnd w:id="0"/>
        </w:p>
        <w:p w14:paraId="39A7C4D1" w14:textId="76921D64" w:rsidR="0092414B" w:rsidRDefault="00E551D2">
          <w:pPr>
            <w:pStyle w:val="TOC1"/>
            <w:rPr>
              <w:rFonts w:asciiTheme="minorHAnsi" w:eastAsiaTheme="minorEastAsia" w:hAnsiTheme="minorHAnsi" w:cstheme="minorBidi"/>
              <w:b w:val="0"/>
              <w:color w:val="auto"/>
            </w:rPr>
          </w:pPr>
          <w:r>
            <w:rPr>
              <w:b w:val="0"/>
              <w:noProof w:val="0"/>
            </w:rPr>
            <w:fldChar w:fldCharType="begin"/>
          </w:r>
          <w:r>
            <w:instrText xml:space="preserve"> TOC \o "1-3" \h \z \u </w:instrText>
          </w:r>
          <w:r>
            <w:rPr>
              <w:b w:val="0"/>
              <w:noProof w:val="0"/>
            </w:rPr>
            <w:fldChar w:fldCharType="separate"/>
          </w:r>
          <w:hyperlink w:anchor="_Toc130562394" w:history="1">
            <w:r w:rsidR="0092414B" w:rsidRPr="008A13F0">
              <w:rPr>
                <w:rStyle w:val="Hyperlink"/>
              </w:rPr>
              <w:t>Contents</w:t>
            </w:r>
            <w:r w:rsidR="0092414B">
              <w:rPr>
                <w:webHidden/>
              </w:rPr>
              <w:tab/>
            </w:r>
            <w:r w:rsidR="0092414B">
              <w:rPr>
                <w:webHidden/>
              </w:rPr>
              <w:fldChar w:fldCharType="begin"/>
            </w:r>
            <w:r w:rsidR="0092414B">
              <w:rPr>
                <w:webHidden/>
              </w:rPr>
              <w:instrText xml:space="preserve"> PAGEREF _Toc130562394 \h </w:instrText>
            </w:r>
            <w:r w:rsidR="0092414B">
              <w:rPr>
                <w:webHidden/>
              </w:rPr>
            </w:r>
            <w:r w:rsidR="0092414B">
              <w:rPr>
                <w:webHidden/>
              </w:rPr>
              <w:fldChar w:fldCharType="separate"/>
            </w:r>
            <w:r w:rsidR="00B470AB">
              <w:rPr>
                <w:webHidden/>
              </w:rPr>
              <w:t>iii</w:t>
            </w:r>
            <w:r w:rsidR="0092414B">
              <w:rPr>
                <w:webHidden/>
              </w:rPr>
              <w:fldChar w:fldCharType="end"/>
            </w:r>
          </w:hyperlink>
        </w:p>
        <w:p w14:paraId="7436672E" w14:textId="36DB7A04" w:rsidR="0092414B" w:rsidRDefault="008302E2">
          <w:pPr>
            <w:pStyle w:val="TOC1"/>
            <w:rPr>
              <w:rFonts w:asciiTheme="minorHAnsi" w:eastAsiaTheme="minorEastAsia" w:hAnsiTheme="minorHAnsi" w:cstheme="minorBidi"/>
              <w:b w:val="0"/>
              <w:color w:val="auto"/>
            </w:rPr>
          </w:pPr>
          <w:hyperlink w:anchor="_Toc130562395" w:history="1">
            <w:r w:rsidR="0092414B" w:rsidRPr="008A13F0">
              <w:rPr>
                <w:rStyle w:val="Hyperlink"/>
              </w:rPr>
              <w:t>Introduction</w:t>
            </w:r>
            <w:r w:rsidR="0092414B">
              <w:rPr>
                <w:webHidden/>
              </w:rPr>
              <w:tab/>
            </w:r>
            <w:r w:rsidR="0092414B">
              <w:rPr>
                <w:webHidden/>
              </w:rPr>
              <w:fldChar w:fldCharType="begin"/>
            </w:r>
            <w:r w:rsidR="0092414B">
              <w:rPr>
                <w:webHidden/>
              </w:rPr>
              <w:instrText xml:space="preserve"> PAGEREF _Toc130562395 \h </w:instrText>
            </w:r>
            <w:r w:rsidR="0092414B">
              <w:rPr>
                <w:webHidden/>
              </w:rPr>
            </w:r>
            <w:r w:rsidR="0092414B">
              <w:rPr>
                <w:webHidden/>
              </w:rPr>
              <w:fldChar w:fldCharType="separate"/>
            </w:r>
            <w:r w:rsidR="00B470AB">
              <w:rPr>
                <w:webHidden/>
              </w:rPr>
              <w:t>1</w:t>
            </w:r>
            <w:r w:rsidR="0092414B">
              <w:rPr>
                <w:webHidden/>
              </w:rPr>
              <w:fldChar w:fldCharType="end"/>
            </w:r>
          </w:hyperlink>
        </w:p>
        <w:p w14:paraId="66214712" w14:textId="10323742" w:rsidR="0092414B" w:rsidRDefault="008302E2">
          <w:pPr>
            <w:pStyle w:val="TOC2"/>
            <w:rPr>
              <w:rFonts w:asciiTheme="minorHAnsi" w:eastAsiaTheme="minorEastAsia" w:hAnsiTheme="minorHAnsi" w:cstheme="minorBidi"/>
              <w:color w:val="auto"/>
              <w:szCs w:val="22"/>
            </w:rPr>
          </w:pPr>
          <w:hyperlink w:anchor="_Toc130562396" w:history="1">
            <w:r w:rsidR="0092414B" w:rsidRPr="008A13F0">
              <w:rPr>
                <w:rStyle w:val="Hyperlink"/>
              </w:rPr>
              <w:t>Timeline of legislation</w:t>
            </w:r>
            <w:r w:rsidR="0092414B">
              <w:rPr>
                <w:webHidden/>
              </w:rPr>
              <w:tab/>
            </w:r>
            <w:r w:rsidR="0092414B">
              <w:rPr>
                <w:webHidden/>
              </w:rPr>
              <w:fldChar w:fldCharType="begin"/>
            </w:r>
            <w:r w:rsidR="0092414B">
              <w:rPr>
                <w:webHidden/>
              </w:rPr>
              <w:instrText xml:space="preserve"> PAGEREF _Toc130562396 \h </w:instrText>
            </w:r>
            <w:r w:rsidR="0092414B">
              <w:rPr>
                <w:webHidden/>
              </w:rPr>
            </w:r>
            <w:r w:rsidR="0092414B">
              <w:rPr>
                <w:webHidden/>
              </w:rPr>
              <w:fldChar w:fldCharType="separate"/>
            </w:r>
            <w:r w:rsidR="00B470AB">
              <w:rPr>
                <w:webHidden/>
              </w:rPr>
              <w:t>2</w:t>
            </w:r>
            <w:r w:rsidR="0092414B">
              <w:rPr>
                <w:webHidden/>
              </w:rPr>
              <w:fldChar w:fldCharType="end"/>
            </w:r>
          </w:hyperlink>
        </w:p>
        <w:p w14:paraId="25B06504" w14:textId="1E91ABA7" w:rsidR="0092414B" w:rsidRDefault="008302E2">
          <w:pPr>
            <w:pStyle w:val="TOC1"/>
            <w:rPr>
              <w:rFonts w:asciiTheme="minorHAnsi" w:eastAsiaTheme="minorEastAsia" w:hAnsiTheme="minorHAnsi" w:cstheme="minorBidi"/>
              <w:b w:val="0"/>
              <w:color w:val="auto"/>
            </w:rPr>
          </w:pPr>
          <w:hyperlink w:anchor="_Toc130562397" w:history="1">
            <w:r w:rsidR="0092414B" w:rsidRPr="008A13F0">
              <w:rPr>
                <w:rStyle w:val="Hyperlink"/>
              </w:rPr>
              <w:t>The problem</w:t>
            </w:r>
            <w:r w:rsidR="0092414B">
              <w:rPr>
                <w:webHidden/>
              </w:rPr>
              <w:tab/>
            </w:r>
            <w:r w:rsidR="0092414B">
              <w:rPr>
                <w:webHidden/>
              </w:rPr>
              <w:fldChar w:fldCharType="begin"/>
            </w:r>
            <w:r w:rsidR="0092414B">
              <w:rPr>
                <w:webHidden/>
              </w:rPr>
              <w:instrText xml:space="preserve"> PAGEREF _Toc130562397 \h </w:instrText>
            </w:r>
            <w:r w:rsidR="0092414B">
              <w:rPr>
                <w:webHidden/>
              </w:rPr>
            </w:r>
            <w:r w:rsidR="0092414B">
              <w:rPr>
                <w:webHidden/>
              </w:rPr>
              <w:fldChar w:fldCharType="separate"/>
            </w:r>
            <w:r w:rsidR="00B470AB">
              <w:rPr>
                <w:webHidden/>
              </w:rPr>
              <w:t>3</w:t>
            </w:r>
            <w:r w:rsidR="0092414B">
              <w:rPr>
                <w:webHidden/>
              </w:rPr>
              <w:fldChar w:fldCharType="end"/>
            </w:r>
          </w:hyperlink>
        </w:p>
        <w:p w14:paraId="7B201E5F" w14:textId="34CA120B" w:rsidR="0092414B" w:rsidRDefault="008302E2">
          <w:pPr>
            <w:pStyle w:val="TOC1"/>
            <w:rPr>
              <w:rFonts w:asciiTheme="minorHAnsi" w:eastAsiaTheme="minorEastAsia" w:hAnsiTheme="minorHAnsi" w:cstheme="minorBidi"/>
              <w:b w:val="0"/>
              <w:color w:val="auto"/>
            </w:rPr>
          </w:pPr>
          <w:hyperlink w:anchor="_Toc130562398" w:history="1">
            <w:r w:rsidR="0092414B" w:rsidRPr="008A13F0">
              <w:rPr>
                <w:rStyle w:val="Hyperlink"/>
              </w:rPr>
              <w:t>Case for government action</w:t>
            </w:r>
            <w:r w:rsidR="0092414B">
              <w:rPr>
                <w:webHidden/>
              </w:rPr>
              <w:tab/>
            </w:r>
            <w:r w:rsidR="0092414B">
              <w:rPr>
                <w:webHidden/>
              </w:rPr>
              <w:fldChar w:fldCharType="begin"/>
            </w:r>
            <w:r w:rsidR="0092414B">
              <w:rPr>
                <w:webHidden/>
              </w:rPr>
              <w:instrText xml:space="preserve"> PAGEREF _Toc130562398 \h </w:instrText>
            </w:r>
            <w:r w:rsidR="0092414B">
              <w:rPr>
                <w:webHidden/>
              </w:rPr>
            </w:r>
            <w:r w:rsidR="0092414B">
              <w:rPr>
                <w:webHidden/>
              </w:rPr>
              <w:fldChar w:fldCharType="separate"/>
            </w:r>
            <w:r w:rsidR="00B470AB">
              <w:rPr>
                <w:webHidden/>
              </w:rPr>
              <w:t>4</w:t>
            </w:r>
            <w:r w:rsidR="0092414B">
              <w:rPr>
                <w:webHidden/>
              </w:rPr>
              <w:fldChar w:fldCharType="end"/>
            </w:r>
          </w:hyperlink>
        </w:p>
        <w:p w14:paraId="1A3A0D23" w14:textId="227D139C" w:rsidR="0092414B" w:rsidRDefault="008302E2">
          <w:pPr>
            <w:pStyle w:val="TOC1"/>
            <w:rPr>
              <w:rFonts w:asciiTheme="minorHAnsi" w:eastAsiaTheme="minorEastAsia" w:hAnsiTheme="minorHAnsi" w:cstheme="minorBidi"/>
              <w:b w:val="0"/>
              <w:color w:val="auto"/>
            </w:rPr>
          </w:pPr>
          <w:hyperlink w:anchor="_Toc130562399" w:history="1">
            <w:r w:rsidR="0092414B" w:rsidRPr="008A13F0">
              <w:rPr>
                <w:rStyle w:val="Hyperlink"/>
              </w:rPr>
              <w:t>Policy options</w:t>
            </w:r>
            <w:r w:rsidR="0092414B">
              <w:rPr>
                <w:webHidden/>
              </w:rPr>
              <w:tab/>
            </w:r>
            <w:r w:rsidR="0092414B">
              <w:rPr>
                <w:webHidden/>
              </w:rPr>
              <w:fldChar w:fldCharType="begin"/>
            </w:r>
            <w:r w:rsidR="0092414B">
              <w:rPr>
                <w:webHidden/>
              </w:rPr>
              <w:instrText xml:space="preserve"> PAGEREF _Toc130562399 \h </w:instrText>
            </w:r>
            <w:r w:rsidR="0092414B">
              <w:rPr>
                <w:webHidden/>
              </w:rPr>
            </w:r>
            <w:r w:rsidR="0092414B">
              <w:rPr>
                <w:webHidden/>
              </w:rPr>
              <w:fldChar w:fldCharType="separate"/>
            </w:r>
            <w:r w:rsidR="00B470AB">
              <w:rPr>
                <w:webHidden/>
              </w:rPr>
              <w:t>5</w:t>
            </w:r>
            <w:r w:rsidR="0092414B">
              <w:rPr>
                <w:webHidden/>
              </w:rPr>
              <w:fldChar w:fldCharType="end"/>
            </w:r>
          </w:hyperlink>
        </w:p>
        <w:p w14:paraId="4016BD79" w14:textId="6F5CF90E" w:rsidR="0092414B" w:rsidRDefault="008302E2">
          <w:pPr>
            <w:pStyle w:val="TOC2"/>
            <w:rPr>
              <w:rFonts w:asciiTheme="minorHAnsi" w:eastAsiaTheme="minorEastAsia" w:hAnsiTheme="minorHAnsi" w:cstheme="minorBidi"/>
              <w:color w:val="auto"/>
              <w:szCs w:val="22"/>
            </w:rPr>
          </w:pPr>
          <w:hyperlink w:anchor="_Toc130562400" w:history="1">
            <w:r w:rsidR="0092414B" w:rsidRPr="008A13F0">
              <w:rPr>
                <w:rStyle w:val="Hyperlink"/>
              </w:rPr>
              <w:t>Status quo</w:t>
            </w:r>
            <w:r w:rsidR="0092414B">
              <w:rPr>
                <w:webHidden/>
              </w:rPr>
              <w:tab/>
            </w:r>
            <w:r w:rsidR="0092414B">
              <w:rPr>
                <w:webHidden/>
              </w:rPr>
              <w:fldChar w:fldCharType="begin"/>
            </w:r>
            <w:r w:rsidR="0092414B">
              <w:rPr>
                <w:webHidden/>
              </w:rPr>
              <w:instrText xml:space="preserve"> PAGEREF _Toc130562400 \h </w:instrText>
            </w:r>
            <w:r w:rsidR="0092414B">
              <w:rPr>
                <w:webHidden/>
              </w:rPr>
            </w:r>
            <w:r w:rsidR="0092414B">
              <w:rPr>
                <w:webHidden/>
              </w:rPr>
              <w:fldChar w:fldCharType="separate"/>
            </w:r>
            <w:r w:rsidR="00B470AB">
              <w:rPr>
                <w:webHidden/>
              </w:rPr>
              <w:t>5</w:t>
            </w:r>
            <w:r w:rsidR="0092414B">
              <w:rPr>
                <w:webHidden/>
              </w:rPr>
              <w:fldChar w:fldCharType="end"/>
            </w:r>
          </w:hyperlink>
        </w:p>
        <w:p w14:paraId="436FA8EB" w14:textId="040DED73" w:rsidR="0092414B" w:rsidRDefault="008302E2">
          <w:pPr>
            <w:pStyle w:val="TOC2"/>
            <w:rPr>
              <w:rFonts w:asciiTheme="minorHAnsi" w:eastAsiaTheme="minorEastAsia" w:hAnsiTheme="minorHAnsi" w:cstheme="minorBidi"/>
              <w:color w:val="auto"/>
              <w:szCs w:val="22"/>
            </w:rPr>
          </w:pPr>
          <w:hyperlink w:anchor="_Toc130562401" w:history="1">
            <w:r w:rsidR="0092414B" w:rsidRPr="008A13F0">
              <w:rPr>
                <w:rStyle w:val="Hyperlink"/>
              </w:rPr>
              <w:t>Election commitment – the ‘experienced pathway’</w:t>
            </w:r>
            <w:r w:rsidR="0092414B">
              <w:rPr>
                <w:webHidden/>
              </w:rPr>
              <w:tab/>
            </w:r>
            <w:r w:rsidR="0092414B">
              <w:rPr>
                <w:webHidden/>
              </w:rPr>
              <w:fldChar w:fldCharType="begin"/>
            </w:r>
            <w:r w:rsidR="0092414B">
              <w:rPr>
                <w:webHidden/>
              </w:rPr>
              <w:instrText xml:space="preserve"> PAGEREF _Toc130562401 \h </w:instrText>
            </w:r>
            <w:r w:rsidR="0092414B">
              <w:rPr>
                <w:webHidden/>
              </w:rPr>
            </w:r>
            <w:r w:rsidR="0092414B">
              <w:rPr>
                <w:webHidden/>
              </w:rPr>
              <w:fldChar w:fldCharType="separate"/>
            </w:r>
            <w:r w:rsidR="00B470AB">
              <w:rPr>
                <w:webHidden/>
              </w:rPr>
              <w:t>5</w:t>
            </w:r>
            <w:r w:rsidR="0092414B">
              <w:rPr>
                <w:webHidden/>
              </w:rPr>
              <w:fldChar w:fldCharType="end"/>
            </w:r>
          </w:hyperlink>
        </w:p>
        <w:p w14:paraId="25D6328B" w14:textId="30ABD389" w:rsidR="0092414B" w:rsidRDefault="008302E2">
          <w:pPr>
            <w:pStyle w:val="TOC1"/>
            <w:rPr>
              <w:rFonts w:asciiTheme="minorHAnsi" w:eastAsiaTheme="minorEastAsia" w:hAnsiTheme="minorHAnsi" w:cstheme="minorBidi"/>
              <w:b w:val="0"/>
              <w:color w:val="auto"/>
            </w:rPr>
          </w:pPr>
          <w:hyperlink w:anchor="_Toc130562405" w:history="1">
            <w:r w:rsidR="0092414B" w:rsidRPr="008A13F0">
              <w:rPr>
                <w:rStyle w:val="Hyperlink"/>
              </w:rPr>
              <w:t>Cost-benefit analysis</w:t>
            </w:r>
            <w:r w:rsidR="0092414B">
              <w:rPr>
                <w:webHidden/>
              </w:rPr>
              <w:tab/>
            </w:r>
            <w:r w:rsidR="0092414B">
              <w:rPr>
                <w:webHidden/>
              </w:rPr>
              <w:fldChar w:fldCharType="begin"/>
            </w:r>
            <w:r w:rsidR="0092414B">
              <w:rPr>
                <w:webHidden/>
              </w:rPr>
              <w:instrText xml:space="preserve"> PAGEREF _Toc130562405 \h </w:instrText>
            </w:r>
            <w:r w:rsidR="0092414B">
              <w:rPr>
                <w:webHidden/>
              </w:rPr>
            </w:r>
            <w:r w:rsidR="0092414B">
              <w:rPr>
                <w:webHidden/>
              </w:rPr>
              <w:fldChar w:fldCharType="separate"/>
            </w:r>
            <w:r w:rsidR="00B470AB">
              <w:rPr>
                <w:webHidden/>
              </w:rPr>
              <w:t>6</w:t>
            </w:r>
            <w:r w:rsidR="0092414B">
              <w:rPr>
                <w:webHidden/>
              </w:rPr>
              <w:fldChar w:fldCharType="end"/>
            </w:r>
          </w:hyperlink>
        </w:p>
        <w:p w14:paraId="255DB5DF" w14:textId="689F42BF" w:rsidR="0092414B" w:rsidRDefault="008302E2">
          <w:pPr>
            <w:pStyle w:val="TOC2"/>
            <w:rPr>
              <w:rFonts w:asciiTheme="minorHAnsi" w:eastAsiaTheme="minorEastAsia" w:hAnsiTheme="minorHAnsi" w:cstheme="minorBidi"/>
              <w:color w:val="auto"/>
              <w:szCs w:val="22"/>
            </w:rPr>
          </w:pPr>
          <w:hyperlink w:anchor="_Toc130562406" w:history="1">
            <w:r w:rsidR="0092414B" w:rsidRPr="008A13F0">
              <w:rPr>
                <w:rStyle w:val="Hyperlink"/>
              </w:rPr>
              <w:t>Data sources</w:t>
            </w:r>
            <w:r w:rsidR="0092414B">
              <w:rPr>
                <w:webHidden/>
              </w:rPr>
              <w:tab/>
            </w:r>
            <w:r w:rsidR="0092414B">
              <w:rPr>
                <w:webHidden/>
              </w:rPr>
              <w:fldChar w:fldCharType="begin"/>
            </w:r>
            <w:r w:rsidR="0092414B">
              <w:rPr>
                <w:webHidden/>
              </w:rPr>
              <w:instrText xml:space="preserve"> PAGEREF _Toc130562406 \h </w:instrText>
            </w:r>
            <w:r w:rsidR="0092414B">
              <w:rPr>
                <w:webHidden/>
              </w:rPr>
            </w:r>
            <w:r w:rsidR="0092414B">
              <w:rPr>
                <w:webHidden/>
              </w:rPr>
              <w:fldChar w:fldCharType="separate"/>
            </w:r>
            <w:r w:rsidR="00B470AB">
              <w:rPr>
                <w:webHidden/>
              </w:rPr>
              <w:t>6</w:t>
            </w:r>
            <w:r w:rsidR="0092414B">
              <w:rPr>
                <w:webHidden/>
              </w:rPr>
              <w:fldChar w:fldCharType="end"/>
            </w:r>
          </w:hyperlink>
        </w:p>
        <w:p w14:paraId="1716E868" w14:textId="1D75E978" w:rsidR="0092414B" w:rsidRDefault="008302E2">
          <w:pPr>
            <w:pStyle w:val="TOC2"/>
            <w:rPr>
              <w:rFonts w:asciiTheme="minorHAnsi" w:eastAsiaTheme="minorEastAsia" w:hAnsiTheme="minorHAnsi" w:cstheme="minorBidi"/>
              <w:color w:val="auto"/>
              <w:szCs w:val="22"/>
            </w:rPr>
          </w:pPr>
          <w:hyperlink w:anchor="_Toc130562407" w:history="1">
            <w:r w:rsidR="0092414B" w:rsidRPr="008A13F0">
              <w:rPr>
                <w:rStyle w:val="Hyperlink"/>
              </w:rPr>
              <w:t>Determining affected cohorts</w:t>
            </w:r>
            <w:r w:rsidR="0092414B">
              <w:rPr>
                <w:webHidden/>
              </w:rPr>
              <w:tab/>
            </w:r>
            <w:r w:rsidR="0092414B">
              <w:rPr>
                <w:webHidden/>
              </w:rPr>
              <w:fldChar w:fldCharType="begin"/>
            </w:r>
            <w:r w:rsidR="0092414B">
              <w:rPr>
                <w:webHidden/>
              </w:rPr>
              <w:instrText xml:space="preserve"> PAGEREF _Toc130562407 \h </w:instrText>
            </w:r>
            <w:r w:rsidR="0092414B">
              <w:rPr>
                <w:webHidden/>
              </w:rPr>
            </w:r>
            <w:r w:rsidR="0092414B">
              <w:rPr>
                <w:webHidden/>
              </w:rPr>
              <w:fldChar w:fldCharType="separate"/>
            </w:r>
            <w:r w:rsidR="00B470AB">
              <w:rPr>
                <w:webHidden/>
              </w:rPr>
              <w:t>6</w:t>
            </w:r>
            <w:r w:rsidR="0092414B">
              <w:rPr>
                <w:webHidden/>
              </w:rPr>
              <w:fldChar w:fldCharType="end"/>
            </w:r>
          </w:hyperlink>
        </w:p>
        <w:p w14:paraId="5527C198" w14:textId="0C3A8083" w:rsidR="0092414B" w:rsidRDefault="008302E2">
          <w:pPr>
            <w:pStyle w:val="TOC2"/>
            <w:rPr>
              <w:rFonts w:asciiTheme="minorHAnsi" w:eastAsiaTheme="minorEastAsia" w:hAnsiTheme="minorHAnsi" w:cstheme="minorBidi"/>
              <w:color w:val="auto"/>
              <w:szCs w:val="22"/>
            </w:rPr>
          </w:pPr>
          <w:hyperlink w:anchor="_Toc130562412" w:history="1">
            <w:r w:rsidR="002110DA">
              <w:rPr>
                <w:rStyle w:val="Hyperlink"/>
              </w:rPr>
              <w:t>I</w:t>
            </w:r>
            <w:r w:rsidR="0092414B" w:rsidRPr="008A13F0">
              <w:rPr>
                <w:rStyle w:val="Hyperlink"/>
              </w:rPr>
              <w:t>mpact on advisers</w:t>
            </w:r>
            <w:r w:rsidR="0092414B">
              <w:rPr>
                <w:webHidden/>
              </w:rPr>
              <w:tab/>
            </w:r>
            <w:r w:rsidR="0092414B">
              <w:rPr>
                <w:webHidden/>
              </w:rPr>
              <w:fldChar w:fldCharType="begin"/>
            </w:r>
            <w:r w:rsidR="0092414B">
              <w:rPr>
                <w:webHidden/>
              </w:rPr>
              <w:instrText xml:space="preserve"> PAGEREF _Toc130562412 \h </w:instrText>
            </w:r>
            <w:r w:rsidR="0092414B">
              <w:rPr>
                <w:webHidden/>
              </w:rPr>
            </w:r>
            <w:r w:rsidR="0092414B">
              <w:rPr>
                <w:webHidden/>
              </w:rPr>
              <w:fldChar w:fldCharType="separate"/>
            </w:r>
            <w:r w:rsidR="00B470AB">
              <w:rPr>
                <w:webHidden/>
              </w:rPr>
              <w:t>8</w:t>
            </w:r>
            <w:r w:rsidR="0092414B">
              <w:rPr>
                <w:webHidden/>
              </w:rPr>
              <w:fldChar w:fldCharType="end"/>
            </w:r>
          </w:hyperlink>
        </w:p>
        <w:p w14:paraId="713ABDD5" w14:textId="0CE91E34" w:rsidR="0092414B" w:rsidRDefault="008302E2">
          <w:pPr>
            <w:pStyle w:val="TOC2"/>
            <w:rPr>
              <w:rFonts w:asciiTheme="minorHAnsi" w:eastAsiaTheme="minorEastAsia" w:hAnsiTheme="minorHAnsi" w:cstheme="minorBidi"/>
              <w:color w:val="auto"/>
              <w:szCs w:val="22"/>
            </w:rPr>
          </w:pPr>
          <w:hyperlink w:anchor="_Toc130562413" w:history="1">
            <w:r w:rsidR="0092414B" w:rsidRPr="008A13F0">
              <w:rPr>
                <w:rStyle w:val="Hyperlink"/>
              </w:rPr>
              <w:t>Impact on education providers</w:t>
            </w:r>
            <w:r w:rsidR="0092414B">
              <w:rPr>
                <w:webHidden/>
              </w:rPr>
              <w:tab/>
            </w:r>
            <w:r w:rsidR="0092414B">
              <w:rPr>
                <w:webHidden/>
              </w:rPr>
              <w:fldChar w:fldCharType="begin"/>
            </w:r>
            <w:r w:rsidR="0092414B">
              <w:rPr>
                <w:webHidden/>
              </w:rPr>
              <w:instrText xml:space="preserve"> PAGEREF _Toc130562413 \h </w:instrText>
            </w:r>
            <w:r w:rsidR="0092414B">
              <w:rPr>
                <w:webHidden/>
              </w:rPr>
            </w:r>
            <w:r w:rsidR="0092414B">
              <w:rPr>
                <w:webHidden/>
              </w:rPr>
              <w:fldChar w:fldCharType="separate"/>
            </w:r>
            <w:r w:rsidR="00B470AB">
              <w:rPr>
                <w:webHidden/>
              </w:rPr>
              <w:t>9</w:t>
            </w:r>
            <w:r w:rsidR="0092414B">
              <w:rPr>
                <w:webHidden/>
              </w:rPr>
              <w:fldChar w:fldCharType="end"/>
            </w:r>
          </w:hyperlink>
        </w:p>
        <w:p w14:paraId="75917782" w14:textId="1F073DF3" w:rsidR="0092414B" w:rsidRDefault="008302E2">
          <w:pPr>
            <w:pStyle w:val="TOC2"/>
            <w:rPr>
              <w:rFonts w:asciiTheme="minorHAnsi" w:eastAsiaTheme="minorEastAsia" w:hAnsiTheme="minorHAnsi" w:cstheme="minorBidi"/>
              <w:color w:val="auto"/>
              <w:szCs w:val="22"/>
            </w:rPr>
          </w:pPr>
          <w:hyperlink w:anchor="_Toc130562414" w:history="1">
            <w:r w:rsidR="0092414B" w:rsidRPr="008A13F0">
              <w:rPr>
                <w:rStyle w:val="Hyperlink"/>
              </w:rPr>
              <w:t>Impact on consumers</w:t>
            </w:r>
            <w:r w:rsidR="0092414B">
              <w:rPr>
                <w:webHidden/>
              </w:rPr>
              <w:tab/>
            </w:r>
            <w:r w:rsidR="0092414B">
              <w:rPr>
                <w:webHidden/>
              </w:rPr>
              <w:fldChar w:fldCharType="begin"/>
            </w:r>
            <w:r w:rsidR="0092414B">
              <w:rPr>
                <w:webHidden/>
              </w:rPr>
              <w:instrText xml:space="preserve"> PAGEREF _Toc130562414 \h </w:instrText>
            </w:r>
            <w:r w:rsidR="0092414B">
              <w:rPr>
                <w:webHidden/>
              </w:rPr>
            </w:r>
            <w:r w:rsidR="0092414B">
              <w:rPr>
                <w:webHidden/>
              </w:rPr>
              <w:fldChar w:fldCharType="separate"/>
            </w:r>
            <w:r w:rsidR="00B470AB">
              <w:rPr>
                <w:webHidden/>
              </w:rPr>
              <w:t>9</w:t>
            </w:r>
            <w:r w:rsidR="0092414B">
              <w:rPr>
                <w:webHidden/>
              </w:rPr>
              <w:fldChar w:fldCharType="end"/>
            </w:r>
          </w:hyperlink>
        </w:p>
        <w:p w14:paraId="68A29C0D" w14:textId="7F070046" w:rsidR="0092414B" w:rsidRDefault="008302E2">
          <w:pPr>
            <w:pStyle w:val="TOC1"/>
            <w:rPr>
              <w:rFonts w:asciiTheme="minorHAnsi" w:eastAsiaTheme="minorEastAsia" w:hAnsiTheme="minorHAnsi" w:cstheme="minorBidi"/>
              <w:b w:val="0"/>
              <w:color w:val="auto"/>
            </w:rPr>
          </w:pPr>
          <w:hyperlink w:anchor="_Toc130562415" w:history="1">
            <w:r w:rsidR="0092414B" w:rsidRPr="008A13F0">
              <w:rPr>
                <w:rStyle w:val="Hyperlink"/>
              </w:rPr>
              <w:t>Consultation</w:t>
            </w:r>
            <w:r w:rsidR="0092414B">
              <w:rPr>
                <w:webHidden/>
              </w:rPr>
              <w:tab/>
            </w:r>
            <w:r w:rsidR="0092414B">
              <w:rPr>
                <w:webHidden/>
              </w:rPr>
              <w:fldChar w:fldCharType="begin"/>
            </w:r>
            <w:r w:rsidR="0092414B">
              <w:rPr>
                <w:webHidden/>
              </w:rPr>
              <w:instrText xml:space="preserve"> PAGEREF _Toc130562415 \h </w:instrText>
            </w:r>
            <w:r w:rsidR="0092414B">
              <w:rPr>
                <w:webHidden/>
              </w:rPr>
            </w:r>
            <w:r w:rsidR="0092414B">
              <w:rPr>
                <w:webHidden/>
              </w:rPr>
              <w:fldChar w:fldCharType="separate"/>
            </w:r>
            <w:r w:rsidR="00B470AB">
              <w:rPr>
                <w:webHidden/>
              </w:rPr>
              <w:t>10</w:t>
            </w:r>
            <w:r w:rsidR="0092414B">
              <w:rPr>
                <w:webHidden/>
              </w:rPr>
              <w:fldChar w:fldCharType="end"/>
            </w:r>
          </w:hyperlink>
        </w:p>
        <w:p w14:paraId="3F75AED2" w14:textId="5373275C" w:rsidR="0092414B" w:rsidRDefault="008302E2">
          <w:pPr>
            <w:pStyle w:val="TOC1"/>
            <w:rPr>
              <w:rFonts w:asciiTheme="minorHAnsi" w:eastAsiaTheme="minorEastAsia" w:hAnsiTheme="minorHAnsi" w:cstheme="minorBidi"/>
              <w:b w:val="0"/>
              <w:color w:val="auto"/>
            </w:rPr>
          </w:pPr>
          <w:hyperlink w:anchor="_Toc130562419" w:history="1">
            <w:r w:rsidR="0092414B" w:rsidRPr="008A13F0">
              <w:rPr>
                <w:rStyle w:val="Hyperlink"/>
              </w:rPr>
              <w:t>Conclusion</w:t>
            </w:r>
            <w:r w:rsidR="0092414B">
              <w:rPr>
                <w:webHidden/>
              </w:rPr>
              <w:tab/>
            </w:r>
            <w:r w:rsidR="0092414B">
              <w:rPr>
                <w:webHidden/>
              </w:rPr>
              <w:fldChar w:fldCharType="begin"/>
            </w:r>
            <w:r w:rsidR="0092414B">
              <w:rPr>
                <w:webHidden/>
              </w:rPr>
              <w:instrText xml:space="preserve"> PAGEREF _Toc130562419 \h </w:instrText>
            </w:r>
            <w:r w:rsidR="0092414B">
              <w:rPr>
                <w:webHidden/>
              </w:rPr>
            </w:r>
            <w:r w:rsidR="0092414B">
              <w:rPr>
                <w:webHidden/>
              </w:rPr>
              <w:fldChar w:fldCharType="separate"/>
            </w:r>
            <w:r w:rsidR="00B470AB">
              <w:rPr>
                <w:webHidden/>
              </w:rPr>
              <w:t>12</w:t>
            </w:r>
            <w:r w:rsidR="0092414B">
              <w:rPr>
                <w:webHidden/>
              </w:rPr>
              <w:fldChar w:fldCharType="end"/>
            </w:r>
          </w:hyperlink>
        </w:p>
        <w:p w14:paraId="20C07925" w14:textId="0D412E73" w:rsidR="0092414B" w:rsidRDefault="008302E2">
          <w:pPr>
            <w:pStyle w:val="TOC1"/>
            <w:rPr>
              <w:rFonts w:asciiTheme="minorHAnsi" w:eastAsiaTheme="minorEastAsia" w:hAnsiTheme="minorHAnsi" w:cstheme="minorBidi"/>
              <w:b w:val="0"/>
              <w:color w:val="auto"/>
            </w:rPr>
          </w:pPr>
          <w:hyperlink w:anchor="_Toc130562420" w:history="1">
            <w:r w:rsidR="0092414B" w:rsidRPr="008A13F0">
              <w:rPr>
                <w:rStyle w:val="Hyperlink"/>
              </w:rPr>
              <w:t>Implementation and evaluation</w:t>
            </w:r>
            <w:r w:rsidR="0092414B">
              <w:rPr>
                <w:webHidden/>
              </w:rPr>
              <w:tab/>
            </w:r>
            <w:r w:rsidR="0092414B">
              <w:rPr>
                <w:webHidden/>
              </w:rPr>
              <w:fldChar w:fldCharType="begin"/>
            </w:r>
            <w:r w:rsidR="0092414B">
              <w:rPr>
                <w:webHidden/>
              </w:rPr>
              <w:instrText xml:space="preserve"> PAGEREF _Toc130562420 \h </w:instrText>
            </w:r>
            <w:r w:rsidR="0092414B">
              <w:rPr>
                <w:webHidden/>
              </w:rPr>
            </w:r>
            <w:r w:rsidR="0092414B">
              <w:rPr>
                <w:webHidden/>
              </w:rPr>
              <w:fldChar w:fldCharType="separate"/>
            </w:r>
            <w:r w:rsidR="00B470AB">
              <w:rPr>
                <w:webHidden/>
              </w:rPr>
              <w:t>12</w:t>
            </w:r>
            <w:r w:rsidR="0092414B">
              <w:rPr>
                <w:webHidden/>
              </w:rPr>
              <w:fldChar w:fldCharType="end"/>
            </w:r>
          </w:hyperlink>
        </w:p>
        <w:p w14:paraId="12F44587" w14:textId="4225C2AB" w:rsidR="0092414B" w:rsidRDefault="008302E2">
          <w:pPr>
            <w:pStyle w:val="TOC1"/>
            <w:rPr>
              <w:rFonts w:asciiTheme="minorHAnsi" w:eastAsiaTheme="minorEastAsia" w:hAnsiTheme="minorHAnsi" w:cstheme="minorBidi"/>
              <w:b w:val="0"/>
              <w:color w:val="auto"/>
            </w:rPr>
          </w:pPr>
          <w:hyperlink w:anchor="_Toc130562421" w:history="1">
            <w:r w:rsidR="0092414B" w:rsidRPr="008A13F0">
              <w:rPr>
                <w:rStyle w:val="Hyperlink"/>
              </w:rPr>
              <w:t>Glossary</w:t>
            </w:r>
            <w:r w:rsidR="0092414B">
              <w:rPr>
                <w:webHidden/>
              </w:rPr>
              <w:tab/>
            </w:r>
            <w:r w:rsidR="0092414B">
              <w:rPr>
                <w:webHidden/>
              </w:rPr>
              <w:fldChar w:fldCharType="begin"/>
            </w:r>
            <w:r w:rsidR="0092414B">
              <w:rPr>
                <w:webHidden/>
              </w:rPr>
              <w:instrText xml:space="preserve"> PAGEREF _Toc130562421 \h </w:instrText>
            </w:r>
            <w:r w:rsidR="0092414B">
              <w:rPr>
                <w:webHidden/>
              </w:rPr>
            </w:r>
            <w:r w:rsidR="0092414B">
              <w:rPr>
                <w:webHidden/>
              </w:rPr>
              <w:fldChar w:fldCharType="separate"/>
            </w:r>
            <w:r w:rsidR="00B470AB">
              <w:rPr>
                <w:webHidden/>
              </w:rPr>
              <w:t>13</w:t>
            </w:r>
            <w:r w:rsidR="0092414B">
              <w:rPr>
                <w:webHidden/>
              </w:rPr>
              <w:fldChar w:fldCharType="end"/>
            </w:r>
          </w:hyperlink>
        </w:p>
        <w:p w14:paraId="401C11A7" w14:textId="3E3CFC4E" w:rsidR="0092414B" w:rsidRDefault="008302E2">
          <w:pPr>
            <w:pStyle w:val="TOC1"/>
            <w:rPr>
              <w:rFonts w:asciiTheme="minorHAnsi" w:eastAsiaTheme="minorEastAsia" w:hAnsiTheme="minorHAnsi" w:cstheme="minorBidi"/>
              <w:b w:val="0"/>
              <w:color w:val="auto"/>
            </w:rPr>
          </w:pPr>
          <w:hyperlink w:anchor="_Toc130562422" w:history="1">
            <w:r w:rsidR="0092414B" w:rsidRPr="008A13F0">
              <w:rPr>
                <w:rStyle w:val="Hyperlink"/>
              </w:rPr>
              <w:t>References</w:t>
            </w:r>
            <w:r w:rsidR="0092414B">
              <w:rPr>
                <w:webHidden/>
              </w:rPr>
              <w:tab/>
            </w:r>
            <w:r w:rsidR="0092414B">
              <w:rPr>
                <w:webHidden/>
              </w:rPr>
              <w:fldChar w:fldCharType="begin"/>
            </w:r>
            <w:r w:rsidR="0092414B">
              <w:rPr>
                <w:webHidden/>
              </w:rPr>
              <w:instrText xml:space="preserve"> PAGEREF _Toc130562422 \h </w:instrText>
            </w:r>
            <w:r w:rsidR="0092414B">
              <w:rPr>
                <w:webHidden/>
              </w:rPr>
            </w:r>
            <w:r w:rsidR="0092414B">
              <w:rPr>
                <w:webHidden/>
              </w:rPr>
              <w:fldChar w:fldCharType="separate"/>
            </w:r>
            <w:r w:rsidR="00B470AB">
              <w:rPr>
                <w:webHidden/>
              </w:rPr>
              <w:t>14</w:t>
            </w:r>
            <w:r w:rsidR="0092414B">
              <w:rPr>
                <w:webHidden/>
              </w:rPr>
              <w:fldChar w:fldCharType="end"/>
            </w:r>
          </w:hyperlink>
        </w:p>
        <w:p w14:paraId="0FDE03B2" w14:textId="7D2B87C0" w:rsidR="0092414B" w:rsidRDefault="008302E2">
          <w:pPr>
            <w:pStyle w:val="TOC1"/>
            <w:rPr>
              <w:rFonts w:asciiTheme="minorHAnsi" w:eastAsiaTheme="minorEastAsia" w:hAnsiTheme="minorHAnsi" w:cstheme="minorBidi"/>
              <w:b w:val="0"/>
              <w:color w:val="auto"/>
            </w:rPr>
          </w:pPr>
          <w:hyperlink w:anchor="_Toc130562423" w:history="1">
            <w:r w:rsidR="0092414B" w:rsidRPr="008A13F0">
              <w:rPr>
                <w:rStyle w:val="Hyperlink"/>
              </w:rPr>
              <w:t>Appendix A – Status of the RIS at each major decision point</w:t>
            </w:r>
            <w:r w:rsidR="0092414B">
              <w:rPr>
                <w:webHidden/>
              </w:rPr>
              <w:tab/>
            </w:r>
            <w:r w:rsidR="0092414B">
              <w:rPr>
                <w:webHidden/>
              </w:rPr>
              <w:fldChar w:fldCharType="begin"/>
            </w:r>
            <w:r w:rsidR="0092414B">
              <w:rPr>
                <w:webHidden/>
              </w:rPr>
              <w:instrText xml:space="preserve"> PAGEREF _Toc130562423 \h </w:instrText>
            </w:r>
            <w:r w:rsidR="0092414B">
              <w:rPr>
                <w:webHidden/>
              </w:rPr>
            </w:r>
            <w:r w:rsidR="0092414B">
              <w:rPr>
                <w:webHidden/>
              </w:rPr>
              <w:fldChar w:fldCharType="separate"/>
            </w:r>
            <w:r w:rsidR="00B470AB">
              <w:rPr>
                <w:webHidden/>
              </w:rPr>
              <w:t>15</w:t>
            </w:r>
            <w:r w:rsidR="0092414B">
              <w:rPr>
                <w:webHidden/>
              </w:rPr>
              <w:fldChar w:fldCharType="end"/>
            </w:r>
          </w:hyperlink>
        </w:p>
        <w:p w14:paraId="7551B91F" w14:textId="7EB2732A" w:rsidR="00E551D2" w:rsidRDefault="00E551D2">
          <w:r>
            <w:rPr>
              <w:b/>
              <w:bCs/>
              <w:noProof/>
            </w:rPr>
            <w:fldChar w:fldCharType="end"/>
          </w:r>
        </w:p>
      </w:sdtContent>
    </w:sdt>
    <w:p w14:paraId="5B37C4A9" w14:textId="77777777" w:rsidR="00D94EE3" w:rsidRPr="00D94EE3" w:rsidRDefault="00D94EE3" w:rsidP="00D94EE3"/>
    <w:p w14:paraId="05805E8A" w14:textId="77777777" w:rsidR="00D94EE3" w:rsidRPr="00D94EE3" w:rsidRDefault="00D94EE3" w:rsidP="00D94EE3">
      <w:pPr>
        <w:sectPr w:rsidR="00D94EE3" w:rsidRPr="00D94EE3" w:rsidSect="000029ED">
          <w:footerReference w:type="first" r:id="rId22"/>
          <w:pgSz w:w="11906" w:h="16838"/>
          <w:pgMar w:top="1418" w:right="1418" w:bottom="1418" w:left="1418" w:header="709" w:footer="709" w:gutter="0"/>
          <w:pgNumType w:fmt="lowerRoman"/>
          <w:cols w:space="708"/>
          <w:titlePg/>
          <w:docGrid w:linePitch="360"/>
        </w:sectPr>
      </w:pPr>
    </w:p>
    <w:p w14:paraId="785DF074" w14:textId="43E1DA51" w:rsidR="00DB3ECB" w:rsidRDefault="000029ED" w:rsidP="00654EBC">
      <w:pPr>
        <w:pStyle w:val="Heading1"/>
      </w:pPr>
      <w:bookmarkStart w:id="1" w:name="_Toc130562395"/>
      <w:r>
        <w:lastRenderedPageBreak/>
        <w:t>Introduction</w:t>
      </w:r>
      <w:bookmarkEnd w:id="1"/>
    </w:p>
    <w:p w14:paraId="4F642225" w14:textId="2E44D5B3" w:rsidR="001A0909" w:rsidRDefault="00F63260" w:rsidP="001A0909">
      <w:r>
        <w:t xml:space="preserve">In the past decade there have been significant </w:t>
      </w:r>
      <w:r w:rsidR="00540407">
        <w:t>developments</w:t>
      </w:r>
      <w:r w:rsidDel="00315839">
        <w:t xml:space="preserve"> </w:t>
      </w:r>
      <w:r w:rsidR="009329C1">
        <w:t xml:space="preserve">in </w:t>
      </w:r>
      <w:r>
        <w:t>the educational requirements for financial advisers</w:t>
      </w:r>
      <w:r w:rsidR="00540407">
        <w:t xml:space="preserve"> aimed at professionalising the industry</w:t>
      </w:r>
      <w:r>
        <w:t xml:space="preserve">. </w:t>
      </w:r>
      <w:r w:rsidR="00B17FA8">
        <w:t xml:space="preserve">A defining feature of a profession is </w:t>
      </w:r>
      <w:r w:rsidR="00F42BEF">
        <w:t>that members share common knowledge</w:t>
      </w:r>
      <w:r w:rsidR="00A530FC">
        <w:t>,</w:t>
      </w:r>
      <w:r w:rsidR="00F42BEF">
        <w:t xml:space="preserve"> skills and expertise in a specialised field.</w:t>
      </w:r>
      <w:r>
        <w:t xml:space="preserve"> </w:t>
      </w:r>
      <w:r w:rsidRPr="00F63260">
        <w:t xml:space="preserve">Prior to the current </w:t>
      </w:r>
      <w:r w:rsidR="5418EBF9">
        <w:t>requirements</w:t>
      </w:r>
      <w:r w:rsidRPr="00F63260">
        <w:t xml:space="preserve">, the education and </w:t>
      </w:r>
      <w:r w:rsidR="001A0909" w:rsidRPr="00F63260">
        <w:t xml:space="preserve">training of </w:t>
      </w:r>
      <w:r w:rsidR="27FB79A0">
        <w:t xml:space="preserve">financial </w:t>
      </w:r>
      <w:r w:rsidR="001A0909" w:rsidRPr="00F63260">
        <w:t xml:space="preserve">advisers </w:t>
      </w:r>
      <w:r w:rsidR="2FBC5169">
        <w:t>relied</w:t>
      </w:r>
      <w:r w:rsidR="001A0909" w:rsidRPr="00F63260">
        <w:t xml:space="preserve"> upon </w:t>
      </w:r>
      <w:r w:rsidR="00DA12AB">
        <w:t xml:space="preserve">the Australian financial service </w:t>
      </w:r>
      <w:r w:rsidR="001A0909" w:rsidRPr="00F63260">
        <w:t xml:space="preserve">licensee </w:t>
      </w:r>
      <w:r w:rsidR="00DA12AB">
        <w:t>(licensee)</w:t>
      </w:r>
      <w:r w:rsidR="001A0909" w:rsidRPr="00F63260">
        <w:t xml:space="preserve"> obligation 912A in the </w:t>
      </w:r>
      <w:r w:rsidR="001A0909" w:rsidRPr="006F597F">
        <w:rPr>
          <w:i/>
          <w:iCs/>
        </w:rPr>
        <w:t>Corporations Act 2001</w:t>
      </w:r>
      <w:r w:rsidR="001A0909" w:rsidRPr="00F63260">
        <w:t xml:space="preserve">. </w:t>
      </w:r>
      <w:r w:rsidR="00BB3913">
        <w:t xml:space="preserve">Under this </w:t>
      </w:r>
      <w:r w:rsidR="00765485">
        <w:t>obligation, licensees</w:t>
      </w:r>
      <w:r w:rsidR="00DA12AB">
        <w:t xml:space="preserve"> are required to ensure that their representatives </w:t>
      </w:r>
      <w:r w:rsidR="009911C9">
        <w:t xml:space="preserve">are </w:t>
      </w:r>
      <w:r w:rsidR="00D777A2">
        <w:t>‘</w:t>
      </w:r>
      <w:r w:rsidR="009911C9">
        <w:t>adequately trained</w:t>
      </w:r>
      <w:r w:rsidR="00D777A2">
        <w:t xml:space="preserve"> [</w:t>
      </w:r>
      <w:r w:rsidR="000569A4">
        <w:t>…</w:t>
      </w:r>
      <w:r w:rsidR="00D777A2">
        <w:t xml:space="preserve">] </w:t>
      </w:r>
      <w:r w:rsidR="000569A4">
        <w:t>and competent to provide those financial services</w:t>
      </w:r>
      <w:r w:rsidR="00D777A2">
        <w:t>’</w:t>
      </w:r>
      <w:r w:rsidR="000569A4">
        <w:t>.</w:t>
      </w:r>
      <w:r w:rsidR="001A0909" w:rsidRPr="00F63260">
        <w:t xml:space="preserve"> The Australian Securities and Investments Commission (ASIC) provided guidance for the minimum education standards for financial advisers in </w:t>
      </w:r>
      <w:r w:rsidR="001A0909" w:rsidRPr="006950FB">
        <w:rPr>
          <w:i/>
          <w:iCs/>
        </w:rPr>
        <w:t>Regulatory Guide 146: Licencing: Training of Financial Product Advisers</w:t>
      </w:r>
      <w:r w:rsidR="001A0909" w:rsidRPr="00F63260">
        <w:t xml:space="preserve"> (RG 146). RG 146 required:</w:t>
      </w:r>
      <w:r w:rsidR="001A0909" w:rsidRPr="001A0909">
        <w:t xml:space="preserve"> </w:t>
      </w:r>
    </w:p>
    <w:p w14:paraId="30A71331" w14:textId="798F3D9D" w:rsidR="001A0909" w:rsidRDefault="001A0909" w:rsidP="00DA2FA6">
      <w:pPr>
        <w:pStyle w:val="Bullet"/>
      </w:pPr>
      <w:r w:rsidRPr="00F63260">
        <w:t>Australian Qualifications Framework level 5 (diploma level) courses</w:t>
      </w:r>
    </w:p>
    <w:p w14:paraId="42D02C16" w14:textId="1566669C" w:rsidR="001A0909" w:rsidRDefault="00965201" w:rsidP="00DA2FA6">
      <w:pPr>
        <w:pStyle w:val="Bullet"/>
      </w:pPr>
      <w:r>
        <w:t>s</w:t>
      </w:r>
      <w:r w:rsidR="001A0909" w:rsidRPr="00F63260">
        <w:t>pecialist knowledge about the specific products on which an adviser provides advice, and their markets</w:t>
      </w:r>
    </w:p>
    <w:p w14:paraId="4C946770" w14:textId="147B20BA" w:rsidR="001A0909" w:rsidRDefault="00965201" w:rsidP="00DA2FA6">
      <w:pPr>
        <w:pStyle w:val="Bullet"/>
      </w:pPr>
      <w:r>
        <w:t>g</w:t>
      </w:r>
      <w:r w:rsidR="001A0909" w:rsidRPr="00F63260">
        <w:t xml:space="preserve">eneric knowledge requirements, including training on the economic environment, the operation of financial markets and financial products. </w:t>
      </w:r>
    </w:p>
    <w:p w14:paraId="26769AD1" w14:textId="2E694BE2" w:rsidR="00165140" w:rsidRDefault="00F63260" w:rsidP="001A0909">
      <w:r w:rsidRPr="00F63260">
        <w:t xml:space="preserve">Evidence provided to the </w:t>
      </w:r>
      <w:r w:rsidRPr="00B37009">
        <w:rPr>
          <w:i/>
          <w:iCs/>
        </w:rPr>
        <w:t>2014 Parliamentary Joint Committee inquiry into proposals to lift the professional, ethical and education standards in the financial services industry</w:t>
      </w:r>
      <w:r w:rsidRPr="00F63260">
        <w:t xml:space="preserve"> (PJC Inquiry) indicated that the previous education requirements set under RG 146 did not deliver appropriate standards. ASIC’s evidence to the PJC Inquiry outlined that there were numerous and fragmented approaches to interpreting and implementing the requirements in RG 146, and that training courses varied significantly in terms of content and quality</w:t>
      </w:r>
      <w:r w:rsidR="001F68C7">
        <w:t>.</w:t>
      </w:r>
    </w:p>
    <w:p w14:paraId="26AF4285" w14:textId="6D83A38B" w:rsidR="00165140" w:rsidRPr="00541DB5" w:rsidRDefault="00F63260" w:rsidP="00E52CF5">
      <w:pPr>
        <w:rPr>
          <w:i/>
          <w:iCs/>
        </w:rPr>
      </w:pPr>
      <w:r w:rsidRPr="00F63260">
        <w:t>In response to evidence provided, the PJC Inquiry recommended that at a minimum financial advisers hold a degree qualification at AQF level 7 (</w:t>
      </w:r>
      <w:r w:rsidR="001562B1" w:rsidRPr="00F63260">
        <w:t>bachelor’s</w:t>
      </w:r>
      <w:r w:rsidRPr="00F63260">
        <w:t xml:space="preserve"> degree level), complete a structured professional year, pass an exam, and comply with ongoing professional development requirements. </w:t>
      </w:r>
    </w:p>
    <w:p w14:paraId="6DE55C25" w14:textId="33F30FE6" w:rsidR="00FE1565" w:rsidRDefault="005D518C" w:rsidP="00E52CF5">
      <w:r>
        <w:t xml:space="preserve">The </w:t>
      </w:r>
      <w:r w:rsidR="00FE1565">
        <w:t>F</w:t>
      </w:r>
      <w:r w:rsidR="00E91DAC">
        <w:t>inancial Adviser Standards and Ethics Authority (F</w:t>
      </w:r>
      <w:r w:rsidR="00FE1565">
        <w:t>ASEA</w:t>
      </w:r>
      <w:r w:rsidR="00E91DAC">
        <w:t>)</w:t>
      </w:r>
      <w:r w:rsidR="00FE1565">
        <w:t xml:space="preserve"> was </w:t>
      </w:r>
      <w:r w:rsidR="00B97F71">
        <w:t xml:space="preserve">the standard setting body </w:t>
      </w:r>
      <w:r w:rsidR="00FE1565">
        <w:t xml:space="preserve">established </w:t>
      </w:r>
      <w:r w:rsidR="5BC6A8EA">
        <w:t xml:space="preserve">by the </w:t>
      </w:r>
      <w:r w:rsidR="5BC6A8EA" w:rsidRPr="00904761">
        <w:rPr>
          <w:i/>
        </w:rPr>
        <w:t>Corporations Amendment (Professional Standards of Financial Advisers) Act</w:t>
      </w:r>
      <w:r w:rsidR="00FE1565">
        <w:t xml:space="preserve"> 2017</w:t>
      </w:r>
      <w:r w:rsidR="00E01D57">
        <w:t>. FASEA was charged with</w:t>
      </w:r>
      <w:r w:rsidR="00FE1565">
        <w:t xml:space="preserve"> setting the education, training and ethical standards for licensed financial advisers includ</w:t>
      </w:r>
      <w:r w:rsidR="005C33EA">
        <w:t>ing</w:t>
      </w:r>
    </w:p>
    <w:p w14:paraId="130CDA46" w14:textId="77777777" w:rsidR="00FE1565" w:rsidRDefault="00FE1565" w:rsidP="00DA2FA6">
      <w:pPr>
        <w:pStyle w:val="Bullet"/>
      </w:pPr>
      <w:r>
        <w:t>approving bachelor’s degrees or equivalent qualifications and determining the bridging courses requirements for existing advisers</w:t>
      </w:r>
    </w:p>
    <w:p w14:paraId="6F1E7962" w14:textId="77777777" w:rsidR="00FE1565" w:rsidRDefault="00FE1565" w:rsidP="00DA2FA6">
      <w:pPr>
        <w:pStyle w:val="Bullet"/>
      </w:pPr>
      <w:r>
        <w:t>approving and administering the financial adviser exam</w:t>
      </w:r>
    </w:p>
    <w:p w14:paraId="7F238927" w14:textId="77777777" w:rsidR="00FE1565" w:rsidRDefault="00FE1565" w:rsidP="00DA2FA6">
      <w:pPr>
        <w:pStyle w:val="Bullet"/>
      </w:pPr>
      <w:r>
        <w:t xml:space="preserve">determining the professional year requirements </w:t>
      </w:r>
    </w:p>
    <w:p w14:paraId="11519462" w14:textId="77777777" w:rsidR="00FE1565" w:rsidRDefault="00FE1565" w:rsidP="00DA2FA6">
      <w:pPr>
        <w:pStyle w:val="Bullet"/>
      </w:pPr>
      <w:r>
        <w:t>approval of foreign qualifications</w:t>
      </w:r>
    </w:p>
    <w:p w14:paraId="01B626C8" w14:textId="52A33FEF" w:rsidR="00FE1565" w:rsidRDefault="00FE1565" w:rsidP="00DA2FA6">
      <w:pPr>
        <w:pStyle w:val="Bullet"/>
      </w:pPr>
      <w:r>
        <w:t>setting continuing professional development requirements</w:t>
      </w:r>
    </w:p>
    <w:p w14:paraId="43FA7C74" w14:textId="77777777" w:rsidR="00FE1565" w:rsidRDefault="00FE1565" w:rsidP="00DA2FA6">
      <w:pPr>
        <w:pStyle w:val="Bullet"/>
      </w:pPr>
      <w:r>
        <w:t>making the code of ethics.</w:t>
      </w:r>
    </w:p>
    <w:p w14:paraId="7B855803" w14:textId="504C4E40" w:rsidR="00FE1565" w:rsidRDefault="00FE1565" w:rsidP="00FE1565">
      <w:r>
        <w:t xml:space="preserve">Over its lifespan, FASEA was heavily criticised for the framework it both developed and implemented. </w:t>
      </w:r>
      <w:r w:rsidR="0055734C">
        <w:t>Stakeholders</w:t>
      </w:r>
      <w:r w:rsidR="000D55AA">
        <w:t xml:space="preserve"> were critical </w:t>
      </w:r>
      <w:r w:rsidR="004E1715">
        <w:t xml:space="preserve">that </w:t>
      </w:r>
      <w:r w:rsidR="000D55AA">
        <w:t xml:space="preserve">the standards </w:t>
      </w:r>
      <w:r w:rsidR="004E1715">
        <w:t>did not better recognise</w:t>
      </w:r>
      <w:r w:rsidR="000D55AA">
        <w:t xml:space="preserve"> prior learning and experience.</w:t>
      </w:r>
      <w:r w:rsidRPr="00E6311D">
        <w:rPr>
          <w:rStyle w:val="FootnoteReference"/>
          <w:vertAlign w:val="superscript"/>
        </w:rPr>
        <w:footnoteReference w:id="2"/>
      </w:r>
      <w:r w:rsidRPr="007C700F">
        <w:t xml:space="preserve"> </w:t>
      </w:r>
      <w:r w:rsidRPr="00DB00C5">
        <w:t xml:space="preserve">The </w:t>
      </w:r>
      <w:r w:rsidR="242C20D7" w:rsidRPr="00DB00C5">
        <w:t xml:space="preserve">Financial Planning Association </w:t>
      </w:r>
      <w:r w:rsidRPr="00DB00C5">
        <w:t xml:space="preserve">said </w:t>
      </w:r>
      <w:r>
        <w:t xml:space="preserve">FASEA </w:t>
      </w:r>
      <w:r w:rsidRPr="00DB00C5">
        <w:t xml:space="preserve">‘got it wrong with its one size fits all framework. </w:t>
      </w:r>
      <w:r w:rsidRPr="00DB00C5">
        <w:lastRenderedPageBreak/>
        <w:t>Financial planners have entered with a variety of degrees and prior career experience, and they shouldn’t have to restudy what they already know.’</w:t>
      </w:r>
      <w:r w:rsidRPr="008A272D">
        <w:rPr>
          <w:rStyle w:val="FootnoteReference"/>
          <w:vertAlign w:val="superscript"/>
        </w:rPr>
        <w:footnoteReference w:id="3"/>
      </w:r>
      <w:r w:rsidRPr="008A272D">
        <w:rPr>
          <w:vertAlign w:val="superscript"/>
        </w:rPr>
        <w:t xml:space="preserve"> </w:t>
      </w:r>
    </w:p>
    <w:p w14:paraId="3811CD31" w14:textId="5C04A9E8" w:rsidR="00B22784" w:rsidRDefault="00526EDC">
      <w:r>
        <w:t>FASEA’s function was transferred to A</w:t>
      </w:r>
      <w:r w:rsidR="00E91DAC">
        <w:t>SI</w:t>
      </w:r>
      <w:r>
        <w:t xml:space="preserve">C and Treasury on 1 January 2022. Treasury assumed control of the standard-setting </w:t>
      </w:r>
      <w:r w:rsidR="1CFE203F">
        <w:t>obligations</w:t>
      </w:r>
      <w:r w:rsidDel="00DA295C">
        <w:t xml:space="preserve">. </w:t>
      </w:r>
    </w:p>
    <w:p w14:paraId="5BC337C7" w14:textId="487045E2" w:rsidR="00087331" w:rsidRDefault="00398BF9" w:rsidP="00087331">
      <w:r>
        <w:t>During</w:t>
      </w:r>
      <w:r w:rsidR="00087331">
        <w:t xml:space="preserve"> the </w:t>
      </w:r>
      <w:r>
        <w:t xml:space="preserve">2022 </w:t>
      </w:r>
      <w:r w:rsidR="00087331">
        <w:t>election</w:t>
      </w:r>
      <w:r>
        <w:t xml:space="preserve">, </w:t>
      </w:r>
      <w:r w:rsidR="6F5C8A9A">
        <w:t>t</w:t>
      </w:r>
      <w:r w:rsidR="04D45649">
        <w:t xml:space="preserve">he </w:t>
      </w:r>
      <w:r w:rsidR="00363C86">
        <w:t>g</w:t>
      </w:r>
      <w:r w:rsidR="005E38B7">
        <w:t>overnment</w:t>
      </w:r>
      <w:r w:rsidR="00087331">
        <w:t xml:space="preserve"> committed to address</w:t>
      </w:r>
      <w:r w:rsidR="00C83E61">
        <w:t>ing</w:t>
      </w:r>
      <w:r w:rsidR="00087331">
        <w:t xml:space="preserve"> concerns </w:t>
      </w:r>
      <w:r w:rsidR="00C83E61">
        <w:t>about</w:t>
      </w:r>
      <w:r w:rsidR="00087331">
        <w:t xml:space="preserve"> the education requirements for existing providers</w:t>
      </w:r>
      <w:r w:rsidR="006C2D8E">
        <w:t xml:space="preserve"> and better recognise their on-the-job experience</w:t>
      </w:r>
      <w:r w:rsidR="00087331">
        <w:t xml:space="preserve">. Specifically, </w:t>
      </w:r>
      <w:r w:rsidR="006C2D8E">
        <w:t>by</w:t>
      </w:r>
      <w:r w:rsidR="00087331">
        <w:t xml:space="preserve"> removing the tertiary education requirements for financial advisers with 10 years’ experience and a clean disciplinary record.  </w:t>
      </w:r>
    </w:p>
    <w:p w14:paraId="2F0602C6" w14:textId="64E39FB7" w:rsidR="00C0412C" w:rsidRDefault="00D9359A" w:rsidP="00F63260">
      <w:r>
        <w:t>Currently</w:t>
      </w:r>
      <w:r w:rsidR="00A71FC4">
        <w:t>,</w:t>
      </w:r>
      <w:r w:rsidR="00DB3ECB">
        <w:t xml:space="preserve"> t</w:t>
      </w:r>
      <w:r w:rsidR="00FB15A6">
        <w:t>he relevant legislation and regulations provide transitional arrangements for ‘existing providers’</w:t>
      </w:r>
      <w:r>
        <w:t xml:space="preserve"> – those financial advisers who were </w:t>
      </w:r>
      <w:r w:rsidR="00FB15A6">
        <w:t xml:space="preserve">authorised to provide </w:t>
      </w:r>
      <w:r>
        <w:t xml:space="preserve">financial </w:t>
      </w:r>
      <w:r w:rsidR="00FB15A6">
        <w:t>advice between 1</w:t>
      </w:r>
      <w:r w:rsidR="001E2088">
        <w:t> </w:t>
      </w:r>
      <w:r w:rsidR="00FB15A6">
        <w:t xml:space="preserve">January 2016 and 1 January 2019. </w:t>
      </w:r>
      <w:r>
        <w:t xml:space="preserve">This cohort </w:t>
      </w:r>
      <w:r w:rsidR="00FB15A6">
        <w:t xml:space="preserve">must also not have been banned, disqualified, or subject of a court enforceable undertaking as of 1 January 2019 to be considered an existing provider. </w:t>
      </w:r>
    </w:p>
    <w:p w14:paraId="39BE13F8" w14:textId="369C8E25" w:rsidR="00DB3ECB" w:rsidRDefault="00FB15A6" w:rsidP="00F63260">
      <w:r>
        <w:t xml:space="preserve">Existing </w:t>
      </w:r>
      <w:r w:rsidR="00DB3ECB">
        <w:t>providers</w:t>
      </w:r>
      <w:r>
        <w:t xml:space="preserve"> are currently required to comply with the following education requirements to continue providing personal financial advice:</w:t>
      </w:r>
    </w:p>
    <w:p w14:paraId="1AE5930D" w14:textId="19C137D8" w:rsidR="00DB3ECB" w:rsidRDefault="00FB15A6" w:rsidP="000B23F5">
      <w:pPr>
        <w:pStyle w:val="Bullet"/>
      </w:pPr>
      <w:r>
        <w:t xml:space="preserve">hold, at most, an approved </w:t>
      </w:r>
      <w:r w:rsidR="00363C86">
        <w:t xml:space="preserve">8 </w:t>
      </w:r>
      <w:r>
        <w:t>unit graduate diploma by 1 January 2026</w:t>
      </w:r>
      <w:r w:rsidR="003856E3" w:rsidRPr="00E52CF5">
        <w:rPr>
          <w:rStyle w:val="FootnoteReference"/>
          <w:vertAlign w:val="superscript"/>
        </w:rPr>
        <w:footnoteReference w:id="4"/>
      </w:r>
      <w:r w:rsidRPr="00E52CF5">
        <w:rPr>
          <w:vertAlign w:val="superscript"/>
        </w:rPr>
        <w:t xml:space="preserve"> </w:t>
      </w:r>
    </w:p>
    <w:p w14:paraId="038AB2DC" w14:textId="5E6C2852" w:rsidR="00DB3ECB" w:rsidRDefault="00FB15A6" w:rsidP="000B23F5">
      <w:pPr>
        <w:pStyle w:val="Bullet"/>
      </w:pPr>
      <w:r>
        <w:t>pass</w:t>
      </w:r>
      <w:r w:rsidR="00681C78">
        <w:t>ed</w:t>
      </w:r>
      <w:r>
        <w:t xml:space="preserve"> the Financial Adviser Exam (exam) by 30 September 2022, if eligible for the extension, otherwise by 31 December 2021</w:t>
      </w:r>
    </w:p>
    <w:p w14:paraId="39C7C38D" w14:textId="2AC63C11" w:rsidR="00DB3ECB" w:rsidRDefault="00FB15A6" w:rsidP="000B23F5">
      <w:pPr>
        <w:pStyle w:val="Bullet"/>
      </w:pPr>
      <w:r>
        <w:t xml:space="preserve">undertake 40 hours of continuing professional development per year. </w:t>
      </w:r>
    </w:p>
    <w:p w14:paraId="73503852" w14:textId="56ED7A11" w:rsidR="00F647D3" w:rsidRPr="00681C78" w:rsidRDefault="00FB15A6" w:rsidP="00E52CF5">
      <w:r>
        <w:t>As stated in the Explanatory Memorandum</w:t>
      </w:r>
      <w:r w:rsidR="00A20752">
        <w:t xml:space="preserve"> to the </w:t>
      </w:r>
      <w:r w:rsidR="00A20752" w:rsidRPr="00526B15">
        <w:rPr>
          <w:i/>
          <w:iCs/>
        </w:rPr>
        <w:t>Corporations Amendment (Professional Standards of Financial Advisers) Act 2017</w:t>
      </w:r>
      <w:r>
        <w:t>,</w:t>
      </w:r>
      <w:r w:rsidR="00A20752">
        <w:t xml:space="preserve"> </w:t>
      </w:r>
      <w:r>
        <w:t>these provisions were designed to allow flexibility for existing advisers and to ensure they ’undertake adequate study to bring their qualifications in line with the new standard’.</w:t>
      </w:r>
      <w:r w:rsidR="00DB3ECB" w:rsidRPr="0052726C">
        <w:rPr>
          <w:rStyle w:val="FootnoteReference"/>
          <w:vertAlign w:val="superscript"/>
        </w:rPr>
        <w:footnoteReference w:id="5"/>
      </w:r>
      <w:r w:rsidR="00DB3ECB">
        <w:t xml:space="preserve"> </w:t>
      </w:r>
    </w:p>
    <w:p w14:paraId="7B4A08EF" w14:textId="3D29C0F8" w:rsidR="0055357E" w:rsidRPr="006822F1" w:rsidRDefault="0055357E" w:rsidP="00E255BF">
      <w:pPr>
        <w:pStyle w:val="Heading2"/>
      </w:pPr>
      <w:bookmarkStart w:id="2" w:name="_Toc130562396"/>
      <w:r w:rsidRPr="006822F1">
        <w:t>Timeline of legislation</w:t>
      </w:r>
      <w:bookmarkEnd w:id="2"/>
      <w:r w:rsidR="0063362C">
        <w:t xml:space="preserve"> </w:t>
      </w:r>
    </w:p>
    <w:p w14:paraId="6330D5CF" w14:textId="7F87E736" w:rsidR="00CC178F" w:rsidRPr="00CC178F" w:rsidRDefault="00CC178F" w:rsidP="008A272D">
      <w:pPr>
        <w:pStyle w:val="Caption"/>
        <w:keepNext/>
      </w:pPr>
      <w:r>
        <w:t>Table 1 Timeline of Legislation</w:t>
      </w:r>
    </w:p>
    <w:tbl>
      <w:tblPr>
        <w:tblStyle w:val="TableGridLight"/>
        <w:tblW w:w="0" w:type="auto"/>
        <w:tblLook w:val="04A0" w:firstRow="1" w:lastRow="0" w:firstColumn="1" w:lastColumn="0" w:noHBand="0" w:noVBand="1"/>
      </w:tblPr>
      <w:tblGrid>
        <w:gridCol w:w="2816"/>
        <w:gridCol w:w="6244"/>
      </w:tblGrid>
      <w:tr w:rsidR="006822F1" w14:paraId="3E445A49" w14:textId="77777777" w:rsidTr="00E255BF">
        <w:tc>
          <w:tcPr>
            <w:tcW w:w="2816" w:type="dxa"/>
          </w:tcPr>
          <w:p w14:paraId="66251BB9" w14:textId="21CB2365" w:rsidR="006822F1" w:rsidRPr="00E255BF" w:rsidRDefault="006822F1" w:rsidP="007C6D12">
            <w:pPr>
              <w:rPr>
                <w:sz w:val="20"/>
              </w:rPr>
            </w:pPr>
            <w:r w:rsidRPr="00E255BF">
              <w:rPr>
                <w:sz w:val="20"/>
              </w:rPr>
              <w:t>Date</w:t>
            </w:r>
          </w:p>
        </w:tc>
        <w:tc>
          <w:tcPr>
            <w:tcW w:w="6244" w:type="dxa"/>
          </w:tcPr>
          <w:p w14:paraId="38A57348" w14:textId="77DB363E" w:rsidR="006822F1" w:rsidRPr="00E255BF" w:rsidRDefault="006822F1" w:rsidP="007C6D12">
            <w:pPr>
              <w:rPr>
                <w:sz w:val="20"/>
              </w:rPr>
            </w:pPr>
            <w:r w:rsidRPr="00E255BF">
              <w:rPr>
                <w:sz w:val="20"/>
              </w:rPr>
              <w:t>Description</w:t>
            </w:r>
          </w:p>
        </w:tc>
      </w:tr>
      <w:tr w:rsidR="00065D66" w14:paraId="58C85781" w14:textId="77777777" w:rsidTr="00E255BF">
        <w:tc>
          <w:tcPr>
            <w:tcW w:w="2816" w:type="dxa"/>
          </w:tcPr>
          <w:p w14:paraId="4A7C5551" w14:textId="340D513A" w:rsidR="00065D66" w:rsidRPr="00E255BF" w:rsidRDefault="00A35A89" w:rsidP="00A35A89">
            <w:pPr>
              <w:rPr>
                <w:sz w:val="20"/>
              </w:rPr>
            </w:pPr>
            <w:r w:rsidRPr="00E255BF">
              <w:rPr>
                <w:sz w:val="20"/>
              </w:rPr>
              <w:t>23 November 2016</w:t>
            </w:r>
          </w:p>
        </w:tc>
        <w:tc>
          <w:tcPr>
            <w:tcW w:w="6244" w:type="dxa"/>
          </w:tcPr>
          <w:p w14:paraId="1EE1D580" w14:textId="043E95E5" w:rsidR="00065D66" w:rsidRPr="00E255BF" w:rsidRDefault="00A35A89" w:rsidP="007C6D12">
            <w:pPr>
              <w:rPr>
                <w:sz w:val="20"/>
              </w:rPr>
            </w:pPr>
            <w:r w:rsidRPr="00E255BF">
              <w:rPr>
                <w:sz w:val="20"/>
              </w:rPr>
              <w:t>Corporations Amendment (Professional Standards of Financial Advisers) Bill 2016</w:t>
            </w:r>
            <w:r w:rsidR="003264F0" w:rsidRPr="00E255BF">
              <w:rPr>
                <w:sz w:val="20"/>
              </w:rPr>
              <w:t xml:space="preserve"> introduced into Parliament</w:t>
            </w:r>
            <w:r w:rsidRPr="00E255BF">
              <w:rPr>
                <w:sz w:val="20"/>
              </w:rPr>
              <w:t>.</w:t>
            </w:r>
          </w:p>
        </w:tc>
      </w:tr>
      <w:tr w:rsidR="00A35A89" w14:paraId="23F8D528" w14:textId="77777777" w:rsidTr="00E255BF">
        <w:tc>
          <w:tcPr>
            <w:tcW w:w="2816" w:type="dxa"/>
          </w:tcPr>
          <w:p w14:paraId="1D6E63AB" w14:textId="6ECDC146" w:rsidR="00A35A89" w:rsidRPr="00E255BF" w:rsidRDefault="00A35A89" w:rsidP="00A35A89">
            <w:pPr>
              <w:rPr>
                <w:sz w:val="20"/>
              </w:rPr>
            </w:pPr>
            <w:r w:rsidRPr="00E255BF">
              <w:rPr>
                <w:sz w:val="20"/>
              </w:rPr>
              <w:t>07 February 2017</w:t>
            </w:r>
          </w:p>
        </w:tc>
        <w:tc>
          <w:tcPr>
            <w:tcW w:w="6244" w:type="dxa"/>
          </w:tcPr>
          <w:p w14:paraId="2EF26426" w14:textId="75AF4D1C" w:rsidR="00A35A89" w:rsidRPr="00E255BF" w:rsidRDefault="00A35A89" w:rsidP="007C6D12">
            <w:pPr>
              <w:rPr>
                <w:sz w:val="20"/>
              </w:rPr>
            </w:pPr>
            <w:r w:rsidRPr="00E255BF">
              <w:rPr>
                <w:sz w:val="20"/>
              </w:rPr>
              <w:t xml:space="preserve">Corporations Amendment (Professional Standards of Financial Advisers) Bill 2016 passed House of Representatives. </w:t>
            </w:r>
          </w:p>
        </w:tc>
      </w:tr>
      <w:tr w:rsidR="00A35A89" w14:paraId="63A75EFB" w14:textId="77777777" w:rsidTr="00E255BF">
        <w:tc>
          <w:tcPr>
            <w:tcW w:w="2816" w:type="dxa"/>
          </w:tcPr>
          <w:p w14:paraId="19CC43B3" w14:textId="2B074242" w:rsidR="00A35A89" w:rsidRPr="00E255BF" w:rsidRDefault="00A35A89" w:rsidP="00A35A89">
            <w:pPr>
              <w:rPr>
                <w:sz w:val="20"/>
              </w:rPr>
            </w:pPr>
            <w:r w:rsidRPr="00E255BF">
              <w:rPr>
                <w:sz w:val="20"/>
              </w:rPr>
              <w:t>09 February 2017</w:t>
            </w:r>
          </w:p>
        </w:tc>
        <w:tc>
          <w:tcPr>
            <w:tcW w:w="6244" w:type="dxa"/>
          </w:tcPr>
          <w:p w14:paraId="4C4DE718" w14:textId="374A0806" w:rsidR="00A35A89" w:rsidRPr="00E255BF" w:rsidRDefault="00A35A89" w:rsidP="00A35A89">
            <w:pPr>
              <w:rPr>
                <w:sz w:val="20"/>
              </w:rPr>
            </w:pPr>
            <w:r w:rsidRPr="00E255BF">
              <w:rPr>
                <w:sz w:val="20"/>
              </w:rPr>
              <w:t>Corporations Amendment (Professional Standards of Financial Advisers) Bill 2016 passed Senate.</w:t>
            </w:r>
          </w:p>
        </w:tc>
      </w:tr>
      <w:tr w:rsidR="00065D66" w14:paraId="047A92EE" w14:textId="77777777" w:rsidTr="00E255BF">
        <w:tc>
          <w:tcPr>
            <w:tcW w:w="2816" w:type="dxa"/>
          </w:tcPr>
          <w:p w14:paraId="476C99A8" w14:textId="2BFC135C" w:rsidR="00065D66" w:rsidRPr="00E255BF" w:rsidRDefault="00A35A89" w:rsidP="007C6D12">
            <w:pPr>
              <w:rPr>
                <w:sz w:val="20"/>
              </w:rPr>
            </w:pPr>
            <w:r w:rsidRPr="00E255BF">
              <w:rPr>
                <w:sz w:val="20"/>
              </w:rPr>
              <w:t>22 February 2017</w:t>
            </w:r>
          </w:p>
        </w:tc>
        <w:tc>
          <w:tcPr>
            <w:tcW w:w="6244" w:type="dxa"/>
          </w:tcPr>
          <w:p w14:paraId="2C4F97AD" w14:textId="51FA18BE" w:rsidR="00065D66" w:rsidRPr="00E255BF" w:rsidRDefault="00A35A89" w:rsidP="00A35A89">
            <w:pPr>
              <w:rPr>
                <w:sz w:val="20"/>
              </w:rPr>
            </w:pPr>
            <w:r w:rsidRPr="00E255BF">
              <w:rPr>
                <w:sz w:val="20"/>
              </w:rPr>
              <w:t xml:space="preserve">Corporations Amendment (Professional Standards of Financial Advisers) Bill 2016 </w:t>
            </w:r>
            <w:r w:rsidR="00D51487" w:rsidRPr="00E255BF">
              <w:rPr>
                <w:sz w:val="20"/>
              </w:rPr>
              <w:t>commenced</w:t>
            </w:r>
            <w:r w:rsidRPr="00E255BF">
              <w:rPr>
                <w:sz w:val="20"/>
              </w:rPr>
              <w:t>.</w:t>
            </w:r>
          </w:p>
        </w:tc>
      </w:tr>
      <w:tr w:rsidR="00D51487" w14:paraId="591EB298" w14:textId="77777777" w:rsidTr="00E255BF">
        <w:tc>
          <w:tcPr>
            <w:tcW w:w="2816" w:type="dxa"/>
          </w:tcPr>
          <w:p w14:paraId="7E80A6AB" w14:textId="1F502901" w:rsidR="00D51487" w:rsidRPr="00E255BF" w:rsidRDefault="00D51487" w:rsidP="007C6D12">
            <w:pPr>
              <w:rPr>
                <w:sz w:val="20"/>
              </w:rPr>
            </w:pPr>
            <w:r w:rsidRPr="00E255BF">
              <w:rPr>
                <w:sz w:val="20"/>
              </w:rPr>
              <w:lastRenderedPageBreak/>
              <w:t>24 June 2021 </w:t>
            </w:r>
          </w:p>
        </w:tc>
        <w:tc>
          <w:tcPr>
            <w:tcW w:w="6244" w:type="dxa"/>
          </w:tcPr>
          <w:p w14:paraId="2886DED1" w14:textId="7F875D99" w:rsidR="00D51487" w:rsidRPr="00E255BF" w:rsidRDefault="00D51487" w:rsidP="007C6D12">
            <w:pPr>
              <w:rPr>
                <w:sz w:val="20"/>
              </w:rPr>
            </w:pPr>
            <w:r w:rsidRPr="00E255BF">
              <w:rPr>
                <w:sz w:val="20"/>
              </w:rPr>
              <w:t>The Financial Sector Reform (Hayne Royal Commission Response – Better Advice)</w:t>
            </w:r>
            <w:r w:rsidR="00DA3469" w:rsidRPr="00E255BF">
              <w:rPr>
                <w:sz w:val="20"/>
              </w:rPr>
              <w:t xml:space="preserve"> Bill 2021 introduced into Parliament </w:t>
            </w:r>
          </w:p>
        </w:tc>
      </w:tr>
      <w:tr w:rsidR="00D51487" w14:paraId="60322013" w14:textId="77777777" w:rsidTr="00E255BF">
        <w:tc>
          <w:tcPr>
            <w:tcW w:w="2816" w:type="dxa"/>
          </w:tcPr>
          <w:p w14:paraId="09B653AE" w14:textId="45B2A6F6" w:rsidR="00D51487" w:rsidRPr="00E255BF" w:rsidRDefault="001671D6" w:rsidP="007C6D12">
            <w:pPr>
              <w:rPr>
                <w:sz w:val="20"/>
              </w:rPr>
            </w:pPr>
            <w:r w:rsidRPr="00E255BF">
              <w:rPr>
                <w:sz w:val="20"/>
              </w:rPr>
              <w:t>0</w:t>
            </w:r>
            <w:r w:rsidR="00D51487" w:rsidRPr="00E255BF">
              <w:rPr>
                <w:sz w:val="20"/>
              </w:rPr>
              <w:t>4 August 2021 </w:t>
            </w:r>
          </w:p>
        </w:tc>
        <w:tc>
          <w:tcPr>
            <w:tcW w:w="6244" w:type="dxa"/>
          </w:tcPr>
          <w:p w14:paraId="32B4E140" w14:textId="349B8B9B" w:rsidR="00D51487" w:rsidRPr="00E255BF" w:rsidRDefault="00CD5B50" w:rsidP="007C6D12">
            <w:pPr>
              <w:rPr>
                <w:sz w:val="20"/>
              </w:rPr>
            </w:pPr>
            <w:r w:rsidRPr="00E255BF">
              <w:rPr>
                <w:sz w:val="20"/>
              </w:rPr>
              <w:t xml:space="preserve">The Financial Sector Reform (Hayne Royal Commission Response – Better Advice) Bill 2021 </w:t>
            </w:r>
            <w:r w:rsidR="00D51487" w:rsidRPr="00E255BF">
              <w:rPr>
                <w:sz w:val="20"/>
              </w:rPr>
              <w:t>passed the House of Representatives</w:t>
            </w:r>
            <w:r w:rsidRPr="00E255BF" w:rsidDel="00CD5B50">
              <w:rPr>
                <w:sz w:val="20"/>
              </w:rPr>
              <w:t xml:space="preserve"> </w:t>
            </w:r>
            <w:r w:rsidR="00D51487" w:rsidRPr="00E255BF">
              <w:rPr>
                <w:sz w:val="20"/>
              </w:rPr>
              <w:t>  </w:t>
            </w:r>
          </w:p>
        </w:tc>
      </w:tr>
      <w:tr w:rsidR="00D51487" w14:paraId="13608449" w14:textId="77777777" w:rsidTr="00E255BF">
        <w:tc>
          <w:tcPr>
            <w:tcW w:w="2816" w:type="dxa"/>
          </w:tcPr>
          <w:p w14:paraId="7E057235" w14:textId="08661A5C" w:rsidR="00D51487" w:rsidRPr="00E255BF" w:rsidRDefault="00D51487" w:rsidP="007C6D12">
            <w:pPr>
              <w:rPr>
                <w:sz w:val="20"/>
              </w:rPr>
            </w:pPr>
            <w:r w:rsidRPr="00E255BF">
              <w:rPr>
                <w:sz w:val="20"/>
              </w:rPr>
              <w:t>21 October 2021 </w:t>
            </w:r>
          </w:p>
        </w:tc>
        <w:tc>
          <w:tcPr>
            <w:tcW w:w="6244" w:type="dxa"/>
          </w:tcPr>
          <w:p w14:paraId="31FB5E61" w14:textId="6EA77006" w:rsidR="00D51487" w:rsidRPr="00E255BF" w:rsidRDefault="003067F8" w:rsidP="007C6D12">
            <w:pPr>
              <w:rPr>
                <w:sz w:val="20"/>
              </w:rPr>
            </w:pPr>
            <w:r w:rsidRPr="00E255BF">
              <w:rPr>
                <w:sz w:val="20"/>
              </w:rPr>
              <w:t>The Financial Sector Reform (Hayne Royal Commission Response – Better Advice) Bill 2021</w:t>
            </w:r>
            <w:r w:rsidR="599E8B46" w:rsidRPr="00E255BF">
              <w:rPr>
                <w:sz w:val="20"/>
              </w:rPr>
              <w:t xml:space="preserve"> </w:t>
            </w:r>
            <w:r w:rsidR="00D51487" w:rsidRPr="00E255BF">
              <w:rPr>
                <w:sz w:val="20"/>
              </w:rPr>
              <w:t>passed the Senate </w:t>
            </w:r>
          </w:p>
        </w:tc>
      </w:tr>
      <w:tr w:rsidR="00D51487" w14:paraId="3A8F7C17" w14:textId="77777777" w:rsidTr="00E255BF">
        <w:tc>
          <w:tcPr>
            <w:tcW w:w="2816" w:type="dxa"/>
          </w:tcPr>
          <w:p w14:paraId="78BF9E36" w14:textId="74ECB6DE" w:rsidR="00D51487" w:rsidRPr="00E255BF" w:rsidRDefault="001671D6" w:rsidP="007C6D12">
            <w:pPr>
              <w:rPr>
                <w:sz w:val="20"/>
              </w:rPr>
            </w:pPr>
            <w:r w:rsidRPr="00E255BF">
              <w:rPr>
                <w:sz w:val="20"/>
              </w:rPr>
              <w:t>0</w:t>
            </w:r>
            <w:r w:rsidR="00D51487" w:rsidRPr="00E255BF">
              <w:rPr>
                <w:sz w:val="20"/>
              </w:rPr>
              <w:t>1 December 2021 </w:t>
            </w:r>
          </w:p>
        </w:tc>
        <w:tc>
          <w:tcPr>
            <w:tcW w:w="6244" w:type="dxa"/>
          </w:tcPr>
          <w:p w14:paraId="6A257893" w14:textId="48891C4E" w:rsidR="00D51487" w:rsidRPr="00E255BF" w:rsidRDefault="00D51487" w:rsidP="007C6D12">
            <w:pPr>
              <w:rPr>
                <w:sz w:val="20"/>
              </w:rPr>
            </w:pPr>
            <w:r w:rsidRPr="00E255BF">
              <w:rPr>
                <w:sz w:val="20"/>
              </w:rPr>
              <w:t>The Corporations (Relevant Providers—Education and Training Standards) Determination 2021 </w:t>
            </w:r>
            <w:r w:rsidR="003067F8" w:rsidRPr="00E255BF">
              <w:rPr>
                <w:sz w:val="20"/>
              </w:rPr>
              <w:t>was</w:t>
            </w:r>
            <w:r w:rsidRPr="00E255BF">
              <w:rPr>
                <w:sz w:val="20"/>
              </w:rPr>
              <w:t xml:space="preserve"> registered  </w:t>
            </w:r>
          </w:p>
        </w:tc>
      </w:tr>
      <w:tr w:rsidR="00D94608" w:rsidDel="00D94608" w14:paraId="476A8984" w14:textId="77777777" w:rsidTr="00E255BF">
        <w:trPr>
          <w:trHeight w:val="300"/>
        </w:trPr>
        <w:tc>
          <w:tcPr>
            <w:tcW w:w="2816" w:type="dxa"/>
          </w:tcPr>
          <w:p w14:paraId="46011D70" w14:textId="625B9E81" w:rsidR="00D94608" w:rsidRPr="00D9471F" w:rsidDel="00D94608" w:rsidRDefault="00D94608" w:rsidP="007C6D12">
            <w:pPr>
              <w:rPr>
                <w:sz w:val="20"/>
              </w:rPr>
            </w:pPr>
            <w:r w:rsidRPr="00D9471F">
              <w:rPr>
                <w:sz w:val="20"/>
              </w:rPr>
              <w:t>01 January 2022</w:t>
            </w:r>
          </w:p>
        </w:tc>
        <w:tc>
          <w:tcPr>
            <w:tcW w:w="6200" w:type="dxa"/>
          </w:tcPr>
          <w:p w14:paraId="33D32CCD" w14:textId="79CCEE8D" w:rsidR="00D94608" w:rsidRPr="00D9471F" w:rsidDel="00D94608" w:rsidRDefault="00D94608" w:rsidP="007C6D12">
            <w:pPr>
              <w:rPr>
                <w:sz w:val="20"/>
              </w:rPr>
            </w:pPr>
            <w:r w:rsidRPr="00D9471F">
              <w:rPr>
                <w:sz w:val="20"/>
              </w:rPr>
              <w:t>The Financial Sector Reform (Hayne Royal Commission Response – Better Advice) Act 2021</w:t>
            </w:r>
          </w:p>
        </w:tc>
      </w:tr>
    </w:tbl>
    <w:p w14:paraId="6A4A9C1D" w14:textId="11FB1C24" w:rsidR="00D702A4" w:rsidRDefault="00962F90" w:rsidP="00D702A4">
      <w:pPr>
        <w:pStyle w:val="Heading1"/>
      </w:pPr>
      <w:bookmarkStart w:id="3" w:name="_Toc130562397"/>
      <w:r w:rsidRPr="007835B0">
        <w:t xml:space="preserve">The </w:t>
      </w:r>
      <w:r w:rsidR="00EE39A6" w:rsidDel="008E628C">
        <w:t>p</w:t>
      </w:r>
      <w:r w:rsidR="00EA5697" w:rsidRPr="007835B0">
        <w:t>roblem</w:t>
      </w:r>
      <w:bookmarkEnd w:id="3"/>
    </w:p>
    <w:p w14:paraId="19953ED3" w14:textId="140045F0" w:rsidR="00C640BD" w:rsidRDefault="003576C3" w:rsidP="003576C3">
      <w:r>
        <w:t>Since the introduction of the education requirements, there has been a decline in adviser numbers</w:t>
      </w:r>
      <w:r w:rsidR="00971B80">
        <w:t>.</w:t>
      </w:r>
      <w:r>
        <w:t xml:space="preserve"> </w:t>
      </w:r>
      <w:r w:rsidR="00533377">
        <w:t>B</w:t>
      </w:r>
      <w:r>
        <w:t>etween 2018 and 2022 the pool of advisers has reduced by more than 11</w:t>
      </w:r>
      <w:r w:rsidR="002B42F3">
        <w:t xml:space="preserve"> </w:t>
      </w:r>
      <w:r w:rsidR="002709F3">
        <w:t>646</w:t>
      </w:r>
      <w:r>
        <w:t xml:space="preserve">. The prescriptive </w:t>
      </w:r>
      <w:r w:rsidRPr="00355C23">
        <w:t>nature of the education requirements has been frequently cited as a key contributing factor. This has</w:t>
      </w:r>
      <w:r>
        <w:t xml:space="preserve"> been widely reported, with an August 2022 article from </w:t>
      </w:r>
      <w:r w:rsidRPr="00942FE3">
        <w:rPr>
          <w:i/>
          <w:iCs/>
        </w:rPr>
        <w:t>Independent Financial Adviser</w:t>
      </w:r>
      <w:r>
        <w:t xml:space="preserve"> stating that the </w:t>
      </w:r>
      <w:r w:rsidRPr="00222D61">
        <w:t>‘current requirements have been criticised by a number of groups within the sector, including the </w:t>
      </w:r>
      <w:r w:rsidR="00D11BB6">
        <w:t>Financial Planning Association,</w:t>
      </w:r>
      <w:r w:rsidRPr="00222D61">
        <w:t> </w:t>
      </w:r>
      <w:r w:rsidRPr="00942FE3">
        <w:t>Association of Financial Advisers</w:t>
      </w:r>
      <w:r w:rsidRPr="00222D61">
        <w:t> and The Advisers Association, with CEO Neil Macdonald saying the industry will experience a “mass exodus” by 2026 if changes are not made.’</w:t>
      </w:r>
      <w:r w:rsidRPr="008A272D">
        <w:rPr>
          <w:rStyle w:val="FootnoteReference"/>
          <w:vertAlign w:val="superscript"/>
        </w:rPr>
        <w:footnoteReference w:id="6"/>
      </w:r>
      <w:r w:rsidRPr="008A272D">
        <w:rPr>
          <w:vertAlign w:val="superscript"/>
        </w:rPr>
        <w:t xml:space="preserve"> </w:t>
      </w:r>
      <w:r w:rsidR="00A74CAC">
        <w:rPr>
          <w:vertAlign w:val="superscript"/>
        </w:rPr>
        <w:t xml:space="preserve"> </w:t>
      </w:r>
      <w:r w:rsidR="00C640BD">
        <w:t>Figure 1 below shows this decline in adviser numbers</w:t>
      </w:r>
      <w:r w:rsidR="00222CB4">
        <w:t>, using data from the Financial Advice Register.</w:t>
      </w:r>
      <w:r w:rsidR="002956A5">
        <w:t xml:space="preserve"> There has been a 29.63</w:t>
      </w:r>
      <w:r w:rsidR="001D726C">
        <w:t> per cent</w:t>
      </w:r>
      <w:r w:rsidR="002956A5">
        <w:t xml:space="preserve"> decline </w:t>
      </w:r>
      <w:r w:rsidR="00A74CAC">
        <w:t xml:space="preserve">in </w:t>
      </w:r>
      <w:r w:rsidR="002956A5">
        <w:t>the number of financial advisers between 2015 and 2023</w:t>
      </w:r>
      <w:r w:rsidR="00404F55">
        <w:t xml:space="preserve"> a</w:t>
      </w:r>
      <w:r w:rsidR="002956A5">
        <w:t>nd a 41.65</w:t>
      </w:r>
      <w:r w:rsidR="001D726C">
        <w:t> per cent</w:t>
      </w:r>
      <w:r w:rsidR="002956A5">
        <w:t xml:space="preserve"> decline from the height of 2018.</w:t>
      </w:r>
    </w:p>
    <w:p w14:paraId="7382AD8D" w14:textId="757CAFA6" w:rsidR="00737143" w:rsidRDefault="00737143" w:rsidP="00617BB7">
      <w:pPr>
        <w:pStyle w:val="Caption"/>
        <w:keepNext/>
      </w:pPr>
      <w:r>
        <w:t>Figure 1 Number of active financial advisers</w:t>
      </w:r>
    </w:p>
    <w:p w14:paraId="00AA753C" w14:textId="3BDA2ED9" w:rsidR="005F3CBB" w:rsidRDefault="005F3CBB" w:rsidP="003576C3">
      <w:r>
        <w:rPr>
          <w:noProof/>
        </w:rPr>
        <w:drawing>
          <wp:inline distT="0" distB="0" distL="0" distR="0" wp14:anchorId="3C43FD12" wp14:editId="653745EE">
            <wp:extent cx="4095750" cy="2333625"/>
            <wp:effectExtent l="0" t="0" r="0" b="9525"/>
            <wp:docPr id="6" name="Chart 6">
              <a:extLst xmlns:a="http://schemas.openxmlformats.org/drawingml/2006/main">
                <a:ext uri="{FF2B5EF4-FFF2-40B4-BE49-F238E27FC236}">
                  <a16:creationId xmlns:a16="http://schemas.microsoft.com/office/drawing/2014/main" id="{290D2315-5070-C67F-585E-F4A4917120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E0A99F7" w14:textId="77777777" w:rsidR="00A35033" w:rsidRDefault="00A35033">
      <w:pPr>
        <w:spacing w:before="0" w:after="200" w:line="276" w:lineRule="auto"/>
      </w:pPr>
      <w:r>
        <w:br w:type="page"/>
      </w:r>
    </w:p>
    <w:p w14:paraId="0D5E9A4F" w14:textId="6F677AFF" w:rsidR="00691BB6" w:rsidRDefault="00D44222" w:rsidP="00A36700">
      <w:r>
        <w:lastRenderedPageBreak/>
        <w:t xml:space="preserve">It was not the intention of the education requirements to </w:t>
      </w:r>
      <w:r w:rsidR="00B95BF7">
        <w:t xml:space="preserve">force </w:t>
      </w:r>
      <w:r w:rsidR="007A3BA8">
        <w:t xml:space="preserve">advisers out of the industry. Rather the requirements were intended to </w:t>
      </w:r>
      <w:r w:rsidR="00493FBA">
        <w:t xml:space="preserve">professionalise the industry by ensuring that advisers had a </w:t>
      </w:r>
      <w:r w:rsidR="000C21C9">
        <w:t xml:space="preserve">common base level of knowledge. </w:t>
      </w:r>
    </w:p>
    <w:p w14:paraId="20E744AE" w14:textId="68EDB6FF" w:rsidR="00A36700" w:rsidRPr="00B95682" w:rsidRDefault="00580763" w:rsidP="00A36700">
      <w:r>
        <w:t xml:space="preserve">However, in </w:t>
      </w:r>
      <w:r w:rsidR="00B95682">
        <w:t>their</w:t>
      </w:r>
      <w:r>
        <w:t xml:space="preserve"> current form, the education requirements have failed to strike the right balance between ensuring consumers are receiving professional advice and encouraging experienced advisers to stay in the industry.</w:t>
      </w:r>
      <w:r w:rsidR="000B20F3" w:rsidRPr="000B20F3">
        <w:t xml:space="preserve"> </w:t>
      </w:r>
      <w:r w:rsidR="004F51C2">
        <w:t>I</w:t>
      </w:r>
      <w:r w:rsidR="004F51C2" w:rsidRPr="00B95682">
        <w:t>t</w:t>
      </w:r>
      <w:r w:rsidR="00A56384" w:rsidRPr="00B95682">
        <w:t xml:space="preserve"> </w:t>
      </w:r>
      <w:r w:rsidR="007A6C92" w:rsidRPr="00B95682">
        <w:t xml:space="preserve">is </w:t>
      </w:r>
      <w:r w:rsidR="007D5F47" w:rsidRPr="00B95682">
        <w:t xml:space="preserve">a </w:t>
      </w:r>
      <w:r w:rsidR="004F51C2">
        <w:t>reasonable consideration</w:t>
      </w:r>
      <w:r w:rsidR="007D5F47" w:rsidRPr="00B95682">
        <w:t xml:space="preserve"> </w:t>
      </w:r>
      <w:r w:rsidR="00160203" w:rsidRPr="00B95682">
        <w:t>for</w:t>
      </w:r>
      <w:r w:rsidR="00AE67CB" w:rsidRPr="00B95682">
        <w:t xml:space="preserve"> </w:t>
      </w:r>
      <w:r w:rsidR="007D5F47" w:rsidRPr="00B95682">
        <w:t xml:space="preserve">an </w:t>
      </w:r>
      <w:r w:rsidR="00A36700" w:rsidRPr="00B95682">
        <w:t>experienced</w:t>
      </w:r>
      <w:r w:rsidR="497385F2" w:rsidRPr="00B95682">
        <w:t xml:space="preserve"> adviser</w:t>
      </w:r>
      <w:r w:rsidR="00BD0630" w:rsidRPr="00B95682">
        <w:t xml:space="preserve">, </w:t>
      </w:r>
      <w:r w:rsidR="001C20A4" w:rsidRPr="00B95682">
        <w:t xml:space="preserve">in deciding </w:t>
      </w:r>
      <w:r w:rsidR="00F4010B" w:rsidRPr="00B95682">
        <w:t xml:space="preserve">whether to </w:t>
      </w:r>
      <w:r w:rsidR="00A36700" w:rsidRPr="00B95682">
        <w:t xml:space="preserve">undertake additional study </w:t>
      </w:r>
      <w:r w:rsidR="00F602DD" w:rsidRPr="00B95682">
        <w:t xml:space="preserve">to consider </w:t>
      </w:r>
      <w:r w:rsidR="00A36700" w:rsidRPr="00B95682">
        <w:t>the associated costs both financial and time expended, and the expected return</w:t>
      </w:r>
      <w:r w:rsidR="00B30AF8">
        <w:t xml:space="preserve">, </w:t>
      </w:r>
      <w:r w:rsidR="000C0A87">
        <w:t>including based on</w:t>
      </w:r>
      <w:r w:rsidR="00A36700" w:rsidRPr="00B95682">
        <w:t xml:space="preserve"> how long the adviser has before retirement. </w:t>
      </w:r>
      <w:r w:rsidR="000B20F3">
        <w:t>Experienced advisers make a valuable contribution to the financial advice industry. They play an integral role supervising new entrants during their professional year</w:t>
      </w:r>
      <w:r w:rsidR="00F77DDA">
        <w:t xml:space="preserve"> </w:t>
      </w:r>
      <w:r w:rsidR="000B20F3">
        <w:t>and sharing their knowledge and experience more broadly. Experienced advisers have worked during complicated economic periods such as the Global Financial Crisis and the impacts of the COVID</w:t>
      </w:r>
      <w:r w:rsidR="00D15397">
        <w:t>-19</w:t>
      </w:r>
      <w:r w:rsidR="000B20F3">
        <w:t xml:space="preserve"> pandemic.</w:t>
      </w:r>
      <w:r w:rsidR="00A36700" w:rsidRPr="00B95682">
        <w:t xml:space="preserve"> </w:t>
      </w:r>
    </w:p>
    <w:p w14:paraId="4931468C" w14:textId="4A295E80" w:rsidR="00D15397" w:rsidRDefault="001C0BBB" w:rsidP="00D15397">
      <w:r>
        <w:t>As</w:t>
      </w:r>
      <w:r w:rsidR="00D15397">
        <w:t xml:space="preserve"> the number of new entrants has not matched the number of exiting advisers, a decline in the number of advisers</w:t>
      </w:r>
      <w:r w:rsidR="00EC2305">
        <w:t xml:space="preserve">, given there has been no change </w:t>
      </w:r>
      <w:r w:rsidR="00571C80">
        <w:t>in demand for advice,</w:t>
      </w:r>
      <w:r w:rsidR="00D15397">
        <w:t xml:space="preserve"> is also likely to put upward pressure on the price of advice</w:t>
      </w:r>
      <w:r w:rsidR="00917265">
        <w:t xml:space="preserve">. </w:t>
      </w:r>
      <w:r w:rsidR="00AA100D">
        <w:t xml:space="preserve">Members of industry have drawn links between the professional standards and costs of advice. For example, the Financial Services Council’s </w:t>
      </w:r>
      <w:r w:rsidR="00AA100D">
        <w:rPr>
          <w:i/>
          <w:iCs/>
        </w:rPr>
        <w:t xml:space="preserve">White Paper on Financial Advice </w:t>
      </w:r>
      <w:r w:rsidR="00AA100D">
        <w:t>says the ‘</w:t>
      </w:r>
      <w:r w:rsidR="00AA100D" w:rsidRPr="008538A6">
        <w:t>regulatory framework designed to professionalise the industry… is an unprecedented driver of costs for financial advisers and consumers.’</w:t>
      </w:r>
      <w:r w:rsidR="00AA100D" w:rsidRPr="008A272D">
        <w:rPr>
          <w:rStyle w:val="FootnoteReference"/>
          <w:vertAlign w:val="superscript"/>
        </w:rPr>
        <w:footnoteReference w:id="7"/>
      </w:r>
      <w:r w:rsidR="00AA100D">
        <w:t xml:space="preserve"> While that paper pointed to multiple aspects of the professionalisation framework as impacting the increases cost of advice, the education requirements were identified as a contributing feature.</w:t>
      </w:r>
      <w:r w:rsidR="00AA100D" w:rsidRPr="008A272D">
        <w:rPr>
          <w:rStyle w:val="FootnoteReference"/>
          <w:vertAlign w:val="superscript"/>
        </w:rPr>
        <w:footnoteReference w:id="8"/>
      </w:r>
      <w:r w:rsidR="00AA100D">
        <w:t xml:space="preserve"> </w:t>
      </w:r>
    </w:p>
    <w:p w14:paraId="679EAB70" w14:textId="69B7E206" w:rsidR="00CB7F5E" w:rsidRDefault="00783299" w:rsidP="00783299">
      <w:r>
        <w:t xml:space="preserve">Cost </w:t>
      </w:r>
      <w:r w:rsidR="00532EE7">
        <w:t>represents</w:t>
      </w:r>
      <w:r>
        <w:t xml:space="preserve"> a barrier to consumers seeking advice. </w:t>
      </w:r>
      <w:r w:rsidR="003568EC" w:rsidRPr="00D04E8F">
        <w:t xml:space="preserve">Research by ASIC </w:t>
      </w:r>
      <w:r w:rsidR="003568EC">
        <w:t xml:space="preserve">suggests that </w:t>
      </w:r>
      <w:r w:rsidR="003568EC" w:rsidRPr="00D04E8F">
        <w:t xml:space="preserve">cost of advice was the most identified reason for participants not seeking financial advice. </w:t>
      </w:r>
      <w:r w:rsidR="00493DAC">
        <w:t>64</w:t>
      </w:r>
      <w:r w:rsidR="003568EC" w:rsidRPr="00D04E8F">
        <w:t xml:space="preserve"> per cent of participants agreed that financial advisers were too expensive</w:t>
      </w:r>
      <w:r w:rsidR="003568EC">
        <w:t>.</w:t>
      </w:r>
      <w:r w:rsidR="003568EC" w:rsidRPr="008A272D">
        <w:rPr>
          <w:rStyle w:val="FootnoteReference"/>
          <w:vertAlign w:val="superscript"/>
        </w:rPr>
        <w:footnoteReference w:id="9"/>
      </w:r>
      <w:r w:rsidR="003568EC" w:rsidRPr="008A272D">
        <w:rPr>
          <w:vertAlign w:val="superscript"/>
        </w:rPr>
        <w:t xml:space="preserve"> </w:t>
      </w:r>
      <w:r w:rsidR="00CB7F5E">
        <w:t>The Q</w:t>
      </w:r>
      <w:r w:rsidR="00943960">
        <w:t>uality of Advice Review</w:t>
      </w:r>
      <w:r w:rsidR="00CB7F5E">
        <w:t xml:space="preserve"> also noted that declining number of advisers has meant advice is increasingly only provided to high-net-worth individuals.</w:t>
      </w:r>
      <w:r w:rsidR="00CB7F5E" w:rsidRPr="008A272D">
        <w:rPr>
          <w:rStyle w:val="FootnoteReference"/>
          <w:vertAlign w:val="superscript"/>
        </w:rPr>
        <w:footnoteReference w:id="10"/>
      </w:r>
      <w:r w:rsidR="00CB7F5E">
        <w:t xml:space="preserve"> </w:t>
      </w:r>
    </w:p>
    <w:p w14:paraId="175FF3C0" w14:textId="6479B3FC" w:rsidR="00EA5697" w:rsidRDefault="00EA5697" w:rsidP="007835B0">
      <w:pPr>
        <w:pStyle w:val="Heading1"/>
      </w:pPr>
      <w:bookmarkStart w:id="4" w:name="_Toc130562398"/>
      <w:r>
        <w:t xml:space="preserve">Case for </w:t>
      </w:r>
      <w:r w:rsidR="00EE39A6">
        <w:t>g</w:t>
      </w:r>
      <w:r>
        <w:t xml:space="preserve">overnment </w:t>
      </w:r>
      <w:r w:rsidR="00EE39A6">
        <w:t>a</w:t>
      </w:r>
      <w:r>
        <w:t>ction</w:t>
      </w:r>
      <w:bookmarkEnd w:id="4"/>
    </w:p>
    <w:p w14:paraId="111452DD" w14:textId="6D64499B" w:rsidR="0004213B" w:rsidRDefault="0004213B" w:rsidP="00223F26">
      <w:r>
        <w:t xml:space="preserve">As outlined above, the </w:t>
      </w:r>
      <w:r w:rsidR="00895F24">
        <w:t xml:space="preserve">decline in adviser numbers, and the subsequent rise in </w:t>
      </w:r>
      <w:r w:rsidR="000E3CB4">
        <w:t xml:space="preserve">advice </w:t>
      </w:r>
      <w:r w:rsidR="00895F24">
        <w:t xml:space="preserve">prices, </w:t>
      </w:r>
      <w:r w:rsidR="006139D0">
        <w:t>could be, at least</w:t>
      </w:r>
      <w:r w:rsidR="00A60074">
        <w:t xml:space="preserve"> </w:t>
      </w:r>
      <w:r w:rsidR="003B1D6C">
        <w:t>part</w:t>
      </w:r>
      <w:r w:rsidR="001C2B3C">
        <w:t xml:space="preserve">ially </w:t>
      </w:r>
      <w:r w:rsidR="006139D0">
        <w:t>attributed</w:t>
      </w:r>
      <w:r w:rsidR="001C2B3C">
        <w:t xml:space="preserve"> </w:t>
      </w:r>
      <w:r w:rsidR="00B6582A">
        <w:t>to</w:t>
      </w:r>
      <w:r w:rsidR="00A60074">
        <w:t xml:space="preserve"> government intervent</w:t>
      </w:r>
      <w:r w:rsidR="00234112">
        <w:t>ion</w:t>
      </w:r>
      <w:r w:rsidR="0085035B">
        <w:t xml:space="preserve">. </w:t>
      </w:r>
      <w:r w:rsidR="00FC74B5">
        <w:t xml:space="preserve">As implemented, the </w:t>
      </w:r>
      <w:r w:rsidR="0085035B">
        <w:t>e</w:t>
      </w:r>
      <w:r w:rsidR="00377C62">
        <w:t>ducation requirements</w:t>
      </w:r>
      <w:r w:rsidR="00A21C6B">
        <w:t xml:space="preserve"> </w:t>
      </w:r>
      <w:r w:rsidR="00C83C34">
        <w:t xml:space="preserve">failed </w:t>
      </w:r>
      <w:r w:rsidR="00650D90">
        <w:t xml:space="preserve">to appropriately recognise the </w:t>
      </w:r>
      <w:r w:rsidR="00E7764B">
        <w:t>lived experience of certain</w:t>
      </w:r>
      <w:r w:rsidR="00877395">
        <w:t xml:space="preserve"> financial advisers</w:t>
      </w:r>
      <w:r w:rsidR="00643829">
        <w:t xml:space="preserve">, </w:t>
      </w:r>
      <w:r w:rsidR="0028589F">
        <w:t>me</w:t>
      </w:r>
      <w:r w:rsidR="000866FD">
        <w:t>aning the requirements</w:t>
      </w:r>
      <w:r w:rsidR="00E7764B" w:rsidDel="000866FD">
        <w:t xml:space="preserve"> </w:t>
      </w:r>
      <w:r w:rsidR="00E7764B">
        <w:t>did not</w:t>
      </w:r>
      <w:r w:rsidR="00C83C34">
        <w:t xml:space="preserve"> prop</w:t>
      </w:r>
      <w:r w:rsidR="00A33D4D">
        <w:t xml:space="preserve">erly balance the desire to professionalise the industry, with the </w:t>
      </w:r>
      <w:r w:rsidR="004A7B9D">
        <w:t>benefits of retaining an experienced skilled workforce</w:t>
      </w:r>
      <w:r w:rsidR="00A33D4D">
        <w:t>.</w:t>
      </w:r>
      <w:r w:rsidR="00377C62">
        <w:t xml:space="preserve"> </w:t>
      </w:r>
      <w:r w:rsidR="00330F16">
        <w:t xml:space="preserve">The government </w:t>
      </w:r>
      <w:r w:rsidR="00AB3987">
        <w:t>can</w:t>
      </w:r>
      <w:r w:rsidR="00F4191A">
        <w:t xml:space="preserve"> address this issue by amending </w:t>
      </w:r>
      <w:r w:rsidR="00183E88">
        <w:t xml:space="preserve">the existing regulation. </w:t>
      </w:r>
    </w:p>
    <w:p w14:paraId="0BC1CBED" w14:textId="18F10272" w:rsidR="00E93E9D" w:rsidRDefault="00755927" w:rsidP="00043EC3">
      <w:pPr>
        <w:spacing w:before="0" w:after="0"/>
      </w:pPr>
      <w:r w:rsidDel="002C4BF1">
        <w:t xml:space="preserve">As outlined above </w:t>
      </w:r>
      <w:r w:rsidR="00043EC3">
        <w:t xml:space="preserve">anecdotal evidence has </w:t>
      </w:r>
      <w:r w:rsidR="00DD1685">
        <w:t xml:space="preserve">indicated that the requirements </w:t>
      </w:r>
      <w:r w:rsidR="00043EC3">
        <w:t>create</w:t>
      </w:r>
      <w:r w:rsidR="00DD1685">
        <w:t xml:space="preserve"> a significant barrier to remain in the industry. </w:t>
      </w:r>
      <w:r w:rsidR="00893FDE">
        <w:t>G</w:t>
      </w:r>
      <w:r w:rsidR="005E38B7">
        <w:t>overnment</w:t>
      </w:r>
      <w:r w:rsidR="0068265D">
        <w:t xml:space="preserve"> action </w:t>
      </w:r>
      <w:r w:rsidR="00043EC3">
        <w:t>to change the education requirements</w:t>
      </w:r>
      <w:r w:rsidR="0068265D">
        <w:t xml:space="preserve"> is not </w:t>
      </w:r>
      <w:r w:rsidR="00DD1685">
        <w:t xml:space="preserve">likely </w:t>
      </w:r>
      <w:r w:rsidR="0068265D">
        <w:t>to</w:t>
      </w:r>
      <w:r w:rsidR="00DD1685">
        <w:t xml:space="preserve"> reverse the decline of advisers</w:t>
      </w:r>
      <w:r w:rsidR="00043EC3">
        <w:t xml:space="preserve"> but</w:t>
      </w:r>
      <w:r w:rsidR="00DD1685">
        <w:t xml:space="preserve"> it </w:t>
      </w:r>
      <w:r w:rsidR="00043EC3">
        <w:t>can</w:t>
      </w:r>
      <w:r w:rsidR="00DD1685">
        <w:t xml:space="preserve"> play a part in stabilising the numbers. </w:t>
      </w:r>
      <w:r w:rsidR="00423AA6">
        <w:t>It</w:t>
      </w:r>
      <w:r w:rsidR="00A77E17">
        <w:t xml:space="preserve"> is likely to ensure there is no significant </w:t>
      </w:r>
      <w:r w:rsidR="003B7D19">
        <w:t xml:space="preserve">exit of advisers on 1 January 2026, meaning that new entrants can benefit from mentoring from experienced advisers who may exit in a more orderly fashion. </w:t>
      </w:r>
    </w:p>
    <w:p w14:paraId="5052B91D" w14:textId="34F53D0E" w:rsidR="00423AA6" w:rsidRDefault="00044CFA" w:rsidP="00423AA6">
      <w:r>
        <w:t xml:space="preserve">Review or reform of the professional standards for financial advisers was outside the Terms of Reference for the independent Quality of Advice Review. While evidence gathered by the Review is useful for informing this policy, it did not make recommendations on the education standards. </w:t>
      </w:r>
    </w:p>
    <w:p w14:paraId="49FB1A9F" w14:textId="41616454" w:rsidR="00EA5697" w:rsidRDefault="0053186E" w:rsidP="007835B0">
      <w:pPr>
        <w:pStyle w:val="Heading1"/>
      </w:pPr>
      <w:bookmarkStart w:id="5" w:name="_Toc130562399"/>
      <w:r>
        <w:lastRenderedPageBreak/>
        <w:t>P</w:t>
      </w:r>
      <w:r w:rsidR="00EA5697">
        <w:t>olicy options</w:t>
      </w:r>
      <w:bookmarkEnd w:id="5"/>
    </w:p>
    <w:p w14:paraId="7D3B9010" w14:textId="687B7BFD" w:rsidR="00A020FB" w:rsidRDefault="00A020FB" w:rsidP="00A020FB">
      <w:r>
        <w:t>As th</w:t>
      </w:r>
      <w:r w:rsidR="00401155">
        <w:t>e proposed policy intervention</w:t>
      </w:r>
      <w:r>
        <w:t xml:space="preserve"> is an election commitment, the only policy options that will be considered are the commitment itself and the status quo.</w:t>
      </w:r>
      <w:r w:rsidR="00401155">
        <w:t xml:space="preserve"> This is consistent with </w:t>
      </w:r>
      <w:r w:rsidR="00AF21E0">
        <w:t>guidance from the Office of Impact Analysis</w:t>
      </w:r>
      <w:r w:rsidR="00401155">
        <w:t>.</w:t>
      </w:r>
    </w:p>
    <w:p w14:paraId="1D1B165F" w14:textId="40FB49AF" w:rsidR="00F54A61" w:rsidRPr="0072682C" w:rsidRDefault="00150F97" w:rsidP="0072682C">
      <w:pPr>
        <w:pStyle w:val="Heading2"/>
      </w:pPr>
      <w:bookmarkStart w:id="6" w:name="_Toc130562400"/>
      <w:r w:rsidRPr="0072682C">
        <w:t>S</w:t>
      </w:r>
      <w:r w:rsidR="00F54A61" w:rsidRPr="0072682C">
        <w:t>tatus quo</w:t>
      </w:r>
      <w:bookmarkEnd w:id="6"/>
    </w:p>
    <w:p w14:paraId="3504E5DA" w14:textId="4D20C12E" w:rsidR="00F54A61" w:rsidRDefault="00F54A61" w:rsidP="00F54A61">
      <w:r>
        <w:t xml:space="preserve">The status quo is </w:t>
      </w:r>
      <w:r w:rsidDel="007B1278">
        <w:t>that</w:t>
      </w:r>
      <w:r w:rsidDel="009413C3">
        <w:t xml:space="preserve"> </w:t>
      </w:r>
      <w:r>
        <w:t xml:space="preserve">financial advisers </w:t>
      </w:r>
      <w:r w:rsidR="00E70B7E">
        <w:t xml:space="preserve">who were </w:t>
      </w:r>
      <w:r w:rsidR="0072682C">
        <w:t xml:space="preserve">authorised </w:t>
      </w:r>
      <w:r w:rsidR="00E70B7E">
        <w:t xml:space="preserve">on the </w:t>
      </w:r>
      <w:r w:rsidR="00CA1A17">
        <w:t>F</w:t>
      </w:r>
      <w:r w:rsidR="008D4377">
        <w:t>inancial Advi</w:t>
      </w:r>
      <w:r w:rsidR="008B06B9">
        <w:t>ser</w:t>
      </w:r>
      <w:r w:rsidR="008D4377">
        <w:t xml:space="preserve"> </w:t>
      </w:r>
      <w:r w:rsidR="0071642C">
        <w:t>Register</w:t>
      </w:r>
      <w:r>
        <w:t xml:space="preserve"> between 2016 and 2019 </w:t>
      </w:r>
      <w:r w:rsidR="007D193C">
        <w:t>(</w:t>
      </w:r>
      <w:r>
        <w:t>existing advisers</w:t>
      </w:r>
      <w:r w:rsidR="007D193C">
        <w:t>)</w:t>
      </w:r>
      <w:r>
        <w:t xml:space="preserve"> are currently required to, at most, complete an </w:t>
      </w:r>
      <w:r w:rsidR="000F05AE">
        <w:t xml:space="preserve">8 </w:t>
      </w:r>
      <w:r>
        <w:t xml:space="preserve">subject graduate diploma. Prior learning, such as an Advanced Diploma of Financial Planning or a professional designation such as a Certified Financial Planner, can reduce the required subject load. This arrangement already </w:t>
      </w:r>
      <w:r w:rsidR="00A22082">
        <w:t>provides reduced transition arrangements for</w:t>
      </w:r>
      <w:r>
        <w:t xml:space="preserve"> existing advisers </w:t>
      </w:r>
      <w:r w:rsidR="00A22082">
        <w:t xml:space="preserve">in meeting </w:t>
      </w:r>
      <w:r>
        <w:t xml:space="preserve">the education requirement of a bachelor’s degree. </w:t>
      </w:r>
    </w:p>
    <w:p w14:paraId="2C299CC1" w14:textId="1CF5726E" w:rsidR="00A020FB" w:rsidRPr="00D6547A" w:rsidRDefault="006353CD" w:rsidP="00D6547A">
      <w:pPr>
        <w:pStyle w:val="Heading2"/>
      </w:pPr>
      <w:bookmarkStart w:id="7" w:name="_Toc130562401"/>
      <w:r w:rsidRPr="00D6547A">
        <w:t>Election</w:t>
      </w:r>
      <w:r w:rsidR="000C0F87" w:rsidRPr="00D6547A">
        <w:t xml:space="preserve"> commitment</w:t>
      </w:r>
      <w:r w:rsidR="00660273">
        <w:t xml:space="preserve"> – </w:t>
      </w:r>
      <w:r w:rsidR="00D11BB6">
        <w:t xml:space="preserve">the </w:t>
      </w:r>
      <w:r w:rsidR="00660273">
        <w:t>‘experienced pathway’</w:t>
      </w:r>
      <w:bookmarkEnd w:id="7"/>
    </w:p>
    <w:p w14:paraId="6BF14D67" w14:textId="4B2D3CDE" w:rsidR="0070420F" w:rsidRDefault="00A020FB" w:rsidP="0070420F">
      <w:pPr>
        <w:rPr>
          <w:vertAlign w:val="superscript"/>
        </w:rPr>
      </w:pPr>
      <w:r>
        <w:t>The</w:t>
      </w:r>
      <w:r w:rsidR="006353CD">
        <w:t xml:space="preserve"> election</w:t>
      </w:r>
      <w:r>
        <w:t xml:space="preserve"> commitment</w:t>
      </w:r>
      <w:r w:rsidR="00AB2DD0">
        <w:t xml:space="preserve"> </w:t>
      </w:r>
      <w:r w:rsidR="00A5705B">
        <w:t>was</w:t>
      </w:r>
      <w:r w:rsidR="00AB2DD0">
        <w:t xml:space="preserve"> to remove </w:t>
      </w:r>
      <w:r w:rsidR="00F26A69">
        <w:t>the tertiary</w:t>
      </w:r>
      <w:r w:rsidR="00AB2DD0">
        <w:t xml:space="preserve"> education requirements for financial advisers with 10 </w:t>
      </w:r>
      <w:r w:rsidR="00401155">
        <w:t xml:space="preserve">or more </w:t>
      </w:r>
      <w:r w:rsidR="00AB2DD0">
        <w:t xml:space="preserve">years’ experience and a clean disciplinary record. </w:t>
      </w:r>
      <w:r w:rsidR="00DC1A74">
        <w:t xml:space="preserve">This commitment </w:t>
      </w:r>
      <w:r w:rsidR="002342CC">
        <w:t>was</w:t>
      </w:r>
      <w:r w:rsidR="006B7DB1">
        <w:t xml:space="preserve"> made</w:t>
      </w:r>
      <w:r w:rsidR="002342CC">
        <w:t xml:space="preserve"> </w:t>
      </w:r>
      <w:r w:rsidR="004E672B">
        <w:t>on 8</w:t>
      </w:r>
      <w:r w:rsidR="00F26A69">
        <w:t> </w:t>
      </w:r>
      <w:r w:rsidR="004E672B">
        <w:t xml:space="preserve">December 2021 </w:t>
      </w:r>
      <w:r w:rsidR="002342CC">
        <w:t xml:space="preserve">in an address to </w:t>
      </w:r>
      <w:r w:rsidR="006B5D18">
        <w:t xml:space="preserve">the </w:t>
      </w:r>
      <w:r w:rsidR="002342CC">
        <w:t>Association of Independently Owned Financial Professionals by the now Assistant Treasurer and Minister for Financial Services, the Hon Stephen Jones MP</w:t>
      </w:r>
      <w:r w:rsidR="006B5D18">
        <w:t xml:space="preserve">. </w:t>
      </w:r>
      <w:r w:rsidR="0070420F">
        <w:t>This speech outlined ‘</w:t>
      </w:r>
      <w:r w:rsidR="0070420F" w:rsidRPr="005674A7">
        <w:t xml:space="preserve">that an Albanese Labor </w:t>
      </w:r>
      <w:r w:rsidR="00363C86">
        <w:t>g</w:t>
      </w:r>
      <w:r w:rsidR="005E38B7">
        <w:t>overnment</w:t>
      </w:r>
      <w:r w:rsidR="0070420F" w:rsidRPr="005674A7">
        <w:t xml:space="preserve"> will properly recognise </w:t>
      </w:r>
      <w:r w:rsidR="0070420F">
        <w:t>[advisers’] experience</w:t>
      </w:r>
      <w:r w:rsidR="0070420F" w:rsidRPr="005674A7">
        <w:t xml:space="preserve">. If you’ve been working for a decade as a financial advisor with a good record, a Labor </w:t>
      </w:r>
      <w:r w:rsidR="00363C86">
        <w:t>g</w:t>
      </w:r>
      <w:r w:rsidR="005E38B7">
        <w:t>overnment</w:t>
      </w:r>
      <w:r w:rsidR="0070420F" w:rsidRPr="005674A7">
        <w:t xml:space="preserve"> will not ask to you take that bachelor’s degree to keep your qualifications.</w:t>
      </w:r>
      <w:r w:rsidR="0070420F">
        <w:t>’</w:t>
      </w:r>
      <w:r w:rsidR="0070420F" w:rsidRPr="00223F26">
        <w:rPr>
          <w:rStyle w:val="FootnoteReference"/>
          <w:vertAlign w:val="superscript"/>
        </w:rPr>
        <w:t xml:space="preserve"> </w:t>
      </w:r>
      <w:r w:rsidR="0070420F" w:rsidRPr="0052726C">
        <w:rPr>
          <w:rStyle w:val="FootnoteReference"/>
          <w:vertAlign w:val="superscript"/>
        </w:rPr>
        <w:footnoteReference w:id="11"/>
      </w:r>
    </w:p>
    <w:p w14:paraId="27BAAA2B" w14:textId="3314D231" w:rsidR="00A043D2" w:rsidRPr="007E53AC" w:rsidRDefault="00A043D2" w:rsidP="00A043D2">
      <w:r>
        <w:t xml:space="preserve">Of the providers currently registered on the Financial Adviser Register, </w:t>
      </w:r>
      <w:r w:rsidR="00266DE5">
        <w:t>10 030</w:t>
      </w:r>
      <w:r w:rsidR="00CF08CA">
        <w:t xml:space="preserve"> were first registered in 2011 or earlier</w:t>
      </w:r>
      <w:r w:rsidR="00D919EC">
        <w:t xml:space="preserve">, </w:t>
      </w:r>
      <w:r w:rsidR="00917753">
        <w:t xml:space="preserve">which is </w:t>
      </w:r>
      <w:r w:rsidR="00423362">
        <w:t>essential</w:t>
      </w:r>
      <w:r w:rsidR="005C02AC">
        <w:t xml:space="preserve"> for </w:t>
      </w:r>
      <w:r w:rsidR="00917753">
        <w:t>meet</w:t>
      </w:r>
      <w:r w:rsidR="005C02AC">
        <w:t>ing</w:t>
      </w:r>
      <w:r w:rsidR="00917753">
        <w:t xml:space="preserve"> the 10 year</w:t>
      </w:r>
      <w:r w:rsidR="00071079">
        <w:t>s of experience</w:t>
      </w:r>
      <w:r>
        <w:t xml:space="preserve">. This is the upper bound for who would be affected by this policy, noting that some of this cohort </w:t>
      </w:r>
      <w:r w:rsidR="00813527">
        <w:t>have</w:t>
      </w:r>
      <w:r>
        <w:t xml:space="preserve"> </w:t>
      </w:r>
      <w:r w:rsidR="00B26FEF">
        <w:t xml:space="preserve">already </w:t>
      </w:r>
      <w:r w:rsidR="00813527">
        <w:t>met</w:t>
      </w:r>
      <w:r w:rsidR="00B26FEF">
        <w:t xml:space="preserve"> the education </w:t>
      </w:r>
      <w:r w:rsidR="005C02AC">
        <w:t xml:space="preserve">requirements </w:t>
      </w:r>
      <w:r w:rsidR="00B26FEF">
        <w:t>or have no</w:t>
      </w:r>
      <w:r w:rsidR="005E635B">
        <w:t>t provid</w:t>
      </w:r>
      <w:r w:rsidR="00071079">
        <w:t>ed</w:t>
      </w:r>
      <w:r w:rsidR="005E635B">
        <w:t xml:space="preserve"> advice for 10 years. </w:t>
      </w:r>
      <w:r w:rsidR="004051EB">
        <w:t>M</w:t>
      </w:r>
      <w:r w:rsidR="00B26FEF">
        <w:t xml:space="preserve">ore </w:t>
      </w:r>
      <w:r w:rsidR="00F67605">
        <w:t xml:space="preserve">detail on the effect cohorts is </w:t>
      </w:r>
      <w:r w:rsidR="002C567A">
        <w:t xml:space="preserve">included in the cost-benefit analysis section. </w:t>
      </w:r>
    </w:p>
    <w:p w14:paraId="4E23E183" w14:textId="28AAFC2D" w:rsidR="008F4ECC" w:rsidRPr="00C60F63" w:rsidRDefault="00E51D9A" w:rsidP="008F4ECC">
      <w:r>
        <w:t xml:space="preserve">Under this option, advisers are still required to pass the financial </w:t>
      </w:r>
      <w:r w:rsidR="008F4ECC" w:rsidRPr="00C60F63">
        <w:t>adviser</w:t>
      </w:r>
      <w:r>
        <w:t xml:space="preserve"> exam, ensuring that all advisers have the same base</w:t>
      </w:r>
      <w:r w:rsidR="00AE402D">
        <w:t xml:space="preserve"> </w:t>
      </w:r>
      <w:r>
        <w:t>l</w:t>
      </w:r>
      <w:r w:rsidR="0078204A">
        <w:t xml:space="preserve">evel of knowledge. </w:t>
      </w:r>
    </w:p>
    <w:p w14:paraId="42627A90" w14:textId="79DEC656" w:rsidR="00CD645B" w:rsidRPr="00D3050A" w:rsidRDefault="00CD645B" w:rsidP="00C60F63">
      <w:pPr>
        <w:pStyle w:val="Heading3"/>
      </w:pPr>
      <w:bookmarkStart w:id="8" w:name="_Toc130562402"/>
      <w:r w:rsidRPr="00D3050A">
        <w:t>10 years’ experience</w:t>
      </w:r>
      <w:bookmarkEnd w:id="8"/>
      <w:r w:rsidRPr="00D3050A">
        <w:t xml:space="preserve"> </w:t>
      </w:r>
    </w:p>
    <w:p w14:paraId="20F1BC1E" w14:textId="00FF87CA" w:rsidR="00CD645B" w:rsidRDefault="00CD645B" w:rsidP="00A020FB">
      <w:r>
        <w:t xml:space="preserve">To fulfil this requirement, advisers will be required to have had 10 years of full-time equivalent experience in the 15 </w:t>
      </w:r>
      <w:r w:rsidRPr="001F62AE">
        <w:t>years between 1 January 200</w:t>
      </w:r>
      <w:r w:rsidR="001F62AE" w:rsidRPr="001F62AE">
        <w:t>7</w:t>
      </w:r>
      <w:r w:rsidRPr="001F62AE">
        <w:t xml:space="preserve"> and </w:t>
      </w:r>
      <w:r w:rsidR="007D193C">
        <w:t>31</w:t>
      </w:r>
      <w:r w:rsidRPr="001F62AE">
        <w:t xml:space="preserve"> </w:t>
      </w:r>
      <w:r w:rsidR="007D193C">
        <w:t>December</w:t>
      </w:r>
      <w:r w:rsidR="007D193C" w:rsidRPr="001F62AE">
        <w:t xml:space="preserve"> </w:t>
      </w:r>
      <w:r w:rsidRPr="001F62AE">
        <w:t>20</w:t>
      </w:r>
      <w:r w:rsidR="001F62AE" w:rsidRPr="001F62AE">
        <w:t>21</w:t>
      </w:r>
      <w:r>
        <w:t xml:space="preserve"> in Australia. The 10 years </w:t>
      </w:r>
      <w:r w:rsidR="00AD5497">
        <w:t>do</w:t>
      </w:r>
      <w:r>
        <w:t xml:space="preserve"> not have to be consecutive. </w:t>
      </w:r>
      <w:r w:rsidR="00363C86">
        <w:t>10</w:t>
      </w:r>
      <w:r>
        <w:t xml:space="preserve"> years of full-time equivalent experience out of a 15-year window allows consideration for time out of the industry and part-time work</w:t>
      </w:r>
      <w:r w:rsidR="00656238">
        <w:t xml:space="preserve">. </w:t>
      </w:r>
      <w:r>
        <w:t xml:space="preserve">Importantly, the period </w:t>
      </w:r>
      <w:r w:rsidRPr="001F62AE">
        <w:t>between 1 January 200</w:t>
      </w:r>
      <w:r w:rsidR="001F62AE">
        <w:t>7</w:t>
      </w:r>
      <w:r w:rsidRPr="001F62AE">
        <w:t xml:space="preserve"> and </w:t>
      </w:r>
      <w:r w:rsidR="007D193C">
        <w:t>31 December</w:t>
      </w:r>
      <w:r w:rsidRPr="001F62AE">
        <w:t xml:space="preserve"> 20</w:t>
      </w:r>
      <w:r w:rsidR="001F62AE">
        <w:t>21</w:t>
      </w:r>
      <w:r>
        <w:t xml:space="preserve"> covers significant </w:t>
      </w:r>
      <w:r w:rsidR="0081490A">
        <w:t xml:space="preserve">economic </w:t>
      </w:r>
      <w:r>
        <w:t>events, such as the global financial crisis</w:t>
      </w:r>
      <w:r w:rsidR="0081490A">
        <w:t xml:space="preserve"> and COVID-19</w:t>
      </w:r>
      <w:r>
        <w:t>, ensuring eligible experienced advisers have lived experience in volatile economic conditions. Additionally, this ensures that the 10 years’ experience is contemporary</w:t>
      </w:r>
      <w:r w:rsidR="00143C20">
        <w:t>, meaning advisers will have experience operating in and understanding the current regulatory environment</w:t>
      </w:r>
      <w:r>
        <w:t xml:space="preserve">. </w:t>
      </w:r>
    </w:p>
    <w:p w14:paraId="3BD25D13" w14:textId="77777777" w:rsidR="00CD645B" w:rsidRPr="00D3050A" w:rsidRDefault="00CD645B" w:rsidP="00AD5497">
      <w:pPr>
        <w:pStyle w:val="Heading3"/>
      </w:pPr>
      <w:bookmarkStart w:id="9" w:name="_Toc130562403"/>
      <w:r w:rsidRPr="00D3050A">
        <w:t>Clean record</w:t>
      </w:r>
      <w:bookmarkEnd w:id="9"/>
      <w:r w:rsidRPr="00D3050A">
        <w:t xml:space="preserve"> </w:t>
      </w:r>
    </w:p>
    <w:p w14:paraId="2AFA7380" w14:textId="104D643F" w:rsidR="00CD645B" w:rsidRDefault="00CD645B" w:rsidP="00A020FB">
      <w:r>
        <w:t xml:space="preserve">To access the experienced pathway, advisers would be required to have a clean disciplinary record. This criterion is intended to act as a quality assurance mechanism to prevent advisers who have </w:t>
      </w:r>
      <w:r>
        <w:lastRenderedPageBreak/>
        <w:t xml:space="preserve">demonstrated misconduct from accessing favourable arrangements, thereby protecting the integrity of the financial advice </w:t>
      </w:r>
      <w:r w:rsidR="004472E9">
        <w:t>profession,</w:t>
      </w:r>
      <w:r>
        <w:t xml:space="preserve"> and ensuring consumer protection. </w:t>
      </w:r>
      <w:r w:rsidR="009F2C9F">
        <w:t>The</w:t>
      </w:r>
      <w:r w:rsidR="00656238">
        <w:t xml:space="preserve"> clean record </w:t>
      </w:r>
      <w:r w:rsidR="009F2C9F">
        <w:t xml:space="preserve">criterion </w:t>
      </w:r>
      <w:r>
        <w:t>require</w:t>
      </w:r>
      <w:r w:rsidR="00656238">
        <w:t>s</w:t>
      </w:r>
      <w:r>
        <w:t xml:space="preserve"> an adviser to have no disciplinary actions </w:t>
      </w:r>
      <w:r w:rsidR="00656238">
        <w:t xml:space="preserve">or enforceable undertakings </w:t>
      </w:r>
      <w:r>
        <w:t xml:space="preserve">recorded against them on the </w:t>
      </w:r>
      <w:r w:rsidR="00FC461E">
        <w:t>Financial Advisers Register</w:t>
      </w:r>
      <w:r w:rsidR="00656238">
        <w:t>.</w:t>
      </w:r>
    </w:p>
    <w:p w14:paraId="0ECDA990" w14:textId="4D6EA16C" w:rsidR="009B125D" w:rsidRPr="00D3050A" w:rsidRDefault="002958B5" w:rsidP="00AD5497">
      <w:pPr>
        <w:pStyle w:val="Heading3"/>
      </w:pPr>
      <w:bookmarkStart w:id="10" w:name="_Toc130562404"/>
      <w:r>
        <w:t>Proof of eligibility</w:t>
      </w:r>
      <w:bookmarkEnd w:id="10"/>
    </w:p>
    <w:p w14:paraId="4FF02F64" w14:textId="14E7407B" w:rsidR="009B125D" w:rsidRDefault="009B125D" w:rsidP="00A020FB">
      <w:r>
        <w:t>Advisers will be required to make a declaration of their eligibility for the pathway</w:t>
      </w:r>
      <w:r w:rsidR="00E11E5C">
        <w:t xml:space="preserve"> but will</w:t>
      </w:r>
      <w:r w:rsidR="0001370B">
        <w:t xml:space="preserve"> not be </w:t>
      </w:r>
      <w:r w:rsidR="00E11E5C">
        <w:t>required</w:t>
      </w:r>
      <w:r w:rsidR="007B3993">
        <w:t xml:space="preserve"> to attach evidence of their eligibility. </w:t>
      </w:r>
    </w:p>
    <w:p w14:paraId="5CBAB4F1" w14:textId="6AA4C1DC" w:rsidR="00FD6389" w:rsidRDefault="00CD645B" w:rsidP="004A54CD">
      <w:pPr>
        <w:rPr>
          <w:rStyle w:val="Heading1Char"/>
        </w:rPr>
      </w:pPr>
      <w:r>
        <w:t xml:space="preserve">ASIC </w:t>
      </w:r>
      <w:r w:rsidR="009B125D">
        <w:t xml:space="preserve">will have </w:t>
      </w:r>
      <w:r>
        <w:t>the capacity</w:t>
      </w:r>
      <w:r w:rsidR="00FF3082">
        <w:t xml:space="preserve">, </w:t>
      </w:r>
      <w:r w:rsidR="009B125D">
        <w:t>at its discretion</w:t>
      </w:r>
      <w:r w:rsidR="00FF3082">
        <w:t>, to audit</w:t>
      </w:r>
      <w:r w:rsidR="00F810E6">
        <w:t xml:space="preserve"> </w:t>
      </w:r>
      <w:r>
        <w:t xml:space="preserve">for compliance with the eligibility criteria. </w:t>
      </w:r>
      <w:r w:rsidR="006C70C8">
        <w:t>As such,</w:t>
      </w:r>
      <w:r>
        <w:t xml:space="preserve"> ASIC </w:t>
      </w:r>
      <w:r w:rsidR="006C70C8">
        <w:t xml:space="preserve">can </w:t>
      </w:r>
      <w:r>
        <w:t>decid</w:t>
      </w:r>
      <w:r w:rsidR="006C70C8">
        <w:t>e</w:t>
      </w:r>
      <w:r>
        <w:t xml:space="preserve"> to scrutinise a specific </w:t>
      </w:r>
      <w:r w:rsidR="000E4A22">
        <w:t xml:space="preserve">declaration </w:t>
      </w:r>
      <w:r>
        <w:t>from an adviser where ASIC is aware that an adviser may be ineligible.</w:t>
      </w:r>
    </w:p>
    <w:p w14:paraId="43B25B1A" w14:textId="4FEA6E50" w:rsidR="009B0378" w:rsidRPr="006078BA" w:rsidRDefault="009B0378" w:rsidP="004A54CD"/>
    <w:p w14:paraId="208814F2" w14:textId="6608F0E6" w:rsidR="00293FEB" w:rsidRDefault="00241C39" w:rsidP="004A54CD">
      <w:bookmarkStart w:id="11" w:name="_Toc130562405"/>
      <w:r w:rsidRPr="008A272D">
        <w:rPr>
          <w:rStyle w:val="Heading1Char"/>
        </w:rPr>
        <w:t>Cost</w:t>
      </w:r>
      <w:r w:rsidR="00361F01" w:rsidRPr="008A272D">
        <w:rPr>
          <w:rStyle w:val="Heading1Char"/>
        </w:rPr>
        <w:t>-</w:t>
      </w:r>
      <w:r w:rsidRPr="008A272D">
        <w:rPr>
          <w:rStyle w:val="Heading1Char"/>
        </w:rPr>
        <w:t>benefit analysis</w:t>
      </w:r>
      <w:bookmarkEnd w:id="11"/>
      <w:r w:rsidRPr="00BC5EB5">
        <w:t xml:space="preserve"> </w:t>
      </w:r>
    </w:p>
    <w:p w14:paraId="02C89897" w14:textId="30F54301" w:rsidR="007D5AB1" w:rsidRDefault="007D5AB1" w:rsidP="004A54CD">
      <w:r>
        <w:t>In this section we will outline our data</w:t>
      </w:r>
      <w:r w:rsidR="00AA735E">
        <w:t xml:space="preserve"> sources</w:t>
      </w:r>
      <w:r>
        <w:t>, the cohorts we used for our analysis</w:t>
      </w:r>
      <w:r w:rsidR="00ED042A">
        <w:t xml:space="preserve"> and</w:t>
      </w:r>
      <w:r w:rsidR="00905769">
        <w:t xml:space="preserve"> </w:t>
      </w:r>
      <w:r w:rsidR="007445A8">
        <w:t>the estimated costs</w:t>
      </w:r>
      <w:r w:rsidR="004E4A54">
        <w:t xml:space="preserve"> </w:t>
      </w:r>
      <w:r w:rsidR="007445A8">
        <w:t xml:space="preserve">the </w:t>
      </w:r>
      <w:r w:rsidR="00ED042A">
        <w:t xml:space="preserve">education requirements place on advisers. </w:t>
      </w:r>
      <w:r w:rsidR="004A54CD">
        <w:t>W</w:t>
      </w:r>
      <w:r w:rsidR="00ED042A">
        <w:t xml:space="preserve">e </w:t>
      </w:r>
      <w:r w:rsidR="008311C5">
        <w:t xml:space="preserve">analyse </w:t>
      </w:r>
      <w:r w:rsidR="00205815">
        <w:t xml:space="preserve">the effects </w:t>
      </w:r>
      <w:r w:rsidR="003254C8">
        <w:t xml:space="preserve">the election commitment would have </w:t>
      </w:r>
      <w:r w:rsidR="004F2B91">
        <w:t>on each stakeholder</w:t>
      </w:r>
      <w:r w:rsidR="00BA0092">
        <w:t xml:space="preserve"> group.</w:t>
      </w:r>
    </w:p>
    <w:p w14:paraId="541401EE" w14:textId="1A6218C8" w:rsidR="00497EF2" w:rsidRDefault="00851700" w:rsidP="004A54CD">
      <w:pPr>
        <w:pStyle w:val="Heading2"/>
      </w:pPr>
      <w:bookmarkStart w:id="12" w:name="_Toc130562406"/>
      <w:r>
        <w:t>Data</w:t>
      </w:r>
      <w:r w:rsidR="00497EF2">
        <w:t xml:space="preserve"> s</w:t>
      </w:r>
      <w:r w:rsidR="00BB35CF">
        <w:t>ources</w:t>
      </w:r>
      <w:bookmarkEnd w:id="12"/>
    </w:p>
    <w:p w14:paraId="04287D56" w14:textId="4C18533B" w:rsidR="004E6243" w:rsidRDefault="00F810E6" w:rsidP="00C73DB3">
      <w:r>
        <w:t xml:space="preserve">We have </w:t>
      </w:r>
      <w:r w:rsidR="005C33EA">
        <w:t>used</w:t>
      </w:r>
      <w:r w:rsidR="00C351CA">
        <w:t xml:space="preserve"> 2 main data sources</w:t>
      </w:r>
      <w:r w:rsidR="0037682B">
        <w:t>:</w:t>
      </w:r>
      <w:r w:rsidR="00C351CA">
        <w:t xml:space="preserve"> </w:t>
      </w:r>
      <w:r w:rsidR="006938D5">
        <w:t>the registration records of advisers on the Financial Advi</w:t>
      </w:r>
      <w:r w:rsidR="0037682B">
        <w:t>sers</w:t>
      </w:r>
      <w:r w:rsidR="006938D5">
        <w:t xml:space="preserve"> </w:t>
      </w:r>
      <w:r w:rsidR="00AD5AAA">
        <w:t>Register</w:t>
      </w:r>
      <w:r w:rsidR="005679AC">
        <w:t xml:space="preserve"> maintained by ASIC</w:t>
      </w:r>
      <w:r w:rsidR="00AD5AAA">
        <w:t xml:space="preserve">, and survey data collected from </w:t>
      </w:r>
      <w:r w:rsidR="00A845E8">
        <w:t>2 professional organisations, the</w:t>
      </w:r>
      <w:r w:rsidR="00A845E8" w:rsidRPr="00942FE3">
        <w:t xml:space="preserve"> Association of Financial Advisers and the Financial Planning Association</w:t>
      </w:r>
      <w:r w:rsidR="00A845E8">
        <w:t xml:space="preserve">. </w:t>
      </w:r>
      <w:r w:rsidR="00D25410">
        <w:t xml:space="preserve">The </w:t>
      </w:r>
      <w:r w:rsidR="00A93075">
        <w:t>Financial Advisers Register</w:t>
      </w:r>
      <w:r w:rsidR="00D25410">
        <w:t xml:space="preserve"> is</w:t>
      </w:r>
      <w:r w:rsidR="00194FB6">
        <w:t xml:space="preserve"> the best</w:t>
      </w:r>
      <w:r w:rsidR="002E6145">
        <w:t xml:space="preserve"> </w:t>
      </w:r>
      <w:r w:rsidR="004B771C">
        <w:t xml:space="preserve">source for understanding the total number of </w:t>
      </w:r>
      <w:r w:rsidR="00B61C73">
        <w:t xml:space="preserve">practising </w:t>
      </w:r>
      <w:r w:rsidR="006544F1">
        <w:t>advisers,</w:t>
      </w:r>
      <w:r w:rsidR="00CE237B">
        <w:t xml:space="preserve"> but it does not </w:t>
      </w:r>
      <w:r w:rsidR="000F5DE2">
        <w:t xml:space="preserve">have detailed </w:t>
      </w:r>
      <w:r w:rsidR="006F4963">
        <w:t xml:space="preserve">and consistent </w:t>
      </w:r>
      <w:r w:rsidR="000F5DE2">
        <w:t xml:space="preserve">information on the </w:t>
      </w:r>
      <w:r w:rsidR="006F4963">
        <w:t xml:space="preserve">education undertaken by an adviser or </w:t>
      </w:r>
      <w:r w:rsidR="006A69E9">
        <w:t xml:space="preserve">the education </w:t>
      </w:r>
      <w:r w:rsidR="001B3B1D">
        <w:t xml:space="preserve">required to be undertaken. </w:t>
      </w:r>
      <w:r w:rsidR="00245D63">
        <w:t xml:space="preserve">The </w:t>
      </w:r>
      <w:r w:rsidR="00D745F8">
        <w:t xml:space="preserve">survey data was used to </w:t>
      </w:r>
      <w:r w:rsidR="00D91AA2">
        <w:t xml:space="preserve">supplement the </w:t>
      </w:r>
      <w:r w:rsidR="00A93075">
        <w:t>Financial Advisers Register</w:t>
      </w:r>
      <w:r w:rsidR="00D91AA2">
        <w:t>.</w:t>
      </w:r>
    </w:p>
    <w:p w14:paraId="69A30461" w14:textId="6B5E893F" w:rsidR="00A4479B" w:rsidRPr="00942FE3" w:rsidRDefault="00A4479B" w:rsidP="00C73DB3">
      <w:r w:rsidRPr="00942FE3">
        <w:t xml:space="preserve">The </w:t>
      </w:r>
      <w:r w:rsidR="00A93075">
        <w:t>Financial Advisers Register</w:t>
      </w:r>
      <w:r w:rsidRPr="00942FE3">
        <w:t xml:space="preserve"> is a </w:t>
      </w:r>
      <w:r w:rsidR="00942FE3" w:rsidRPr="00942FE3">
        <w:t>publicly accessible</w:t>
      </w:r>
      <w:r w:rsidRPr="00942FE3">
        <w:t xml:space="preserve"> register of people authorised to provide personal advice to retail clients about financial products</w:t>
      </w:r>
      <w:r w:rsidR="005331FE">
        <w:t>. The register</w:t>
      </w:r>
      <w:r w:rsidRPr="00942FE3">
        <w:t xml:space="preserve"> records where a financial adviser has worked, their training, memberships of professional bodies and what products they </w:t>
      </w:r>
      <w:r w:rsidR="00562D04">
        <w:t xml:space="preserve">are authorised to provide advice </w:t>
      </w:r>
      <w:r w:rsidRPr="00942FE3">
        <w:t xml:space="preserve">on. However, </w:t>
      </w:r>
      <w:r w:rsidR="001767DB" w:rsidRPr="00942FE3">
        <w:t xml:space="preserve">while the </w:t>
      </w:r>
      <w:r w:rsidR="00A93075">
        <w:t>Financial Advisers Register</w:t>
      </w:r>
      <w:r w:rsidR="001767DB" w:rsidRPr="00942FE3">
        <w:t xml:space="preserve"> records the year in which an adviser first provided advice, </w:t>
      </w:r>
      <w:r w:rsidRPr="00942FE3">
        <w:t xml:space="preserve">it does not provide an indication of full-time equivalent experience between that initial date and the present date. In addition, while the </w:t>
      </w:r>
      <w:r w:rsidR="00A93075">
        <w:t>Financial Advisers Register</w:t>
      </w:r>
      <w:r w:rsidRPr="00942FE3">
        <w:t xml:space="preserve"> records details of an adviser’s current and previous appointments, this data only goes back to March</w:t>
      </w:r>
      <w:r w:rsidR="00B63F52">
        <w:t> </w:t>
      </w:r>
      <w:r w:rsidRPr="00942FE3">
        <w:t xml:space="preserve">2010. Further, while there is an obligation for licensees to update the </w:t>
      </w:r>
      <w:r w:rsidR="00A93075">
        <w:t>Financial Advisers Register</w:t>
      </w:r>
      <w:r w:rsidRPr="00942FE3">
        <w:t xml:space="preserve"> when a financial adviser’s details change</w:t>
      </w:r>
      <w:r w:rsidR="00FC1A22">
        <w:t>,</w:t>
      </w:r>
      <w:r w:rsidRPr="00942FE3">
        <w:t xml:space="preserve"> including obtaining qualifications</w:t>
      </w:r>
      <w:r w:rsidR="00FC1A22">
        <w:t>,</w:t>
      </w:r>
      <w:r w:rsidRPr="00942FE3">
        <w:t xml:space="preserve"> </w:t>
      </w:r>
      <w:r w:rsidR="000A2DF8">
        <w:t>it</w:t>
      </w:r>
      <w:r w:rsidRPr="00942FE3">
        <w:t xml:space="preserve"> does not </w:t>
      </w:r>
      <w:r w:rsidR="000A2DF8">
        <w:t xml:space="preserve">record how much study an adviser must </w:t>
      </w:r>
      <w:r w:rsidR="003D5BA1">
        <w:t>still</w:t>
      </w:r>
      <w:r w:rsidR="000A2DF8">
        <w:t xml:space="preserve"> complete</w:t>
      </w:r>
      <w:r w:rsidRPr="00942FE3">
        <w:t>.</w:t>
      </w:r>
      <w:r w:rsidR="004D04BC" w:rsidRPr="00942FE3">
        <w:t xml:space="preserve"> As such, </w:t>
      </w:r>
      <w:r w:rsidR="003D5BA1">
        <w:t>our ability to</w:t>
      </w:r>
      <w:r w:rsidR="004D04BC" w:rsidRPr="00942FE3">
        <w:t xml:space="preserve"> identify a cohort that may be eligible to access the experienced adviser pathway </w:t>
      </w:r>
      <w:r w:rsidR="000A2DF8">
        <w:t xml:space="preserve">and how much additional study they are required to complete is limited. </w:t>
      </w:r>
    </w:p>
    <w:p w14:paraId="01F37DFC" w14:textId="7148C0BF" w:rsidR="004D04BC" w:rsidRPr="00942FE3" w:rsidRDefault="008A4A6B" w:rsidP="00C73DB3">
      <w:r w:rsidRPr="00942FE3">
        <w:t xml:space="preserve">The </w:t>
      </w:r>
      <w:r w:rsidR="007C77F5" w:rsidRPr="00942FE3">
        <w:t xml:space="preserve">Association of Financial Advisers and Financial Planning Association </w:t>
      </w:r>
      <w:r w:rsidR="0033613B">
        <w:t>used</w:t>
      </w:r>
      <w:r w:rsidRPr="00942FE3">
        <w:t xml:space="preserve"> surveys </w:t>
      </w:r>
      <w:r w:rsidR="0033613B">
        <w:t xml:space="preserve">to </w:t>
      </w:r>
      <w:r w:rsidRPr="00942FE3">
        <w:t>collec</w:t>
      </w:r>
      <w:r w:rsidR="0033613B">
        <w:t>t</w:t>
      </w:r>
      <w:r w:rsidR="0050563B">
        <w:t xml:space="preserve"> data</w:t>
      </w:r>
      <w:r w:rsidRPr="00942FE3">
        <w:t xml:space="preserve"> on their </w:t>
      </w:r>
      <w:r w:rsidR="0050563B">
        <w:t>m</w:t>
      </w:r>
      <w:r w:rsidRPr="00942FE3">
        <w:t>embers</w:t>
      </w:r>
      <w:r w:rsidR="000F6637">
        <w:t>’</w:t>
      </w:r>
      <w:r w:rsidRPr="00942FE3">
        <w:t xml:space="preserve"> education status, including whether they had already met the </w:t>
      </w:r>
      <w:r w:rsidR="00CA0CD1">
        <w:t>education</w:t>
      </w:r>
      <w:r w:rsidRPr="00942FE3">
        <w:t xml:space="preserve"> standard</w:t>
      </w:r>
      <w:r w:rsidR="00383126">
        <w:t>, and if not</w:t>
      </w:r>
      <w:r w:rsidR="00CA0CD1">
        <w:t>,</w:t>
      </w:r>
      <w:r w:rsidR="00383126">
        <w:t xml:space="preserve"> whether they </w:t>
      </w:r>
      <w:r w:rsidRPr="00942FE3">
        <w:t xml:space="preserve">intend to meet it. </w:t>
      </w:r>
      <w:r w:rsidR="00542B4C" w:rsidRPr="00942FE3">
        <w:t xml:space="preserve">Being survey data, these sources present their own limitations, </w:t>
      </w:r>
      <w:r w:rsidRPr="00942FE3">
        <w:t>such as</w:t>
      </w:r>
      <w:r w:rsidR="00542B4C" w:rsidRPr="00942FE3">
        <w:t xml:space="preserve"> sample size and response bias. </w:t>
      </w:r>
    </w:p>
    <w:p w14:paraId="498E950A" w14:textId="4A732820" w:rsidR="00782AC7" w:rsidRPr="000A2DF8" w:rsidRDefault="00A02201" w:rsidP="000A2DF8">
      <w:pPr>
        <w:pStyle w:val="Heading2"/>
      </w:pPr>
      <w:bookmarkStart w:id="13" w:name="_Toc130562407"/>
      <w:r>
        <w:t>Determining affected</w:t>
      </w:r>
      <w:r w:rsidR="00F524E7" w:rsidRPr="000A2DF8">
        <w:t xml:space="preserve"> cohorts</w:t>
      </w:r>
      <w:bookmarkEnd w:id="13"/>
    </w:p>
    <w:p w14:paraId="55CCD903" w14:textId="1CF948E6" w:rsidR="00FA6D73" w:rsidRDefault="008F6956" w:rsidP="00FA6D73">
      <w:r>
        <w:t>We must know the</w:t>
      </w:r>
      <w:r w:rsidR="0073307A">
        <w:t xml:space="preserve"> number of </w:t>
      </w:r>
      <w:r w:rsidR="00B762C7">
        <w:t>advisers with 10</w:t>
      </w:r>
      <w:r w:rsidR="00366C1A">
        <w:t xml:space="preserve"> years’ experience</w:t>
      </w:r>
      <w:r w:rsidR="00B762C7">
        <w:t>, clean records</w:t>
      </w:r>
      <w:r w:rsidR="00366C1A">
        <w:t>,</w:t>
      </w:r>
      <w:r w:rsidR="00B762C7">
        <w:t xml:space="preserve"> and </w:t>
      </w:r>
      <w:r w:rsidR="00366C1A">
        <w:t xml:space="preserve">unmet education requirements </w:t>
      </w:r>
      <w:r w:rsidR="00B9037F">
        <w:t>to</w:t>
      </w:r>
      <w:r w:rsidR="00B9037F" w:rsidRPr="00B9037F">
        <w:t xml:space="preserve"> </w:t>
      </w:r>
      <w:r w:rsidR="00B9037F">
        <w:t>analyse the impact of each policy option.</w:t>
      </w:r>
      <w:r w:rsidR="00F9405A">
        <w:t xml:space="preserve"> </w:t>
      </w:r>
      <w:r w:rsidR="00C41724">
        <w:t>We</w:t>
      </w:r>
      <w:r w:rsidR="005E50D3">
        <w:t xml:space="preserve"> also need to know </w:t>
      </w:r>
      <w:r w:rsidR="00F948CD">
        <w:t xml:space="preserve">what proportion of </w:t>
      </w:r>
      <w:r w:rsidR="00F948CD">
        <w:lastRenderedPageBreak/>
        <w:t xml:space="preserve">these </w:t>
      </w:r>
      <w:r w:rsidR="00F40545">
        <w:t>e</w:t>
      </w:r>
      <w:r w:rsidR="007D3D12">
        <w:t>ligible</w:t>
      </w:r>
      <w:r w:rsidR="00F40545">
        <w:t xml:space="preserve"> </w:t>
      </w:r>
      <w:r w:rsidR="00F948CD">
        <w:t xml:space="preserve">advisers would take up </w:t>
      </w:r>
      <w:r w:rsidR="00F40545">
        <w:t>a pathway if it w</w:t>
      </w:r>
      <w:r w:rsidR="005A1229">
        <w:t>ere</w:t>
      </w:r>
      <w:r w:rsidR="00F40545">
        <w:t xml:space="preserve"> introduced. </w:t>
      </w:r>
      <w:r w:rsidR="00927EF5">
        <w:t>W</w:t>
      </w:r>
      <w:r w:rsidR="00627760">
        <w:t xml:space="preserve">e have </w:t>
      </w:r>
      <w:r w:rsidR="00276939">
        <w:t xml:space="preserve">constructed </w:t>
      </w:r>
      <w:r w:rsidR="00AD312B">
        <w:t>3</w:t>
      </w:r>
      <w:r w:rsidR="00276939">
        <w:t xml:space="preserve"> </w:t>
      </w:r>
      <w:r w:rsidR="00F201EB">
        <w:t>different</w:t>
      </w:r>
      <w:r w:rsidR="00F57C6D">
        <w:t xml:space="preserve"> </w:t>
      </w:r>
      <w:r w:rsidR="00FA6D73">
        <w:t>cohorts</w:t>
      </w:r>
      <w:r w:rsidR="00B5776A">
        <w:t xml:space="preserve"> to </w:t>
      </w:r>
      <w:r w:rsidR="00BF1A0C">
        <w:t xml:space="preserve">estimate the </w:t>
      </w:r>
      <w:r w:rsidR="007D0B68">
        <w:t>size of the effect group.</w:t>
      </w:r>
    </w:p>
    <w:p w14:paraId="2EAE345D" w14:textId="24C4229C" w:rsidR="00FA6D73" w:rsidRPr="00507E6A" w:rsidRDefault="00C33C78" w:rsidP="004A2E2C">
      <w:pPr>
        <w:pStyle w:val="Heading3"/>
      </w:pPr>
      <w:bookmarkStart w:id="14" w:name="_Toc130562408"/>
      <w:r w:rsidRPr="004A2E2C">
        <w:t>Number of Advisers with 10</w:t>
      </w:r>
      <w:r w:rsidR="002C4E12">
        <w:t xml:space="preserve"> or more</w:t>
      </w:r>
      <w:r w:rsidRPr="004A2E2C">
        <w:t xml:space="preserve"> years’ experience</w:t>
      </w:r>
      <w:bookmarkEnd w:id="14"/>
    </w:p>
    <w:p w14:paraId="79F21B11" w14:textId="137083BB" w:rsidR="00F776CE" w:rsidRDefault="00FA6D73" w:rsidP="00FA6D73">
      <w:r>
        <w:t xml:space="preserve">Analysis of the </w:t>
      </w:r>
      <w:r w:rsidR="004A2E2C">
        <w:t>Financial Advisers Register</w:t>
      </w:r>
      <w:r>
        <w:t xml:space="preserve"> indicates that 10</w:t>
      </w:r>
      <w:r w:rsidR="002C4E12">
        <w:t xml:space="preserve"> </w:t>
      </w:r>
      <w:r w:rsidR="00D66FDB">
        <w:t>030</w:t>
      </w:r>
      <w:r>
        <w:t xml:space="preserve"> </w:t>
      </w:r>
      <w:r w:rsidR="002961E0">
        <w:t>practising</w:t>
      </w:r>
      <w:r>
        <w:t xml:space="preserve"> advisers were </w:t>
      </w:r>
      <w:r w:rsidR="00F95B4B">
        <w:t xml:space="preserve">first </w:t>
      </w:r>
      <w:r>
        <w:t>authorise</w:t>
      </w:r>
      <w:r w:rsidR="005D6469">
        <w:t>d</w:t>
      </w:r>
      <w:r>
        <w:t xml:space="preserve"> </w:t>
      </w:r>
      <w:r w:rsidR="002961E0">
        <w:t>in 201</w:t>
      </w:r>
      <w:r w:rsidR="008873AA">
        <w:t>1</w:t>
      </w:r>
      <w:r>
        <w:t xml:space="preserve"> or </w:t>
      </w:r>
      <w:r w:rsidR="002961E0">
        <w:t>earli</w:t>
      </w:r>
      <w:r w:rsidR="00197860">
        <w:t>er.</w:t>
      </w:r>
      <w:r w:rsidR="0049649C">
        <w:t xml:space="preserve"> </w:t>
      </w:r>
      <w:r w:rsidR="00760955">
        <w:t xml:space="preserve">All advisers eligible for the election commitment </w:t>
      </w:r>
      <w:r w:rsidR="00E014AE">
        <w:t>are</w:t>
      </w:r>
      <w:r w:rsidR="00760955">
        <w:t xml:space="preserve"> in this pool</w:t>
      </w:r>
      <w:r w:rsidR="00F95B4B">
        <w:t xml:space="preserve">. </w:t>
      </w:r>
      <w:r w:rsidR="00F776CE">
        <w:t xml:space="preserve">This cohort is accurate as of March 2023. </w:t>
      </w:r>
    </w:p>
    <w:p w14:paraId="79D5A7D7" w14:textId="72B9457E" w:rsidR="00FA6D73" w:rsidRDefault="00F95B4B" w:rsidP="00FA6D73">
      <w:r>
        <w:t>However, this group could also include</w:t>
      </w:r>
      <w:r w:rsidR="00C16F40">
        <w:t xml:space="preserve"> ineligible </w:t>
      </w:r>
      <w:r w:rsidR="00FA6D73" w:rsidDel="00570C47">
        <w:t xml:space="preserve">advisers </w:t>
      </w:r>
      <w:r>
        <w:t xml:space="preserve">because </w:t>
      </w:r>
      <w:r w:rsidR="00A47D87">
        <w:t xml:space="preserve">they </w:t>
      </w:r>
      <w:r w:rsidR="00FA6D73">
        <w:t>have</w:t>
      </w:r>
      <w:r w:rsidR="00E014AE">
        <w:t xml:space="preserve"> not</w:t>
      </w:r>
      <w:r w:rsidR="00FA6D73">
        <w:t xml:space="preserve"> </w:t>
      </w:r>
      <w:r w:rsidR="00FA6D73" w:rsidDel="00E014AE">
        <w:t xml:space="preserve">actively </w:t>
      </w:r>
      <w:r w:rsidR="00BF1A0C">
        <w:t>been</w:t>
      </w:r>
      <w:r w:rsidR="00A47D87">
        <w:t xml:space="preserve"> </w:t>
      </w:r>
      <w:r w:rsidR="00FA6D73" w:rsidDel="00E014AE">
        <w:t xml:space="preserve">providing advice </w:t>
      </w:r>
      <w:r w:rsidR="00A47D87">
        <w:t>through</w:t>
      </w:r>
      <w:r w:rsidR="00FA6D73" w:rsidDel="00E014AE">
        <w:t xml:space="preserve"> this period</w:t>
      </w:r>
      <w:r w:rsidR="000B4B29">
        <w:t xml:space="preserve">. Former advisers who </w:t>
      </w:r>
      <w:r w:rsidR="00020729">
        <w:t xml:space="preserve">were </w:t>
      </w:r>
      <w:r w:rsidR="00BF2E40">
        <w:t>authorised by their licen</w:t>
      </w:r>
      <w:r w:rsidR="00C34C6A">
        <w:t>see</w:t>
      </w:r>
      <w:r w:rsidR="00BF2E40">
        <w:t xml:space="preserve"> </w:t>
      </w:r>
      <w:r w:rsidR="000B4B29">
        <w:t>over 10</w:t>
      </w:r>
      <w:r w:rsidR="003D2F42">
        <w:t> </w:t>
      </w:r>
      <w:r w:rsidR="000B4B29">
        <w:t xml:space="preserve">years </w:t>
      </w:r>
      <w:r w:rsidR="00D96E5E">
        <w:t>ago but</w:t>
      </w:r>
      <w:r w:rsidR="000B4B29">
        <w:t xml:space="preserve"> </w:t>
      </w:r>
      <w:r w:rsidR="006121E9">
        <w:t>who</w:t>
      </w:r>
      <w:r w:rsidR="000B4B29">
        <w:t xml:space="preserve"> </w:t>
      </w:r>
      <w:r w:rsidR="00020729">
        <w:t>have not been providing advice since then would be included</w:t>
      </w:r>
      <w:r w:rsidR="001A0F17">
        <w:t xml:space="preserve"> in this group</w:t>
      </w:r>
      <w:r w:rsidR="004B64B7">
        <w:t xml:space="preserve"> but would not </w:t>
      </w:r>
      <w:r w:rsidR="008E02DC">
        <w:t>be eligible for the election commitment</w:t>
      </w:r>
      <w:r w:rsidR="009E7AB5">
        <w:t>. Similarly, some a</w:t>
      </w:r>
      <w:r w:rsidR="001A0F17">
        <w:t>dvisers</w:t>
      </w:r>
      <w:r w:rsidR="00D96E5E">
        <w:t xml:space="preserve"> in</w:t>
      </w:r>
      <w:r w:rsidR="00FE0E45">
        <w:t xml:space="preserve"> this cohort </w:t>
      </w:r>
      <w:r w:rsidR="001A0F17">
        <w:t>may have</w:t>
      </w:r>
      <w:r w:rsidR="00FE0E45">
        <w:t xml:space="preserve"> already </w:t>
      </w:r>
      <w:r w:rsidR="00562434">
        <w:t>met the education requirements which have been in place since 2017</w:t>
      </w:r>
      <w:r w:rsidR="0036166E">
        <w:t xml:space="preserve"> and so while eligible for the proposed experience pathway, they </w:t>
      </w:r>
      <w:r w:rsidR="00AE0DD9">
        <w:t>will</w:t>
      </w:r>
      <w:r w:rsidR="00562434" w:rsidDel="00952CED">
        <w:t xml:space="preserve"> not </w:t>
      </w:r>
      <w:r w:rsidR="00AE0DD9">
        <w:t>benefit from it</w:t>
      </w:r>
      <w:r w:rsidR="0036166E">
        <w:t>.</w:t>
      </w:r>
    </w:p>
    <w:p w14:paraId="1494E735" w14:textId="1821CFFF" w:rsidR="00FA6D73" w:rsidRDefault="00FA6D73" w:rsidP="003D2F42">
      <w:pPr>
        <w:pStyle w:val="Heading3"/>
      </w:pPr>
      <w:bookmarkStart w:id="15" w:name="_Toc130562409"/>
      <w:r w:rsidRPr="008A272D">
        <w:rPr>
          <w:szCs w:val="28"/>
        </w:rPr>
        <w:t xml:space="preserve">Cohort </w:t>
      </w:r>
      <w:r w:rsidR="00C33C78" w:rsidRPr="008A272D">
        <w:rPr>
          <w:szCs w:val="28"/>
        </w:rPr>
        <w:t>1</w:t>
      </w:r>
      <w:r w:rsidR="00AC402A" w:rsidRPr="008A272D">
        <w:rPr>
          <w:szCs w:val="28"/>
        </w:rPr>
        <w:t>:</w:t>
      </w:r>
      <w:r w:rsidRPr="008A272D">
        <w:rPr>
          <w:szCs w:val="28"/>
        </w:rPr>
        <w:t xml:space="preserve"> 6</w:t>
      </w:r>
      <w:r w:rsidR="002C4E12">
        <w:rPr>
          <w:szCs w:val="28"/>
        </w:rPr>
        <w:t xml:space="preserve"> </w:t>
      </w:r>
      <w:r w:rsidR="00AB0010" w:rsidRPr="008A272D">
        <w:rPr>
          <w:szCs w:val="28"/>
        </w:rPr>
        <w:t>5</w:t>
      </w:r>
      <w:r w:rsidR="00593164" w:rsidRPr="008A272D">
        <w:rPr>
          <w:szCs w:val="28"/>
        </w:rPr>
        <w:t>20</w:t>
      </w:r>
      <w:r w:rsidR="00AC402A" w:rsidRPr="008A272D">
        <w:rPr>
          <w:szCs w:val="28"/>
        </w:rPr>
        <w:t xml:space="preserve"> advisers</w:t>
      </w:r>
      <w:r w:rsidR="005E38B7">
        <w:rPr>
          <w:szCs w:val="28"/>
        </w:rPr>
        <w:br/>
      </w:r>
      <w:r w:rsidR="0090630E" w:rsidRPr="008A272D">
        <w:rPr>
          <w:b w:val="0"/>
          <w:i/>
          <w:sz w:val="24"/>
          <w:szCs w:val="24"/>
        </w:rPr>
        <w:t xml:space="preserve">Estimate of </w:t>
      </w:r>
      <w:r w:rsidR="00C27B89" w:rsidRPr="008A272D">
        <w:rPr>
          <w:b w:val="0"/>
          <w:i/>
          <w:sz w:val="24"/>
          <w:szCs w:val="24"/>
        </w:rPr>
        <w:t xml:space="preserve">existing </w:t>
      </w:r>
      <w:r w:rsidR="0090630E" w:rsidRPr="008A272D">
        <w:rPr>
          <w:b w:val="0"/>
          <w:i/>
          <w:sz w:val="24"/>
          <w:szCs w:val="24"/>
        </w:rPr>
        <w:t>a</w:t>
      </w:r>
      <w:r w:rsidR="000F6919" w:rsidRPr="008A272D">
        <w:rPr>
          <w:b w:val="0"/>
          <w:i/>
          <w:sz w:val="24"/>
          <w:szCs w:val="24"/>
        </w:rPr>
        <w:t xml:space="preserve">dvisers </w:t>
      </w:r>
      <w:r w:rsidR="00FB493D" w:rsidRPr="008A272D">
        <w:rPr>
          <w:b w:val="0"/>
          <w:i/>
          <w:sz w:val="24"/>
          <w:szCs w:val="22"/>
        </w:rPr>
        <w:t xml:space="preserve">who </w:t>
      </w:r>
      <w:r w:rsidR="000A49AD" w:rsidRPr="008A272D">
        <w:rPr>
          <w:b w:val="0"/>
          <w:i/>
          <w:sz w:val="24"/>
          <w:szCs w:val="22"/>
        </w:rPr>
        <w:t xml:space="preserve">need to complete </w:t>
      </w:r>
      <w:r w:rsidR="00860AF7" w:rsidRPr="008A272D">
        <w:rPr>
          <w:b w:val="0"/>
          <w:i/>
          <w:sz w:val="24"/>
          <w:szCs w:val="22"/>
        </w:rPr>
        <w:t>education requirements</w:t>
      </w:r>
      <w:bookmarkEnd w:id="15"/>
      <w:r w:rsidR="00860AF7" w:rsidRPr="008A272D">
        <w:rPr>
          <w:sz w:val="24"/>
          <w:szCs w:val="22"/>
        </w:rPr>
        <w:t xml:space="preserve"> </w:t>
      </w:r>
    </w:p>
    <w:p w14:paraId="24577CFD" w14:textId="3EC97A61" w:rsidR="002A3615" w:rsidRDefault="00FA6D73" w:rsidP="00507E6A">
      <w:r>
        <w:t>This cohort takes the 10</w:t>
      </w:r>
      <w:r w:rsidR="00911A6E">
        <w:t xml:space="preserve"> </w:t>
      </w:r>
      <w:r w:rsidR="00D66FDB">
        <w:t>030</w:t>
      </w:r>
      <w:r>
        <w:t xml:space="preserve"> </w:t>
      </w:r>
      <w:r w:rsidR="00B900C9">
        <w:t xml:space="preserve">advisers with 10 </w:t>
      </w:r>
      <w:r w:rsidR="00443149">
        <w:t>years’ experience</w:t>
      </w:r>
      <w:r>
        <w:t xml:space="preserve"> and applies </w:t>
      </w:r>
      <w:r w:rsidR="00060C4C" w:rsidRPr="00942FE3">
        <w:t>Association of Financial Advisers</w:t>
      </w:r>
      <w:r>
        <w:t xml:space="preserve"> and </w:t>
      </w:r>
      <w:r w:rsidR="00443149">
        <w:t>Financial Planning Association</w:t>
      </w:r>
      <w:r>
        <w:t xml:space="preserve"> survey data to exclude those who have already met the education requirements. </w:t>
      </w:r>
      <w:r w:rsidR="00301DA4">
        <w:t>These advisers will not benefit from the election commitment</w:t>
      </w:r>
      <w:r w:rsidR="004A7B5C">
        <w:t xml:space="preserve">. </w:t>
      </w:r>
      <w:r w:rsidR="008521A6">
        <w:t>3</w:t>
      </w:r>
      <w:r w:rsidR="000070E4">
        <w:t>0.</w:t>
      </w:r>
      <w:r w:rsidR="008521A6">
        <w:t>1</w:t>
      </w:r>
      <w:r>
        <w:t xml:space="preserve"> per cent of </w:t>
      </w:r>
      <w:r w:rsidR="003E544C">
        <w:t xml:space="preserve">the </w:t>
      </w:r>
      <w:r w:rsidR="00C938DD" w:rsidRPr="00942FE3">
        <w:t>Association of Financial Advisers</w:t>
      </w:r>
      <w:r>
        <w:t xml:space="preserve"> respondents and 40 per cent of </w:t>
      </w:r>
      <w:r w:rsidR="003E544C">
        <w:t xml:space="preserve">the </w:t>
      </w:r>
      <w:r w:rsidR="00C938DD">
        <w:t>Financial Planning Association</w:t>
      </w:r>
      <w:r>
        <w:t xml:space="preserve"> respondents indicated they have already met the requirements</w:t>
      </w:r>
      <w:r w:rsidRPr="008A272D">
        <w:rPr>
          <w:rStyle w:val="FootnoteReference"/>
          <w:vertAlign w:val="superscript"/>
        </w:rPr>
        <w:footnoteReference w:id="12"/>
      </w:r>
      <w:r>
        <w:t>.</w:t>
      </w:r>
      <w:r>
        <w:rPr>
          <w:rStyle w:val="FootnoteReference"/>
        </w:rPr>
        <w:t xml:space="preserve"> </w:t>
      </w:r>
      <w:r>
        <w:t xml:space="preserve">Using </w:t>
      </w:r>
      <w:r w:rsidR="00865B3C">
        <w:t xml:space="preserve">35 per cent as the average, this would mean </w:t>
      </w:r>
      <w:r w:rsidR="00542884">
        <w:t>3</w:t>
      </w:r>
      <w:r w:rsidR="00911A6E">
        <w:t xml:space="preserve"> </w:t>
      </w:r>
      <w:r w:rsidR="00542884">
        <w:t>5</w:t>
      </w:r>
      <w:r w:rsidR="00EF6D30">
        <w:t xml:space="preserve">10 </w:t>
      </w:r>
      <w:r w:rsidR="00446052">
        <w:t xml:space="preserve">existing </w:t>
      </w:r>
      <w:r w:rsidR="00EF6D30">
        <w:t xml:space="preserve">advisers </w:t>
      </w:r>
      <w:r w:rsidR="00446052">
        <w:t>have already met the education requirements</w:t>
      </w:r>
      <w:r w:rsidR="00AA04AF">
        <w:t xml:space="preserve"> and will not </w:t>
      </w:r>
      <w:r w:rsidR="00354CF2">
        <w:t xml:space="preserve">benefit from the election commitment. </w:t>
      </w:r>
      <w:r w:rsidR="007A31E2">
        <w:t xml:space="preserve">The inverse of this is that </w:t>
      </w:r>
      <w:r w:rsidR="00BA474F">
        <w:t xml:space="preserve">an estimated </w:t>
      </w:r>
      <w:r w:rsidR="005A3A53">
        <w:t>6</w:t>
      </w:r>
      <w:r w:rsidR="00911A6E">
        <w:t xml:space="preserve"> </w:t>
      </w:r>
      <w:r w:rsidR="005A3A53">
        <w:t xml:space="preserve">520 advisers </w:t>
      </w:r>
      <w:r w:rsidR="00414A26">
        <w:t xml:space="preserve">will benefit from the requirement. </w:t>
      </w:r>
    </w:p>
    <w:p w14:paraId="368F1894" w14:textId="12D2B627" w:rsidR="00FA6D73" w:rsidRPr="00507E6A" w:rsidRDefault="00FA6D73" w:rsidP="00C51F78">
      <w:pPr>
        <w:pStyle w:val="Heading3"/>
      </w:pPr>
      <w:bookmarkStart w:id="16" w:name="_Toc130562410"/>
      <w:r w:rsidRPr="008A272D">
        <w:t xml:space="preserve">Cohort </w:t>
      </w:r>
      <w:r w:rsidR="00C33C78" w:rsidRPr="008A272D">
        <w:t>2</w:t>
      </w:r>
      <w:r w:rsidR="0090630E" w:rsidRPr="008A272D">
        <w:rPr>
          <w:szCs w:val="28"/>
        </w:rPr>
        <w:t xml:space="preserve">: </w:t>
      </w:r>
      <w:r w:rsidR="00D16B4E" w:rsidRPr="008A272D">
        <w:rPr>
          <w:szCs w:val="28"/>
        </w:rPr>
        <w:t>2</w:t>
      </w:r>
      <w:r w:rsidR="002C4E12">
        <w:rPr>
          <w:szCs w:val="28"/>
        </w:rPr>
        <w:t xml:space="preserve"> </w:t>
      </w:r>
      <w:r w:rsidR="00593164" w:rsidRPr="008A272D">
        <w:rPr>
          <w:szCs w:val="28"/>
        </w:rPr>
        <w:t>086</w:t>
      </w:r>
      <w:r w:rsidR="00717C8A" w:rsidRPr="008A272D">
        <w:rPr>
          <w:szCs w:val="28"/>
        </w:rPr>
        <w:t xml:space="preserve"> </w:t>
      </w:r>
      <w:r w:rsidR="00E01081" w:rsidRPr="008A272D">
        <w:rPr>
          <w:szCs w:val="28"/>
        </w:rPr>
        <w:t>advisers</w:t>
      </w:r>
      <w:r w:rsidR="005E38B7">
        <w:rPr>
          <w:szCs w:val="28"/>
        </w:rPr>
        <w:br/>
      </w:r>
      <w:r w:rsidR="00717C8A" w:rsidRPr="008A272D">
        <w:rPr>
          <w:b w:val="0"/>
          <w:i/>
          <w:sz w:val="24"/>
          <w:szCs w:val="24"/>
        </w:rPr>
        <w:t>Estimate</w:t>
      </w:r>
      <w:r w:rsidR="005E0CA7" w:rsidRPr="008A272D">
        <w:rPr>
          <w:b w:val="0"/>
          <w:i/>
          <w:sz w:val="24"/>
          <w:szCs w:val="24"/>
        </w:rPr>
        <w:t xml:space="preserve"> </w:t>
      </w:r>
      <w:r w:rsidR="001629CF" w:rsidRPr="008A272D">
        <w:rPr>
          <w:b w:val="0"/>
          <w:i/>
          <w:sz w:val="24"/>
          <w:szCs w:val="24"/>
        </w:rPr>
        <w:t xml:space="preserve">of advisers </w:t>
      </w:r>
      <w:r w:rsidR="008116AE" w:rsidRPr="008A272D">
        <w:rPr>
          <w:b w:val="0"/>
          <w:i/>
          <w:sz w:val="24"/>
          <w:szCs w:val="24"/>
        </w:rPr>
        <w:t xml:space="preserve">who </w:t>
      </w:r>
      <w:r w:rsidR="00FA413A" w:rsidRPr="008A272D">
        <w:rPr>
          <w:b w:val="0"/>
          <w:i/>
          <w:sz w:val="24"/>
          <w:szCs w:val="24"/>
        </w:rPr>
        <w:t xml:space="preserve">would exit the industry on 1 January 2026 </w:t>
      </w:r>
      <w:r w:rsidR="00C51F78" w:rsidRPr="008A272D">
        <w:rPr>
          <w:b w:val="0"/>
          <w:i/>
          <w:sz w:val="24"/>
          <w:szCs w:val="24"/>
        </w:rPr>
        <w:t>if required to undertake additional education</w:t>
      </w:r>
      <w:bookmarkEnd w:id="16"/>
    </w:p>
    <w:p w14:paraId="23184663" w14:textId="53B4AC37" w:rsidR="00507838" w:rsidRDefault="00FA6D73" w:rsidP="00C73DB3">
      <w:r>
        <w:t>This cohort takes the 10</w:t>
      </w:r>
      <w:r w:rsidR="00911A6E">
        <w:t xml:space="preserve"> </w:t>
      </w:r>
      <w:r w:rsidR="00E83B49">
        <w:t xml:space="preserve">030 </w:t>
      </w:r>
      <w:r w:rsidR="00D0687B">
        <w:t xml:space="preserve">advisers </w:t>
      </w:r>
      <w:r w:rsidR="00C57592">
        <w:t>with 10 years’ experience</w:t>
      </w:r>
      <w:r>
        <w:t xml:space="preserve"> and applies </w:t>
      </w:r>
      <w:r w:rsidR="006E4D54">
        <w:t>Association of Financial Advisers</w:t>
      </w:r>
      <w:r>
        <w:t xml:space="preserve"> survey data to identify those advisers</w:t>
      </w:r>
      <w:r w:rsidR="00022108">
        <w:t xml:space="preserve"> who have </w:t>
      </w:r>
      <w:r w:rsidR="002F1932">
        <w:t>indicated they had no intention of meeting</w:t>
      </w:r>
      <w:r w:rsidR="00022108">
        <w:t xml:space="preserve"> the education requirements and </w:t>
      </w:r>
      <w:r w:rsidR="002F1932">
        <w:t xml:space="preserve">would instead exist the industry before 1 January 2026. </w:t>
      </w:r>
      <w:r>
        <w:t xml:space="preserve">20.8 per cent of </w:t>
      </w:r>
      <w:r w:rsidR="00007398">
        <w:t>Association of Financial Advisers</w:t>
      </w:r>
      <w:r>
        <w:t xml:space="preserve"> respondents indicated they would</w:t>
      </w:r>
      <w:r w:rsidR="0097075D">
        <w:t xml:space="preserve"> not</w:t>
      </w:r>
      <w:r>
        <w:t xml:space="preserve"> seek to meet the education requirements</w:t>
      </w:r>
      <w:r w:rsidR="00A067FF">
        <w:t xml:space="preserve">. </w:t>
      </w:r>
      <w:r w:rsidR="00970FD3">
        <w:t xml:space="preserve">This would mean approximately </w:t>
      </w:r>
      <w:r w:rsidR="00EB58B5">
        <w:t>2</w:t>
      </w:r>
      <w:r w:rsidR="00911A6E">
        <w:t xml:space="preserve"> </w:t>
      </w:r>
      <w:r w:rsidR="00EB58B5">
        <w:t xml:space="preserve">086 advisers </w:t>
      </w:r>
      <w:r w:rsidR="00502BFA">
        <w:t>were not intending to remain in the industry after 1 January 2026</w:t>
      </w:r>
      <w:r w:rsidR="00981267">
        <w:t xml:space="preserve">. These advisers would benefit from the election commitment as they would be able to continue working without the cost of additional study </w:t>
      </w:r>
      <w:r w:rsidR="009E3DBD">
        <w:t xml:space="preserve">and earning an income. </w:t>
      </w:r>
    </w:p>
    <w:p w14:paraId="12115E20" w14:textId="1C8162F3" w:rsidR="00922B87" w:rsidRDefault="0048588A" w:rsidP="00C73DB3">
      <w:r>
        <w:t xml:space="preserve">Cohort 2 is a subset of cohort 1. </w:t>
      </w:r>
    </w:p>
    <w:p w14:paraId="01C9EC1B" w14:textId="2FDECBF4" w:rsidR="00AD312B" w:rsidRDefault="00AD312B" w:rsidP="00F827D7">
      <w:pPr>
        <w:pStyle w:val="Heading3"/>
      </w:pPr>
      <w:bookmarkStart w:id="17" w:name="_Toc130562411"/>
      <w:r w:rsidRPr="008A272D">
        <w:t>Cohort 3</w:t>
      </w:r>
      <w:r w:rsidR="00E01081" w:rsidRPr="008A272D">
        <w:t>:</w:t>
      </w:r>
      <w:r w:rsidRPr="008A272D">
        <w:t xml:space="preserve"> </w:t>
      </w:r>
      <w:r w:rsidR="00E218EA" w:rsidRPr="008A272D">
        <w:t>4</w:t>
      </w:r>
      <w:r w:rsidR="002C4E12">
        <w:t xml:space="preserve"> </w:t>
      </w:r>
      <w:r w:rsidR="007D20E8" w:rsidRPr="008A272D">
        <w:t>43</w:t>
      </w:r>
      <w:r w:rsidR="006458DC" w:rsidRPr="008A272D">
        <w:t>4</w:t>
      </w:r>
      <w:r w:rsidR="00B833D0" w:rsidRPr="008A272D">
        <w:t xml:space="preserve"> </w:t>
      </w:r>
      <w:r w:rsidR="00FC329D" w:rsidRPr="008A272D">
        <w:t xml:space="preserve">advisers </w:t>
      </w:r>
      <w:r w:rsidR="005E38B7">
        <w:br/>
      </w:r>
      <w:r w:rsidR="00D5179B" w:rsidRPr="008A272D">
        <w:rPr>
          <w:b w:val="0"/>
          <w:i/>
          <w:sz w:val="24"/>
          <w:szCs w:val="24"/>
        </w:rPr>
        <w:t>Estimate</w:t>
      </w:r>
      <w:r w:rsidR="005E0CA7" w:rsidRPr="008A272D">
        <w:rPr>
          <w:b w:val="0"/>
          <w:i/>
          <w:sz w:val="24"/>
          <w:szCs w:val="24"/>
        </w:rPr>
        <w:t xml:space="preserve"> </w:t>
      </w:r>
      <w:r w:rsidR="00AF1220" w:rsidRPr="008A272D">
        <w:rPr>
          <w:b w:val="0"/>
          <w:i/>
          <w:sz w:val="24"/>
          <w:szCs w:val="24"/>
        </w:rPr>
        <w:t>of advisers currently undertaking education requirements ahead of 1 January 2026 deadline</w:t>
      </w:r>
      <w:bookmarkEnd w:id="17"/>
      <w:r w:rsidR="00AF1220" w:rsidRPr="008A272D">
        <w:t xml:space="preserve"> </w:t>
      </w:r>
    </w:p>
    <w:p w14:paraId="4CAC12FE" w14:textId="55062E9C" w:rsidR="004B7579" w:rsidRPr="004B7579" w:rsidRDefault="004F1C33" w:rsidP="00C73DB3">
      <w:r>
        <w:t xml:space="preserve">This cohort </w:t>
      </w:r>
      <w:r w:rsidR="00105773">
        <w:t xml:space="preserve">is estimated by taking </w:t>
      </w:r>
      <w:r>
        <w:t xml:space="preserve">the </w:t>
      </w:r>
      <w:r w:rsidR="00553D54">
        <w:t>6</w:t>
      </w:r>
      <w:r w:rsidR="00911A6E">
        <w:t xml:space="preserve"> </w:t>
      </w:r>
      <w:r w:rsidR="00553D54">
        <w:t>520 advisers estimated to benefit from the proposal (cohort 1) and subtract</w:t>
      </w:r>
      <w:r w:rsidR="008C4775">
        <w:t>ing</w:t>
      </w:r>
      <w:r w:rsidR="00553D54">
        <w:t xml:space="preserve"> the </w:t>
      </w:r>
      <w:r w:rsidR="00620DDB">
        <w:t>2</w:t>
      </w:r>
      <w:r w:rsidR="00911A6E">
        <w:t xml:space="preserve"> </w:t>
      </w:r>
      <w:r w:rsidR="00620DDB">
        <w:t xml:space="preserve">086 advisers who </w:t>
      </w:r>
      <w:r w:rsidR="00E86093">
        <w:t>were not intending to undertake additional study (</w:t>
      </w:r>
      <w:r w:rsidR="00BC17CF">
        <w:t>cohort 2)</w:t>
      </w:r>
      <w:r w:rsidR="00FE7E75">
        <w:t xml:space="preserve"> to determine those existing advisers </w:t>
      </w:r>
      <w:r w:rsidR="00C97A8C">
        <w:t xml:space="preserve">who </w:t>
      </w:r>
      <w:r w:rsidR="00883628">
        <w:t xml:space="preserve">were part way through their studies. This cohort will </w:t>
      </w:r>
      <w:r w:rsidR="00592F73">
        <w:t xml:space="preserve">benefit </w:t>
      </w:r>
      <w:r w:rsidR="00592F73">
        <w:lastRenderedPageBreak/>
        <w:t xml:space="preserve">from the election commitment but the extent to which they will benefit will depend on the amount of education already undertaken and the amount of education left to complete. </w:t>
      </w:r>
    </w:p>
    <w:p w14:paraId="41E16461" w14:textId="5A674487" w:rsidR="00ED315D" w:rsidRPr="00297AD6" w:rsidRDefault="002110DA" w:rsidP="00297AD6">
      <w:pPr>
        <w:pStyle w:val="Heading2"/>
      </w:pPr>
      <w:bookmarkStart w:id="18" w:name="_Toc130562412"/>
      <w:r>
        <w:t>Impact</w:t>
      </w:r>
      <w:r w:rsidR="001717A6">
        <w:t xml:space="preserve"> on advisers</w:t>
      </w:r>
      <w:bookmarkEnd w:id="18"/>
    </w:p>
    <w:p w14:paraId="3E57431A" w14:textId="704D4A67" w:rsidR="00D35A89" w:rsidRDefault="00737711" w:rsidP="006F06AA">
      <w:r w:rsidDel="00B83222">
        <w:t xml:space="preserve">In </w:t>
      </w:r>
      <w:r w:rsidR="00640195">
        <w:t>considering</w:t>
      </w:r>
      <w:r>
        <w:t xml:space="preserve"> the </w:t>
      </w:r>
      <w:r w:rsidR="00A866B5">
        <w:t xml:space="preserve">impact of the </w:t>
      </w:r>
      <w:r>
        <w:t xml:space="preserve">election commitment </w:t>
      </w:r>
      <w:r w:rsidR="001717A6">
        <w:t xml:space="preserve">and how it will benefit advisers, </w:t>
      </w:r>
      <w:r>
        <w:t>it is useful to understand the cost of the required courses</w:t>
      </w:r>
      <w:r w:rsidR="00987153">
        <w:t>.</w:t>
      </w:r>
      <w:r>
        <w:t xml:space="preserve"> T</w:t>
      </w:r>
      <w:r w:rsidRPr="00737711">
        <w:t xml:space="preserve">he compulsory ethics units from a Registered Training Organisation (RTO) and a </w:t>
      </w:r>
      <w:r w:rsidR="00E2757C" w:rsidRPr="00737711">
        <w:t>university</w:t>
      </w:r>
      <w:r w:rsidRPr="00737711">
        <w:t xml:space="preserve"> will be used as </w:t>
      </w:r>
      <w:r w:rsidR="00987153">
        <w:t xml:space="preserve">a proxy for the costs and time commitment of </w:t>
      </w:r>
      <w:r w:rsidR="002026B2">
        <w:t xml:space="preserve">required </w:t>
      </w:r>
      <w:r w:rsidR="00753E37">
        <w:t>units and</w:t>
      </w:r>
      <w:r w:rsidR="00CC178F">
        <w:t xml:space="preserve"> are shown in table 2.</w:t>
      </w:r>
    </w:p>
    <w:p w14:paraId="1A085679" w14:textId="29296186" w:rsidR="00CC178F" w:rsidRDefault="00CC178F" w:rsidP="008A272D">
      <w:pPr>
        <w:pStyle w:val="Caption"/>
        <w:keepNext/>
      </w:pPr>
      <w:r>
        <w:t xml:space="preserve">Table </w:t>
      </w:r>
      <w:r w:rsidR="00753E37">
        <w:t>2</w:t>
      </w:r>
      <w:r>
        <w:t xml:space="preserve"> </w:t>
      </w:r>
      <w:r w:rsidR="00753E37">
        <w:t>indicative</w:t>
      </w:r>
      <w:r>
        <w:t xml:space="preserve"> </w:t>
      </w:r>
      <w:r w:rsidR="00753E37">
        <w:t>RTO and University course</w:t>
      </w:r>
    </w:p>
    <w:tbl>
      <w:tblPr>
        <w:tblStyle w:val="TableGridLight"/>
        <w:tblpPr w:leftFromText="180" w:rightFromText="180" w:vertAnchor="text" w:horzAnchor="margin" w:tblpY="-13"/>
        <w:tblW w:w="0" w:type="auto"/>
        <w:tblLook w:val="04A0" w:firstRow="1" w:lastRow="0" w:firstColumn="1" w:lastColumn="0" w:noHBand="0" w:noVBand="1"/>
      </w:tblPr>
      <w:tblGrid>
        <w:gridCol w:w="1843"/>
        <w:gridCol w:w="3402"/>
        <w:gridCol w:w="3815"/>
      </w:tblGrid>
      <w:tr w:rsidR="00507E6A" w14:paraId="1D8A44B2" w14:textId="77777777" w:rsidTr="00815B71">
        <w:tc>
          <w:tcPr>
            <w:tcW w:w="1843" w:type="dxa"/>
            <w:tcBorders>
              <w:top w:val="nil"/>
              <w:left w:val="nil"/>
            </w:tcBorders>
          </w:tcPr>
          <w:p w14:paraId="19BDFF37" w14:textId="77777777" w:rsidR="00507E6A" w:rsidRPr="006F06AA" w:rsidRDefault="00507E6A" w:rsidP="00507E6A">
            <w:pPr>
              <w:rPr>
                <w:sz w:val="20"/>
              </w:rPr>
            </w:pPr>
          </w:p>
        </w:tc>
        <w:tc>
          <w:tcPr>
            <w:tcW w:w="3402" w:type="dxa"/>
          </w:tcPr>
          <w:p w14:paraId="28F49C07" w14:textId="77777777" w:rsidR="00507E6A" w:rsidRPr="006F06AA" w:rsidRDefault="00507E6A" w:rsidP="00507E6A">
            <w:pPr>
              <w:rPr>
                <w:b/>
                <w:sz w:val="20"/>
              </w:rPr>
            </w:pPr>
            <w:r w:rsidRPr="006F06AA">
              <w:rPr>
                <w:b/>
                <w:sz w:val="20"/>
              </w:rPr>
              <w:t>Indicative RTO</w:t>
            </w:r>
          </w:p>
        </w:tc>
        <w:tc>
          <w:tcPr>
            <w:tcW w:w="3815" w:type="dxa"/>
          </w:tcPr>
          <w:p w14:paraId="4B12711D" w14:textId="77777777" w:rsidR="00507E6A" w:rsidRPr="006F06AA" w:rsidRDefault="00507E6A" w:rsidP="00507E6A">
            <w:pPr>
              <w:rPr>
                <w:b/>
                <w:sz w:val="20"/>
              </w:rPr>
            </w:pPr>
            <w:r w:rsidRPr="006F06AA">
              <w:rPr>
                <w:b/>
                <w:sz w:val="20"/>
              </w:rPr>
              <w:t>Indicative university</w:t>
            </w:r>
          </w:p>
        </w:tc>
      </w:tr>
      <w:tr w:rsidR="00507E6A" w14:paraId="504D6745" w14:textId="77777777" w:rsidTr="00815B71">
        <w:tc>
          <w:tcPr>
            <w:tcW w:w="1843" w:type="dxa"/>
          </w:tcPr>
          <w:p w14:paraId="5C7A2E5D" w14:textId="77777777" w:rsidR="00507E6A" w:rsidRPr="006F06AA" w:rsidRDefault="00507E6A" w:rsidP="00507E6A">
            <w:pPr>
              <w:rPr>
                <w:b/>
                <w:sz w:val="20"/>
              </w:rPr>
            </w:pPr>
            <w:r w:rsidRPr="006F06AA">
              <w:rPr>
                <w:b/>
                <w:sz w:val="20"/>
              </w:rPr>
              <w:t>2022 fee</w:t>
            </w:r>
          </w:p>
        </w:tc>
        <w:tc>
          <w:tcPr>
            <w:tcW w:w="3402" w:type="dxa"/>
          </w:tcPr>
          <w:p w14:paraId="56518D7C" w14:textId="602C50B8" w:rsidR="00507E6A" w:rsidRPr="006F06AA" w:rsidRDefault="00507E6A" w:rsidP="00507E6A">
            <w:pPr>
              <w:rPr>
                <w:sz w:val="20"/>
              </w:rPr>
            </w:pPr>
            <w:r w:rsidRPr="006F06AA">
              <w:rPr>
                <w:sz w:val="20"/>
              </w:rPr>
              <w:t>$2</w:t>
            </w:r>
            <w:r w:rsidR="00911A6E">
              <w:rPr>
                <w:sz w:val="20"/>
              </w:rPr>
              <w:t xml:space="preserve"> </w:t>
            </w:r>
            <w:r w:rsidRPr="006F06AA">
              <w:rPr>
                <w:sz w:val="20"/>
              </w:rPr>
              <w:t>500</w:t>
            </w:r>
          </w:p>
        </w:tc>
        <w:tc>
          <w:tcPr>
            <w:tcW w:w="3815" w:type="dxa"/>
          </w:tcPr>
          <w:p w14:paraId="11ADB6E0" w14:textId="1F219410" w:rsidR="00507E6A" w:rsidRPr="006F06AA" w:rsidRDefault="00507E6A" w:rsidP="00507E6A">
            <w:pPr>
              <w:rPr>
                <w:sz w:val="20"/>
              </w:rPr>
            </w:pPr>
            <w:r w:rsidRPr="006F06AA">
              <w:rPr>
                <w:sz w:val="20"/>
              </w:rPr>
              <w:t>$3</w:t>
            </w:r>
            <w:r w:rsidR="00911A6E">
              <w:rPr>
                <w:sz w:val="20"/>
              </w:rPr>
              <w:t xml:space="preserve"> </w:t>
            </w:r>
            <w:r w:rsidRPr="006F06AA">
              <w:rPr>
                <w:sz w:val="20"/>
              </w:rPr>
              <w:t>518</w:t>
            </w:r>
          </w:p>
        </w:tc>
      </w:tr>
      <w:tr w:rsidR="00507E6A" w14:paraId="11995B86" w14:textId="77777777" w:rsidTr="00815B71">
        <w:trPr>
          <w:trHeight w:val="530"/>
        </w:trPr>
        <w:tc>
          <w:tcPr>
            <w:tcW w:w="1843" w:type="dxa"/>
          </w:tcPr>
          <w:p w14:paraId="447FAF3D" w14:textId="77777777" w:rsidR="00507E6A" w:rsidRPr="006F06AA" w:rsidRDefault="00507E6A" w:rsidP="00507E6A">
            <w:pPr>
              <w:rPr>
                <w:b/>
                <w:sz w:val="20"/>
              </w:rPr>
            </w:pPr>
            <w:r w:rsidRPr="006F06AA">
              <w:rPr>
                <w:b/>
                <w:sz w:val="20"/>
              </w:rPr>
              <w:t>Course duration</w:t>
            </w:r>
          </w:p>
        </w:tc>
        <w:tc>
          <w:tcPr>
            <w:tcW w:w="3402" w:type="dxa"/>
          </w:tcPr>
          <w:p w14:paraId="71728396" w14:textId="77777777" w:rsidR="00507E6A" w:rsidRPr="006F06AA" w:rsidRDefault="00507E6A" w:rsidP="00507E6A">
            <w:pPr>
              <w:rPr>
                <w:sz w:val="20"/>
              </w:rPr>
            </w:pPr>
            <w:r w:rsidRPr="006F06AA">
              <w:rPr>
                <w:sz w:val="20"/>
              </w:rPr>
              <w:t xml:space="preserve">12 weeks </w:t>
            </w:r>
          </w:p>
        </w:tc>
        <w:tc>
          <w:tcPr>
            <w:tcW w:w="3815" w:type="dxa"/>
          </w:tcPr>
          <w:p w14:paraId="512EF5D2" w14:textId="77777777" w:rsidR="00507E6A" w:rsidRPr="006F06AA" w:rsidRDefault="00507E6A" w:rsidP="00507E6A">
            <w:pPr>
              <w:rPr>
                <w:sz w:val="20"/>
              </w:rPr>
            </w:pPr>
            <w:r w:rsidRPr="006F06AA">
              <w:rPr>
                <w:sz w:val="20"/>
              </w:rPr>
              <w:t>11 weeks</w:t>
            </w:r>
          </w:p>
        </w:tc>
      </w:tr>
      <w:tr w:rsidR="00507E6A" w14:paraId="21F1ACF8" w14:textId="77777777" w:rsidTr="00815B71">
        <w:tc>
          <w:tcPr>
            <w:tcW w:w="1843" w:type="dxa"/>
          </w:tcPr>
          <w:p w14:paraId="4358DC2D" w14:textId="77777777" w:rsidR="00507E6A" w:rsidRPr="006F06AA" w:rsidRDefault="00507E6A" w:rsidP="00507E6A">
            <w:pPr>
              <w:rPr>
                <w:b/>
                <w:sz w:val="20"/>
              </w:rPr>
            </w:pPr>
            <w:r w:rsidRPr="006F06AA">
              <w:rPr>
                <w:b/>
                <w:sz w:val="20"/>
              </w:rPr>
              <w:t>Indicative hours</w:t>
            </w:r>
          </w:p>
        </w:tc>
        <w:tc>
          <w:tcPr>
            <w:tcW w:w="3402" w:type="dxa"/>
          </w:tcPr>
          <w:p w14:paraId="4303828A" w14:textId="77777777" w:rsidR="00507E6A" w:rsidRPr="006F06AA" w:rsidRDefault="00507E6A" w:rsidP="00507E6A">
            <w:pPr>
              <w:rPr>
                <w:sz w:val="20"/>
              </w:rPr>
            </w:pPr>
            <w:r w:rsidRPr="006F06AA">
              <w:rPr>
                <w:sz w:val="20"/>
              </w:rPr>
              <w:t>120 total indicative hours</w:t>
            </w:r>
          </w:p>
        </w:tc>
        <w:tc>
          <w:tcPr>
            <w:tcW w:w="3815" w:type="dxa"/>
          </w:tcPr>
          <w:p w14:paraId="78B3B9F4" w14:textId="77777777" w:rsidR="00507E6A" w:rsidRPr="006F06AA" w:rsidRDefault="00507E6A" w:rsidP="00507E6A">
            <w:pPr>
              <w:rPr>
                <w:sz w:val="20"/>
              </w:rPr>
            </w:pPr>
            <w:r w:rsidRPr="006F06AA">
              <w:rPr>
                <w:sz w:val="20"/>
              </w:rPr>
              <w:t xml:space="preserve">150 total indicative hours </w:t>
            </w:r>
          </w:p>
        </w:tc>
      </w:tr>
    </w:tbl>
    <w:p w14:paraId="103864DF" w14:textId="187C2249" w:rsidR="00765126" w:rsidRDefault="00240E6C" w:rsidP="00BA3E6E">
      <w:r>
        <w:t xml:space="preserve">Based on the above </w:t>
      </w:r>
      <w:r w:rsidR="00895EE9">
        <w:t xml:space="preserve">information an </w:t>
      </w:r>
      <w:r w:rsidR="00E23BF8">
        <w:t>estimate</w:t>
      </w:r>
      <w:r>
        <w:t xml:space="preserve"> </w:t>
      </w:r>
      <w:r w:rsidR="00895EE9">
        <w:t xml:space="preserve">of </w:t>
      </w:r>
      <w:r>
        <w:t xml:space="preserve">the potential cost of </w:t>
      </w:r>
      <w:r w:rsidR="00895EE9">
        <w:t xml:space="preserve">meeting the </w:t>
      </w:r>
      <w:r>
        <w:t xml:space="preserve">education requirements </w:t>
      </w:r>
      <w:r w:rsidR="003910C1">
        <w:t>for</w:t>
      </w:r>
      <w:r>
        <w:t xml:space="preserve"> </w:t>
      </w:r>
      <w:r w:rsidR="00DC61AA">
        <w:t xml:space="preserve">a </w:t>
      </w:r>
      <w:r>
        <w:t>financial adviser</w:t>
      </w:r>
      <w:r w:rsidR="00895EE9">
        <w:t xml:space="preserve"> is set out in the table </w:t>
      </w:r>
      <w:r w:rsidR="00753E37">
        <w:t>3.</w:t>
      </w:r>
      <w:r>
        <w:t xml:space="preserve"> </w:t>
      </w:r>
    </w:p>
    <w:p w14:paraId="6285656E" w14:textId="47E45455" w:rsidR="00753E37" w:rsidRDefault="00753E37" w:rsidP="008A272D">
      <w:pPr>
        <w:pStyle w:val="Caption"/>
        <w:keepNext/>
      </w:pPr>
      <w:r>
        <w:t>Table 3 Cost and time of study but number of courses</w:t>
      </w:r>
      <w:r w:rsidR="0034762C">
        <w:t xml:space="preserve"> to complete</w:t>
      </w:r>
    </w:p>
    <w:tbl>
      <w:tblPr>
        <w:tblStyle w:val="TableGridLight"/>
        <w:tblW w:w="0" w:type="auto"/>
        <w:tblLook w:val="04A0" w:firstRow="1" w:lastRow="0" w:firstColumn="1" w:lastColumn="0" w:noHBand="0" w:noVBand="1"/>
      </w:tblPr>
      <w:tblGrid>
        <w:gridCol w:w="1418"/>
        <w:gridCol w:w="1984"/>
        <w:gridCol w:w="1843"/>
        <w:gridCol w:w="1843"/>
        <w:gridCol w:w="1972"/>
      </w:tblGrid>
      <w:tr w:rsidR="00AC414B" w14:paraId="73E77831" w14:textId="0EB280E8" w:rsidTr="36A95356">
        <w:tc>
          <w:tcPr>
            <w:tcW w:w="1418" w:type="dxa"/>
            <w:tcBorders>
              <w:top w:val="nil"/>
              <w:left w:val="nil"/>
            </w:tcBorders>
          </w:tcPr>
          <w:p w14:paraId="00807444" w14:textId="5E10CA82" w:rsidR="00AC414B" w:rsidRPr="00BA3E6E" w:rsidRDefault="00AC414B">
            <w:pPr>
              <w:rPr>
                <w:b/>
                <w:bCs/>
                <w:sz w:val="20"/>
              </w:rPr>
            </w:pPr>
          </w:p>
        </w:tc>
        <w:tc>
          <w:tcPr>
            <w:tcW w:w="3827" w:type="dxa"/>
            <w:gridSpan w:val="2"/>
          </w:tcPr>
          <w:p w14:paraId="1BADC190" w14:textId="72AB15C2" w:rsidR="00AC414B" w:rsidRPr="00BA3E6E" w:rsidRDefault="00090F65" w:rsidP="00AC414B">
            <w:pPr>
              <w:jc w:val="center"/>
            </w:pPr>
            <w:r w:rsidRPr="36A95356">
              <w:rPr>
                <w:b/>
                <w:bCs/>
                <w:sz w:val="20"/>
              </w:rPr>
              <w:t>Financial c</w:t>
            </w:r>
            <w:r w:rsidR="00D20580" w:rsidRPr="36A95356">
              <w:rPr>
                <w:b/>
                <w:bCs/>
                <w:sz w:val="20"/>
              </w:rPr>
              <w:t>ost</w:t>
            </w:r>
          </w:p>
        </w:tc>
        <w:tc>
          <w:tcPr>
            <w:tcW w:w="3815" w:type="dxa"/>
            <w:gridSpan w:val="2"/>
          </w:tcPr>
          <w:p w14:paraId="57EF93B6" w14:textId="58E54BD6" w:rsidR="00AC414B" w:rsidRPr="00AC414B" w:rsidRDefault="00090F65" w:rsidP="00AC414B">
            <w:pPr>
              <w:jc w:val="center"/>
            </w:pPr>
            <w:r w:rsidRPr="36A95356">
              <w:rPr>
                <w:b/>
                <w:bCs/>
                <w:sz w:val="20"/>
              </w:rPr>
              <w:t>Required time</w:t>
            </w:r>
            <w:r w:rsidR="244D4CC1" w:rsidRPr="36A95356">
              <w:rPr>
                <w:b/>
                <w:bCs/>
                <w:sz w:val="20"/>
              </w:rPr>
              <w:t xml:space="preserve"> in hours</w:t>
            </w:r>
          </w:p>
        </w:tc>
      </w:tr>
      <w:tr w:rsidR="00AC414B" w14:paraId="4C5938DE" w14:textId="77777777" w:rsidTr="36A95356">
        <w:tc>
          <w:tcPr>
            <w:tcW w:w="1418" w:type="dxa"/>
          </w:tcPr>
          <w:p w14:paraId="4B50352F" w14:textId="3A3D2185" w:rsidR="00AC414B" w:rsidRPr="00AC414B" w:rsidRDefault="00090F65" w:rsidP="00AC414B">
            <w:pPr>
              <w:rPr>
                <w:b/>
                <w:bCs/>
                <w:sz w:val="20"/>
              </w:rPr>
            </w:pPr>
            <w:r>
              <w:rPr>
                <w:b/>
                <w:bCs/>
                <w:sz w:val="20"/>
              </w:rPr>
              <w:t>Number of c</w:t>
            </w:r>
            <w:r w:rsidR="00AC414B" w:rsidRPr="00BA3E6E">
              <w:rPr>
                <w:b/>
                <w:bCs/>
                <w:sz w:val="20"/>
              </w:rPr>
              <w:t xml:space="preserve">ourses </w:t>
            </w:r>
          </w:p>
        </w:tc>
        <w:tc>
          <w:tcPr>
            <w:tcW w:w="1984" w:type="dxa"/>
          </w:tcPr>
          <w:p w14:paraId="5F1536FF" w14:textId="51D35B60" w:rsidR="00AC414B" w:rsidRPr="00AC414B" w:rsidRDefault="00AC414B" w:rsidP="00AC414B">
            <w:pPr>
              <w:rPr>
                <w:b/>
                <w:bCs/>
                <w:sz w:val="20"/>
              </w:rPr>
            </w:pPr>
            <w:r w:rsidRPr="00BA3E6E">
              <w:rPr>
                <w:b/>
                <w:bCs/>
                <w:sz w:val="20"/>
              </w:rPr>
              <w:t xml:space="preserve">Indicative RTO </w:t>
            </w:r>
            <w:r w:rsidR="00886049">
              <w:rPr>
                <w:b/>
                <w:sz w:val="20"/>
              </w:rPr>
              <w:br/>
            </w:r>
            <w:r w:rsidRPr="00BA3E6E">
              <w:rPr>
                <w:b/>
                <w:bCs/>
                <w:sz w:val="20"/>
              </w:rPr>
              <w:t>fee</w:t>
            </w:r>
          </w:p>
        </w:tc>
        <w:tc>
          <w:tcPr>
            <w:tcW w:w="1843" w:type="dxa"/>
          </w:tcPr>
          <w:p w14:paraId="4BEBB631" w14:textId="307C6354" w:rsidR="00AC414B" w:rsidRPr="00AC414B" w:rsidRDefault="00AC414B" w:rsidP="00AC414B">
            <w:pPr>
              <w:rPr>
                <w:b/>
                <w:bCs/>
                <w:sz w:val="20"/>
              </w:rPr>
            </w:pPr>
            <w:r w:rsidRPr="008A272D">
              <w:rPr>
                <w:b/>
                <w:sz w:val="20"/>
                <w:szCs w:val="18"/>
              </w:rPr>
              <w:t>Indicative university fee</w:t>
            </w:r>
          </w:p>
        </w:tc>
        <w:tc>
          <w:tcPr>
            <w:tcW w:w="1843" w:type="dxa"/>
          </w:tcPr>
          <w:p w14:paraId="2CB962AC" w14:textId="318071D4" w:rsidR="00AC414B" w:rsidRPr="00AC414B" w:rsidRDefault="00AC414B" w:rsidP="00AC414B">
            <w:pPr>
              <w:rPr>
                <w:b/>
                <w:bCs/>
                <w:sz w:val="20"/>
              </w:rPr>
            </w:pPr>
            <w:r w:rsidRPr="00BA3E6E">
              <w:rPr>
                <w:b/>
                <w:bCs/>
                <w:sz w:val="20"/>
              </w:rPr>
              <w:t>Indicative RTO</w:t>
            </w:r>
            <w:r>
              <w:rPr>
                <w:b/>
                <w:sz w:val="20"/>
              </w:rPr>
              <w:t xml:space="preserve"> </w:t>
            </w:r>
            <w:r w:rsidR="00886049">
              <w:rPr>
                <w:b/>
                <w:bCs/>
                <w:sz w:val="20"/>
              </w:rPr>
              <w:t>duration</w:t>
            </w:r>
          </w:p>
        </w:tc>
        <w:tc>
          <w:tcPr>
            <w:tcW w:w="1972" w:type="dxa"/>
          </w:tcPr>
          <w:p w14:paraId="5F0B3766" w14:textId="279B95AD" w:rsidR="00AC414B" w:rsidRPr="00AC414B" w:rsidRDefault="00AC414B" w:rsidP="00AC414B">
            <w:pPr>
              <w:rPr>
                <w:b/>
                <w:bCs/>
                <w:sz w:val="20"/>
              </w:rPr>
            </w:pPr>
            <w:r w:rsidRPr="00BA3E6E">
              <w:rPr>
                <w:b/>
                <w:bCs/>
                <w:sz w:val="20"/>
              </w:rPr>
              <w:t xml:space="preserve">Indicative university </w:t>
            </w:r>
            <w:r w:rsidR="00886049">
              <w:rPr>
                <w:b/>
                <w:bCs/>
                <w:sz w:val="20"/>
              </w:rPr>
              <w:t>duration</w:t>
            </w:r>
          </w:p>
        </w:tc>
      </w:tr>
      <w:tr w:rsidR="00AC414B" w14:paraId="6B0B2C12" w14:textId="7625484C" w:rsidTr="36A95356">
        <w:tc>
          <w:tcPr>
            <w:tcW w:w="1418" w:type="dxa"/>
          </w:tcPr>
          <w:p w14:paraId="11FAE990" w14:textId="77777777" w:rsidR="00AC414B" w:rsidRPr="00BA3E6E" w:rsidRDefault="00AC414B" w:rsidP="00AC414B">
            <w:pPr>
              <w:rPr>
                <w:sz w:val="20"/>
              </w:rPr>
            </w:pPr>
            <w:r w:rsidRPr="00BA3E6E">
              <w:rPr>
                <w:sz w:val="20"/>
              </w:rPr>
              <w:t>8</w:t>
            </w:r>
          </w:p>
        </w:tc>
        <w:tc>
          <w:tcPr>
            <w:tcW w:w="1984" w:type="dxa"/>
          </w:tcPr>
          <w:p w14:paraId="61DEF33B" w14:textId="16C9E884" w:rsidR="00AC414B" w:rsidRPr="00BA3E6E" w:rsidRDefault="00AC414B" w:rsidP="00AC414B">
            <w:pPr>
              <w:rPr>
                <w:sz w:val="20"/>
              </w:rPr>
            </w:pPr>
            <w:r w:rsidRPr="00BA3E6E">
              <w:rPr>
                <w:sz w:val="20"/>
              </w:rPr>
              <w:t>$20</w:t>
            </w:r>
            <w:r w:rsidR="00862963">
              <w:rPr>
                <w:sz w:val="20"/>
              </w:rPr>
              <w:t xml:space="preserve"> </w:t>
            </w:r>
            <w:r w:rsidRPr="00BA3E6E">
              <w:rPr>
                <w:sz w:val="20"/>
              </w:rPr>
              <w:t>000</w:t>
            </w:r>
          </w:p>
        </w:tc>
        <w:tc>
          <w:tcPr>
            <w:tcW w:w="1843" w:type="dxa"/>
          </w:tcPr>
          <w:p w14:paraId="412607EF" w14:textId="5AE9BB2F" w:rsidR="00AC414B" w:rsidRPr="00BA3E6E" w:rsidRDefault="00AC414B" w:rsidP="00AC414B">
            <w:pPr>
              <w:rPr>
                <w:sz w:val="20"/>
              </w:rPr>
            </w:pPr>
            <w:r w:rsidRPr="00BA3E6E">
              <w:rPr>
                <w:sz w:val="20"/>
              </w:rPr>
              <w:t>$28</w:t>
            </w:r>
            <w:r w:rsidR="00604A77">
              <w:rPr>
                <w:sz w:val="20"/>
              </w:rPr>
              <w:t xml:space="preserve"> </w:t>
            </w:r>
            <w:r w:rsidRPr="00BA3E6E">
              <w:rPr>
                <w:sz w:val="20"/>
              </w:rPr>
              <w:t>000</w:t>
            </w:r>
          </w:p>
        </w:tc>
        <w:tc>
          <w:tcPr>
            <w:tcW w:w="1843" w:type="dxa"/>
          </w:tcPr>
          <w:p w14:paraId="0F538DB0" w14:textId="75C37B82" w:rsidR="00AC414B" w:rsidRPr="00AC414B" w:rsidRDefault="00D20580" w:rsidP="00AC414B">
            <w:pPr>
              <w:rPr>
                <w:sz w:val="20"/>
              </w:rPr>
            </w:pPr>
            <w:r w:rsidRPr="0034762C">
              <w:rPr>
                <w:sz w:val="20"/>
              </w:rPr>
              <w:t>960</w:t>
            </w:r>
          </w:p>
        </w:tc>
        <w:tc>
          <w:tcPr>
            <w:tcW w:w="1972" w:type="dxa"/>
          </w:tcPr>
          <w:p w14:paraId="136F5901" w14:textId="53BEF2DC" w:rsidR="00AC414B" w:rsidRPr="00AC414B" w:rsidRDefault="00D20580" w:rsidP="00AC414B">
            <w:pPr>
              <w:rPr>
                <w:sz w:val="20"/>
              </w:rPr>
            </w:pPr>
            <w:r w:rsidRPr="0034762C">
              <w:rPr>
                <w:sz w:val="20"/>
              </w:rPr>
              <w:t>1</w:t>
            </w:r>
            <w:r w:rsidR="0034762C" w:rsidRPr="0034762C">
              <w:rPr>
                <w:sz w:val="20"/>
              </w:rPr>
              <w:t xml:space="preserve"> </w:t>
            </w:r>
            <w:r w:rsidRPr="0034762C">
              <w:rPr>
                <w:sz w:val="20"/>
              </w:rPr>
              <w:t>200</w:t>
            </w:r>
          </w:p>
        </w:tc>
      </w:tr>
      <w:tr w:rsidR="00AC414B" w14:paraId="0D73A90A" w14:textId="487F2BBC" w:rsidTr="36A95356">
        <w:tc>
          <w:tcPr>
            <w:tcW w:w="1418" w:type="dxa"/>
          </w:tcPr>
          <w:p w14:paraId="26A69CFC" w14:textId="77777777" w:rsidR="00AC414B" w:rsidRPr="00BA3E6E" w:rsidRDefault="00AC414B" w:rsidP="00AC414B">
            <w:pPr>
              <w:rPr>
                <w:sz w:val="20"/>
              </w:rPr>
            </w:pPr>
            <w:r w:rsidRPr="00BA3E6E">
              <w:rPr>
                <w:sz w:val="20"/>
              </w:rPr>
              <w:t>7</w:t>
            </w:r>
          </w:p>
        </w:tc>
        <w:tc>
          <w:tcPr>
            <w:tcW w:w="1984" w:type="dxa"/>
          </w:tcPr>
          <w:p w14:paraId="60E13F7E" w14:textId="5F77B444" w:rsidR="00AC414B" w:rsidRPr="00BA3E6E" w:rsidRDefault="00AC414B" w:rsidP="00AC414B">
            <w:pPr>
              <w:rPr>
                <w:sz w:val="20"/>
              </w:rPr>
            </w:pPr>
            <w:r w:rsidRPr="00BA3E6E">
              <w:rPr>
                <w:sz w:val="20"/>
              </w:rPr>
              <w:t>$17</w:t>
            </w:r>
            <w:r w:rsidR="00862963">
              <w:rPr>
                <w:sz w:val="20"/>
              </w:rPr>
              <w:t xml:space="preserve"> </w:t>
            </w:r>
            <w:r w:rsidRPr="00BA3E6E">
              <w:rPr>
                <w:sz w:val="20"/>
              </w:rPr>
              <w:t>500</w:t>
            </w:r>
          </w:p>
        </w:tc>
        <w:tc>
          <w:tcPr>
            <w:tcW w:w="1843" w:type="dxa"/>
          </w:tcPr>
          <w:p w14:paraId="3C4DBDB5" w14:textId="0E4B8673" w:rsidR="00AC414B" w:rsidRPr="00BA3E6E" w:rsidRDefault="00AC414B" w:rsidP="00AC414B">
            <w:pPr>
              <w:rPr>
                <w:sz w:val="20"/>
              </w:rPr>
            </w:pPr>
            <w:r w:rsidRPr="00BA3E6E">
              <w:rPr>
                <w:sz w:val="20"/>
              </w:rPr>
              <w:t>$24</w:t>
            </w:r>
            <w:r w:rsidR="00604A77">
              <w:rPr>
                <w:sz w:val="20"/>
              </w:rPr>
              <w:t xml:space="preserve"> </w:t>
            </w:r>
            <w:r w:rsidRPr="00BA3E6E">
              <w:rPr>
                <w:sz w:val="20"/>
              </w:rPr>
              <w:t>500</w:t>
            </w:r>
          </w:p>
        </w:tc>
        <w:tc>
          <w:tcPr>
            <w:tcW w:w="1843" w:type="dxa"/>
          </w:tcPr>
          <w:p w14:paraId="51BDAD3A" w14:textId="56C120E9" w:rsidR="00AC414B" w:rsidRPr="00AC414B" w:rsidRDefault="00D20580" w:rsidP="00AC414B">
            <w:pPr>
              <w:rPr>
                <w:sz w:val="20"/>
              </w:rPr>
            </w:pPr>
            <w:r w:rsidRPr="0034762C">
              <w:rPr>
                <w:sz w:val="20"/>
              </w:rPr>
              <w:t>840</w:t>
            </w:r>
          </w:p>
        </w:tc>
        <w:tc>
          <w:tcPr>
            <w:tcW w:w="1972" w:type="dxa"/>
          </w:tcPr>
          <w:p w14:paraId="74AB736B" w14:textId="027192EB" w:rsidR="00AC414B" w:rsidRPr="00AC414B" w:rsidRDefault="00D20580" w:rsidP="00AC414B">
            <w:pPr>
              <w:rPr>
                <w:sz w:val="20"/>
              </w:rPr>
            </w:pPr>
            <w:r w:rsidRPr="0034762C">
              <w:rPr>
                <w:sz w:val="20"/>
              </w:rPr>
              <w:t>1</w:t>
            </w:r>
            <w:r w:rsidR="0034762C" w:rsidRPr="0034762C">
              <w:rPr>
                <w:sz w:val="20"/>
              </w:rPr>
              <w:t xml:space="preserve"> </w:t>
            </w:r>
            <w:r w:rsidRPr="0034762C">
              <w:rPr>
                <w:sz w:val="20"/>
              </w:rPr>
              <w:t>050</w:t>
            </w:r>
          </w:p>
        </w:tc>
      </w:tr>
      <w:tr w:rsidR="00AC414B" w14:paraId="3B2F8E87" w14:textId="7356F111" w:rsidTr="36A95356">
        <w:tc>
          <w:tcPr>
            <w:tcW w:w="1418" w:type="dxa"/>
          </w:tcPr>
          <w:p w14:paraId="2928A7C5" w14:textId="77777777" w:rsidR="00AC414B" w:rsidRPr="00BA3E6E" w:rsidRDefault="00AC414B" w:rsidP="00AC414B">
            <w:pPr>
              <w:rPr>
                <w:sz w:val="20"/>
              </w:rPr>
            </w:pPr>
            <w:r w:rsidRPr="00BA3E6E">
              <w:rPr>
                <w:sz w:val="20"/>
              </w:rPr>
              <w:t>6</w:t>
            </w:r>
          </w:p>
        </w:tc>
        <w:tc>
          <w:tcPr>
            <w:tcW w:w="1984" w:type="dxa"/>
          </w:tcPr>
          <w:p w14:paraId="17B900D1" w14:textId="5A1DEA21" w:rsidR="00AC414B" w:rsidRPr="00BA3E6E" w:rsidRDefault="00AC414B" w:rsidP="00AC414B">
            <w:pPr>
              <w:rPr>
                <w:sz w:val="20"/>
              </w:rPr>
            </w:pPr>
            <w:r w:rsidRPr="00BA3E6E">
              <w:rPr>
                <w:sz w:val="20"/>
              </w:rPr>
              <w:t>$15</w:t>
            </w:r>
            <w:r w:rsidR="00862963">
              <w:rPr>
                <w:sz w:val="20"/>
              </w:rPr>
              <w:t xml:space="preserve"> </w:t>
            </w:r>
            <w:r w:rsidRPr="00BA3E6E">
              <w:rPr>
                <w:sz w:val="20"/>
              </w:rPr>
              <w:t>000</w:t>
            </w:r>
          </w:p>
        </w:tc>
        <w:tc>
          <w:tcPr>
            <w:tcW w:w="1843" w:type="dxa"/>
          </w:tcPr>
          <w:p w14:paraId="2F611A02" w14:textId="48ABED00" w:rsidR="00AC414B" w:rsidRPr="00BA3E6E" w:rsidRDefault="00AC414B" w:rsidP="00AC414B">
            <w:pPr>
              <w:rPr>
                <w:sz w:val="20"/>
              </w:rPr>
            </w:pPr>
            <w:r w:rsidRPr="00BA3E6E">
              <w:rPr>
                <w:sz w:val="20"/>
              </w:rPr>
              <w:t>$21</w:t>
            </w:r>
            <w:r w:rsidR="00604A77">
              <w:rPr>
                <w:sz w:val="20"/>
              </w:rPr>
              <w:t xml:space="preserve"> </w:t>
            </w:r>
            <w:r w:rsidRPr="00BA3E6E">
              <w:rPr>
                <w:sz w:val="20"/>
              </w:rPr>
              <w:t>000</w:t>
            </w:r>
          </w:p>
        </w:tc>
        <w:tc>
          <w:tcPr>
            <w:tcW w:w="1843" w:type="dxa"/>
          </w:tcPr>
          <w:p w14:paraId="696B0E10" w14:textId="24D0DADA" w:rsidR="00AC414B" w:rsidRPr="00AC414B" w:rsidRDefault="00D20580" w:rsidP="00AC414B">
            <w:pPr>
              <w:rPr>
                <w:sz w:val="20"/>
              </w:rPr>
            </w:pPr>
            <w:r w:rsidRPr="0034762C">
              <w:rPr>
                <w:sz w:val="20"/>
              </w:rPr>
              <w:t>720</w:t>
            </w:r>
          </w:p>
        </w:tc>
        <w:tc>
          <w:tcPr>
            <w:tcW w:w="1972" w:type="dxa"/>
          </w:tcPr>
          <w:p w14:paraId="4B076370" w14:textId="7B689457" w:rsidR="00AC414B" w:rsidRPr="00AC414B" w:rsidRDefault="00D20580" w:rsidP="00AC414B">
            <w:pPr>
              <w:rPr>
                <w:sz w:val="20"/>
              </w:rPr>
            </w:pPr>
            <w:r w:rsidRPr="0034762C">
              <w:rPr>
                <w:sz w:val="20"/>
              </w:rPr>
              <w:t>900</w:t>
            </w:r>
          </w:p>
        </w:tc>
      </w:tr>
      <w:tr w:rsidR="00AC414B" w14:paraId="130178A2" w14:textId="53BB053F" w:rsidTr="36A95356">
        <w:tc>
          <w:tcPr>
            <w:tcW w:w="1418" w:type="dxa"/>
          </w:tcPr>
          <w:p w14:paraId="2A7B95AE" w14:textId="77777777" w:rsidR="00AC414B" w:rsidRPr="00090F65" w:rsidRDefault="00AC414B" w:rsidP="00AC414B">
            <w:pPr>
              <w:rPr>
                <w:sz w:val="20"/>
              </w:rPr>
            </w:pPr>
            <w:r w:rsidRPr="00090F65">
              <w:rPr>
                <w:sz w:val="20"/>
              </w:rPr>
              <w:t>5</w:t>
            </w:r>
          </w:p>
        </w:tc>
        <w:tc>
          <w:tcPr>
            <w:tcW w:w="1984" w:type="dxa"/>
          </w:tcPr>
          <w:p w14:paraId="6229F65F" w14:textId="06AFF0E5" w:rsidR="00AC414B" w:rsidRPr="00090F65" w:rsidRDefault="00AC414B" w:rsidP="00AC414B">
            <w:pPr>
              <w:rPr>
                <w:sz w:val="20"/>
              </w:rPr>
            </w:pPr>
            <w:r w:rsidRPr="00090F65">
              <w:rPr>
                <w:sz w:val="20"/>
              </w:rPr>
              <w:t>$12</w:t>
            </w:r>
            <w:r w:rsidR="00862963">
              <w:rPr>
                <w:sz w:val="20"/>
              </w:rPr>
              <w:t xml:space="preserve"> </w:t>
            </w:r>
            <w:r w:rsidRPr="00090F65">
              <w:rPr>
                <w:sz w:val="20"/>
              </w:rPr>
              <w:t>500</w:t>
            </w:r>
          </w:p>
        </w:tc>
        <w:tc>
          <w:tcPr>
            <w:tcW w:w="1843" w:type="dxa"/>
          </w:tcPr>
          <w:p w14:paraId="7EDD8342" w14:textId="26B93724" w:rsidR="00AC414B" w:rsidRPr="00090F65" w:rsidRDefault="00AC414B" w:rsidP="00AC414B">
            <w:pPr>
              <w:rPr>
                <w:sz w:val="20"/>
              </w:rPr>
            </w:pPr>
            <w:r w:rsidRPr="00090F65">
              <w:rPr>
                <w:sz w:val="20"/>
              </w:rPr>
              <w:t>$17</w:t>
            </w:r>
            <w:r w:rsidR="00604A77">
              <w:rPr>
                <w:sz w:val="20"/>
              </w:rPr>
              <w:t xml:space="preserve"> </w:t>
            </w:r>
            <w:r w:rsidRPr="00090F65">
              <w:rPr>
                <w:sz w:val="20"/>
              </w:rPr>
              <w:t>500</w:t>
            </w:r>
          </w:p>
        </w:tc>
        <w:tc>
          <w:tcPr>
            <w:tcW w:w="1843" w:type="dxa"/>
          </w:tcPr>
          <w:p w14:paraId="48C518CE" w14:textId="760FC1D1" w:rsidR="00AC414B" w:rsidRPr="00AC414B" w:rsidRDefault="00D20580" w:rsidP="00AC414B">
            <w:pPr>
              <w:rPr>
                <w:sz w:val="20"/>
              </w:rPr>
            </w:pPr>
            <w:r w:rsidRPr="0034762C">
              <w:rPr>
                <w:sz w:val="20"/>
              </w:rPr>
              <w:t>600</w:t>
            </w:r>
          </w:p>
        </w:tc>
        <w:tc>
          <w:tcPr>
            <w:tcW w:w="1972" w:type="dxa"/>
          </w:tcPr>
          <w:p w14:paraId="4C556549" w14:textId="558B64A3" w:rsidR="00AC414B" w:rsidRPr="00AC414B" w:rsidRDefault="00D20580" w:rsidP="00AC414B">
            <w:pPr>
              <w:rPr>
                <w:sz w:val="20"/>
              </w:rPr>
            </w:pPr>
            <w:r w:rsidRPr="0034762C">
              <w:rPr>
                <w:sz w:val="20"/>
              </w:rPr>
              <w:t>750</w:t>
            </w:r>
          </w:p>
        </w:tc>
      </w:tr>
      <w:tr w:rsidR="00AC414B" w14:paraId="2BC916EA" w14:textId="1926F82A" w:rsidTr="36A95356">
        <w:tc>
          <w:tcPr>
            <w:tcW w:w="1418" w:type="dxa"/>
          </w:tcPr>
          <w:p w14:paraId="3A7DA9DB" w14:textId="77777777" w:rsidR="00AC414B" w:rsidRPr="00090F65" w:rsidRDefault="00AC414B" w:rsidP="00AC414B">
            <w:pPr>
              <w:rPr>
                <w:sz w:val="20"/>
              </w:rPr>
            </w:pPr>
            <w:r w:rsidRPr="00090F65">
              <w:rPr>
                <w:sz w:val="20"/>
              </w:rPr>
              <w:t>4</w:t>
            </w:r>
          </w:p>
        </w:tc>
        <w:tc>
          <w:tcPr>
            <w:tcW w:w="1984" w:type="dxa"/>
          </w:tcPr>
          <w:p w14:paraId="01EA0995" w14:textId="2A853187" w:rsidR="00AC414B" w:rsidRPr="00090F65" w:rsidRDefault="00AC414B" w:rsidP="00AC414B">
            <w:pPr>
              <w:rPr>
                <w:sz w:val="20"/>
              </w:rPr>
            </w:pPr>
            <w:r w:rsidRPr="00090F65">
              <w:rPr>
                <w:sz w:val="20"/>
              </w:rPr>
              <w:t>$10</w:t>
            </w:r>
            <w:r w:rsidR="00862963">
              <w:rPr>
                <w:sz w:val="20"/>
              </w:rPr>
              <w:t xml:space="preserve"> </w:t>
            </w:r>
            <w:r w:rsidRPr="00090F65">
              <w:rPr>
                <w:sz w:val="20"/>
              </w:rPr>
              <w:t>000</w:t>
            </w:r>
          </w:p>
        </w:tc>
        <w:tc>
          <w:tcPr>
            <w:tcW w:w="1843" w:type="dxa"/>
          </w:tcPr>
          <w:p w14:paraId="0A7E5680" w14:textId="52C9CC87" w:rsidR="00AC414B" w:rsidRPr="00090F65" w:rsidRDefault="00AC414B" w:rsidP="00AC414B">
            <w:pPr>
              <w:rPr>
                <w:sz w:val="20"/>
              </w:rPr>
            </w:pPr>
            <w:r w:rsidRPr="00090F65">
              <w:rPr>
                <w:sz w:val="20"/>
              </w:rPr>
              <w:t>$14</w:t>
            </w:r>
            <w:r w:rsidR="00604A77">
              <w:rPr>
                <w:sz w:val="20"/>
              </w:rPr>
              <w:t xml:space="preserve"> </w:t>
            </w:r>
            <w:r w:rsidRPr="00090F65">
              <w:rPr>
                <w:sz w:val="20"/>
              </w:rPr>
              <w:t>000</w:t>
            </w:r>
          </w:p>
        </w:tc>
        <w:tc>
          <w:tcPr>
            <w:tcW w:w="1843" w:type="dxa"/>
          </w:tcPr>
          <w:p w14:paraId="070B1DDB" w14:textId="5FA0A8D7" w:rsidR="00AC414B" w:rsidRPr="00AC414B" w:rsidRDefault="00D20580" w:rsidP="00AC414B">
            <w:pPr>
              <w:rPr>
                <w:sz w:val="20"/>
              </w:rPr>
            </w:pPr>
            <w:r w:rsidRPr="0034762C">
              <w:rPr>
                <w:sz w:val="20"/>
              </w:rPr>
              <w:t>480</w:t>
            </w:r>
          </w:p>
        </w:tc>
        <w:tc>
          <w:tcPr>
            <w:tcW w:w="1972" w:type="dxa"/>
          </w:tcPr>
          <w:p w14:paraId="50850FAF" w14:textId="317A21F7" w:rsidR="00AC414B" w:rsidRPr="00AC414B" w:rsidRDefault="00D20580" w:rsidP="00AC414B">
            <w:pPr>
              <w:rPr>
                <w:sz w:val="20"/>
              </w:rPr>
            </w:pPr>
            <w:r w:rsidRPr="008A272D">
              <w:rPr>
                <w:sz w:val="20"/>
              </w:rPr>
              <w:t>600</w:t>
            </w:r>
          </w:p>
        </w:tc>
      </w:tr>
      <w:tr w:rsidR="00AC414B" w14:paraId="478135AD" w14:textId="21B76E3D" w:rsidTr="36A95356">
        <w:tc>
          <w:tcPr>
            <w:tcW w:w="1418" w:type="dxa"/>
          </w:tcPr>
          <w:p w14:paraId="5C80D222" w14:textId="77777777" w:rsidR="00AC414B" w:rsidRPr="00090F65" w:rsidRDefault="00AC414B" w:rsidP="00AC414B">
            <w:pPr>
              <w:rPr>
                <w:sz w:val="20"/>
              </w:rPr>
            </w:pPr>
            <w:r w:rsidRPr="00090F65">
              <w:rPr>
                <w:sz w:val="20"/>
              </w:rPr>
              <w:t>3</w:t>
            </w:r>
          </w:p>
        </w:tc>
        <w:tc>
          <w:tcPr>
            <w:tcW w:w="1984" w:type="dxa"/>
          </w:tcPr>
          <w:p w14:paraId="550A49B7" w14:textId="22B831A2" w:rsidR="00AC414B" w:rsidRPr="00090F65" w:rsidRDefault="00AC414B" w:rsidP="00AC414B">
            <w:pPr>
              <w:rPr>
                <w:sz w:val="20"/>
              </w:rPr>
            </w:pPr>
            <w:r w:rsidRPr="00090F65">
              <w:rPr>
                <w:sz w:val="20"/>
              </w:rPr>
              <w:t>$7</w:t>
            </w:r>
            <w:r w:rsidR="00862963">
              <w:rPr>
                <w:sz w:val="20"/>
              </w:rPr>
              <w:t xml:space="preserve"> </w:t>
            </w:r>
            <w:r w:rsidRPr="00090F65">
              <w:rPr>
                <w:sz w:val="20"/>
              </w:rPr>
              <w:t>500</w:t>
            </w:r>
          </w:p>
        </w:tc>
        <w:tc>
          <w:tcPr>
            <w:tcW w:w="1843" w:type="dxa"/>
          </w:tcPr>
          <w:p w14:paraId="06BACE18" w14:textId="0F54DE7C" w:rsidR="00AC414B" w:rsidRPr="00090F65" w:rsidRDefault="00AC414B" w:rsidP="00AC414B">
            <w:pPr>
              <w:rPr>
                <w:sz w:val="20"/>
              </w:rPr>
            </w:pPr>
            <w:r w:rsidRPr="00090F65">
              <w:rPr>
                <w:sz w:val="20"/>
              </w:rPr>
              <w:t>$10</w:t>
            </w:r>
            <w:r w:rsidR="00604A77">
              <w:rPr>
                <w:sz w:val="20"/>
              </w:rPr>
              <w:t xml:space="preserve"> </w:t>
            </w:r>
            <w:r w:rsidRPr="00090F65">
              <w:rPr>
                <w:sz w:val="20"/>
              </w:rPr>
              <w:t>500</w:t>
            </w:r>
          </w:p>
        </w:tc>
        <w:tc>
          <w:tcPr>
            <w:tcW w:w="1843" w:type="dxa"/>
          </w:tcPr>
          <w:p w14:paraId="150CE52B" w14:textId="3575BCC0" w:rsidR="00AC414B" w:rsidRPr="00AC414B" w:rsidRDefault="00D20580" w:rsidP="00AC414B">
            <w:pPr>
              <w:rPr>
                <w:sz w:val="20"/>
              </w:rPr>
            </w:pPr>
            <w:r w:rsidRPr="0034762C">
              <w:rPr>
                <w:sz w:val="20"/>
              </w:rPr>
              <w:t>360</w:t>
            </w:r>
          </w:p>
        </w:tc>
        <w:tc>
          <w:tcPr>
            <w:tcW w:w="1972" w:type="dxa"/>
          </w:tcPr>
          <w:p w14:paraId="2AC04F48" w14:textId="00D6D830" w:rsidR="00AC414B" w:rsidRPr="00AC414B" w:rsidRDefault="00D20580" w:rsidP="00AC414B">
            <w:pPr>
              <w:rPr>
                <w:sz w:val="20"/>
              </w:rPr>
            </w:pPr>
            <w:r w:rsidRPr="0034762C">
              <w:rPr>
                <w:sz w:val="20"/>
              </w:rPr>
              <w:t>450</w:t>
            </w:r>
          </w:p>
        </w:tc>
      </w:tr>
      <w:tr w:rsidR="00AC414B" w14:paraId="401E1375" w14:textId="65ACEFA2" w:rsidTr="36A95356">
        <w:tc>
          <w:tcPr>
            <w:tcW w:w="1418" w:type="dxa"/>
          </w:tcPr>
          <w:p w14:paraId="42F50836" w14:textId="77777777" w:rsidR="00AC414B" w:rsidRPr="00090F65" w:rsidRDefault="00AC414B" w:rsidP="00AC414B">
            <w:pPr>
              <w:rPr>
                <w:sz w:val="20"/>
              </w:rPr>
            </w:pPr>
            <w:r w:rsidRPr="00090F65">
              <w:rPr>
                <w:sz w:val="20"/>
              </w:rPr>
              <w:t>2</w:t>
            </w:r>
          </w:p>
        </w:tc>
        <w:tc>
          <w:tcPr>
            <w:tcW w:w="1984" w:type="dxa"/>
          </w:tcPr>
          <w:p w14:paraId="4D48DBB4" w14:textId="45E7EB3A" w:rsidR="00AC414B" w:rsidRPr="00090F65" w:rsidRDefault="00AC414B" w:rsidP="00AC414B">
            <w:pPr>
              <w:rPr>
                <w:sz w:val="20"/>
              </w:rPr>
            </w:pPr>
            <w:r w:rsidRPr="00090F65">
              <w:rPr>
                <w:sz w:val="20"/>
              </w:rPr>
              <w:t>$5</w:t>
            </w:r>
            <w:r w:rsidR="00862963">
              <w:rPr>
                <w:sz w:val="20"/>
              </w:rPr>
              <w:t xml:space="preserve"> </w:t>
            </w:r>
            <w:r w:rsidRPr="00090F65">
              <w:rPr>
                <w:sz w:val="20"/>
              </w:rPr>
              <w:t>000</w:t>
            </w:r>
          </w:p>
        </w:tc>
        <w:tc>
          <w:tcPr>
            <w:tcW w:w="1843" w:type="dxa"/>
          </w:tcPr>
          <w:p w14:paraId="7F216B4B" w14:textId="6D37E20A" w:rsidR="00AC414B" w:rsidRPr="00090F65" w:rsidRDefault="00AC414B" w:rsidP="00AC414B">
            <w:pPr>
              <w:rPr>
                <w:sz w:val="20"/>
              </w:rPr>
            </w:pPr>
            <w:r w:rsidRPr="00090F65">
              <w:rPr>
                <w:sz w:val="20"/>
              </w:rPr>
              <w:t>$7</w:t>
            </w:r>
            <w:r w:rsidR="00862963">
              <w:rPr>
                <w:sz w:val="20"/>
              </w:rPr>
              <w:t xml:space="preserve"> </w:t>
            </w:r>
            <w:r w:rsidRPr="00090F65">
              <w:rPr>
                <w:sz w:val="20"/>
              </w:rPr>
              <w:t>000</w:t>
            </w:r>
          </w:p>
        </w:tc>
        <w:tc>
          <w:tcPr>
            <w:tcW w:w="1843" w:type="dxa"/>
          </w:tcPr>
          <w:p w14:paraId="3672199B" w14:textId="4D305306" w:rsidR="00AC414B" w:rsidRPr="00AC414B" w:rsidRDefault="00D20580" w:rsidP="00AC414B">
            <w:pPr>
              <w:rPr>
                <w:sz w:val="20"/>
              </w:rPr>
            </w:pPr>
            <w:r w:rsidRPr="0034762C">
              <w:rPr>
                <w:sz w:val="20"/>
              </w:rPr>
              <w:t>240</w:t>
            </w:r>
          </w:p>
        </w:tc>
        <w:tc>
          <w:tcPr>
            <w:tcW w:w="1972" w:type="dxa"/>
          </w:tcPr>
          <w:p w14:paraId="524D1D88" w14:textId="51EDDFC0" w:rsidR="00AC414B" w:rsidRPr="00AC414B" w:rsidRDefault="00D20580" w:rsidP="00AC414B">
            <w:pPr>
              <w:rPr>
                <w:sz w:val="20"/>
              </w:rPr>
            </w:pPr>
            <w:r w:rsidRPr="0034762C">
              <w:rPr>
                <w:sz w:val="20"/>
              </w:rPr>
              <w:t>300</w:t>
            </w:r>
          </w:p>
        </w:tc>
      </w:tr>
      <w:tr w:rsidR="00AC414B" w14:paraId="0E232983" w14:textId="6CF22A10" w:rsidTr="36A95356">
        <w:tc>
          <w:tcPr>
            <w:tcW w:w="1418" w:type="dxa"/>
          </w:tcPr>
          <w:p w14:paraId="5CDD490B" w14:textId="77777777" w:rsidR="00AC414B" w:rsidRPr="00090F65" w:rsidRDefault="00AC414B" w:rsidP="00AC414B">
            <w:pPr>
              <w:rPr>
                <w:sz w:val="20"/>
              </w:rPr>
            </w:pPr>
            <w:r w:rsidRPr="00090F65">
              <w:rPr>
                <w:sz w:val="20"/>
              </w:rPr>
              <w:t>1</w:t>
            </w:r>
          </w:p>
        </w:tc>
        <w:tc>
          <w:tcPr>
            <w:tcW w:w="1984" w:type="dxa"/>
          </w:tcPr>
          <w:p w14:paraId="30480729" w14:textId="13E78EE6" w:rsidR="00AC414B" w:rsidRPr="00090F65" w:rsidRDefault="00AC414B" w:rsidP="00AC414B">
            <w:pPr>
              <w:rPr>
                <w:sz w:val="20"/>
              </w:rPr>
            </w:pPr>
            <w:r w:rsidRPr="00090F65">
              <w:rPr>
                <w:sz w:val="20"/>
              </w:rPr>
              <w:t>$2</w:t>
            </w:r>
            <w:r w:rsidR="00862963">
              <w:rPr>
                <w:sz w:val="20"/>
              </w:rPr>
              <w:t xml:space="preserve"> </w:t>
            </w:r>
            <w:r w:rsidRPr="00090F65">
              <w:rPr>
                <w:sz w:val="20"/>
              </w:rPr>
              <w:t>500</w:t>
            </w:r>
          </w:p>
        </w:tc>
        <w:tc>
          <w:tcPr>
            <w:tcW w:w="1843" w:type="dxa"/>
          </w:tcPr>
          <w:p w14:paraId="56477367" w14:textId="3561CB5F" w:rsidR="00AC414B" w:rsidRPr="00090F65" w:rsidRDefault="00AC414B" w:rsidP="00AC414B">
            <w:pPr>
              <w:rPr>
                <w:sz w:val="20"/>
              </w:rPr>
            </w:pPr>
            <w:r w:rsidRPr="00090F65">
              <w:rPr>
                <w:sz w:val="20"/>
              </w:rPr>
              <w:t>$3</w:t>
            </w:r>
            <w:r w:rsidR="00862963">
              <w:rPr>
                <w:sz w:val="20"/>
              </w:rPr>
              <w:t xml:space="preserve"> </w:t>
            </w:r>
            <w:r w:rsidRPr="00090F65">
              <w:rPr>
                <w:sz w:val="20"/>
              </w:rPr>
              <w:t>500</w:t>
            </w:r>
          </w:p>
        </w:tc>
        <w:tc>
          <w:tcPr>
            <w:tcW w:w="1843" w:type="dxa"/>
          </w:tcPr>
          <w:p w14:paraId="21448A45" w14:textId="2DADB480" w:rsidR="00AC414B" w:rsidRPr="00AC414B" w:rsidRDefault="00D20580" w:rsidP="00AC414B">
            <w:pPr>
              <w:rPr>
                <w:sz w:val="20"/>
              </w:rPr>
            </w:pPr>
            <w:r w:rsidRPr="0034762C">
              <w:rPr>
                <w:sz w:val="20"/>
              </w:rPr>
              <w:t>120</w:t>
            </w:r>
          </w:p>
        </w:tc>
        <w:tc>
          <w:tcPr>
            <w:tcW w:w="1972" w:type="dxa"/>
          </w:tcPr>
          <w:p w14:paraId="5D79469E" w14:textId="7BF24D9D" w:rsidR="00AC414B" w:rsidRPr="00AC414B" w:rsidRDefault="00D20580" w:rsidP="00AC414B">
            <w:pPr>
              <w:rPr>
                <w:sz w:val="20"/>
              </w:rPr>
            </w:pPr>
            <w:r w:rsidRPr="0034762C">
              <w:rPr>
                <w:sz w:val="20"/>
              </w:rPr>
              <w:t>150</w:t>
            </w:r>
          </w:p>
        </w:tc>
      </w:tr>
    </w:tbl>
    <w:p w14:paraId="6B8B229C" w14:textId="50F390BD" w:rsidR="00CD2073" w:rsidRDefault="00CD2073" w:rsidP="006D029B">
      <w:r>
        <w:t xml:space="preserve">To consider the impact of the election commitment on advisers we use the status quo as the </w:t>
      </w:r>
      <w:r w:rsidR="00CA6C35">
        <w:t xml:space="preserve">baseline and consider the impact against the identified cohorts who would be affected. </w:t>
      </w:r>
    </w:p>
    <w:p w14:paraId="50DE4147" w14:textId="0A051912" w:rsidR="00CA6C35" w:rsidRPr="006D029B" w:rsidRDefault="00CA6C35" w:rsidP="006D029B">
      <w:r>
        <w:t xml:space="preserve">As set out above, </w:t>
      </w:r>
      <w:r w:rsidR="00F5575C">
        <w:t xml:space="preserve">cohort 2 </w:t>
      </w:r>
      <w:r w:rsidR="001831ED">
        <w:t xml:space="preserve">represents those advisers who </w:t>
      </w:r>
      <w:r w:rsidR="00403AA8">
        <w:t xml:space="preserve">are </w:t>
      </w:r>
      <w:r w:rsidR="001831ED">
        <w:t xml:space="preserve">eligible for the election commitment </w:t>
      </w:r>
      <w:r w:rsidR="00466F39">
        <w:t>and</w:t>
      </w:r>
      <w:r w:rsidR="001831ED">
        <w:t xml:space="preserve"> who had indicated that they were not going to undertake any other study and would therefore have to leave the industry </w:t>
      </w:r>
      <w:r w:rsidR="00B33DD3">
        <w:t>b</w:t>
      </w:r>
      <w:r w:rsidR="00466F39">
        <w:t xml:space="preserve">y 1 January 2026. </w:t>
      </w:r>
      <w:r w:rsidR="00E54DDD">
        <w:t xml:space="preserve">Given the intention to leave, </w:t>
      </w:r>
      <w:r w:rsidR="00525F82">
        <w:t xml:space="preserve">it could be </w:t>
      </w:r>
      <w:r w:rsidR="00E54DDD">
        <w:t>assume</w:t>
      </w:r>
      <w:r w:rsidR="00525F82">
        <w:t>d</w:t>
      </w:r>
      <w:r w:rsidR="00E54DDD">
        <w:t xml:space="preserve"> that the benefit of continuing to work in the industry was considered less than the cost</w:t>
      </w:r>
      <w:r w:rsidR="00525F82">
        <w:t xml:space="preserve"> (up to $20</w:t>
      </w:r>
      <w:r w:rsidR="006A6BCD">
        <w:t xml:space="preserve"> </w:t>
      </w:r>
      <w:r w:rsidR="00525F82">
        <w:t xml:space="preserve">000 </w:t>
      </w:r>
      <w:r w:rsidR="006A6BCD">
        <w:t xml:space="preserve">and 960 hours </w:t>
      </w:r>
      <w:r w:rsidR="00525F82">
        <w:t>for 8 units of study)</w:t>
      </w:r>
      <w:r w:rsidR="00E54DDD">
        <w:t xml:space="preserve">. </w:t>
      </w:r>
      <w:r w:rsidR="00B3744D">
        <w:t xml:space="preserve">The benefit to these advisers is the </w:t>
      </w:r>
      <w:r w:rsidR="00357150">
        <w:t xml:space="preserve">remuneration they can continue to </w:t>
      </w:r>
      <w:r w:rsidR="00886F33">
        <w:t>receive</w:t>
      </w:r>
      <w:r w:rsidR="00357150">
        <w:t xml:space="preserve"> beyond 1 January 2026</w:t>
      </w:r>
      <w:r w:rsidR="00886F33">
        <w:t xml:space="preserve">. </w:t>
      </w:r>
    </w:p>
    <w:p w14:paraId="70C67D15" w14:textId="06525215" w:rsidR="001C37F5" w:rsidRDefault="004447FF" w:rsidP="00091669">
      <w:r w:rsidRPr="004447FF">
        <w:lastRenderedPageBreak/>
        <w:t>For</w:t>
      </w:r>
      <w:r>
        <w:t xml:space="preserve"> cohort 3, those advisers </w:t>
      </w:r>
      <w:r w:rsidR="00B22277">
        <w:t xml:space="preserve">who </w:t>
      </w:r>
      <w:r w:rsidR="00403AA8">
        <w:t xml:space="preserve">are eligible for the election commitment but who had begun to complete the education requirements, </w:t>
      </w:r>
      <w:r w:rsidR="00052E85">
        <w:t>the benefit of the election commitment</w:t>
      </w:r>
      <w:r w:rsidR="00A830DE">
        <w:t xml:space="preserve"> is the time and cost saving of not needing to do more education</w:t>
      </w:r>
      <w:r w:rsidR="004C0172">
        <w:t>. However, the extent of the benefit</w:t>
      </w:r>
      <w:r w:rsidR="00052E85">
        <w:t xml:space="preserve"> depends on how many subjects the adviser ha</w:t>
      </w:r>
      <w:r w:rsidR="00DC671E">
        <w:t>s</w:t>
      </w:r>
      <w:r w:rsidR="00052E85">
        <w:t xml:space="preserve"> already completed and how many subjects </w:t>
      </w:r>
      <w:r w:rsidR="00DC671E">
        <w:t>are</w:t>
      </w:r>
      <w:r w:rsidR="00052E85">
        <w:t xml:space="preserve"> remaining. </w:t>
      </w:r>
      <w:r w:rsidR="006842CF">
        <w:t>Assuming</w:t>
      </w:r>
      <w:r w:rsidR="006842CF" w:rsidDel="00E208EE">
        <w:t xml:space="preserve"> </w:t>
      </w:r>
      <w:r w:rsidR="006842CF">
        <w:t xml:space="preserve">these advisers have at most 4 units of study to complete (from a maximum of 8) </w:t>
      </w:r>
      <w:r w:rsidR="00DC671E">
        <w:t>advisers would save up to $10</w:t>
      </w:r>
      <w:r w:rsidR="006A6BCD">
        <w:t xml:space="preserve"> </w:t>
      </w:r>
      <w:r w:rsidR="00DC671E">
        <w:t xml:space="preserve">000 and </w:t>
      </w:r>
      <w:r w:rsidR="00BA3FD2">
        <w:t xml:space="preserve">480 hours. Advisers who have invested time and money into already meeting the education requirements may consider that a wasted expense as a result of the election commitment. However, </w:t>
      </w:r>
      <w:r w:rsidR="00091669">
        <w:t xml:space="preserve">undertaking additional education can refresh an adviser’s skills and as the information can be recorded on the financial advisers register, could be seen </w:t>
      </w:r>
      <w:r w:rsidR="00E47813">
        <w:t xml:space="preserve">by consumers selecting between advisers as a plus. </w:t>
      </w:r>
      <w:r w:rsidR="009E5C5E">
        <w:t>Indeed, an education provider has observed that advisers are continuing their studies despite the election commitment.</w:t>
      </w:r>
      <w:r w:rsidR="009E5C5E" w:rsidRPr="008A272D">
        <w:rPr>
          <w:rStyle w:val="FootnoteReference"/>
          <w:vertAlign w:val="superscript"/>
        </w:rPr>
        <w:footnoteReference w:id="13"/>
      </w:r>
      <w:r w:rsidR="009E5C5E">
        <w:t xml:space="preserve"> </w:t>
      </w:r>
    </w:p>
    <w:p w14:paraId="76740F66" w14:textId="6BF11102" w:rsidR="0012363B" w:rsidRPr="00C47447" w:rsidRDefault="006034B1" w:rsidP="00E47813">
      <w:pPr>
        <w:pStyle w:val="Heading2"/>
      </w:pPr>
      <w:bookmarkStart w:id="19" w:name="_Toc130562413"/>
      <w:r>
        <w:t>Impact on</w:t>
      </w:r>
      <w:r w:rsidR="0012363B" w:rsidRPr="00C47447">
        <w:t xml:space="preserve"> education providers</w:t>
      </w:r>
      <w:bookmarkEnd w:id="19"/>
      <w:r w:rsidR="0012363B" w:rsidRPr="00C47447">
        <w:t xml:space="preserve">  </w:t>
      </w:r>
    </w:p>
    <w:p w14:paraId="5D7FC4F2" w14:textId="3D848F13" w:rsidR="0012363B" w:rsidRDefault="009F5E40" w:rsidP="0012363B">
      <w:r>
        <w:t xml:space="preserve">The cost to education providers will be the </w:t>
      </w:r>
      <w:r w:rsidR="006D555C">
        <w:t xml:space="preserve">lost revenue from </w:t>
      </w:r>
      <w:r w:rsidR="00C73115">
        <w:t xml:space="preserve">advisers no longer taking their courses. </w:t>
      </w:r>
      <w:r w:rsidR="00B242B1">
        <w:t>An upper estimate,</w:t>
      </w:r>
      <w:r w:rsidR="00A27F1C">
        <w:t xml:space="preserve"> assuming </w:t>
      </w:r>
      <w:r w:rsidR="00F958D7">
        <w:t xml:space="preserve">education providers </w:t>
      </w:r>
      <w:r w:rsidR="001527E0">
        <w:t>pocket</w:t>
      </w:r>
      <w:r w:rsidR="00F958D7">
        <w:t xml:space="preserve"> 100</w:t>
      </w:r>
      <w:r w:rsidR="00B16E4B">
        <w:t> per cent</w:t>
      </w:r>
      <w:r w:rsidR="00F958D7">
        <w:t xml:space="preserve"> </w:t>
      </w:r>
      <w:r w:rsidR="001527E0">
        <w:t xml:space="preserve">of their </w:t>
      </w:r>
      <w:r w:rsidR="001F7631">
        <w:t>course</w:t>
      </w:r>
      <w:r w:rsidR="001527E0">
        <w:t xml:space="preserve"> fees, </w:t>
      </w:r>
      <w:r w:rsidR="00462F42">
        <w:t xml:space="preserve">of </w:t>
      </w:r>
      <w:r w:rsidR="008D159E">
        <w:t xml:space="preserve">this </w:t>
      </w:r>
      <w:r w:rsidR="00624A71">
        <w:t xml:space="preserve">cost </w:t>
      </w:r>
      <w:r w:rsidR="001527E0">
        <w:t>would be between $4</w:t>
      </w:r>
      <w:r w:rsidR="002709F3">
        <w:t>4</w:t>
      </w:r>
      <w:r w:rsidR="001527E0">
        <w:t xml:space="preserve"> and $6</w:t>
      </w:r>
      <w:r w:rsidR="002709F3">
        <w:t>2</w:t>
      </w:r>
      <w:r w:rsidR="001527E0">
        <w:t xml:space="preserve"> million, the inve</w:t>
      </w:r>
      <w:r w:rsidR="001F7631">
        <w:t xml:space="preserve">rse of </w:t>
      </w:r>
      <w:r w:rsidR="00752B96">
        <w:t xml:space="preserve">the aggregate of </w:t>
      </w:r>
      <w:r w:rsidR="001F7631">
        <w:t xml:space="preserve">cohort </w:t>
      </w:r>
      <w:r w:rsidR="001D05BB">
        <w:t>3</w:t>
      </w:r>
      <w:r w:rsidR="001F7631">
        <w:t>’s savings.</w:t>
      </w:r>
      <w:r w:rsidR="00CD4892">
        <w:t xml:space="preserve"> </w:t>
      </w:r>
      <w:r w:rsidR="00381088">
        <w:t>Education providers</w:t>
      </w:r>
      <w:r w:rsidR="00115F7C">
        <w:t xml:space="preserve"> have operating costs, so the true </w:t>
      </w:r>
      <w:r w:rsidR="00752B96">
        <w:t>cost</w:t>
      </w:r>
      <w:r w:rsidR="00115F7C">
        <w:t xml:space="preserve"> will be lower than this. </w:t>
      </w:r>
    </w:p>
    <w:p w14:paraId="638A1DE2" w14:textId="01813728" w:rsidR="00036196" w:rsidRPr="00C47447" w:rsidRDefault="00262080" w:rsidP="0012363B">
      <w:r>
        <w:t xml:space="preserve">Education providers might lose revenue, but this policy is unlikely to </w:t>
      </w:r>
      <w:r w:rsidR="005C51F6">
        <w:t>place a large cost on them.</w:t>
      </w:r>
      <w:r>
        <w:t xml:space="preserve"> </w:t>
      </w:r>
      <w:r w:rsidR="008D159E">
        <w:t xml:space="preserve">The existing adviser cohort was finite </w:t>
      </w:r>
      <w:r w:rsidR="00EB3B56">
        <w:t>so this as</w:t>
      </w:r>
      <w:r>
        <w:t xml:space="preserve"> a </w:t>
      </w:r>
      <w:r w:rsidR="00EB3B56">
        <w:t xml:space="preserve">revenue source was time </w:t>
      </w:r>
      <w:r>
        <w:t xml:space="preserve">limited, even without the election commitment. </w:t>
      </w:r>
      <w:r w:rsidR="005C51F6">
        <w:t xml:space="preserve">Additionally, the courses </w:t>
      </w:r>
      <w:r w:rsidR="00F54CE7">
        <w:t xml:space="preserve">experienced advisers and new entrants </w:t>
      </w:r>
      <w:r w:rsidR="00BD0137">
        <w:t>must</w:t>
      </w:r>
      <w:r w:rsidR="00F54CE7">
        <w:t xml:space="preserve"> complete </w:t>
      </w:r>
      <w:r w:rsidR="00670505">
        <w:t>have overlap</w:t>
      </w:r>
      <w:r w:rsidR="00F54CE7">
        <w:t xml:space="preserve">, so </w:t>
      </w:r>
      <w:r w:rsidR="00670505">
        <w:t>no</w:t>
      </w:r>
      <w:r w:rsidR="009E72CF">
        <w:t xml:space="preserve"> u</w:t>
      </w:r>
      <w:r w:rsidR="008E6CD1">
        <w:t>p</w:t>
      </w:r>
      <w:r w:rsidR="009E72CF">
        <w:t xml:space="preserve">front cost would have been </w:t>
      </w:r>
      <w:r w:rsidR="008E6CD1">
        <w:t xml:space="preserve">spent </w:t>
      </w:r>
      <w:r w:rsidR="009E72CF">
        <w:t xml:space="preserve">developing courses specifically for </w:t>
      </w:r>
      <w:r w:rsidR="008E6CD1">
        <w:t xml:space="preserve">experienced advisers. </w:t>
      </w:r>
    </w:p>
    <w:p w14:paraId="03844390" w14:textId="7212A9E6" w:rsidR="002E7678" w:rsidRPr="002E7678" w:rsidRDefault="006034B1" w:rsidP="00EB3B56">
      <w:pPr>
        <w:pStyle w:val="Heading2"/>
      </w:pPr>
      <w:bookmarkStart w:id="20" w:name="_Toc130562414"/>
      <w:r>
        <w:t>Impact on</w:t>
      </w:r>
      <w:r w:rsidR="002E7678" w:rsidRPr="002E7678">
        <w:t xml:space="preserve"> consumers</w:t>
      </w:r>
      <w:bookmarkEnd w:id="20"/>
    </w:p>
    <w:p w14:paraId="69375DE1" w14:textId="411678F4" w:rsidR="00D12EEB" w:rsidRDefault="007B5DF8" w:rsidP="00BF31ED">
      <w:r>
        <w:t>Research from Adviser Ratings</w:t>
      </w:r>
      <w:r w:rsidR="00FE425D">
        <w:t xml:space="preserve"> </w:t>
      </w:r>
      <w:r w:rsidR="00D62F38">
        <w:t>illustrates</w:t>
      </w:r>
      <w:r w:rsidR="005741E6">
        <w:t xml:space="preserve"> </w:t>
      </w:r>
      <w:r>
        <w:t xml:space="preserve">that </w:t>
      </w:r>
      <w:r w:rsidR="0078785B">
        <w:t xml:space="preserve">from </w:t>
      </w:r>
      <w:r>
        <w:t xml:space="preserve">2018 </w:t>
      </w:r>
      <w:r w:rsidR="0078785B">
        <w:t xml:space="preserve">to 2021 </w:t>
      </w:r>
      <w:r>
        <w:t>the median fee for advice has increased</w:t>
      </w:r>
      <w:r w:rsidR="00AD7A41">
        <w:t xml:space="preserve"> </w:t>
      </w:r>
      <w:r>
        <w:t>from $2</w:t>
      </w:r>
      <w:r w:rsidR="006A6BCD">
        <w:t xml:space="preserve"> </w:t>
      </w:r>
      <w:r>
        <w:t>510 to $3</w:t>
      </w:r>
      <w:r w:rsidR="006A6BCD">
        <w:t xml:space="preserve"> </w:t>
      </w:r>
      <w:r>
        <w:t>528.</w:t>
      </w:r>
      <w:r w:rsidR="00AD7A41" w:rsidRPr="008A272D">
        <w:rPr>
          <w:rStyle w:val="FootnoteReference"/>
          <w:vertAlign w:val="superscript"/>
        </w:rPr>
        <w:footnoteReference w:id="14"/>
      </w:r>
      <w:r w:rsidR="00E17911">
        <w:t xml:space="preserve"> </w:t>
      </w:r>
      <w:r w:rsidR="00F32383">
        <w:t>Adjusting for inflation,</w:t>
      </w:r>
      <w:r w:rsidR="0078785B">
        <w:t xml:space="preserve"> </w:t>
      </w:r>
      <w:r w:rsidR="004215A9">
        <w:t xml:space="preserve">the </w:t>
      </w:r>
      <w:r w:rsidR="00E76B61">
        <w:t xml:space="preserve">increase was from </w:t>
      </w:r>
      <w:r w:rsidR="006A6BCD">
        <w:br/>
      </w:r>
      <w:r w:rsidR="00B06DBB">
        <w:t>$</w:t>
      </w:r>
      <w:r w:rsidR="00B06DBB" w:rsidRPr="00B06DBB">
        <w:t>2</w:t>
      </w:r>
      <w:r w:rsidR="006A6BCD">
        <w:t xml:space="preserve"> </w:t>
      </w:r>
      <w:r w:rsidR="00B06DBB" w:rsidRPr="00B06DBB">
        <w:t>820.15</w:t>
      </w:r>
      <w:r w:rsidR="00B06DBB">
        <w:t xml:space="preserve"> to </w:t>
      </w:r>
      <w:r w:rsidR="00045344">
        <w:t>$3</w:t>
      </w:r>
      <w:r w:rsidR="006A6BCD">
        <w:t xml:space="preserve"> </w:t>
      </w:r>
      <w:r w:rsidR="00045344">
        <w:t xml:space="preserve">760.64 in </w:t>
      </w:r>
      <w:r w:rsidR="00211F76">
        <w:t>202</w:t>
      </w:r>
      <w:r w:rsidR="00840B96">
        <w:t>2</w:t>
      </w:r>
      <w:r w:rsidR="00211F76">
        <w:t xml:space="preserve"> dollars</w:t>
      </w:r>
      <w:r w:rsidR="00787973">
        <w:t>.</w:t>
      </w:r>
      <w:r w:rsidR="00211F76" w:rsidRPr="008A272D">
        <w:rPr>
          <w:rStyle w:val="FootnoteReference"/>
          <w:vertAlign w:val="superscript"/>
        </w:rPr>
        <w:footnoteReference w:id="15"/>
      </w:r>
      <w:r w:rsidR="00F32383">
        <w:t xml:space="preserve"> </w:t>
      </w:r>
      <w:r w:rsidR="00955726">
        <w:t xml:space="preserve">Further information on this trend </w:t>
      </w:r>
      <w:r w:rsidR="0074572C">
        <w:t>is shown in figure 2.</w:t>
      </w:r>
      <w:r w:rsidR="00F32383">
        <w:t xml:space="preserve"> </w:t>
      </w:r>
      <w:r w:rsidR="00EE5BCA">
        <w:t>The increasing cost of advice has been acknowledged by other</w:t>
      </w:r>
      <w:r w:rsidR="00363A53">
        <w:t xml:space="preserve"> reviews of</w:t>
      </w:r>
      <w:r w:rsidR="003B1D0D">
        <w:t xml:space="preserve"> </w:t>
      </w:r>
      <w:r w:rsidR="00363A53">
        <w:t>financial advice.</w:t>
      </w:r>
      <w:r w:rsidR="00363A53" w:rsidRPr="008A272D">
        <w:rPr>
          <w:rStyle w:val="FootnoteReference"/>
          <w:vertAlign w:val="superscript"/>
        </w:rPr>
        <w:footnoteReference w:id="16"/>
      </w:r>
      <w:r w:rsidR="00363A53">
        <w:t xml:space="preserve"> </w:t>
      </w:r>
      <w:r w:rsidR="0031661A">
        <w:t xml:space="preserve">The </w:t>
      </w:r>
      <w:r w:rsidR="00D11BB6">
        <w:t>Quality of Advice Review</w:t>
      </w:r>
      <w:r w:rsidR="0031661A">
        <w:t xml:space="preserve"> highlighted</w:t>
      </w:r>
      <w:r w:rsidR="008D3E75">
        <w:t xml:space="preserve"> that the regulatory burdens imposed on financial </w:t>
      </w:r>
      <w:r w:rsidR="005B75F0">
        <w:t>advisers</w:t>
      </w:r>
      <w:r w:rsidR="008D3E75">
        <w:t xml:space="preserve"> is a ‘significant factor’ in the cost of advice</w:t>
      </w:r>
      <w:r w:rsidR="001A2A69">
        <w:t>.</w:t>
      </w:r>
      <w:r w:rsidR="005B75F0" w:rsidRPr="008A272D">
        <w:rPr>
          <w:rStyle w:val="FootnoteReference"/>
          <w:vertAlign w:val="superscript"/>
        </w:rPr>
        <w:footnoteReference w:id="17"/>
      </w:r>
      <w:r w:rsidR="001A2A69">
        <w:t xml:space="preserve"> </w:t>
      </w:r>
      <w:r w:rsidR="008C15B5">
        <w:t xml:space="preserve">Since </w:t>
      </w:r>
      <w:r w:rsidR="00905E91">
        <w:t xml:space="preserve">the </w:t>
      </w:r>
      <w:r w:rsidR="008C15B5">
        <w:t xml:space="preserve">introduction </w:t>
      </w:r>
      <w:r w:rsidR="00905E91">
        <w:t xml:space="preserve">of increased requirements in </w:t>
      </w:r>
      <w:r w:rsidR="008C15B5">
        <w:t>2019</w:t>
      </w:r>
      <w:r w:rsidR="00905E91">
        <w:t>, the</w:t>
      </w:r>
      <w:r w:rsidR="008C15B5">
        <w:t xml:space="preserve"> cost of advice </w:t>
      </w:r>
      <w:r w:rsidR="00905E91">
        <w:t xml:space="preserve">has </w:t>
      </w:r>
      <w:r w:rsidR="008C15B5">
        <w:t xml:space="preserve">continued to rise. </w:t>
      </w:r>
    </w:p>
    <w:p w14:paraId="43EE5F90" w14:textId="274C0D0E" w:rsidR="007D023C" w:rsidRDefault="009136BE" w:rsidP="002252E3">
      <w:r>
        <w:t>T</w:t>
      </w:r>
      <w:r w:rsidR="00BC003A">
        <w:t>he factors that contribute to the cost of financial advice to consumers are varied</w:t>
      </w:r>
      <w:r w:rsidR="00E910F9">
        <w:t xml:space="preserve"> and it is not possible to quantify the exact impact that this policy will have on advice costs. </w:t>
      </w:r>
      <w:r>
        <w:t>But</w:t>
      </w:r>
      <w:r w:rsidR="009B249B">
        <w:t xml:space="preserve"> by retaining more </w:t>
      </w:r>
      <w:r w:rsidR="00614DC6">
        <w:t>advisers</w:t>
      </w:r>
      <w:r w:rsidR="003D6A41">
        <w:t xml:space="preserve"> and increasing supply</w:t>
      </w:r>
      <w:r w:rsidR="00614DC6">
        <w:t xml:space="preserve">, </w:t>
      </w:r>
      <w:r w:rsidR="00C0457F">
        <w:t xml:space="preserve">this policy </w:t>
      </w:r>
      <w:r w:rsidR="009054CB">
        <w:t xml:space="preserve">is likely to </w:t>
      </w:r>
      <w:r w:rsidR="00F4335E">
        <w:t>stabilise</w:t>
      </w:r>
      <w:r w:rsidR="00C0457F">
        <w:t xml:space="preserve"> advice fees in the short to medium term, benefiting consumers who acquire advice. </w:t>
      </w:r>
    </w:p>
    <w:p w14:paraId="0B69B818" w14:textId="77777777" w:rsidR="00A043D2" w:rsidRDefault="00A043D2" w:rsidP="00A043D2">
      <w:r>
        <w:t xml:space="preserve">This election commitment has several safeguards built into the policy design that will provide ongoing consumer protections. The clean record requirement ensures that advisers cannot access the pathway if disciplinary action has been taken against them. The requirement to make a declaration ensures that advisers are honest in their assessment of eligibility. An adviser who is dishonest would contravene the law and face penalties. There are other requirements that ensure that an adviser has a consistent base level of knowledge, including the requirement to complete 40 hours of continuing professional </w:t>
      </w:r>
      <w:r>
        <w:lastRenderedPageBreak/>
        <w:t xml:space="preserve">development and pass the exam. These safeguards are in addition to the broader regulatory requirements which provide consumers with certainty knowing that they have access to quality advice. </w:t>
      </w:r>
    </w:p>
    <w:p w14:paraId="198E1070" w14:textId="3021A050" w:rsidR="00A043D2" w:rsidRDefault="00A043D2" w:rsidP="002252E3">
      <w:r>
        <w:t xml:space="preserve">All new entrants to the industry must meet prescribed education requirements ensuring that, in time, the number of experienced advisers will reduce as they retire. This means that in due course all financial advisers will be similarly qualified. </w:t>
      </w:r>
    </w:p>
    <w:p w14:paraId="1B576843" w14:textId="77777777" w:rsidR="006471DC" w:rsidRDefault="006471DC" w:rsidP="008A272D">
      <w:pPr>
        <w:pStyle w:val="Caption"/>
        <w:keepNext/>
      </w:pPr>
    </w:p>
    <w:p w14:paraId="4D6B453D" w14:textId="5539895C" w:rsidR="00F9031F" w:rsidRDefault="007D023C" w:rsidP="008A272D">
      <w:pPr>
        <w:pStyle w:val="Caption"/>
        <w:keepNext/>
      </w:pPr>
      <w:r>
        <w:t xml:space="preserve">Figure </w:t>
      </w:r>
      <w:r w:rsidR="00565803">
        <w:t>2</w:t>
      </w:r>
      <w:r>
        <w:t xml:space="preserve"> </w:t>
      </w:r>
      <w:r w:rsidR="00565803">
        <w:t>Average and median client fees</w:t>
      </w:r>
      <w:r w:rsidR="001F6E34" w:rsidRPr="008610B1">
        <w:rPr>
          <w:rStyle w:val="FootnoteReference"/>
          <w:vertAlign w:val="superscript"/>
        </w:rPr>
        <w:footnoteReference w:id="18"/>
      </w:r>
    </w:p>
    <w:p w14:paraId="65D55B54" w14:textId="5DB063BD" w:rsidR="004C7835" w:rsidRDefault="007D023C" w:rsidP="002252E3">
      <w:r>
        <w:rPr>
          <w:noProof/>
        </w:rPr>
        <w:drawing>
          <wp:inline distT="0" distB="0" distL="0" distR="0" wp14:anchorId="4BE5BD00" wp14:editId="61ED84B6">
            <wp:extent cx="4305300" cy="2966426"/>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10633"/>
                    <a:stretch/>
                  </pic:blipFill>
                  <pic:spPr bwMode="auto">
                    <a:xfrm>
                      <a:off x="0" y="0"/>
                      <a:ext cx="4318329" cy="2975403"/>
                    </a:xfrm>
                    <a:prstGeom prst="rect">
                      <a:avLst/>
                    </a:prstGeom>
                    <a:ln>
                      <a:noFill/>
                    </a:ln>
                    <a:extLst>
                      <a:ext uri="{53640926-AAD7-44D8-BBD7-CCE9431645EC}">
                        <a14:shadowObscured xmlns:a14="http://schemas.microsoft.com/office/drawing/2010/main"/>
                      </a:ext>
                    </a:extLst>
                  </pic:spPr>
                </pic:pic>
              </a:graphicData>
            </a:graphic>
          </wp:inline>
        </w:drawing>
      </w:r>
    </w:p>
    <w:p w14:paraId="18AE8569" w14:textId="4BFA509A" w:rsidR="001143D2" w:rsidRPr="001143D2" w:rsidRDefault="00241C39" w:rsidP="001143D2">
      <w:pPr>
        <w:pStyle w:val="Heading1"/>
      </w:pPr>
      <w:bookmarkStart w:id="21" w:name="_Toc130562415"/>
      <w:r>
        <w:t>Consultation</w:t>
      </w:r>
      <w:bookmarkEnd w:id="21"/>
      <w:r>
        <w:t xml:space="preserve"> </w:t>
      </w:r>
    </w:p>
    <w:p w14:paraId="4DC718EF" w14:textId="421FD0E5" w:rsidR="001143D2" w:rsidRDefault="001824B5" w:rsidP="00C73DB3">
      <w:r>
        <w:t xml:space="preserve">Treasury consulted on </w:t>
      </w:r>
      <w:r w:rsidR="00C8342B">
        <w:t>the specific</w:t>
      </w:r>
      <w:r w:rsidR="00E20359">
        <w:t>s</w:t>
      </w:r>
      <w:r w:rsidR="00C8342B">
        <w:t xml:space="preserve"> of implementing this </w:t>
      </w:r>
      <w:r>
        <w:t xml:space="preserve">election commitment </w:t>
      </w:r>
      <w:r w:rsidR="003A4C22">
        <w:t>over</w:t>
      </w:r>
      <w:r>
        <w:t xml:space="preserve"> a </w:t>
      </w:r>
      <w:r w:rsidR="00363C86">
        <w:t xml:space="preserve">4 </w:t>
      </w:r>
      <w:r>
        <w:t xml:space="preserve">week </w:t>
      </w:r>
      <w:r w:rsidR="003A4C22">
        <w:t>period</w:t>
      </w:r>
      <w:r w:rsidR="00FD56EC">
        <w:t xml:space="preserve"> from</w:t>
      </w:r>
      <w:r>
        <w:t xml:space="preserve"> </w:t>
      </w:r>
      <w:r w:rsidR="00C8342B">
        <w:t>23</w:t>
      </w:r>
      <w:r w:rsidR="00F4335E">
        <w:t> </w:t>
      </w:r>
      <w:r w:rsidR="00C8342B">
        <w:t>August</w:t>
      </w:r>
      <w:r>
        <w:t xml:space="preserve"> </w:t>
      </w:r>
      <w:r w:rsidR="00ED2FE0">
        <w:t>to</w:t>
      </w:r>
      <w:r>
        <w:t xml:space="preserve"> 16 September 2022.</w:t>
      </w:r>
      <w:r w:rsidR="00A93C1C" w:rsidRPr="00A93C1C">
        <w:t xml:space="preserve"> </w:t>
      </w:r>
      <w:r w:rsidR="00A93C1C">
        <w:t>7 stakeholder roundtables were held</w:t>
      </w:r>
      <w:r w:rsidR="00031E68">
        <w:t xml:space="preserve"> with industry groups representing financial planners, stockbrokers, accountants, superannuation funds, licensees, and higher education providers.</w:t>
      </w:r>
      <w:r w:rsidR="00A93C1C">
        <w:t xml:space="preserve"> 77 written submissions were </w:t>
      </w:r>
      <w:r w:rsidR="00031E68">
        <w:t xml:space="preserve">also </w:t>
      </w:r>
      <w:r w:rsidR="00A93C1C">
        <w:t>received</w:t>
      </w:r>
      <w:r w:rsidR="004F5892">
        <w:t xml:space="preserve"> for the consultation paper</w:t>
      </w:r>
      <w:r w:rsidR="00031E68">
        <w:t>, with</w:t>
      </w:r>
      <w:r w:rsidR="001143D2">
        <w:t xml:space="preserve"> 30 from individuals, 22</w:t>
      </w:r>
      <w:r w:rsidR="001143D2" w:rsidDel="00031E68">
        <w:t xml:space="preserve"> </w:t>
      </w:r>
      <w:r w:rsidR="001143D2">
        <w:t>from professional associations, 17</w:t>
      </w:r>
      <w:r w:rsidR="00563B59" w:rsidDel="00031E68">
        <w:t xml:space="preserve"> </w:t>
      </w:r>
      <w:r w:rsidR="001143D2">
        <w:t>from businesses, 3</w:t>
      </w:r>
      <w:r w:rsidR="001143D2" w:rsidDel="00031E68">
        <w:t xml:space="preserve"> </w:t>
      </w:r>
      <w:r w:rsidR="001143D2">
        <w:t xml:space="preserve">from </w:t>
      </w:r>
      <w:r w:rsidR="00363C86">
        <w:t>g</w:t>
      </w:r>
      <w:r w:rsidR="005E38B7">
        <w:t>overnment</w:t>
      </w:r>
      <w:r w:rsidR="001143D2">
        <w:t xml:space="preserve"> agencies or not-for-profit entities and 4</w:t>
      </w:r>
      <w:r w:rsidR="00563B59" w:rsidDel="00031E68">
        <w:t xml:space="preserve"> </w:t>
      </w:r>
      <w:r w:rsidR="001143D2">
        <w:t>from higher education providers</w:t>
      </w:r>
      <w:r w:rsidR="00563B59">
        <w:t>.</w:t>
      </w:r>
      <w:r w:rsidR="00D04667">
        <w:t xml:space="preserve"> </w:t>
      </w:r>
      <w:r w:rsidR="00B060A9">
        <w:t xml:space="preserve">This is a broad group of stakeholders that captures </w:t>
      </w:r>
      <w:r w:rsidR="00BD6F66">
        <w:t xml:space="preserve">the diversity of </w:t>
      </w:r>
      <w:r w:rsidR="008028D7">
        <w:t>financial plann</w:t>
      </w:r>
      <w:r w:rsidR="001052AE">
        <w:t>er specialties, the licensees, e</w:t>
      </w:r>
      <w:r w:rsidR="00BD6F66">
        <w:t xml:space="preserve">ducators and </w:t>
      </w:r>
      <w:r w:rsidR="001052AE">
        <w:t xml:space="preserve">the </w:t>
      </w:r>
      <w:r w:rsidR="000C107E">
        <w:t xml:space="preserve">government. </w:t>
      </w:r>
    </w:p>
    <w:p w14:paraId="564CC681" w14:textId="4EE265B4" w:rsidR="002F1472" w:rsidRDefault="002F1472" w:rsidP="002F1472">
      <w:r>
        <w:t>Stakeholders were presented with a proposed ‘experienced adviser’ pathway,</w:t>
      </w:r>
      <w:r w:rsidDel="00974988">
        <w:t xml:space="preserve"> </w:t>
      </w:r>
      <w:r>
        <w:t xml:space="preserve">which would be available to advisers with 10 years equivalent full-time experience between 1 January 2004 and </w:t>
      </w:r>
      <w:r w:rsidDel="00B061EE">
        <w:t>1</w:t>
      </w:r>
      <w:r>
        <w:t> January 2019 and a clean disciplinary record. The pathway is detailed</w:t>
      </w:r>
      <w:r w:rsidR="009D68BD">
        <w:t xml:space="preserve"> </w:t>
      </w:r>
      <w:r>
        <w:t>in the table 4.</w:t>
      </w:r>
    </w:p>
    <w:p w14:paraId="5E1AA520" w14:textId="79C3711C" w:rsidR="006471DC" w:rsidRDefault="006471DC" w:rsidP="006471DC">
      <w:pPr>
        <w:rPr>
          <w:i/>
          <w:iCs/>
          <w:color w:val="5F5F5F" w:themeColor="text2"/>
          <w:sz w:val="18"/>
          <w:szCs w:val="18"/>
        </w:rPr>
      </w:pPr>
      <w:r>
        <w:t>The purpose of the consultation was to gauge stakeholders’ opinion on how best to implement the government’s election commitment;</w:t>
      </w:r>
      <w:r w:rsidDel="007D1266">
        <w:t xml:space="preserve"> </w:t>
      </w:r>
      <w:r>
        <w:t xml:space="preserve">what constituted 10 years’ experience and a clean record; and how to an adviser could demonstrate their eligibility. </w:t>
      </w:r>
    </w:p>
    <w:p w14:paraId="1F3A08A7" w14:textId="3D4A1529" w:rsidR="00C3166B" w:rsidRDefault="00C3166B" w:rsidP="00C3166B">
      <w:pPr>
        <w:pStyle w:val="Caption"/>
        <w:keepNext/>
      </w:pPr>
      <w:r>
        <w:lastRenderedPageBreak/>
        <w:t xml:space="preserve">Table </w:t>
      </w:r>
      <w:r w:rsidR="00FE3E72">
        <w:t>4</w:t>
      </w:r>
      <w:r>
        <w:t xml:space="preserve"> Pathway presented in consultation period</w:t>
      </w:r>
    </w:p>
    <w:tbl>
      <w:tblPr>
        <w:tblStyle w:val="TableGridLight"/>
        <w:tblW w:w="0" w:type="auto"/>
        <w:tblLook w:val="04A0" w:firstRow="1" w:lastRow="0" w:firstColumn="1" w:lastColumn="0" w:noHBand="0" w:noVBand="1"/>
      </w:tblPr>
      <w:tblGrid>
        <w:gridCol w:w="1696"/>
        <w:gridCol w:w="2410"/>
        <w:gridCol w:w="2410"/>
        <w:gridCol w:w="2544"/>
      </w:tblGrid>
      <w:tr w:rsidR="00677D50" w14:paraId="43554AFF" w14:textId="77777777" w:rsidTr="00815B71">
        <w:tc>
          <w:tcPr>
            <w:tcW w:w="1696" w:type="dxa"/>
            <w:tcBorders>
              <w:top w:val="nil"/>
              <w:left w:val="nil"/>
            </w:tcBorders>
          </w:tcPr>
          <w:p w14:paraId="484D45AB" w14:textId="77777777" w:rsidR="00677D50" w:rsidRPr="008A272D" w:rsidRDefault="00677D50" w:rsidP="00C73DB3">
            <w:pPr>
              <w:rPr>
                <w:sz w:val="20"/>
                <w:szCs w:val="18"/>
              </w:rPr>
            </w:pPr>
          </w:p>
        </w:tc>
        <w:tc>
          <w:tcPr>
            <w:tcW w:w="2410" w:type="dxa"/>
          </w:tcPr>
          <w:p w14:paraId="57768E1B" w14:textId="283EB969" w:rsidR="00677D50" w:rsidRPr="008A272D" w:rsidRDefault="00677D50" w:rsidP="00C73DB3">
            <w:pPr>
              <w:rPr>
                <w:b/>
                <w:sz w:val="20"/>
                <w:szCs w:val="18"/>
              </w:rPr>
            </w:pPr>
            <w:r w:rsidRPr="008A272D">
              <w:rPr>
                <w:b/>
                <w:sz w:val="20"/>
                <w:szCs w:val="18"/>
              </w:rPr>
              <w:t>Existing adviser</w:t>
            </w:r>
          </w:p>
        </w:tc>
        <w:tc>
          <w:tcPr>
            <w:tcW w:w="2410" w:type="dxa"/>
          </w:tcPr>
          <w:p w14:paraId="7A368B9B" w14:textId="3C680146" w:rsidR="00677D50" w:rsidRPr="008A272D" w:rsidRDefault="00677D50" w:rsidP="00C73DB3">
            <w:pPr>
              <w:rPr>
                <w:b/>
                <w:sz w:val="20"/>
                <w:szCs w:val="18"/>
              </w:rPr>
            </w:pPr>
            <w:r w:rsidRPr="008A272D">
              <w:rPr>
                <w:b/>
                <w:sz w:val="20"/>
                <w:szCs w:val="18"/>
              </w:rPr>
              <w:t xml:space="preserve">Experienced adviser </w:t>
            </w:r>
          </w:p>
        </w:tc>
        <w:tc>
          <w:tcPr>
            <w:tcW w:w="2544" w:type="dxa"/>
          </w:tcPr>
          <w:p w14:paraId="1996A56F" w14:textId="41F1792E" w:rsidR="00677D50" w:rsidRPr="008A272D" w:rsidRDefault="00677D50" w:rsidP="00C73DB3">
            <w:pPr>
              <w:rPr>
                <w:b/>
                <w:sz w:val="20"/>
                <w:szCs w:val="18"/>
              </w:rPr>
            </w:pPr>
            <w:r w:rsidRPr="008A272D">
              <w:rPr>
                <w:b/>
                <w:sz w:val="20"/>
                <w:szCs w:val="18"/>
              </w:rPr>
              <w:t>New entrant</w:t>
            </w:r>
          </w:p>
        </w:tc>
      </w:tr>
      <w:tr w:rsidR="00677D50" w14:paraId="5601AFA0" w14:textId="77777777" w:rsidTr="00815B71">
        <w:tc>
          <w:tcPr>
            <w:tcW w:w="1696" w:type="dxa"/>
          </w:tcPr>
          <w:p w14:paraId="3A2AF0E7" w14:textId="01E755F2" w:rsidR="00677D50" w:rsidRPr="008A272D" w:rsidRDefault="00677D50" w:rsidP="00C73DB3">
            <w:pPr>
              <w:rPr>
                <w:b/>
                <w:sz w:val="20"/>
                <w:szCs w:val="18"/>
              </w:rPr>
            </w:pPr>
            <w:r w:rsidRPr="008A272D">
              <w:rPr>
                <w:b/>
                <w:sz w:val="20"/>
                <w:szCs w:val="18"/>
              </w:rPr>
              <w:t>Who they are</w:t>
            </w:r>
          </w:p>
        </w:tc>
        <w:tc>
          <w:tcPr>
            <w:tcW w:w="2410" w:type="dxa"/>
          </w:tcPr>
          <w:p w14:paraId="5CA10237" w14:textId="7442E16D" w:rsidR="00677D50" w:rsidRPr="008A272D" w:rsidRDefault="00677D50" w:rsidP="00C73DB3">
            <w:pPr>
              <w:rPr>
                <w:rStyle w:val="normaltextrun"/>
                <w:rFonts w:cs="Calibri Light"/>
                <w:sz w:val="20"/>
                <w:szCs w:val="18"/>
              </w:rPr>
            </w:pPr>
            <w:r w:rsidRPr="008A272D">
              <w:rPr>
                <w:rStyle w:val="normaltextrun"/>
                <w:rFonts w:cs="Calibri Light"/>
                <w:sz w:val="20"/>
                <w:szCs w:val="18"/>
              </w:rPr>
              <w:t>Registered on the </w:t>
            </w:r>
            <w:r w:rsidR="00D11BB6" w:rsidRPr="008A272D">
              <w:rPr>
                <w:rStyle w:val="normaltextrun"/>
                <w:rFonts w:cs="Calibri Light"/>
                <w:sz w:val="20"/>
                <w:szCs w:val="18"/>
              </w:rPr>
              <w:t>Financial Advisers Register</w:t>
            </w:r>
            <w:r w:rsidRPr="008A272D">
              <w:rPr>
                <w:rStyle w:val="normaltextrun"/>
                <w:rFonts w:cs="Calibri Light"/>
                <w:sz w:val="20"/>
                <w:szCs w:val="18"/>
              </w:rPr>
              <w:t> between 1 January 2016 and 1 January 2019.</w:t>
            </w:r>
          </w:p>
          <w:p w14:paraId="1C68A6B6" w14:textId="74233830" w:rsidR="00325BA8" w:rsidRPr="008A272D" w:rsidRDefault="00325BA8" w:rsidP="00325BA8">
            <w:pPr>
              <w:pStyle w:val="paragraph"/>
              <w:spacing w:before="0" w:beforeAutospacing="0" w:after="0" w:afterAutospacing="0"/>
              <w:textAlignment w:val="baseline"/>
              <w:rPr>
                <w:rFonts w:ascii="Calibri Light" w:hAnsi="Calibri Light" w:cs="Calibri Light"/>
                <w:sz w:val="20"/>
                <w:szCs w:val="18"/>
              </w:rPr>
            </w:pPr>
            <w:r w:rsidRPr="008A272D">
              <w:rPr>
                <w:rStyle w:val="normaltextrun"/>
                <w:rFonts w:ascii="Calibri Light" w:hAnsi="Calibri Light" w:cs="Calibri Light"/>
                <w:sz w:val="20"/>
                <w:szCs w:val="18"/>
              </w:rPr>
              <w:t>Do not meet the experienced advisers’ criteria. </w:t>
            </w:r>
            <w:r w:rsidRPr="008A272D">
              <w:rPr>
                <w:rStyle w:val="eop"/>
                <w:rFonts w:eastAsiaTheme="majorEastAsia" w:cs="Calibri Light"/>
                <w:sz w:val="20"/>
                <w:szCs w:val="18"/>
              </w:rPr>
              <w:t> </w:t>
            </w:r>
          </w:p>
        </w:tc>
        <w:tc>
          <w:tcPr>
            <w:tcW w:w="2410" w:type="dxa"/>
          </w:tcPr>
          <w:p w14:paraId="02242D4A" w14:textId="77777777" w:rsidR="00325BA8" w:rsidRPr="008A272D" w:rsidRDefault="00325BA8" w:rsidP="00325BA8">
            <w:pPr>
              <w:pStyle w:val="paragraph"/>
              <w:spacing w:before="0" w:beforeAutospacing="0" w:after="0" w:afterAutospacing="0"/>
              <w:textAlignment w:val="baseline"/>
              <w:rPr>
                <w:rFonts w:ascii="Calibri Light" w:hAnsi="Calibri Light" w:cs="Calibri Light"/>
                <w:sz w:val="20"/>
                <w:szCs w:val="18"/>
              </w:rPr>
            </w:pPr>
            <w:r w:rsidRPr="008A272D">
              <w:rPr>
                <w:rStyle w:val="normaltextrun"/>
                <w:rFonts w:ascii="Calibri Light" w:hAnsi="Calibri Light" w:cs="Calibri Light"/>
                <w:sz w:val="20"/>
                <w:szCs w:val="18"/>
              </w:rPr>
              <w:t>Advisers with 10 years full-time equivalent experience in Australia between 1 January 2004 and 1 January 2019.</w:t>
            </w:r>
            <w:r w:rsidRPr="008A272D">
              <w:rPr>
                <w:rStyle w:val="eop"/>
                <w:rFonts w:eastAsiaTheme="majorEastAsia" w:cs="Calibri Light"/>
                <w:sz w:val="20"/>
                <w:szCs w:val="18"/>
              </w:rPr>
              <w:t> </w:t>
            </w:r>
          </w:p>
          <w:p w14:paraId="75D050F5" w14:textId="0BC62514" w:rsidR="00677D50" w:rsidRPr="008A272D" w:rsidRDefault="00325BA8" w:rsidP="00325BA8">
            <w:pPr>
              <w:pStyle w:val="paragraph"/>
              <w:spacing w:before="0" w:beforeAutospacing="0" w:after="0" w:afterAutospacing="0"/>
              <w:textAlignment w:val="baseline"/>
              <w:rPr>
                <w:rFonts w:ascii="Calibri Light" w:hAnsi="Calibri Light" w:cs="Calibri Light"/>
                <w:sz w:val="20"/>
                <w:szCs w:val="18"/>
              </w:rPr>
            </w:pPr>
            <w:r w:rsidRPr="008A272D">
              <w:rPr>
                <w:rStyle w:val="normaltextrun"/>
                <w:rFonts w:ascii="Calibri Light" w:hAnsi="Calibri Light" w:cs="Calibri Light"/>
                <w:sz w:val="20"/>
                <w:szCs w:val="18"/>
              </w:rPr>
              <w:t>Holds a clean disciplinary record.</w:t>
            </w:r>
            <w:r w:rsidRPr="008A272D">
              <w:rPr>
                <w:rStyle w:val="eop"/>
                <w:rFonts w:eastAsiaTheme="majorEastAsia" w:cs="Calibri Light"/>
                <w:sz w:val="20"/>
                <w:szCs w:val="18"/>
              </w:rPr>
              <w:t> </w:t>
            </w:r>
          </w:p>
        </w:tc>
        <w:tc>
          <w:tcPr>
            <w:tcW w:w="2544" w:type="dxa"/>
          </w:tcPr>
          <w:p w14:paraId="53BEB3B9" w14:textId="2A6A5A2A" w:rsidR="00677D50" w:rsidRPr="008A272D" w:rsidRDefault="00325BA8" w:rsidP="00325BA8">
            <w:pPr>
              <w:pStyle w:val="paragraph"/>
              <w:spacing w:before="0" w:beforeAutospacing="0" w:after="0" w:afterAutospacing="0"/>
              <w:textAlignment w:val="baseline"/>
              <w:rPr>
                <w:rFonts w:ascii="Calibri Light" w:hAnsi="Calibri Light" w:cs="Calibri Light"/>
                <w:sz w:val="20"/>
                <w:szCs w:val="18"/>
              </w:rPr>
            </w:pPr>
            <w:r w:rsidRPr="008A272D">
              <w:rPr>
                <w:rStyle w:val="normaltextrun"/>
                <w:rFonts w:ascii="Calibri Light" w:hAnsi="Calibri Light" w:cs="Calibri Light"/>
                <w:sz w:val="20"/>
                <w:szCs w:val="18"/>
              </w:rPr>
              <w:t>Individuals who are not Existing Advisers or Experienced Advisers. </w:t>
            </w:r>
            <w:r w:rsidRPr="008A272D">
              <w:rPr>
                <w:rStyle w:val="eop"/>
                <w:rFonts w:eastAsiaTheme="majorEastAsia" w:cs="Calibri Light"/>
                <w:sz w:val="20"/>
                <w:szCs w:val="18"/>
              </w:rPr>
              <w:t> </w:t>
            </w:r>
          </w:p>
        </w:tc>
      </w:tr>
      <w:tr w:rsidR="00677D50" w14:paraId="5D2BA72B" w14:textId="77777777" w:rsidTr="00815B71">
        <w:tc>
          <w:tcPr>
            <w:tcW w:w="1696" w:type="dxa"/>
          </w:tcPr>
          <w:p w14:paraId="19BB6ACA" w14:textId="7F5A71ED" w:rsidR="00677D50" w:rsidRPr="008A272D" w:rsidRDefault="00677D50" w:rsidP="00C73DB3">
            <w:pPr>
              <w:rPr>
                <w:b/>
                <w:sz w:val="20"/>
                <w:szCs w:val="18"/>
              </w:rPr>
            </w:pPr>
            <w:r w:rsidRPr="008A272D">
              <w:rPr>
                <w:b/>
                <w:sz w:val="20"/>
                <w:szCs w:val="18"/>
              </w:rPr>
              <w:t>Education requirement</w:t>
            </w:r>
          </w:p>
        </w:tc>
        <w:tc>
          <w:tcPr>
            <w:tcW w:w="2410" w:type="dxa"/>
          </w:tcPr>
          <w:p w14:paraId="45FC7CCF" w14:textId="44CF0730" w:rsidR="00677D50" w:rsidRPr="008A272D" w:rsidRDefault="00325BA8" w:rsidP="00325BA8">
            <w:pPr>
              <w:pStyle w:val="paragraph"/>
              <w:spacing w:before="0" w:beforeAutospacing="0" w:after="0" w:afterAutospacing="0"/>
              <w:textAlignment w:val="baseline"/>
              <w:rPr>
                <w:rFonts w:ascii="Calibri Light" w:hAnsi="Calibri Light" w:cs="Calibri Light"/>
                <w:color w:val="000000"/>
                <w:sz w:val="20"/>
                <w:szCs w:val="18"/>
              </w:rPr>
            </w:pPr>
            <w:r w:rsidRPr="008A272D">
              <w:rPr>
                <w:rStyle w:val="normaltextrun"/>
                <w:rFonts w:ascii="Calibri Light" w:hAnsi="Calibri Light" w:cs="Calibri Light"/>
                <w:color w:val="000000"/>
                <w:sz w:val="20"/>
                <w:szCs w:val="18"/>
              </w:rPr>
              <w:t xml:space="preserve">At most, approved </w:t>
            </w:r>
            <w:r w:rsidR="00363C86" w:rsidRPr="008A272D">
              <w:rPr>
                <w:rStyle w:val="normaltextrun"/>
                <w:rFonts w:ascii="Calibri Light" w:hAnsi="Calibri Light" w:cs="Calibri Light"/>
                <w:color w:val="000000"/>
                <w:sz w:val="20"/>
                <w:szCs w:val="18"/>
              </w:rPr>
              <w:t xml:space="preserve">8 </w:t>
            </w:r>
            <w:r w:rsidRPr="008A272D">
              <w:rPr>
                <w:rStyle w:val="normaltextrun"/>
                <w:rFonts w:ascii="Calibri Light" w:hAnsi="Calibri Light" w:cs="Calibri Light"/>
                <w:color w:val="000000"/>
                <w:sz w:val="20"/>
                <w:szCs w:val="18"/>
              </w:rPr>
              <w:t>unit graduate diploma (or equivalent) by 1 January 2026.</w:t>
            </w:r>
            <w:r w:rsidRPr="008A272D">
              <w:rPr>
                <w:rStyle w:val="eop"/>
                <w:rFonts w:eastAsiaTheme="majorEastAsia" w:cs="Calibri Light"/>
                <w:color w:val="000000"/>
                <w:sz w:val="20"/>
                <w:szCs w:val="18"/>
              </w:rPr>
              <w:t> </w:t>
            </w:r>
          </w:p>
        </w:tc>
        <w:tc>
          <w:tcPr>
            <w:tcW w:w="2410" w:type="dxa"/>
          </w:tcPr>
          <w:p w14:paraId="2BA96D09" w14:textId="77777777" w:rsidR="00325BA8" w:rsidRPr="008A272D" w:rsidRDefault="00325BA8" w:rsidP="00325BA8">
            <w:pPr>
              <w:pStyle w:val="paragraph"/>
              <w:spacing w:before="0" w:beforeAutospacing="0" w:after="0" w:afterAutospacing="0"/>
              <w:textAlignment w:val="baseline"/>
              <w:rPr>
                <w:rStyle w:val="eop"/>
                <w:rFonts w:eastAsiaTheme="majorEastAsia" w:cs="Calibri Light"/>
                <w:color w:val="000000"/>
                <w:sz w:val="20"/>
                <w:szCs w:val="18"/>
              </w:rPr>
            </w:pPr>
            <w:r w:rsidRPr="008A272D">
              <w:rPr>
                <w:rStyle w:val="normaltextrun"/>
                <w:rFonts w:ascii="Calibri Light" w:hAnsi="Calibri Light" w:cs="Calibri Light"/>
                <w:color w:val="000000"/>
                <w:sz w:val="20"/>
                <w:szCs w:val="18"/>
              </w:rPr>
              <w:t>No tertiary education requirements. </w:t>
            </w:r>
            <w:r w:rsidRPr="008A272D">
              <w:rPr>
                <w:rStyle w:val="eop"/>
                <w:rFonts w:eastAsiaTheme="majorEastAsia" w:cs="Calibri Light"/>
                <w:color w:val="000000"/>
                <w:sz w:val="20"/>
                <w:szCs w:val="18"/>
              </w:rPr>
              <w:t> </w:t>
            </w:r>
          </w:p>
          <w:p w14:paraId="024CD83C" w14:textId="760615F4" w:rsidR="007B2B2F" w:rsidRPr="008A272D" w:rsidRDefault="007B2B2F" w:rsidP="00325BA8">
            <w:pPr>
              <w:pStyle w:val="paragraph"/>
              <w:spacing w:before="0" w:beforeAutospacing="0" w:after="0" w:afterAutospacing="0"/>
              <w:textAlignment w:val="baseline"/>
              <w:rPr>
                <w:rFonts w:ascii="Calibri Light" w:hAnsi="Calibri Light" w:cs="Calibri Light"/>
                <w:color w:val="000000"/>
                <w:sz w:val="20"/>
                <w:szCs w:val="18"/>
              </w:rPr>
            </w:pPr>
          </w:p>
        </w:tc>
        <w:tc>
          <w:tcPr>
            <w:tcW w:w="2544" w:type="dxa"/>
          </w:tcPr>
          <w:p w14:paraId="65D80C7E" w14:textId="77777777" w:rsidR="00325BA8" w:rsidRPr="008A272D" w:rsidRDefault="00325BA8" w:rsidP="00325BA8">
            <w:pPr>
              <w:pStyle w:val="paragraph"/>
              <w:spacing w:before="0" w:beforeAutospacing="0" w:after="0" w:afterAutospacing="0"/>
              <w:textAlignment w:val="baseline"/>
              <w:rPr>
                <w:rStyle w:val="eop"/>
                <w:rFonts w:eastAsiaTheme="majorEastAsia" w:cs="Calibri Light"/>
                <w:color w:val="000000"/>
                <w:sz w:val="20"/>
                <w:szCs w:val="18"/>
              </w:rPr>
            </w:pPr>
            <w:r w:rsidRPr="008A272D">
              <w:rPr>
                <w:rStyle w:val="normaltextrun"/>
                <w:rFonts w:ascii="Calibri Light" w:hAnsi="Calibri Light" w:cs="Calibri Light"/>
                <w:color w:val="000000"/>
                <w:sz w:val="20"/>
                <w:szCs w:val="18"/>
              </w:rPr>
              <w:t>Hold an approved bachelor’s degree (or higher qualification).</w:t>
            </w:r>
            <w:r w:rsidRPr="008A272D">
              <w:rPr>
                <w:rStyle w:val="eop"/>
                <w:rFonts w:eastAsiaTheme="majorEastAsia" w:cs="Calibri Light"/>
                <w:color w:val="000000"/>
                <w:sz w:val="20"/>
                <w:szCs w:val="18"/>
              </w:rPr>
              <w:t> </w:t>
            </w:r>
          </w:p>
          <w:p w14:paraId="591030C4" w14:textId="5E4DB2FA" w:rsidR="00677D50" w:rsidRPr="008A272D" w:rsidRDefault="00325BA8" w:rsidP="00325BA8">
            <w:pPr>
              <w:pStyle w:val="paragraph"/>
              <w:spacing w:before="0" w:beforeAutospacing="0" w:after="0" w:afterAutospacing="0"/>
              <w:textAlignment w:val="baseline"/>
              <w:rPr>
                <w:rFonts w:ascii="Calibri Light" w:hAnsi="Calibri Light" w:cs="Calibri Light"/>
                <w:color w:val="000000"/>
                <w:sz w:val="20"/>
                <w:szCs w:val="18"/>
              </w:rPr>
            </w:pPr>
            <w:r w:rsidRPr="008A272D">
              <w:rPr>
                <w:rStyle w:val="normaltextrun"/>
                <w:rFonts w:ascii="Calibri Light" w:hAnsi="Calibri Light" w:cs="Calibri Light"/>
                <w:color w:val="000000"/>
                <w:sz w:val="20"/>
                <w:szCs w:val="18"/>
              </w:rPr>
              <w:t>Undertake a professional year.</w:t>
            </w:r>
            <w:r w:rsidRPr="008A272D">
              <w:rPr>
                <w:rStyle w:val="eop"/>
                <w:rFonts w:eastAsiaTheme="majorEastAsia" w:cs="Calibri Light"/>
                <w:color w:val="000000"/>
                <w:sz w:val="20"/>
                <w:szCs w:val="18"/>
              </w:rPr>
              <w:t> </w:t>
            </w:r>
          </w:p>
        </w:tc>
      </w:tr>
    </w:tbl>
    <w:p w14:paraId="5E57135B" w14:textId="10AB322E" w:rsidR="00EE17BF" w:rsidRDefault="006F13BE" w:rsidP="006F13BE">
      <w:r>
        <w:t>Reception from industry on the election commitment was</w:t>
      </w:r>
      <w:r w:rsidR="00291F04">
        <w:t xml:space="preserve"> mixed</w:t>
      </w:r>
      <w:r>
        <w:t xml:space="preserve">. </w:t>
      </w:r>
      <w:r w:rsidR="00D11BB6">
        <w:t>60</w:t>
      </w:r>
      <w:r>
        <w:t xml:space="preserve"> per cent of submissions that engaged with the election commitment were supportive of the approach, either unconditionally or with the inclusion of some additional requirements or limitations. </w:t>
      </w:r>
      <w:r w:rsidR="00F15914">
        <w:t xml:space="preserve">Professional associations, businesses and </w:t>
      </w:r>
      <w:r w:rsidR="00363C86">
        <w:t>g</w:t>
      </w:r>
      <w:r w:rsidR="005E38B7">
        <w:t>overnment</w:t>
      </w:r>
      <w:r w:rsidR="00F15914">
        <w:t xml:space="preserve"> agencies gave mixed support</w:t>
      </w:r>
      <w:r w:rsidR="00EB27A1">
        <w:t>. H</w:t>
      </w:r>
      <w:r w:rsidR="00F15914">
        <w:t xml:space="preserve">igher education providers </w:t>
      </w:r>
      <w:r w:rsidR="00EB27A1">
        <w:t>did not support the proposal</w:t>
      </w:r>
      <w:r w:rsidR="00F15914">
        <w:t xml:space="preserve">. </w:t>
      </w:r>
    </w:p>
    <w:p w14:paraId="3E134FB4" w14:textId="6A4886F5" w:rsidR="006F13BE" w:rsidRDefault="006F13BE" w:rsidP="006F13BE">
      <w:pPr>
        <w:rPr>
          <w:b/>
          <w:bCs/>
        </w:rPr>
      </w:pPr>
      <w:r>
        <w:t xml:space="preserve">Conditional support was usually caveated with the desire to ensure the inclusion of a ‘sunset’ date to only allow the experienced pathway to be available until a set time in the future. The primary justification for this position was to ensure that advisers currently in their 30s and 40s, who qualify for the experienced adviser pathway, were precluded from being able to practise for decades without meeting any further education requirements. </w:t>
      </w:r>
      <w:r w:rsidR="00E97BA8">
        <w:t xml:space="preserve">Upon analysis of the data, a sunset date is not considered necessary, and it would complicate the legislation. </w:t>
      </w:r>
      <w:r w:rsidR="007C085D">
        <w:t>D</w:t>
      </w:r>
      <w:r w:rsidR="00BB144C">
        <w:t>ata from the Financial Advice Register</w:t>
      </w:r>
      <w:r w:rsidR="006B50B7">
        <w:t xml:space="preserve"> shows that</w:t>
      </w:r>
      <w:r w:rsidR="00BB144C">
        <w:t xml:space="preserve"> </w:t>
      </w:r>
      <w:r w:rsidR="00A043D2">
        <w:t>an estimated</w:t>
      </w:r>
      <w:r w:rsidR="6BB4888F">
        <w:t xml:space="preserve"> 5</w:t>
      </w:r>
      <w:r w:rsidR="00993678">
        <w:t xml:space="preserve"> </w:t>
      </w:r>
      <w:r w:rsidR="6BB4888F">
        <w:t xml:space="preserve">800 advisers are in their late 40s or older and will form the </w:t>
      </w:r>
      <w:r w:rsidR="00A043D2">
        <w:t>majority of a</w:t>
      </w:r>
      <w:r w:rsidR="00A043D2" w:rsidRPr="00EB3B56">
        <w:t xml:space="preserve">dvisers </w:t>
      </w:r>
      <w:r w:rsidR="009742B0" w:rsidRPr="00EB3B56">
        <w:t>eligible for the experienced pathway</w:t>
      </w:r>
      <w:r w:rsidR="06BE96B5">
        <w:t>.</w:t>
      </w:r>
      <w:r w:rsidR="00541F11">
        <w:t xml:space="preserve"> </w:t>
      </w:r>
      <w:r w:rsidR="009742B0" w:rsidRPr="00EB3B56">
        <w:t>The proposed sunset date was 15 to 20 years, when a majority of advisers would be retiring.</w:t>
      </w:r>
      <w:r w:rsidR="009742B0">
        <w:t xml:space="preserve"> There was a trade-off between including this additional limitation </w:t>
      </w:r>
      <w:r w:rsidR="00700A52">
        <w:t>and the complexity it added to the system</w:t>
      </w:r>
      <w:r w:rsidR="00582B4C">
        <w:t xml:space="preserve"> and legislation and any perceived protection it provided. </w:t>
      </w:r>
    </w:p>
    <w:p w14:paraId="5D7BBB1B" w14:textId="4CD0AE0A" w:rsidR="00007218" w:rsidRDefault="00007218" w:rsidP="006F13BE">
      <w:pPr>
        <w:pStyle w:val="Heading3"/>
      </w:pPr>
      <w:bookmarkStart w:id="22" w:name="_Toc130562416"/>
      <w:r>
        <w:t>Consultation on the 10 years’ experience</w:t>
      </w:r>
      <w:bookmarkEnd w:id="22"/>
    </w:p>
    <w:p w14:paraId="45A9767B" w14:textId="12B0BCDF" w:rsidR="00007218" w:rsidRPr="00007218" w:rsidRDefault="00713C0F" w:rsidP="00B56954">
      <w:r>
        <w:t xml:space="preserve">The 10 years’ experience condition was widely supported. 46 submissions favoured the 10 years period, whilst 18 opposed it. </w:t>
      </w:r>
      <w:r w:rsidR="00147361">
        <w:t>Most concerns on this element indicated the imperative for more contemporary experience to be recognised.</w:t>
      </w:r>
      <w:r w:rsidR="00147361" w:rsidRPr="00A6221C">
        <w:t xml:space="preserve"> </w:t>
      </w:r>
      <w:r w:rsidR="00147361">
        <w:t>An adjusted period of experience from 2007</w:t>
      </w:r>
      <w:r w:rsidR="00363C86">
        <w:t xml:space="preserve"> to </w:t>
      </w:r>
      <w:r w:rsidR="00147361">
        <w:t>202</w:t>
      </w:r>
      <w:r w:rsidR="004C7FD2">
        <w:t>1</w:t>
      </w:r>
      <w:r w:rsidR="00147361">
        <w:t xml:space="preserve"> was generally preferred. Stakeholders considered that this aligned with the announcement of the commitment and captured more contemporary experience, including of the impact of COVID-19. </w:t>
      </w:r>
      <w:r w:rsidR="00AF7472">
        <w:t xml:space="preserve">Because of this consultation, </w:t>
      </w:r>
      <w:r w:rsidR="00D703BD">
        <w:t xml:space="preserve">the more contemporary period of experience from </w:t>
      </w:r>
      <w:r w:rsidR="00886D0D">
        <w:t>1 January</w:t>
      </w:r>
      <w:r w:rsidR="004C7FD2">
        <w:t xml:space="preserve"> </w:t>
      </w:r>
      <w:r w:rsidR="00D703BD">
        <w:t>2007</w:t>
      </w:r>
      <w:r w:rsidR="004C7FD2">
        <w:t xml:space="preserve"> to </w:t>
      </w:r>
      <w:r w:rsidR="00886D0D">
        <w:t>31 December</w:t>
      </w:r>
      <w:r w:rsidR="004C7FD2">
        <w:t xml:space="preserve"> </w:t>
      </w:r>
      <w:r w:rsidR="00D703BD">
        <w:t>20</w:t>
      </w:r>
      <w:r w:rsidR="004C7FD2">
        <w:t>21</w:t>
      </w:r>
      <w:r w:rsidR="00D703BD">
        <w:t xml:space="preserve"> was adopted</w:t>
      </w:r>
      <w:r w:rsidR="002E29F6">
        <w:t>.</w:t>
      </w:r>
    </w:p>
    <w:p w14:paraId="5258D944" w14:textId="483CBF17" w:rsidR="00174D47" w:rsidRDefault="00EE17BF" w:rsidP="00EB3B56">
      <w:pPr>
        <w:pStyle w:val="Heading3"/>
      </w:pPr>
      <w:bookmarkStart w:id="23" w:name="_Toc130562417"/>
      <w:r>
        <w:t>Consultation on</w:t>
      </w:r>
      <w:r w:rsidR="003B3D35">
        <w:t xml:space="preserve"> the clean record</w:t>
      </w:r>
      <w:bookmarkEnd w:id="23"/>
    </w:p>
    <w:p w14:paraId="47256234" w14:textId="203A8A72" w:rsidR="00C17904" w:rsidRDefault="00742D3E" w:rsidP="00C17904">
      <w:pPr>
        <w:pStyle w:val="DoubleDot"/>
        <w:numPr>
          <w:ilvl w:val="0"/>
          <w:numId w:val="0"/>
        </w:numPr>
      </w:pPr>
      <w:r>
        <w:t xml:space="preserve">There was strong in principle support for the clean record requirement. 45 submissions supported a clean record requirement and 9 opposed it. But the </w:t>
      </w:r>
      <w:r w:rsidR="00C17904">
        <w:t>only widely supported metric to determine a clean record was using the Financial Advisers Register.</w:t>
      </w:r>
      <w:r w:rsidR="00AB6342">
        <w:t xml:space="preserve"> </w:t>
      </w:r>
    </w:p>
    <w:p w14:paraId="4870275A" w14:textId="214A71CC" w:rsidR="00C67353" w:rsidRDefault="00C17904" w:rsidP="00C17904">
      <w:pPr>
        <w:pStyle w:val="DoubleDot"/>
        <w:numPr>
          <w:ilvl w:val="0"/>
          <w:numId w:val="0"/>
        </w:numPr>
      </w:pPr>
      <w:r>
        <w:t>Other o</w:t>
      </w:r>
      <w:r w:rsidR="002B3C63">
        <w:t xml:space="preserve">ptions tabled included whether an adviser’s conduct has resulted in adverse findings being made against their licensees at the Australian Financial Complaints Authority, continuing professional </w:t>
      </w:r>
      <w:r w:rsidR="002B3C63">
        <w:lastRenderedPageBreak/>
        <w:t xml:space="preserve">development compliance, and disciplinary action taken by professional associations against their member. </w:t>
      </w:r>
      <w:r w:rsidR="00AC1A63">
        <w:t>But these methods receive</w:t>
      </w:r>
      <w:r w:rsidR="00750D11">
        <w:t>d</w:t>
      </w:r>
      <w:r w:rsidR="00AC1A63">
        <w:t xml:space="preserve"> mixed support.</w:t>
      </w:r>
    </w:p>
    <w:p w14:paraId="194A19F7" w14:textId="3FFC5279" w:rsidR="00AB6342" w:rsidRDefault="00AB6342" w:rsidP="00AB6342">
      <w:pPr>
        <w:pStyle w:val="DoubleDot"/>
        <w:numPr>
          <w:ilvl w:val="0"/>
          <w:numId w:val="0"/>
        </w:numPr>
      </w:pPr>
      <w:r>
        <w:t xml:space="preserve">Due to the consultation, a more stringent definition of a clean record, using only action on the </w:t>
      </w:r>
      <w:r w:rsidR="00D11BB6">
        <w:t>Financial Advisers Register</w:t>
      </w:r>
      <w:r>
        <w:t>, was adopted.</w:t>
      </w:r>
      <w:r w:rsidR="00963DC1">
        <w:t xml:space="preserve"> This is considered to be an easily identifiable and consistent metric. </w:t>
      </w:r>
    </w:p>
    <w:p w14:paraId="58183D6A" w14:textId="0D378129" w:rsidR="00137F79" w:rsidRDefault="00137F79" w:rsidP="00137F79">
      <w:pPr>
        <w:pStyle w:val="Heading3"/>
      </w:pPr>
      <w:bookmarkStart w:id="24" w:name="_Toc130562418"/>
      <w:r>
        <w:t xml:space="preserve">Consultation on the </w:t>
      </w:r>
      <w:r w:rsidR="006260B3">
        <w:t>assessment of eligibility</w:t>
      </w:r>
      <w:bookmarkEnd w:id="24"/>
    </w:p>
    <w:p w14:paraId="3402FB72" w14:textId="686BFAE4" w:rsidR="000029D0" w:rsidRPr="00B04959" w:rsidRDefault="00137F79" w:rsidP="002709F3">
      <w:pPr>
        <w:pStyle w:val="DoubleDot"/>
        <w:numPr>
          <w:ilvl w:val="0"/>
          <w:numId w:val="0"/>
        </w:numPr>
      </w:pPr>
      <w:r>
        <w:t xml:space="preserve">Finally, the assessment of eligibility was examined, with the option of a self-assessment and declaration of eligibility being presented. </w:t>
      </w:r>
      <w:r w:rsidR="000029D0">
        <w:t xml:space="preserve">There was support for self-declaration </w:t>
      </w:r>
      <w:r w:rsidR="00171933">
        <w:t xml:space="preserve">with </w:t>
      </w:r>
      <w:r w:rsidR="000029D0">
        <w:t xml:space="preserve">33 submissions </w:t>
      </w:r>
      <w:r w:rsidR="00650577">
        <w:t xml:space="preserve">in support and </w:t>
      </w:r>
      <w:r w:rsidR="000029D0">
        <w:t xml:space="preserve">17 </w:t>
      </w:r>
      <w:r w:rsidR="00650577">
        <w:t xml:space="preserve">in </w:t>
      </w:r>
      <w:r w:rsidR="000029D0">
        <w:t>oppos</w:t>
      </w:r>
      <w:r w:rsidR="00650577">
        <w:t>ition</w:t>
      </w:r>
      <w:r w:rsidR="000029D0">
        <w:t xml:space="preserve">. </w:t>
      </w:r>
    </w:p>
    <w:p w14:paraId="259072AE" w14:textId="77777777" w:rsidR="009A44DA" w:rsidRDefault="003E6E0D" w:rsidP="00137F79">
      <w:r>
        <w:t>The stakeholders generally agreed that a formal mechanism should be used to indicate an adviser’s eligibility for the pathway, but no consensus could be reached on wh</w:t>
      </w:r>
      <w:r w:rsidR="00A00C06">
        <w:t>ich mecha</w:t>
      </w:r>
      <w:r w:rsidR="00B45903">
        <w:t>nism</w:t>
      </w:r>
      <w:r>
        <w:t xml:space="preserve">. </w:t>
      </w:r>
      <w:r w:rsidR="008478A1">
        <w:t xml:space="preserve">Proposals ranged from an adviser making a statutory declaration, to a licensee assessing a portfolio of evidence, to ASIC assessing each adviser’s eligibility on an application basis. </w:t>
      </w:r>
      <w:r w:rsidR="00137F79">
        <w:t>ASIC as the regulator was presented as having the ability to randomly audit applications as it saw fit to ensure compliance but there would not be a person-by-person assessment.</w:t>
      </w:r>
      <w:r w:rsidR="002D5125">
        <w:t xml:space="preserve"> </w:t>
      </w:r>
    </w:p>
    <w:p w14:paraId="7C811BA9" w14:textId="241ADD98" w:rsidR="00137F79" w:rsidRPr="00137F79" w:rsidRDefault="008478A1" w:rsidP="00137F79">
      <w:r>
        <w:t xml:space="preserve">Without a clear alternative being presented, </w:t>
      </w:r>
      <w:r w:rsidR="00C81035">
        <w:t xml:space="preserve">the </w:t>
      </w:r>
      <w:r w:rsidR="00467611">
        <w:t>originally presented option of self-assess</w:t>
      </w:r>
      <w:r w:rsidR="00FF505B">
        <w:t xml:space="preserve">ment </w:t>
      </w:r>
      <w:r w:rsidR="00467611">
        <w:t>was maintained.</w:t>
      </w:r>
      <w:r w:rsidR="003D64AB">
        <w:t xml:space="preserve"> This option </w:t>
      </w:r>
      <w:r w:rsidR="002701E5">
        <w:t xml:space="preserve">does not place a large burden on ASIC or the </w:t>
      </w:r>
      <w:r w:rsidR="00C0227B">
        <w:t xml:space="preserve">licensee, and with the more stringent definition of a clean record, </w:t>
      </w:r>
      <w:r w:rsidR="009C0CE3">
        <w:t>the risks associated with this method are reduced</w:t>
      </w:r>
      <w:r w:rsidR="00685E41">
        <w:t xml:space="preserve">. </w:t>
      </w:r>
    </w:p>
    <w:p w14:paraId="68290C49" w14:textId="19CF20C9" w:rsidR="000E793F" w:rsidRDefault="00962F90" w:rsidP="006078BA">
      <w:pPr>
        <w:pStyle w:val="Heading1"/>
        <w:tabs>
          <w:tab w:val="left" w:pos="3334"/>
        </w:tabs>
      </w:pPr>
      <w:bookmarkStart w:id="25" w:name="_Toc130562419"/>
      <w:r w:rsidRPr="00B80490">
        <w:t>Conclusion</w:t>
      </w:r>
      <w:bookmarkEnd w:id="25"/>
      <w:r w:rsidR="00F62EE5">
        <w:tab/>
      </w:r>
    </w:p>
    <w:p w14:paraId="44E89A2A" w14:textId="4DF4C65C" w:rsidR="00374F0D" w:rsidRDefault="007E6D9C" w:rsidP="000E793F">
      <w:r w:rsidRPr="00E52CF5">
        <w:t xml:space="preserve">The declining number of financial advisers, in the face of sustained demand for financial advice, will contribute to rising cost of financial advice </w:t>
      </w:r>
      <w:r w:rsidR="00E85EDD" w:rsidRPr="00E52CF5">
        <w:t xml:space="preserve">in the absence of </w:t>
      </w:r>
      <w:r w:rsidR="00363C86">
        <w:t>g</w:t>
      </w:r>
      <w:r w:rsidR="005E38B7">
        <w:t>overnment</w:t>
      </w:r>
      <w:r w:rsidR="00E85EDD" w:rsidRPr="00E52CF5">
        <w:t xml:space="preserve"> action. </w:t>
      </w:r>
      <w:r w:rsidR="0011653A" w:rsidRPr="00E52CF5">
        <w:t>Addressing th</w:t>
      </w:r>
      <w:r w:rsidR="00D373D4" w:rsidRPr="00E52CF5">
        <w:t xml:space="preserve">e increasing </w:t>
      </w:r>
      <w:r w:rsidR="0011653A" w:rsidRPr="00E52CF5">
        <w:t>cost</w:t>
      </w:r>
      <w:r w:rsidR="00D373D4" w:rsidRPr="00E52CF5">
        <w:t xml:space="preserve"> of financial advice </w:t>
      </w:r>
      <w:r w:rsidR="0011653A" w:rsidRPr="00E52CF5">
        <w:t xml:space="preserve">will likely require multiple policy responses. </w:t>
      </w:r>
    </w:p>
    <w:p w14:paraId="297C53C7" w14:textId="446BF4A0" w:rsidR="00982674" w:rsidRPr="00E52CF5" w:rsidRDefault="0011653A" w:rsidP="000E793F">
      <w:r w:rsidRPr="00E52CF5">
        <w:t xml:space="preserve">However, </w:t>
      </w:r>
      <w:r w:rsidR="00EC3006">
        <w:t xml:space="preserve">the proposed option </w:t>
      </w:r>
      <w:r w:rsidR="00BE0AD0">
        <w:t xml:space="preserve">will remove a significant disincentive for </w:t>
      </w:r>
      <w:r w:rsidR="0098175D">
        <w:t xml:space="preserve">experienced advisers to stay in the industry, </w:t>
      </w:r>
      <w:r w:rsidR="003A6930">
        <w:t xml:space="preserve">assisting </w:t>
      </w:r>
      <w:r w:rsidR="00EC3006">
        <w:t xml:space="preserve">to stabilise </w:t>
      </w:r>
      <w:r w:rsidR="00A271AE">
        <w:t>adviser numbers</w:t>
      </w:r>
      <w:r w:rsidR="00EC3006">
        <w:t xml:space="preserve"> and ensure a pool of advisers to mentor, supervise and upskill </w:t>
      </w:r>
      <w:r w:rsidR="00414401">
        <w:t xml:space="preserve">new entrants. </w:t>
      </w:r>
      <w:r w:rsidR="00A271AE">
        <w:t xml:space="preserve">This </w:t>
      </w:r>
      <w:r w:rsidR="00890C36" w:rsidRPr="00E52CF5">
        <w:t>will</w:t>
      </w:r>
      <w:r w:rsidR="0046037C" w:rsidRPr="00E52CF5" w:rsidDel="00FD1C2A">
        <w:t xml:space="preserve"> </w:t>
      </w:r>
      <w:r w:rsidR="00414401">
        <w:t xml:space="preserve">support </w:t>
      </w:r>
      <w:r w:rsidR="00EF5D1A">
        <w:t>efforts to increase the supply of advisers making advice more affordable and</w:t>
      </w:r>
      <w:r w:rsidR="00FD1C2A">
        <w:t xml:space="preserve"> more accessible</w:t>
      </w:r>
      <w:r w:rsidR="00C26997" w:rsidRPr="00E52CF5">
        <w:t xml:space="preserve">. </w:t>
      </w:r>
    </w:p>
    <w:p w14:paraId="3E2797C8" w14:textId="3524CEC9" w:rsidR="00C23647" w:rsidRDefault="00701832" w:rsidP="000E793F">
      <w:r>
        <w:t xml:space="preserve">The pathway will achieve these goals without reducing </w:t>
      </w:r>
      <w:r w:rsidRPr="00E52CF5">
        <w:t xml:space="preserve">consumer protection. The experienced adviser </w:t>
      </w:r>
      <w:r>
        <w:t>maintains a high standard for advisers by requiring a</w:t>
      </w:r>
      <w:r w:rsidRPr="00E52CF5">
        <w:t xml:space="preserve"> clean record</w:t>
      </w:r>
      <w:r w:rsidRPr="00E52CF5" w:rsidDel="00701832">
        <w:t xml:space="preserve"> a</w:t>
      </w:r>
      <w:r w:rsidRPr="00E52CF5" w:rsidDel="00C23647">
        <w:t xml:space="preserve">nd </w:t>
      </w:r>
      <w:r w:rsidR="00EF5D1A">
        <w:t xml:space="preserve">continues the professionalisation of </w:t>
      </w:r>
      <w:r w:rsidRPr="00E52CF5" w:rsidDel="00C23647">
        <w:t xml:space="preserve">the </w:t>
      </w:r>
      <w:r w:rsidR="00EF5D1A">
        <w:t>industry by testing a base</w:t>
      </w:r>
      <w:r w:rsidR="006153CC">
        <w:t xml:space="preserve"> </w:t>
      </w:r>
      <w:r w:rsidR="00EF5D1A">
        <w:t xml:space="preserve">level knowledge through the financial adviser </w:t>
      </w:r>
      <w:r w:rsidRPr="00E52CF5">
        <w:t>exam</w:t>
      </w:r>
      <w:r w:rsidR="00EF5D1A">
        <w:t xml:space="preserve">. </w:t>
      </w:r>
      <w:r w:rsidR="00C23647" w:rsidRPr="00E52CF5">
        <w:t xml:space="preserve">For the above reasons the </w:t>
      </w:r>
      <w:r w:rsidR="00D16C54">
        <w:t>election commitment</w:t>
      </w:r>
      <w:r w:rsidR="00C23647" w:rsidRPr="00E52CF5">
        <w:t xml:space="preserve"> is the preferred policy response compared to maintain</w:t>
      </w:r>
      <w:r w:rsidR="00473912">
        <w:t>ing</w:t>
      </w:r>
      <w:r w:rsidR="00C23647" w:rsidRPr="00E52CF5">
        <w:t xml:space="preserve"> the status quo. </w:t>
      </w:r>
    </w:p>
    <w:p w14:paraId="1C7B6140" w14:textId="24D29840" w:rsidR="00FE3489" w:rsidRDefault="00FE3489" w:rsidP="000E793F">
      <w:r>
        <w:t>Consultation helped refine this pathway</w:t>
      </w:r>
      <w:r w:rsidR="009B13A9">
        <w:t xml:space="preserve">. A more contemporary period for the 10 years’ experience and a </w:t>
      </w:r>
      <w:r w:rsidR="00B92660">
        <w:t xml:space="preserve">more relaxed definition of clean record were adopted </w:t>
      </w:r>
      <w:r w:rsidR="00614537">
        <w:t xml:space="preserve">due to industry </w:t>
      </w:r>
      <w:r w:rsidR="001E69B1">
        <w:t>feedback.</w:t>
      </w:r>
    </w:p>
    <w:p w14:paraId="7302F252" w14:textId="10AFE07C" w:rsidR="003A3703" w:rsidRDefault="007C6D12" w:rsidP="00656756">
      <w:pPr>
        <w:pStyle w:val="Heading1"/>
      </w:pPr>
      <w:bookmarkStart w:id="26" w:name="_Toc130562420"/>
      <w:r>
        <w:t>Implementation and evaluation</w:t>
      </w:r>
      <w:bookmarkEnd w:id="26"/>
    </w:p>
    <w:p w14:paraId="7F99AF29" w14:textId="4A0FE0AC" w:rsidR="005E646C" w:rsidRDefault="00660273" w:rsidP="00803FD8">
      <w:r>
        <w:t>Delivery</w:t>
      </w:r>
      <w:r w:rsidR="00BC04D9">
        <w:t xml:space="preserve"> of the</w:t>
      </w:r>
      <w:r w:rsidR="00803FD8">
        <w:t xml:space="preserve"> election commitment require</w:t>
      </w:r>
      <w:r w:rsidR="00F333F1">
        <w:t>s</w:t>
      </w:r>
      <w:r w:rsidR="00803FD8">
        <w:t xml:space="preserve"> changes to the primary legislation</w:t>
      </w:r>
      <w:r w:rsidR="00121049">
        <w:t xml:space="preserve"> and </w:t>
      </w:r>
      <w:r w:rsidR="0066700C">
        <w:t>subordinate legislation</w:t>
      </w:r>
      <w:r w:rsidR="005D0C17">
        <w:t xml:space="preserve">. </w:t>
      </w:r>
    </w:p>
    <w:p w14:paraId="759D3EB2" w14:textId="321F2385" w:rsidR="00B85FF2" w:rsidRDefault="00C275A2" w:rsidP="00803FD8">
      <w:r>
        <w:t>Implementation will leverage existing processes and systems</w:t>
      </w:r>
      <w:r w:rsidR="00107AEE">
        <w:t xml:space="preserve"> within industry</w:t>
      </w:r>
      <w:r>
        <w:t>.</w:t>
      </w:r>
      <w:r w:rsidR="00107AEE">
        <w:t xml:space="preserve"> </w:t>
      </w:r>
      <w:r w:rsidR="00406AD5">
        <w:t>For example, a</w:t>
      </w:r>
      <w:r w:rsidR="00107AEE">
        <w:t>n Australian financial services license</w:t>
      </w:r>
      <w:r w:rsidR="00BE1918">
        <w:t xml:space="preserve">e </w:t>
      </w:r>
      <w:r w:rsidR="008D0B72">
        <w:t>is already required</w:t>
      </w:r>
      <w:r w:rsidR="006D754D">
        <w:t xml:space="preserve"> to inform ASIC </w:t>
      </w:r>
      <w:r w:rsidR="00675312">
        <w:t>on</w:t>
      </w:r>
      <w:r w:rsidR="006D754D">
        <w:t xml:space="preserve"> the education status of their auth</w:t>
      </w:r>
      <w:r w:rsidR="00956CAF">
        <w:t>orised representatives</w:t>
      </w:r>
      <w:r w:rsidR="00406AD5">
        <w:t xml:space="preserve">. </w:t>
      </w:r>
      <w:r w:rsidR="00E959AF">
        <w:t>There are forms and IT systems in place to support</w:t>
      </w:r>
      <w:r w:rsidR="00956CAF">
        <w:t xml:space="preserve"> </w:t>
      </w:r>
      <w:r w:rsidR="00F333F1">
        <w:t xml:space="preserve">this </w:t>
      </w:r>
      <w:r w:rsidR="008D0B72">
        <w:t xml:space="preserve">requirement. </w:t>
      </w:r>
      <w:r w:rsidR="00406AD5">
        <w:t xml:space="preserve">This </w:t>
      </w:r>
      <w:r w:rsidR="008D0B72">
        <w:lastRenderedPageBreak/>
        <w:t xml:space="preserve">mechanism </w:t>
      </w:r>
      <w:r w:rsidR="00956CAF">
        <w:t xml:space="preserve">will </w:t>
      </w:r>
      <w:r w:rsidR="00406AD5">
        <w:t xml:space="preserve">be </w:t>
      </w:r>
      <w:r w:rsidR="00956CAF">
        <w:t xml:space="preserve">the </w:t>
      </w:r>
      <w:r w:rsidR="00F333F1">
        <w:t xml:space="preserve">avenue through which </w:t>
      </w:r>
      <w:r w:rsidR="00E85CF8">
        <w:t xml:space="preserve">a licensee </w:t>
      </w:r>
      <w:r w:rsidR="00294CCE">
        <w:t xml:space="preserve">will </w:t>
      </w:r>
      <w:r w:rsidR="00E85CF8">
        <w:t>notify ASIC of</w:t>
      </w:r>
      <w:r w:rsidR="00294CCE">
        <w:t xml:space="preserve"> </w:t>
      </w:r>
      <w:r w:rsidR="00014FC4">
        <w:t xml:space="preserve">an adviser’s eligibility for the </w:t>
      </w:r>
      <w:r w:rsidR="00E410C7">
        <w:t>experience pathway.</w:t>
      </w:r>
      <w:r w:rsidR="009844DA">
        <w:t xml:space="preserve"> </w:t>
      </w:r>
    </w:p>
    <w:p w14:paraId="69F97CCF" w14:textId="490606EB" w:rsidR="00E2757C" w:rsidRDefault="00926828" w:rsidP="00803FD8">
      <w:r>
        <w:t xml:space="preserve">Licensees will be able to </w:t>
      </w:r>
      <w:r w:rsidR="00C50DBA">
        <w:t>set up their</w:t>
      </w:r>
      <w:r>
        <w:t xml:space="preserve"> own </w:t>
      </w:r>
      <w:r w:rsidR="00B85FF2">
        <w:t xml:space="preserve">internal </w:t>
      </w:r>
      <w:r>
        <w:t>systems</w:t>
      </w:r>
      <w:r w:rsidR="0076527B">
        <w:t xml:space="preserve"> and </w:t>
      </w:r>
      <w:r w:rsidR="00B85FF2">
        <w:t>processes as to the</w:t>
      </w:r>
      <w:r w:rsidR="00623D4F">
        <w:t xml:space="preserve"> form </w:t>
      </w:r>
      <w:r w:rsidR="00B85FF2">
        <w:t xml:space="preserve">in which </w:t>
      </w:r>
      <w:r w:rsidR="00B128E3">
        <w:t xml:space="preserve">an adviser will declare that they are eligible for the </w:t>
      </w:r>
      <w:r w:rsidR="008111DE">
        <w:t>election commitment.</w:t>
      </w:r>
      <w:r w:rsidR="002F3C62">
        <w:t xml:space="preserve"> Licensees and advisers will have until 1 January 2026 to establish </w:t>
      </w:r>
      <w:r w:rsidR="00B128E3">
        <w:t>eligibility</w:t>
      </w:r>
      <w:r w:rsidR="002F3C62">
        <w:t xml:space="preserve"> for th</w:t>
      </w:r>
      <w:r w:rsidR="00B128E3">
        <w:t>is</w:t>
      </w:r>
      <w:r w:rsidR="002F3C62">
        <w:t xml:space="preserve"> election commitment. </w:t>
      </w:r>
      <w:r w:rsidR="00C50DBA">
        <w:t xml:space="preserve">This is the current date </w:t>
      </w:r>
      <w:r w:rsidR="00B128E3">
        <w:t xml:space="preserve">by which an existing adviser must meet the education requirements </w:t>
      </w:r>
      <w:r w:rsidR="00EB173D">
        <w:t xml:space="preserve">while continuing to provide advice. An adviser who meets the criteria will still be able to enter the industry </w:t>
      </w:r>
      <w:r w:rsidR="001B2898">
        <w:t>at any time without needing to complete additional education requirements as long as they have passed the exam</w:t>
      </w:r>
      <w:r w:rsidR="00956CAF">
        <w:t xml:space="preserve">. </w:t>
      </w:r>
    </w:p>
    <w:p w14:paraId="7F9F9C39" w14:textId="78EA200E" w:rsidR="00B27246" w:rsidRDefault="002052C2" w:rsidP="00803FD8">
      <w:r>
        <w:t>ASIC would continue to monitor and enforce compliance with the education standards consistent with existing practice.</w:t>
      </w:r>
      <w:r w:rsidR="00BD7A9A">
        <w:t xml:space="preserve"> </w:t>
      </w:r>
      <w:r w:rsidR="005C34F6">
        <w:t>ASIC has guidance available</w:t>
      </w:r>
      <w:r w:rsidR="00BD7A9A">
        <w:t xml:space="preserve"> on </w:t>
      </w:r>
      <w:r w:rsidR="005C34F6">
        <w:t xml:space="preserve">its website setting out how it prioritises and identifies </w:t>
      </w:r>
      <w:r w:rsidR="00C50A5E">
        <w:t>its regulatory activity.</w:t>
      </w:r>
      <w:r w:rsidR="004E1923">
        <w:t xml:space="preserve"> </w:t>
      </w:r>
      <w:r w:rsidR="007B3993">
        <w:t xml:space="preserve">As outlined above, ASIC will </w:t>
      </w:r>
      <w:r w:rsidR="00D01372">
        <w:t>be able to scrutinise</w:t>
      </w:r>
      <w:r w:rsidR="007B3993">
        <w:t xml:space="preserve"> a</w:t>
      </w:r>
      <w:r w:rsidR="00D01372">
        <w:t>n adviser who uses the experienced pathway where they are aware that an adviser may be ineligible.</w:t>
      </w:r>
      <w:r w:rsidR="006759B8">
        <w:t xml:space="preserve"> </w:t>
      </w:r>
    </w:p>
    <w:p w14:paraId="09BEE297" w14:textId="77777777" w:rsidR="00683FAA" w:rsidRDefault="00683FAA" w:rsidP="00683FAA">
      <w:r>
        <w:t xml:space="preserve">ASIC currently maintains the </w:t>
      </w:r>
      <w:r w:rsidR="00A043D2">
        <w:t>Financial Advisers Register.</w:t>
      </w:r>
      <w:r w:rsidR="008D67D5">
        <w:t xml:space="preserve"> Advisers </w:t>
      </w:r>
      <w:r>
        <w:t>are required to update ASIC when their circumstances change</w:t>
      </w:r>
      <w:r w:rsidR="00A043D2">
        <w:t xml:space="preserve">. </w:t>
      </w:r>
      <w:r>
        <w:t xml:space="preserve"> Further, </w:t>
      </w:r>
      <w:r w:rsidR="008A7415">
        <w:t>ASIC</w:t>
      </w:r>
      <w:r>
        <w:t xml:space="preserve"> will have the </w:t>
      </w:r>
      <w:r w:rsidR="008A7415">
        <w:t>ability to</w:t>
      </w:r>
      <w:r>
        <w:t xml:space="preserve"> audit </w:t>
      </w:r>
      <w:r w:rsidR="008A7415">
        <w:t xml:space="preserve">an adviser who has identified as eligible for the </w:t>
      </w:r>
      <w:r>
        <w:t>experienced pathway, ensuring that their declaration of eligibility matches their data on the F</w:t>
      </w:r>
      <w:r w:rsidR="008A7415">
        <w:t xml:space="preserve">inancial </w:t>
      </w:r>
      <w:r>
        <w:t>A</w:t>
      </w:r>
      <w:r w:rsidR="008A7415">
        <w:t xml:space="preserve">dvisers </w:t>
      </w:r>
      <w:r>
        <w:t>R</w:t>
      </w:r>
      <w:r w:rsidR="008A7415">
        <w:t>egister</w:t>
      </w:r>
      <w:r>
        <w:t>.</w:t>
      </w:r>
    </w:p>
    <w:p w14:paraId="7B076BB5" w14:textId="77777777" w:rsidR="00683FAA" w:rsidRDefault="00683FAA" w:rsidP="00683FAA">
      <w:r>
        <w:t xml:space="preserve">Further information on professional standards for financial advisers can be found at the </w:t>
      </w:r>
      <w:r w:rsidR="0063617A">
        <w:t>following address.</w:t>
      </w:r>
    </w:p>
    <w:p w14:paraId="66BBE913" w14:textId="77777777" w:rsidR="00683FAA" w:rsidRDefault="008302E2" w:rsidP="00683FAA">
      <w:hyperlink r:id="rId25" w:history="1">
        <w:r w:rsidR="00683FAA" w:rsidRPr="00AF3509">
          <w:rPr>
            <w:rStyle w:val="Hyperlink"/>
          </w:rPr>
          <w:t>www.a</w:t>
        </w:r>
        <w:r w:rsidR="00683FAA" w:rsidRPr="00FA44B8">
          <w:rPr>
            <w:rStyle w:val="Hyperlink"/>
          </w:rPr>
          <w:t>sic.gov.au/for-finance-professionals/afs-licensees/professional-standards-for-financial-advisers/</w:t>
        </w:r>
      </w:hyperlink>
    </w:p>
    <w:p w14:paraId="51E97483" w14:textId="77777777" w:rsidR="00683FAA" w:rsidRDefault="00683FAA" w:rsidP="00683FAA">
      <w:r>
        <w:t xml:space="preserve">Further information on how ASIC prioritises its regulatory activity can be found at the </w:t>
      </w:r>
      <w:r w:rsidR="0063617A">
        <w:t>following address.</w:t>
      </w:r>
    </w:p>
    <w:p w14:paraId="0427B40A" w14:textId="77777777" w:rsidR="00683FAA" w:rsidRDefault="008302E2" w:rsidP="00683FAA">
      <w:hyperlink r:id="rId26" w:history="1">
        <w:r w:rsidR="00683FAA" w:rsidRPr="00372BEE">
          <w:rPr>
            <w:rStyle w:val="Hyperlink"/>
          </w:rPr>
          <w:t>www.asic.gov.au/about-asic/asic-investigations-and-enforcement/asic-enforcement-priorities/</w:t>
        </w:r>
      </w:hyperlink>
    </w:p>
    <w:p w14:paraId="02328D12" w14:textId="77777777" w:rsidR="00683FAA" w:rsidRDefault="00683FAA" w:rsidP="00683FAA">
      <w:r>
        <w:t>Success will be measured on the number of active advisers</w:t>
      </w:r>
      <w:r w:rsidR="008E4DF0">
        <w:t xml:space="preserve">. </w:t>
      </w:r>
      <w:r w:rsidR="00A043D2">
        <w:t>A stabilisation of adviser numbers will reflect that existing advisers remain in the industry, mentoring and supervising new entrants. This will be observable in the number of advisers listed on the Financial Adviser Register.</w:t>
      </w:r>
    </w:p>
    <w:p w14:paraId="6ED9B890" w14:textId="132D9336" w:rsidR="008A5ADF" w:rsidRDefault="008A5ADF" w:rsidP="0077584A">
      <w:pPr>
        <w:pStyle w:val="Heading1"/>
      </w:pPr>
      <w:bookmarkStart w:id="27" w:name="_Toc130562421"/>
      <w:r>
        <w:t>Glossary</w:t>
      </w:r>
      <w:bookmarkEnd w:id="27"/>
    </w:p>
    <w:p w14:paraId="48C59780" w14:textId="5761D201" w:rsidR="00BB118C" w:rsidRDefault="00C82796" w:rsidP="0059785B">
      <w:r>
        <w:t xml:space="preserve">ASIC – </w:t>
      </w:r>
      <w:r w:rsidR="00584AAA" w:rsidRPr="00584AAA">
        <w:t>Australian Securities and Investments Commission</w:t>
      </w:r>
    </w:p>
    <w:p w14:paraId="41FB8980" w14:textId="70527789" w:rsidR="004459D5" w:rsidRDefault="004459D5" w:rsidP="003A69D5">
      <w:r>
        <w:t xml:space="preserve">FASEA </w:t>
      </w:r>
      <w:r w:rsidR="00C82796">
        <w:t>–</w:t>
      </w:r>
      <w:r>
        <w:t xml:space="preserve"> </w:t>
      </w:r>
      <w:r w:rsidR="00C82796" w:rsidRPr="00C82796">
        <w:t>Financial Adviser Standards and Ethics Authority</w:t>
      </w:r>
    </w:p>
    <w:p w14:paraId="57253FF4" w14:textId="4F99CA52" w:rsidR="00CB2748" w:rsidRDefault="00CB2748" w:rsidP="003A69D5">
      <w:r>
        <w:t>RTO – Registered Training Organisation</w:t>
      </w:r>
    </w:p>
    <w:p w14:paraId="3DB00DE2" w14:textId="7DE47648" w:rsidR="00D11BB6" w:rsidRDefault="00D11BB6" w:rsidP="003A69D5">
      <w:r>
        <w:t xml:space="preserve">Licensee – Australian financial service </w:t>
      </w:r>
      <w:r w:rsidRPr="00F63260">
        <w:t>licensee</w:t>
      </w:r>
    </w:p>
    <w:p w14:paraId="063DAB08" w14:textId="66CC10DE" w:rsidR="000C0F87" w:rsidRDefault="000C0F87" w:rsidP="003A69D5">
      <w:r>
        <w:t>New Entrant</w:t>
      </w:r>
      <w:r w:rsidR="001B7F74">
        <w:t xml:space="preserve"> – A financial adviser who has entered the industry after 2019. </w:t>
      </w:r>
    </w:p>
    <w:p w14:paraId="401B5DA5" w14:textId="6B70A819" w:rsidR="00CB2748" w:rsidRDefault="00CB2748" w:rsidP="003A69D5">
      <w:r>
        <w:t>Existing Adviser – A financial adviser who was on the financial adviser’s register between 2016 and 2019.</w:t>
      </w:r>
    </w:p>
    <w:p w14:paraId="4ED69BD1" w14:textId="77777777" w:rsidR="00A33D29" w:rsidRDefault="00A33D29">
      <w:pPr>
        <w:spacing w:before="0" w:after="200" w:line="276" w:lineRule="auto"/>
        <w:rPr>
          <w:rFonts w:ascii="Calibri" w:hAnsi="Calibri" w:cs="Arial"/>
          <w:b/>
          <w:color w:val="5D779D" w:themeColor="accent3"/>
          <w:kern w:val="32"/>
          <w:sz w:val="44"/>
          <w:szCs w:val="36"/>
        </w:rPr>
      </w:pPr>
      <w:bookmarkStart w:id="28" w:name="_Toc130562422"/>
      <w:r>
        <w:br w:type="page"/>
      </w:r>
    </w:p>
    <w:p w14:paraId="26E4D087" w14:textId="72D775FF" w:rsidR="008A5ADF" w:rsidRDefault="008A5ADF" w:rsidP="008A5ADF">
      <w:pPr>
        <w:pStyle w:val="Heading1"/>
      </w:pPr>
      <w:r>
        <w:lastRenderedPageBreak/>
        <w:t>Reference</w:t>
      </w:r>
      <w:r w:rsidR="00AC534E">
        <w:t>s</w:t>
      </w:r>
      <w:bookmarkEnd w:id="28"/>
    </w:p>
    <w:p w14:paraId="05E3DE5C" w14:textId="317453D9" w:rsidR="00BC18D2" w:rsidRDefault="00BC18D2" w:rsidP="003A69D5">
      <w:r>
        <w:t xml:space="preserve">Adviser Ratings, </w:t>
      </w:r>
      <w:r w:rsidRPr="00C10093">
        <w:t>2022</w:t>
      </w:r>
      <w:r w:rsidR="00C10093">
        <w:rPr>
          <w:i/>
          <w:iCs/>
        </w:rPr>
        <w:t>.</w:t>
      </w:r>
      <w:r w:rsidRPr="00473834">
        <w:rPr>
          <w:i/>
          <w:iCs/>
        </w:rPr>
        <w:t xml:space="preserve"> Australian Financial Advice</w:t>
      </w:r>
      <w:r>
        <w:t xml:space="preserve"> </w:t>
      </w:r>
      <w:r>
        <w:rPr>
          <w:i/>
          <w:iCs/>
        </w:rPr>
        <w:t>Landscape Report</w:t>
      </w:r>
      <w:r w:rsidR="00112EA5">
        <w:t>.</w:t>
      </w:r>
    </w:p>
    <w:p w14:paraId="00BEC7E8" w14:textId="2FA790EE" w:rsidR="00BC18D2" w:rsidRDefault="00BC18D2" w:rsidP="003A69D5">
      <w:r>
        <w:t>ASIC</w:t>
      </w:r>
      <w:r w:rsidR="00435F1E">
        <w:t>.</w:t>
      </w:r>
      <w:r>
        <w:t xml:space="preserve"> </w:t>
      </w:r>
      <w:r w:rsidRPr="00435F1E">
        <w:rPr>
          <w:i/>
          <w:iCs/>
        </w:rPr>
        <w:t>Financial Advisers Register</w:t>
      </w:r>
      <w:r>
        <w:t>.</w:t>
      </w:r>
      <w:r w:rsidRPr="00C4273E">
        <w:t xml:space="preserve"> </w:t>
      </w:r>
      <w:r w:rsidR="00D50245">
        <w:br/>
      </w:r>
      <w:r w:rsidRPr="008A272D">
        <w:t>https://asic.gov.au/for-finance-professionals/afs-licensees/financial-advisers-register/fees-to-update-the-financial-advisers-register/</w:t>
      </w:r>
    </w:p>
    <w:p w14:paraId="28A51FF0" w14:textId="7D0BFC7B" w:rsidR="00F21BBB" w:rsidRDefault="00F21BBB" w:rsidP="003A69D5">
      <w:r w:rsidRPr="008610B1">
        <w:t>Association of Financial Advisers</w:t>
      </w:r>
      <w:r w:rsidR="00A64320">
        <w:t>, February 2022</w:t>
      </w:r>
      <w:r w:rsidRPr="008610B1">
        <w:t xml:space="preserve">. </w:t>
      </w:r>
      <w:r w:rsidR="00A64320">
        <w:rPr>
          <w:i/>
          <w:iCs/>
        </w:rPr>
        <w:t>Submission.</w:t>
      </w:r>
      <w:r w:rsidR="00D50245">
        <w:br/>
      </w:r>
      <w:r w:rsidR="00B50FDB" w:rsidRPr="004D4D21">
        <w:t>https://www.afa.asn.au/wp-content/uploads/20220201_AFA-Submission-Education-Standards-Final.pdf</w:t>
      </w:r>
    </w:p>
    <w:p w14:paraId="5D4FE60A" w14:textId="2B43A76F" w:rsidR="00BC18D2" w:rsidRDefault="00BC18D2" w:rsidP="003A69D5">
      <w:r>
        <w:t xml:space="preserve">Deakin </w:t>
      </w:r>
      <w:r w:rsidR="00C10093">
        <w:t>University</w:t>
      </w:r>
      <w:r w:rsidR="00435F1E">
        <w:t xml:space="preserve">. </w:t>
      </w:r>
      <w:r w:rsidR="00435F1E" w:rsidRPr="00435F1E">
        <w:rPr>
          <w:i/>
          <w:iCs/>
        </w:rPr>
        <w:t>E</w:t>
      </w:r>
      <w:r w:rsidRPr="00435F1E">
        <w:rPr>
          <w:i/>
          <w:iCs/>
        </w:rPr>
        <w:t>thics for financial services course</w:t>
      </w:r>
      <w:r>
        <w:t>.</w:t>
      </w:r>
      <w:r w:rsidR="00435F1E">
        <w:t xml:space="preserve"> </w:t>
      </w:r>
      <w:r w:rsidRPr="008E178D">
        <w:t>https://www.deakin.edu.au/courses/unit?unit=MAA769</w:t>
      </w:r>
      <w:r w:rsidDel="008E178D">
        <w:t xml:space="preserve"> </w:t>
      </w:r>
    </w:p>
    <w:p w14:paraId="7678D25A" w14:textId="07CE720B" w:rsidR="00BC18D2" w:rsidRDefault="00BC18D2" w:rsidP="003A69D5">
      <w:r>
        <w:t>Explanatory Memorandum, Corporations Amendment (Professional Standards of Financial Advisers) Bill 2017 [6.8]</w:t>
      </w:r>
    </w:p>
    <w:p w14:paraId="45D1F5A8" w14:textId="456B3FDF" w:rsidR="00BC18D2" w:rsidRDefault="00BC18D2" w:rsidP="003A69D5">
      <w:r>
        <w:t xml:space="preserve">Financial Planning </w:t>
      </w:r>
      <w:r w:rsidR="00F845C6">
        <w:t>A</w:t>
      </w:r>
      <w:r>
        <w:t>ssociation</w:t>
      </w:r>
      <w:r w:rsidR="00A64320">
        <w:t>, February 2022</w:t>
      </w:r>
      <w:r w:rsidR="00435F1E">
        <w:t xml:space="preserve">. </w:t>
      </w:r>
      <w:r w:rsidR="00A64320">
        <w:rPr>
          <w:i/>
          <w:iCs/>
        </w:rPr>
        <w:t>S</w:t>
      </w:r>
      <w:r w:rsidRPr="00435F1E">
        <w:rPr>
          <w:i/>
          <w:iCs/>
        </w:rPr>
        <w:t>ubmission</w:t>
      </w:r>
      <w:r>
        <w:t xml:space="preserve">. </w:t>
      </w:r>
      <w:r w:rsidR="00D50245">
        <w:br/>
      </w:r>
      <w:r w:rsidR="000C2054" w:rsidRPr="000C2054">
        <w:t>https://fpa.com.au/wp-content/uploads/2022/02/20220201_Treasury_Education-Standard-Proposals_FINAL-1.pdf</w:t>
      </w:r>
    </w:p>
    <w:p w14:paraId="7E87CE88" w14:textId="6E8CD870" w:rsidR="000C2054" w:rsidRDefault="000C2054" w:rsidP="003A69D5">
      <w:r>
        <w:t>FSC,</w:t>
      </w:r>
      <w:r w:rsidR="002542CA">
        <w:t xml:space="preserve"> 2021.</w:t>
      </w:r>
      <w:r>
        <w:t xml:space="preserve"> </w:t>
      </w:r>
      <w:r w:rsidRPr="000C2054">
        <w:rPr>
          <w:i/>
          <w:iCs/>
        </w:rPr>
        <w:t>White Paper on financial advice</w:t>
      </w:r>
      <w:r>
        <w:t xml:space="preserve"> </w:t>
      </w:r>
      <w:r w:rsidR="00D50245">
        <w:br/>
      </w:r>
      <w:r w:rsidRPr="000C2054">
        <w:t>https://www.fsc.org.au/policy/advice/white-paper-advice</w:t>
      </w:r>
    </w:p>
    <w:p w14:paraId="017EEDDD" w14:textId="518C50FC" w:rsidR="00F21BBB" w:rsidRPr="008A272D" w:rsidRDefault="00F21BBB" w:rsidP="003A69D5">
      <w:pPr>
        <w:rPr>
          <w:color w:val="3A6FAF"/>
        </w:rPr>
      </w:pPr>
      <w:r>
        <w:t>FT adviser</w:t>
      </w:r>
      <w:r w:rsidR="00F653EC">
        <w:t>, April 2022</w:t>
      </w:r>
      <w:r>
        <w:t xml:space="preserve">. </w:t>
      </w:r>
      <w:r w:rsidR="00F653EC" w:rsidRPr="00F653EC">
        <w:rPr>
          <w:i/>
          <w:iCs/>
        </w:rPr>
        <w:t>Only 6% of advisers are under 30 years old</w:t>
      </w:r>
      <w:r w:rsidR="00C419A0">
        <w:rPr>
          <w:i/>
          <w:iCs/>
        </w:rPr>
        <w:t>.</w:t>
      </w:r>
      <w:r w:rsidR="00F653EC">
        <w:t xml:space="preserve"> </w:t>
      </w:r>
      <w:r w:rsidRPr="008610B1">
        <w:t>https://www.ftadviser.com/investments/2022/04/04/only-6-of-advisers-are-under-30-years-old/</w:t>
      </w:r>
    </w:p>
    <w:p w14:paraId="2C48F756" w14:textId="5FAA251F" w:rsidR="0078475D" w:rsidRDefault="0078475D" w:rsidP="003A69D5">
      <w:r>
        <w:t xml:space="preserve">IFA, February 2022. </w:t>
      </w:r>
      <w:r w:rsidRPr="00606B1F">
        <w:t>‘</w:t>
      </w:r>
      <w:r w:rsidRPr="0078475D">
        <w:rPr>
          <w:i/>
          <w:iCs/>
        </w:rPr>
        <w:t>FASEA got it wrong’: Government urged to change education standards proposal</w:t>
      </w:r>
      <w:r>
        <w:t xml:space="preserve"> </w:t>
      </w:r>
      <w:r w:rsidR="009069A5" w:rsidRPr="009069A5">
        <w:t>https://www.ifa.com.au/news/30712-fasea-got-it-wrong-govt-urged-to-change-education-standards-proposal</w:t>
      </w:r>
    </w:p>
    <w:p w14:paraId="6B7500FC" w14:textId="3A6704EE" w:rsidR="009069A5" w:rsidRDefault="009069A5" w:rsidP="003A69D5">
      <w:r>
        <w:t xml:space="preserve">IFA, August 2022. </w:t>
      </w:r>
      <w:r w:rsidRPr="00697DE3">
        <w:rPr>
          <w:i/>
          <w:iCs/>
        </w:rPr>
        <w:t>Stephen Jones announces consultation on education standards and adviser</w:t>
      </w:r>
      <w:r w:rsidRPr="009069A5">
        <w:t xml:space="preserve"> </w:t>
      </w:r>
      <w:r w:rsidRPr="00C419A0">
        <w:rPr>
          <w:i/>
          <w:iCs/>
        </w:rPr>
        <w:t>exam</w:t>
      </w:r>
      <w:r w:rsidR="00C419A0">
        <w:rPr>
          <w:i/>
          <w:iCs/>
        </w:rPr>
        <w:t>.</w:t>
      </w:r>
      <w:r w:rsidR="00C419A0" w:rsidRPr="00C419A0">
        <w:rPr>
          <w:i/>
          <w:iCs/>
        </w:rPr>
        <w:t xml:space="preserve"> </w:t>
      </w:r>
      <w:r w:rsidRPr="009069A5">
        <w:t>https://www.ifa.com.au/news/31612-stephen-jones-announces-consultation-on-education-standards-and-adviser-exam</w:t>
      </w:r>
    </w:p>
    <w:p w14:paraId="7E3A759E" w14:textId="3A6D55DE" w:rsidR="00826897" w:rsidRDefault="00826897" w:rsidP="003A69D5">
      <w:r w:rsidRPr="00826897">
        <w:t xml:space="preserve">Kaplan, February 2023. </w:t>
      </w:r>
      <w:r w:rsidRPr="00826897">
        <w:rPr>
          <w:i/>
          <w:iCs/>
        </w:rPr>
        <w:t>Record enrolment numbers as advisers just getting on with it</w:t>
      </w:r>
      <w:r>
        <w:rPr>
          <w:i/>
          <w:iCs/>
        </w:rPr>
        <w:t>.</w:t>
      </w:r>
      <w:r>
        <w:br/>
      </w:r>
      <w:r w:rsidRPr="00826897">
        <w:t>www.kaplanprofessional.edu.au/press-releases/kaplan-professional-sees-record-enrolment-numbers-as-advisers-just-getting-on-with-it/</w:t>
      </w:r>
    </w:p>
    <w:p w14:paraId="067A81CC" w14:textId="197A2718" w:rsidR="00F21BBB" w:rsidRDefault="00F21BBB" w:rsidP="003A69D5">
      <w:r>
        <w:t>Kaplan</w:t>
      </w:r>
      <w:r w:rsidR="005C207E">
        <w:t>, April 2023</w:t>
      </w:r>
      <w:r>
        <w:t xml:space="preserve">. </w:t>
      </w:r>
      <w:r w:rsidR="005C207E" w:rsidRPr="005C207E">
        <w:rPr>
          <w:i/>
          <w:iCs/>
        </w:rPr>
        <w:t>FPC002B Ethics and Professionalism in Financial Advice</w:t>
      </w:r>
      <w:r w:rsidR="005C207E">
        <w:t>.</w:t>
      </w:r>
      <w:r w:rsidR="00D50245">
        <w:br/>
      </w:r>
      <w:r w:rsidRPr="008278FF">
        <w:t>https://www.kaplanprofessional.edu.au/fpc002b-ethics-for-professional-advisers/#tab-4</w:t>
      </w:r>
    </w:p>
    <w:p w14:paraId="4FD4DF25" w14:textId="7576976D" w:rsidR="009135B6" w:rsidRDefault="009135B6" w:rsidP="00F21BBB">
      <w:r>
        <w:t xml:space="preserve">KPMG, 2021. </w:t>
      </w:r>
      <w:r>
        <w:rPr>
          <w:i/>
          <w:iCs/>
        </w:rPr>
        <w:t>Cost Profile of Australia’s Financial Advice Industry</w:t>
      </w:r>
      <w:r>
        <w:t>.</w:t>
      </w:r>
    </w:p>
    <w:p w14:paraId="6F53B146" w14:textId="23BFC156" w:rsidR="00826897" w:rsidRDefault="00826897" w:rsidP="00F21BBB">
      <w:r>
        <w:t xml:space="preserve">Reserve Bank of Australia, 2023. </w:t>
      </w:r>
      <w:r>
        <w:rPr>
          <w:i/>
          <w:iCs/>
        </w:rPr>
        <w:t>Inflation Calculator.</w:t>
      </w:r>
    </w:p>
    <w:p w14:paraId="3713A45C" w14:textId="766A83EA" w:rsidR="00F21BBB" w:rsidRDefault="00975428" w:rsidP="00F21BBB">
      <w:r>
        <w:t>Steven</w:t>
      </w:r>
      <w:r w:rsidR="00F21BBB">
        <w:t xml:space="preserve"> Jones</w:t>
      </w:r>
      <w:r>
        <w:t>,</w:t>
      </w:r>
      <w:r w:rsidR="00F21BBB">
        <w:t xml:space="preserve"> August 2022. </w:t>
      </w:r>
      <w:r w:rsidR="00112EA5">
        <w:rPr>
          <w:i/>
          <w:iCs/>
        </w:rPr>
        <w:t>C</w:t>
      </w:r>
      <w:r w:rsidR="00112EA5" w:rsidRPr="00112EA5">
        <w:rPr>
          <w:i/>
          <w:iCs/>
        </w:rPr>
        <w:t>onsultation</w:t>
      </w:r>
      <w:r w:rsidR="00112EA5">
        <w:rPr>
          <w:i/>
          <w:iCs/>
        </w:rPr>
        <w:t xml:space="preserve"> </w:t>
      </w:r>
      <w:r w:rsidR="00112EA5" w:rsidRPr="00112EA5">
        <w:rPr>
          <w:i/>
          <w:iCs/>
        </w:rPr>
        <w:t>open</w:t>
      </w:r>
      <w:r w:rsidR="00112EA5">
        <w:rPr>
          <w:i/>
          <w:iCs/>
        </w:rPr>
        <w:t xml:space="preserve"> </w:t>
      </w:r>
      <w:r w:rsidR="00112EA5" w:rsidRPr="00112EA5">
        <w:rPr>
          <w:i/>
          <w:iCs/>
        </w:rPr>
        <w:t>financial</w:t>
      </w:r>
      <w:r w:rsidR="00112EA5">
        <w:rPr>
          <w:i/>
          <w:iCs/>
        </w:rPr>
        <w:t xml:space="preserve"> </w:t>
      </w:r>
      <w:r w:rsidR="00112EA5" w:rsidRPr="00112EA5">
        <w:rPr>
          <w:i/>
          <w:iCs/>
        </w:rPr>
        <w:t>adviser</w:t>
      </w:r>
      <w:r w:rsidR="00112EA5">
        <w:rPr>
          <w:i/>
          <w:iCs/>
        </w:rPr>
        <w:t xml:space="preserve"> </w:t>
      </w:r>
      <w:r w:rsidR="00112EA5" w:rsidRPr="00112EA5">
        <w:rPr>
          <w:i/>
          <w:iCs/>
        </w:rPr>
        <w:t>education</w:t>
      </w:r>
      <w:r w:rsidR="00112EA5">
        <w:rPr>
          <w:i/>
          <w:iCs/>
        </w:rPr>
        <w:t xml:space="preserve"> </w:t>
      </w:r>
      <w:r w:rsidR="00112EA5" w:rsidRPr="00112EA5">
        <w:rPr>
          <w:i/>
          <w:iCs/>
        </w:rPr>
        <w:t>standards</w:t>
      </w:r>
      <w:r w:rsidR="00112EA5">
        <w:rPr>
          <w:i/>
          <w:iCs/>
        </w:rPr>
        <w:t>.</w:t>
      </w:r>
      <w:r w:rsidR="00112EA5">
        <w:br/>
      </w:r>
      <w:r w:rsidR="00F21BBB" w:rsidRPr="008610B1">
        <w:t>https://ministers.treasury.gov.au/ministers/stephen-jones-2022/media-releases/consultation-open-financial-adviser-education-standards</w:t>
      </w:r>
    </w:p>
    <w:p w14:paraId="23D69C71" w14:textId="574A0F3C" w:rsidR="00F21BBB" w:rsidRDefault="00975428" w:rsidP="003A69D5">
      <w:r>
        <w:t>Steven</w:t>
      </w:r>
      <w:r w:rsidR="00F21BBB">
        <w:t xml:space="preserve"> Jones</w:t>
      </w:r>
      <w:r>
        <w:t>,</w:t>
      </w:r>
      <w:r w:rsidR="00F21BBB">
        <w:t xml:space="preserve"> August 2022. </w:t>
      </w:r>
      <w:r w:rsidR="00112EA5" w:rsidRPr="00112EA5">
        <w:rPr>
          <w:i/>
          <w:iCs/>
        </w:rPr>
        <w:t>Upcoming consultation financial adviser professional.</w:t>
      </w:r>
      <w:r w:rsidR="00112EA5">
        <w:br/>
      </w:r>
      <w:r w:rsidR="00112EA5" w:rsidRPr="00112EA5">
        <w:t>https://ministers.treasury.gov.au/ministers/stephen-jones-2022/media-releases/upcoming-consultation-financial-adviser-professional</w:t>
      </w:r>
    </w:p>
    <w:p w14:paraId="5DA65504" w14:textId="21DB695A" w:rsidR="00975428" w:rsidRDefault="00975428" w:rsidP="003A69D5">
      <w:r>
        <w:t xml:space="preserve">Steven Jones, December 2021. </w:t>
      </w:r>
      <w:r w:rsidRPr="001D6FE1">
        <w:rPr>
          <w:i/>
          <w:iCs/>
        </w:rPr>
        <w:t>Address to AOIFP conference dinner</w:t>
      </w:r>
      <w:r w:rsidR="00112EA5">
        <w:rPr>
          <w:i/>
          <w:iCs/>
        </w:rPr>
        <w:t>.</w:t>
      </w:r>
      <w:r w:rsidRPr="001D6FE1">
        <w:t xml:space="preserve"> </w:t>
      </w:r>
      <w:r w:rsidRPr="00112EA5">
        <w:t>https://www.stephenjones.org.au/media-centre/speeches/address-to-aoifp-conference-dinner/</w:t>
      </w:r>
    </w:p>
    <w:p w14:paraId="053BDFD5" w14:textId="3FB52086" w:rsidR="00F21BBB" w:rsidRDefault="00F21BBB" w:rsidP="003A69D5">
      <w:r>
        <w:t xml:space="preserve">Quality of Advice Review, </w:t>
      </w:r>
      <w:r w:rsidR="00C10093">
        <w:t xml:space="preserve">2022. </w:t>
      </w:r>
      <w:r w:rsidRPr="00C10093">
        <w:rPr>
          <w:i/>
          <w:iCs/>
        </w:rPr>
        <w:t>Final Report</w:t>
      </w:r>
      <w:r w:rsidR="00112EA5">
        <w:rPr>
          <w:i/>
          <w:iCs/>
        </w:rPr>
        <w:t>.</w:t>
      </w:r>
    </w:p>
    <w:p w14:paraId="0E402B6C" w14:textId="6F1268DF" w:rsidR="00D872D8" w:rsidRDefault="00B02F81" w:rsidP="004D4D21">
      <w:r w:rsidRPr="00F63260">
        <w:lastRenderedPageBreak/>
        <w:t>Royal Commission into Misconduct in the Banking, Superannuation and Financial Services Industry (Financial Services Royal Commission), Final Report vol 1</w:t>
      </w:r>
      <w:r>
        <w:t>.</w:t>
      </w:r>
      <w:r w:rsidR="00686C28" w:rsidDel="00686C28">
        <w:t xml:space="preserve"> </w:t>
      </w:r>
    </w:p>
    <w:p w14:paraId="68E74897" w14:textId="28EEE46B" w:rsidR="00A15078" w:rsidRDefault="001F24CB" w:rsidP="00340AA4">
      <w:pPr>
        <w:pStyle w:val="Heading1"/>
      </w:pPr>
      <w:bookmarkStart w:id="29" w:name="_Toc130562423"/>
      <w:r>
        <w:t>Appe</w:t>
      </w:r>
      <w:r w:rsidR="0074170F">
        <w:t xml:space="preserve">ndix A – </w:t>
      </w:r>
      <w:r w:rsidR="00641875">
        <w:t>S</w:t>
      </w:r>
      <w:r w:rsidR="0074170F">
        <w:t xml:space="preserve">tatus of the RIS at </w:t>
      </w:r>
      <w:r w:rsidR="00340AA4">
        <w:t>each major decision point</w:t>
      </w:r>
      <w:bookmarkEnd w:id="29"/>
    </w:p>
    <w:p w14:paraId="4588850F" w14:textId="77777777" w:rsidR="00411FA8" w:rsidRDefault="00A34747">
      <w:r>
        <w:t>The government committed to this policy during the 2022 election</w:t>
      </w:r>
      <w:r w:rsidR="00411FA8">
        <w:t>.</w:t>
      </w:r>
    </w:p>
    <w:p w14:paraId="0E547290" w14:textId="24C7F564" w:rsidR="00A15078" w:rsidRPr="00641875" w:rsidRDefault="00FF5283" w:rsidP="00A043D2">
      <w:r>
        <w:t xml:space="preserve">The </w:t>
      </w:r>
      <w:r w:rsidR="005E3D91">
        <w:t xml:space="preserve">Department engaged with the Office of Impact Analysis (formerly the Office of Best Practice Regulation) </w:t>
      </w:r>
      <w:r w:rsidR="004B0822">
        <w:t>throughout the policy development process</w:t>
      </w:r>
      <w:r w:rsidR="00B77801">
        <w:t xml:space="preserve">. </w:t>
      </w:r>
      <w:r w:rsidR="00A043D2">
        <w:t>The</w:t>
      </w:r>
      <w:r w:rsidR="00D77E6F">
        <w:t xml:space="preserve"> regulatory impact statement was in draft </w:t>
      </w:r>
      <w:r w:rsidR="00D525BA">
        <w:t xml:space="preserve">form </w:t>
      </w:r>
      <w:r w:rsidR="00D77E6F">
        <w:t xml:space="preserve">during the </w:t>
      </w:r>
      <w:r w:rsidR="009F4489" w:rsidRPr="00A60C57">
        <w:t>education standards</w:t>
      </w:r>
      <w:r w:rsidR="00A60C57">
        <w:t xml:space="preserve"> consultation </w:t>
      </w:r>
      <w:r w:rsidR="00D15FA7">
        <w:t>which ran from 23</w:t>
      </w:r>
      <w:r w:rsidR="009903A3">
        <w:t> </w:t>
      </w:r>
      <w:r w:rsidR="00D15FA7">
        <w:t>August to 16</w:t>
      </w:r>
      <w:r w:rsidR="00411FA8">
        <w:t> </w:t>
      </w:r>
      <w:r w:rsidR="00A043D2">
        <w:t>September 2022.</w:t>
      </w:r>
      <w:r w:rsidR="00656CD5">
        <w:t xml:space="preserve"> This RIS was finalised following this consultation. </w:t>
      </w:r>
    </w:p>
    <w:sectPr w:rsidR="00A15078" w:rsidRPr="00641875" w:rsidSect="00C0677A">
      <w:headerReference w:type="default" r:id="rId27"/>
      <w:footerReference w:type="default" r:id="rId28"/>
      <w:headerReference w:type="first" r:id="rId29"/>
      <w:footerReference w:type="first" r:id="rId30"/>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2FCA" w14:textId="77777777" w:rsidR="007F5A9D" w:rsidRDefault="007F5A9D" w:rsidP="00D94EE3">
      <w:pPr>
        <w:spacing w:after="0"/>
      </w:pPr>
      <w:r>
        <w:separator/>
      </w:r>
    </w:p>
  </w:endnote>
  <w:endnote w:type="continuationSeparator" w:id="0">
    <w:p w14:paraId="05FE7C09" w14:textId="77777777" w:rsidR="007F5A9D" w:rsidRDefault="007F5A9D" w:rsidP="00D94EE3">
      <w:pPr>
        <w:spacing w:after="0"/>
      </w:pPr>
      <w:r>
        <w:continuationSeparator/>
      </w:r>
    </w:p>
  </w:endnote>
  <w:endnote w:type="continuationNotice" w:id="1">
    <w:p w14:paraId="21ABCEF0" w14:textId="77777777" w:rsidR="007F5A9D" w:rsidRDefault="007F5A9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56FA" w14:textId="77777777" w:rsidR="001C0415" w:rsidRDefault="001C0415" w:rsidP="001B2A30">
    <w:pPr>
      <w:pStyle w:val="FooterEven"/>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1F21" w14:textId="77777777" w:rsidR="001B2A30" w:rsidRDefault="001B2A30" w:rsidP="001B2A30">
    <w:pPr>
      <w:pStyle w:val="FooterEven"/>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7BE3" w14:textId="77777777" w:rsidR="001B2A30" w:rsidRDefault="001B2A30" w:rsidP="001B2A30">
    <w:pPr>
      <w:pStyle w:val="FooterEven"/>
      <w:jc w:val="right"/>
    </w:pPr>
    <w:r>
      <w:drawing>
        <wp:anchor distT="0" distB="0" distL="114300" distR="114300" simplePos="0" relativeHeight="251658244" behindDoc="1" locked="0" layoutInCell="1" allowOverlap="0" wp14:anchorId="38D2A46F" wp14:editId="03FB1783">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t xml:space="preserve">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FA93" w14:textId="437449DA" w:rsidR="00D94EE3" w:rsidRPr="00B80490" w:rsidRDefault="00B80490" w:rsidP="00B80490">
    <w:pPr>
      <w:pStyle w:val="FooterEven"/>
      <w:jc w:val="right"/>
    </w:pPr>
    <w:r>
      <w:drawing>
        <wp:anchor distT="0" distB="0" distL="114300" distR="114300" simplePos="0" relativeHeight="251658240" behindDoc="1" locked="0" layoutInCell="1" allowOverlap="0" wp14:anchorId="1C8A104B" wp14:editId="779FD925">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8302E2">
      <w:fldChar w:fldCharType="begin"/>
    </w:r>
    <w:r w:rsidR="008302E2">
      <w:instrText>STYLEREF  "Heading 1"  \* MERGEFORMA</w:instrText>
    </w:r>
    <w:r w:rsidR="008302E2">
      <w:instrText>T</w:instrText>
    </w:r>
    <w:r w:rsidR="008302E2">
      <w:fldChar w:fldCharType="separate"/>
    </w:r>
    <w:r w:rsidR="008302E2">
      <w:t>References</w:t>
    </w:r>
    <w:r w:rsidR="008302E2">
      <w:fldChar w:fldCharType="end"/>
    </w:r>
    <w:r>
      <w:t xml:space="preserve"> | </w:t>
    </w:r>
    <w:r>
      <w:rPr>
        <w:noProof w:val="0"/>
      </w:rPr>
      <w:fldChar w:fldCharType="begin"/>
    </w:r>
    <w:r>
      <w:instrText xml:space="preserve"> PAGE   \* MERGEFORMAT </w:instrText>
    </w:r>
    <w:r>
      <w:rPr>
        <w:noProof w:val="0"/>
      </w:rP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9768" w14:textId="283A4BF5" w:rsidR="001C0415" w:rsidRPr="001B2A30" w:rsidRDefault="001B2A30" w:rsidP="001B2A30">
    <w:pPr>
      <w:pStyle w:val="FooterEven"/>
      <w:jc w:val="right"/>
    </w:pPr>
    <w:r>
      <w:drawing>
        <wp:anchor distT="0" distB="0" distL="114300" distR="114300" simplePos="0" relativeHeight="251658243" behindDoc="1" locked="0" layoutInCell="1" allowOverlap="0" wp14:anchorId="3285A951" wp14:editId="4CBD5706">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8302E2">
      <w:fldChar w:fldCharType="begin"/>
    </w:r>
    <w:r w:rsidR="008302E2">
      <w:instrText>STYLEREF  "Heading 1"  \* MERGEFORMAT</w:instrText>
    </w:r>
    <w:r w:rsidR="008302E2">
      <w:fldChar w:fldCharType="separate"/>
    </w:r>
    <w:r w:rsidR="008302E2">
      <w:t>Introduction</w:t>
    </w:r>
    <w:r w:rsidR="008302E2">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DE0F" w14:textId="77777777" w:rsidR="007F5A9D" w:rsidRDefault="007F5A9D" w:rsidP="00D94EE3">
      <w:pPr>
        <w:spacing w:after="0"/>
      </w:pPr>
      <w:r>
        <w:separator/>
      </w:r>
    </w:p>
  </w:footnote>
  <w:footnote w:type="continuationSeparator" w:id="0">
    <w:p w14:paraId="6ADB1587" w14:textId="77777777" w:rsidR="007F5A9D" w:rsidRDefault="007F5A9D" w:rsidP="00D94EE3">
      <w:pPr>
        <w:spacing w:after="0"/>
      </w:pPr>
      <w:r>
        <w:continuationSeparator/>
      </w:r>
    </w:p>
  </w:footnote>
  <w:footnote w:type="continuationNotice" w:id="1">
    <w:p w14:paraId="312D9424" w14:textId="77777777" w:rsidR="007F5A9D" w:rsidRDefault="007F5A9D">
      <w:pPr>
        <w:spacing w:before="0" w:after="0"/>
      </w:pPr>
    </w:p>
  </w:footnote>
  <w:footnote w:id="2">
    <w:p w14:paraId="05325CED" w14:textId="72FF1506" w:rsidR="00FE1565" w:rsidRDefault="00FE1565" w:rsidP="00FE1565">
      <w:pPr>
        <w:pStyle w:val="FootnoteText"/>
      </w:pPr>
      <w:r w:rsidRPr="00A4562E">
        <w:rPr>
          <w:rStyle w:val="FootnoteReference"/>
        </w:rPr>
        <w:footnoteRef/>
      </w:r>
      <w:r w:rsidRPr="00A4562E">
        <w:t xml:space="preserve"> SIAA, September 4</w:t>
      </w:r>
    </w:p>
  </w:footnote>
  <w:footnote w:id="3">
    <w:p w14:paraId="7823A332" w14:textId="1BEBA6EC" w:rsidR="00FE1565" w:rsidRDefault="00FE1565" w:rsidP="00FE1565">
      <w:pPr>
        <w:pStyle w:val="FootnoteText"/>
      </w:pPr>
      <w:r>
        <w:rPr>
          <w:rStyle w:val="FootnoteReference"/>
        </w:rPr>
        <w:footnoteRef/>
      </w:r>
      <w:r>
        <w:t xml:space="preserve"> </w:t>
      </w:r>
      <w:r w:rsidR="004E2C78">
        <w:t>IFA</w:t>
      </w:r>
      <w:r w:rsidR="00606B1F">
        <w:t>, February 2022.</w:t>
      </w:r>
    </w:p>
  </w:footnote>
  <w:footnote w:id="4">
    <w:p w14:paraId="6DD6FA80" w14:textId="3EC1F7B2" w:rsidR="003856E3" w:rsidRDefault="003856E3">
      <w:pPr>
        <w:pStyle w:val="FootnoteText"/>
      </w:pPr>
      <w:r>
        <w:rPr>
          <w:rStyle w:val="FootnoteReference"/>
        </w:rPr>
        <w:footnoteRef/>
      </w:r>
      <w:r>
        <w:t xml:space="preserve"> Recognition of prior learning can reduce the number of required subjects, including if the adviser holds an Advanced Diploma of Financial Planning or has completed coursework to obtain a professional designation (e.g. Certified Financial Planner).</w:t>
      </w:r>
    </w:p>
  </w:footnote>
  <w:footnote w:id="5">
    <w:p w14:paraId="72AEFBD1" w14:textId="52855183" w:rsidR="00DB3ECB" w:rsidRDefault="00DB3ECB" w:rsidP="00DB3ECB">
      <w:pPr>
        <w:pStyle w:val="FootnoteText"/>
      </w:pPr>
      <w:r>
        <w:rPr>
          <w:rStyle w:val="FootnoteReference"/>
        </w:rPr>
        <w:footnoteRef/>
      </w:r>
      <w:r>
        <w:t xml:space="preserve"> Explanatory Memorandum, Corporations Amendment (Professional Standards of Financial Advisers) Bill 2017 [6.8]</w:t>
      </w:r>
    </w:p>
  </w:footnote>
  <w:footnote w:id="6">
    <w:p w14:paraId="2871FBF1" w14:textId="285147BF" w:rsidR="003576C3" w:rsidRDefault="003576C3" w:rsidP="003576C3">
      <w:pPr>
        <w:pStyle w:val="FootnoteText"/>
      </w:pPr>
      <w:r>
        <w:rPr>
          <w:rStyle w:val="FootnoteReference"/>
        </w:rPr>
        <w:footnoteRef/>
      </w:r>
      <w:r>
        <w:t xml:space="preserve"> </w:t>
      </w:r>
      <w:r w:rsidR="009069A5">
        <w:t xml:space="preserve">IFA, August 2022. </w:t>
      </w:r>
    </w:p>
  </w:footnote>
  <w:footnote w:id="7">
    <w:p w14:paraId="1294861E" w14:textId="6469C2C8" w:rsidR="00AA100D" w:rsidRDefault="00AA100D" w:rsidP="00AA100D">
      <w:pPr>
        <w:pStyle w:val="FootnoteText"/>
      </w:pPr>
      <w:r>
        <w:rPr>
          <w:rStyle w:val="FootnoteReference"/>
        </w:rPr>
        <w:footnoteRef/>
      </w:r>
      <w:r>
        <w:t xml:space="preserve"> </w:t>
      </w:r>
      <w:r w:rsidR="002542CA">
        <w:t xml:space="preserve">FSC, 2021. </w:t>
      </w:r>
      <w:r w:rsidR="002542CA" w:rsidRPr="000C2054">
        <w:rPr>
          <w:i/>
          <w:iCs/>
        </w:rPr>
        <w:t>White Paper on financial advice</w:t>
      </w:r>
    </w:p>
  </w:footnote>
  <w:footnote w:id="8">
    <w:p w14:paraId="66E9E398" w14:textId="19F57369" w:rsidR="00AA100D" w:rsidRDefault="00AA100D" w:rsidP="00AA100D">
      <w:pPr>
        <w:pStyle w:val="FootnoteText"/>
      </w:pPr>
      <w:r>
        <w:rPr>
          <w:rStyle w:val="FootnoteReference"/>
        </w:rPr>
        <w:footnoteRef/>
      </w:r>
      <w:r>
        <w:t xml:space="preserve"> </w:t>
      </w:r>
      <w:r w:rsidR="002542CA">
        <w:t xml:space="preserve">FSC, 2021. </w:t>
      </w:r>
      <w:r w:rsidR="002542CA" w:rsidRPr="000C2054">
        <w:rPr>
          <w:i/>
          <w:iCs/>
        </w:rPr>
        <w:t>White Paper on financial advice</w:t>
      </w:r>
    </w:p>
  </w:footnote>
  <w:footnote w:id="9">
    <w:p w14:paraId="5F8FCC1A" w14:textId="2B949800" w:rsidR="003568EC" w:rsidRDefault="003568EC" w:rsidP="003568EC">
      <w:pPr>
        <w:pStyle w:val="FootnoteText"/>
      </w:pPr>
      <w:r>
        <w:rPr>
          <w:rStyle w:val="FootnoteReference"/>
        </w:rPr>
        <w:footnoteRef/>
      </w:r>
      <w:r>
        <w:t xml:space="preserve"> ASIC, </w:t>
      </w:r>
      <w:r w:rsidR="002542CA">
        <w:t xml:space="preserve">2019. </w:t>
      </w:r>
      <w:r>
        <w:rPr>
          <w:i/>
          <w:iCs/>
        </w:rPr>
        <w:t>Financial Advice: What consumers really think</w:t>
      </w:r>
    </w:p>
  </w:footnote>
  <w:footnote w:id="10">
    <w:p w14:paraId="73B7FC30" w14:textId="33F7F214" w:rsidR="00CB7F5E" w:rsidRDefault="00CB7F5E" w:rsidP="00CB7F5E">
      <w:pPr>
        <w:pStyle w:val="FootnoteText"/>
      </w:pPr>
      <w:r>
        <w:rPr>
          <w:rStyle w:val="FootnoteReference"/>
        </w:rPr>
        <w:footnoteRef/>
      </w:r>
      <w:r>
        <w:t xml:space="preserve"> </w:t>
      </w:r>
      <w:r w:rsidR="00D11BB6">
        <w:t>Quality of Advice Review</w:t>
      </w:r>
      <w:r w:rsidR="0008297F">
        <w:t>, 2022.</w:t>
      </w:r>
    </w:p>
  </w:footnote>
  <w:footnote w:id="11">
    <w:p w14:paraId="3F27E281" w14:textId="539658EB" w:rsidR="0070420F" w:rsidRDefault="0070420F" w:rsidP="0070420F">
      <w:pPr>
        <w:pStyle w:val="FootnoteText"/>
      </w:pPr>
      <w:r>
        <w:rPr>
          <w:rStyle w:val="FootnoteReference"/>
        </w:rPr>
        <w:footnoteRef/>
      </w:r>
      <w:r>
        <w:t xml:space="preserve"> </w:t>
      </w:r>
      <w:r w:rsidR="00A81899">
        <w:t xml:space="preserve">Steven Jones, </w:t>
      </w:r>
      <w:r w:rsidR="001D6FE1">
        <w:t xml:space="preserve">December 2021. </w:t>
      </w:r>
      <w:r w:rsidR="001D6FE1" w:rsidRPr="001D6FE1">
        <w:rPr>
          <w:i/>
          <w:iCs/>
        </w:rPr>
        <w:t>Address to AOIFP conference dinner</w:t>
      </w:r>
      <w:r w:rsidR="0008297F">
        <w:t>.</w:t>
      </w:r>
    </w:p>
  </w:footnote>
  <w:footnote w:id="12">
    <w:p w14:paraId="21DD92D8" w14:textId="5E30FB56" w:rsidR="00FA6D73" w:rsidRDefault="00FA6D73">
      <w:pPr>
        <w:pStyle w:val="FootnoteText"/>
      </w:pPr>
      <w:r>
        <w:rPr>
          <w:rStyle w:val="FootnoteReference"/>
        </w:rPr>
        <w:footnoteRef/>
      </w:r>
      <w:r w:rsidR="0016797D">
        <w:t xml:space="preserve"> </w:t>
      </w:r>
      <w:r w:rsidR="00F74E7C">
        <w:t xml:space="preserve">FPA, </w:t>
      </w:r>
      <w:r w:rsidR="00F338C3">
        <w:t xml:space="preserve">February </w:t>
      </w:r>
      <w:r w:rsidR="00F74E7C">
        <w:t xml:space="preserve">2022. </w:t>
      </w:r>
      <w:r w:rsidR="00F338C3">
        <w:rPr>
          <w:i/>
          <w:iCs/>
        </w:rPr>
        <w:t xml:space="preserve">Submission, </w:t>
      </w:r>
      <w:r w:rsidR="00F338C3" w:rsidRPr="00A21170">
        <w:t>a</w:t>
      </w:r>
      <w:r w:rsidR="00F338C3">
        <w:t xml:space="preserve">nd AFA, February 2022. </w:t>
      </w:r>
      <w:r w:rsidR="00F338C3">
        <w:rPr>
          <w:i/>
          <w:iCs/>
        </w:rPr>
        <w:t xml:space="preserve">Submission. </w:t>
      </w:r>
    </w:p>
  </w:footnote>
  <w:footnote w:id="13">
    <w:p w14:paraId="517A6542" w14:textId="26C01D38" w:rsidR="009E5C5E" w:rsidRDefault="009E5C5E" w:rsidP="009E5C5E">
      <w:pPr>
        <w:pStyle w:val="FootnoteText"/>
      </w:pPr>
      <w:r>
        <w:rPr>
          <w:rStyle w:val="FootnoteReference"/>
        </w:rPr>
        <w:footnoteRef/>
      </w:r>
      <w:r>
        <w:t xml:space="preserve"> </w:t>
      </w:r>
      <w:r w:rsidR="00E9483E">
        <w:t xml:space="preserve">Kaplan, </w:t>
      </w:r>
      <w:r w:rsidR="009135B6">
        <w:t>February</w:t>
      </w:r>
      <w:r w:rsidR="00E9483E">
        <w:t xml:space="preserve"> 2023. </w:t>
      </w:r>
      <w:r w:rsidR="00E9483E" w:rsidRPr="00E9483E">
        <w:rPr>
          <w:i/>
          <w:iCs/>
        </w:rPr>
        <w:t>Kaplan Professional sees record enrolment numbers as advisers just getting</w:t>
      </w:r>
      <w:r w:rsidR="00E9483E" w:rsidRPr="00E9483E">
        <w:t xml:space="preserve"> </w:t>
      </w:r>
      <w:r w:rsidR="00E9483E" w:rsidRPr="00E9483E">
        <w:rPr>
          <w:i/>
          <w:iCs/>
        </w:rPr>
        <w:t xml:space="preserve">on with it </w:t>
      </w:r>
    </w:p>
  </w:footnote>
  <w:footnote w:id="14">
    <w:p w14:paraId="710C7AFA" w14:textId="7A56AC08" w:rsidR="00AD7A41" w:rsidRPr="00931324" w:rsidRDefault="00AD7A41">
      <w:pPr>
        <w:pStyle w:val="FootnoteText"/>
      </w:pPr>
      <w:r>
        <w:rPr>
          <w:rStyle w:val="FootnoteReference"/>
        </w:rPr>
        <w:footnoteRef/>
      </w:r>
      <w:r>
        <w:t xml:space="preserve"> </w:t>
      </w:r>
      <w:r w:rsidR="00931324">
        <w:t xml:space="preserve">Adviser Ratings, </w:t>
      </w:r>
      <w:r w:rsidR="00160CAE">
        <w:t xml:space="preserve">2022. </w:t>
      </w:r>
      <w:r w:rsidR="00931324">
        <w:rPr>
          <w:i/>
          <w:iCs/>
        </w:rPr>
        <w:t>Australian Financial Adviser Landscape</w:t>
      </w:r>
      <w:r w:rsidR="00931324">
        <w:t xml:space="preserve">. </w:t>
      </w:r>
    </w:p>
  </w:footnote>
  <w:footnote w:id="15">
    <w:p w14:paraId="06D6BDF0" w14:textId="7F2C0417" w:rsidR="00211F76" w:rsidRPr="00EB3B56" w:rsidRDefault="00211F76">
      <w:pPr>
        <w:pStyle w:val="FootnoteText"/>
        <w:rPr>
          <w:i/>
        </w:rPr>
      </w:pPr>
      <w:r>
        <w:rPr>
          <w:rStyle w:val="FootnoteReference"/>
        </w:rPr>
        <w:footnoteRef/>
      </w:r>
      <w:r>
        <w:t xml:space="preserve"> Reserve Bank of Australia,</w:t>
      </w:r>
      <w:r w:rsidR="00160CAE">
        <w:t xml:space="preserve"> 2023.</w:t>
      </w:r>
      <w:r>
        <w:t xml:space="preserve"> </w:t>
      </w:r>
      <w:r w:rsidR="00840B96">
        <w:rPr>
          <w:i/>
          <w:iCs/>
        </w:rPr>
        <w:t>Inflation Calculator</w:t>
      </w:r>
      <w:r w:rsidR="00160CAE">
        <w:rPr>
          <w:i/>
          <w:iCs/>
        </w:rPr>
        <w:t>.</w:t>
      </w:r>
    </w:p>
  </w:footnote>
  <w:footnote w:id="16">
    <w:p w14:paraId="77415010" w14:textId="31CDE1B1" w:rsidR="00363A53" w:rsidRPr="00363A53" w:rsidRDefault="00363A53">
      <w:pPr>
        <w:pStyle w:val="FootnoteText"/>
      </w:pPr>
      <w:r>
        <w:rPr>
          <w:rStyle w:val="FootnoteReference"/>
        </w:rPr>
        <w:footnoteRef/>
      </w:r>
      <w:r>
        <w:t xml:space="preserve"> KPMG, </w:t>
      </w:r>
      <w:r w:rsidR="00160CAE">
        <w:t xml:space="preserve">2021. </w:t>
      </w:r>
      <w:r>
        <w:rPr>
          <w:i/>
          <w:iCs/>
        </w:rPr>
        <w:t>Cost Profile of Australia’s Financial Advice Industry</w:t>
      </w:r>
      <w:r w:rsidR="00A82497">
        <w:t xml:space="preserve">. </w:t>
      </w:r>
    </w:p>
  </w:footnote>
  <w:footnote w:id="17">
    <w:p w14:paraId="1FA978A4" w14:textId="7F3AE475" w:rsidR="005B75F0" w:rsidRDefault="005B75F0">
      <w:pPr>
        <w:pStyle w:val="FootnoteText"/>
      </w:pPr>
      <w:r>
        <w:rPr>
          <w:rStyle w:val="FootnoteReference"/>
        </w:rPr>
        <w:footnoteRef/>
      </w:r>
      <w:r>
        <w:t xml:space="preserve"> </w:t>
      </w:r>
      <w:r w:rsidR="00D11BB6">
        <w:t>Quality of Advice Review</w:t>
      </w:r>
      <w:r>
        <w:t>,</w:t>
      </w:r>
      <w:r w:rsidR="00B5432F">
        <w:t xml:space="preserve"> December 2022.</w:t>
      </w:r>
    </w:p>
  </w:footnote>
  <w:footnote w:id="18">
    <w:p w14:paraId="2A255595" w14:textId="0BD0C618" w:rsidR="001F6E34" w:rsidRPr="00931324" w:rsidRDefault="001F6E34" w:rsidP="001F6E34">
      <w:pPr>
        <w:pStyle w:val="FootnoteText"/>
      </w:pPr>
      <w:r>
        <w:rPr>
          <w:rStyle w:val="FootnoteReference"/>
        </w:rPr>
        <w:footnoteRef/>
      </w:r>
      <w:r>
        <w:t xml:space="preserve"> Adviser Ratings,</w:t>
      </w:r>
      <w:r w:rsidR="00A21170">
        <w:t xml:space="preserve"> 2022.</w:t>
      </w:r>
      <w:r>
        <w:t xml:space="preserve"> </w:t>
      </w:r>
      <w:r>
        <w:rPr>
          <w:i/>
          <w:iCs/>
        </w:rPr>
        <w:t>Australian Financial Adviser Landscape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86A5" w14:textId="77777777" w:rsidR="00647528" w:rsidRDefault="00647528">
    <w:pPr>
      <w:pStyle w:val="Header"/>
    </w:pPr>
    <w:r>
      <w:rPr>
        <w:noProof/>
      </w:rPr>
      <w:drawing>
        <wp:anchor distT="0" distB="0" distL="114300" distR="114300" simplePos="0" relativeHeight="251658245" behindDoc="1" locked="1" layoutInCell="1" allowOverlap="1" wp14:anchorId="2FB9C471" wp14:editId="04B1ECB6">
          <wp:simplePos x="0" y="0"/>
          <wp:positionH relativeFrom="page">
            <wp:posOffset>0</wp:posOffset>
          </wp:positionH>
          <wp:positionV relativeFrom="page">
            <wp:posOffset>0</wp:posOffset>
          </wp:positionV>
          <wp:extent cx="7578000" cy="10720800"/>
          <wp:effectExtent l="0" t="0" r="4445" b="444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000" cy="10720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1FDD" w14:textId="77777777" w:rsidR="009643E4" w:rsidRDefault="009643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CBBA" w14:textId="77777777" w:rsidR="00C0677A" w:rsidRDefault="00C0677A">
    <w:pPr>
      <w:pStyle w:val="Header"/>
    </w:pPr>
    <w:r>
      <w:rPr>
        <w:noProof/>
      </w:rPr>
      <w:drawing>
        <wp:anchor distT="0" distB="0" distL="114300" distR="114300" simplePos="0" relativeHeight="251658242" behindDoc="1" locked="1" layoutInCell="1" allowOverlap="1" wp14:anchorId="52C1A041" wp14:editId="692DC922">
          <wp:simplePos x="0" y="0"/>
          <wp:positionH relativeFrom="page">
            <wp:posOffset>0</wp:posOffset>
          </wp:positionH>
          <wp:positionV relativeFrom="page">
            <wp:posOffset>0</wp:posOffset>
          </wp:positionV>
          <wp:extent cx="7570800" cy="104400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17A6" w14:textId="77777777" w:rsidR="00C0677A" w:rsidRDefault="00C0677A">
    <w:pPr>
      <w:pStyle w:val="Header"/>
    </w:pPr>
    <w:r>
      <w:rPr>
        <w:noProof/>
      </w:rPr>
      <w:drawing>
        <wp:anchor distT="0" distB="0" distL="114300" distR="114300" simplePos="0" relativeHeight="251658241" behindDoc="1" locked="1" layoutInCell="1" allowOverlap="1" wp14:anchorId="4A5A60B8" wp14:editId="083D4B7D">
          <wp:simplePos x="0" y="0"/>
          <wp:positionH relativeFrom="page">
            <wp:posOffset>0</wp:posOffset>
          </wp:positionH>
          <wp:positionV relativeFrom="page">
            <wp:posOffset>0</wp:posOffset>
          </wp:positionV>
          <wp:extent cx="7570800" cy="104400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E220E6"/>
    <w:multiLevelType w:val="hybridMultilevel"/>
    <w:tmpl w:val="5FB0622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8C2710"/>
    <w:multiLevelType w:val="multilevel"/>
    <w:tmpl w:val="1C869546"/>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B097D0C"/>
    <w:multiLevelType w:val="hybridMultilevel"/>
    <w:tmpl w:val="29B09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C7F0D"/>
    <w:multiLevelType w:val="multilevel"/>
    <w:tmpl w:val="F850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95885"/>
    <w:multiLevelType w:val="hybridMultilevel"/>
    <w:tmpl w:val="76086C54"/>
    <w:lvl w:ilvl="0" w:tplc="3BB29598">
      <w:start w:val="1"/>
      <w:numFmt w:val="bullet"/>
      <w:lvlText w:val=""/>
      <w:lvlJc w:val="left"/>
      <w:pPr>
        <w:ind w:left="360" w:hanging="360"/>
      </w:pPr>
      <w:rPr>
        <w:rFonts w:ascii="Symbol" w:hAnsi="Symbol" w:hint="default"/>
      </w:rPr>
    </w:lvl>
    <w:lvl w:ilvl="1" w:tplc="0C090003">
      <w:start w:val="1"/>
      <w:numFmt w:val="bullet"/>
      <w:lvlText w:val="o"/>
      <w:lvlJc w:val="left"/>
      <w:pPr>
        <w:ind w:left="2575" w:hanging="360"/>
      </w:pPr>
      <w:rPr>
        <w:rFonts w:ascii="Courier New" w:hAnsi="Courier New" w:cs="Courier New" w:hint="default"/>
      </w:rPr>
    </w:lvl>
    <w:lvl w:ilvl="2" w:tplc="0C090005">
      <w:start w:val="1"/>
      <w:numFmt w:val="bullet"/>
      <w:lvlText w:val=""/>
      <w:lvlJc w:val="left"/>
      <w:pPr>
        <w:ind w:left="3295" w:hanging="360"/>
      </w:pPr>
      <w:rPr>
        <w:rFonts w:ascii="Wingdings" w:hAnsi="Wingdings" w:hint="default"/>
      </w:rPr>
    </w:lvl>
    <w:lvl w:ilvl="3" w:tplc="0C090001">
      <w:start w:val="1"/>
      <w:numFmt w:val="bullet"/>
      <w:lvlText w:val=""/>
      <w:lvlJc w:val="left"/>
      <w:pPr>
        <w:ind w:left="4015" w:hanging="360"/>
      </w:pPr>
      <w:rPr>
        <w:rFonts w:ascii="Symbol" w:hAnsi="Symbol" w:hint="default"/>
      </w:rPr>
    </w:lvl>
    <w:lvl w:ilvl="4" w:tplc="0C090003">
      <w:start w:val="1"/>
      <w:numFmt w:val="bullet"/>
      <w:lvlText w:val="o"/>
      <w:lvlJc w:val="left"/>
      <w:pPr>
        <w:ind w:left="4735" w:hanging="360"/>
      </w:pPr>
      <w:rPr>
        <w:rFonts w:ascii="Courier New" w:hAnsi="Courier New" w:cs="Courier New" w:hint="default"/>
      </w:rPr>
    </w:lvl>
    <w:lvl w:ilvl="5" w:tplc="0C090005">
      <w:start w:val="1"/>
      <w:numFmt w:val="bullet"/>
      <w:lvlText w:val=""/>
      <w:lvlJc w:val="left"/>
      <w:pPr>
        <w:ind w:left="5455" w:hanging="360"/>
      </w:pPr>
      <w:rPr>
        <w:rFonts w:ascii="Wingdings" w:hAnsi="Wingdings" w:hint="default"/>
      </w:rPr>
    </w:lvl>
    <w:lvl w:ilvl="6" w:tplc="0C090001">
      <w:start w:val="1"/>
      <w:numFmt w:val="bullet"/>
      <w:lvlText w:val=""/>
      <w:lvlJc w:val="left"/>
      <w:pPr>
        <w:ind w:left="6175" w:hanging="360"/>
      </w:pPr>
      <w:rPr>
        <w:rFonts w:ascii="Symbol" w:hAnsi="Symbol" w:hint="default"/>
      </w:rPr>
    </w:lvl>
    <w:lvl w:ilvl="7" w:tplc="0C090003">
      <w:start w:val="1"/>
      <w:numFmt w:val="bullet"/>
      <w:lvlText w:val="o"/>
      <w:lvlJc w:val="left"/>
      <w:pPr>
        <w:ind w:left="6895" w:hanging="360"/>
      </w:pPr>
      <w:rPr>
        <w:rFonts w:ascii="Courier New" w:hAnsi="Courier New" w:cs="Courier New" w:hint="default"/>
      </w:rPr>
    </w:lvl>
    <w:lvl w:ilvl="8" w:tplc="0C090005">
      <w:start w:val="1"/>
      <w:numFmt w:val="bullet"/>
      <w:lvlText w:val=""/>
      <w:lvlJc w:val="left"/>
      <w:pPr>
        <w:ind w:left="7615" w:hanging="360"/>
      </w:pPr>
      <w:rPr>
        <w:rFonts w:ascii="Wingdings" w:hAnsi="Wingdings" w:hint="default"/>
      </w:rPr>
    </w:lvl>
  </w:abstractNum>
  <w:abstractNum w:abstractNumId="12" w15:restartNumberingAfterBreak="0">
    <w:nsid w:val="78B16110"/>
    <w:multiLevelType w:val="multilevel"/>
    <w:tmpl w:val="D8584B30"/>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98762730">
    <w:abstractNumId w:val="1"/>
  </w:num>
  <w:num w:numId="2" w16cid:durableId="1180314059">
    <w:abstractNumId w:val="6"/>
  </w:num>
  <w:num w:numId="3" w16cid:durableId="1377778347">
    <w:abstractNumId w:val="7"/>
  </w:num>
  <w:num w:numId="4" w16cid:durableId="563567258">
    <w:abstractNumId w:val="8"/>
  </w:num>
  <w:num w:numId="5" w16cid:durableId="876504082">
    <w:abstractNumId w:val="2"/>
  </w:num>
  <w:num w:numId="6" w16cid:durableId="515270493">
    <w:abstractNumId w:val="5"/>
  </w:num>
  <w:num w:numId="7" w16cid:durableId="1497109248">
    <w:abstractNumId w:val="7"/>
  </w:num>
  <w:num w:numId="8" w16cid:durableId="988827324">
    <w:abstractNumId w:val="3"/>
  </w:num>
  <w:num w:numId="9" w16cid:durableId="860094469">
    <w:abstractNumId w:val="2"/>
  </w:num>
  <w:num w:numId="10" w16cid:durableId="1669479125">
    <w:abstractNumId w:val="11"/>
  </w:num>
  <w:num w:numId="11" w16cid:durableId="2000111452">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0071113">
    <w:abstractNumId w:val="10"/>
  </w:num>
  <w:num w:numId="13" w16cid:durableId="1707176334">
    <w:abstractNumId w:val="12"/>
  </w:num>
  <w:num w:numId="14" w16cid:durableId="1579902119">
    <w:abstractNumId w:val="9"/>
  </w:num>
  <w:num w:numId="15" w16cid:durableId="1265114111">
    <w:abstractNumId w:val="4"/>
  </w:num>
  <w:num w:numId="16" w16cid:durableId="146742949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16"/>
    <w:rsid w:val="000006A9"/>
    <w:rsid w:val="00000AF7"/>
    <w:rsid w:val="00001903"/>
    <w:rsid w:val="00002264"/>
    <w:rsid w:val="000024C9"/>
    <w:rsid w:val="00002507"/>
    <w:rsid w:val="000029D0"/>
    <w:rsid w:val="000029DC"/>
    <w:rsid w:val="000029ED"/>
    <w:rsid w:val="00003139"/>
    <w:rsid w:val="000031BF"/>
    <w:rsid w:val="00003415"/>
    <w:rsid w:val="00003586"/>
    <w:rsid w:val="00003F65"/>
    <w:rsid w:val="000044FB"/>
    <w:rsid w:val="00005743"/>
    <w:rsid w:val="0000631D"/>
    <w:rsid w:val="000070E4"/>
    <w:rsid w:val="00007218"/>
    <w:rsid w:val="00007398"/>
    <w:rsid w:val="0000795C"/>
    <w:rsid w:val="00007E52"/>
    <w:rsid w:val="000100EC"/>
    <w:rsid w:val="00011A8B"/>
    <w:rsid w:val="00011C5D"/>
    <w:rsid w:val="00011D35"/>
    <w:rsid w:val="00011DE8"/>
    <w:rsid w:val="00012F03"/>
    <w:rsid w:val="0001370B"/>
    <w:rsid w:val="00014490"/>
    <w:rsid w:val="00014720"/>
    <w:rsid w:val="00014F7B"/>
    <w:rsid w:val="00014FC4"/>
    <w:rsid w:val="00014FD9"/>
    <w:rsid w:val="00015985"/>
    <w:rsid w:val="000174B0"/>
    <w:rsid w:val="0001794D"/>
    <w:rsid w:val="00017C66"/>
    <w:rsid w:val="000205FD"/>
    <w:rsid w:val="00020729"/>
    <w:rsid w:val="00020B99"/>
    <w:rsid w:val="00020C1E"/>
    <w:rsid w:val="00020F4E"/>
    <w:rsid w:val="00021091"/>
    <w:rsid w:val="0002157C"/>
    <w:rsid w:val="000219FB"/>
    <w:rsid w:val="00021B36"/>
    <w:rsid w:val="00021D5D"/>
    <w:rsid w:val="00022108"/>
    <w:rsid w:val="000221A9"/>
    <w:rsid w:val="0002275A"/>
    <w:rsid w:val="00022AAB"/>
    <w:rsid w:val="00024D09"/>
    <w:rsid w:val="00025198"/>
    <w:rsid w:val="00026782"/>
    <w:rsid w:val="00027A7D"/>
    <w:rsid w:val="000304D5"/>
    <w:rsid w:val="00031105"/>
    <w:rsid w:val="00031106"/>
    <w:rsid w:val="00031210"/>
    <w:rsid w:val="00031E68"/>
    <w:rsid w:val="00032462"/>
    <w:rsid w:val="00032807"/>
    <w:rsid w:val="00032EB1"/>
    <w:rsid w:val="00033042"/>
    <w:rsid w:val="000332D7"/>
    <w:rsid w:val="00033EBF"/>
    <w:rsid w:val="00034708"/>
    <w:rsid w:val="00035117"/>
    <w:rsid w:val="00035704"/>
    <w:rsid w:val="00036196"/>
    <w:rsid w:val="000370F7"/>
    <w:rsid w:val="00037976"/>
    <w:rsid w:val="00037AA1"/>
    <w:rsid w:val="00037D49"/>
    <w:rsid w:val="00041A26"/>
    <w:rsid w:val="00041D0E"/>
    <w:rsid w:val="00041D8C"/>
    <w:rsid w:val="00041FD3"/>
    <w:rsid w:val="00042137"/>
    <w:rsid w:val="0004213B"/>
    <w:rsid w:val="00042760"/>
    <w:rsid w:val="00043EC3"/>
    <w:rsid w:val="00044638"/>
    <w:rsid w:val="00044CFA"/>
    <w:rsid w:val="00045344"/>
    <w:rsid w:val="000456B9"/>
    <w:rsid w:val="000458DA"/>
    <w:rsid w:val="00045F40"/>
    <w:rsid w:val="0004666D"/>
    <w:rsid w:val="00046673"/>
    <w:rsid w:val="0004676B"/>
    <w:rsid w:val="0004729D"/>
    <w:rsid w:val="00050344"/>
    <w:rsid w:val="0005100A"/>
    <w:rsid w:val="00051429"/>
    <w:rsid w:val="000516AF"/>
    <w:rsid w:val="000519BD"/>
    <w:rsid w:val="00051A66"/>
    <w:rsid w:val="0005222A"/>
    <w:rsid w:val="0005260D"/>
    <w:rsid w:val="0005265C"/>
    <w:rsid w:val="00052E85"/>
    <w:rsid w:val="0005308C"/>
    <w:rsid w:val="000530C5"/>
    <w:rsid w:val="0005311F"/>
    <w:rsid w:val="00054F8C"/>
    <w:rsid w:val="00056007"/>
    <w:rsid w:val="0005658F"/>
    <w:rsid w:val="000565F4"/>
    <w:rsid w:val="0005670B"/>
    <w:rsid w:val="000569A4"/>
    <w:rsid w:val="00056B29"/>
    <w:rsid w:val="00056EEF"/>
    <w:rsid w:val="000570B0"/>
    <w:rsid w:val="000570DE"/>
    <w:rsid w:val="000579BD"/>
    <w:rsid w:val="00060617"/>
    <w:rsid w:val="00060C4C"/>
    <w:rsid w:val="000613CD"/>
    <w:rsid w:val="000619CE"/>
    <w:rsid w:val="00061EC8"/>
    <w:rsid w:val="00062574"/>
    <w:rsid w:val="0006356E"/>
    <w:rsid w:val="000647CA"/>
    <w:rsid w:val="00064803"/>
    <w:rsid w:val="0006494A"/>
    <w:rsid w:val="00064E13"/>
    <w:rsid w:val="00065179"/>
    <w:rsid w:val="00065D66"/>
    <w:rsid w:val="00066027"/>
    <w:rsid w:val="000666F7"/>
    <w:rsid w:val="00066AC4"/>
    <w:rsid w:val="00070340"/>
    <w:rsid w:val="00070D9C"/>
    <w:rsid w:val="00071079"/>
    <w:rsid w:val="00071CBC"/>
    <w:rsid w:val="00073608"/>
    <w:rsid w:val="00073671"/>
    <w:rsid w:val="00075F5B"/>
    <w:rsid w:val="00076419"/>
    <w:rsid w:val="00076D26"/>
    <w:rsid w:val="00076DD2"/>
    <w:rsid w:val="0007760F"/>
    <w:rsid w:val="00077ADA"/>
    <w:rsid w:val="00080E44"/>
    <w:rsid w:val="00081940"/>
    <w:rsid w:val="00082456"/>
    <w:rsid w:val="0008297F"/>
    <w:rsid w:val="000829A1"/>
    <w:rsid w:val="000846E5"/>
    <w:rsid w:val="000847ED"/>
    <w:rsid w:val="00085209"/>
    <w:rsid w:val="00085429"/>
    <w:rsid w:val="000854E5"/>
    <w:rsid w:val="00085908"/>
    <w:rsid w:val="0008594C"/>
    <w:rsid w:val="00085C32"/>
    <w:rsid w:val="000866FD"/>
    <w:rsid w:val="000867B9"/>
    <w:rsid w:val="00087331"/>
    <w:rsid w:val="00087654"/>
    <w:rsid w:val="00087BF7"/>
    <w:rsid w:val="00087E74"/>
    <w:rsid w:val="00090277"/>
    <w:rsid w:val="00090B06"/>
    <w:rsid w:val="00090F65"/>
    <w:rsid w:val="00091405"/>
    <w:rsid w:val="00091669"/>
    <w:rsid w:val="0009172F"/>
    <w:rsid w:val="000928CE"/>
    <w:rsid w:val="00093667"/>
    <w:rsid w:val="00093BE8"/>
    <w:rsid w:val="00094BAD"/>
    <w:rsid w:val="00096FF8"/>
    <w:rsid w:val="000A1602"/>
    <w:rsid w:val="000A16B0"/>
    <w:rsid w:val="000A2557"/>
    <w:rsid w:val="000A2575"/>
    <w:rsid w:val="000A2AE7"/>
    <w:rsid w:val="000A2DF8"/>
    <w:rsid w:val="000A39A5"/>
    <w:rsid w:val="000A3C94"/>
    <w:rsid w:val="000A44A1"/>
    <w:rsid w:val="000A49AD"/>
    <w:rsid w:val="000A57FD"/>
    <w:rsid w:val="000A5EE1"/>
    <w:rsid w:val="000A6C28"/>
    <w:rsid w:val="000A6D17"/>
    <w:rsid w:val="000A7E5A"/>
    <w:rsid w:val="000B0751"/>
    <w:rsid w:val="000B14CB"/>
    <w:rsid w:val="000B16C7"/>
    <w:rsid w:val="000B175A"/>
    <w:rsid w:val="000B1CF7"/>
    <w:rsid w:val="000B20F3"/>
    <w:rsid w:val="000B23F5"/>
    <w:rsid w:val="000B26E2"/>
    <w:rsid w:val="000B31B0"/>
    <w:rsid w:val="000B3BCC"/>
    <w:rsid w:val="000B4B29"/>
    <w:rsid w:val="000B52EE"/>
    <w:rsid w:val="000B5658"/>
    <w:rsid w:val="000B6E3E"/>
    <w:rsid w:val="000B6FE0"/>
    <w:rsid w:val="000B707F"/>
    <w:rsid w:val="000B7341"/>
    <w:rsid w:val="000B73F0"/>
    <w:rsid w:val="000B7743"/>
    <w:rsid w:val="000B7869"/>
    <w:rsid w:val="000B78D3"/>
    <w:rsid w:val="000C0A87"/>
    <w:rsid w:val="000C0F87"/>
    <w:rsid w:val="000C107E"/>
    <w:rsid w:val="000C187E"/>
    <w:rsid w:val="000C19B5"/>
    <w:rsid w:val="000C2054"/>
    <w:rsid w:val="000C21C9"/>
    <w:rsid w:val="000C2E22"/>
    <w:rsid w:val="000C44C0"/>
    <w:rsid w:val="000C46A3"/>
    <w:rsid w:val="000C47F9"/>
    <w:rsid w:val="000C50A8"/>
    <w:rsid w:val="000C53C9"/>
    <w:rsid w:val="000C5611"/>
    <w:rsid w:val="000C5968"/>
    <w:rsid w:val="000C65A4"/>
    <w:rsid w:val="000C666C"/>
    <w:rsid w:val="000C7C5D"/>
    <w:rsid w:val="000D077E"/>
    <w:rsid w:val="000D0F28"/>
    <w:rsid w:val="000D1297"/>
    <w:rsid w:val="000D13A3"/>
    <w:rsid w:val="000D1D73"/>
    <w:rsid w:val="000D1DA4"/>
    <w:rsid w:val="000D2793"/>
    <w:rsid w:val="000D2EC2"/>
    <w:rsid w:val="000D2EC8"/>
    <w:rsid w:val="000D3A72"/>
    <w:rsid w:val="000D416C"/>
    <w:rsid w:val="000D432D"/>
    <w:rsid w:val="000D44FA"/>
    <w:rsid w:val="000D4538"/>
    <w:rsid w:val="000D55AA"/>
    <w:rsid w:val="000D5BB9"/>
    <w:rsid w:val="000D5F6F"/>
    <w:rsid w:val="000D62A2"/>
    <w:rsid w:val="000D6786"/>
    <w:rsid w:val="000D6BE4"/>
    <w:rsid w:val="000D7541"/>
    <w:rsid w:val="000E040C"/>
    <w:rsid w:val="000E1B10"/>
    <w:rsid w:val="000E2F09"/>
    <w:rsid w:val="000E3752"/>
    <w:rsid w:val="000E3CB4"/>
    <w:rsid w:val="000E3CCD"/>
    <w:rsid w:val="000E40B2"/>
    <w:rsid w:val="000E4829"/>
    <w:rsid w:val="000E4A22"/>
    <w:rsid w:val="000E54D2"/>
    <w:rsid w:val="000E64E1"/>
    <w:rsid w:val="000E6548"/>
    <w:rsid w:val="000E6899"/>
    <w:rsid w:val="000E793F"/>
    <w:rsid w:val="000F05AE"/>
    <w:rsid w:val="000F0AA7"/>
    <w:rsid w:val="000F0FF7"/>
    <w:rsid w:val="000F1C6C"/>
    <w:rsid w:val="000F25FA"/>
    <w:rsid w:val="000F2BF7"/>
    <w:rsid w:val="000F49BE"/>
    <w:rsid w:val="000F5517"/>
    <w:rsid w:val="000F5DE2"/>
    <w:rsid w:val="000F6637"/>
    <w:rsid w:val="000F66F0"/>
    <w:rsid w:val="000F679F"/>
    <w:rsid w:val="000F67A7"/>
    <w:rsid w:val="000F6919"/>
    <w:rsid w:val="000F6A51"/>
    <w:rsid w:val="000F6CD9"/>
    <w:rsid w:val="000F7839"/>
    <w:rsid w:val="000F7B26"/>
    <w:rsid w:val="000F7F02"/>
    <w:rsid w:val="001006F5"/>
    <w:rsid w:val="001007FB"/>
    <w:rsid w:val="001008FC"/>
    <w:rsid w:val="0010123E"/>
    <w:rsid w:val="0010127D"/>
    <w:rsid w:val="00101D37"/>
    <w:rsid w:val="00103D1C"/>
    <w:rsid w:val="00104471"/>
    <w:rsid w:val="001051EB"/>
    <w:rsid w:val="001052AE"/>
    <w:rsid w:val="0010558F"/>
    <w:rsid w:val="00105773"/>
    <w:rsid w:val="001059FA"/>
    <w:rsid w:val="001060AB"/>
    <w:rsid w:val="001064CA"/>
    <w:rsid w:val="0010661D"/>
    <w:rsid w:val="00106A1F"/>
    <w:rsid w:val="00106AA8"/>
    <w:rsid w:val="00106D0D"/>
    <w:rsid w:val="00107AEE"/>
    <w:rsid w:val="00110A6A"/>
    <w:rsid w:val="001110CA"/>
    <w:rsid w:val="001124C8"/>
    <w:rsid w:val="00112762"/>
    <w:rsid w:val="00112EA5"/>
    <w:rsid w:val="0011384A"/>
    <w:rsid w:val="0011418E"/>
    <w:rsid w:val="001143D2"/>
    <w:rsid w:val="0011494C"/>
    <w:rsid w:val="00114C54"/>
    <w:rsid w:val="0011563D"/>
    <w:rsid w:val="00115F7C"/>
    <w:rsid w:val="0011629A"/>
    <w:rsid w:val="0011653A"/>
    <w:rsid w:val="0011680A"/>
    <w:rsid w:val="00116BC3"/>
    <w:rsid w:val="00117247"/>
    <w:rsid w:val="00117965"/>
    <w:rsid w:val="00120305"/>
    <w:rsid w:val="00120B97"/>
    <w:rsid w:val="00120C9A"/>
    <w:rsid w:val="00121049"/>
    <w:rsid w:val="001225C4"/>
    <w:rsid w:val="00122963"/>
    <w:rsid w:val="00123080"/>
    <w:rsid w:val="00123105"/>
    <w:rsid w:val="0012316E"/>
    <w:rsid w:val="00123363"/>
    <w:rsid w:val="0012363B"/>
    <w:rsid w:val="001236F5"/>
    <w:rsid w:val="00123BE3"/>
    <w:rsid w:val="00125AA9"/>
    <w:rsid w:val="00126C30"/>
    <w:rsid w:val="00126D1C"/>
    <w:rsid w:val="00127DD2"/>
    <w:rsid w:val="00130D12"/>
    <w:rsid w:val="00130E32"/>
    <w:rsid w:val="00131932"/>
    <w:rsid w:val="00132654"/>
    <w:rsid w:val="00133FAF"/>
    <w:rsid w:val="001342D1"/>
    <w:rsid w:val="001347A0"/>
    <w:rsid w:val="00136ABF"/>
    <w:rsid w:val="00137691"/>
    <w:rsid w:val="00137E1A"/>
    <w:rsid w:val="00137F79"/>
    <w:rsid w:val="00140B6A"/>
    <w:rsid w:val="00140BA0"/>
    <w:rsid w:val="00140E21"/>
    <w:rsid w:val="00140F5C"/>
    <w:rsid w:val="00141783"/>
    <w:rsid w:val="00142601"/>
    <w:rsid w:val="00142A1A"/>
    <w:rsid w:val="00142B29"/>
    <w:rsid w:val="00142C15"/>
    <w:rsid w:val="00143C20"/>
    <w:rsid w:val="001447AA"/>
    <w:rsid w:val="0014484A"/>
    <w:rsid w:val="001448F5"/>
    <w:rsid w:val="001455A4"/>
    <w:rsid w:val="00145AB9"/>
    <w:rsid w:val="00145CD6"/>
    <w:rsid w:val="001464B0"/>
    <w:rsid w:val="00146C7D"/>
    <w:rsid w:val="00146DCA"/>
    <w:rsid w:val="00147361"/>
    <w:rsid w:val="001502DD"/>
    <w:rsid w:val="001509E0"/>
    <w:rsid w:val="00150F97"/>
    <w:rsid w:val="001513A2"/>
    <w:rsid w:val="001513F7"/>
    <w:rsid w:val="00151493"/>
    <w:rsid w:val="001526FF"/>
    <w:rsid w:val="001527E0"/>
    <w:rsid w:val="001529AD"/>
    <w:rsid w:val="00152A38"/>
    <w:rsid w:val="00152EFD"/>
    <w:rsid w:val="00154788"/>
    <w:rsid w:val="00154A6D"/>
    <w:rsid w:val="00154B1E"/>
    <w:rsid w:val="00154FD7"/>
    <w:rsid w:val="001554AA"/>
    <w:rsid w:val="00155CD1"/>
    <w:rsid w:val="001562B1"/>
    <w:rsid w:val="001575C0"/>
    <w:rsid w:val="00160203"/>
    <w:rsid w:val="00160428"/>
    <w:rsid w:val="001605FA"/>
    <w:rsid w:val="00160CAE"/>
    <w:rsid w:val="00161014"/>
    <w:rsid w:val="00161ACC"/>
    <w:rsid w:val="00161FC1"/>
    <w:rsid w:val="0016216C"/>
    <w:rsid w:val="001629CF"/>
    <w:rsid w:val="00162C13"/>
    <w:rsid w:val="00162E7A"/>
    <w:rsid w:val="00163095"/>
    <w:rsid w:val="001644D0"/>
    <w:rsid w:val="001646A6"/>
    <w:rsid w:val="001647B2"/>
    <w:rsid w:val="00164B7D"/>
    <w:rsid w:val="00165140"/>
    <w:rsid w:val="001652C6"/>
    <w:rsid w:val="001656CE"/>
    <w:rsid w:val="0016665D"/>
    <w:rsid w:val="001671D6"/>
    <w:rsid w:val="0016797D"/>
    <w:rsid w:val="00167F2F"/>
    <w:rsid w:val="00170CB3"/>
    <w:rsid w:val="00170DF4"/>
    <w:rsid w:val="001717A6"/>
    <w:rsid w:val="0017186C"/>
    <w:rsid w:val="00171933"/>
    <w:rsid w:val="00171E14"/>
    <w:rsid w:val="00171ED1"/>
    <w:rsid w:val="00172906"/>
    <w:rsid w:val="00172C93"/>
    <w:rsid w:val="00173802"/>
    <w:rsid w:val="00173C2D"/>
    <w:rsid w:val="00173FB2"/>
    <w:rsid w:val="0017418D"/>
    <w:rsid w:val="00174D47"/>
    <w:rsid w:val="00174DFC"/>
    <w:rsid w:val="001757EF"/>
    <w:rsid w:val="001761EC"/>
    <w:rsid w:val="0017667E"/>
    <w:rsid w:val="001767DB"/>
    <w:rsid w:val="001773A5"/>
    <w:rsid w:val="00177AEC"/>
    <w:rsid w:val="0018077F"/>
    <w:rsid w:val="00181191"/>
    <w:rsid w:val="001818CC"/>
    <w:rsid w:val="00181A24"/>
    <w:rsid w:val="00181B95"/>
    <w:rsid w:val="001824B5"/>
    <w:rsid w:val="00182BB9"/>
    <w:rsid w:val="00182E72"/>
    <w:rsid w:val="001831ED"/>
    <w:rsid w:val="001836A2"/>
    <w:rsid w:val="00183923"/>
    <w:rsid w:val="00183C18"/>
    <w:rsid w:val="00183E88"/>
    <w:rsid w:val="00184789"/>
    <w:rsid w:val="001849F3"/>
    <w:rsid w:val="00184DC2"/>
    <w:rsid w:val="00185E93"/>
    <w:rsid w:val="00185EDB"/>
    <w:rsid w:val="00186289"/>
    <w:rsid w:val="001869E7"/>
    <w:rsid w:val="0018768B"/>
    <w:rsid w:val="00187A1E"/>
    <w:rsid w:val="0019028C"/>
    <w:rsid w:val="00190842"/>
    <w:rsid w:val="00193192"/>
    <w:rsid w:val="001932A7"/>
    <w:rsid w:val="001933B3"/>
    <w:rsid w:val="001937B3"/>
    <w:rsid w:val="00193C92"/>
    <w:rsid w:val="0019478B"/>
    <w:rsid w:val="00194FB0"/>
    <w:rsid w:val="00194FB6"/>
    <w:rsid w:val="00194FED"/>
    <w:rsid w:val="00195E39"/>
    <w:rsid w:val="00196417"/>
    <w:rsid w:val="0019685F"/>
    <w:rsid w:val="00197426"/>
    <w:rsid w:val="00197860"/>
    <w:rsid w:val="00197B56"/>
    <w:rsid w:val="001A058A"/>
    <w:rsid w:val="001A0726"/>
    <w:rsid w:val="001A0909"/>
    <w:rsid w:val="001A0B5A"/>
    <w:rsid w:val="001A0C5E"/>
    <w:rsid w:val="001A0F17"/>
    <w:rsid w:val="001A146C"/>
    <w:rsid w:val="001A1734"/>
    <w:rsid w:val="001A1BA1"/>
    <w:rsid w:val="001A2A69"/>
    <w:rsid w:val="001A3447"/>
    <w:rsid w:val="001A370D"/>
    <w:rsid w:val="001A3F32"/>
    <w:rsid w:val="001A4503"/>
    <w:rsid w:val="001A4830"/>
    <w:rsid w:val="001A48CF"/>
    <w:rsid w:val="001A4EBA"/>
    <w:rsid w:val="001A5EC6"/>
    <w:rsid w:val="001A6A89"/>
    <w:rsid w:val="001A6DB2"/>
    <w:rsid w:val="001A7B9D"/>
    <w:rsid w:val="001A7BA6"/>
    <w:rsid w:val="001B0801"/>
    <w:rsid w:val="001B0986"/>
    <w:rsid w:val="001B17BA"/>
    <w:rsid w:val="001B1C1F"/>
    <w:rsid w:val="001B257F"/>
    <w:rsid w:val="001B2898"/>
    <w:rsid w:val="001B2A30"/>
    <w:rsid w:val="001B2E47"/>
    <w:rsid w:val="001B3B1D"/>
    <w:rsid w:val="001B4C4F"/>
    <w:rsid w:val="001B54A5"/>
    <w:rsid w:val="001B5E42"/>
    <w:rsid w:val="001B5F00"/>
    <w:rsid w:val="001B6E88"/>
    <w:rsid w:val="001B7A03"/>
    <w:rsid w:val="001B7F74"/>
    <w:rsid w:val="001C0415"/>
    <w:rsid w:val="001C0BBB"/>
    <w:rsid w:val="001C1775"/>
    <w:rsid w:val="001C20A4"/>
    <w:rsid w:val="001C2B3C"/>
    <w:rsid w:val="001C2C17"/>
    <w:rsid w:val="001C331D"/>
    <w:rsid w:val="001C3729"/>
    <w:rsid w:val="001C37F5"/>
    <w:rsid w:val="001C4AB6"/>
    <w:rsid w:val="001C4DE2"/>
    <w:rsid w:val="001C5116"/>
    <w:rsid w:val="001C5312"/>
    <w:rsid w:val="001C59FA"/>
    <w:rsid w:val="001C6804"/>
    <w:rsid w:val="001D0157"/>
    <w:rsid w:val="001D05BB"/>
    <w:rsid w:val="001D1D3C"/>
    <w:rsid w:val="001D21EF"/>
    <w:rsid w:val="001D334C"/>
    <w:rsid w:val="001D373A"/>
    <w:rsid w:val="001D6C40"/>
    <w:rsid w:val="001D6FE1"/>
    <w:rsid w:val="001D726C"/>
    <w:rsid w:val="001D7465"/>
    <w:rsid w:val="001D75DA"/>
    <w:rsid w:val="001D7AF2"/>
    <w:rsid w:val="001D7C01"/>
    <w:rsid w:val="001E06B1"/>
    <w:rsid w:val="001E14C4"/>
    <w:rsid w:val="001E2088"/>
    <w:rsid w:val="001E20F7"/>
    <w:rsid w:val="001E267B"/>
    <w:rsid w:val="001E272F"/>
    <w:rsid w:val="001E289A"/>
    <w:rsid w:val="001E3304"/>
    <w:rsid w:val="001E493A"/>
    <w:rsid w:val="001E5D5C"/>
    <w:rsid w:val="001E61A0"/>
    <w:rsid w:val="001E69AF"/>
    <w:rsid w:val="001E69B1"/>
    <w:rsid w:val="001E7E38"/>
    <w:rsid w:val="001F009D"/>
    <w:rsid w:val="001F0103"/>
    <w:rsid w:val="001F1472"/>
    <w:rsid w:val="001F1BC5"/>
    <w:rsid w:val="001F24CB"/>
    <w:rsid w:val="001F2A26"/>
    <w:rsid w:val="001F2D48"/>
    <w:rsid w:val="001F2D74"/>
    <w:rsid w:val="001F3659"/>
    <w:rsid w:val="001F43B3"/>
    <w:rsid w:val="001F4702"/>
    <w:rsid w:val="001F4816"/>
    <w:rsid w:val="001F5175"/>
    <w:rsid w:val="001F561F"/>
    <w:rsid w:val="001F61BF"/>
    <w:rsid w:val="001F62AE"/>
    <w:rsid w:val="001F68C7"/>
    <w:rsid w:val="001F69C7"/>
    <w:rsid w:val="001F6E34"/>
    <w:rsid w:val="001F7631"/>
    <w:rsid w:val="001F78D5"/>
    <w:rsid w:val="001F7C39"/>
    <w:rsid w:val="001F7FD4"/>
    <w:rsid w:val="00200B51"/>
    <w:rsid w:val="0020166D"/>
    <w:rsid w:val="002018A8"/>
    <w:rsid w:val="002019C3"/>
    <w:rsid w:val="002020E4"/>
    <w:rsid w:val="002022A2"/>
    <w:rsid w:val="002026B2"/>
    <w:rsid w:val="002041E1"/>
    <w:rsid w:val="00204752"/>
    <w:rsid w:val="0020486A"/>
    <w:rsid w:val="00204B3D"/>
    <w:rsid w:val="002052C2"/>
    <w:rsid w:val="00205448"/>
    <w:rsid w:val="00205815"/>
    <w:rsid w:val="00205B55"/>
    <w:rsid w:val="00210F15"/>
    <w:rsid w:val="00210F7E"/>
    <w:rsid w:val="002110DA"/>
    <w:rsid w:val="002112EC"/>
    <w:rsid w:val="0021147D"/>
    <w:rsid w:val="00211CF4"/>
    <w:rsid w:val="00211F76"/>
    <w:rsid w:val="0021361D"/>
    <w:rsid w:val="002143DB"/>
    <w:rsid w:val="00214B88"/>
    <w:rsid w:val="002153D6"/>
    <w:rsid w:val="00215436"/>
    <w:rsid w:val="00215937"/>
    <w:rsid w:val="00215B1D"/>
    <w:rsid w:val="00216667"/>
    <w:rsid w:val="002171DA"/>
    <w:rsid w:val="002178DB"/>
    <w:rsid w:val="00220405"/>
    <w:rsid w:val="0022076C"/>
    <w:rsid w:val="00220C7D"/>
    <w:rsid w:val="002229EB"/>
    <w:rsid w:val="00222CB4"/>
    <w:rsid w:val="00222D61"/>
    <w:rsid w:val="00223034"/>
    <w:rsid w:val="0022312D"/>
    <w:rsid w:val="00223F26"/>
    <w:rsid w:val="00224562"/>
    <w:rsid w:val="0022466A"/>
    <w:rsid w:val="00224A8B"/>
    <w:rsid w:val="00224B10"/>
    <w:rsid w:val="00224D4B"/>
    <w:rsid w:val="00224F00"/>
    <w:rsid w:val="002252E3"/>
    <w:rsid w:val="0022640D"/>
    <w:rsid w:val="00226894"/>
    <w:rsid w:val="00226943"/>
    <w:rsid w:val="00226F7E"/>
    <w:rsid w:val="00227102"/>
    <w:rsid w:val="002273CD"/>
    <w:rsid w:val="00230815"/>
    <w:rsid w:val="00230B78"/>
    <w:rsid w:val="00232CC4"/>
    <w:rsid w:val="00232F84"/>
    <w:rsid w:val="00233D2F"/>
    <w:rsid w:val="00234112"/>
    <w:rsid w:val="002342CC"/>
    <w:rsid w:val="00234732"/>
    <w:rsid w:val="0023491E"/>
    <w:rsid w:val="00234B1F"/>
    <w:rsid w:val="00234F86"/>
    <w:rsid w:val="002351AA"/>
    <w:rsid w:val="0023533C"/>
    <w:rsid w:val="0023591A"/>
    <w:rsid w:val="00235AEA"/>
    <w:rsid w:val="00235B77"/>
    <w:rsid w:val="00236F01"/>
    <w:rsid w:val="00236FF3"/>
    <w:rsid w:val="002370AD"/>
    <w:rsid w:val="00237112"/>
    <w:rsid w:val="00237923"/>
    <w:rsid w:val="00237DC4"/>
    <w:rsid w:val="00237EBB"/>
    <w:rsid w:val="00240CF9"/>
    <w:rsid w:val="00240E6C"/>
    <w:rsid w:val="00241657"/>
    <w:rsid w:val="00241A49"/>
    <w:rsid w:val="00241C39"/>
    <w:rsid w:val="00242F78"/>
    <w:rsid w:val="00243851"/>
    <w:rsid w:val="002444A7"/>
    <w:rsid w:val="00244C43"/>
    <w:rsid w:val="0024504C"/>
    <w:rsid w:val="00245371"/>
    <w:rsid w:val="00245D63"/>
    <w:rsid w:val="00245E95"/>
    <w:rsid w:val="00246231"/>
    <w:rsid w:val="002463D4"/>
    <w:rsid w:val="00246A80"/>
    <w:rsid w:val="00247385"/>
    <w:rsid w:val="00247685"/>
    <w:rsid w:val="00250C59"/>
    <w:rsid w:val="00250DC4"/>
    <w:rsid w:val="0025151D"/>
    <w:rsid w:val="00251AD8"/>
    <w:rsid w:val="00251E46"/>
    <w:rsid w:val="0025303F"/>
    <w:rsid w:val="00253491"/>
    <w:rsid w:val="00253EBC"/>
    <w:rsid w:val="002542CA"/>
    <w:rsid w:val="00254590"/>
    <w:rsid w:val="00254D46"/>
    <w:rsid w:val="00256FA2"/>
    <w:rsid w:val="002577E2"/>
    <w:rsid w:val="0025794E"/>
    <w:rsid w:val="00257E82"/>
    <w:rsid w:val="00261541"/>
    <w:rsid w:val="0026181D"/>
    <w:rsid w:val="00261F35"/>
    <w:rsid w:val="00261FAC"/>
    <w:rsid w:val="00262080"/>
    <w:rsid w:val="0026247D"/>
    <w:rsid w:val="002624CE"/>
    <w:rsid w:val="002624E8"/>
    <w:rsid w:val="002626C7"/>
    <w:rsid w:val="00263822"/>
    <w:rsid w:val="00263F1A"/>
    <w:rsid w:val="00265A9D"/>
    <w:rsid w:val="002664AA"/>
    <w:rsid w:val="00266714"/>
    <w:rsid w:val="00266B33"/>
    <w:rsid w:val="00266DE5"/>
    <w:rsid w:val="0026714D"/>
    <w:rsid w:val="002701E5"/>
    <w:rsid w:val="002709F3"/>
    <w:rsid w:val="00270B20"/>
    <w:rsid w:val="00270B76"/>
    <w:rsid w:val="00270FF7"/>
    <w:rsid w:val="0027181E"/>
    <w:rsid w:val="00271A48"/>
    <w:rsid w:val="002726FB"/>
    <w:rsid w:val="0027274C"/>
    <w:rsid w:val="00272A26"/>
    <w:rsid w:val="00272D4C"/>
    <w:rsid w:val="0027361A"/>
    <w:rsid w:val="00274461"/>
    <w:rsid w:val="00274771"/>
    <w:rsid w:val="0027490F"/>
    <w:rsid w:val="00274D24"/>
    <w:rsid w:val="0027522F"/>
    <w:rsid w:val="00275868"/>
    <w:rsid w:val="00275E68"/>
    <w:rsid w:val="00276939"/>
    <w:rsid w:val="002769C7"/>
    <w:rsid w:val="002812EB"/>
    <w:rsid w:val="002833BA"/>
    <w:rsid w:val="00283A03"/>
    <w:rsid w:val="002844BA"/>
    <w:rsid w:val="00285231"/>
    <w:rsid w:val="0028589F"/>
    <w:rsid w:val="00286783"/>
    <w:rsid w:val="0028712A"/>
    <w:rsid w:val="0029029E"/>
    <w:rsid w:val="00290454"/>
    <w:rsid w:val="00290891"/>
    <w:rsid w:val="00291BB1"/>
    <w:rsid w:val="00291F04"/>
    <w:rsid w:val="00292E80"/>
    <w:rsid w:val="00293FEB"/>
    <w:rsid w:val="00294231"/>
    <w:rsid w:val="002948BE"/>
    <w:rsid w:val="00294CCE"/>
    <w:rsid w:val="002956A5"/>
    <w:rsid w:val="002958B5"/>
    <w:rsid w:val="00295EE7"/>
    <w:rsid w:val="002961D8"/>
    <w:rsid w:val="002961E0"/>
    <w:rsid w:val="0029677D"/>
    <w:rsid w:val="00296F2A"/>
    <w:rsid w:val="0029723A"/>
    <w:rsid w:val="002973F9"/>
    <w:rsid w:val="00297A40"/>
    <w:rsid w:val="00297AD6"/>
    <w:rsid w:val="002A171A"/>
    <w:rsid w:val="002A1B05"/>
    <w:rsid w:val="002A1DE1"/>
    <w:rsid w:val="002A2091"/>
    <w:rsid w:val="002A2501"/>
    <w:rsid w:val="002A32FA"/>
    <w:rsid w:val="002A3615"/>
    <w:rsid w:val="002A3C3C"/>
    <w:rsid w:val="002A4444"/>
    <w:rsid w:val="002A5F94"/>
    <w:rsid w:val="002A5FC3"/>
    <w:rsid w:val="002A6ED9"/>
    <w:rsid w:val="002B0A13"/>
    <w:rsid w:val="002B2620"/>
    <w:rsid w:val="002B33BE"/>
    <w:rsid w:val="002B3C63"/>
    <w:rsid w:val="002B42F3"/>
    <w:rsid w:val="002B5AAC"/>
    <w:rsid w:val="002B6807"/>
    <w:rsid w:val="002B7C03"/>
    <w:rsid w:val="002B7C88"/>
    <w:rsid w:val="002C0A3A"/>
    <w:rsid w:val="002C1FC2"/>
    <w:rsid w:val="002C220E"/>
    <w:rsid w:val="002C2397"/>
    <w:rsid w:val="002C2459"/>
    <w:rsid w:val="002C2773"/>
    <w:rsid w:val="002C31D8"/>
    <w:rsid w:val="002C344E"/>
    <w:rsid w:val="002C3679"/>
    <w:rsid w:val="002C36BF"/>
    <w:rsid w:val="002C46A1"/>
    <w:rsid w:val="002C4BF1"/>
    <w:rsid w:val="002C4D3E"/>
    <w:rsid w:val="002C4E12"/>
    <w:rsid w:val="002C5375"/>
    <w:rsid w:val="002C5483"/>
    <w:rsid w:val="002C567A"/>
    <w:rsid w:val="002C5DDA"/>
    <w:rsid w:val="002C63AB"/>
    <w:rsid w:val="002C6C5E"/>
    <w:rsid w:val="002C7A29"/>
    <w:rsid w:val="002C7D24"/>
    <w:rsid w:val="002C8EAE"/>
    <w:rsid w:val="002D0167"/>
    <w:rsid w:val="002D01FA"/>
    <w:rsid w:val="002D0510"/>
    <w:rsid w:val="002D09AA"/>
    <w:rsid w:val="002D0B7B"/>
    <w:rsid w:val="002D1A12"/>
    <w:rsid w:val="002D1FA5"/>
    <w:rsid w:val="002D200A"/>
    <w:rsid w:val="002D245C"/>
    <w:rsid w:val="002D2A1B"/>
    <w:rsid w:val="002D2FA8"/>
    <w:rsid w:val="002D3834"/>
    <w:rsid w:val="002D3E24"/>
    <w:rsid w:val="002D3E7F"/>
    <w:rsid w:val="002D3F01"/>
    <w:rsid w:val="002D4020"/>
    <w:rsid w:val="002D5125"/>
    <w:rsid w:val="002D5594"/>
    <w:rsid w:val="002D55E9"/>
    <w:rsid w:val="002D5E1C"/>
    <w:rsid w:val="002D6507"/>
    <w:rsid w:val="002D6B36"/>
    <w:rsid w:val="002D72AF"/>
    <w:rsid w:val="002D734A"/>
    <w:rsid w:val="002E0ECC"/>
    <w:rsid w:val="002E1760"/>
    <w:rsid w:val="002E29F6"/>
    <w:rsid w:val="002E2B37"/>
    <w:rsid w:val="002E3483"/>
    <w:rsid w:val="002E3B4D"/>
    <w:rsid w:val="002E4BE1"/>
    <w:rsid w:val="002E5113"/>
    <w:rsid w:val="002E5517"/>
    <w:rsid w:val="002E59DD"/>
    <w:rsid w:val="002E5A4B"/>
    <w:rsid w:val="002E5C00"/>
    <w:rsid w:val="002E6099"/>
    <w:rsid w:val="002E6145"/>
    <w:rsid w:val="002E7678"/>
    <w:rsid w:val="002E7685"/>
    <w:rsid w:val="002E79E4"/>
    <w:rsid w:val="002E7F92"/>
    <w:rsid w:val="002F1472"/>
    <w:rsid w:val="002F1932"/>
    <w:rsid w:val="002F19DC"/>
    <w:rsid w:val="002F2995"/>
    <w:rsid w:val="002F323E"/>
    <w:rsid w:val="002F37ED"/>
    <w:rsid w:val="002F3BDF"/>
    <w:rsid w:val="002F3C62"/>
    <w:rsid w:val="002F40D0"/>
    <w:rsid w:val="002F4ED4"/>
    <w:rsid w:val="002F5274"/>
    <w:rsid w:val="002F55AB"/>
    <w:rsid w:val="002F5860"/>
    <w:rsid w:val="002F5D3C"/>
    <w:rsid w:val="002F6C75"/>
    <w:rsid w:val="002F7BBB"/>
    <w:rsid w:val="002F7C87"/>
    <w:rsid w:val="002F7FC6"/>
    <w:rsid w:val="00300277"/>
    <w:rsid w:val="00301076"/>
    <w:rsid w:val="003012D2"/>
    <w:rsid w:val="003015F4"/>
    <w:rsid w:val="0030187D"/>
    <w:rsid w:val="0030191A"/>
    <w:rsid w:val="00301C31"/>
    <w:rsid w:val="00301C61"/>
    <w:rsid w:val="00301DA4"/>
    <w:rsid w:val="00302891"/>
    <w:rsid w:val="00302D19"/>
    <w:rsid w:val="00303165"/>
    <w:rsid w:val="0030387D"/>
    <w:rsid w:val="00304D22"/>
    <w:rsid w:val="0030524F"/>
    <w:rsid w:val="003053E5"/>
    <w:rsid w:val="003060E1"/>
    <w:rsid w:val="003066C9"/>
    <w:rsid w:val="003067F8"/>
    <w:rsid w:val="003101CF"/>
    <w:rsid w:val="0031110E"/>
    <w:rsid w:val="003115B5"/>
    <w:rsid w:val="003118B4"/>
    <w:rsid w:val="00312195"/>
    <w:rsid w:val="003126A9"/>
    <w:rsid w:val="00312C34"/>
    <w:rsid w:val="00312C76"/>
    <w:rsid w:val="00312EF5"/>
    <w:rsid w:val="00313116"/>
    <w:rsid w:val="0031360E"/>
    <w:rsid w:val="00313AF8"/>
    <w:rsid w:val="00314619"/>
    <w:rsid w:val="00315839"/>
    <w:rsid w:val="00315BF6"/>
    <w:rsid w:val="0031661A"/>
    <w:rsid w:val="00317484"/>
    <w:rsid w:val="003177EB"/>
    <w:rsid w:val="003208E7"/>
    <w:rsid w:val="00321852"/>
    <w:rsid w:val="00321DAE"/>
    <w:rsid w:val="00322ABD"/>
    <w:rsid w:val="00322DF0"/>
    <w:rsid w:val="00322E3D"/>
    <w:rsid w:val="003236F6"/>
    <w:rsid w:val="003254C8"/>
    <w:rsid w:val="00325B47"/>
    <w:rsid w:val="00325BA8"/>
    <w:rsid w:val="00325E53"/>
    <w:rsid w:val="00325F06"/>
    <w:rsid w:val="003264F0"/>
    <w:rsid w:val="003265C4"/>
    <w:rsid w:val="00326870"/>
    <w:rsid w:val="00326D40"/>
    <w:rsid w:val="00330010"/>
    <w:rsid w:val="00330C07"/>
    <w:rsid w:val="00330F16"/>
    <w:rsid w:val="003310FF"/>
    <w:rsid w:val="0033409B"/>
    <w:rsid w:val="003343BD"/>
    <w:rsid w:val="0033449D"/>
    <w:rsid w:val="00334B51"/>
    <w:rsid w:val="0033529A"/>
    <w:rsid w:val="00335D8D"/>
    <w:rsid w:val="0033613B"/>
    <w:rsid w:val="00336D7B"/>
    <w:rsid w:val="00340214"/>
    <w:rsid w:val="003402DE"/>
    <w:rsid w:val="00340AA4"/>
    <w:rsid w:val="00340E6C"/>
    <w:rsid w:val="0034165E"/>
    <w:rsid w:val="003418C2"/>
    <w:rsid w:val="00341983"/>
    <w:rsid w:val="00341C36"/>
    <w:rsid w:val="00341C39"/>
    <w:rsid w:val="00341D3F"/>
    <w:rsid w:val="00341E9E"/>
    <w:rsid w:val="0034415B"/>
    <w:rsid w:val="00344584"/>
    <w:rsid w:val="00346449"/>
    <w:rsid w:val="003467D6"/>
    <w:rsid w:val="0034705D"/>
    <w:rsid w:val="00347297"/>
    <w:rsid w:val="0034762C"/>
    <w:rsid w:val="0034771E"/>
    <w:rsid w:val="0035071E"/>
    <w:rsid w:val="003519CE"/>
    <w:rsid w:val="00351A24"/>
    <w:rsid w:val="00352441"/>
    <w:rsid w:val="00352472"/>
    <w:rsid w:val="0035350A"/>
    <w:rsid w:val="0035355A"/>
    <w:rsid w:val="003538A4"/>
    <w:rsid w:val="003539F7"/>
    <w:rsid w:val="0035417E"/>
    <w:rsid w:val="00354CF2"/>
    <w:rsid w:val="00355C23"/>
    <w:rsid w:val="00355EBD"/>
    <w:rsid w:val="003568EC"/>
    <w:rsid w:val="00356D37"/>
    <w:rsid w:val="00357108"/>
    <w:rsid w:val="00357150"/>
    <w:rsid w:val="003571F4"/>
    <w:rsid w:val="00357283"/>
    <w:rsid w:val="003576C3"/>
    <w:rsid w:val="00357A5E"/>
    <w:rsid w:val="003607D1"/>
    <w:rsid w:val="00360858"/>
    <w:rsid w:val="00360C0B"/>
    <w:rsid w:val="0036129E"/>
    <w:rsid w:val="0036166E"/>
    <w:rsid w:val="00361AC7"/>
    <w:rsid w:val="00361C5A"/>
    <w:rsid w:val="00361F01"/>
    <w:rsid w:val="00362178"/>
    <w:rsid w:val="003624DA"/>
    <w:rsid w:val="00362981"/>
    <w:rsid w:val="003631AC"/>
    <w:rsid w:val="00363262"/>
    <w:rsid w:val="003635C9"/>
    <w:rsid w:val="00363A53"/>
    <w:rsid w:val="00363C86"/>
    <w:rsid w:val="00363D23"/>
    <w:rsid w:val="00363E16"/>
    <w:rsid w:val="003648A2"/>
    <w:rsid w:val="00364D23"/>
    <w:rsid w:val="003663DB"/>
    <w:rsid w:val="003668AA"/>
    <w:rsid w:val="00366B4F"/>
    <w:rsid w:val="00366C1A"/>
    <w:rsid w:val="00367A17"/>
    <w:rsid w:val="003709EB"/>
    <w:rsid w:val="00370B37"/>
    <w:rsid w:val="00372152"/>
    <w:rsid w:val="00372272"/>
    <w:rsid w:val="00372359"/>
    <w:rsid w:val="003727D0"/>
    <w:rsid w:val="0037297A"/>
    <w:rsid w:val="00373762"/>
    <w:rsid w:val="00373A45"/>
    <w:rsid w:val="00373C6D"/>
    <w:rsid w:val="00373F8A"/>
    <w:rsid w:val="00374F0D"/>
    <w:rsid w:val="003754CE"/>
    <w:rsid w:val="0037552D"/>
    <w:rsid w:val="003756E7"/>
    <w:rsid w:val="0037681C"/>
    <w:rsid w:val="0037682B"/>
    <w:rsid w:val="0037717E"/>
    <w:rsid w:val="00377C0F"/>
    <w:rsid w:val="00377C62"/>
    <w:rsid w:val="00377DE5"/>
    <w:rsid w:val="00377FF6"/>
    <w:rsid w:val="00381088"/>
    <w:rsid w:val="00381393"/>
    <w:rsid w:val="00381956"/>
    <w:rsid w:val="00382B5D"/>
    <w:rsid w:val="00382D53"/>
    <w:rsid w:val="00383126"/>
    <w:rsid w:val="003836BD"/>
    <w:rsid w:val="00384ED1"/>
    <w:rsid w:val="00384EEA"/>
    <w:rsid w:val="00384F75"/>
    <w:rsid w:val="003856E3"/>
    <w:rsid w:val="003857B5"/>
    <w:rsid w:val="003860C5"/>
    <w:rsid w:val="003862A6"/>
    <w:rsid w:val="00390062"/>
    <w:rsid w:val="003910C1"/>
    <w:rsid w:val="00391C89"/>
    <w:rsid w:val="0039211C"/>
    <w:rsid w:val="00392A22"/>
    <w:rsid w:val="003933AE"/>
    <w:rsid w:val="00393ACA"/>
    <w:rsid w:val="0039429D"/>
    <w:rsid w:val="00394DDB"/>
    <w:rsid w:val="00394F90"/>
    <w:rsid w:val="003954D6"/>
    <w:rsid w:val="00395553"/>
    <w:rsid w:val="003958D2"/>
    <w:rsid w:val="00395C55"/>
    <w:rsid w:val="0039729A"/>
    <w:rsid w:val="00397AB6"/>
    <w:rsid w:val="00398BF9"/>
    <w:rsid w:val="003A05BE"/>
    <w:rsid w:val="003A10BE"/>
    <w:rsid w:val="003A116D"/>
    <w:rsid w:val="003A11E8"/>
    <w:rsid w:val="003A288D"/>
    <w:rsid w:val="003A3703"/>
    <w:rsid w:val="003A3706"/>
    <w:rsid w:val="003A3B61"/>
    <w:rsid w:val="003A3FDC"/>
    <w:rsid w:val="003A4C22"/>
    <w:rsid w:val="003A4D14"/>
    <w:rsid w:val="003A547B"/>
    <w:rsid w:val="003A6066"/>
    <w:rsid w:val="003A6930"/>
    <w:rsid w:val="003A69D5"/>
    <w:rsid w:val="003A6B59"/>
    <w:rsid w:val="003A7008"/>
    <w:rsid w:val="003A7E20"/>
    <w:rsid w:val="003B0B69"/>
    <w:rsid w:val="003B1BCC"/>
    <w:rsid w:val="003B1D0D"/>
    <w:rsid w:val="003B1D6C"/>
    <w:rsid w:val="003B33CE"/>
    <w:rsid w:val="003B3708"/>
    <w:rsid w:val="003B3D35"/>
    <w:rsid w:val="003B4267"/>
    <w:rsid w:val="003B4738"/>
    <w:rsid w:val="003B7008"/>
    <w:rsid w:val="003B709E"/>
    <w:rsid w:val="003B78DB"/>
    <w:rsid w:val="003B79A9"/>
    <w:rsid w:val="003B7D19"/>
    <w:rsid w:val="003C0499"/>
    <w:rsid w:val="003C20A9"/>
    <w:rsid w:val="003C215B"/>
    <w:rsid w:val="003C2483"/>
    <w:rsid w:val="003C36D9"/>
    <w:rsid w:val="003C3B75"/>
    <w:rsid w:val="003C3DB1"/>
    <w:rsid w:val="003C400A"/>
    <w:rsid w:val="003C42B5"/>
    <w:rsid w:val="003C4911"/>
    <w:rsid w:val="003C492E"/>
    <w:rsid w:val="003C5679"/>
    <w:rsid w:val="003C5C94"/>
    <w:rsid w:val="003C5CBA"/>
    <w:rsid w:val="003D09B4"/>
    <w:rsid w:val="003D1489"/>
    <w:rsid w:val="003D19E5"/>
    <w:rsid w:val="003D2F42"/>
    <w:rsid w:val="003D331B"/>
    <w:rsid w:val="003D3516"/>
    <w:rsid w:val="003D3949"/>
    <w:rsid w:val="003D3AC8"/>
    <w:rsid w:val="003D501F"/>
    <w:rsid w:val="003D52B4"/>
    <w:rsid w:val="003D5575"/>
    <w:rsid w:val="003D5BA1"/>
    <w:rsid w:val="003D6449"/>
    <w:rsid w:val="003D647E"/>
    <w:rsid w:val="003D64AB"/>
    <w:rsid w:val="003D6A41"/>
    <w:rsid w:val="003D798D"/>
    <w:rsid w:val="003E0A0C"/>
    <w:rsid w:val="003E1428"/>
    <w:rsid w:val="003E1833"/>
    <w:rsid w:val="003E1B42"/>
    <w:rsid w:val="003E24BC"/>
    <w:rsid w:val="003E2A18"/>
    <w:rsid w:val="003E36C1"/>
    <w:rsid w:val="003E3A8A"/>
    <w:rsid w:val="003E5424"/>
    <w:rsid w:val="003E544C"/>
    <w:rsid w:val="003E698E"/>
    <w:rsid w:val="003E6E0D"/>
    <w:rsid w:val="003F0232"/>
    <w:rsid w:val="003F0390"/>
    <w:rsid w:val="003F1C19"/>
    <w:rsid w:val="003F1F77"/>
    <w:rsid w:val="003F232E"/>
    <w:rsid w:val="003F268D"/>
    <w:rsid w:val="003F2E35"/>
    <w:rsid w:val="003F3329"/>
    <w:rsid w:val="003F3741"/>
    <w:rsid w:val="003F4BDB"/>
    <w:rsid w:val="003F54C2"/>
    <w:rsid w:val="003F554A"/>
    <w:rsid w:val="003F5ADC"/>
    <w:rsid w:val="003F5E89"/>
    <w:rsid w:val="003F6433"/>
    <w:rsid w:val="003F69C4"/>
    <w:rsid w:val="003F6FB5"/>
    <w:rsid w:val="003F71E9"/>
    <w:rsid w:val="003F7584"/>
    <w:rsid w:val="003F78B2"/>
    <w:rsid w:val="003F7D57"/>
    <w:rsid w:val="0040032B"/>
    <w:rsid w:val="00400BEF"/>
    <w:rsid w:val="00400DB5"/>
    <w:rsid w:val="00401155"/>
    <w:rsid w:val="004014C8"/>
    <w:rsid w:val="00402534"/>
    <w:rsid w:val="00402834"/>
    <w:rsid w:val="00403AA8"/>
    <w:rsid w:val="00403E47"/>
    <w:rsid w:val="00404511"/>
    <w:rsid w:val="00404F55"/>
    <w:rsid w:val="004051EB"/>
    <w:rsid w:val="00405525"/>
    <w:rsid w:val="00406859"/>
    <w:rsid w:val="00406AC8"/>
    <w:rsid w:val="00406AD5"/>
    <w:rsid w:val="00410C93"/>
    <w:rsid w:val="00411937"/>
    <w:rsid w:val="00411FA8"/>
    <w:rsid w:val="00412269"/>
    <w:rsid w:val="00412D0D"/>
    <w:rsid w:val="0041344D"/>
    <w:rsid w:val="00414123"/>
    <w:rsid w:val="00414176"/>
    <w:rsid w:val="00414401"/>
    <w:rsid w:val="00414439"/>
    <w:rsid w:val="00414546"/>
    <w:rsid w:val="004149C1"/>
    <w:rsid w:val="00414A26"/>
    <w:rsid w:val="004156E1"/>
    <w:rsid w:val="00420628"/>
    <w:rsid w:val="00420F55"/>
    <w:rsid w:val="0042136F"/>
    <w:rsid w:val="004215A9"/>
    <w:rsid w:val="00421C2C"/>
    <w:rsid w:val="00422360"/>
    <w:rsid w:val="0042245D"/>
    <w:rsid w:val="00422987"/>
    <w:rsid w:val="00423362"/>
    <w:rsid w:val="004237D9"/>
    <w:rsid w:val="00423AA6"/>
    <w:rsid w:val="00423ADE"/>
    <w:rsid w:val="004243B4"/>
    <w:rsid w:val="00425232"/>
    <w:rsid w:val="00425F74"/>
    <w:rsid w:val="00427174"/>
    <w:rsid w:val="0043005C"/>
    <w:rsid w:val="004318AB"/>
    <w:rsid w:val="0043193C"/>
    <w:rsid w:val="00431C10"/>
    <w:rsid w:val="00431D04"/>
    <w:rsid w:val="00432099"/>
    <w:rsid w:val="00432AFB"/>
    <w:rsid w:val="00433011"/>
    <w:rsid w:val="004340EA"/>
    <w:rsid w:val="00435F1E"/>
    <w:rsid w:val="004360B8"/>
    <w:rsid w:val="00436455"/>
    <w:rsid w:val="00436678"/>
    <w:rsid w:val="00440712"/>
    <w:rsid w:val="00440C9C"/>
    <w:rsid w:val="004411E2"/>
    <w:rsid w:val="00442805"/>
    <w:rsid w:val="00443149"/>
    <w:rsid w:val="00443562"/>
    <w:rsid w:val="00444335"/>
    <w:rsid w:val="004447FF"/>
    <w:rsid w:val="004459D5"/>
    <w:rsid w:val="00445BFB"/>
    <w:rsid w:val="00445E88"/>
    <w:rsid w:val="00445EC1"/>
    <w:rsid w:val="00446052"/>
    <w:rsid w:val="00446EE7"/>
    <w:rsid w:val="004471F2"/>
    <w:rsid w:val="004472E9"/>
    <w:rsid w:val="00447712"/>
    <w:rsid w:val="00451457"/>
    <w:rsid w:val="00451473"/>
    <w:rsid w:val="00451D7B"/>
    <w:rsid w:val="00452F63"/>
    <w:rsid w:val="0045312A"/>
    <w:rsid w:val="0045338E"/>
    <w:rsid w:val="0045347C"/>
    <w:rsid w:val="00453B21"/>
    <w:rsid w:val="00453C14"/>
    <w:rsid w:val="00455445"/>
    <w:rsid w:val="004554C0"/>
    <w:rsid w:val="00456E5E"/>
    <w:rsid w:val="00457139"/>
    <w:rsid w:val="0045715F"/>
    <w:rsid w:val="00457807"/>
    <w:rsid w:val="004578E9"/>
    <w:rsid w:val="00457E96"/>
    <w:rsid w:val="00457F78"/>
    <w:rsid w:val="0046037C"/>
    <w:rsid w:val="00460BDC"/>
    <w:rsid w:val="00460E96"/>
    <w:rsid w:val="00460EBA"/>
    <w:rsid w:val="004615C3"/>
    <w:rsid w:val="0046186A"/>
    <w:rsid w:val="0046195B"/>
    <w:rsid w:val="00461BFE"/>
    <w:rsid w:val="0046298E"/>
    <w:rsid w:val="00462F42"/>
    <w:rsid w:val="0046359F"/>
    <w:rsid w:val="00463662"/>
    <w:rsid w:val="00463A01"/>
    <w:rsid w:val="00463BA4"/>
    <w:rsid w:val="00463CC2"/>
    <w:rsid w:val="0046418C"/>
    <w:rsid w:val="004642FA"/>
    <w:rsid w:val="00464641"/>
    <w:rsid w:val="00464FF2"/>
    <w:rsid w:val="004651CC"/>
    <w:rsid w:val="0046555C"/>
    <w:rsid w:val="00465B5B"/>
    <w:rsid w:val="00466476"/>
    <w:rsid w:val="00466F39"/>
    <w:rsid w:val="00467034"/>
    <w:rsid w:val="004670C3"/>
    <w:rsid w:val="00467611"/>
    <w:rsid w:val="00467C3D"/>
    <w:rsid w:val="00470072"/>
    <w:rsid w:val="00470A1F"/>
    <w:rsid w:val="00470C6A"/>
    <w:rsid w:val="004712F2"/>
    <w:rsid w:val="004716B9"/>
    <w:rsid w:val="00471A38"/>
    <w:rsid w:val="0047230B"/>
    <w:rsid w:val="00473834"/>
    <w:rsid w:val="00473912"/>
    <w:rsid w:val="004752C3"/>
    <w:rsid w:val="00475374"/>
    <w:rsid w:val="00477E6C"/>
    <w:rsid w:val="00480E69"/>
    <w:rsid w:val="00483B97"/>
    <w:rsid w:val="00483DE5"/>
    <w:rsid w:val="00484179"/>
    <w:rsid w:val="004846DD"/>
    <w:rsid w:val="00484C22"/>
    <w:rsid w:val="00484DAD"/>
    <w:rsid w:val="00484FF0"/>
    <w:rsid w:val="004857B2"/>
    <w:rsid w:val="0048588A"/>
    <w:rsid w:val="004873AD"/>
    <w:rsid w:val="00487A71"/>
    <w:rsid w:val="00487B81"/>
    <w:rsid w:val="00490231"/>
    <w:rsid w:val="00491037"/>
    <w:rsid w:val="00492060"/>
    <w:rsid w:val="00492AB3"/>
    <w:rsid w:val="00493DAC"/>
    <w:rsid w:val="00493FBA"/>
    <w:rsid w:val="004956CC"/>
    <w:rsid w:val="00495897"/>
    <w:rsid w:val="00495A37"/>
    <w:rsid w:val="00496403"/>
    <w:rsid w:val="0049649C"/>
    <w:rsid w:val="0049688B"/>
    <w:rsid w:val="00497171"/>
    <w:rsid w:val="00497788"/>
    <w:rsid w:val="004977A2"/>
    <w:rsid w:val="00497EF2"/>
    <w:rsid w:val="004A1213"/>
    <w:rsid w:val="004A12BB"/>
    <w:rsid w:val="004A2E2C"/>
    <w:rsid w:val="004A3333"/>
    <w:rsid w:val="004A3494"/>
    <w:rsid w:val="004A54CD"/>
    <w:rsid w:val="004A5E24"/>
    <w:rsid w:val="004A5EBD"/>
    <w:rsid w:val="004A6BCE"/>
    <w:rsid w:val="004A7708"/>
    <w:rsid w:val="004A7B5C"/>
    <w:rsid w:val="004A7B9D"/>
    <w:rsid w:val="004A7F90"/>
    <w:rsid w:val="004B0319"/>
    <w:rsid w:val="004B0362"/>
    <w:rsid w:val="004B04CC"/>
    <w:rsid w:val="004B0822"/>
    <w:rsid w:val="004B0DD9"/>
    <w:rsid w:val="004B252C"/>
    <w:rsid w:val="004B3400"/>
    <w:rsid w:val="004B3694"/>
    <w:rsid w:val="004B3EBA"/>
    <w:rsid w:val="004B4B8D"/>
    <w:rsid w:val="004B502C"/>
    <w:rsid w:val="004B5045"/>
    <w:rsid w:val="004B64B7"/>
    <w:rsid w:val="004B6547"/>
    <w:rsid w:val="004B6A20"/>
    <w:rsid w:val="004B7154"/>
    <w:rsid w:val="004B7579"/>
    <w:rsid w:val="004B771C"/>
    <w:rsid w:val="004B79E6"/>
    <w:rsid w:val="004C0172"/>
    <w:rsid w:val="004C1881"/>
    <w:rsid w:val="004C1CD3"/>
    <w:rsid w:val="004C2973"/>
    <w:rsid w:val="004C46C3"/>
    <w:rsid w:val="004C57D4"/>
    <w:rsid w:val="004C5C5B"/>
    <w:rsid w:val="004C77C4"/>
    <w:rsid w:val="004C7835"/>
    <w:rsid w:val="004C7FD2"/>
    <w:rsid w:val="004D04BC"/>
    <w:rsid w:val="004D19F6"/>
    <w:rsid w:val="004D1BDC"/>
    <w:rsid w:val="004D26EB"/>
    <w:rsid w:val="004D2E64"/>
    <w:rsid w:val="004D3216"/>
    <w:rsid w:val="004D38B5"/>
    <w:rsid w:val="004D3974"/>
    <w:rsid w:val="004D3E43"/>
    <w:rsid w:val="004D4A9D"/>
    <w:rsid w:val="004D4D21"/>
    <w:rsid w:val="004D518A"/>
    <w:rsid w:val="004D5541"/>
    <w:rsid w:val="004D6135"/>
    <w:rsid w:val="004D6253"/>
    <w:rsid w:val="004D681E"/>
    <w:rsid w:val="004D6DE0"/>
    <w:rsid w:val="004D74BC"/>
    <w:rsid w:val="004E01DE"/>
    <w:rsid w:val="004E0878"/>
    <w:rsid w:val="004E087E"/>
    <w:rsid w:val="004E0AE7"/>
    <w:rsid w:val="004E0E05"/>
    <w:rsid w:val="004E0E93"/>
    <w:rsid w:val="004E1059"/>
    <w:rsid w:val="004E1539"/>
    <w:rsid w:val="004E154D"/>
    <w:rsid w:val="004E1715"/>
    <w:rsid w:val="004E1923"/>
    <w:rsid w:val="004E2040"/>
    <w:rsid w:val="004E209B"/>
    <w:rsid w:val="004E211A"/>
    <w:rsid w:val="004E2240"/>
    <w:rsid w:val="004E270C"/>
    <w:rsid w:val="004E2798"/>
    <w:rsid w:val="004E2C78"/>
    <w:rsid w:val="004E2FE1"/>
    <w:rsid w:val="004E3187"/>
    <w:rsid w:val="004E4079"/>
    <w:rsid w:val="004E4A54"/>
    <w:rsid w:val="004E50CB"/>
    <w:rsid w:val="004E53E8"/>
    <w:rsid w:val="004E6243"/>
    <w:rsid w:val="004E672B"/>
    <w:rsid w:val="004E68FF"/>
    <w:rsid w:val="004E75F6"/>
    <w:rsid w:val="004F074D"/>
    <w:rsid w:val="004F1591"/>
    <w:rsid w:val="004F1C33"/>
    <w:rsid w:val="004F2861"/>
    <w:rsid w:val="004F2A8B"/>
    <w:rsid w:val="004F2B91"/>
    <w:rsid w:val="004F2FDE"/>
    <w:rsid w:val="004F377E"/>
    <w:rsid w:val="004F4B9B"/>
    <w:rsid w:val="004F4FA8"/>
    <w:rsid w:val="004F4FF5"/>
    <w:rsid w:val="004F5156"/>
    <w:rsid w:val="004F51C2"/>
    <w:rsid w:val="004F5892"/>
    <w:rsid w:val="004F62C3"/>
    <w:rsid w:val="004F68BA"/>
    <w:rsid w:val="004F6FE4"/>
    <w:rsid w:val="004F7CA2"/>
    <w:rsid w:val="00500F40"/>
    <w:rsid w:val="005015F7"/>
    <w:rsid w:val="00502BFA"/>
    <w:rsid w:val="00502F6E"/>
    <w:rsid w:val="005036B8"/>
    <w:rsid w:val="00503FE7"/>
    <w:rsid w:val="005043CA"/>
    <w:rsid w:val="005044AA"/>
    <w:rsid w:val="0050563B"/>
    <w:rsid w:val="00506A27"/>
    <w:rsid w:val="00506C47"/>
    <w:rsid w:val="00507838"/>
    <w:rsid w:val="00507E6A"/>
    <w:rsid w:val="00510812"/>
    <w:rsid w:val="00512488"/>
    <w:rsid w:val="005132DC"/>
    <w:rsid w:val="005135F9"/>
    <w:rsid w:val="00513AFD"/>
    <w:rsid w:val="005144FE"/>
    <w:rsid w:val="005148B1"/>
    <w:rsid w:val="005150CA"/>
    <w:rsid w:val="00515608"/>
    <w:rsid w:val="0051677D"/>
    <w:rsid w:val="00517E05"/>
    <w:rsid w:val="00517E9D"/>
    <w:rsid w:val="00520917"/>
    <w:rsid w:val="0052461D"/>
    <w:rsid w:val="00524856"/>
    <w:rsid w:val="00525416"/>
    <w:rsid w:val="005254DA"/>
    <w:rsid w:val="00525F82"/>
    <w:rsid w:val="005261B9"/>
    <w:rsid w:val="0052623B"/>
    <w:rsid w:val="00526EDC"/>
    <w:rsid w:val="00527047"/>
    <w:rsid w:val="0052726C"/>
    <w:rsid w:val="0052741C"/>
    <w:rsid w:val="0052751D"/>
    <w:rsid w:val="00527BDD"/>
    <w:rsid w:val="005304C1"/>
    <w:rsid w:val="00530B45"/>
    <w:rsid w:val="00530CBF"/>
    <w:rsid w:val="0053100B"/>
    <w:rsid w:val="0053186E"/>
    <w:rsid w:val="0053187B"/>
    <w:rsid w:val="00531DD9"/>
    <w:rsid w:val="00532547"/>
    <w:rsid w:val="00532B84"/>
    <w:rsid w:val="00532EE7"/>
    <w:rsid w:val="005331FE"/>
    <w:rsid w:val="00533377"/>
    <w:rsid w:val="00533C28"/>
    <w:rsid w:val="00534702"/>
    <w:rsid w:val="00535611"/>
    <w:rsid w:val="00535C8C"/>
    <w:rsid w:val="00535C9F"/>
    <w:rsid w:val="00535F48"/>
    <w:rsid w:val="0053686E"/>
    <w:rsid w:val="00536C25"/>
    <w:rsid w:val="00537241"/>
    <w:rsid w:val="005372F0"/>
    <w:rsid w:val="00537A15"/>
    <w:rsid w:val="00540407"/>
    <w:rsid w:val="0054068D"/>
    <w:rsid w:val="00540C5C"/>
    <w:rsid w:val="00541244"/>
    <w:rsid w:val="005416AB"/>
    <w:rsid w:val="00541BC5"/>
    <w:rsid w:val="00541CC5"/>
    <w:rsid w:val="00541DB5"/>
    <w:rsid w:val="00541F11"/>
    <w:rsid w:val="00542122"/>
    <w:rsid w:val="00542884"/>
    <w:rsid w:val="00542B4C"/>
    <w:rsid w:val="00543005"/>
    <w:rsid w:val="00543B70"/>
    <w:rsid w:val="00543C6B"/>
    <w:rsid w:val="00543C78"/>
    <w:rsid w:val="00543DBE"/>
    <w:rsid w:val="00544A12"/>
    <w:rsid w:val="00545156"/>
    <w:rsid w:val="00546FD0"/>
    <w:rsid w:val="00547AE2"/>
    <w:rsid w:val="00547D5B"/>
    <w:rsid w:val="005506F1"/>
    <w:rsid w:val="005514B2"/>
    <w:rsid w:val="00551EA8"/>
    <w:rsid w:val="00552138"/>
    <w:rsid w:val="00552814"/>
    <w:rsid w:val="00552B57"/>
    <w:rsid w:val="00553292"/>
    <w:rsid w:val="0055357E"/>
    <w:rsid w:val="005539F3"/>
    <w:rsid w:val="00553D54"/>
    <w:rsid w:val="00554AB1"/>
    <w:rsid w:val="00554F75"/>
    <w:rsid w:val="00555509"/>
    <w:rsid w:val="00555A9B"/>
    <w:rsid w:val="00555A9C"/>
    <w:rsid w:val="00555AFC"/>
    <w:rsid w:val="00555D8E"/>
    <w:rsid w:val="00556431"/>
    <w:rsid w:val="00556FB3"/>
    <w:rsid w:val="0055734C"/>
    <w:rsid w:val="005577E1"/>
    <w:rsid w:val="00557CCB"/>
    <w:rsid w:val="00560B81"/>
    <w:rsid w:val="00560D67"/>
    <w:rsid w:val="00560F5F"/>
    <w:rsid w:val="0056141C"/>
    <w:rsid w:val="00561466"/>
    <w:rsid w:val="00561628"/>
    <w:rsid w:val="00562434"/>
    <w:rsid w:val="00562A25"/>
    <w:rsid w:val="00562D04"/>
    <w:rsid w:val="0056312E"/>
    <w:rsid w:val="00563B59"/>
    <w:rsid w:val="00564132"/>
    <w:rsid w:val="0056496A"/>
    <w:rsid w:val="00564BB2"/>
    <w:rsid w:val="00564E97"/>
    <w:rsid w:val="00565803"/>
    <w:rsid w:val="0056591C"/>
    <w:rsid w:val="00565E31"/>
    <w:rsid w:val="00565EBB"/>
    <w:rsid w:val="00566890"/>
    <w:rsid w:val="00566F54"/>
    <w:rsid w:val="005672D5"/>
    <w:rsid w:val="005674A7"/>
    <w:rsid w:val="005676A5"/>
    <w:rsid w:val="00567915"/>
    <w:rsid w:val="0056792E"/>
    <w:rsid w:val="005679AC"/>
    <w:rsid w:val="0057082B"/>
    <w:rsid w:val="00570BA7"/>
    <w:rsid w:val="00570C47"/>
    <w:rsid w:val="00571064"/>
    <w:rsid w:val="005716C6"/>
    <w:rsid w:val="00571C80"/>
    <w:rsid w:val="00571F28"/>
    <w:rsid w:val="005741E6"/>
    <w:rsid w:val="005761F4"/>
    <w:rsid w:val="0057721A"/>
    <w:rsid w:val="00577DE9"/>
    <w:rsid w:val="005802BA"/>
    <w:rsid w:val="00580477"/>
    <w:rsid w:val="00580763"/>
    <w:rsid w:val="00580C4A"/>
    <w:rsid w:val="0058152B"/>
    <w:rsid w:val="005819A8"/>
    <w:rsid w:val="005819CB"/>
    <w:rsid w:val="00581A94"/>
    <w:rsid w:val="00582312"/>
    <w:rsid w:val="00582B4C"/>
    <w:rsid w:val="0058309D"/>
    <w:rsid w:val="005831FD"/>
    <w:rsid w:val="0058353D"/>
    <w:rsid w:val="00583555"/>
    <w:rsid w:val="0058366F"/>
    <w:rsid w:val="00584239"/>
    <w:rsid w:val="00584398"/>
    <w:rsid w:val="00584AAA"/>
    <w:rsid w:val="00584DBF"/>
    <w:rsid w:val="005850C6"/>
    <w:rsid w:val="00585337"/>
    <w:rsid w:val="00585A2C"/>
    <w:rsid w:val="00587428"/>
    <w:rsid w:val="005879AB"/>
    <w:rsid w:val="00587F08"/>
    <w:rsid w:val="00587F26"/>
    <w:rsid w:val="0059160D"/>
    <w:rsid w:val="00591AA5"/>
    <w:rsid w:val="00591E93"/>
    <w:rsid w:val="00592571"/>
    <w:rsid w:val="00592746"/>
    <w:rsid w:val="00592840"/>
    <w:rsid w:val="00592A38"/>
    <w:rsid w:val="00592F73"/>
    <w:rsid w:val="005930FD"/>
    <w:rsid w:val="00593164"/>
    <w:rsid w:val="00593818"/>
    <w:rsid w:val="00593B8F"/>
    <w:rsid w:val="00594D62"/>
    <w:rsid w:val="00594EAB"/>
    <w:rsid w:val="00594F97"/>
    <w:rsid w:val="0059639E"/>
    <w:rsid w:val="00596886"/>
    <w:rsid w:val="005973F4"/>
    <w:rsid w:val="005977B7"/>
    <w:rsid w:val="0059785B"/>
    <w:rsid w:val="005A0903"/>
    <w:rsid w:val="005A09EB"/>
    <w:rsid w:val="005A117F"/>
    <w:rsid w:val="005A11A5"/>
    <w:rsid w:val="005A1229"/>
    <w:rsid w:val="005A125D"/>
    <w:rsid w:val="005A1450"/>
    <w:rsid w:val="005A1468"/>
    <w:rsid w:val="005A1E51"/>
    <w:rsid w:val="005A1EC5"/>
    <w:rsid w:val="005A1ED3"/>
    <w:rsid w:val="005A2079"/>
    <w:rsid w:val="005A224C"/>
    <w:rsid w:val="005A365D"/>
    <w:rsid w:val="005A3A48"/>
    <w:rsid w:val="005A3A53"/>
    <w:rsid w:val="005A44D0"/>
    <w:rsid w:val="005A49A6"/>
    <w:rsid w:val="005A5333"/>
    <w:rsid w:val="005A5410"/>
    <w:rsid w:val="005A5C72"/>
    <w:rsid w:val="005A61AA"/>
    <w:rsid w:val="005A6AD9"/>
    <w:rsid w:val="005A6F7A"/>
    <w:rsid w:val="005A7988"/>
    <w:rsid w:val="005B185F"/>
    <w:rsid w:val="005B256C"/>
    <w:rsid w:val="005B3C03"/>
    <w:rsid w:val="005B3E72"/>
    <w:rsid w:val="005B3FBF"/>
    <w:rsid w:val="005B434A"/>
    <w:rsid w:val="005B5911"/>
    <w:rsid w:val="005B65A1"/>
    <w:rsid w:val="005B677B"/>
    <w:rsid w:val="005B729A"/>
    <w:rsid w:val="005B748C"/>
    <w:rsid w:val="005B75F0"/>
    <w:rsid w:val="005B7855"/>
    <w:rsid w:val="005C02AC"/>
    <w:rsid w:val="005C0920"/>
    <w:rsid w:val="005C178C"/>
    <w:rsid w:val="005C207E"/>
    <w:rsid w:val="005C33EA"/>
    <w:rsid w:val="005C34F6"/>
    <w:rsid w:val="005C3CA4"/>
    <w:rsid w:val="005C3E96"/>
    <w:rsid w:val="005C4504"/>
    <w:rsid w:val="005C4CC5"/>
    <w:rsid w:val="005C4CDC"/>
    <w:rsid w:val="005C4DF2"/>
    <w:rsid w:val="005C4F2F"/>
    <w:rsid w:val="005C51F6"/>
    <w:rsid w:val="005C5618"/>
    <w:rsid w:val="005C5901"/>
    <w:rsid w:val="005C661D"/>
    <w:rsid w:val="005C6DEC"/>
    <w:rsid w:val="005C6ED1"/>
    <w:rsid w:val="005C6F67"/>
    <w:rsid w:val="005C7E45"/>
    <w:rsid w:val="005D0A53"/>
    <w:rsid w:val="005D0C17"/>
    <w:rsid w:val="005D15DF"/>
    <w:rsid w:val="005D330C"/>
    <w:rsid w:val="005D3820"/>
    <w:rsid w:val="005D4941"/>
    <w:rsid w:val="005D518C"/>
    <w:rsid w:val="005D555C"/>
    <w:rsid w:val="005D5C0E"/>
    <w:rsid w:val="005D6469"/>
    <w:rsid w:val="005D6652"/>
    <w:rsid w:val="005D7376"/>
    <w:rsid w:val="005D752D"/>
    <w:rsid w:val="005D79D0"/>
    <w:rsid w:val="005D7C3F"/>
    <w:rsid w:val="005E0062"/>
    <w:rsid w:val="005E0CA7"/>
    <w:rsid w:val="005E1979"/>
    <w:rsid w:val="005E1A1C"/>
    <w:rsid w:val="005E1CBB"/>
    <w:rsid w:val="005E1E1F"/>
    <w:rsid w:val="005E203F"/>
    <w:rsid w:val="005E2191"/>
    <w:rsid w:val="005E2578"/>
    <w:rsid w:val="005E28F8"/>
    <w:rsid w:val="005E2984"/>
    <w:rsid w:val="005E2C0C"/>
    <w:rsid w:val="005E330D"/>
    <w:rsid w:val="005E33FF"/>
    <w:rsid w:val="005E38B7"/>
    <w:rsid w:val="005E395E"/>
    <w:rsid w:val="005E3D91"/>
    <w:rsid w:val="005E412C"/>
    <w:rsid w:val="005E4F01"/>
    <w:rsid w:val="005E50D3"/>
    <w:rsid w:val="005E6203"/>
    <w:rsid w:val="005E635B"/>
    <w:rsid w:val="005E646C"/>
    <w:rsid w:val="005E6828"/>
    <w:rsid w:val="005E6EB6"/>
    <w:rsid w:val="005F00F6"/>
    <w:rsid w:val="005F15E4"/>
    <w:rsid w:val="005F2AB1"/>
    <w:rsid w:val="005F3CBB"/>
    <w:rsid w:val="005F41EF"/>
    <w:rsid w:val="005F4A42"/>
    <w:rsid w:val="005F4A9C"/>
    <w:rsid w:val="005F6364"/>
    <w:rsid w:val="005F7D6D"/>
    <w:rsid w:val="005F7EE6"/>
    <w:rsid w:val="00600549"/>
    <w:rsid w:val="0060058F"/>
    <w:rsid w:val="006008FA"/>
    <w:rsid w:val="00600A59"/>
    <w:rsid w:val="0060139D"/>
    <w:rsid w:val="0060175E"/>
    <w:rsid w:val="0060183E"/>
    <w:rsid w:val="00601E99"/>
    <w:rsid w:val="00602074"/>
    <w:rsid w:val="00602322"/>
    <w:rsid w:val="00602601"/>
    <w:rsid w:val="00602A4B"/>
    <w:rsid w:val="00602C61"/>
    <w:rsid w:val="006032FD"/>
    <w:rsid w:val="006034B1"/>
    <w:rsid w:val="00603764"/>
    <w:rsid w:val="00604557"/>
    <w:rsid w:val="00604A77"/>
    <w:rsid w:val="006056EA"/>
    <w:rsid w:val="0060574E"/>
    <w:rsid w:val="00605C56"/>
    <w:rsid w:val="00606813"/>
    <w:rsid w:val="00606B1F"/>
    <w:rsid w:val="00607181"/>
    <w:rsid w:val="006078BA"/>
    <w:rsid w:val="00607FAD"/>
    <w:rsid w:val="00610450"/>
    <w:rsid w:val="0061050B"/>
    <w:rsid w:val="00610528"/>
    <w:rsid w:val="006107AA"/>
    <w:rsid w:val="006108D9"/>
    <w:rsid w:val="00610F5E"/>
    <w:rsid w:val="0061108D"/>
    <w:rsid w:val="006121E9"/>
    <w:rsid w:val="00612D1F"/>
    <w:rsid w:val="00612DCF"/>
    <w:rsid w:val="00613568"/>
    <w:rsid w:val="00613735"/>
    <w:rsid w:val="006139D0"/>
    <w:rsid w:val="00614537"/>
    <w:rsid w:val="00614B6A"/>
    <w:rsid w:val="00614DC6"/>
    <w:rsid w:val="00614F93"/>
    <w:rsid w:val="006153CC"/>
    <w:rsid w:val="00616785"/>
    <w:rsid w:val="00616841"/>
    <w:rsid w:val="00616CAA"/>
    <w:rsid w:val="00617873"/>
    <w:rsid w:val="00617BB7"/>
    <w:rsid w:val="00617C31"/>
    <w:rsid w:val="0062017D"/>
    <w:rsid w:val="0062018D"/>
    <w:rsid w:val="00620DDB"/>
    <w:rsid w:val="00620F5F"/>
    <w:rsid w:val="00622558"/>
    <w:rsid w:val="006227D6"/>
    <w:rsid w:val="006228F4"/>
    <w:rsid w:val="00622A6E"/>
    <w:rsid w:val="0062351D"/>
    <w:rsid w:val="0062364E"/>
    <w:rsid w:val="00623753"/>
    <w:rsid w:val="00623A69"/>
    <w:rsid w:val="00623CC3"/>
    <w:rsid w:val="00623D4F"/>
    <w:rsid w:val="0062431E"/>
    <w:rsid w:val="00624A71"/>
    <w:rsid w:val="006251AC"/>
    <w:rsid w:val="0062527B"/>
    <w:rsid w:val="00625BBF"/>
    <w:rsid w:val="006260B3"/>
    <w:rsid w:val="006262D9"/>
    <w:rsid w:val="006266C9"/>
    <w:rsid w:val="00626744"/>
    <w:rsid w:val="00626D4B"/>
    <w:rsid w:val="00627760"/>
    <w:rsid w:val="00627C80"/>
    <w:rsid w:val="00627C84"/>
    <w:rsid w:val="00630781"/>
    <w:rsid w:val="00630C4C"/>
    <w:rsid w:val="00630D64"/>
    <w:rsid w:val="006313BF"/>
    <w:rsid w:val="006319A7"/>
    <w:rsid w:val="00631C6E"/>
    <w:rsid w:val="006325AE"/>
    <w:rsid w:val="00632752"/>
    <w:rsid w:val="00632EBE"/>
    <w:rsid w:val="0063362C"/>
    <w:rsid w:val="0063368A"/>
    <w:rsid w:val="006336A1"/>
    <w:rsid w:val="00634DC1"/>
    <w:rsid w:val="00634F9F"/>
    <w:rsid w:val="006351F2"/>
    <w:rsid w:val="006353CD"/>
    <w:rsid w:val="00635777"/>
    <w:rsid w:val="00635CFF"/>
    <w:rsid w:val="0063617A"/>
    <w:rsid w:val="006361F7"/>
    <w:rsid w:val="00636DC9"/>
    <w:rsid w:val="00640195"/>
    <w:rsid w:val="006407F2"/>
    <w:rsid w:val="006409BA"/>
    <w:rsid w:val="006413BB"/>
    <w:rsid w:val="0064162E"/>
    <w:rsid w:val="00641875"/>
    <w:rsid w:val="006419B3"/>
    <w:rsid w:val="00641B6E"/>
    <w:rsid w:val="0064221D"/>
    <w:rsid w:val="006430DB"/>
    <w:rsid w:val="00643536"/>
    <w:rsid w:val="00643829"/>
    <w:rsid w:val="006458DC"/>
    <w:rsid w:val="00645A29"/>
    <w:rsid w:val="00646FC7"/>
    <w:rsid w:val="006471DC"/>
    <w:rsid w:val="00647528"/>
    <w:rsid w:val="00647A11"/>
    <w:rsid w:val="00647B46"/>
    <w:rsid w:val="00647B4B"/>
    <w:rsid w:val="00647BC1"/>
    <w:rsid w:val="00650577"/>
    <w:rsid w:val="00650C7F"/>
    <w:rsid w:val="00650D00"/>
    <w:rsid w:val="00650D90"/>
    <w:rsid w:val="006514E8"/>
    <w:rsid w:val="0065151A"/>
    <w:rsid w:val="00652045"/>
    <w:rsid w:val="0065290C"/>
    <w:rsid w:val="006539A8"/>
    <w:rsid w:val="0065435E"/>
    <w:rsid w:val="006544F1"/>
    <w:rsid w:val="00654985"/>
    <w:rsid w:val="00654A6E"/>
    <w:rsid w:val="00654EBC"/>
    <w:rsid w:val="00655A8D"/>
    <w:rsid w:val="00655C1F"/>
    <w:rsid w:val="00656238"/>
    <w:rsid w:val="00656422"/>
    <w:rsid w:val="00656756"/>
    <w:rsid w:val="0065677F"/>
    <w:rsid w:val="006567BA"/>
    <w:rsid w:val="006569BF"/>
    <w:rsid w:val="00656CD5"/>
    <w:rsid w:val="00656E69"/>
    <w:rsid w:val="00656EAA"/>
    <w:rsid w:val="006578A8"/>
    <w:rsid w:val="00657A00"/>
    <w:rsid w:val="00657D7D"/>
    <w:rsid w:val="00660273"/>
    <w:rsid w:val="0066049C"/>
    <w:rsid w:val="0066146B"/>
    <w:rsid w:val="006629ED"/>
    <w:rsid w:val="00662B8B"/>
    <w:rsid w:val="00662EB6"/>
    <w:rsid w:val="006632AB"/>
    <w:rsid w:val="0066386A"/>
    <w:rsid w:val="00663900"/>
    <w:rsid w:val="006646EC"/>
    <w:rsid w:val="00665A83"/>
    <w:rsid w:val="00665B0B"/>
    <w:rsid w:val="0066622F"/>
    <w:rsid w:val="0066700C"/>
    <w:rsid w:val="00667748"/>
    <w:rsid w:val="00667DEC"/>
    <w:rsid w:val="00670505"/>
    <w:rsid w:val="00670948"/>
    <w:rsid w:val="006718D9"/>
    <w:rsid w:val="00671AD4"/>
    <w:rsid w:val="00671C36"/>
    <w:rsid w:val="006728C2"/>
    <w:rsid w:val="00672B04"/>
    <w:rsid w:val="006730DA"/>
    <w:rsid w:val="00673663"/>
    <w:rsid w:val="00673F73"/>
    <w:rsid w:val="00674536"/>
    <w:rsid w:val="00675080"/>
    <w:rsid w:val="006752FB"/>
    <w:rsid w:val="00675312"/>
    <w:rsid w:val="006759B8"/>
    <w:rsid w:val="00675A1D"/>
    <w:rsid w:val="00677D50"/>
    <w:rsid w:val="006803E8"/>
    <w:rsid w:val="00680A92"/>
    <w:rsid w:val="00680C1B"/>
    <w:rsid w:val="0068111F"/>
    <w:rsid w:val="00681246"/>
    <w:rsid w:val="00681C78"/>
    <w:rsid w:val="00681EFE"/>
    <w:rsid w:val="006822F1"/>
    <w:rsid w:val="0068265D"/>
    <w:rsid w:val="0068345E"/>
    <w:rsid w:val="00683EF0"/>
    <w:rsid w:val="00683FAA"/>
    <w:rsid w:val="006841E0"/>
    <w:rsid w:val="006841FD"/>
    <w:rsid w:val="006842CF"/>
    <w:rsid w:val="00684448"/>
    <w:rsid w:val="0068461E"/>
    <w:rsid w:val="00684ECF"/>
    <w:rsid w:val="00685E41"/>
    <w:rsid w:val="00685F44"/>
    <w:rsid w:val="006860E9"/>
    <w:rsid w:val="00686C28"/>
    <w:rsid w:val="00687B09"/>
    <w:rsid w:val="00690403"/>
    <w:rsid w:val="00690682"/>
    <w:rsid w:val="00690F42"/>
    <w:rsid w:val="00691115"/>
    <w:rsid w:val="00691517"/>
    <w:rsid w:val="00691807"/>
    <w:rsid w:val="00691BB6"/>
    <w:rsid w:val="00691C70"/>
    <w:rsid w:val="006938D5"/>
    <w:rsid w:val="006939F7"/>
    <w:rsid w:val="00693C0E"/>
    <w:rsid w:val="006945CB"/>
    <w:rsid w:val="0069474E"/>
    <w:rsid w:val="006949CE"/>
    <w:rsid w:val="006950FB"/>
    <w:rsid w:val="00695265"/>
    <w:rsid w:val="00695C50"/>
    <w:rsid w:val="006966C2"/>
    <w:rsid w:val="00697050"/>
    <w:rsid w:val="006970F4"/>
    <w:rsid w:val="00697DE3"/>
    <w:rsid w:val="006A0B43"/>
    <w:rsid w:val="006A1464"/>
    <w:rsid w:val="006A174C"/>
    <w:rsid w:val="006A2634"/>
    <w:rsid w:val="006A2F0F"/>
    <w:rsid w:val="006A36DF"/>
    <w:rsid w:val="006A47D8"/>
    <w:rsid w:val="006A5538"/>
    <w:rsid w:val="006A5E72"/>
    <w:rsid w:val="006A5F43"/>
    <w:rsid w:val="006A69E9"/>
    <w:rsid w:val="006A6BCD"/>
    <w:rsid w:val="006A7BF2"/>
    <w:rsid w:val="006B01C5"/>
    <w:rsid w:val="006B14B9"/>
    <w:rsid w:val="006B20AA"/>
    <w:rsid w:val="006B477B"/>
    <w:rsid w:val="006B5053"/>
    <w:rsid w:val="006B50B7"/>
    <w:rsid w:val="006B542A"/>
    <w:rsid w:val="006B5D18"/>
    <w:rsid w:val="006B5D5C"/>
    <w:rsid w:val="006B63F1"/>
    <w:rsid w:val="006B659A"/>
    <w:rsid w:val="006B67EF"/>
    <w:rsid w:val="006B6E5D"/>
    <w:rsid w:val="006B7DB1"/>
    <w:rsid w:val="006C149C"/>
    <w:rsid w:val="006C2D8E"/>
    <w:rsid w:val="006C518F"/>
    <w:rsid w:val="006C58EE"/>
    <w:rsid w:val="006C5EEF"/>
    <w:rsid w:val="006C6655"/>
    <w:rsid w:val="006C6680"/>
    <w:rsid w:val="006C68AA"/>
    <w:rsid w:val="006C694A"/>
    <w:rsid w:val="006C70C8"/>
    <w:rsid w:val="006C78C2"/>
    <w:rsid w:val="006C7DE6"/>
    <w:rsid w:val="006C7E6C"/>
    <w:rsid w:val="006D029B"/>
    <w:rsid w:val="006D0313"/>
    <w:rsid w:val="006D0F1D"/>
    <w:rsid w:val="006D1BBF"/>
    <w:rsid w:val="006D2017"/>
    <w:rsid w:val="006D21AD"/>
    <w:rsid w:val="006D2324"/>
    <w:rsid w:val="006D25BF"/>
    <w:rsid w:val="006D3B30"/>
    <w:rsid w:val="006D47BD"/>
    <w:rsid w:val="006D4FFE"/>
    <w:rsid w:val="006D555C"/>
    <w:rsid w:val="006D5DBB"/>
    <w:rsid w:val="006D6284"/>
    <w:rsid w:val="006D6957"/>
    <w:rsid w:val="006D6C28"/>
    <w:rsid w:val="006D754D"/>
    <w:rsid w:val="006D78B7"/>
    <w:rsid w:val="006D7EF4"/>
    <w:rsid w:val="006E02E2"/>
    <w:rsid w:val="006E0624"/>
    <w:rsid w:val="006E0B63"/>
    <w:rsid w:val="006E0BB3"/>
    <w:rsid w:val="006E0BB5"/>
    <w:rsid w:val="006E1A24"/>
    <w:rsid w:val="006E1DD1"/>
    <w:rsid w:val="006E2E74"/>
    <w:rsid w:val="006E30F7"/>
    <w:rsid w:val="006E38DC"/>
    <w:rsid w:val="006E3F27"/>
    <w:rsid w:val="006E4D54"/>
    <w:rsid w:val="006E5E73"/>
    <w:rsid w:val="006E67D6"/>
    <w:rsid w:val="006E698B"/>
    <w:rsid w:val="006E6DB3"/>
    <w:rsid w:val="006E6F32"/>
    <w:rsid w:val="006E726A"/>
    <w:rsid w:val="006E78A9"/>
    <w:rsid w:val="006F0417"/>
    <w:rsid w:val="006F06AA"/>
    <w:rsid w:val="006F0FB5"/>
    <w:rsid w:val="006F13BE"/>
    <w:rsid w:val="006F1EFB"/>
    <w:rsid w:val="006F270E"/>
    <w:rsid w:val="006F28AC"/>
    <w:rsid w:val="006F3038"/>
    <w:rsid w:val="006F3FAF"/>
    <w:rsid w:val="006F4719"/>
    <w:rsid w:val="006F4963"/>
    <w:rsid w:val="006F4CC9"/>
    <w:rsid w:val="006F503F"/>
    <w:rsid w:val="006F597F"/>
    <w:rsid w:val="006F5B1B"/>
    <w:rsid w:val="006F5BA9"/>
    <w:rsid w:val="006F603A"/>
    <w:rsid w:val="006F6454"/>
    <w:rsid w:val="006F6679"/>
    <w:rsid w:val="006F6687"/>
    <w:rsid w:val="006F6FE3"/>
    <w:rsid w:val="006F7353"/>
    <w:rsid w:val="00700A52"/>
    <w:rsid w:val="00700E69"/>
    <w:rsid w:val="0070149B"/>
    <w:rsid w:val="00701832"/>
    <w:rsid w:val="00701D1B"/>
    <w:rsid w:val="007026A7"/>
    <w:rsid w:val="0070420F"/>
    <w:rsid w:val="00704E3D"/>
    <w:rsid w:val="00704EF7"/>
    <w:rsid w:val="007050C4"/>
    <w:rsid w:val="00706B8D"/>
    <w:rsid w:val="00707459"/>
    <w:rsid w:val="007101CE"/>
    <w:rsid w:val="007104A6"/>
    <w:rsid w:val="00710807"/>
    <w:rsid w:val="00711CF5"/>
    <w:rsid w:val="00712228"/>
    <w:rsid w:val="0071326D"/>
    <w:rsid w:val="00713C0F"/>
    <w:rsid w:val="0071432C"/>
    <w:rsid w:val="007145D6"/>
    <w:rsid w:val="00715C1E"/>
    <w:rsid w:val="0071642C"/>
    <w:rsid w:val="0071644A"/>
    <w:rsid w:val="0071685B"/>
    <w:rsid w:val="00717AA8"/>
    <w:rsid w:val="00717C8A"/>
    <w:rsid w:val="0072014C"/>
    <w:rsid w:val="007213CA"/>
    <w:rsid w:val="00722496"/>
    <w:rsid w:val="00722B2B"/>
    <w:rsid w:val="00724158"/>
    <w:rsid w:val="0072531F"/>
    <w:rsid w:val="007255EB"/>
    <w:rsid w:val="00725C52"/>
    <w:rsid w:val="007260BE"/>
    <w:rsid w:val="007262CE"/>
    <w:rsid w:val="007267D0"/>
    <w:rsid w:val="0072682C"/>
    <w:rsid w:val="00726FC1"/>
    <w:rsid w:val="00727383"/>
    <w:rsid w:val="007301EA"/>
    <w:rsid w:val="0073077D"/>
    <w:rsid w:val="007318E3"/>
    <w:rsid w:val="007325C9"/>
    <w:rsid w:val="007326B8"/>
    <w:rsid w:val="00732952"/>
    <w:rsid w:val="0073307A"/>
    <w:rsid w:val="007338B4"/>
    <w:rsid w:val="00733CBA"/>
    <w:rsid w:val="00733EF8"/>
    <w:rsid w:val="007344F9"/>
    <w:rsid w:val="00734C8B"/>
    <w:rsid w:val="00735C7B"/>
    <w:rsid w:val="00735CBA"/>
    <w:rsid w:val="00735D8B"/>
    <w:rsid w:val="00735E57"/>
    <w:rsid w:val="00736BF8"/>
    <w:rsid w:val="00737143"/>
    <w:rsid w:val="00737337"/>
    <w:rsid w:val="00737545"/>
    <w:rsid w:val="00737711"/>
    <w:rsid w:val="0074033A"/>
    <w:rsid w:val="00740C11"/>
    <w:rsid w:val="00740C4E"/>
    <w:rsid w:val="0074132F"/>
    <w:rsid w:val="0074170F"/>
    <w:rsid w:val="007419D9"/>
    <w:rsid w:val="00741C7D"/>
    <w:rsid w:val="0074247E"/>
    <w:rsid w:val="00742844"/>
    <w:rsid w:val="00742905"/>
    <w:rsid w:val="00742D3E"/>
    <w:rsid w:val="00743331"/>
    <w:rsid w:val="00743ED2"/>
    <w:rsid w:val="0074445B"/>
    <w:rsid w:val="007445A8"/>
    <w:rsid w:val="007445E9"/>
    <w:rsid w:val="007452F0"/>
    <w:rsid w:val="0074572C"/>
    <w:rsid w:val="00745CC1"/>
    <w:rsid w:val="00745E81"/>
    <w:rsid w:val="00745EE9"/>
    <w:rsid w:val="00746158"/>
    <w:rsid w:val="00746682"/>
    <w:rsid w:val="0074736D"/>
    <w:rsid w:val="0075000E"/>
    <w:rsid w:val="00750318"/>
    <w:rsid w:val="00750D11"/>
    <w:rsid w:val="00750D4D"/>
    <w:rsid w:val="00751013"/>
    <w:rsid w:val="007511D0"/>
    <w:rsid w:val="007519BB"/>
    <w:rsid w:val="00751EE3"/>
    <w:rsid w:val="00752777"/>
    <w:rsid w:val="007527E5"/>
    <w:rsid w:val="00752B96"/>
    <w:rsid w:val="00752BB6"/>
    <w:rsid w:val="00752DDD"/>
    <w:rsid w:val="0075377E"/>
    <w:rsid w:val="00753E37"/>
    <w:rsid w:val="00753F86"/>
    <w:rsid w:val="00754549"/>
    <w:rsid w:val="00755927"/>
    <w:rsid w:val="00755B8C"/>
    <w:rsid w:val="007562AA"/>
    <w:rsid w:val="00757820"/>
    <w:rsid w:val="00760955"/>
    <w:rsid w:val="007615B4"/>
    <w:rsid w:val="00761B33"/>
    <w:rsid w:val="00762392"/>
    <w:rsid w:val="00763458"/>
    <w:rsid w:val="007636D2"/>
    <w:rsid w:val="0076402B"/>
    <w:rsid w:val="007642E6"/>
    <w:rsid w:val="00765126"/>
    <w:rsid w:val="00765180"/>
    <w:rsid w:val="0076527B"/>
    <w:rsid w:val="00765485"/>
    <w:rsid w:val="007663C0"/>
    <w:rsid w:val="00766A5E"/>
    <w:rsid w:val="007700BD"/>
    <w:rsid w:val="00770258"/>
    <w:rsid w:val="00770D21"/>
    <w:rsid w:val="00770D9B"/>
    <w:rsid w:val="00771076"/>
    <w:rsid w:val="00772D40"/>
    <w:rsid w:val="007734EB"/>
    <w:rsid w:val="00773E75"/>
    <w:rsid w:val="00774728"/>
    <w:rsid w:val="00774D65"/>
    <w:rsid w:val="00775591"/>
    <w:rsid w:val="0077584A"/>
    <w:rsid w:val="00776AE9"/>
    <w:rsid w:val="00780952"/>
    <w:rsid w:val="00781A08"/>
    <w:rsid w:val="00781DEF"/>
    <w:rsid w:val="0078204A"/>
    <w:rsid w:val="00782AC7"/>
    <w:rsid w:val="00782B35"/>
    <w:rsid w:val="00783299"/>
    <w:rsid w:val="007835B0"/>
    <w:rsid w:val="00783B00"/>
    <w:rsid w:val="0078475D"/>
    <w:rsid w:val="00785506"/>
    <w:rsid w:val="00785DCD"/>
    <w:rsid w:val="00785E70"/>
    <w:rsid w:val="007861BA"/>
    <w:rsid w:val="00786360"/>
    <w:rsid w:val="007869FF"/>
    <w:rsid w:val="0078785B"/>
    <w:rsid w:val="007878EE"/>
    <w:rsid w:val="00787973"/>
    <w:rsid w:val="00791141"/>
    <w:rsid w:val="007918F4"/>
    <w:rsid w:val="00791D92"/>
    <w:rsid w:val="00791F22"/>
    <w:rsid w:val="00792014"/>
    <w:rsid w:val="0079223C"/>
    <w:rsid w:val="00792D23"/>
    <w:rsid w:val="00792ED1"/>
    <w:rsid w:val="0079334B"/>
    <w:rsid w:val="007939F4"/>
    <w:rsid w:val="00793E6B"/>
    <w:rsid w:val="00795DC8"/>
    <w:rsid w:val="00795FC1"/>
    <w:rsid w:val="00796203"/>
    <w:rsid w:val="00796BAF"/>
    <w:rsid w:val="007970AF"/>
    <w:rsid w:val="007973DE"/>
    <w:rsid w:val="007A0D79"/>
    <w:rsid w:val="007A1D16"/>
    <w:rsid w:val="007A1D9D"/>
    <w:rsid w:val="007A248A"/>
    <w:rsid w:val="007A2C14"/>
    <w:rsid w:val="007A3199"/>
    <w:rsid w:val="007A31E2"/>
    <w:rsid w:val="007A392B"/>
    <w:rsid w:val="007A3BA8"/>
    <w:rsid w:val="007A3EC3"/>
    <w:rsid w:val="007A4E4C"/>
    <w:rsid w:val="007A54BF"/>
    <w:rsid w:val="007A5BC7"/>
    <w:rsid w:val="007A6C92"/>
    <w:rsid w:val="007A795B"/>
    <w:rsid w:val="007A7DB3"/>
    <w:rsid w:val="007B0011"/>
    <w:rsid w:val="007B0863"/>
    <w:rsid w:val="007B1278"/>
    <w:rsid w:val="007B12AE"/>
    <w:rsid w:val="007B23F3"/>
    <w:rsid w:val="007B2812"/>
    <w:rsid w:val="007B2B2F"/>
    <w:rsid w:val="007B31C0"/>
    <w:rsid w:val="007B3976"/>
    <w:rsid w:val="007B3993"/>
    <w:rsid w:val="007B3B84"/>
    <w:rsid w:val="007B4E14"/>
    <w:rsid w:val="007B54E3"/>
    <w:rsid w:val="007B56F9"/>
    <w:rsid w:val="007B5C09"/>
    <w:rsid w:val="007B5DF8"/>
    <w:rsid w:val="007B6260"/>
    <w:rsid w:val="007B71D6"/>
    <w:rsid w:val="007C0616"/>
    <w:rsid w:val="007C085D"/>
    <w:rsid w:val="007C125B"/>
    <w:rsid w:val="007C2DC2"/>
    <w:rsid w:val="007C304D"/>
    <w:rsid w:val="007C3267"/>
    <w:rsid w:val="007C3B11"/>
    <w:rsid w:val="007C3BAE"/>
    <w:rsid w:val="007C414D"/>
    <w:rsid w:val="007C4CCD"/>
    <w:rsid w:val="007C5E07"/>
    <w:rsid w:val="007C6C62"/>
    <w:rsid w:val="007C6D12"/>
    <w:rsid w:val="007C700F"/>
    <w:rsid w:val="007C71C4"/>
    <w:rsid w:val="007C7371"/>
    <w:rsid w:val="007C77F5"/>
    <w:rsid w:val="007D023C"/>
    <w:rsid w:val="007D0B68"/>
    <w:rsid w:val="007D1266"/>
    <w:rsid w:val="007D193C"/>
    <w:rsid w:val="007D1E7B"/>
    <w:rsid w:val="007D20E8"/>
    <w:rsid w:val="007D2EE7"/>
    <w:rsid w:val="007D3D12"/>
    <w:rsid w:val="007D46CE"/>
    <w:rsid w:val="007D5285"/>
    <w:rsid w:val="007D5AB1"/>
    <w:rsid w:val="007D5F47"/>
    <w:rsid w:val="007D715E"/>
    <w:rsid w:val="007E1E76"/>
    <w:rsid w:val="007E2556"/>
    <w:rsid w:val="007E3245"/>
    <w:rsid w:val="007E3D0F"/>
    <w:rsid w:val="007E3E95"/>
    <w:rsid w:val="007E41C3"/>
    <w:rsid w:val="007E4437"/>
    <w:rsid w:val="007E4FE9"/>
    <w:rsid w:val="007E53AC"/>
    <w:rsid w:val="007E5656"/>
    <w:rsid w:val="007E56EE"/>
    <w:rsid w:val="007E5E61"/>
    <w:rsid w:val="007E609F"/>
    <w:rsid w:val="007E6D9C"/>
    <w:rsid w:val="007E704E"/>
    <w:rsid w:val="007E7AA2"/>
    <w:rsid w:val="007E7EBA"/>
    <w:rsid w:val="007F0CA2"/>
    <w:rsid w:val="007F1194"/>
    <w:rsid w:val="007F11E8"/>
    <w:rsid w:val="007F15B1"/>
    <w:rsid w:val="007F1D7B"/>
    <w:rsid w:val="007F22E1"/>
    <w:rsid w:val="007F22F3"/>
    <w:rsid w:val="007F2EC2"/>
    <w:rsid w:val="007F3613"/>
    <w:rsid w:val="007F3998"/>
    <w:rsid w:val="007F403C"/>
    <w:rsid w:val="007F45AC"/>
    <w:rsid w:val="007F4B21"/>
    <w:rsid w:val="007F5022"/>
    <w:rsid w:val="007F5995"/>
    <w:rsid w:val="007F5A9D"/>
    <w:rsid w:val="007F5ACA"/>
    <w:rsid w:val="007F5CB5"/>
    <w:rsid w:val="007F5E29"/>
    <w:rsid w:val="007F6D1E"/>
    <w:rsid w:val="00801AAB"/>
    <w:rsid w:val="00801CCA"/>
    <w:rsid w:val="008028D7"/>
    <w:rsid w:val="008028DA"/>
    <w:rsid w:val="00802999"/>
    <w:rsid w:val="00802AF2"/>
    <w:rsid w:val="00802D25"/>
    <w:rsid w:val="00803108"/>
    <w:rsid w:val="0080364E"/>
    <w:rsid w:val="00803F63"/>
    <w:rsid w:val="00803FD8"/>
    <w:rsid w:val="008040FD"/>
    <w:rsid w:val="00804992"/>
    <w:rsid w:val="008056A0"/>
    <w:rsid w:val="00805A7F"/>
    <w:rsid w:val="00805FA6"/>
    <w:rsid w:val="008060DB"/>
    <w:rsid w:val="00806A17"/>
    <w:rsid w:val="00806A18"/>
    <w:rsid w:val="00806F07"/>
    <w:rsid w:val="00807772"/>
    <w:rsid w:val="00807928"/>
    <w:rsid w:val="008103B0"/>
    <w:rsid w:val="00810898"/>
    <w:rsid w:val="008111DE"/>
    <w:rsid w:val="008116AE"/>
    <w:rsid w:val="00812376"/>
    <w:rsid w:val="008129ED"/>
    <w:rsid w:val="00812D5D"/>
    <w:rsid w:val="008133A2"/>
    <w:rsid w:val="00813527"/>
    <w:rsid w:val="00813CFF"/>
    <w:rsid w:val="008144F5"/>
    <w:rsid w:val="0081490A"/>
    <w:rsid w:val="00815199"/>
    <w:rsid w:val="00815369"/>
    <w:rsid w:val="00815B71"/>
    <w:rsid w:val="00820177"/>
    <w:rsid w:val="00820183"/>
    <w:rsid w:val="00820B49"/>
    <w:rsid w:val="00821865"/>
    <w:rsid w:val="008224C6"/>
    <w:rsid w:val="00822707"/>
    <w:rsid w:val="00822E1E"/>
    <w:rsid w:val="00823A6E"/>
    <w:rsid w:val="0082432B"/>
    <w:rsid w:val="00826897"/>
    <w:rsid w:val="00826BDD"/>
    <w:rsid w:val="00826C33"/>
    <w:rsid w:val="008278FF"/>
    <w:rsid w:val="00827963"/>
    <w:rsid w:val="00827C9A"/>
    <w:rsid w:val="008302E2"/>
    <w:rsid w:val="008303AF"/>
    <w:rsid w:val="0083095A"/>
    <w:rsid w:val="00830FE3"/>
    <w:rsid w:val="008311C5"/>
    <w:rsid w:val="008315D2"/>
    <w:rsid w:val="00831DBE"/>
    <w:rsid w:val="00832156"/>
    <w:rsid w:val="008321AD"/>
    <w:rsid w:val="008324CC"/>
    <w:rsid w:val="00833E22"/>
    <w:rsid w:val="00833FFB"/>
    <w:rsid w:val="00834112"/>
    <w:rsid w:val="008343F8"/>
    <w:rsid w:val="00834715"/>
    <w:rsid w:val="00834938"/>
    <w:rsid w:val="00834A5D"/>
    <w:rsid w:val="008351C6"/>
    <w:rsid w:val="008358F6"/>
    <w:rsid w:val="00835A0F"/>
    <w:rsid w:val="00835CCC"/>
    <w:rsid w:val="00836039"/>
    <w:rsid w:val="0083608A"/>
    <w:rsid w:val="0083637E"/>
    <w:rsid w:val="008368AF"/>
    <w:rsid w:val="00836D97"/>
    <w:rsid w:val="00836DB3"/>
    <w:rsid w:val="00836E63"/>
    <w:rsid w:val="00840138"/>
    <w:rsid w:val="00840B96"/>
    <w:rsid w:val="00840ED2"/>
    <w:rsid w:val="00841867"/>
    <w:rsid w:val="008418BE"/>
    <w:rsid w:val="008424A2"/>
    <w:rsid w:val="0084263F"/>
    <w:rsid w:val="008436AD"/>
    <w:rsid w:val="00844DAA"/>
    <w:rsid w:val="008452B4"/>
    <w:rsid w:val="00845BB6"/>
    <w:rsid w:val="0084602C"/>
    <w:rsid w:val="008466AB"/>
    <w:rsid w:val="008471A1"/>
    <w:rsid w:val="008476A8"/>
    <w:rsid w:val="008478A1"/>
    <w:rsid w:val="00847A83"/>
    <w:rsid w:val="0085004B"/>
    <w:rsid w:val="0085035B"/>
    <w:rsid w:val="00850D30"/>
    <w:rsid w:val="00851235"/>
    <w:rsid w:val="00851700"/>
    <w:rsid w:val="00851788"/>
    <w:rsid w:val="00852105"/>
    <w:rsid w:val="008521A6"/>
    <w:rsid w:val="008527DC"/>
    <w:rsid w:val="00852A01"/>
    <w:rsid w:val="00852DB7"/>
    <w:rsid w:val="00852FDD"/>
    <w:rsid w:val="00853196"/>
    <w:rsid w:val="0085349A"/>
    <w:rsid w:val="008538A6"/>
    <w:rsid w:val="00853DD2"/>
    <w:rsid w:val="00854A2E"/>
    <w:rsid w:val="00855949"/>
    <w:rsid w:val="00856095"/>
    <w:rsid w:val="00856AD0"/>
    <w:rsid w:val="008577FF"/>
    <w:rsid w:val="00857E8F"/>
    <w:rsid w:val="00860396"/>
    <w:rsid w:val="0086050C"/>
    <w:rsid w:val="00860AF7"/>
    <w:rsid w:val="00860BF9"/>
    <w:rsid w:val="008610D5"/>
    <w:rsid w:val="00861781"/>
    <w:rsid w:val="00861FF6"/>
    <w:rsid w:val="00862013"/>
    <w:rsid w:val="00862963"/>
    <w:rsid w:val="00862CB0"/>
    <w:rsid w:val="00862ECE"/>
    <w:rsid w:val="00862FD6"/>
    <w:rsid w:val="008638FD"/>
    <w:rsid w:val="008646E8"/>
    <w:rsid w:val="0086472E"/>
    <w:rsid w:val="008656A2"/>
    <w:rsid w:val="00865B3C"/>
    <w:rsid w:val="00865F1A"/>
    <w:rsid w:val="00867369"/>
    <w:rsid w:val="00867F46"/>
    <w:rsid w:val="0087095C"/>
    <w:rsid w:val="0087207F"/>
    <w:rsid w:val="00873A66"/>
    <w:rsid w:val="00873D65"/>
    <w:rsid w:val="00874029"/>
    <w:rsid w:val="0087409C"/>
    <w:rsid w:val="00874C36"/>
    <w:rsid w:val="008756CF"/>
    <w:rsid w:val="00875DD2"/>
    <w:rsid w:val="00875F07"/>
    <w:rsid w:val="00876ABB"/>
    <w:rsid w:val="0087719C"/>
    <w:rsid w:val="00877395"/>
    <w:rsid w:val="00877D3D"/>
    <w:rsid w:val="008803B9"/>
    <w:rsid w:val="00880E97"/>
    <w:rsid w:val="008817B3"/>
    <w:rsid w:val="0088286B"/>
    <w:rsid w:val="00883628"/>
    <w:rsid w:val="008854E2"/>
    <w:rsid w:val="00885E4E"/>
    <w:rsid w:val="00886049"/>
    <w:rsid w:val="008865C7"/>
    <w:rsid w:val="008869F3"/>
    <w:rsid w:val="00886D0D"/>
    <w:rsid w:val="00886F33"/>
    <w:rsid w:val="00886F7B"/>
    <w:rsid w:val="00887009"/>
    <w:rsid w:val="008873AA"/>
    <w:rsid w:val="00890966"/>
    <w:rsid w:val="00890C36"/>
    <w:rsid w:val="00890E35"/>
    <w:rsid w:val="008918DB"/>
    <w:rsid w:val="00892D44"/>
    <w:rsid w:val="008931D0"/>
    <w:rsid w:val="00893535"/>
    <w:rsid w:val="008938A4"/>
    <w:rsid w:val="00893D27"/>
    <w:rsid w:val="00893FDE"/>
    <w:rsid w:val="008945AF"/>
    <w:rsid w:val="00894732"/>
    <w:rsid w:val="00894B29"/>
    <w:rsid w:val="00894D36"/>
    <w:rsid w:val="00895140"/>
    <w:rsid w:val="00895EE9"/>
    <w:rsid w:val="00895F24"/>
    <w:rsid w:val="00896351"/>
    <w:rsid w:val="0089644A"/>
    <w:rsid w:val="00897B8B"/>
    <w:rsid w:val="008A0A1A"/>
    <w:rsid w:val="008A0F2A"/>
    <w:rsid w:val="008A113D"/>
    <w:rsid w:val="008A1149"/>
    <w:rsid w:val="008A1825"/>
    <w:rsid w:val="008A1EF3"/>
    <w:rsid w:val="008A20B0"/>
    <w:rsid w:val="008A2390"/>
    <w:rsid w:val="008A272D"/>
    <w:rsid w:val="008A2D23"/>
    <w:rsid w:val="008A3B31"/>
    <w:rsid w:val="008A48EF"/>
    <w:rsid w:val="008A49DE"/>
    <w:rsid w:val="008A4A6B"/>
    <w:rsid w:val="008A554E"/>
    <w:rsid w:val="008A5ADF"/>
    <w:rsid w:val="008A62E2"/>
    <w:rsid w:val="008A688F"/>
    <w:rsid w:val="008A7415"/>
    <w:rsid w:val="008A790F"/>
    <w:rsid w:val="008B0305"/>
    <w:rsid w:val="008B051F"/>
    <w:rsid w:val="008B0683"/>
    <w:rsid w:val="008B06B9"/>
    <w:rsid w:val="008B0928"/>
    <w:rsid w:val="008B1B24"/>
    <w:rsid w:val="008B201A"/>
    <w:rsid w:val="008B2048"/>
    <w:rsid w:val="008B2CCD"/>
    <w:rsid w:val="008B39FF"/>
    <w:rsid w:val="008B4422"/>
    <w:rsid w:val="008B50DE"/>
    <w:rsid w:val="008B5216"/>
    <w:rsid w:val="008B526B"/>
    <w:rsid w:val="008B575F"/>
    <w:rsid w:val="008B5939"/>
    <w:rsid w:val="008B5B90"/>
    <w:rsid w:val="008B5E3B"/>
    <w:rsid w:val="008B751F"/>
    <w:rsid w:val="008B75F7"/>
    <w:rsid w:val="008B76DD"/>
    <w:rsid w:val="008B7C69"/>
    <w:rsid w:val="008C0FCB"/>
    <w:rsid w:val="008C1261"/>
    <w:rsid w:val="008C15B5"/>
    <w:rsid w:val="008C17CA"/>
    <w:rsid w:val="008C1B86"/>
    <w:rsid w:val="008C1FCB"/>
    <w:rsid w:val="008C2F52"/>
    <w:rsid w:val="008C3965"/>
    <w:rsid w:val="008C3F73"/>
    <w:rsid w:val="008C4775"/>
    <w:rsid w:val="008C4A96"/>
    <w:rsid w:val="008C507A"/>
    <w:rsid w:val="008C57B7"/>
    <w:rsid w:val="008C5AAD"/>
    <w:rsid w:val="008C5B7D"/>
    <w:rsid w:val="008C5D0E"/>
    <w:rsid w:val="008C611A"/>
    <w:rsid w:val="008C698B"/>
    <w:rsid w:val="008C7AA1"/>
    <w:rsid w:val="008C7FB4"/>
    <w:rsid w:val="008D0B72"/>
    <w:rsid w:val="008D159E"/>
    <w:rsid w:val="008D16D7"/>
    <w:rsid w:val="008D2517"/>
    <w:rsid w:val="008D2659"/>
    <w:rsid w:val="008D2808"/>
    <w:rsid w:val="008D2A10"/>
    <w:rsid w:val="008D3E75"/>
    <w:rsid w:val="008D4377"/>
    <w:rsid w:val="008D43B2"/>
    <w:rsid w:val="008D465E"/>
    <w:rsid w:val="008D56E2"/>
    <w:rsid w:val="008D6215"/>
    <w:rsid w:val="008D63B2"/>
    <w:rsid w:val="008D67D5"/>
    <w:rsid w:val="008D72E1"/>
    <w:rsid w:val="008E0109"/>
    <w:rsid w:val="008E02DC"/>
    <w:rsid w:val="008E0415"/>
    <w:rsid w:val="008E178D"/>
    <w:rsid w:val="008E1AF1"/>
    <w:rsid w:val="008E3DFF"/>
    <w:rsid w:val="008E4064"/>
    <w:rsid w:val="008E40CC"/>
    <w:rsid w:val="008E4775"/>
    <w:rsid w:val="008E4B9E"/>
    <w:rsid w:val="008E4DF0"/>
    <w:rsid w:val="008E567B"/>
    <w:rsid w:val="008E628C"/>
    <w:rsid w:val="008E67D5"/>
    <w:rsid w:val="008E6813"/>
    <w:rsid w:val="008E6AC0"/>
    <w:rsid w:val="008E6CD1"/>
    <w:rsid w:val="008E70D4"/>
    <w:rsid w:val="008F0F60"/>
    <w:rsid w:val="008F1C47"/>
    <w:rsid w:val="008F1F9E"/>
    <w:rsid w:val="008F3220"/>
    <w:rsid w:val="008F34AD"/>
    <w:rsid w:val="008F34B0"/>
    <w:rsid w:val="008F3EA6"/>
    <w:rsid w:val="008F462D"/>
    <w:rsid w:val="008F4ECC"/>
    <w:rsid w:val="008F6194"/>
    <w:rsid w:val="008F6956"/>
    <w:rsid w:val="0090010E"/>
    <w:rsid w:val="009001B4"/>
    <w:rsid w:val="00903A15"/>
    <w:rsid w:val="00903E8A"/>
    <w:rsid w:val="00903FC8"/>
    <w:rsid w:val="009044B5"/>
    <w:rsid w:val="009046F9"/>
    <w:rsid w:val="00904761"/>
    <w:rsid w:val="009054CB"/>
    <w:rsid w:val="009055CE"/>
    <w:rsid w:val="00905769"/>
    <w:rsid w:val="00905E91"/>
    <w:rsid w:val="0090630E"/>
    <w:rsid w:val="009069A5"/>
    <w:rsid w:val="00906C9C"/>
    <w:rsid w:val="009073AF"/>
    <w:rsid w:val="0091001C"/>
    <w:rsid w:val="00910255"/>
    <w:rsid w:val="00911794"/>
    <w:rsid w:val="00911A6E"/>
    <w:rsid w:val="00912856"/>
    <w:rsid w:val="0091286D"/>
    <w:rsid w:val="00912D96"/>
    <w:rsid w:val="009135B6"/>
    <w:rsid w:val="009136BE"/>
    <w:rsid w:val="00914766"/>
    <w:rsid w:val="0091502F"/>
    <w:rsid w:val="00915572"/>
    <w:rsid w:val="009156A7"/>
    <w:rsid w:val="00915F48"/>
    <w:rsid w:val="00915F8C"/>
    <w:rsid w:val="00915FFF"/>
    <w:rsid w:val="0091606A"/>
    <w:rsid w:val="00916894"/>
    <w:rsid w:val="00916EAF"/>
    <w:rsid w:val="0091721D"/>
    <w:rsid w:val="00917265"/>
    <w:rsid w:val="009175D8"/>
    <w:rsid w:val="00917753"/>
    <w:rsid w:val="009178DF"/>
    <w:rsid w:val="00917936"/>
    <w:rsid w:val="00920357"/>
    <w:rsid w:val="00921BA9"/>
    <w:rsid w:val="0092205A"/>
    <w:rsid w:val="00922476"/>
    <w:rsid w:val="00922835"/>
    <w:rsid w:val="00922B87"/>
    <w:rsid w:val="009232EA"/>
    <w:rsid w:val="00923569"/>
    <w:rsid w:val="0092414B"/>
    <w:rsid w:val="009243EA"/>
    <w:rsid w:val="00924D64"/>
    <w:rsid w:val="00924E3B"/>
    <w:rsid w:val="00924F8A"/>
    <w:rsid w:val="009254E5"/>
    <w:rsid w:val="0092582B"/>
    <w:rsid w:val="00926828"/>
    <w:rsid w:val="00926945"/>
    <w:rsid w:val="00926BCF"/>
    <w:rsid w:val="0092735B"/>
    <w:rsid w:val="00927A4D"/>
    <w:rsid w:val="00927EF5"/>
    <w:rsid w:val="00927F10"/>
    <w:rsid w:val="00931324"/>
    <w:rsid w:val="00931697"/>
    <w:rsid w:val="009316CE"/>
    <w:rsid w:val="00932073"/>
    <w:rsid w:val="009327EE"/>
    <w:rsid w:val="009329C1"/>
    <w:rsid w:val="00932DD4"/>
    <w:rsid w:val="00933308"/>
    <w:rsid w:val="009335B4"/>
    <w:rsid w:val="0093455D"/>
    <w:rsid w:val="00934DE7"/>
    <w:rsid w:val="00935B50"/>
    <w:rsid w:val="00937FA4"/>
    <w:rsid w:val="00940781"/>
    <w:rsid w:val="009413C3"/>
    <w:rsid w:val="00941671"/>
    <w:rsid w:val="009422C9"/>
    <w:rsid w:val="00942485"/>
    <w:rsid w:val="00942768"/>
    <w:rsid w:val="0094277B"/>
    <w:rsid w:val="00942930"/>
    <w:rsid w:val="00942CC3"/>
    <w:rsid w:val="00942FE3"/>
    <w:rsid w:val="009436D7"/>
    <w:rsid w:val="00943960"/>
    <w:rsid w:val="009439DA"/>
    <w:rsid w:val="00943D2D"/>
    <w:rsid w:val="00943F17"/>
    <w:rsid w:val="00944927"/>
    <w:rsid w:val="00944D56"/>
    <w:rsid w:val="00944EC4"/>
    <w:rsid w:val="0094647B"/>
    <w:rsid w:val="00946506"/>
    <w:rsid w:val="0094658C"/>
    <w:rsid w:val="009474C2"/>
    <w:rsid w:val="00947AAA"/>
    <w:rsid w:val="00947ED5"/>
    <w:rsid w:val="009516E4"/>
    <w:rsid w:val="00951A4F"/>
    <w:rsid w:val="00952A1D"/>
    <w:rsid w:val="00952CED"/>
    <w:rsid w:val="009531C9"/>
    <w:rsid w:val="009533EB"/>
    <w:rsid w:val="00953DE9"/>
    <w:rsid w:val="009542C6"/>
    <w:rsid w:val="009546B9"/>
    <w:rsid w:val="00954B6A"/>
    <w:rsid w:val="00955726"/>
    <w:rsid w:val="00956370"/>
    <w:rsid w:val="00956382"/>
    <w:rsid w:val="00956CAF"/>
    <w:rsid w:val="009573BC"/>
    <w:rsid w:val="009606C4"/>
    <w:rsid w:val="00961152"/>
    <w:rsid w:val="00961989"/>
    <w:rsid w:val="009623C4"/>
    <w:rsid w:val="00962CE8"/>
    <w:rsid w:val="00962F90"/>
    <w:rsid w:val="00963DC1"/>
    <w:rsid w:val="009643E4"/>
    <w:rsid w:val="00965201"/>
    <w:rsid w:val="009666EA"/>
    <w:rsid w:val="00967061"/>
    <w:rsid w:val="00970681"/>
    <w:rsid w:val="00970733"/>
    <w:rsid w:val="0097075D"/>
    <w:rsid w:val="0097097D"/>
    <w:rsid w:val="00970FD3"/>
    <w:rsid w:val="009713F9"/>
    <w:rsid w:val="00971B80"/>
    <w:rsid w:val="00972403"/>
    <w:rsid w:val="00972635"/>
    <w:rsid w:val="00972858"/>
    <w:rsid w:val="00972D8C"/>
    <w:rsid w:val="009742B0"/>
    <w:rsid w:val="00974988"/>
    <w:rsid w:val="009749F1"/>
    <w:rsid w:val="00975428"/>
    <w:rsid w:val="009754B1"/>
    <w:rsid w:val="0097614A"/>
    <w:rsid w:val="009779FE"/>
    <w:rsid w:val="00977F47"/>
    <w:rsid w:val="00980CC5"/>
    <w:rsid w:val="009811ED"/>
    <w:rsid w:val="00981267"/>
    <w:rsid w:val="009813BF"/>
    <w:rsid w:val="0098175D"/>
    <w:rsid w:val="0098215A"/>
    <w:rsid w:val="00982674"/>
    <w:rsid w:val="009827F8"/>
    <w:rsid w:val="00983106"/>
    <w:rsid w:val="009839ED"/>
    <w:rsid w:val="009844DA"/>
    <w:rsid w:val="00985315"/>
    <w:rsid w:val="00985E14"/>
    <w:rsid w:val="0098615F"/>
    <w:rsid w:val="00987153"/>
    <w:rsid w:val="00987336"/>
    <w:rsid w:val="009873C7"/>
    <w:rsid w:val="0098798B"/>
    <w:rsid w:val="00987A3C"/>
    <w:rsid w:val="00987CFF"/>
    <w:rsid w:val="009903A3"/>
    <w:rsid w:val="009911C9"/>
    <w:rsid w:val="0099207C"/>
    <w:rsid w:val="00992B9F"/>
    <w:rsid w:val="00992DBB"/>
    <w:rsid w:val="009930CB"/>
    <w:rsid w:val="00993678"/>
    <w:rsid w:val="00993700"/>
    <w:rsid w:val="00993A1A"/>
    <w:rsid w:val="00994921"/>
    <w:rsid w:val="00994E18"/>
    <w:rsid w:val="00995F47"/>
    <w:rsid w:val="009966BC"/>
    <w:rsid w:val="009A05C7"/>
    <w:rsid w:val="009A06EC"/>
    <w:rsid w:val="009A07F0"/>
    <w:rsid w:val="009A0FCA"/>
    <w:rsid w:val="009A10EE"/>
    <w:rsid w:val="009A272F"/>
    <w:rsid w:val="009A2A23"/>
    <w:rsid w:val="009A3019"/>
    <w:rsid w:val="009A303E"/>
    <w:rsid w:val="009A43A2"/>
    <w:rsid w:val="009A44DA"/>
    <w:rsid w:val="009A48DA"/>
    <w:rsid w:val="009A4E24"/>
    <w:rsid w:val="009A55CA"/>
    <w:rsid w:val="009A5A4F"/>
    <w:rsid w:val="009A5A65"/>
    <w:rsid w:val="009A5C24"/>
    <w:rsid w:val="009A5FBE"/>
    <w:rsid w:val="009A7232"/>
    <w:rsid w:val="009A7272"/>
    <w:rsid w:val="009A7672"/>
    <w:rsid w:val="009A7A22"/>
    <w:rsid w:val="009A7F3A"/>
    <w:rsid w:val="009B0378"/>
    <w:rsid w:val="009B125D"/>
    <w:rsid w:val="009B13A9"/>
    <w:rsid w:val="009B1473"/>
    <w:rsid w:val="009B1966"/>
    <w:rsid w:val="009B249B"/>
    <w:rsid w:val="009B2955"/>
    <w:rsid w:val="009B3E09"/>
    <w:rsid w:val="009B43C1"/>
    <w:rsid w:val="009B43C5"/>
    <w:rsid w:val="009B52FE"/>
    <w:rsid w:val="009B557A"/>
    <w:rsid w:val="009B615D"/>
    <w:rsid w:val="009B6625"/>
    <w:rsid w:val="009B691B"/>
    <w:rsid w:val="009B6DB2"/>
    <w:rsid w:val="009B6EA5"/>
    <w:rsid w:val="009B6EB3"/>
    <w:rsid w:val="009B7959"/>
    <w:rsid w:val="009B7BF1"/>
    <w:rsid w:val="009B7F1E"/>
    <w:rsid w:val="009C0412"/>
    <w:rsid w:val="009C0CE3"/>
    <w:rsid w:val="009C19E9"/>
    <w:rsid w:val="009C1A80"/>
    <w:rsid w:val="009C1F6B"/>
    <w:rsid w:val="009C2451"/>
    <w:rsid w:val="009C2515"/>
    <w:rsid w:val="009C2585"/>
    <w:rsid w:val="009C28C3"/>
    <w:rsid w:val="009C2D8A"/>
    <w:rsid w:val="009C2FCE"/>
    <w:rsid w:val="009C39C3"/>
    <w:rsid w:val="009C3DA1"/>
    <w:rsid w:val="009C4025"/>
    <w:rsid w:val="009C467D"/>
    <w:rsid w:val="009C529F"/>
    <w:rsid w:val="009C5A52"/>
    <w:rsid w:val="009C6409"/>
    <w:rsid w:val="009C7E78"/>
    <w:rsid w:val="009D014D"/>
    <w:rsid w:val="009D1A2A"/>
    <w:rsid w:val="009D219B"/>
    <w:rsid w:val="009D3413"/>
    <w:rsid w:val="009D36D8"/>
    <w:rsid w:val="009D5A6A"/>
    <w:rsid w:val="009D5C57"/>
    <w:rsid w:val="009D5D2F"/>
    <w:rsid w:val="009D63C1"/>
    <w:rsid w:val="009D68BD"/>
    <w:rsid w:val="009D75FF"/>
    <w:rsid w:val="009D76B2"/>
    <w:rsid w:val="009D7766"/>
    <w:rsid w:val="009D78A3"/>
    <w:rsid w:val="009D7B23"/>
    <w:rsid w:val="009E029C"/>
    <w:rsid w:val="009E0FE6"/>
    <w:rsid w:val="009E1FCC"/>
    <w:rsid w:val="009E2832"/>
    <w:rsid w:val="009E37B5"/>
    <w:rsid w:val="009E3A3E"/>
    <w:rsid w:val="009E3DBD"/>
    <w:rsid w:val="009E3EB2"/>
    <w:rsid w:val="009E52E7"/>
    <w:rsid w:val="009E5C5E"/>
    <w:rsid w:val="009E649C"/>
    <w:rsid w:val="009E67CA"/>
    <w:rsid w:val="009E7230"/>
    <w:rsid w:val="009E72CF"/>
    <w:rsid w:val="009E7A35"/>
    <w:rsid w:val="009E7AB5"/>
    <w:rsid w:val="009F01C9"/>
    <w:rsid w:val="009F05CF"/>
    <w:rsid w:val="009F07BE"/>
    <w:rsid w:val="009F08D3"/>
    <w:rsid w:val="009F0A9C"/>
    <w:rsid w:val="009F1AD4"/>
    <w:rsid w:val="009F1EE0"/>
    <w:rsid w:val="009F29E7"/>
    <w:rsid w:val="009F2AFF"/>
    <w:rsid w:val="009F2B0B"/>
    <w:rsid w:val="009F2C97"/>
    <w:rsid w:val="009F2C9F"/>
    <w:rsid w:val="009F3A1E"/>
    <w:rsid w:val="009F4489"/>
    <w:rsid w:val="009F4AC9"/>
    <w:rsid w:val="009F5208"/>
    <w:rsid w:val="009F5399"/>
    <w:rsid w:val="009F55FA"/>
    <w:rsid w:val="009F5E40"/>
    <w:rsid w:val="009F6038"/>
    <w:rsid w:val="009F60B3"/>
    <w:rsid w:val="009F748B"/>
    <w:rsid w:val="00A007B0"/>
    <w:rsid w:val="00A00C06"/>
    <w:rsid w:val="00A020FB"/>
    <w:rsid w:val="00A021D5"/>
    <w:rsid w:val="00A02201"/>
    <w:rsid w:val="00A02F9D"/>
    <w:rsid w:val="00A0334B"/>
    <w:rsid w:val="00A043D2"/>
    <w:rsid w:val="00A0503D"/>
    <w:rsid w:val="00A052D3"/>
    <w:rsid w:val="00A054C5"/>
    <w:rsid w:val="00A05528"/>
    <w:rsid w:val="00A0666B"/>
    <w:rsid w:val="00A067FF"/>
    <w:rsid w:val="00A06C8D"/>
    <w:rsid w:val="00A07A5E"/>
    <w:rsid w:val="00A1045C"/>
    <w:rsid w:val="00A109F6"/>
    <w:rsid w:val="00A10AEA"/>
    <w:rsid w:val="00A10E4E"/>
    <w:rsid w:val="00A117C1"/>
    <w:rsid w:val="00A11B51"/>
    <w:rsid w:val="00A1339C"/>
    <w:rsid w:val="00A138E8"/>
    <w:rsid w:val="00A14E08"/>
    <w:rsid w:val="00A15078"/>
    <w:rsid w:val="00A200F2"/>
    <w:rsid w:val="00A20541"/>
    <w:rsid w:val="00A20752"/>
    <w:rsid w:val="00A21170"/>
    <w:rsid w:val="00A21435"/>
    <w:rsid w:val="00A21C6B"/>
    <w:rsid w:val="00A22082"/>
    <w:rsid w:val="00A229A4"/>
    <w:rsid w:val="00A22F9B"/>
    <w:rsid w:val="00A239E5"/>
    <w:rsid w:val="00A23F01"/>
    <w:rsid w:val="00A24424"/>
    <w:rsid w:val="00A250AC"/>
    <w:rsid w:val="00A26932"/>
    <w:rsid w:val="00A26959"/>
    <w:rsid w:val="00A26A90"/>
    <w:rsid w:val="00A26F05"/>
    <w:rsid w:val="00A2706E"/>
    <w:rsid w:val="00A271AE"/>
    <w:rsid w:val="00A27241"/>
    <w:rsid w:val="00A27F1C"/>
    <w:rsid w:val="00A30741"/>
    <w:rsid w:val="00A308D9"/>
    <w:rsid w:val="00A3253D"/>
    <w:rsid w:val="00A32BC2"/>
    <w:rsid w:val="00A334AF"/>
    <w:rsid w:val="00A33D29"/>
    <w:rsid w:val="00A33D4D"/>
    <w:rsid w:val="00A33D62"/>
    <w:rsid w:val="00A34623"/>
    <w:rsid w:val="00A34747"/>
    <w:rsid w:val="00A34ED6"/>
    <w:rsid w:val="00A35033"/>
    <w:rsid w:val="00A35A89"/>
    <w:rsid w:val="00A36700"/>
    <w:rsid w:val="00A368D3"/>
    <w:rsid w:val="00A37670"/>
    <w:rsid w:val="00A37DEC"/>
    <w:rsid w:val="00A42082"/>
    <w:rsid w:val="00A4479B"/>
    <w:rsid w:val="00A44E5F"/>
    <w:rsid w:val="00A4516F"/>
    <w:rsid w:val="00A4562E"/>
    <w:rsid w:val="00A462B5"/>
    <w:rsid w:val="00A47D87"/>
    <w:rsid w:val="00A47DF3"/>
    <w:rsid w:val="00A51795"/>
    <w:rsid w:val="00A51A9D"/>
    <w:rsid w:val="00A52297"/>
    <w:rsid w:val="00A52584"/>
    <w:rsid w:val="00A530FC"/>
    <w:rsid w:val="00A542E3"/>
    <w:rsid w:val="00A5454D"/>
    <w:rsid w:val="00A54AB6"/>
    <w:rsid w:val="00A56384"/>
    <w:rsid w:val="00A56BD9"/>
    <w:rsid w:val="00A5705B"/>
    <w:rsid w:val="00A57BF1"/>
    <w:rsid w:val="00A60074"/>
    <w:rsid w:val="00A60C57"/>
    <w:rsid w:val="00A62EC3"/>
    <w:rsid w:val="00A64320"/>
    <w:rsid w:val="00A64485"/>
    <w:rsid w:val="00A645C1"/>
    <w:rsid w:val="00A65363"/>
    <w:rsid w:val="00A654FD"/>
    <w:rsid w:val="00A65AF7"/>
    <w:rsid w:val="00A65C35"/>
    <w:rsid w:val="00A65E03"/>
    <w:rsid w:val="00A66075"/>
    <w:rsid w:val="00A66623"/>
    <w:rsid w:val="00A66DCF"/>
    <w:rsid w:val="00A67246"/>
    <w:rsid w:val="00A70BA4"/>
    <w:rsid w:val="00A70DFD"/>
    <w:rsid w:val="00A70FFF"/>
    <w:rsid w:val="00A7109D"/>
    <w:rsid w:val="00A71FC4"/>
    <w:rsid w:val="00A728B6"/>
    <w:rsid w:val="00A72DC8"/>
    <w:rsid w:val="00A732DA"/>
    <w:rsid w:val="00A73BBE"/>
    <w:rsid w:val="00A74122"/>
    <w:rsid w:val="00A7425C"/>
    <w:rsid w:val="00A742A3"/>
    <w:rsid w:val="00A74CAC"/>
    <w:rsid w:val="00A75DA2"/>
    <w:rsid w:val="00A7630E"/>
    <w:rsid w:val="00A77510"/>
    <w:rsid w:val="00A77644"/>
    <w:rsid w:val="00A776C7"/>
    <w:rsid w:val="00A77E17"/>
    <w:rsid w:val="00A80E35"/>
    <w:rsid w:val="00A810CD"/>
    <w:rsid w:val="00A81561"/>
    <w:rsid w:val="00A81899"/>
    <w:rsid w:val="00A81968"/>
    <w:rsid w:val="00A82110"/>
    <w:rsid w:val="00A82126"/>
    <w:rsid w:val="00A82497"/>
    <w:rsid w:val="00A82635"/>
    <w:rsid w:val="00A827EB"/>
    <w:rsid w:val="00A83043"/>
    <w:rsid w:val="00A830DE"/>
    <w:rsid w:val="00A832FD"/>
    <w:rsid w:val="00A8377D"/>
    <w:rsid w:val="00A84141"/>
    <w:rsid w:val="00A845E8"/>
    <w:rsid w:val="00A853B8"/>
    <w:rsid w:val="00A85697"/>
    <w:rsid w:val="00A8584E"/>
    <w:rsid w:val="00A85CEC"/>
    <w:rsid w:val="00A85E4F"/>
    <w:rsid w:val="00A863DF"/>
    <w:rsid w:val="00A866B5"/>
    <w:rsid w:val="00A86C51"/>
    <w:rsid w:val="00A86E1C"/>
    <w:rsid w:val="00A87C00"/>
    <w:rsid w:val="00A90164"/>
    <w:rsid w:val="00A908E7"/>
    <w:rsid w:val="00A90934"/>
    <w:rsid w:val="00A9136E"/>
    <w:rsid w:val="00A915D0"/>
    <w:rsid w:val="00A919F5"/>
    <w:rsid w:val="00A920C1"/>
    <w:rsid w:val="00A9230F"/>
    <w:rsid w:val="00A9244B"/>
    <w:rsid w:val="00A93075"/>
    <w:rsid w:val="00A93329"/>
    <w:rsid w:val="00A93C1C"/>
    <w:rsid w:val="00A93D4C"/>
    <w:rsid w:val="00A94076"/>
    <w:rsid w:val="00A945C2"/>
    <w:rsid w:val="00A94C31"/>
    <w:rsid w:val="00A9539B"/>
    <w:rsid w:val="00A9630C"/>
    <w:rsid w:val="00A97B0F"/>
    <w:rsid w:val="00AA04AF"/>
    <w:rsid w:val="00AA0EAA"/>
    <w:rsid w:val="00AA100D"/>
    <w:rsid w:val="00AA101A"/>
    <w:rsid w:val="00AA1183"/>
    <w:rsid w:val="00AA1410"/>
    <w:rsid w:val="00AA21F4"/>
    <w:rsid w:val="00AA2334"/>
    <w:rsid w:val="00AA3D42"/>
    <w:rsid w:val="00AA4249"/>
    <w:rsid w:val="00AA49F1"/>
    <w:rsid w:val="00AA4B8A"/>
    <w:rsid w:val="00AA5110"/>
    <w:rsid w:val="00AA523F"/>
    <w:rsid w:val="00AA6651"/>
    <w:rsid w:val="00AA704B"/>
    <w:rsid w:val="00AA735E"/>
    <w:rsid w:val="00AB0010"/>
    <w:rsid w:val="00AB0D5A"/>
    <w:rsid w:val="00AB1C85"/>
    <w:rsid w:val="00AB2DD0"/>
    <w:rsid w:val="00AB32E3"/>
    <w:rsid w:val="00AB3987"/>
    <w:rsid w:val="00AB43A9"/>
    <w:rsid w:val="00AB5BE6"/>
    <w:rsid w:val="00AB6342"/>
    <w:rsid w:val="00AB6527"/>
    <w:rsid w:val="00AB6832"/>
    <w:rsid w:val="00AB7658"/>
    <w:rsid w:val="00AB7C38"/>
    <w:rsid w:val="00AB7F4C"/>
    <w:rsid w:val="00AC1A63"/>
    <w:rsid w:val="00AC217B"/>
    <w:rsid w:val="00AC2181"/>
    <w:rsid w:val="00AC22F1"/>
    <w:rsid w:val="00AC386A"/>
    <w:rsid w:val="00AC3B22"/>
    <w:rsid w:val="00AC402A"/>
    <w:rsid w:val="00AC414B"/>
    <w:rsid w:val="00AC4EB4"/>
    <w:rsid w:val="00AC4FFD"/>
    <w:rsid w:val="00AC534E"/>
    <w:rsid w:val="00AC5D20"/>
    <w:rsid w:val="00AC6555"/>
    <w:rsid w:val="00AC6BCF"/>
    <w:rsid w:val="00AC6BF7"/>
    <w:rsid w:val="00AC7292"/>
    <w:rsid w:val="00AC7606"/>
    <w:rsid w:val="00AD08C9"/>
    <w:rsid w:val="00AD091D"/>
    <w:rsid w:val="00AD2058"/>
    <w:rsid w:val="00AD2C03"/>
    <w:rsid w:val="00AD312B"/>
    <w:rsid w:val="00AD32E1"/>
    <w:rsid w:val="00AD4142"/>
    <w:rsid w:val="00AD5172"/>
    <w:rsid w:val="00AD5497"/>
    <w:rsid w:val="00AD5AAA"/>
    <w:rsid w:val="00AD5BF8"/>
    <w:rsid w:val="00AD60C4"/>
    <w:rsid w:val="00AD73A9"/>
    <w:rsid w:val="00AD7A41"/>
    <w:rsid w:val="00AD7B43"/>
    <w:rsid w:val="00AE021B"/>
    <w:rsid w:val="00AE0D08"/>
    <w:rsid w:val="00AE0DD9"/>
    <w:rsid w:val="00AE0E26"/>
    <w:rsid w:val="00AE1B2C"/>
    <w:rsid w:val="00AE1BC4"/>
    <w:rsid w:val="00AE1FA1"/>
    <w:rsid w:val="00AE213B"/>
    <w:rsid w:val="00AE402D"/>
    <w:rsid w:val="00AE4205"/>
    <w:rsid w:val="00AE4F3D"/>
    <w:rsid w:val="00AE5699"/>
    <w:rsid w:val="00AE5700"/>
    <w:rsid w:val="00AE5ADB"/>
    <w:rsid w:val="00AE67CB"/>
    <w:rsid w:val="00AE6A60"/>
    <w:rsid w:val="00AE746F"/>
    <w:rsid w:val="00AE75A6"/>
    <w:rsid w:val="00AE76A9"/>
    <w:rsid w:val="00AE79EC"/>
    <w:rsid w:val="00AF04E3"/>
    <w:rsid w:val="00AF0C57"/>
    <w:rsid w:val="00AF1220"/>
    <w:rsid w:val="00AF1D1F"/>
    <w:rsid w:val="00AF21E0"/>
    <w:rsid w:val="00AF262A"/>
    <w:rsid w:val="00AF2793"/>
    <w:rsid w:val="00AF3843"/>
    <w:rsid w:val="00AF3E06"/>
    <w:rsid w:val="00AF40B8"/>
    <w:rsid w:val="00AF4496"/>
    <w:rsid w:val="00AF4A52"/>
    <w:rsid w:val="00AF4CDC"/>
    <w:rsid w:val="00AF5AC8"/>
    <w:rsid w:val="00AF622E"/>
    <w:rsid w:val="00AF6B18"/>
    <w:rsid w:val="00AF7472"/>
    <w:rsid w:val="00AF7755"/>
    <w:rsid w:val="00AF78E1"/>
    <w:rsid w:val="00B006E4"/>
    <w:rsid w:val="00B015DA"/>
    <w:rsid w:val="00B02F81"/>
    <w:rsid w:val="00B032C1"/>
    <w:rsid w:val="00B05777"/>
    <w:rsid w:val="00B05CC9"/>
    <w:rsid w:val="00B060A9"/>
    <w:rsid w:val="00B061EE"/>
    <w:rsid w:val="00B06DBB"/>
    <w:rsid w:val="00B07773"/>
    <w:rsid w:val="00B07D8D"/>
    <w:rsid w:val="00B1054D"/>
    <w:rsid w:val="00B10769"/>
    <w:rsid w:val="00B11BC3"/>
    <w:rsid w:val="00B128E3"/>
    <w:rsid w:val="00B13ADD"/>
    <w:rsid w:val="00B145CD"/>
    <w:rsid w:val="00B14D53"/>
    <w:rsid w:val="00B15164"/>
    <w:rsid w:val="00B1567A"/>
    <w:rsid w:val="00B159B2"/>
    <w:rsid w:val="00B15BA0"/>
    <w:rsid w:val="00B16E4B"/>
    <w:rsid w:val="00B17D7B"/>
    <w:rsid w:val="00B17FA8"/>
    <w:rsid w:val="00B204E3"/>
    <w:rsid w:val="00B20883"/>
    <w:rsid w:val="00B20AE1"/>
    <w:rsid w:val="00B21893"/>
    <w:rsid w:val="00B21D4C"/>
    <w:rsid w:val="00B22277"/>
    <w:rsid w:val="00B223C0"/>
    <w:rsid w:val="00B22784"/>
    <w:rsid w:val="00B238E8"/>
    <w:rsid w:val="00B241E1"/>
    <w:rsid w:val="00B242B1"/>
    <w:rsid w:val="00B2488F"/>
    <w:rsid w:val="00B248B3"/>
    <w:rsid w:val="00B25473"/>
    <w:rsid w:val="00B25CFB"/>
    <w:rsid w:val="00B25E61"/>
    <w:rsid w:val="00B266A8"/>
    <w:rsid w:val="00B26FEF"/>
    <w:rsid w:val="00B27246"/>
    <w:rsid w:val="00B27B9B"/>
    <w:rsid w:val="00B27EF2"/>
    <w:rsid w:val="00B30AF8"/>
    <w:rsid w:val="00B3118A"/>
    <w:rsid w:val="00B32A84"/>
    <w:rsid w:val="00B331B1"/>
    <w:rsid w:val="00B33768"/>
    <w:rsid w:val="00B33DD3"/>
    <w:rsid w:val="00B343F4"/>
    <w:rsid w:val="00B34424"/>
    <w:rsid w:val="00B34702"/>
    <w:rsid w:val="00B34C92"/>
    <w:rsid w:val="00B34D37"/>
    <w:rsid w:val="00B35D9F"/>
    <w:rsid w:val="00B3671A"/>
    <w:rsid w:val="00B3694C"/>
    <w:rsid w:val="00B36C34"/>
    <w:rsid w:val="00B37009"/>
    <w:rsid w:val="00B37196"/>
    <w:rsid w:val="00B3744D"/>
    <w:rsid w:val="00B3774B"/>
    <w:rsid w:val="00B402AC"/>
    <w:rsid w:val="00B40F5C"/>
    <w:rsid w:val="00B422A4"/>
    <w:rsid w:val="00B43B91"/>
    <w:rsid w:val="00B43DBC"/>
    <w:rsid w:val="00B44248"/>
    <w:rsid w:val="00B44D24"/>
    <w:rsid w:val="00B453BF"/>
    <w:rsid w:val="00B45903"/>
    <w:rsid w:val="00B45B71"/>
    <w:rsid w:val="00B46358"/>
    <w:rsid w:val="00B470AB"/>
    <w:rsid w:val="00B50F47"/>
    <w:rsid w:val="00B50FDB"/>
    <w:rsid w:val="00B5130F"/>
    <w:rsid w:val="00B51E37"/>
    <w:rsid w:val="00B52454"/>
    <w:rsid w:val="00B533D5"/>
    <w:rsid w:val="00B53677"/>
    <w:rsid w:val="00B538B5"/>
    <w:rsid w:val="00B53A13"/>
    <w:rsid w:val="00B53C2D"/>
    <w:rsid w:val="00B53E49"/>
    <w:rsid w:val="00B5432F"/>
    <w:rsid w:val="00B5486C"/>
    <w:rsid w:val="00B54959"/>
    <w:rsid w:val="00B54DB4"/>
    <w:rsid w:val="00B54E95"/>
    <w:rsid w:val="00B555B0"/>
    <w:rsid w:val="00B55C88"/>
    <w:rsid w:val="00B56137"/>
    <w:rsid w:val="00B56888"/>
    <w:rsid w:val="00B56954"/>
    <w:rsid w:val="00B576F9"/>
    <w:rsid w:val="00B5776A"/>
    <w:rsid w:val="00B57FA5"/>
    <w:rsid w:val="00B603C5"/>
    <w:rsid w:val="00B60DCD"/>
    <w:rsid w:val="00B61905"/>
    <w:rsid w:val="00B61C73"/>
    <w:rsid w:val="00B61DB2"/>
    <w:rsid w:val="00B61E3A"/>
    <w:rsid w:val="00B62663"/>
    <w:rsid w:val="00B6399A"/>
    <w:rsid w:val="00B63F52"/>
    <w:rsid w:val="00B641B9"/>
    <w:rsid w:val="00B64E08"/>
    <w:rsid w:val="00B6534B"/>
    <w:rsid w:val="00B6582A"/>
    <w:rsid w:val="00B66BF8"/>
    <w:rsid w:val="00B67DBB"/>
    <w:rsid w:val="00B67DEB"/>
    <w:rsid w:val="00B70613"/>
    <w:rsid w:val="00B70842"/>
    <w:rsid w:val="00B72070"/>
    <w:rsid w:val="00B73A0F"/>
    <w:rsid w:val="00B73E70"/>
    <w:rsid w:val="00B74DE1"/>
    <w:rsid w:val="00B759D3"/>
    <w:rsid w:val="00B75F68"/>
    <w:rsid w:val="00B762C7"/>
    <w:rsid w:val="00B767B6"/>
    <w:rsid w:val="00B77801"/>
    <w:rsid w:val="00B7791D"/>
    <w:rsid w:val="00B77C18"/>
    <w:rsid w:val="00B80490"/>
    <w:rsid w:val="00B81044"/>
    <w:rsid w:val="00B8148E"/>
    <w:rsid w:val="00B81593"/>
    <w:rsid w:val="00B81992"/>
    <w:rsid w:val="00B81E22"/>
    <w:rsid w:val="00B820F6"/>
    <w:rsid w:val="00B83222"/>
    <w:rsid w:val="00B833D0"/>
    <w:rsid w:val="00B83B6C"/>
    <w:rsid w:val="00B84893"/>
    <w:rsid w:val="00B84F3C"/>
    <w:rsid w:val="00B853FB"/>
    <w:rsid w:val="00B85452"/>
    <w:rsid w:val="00B85FF2"/>
    <w:rsid w:val="00B867B6"/>
    <w:rsid w:val="00B8702E"/>
    <w:rsid w:val="00B8729B"/>
    <w:rsid w:val="00B87837"/>
    <w:rsid w:val="00B87ADE"/>
    <w:rsid w:val="00B87CE6"/>
    <w:rsid w:val="00B9003A"/>
    <w:rsid w:val="00B900C9"/>
    <w:rsid w:val="00B9037F"/>
    <w:rsid w:val="00B90B52"/>
    <w:rsid w:val="00B92660"/>
    <w:rsid w:val="00B92B43"/>
    <w:rsid w:val="00B9398B"/>
    <w:rsid w:val="00B940F9"/>
    <w:rsid w:val="00B94146"/>
    <w:rsid w:val="00B949B7"/>
    <w:rsid w:val="00B951D9"/>
    <w:rsid w:val="00B954AC"/>
    <w:rsid w:val="00B95682"/>
    <w:rsid w:val="00B95B78"/>
    <w:rsid w:val="00B95BF7"/>
    <w:rsid w:val="00B95C19"/>
    <w:rsid w:val="00B9618F"/>
    <w:rsid w:val="00B96928"/>
    <w:rsid w:val="00B96B52"/>
    <w:rsid w:val="00B975B2"/>
    <w:rsid w:val="00B97F71"/>
    <w:rsid w:val="00BA0092"/>
    <w:rsid w:val="00BA0883"/>
    <w:rsid w:val="00BA13FD"/>
    <w:rsid w:val="00BA141A"/>
    <w:rsid w:val="00BA1CE4"/>
    <w:rsid w:val="00BA1DE9"/>
    <w:rsid w:val="00BA234D"/>
    <w:rsid w:val="00BA307C"/>
    <w:rsid w:val="00BA36F7"/>
    <w:rsid w:val="00BA38FA"/>
    <w:rsid w:val="00BA3E6E"/>
    <w:rsid w:val="00BA3E9D"/>
    <w:rsid w:val="00BA3FD2"/>
    <w:rsid w:val="00BA41F4"/>
    <w:rsid w:val="00BA42A0"/>
    <w:rsid w:val="00BA474F"/>
    <w:rsid w:val="00BA4D4D"/>
    <w:rsid w:val="00BA5079"/>
    <w:rsid w:val="00BA54A0"/>
    <w:rsid w:val="00BA5597"/>
    <w:rsid w:val="00BA594F"/>
    <w:rsid w:val="00BA5D34"/>
    <w:rsid w:val="00BA627F"/>
    <w:rsid w:val="00BA643A"/>
    <w:rsid w:val="00BA69EF"/>
    <w:rsid w:val="00BA6ACA"/>
    <w:rsid w:val="00BA6D72"/>
    <w:rsid w:val="00BA6FFB"/>
    <w:rsid w:val="00BA72B8"/>
    <w:rsid w:val="00BA7875"/>
    <w:rsid w:val="00BB013E"/>
    <w:rsid w:val="00BB0589"/>
    <w:rsid w:val="00BB0E2A"/>
    <w:rsid w:val="00BB118C"/>
    <w:rsid w:val="00BB144C"/>
    <w:rsid w:val="00BB23DC"/>
    <w:rsid w:val="00BB34EE"/>
    <w:rsid w:val="00BB35CF"/>
    <w:rsid w:val="00BB3913"/>
    <w:rsid w:val="00BB4CA7"/>
    <w:rsid w:val="00BB50E3"/>
    <w:rsid w:val="00BB60AB"/>
    <w:rsid w:val="00BB6759"/>
    <w:rsid w:val="00BB68CB"/>
    <w:rsid w:val="00BB6B4E"/>
    <w:rsid w:val="00BB77CA"/>
    <w:rsid w:val="00BB7C3C"/>
    <w:rsid w:val="00BB7D5A"/>
    <w:rsid w:val="00BC003A"/>
    <w:rsid w:val="00BC02B6"/>
    <w:rsid w:val="00BC04D9"/>
    <w:rsid w:val="00BC0D10"/>
    <w:rsid w:val="00BC128B"/>
    <w:rsid w:val="00BC17CF"/>
    <w:rsid w:val="00BC18D2"/>
    <w:rsid w:val="00BC1F3D"/>
    <w:rsid w:val="00BC2189"/>
    <w:rsid w:val="00BC4088"/>
    <w:rsid w:val="00BC4696"/>
    <w:rsid w:val="00BC5693"/>
    <w:rsid w:val="00BC5704"/>
    <w:rsid w:val="00BC5A80"/>
    <w:rsid w:val="00BC5C35"/>
    <w:rsid w:val="00BC5EB5"/>
    <w:rsid w:val="00BC6023"/>
    <w:rsid w:val="00BC62CB"/>
    <w:rsid w:val="00BC6BA8"/>
    <w:rsid w:val="00BC6E56"/>
    <w:rsid w:val="00BC7908"/>
    <w:rsid w:val="00BD0137"/>
    <w:rsid w:val="00BD0630"/>
    <w:rsid w:val="00BD12DE"/>
    <w:rsid w:val="00BD18D2"/>
    <w:rsid w:val="00BD27FE"/>
    <w:rsid w:val="00BD28F2"/>
    <w:rsid w:val="00BD353B"/>
    <w:rsid w:val="00BD3CEC"/>
    <w:rsid w:val="00BD4781"/>
    <w:rsid w:val="00BD4A42"/>
    <w:rsid w:val="00BD6F66"/>
    <w:rsid w:val="00BD73A4"/>
    <w:rsid w:val="00BD7429"/>
    <w:rsid w:val="00BD7A9A"/>
    <w:rsid w:val="00BE0AD0"/>
    <w:rsid w:val="00BE1825"/>
    <w:rsid w:val="00BE1918"/>
    <w:rsid w:val="00BE1B9D"/>
    <w:rsid w:val="00BE28AF"/>
    <w:rsid w:val="00BE41E1"/>
    <w:rsid w:val="00BE4CE8"/>
    <w:rsid w:val="00BE4D09"/>
    <w:rsid w:val="00BE5EC2"/>
    <w:rsid w:val="00BE6137"/>
    <w:rsid w:val="00BE61D6"/>
    <w:rsid w:val="00BE65E8"/>
    <w:rsid w:val="00BE6AE5"/>
    <w:rsid w:val="00BE76F9"/>
    <w:rsid w:val="00BF093F"/>
    <w:rsid w:val="00BF0ABE"/>
    <w:rsid w:val="00BF0DB3"/>
    <w:rsid w:val="00BF0E7D"/>
    <w:rsid w:val="00BF1A0C"/>
    <w:rsid w:val="00BF2005"/>
    <w:rsid w:val="00BF2D09"/>
    <w:rsid w:val="00BF2E40"/>
    <w:rsid w:val="00BF2E77"/>
    <w:rsid w:val="00BF30FD"/>
    <w:rsid w:val="00BF31ED"/>
    <w:rsid w:val="00BF3BA4"/>
    <w:rsid w:val="00BF4540"/>
    <w:rsid w:val="00BF4889"/>
    <w:rsid w:val="00BF4987"/>
    <w:rsid w:val="00BF5078"/>
    <w:rsid w:val="00BF69D8"/>
    <w:rsid w:val="00C000F9"/>
    <w:rsid w:val="00C002E5"/>
    <w:rsid w:val="00C00702"/>
    <w:rsid w:val="00C00BC3"/>
    <w:rsid w:val="00C01753"/>
    <w:rsid w:val="00C01950"/>
    <w:rsid w:val="00C01EBF"/>
    <w:rsid w:val="00C0227B"/>
    <w:rsid w:val="00C0368D"/>
    <w:rsid w:val="00C03806"/>
    <w:rsid w:val="00C0412C"/>
    <w:rsid w:val="00C0457F"/>
    <w:rsid w:val="00C0470F"/>
    <w:rsid w:val="00C0570C"/>
    <w:rsid w:val="00C0677A"/>
    <w:rsid w:val="00C06839"/>
    <w:rsid w:val="00C07491"/>
    <w:rsid w:val="00C10093"/>
    <w:rsid w:val="00C102F1"/>
    <w:rsid w:val="00C10373"/>
    <w:rsid w:val="00C10B73"/>
    <w:rsid w:val="00C10CD1"/>
    <w:rsid w:val="00C11588"/>
    <w:rsid w:val="00C11DB8"/>
    <w:rsid w:val="00C13269"/>
    <w:rsid w:val="00C1367C"/>
    <w:rsid w:val="00C139D6"/>
    <w:rsid w:val="00C13B8A"/>
    <w:rsid w:val="00C148C2"/>
    <w:rsid w:val="00C14B29"/>
    <w:rsid w:val="00C14DA1"/>
    <w:rsid w:val="00C14F1F"/>
    <w:rsid w:val="00C1568F"/>
    <w:rsid w:val="00C15A4A"/>
    <w:rsid w:val="00C15CA5"/>
    <w:rsid w:val="00C15D12"/>
    <w:rsid w:val="00C15FFF"/>
    <w:rsid w:val="00C1646B"/>
    <w:rsid w:val="00C16558"/>
    <w:rsid w:val="00C16CF8"/>
    <w:rsid w:val="00C16F40"/>
    <w:rsid w:val="00C16F59"/>
    <w:rsid w:val="00C17044"/>
    <w:rsid w:val="00C1757F"/>
    <w:rsid w:val="00C17597"/>
    <w:rsid w:val="00C17904"/>
    <w:rsid w:val="00C17A6D"/>
    <w:rsid w:val="00C17A90"/>
    <w:rsid w:val="00C20043"/>
    <w:rsid w:val="00C20717"/>
    <w:rsid w:val="00C20759"/>
    <w:rsid w:val="00C20916"/>
    <w:rsid w:val="00C20CEC"/>
    <w:rsid w:val="00C2137C"/>
    <w:rsid w:val="00C21BDD"/>
    <w:rsid w:val="00C21C33"/>
    <w:rsid w:val="00C21C87"/>
    <w:rsid w:val="00C21E38"/>
    <w:rsid w:val="00C22B6D"/>
    <w:rsid w:val="00C2326F"/>
    <w:rsid w:val="00C23646"/>
    <w:rsid w:val="00C23647"/>
    <w:rsid w:val="00C24966"/>
    <w:rsid w:val="00C2508B"/>
    <w:rsid w:val="00C250EB"/>
    <w:rsid w:val="00C257DD"/>
    <w:rsid w:val="00C25F3E"/>
    <w:rsid w:val="00C25F88"/>
    <w:rsid w:val="00C26997"/>
    <w:rsid w:val="00C275A2"/>
    <w:rsid w:val="00C27781"/>
    <w:rsid w:val="00C27B89"/>
    <w:rsid w:val="00C301B9"/>
    <w:rsid w:val="00C304CF"/>
    <w:rsid w:val="00C30F55"/>
    <w:rsid w:val="00C3166B"/>
    <w:rsid w:val="00C324FE"/>
    <w:rsid w:val="00C32F4F"/>
    <w:rsid w:val="00C33C78"/>
    <w:rsid w:val="00C33FCA"/>
    <w:rsid w:val="00C34C6A"/>
    <w:rsid w:val="00C350D5"/>
    <w:rsid w:val="00C351CA"/>
    <w:rsid w:val="00C35201"/>
    <w:rsid w:val="00C3560E"/>
    <w:rsid w:val="00C35B73"/>
    <w:rsid w:val="00C35E7C"/>
    <w:rsid w:val="00C36047"/>
    <w:rsid w:val="00C36675"/>
    <w:rsid w:val="00C36A35"/>
    <w:rsid w:val="00C36B14"/>
    <w:rsid w:val="00C37149"/>
    <w:rsid w:val="00C3730C"/>
    <w:rsid w:val="00C37417"/>
    <w:rsid w:val="00C37722"/>
    <w:rsid w:val="00C41724"/>
    <w:rsid w:val="00C419A0"/>
    <w:rsid w:val="00C426BA"/>
    <w:rsid w:val="00C4273E"/>
    <w:rsid w:val="00C4274F"/>
    <w:rsid w:val="00C42E66"/>
    <w:rsid w:val="00C42EFD"/>
    <w:rsid w:val="00C42FC9"/>
    <w:rsid w:val="00C436A0"/>
    <w:rsid w:val="00C43B04"/>
    <w:rsid w:val="00C44D19"/>
    <w:rsid w:val="00C45533"/>
    <w:rsid w:val="00C45AA5"/>
    <w:rsid w:val="00C46DBB"/>
    <w:rsid w:val="00C46F8B"/>
    <w:rsid w:val="00C47047"/>
    <w:rsid w:val="00C470DF"/>
    <w:rsid w:val="00C47C2D"/>
    <w:rsid w:val="00C47CEE"/>
    <w:rsid w:val="00C5064B"/>
    <w:rsid w:val="00C50A5E"/>
    <w:rsid w:val="00C50DBA"/>
    <w:rsid w:val="00C50E24"/>
    <w:rsid w:val="00C50E3D"/>
    <w:rsid w:val="00C512C8"/>
    <w:rsid w:val="00C516C6"/>
    <w:rsid w:val="00C51CE5"/>
    <w:rsid w:val="00C51D09"/>
    <w:rsid w:val="00C51E1B"/>
    <w:rsid w:val="00C51F78"/>
    <w:rsid w:val="00C52355"/>
    <w:rsid w:val="00C527DC"/>
    <w:rsid w:val="00C52B8C"/>
    <w:rsid w:val="00C531BD"/>
    <w:rsid w:val="00C53BC6"/>
    <w:rsid w:val="00C53D2C"/>
    <w:rsid w:val="00C55744"/>
    <w:rsid w:val="00C559A5"/>
    <w:rsid w:val="00C55CCC"/>
    <w:rsid w:val="00C564EC"/>
    <w:rsid w:val="00C57592"/>
    <w:rsid w:val="00C57D83"/>
    <w:rsid w:val="00C60C9B"/>
    <w:rsid w:val="00C60F63"/>
    <w:rsid w:val="00C6156C"/>
    <w:rsid w:val="00C61B93"/>
    <w:rsid w:val="00C62C99"/>
    <w:rsid w:val="00C640BD"/>
    <w:rsid w:val="00C672C7"/>
    <w:rsid w:val="00C67353"/>
    <w:rsid w:val="00C70008"/>
    <w:rsid w:val="00C70A4D"/>
    <w:rsid w:val="00C70B61"/>
    <w:rsid w:val="00C70BD5"/>
    <w:rsid w:val="00C70F83"/>
    <w:rsid w:val="00C71421"/>
    <w:rsid w:val="00C72246"/>
    <w:rsid w:val="00C725C8"/>
    <w:rsid w:val="00C725DE"/>
    <w:rsid w:val="00C73115"/>
    <w:rsid w:val="00C73DB3"/>
    <w:rsid w:val="00C74BE2"/>
    <w:rsid w:val="00C74EE2"/>
    <w:rsid w:val="00C754B5"/>
    <w:rsid w:val="00C769F0"/>
    <w:rsid w:val="00C77278"/>
    <w:rsid w:val="00C7768B"/>
    <w:rsid w:val="00C77C76"/>
    <w:rsid w:val="00C77F05"/>
    <w:rsid w:val="00C800CA"/>
    <w:rsid w:val="00C805DA"/>
    <w:rsid w:val="00C806BA"/>
    <w:rsid w:val="00C80A3D"/>
    <w:rsid w:val="00C81035"/>
    <w:rsid w:val="00C82203"/>
    <w:rsid w:val="00C82796"/>
    <w:rsid w:val="00C828ED"/>
    <w:rsid w:val="00C8342B"/>
    <w:rsid w:val="00C8362B"/>
    <w:rsid w:val="00C83C34"/>
    <w:rsid w:val="00C83E61"/>
    <w:rsid w:val="00C8594A"/>
    <w:rsid w:val="00C866F6"/>
    <w:rsid w:val="00C8683B"/>
    <w:rsid w:val="00C873EA"/>
    <w:rsid w:val="00C90184"/>
    <w:rsid w:val="00C903B2"/>
    <w:rsid w:val="00C910CD"/>
    <w:rsid w:val="00C91F9E"/>
    <w:rsid w:val="00C938DD"/>
    <w:rsid w:val="00C93ED5"/>
    <w:rsid w:val="00C94D3E"/>
    <w:rsid w:val="00C9503C"/>
    <w:rsid w:val="00C9634A"/>
    <w:rsid w:val="00C963DE"/>
    <w:rsid w:val="00C9672C"/>
    <w:rsid w:val="00C96A75"/>
    <w:rsid w:val="00C96B35"/>
    <w:rsid w:val="00C96BD9"/>
    <w:rsid w:val="00C96D7B"/>
    <w:rsid w:val="00C97A8C"/>
    <w:rsid w:val="00C97F51"/>
    <w:rsid w:val="00CA0704"/>
    <w:rsid w:val="00CA0862"/>
    <w:rsid w:val="00CA0CD1"/>
    <w:rsid w:val="00CA1139"/>
    <w:rsid w:val="00CA14EF"/>
    <w:rsid w:val="00CA187D"/>
    <w:rsid w:val="00CA1A17"/>
    <w:rsid w:val="00CA2708"/>
    <w:rsid w:val="00CA2AE7"/>
    <w:rsid w:val="00CA375F"/>
    <w:rsid w:val="00CA4976"/>
    <w:rsid w:val="00CA6C35"/>
    <w:rsid w:val="00CA7B2A"/>
    <w:rsid w:val="00CA7E3D"/>
    <w:rsid w:val="00CB032D"/>
    <w:rsid w:val="00CB1108"/>
    <w:rsid w:val="00CB17B6"/>
    <w:rsid w:val="00CB2692"/>
    <w:rsid w:val="00CB2748"/>
    <w:rsid w:val="00CB2D67"/>
    <w:rsid w:val="00CB35F4"/>
    <w:rsid w:val="00CB39D8"/>
    <w:rsid w:val="00CB4D6E"/>
    <w:rsid w:val="00CB68D1"/>
    <w:rsid w:val="00CB7333"/>
    <w:rsid w:val="00CB7D2C"/>
    <w:rsid w:val="00CB7E48"/>
    <w:rsid w:val="00CB7F5E"/>
    <w:rsid w:val="00CC027E"/>
    <w:rsid w:val="00CC028E"/>
    <w:rsid w:val="00CC04A6"/>
    <w:rsid w:val="00CC0F2C"/>
    <w:rsid w:val="00CC1484"/>
    <w:rsid w:val="00CC178F"/>
    <w:rsid w:val="00CC19D2"/>
    <w:rsid w:val="00CC208A"/>
    <w:rsid w:val="00CC25F4"/>
    <w:rsid w:val="00CC2784"/>
    <w:rsid w:val="00CC36E0"/>
    <w:rsid w:val="00CC4598"/>
    <w:rsid w:val="00CC4754"/>
    <w:rsid w:val="00CC527A"/>
    <w:rsid w:val="00CC5824"/>
    <w:rsid w:val="00CC6371"/>
    <w:rsid w:val="00CC64C1"/>
    <w:rsid w:val="00CC72AE"/>
    <w:rsid w:val="00CD0DB1"/>
    <w:rsid w:val="00CD0DC6"/>
    <w:rsid w:val="00CD1789"/>
    <w:rsid w:val="00CD1E51"/>
    <w:rsid w:val="00CD2073"/>
    <w:rsid w:val="00CD2774"/>
    <w:rsid w:val="00CD2DC1"/>
    <w:rsid w:val="00CD3492"/>
    <w:rsid w:val="00CD4167"/>
    <w:rsid w:val="00CD42B3"/>
    <w:rsid w:val="00CD4832"/>
    <w:rsid w:val="00CD4892"/>
    <w:rsid w:val="00CD4C3A"/>
    <w:rsid w:val="00CD5B50"/>
    <w:rsid w:val="00CD645B"/>
    <w:rsid w:val="00CD6E95"/>
    <w:rsid w:val="00CD7993"/>
    <w:rsid w:val="00CD7A07"/>
    <w:rsid w:val="00CD7CC9"/>
    <w:rsid w:val="00CE07F9"/>
    <w:rsid w:val="00CE18FC"/>
    <w:rsid w:val="00CE237B"/>
    <w:rsid w:val="00CE2771"/>
    <w:rsid w:val="00CE2A67"/>
    <w:rsid w:val="00CE2A84"/>
    <w:rsid w:val="00CE31B9"/>
    <w:rsid w:val="00CE3260"/>
    <w:rsid w:val="00CE3290"/>
    <w:rsid w:val="00CE3B3D"/>
    <w:rsid w:val="00CE44E6"/>
    <w:rsid w:val="00CE45CA"/>
    <w:rsid w:val="00CE4E13"/>
    <w:rsid w:val="00CE583B"/>
    <w:rsid w:val="00CE58C9"/>
    <w:rsid w:val="00CE67CF"/>
    <w:rsid w:val="00CE79F8"/>
    <w:rsid w:val="00CF08CA"/>
    <w:rsid w:val="00CF155A"/>
    <w:rsid w:val="00CF23D8"/>
    <w:rsid w:val="00CF2934"/>
    <w:rsid w:val="00CF2BAF"/>
    <w:rsid w:val="00CF3061"/>
    <w:rsid w:val="00CF3085"/>
    <w:rsid w:val="00CF31E1"/>
    <w:rsid w:val="00CF504B"/>
    <w:rsid w:val="00CF51B3"/>
    <w:rsid w:val="00CF6C76"/>
    <w:rsid w:val="00CF6CC9"/>
    <w:rsid w:val="00CF6F2D"/>
    <w:rsid w:val="00CF7BC4"/>
    <w:rsid w:val="00D00E98"/>
    <w:rsid w:val="00D01372"/>
    <w:rsid w:val="00D015A6"/>
    <w:rsid w:val="00D01A91"/>
    <w:rsid w:val="00D020E0"/>
    <w:rsid w:val="00D02AB5"/>
    <w:rsid w:val="00D03001"/>
    <w:rsid w:val="00D03233"/>
    <w:rsid w:val="00D032FE"/>
    <w:rsid w:val="00D03CFC"/>
    <w:rsid w:val="00D04667"/>
    <w:rsid w:val="00D048D0"/>
    <w:rsid w:val="00D04E52"/>
    <w:rsid w:val="00D04E8F"/>
    <w:rsid w:val="00D050F1"/>
    <w:rsid w:val="00D054E0"/>
    <w:rsid w:val="00D055AD"/>
    <w:rsid w:val="00D0687B"/>
    <w:rsid w:val="00D06C53"/>
    <w:rsid w:val="00D06C68"/>
    <w:rsid w:val="00D074B0"/>
    <w:rsid w:val="00D074D7"/>
    <w:rsid w:val="00D075E8"/>
    <w:rsid w:val="00D102FE"/>
    <w:rsid w:val="00D1100B"/>
    <w:rsid w:val="00D1104D"/>
    <w:rsid w:val="00D1125E"/>
    <w:rsid w:val="00D11BB6"/>
    <w:rsid w:val="00D11BF4"/>
    <w:rsid w:val="00D11DEA"/>
    <w:rsid w:val="00D120E5"/>
    <w:rsid w:val="00D127E6"/>
    <w:rsid w:val="00D129C6"/>
    <w:rsid w:val="00D12EEB"/>
    <w:rsid w:val="00D13CA4"/>
    <w:rsid w:val="00D15397"/>
    <w:rsid w:val="00D15A19"/>
    <w:rsid w:val="00D15FA7"/>
    <w:rsid w:val="00D16127"/>
    <w:rsid w:val="00D16559"/>
    <w:rsid w:val="00D169A5"/>
    <w:rsid w:val="00D16B4E"/>
    <w:rsid w:val="00D16BA1"/>
    <w:rsid w:val="00D16C54"/>
    <w:rsid w:val="00D1736F"/>
    <w:rsid w:val="00D17909"/>
    <w:rsid w:val="00D17933"/>
    <w:rsid w:val="00D17F31"/>
    <w:rsid w:val="00D17FBF"/>
    <w:rsid w:val="00D202C5"/>
    <w:rsid w:val="00D20580"/>
    <w:rsid w:val="00D20945"/>
    <w:rsid w:val="00D20CDD"/>
    <w:rsid w:val="00D20F39"/>
    <w:rsid w:val="00D211AE"/>
    <w:rsid w:val="00D21CCC"/>
    <w:rsid w:val="00D220BC"/>
    <w:rsid w:val="00D2312E"/>
    <w:rsid w:val="00D23464"/>
    <w:rsid w:val="00D23655"/>
    <w:rsid w:val="00D240DD"/>
    <w:rsid w:val="00D24780"/>
    <w:rsid w:val="00D24AE1"/>
    <w:rsid w:val="00D25322"/>
    <w:rsid w:val="00D25410"/>
    <w:rsid w:val="00D25D29"/>
    <w:rsid w:val="00D26863"/>
    <w:rsid w:val="00D26B2C"/>
    <w:rsid w:val="00D276CB"/>
    <w:rsid w:val="00D27952"/>
    <w:rsid w:val="00D27A56"/>
    <w:rsid w:val="00D3050A"/>
    <w:rsid w:val="00D31C02"/>
    <w:rsid w:val="00D320D6"/>
    <w:rsid w:val="00D32421"/>
    <w:rsid w:val="00D33604"/>
    <w:rsid w:val="00D33BB7"/>
    <w:rsid w:val="00D340A6"/>
    <w:rsid w:val="00D3417C"/>
    <w:rsid w:val="00D34693"/>
    <w:rsid w:val="00D34C96"/>
    <w:rsid w:val="00D3516E"/>
    <w:rsid w:val="00D35262"/>
    <w:rsid w:val="00D35A89"/>
    <w:rsid w:val="00D36530"/>
    <w:rsid w:val="00D37196"/>
    <w:rsid w:val="00D37397"/>
    <w:rsid w:val="00D373D4"/>
    <w:rsid w:val="00D3772C"/>
    <w:rsid w:val="00D37BB0"/>
    <w:rsid w:val="00D40907"/>
    <w:rsid w:val="00D40B06"/>
    <w:rsid w:val="00D41296"/>
    <w:rsid w:val="00D41756"/>
    <w:rsid w:val="00D4228B"/>
    <w:rsid w:val="00D42AE4"/>
    <w:rsid w:val="00D4329B"/>
    <w:rsid w:val="00D43F00"/>
    <w:rsid w:val="00D440B2"/>
    <w:rsid w:val="00D44222"/>
    <w:rsid w:val="00D44B29"/>
    <w:rsid w:val="00D44E7C"/>
    <w:rsid w:val="00D45208"/>
    <w:rsid w:val="00D457ED"/>
    <w:rsid w:val="00D45E93"/>
    <w:rsid w:val="00D46312"/>
    <w:rsid w:val="00D4650F"/>
    <w:rsid w:val="00D46AF0"/>
    <w:rsid w:val="00D50245"/>
    <w:rsid w:val="00D50854"/>
    <w:rsid w:val="00D50BC4"/>
    <w:rsid w:val="00D51272"/>
    <w:rsid w:val="00D51487"/>
    <w:rsid w:val="00D5179B"/>
    <w:rsid w:val="00D520C6"/>
    <w:rsid w:val="00D525BA"/>
    <w:rsid w:val="00D528C3"/>
    <w:rsid w:val="00D53319"/>
    <w:rsid w:val="00D53D39"/>
    <w:rsid w:val="00D54478"/>
    <w:rsid w:val="00D5450A"/>
    <w:rsid w:val="00D54A58"/>
    <w:rsid w:val="00D54C2B"/>
    <w:rsid w:val="00D562D3"/>
    <w:rsid w:val="00D56456"/>
    <w:rsid w:val="00D62F38"/>
    <w:rsid w:val="00D63C8E"/>
    <w:rsid w:val="00D644FA"/>
    <w:rsid w:val="00D64CB9"/>
    <w:rsid w:val="00D6547A"/>
    <w:rsid w:val="00D65764"/>
    <w:rsid w:val="00D663EB"/>
    <w:rsid w:val="00D66FDB"/>
    <w:rsid w:val="00D702A4"/>
    <w:rsid w:val="00D703BD"/>
    <w:rsid w:val="00D70EF8"/>
    <w:rsid w:val="00D71394"/>
    <w:rsid w:val="00D71B3B"/>
    <w:rsid w:val="00D71C8E"/>
    <w:rsid w:val="00D7205A"/>
    <w:rsid w:val="00D7225C"/>
    <w:rsid w:val="00D7230E"/>
    <w:rsid w:val="00D724E7"/>
    <w:rsid w:val="00D72586"/>
    <w:rsid w:val="00D726DD"/>
    <w:rsid w:val="00D72E5E"/>
    <w:rsid w:val="00D742CB"/>
    <w:rsid w:val="00D745F8"/>
    <w:rsid w:val="00D74E87"/>
    <w:rsid w:val="00D756A9"/>
    <w:rsid w:val="00D7677C"/>
    <w:rsid w:val="00D777A2"/>
    <w:rsid w:val="00D77E6F"/>
    <w:rsid w:val="00D818BD"/>
    <w:rsid w:val="00D81A1D"/>
    <w:rsid w:val="00D8230E"/>
    <w:rsid w:val="00D83323"/>
    <w:rsid w:val="00D84885"/>
    <w:rsid w:val="00D84F47"/>
    <w:rsid w:val="00D850B1"/>
    <w:rsid w:val="00D853B5"/>
    <w:rsid w:val="00D85609"/>
    <w:rsid w:val="00D85C2F"/>
    <w:rsid w:val="00D8649C"/>
    <w:rsid w:val="00D86BAF"/>
    <w:rsid w:val="00D872D8"/>
    <w:rsid w:val="00D87409"/>
    <w:rsid w:val="00D874E4"/>
    <w:rsid w:val="00D87788"/>
    <w:rsid w:val="00D90ED3"/>
    <w:rsid w:val="00D914AB"/>
    <w:rsid w:val="00D919EC"/>
    <w:rsid w:val="00D91AA2"/>
    <w:rsid w:val="00D9271E"/>
    <w:rsid w:val="00D92AAE"/>
    <w:rsid w:val="00D92BDD"/>
    <w:rsid w:val="00D9308E"/>
    <w:rsid w:val="00D9359A"/>
    <w:rsid w:val="00D93D3D"/>
    <w:rsid w:val="00D93DCC"/>
    <w:rsid w:val="00D94608"/>
    <w:rsid w:val="00D9471F"/>
    <w:rsid w:val="00D94EE3"/>
    <w:rsid w:val="00D95D48"/>
    <w:rsid w:val="00D95E1E"/>
    <w:rsid w:val="00D95F26"/>
    <w:rsid w:val="00D96E4E"/>
    <w:rsid w:val="00D96E5E"/>
    <w:rsid w:val="00D971A9"/>
    <w:rsid w:val="00D9723C"/>
    <w:rsid w:val="00D97336"/>
    <w:rsid w:val="00DA00F8"/>
    <w:rsid w:val="00DA096A"/>
    <w:rsid w:val="00DA12AB"/>
    <w:rsid w:val="00DA2801"/>
    <w:rsid w:val="00DA295C"/>
    <w:rsid w:val="00DA2FA6"/>
    <w:rsid w:val="00DA3469"/>
    <w:rsid w:val="00DA3B4F"/>
    <w:rsid w:val="00DA3F31"/>
    <w:rsid w:val="00DA40CE"/>
    <w:rsid w:val="00DA44CB"/>
    <w:rsid w:val="00DA4791"/>
    <w:rsid w:val="00DA51EC"/>
    <w:rsid w:val="00DA54C3"/>
    <w:rsid w:val="00DA5A5E"/>
    <w:rsid w:val="00DA68A2"/>
    <w:rsid w:val="00DA785E"/>
    <w:rsid w:val="00DB00C5"/>
    <w:rsid w:val="00DB0A7E"/>
    <w:rsid w:val="00DB148D"/>
    <w:rsid w:val="00DB18F8"/>
    <w:rsid w:val="00DB25D1"/>
    <w:rsid w:val="00DB2938"/>
    <w:rsid w:val="00DB2C39"/>
    <w:rsid w:val="00DB3ECB"/>
    <w:rsid w:val="00DB49EE"/>
    <w:rsid w:val="00DB4C37"/>
    <w:rsid w:val="00DB5631"/>
    <w:rsid w:val="00DB584A"/>
    <w:rsid w:val="00DB5CFB"/>
    <w:rsid w:val="00DB6020"/>
    <w:rsid w:val="00DB606F"/>
    <w:rsid w:val="00DB76E3"/>
    <w:rsid w:val="00DC0287"/>
    <w:rsid w:val="00DC0306"/>
    <w:rsid w:val="00DC08E3"/>
    <w:rsid w:val="00DC0A2D"/>
    <w:rsid w:val="00DC1677"/>
    <w:rsid w:val="00DC175D"/>
    <w:rsid w:val="00DC1A74"/>
    <w:rsid w:val="00DC220D"/>
    <w:rsid w:val="00DC2728"/>
    <w:rsid w:val="00DC2809"/>
    <w:rsid w:val="00DC2FE4"/>
    <w:rsid w:val="00DC3164"/>
    <w:rsid w:val="00DC4F0A"/>
    <w:rsid w:val="00DC4F97"/>
    <w:rsid w:val="00DC61AA"/>
    <w:rsid w:val="00DC671E"/>
    <w:rsid w:val="00DC6D3C"/>
    <w:rsid w:val="00DC706B"/>
    <w:rsid w:val="00DC78E2"/>
    <w:rsid w:val="00DD02E2"/>
    <w:rsid w:val="00DD0DF7"/>
    <w:rsid w:val="00DD0E76"/>
    <w:rsid w:val="00DD10EC"/>
    <w:rsid w:val="00DD1130"/>
    <w:rsid w:val="00DD1685"/>
    <w:rsid w:val="00DD27C5"/>
    <w:rsid w:val="00DD297B"/>
    <w:rsid w:val="00DD2B4A"/>
    <w:rsid w:val="00DD3350"/>
    <w:rsid w:val="00DD3B3D"/>
    <w:rsid w:val="00DD3C42"/>
    <w:rsid w:val="00DD4516"/>
    <w:rsid w:val="00DD4CBE"/>
    <w:rsid w:val="00DD5514"/>
    <w:rsid w:val="00DD5B23"/>
    <w:rsid w:val="00DD6678"/>
    <w:rsid w:val="00DD72C9"/>
    <w:rsid w:val="00DE0DBA"/>
    <w:rsid w:val="00DE0F75"/>
    <w:rsid w:val="00DE142D"/>
    <w:rsid w:val="00DE199F"/>
    <w:rsid w:val="00DE293A"/>
    <w:rsid w:val="00DE342E"/>
    <w:rsid w:val="00DE3898"/>
    <w:rsid w:val="00DE3A46"/>
    <w:rsid w:val="00DE3D43"/>
    <w:rsid w:val="00DE3ED8"/>
    <w:rsid w:val="00DE3FAA"/>
    <w:rsid w:val="00DE45FF"/>
    <w:rsid w:val="00DE4B79"/>
    <w:rsid w:val="00DE4BF2"/>
    <w:rsid w:val="00DE5948"/>
    <w:rsid w:val="00DE5A26"/>
    <w:rsid w:val="00DE5D8A"/>
    <w:rsid w:val="00DE5FEA"/>
    <w:rsid w:val="00DE648C"/>
    <w:rsid w:val="00DE6719"/>
    <w:rsid w:val="00DE6B1A"/>
    <w:rsid w:val="00DE7594"/>
    <w:rsid w:val="00DE799D"/>
    <w:rsid w:val="00DE7A3A"/>
    <w:rsid w:val="00DF03F2"/>
    <w:rsid w:val="00DF0BF2"/>
    <w:rsid w:val="00DF25D2"/>
    <w:rsid w:val="00DF2DBE"/>
    <w:rsid w:val="00DF307E"/>
    <w:rsid w:val="00DF32F8"/>
    <w:rsid w:val="00DF3CE4"/>
    <w:rsid w:val="00DF3FF1"/>
    <w:rsid w:val="00DF48A7"/>
    <w:rsid w:val="00DF5368"/>
    <w:rsid w:val="00DF549E"/>
    <w:rsid w:val="00DF5764"/>
    <w:rsid w:val="00DF583F"/>
    <w:rsid w:val="00DF683E"/>
    <w:rsid w:val="00DF6973"/>
    <w:rsid w:val="00DF6D2B"/>
    <w:rsid w:val="00DF6F7F"/>
    <w:rsid w:val="00DF7861"/>
    <w:rsid w:val="00DF78B7"/>
    <w:rsid w:val="00E0089D"/>
    <w:rsid w:val="00E00B43"/>
    <w:rsid w:val="00E01081"/>
    <w:rsid w:val="00E014AE"/>
    <w:rsid w:val="00E0193A"/>
    <w:rsid w:val="00E01B7D"/>
    <w:rsid w:val="00E01D57"/>
    <w:rsid w:val="00E02878"/>
    <w:rsid w:val="00E02B6D"/>
    <w:rsid w:val="00E02F98"/>
    <w:rsid w:val="00E037E2"/>
    <w:rsid w:val="00E03D69"/>
    <w:rsid w:val="00E048FC"/>
    <w:rsid w:val="00E0513C"/>
    <w:rsid w:val="00E063DB"/>
    <w:rsid w:val="00E064F2"/>
    <w:rsid w:val="00E068D2"/>
    <w:rsid w:val="00E06C78"/>
    <w:rsid w:val="00E0731A"/>
    <w:rsid w:val="00E07F7E"/>
    <w:rsid w:val="00E11264"/>
    <w:rsid w:val="00E112E4"/>
    <w:rsid w:val="00E11E5C"/>
    <w:rsid w:val="00E12074"/>
    <w:rsid w:val="00E126D6"/>
    <w:rsid w:val="00E153AD"/>
    <w:rsid w:val="00E154B3"/>
    <w:rsid w:val="00E1585A"/>
    <w:rsid w:val="00E160F4"/>
    <w:rsid w:val="00E1686D"/>
    <w:rsid w:val="00E17911"/>
    <w:rsid w:val="00E20359"/>
    <w:rsid w:val="00E208EE"/>
    <w:rsid w:val="00E20F2A"/>
    <w:rsid w:val="00E21342"/>
    <w:rsid w:val="00E218EA"/>
    <w:rsid w:val="00E22328"/>
    <w:rsid w:val="00E225BC"/>
    <w:rsid w:val="00E228CA"/>
    <w:rsid w:val="00E23470"/>
    <w:rsid w:val="00E234CF"/>
    <w:rsid w:val="00E23638"/>
    <w:rsid w:val="00E23794"/>
    <w:rsid w:val="00E23B50"/>
    <w:rsid w:val="00E23BF8"/>
    <w:rsid w:val="00E24AFC"/>
    <w:rsid w:val="00E25373"/>
    <w:rsid w:val="00E255BF"/>
    <w:rsid w:val="00E258F7"/>
    <w:rsid w:val="00E25AC6"/>
    <w:rsid w:val="00E25BEE"/>
    <w:rsid w:val="00E265D6"/>
    <w:rsid w:val="00E27486"/>
    <w:rsid w:val="00E2757C"/>
    <w:rsid w:val="00E30341"/>
    <w:rsid w:val="00E308CB"/>
    <w:rsid w:val="00E31451"/>
    <w:rsid w:val="00E3188B"/>
    <w:rsid w:val="00E31FAD"/>
    <w:rsid w:val="00E324C6"/>
    <w:rsid w:val="00E33E28"/>
    <w:rsid w:val="00E33E4A"/>
    <w:rsid w:val="00E34056"/>
    <w:rsid w:val="00E352DD"/>
    <w:rsid w:val="00E35A76"/>
    <w:rsid w:val="00E35AAB"/>
    <w:rsid w:val="00E35DC8"/>
    <w:rsid w:val="00E35EF2"/>
    <w:rsid w:val="00E36B5A"/>
    <w:rsid w:val="00E36DEC"/>
    <w:rsid w:val="00E401EC"/>
    <w:rsid w:val="00E4027F"/>
    <w:rsid w:val="00E410C7"/>
    <w:rsid w:val="00E41578"/>
    <w:rsid w:val="00E41A2E"/>
    <w:rsid w:val="00E41B6C"/>
    <w:rsid w:val="00E42071"/>
    <w:rsid w:val="00E42D2A"/>
    <w:rsid w:val="00E4300C"/>
    <w:rsid w:val="00E430D4"/>
    <w:rsid w:val="00E43F4F"/>
    <w:rsid w:val="00E44BB0"/>
    <w:rsid w:val="00E44E4A"/>
    <w:rsid w:val="00E4564E"/>
    <w:rsid w:val="00E45CFD"/>
    <w:rsid w:val="00E47275"/>
    <w:rsid w:val="00E47432"/>
    <w:rsid w:val="00E47501"/>
    <w:rsid w:val="00E47813"/>
    <w:rsid w:val="00E47FD4"/>
    <w:rsid w:val="00E50AC7"/>
    <w:rsid w:val="00E5103E"/>
    <w:rsid w:val="00E51BED"/>
    <w:rsid w:val="00E51D9A"/>
    <w:rsid w:val="00E52CF5"/>
    <w:rsid w:val="00E52FF2"/>
    <w:rsid w:val="00E54DDD"/>
    <w:rsid w:val="00E551D2"/>
    <w:rsid w:val="00E563A7"/>
    <w:rsid w:val="00E56CA6"/>
    <w:rsid w:val="00E573A2"/>
    <w:rsid w:val="00E57BD1"/>
    <w:rsid w:val="00E57BFE"/>
    <w:rsid w:val="00E57E4F"/>
    <w:rsid w:val="00E6038E"/>
    <w:rsid w:val="00E60670"/>
    <w:rsid w:val="00E62352"/>
    <w:rsid w:val="00E6241B"/>
    <w:rsid w:val="00E626BE"/>
    <w:rsid w:val="00E6311D"/>
    <w:rsid w:val="00E634D1"/>
    <w:rsid w:val="00E63A74"/>
    <w:rsid w:val="00E64284"/>
    <w:rsid w:val="00E65229"/>
    <w:rsid w:val="00E656B1"/>
    <w:rsid w:val="00E65925"/>
    <w:rsid w:val="00E65C71"/>
    <w:rsid w:val="00E65DA2"/>
    <w:rsid w:val="00E66407"/>
    <w:rsid w:val="00E666A1"/>
    <w:rsid w:val="00E66A75"/>
    <w:rsid w:val="00E701E2"/>
    <w:rsid w:val="00E7046D"/>
    <w:rsid w:val="00E70886"/>
    <w:rsid w:val="00E70B7E"/>
    <w:rsid w:val="00E71455"/>
    <w:rsid w:val="00E72C7F"/>
    <w:rsid w:val="00E7305D"/>
    <w:rsid w:val="00E732A3"/>
    <w:rsid w:val="00E7330E"/>
    <w:rsid w:val="00E75765"/>
    <w:rsid w:val="00E75D34"/>
    <w:rsid w:val="00E76B61"/>
    <w:rsid w:val="00E76E61"/>
    <w:rsid w:val="00E7737B"/>
    <w:rsid w:val="00E7764B"/>
    <w:rsid w:val="00E776AC"/>
    <w:rsid w:val="00E776CC"/>
    <w:rsid w:val="00E77719"/>
    <w:rsid w:val="00E8009D"/>
    <w:rsid w:val="00E802F5"/>
    <w:rsid w:val="00E810E4"/>
    <w:rsid w:val="00E8320D"/>
    <w:rsid w:val="00E834C9"/>
    <w:rsid w:val="00E83B49"/>
    <w:rsid w:val="00E84563"/>
    <w:rsid w:val="00E850AE"/>
    <w:rsid w:val="00E856D5"/>
    <w:rsid w:val="00E8581B"/>
    <w:rsid w:val="00E85CF8"/>
    <w:rsid w:val="00E85D0F"/>
    <w:rsid w:val="00E85EDD"/>
    <w:rsid w:val="00E86093"/>
    <w:rsid w:val="00E870D3"/>
    <w:rsid w:val="00E870FB"/>
    <w:rsid w:val="00E87904"/>
    <w:rsid w:val="00E87A6C"/>
    <w:rsid w:val="00E87B66"/>
    <w:rsid w:val="00E90135"/>
    <w:rsid w:val="00E90EAC"/>
    <w:rsid w:val="00E910F9"/>
    <w:rsid w:val="00E912C7"/>
    <w:rsid w:val="00E91771"/>
    <w:rsid w:val="00E91C85"/>
    <w:rsid w:val="00E91DAC"/>
    <w:rsid w:val="00E93B41"/>
    <w:rsid w:val="00E93E26"/>
    <w:rsid w:val="00E93E9D"/>
    <w:rsid w:val="00E9459D"/>
    <w:rsid w:val="00E9483E"/>
    <w:rsid w:val="00E94B3A"/>
    <w:rsid w:val="00E9546F"/>
    <w:rsid w:val="00E95875"/>
    <w:rsid w:val="00E959AF"/>
    <w:rsid w:val="00E95D82"/>
    <w:rsid w:val="00E9736C"/>
    <w:rsid w:val="00E974C4"/>
    <w:rsid w:val="00E97524"/>
    <w:rsid w:val="00E97A6F"/>
    <w:rsid w:val="00E97BA8"/>
    <w:rsid w:val="00E97C75"/>
    <w:rsid w:val="00EA03F1"/>
    <w:rsid w:val="00EA0C04"/>
    <w:rsid w:val="00EA0C38"/>
    <w:rsid w:val="00EA102D"/>
    <w:rsid w:val="00EA10F6"/>
    <w:rsid w:val="00EA1398"/>
    <w:rsid w:val="00EA1775"/>
    <w:rsid w:val="00EA1E12"/>
    <w:rsid w:val="00EA20F2"/>
    <w:rsid w:val="00EA31E7"/>
    <w:rsid w:val="00EA38D3"/>
    <w:rsid w:val="00EA393B"/>
    <w:rsid w:val="00EA3E2B"/>
    <w:rsid w:val="00EA47FB"/>
    <w:rsid w:val="00EA5697"/>
    <w:rsid w:val="00EA6329"/>
    <w:rsid w:val="00EA6CBD"/>
    <w:rsid w:val="00EA7287"/>
    <w:rsid w:val="00EA778C"/>
    <w:rsid w:val="00EA7A08"/>
    <w:rsid w:val="00EA7A30"/>
    <w:rsid w:val="00EB094F"/>
    <w:rsid w:val="00EB09C3"/>
    <w:rsid w:val="00EB11DE"/>
    <w:rsid w:val="00EB173D"/>
    <w:rsid w:val="00EB1B94"/>
    <w:rsid w:val="00EB1EEB"/>
    <w:rsid w:val="00EB27A1"/>
    <w:rsid w:val="00EB2BFE"/>
    <w:rsid w:val="00EB2C53"/>
    <w:rsid w:val="00EB3347"/>
    <w:rsid w:val="00EB36D7"/>
    <w:rsid w:val="00EB3B56"/>
    <w:rsid w:val="00EB3F40"/>
    <w:rsid w:val="00EB4007"/>
    <w:rsid w:val="00EB46A8"/>
    <w:rsid w:val="00EB4AF1"/>
    <w:rsid w:val="00EB4D40"/>
    <w:rsid w:val="00EB58B5"/>
    <w:rsid w:val="00EB5ED6"/>
    <w:rsid w:val="00EB6D36"/>
    <w:rsid w:val="00EB6EF3"/>
    <w:rsid w:val="00EC02B1"/>
    <w:rsid w:val="00EC0373"/>
    <w:rsid w:val="00EC039B"/>
    <w:rsid w:val="00EC0598"/>
    <w:rsid w:val="00EC096F"/>
    <w:rsid w:val="00EC19F3"/>
    <w:rsid w:val="00EC2305"/>
    <w:rsid w:val="00EC2640"/>
    <w:rsid w:val="00EC294B"/>
    <w:rsid w:val="00EC3006"/>
    <w:rsid w:val="00EC42B6"/>
    <w:rsid w:val="00EC56A3"/>
    <w:rsid w:val="00EC6484"/>
    <w:rsid w:val="00EC67AB"/>
    <w:rsid w:val="00EC6C4C"/>
    <w:rsid w:val="00ED019C"/>
    <w:rsid w:val="00ED01AD"/>
    <w:rsid w:val="00ED042A"/>
    <w:rsid w:val="00ED185F"/>
    <w:rsid w:val="00ED1C83"/>
    <w:rsid w:val="00ED1C9B"/>
    <w:rsid w:val="00ED2592"/>
    <w:rsid w:val="00ED26BA"/>
    <w:rsid w:val="00ED2FE0"/>
    <w:rsid w:val="00ED315D"/>
    <w:rsid w:val="00ED3415"/>
    <w:rsid w:val="00ED397A"/>
    <w:rsid w:val="00ED3CCB"/>
    <w:rsid w:val="00ED3DDF"/>
    <w:rsid w:val="00ED3EC3"/>
    <w:rsid w:val="00ED4CE6"/>
    <w:rsid w:val="00ED4D8E"/>
    <w:rsid w:val="00ED5054"/>
    <w:rsid w:val="00ED5EEA"/>
    <w:rsid w:val="00ED6213"/>
    <w:rsid w:val="00ED6931"/>
    <w:rsid w:val="00ED6C0F"/>
    <w:rsid w:val="00ED734B"/>
    <w:rsid w:val="00EE015A"/>
    <w:rsid w:val="00EE0777"/>
    <w:rsid w:val="00EE0E28"/>
    <w:rsid w:val="00EE0ED0"/>
    <w:rsid w:val="00EE170C"/>
    <w:rsid w:val="00EE17BF"/>
    <w:rsid w:val="00EE2561"/>
    <w:rsid w:val="00EE2613"/>
    <w:rsid w:val="00EE2C2C"/>
    <w:rsid w:val="00EE39A6"/>
    <w:rsid w:val="00EE3CAA"/>
    <w:rsid w:val="00EE3F50"/>
    <w:rsid w:val="00EE5A47"/>
    <w:rsid w:val="00EE5BCA"/>
    <w:rsid w:val="00EE61AC"/>
    <w:rsid w:val="00EE6CDD"/>
    <w:rsid w:val="00EE6D09"/>
    <w:rsid w:val="00EE76D9"/>
    <w:rsid w:val="00EF00AC"/>
    <w:rsid w:val="00EF08DC"/>
    <w:rsid w:val="00EF135F"/>
    <w:rsid w:val="00EF1728"/>
    <w:rsid w:val="00EF1FFC"/>
    <w:rsid w:val="00EF2646"/>
    <w:rsid w:val="00EF28AB"/>
    <w:rsid w:val="00EF30EE"/>
    <w:rsid w:val="00EF31CC"/>
    <w:rsid w:val="00EF34F9"/>
    <w:rsid w:val="00EF377D"/>
    <w:rsid w:val="00EF38FD"/>
    <w:rsid w:val="00EF3FBF"/>
    <w:rsid w:val="00EF5D1A"/>
    <w:rsid w:val="00EF6D30"/>
    <w:rsid w:val="00EF6DC0"/>
    <w:rsid w:val="00EF6EF6"/>
    <w:rsid w:val="00EF7221"/>
    <w:rsid w:val="00EF76A0"/>
    <w:rsid w:val="00EF7CBF"/>
    <w:rsid w:val="00F0017F"/>
    <w:rsid w:val="00F006DF"/>
    <w:rsid w:val="00F00B05"/>
    <w:rsid w:val="00F018A2"/>
    <w:rsid w:val="00F02218"/>
    <w:rsid w:val="00F02275"/>
    <w:rsid w:val="00F02E1E"/>
    <w:rsid w:val="00F02F08"/>
    <w:rsid w:val="00F05FE5"/>
    <w:rsid w:val="00F10019"/>
    <w:rsid w:val="00F1056C"/>
    <w:rsid w:val="00F1124A"/>
    <w:rsid w:val="00F11747"/>
    <w:rsid w:val="00F118CB"/>
    <w:rsid w:val="00F119C4"/>
    <w:rsid w:val="00F11CEA"/>
    <w:rsid w:val="00F13E91"/>
    <w:rsid w:val="00F146C1"/>
    <w:rsid w:val="00F1513C"/>
    <w:rsid w:val="00F15286"/>
    <w:rsid w:val="00F1541A"/>
    <w:rsid w:val="00F15914"/>
    <w:rsid w:val="00F15AD7"/>
    <w:rsid w:val="00F165D2"/>
    <w:rsid w:val="00F16B24"/>
    <w:rsid w:val="00F201EB"/>
    <w:rsid w:val="00F2024A"/>
    <w:rsid w:val="00F2065A"/>
    <w:rsid w:val="00F2066B"/>
    <w:rsid w:val="00F2116D"/>
    <w:rsid w:val="00F21BBB"/>
    <w:rsid w:val="00F2211F"/>
    <w:rsid w:val="00F2358E"/>
    <w:rsid w:val="00F2420E"/>
    <w:rsid w:val="00F242DD"/>
    <w:rsid w:val="00F26236"/>
    <w:rsid w:val="00F263FC"/>
    <w:rsid w:val="00F265AA"/>
    <w:rsid w:val="00F265CD"/>
    <w:rsid w:val="00F26A69"/>
    <w:rsid w:val="00F27638"/>
    <w:rsid w:val="00F27643"/>
    <w:rsid w:val="00F2798C"/>
    <w:rsid w:val="00F27C01"/>
    <w:rsid w:val="00F305EF"/>
    <w:rsid w:val="00F308F5"/>
    <w:rsid w:val="00F30CB4"/>
    <w:rsid w:val="00F32383"/>
    <w:rsid w:val="00F329D7"/>
    <w:rsid w:val="00F32A3C"/>
    <w:rsid w:val="00F32C7F"/>
    <w:rsid w:val="00F3339C"/>
    <w:rsid w:val="00F333F1"/>
    <w:rsid w:val="00F338C3"/>
    <w:rsid w:val="00F36945"/>
    <w:rsid w:val="00F36DC7"/>
    <w:rsid w:val="00F37578"/>
    <w:rsid w:val="00F4010B"/>
    <w:rsid w:val="00F403D7"/>
    <w:rsid w:val="00F40545"/>
    <w:rsid w:val="00F4191A"/>
    <w:rsid w:val="00F4193C"/>
    <w:rsid w:val="00F41B5C"/>
    <w:rsid w:val="00F42120"/>
    <w:rsid w:val="00F42BEF"/>
    <w:rsid w:val="00F4335E"/>
    <w:rsid w:val="00F43411"/>
    <w:rsid w:val="00F45CD7"/>
    <w:rsid w:val="00F4631D"/>
    <w:rsid w:val="00F46E7E"/>
    <w:rsid w:val="00F4749D"/>
    <w:rsid w:val="00F477BC"/>
    <w:rsid w:val="00F47AAA"/>
    <w:rsid w:val="00F510E3"/>
    <w:rsid w:val="00F51B3A"/>
    <w:rsid w:val="00F51E0D"/>
    <w:rsid w:val="00F52010"/>
    <w:rsid w:val="00F52391"/>
    <w:rsid w:val="00F524E7"/>
    <w:rsid w:val="00F527E4"/>
    <w:rsid w:val="00F52C7A"/>
    <w:rsid w:val="00F53F00"/>
    <w:rsid w:val="00F54A61"/>
    <w:rsid w:val="00F54CE7"/>
    <w:rsid w:val="00F5575C"/>
    <w:rsid w:val="00F55783"/>
    <w:rsid w:val="00F55A1C"/>
    <w:rsid w:val="00F55D56"/>
    <w:rsid w:val="00F56D4C"/>
    <w:rsid w:val="00F57372"/>
    <w:rsid w:val="00F57C6D"/>
    <w:rsid w:val="00F60023"/>
    <w:rsid w:val="00F602DD"/>
    <w:rsid w:val="00F60E8B"/>
    <w:rsid w:val="00F61683"/>
    <w:rsid w:val="00F62630"/>
    <w:rsid w:val="00F62EAB"/>
    <w:rsid w:val="00F62EE5"/>
    <w:rsid w:val="00F63260"/>
    <w:rsid w:val="00F647D3"/>
    <w:rsid w:val="00F64B85"/>
    <w:rsid w:val="00F653EC"/>
    <w:rsid w:val="00F65D9B"/>
    <w:rsid w:val="00F65E0D"/>
    <w:rsid w:val="00F66281"/>
    <w:rsid w:val="00F66643"/>
    <w:rsid w:val="00F67605"/>
    <w:rsid w:val="00F67AFA"/>
    <w:rsid w:val="00F700A5"/>
    <w:rsid w:val="00F70EB3"/>
    <w:rsid w:val="00F70FB5"/>
    <w:rsid w:val="00F72388"/>
    <w:rsid w:val="00F72C47"/>
    <w:rsid w:val="00F73EB6"/>
    <w:rsid w:val="00F7454C"/>
    <w:rsid w:val="00F748A8"/>
    <w:rsid w:val="00F749A8"/>
    <w:rsid w:val="00F74E7C"/>
    <w:rsid w:val="00F7639C"/>
    <w:rsid w:val="00F776CE"/>
    <w:rsid w:val="00F77DDA"/>
    <w:rsid w:val="00F810E6"/>
    <w:rsid w:val="00F8163A"/>
    <w:rsid w:val="00F819D2"/>
    <w:rsid w:val="00F827D7"/>
    <w:rsid w:val="00F845C6"/>
    <w:rsid w:val="00F846D9"/>
    <w:rsid w:val="00F849C2"/>
    <w:rsid w:val="00F869D6"/>
    <w:rsid w:val="00F87011"/>
    <w:rsid w:val="00F9031F"/>
    <w:rsid w:val="00F90C73"/>
    <w:rsid w:val="00F90E33"/>
    <w:rsid w:val="00F92C6E"/>
    <w:rsid w:val="00F9405A"/>
    <w:rsid w:val="00F946A0"/>
    <w:rsid w:val="00F948CD"/>
    <w:rsid w:val="00F948E5"/>
    <w:rsid w:val="00F94949"/>
    <w:rsid w:val="00F94DAB"/>
    <w:rsid w:val="00F94DF4"/>
    <w:rsid w:val="00F9559A"/>
    <w:rsid w:val="00F958D7"/>
    <w:rsid w:val="00F95B4B"/>
    <w:rsid w:val="00F95F39"/>
    <w:rsid w:val="00F971B7"/>
    <w:rsid w:val="00F974C3"/>
    <w:rsid w:val="00F97918"/>
    <w:rsid w:val="00F979E4"/>
    <w:rsid w:val="00FA1A20"/>
    <w:rsid w:val="00FA1CD7"/>
    <w:rsid w:val="00FA2BCC"/>
    <w:rsid w:val="00FA2FC6"/>
    <w:rsid w:val="00FA3329"/>
    <w:rsid w:val="00FA3747"/>
    <w:rsid w:val="00FA413A"/>
    <w:rsid w:val="00FA4597"/>
    <w:rsid w:val="00FA4A10"/>
    <w:rsid w:val="00FA4F76"/>
    <w:rsid w:val="00FA6245"/>
    <w:rsid w:val="00FA66AC"/>
    <w:rsid w:val="00FA6933"/>
    <w:rsid w:val="00FA6C7F"/>
    <w:rsid w:val="00FA6D73"/>
    <w:rsid w:val="00FA714E"/>
    <w:rsid w:val="00FB0532"/>
    <w:rsid w:val="00FB15A6"/>
    <w:rsid w:val="00FB1850"/>
    <w:rsid w:val="00FB202C"/>
    <w:rsid w:val="00FB2335"/>
    <w:rsid w:val="00FB2F96"/>
    <w:rsid w:val="00FB3C82"/>
    <w:rsid w:val="00FB4178"/>
    <w:rsid w:val="00FB42F8"/>
    <w:rsid w:val="00FB45E9"/>
    <w:rsid w:val="00FB493D"/>
    <w:rsid w:val="00FB4ED3"/>
    <w:rsid w:val="00FB4EF8"/>
    <w:rsid w:val="00FB4F03"/>
    <w:rsid w:val="00FB4FB1"/>
    <w:rsid w:val="00FB549B"/>
    <w:rsid w:val="00FB5A58"/>
    <w:rsid w:val="00FB5A7B"/>
    <w:rsid w:val="00FB5B31"/>
    <w:rsid w:val="00FB5EFA"/>
    <w:rsid w:val="00FB6E7E"/>
    <w:rsid w:val="00FB746B"/>
    <w:rsid w:val="00FB75A5"/>
    <w:rsid w:val="00FB77EC"/>
    <w:rsid w:val="00FB7CC3"/>
    <w:rsid w:val="00FC0157"/>
    <w:rsid w:val="00FC0B4F"/>
    <w:rsid w:val="00FC0BAA"/>
    <w:rsid w:val="00FC17C5"/>
    <w:rsid w:val="00FC1974"/>
    <w:rsid w:val="00FC1A22"/>
    <w:rsid w:val="00FC203B"/>
    <w:rsid w:val="00FC2856"/>
    <w:rsid w:val="00FC329D"/>
    <w:rsid w:val="00FC3B8B"/>
    <w:rsid w:val="00FC461E"/>
    <w:rsid w:val="00FC464A"/>
    <w:rsid w:val="00FC4ECB"/>
    <w:rsid w:val="00FC50D0"/>
    <w:rsid w:val="00FC74B5"/>
    <w:rsid w:val="00FC76D2"/>
    <w:rsid w:val="00FC7FFB"/>
    <w:rsid w:val="00FD07BE"/>
    <w:rsid w:val="00FD0C9A"/>
    <w:rsid w:val="00FD1C2A"/>
    <w:rsid w:val="00FD215D"/>
    <w:rsid w:val="00FD2727"/>
    <w:rsid w:val="00FD3C90"/>
    <w:rsid w:val="00FD3EED"/>
    <w:rsid w:val="00FD4A83"/>
    <w:rsid w:val="00FD522F"/>
    <w:rsid w:val="00FD56DB"/>
    <w:rsid w:val="00FD56EC"/>
    <w:rsid w:val="00FD57BC"/>
    <w:rsid w:val="00FD5B40"/>
    <w:rsid w:val="00FD6389"/>
    <w:rsid w:val="00FD74CE"/>
    <w:rsid w:val="00FE0E45"/>
    <w:rsid w:val="00FE1565"/>
    <w:rsid w:val="00FE195B"/>
    <w:rsid w:val="00FE19C6"/>
    <w:rsid w:val="00FE1BFE"/>
    <w:rsid w:val="00FE2324"/>
    <w:rsid w:val="00FE273E"/>
    <w:rsid w:val="00FE29F8"/>
    <w:rsid w:val="00FE2B57"/>
    <w:rsid w:val="00FE2F5C"/>
    <w:rsid w:val="00FE3489"/>
    <w:rsid w:val="00FE3E72"/>
    <w:rsid w:val="00FE425D"/>
    <w:rsid w:val="00FE474D"/>
    <w:rsid w:val="00FE485E"/>
    <w:rsid w:val="00FE5706"/>
    <w:rsid w:val="00FE5C97"/>
    <w:rsid w:val="00FE5F13"/>
    <w:rsid w:val="00FE6AB9"/>
    <w:rsid w:val="00FE7E75"/>
    <w:rsid w:val="00FF074E"/>
    <w:rsid w:val="00FF0F83"/>
    <w:rsid w:val="00FF16E7"/>
    <w:rsid w:val="00FF1771"/>
    <w:rsid w:val="00FF1818"/>
    <w:rsid w:val="00FF1932"/>
    <w:rsid w:val="00FF3082"/>
    <w:rsid w:val="00FF33B6"/>
    <w:rsid w:val="00FF3577"/>
    <w:rsid w:val="00FF41B7"/>
    <w:rsid w:val="00FF505B"/>
    <w:rsid w:val="00FF5283"/>
    <w:rsid w:val="00FF5C44"/>
    <w:rsid w:val="00FF5E80"/>
    <w:rsid w:val="00FF68FC"/>
    <w:rsid w:val="00FF6E8D"/>
    <w:rsid w:val="00FF712A"/>
    <w:rsid w:val="01EE76D8"/>
    <w:rsid w:val="0245F2BC"/>
    <w:rsid w:val="03BDC002"/>
    <w:rsid w:val="0413C05B"/>
    <w:rsid w:val="04D45649"/>
    <w:rsid w:val="053A0B0B"/>
    <w:rsid w:val="06BE96B5"/>
    <w:rsid w:val="072EA0EF"/>
    <w:rsid w:val="07990C17"/>
    <w:rsid w:val="07C4D3BC"/>
    <w:rsid w:val="07EE210D"/>
    <w:rsid w:val="0820370E"/>
    <w:rsid w:val="09A1E4B8"/>
    <w:rsid w:val="09E023CE"/>
    <w:rsid w:val="0A3E0D8D"/>
    <w:rsid w:val="0A63BECE"/>
    <w:rsid w:val="0AD56B93"/>
    <w:rsid w:val="0AE971FB"/>
    <w:rsid w:val="0B030128"/>
    <w:rsid w:val="0B619AC6"/>
    <w:rsid w:val="0B8F3186"/>
    <w:rsid w:val="0B9B0FE7"/>
    <w:rsid w:val="0B9C4AD7"/>
    <w:rsid w:val="0B9C5BC7"/>
    <w:rsid w:val="0CADED80"/>
    <w:rsid w:val="0D765BA1"/>
    <w:rsid w:val="0DF5F704"/>
    <w:rsid w:val="0E08E678"/>
    <w:rsid w:val="0E43A6FB"/>
    <w:rsid w:val="0E7AD011"/>
    <w:rsid w:val="0E7F1A99"/>
    <w:rsid w:val="0FD46CF1"/>
    <w:rsid w:val="1028DF2B"/>
    <w:rsid w:val="1029961B"/>
    <w:rsid w:val="102FDE3F"/>
    <w:rsid w:val="117F349D"/>
    <w:rsid w:val="11A7D169"/>
    <w:rsid w:val="122CB5F9"/>
    <w:rsid w:val="126280BF"/>
    <w:rsid w:val="128F772B"/>
    <w:rsid w:val="12AAE88C"/>
    <w:rsid w:val="13A59654"/>
    <w:rsid w:val="15519B48"/>
    <w:rsid w:val="15538E1B"/>
    <w:rsid w:val="1558E07C"/>
    <w:rsid w:val="155C9397"/>
    <w:rsid w:val="15E0BC80"/>
    <w:rsid w:val="161737F2"/>
    <w:rsid w:val="16549104"/>
    <w:rsid w:val="18F1F029"/>
    <w:rsid w:val="19627D20"/>
    <w:rsid w:val="197EE2BD"/>
    <w:rsid w:val="19D5A4B5"/>
    <w:rsid w:val="1A3BF321"/>
    <w:rsid w:val="1A41CAF2"/>
    <w:rsid w:val="1C9016E5"/>
    <w:rsid w:val="1CF186C1"/>
    <w:rsid w:val="1CFE203F"/>
    <w:rsid w:val="1D248CA3"/>
    <w:rsid w:val="1D44F0B6"/>
    <w:rsid w:val="1DAF5D43"/>
    <w:rsid w:val="1E0363FA"/>
    <w:rsid w:val="1E82A1CB"/>
    <w:rsid w:val="1F1310B2"/>
    <w:rsid w:val="1F51DA6F"/>
    <w:rsid w:val="1FF3AF2A"/>
    <w:rsid w:val="203988C7"/>
    <w:rsid w:val="214BBD23"/>
    <w:rsid w:val="21E5DA52"/>
    <w:rsid w:val="227FA7FA"/>
    <w:rsid w:val="22B7869D"/>
    <w:rsid w:val="22BD9BF0"/>
    <w:rsid w:val="234141AA"/>
    <w:rsid w:val="236B87BB"/>
    <w:rsid w:val="23AD4143"/>
    <w:rsid w:val="23B81BDA"/>
    <w:rsid w:val="242C20D7"/>
    <w:rsid w:val="244D4CC1"/>
    <w:rsid w:val="245563E5"/>
    <w:rsid w:val="2456BA0A"/>
    <w:rsid w:val="251F7EA6"/>
    <w:rsid w:val="25864CAD"/>
    <w:rsid w:val="26929FA4"/>
    <w:rsid w:val="26AD032B"/>
    <w:rsid w:val="272F2A54"/>
    <w:rsid w:val="2751C1AF"/>
    <w:rsid w:val="27FB79A0"/>
    <w:rsid w:val="292E37AB"/>
    <w:rsid w:val="296A6841"/>
    <w:rsid w:val="296D627B"/>
    <w:rsid w:val="29B6DC22"/>
    <w:rsid w:val="29BB4C5A"/>
    <w:rsid w:val="29FAFCF9"/>
    <w:rsid w:val="2A46DF53"/>
    <w:rsid w:val="2BF1DEF6"/>
    <w:rsid w:val="2D134F0A"/>
    <w:rsid w:val="2D5CF76E"/>
    <w:rsid w:val="2E1B571A"/>
    <w:rsid w:val="2E6D6284"/>
    <w:rsid w:val="2EED25EE"/>
    <w:rsid w:val="2F9378F4"/>
    <w:rsid w:val="2FBC5169"/>
    <w:rsid w:val="2FC794E8"/>
    <w:rsid w:val="30019503"/>
    <w:rsid w:val="304B7E68"/>
    <w:rsid w:val="305C9C45"/>
    <w:rsid w:val="31959BF5"/>
    <w:rsid w:val="31A1D53E"/>
    <w:rsid w:val="31B79C70"/>
    <w:rsid w:val="31F73DB6"/>
    <w:rsid w:val="322D1D5E"/>
    <w:rsid w:val="32334B00"/>
    <w:rsid w:val="325C7EE4"/>
    <w:rsid w:val="326985FE"/>
    <w:rsid w:val="332CEF0E"/>
    <w:rsid w:val="334F1D8F"/>
    <w:rsid w:val="336E3401"/>
    <w:rsid w:val="337BAC22"/>
    <w:rsid w:val="33A162B7"/>
    <w:rsid w:val="33DC33F4"/>
    <w:rsid w:val="356BCB3A"/>
    <w:rsid w:val="35D94883"/>
    <w:rsid w:val="35F54ABF"/>
    <w:rsid w:val="3618F0BD"/>
    <w:rsid w:val="361BB589"/>
    <w:rsid w:val="3632050A"/>
    <w:rsid w:val="36A95356"/>
    <w:rsid w:val="36C14A7C"/>
    <w:rsid w:val="36E43D83"/>
    <w:rsid w:val="37E4DF3A"/>
    <w:rsid w:val="38280810"/>
    <w:rsid w:val="39E036EF"/>
    <w:rsid w:val="39FD8E3C"/>
    <w:rsid w:val="3A2485B1"/>
    <w:rsid w:val="3AC3CB67"/>
    <w:rsid w:val="3AD4AA68"/>
    <w:rsid w:val="3B4781EF"/>
    <w:rsid w:val="3B5F115A"/>
    <w:rsid w:val="3C408DEA"/>
    <w:rsid w:val="3C550711"/>
    <w:rsid w:val="3C82D131"/>
    <w:rsid w:val="3CC581BB"/>
    <w:rsid w:val="3D3FB1D9"/>
    <w:rsid w:val="3D8218A8"/>
    <w:rsid w:val="3DB09F95"/>
    <w:rsid w:val="3DB2FC0B"/>
    <w:rsid w:val="3DDBAF6C"/>
    <w:rsid w:val="3E0AFA23"/>
    <w:rsid w:val="3E10A37B"/>
    <w:rsid w:val="3E7B8BCE"/>
    <w:rsid w:val="3EAB7E90"/>
    <w:rsid w:val="3F429691"/>
    <w:rsid w:val="3F890ABF"/>
    <w:rsid w:val="3F95CB2C"/>
    <w:rsid w:val="402CCD01"/>
    <w:rsid w:val="406B85D8"/>
    <w:rsid w:val="40BEFA46"/>
    <w:rsid w:val="4159071C"/>
    <w:rsid w:val="4171DA65"/>
    <w:rsid w:val="41E287DA"/>
    <w:rsid w:val="41FC47AF"/>
    <w:rsid w:val="4252D3CB"/>
    <w:rsid w:val="42D3824B"/>
    <w:rsid w:val="43460E13"/>
    <w:rsid w:val="43CD975F"/>
    <w:rsid w:val="4492989E"/>
    <w:rsid w:val="449BDEE9"/>
    <w:rsid w:val="4577F411"/>
    <w:rsid w:val="45DE81FB"/>
    <w:rsid w:val="46D84EA0"/>
    <w:rsid w:val="474543C7"/>
    <w:rsid w:val="474FB05C"/>
    <w:rsid w:val="4751380B"/>
    <w:rsid w:val="47A3FF44"/>
    <w:rsid w:val="47E1CE26"/>
    <w:rsid w:val="48A0416A"/>
    <w:rsid w:val="48B512AE"/>
    <w:rsid w:val="48FBAEFF"/>
    <w:rsid w:val="497385F2"/>
    <w:rsid w:val="49CA60FB"/>
    <w:rsid w:val="49EB31BA"/>
    <w:rsid w:val="4A12D663"/>
    <w:rsid w:val="4A81405B"/>
    <w:rsid w:val="4A83A999"/>
    <w:rsid w:val="4A998EC3"/>
    <w:rsid w:val="4E39270D"/>
    <w:rsid w:val="4EAA3A51"/>
    <w:rsid w:val="4ED026FD"/>
    <w:rsid w:val="4ED64933"/>
    <w:rsid w:val="4F2EE52A"/>
    <w:rsid w:val="4F342E43"/>
    <w:rsid w:val="4F731157"/>
    <w:rsid w:val="4F8378EC"/>
    <w:rsid w:val="5052398B"/>
    <w:rsid w:val="507E7B54"/>
    <w:rsid w:val="507EC93C"/>
    <w:rsid w:val="50C0DF18"/>
    <w:rsid w:val="50F6435B"/>
    <w:rsid w:val="50FBCA10"/>
    <w:rsid w:val="51233098"/>
    <w:rsid w:val="527731C4"/>
    <w:rsid w:val="52B3565F"/>
    <w:rsid w:val="52BF3AD2"/>
    <w:rsid w:val="52C04C2E"/>
    <w:rsid w:val="535949D4"/>
    <w:rsid w:val="5418EBF9"/>
    <w:rsid w:val="550A1B42"/>
    <w:rsid w:val="5553BC37"/>
    <w:rsid w:val="55EFC194"/>
    <w:rsid w:val="565EBC2B"/>
    <w:rsid w:val="56A0C4A7"/>
    <w:rsid w:val="56B66352"/>
    <w:rsid w:val="56B6F7AC"/>
    <w:rsid w:val="56D63FCB"/>
    <w:rsid w:val="572FE15E"/>
    <w:rsid w:val="57B7EBA5"/>
    <w:rsid w:val="57C03FC5"/>
    <w:rsid w:val="59504FB8"/>
    <w:rsid w:val="599E8B46"/>
    <w:rsid w:val="5A0B1397"/>
    <w:rsid w:val="5A514A46"/>
    <w:rsid w:val="5AC07ABC"/>
    <w:rsid w:val="5AEBFBC6"/>
    <w:rsid w:val="5B1B251A"/>
    <w:rsid w:val="5B255B91"/>
    <w:rsid w:val="5BC6A8EA"/>
    <w:rsid w:val="5BEC3F8E"/>
    <w:rsid w:val="5C210895"/>
    <w:rsid w:val="5C490EE4"/>
    <w:rsid w:val="5CB47790"/>
    <w:rsid w:val="5D888661"/>
    <w:rsid w:val="5E26B287"/>
    <w:rsid w:val="5E3F3EF0"/>
    <w:rsid w:val="5E6C3072"/>
    <w:rsid w:val="5EEC05A8"/>
    <w:rsid w:val="5F0B823C"/>
    <w:rsid w:val="607A65EB"/>
    <w:rsid w:val="6128896A"/>
    <w:rsid w:val="616C1ED5"/>
    <w:rsid w:val="61A339BC"/>
    <w:rsid w:val="639C9DF1"/>
    <w:rsid w:val="63A8E9B9"/>
    <w:rsid w:val="63C4560E"/>
    <w:rsid w:val="64657F10"/>
    <w:rsid w:val="648CC208"/>
    <w:rsid w:val="64929DD3"/>
    <w:rsid w:val="64DFF51A"/>
    <w:rsid w:val="65967347"/>
    <w:rsid w:val="65A804E3"/>
    <w:rsid w:val="65DA349D"/>
    <w:rsid w:val="65E5D6B8"/>
    <w:rsid w:val="65EEEC86"/>
    <w:rsid w:val="6694C59F"/>
    <w:rsid w:val="66E3814C"/>
    <w:rsid w:val="6725D3CB"/>
    <w:rsid w:val="68053DE0"/>
    <w:rsid w:val="6806B417"/>
    <w:rsid w:val="6809B504"/>
    <w:rsid w:val="68209AE9"/>
    <w:rsid w:val="684C0FF5"/>
    <w:rsid w:val="68CA0A18"/>
    <w:rsid w:val="68CA326F"/>
    <w:rsid w:val="68E47BE9"/>
    <w:rsid w:val="6A450771"/>
    <w:rsid w:val="6A8A422D"/>
    <w:rsid w:val="6AD0ABAD"/>
    <w:rsid w:val="6B1BB7EF"/>
    <w:rsid w:val="6B48A021"/>
    <w:rsid w:val="6B5B9359"/>
    <w:rsid w:val="6B82BE98"/>
    <w:rsid w:val="6BB4888F"/>
    <w:rsid w:val="6C011362"/>
    <w:rsid w:val="6C2E10E4"/>
    <w:rsid w:val="6C2E4F1A"/>
    <w:rsid w:val="6CF6901B"/>
    <w:rsid w:val="6CF98A08"/>
    <w:rsid w:val="6D1C7702"/>
    <w:rsid w:val="6DD35662"/>
    <w:rsid w:val="6E2B88E1"/>
    <w:rsid w:val="6E4BE096"/>
    <w:rsid w:val="6E4CE496"/>
    <w:rsid w:val="6E81641D"/>
    <w:rsid w:val="6F5C8A9A"/>
    <w:rsid w:val="6FDB9159"/>
    <w:rsid w:val="705B0830"/>
    <w:rsid w:val="70ECB15F"/>
    <w:rsid w:val="72074A1A"/>
    <w:rsid w:val="7221D186"/>
    <w:rsid w:val="7225C503"/>
    <w:rsid w:val="734BC018"/>
    <w:rsid w:val="7402241B"/>
    <w:rsid w:val="7537098D"/>
    <w:rsid w:val="75432EE1"/>
    <w:rsid w:val="75599E55"/>
    <w:rsid w:val="762551A9"/>
    <w:rsid w:val="76575924"/>
    <w:rsid w:val="767567E4"/>
    <w:rsid w:val="76824C57"/>
    <w:rsid w:val="76D9B31E"/>
    <w:rsid w:val="7772BCC4"/>
    <w:rsid w:val="77BD6E20"/>
    <w:rsid w:val="780CCBAA"/>
    <w:rsid w:val="7823D49F"/>
    <w:rsid w:val="7859B26F"/>
    <w:rsid w:val="785E26FB"/>
    <w:rsid w:val="78761659"/>
    <w:rsid w:val="78B7CC06"/>
    <w:rsid w:val="79496B7F"/>
    <w:rsid w:val="7A1FD830"/>
    <w:rsid w:val="7A365F0C"/>
    <w:rsid w:val="7A835A30"/>
    <w:rsid w:val="7B308BC3"/>
    <w:rsid w:val="7B7BB36E"/>
    <w:rsid w:val="7C7AB34D"/>
    <w:rsid w:val="7CFE53FA"/>
    <w:rsid w:val="7D7B492E"/>
    <w:rsid w:val="7DEE6C8F"/>
    <w:rsid w:val="7E1372EE"/>
    <w:rsid w:val="7F5461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CDCAA"/>
  <w15:docId w15:val="{CF888EB4-9556-43DC-BBB9-337638B2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762"/>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F02F08"/>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F02F08"/>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F02F08"/>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F02F08"/>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F02F08"/>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F02F08"/>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55"/>
    <w:pPr>
      <w:framePr w:w="7920" w:h="1980" w:hRule="exact" w:hSpace="180" w:wrap="auto" w:hAnchor="page" w:xAlign="center" w:yAlign="bottom"/>
      <w:spacing w:after="0"/>
      <w:ind w:left="2880"/>
    </w:pPr>
    <w:rPr>
      <w:rFonts w:ascii="Garamond" w:eastAsiaTheme="majorEastAsia" w:hAnsi="Garamond" w:cstheme="majorBidi"/>
      <w:b/>
      <w:sz w:val="24"/>
      <w:szCs w:val="24"/>
    </w:rPr>
  </w:style>
  <w:style w:type="paragraph" w:styleId="Title">
    <w:name w:val="Title"/>
    <w:basedOn w:val="Normal"/>
    <w:next w:val="Normal"/>
    <w:link w:val="TitleChar"/>
    <w:uiPriority w:val="10"/>
    <w:rsid w:val="00F02F08"/>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F02F08"/>
    <w:rPr>
      <w:rFonts w:ascii="Calibri Light" w:eastAsiaTheme="majorEastAsia" w:hAnsi="Calibri Light" w:cstheme="majorBidi"/>
      <w:b/>
      <w:color w:val="FFFFFF" w:themeColor="background1"/>
      <w:spacing w:val="5"/>
      <w:kern w:val="28"/>
      <w:sz w:val="72"/>
      <w:szCs w:val="52"/>
      <w:lang w:eastAsia="en-AU"/>
    </w:rPr>
  </w:style>
  <w:style w:type="character" w:customStyle="1" w:styleId="Heading1Char">
    <w:name w:val="Heading 1 Char"/>
    <w:basedOn w:val="DefaultParagraphFont"/>
    <w:link w:val="Heading1"/>
    <w:rsid w:val="00F02F08"/>
    <w:rPr>
      <w:rFonts w:ascii="Calibri" w:eastAsia="Times New Roman" w:hAnsi="Calibri" w:cs="Arial"/>
      <w:b/>
      <w:color w:val="5D779D" w:themeColor="accent3"/>
      <w:kern w:val="32"/>
      <w:sz w:val="44"/>
      <w:szCs w:val="36"/>
      <w:lang w:eastAsia="en-AU"/>
    </w:rPr>
  </w:style>
  <w:style w:type="paragraph" w:styleId="TOCHeading">
    <w:name w:val="TOC Heading"/>
    <w:basedOn w:val="Heading1"/>
    <w:next w:val="Normal"/>
    <w:uiPriority w:val="39"/>
    <w:semiHidden/>
    <w:unhideWhenUsed/>
    <w:qFormat/>
    <w:rsid w:val="00E551D2"/>
    <w:pPr>
      <w:outlineLvl w:val="9"/>
    </w:pPr>
    <w:rPr>
      <w:lang w:val="en-US" w:eastAsia="ja-JP"/>
    </w:rPr>
  </w:style>
  <w:style w:type="paragraph" w:styleId="TOC1">
    <w:name w:val="toc 1"/>
    <w:basedOn w:val="Normal"/>
    <w:next w:val="Normal"/>
    <w:uiPriority w:val="39"/>
    <w:rsid w:val="00F02F08"/>
    <w:pPr>
      <w:keepNext/>
      <w:tabs>
        <w:tab w:val="right" w:leader="dot" w:pos="9072"/>
      </w:tabs>
      <w:spacing w:before="180" w:after="0"/>
      <w:ind w:right="-2"/>
    </w:pPr>
    <w:rPr>
      <w:b/>
      <w:noProof/>
      <w:color w:val="2C384A" w:themeColor="accent1"/>
      <w:szCs w:val="22"/>
    </w:rPr>
  </w:style>
  <w:style w:type="character" w:styleId="Hyperlink">
    <w:name w:val="Hyperlink"/>
    <w:basedOn w:val="DefaultParagraphFont"/>
    <w:uiPriority w:val="99"/>
    <w:rsid w:val="00F02F08"/>
    <w:rPr>
      <w:color w:val="3A6FAF"/>
      <w:u w:val="none"/>
    </w:rPr>
  </w:style>
  <w:style w:type="paragraph" w:styleId="BalloonText">
    <w:name w:val="Balloon Text"/>
    <w:basedOn w:val="Normal"/>
    <w:link w:val="BalloonTextChar"/>
    <w:uiPriority w:val="99"/>
    <w:semiHidden/>
    <w:unhideWhenUsed/>
    <w:rsid w:val="00F02F0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F08"/>
    <w:rPr>
      <w:rFonts w:ascii="Tahoma" w:eastAsia="Times New Roman" w:hAnsi="Tahoma" w:cs="Tahoma"/>
      <w:sz w:val="16"/>
      <w:szCs w:val="16"/>
      <w:lang w:eastAsia="en-AU"/>
    </w:rPr>
  </w:style>
  <w:style w:type="paragraph" w:customStyle="1" w:styleId="Bullet">
    <w:name w:val="Bullet"/>
    <w:basedOn w:val="Normal"/>
    <w:link w:val="BulletChar"/>
    <w:autoRedefine/>
    <w:qFormat/>
    <w:rsid w:val="000B23F5"/>
    <w:pPr>
      <w:numPr>
        <w:numId w:val="13"/>
      </w:numPr>
      <w:spacing w:before="0" w:line="276" w:lineRule="auto"/>
    </w:pPr>
  </w:style>
  <w:style w:type="character" w:customStyle="1" w:styleId="BulletChar">
    <w:name w:val="Bullet Char"/>
    <w:basedOn w:val="DefaultParagraphFont"/>
    <w:link w:val="Bullet"/>
    <w:rsid w:val="000B23F5"/>
    <w:rPr>
      <w:rFonts w:ascii="Calibri Light" w:eastAsia="Times New Roman" w:hAnsi="Calibri Light" w:cs="Times New Roman"/>
      <w:szCs w:val="20"/>
      <w:lang w:eastAsia="en-AU"/>
    </w:rPr>
  </w:style>
  <w:style w:type="paragraph" w:customStyle="1" w:styleId="Dash">
    <w:name w:val="Dash"/>
    <w:basedOn w:val="Normal"/>
    <w:link w:val="DashChar"/>
    <w:qFormat/>
    <w:rsid w:val="006728C2"/>
    <w:pPr>
      <w:numPr>
        <w:ilvl w:val="1"/>
        <w:numId w:val="13"/>
      </w:numPr>
      <w:spacing w:before="0"/>
    </w:pPr>
  </w:style>
  <w:style w:type="character" w:customStyle="1" w:styleId="DashChar">
    <w:name w:val="Dash Char"/>
    <w:basedOn w:val="DefaultParagraphFont"/>
    <w:link w:val="Dash"/>
    <w:rsid w:val="006728C2"/>
    <w:rPr>
      <w:rFonts w:ascii="Calibri Light" w:eastAsia="Times New Roman" w:hAnsi="Calibri Light" w:cs="Times New Roman"/>
      <w:szCs w:val="20"/>
      <w:lang w:eastAsia="en-AU"/>
    </w:rPr>
  </w:style>
  <w:style w:type="paragraph" w:customStyle="1" w:styleId="DoubleDot">
    <w:name w:val="Double Dot"/>
    <w:basedOn w:val="Normal"/>
    <w:link w:val="DoubleDotChar"/>
    <w:qFormat/>
    <w:rsid w:val="006728C2"/>
    <w:pPr>
      <w:numPr>
        <w:ilvl w:val="2"/>
        <w:numId w:val="13"/>
      </w:numPr>
      <w:spacing w:before="0"/>
    </w:pPr>
  </w:style>
  <w:style w:type="character" w:customStyle="1" w:styleId="DoubleDotChar">
    <w:name w:val="Double Dot Char"/>
    <w:basedOn w:val="DefaultParagraphFont"/>
    <w:link w:val="DoubleDot"/>
    <w:rsid w:val="006728C2"/>
    <w:rPr>
      <w:rFonts w:ascii="Calibri Light" w:eastAsia="Times New Roman" w:hAnsi="Calibri Light" w:cs="Times New Roman"/>
      <w:szCs w:val="20"/>
      <w:lang w:eastAsia="en-AU"/>
    </w:rPr>
  </w:style>
  <w:style w:type="paragraph" w:customStyle="1" w:styleId="Singleparagraph">
    <w:name w:val="Single paragraph"/>
    <w:basedOn w:val="Normal"/>
    <w:qFormat/>
    <w:rsid w:val="007C6D12"/>
    <w:pPr>
      <w:spacing w:after="0"/>
    </w:pPr>
  </w:style>
  <w:style w:type="paragraph" w:styleId="Header">
    <w:name w:val="header"/>
    <w:basedOn w:val="Normal"/>
    <w:link w:val="HeaderChar"/>
    <w:uiPriority w:val="99"/>
    <w:unhideWhenUsed/>
    <w:rsid w:val="00F02F08"/>
    <w:pPr>
      <w:keepNext/>
      <w:spacing w:before="0" w:after="0"/>
      <w:jc w:val="right"/>
    </w:pPr>
    <w:rPr>
      <w:color w:val="004A7F"/>
      <w:sz w:val="20"/>
    </w:rPr>
  </w:style>
  <w:style w:type="character" w:customStyle="1" w:styleId="HeaderChar">
    <w:name w:val="Header Char"/>
    <w:basedOn w:val="DefaultParagraphFont"/>
    <w:link w:val="Header"/>
    <w:uiPriority w:val="99"/>
    <w:rsid w:val="00F02F08"/>
    <w:rPr>
      <w:rFonts w:ascii="Calibri Light" w:eastAsia="Times New Roman" w:hAnsi="Calibri Light" w:cs="Times New Roman"/>
      <w:color w:val="004A7F"/>
      <w:sz w:val="20"/>
      <w:szCs w:val="20"/>
      <w:lang w:eastAsia="en-AU"/>
    </w:rPr>
  </w:style>
  <w:style w:type="paragraph" w:styleId="Footer">
    <w:name w:val="footer"/>
    <w:basedOn w:val="Normal"/>
    <w:link w:val="FooterChar"/>
    <w:uiPriority w:val="99"/>
    <w:unhideWhenUsed/>
    <w:rsid w:val="00F02F0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02F08"/>
    <w:rPr>
      <w:rFonts w:ascii="Calibri Light" w:eastAsia="Times New Roman" w:hAnsi="Calibri Light" w:cs="Times New Roman"/>
      <w:color w:val="002C47"/>
      <w:sz w:val="20"/>
      <w:szCs w:val="20"/>
      <w:lang w:eastAsia="en-AU"/>
    </w:rPr>
  </w:style>
  <w:style w:type="character" w:customStyle="1" w:styleId="Heading2Char">
    <w:name w:val="Heading 2 Char"/>
    <w:basedOn w:val="DefaultParagraphFont"/>
    <w:link w:val="Heading2"/>
    <w:rsid w:val="00F02F08"/>
    <w:rPr>
      <w:rFonts w:ascii="Calibri" w:eastAsia="Times New Roman" w:hAnsi="Calibri" w:cs="Arial"/>
      <w:iCs/>
      <w:color w:val="2C384A"/>
      <w:kern w:val="32"/>
      <w:sz w:val="36"/>
      <w:szCs w:val="28"/>
      <w:lang w:eastAsia="en-AU"/>
    </w:rPr>
  </w:style>
  <w:style w:type="paragraph" w:styleId="FootnoteText">
    <w:name w:val="footnote text"/>
    <w:basedOn w:val="Normal"/>
    <w:link w:val="FootnoteTextChar"/>
    <w:uiPriority w:val="99"/>
    <w:rsid w:val="00F02F08"/>
    <w:pPr>
      <w:spacing w:before="0" w:after="0"/>
      <w:ind w:left="397" w:hanging="397"/>
    </w:pPr>
    <w:rPr>
      <w:sz w:val="20"/>
    </w:rPr>
  </w:style>
  <w:style w:type="character" w:customStyle="1" w:styleId="Heading3Char">
    <w:name w:val="Heading 3 Char"/>
    <w:basedOn w:val="DefaultParagraphFont"/>
    <w:link w:val="Heading3"/>
    <w:rsid w:val="00F02F08"/>
    <w:rPr>
      <w:rFonts w:ascii="Calibri" w:eastAsia="Times New Roman" w:hAnsi="Calibri" w:cs="Arial"/>
      <w:b/>
      <w:color w:val="4D7861" w:themeColor="accent2"/>
      <w:kern w:val="32"/>
      <w:sz w:val="28"/>
      <w:szCs w:val="26"/>
      <w:lang w:eastAsia="en-AU"/>
    </w:rPr>
  </w:style>
  <w:style w:type="character" w:customStyle="1" w:styleId="FootnoteTextChar">
    <w:name w:val="Footnote Text Char"/>
    <w:basedOn w:val="DefaultParagraphFont"/>
    <w:link w:val="FootnoteText"/>
    <w:uiPriority w:val="99"/>
    <w:rsid w:val="00F02F08"/>
    <w:rPr>
      <w:rFonts w:ascii="Calibri Light" w:eastAsia="Times New Roman" w:hAnsi="Calibri Light" w:cs="Times New Roman"/>
      <w:sz w:val="20"/>
      <w:szCs w:val="20"/>
      <w:lang w:eastAsia="en-AU"/>
    </w:rPr>
  </w:style>
  <w:style w:type="paragraph" w:styleId="Subtitle">
    <w:name w:val="Subtitle"/>
    <w:basedOn w:val="Normal"/>
    <w:next w:val="Normal"/>
    <w:link w:val="SubtitleChar"/>
    <w:uiPriority w:val="11"/>
    <w:rsid w:val="00F02F08"/>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F02F08"/>
    <w:rPr>
      <w:rFonts w:ascii="Calibri Light" w:eastAsiaTheme="majorEastAsia" w:hAnsi="Calibri Light" w:cstheme="majorBidi"/>
      <w:iCs/>
      <w:color w:val="EEEEEE"/>
      <w:sz w:val="44"/>
      <w:szCs w:val="44"/>
      <w:lang w:eastAsia="en-AU"/>
    </w:rPr>
  </w:style>
  <w:style w:type="paragraph" w:styleId="TOC2">
    <w:name w:val="toc 2"/>
    <w:basedOn w:val="Normal"/>
    <w:next w:val="Normal"/>
    <w:uiPriority w:val="39"/>
    <w:rsid w:val="00F02F08"/>
    <w:pPr>
      <w:keepNext/>
      <w:tabs>
        <w:tab w:val="right" w:leader="dot" w:pos="9072"/>
      </w:tabs>
      <w:spacing w:before="40" w:after="20"/>
      <w:ind w:right="-2"/>
    </w:pPr>
    <w:rPr>
      <w:noProof/>
      <w:color w:val="5D779D" w:themeColor="accent3"/>
    </w:rPr>
  </w:style>
  <w:style w:type="paragraph" w:customStyle="1" w:styleId="AlphaParagraph">
    <w:name w:val="Alpha Paragraph"/>
    <w:basedOn w:val="Normal"/>
    <w:qFormat/>
    <w:rsid w:val="00F02F08"/>
    <w:pPr>
      <w:numPr>
        <w:ilvl w:val="1"/>
        <w:numId w:val="6"/>
      </w:numPr>
      <w:spacing w:before="0"/>
    </w:pPr>
  </w:style>
  <w:style w:type="paragraph" w:customStyle="1" w:styleId="HeadingBase">
    <w:name w:val="Heading Base"/>
    <w:rsid w:val="00F02F08"/>
    <w:pPr>
      <w:keepNext/>
      <w:spacing w:after="120" w:line="240" w:lineRule="auto"/>
    </w:pPr>
    <w:rPr>
      <w:rFonts w:ascii="Calibri" w:eastAsia="Times New Roman" w:hAnsi="Calibri" w:cs="Arial"/>
      <w:bCs/>
      <w:color w:val="002C4A"/>
      <w:kern w:val="32"/>
      <w:sz w:val="48"/>
      <w:szCs w:val="36"/>
      <w:lang w:eastAsia="en-AU"/>
    </w:rPr>
  </w:style>
  <w:style w:type="paragraph" w:customStyle="1" w:styleId="AppendixHeading">
    <w:name w:val="Appendix Heading"/>
    <w:basedOn w:val="Heading1"/>
    <w:next w:val="Normal"/>
    <w:rsid w:val="00F02F08"/>
  </w:style>
  <w:style w:type="paragraph" w:customStyle="1" w:styleId="Boxbullet">
    <w:name w:val="Box bullet"/>
    <w:basedOn w:val="Bullet"/>
    <w:rsid w:val="00F02F08"/>
    <w:pPr>
      <w:tabs>
        <w:tab w:val="num" w:pos="284"/>
      </w:tabs>
      <w:spacing w:before="60"/>
      <w:ind w:left="170" w:hanging="170"/>
    </w:pPr>
    <w:rPr>
      <w:color w:val="0D0D0D" w:themeColor="text1" w:themeTint="F2"/>
    </w:rPr>
  </w:style>
  <w:style w:type="numbering" w:customStyle="1" w:styleId="BoxBulletedList">
    <w:name w:val="Box Bulleted List"/>
    <w:uiPriority w:val="99"/>
    <w:rsid w:val="00F02F08"/>
    <w:pPr>
      <w:numPr>
        <w:numId w:val="1"/>
      </w:numPr>
    </w:pPr>
  </w:style>
  <w:style w:type="paragraph" w:customStyle="1" w:styleId="Boxdash">
    <w:name w:val="Box dash"/>
    <w:basedOn w:val="Dash"/>
    <w:rsid w:val="00F02F08"/>
    <w:pPr>
      <w:spacing w:before="60" w:after="0" w:line="276" w:lineRule="auto"/>
      <w:ind w:left="454" w:hanging="170"/>
    </w:pPr>
    <w:rPr>
      <w:rFonts w:eastAsiaTheme="minorHAnsi"/>
      <w:color w:val="0D0D0D" w:themeColor="text1" w:themeTint="F2"/>
      <w:lang w:eastAsia="en-US"/>
    </w:rPr>
  </w:style>
  <w:style w:type="paragraph" w:customStyle="1" w:styleId="Boxdoubledot">
    <w:name w:val="Box double dot"/>
    <w:basedOn w:val="DoubleDot"/>
    <w:rsid w:val="00F02F08"/>
    <w:pPr>
      <w:tabs>
        <w:tab w:val="left" w:pos="567"/>
      </w:tabs>
      <w:spacing w:before="60" w:after="0" w:line="276" w:lineRule="auto"/>
      <w:ind w:left="567" w:hanging="142"/>
    </w:pPr>
    <w:rPr>
      <w:rFonts w:eastAsiaTheme="minorHAnsi"/>
      <w:color w:val="0D0D0D" w:themeColor="text1" w:themeTint="F2"/>
      <w:lang w:eastAsia="en-US"/>
    </w:rPr>
  </w:style>
  <w:style w:type="paragraph" w:customStyle="1" w:styleId="BoxHeading">
    <w:name w:val="Box Heading"/>
    <w:basedOn w:val="Normal"/>
    <w:next w:val="Normal"/>
    <w:rsid w:val="00F02F08"/>
    <w:pPr>
      <w:keepNext/>
      <w:spacing w:before="240"/>
    </w:pPr>
    <w:rPr>
      <w:b/>
      <w:color w:val="2C384A" w:themeColor="accent1"/>
      <w:sz w:val="26"/>
      <w:szCs w:val="26"/>
    </w:rPr>
  </w:style>
  <w:style w:type="paragraph" w:customStyle="1" w:styleId="BoxText">
    <w:name w:val="Box Text"/>
    <w:basedOn w:val="Normal"/>
    <w:link w:val="BoxTextChar"/>
    <w:rsid w:val="00F02F08"/>
  </w:style>
  <w:style w:type="character" w:customStyle="1" w:styleId="BoxTextChar">
    <w:name w:val="Box Text Char"/>
    <w:basedOn w:val="DefaultParagraphFont"/>
    <w:link w:val="BoxText"/>
    <w:locked/>
    <w:rsid w:val="00F02F08"/>
    <w:rPr>
      <w:rFonts w:ascii="Calibri Light" w:eastAsia="Times New Roman" w:hAnsi="Calibri Light" w:cs="Times New Roman"/>
      <w:szCs w:val="20"/>
      <w:lang w:eastAsia="en-AU"/>
    </w:rPr>
  </w:style>
  <w:style w:type="numbering" w:customStyle="1" w:styleId="BulletedList">
    <w:name w:val="Bulleted List"/>
    <w:uiPriority w:val="99"/>
    <w:rsid w:val="00F02F08"/>
    <w:pPr>
      <w:numPr>
        <w:numId w:val="2"/>
      </w:numPr>
    </w:pPr>
  </w:style>
  <w:style w:type="paragraph" w:customStyle="1" w:styleId="ChartandTableFootnoteAlpha">
    <w:name w:val="Chart and Table Footnote Alpha"/>
    <w:rsid w:val="00F02F08"/>
    <w:pPr>
      <w:numPr>
        <w:numId w:val="7"/>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F02F08"/>
    <w:pPr>
      <w:keepNext/>
      <w:spacing w:before="0" w:after="0"/>
      <w:jc w:val="center"/>
    </w:pPr>
    <w:rPr>
      <w:color w:val="004A7F"/>
      <w:sz w:val="20"/>
    </w:rPr>
  </w:style>
  <w:style w:type="paragraph" w:customStyle="1" w:styleId="TableMainHeading">
    <w:name w:val="Table Main Heading"/>
    <w:basedOn w:val="Heading3"/>
    <w:next w:val="Normal"/>
    <w:rsid w:val="00F02F08"/>
    <w:pPr>
      <w:spacing w:before="120"/>
    </w:pPr>
    <w:rPr>
      <w:b w:val="0"/>
      <w:sz w:val="26"/>
    </w:rPr>
  </w:style>
  <w:style w:type="paragraph" w:customStyle="1" w:styleId="ChartMainHeading">
    <w:name w:val="Chart Main Heading"/>
    <w:basedOn w:val="TableMainHeading"/>
    <w:next w:val="ChartGraphic"/>
    <w:rsid w:val="00F02F08"/>
    <w:pPr>
      <w:jc w:val="center"/>
    </w:pPr>
  </w:style>
  <w:style w:type="paragraph" w:customStyle="1" w:styleId="ChartorTableNote">
    <w:name w:val="Chart or Table Note"/>
    <w:next w:val="Normal"/>
    <w:rsid w:val="00F02F08"/>
    <w:pPr>
      <w:spacing w:after="0" w:line="240" w:lineRule="auto"/>
      <w:jc w:val="both"/>
    </w:pPr>
    <w:rPr>
      <w:rFonts w:ascii="Calibri" w:eastAsia="Times New Roman" w:hAnsi="Calibri" w:cs="Times New Roman"/>
      <w:color w:val="000000"/>
      <w:sz w:val="18"/>
      <w:szCs w:val="20"/>
      <w:lang w:eastAsia="en-AU"/>
    </w:rPr>
  </w:style>
  <w:style w:type="paragraph" w:customStyle="1" w:styleId="TableSecondHeading">
    <w:name w:val="Table Second Heading"/>
    <w:basedOn w:val="Normal"/>
    <w:next w:val="Normal"/>
    <w:rsid w:val="00F02F08"/>
    <w:pPr>
      <w:keepNext/>
      <w:spacing w:before="0" w:after="20"/>
    </w:pPr>
    <w:rPr>
      <w:b/>
      <w:color w:val="004A7F"/>
    </w:rPr>
  </w:style>
  <w:style w:type="paragraph" w:customStyle="1" w:styleId="ChartSecondHeading">
    <w:name w:val="Chart Second Heading"/>
    <w:basedOn w:val="TableSecondHeading"/>
    <w:next w:val="ChartGraphic"/>
    <w:rsid w:val="00F02F08"/>
    <w:pPr>
      <w:jc w:val="center"/>
    </w:pPr>
    <w:rPr>
      <w:b w:val="0"/>
      <w:bCs/>
    </w:rPr>
  </w:style>
  <w:style w:type="numbering" w:customStyle="1" w:styleId="ChartandTableFootnoteAlphaList">
    <w:name w:val="ChartandTableFootnoteAlphaList"/>
    <w:uiPriority w:val="99"/>
    <w:rsid w:val="00F02F08"/>
    <w:pPr>
      <w:numPr>
        <w:numId w:val="3"/>
      </w:numPr>
    </w:pPr>
  </w:style>
  <w:style w:type="character" w:styleId="CommentReference">
    <w:name w:val="annotation reference"/>
    <w:basedOn w:val="DefaultParagraphFont"/>
    <w:uiPriority w:val="99"/>
    <w:semiHidden/>
    <w:unhideWhenUsed/>
    <w:rsid w:val="00F02F08"/>
    <w:rPr>
      <w:sz w:val="16"/>
      <w:szCs w:val="16"/>
    </w:rPr>
  </w:style>
  <w:style w:type="paragraph" w:styleId="CommentText">
    <w:name w:val="annotation text"/>
    <w:basedOn w:val="Normal"/>
    <w:link w:val="CommentTextChar"/>
    <w:uiPriority w:val="99"/>
    <w:semiHidden/>
    <w:unhideWhenUsed/>
    <w:rsid w:val="00F02F08"/>
    <w:rPr>
      <w:rFonts w:ascii="Calibri" w:hAnsi="Calibri"/>
      <w:sz w:val="20"/>
    </w:rPr>
  </w:style>
  <w:style w:type="character" w:customStyle="1" w:styleId="CommentTextChar">
    <w:name w:val="Comment Text Char"/>
    <w:basedOn w:val="DefaultParagraphFont"/>
    <w:link w:val="CommentText"/>
    <w:uiPriority w:val="99"/>
    <w:semiHidden/>
    <w:rsid w:val="00F02F08"/>
    <w:rPr>
      <w:rFonts w:ascii="Calibri" w:eastAsia="Times New Roman" w:hAnsi="Calibri" w:cs="Times New Roman"/>
      <w:sz w:val="20"/>
      <w:szCs w:val="20"/>
      <w:lang w:eastAsia="en-AU"/>
    </w:rPr>
  </w:style>
  <w:style w:type="paragraph" w:customStyle="1" w:styleId="FooterEven">
    <w:name w:val="Footer Even"/>
    <w:basedOn w:val="Footer"/>
    <w:rsid w:val="00F02F08"/>
    <w:pPr>
      <w:keepNext/>
      <w:tabs>
        <w:tab w:val="clear" w:pos="4513"/>
        <w:tab w:val="clear" w:pos="9026"/>
      </w:tabs>
      <w:jc w:val="left"/>
    </w:pPr>
    <w:rPr>
      <w:noProof/>
      <w:color w:val="2C384A" w:themeColor="accent1"/>
    </w:rPr>
  </w:style>
  <w:style w:type="paragraph" w:customStyle="1" w:styleId="FooterOdd">
    <w:name w:val="Footer Odd"/>
    <w:basedOn w:val="Footer"/>
    <w:rsid w:val="00F02F08"/>
    <w:pPr>
      <w:keepNext/>
      <w:tabs>
        <w:tab w:val="clear" w:pos="4513"/>
        <w:tab w:val="clear" w:pos="9026"/>
      </w:tabs>
      <w:jc w:val="right"/>
    </w:pPr>
    <w:rPr>
      <w:color w:val="2C384A" w:themeColor="accent1"/>
    </w:rPr>
  </w:style>
  <w:style w:type="character" w:styleId="FootnoteReference">
    <w:name w:val="footnote reference"/>
    <w:basedOn w:val="DefaultParagraphFont"/>
    <w:uiPriority w:val="99"/>
    <w:rsid w:val="00F02F08"/>
    <w:rPr>
      <w:sz w:val="18"/>
    </w:rPr>
  </w:style>
  <w:style w:type="paragraph" w:customStyle="1" w:styleId="HeaderEven">
    <w:name w:val="Header Even"/>
    <w:basedOn w:val="Header"/>
    <w:qFormat/>
    <w:rsid w:val="00F02F08"/>
    <w:pPr>
      <w:jc w:val="left"/>
    </w:pPr>
    <w:rPr>
      <w:color w:val="002C47"/>
    </w:rPr>
  </w:style>
  <w:style w:type="paragraph" w:customStyle="1" w:styleId="HeaderOdd">
    <w:name w:val="Header Odd"/>
    <w:basedOn w:val="Header"/>
    <w:qFormat/>
    <w:rsid w:val="00F02F08"/>
    <w:rPr>
      <w:color w:val="002C47"/>
    </w:rPr>
  </w:style>
  <w:style w:type="paragraph" w:customStyle="1" w:styleId="Heading1Numbered">
    <w:name w:val="Heading 1 Numbered"/>
    <w:basedOn w:val="Heading1"/>
    <w:next w:val="Normal"/>
    <w:rsid w:val="00F02F08"/>
    <w:pPr>
      <w:numPr>
        <w:numId w:val="8"/>
      </w:numPr>
    </w:pPr>
  </w:style>
  <w:style w:type="paragraph" w:customStyle="1" w:styleId="Heading2Numbered">
    <w:name w:val="Heading 2 Numbered"/>
    <w:basedOn w:val="Heading2"/>
    <w:next w:val="Normal"/>
    <w:rsid w:val="00F02F08"/>
    <w:pPr>
      <w:numPr>
        <w:ilvl w:val="1"/>
        <w:numId w:val="8"/>
      </w:numPr>
    </w:pPr>
  </w:style>
  <w:style w:type="paragraph" w:customStyle="1" w:styleId="Heading3Numbered">
    <w:name w:val="Heading 3 Numbered"/>
    <w:basedOn w:val="Heading3"/>
    <w:rsid w:val="00F02F08"/>
    <w:pPr>
      <w:numPr>
        <w:ilvl w:val="2"/>
        <w:numId w:val="8"/>
      </w:numPr>
    </w:pPr>
  </w:style>
  <w:style w:type="character" w:customStyle="1" w:styleId="Heading4Char">
    <w:name w:val="Heading 4 Char"/>
    <w:basedOn w:val="DefaultParagraphFont"/>
    <w:link w:val="Heading4"/>
    <w:rsid w:val="00F02F08"/>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F02F08"/>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F02F08"/>
    <w:rPr>
      <w:rFonts w:ascii="Calibri Light" w:eastAsia="Times New Roman" w:hAnsi="Calibri Light" w:cs="Arial"/>
      <w:color w:val="000000" w:themeColor="text1"/>
      <w:kern w:val="32"/>
      <w:lang w:eastAsia="en-AU"/>
    </w:rPr>
  </w:style>
  <w:style w:type="paragraph" w:customStyle="1" w:styleId="Instructions">
    <w:name w:val="Instructions"/>
    <w:basedOn w:val="Normal"/>
    <w:uiPriority w:val="1"/>
    <w:qFormat/>
    <w:rsid w:val="00F02F08"/>
    <w:pPr>
      <w:shd w:val="clear" w:color="auto" w:fill="FFFF00"/>
      <w:ind w:left="170" w:hanging="170"/>
    </w:pPr>
    <w:rPr>
      <w:rFonts w:asciiTheme="minorHAnsi" w:hAnsiTheme="minorHAnsi"/>
      <w:sz w:val="20"/>
      <w:szCs w:val="24"/>
    </w:rPr>
  </w:style>
  <w:style w:type="paragraph" w:styleId="ListParagraph">
    <w:name w:val="List Paragraph"/>
    <w:basedOn w:val="Normal"/>
    <w:uiPriority w:val="34"/>
    <w:qFormat/>
    <w:rsid w:val="00F02F08"/>
    <w:pPr>
      <w:ind w:left="720"/>
      <w:contextualSpacing/>
    </w:pPr>
  </w:style>
  <w:style w:type="paragraph" w:customStyle="1" w:styleId="NotesHeading">
    <w:name w:val="Notes Heading"/>
    <w:basedOn w:val="Normal"/>
    <w:rsid w:val="00F02F08"/>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F02F08"/>
    <w:pPr>
      <w:numPr>
        <w:numId w:val="4"/>
      </w:numPr>
    </w:pPr>
  </w:style>
  <w:style w:type="paragraph" w:customStyle="1" w:styleId="OutlineNumbered1">
    <w:name w:val="Outline Numbered 1"/>
    <w:basedOn w:val="Normal"/>
    <w:rsid w:val="00F02F08"/>
    <w:pPr>
      <w:numPr>
        <w:numId w:val="9"/>
      </w:numPr>
      <w:spacing w:before="0"/>
    </w:pPr>
  </w:style>
  <w:style w:type="paragraph" w:customStyle="1" w:styleId="OutlineNumbered2">
    <w:name w:val="Outline Numbered 2"/>
    <w:basedOn w:val="Normal"/>
    <w:rsid w:val="00F02F08"/>
    <w:pPr>
      <w:numPr>
        <w:ilvl w:val="1"/>
        <w:numId w:val="9"/>
      </w:numPr>
      <w:spacing w:before="0"/>
    </w:pPr>
  </w:style>
  <w:style w:type="paragraph" w:customStyle="1" w:styleId="OutlineNumbered3">
    <w:name w:val="Outline Numbered 3"/>
    <w:basedOn w:val="Normal"/>
    <w:rsid w:val="00F02F08"/>
    <w:pPr>
      <w:numPr>
        <w:ilvl w:val="2"/>
        <w:numId w:val="9"/>
      </w:numPr>
      <w:spacing w:before="0"/>
    </w:pPr>
  </w:style>
  <w:style w:type="numbering" w:customStyle="1" w:styleId="OutlineList">
    <w:name w:val="OutlineList"/>
    <w:uiPriority w:val="99"/>
    <w:rsid w:val="00F02F08"/>
    <w:pPr>
      <w:numPr>
        <w:numId w:val="5"/>
      </w:numPr>
    </w:pPr>
  </w:style>
  <w:style w:type="character" w:styleId="PlaceholderText">
    <w:name w:val="Placeholder Text"/>
    <w:basedOn w:val="DefaultParagraphFont"/>
    <w:uiPriority w:val="99"/>
    <w:semiHidden/>
    <w:rsid w:val="00F02F08"/>
    <w:rPr>
      <w:color w:val="808080"/>
    </w:rPr>
  </w:style>
  <w:style w:type="paragraph" w:customStyle="1" w:styleId="ReportDate">
    <w:name w:val="Report Date"/>
    <w:basedOn w:val="Normal"/>
    <w:link w:val="ReportDateChar"/>
    <w:rsid w:val="00AA5110"/>
    <w:pPr>
      <w:keepNext/>
      <w:spacing w:before="0" w:after="360"/>
    </w:pPr>
    <w:rPr>
      <w:color w:val="2C384A" w:themeColor="accent1"/>
      <w:sz w:val="32"/>
    </w:rPr>
  </w:style>
  <w:style w:type="character" w:customStyle="1" w:styleId="ReportDateChar">
    <w:name w:val="Report Date Char"/>
    <w:basedOn w:val="DefaultParagraphFont"/>
    <w:link w:val="ReportDate"/>
    <w:rsid w:val="00AA5110"/>
    <w:rPr>
      <w:rFonts w:ascii="Calibri Light" w:eastAsia="Times New Roman" w:hAnsi="Calibri Light" w:cs="Times New Roman"/>
      <w:color w:val="2C384A" w:themeColor="accent1"/>
      <w:sz w:val="32"/>
      <w:szCs w:val="20"/>
      <w:lang w:eastAsia="en-AU"/>
    </w:rPr>
  </w:style>
  <w:style w:type="paragraph" w:customStyle="1" w:styleId="SingleParagraph0">
    <w:name w:val="Single Paragraph"/>
    <w:basedOn w:val="Normal"/>
    <w:link w:val="SingleParagraphChar"/>
    <w:rsid w:val="00F02F08"/>
    <w:pPr>
      <w:spacing w:before="0" w:after="0"/>
    </w:pPr>
  </w:style>
  <w:style w:type="character" w:customStyle="1" w:styleId="SingleParagraphChar">
    <w:name w:val="Single Paragraph Char"/>
    <w:basedOn w:val="DefaultParagraphFont"/>
    <w:link w:val="SingleParagraph0"/>
    <w:rsid w:val="00F02F08"/>
    <w:rPr>
      <w:rFonts w:ascii="Calibri Light" w:eastAsia="Times New Roman" w:hAnsi="Calibri Light" w:cs="Times New Roman"/>
      <w:szCs w:val="20"/>
      <w:lang w:eastAsia="en-AU"/>
    </w:rPr>
  </w:style>
  <w:style w:type="paragraph" w:customStyle="1" w:styleId="TableTextRight">
    <w:name w:val="Table Text Right"/>
    <w:basedOn w:val="Normal"/>
    <w:rsid w:val="00F02F08"/>
    <w:pPr>
      <w:spacing w:before="40" w:after="40"/>
      <w:jc w:val="right"/>
    </w:pPr>
    <w:rPr>
      <w:color w:val="000000"/>
      <w:sz w:val="18"/>
    </w:rPr>
  </w:style>
  <w:style w:type="paragraph" w:customStyle="1" w:styleId="TableTextLeft">
    <w:name w:val="Table Text Left"/>
    <w:basedOn w:val="TableTextRight"/>
    <w:rsid w:val="00F02F08"/>
    <w:pPr>
      <w:jc w:val="left"/>
    </w:pPr>
  </w:style>
  <w:style w:type="paragraph" w:customStyle="1" w:styleId="TableColumnHeadingCentred">
    <w:name w:val="Table Column Heading Centred"/>
    <w:basedOn w:val="TableTextLeft"/>
    <w:rsid w:val="00F02F08"/>
    <w:pPr>
      <w:jc w:val="center"/>
    </w:pPr>
    <w:rPr>
      <w:b/>
      <w:color w:val="2C384A" w:themeColor="accent1"/>
      <w:sz w:val="20"/>
    </w:rPr>
  </w:style>
  <w:style w:type="paragraph" w:customStyle="1" w:styleId="TableColumnHeadingLeft">
    <w:name w:val="Table Column Heading Left"/>
    <w:basedOn w:val="TableTextLeft"/>
    <w:rsid w:val="00F02F08"/>
    <w:rPr>
      <w:b/>
      <w:color w:val="2C384A" w:themeColor="accent1"/>
      <w:sz w:val="20"/>
    </w:rPr>
  </w:style>
  <w:style w:type="paragraph" w:customStyle="1" w:styleId="TableColumnHeadingRight">
    <w:name w:val="Table Column Heading Right"/>
    <w:basedOn w:val="TableTextLeft"/>
    <w:rsid w:val="00F02F08"/>
    <w:pPr>
      <w:jc w:val="right"/>
    </w:pPr>
    <w:rPr>
      <w:b/>
      <w:color w:val="2C384A" w:themeColor="accent1"/>
      <w:sz w:val="20"/>
    </w:rPr>
  </w:style>
  <w:style w:type="paragraph" w:customStyle="1" w:styleId="TableGraphic">
    <w:name w:val="Table Graphic"/>
    <w:basedOn w:val="HeadingBase"/>
    <w:next w:val="Normal"/>
    <w:rsid w:val="00F02F08"/>
    <w:pPr>
      <w:spacing w:after="0"/>
    </w:pPr>
  </w:style>
  <w:style w:type="table" w:styleId="TableGrid">
    <w:name w:val="Table Grid"/>
    <w:basedOn w:val="TableNormal"/>
    <w:rsid w:val="00F02F08"/>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HeadingContinued">
    <w:name w:val="Table Heading Continued"/>
    <w:basedOn w:val="TableMainHeading"/>
    <w:next w:val="TableGraphic"/>
    <w:rsid w:val="00F02F08"/>
  </w:style>
  <w:style w:type="paragraph" w:customStyle="1" w:styleId="TableTextCentered">
    <w:name w:val="Table Text Centered"/>
    <w:basedOn w:val="TableTextRight"/>
    <w:rsid w:val="00F02F08"/>
    <w:pPr>
      <w:jc w:val="center"/>
    </w:pPr>
  </w:style>
  <w:style w:type="paragraph" w:customStyle="1" w:styleId="TableTextIndented">
    <w:name w:val="Table Text Indented"/>
    <w:basedOn w:val="TableTextLeft"/>
    <w:rsid w:val="00F02F08"/>
    <w:pPr>
      <w:ind w:left="284"/>
    </w:pPr>
  </w:style>
  <w:style w:type="paragraph" w:styleId="TOC3">
    <w:name w:val="toc 3"/>
    <w:basedOn w:val="Normal"/>
    <w:next w:val="Normal"/>
    <w:uiPriority w:val="39"/>
    <w:rsid w:val="00F02F08"/>
    <w:pPr>
      <w:tabs>
        <w:tab w:val="right" w:leader="dot" w:pos="9072"/>
      </w:tabs>
      <w:spacing w:before="20" w:after="0"/>
      <w:ind w:left="284" w:right="-2"/>
    </w:pPr>
    <w:rPr>
      <w:rFonts w:cs="Calibri"/>
      <w:noProof/>
    </w:rPr>
  </w:style>
  <w:style w:type="paragraph" w:customStyle="1" w:styleId="CoverDate">
    <w:name w:val="Cover Date"/>
    <w:basedOn w:val="Normal"/>
    <w:rsid w:val="00C725DE"/>
    <w:pPr>
      <w:keepNext/>
      <w:spacing w:before="840" w:after="0"/>
      <w:jc w:val="right"/>
    </w:pPr>
    <w:rPr>
      <w:color w:val="2C384A" w:themeColor="accent1"/>
      <w:sz w:val="28"/>
    </w:rPr>
  </w:style>
  <w:style w:type="paragraph" w:customStyle="1" w:styleId="CoverTitleMain">
    <w:name w:val="Cover Title Main"/>
    <w:basedOn w:val="Normal"/>
    <w:next w:val="Normal"/>
    <w:autoRedefine/>
    <w:qFormat/>
    <w:rsid w:val="008B1B24"/>
    <w:pPr>
      <w:keepNext/>
      <w:spacing w:before="3360" w:after="720" w:line="300" w:lineRule="auto"/>
      <w:jc w:val="right"/>
    </w:pPr>
    <w:rPr>
      <w:rFonts w:ascii="Calibri" w:hAnsi="Calibri"/>
      <w:color w:val="2C384A" w:themeColor="accent1"/>
      <w:sz w:val="56"/>
      <w:szCs w:val="40"/>
    </w:rPr>
  </w:style>
  <w:style w:type="paragraph" w:customStyle="1" w:styleId="CoverTitleSub">
    <w:name w:val="Cover Title Sub"/>
    <w:basedOn w:val="Normal"/>
    <w:rsid w:val="00647528"/>
    <w:pPr>
      <w:keepNext/>
      <w:jc w:val="right"/>
    </w:pPr>
    <w:rPr>
      <w:rFonts w:ascii="Calibri" w:hAnsi="Calibri"/>
      <w:color w:val="2C384A" w:themeColor="accent1"/>
      <w:sz w:val="40"/>
    </w:rPr>
  </w:style>
  <w:style w:type="character" w:styleId="FollowedHyperlink">
    <w:name w:val="FollowedHyperlink"/>
    <w:basedOn w:val="DefaultParagraphFont"/>
    <w:uiPriority w:val="99"/>
    <w:semiHidden/>
    <w:unhideWhenUsed/>
    <w:rsid w:val="00E02B6D"/>
    <w:rPr>
      <w:color w:val="844D9E" w:themeColor="followedHyperlink"/>
      <w:u w:val="single"/>
    </w:rPr>
  </w:style>
  <w:style w:type="character" w:styleId="UnresolvedMention">
    <w:name w:val="Unresolved Mention"/>
    <w:basedOn w:val="DefaultParagraphFont"/>
    <w:uiPriority w:val="99"/>
    <w:unhideWhenUsed/>
    <w:rsid w:val="006351F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102F1"/>
    <w:rPr>
      <w:rFonts w:ascii="Calibri Light" w:hAnsi="Calibri Light"/>
      <w:b/>
      <w:bCs/>
    </w:rPr>
  </w:style>
  <w:style w:type="character" w:customStyle="1" w:styleId="CommentSubjectChar">
    <w:name w:val="Comment Subject Char"/>
    <w:basedOn w:val="CommentTextChar"/>
    <w:link w:val="CommentSubject"/>
    <w:uiPriority w:val="99"/>
    <w:semiHidden/>
    <w:rsid w:val="00C102F1"/>
    <w:rPr>
      <w:rFonts w:ascii="Calibri Light" w:eastAsia="Times New Roman" w:hAnsi="Calibri Light" w:cs="Times New Roman"/>
      <w:b/>
      <w:bCs/>
      <w:sz w:val="20"/>
      <w:szCs w:val="20"/>
      <w:lang w:eastAsia="en-AU"/>
    </w:rPr>
  </w:style>
  <w:style w:type="table" w:styleId="TableGridLight">
    <w:name w:val="Grid Table Light"/>
    <w:basedOn w:val="TableNormal"/>
    <w:uiPriority w:val="40"/>
    <w:rsid w:val="009178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677D5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77D50"/>
  </w:style>
  <w:style w:type="character" w:customStyle="1" w:styleId="normaltextrun">
    <w:name w:val="normaltextrun"/>
    <w:basedOn w:val="DefaultParagraphFont"/>
    <w:rsid w:val="00677D50"/>
  </w:style>
  <w:style w:type="character" w:customStyle="1" w:styleId="unsupportedobjecttext">
    <w:name w:val="unsupportedobjecttext"/>
    <w:basedOn w:val="DefaultParagraphFont"/>
    <w:rsid w:val="00677D50"/>
  </w:style>
  <w:style w:type="paragraph" w:styleId="NormalWeb">
    <w:name w:val="Normal (Web)"/>
    <w:basedOn w:val="Normal"/>
    <w:uiPriority w:val="99"/>
    <w:semiHidden/>
    <w:unhideWhenUsed/>
    <w:rsid w:val="00681C78"/>
    <w:rPr>
      <w:rFonts w:ascii="Times New Roman" w:hAnsi="Times New Roman"/>
      <w:sz w:val="24"/>
      <w:szCs w:val="24"/>
    </w:rPr>
  </w:style>
  <w:style w:type="paragraph" w:styleId="Caption">
    <w:name w:val="caption"/>
    <w:basedOn w:val="Normal"/>
    <w:next w:val="Normal"/>
    <w:uiPriority w:val="35"/>
    <w:unhideWhenUsed/>
    <w:qFormat/>
    <w:rsid w:val="00831DBE"/>
    <w:pPr>
      <w:spacing w:before="0" w:after="200"/>
    </w:pPr>
    <w:rPr>
      <w:i/>
      <w:iCs/>
      <w:color w:val="5F5F5F" w:themeColor="text2"/>
      <w:sz w:val="18"/>
      <w:szCs w:val="18"/>
    </w:rPr>
  </w:style>
  <w:style w:type="paragraph" w:styleId="Revision">
    <w:name w:val="Revision"/>
    <w:hidden/>
    <w:uiPriority w:val="99"/>
    <w:semiHidden/>
    <w:rsid w:val="001F61BF"/>
    <w:pPr>
      <w:spacing w:after="0" w:line="240" w:lineRule="auto"/>
    </w:pPr>
    <w:rPr>
      <w:rFonts w:ascii="Calibri Light" w:eastAsia="Times New Roman" w:hAnsi="Calibri Light" w:cs="Times New Roman"/>
      <w:szCs w:val="20"/>
      <w:lang w:eastAsia="en-AU"/>
    </w:rPr>
  </w:style>
  <w:style w:type="character" w:styleId="Mention">
    <w:name w:val="Mention"/>
    <w:basedOn w:val="DefaultParagraphFont"/>
    <w:uiPriority w:val="99"/>
    <w:unhideWhenUsed/>
    <w:rsid w:val="0014484A"/>
    <w:rPr>
      <w:color w:val="2B579A"/>
      <w:shd w:val="clear" w:color="auto" w:fill="E1DFDD"/>
    </w:rPr>
  </w:style>
  <w:style w:type="character" w:styleId="Strong">
    <w:name w:val="Strong"/>
    <w:basedOn w:val="DefaultParagraphFont"/>
    <w:uiPriority w:val="22"/>
    <w:qFormat/>
    <w:rsid w:val="006E2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456">
      <w:bodyDiv w:val="1"/>
      <w:marLeft w:val="0"/>
      <w:marRight w:val="0"/>
      <w:marTop w:val="0"/>
      <w:marBottom w:val="0"/>
      <w:divBdr>
        <w:top w:val="none" w:sz="0" w:space="0" w:color="auto"/>
        <w:left w:val="none" w:sz="0" w:space="0" w:color="auto"/>
        <w:bottom w:val="none" w:sz="0" w:space="0" w:color="auto"/>
        <w:right w:val="none" w:sz="0" w:space="0" w:color="auto"/>
      </w:divBdr>
    </w:div>
    <w:div w:id="27685644">
      <w:bodyDiv w:val="1"/>
      <w:marLeft w:val="0"/>
      <w:marRight w:val="0"/>
      <w:marTop w:val="0"/>
      <w:marBottom w:val="0"/>
      <w:divBdr>
        <w:top w:val="none" w:sz="0" w:space="0" w:color="auto"/>
        <w:left w:val="none" w:sz="0" w:space="0" w:color="auto"/>
        <w:bottom w:val="none" w:sz="0" w:space="0" w:color="auto"/>
        <w:right w:val="none" w:sz="0" w:space="0" w:color="auto"/>
      </w:divBdr>
    </w:div>
    <w:div w:id="268585180">
      <w:bodyDiv w:val="1"/>
      <w:marLeft w:val="0"/>
      <w:marRight w:val="0"/>
      <w:marTop w:val="0"/>
      <w:marBottom w:val="0"/>
      <w:divBdr>
        <w:top w:val="none" w:sz="0" w:space="0" w:color="auto"/>
        <w:left w:val="none" w:sz="0" w:space="0" w:color="auto"/>
        <w:bottom w:val="none" w:sz="0" w:space="0" w:color="auto"/>
        <w:right w:val="none" w:sz="0" w:space="0" w:color="auto"/>
      </w:divBdr>
    </w:div>
    <w:div w:id="361711268">
      <w:bodyDiv w:val="1"/>
      <w:marLeft w:val="0"/>
      <w:marRight w:val="0"/>
      <w:marTop w:val="0"/>
      <w:marBottom w:val="0"/>
      <w:divBdr>
        <w:top w:val="none" w:sz="0" w:space="0" w:color="auto"/>
        <w:left w:val="none" w:sz="0" w:space="0" w:color="auto"/>
        <w:bottom w:val="none" w:sz="0" w:space="0" w:color="auto"/>
        <w:right w:val="none" w:sz="0" w:space="0" w:color="auto"/>
      </w:divBdr>
    </w:div>
    <w:div w:id="366563415">
      <w:bodyDiv w:val="1"/>
      <w:marLeft w:val="0"/>
      <w:marRight w:val="0"/>
      <w:marTop w:val="0"/>
      <w:marBottom w:val="0"/>
      <w:divBdr>
        <w:top w:val="none" w:sz="0" w:space="0" w:color="auto"/>
        <w:left w:val="none" w:sz="0" w:space="0" w:color="auto"/>
        <w:bottom w:val="none" w:sz="0" w:space="0" w:color="auto"/>
        <w:right w:val="none" w:sz="0" w:space="0" w:color="auto"/>
      </w:divBdr>
    </w:div>
    <w:div w:id="370152360">
      <w:bodyDiv w:val="1"/>
      <w:marLeft w:val="0"/>
      <w:marRight w:val="0"/>
      <w:marTop w:val="0"/>
      <w:marBottom w:val="0"/>
      <w:divBdr>
        <w:top w:val="none" w:sz="0" w:space="0" w:color="auto"/>
        <w:left w:val="none" w:sz="0" w:space="0" w:color="auto"/>
        <w:bottom w:val="none" w:sz="0" w:space="0" w:color="auto"/>
        <w:right w:val="none" w:sz="0" w:space="0" w:color="auto"/>
      </w:divBdr>
    </w:div>
    <w:div w:id="386875815">
      <w:bodyDiv w:val="1"/>
      <w:marLeft w:val="0"/>
      <w:marRight w:val="0"/>
      <w:marTop w:val="0"/>
      <w:marBottom w:val="0"/>
      <w:divBdr>
        <w:top w:val="none" w:sz="0" w:space="0" w:color="auto"/>
        <w:left w:val="none" w:sz="0" w:space="0" w:color="auto"/>
        <w:bottom w:val="none" w:sz="0" w:space="0" w:color="auto"/>
        <w:right w:val="none" w:sz="0" w:space="0" w:color="auto"/>
      </w:divBdr>
    </w:div>
    <w:div w:id="476991438">
      <w:bodyDiv w:val="1"/>
      <w:marLeft w:val="0"/>
      <w:marRight w:val="0"/>
      <w:marTop w:val="0"/>
      <w:marBottom w:val="0"/>
      <w:divBdr>
        <w:top w:val="none" w:sz="0" w:space="0" w:color="auto"/>
        <w:left w:val="none" w:sz="0" w:space="0" w:color="auto"/>
        <w:bottom w:val="none" w:sz="0" w:space="0" w:color="auto"/>
        <w:right w:val="none" w:sz="0" w:space="0" w:color="auto"/>
      </w:divBdr>
    </w:div>
    <w:div w:id="480971228">
      <w:bodyDiv w:val="1"/>
      <w:marLeft w:val="0"/>
      <w:marRight w:val="0"/>
      <w:marTop w:val="0"/>
      <w:marBottom w:val="0"/>
      <w:divBdr>
        <w:top w:val="none" w:sz="0" w:space="0" w:color="auto"/>
        <w:left w:val="none" w:sz="0" w:space="0" w:color="auto"/>
        <w:bottom w:val="none" w:sz="0" w:space="0" w:color="auto"/>
        <w:right w:val="none" w:sz="0" w:space="0" w:color="auto"/>
      </w:divBdr>
    </w:div>
    <w:div w:id="491719550">
      <w:bodyDiv w:val="1"/>
      <w:marLeft w:val="0"/>
      <w:marRight w:val="0"/>
      <w:marTop w:val="0"/>
      <w:marBottom w:val="0"/>
      <w:divBdr>
        <w:top w:val="none" w:sz="0" w:space="0" w:color="auto"/>
        <w:left w:val="none" w:sz="0" w:space="0" w:color="auto"/>
        <w:bottom w:val="none" w:sz="0" w:space="0" w:color="auto"/>
        <w:right w:val="none" w:sz="0" w:space="0" w:color="auto"/>
      </w:divBdr>
    </w:div>
    <w:div w:id="526258594">
      <w:bodyDiv w:val="1"/>
      <w:marLeft w:val="0"/>
      <w:marRight w:val="0"/>
      <w:marTop w:val="0"/>
      <w:marBottom w:val="0"/>
      <w:divBdr>
        <w:top w:val="none" w:sz="0" w:space="0" w:color="auto"/>
        <w:left w:val="none" w:sz="0" w:space="0" w:color="auto"/>
        <w:bottom w:val="none" w:sz="0" w:space="0" w:color="auto"/>
        <w:right w:val="none" w:sz="0" w:space="0" w:color="auto"/>
      </w:divBdr>
    </w:div>
    <w:div w:id="538779822">
      <w:bodyDiv w:val="1"/>
      <w:marLeft w:val="0"/>
      <w:marRight w:val="0"/>
      <w:marTop w:val="0"/>
      <w:marBottom w:val="0"/>
      <w:divBdr>
        <w:top w:val="none" w:sz="0" w:space="0" w:color="auto"/>
        <w:left w:val="none" w:sz="0" w:space="0" w:color="auto"/>
        <w:bottom w:val="none" w:sz="0" w:space="0" w:color="auto"/>
        <w:right w:val="none" w:sz="0" w:space="0" w:color="auto"/>
      </w:divBdr>
    </w:div>
    <w:div w:id="657343924">
      <w:bodyDiv w:val="1"/>
      <w:marLeft w:val="0"/>
      <w:marRight w:val="0"/>
      <w:marTop w:val="0"/>
      <w:marBottom w:val="0"/>
      <w:divBdr>
        <w:top w:val="none" w:sz="0" w:space="0" w:color="auto"/>
        <w:left w:val="none" w:sz="0" w:space="0" w:color="auto"/>
        <w:bottom w:val="none" w:sz="0" w:space="0" w:color="auto"/>
        <w:right w:val="none" w:sz="0" w:space="0" w:color="auto"/>
      </w:divBdr>
    </w:div>
    <w:div w:id="681203329">
      <w:bodyDiv w:val="1"/>
      <w:marLeft w:val="0"/>
      <w:marRight w:val="0"/>
      <w:marTop w:val="0"/>
      <w:marBottom w:val="0"/>
      <w:divBdr>
        <w:top w:val="none" w:sz="0" w:space="0" w:color="auto"/>
        <w:left w:val="none" w:sz="0" w:space="0" w:color="auto"/>
        <w:bottom w:val="none" w:sz="0" w:space="0" w:color="auto"/>
        <w:right w:val="none" w:sz="0" w:space="0" w:color="auto"/>
      </w:divBdr>
    </w:div>
    <w:div w:id="840659003">
      <w:bodyDiv w:val="1"/>
      <w:marLeft w:val="0"/>
      <w:marRight w:val="0"/>
      <w:marTop w:val="0"/>
      <w:marBottom w:val="0"/>
      <w:divBdr>
        <w:top w:val="none" w:sz="0" w:space="0" w:color="auto"/>
        <w:left w:val="none" w:sz="0" w:space="0" w:color="auto"/>
        <w:bottom w:val="none" w:sz="0" w:space="0" w:color="auto"/>
        <w:right w:val="none" w:sz="0" w:space="0" w:color="auto"/>
      </w:divBdr>
    </w:div>
    <w:div w:id="888225133">
      <w:bodyDiv w:val="1"/>
      <w:marLeft w:val="0"/>
      <w:marRight w:val="0"/>
      <w:marTop w:val="0"/>
      <w:marBottom w:val="0"/>
      <w:divBdr>
        <w:top w:val="none" w:sz="0" w:space="0" w:color="auto"/>
        <w:left w:val="none" w:sz="0" w:space="0" w:color="auto"/>
        <w:bottom w:val="none" w:sz="0" w:space="0" w:color="auto"/>
        <w:right w:val="none" w:sz="0" w:space="0" w:color="auto"/>
      </w:divBdr>
    </w:div>
    <w:div w:id="939602824">
      <w:bodyDiv w:val="1"/>
      <w:marLeft w:val="0"/>
      <w:marRight w:val="0"/>
      <w:marTop w:val="0"/>
      <w:marBottom w:val="0"/>
      <w:divBdr>
        <w:top w:val="none" w:sz="0" w:space="0" w:color="auto"/>
        <w:left w:val="none" w:sz="0" w:space="0" w:color="auto"/>
        <w:bottom w:val="none" w:sz="0" w:space="0" w:color="auto"/>
        <w:right w:val="none" w:sz="0" w:space="0" w:color="auto"/>
      </w:divBdr>
    </w:div>
    <w:div w:id="1037002474">
      <w:bodyDiv w:val="1"/>
      <w:marLeft w:val="0"/>
      <w:marRight w:val="0"/>
      <w:marTop w:val="0"/>
      <w:marBottom w:val="0"/>
      <w:divBdr>
        <w:top w:val="none" w:sz="0" w:space="0" w:color="auto"/>
        <w:left w:val="none" w:sz="0" w:space="0" w:color="auto"/>
        <w:bottom w:val="none" w:sz="0" w:space="0" w:color="auto"/>
        <w:right w:val="none" w:sz="0" w:space="0" w:color="auto"/>
      </w:divBdr>
    </w:div>
    <w:div w:id="1108427975">
      <w:bodyDiv w:val="1"/>
      <w:marLeft w:val="0"/>
      <w:marRight w:val="0"/>
      <w:marTop w:val="0"/>
      <w:marBottom w:val="0"/>
      <w:divBdr>
        <w:top w:val="none" w:sz="0" w:space="0" w:color="auto"/>
        <w:left w:val="none" w:sz="0" w:space="0" w:color="auto"/>
        <w:bottom w:val="none" w:sz="0" w:space="0" w:color="auto"/>
        <w:right w:val="none" w:sz="0" w:space="0" w:color="auto"/>
      </w:divBdr>
    </w:div>
    <w:div w:id="1185053026">
      <w:bodyDiv w:val="1"/>
      <w:marLeft w:val="0"/>
      <w:marRight w:val="0"/>
      <w:marTop w:val="0"/>
      <w:marBottom w:val="0"/>
      <w:divBdr>
        <w:top w:val="none" w:sz="0" w:space="0" w:color="auto"/>
        <w:left w:val="none" w:sz="0" w:space="0" w:color="auto"/>
        <w:bottom w:val="none" w:sz="0" w:space="0" w:color="auto"/>
        <w:right w:val="none" w:sz="0" w:space="0" w:color="auto"/>
      </w:divBdr>
    </w:div>
    <w:div w:id="1199513711">
      <w:bodyDiv w:val="1"/>
      <w:marLeft w:val="0"/>
      <w:marRight w:val="0"/>
      <w:marTop w:val="0"/>
      <w:marBottom w:val="0"/>
      <w:divBdr>
        <w:top w:val="none" w:sz="0" w:space="0" w:color="auto"/>
        <w:left w:val="none" w:sz="0" w:space="0" w:color="auto"/>
        <w:bottom w:val="none" w:sz="0" w:space="0" w:color="auto"/>
        <w:right w:val="none" w:sz="0" w:space="0" w:color="auto"/>
      </w:divBdr>
    </w:div>
    <w:div w:id="1217009629">
      <w:bodyDiv w:val="1"/>
      <w:marLeft w:val="0"/>
      <w:marRight w:val="0"/>
      <w:marTop w:val="0"/>
      <w:marBottom w:val="0"/>
      <w:divBdr>
        <w:top w:val="none" w:sz="0" w:space="0" w:color="auto"/>
        <w:left w:val="none" w:sz="0" w:space="0" w:color="auto"/>
        <w:bottom w:val="none" w:sz="0" w:space="0" w:color="auto"/>
        <w:right w:val="none" w:sz="0" w:space="0" w:color="auto"/>
      </w:divBdr>
    </w:div>
    <w:div w:id="1273901716">
      <w:bodyDiv w:val="1"/>
      <w:marLeft w:val="0"/>
      <w:marRight w:val="0"/>
      <w:marTop w:val="0"/>
      <w:marBottom w:val="0"/>
      <w:divBdr>
        <w:top w:val="none" w:sz="0" w:space="0" w:color="auto"/>
        <w:left w:val="none" w:sz="0" w:space="0" w:color="auto"/>
        <w:bottom w:val="none" w:sz="0" w:space="0" w:color="auto"/>
        <w:right w:val="none" w:sz="0" w:space="0" w:color="auto"/>
      </w:divBdr>
    </w:div>
    <w:div w:id="1351835034">
      <w:bodyDiv w:val="1"/>
      <w:marLeft w:val="0"/>
      <w:marRight w:val="0"/>
      <w:marTop w:val="0"/>
      <w:marBottom w:val="0"/>
      <w:divBdr>
        <w:top w:val="none" w:sz="0" w:space="0" w:color="auto"/>
        <w:left w:val="none" w:sz="0" w:space="0" w:color="auto"/>
        <w:bottom w:val="none" w:sz="0" w:space="0" w:color="auto"/>
        <w:right w:val="none" w:sz="0" w:space="0" w:color="auto"/>
      </w:divBdr>
    </w:div>
    <w:div w:id="1423794541">
      <w:bodyDiv w:val="1"/>
      <w:marLeft w:val="0"/>
      <w:marRight w:val="0"/>
      <w:marTop w:val="0"/>
      <w:marBottom w:val="0"/>
      <w:divBdr>
        <w:top w:val="none" w:sz="0" w:space="0" w:color="auto"/>
        <w:left w:val="none" w:sz="0" w:space="0" w:color="auto"/>
        <w:bottom w:val="none" w:sz="0" w:space="0" w:color="auto"/>
        <w:right w:val="none" w:sz="0" w:space="0" w:color="auto"/>
      </w:divBdr>
    </w:div>
    <w:div w:id="1441534394">
      <w:bodyDiv w:val="1"/>
      <w:marLeft w:val="0"/>
      <w:marRight w:val="0"/>
      <w:marTop w:val="0"/>
      <w:marBottom w:val="0"/>
      <w:divBdr>
        <w:top w:val="none" w:sz="0" w:space="0" w:color="auto"/>
        <w:left w:val="none" w:sz="0" w:space="0" w:color="auto"/>
        <w:bottom w:val="none" w:sz="0" w:space="0" w:color="auto"/>
        <w:right w:val="none" w:sz="0" w:space="0" w:color="auto"/>
      </w:divBdr>
    </w:div>
    <w:div w:id="1483233323">
      <w:bodyDiv w:val="1"/>
      <w:marLeft w:val="0"/>
      <w:marRight w:val="0"/>
      <w:marTop w:val="0"/>
      <w:marBottom w:val="0"/>
      <w:divBdr>
        <w:top w:val="none" w:sz="0" w:space="0" w:color="auto"/>
        <w:left w:val="none" w:sz="0" w:space="0" w:color="auto"/>
        <w:bottom w:val="none" w:sz="0" w:space="0" w:color="auto"/>
        <w:right w:val="none" w:sz="0" w:space="0" w:color="auto"/>
      </w:divBdr>
    </w:div>
    <w:div w:id="1519156104">
      <w:bodyDiv w:val="1"/>
      <w:marLeft w:val="0"/>
      <w:marRight w:val="0"/>
      <w:marTop w:val="0"/>
      <w:marBottom w:val="0"/>
      <w:divBdr>
        <w:top w:val="none" w:sz="0" w:space="0" w:color="auto"/>
        <w:left w:val="none" w:sz="0" w:space="0" w:color="auto"/>
        <w:bottom w:val="none" w:sz="0" w:space="0" w:color="auto"/>
        <w:right w:val="none" w:sz="0" w:space="0" w:color="auto"/>
      </w:divBdr>
    </w:div>
    <w:div w:id="1566843288">
      <w:bodyDiv w:val="1"/>
      <w:marLeft w:val="0"/>
      <w:marRight w:val="0"/>
      <w:marTop w:val="0"/>
      <w:marBottom w:val="0"/>
      <w:divBdr>
        <w:top w:val="none" w:sz="0" w:space="0" w:color="auto"/>
        <w:left w:val="none" w:sz="0" w:space="0" w:color="auto"/>
        <w:bottom w:val="none" w:sz="0" w:space="0" w:color="auto"/>
        <w:right w:val="none" w:sz="0" w:space="0" w:color="auto"/>
      </w:divBdr>
    </w:div>
    <w:div w:id="1615214995">
      <w:bodyDiv w:val="1"/>
      <w:marLeft w:val="0"/>
      <w:marRight w:val="0"/>
      <w:marTop w:val="0"/>
      <w:marBottom w:val="0"/>
      <w:divBdr>
        <w:top w:val="none" w:sz="0" w:space="0" w:color="auto"/>
        <w:left w:val="none" w:sz="0" w:space="0" w:color="auto"/>
        <w:bottom w:val="none" w:sz="0" w:space="0" w:color="auto"/>
        <w:right w:val="none" w:sz="0" w:space="0" w:color="auto"/>
      </w:divBdr>
    </w:div>
    <w:div w:id="1669478737">
      <w:bodyDiv w:val="1"/>
      <w:marLeft w:val="0"/>
      <w:marRight w:val="0"/>
      <w:marTop w:val="0"/>
      <w:marBottom w:val="0"/>
      <w:divBdr>
        <w:top w:val="none" w:sz="0" w:space="0" w:color="auto"/>
        <w:left w:val="none" w:sz="0" w:space="0" w:color="auto"/>
        <w:bottom w:val="none" w:sz="0" w:space="0" w:color="auto"/>
        <w:right w:val="none" w:sz="0" w:space="0" w:color="auto"/>
      </w:divBdr>
    </w:div>
    <w:div w:id="1719476270">
      <w:bodyDiv w:val="1"/>
      <w:marLeft w:val="0"/>
      <w:marRight w:val="0"/>
      <w:marTop w:val="0"/>
      <w:marBottom w:val="0"/>
      <w:divBdr>
        <w:top w:val="none" w:sz="0" w:space="0" w:color="auto"/>
        <w:left w:val="none" w:sz="0" w:space="0" w:color="auto"/>
        <w:bottom w:val="none" w:sz="0" w:space="0" w:color="auto"/>
        <w:right w:val="none" w:sz="0" w:space="0" w:color="auto"/>
      </w:divBdr>
    </w:div>
    <w:div w:id="1736463385">
      <w:bodyDiv w:val="1"/>
      <w:marLeft w:val="0"/>
      <w:marRight w:val="0"/>
      <w:marTop w:val="0"/>
      <w:marBottom w:val="0"/>
      <w:divBdr>
        <w:top w:val="none" w:sz="0" w:space="0" w:color="auto"/>
        <w:left w:val="none" w:sz="0" w:space="0" w:color="auto"/>
        <w:bottom w:val="none" w:sz="0" w:space="0" w:color="auto"/>
        <w:right w:val="none" w:sz="0" w:space="0" w:color="auto"/>
      </w:divBdr>
      <w:divsChild>
        <w:div w:id="170726251">
          <w:marLeft w:val="0"/>
          <w:marRight w:val="0"/>
          <w:marTop w:val="0"/>
          <w:marBottom w:val="0"/>
          <w:divBdr>
            <w:top w:val="none" w:sz="0" w:space="0" w:color="auto"/>
            <w:left w:val="none" w:sz="0" w:space="0" w:color="auto"/>
            <w:bottom w:val="none" w:sz="0" w:space="0" w:color="auto"/>
            <w:right w:val="none" w:sz="0" w:space="0" w:color="auto"/>
          </w:divBdr>
          <w:divsChild>
            <w:div w:id="695959192">
              <w:marLeft w:val="0"/>
              <w:marRight w:val="0"/>
              <w:marTop w:val="0"/>
              <w:marBottom w:val="0"/>
              <w:divBdr>
                <w:top w:val="none" w:sz="0" w:space="0" w:color="auto"/>
                <w:left w:val="none" w:sz="0" w:space="0" w:color="auto"/>
                <w:bottom w:val="none" w:sz="0" w:space="0" w:color="auto"/>
                <w:right w:val="none" w:sz="0" w:space="0" w:color="auto"/>
              </w:divBdr>
            </w:div>
            <w:div w:id="860240487">
              <w:marLeft w:val="0"/>
              <w:marRight w:val="0"/>
              <w:marTop w:val="0"/>
              <w:marBottom w:val="0"/>
              <w:divBdr>
                <w:top w:val="none" w:sz="0" w:space="0" w:color="auto"/>
                <w:left w:val="none" w:sz="0" w:space="0" w:color="auto"/>
                <w:bottom w:val="none" w:sz="0" w:space="0" w:color="auto"/>
                <w:right w:val="none" w:sz="0" w:space="0" w:color="auto"/>
              </w:divBdr>
            </w:div>
          </w:divsChild>
        </w:div>
        <w:div w:id="560675550">
          <w:marLeft w:val="0"/>
          <w:marRight w:val="0"/>
          <w:marTop w:val="0"/>
          <w:marBottom w:val="0"/>
          <w:divBdr>
            <w:top w:val="none" w:sz="0" w:space="0" w:color="auto"/>
            <w:left w:val="none" w:sz="0" w:space="0" w:color="auto"/>
            <w:bottom w:val="none" w:sz="0" w:space="0" w:color="auto"/>
            <w:right w:val="none" w:sz="0" w:space="0" w:color="auto"/>
          </w:divBdr>
          <w:divsChild>
            <w:div w:id="1675186739">
              <w:marLeft w:val="0"/>
              <w:marRight w:val="0"/>
              <w:marTop w:val="0"/>
              <w:marBottom w:val="0"/>
              <w:divBdr>
                <w:top w:val="none" w:sz="0" w:space="0" w:color="auto"/>
                <w:left w:val="none" w:sz="0" w:space="0" w:color="auto"/>
                <w:bottom w:val="none" w:sz="0" w:space="0" w:color="auto"/>
                <w:right w:val="none" w:sz="0" w:space="0" w:color="auto"/>
              </w:divBdr>
            </w:div>
          </w:divsChild>
        </w:div>
        <w:div w:id="619142906">
          <w:marLeft w:val="0"/>
          <w:marRight w:val="0"/>
          <w:marTop w:val="0"/>
          <w:marBottom w:val="0"/>
          <w:divBdr>
            <w:top w:val="none" w:sz="0" w:space="0" w:color="auto"/>
            <w:left w:val="none" w:sz="0" w:space="0" w:color="auto"/>
            <w:bottom w:val="none" w:sz="0" w:space="0" w:color="auto"/>
            <w:right w:val="none" w:sz="0" w:space="0" w:color="auto"/>
          </w:divBdr>
          <w:divsChild>
            <w:div w:id="18047157">
              <w:marLeft w:val="0"/>
              <w:marRight w:val="0"/>
              <w:marTop w:val="0"/>
              <w:marBottom w:val="0"/>
              <w:divBdr>
                <w:top w:val="none" w:sz="0" w:space="0" w:color="auto"/>
                <w:left w:val="none" w:sz="0" w:space="0" w:color="auto"/>
                <w:bottom w:val="none" w:sz="0" w:space="0" w:color="auto"/>
                <w:right w:val="none" w:sz="0" w:space="0" w:color="auto"/>
              </w:divBdr>
            </w:div>
          </w:divsChild>
        </w:div>
        <w:div w:id="856389926">
          <w:marLeft w:val="0"/>
          <w:marRight w:val="0"/>
          <w:marTop w:val="0"/>
          <w:marBottom w:val="0"/>
          <w:divBdr>
            <w:top w:val="none" w:sz="0" w:space="0" w:color="auto"/>
            <w:left w:val="none" w:sz="0" w:space="0" w:color="auto"/>
            <w:bottom w:val="none" w:sz="0" w:space="0" w:color="auto"/>
            <w:right w:val="none" w:sz="0" w:space="0" w:color="auto"/>
          </w:divBdr>
          <w:divsChild>
            <w:div w:id="1064911454">
              <w:marLeft w:val="0"/>
              <w:marRight w:val="0"/>
              <w:marTop w:val="0"/>
              <w:marBottom w:val="0"/>
              <w:divBdr>
                <w:top w:val="none" w:sz="0" w:space="0" w:color="auto"/>
                <w:left w:val="none" w:sz="0" w:space="0" w:color="auto"/>
                <w:bottom w:val="none" w:sz="0" w:space="0" w:color="auto"/>
                <w:right w:val="none" w:sz="0" w:space="0" w:color="auto"/>
              </w:divBdr>
            </w:div>
          </w:divsChild>
        </w:div>
        <w:div w:id="974917161">
          <w:marLeft w:val="0"/>
          <w:marRight w:val="0"/>
          <w:marTop w:val="0"/>
          <w:marBottom w:val="0"/>
          <w:divBdr>
            <w:top w:val="none" w:sz="0" w:space="0" w:color="auto"/>
            <w:left w:val="none" w:sz="0" w:space="0" w:color="auto"/>
            <w:bottom w:val="none" w:sz="0" w:space="0" w:color="auto"/>
            <w:right w:val="none" w:sz="0" w:space="0" w:color="auto"/>
          </w:divBdr>
          <w:divsChild>
            <w:div w:id="1605386249">
              <w:marLeft w:val="0"/>
              <w:marRight w:val="0"/>
              <w:marTop w:val="0"/>
              <w:marBottom w:val="0"/>
              <w:divBdr>
                <w:top w:val="none" w:sz="0" w:space="0" w:color="auto"/>
                <w:left w:val="none" w:sz="0" w:space="0" w:color="auto"/>
                <w:bottom w:val="none" w:sz="0" w:space="0" w:color="auto"/>
                <w:right w:val="none" w:sz="0" w:space="0" w:color="auto"/>
              </w:divBdr>
            </w:div>
          </w:divsChild>
        </w:div>
        <w:div w:id="981927161">
          <w:marLeft w:val="0"/>
          <w:marRight w:val="0"/>
          <w:marTop w:val="0"/>
          <w:marBottom w:val="0"/>
          <w:divBdr>
            <w:top w:val="none" w:sz="0" w:space="0" w:color="auto"/>
            <w:left w:val="none" w:sz="0" w:space="0" w:color="auto"/>
            <w:bottom w:val="none" w:sz="0" w:space="0" w:color="auto"/>
            <w:right w:val="none" w:sz="0" w:space="0" w:color="auto"/>
          </w:divBdr>
          <w:divsChild>
            <w:div w:id="662196605">
              <w:marLeft w:val="0"/>
              <w:marRight w:val="0"/>
              <w:marTop w:val="0"/>
              <w:marBottom w:val="0"/>
              <w:divBdr>
                <w:top w:val="none" w:sz="0" w:space="0" w:color="auto"/>
                <w:left w:val="none" w:sz="0" w:space="0" w:color="auto"/>
                <w:bottom w:val="none" w:sz="0" w:space="0" w:color="auto"/>
                <w:right w:val="none" w:sz="0" w:space="0" w:color="auto"/>
              </w:divBdr>
            </w:div>
          </w:divsChild>
        </w:div>
        <w:div w:id="1043672850">
          <w:marLeft w:val="0"/>
          <w:marRight w:val="0"/>
          <w:marTop w:val="0"/>
          <w:marBottom w:val="0"/>
          <w:divBdr>
            <w:top w:val="none" w:sz="0" w:space="0" w:color="auto"/>
            <w:left w:val="none" w:sz="0" w:space="0" w:color="auto"/>
            <w:bottom w:val="none" w:sz="0" w:space="0" w:color="auto"/>
            <w:right w:val="none" w:sz="0" w:space="0" w:color="auto"/>
          </w:divBdr>
          <w:divsChild>
            <w:div w:id="927737600">
              <w:marLeft w:val="0"/>
              <w:marRight w:val="0"/>
              <w:marTop w:val="0"/>
              <w:marBottom w:val="0"/>
              <w:divBdr>
                <w:top w:val="none" w:sz="0" w:space="0" w:color="auto"/>
                <w:left w:val="none" w:sz="0" w:space="0" w:color="auto"/>
                <w:bottom w:val="none" w:sz="0" w:space="0" w:color="auto"/>
                <w:right w:val="none" w:sz="0" w:space="0" w:color="auto"/>
              </w:divBdr>
            </w:div>
            <w:div w:id="1244222419">
              <w:marLeft w:val="0"/>
              <w:marRight w:val="0"/>
              <w:marTop w:val="0"/>
              <w:marBottom w:val="0"/>
              <w:divBdr>
                <w:top w:val="none" w:sz="0" w:space="0" w:color="auto"/>
                <w:left w:val="none" w:sz="0" w:space="0" w:color="auto"/>
                <w:bottom w:val="none" w:sz="0" w:space="0" w:color="auto"/>
                <w:right w:val="none" w:sz="0" w:space="0" w:color="auto"/>
              </w:divBdr>
            </w:div>
            <w:div w:id="1459373436">
              <w:marLeft w:val="0"/>
              <w:marRight w:val="0"/>
              <w:marTop w:val="0"/>
              <w:marBottom w:val="0"/>
              <w:divBdr>
                <w:top w:val="none" w:sz="0" w:space="0" w:color="auto"/>
                <w:left w:val="none" w:sz="0" w:space="0" w:color="auto"/>
                <w:bottom w:val="none" w:sz="0" w:space="0" w:color="auto"/>
                <w:right w:val="none" w:sz="0" w:space="0" w:color="auto"/>
              </w:divBdr>
            </w:div>
          </w:divsChild>
        </w:div>
        <w:div w:id="1065105661">
          <w:marLeft w:val="0"/>
          <w:marRight w:val="0"/>
          <w:marTop w:val="0"/>
          <w:marBottom w:val="0"/>
          <w:divBdr>
            <w:top w:val="none" w:sz="0" w:space="0" w:color="auto"/>
            <w:left w:val="none" w:sz="0" w:space="0" w:color="auto"/>
            <w:bottom w:val="none" w:sz="0" w:space="0" w:color="auto"/>
            <w:right w:val="none" w:sz="0" w:space="0" w:color="auto"/>
          </w:divBdr>
          <w:divsChild>
            <w:div w:id="1494224081">
              <w:marLeft w:val="0"/>
              <w:marRight w:val="0"/>
              <w:marTop w:val="0"/>
              <w:marBottom w:val="0"/>
              <w:divBdr>
                <w:top w:val="none" w:sz="0" w:space="0" w:color="auto"/>
                <w:left w:val="none" w:sz="0" w:space="0" w:color="auto"/>
                <w:bottom w:val="none" w:sz="0" w:space="0" w:color="auto"/>
                <w:right w:val="none" w:sz="0" w:space="0" w:color="auto"/>
              </w:divBdr>
            </w:div>
          </w:divsChild>
        </w:div>
        <w:div w:id="1065688237">
          <w:marLeft w:val="0"/>
          <w:marRight w:val="0"/>
          <w:marTop w:val="0"/>
          <w:marBottom w:val="0"/>
          <w:divBdr>
            <w:top w:val="none" w:sz="0" w:space="0" w:color="auto"/>
            <w:left w:val="none" w:sz="0" w:space="0" w:color="auto"/>
            <w:bottom w:val="none" w:sz="0" w:space="0" w:color="auto"/>
            <w:right w:val="none" w:sz="0" w:space="0" w:color="auto"/>
          </w:divBdr>
          <w:divsChild>
            <w:div w:id="2033723326">
              <w:marLeft w:val="0"/>
              <w:marRight w:val="0"/>
              <w:marTop w:val="0"/>
              <w:marBottom w:val="0"/>
              <w:divBdr>
                <w:top w:val="none" w:sz="0" w:space="0" w:color="auto"/>
                <w:left w:val="none" w:sz="0" w:space="0" w:color="auto"/>
                <w:bottom w:val="none" w:sz="0" w:space="0" w:color="auto"/>
                <w:right w:val="none" w:sz="0" w:space="0" w:color="auto"/>
              </w:divBdr>
            </w:div>
          </w:divsChild>
        </w:div>
        <w:div w:id="1788967106">
          <w:marLeft w:val="0"/>
          <w:marRight w:val="0"/>
          <w:marTop w:val="0"/>
          <w:marBottom w:val="0"/>
          <w:divBdr>
            <w:top w:val="none" w:sz="0" w:space="0" w:color="auto"/>
            <w:left w:val="none" w:sz="0" w:space="0" w:color="auto"/>
            <w:bottom w:val="none" w:sz="0" w:space="0" w:color="auto"/>
            <w:right w:val="none" w:sz="0" w:space="0" w:color="auto"/>
          </w:divBdr>
          <w:divsChild>
            <w:div w:id="953169383">
              <w:marLeft w:val="0"/>
              <w:marRight w:val="0"/>
              <w:marTop w:val="0"/>
              <w:marBottom w:val="0"/>
              <w:divBdr>
                <w:top w:val="none" w:sz="0" w:space="0" w:color="auto"/>
                <w:left w:val="none" w:sz="0" w:space="0" w:color="auto"/>
                <w:bottom w:val="none" w:sz="0" w:space="0" w:color="auto"/>
                <w:right w:val="none" w:sz="0" w:space="0" w:color="auto"/>
              </w:divBdr>
            </w:div>
          </w:divsChild>
        </w:div>
        <w:div w:id="2024630343">
          <w:marLeft w:val="0"/>
          <w:marRight w:val="0"/>
          <w:marTop w:val="0"/>
          <w:marBottom w:val="0"/>
          <w:divBdr>
            <w:top w:val="none" w:sz="0" w:space="0" w:color="auto"/>
            <w:left w:val="none" w:sz="0" w:space="0" w:color="auto"/>
            <w:bottom w:val="none" w:sz="0" w:space="0" w:color="auto"/>
            <w:right w:val="none" w:sz="0" w:space="0" w:color="auto"/>
          </w:divBdr>
          <w:divsChild>
            <w:div w:id="301813792">
              <w:marLeft w:val="0"/>
              <w:marRight w:val="0"/>
              <w:marTop w:val="0"/>
              <w:marBottom w:val="0"/>
              <w:divBdr>
                <w:top w:val="none" w:sz="0" w:space="0" w:color="auto"/>
                <w:left w:val="none" w:sz="0" w:space="0" w:color="auto"/>
                <w:bottom w:val="none" w:sz="0" w:space="0" w:color="auto"/>
                <w:right w:val="none" w:sz="0" w:space="0" w:color="auto"/>
              </w:divBdr>
            </w:div>
            <w:div w:id="1528525055">
              <w:marLeft w:val="0"/>
              <w:marRight w:val="0"/>
              <w:marTop w:val="0"/>
              <w:marBottom w:val="0"/>
              <w:divBdr>
                <w:top w:val="none" w:sz="0" w:space="0" w:color="auto"/>
                <w:left w:val="none" w:sz="0" w:space="0" w:color="auto"/>
                <w:bottom w:val="none" w:sz="0" w:space="0" w:color="auto"/>
                <w:right w:val="none" w:sz="0" w:space="0" w:color="auto"/>
              </w:divBdr>
            </w:div>
          </w:divsChild>
        </w:div>
        <w:div w:id="2026977395">
          <w:marLeft w:val="0"/>
          <w:marRight w:val="0"/>
          <w:marTop w:val="0"/>
          <w:marBottom w:val="0"/>
          <w:divBdr>
            <w:top w:val="none" w:sz="0" w:space="0" w:color="auto"/>
            <w:left w:val="none" w:sz="0" w:space="0" w:color="auto"/>
            <w:bottom w:val="none" w:sz="0" w:space="0" w:color="auto"/>
            <w:right w:val="none" w:sz="0" w:space="0" w:color="auto"/>
          </w:divBdr>
          <w:divsChild>
            <w:div w:id="611516535">
              <w:marLeft w:val="0"/>
              <w:marRight w:val="0"/>
              <w:marTop w:val="0"/>
              <w:marBottom w:val="0"/>
              <w:divBdr>
                <w:top w:val="none" w:sz="0" w:space="0" w:color="auto"/>
                <w:left w:val="none" w:sz="0" w:space="0" w:color="auto"/>
                <w:bottom w:val="none" w:sz="0" w:space="0" w:color="auto"/>
                <w:right w:val="none" w:sz="0" w:space="0" w:color="auto"/>
              </w:divBdr>
            </w:div>
            <w:div w:id="1285848222">
              <w:marLeft w:val="0"/>
              <w:marRight w:val="0"/>
              <w:marTop w:val="0"/>
              <w:marBottom w:val="0"/>
              <w:divBdr>
                <w:top w:val="none" w:sz="0" w:space="0" w:color="auto"/>
                <w:left w:val="none" w:sz="0" w:space="0" w:color="auto"/>
                <w:bottom w:val="none" w:sz="0" w:space="0" w:color="auto"/>
                <w:right w:val="none" w:sz="0" w:space="0" w:color="auto"/>
              </w:divBdr>
            </w:div>
            <w:div w:id="19606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6818">
      <w:bodyDiv w:val="1"/>
      <w:marLeft w:val="0"/>
      <w:marRight w:val="0"/>
      <w:marTop w:val="0"/>
      <w:marBottom w:val="0"/>
      <w:divBdr>
        <w:top w:val="none" w:sz="0" w:space="0" w:color="auto"/>
        <w:left w:val="none" w:sz="0" w:space="0" w:color="auto"/>
        <w:bottom w:val="none" w:sz="0" w:space="0" w:color="auto"/>
        <w:right w:val="none" w:sz="0" w:space="0" w:color="auto"/>
      </w:divBdr>
    </w:div>
    <w:div w:id="1952392988">
      <w:bodyDiv w:val="1"/>
      <w:marLeft w:val="0"/>
      <w:marRight w:val="0"/>
      <w:marTop w:val="0"/>
      <w:marBottom w:val="0"/>
      <w:divBdr>
        <w:top w:val="none" w:sz="0" w:space="0" w:color="auto"/>
        <w:left w:val="none" w:sz="0" w:space="0" w:color="auto"/>
        <w:bottom w:val="none" w:sz="0" w:space="0" w:color="auto"/>
        <w:right w:val="none" w:sz="0" w:space="0" w:color="auto"/>
      </w:divBdr>
    </w:div>
    <w:div w:id="1984919487">
      <w:bodyDiv w:val="1"/>
      <w:marLeft w:val="0"/>
      <w:marRight w:val="0"/>
      <w:marTop w:val="0"/>
      <w:marBottom w:val="0"/>
      <w:divBdr>
        <w:top w:val="none" w:sz="0" w:space="0" w:color="auto"/>
        <w:left w:val="none" w:sz="0" w:space="0" w:color="auto"/>
        <w:bottom w:val="none" w:sz="0" w:space="0" w:color="auto"/>
        <w:right w:val="none" w:sz="0" w:space="0" w:color="auto"/>
      </w:divBdr>
      <w:divsChild>
        <w:div w:id="374355136">
          <w:marLeft w:val="0"/>
          <w:marRight w:val="0"/>
          <w:marTop w:val="0"/>
          <w:marBottom w:val="0"/>
          <w:divBdr>
            <w:top w:val="none" w:sz="0" w:space="0" w:color="auto"/>
            <w:left w:val="none" w:sz="0" w:space="0" w:color="auto"/>
            <w:bottom w:val="none" w:sz="0" w:space="0" w:color="auto"/>
            <w:right w:val="none" w:sz="0" w:space="0" w:color="auto"/>
          </w:divBdr>
          <w:divsChild>
            <w:div w:id="644893665">
              <w:marLeft w:val="0"/>
              <w:marRight w:val="0"/>
              <w:marTop w:val="0"/>
              <w:marBottom w:val="0"/>
              <w:divBdr>
                <w:top w:val="none" w:sz="0" w:space="0" w:color="auto"/>
                <w:left w:val="none" w:sz="0" w:space="0" w:color="auto"/>
                <w:bottom w:val="none" w:sz="0" w:space="0" w:color="auto"/>
                <w:right w:val="none" w:sz="0" w:space="0" w:color="auto"/>
              </w:divBdr>
            </w:div>
          </w:divsChild>
        </w:div>
        <w:div w:id="377897112">
          <w:marLeft w:val="0"/>
          <w:marRight w:val="0"/>
          <w:marTop w:val="0"/>
          <w:marBottom w:val="0"/>
          <w:divBdr>
            <w:top w:val="none" w:sz="0" w:space="0" w:color="auto"/>
            <w:left w:val="none" w:sz="0" w:space="0" w:color="auto"/>
            <w:bottom w:val="none" w:sz="0" w:space="0" w:color="auto"/>
            <w:right w:val="none" w:sz="0" w:space="0" w:color="auto"/>
          </w:divBdr>
          <w:divsChild>
            <w:div w:id="1787695442">
              <w:marLeft w:val="0"/>
              <w:marRight w:val="0"/>
              <w:marTop w:val="0"/>
              <w:marBottom w:val="0"/>
              <w:divBdr>
                <w:top w:val="none" w:sz="0" w:space="0" w:color="auto"/>
                <w:left w:val="none" w:sz="0" w:space="0" w:color="auto"/>
                <w:bottom w:val="none" w:sz="0" w:space="0" w:color="auto"/>
                <w:right w:val="none" w:sz="0" w:space="0" w:color="auto"/>
              </w:divBdr>
            </w:div>
          </w:divsChild>
        </w:div>
        <w:div w:id="517543490">
          <w:marLeft w:val="0"/>
          <w:marRight w:val="0"/>
          <w:marTop w:val="0"/>
          <w:marBottom w:val="0"/>
          <w:divBdr>
            <w:top w:val="none" w:sz="0" w:space="0" w:color="auto"/>
            <w:left w:val="none" w:sz="0" w:space="0" w:color="auto"/>
            <w:bottom w:val="none" w:sz="0" w:space="0" w:color="auto"/>
            <w:right w:val="none" w:sz="0" w:space="0" w:color="auto"/>
          </w:divBdr>
          <w:divsChild>
            <w:div w:id="580218723">
              <w:marLeft w:val="0"/>
              <w:marRight w:val="0"/>
              <w:marTop w:val="0"/>
              <w:marBottom w:val="0"/>
              <w:divBdr>
                <w:top w:val="none" w:sz="0" w:space="0" w:color="auto"/>
                <w:left w:val="none" w:sz="0" w:space="0" w:color="auto"/>
                <w:bottom w:val="none" w:sz="0" w:space="0" w:color="auto"/>
                <w:right w:val="none" w:sz="0" w:space="0" w:color="auto"/>
              </w:divBdr>
            </w:div>
            <w:div w:id="1488008724">
              <w:marLeft w:val="0"/>
              <w:marRight w:val="0"/>
              <w:marTop w:val="0"/>
              <w:marBottom w:val="0"/>
              <w:divBdr>
                <w:top w:val="none" w:sz="0" w:space="0" w:color="auto"/>
                <w:left w:val="none" w:sz="0" w:space="0" w:color="auto"/>
                <w:bottom w:val="none" w:sz="0" w:space="0" w:color="auto"/>
                <w:right w:val="none" w:sz="0" w:space="0" w:color="auto"/>
              </w:divBdr>
            </w:div>
            <w:div w:id="1676377321">
              <w:marLeft w:val="0"/>
              <w:marRight w:val="0"/>
              <w:marTop w:val="0"/>
              <w:marBottom w:val="0"/>
              <w:divBdr>
                <w:top w:val="none" w:sz="0" w:space="0" w:color="auto"/>
                <w:left w:val="none" w:sz="0" w:space="0" w:color="auto"/>
                <w:bottom w:val="none" w:sz="0" w:space="0" w:color="auto"/>
                <w:right w:val="none" w:sz="0" w:space="0" w:color="auto"/>
              </w:divBdr>
            </w:div>
          </w:divsChild>
        </w:div>
        <w:div w:id="758137783">
          <w:marLeft w:val="0"/>
          <w:marRight w:val="0"/>
          <w:marTop w:val="0"/>
          <w:marBottom w:val="0"/>
          <w:divBdr>
            <w:top w:val="none" w:sz="0" w:space="0" w:color="auto"/>
            <w:left w:val="none" w:sz="0" w:space="0" w:color="auto"/>
            <w:bottom w:val="none" w:sz="0" w:space="0" w:color="auto"/>
            <w:right w:val="none" w:sz="0" w:space="0" w:color="auto"/>
          </w:divBdr>
          <w:divsChild>
            <w:div w:id="482432604">
              <w:marLeft w:val="0"/>
              <w:marRight w:val="0"/>
              <w:marTop w:val="0"/>
              <w:marBottom w:val="0"/>
              <w:divBdr>
                <w:top w:val="none" w:sz="0" w:space="0" w:color="auto"/>
                <w:left w:val="none" w:sz="0" w:space="0" w:color="auto"/>
                <w:bottom w:val="none" w:sz="0" w:space="0" w:color="auto"/>
                <w:right w:val="none" w:sz="0" w:space="0" w:color="auto"/>
              </w:divBdr>
            </w:div>
          </w:divsChild>
        </w:div>
        <w:div w:id="835221562">
          <w:marLeft w:val="0"/>
          <w:marRight w:val="0"/>
          <w:marTop w:val="0"/>
          <w:marBottom w:val="0"/>
          <w:divBdr>
            <w:top w:val="none" w:sz="0" w:space="0" w:color="auto"/>
            <w:left w:val="none" w:sz="0" w:space="0" w:color="auto"/>
            <w:bottom w:val="none" w:sz="0" w:space="0" w:color="auto"/>
            <w:right w:val="none" w:sz="0" w:space="0" w:color="auto"/>
          </w:divBdr>
          <w:divsChild>
            <w:div w:id="1094326962">
              <w:marLeft w:val="0"/>
              <w:marRight w:val="0"/>
              <w:marTop w:val="0"/>
              <w:marBottom w:val="0"/>
              <w:divBdr>
                <w:top w:val="none" w:sz="0" w:space="0" w:color="auto"/>
                <w:left w:val="none" w:sz="0" w:space="0" w:color="auto"/>
                <w:bottom w:val="none" w:sz="0" w:space="0" w:color="auto"/>
                <w:right w:val="none" w:sz="0" w:space="0" w:color="auto"/>
              </w:divBdr>
            </w:div>
          </w:divsChild>
        </w:div>
        <w:div w:id="849761513">
          <w:marLeft w:val="0"/>
          <w:marRight w:val="0"/>
          <w:marTop w:val="0"/>
          <w:marBottom w:val="0"/>
          <w:divBdr>
            <w:top w:val="none" w:sz="0" w:space="0" w:color="auto"/>
            <w:left w:val="none" w:sz="0" w:space="0" w:color="auto"/>
            <w:bottom w:val="none" w:sz="0" w:space="0" w:color="auto"/>
            <w:right w:val="none" w:sz="0" w:space="0" w:color="auto"/>
          </w:divBdr>
          <w:divsChild>
            <w:div w:id="1749502767">
              <w:marLeft w:val="0"/>
              <w:marRight w:val="0"/>
              <w:marTop w:val="0"/>
              <w:marBottom w:val="0"/>
              <w:divBdr>
                <w:top w:val="none" w:sz="0" w:space="0" w:color="auto"/>
                <w:left w:val="none" w:sz="0" w:space="0" w:color="auto"/>
                <w:bottom w:val="none" w:sz="0" w:space="0" w:color="auto"/>
                <w:right w:val="none" w:sz="0" w:space="0" w:color="auto"/>
              </w:divBdr>
            </w:div>
            <w:div w:id="1793480196">
              <w:marLeft w:val="0"/>
              <w:marRight w:val="0"/>
              <w:marTop w:val="0"/>
              <w:marBottom w:val="0"/>
              <w:divBdr>
                <w:top w:val="none" w:sz="0" w:space="0" w:color="auto"/>
                <w:left w:val="none" w:sz="0" w:space="0" w:color="auto"/>
                <w:bottom w:val="none" w:sz="0" w:space="0" w:color="auto"/>
                <w:right w:val="none" w:sz="0" w:space="0" w:color="auto"/>
              </w:divBdr>
            </w:div>
            <w:div w:id="1821311734">
              <w:marLeft w:val="0"/>
              <w:marRight w:val="0"/>
              <w:marTop w:val="0"/>
              <w:marBottom w:val="0"/>
              <w:divBdr>
                <w:top w:val="none" w:sz="0" w:space="0" w:color="auto"/>
                <w:left w:val="none" w:sz="0" w:space="0" w:color="auto"/>
                <w:bottom w:val="none" w:sz="0" w:space="0" w:color="auto"/>
                <w:right w:val="none" w:sz="0" w:space="0" w:color="auto"/>
              </w:divBdr>
            </w:div>
          </w:divsChild>
        </w:div>
        <w:div w:id="1032075098">
          <w:marLeft w:val="0"/>
          <w:marRight w:val="0"/>
          <w:marTop w:val="0"/>
          <w:marBottom w:val="0"/>
          <w:divBdr>
            <w:top w:val="none" w:sz="0" w:space="0" w:color="auto"/>
            <w:left w:val="none" w:sz="0" w:space="0" w:color="auto"/>
            <w:bottom w:val="none" w:sz="0" w:space="0" w:color="auto"/>
            <w:right w:val="none" w:sz="0" w:space="0" w:color="auto"/>
          </w:divBdr>
          <w:divsChild>
            <w:div w:id="1928728582">
              <w:marLeft w:val="0"/>
              <w:marRight w:val="0"/>
              <w:marTop w:val="0"/>
              <w:marBottom w:val="0"/>
              <w:divBdr>
                <w:top w:val="none" w:sz="0" w:space="0" w:color="auto"/>
                <w:left w:val="none" w:sz="0" w:space="0" w:color="auto"/>
                <w:bottom w:val="none" w:sz="0" w:space="0" w:color="auto"/>
                <w:right w:val="none" w:sz="0" w:space="0" w:color="auto"/>
              </w:divBdr>
            </w:div>
          </w:divsChild>
        </w:div>
        <w:div w:id="1061831108">
          <w:marLeft w:val="0"/>
          <w:marRight w:val="0"/>
          <w:marTop w:val="0"/>
          <w:marBottom w:val="0"/>
          <w:divBdr>
            <w:top w:val="none" w:sz="0" w:space="0" w:color="auto"/>
            <w:left w:val="none" w:sz="0" w:space="0" w:color="auto"/>
            <w:bottom w:val="none" w:sz="0" w:space="0" w:color="auto"/>
            <w:right w:val="none" w:sz="0" w:space="0" w:color="auto"/>
          </w:divBdr>
          <w:divsChild>
            <w:div w:id="363098168">
              <w:marLeft w:val="0"/>
              <w:marRight w:val="0"/>
              <w:marTop w:val="0"/>
              <w:marBottom w:val="0"/>
              <w:divBdr>
                <w:top w:val="none" w:sz="0" w:space="0" w:color="auto"/>
                <w:left w:val="none" w:sz="0" w:space="0" w:color="auto"/>
                <w:bottom w:val="none" w:sz="0" w:space="0" w:color="auto"/>
                <w:right w:val="none" w:sz="0" w:space="0" w:color="auto"/>
              </w:divBdr>
            </w:div>
          </w:divsChild>
        </w:div>
        <w:div w:id="1155150481">
          <w:marLeft w:val="0"/>
          <w:marRight w:val="0"/>
          <w:marTop w:val="0"/>
          <w:marBottom w:val="0"/>
          <w:divBdr>
            <w:top w:val="none" w:sz="0" w:space="0" w:color="auto"/>
            <w:left w:val="none" w:sz="0" w:space="0" w:color="auto"/>
            <w:bottom w:val="none" w:sz="0" w:space="0" w:color="auto"/>
            <w:right w:val="none" w:sz="0" w:space="0" w:color="auto"/>
          </w:divBdr>
          <w:divsChild>
            <w:div w:id="282344170">
              <w:marLeft w:val="0"/>
              <w:marRight w:val="0"/>
              <w:marTop w:val="0"/>
              <w:marBottom w:val="0"/>
              <w:divBdr>
                <w:top w:val="none" w:sz="0" w:space="0" w:color="auto"/>
                <w:left w:val="none" w:sz="0" w:space="0" w:color="auto"/>
                <w:bottom w:val="none" w:sz="0" w:space="0" w:color="auto"/>
                <w:right w:val="none" w:sz="0" w:space="0" w:color="auto"/>
              </w:divBdr>
            </w:div>
          </w:divsChild>
        </w:div>
        <w:div w:id="1424568223">
          <w:marLeft w:val="0"/>
          <w:marRight w:val="0"/>
          <w:marTop w:val="0"/>
          <w:marBottom w:val="0"/>
          <w:divBdr>
            <w:top w:val="none" w:sz="0" w:space="0" w:color="auto"/>
            <w:left w:val="none" w:sz="0" w:space="0" w:color="auto"/>
            <w:bottom w:val="none" w:sz="0" w:space="0" w:color="auto"/>
            <w:right w:val="none" w:sz="0" w:space="0" w:color="auto"/>
          </w:divBdr>
          <w:divsChild>
            <w:div w:id="128286350">
              <w:marLeft w:val="0"/>
              <w:marRight w:val="0"/>
              <w:marTop w:val="0"/>
              <w:marBottom w:val="0"/>
              <w:divBdr>
                <w:top w:val="none" w:sz="0" w:space="0" w:color="auto"/>
                <w:left w:val="none" w:sz="0" w:space="0" w:color="auto"/>
                <w:bottom w:val="none" w:sz="0" w:space="0" w:color="auto"/>
                <w:right w:val="none" w:sz="0" w:space="0" w:color="auto"/>
              </w:divBdr>
            </w:div>
            <w:div w:id="1107771298">
              <w:marLeft w:val="0"/>
              <w:marRight w:val="0"/>
              <w:marTop w:val="0"/>
              <w:marBottom w:val="0"/>
              <w:divBdr>
                <w:top w:val="none" w:sz="0" w:space="0" w:color="auto"/>
                <w:left w:val="none" w:sz="0" w:space="0" w:color="auto"/>
                <w:bottom w:val="none" w:sz="0" w:space="0" w:color="auto"/>
                <w:right w:val="none" w:sz="0" w:space="0" w:color="auto"/>
              </w:divBdr>
            </w:div>
          </w:divsChild>
        </w:div>
        <w:div w:id="1826126019">
          <w:marLeft w:val="0"/>
          <w:marRight w:val="0"/>
          <w:marTop w:val="0"/>
          <w:marBottom w:val="0"/>
          <w:divBdr>
            <w:top w:val="none" w:sz="0" w:space="0" w:color="auto"/>
            <w:left w:val="none" w:sz="0" w:space="0" w:color="auto"/>
            <w:bottom w:val="none" w:sz="0" w:space="0" w:color="auto"/>
            <w:right w:val="none" w:sz="0" w:space="0" w:color="auto"/>
          </w:divBdr>
          <w:divsChild>
            <w:div w:id="252513547">
              <w:marLeft w:val="0"/>
              <w:marRight w:val="0"/>
              <w:marTop w:val="0"/>
              <w:marBottom w:val="0"/>
              <w:divBdr>
                <w:top w:val="none" w:sz="0" w:space="0" w:color="auto"/>
                <w:left w:val="none" w:sz="0" w:space="0" w:color="auto"/>
                <w:bottom w:val="none" w:sz="0" w:space="0" w:color="auto"/>
                <w:right w:val="none" w:sz="0" w:space="0" w:color="auto"/>
              </w:divBdr>
            </w:div>
            <w:div w:id="1787768771">
              <w:marLeft w:val="0"/>
              <w:marRight w:val="0"/>
              <w:marTop w:val="0"/>
              <w:marBottom w:val="0"/>
              <w:divBdr>
                <w:top w:val="none" w:sz="0" w:space="0" w:color="auto"/>
                <w:left w:val="none" w:sz="0" w:space="0" w:color="auto"/>
                <w:bottom w:val="none" w:sz="0" w:space="0" w:color="auto"/>
                <w:right w:val="none" w:sz="0" w:space="0" w:color="auto"/>
              </w:divBdr>
            </w:div>
          </w:divsChild>
        </w:div>
        <w:div w:id="2036881988">
          <w:marLeft w:val="0"/>
          <w:marRight w:val="0"/>
          <w:marTop w:val="0"/>
          <w:marBottom w:val="0"/>
          <w:divBdr>
            <w:top w:val="none" w:sz="0" w:space="0" w:color="auto"/>
            <w:left w:val="none" w:sz="0" w:space="0" w:color="auto"/>
            <w:bottom w:val="none" w:sz="0" w:space="0" w:color="auto"/>
            <w:right w:val="none" w:sz="0" w:space="0" w:color="auto"/>
          </w:divBdr>
          <w:divsChild>
            <w:div w:id="137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3504">
      <w:bodyDiv w:val="1"/>
      <w:marLeft w:val="0"/>
      <w:marRight w:val="0"/>
      <w:marTop w:val="0"/>
      <w:marBottom w:val="0"/>
      <w:divBdr>
        <w:top w:val="none" w:sz="0" w:space="0" w:color="auto"/>
        <w:left w:val="none" w:sz="0" w:space="0" w:color="auto"/>
        <w:bottom w:val="none" w:sz="0" w:space="0" w:color="auto"/>
        <w:right w:val="none" w:sz="0" w:space="0" w:color="auto"/>
      </w:divBdr>
    </w:div>
    <w:div w:id="2122138567">
      <w:bodyDiv w:val="1"/>
      <w:marLeft w:val="0"/>
      <w:marRight w:val="0"/>
      <w:marTop w:val="0"/>
      <w:marBottom w:val="0"/>
      <w:divBdr>
        <w:top w:val="none" w:sz="0" w:space="0" w:color="auto"/>
        <w:left w:val="none" w:sz="0" w:space="0" w:color="auto"/>
        <w:bottom w:val="none" w:sz="0" w:space="0" w:color="auto"/>
        <w:right w:val="none" w:sz="0" w:space="0" w:color="auto"/>
      </w:divBdr>
    </w:div>
    <w:div w:id="213944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pmc.gov.au/government/commonwealth-coat-arms" TargetMode="External"/><Relationship Id="rId26" Type="http://schemas.openxmlformats.org/officeDocument/2006/relationships/hyperlink" Target="http://www.asic.gov.au/about-asic/asic-investigations-and-enforcement/asic-enforcement-prioriti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creativecommons.org/licenses/by/3.0/au/deed.en" TargetMode="External"/><Relationship Id="rId25" Type="http://schemas.openxmlformats.org/officeDocument/2006/relationships/hyperlink" Target="http://www.asic.gov.au/for-finance-professionals/afs-licensees/professional-standards-for-financial-advisers/" TargetMode="Externa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creativecommons.org/licenses/by/3.0/au/legalcode" TargetMode="External"/><Relationship Id="rId23" Type="http://schemas.openxmlformats.org/officeDocument/2006/relationships/chart" Target="charts/chart1.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medialiaison@treasury.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deed.en" TargetMode="External"/><Relationship Id="rId22" Type="http://schemas.openxmlformats.org/officeDocument/2006/relationships/footer" Target="footer3.xml"/><Relationship Id="rId27" Type="http://schemas.openxmlformats.org/officeDocument/2006/relationships/header" Target="header3.xml"/><Relationship Id="rId30"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Reg%20Impact%20Statemen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Sheet1!$H$8</c:f>
              <c:strCache>
                <c:ptCount val="1"/>
                <c:pt idx="0">
                  <c:v>number of advisers</c:v>
                </c:pt>
              </c:strCache>
            </c:strRef>
          </c:tx>
          <c:spPr>
            <a:ln w="28575" cap="rnd">
              <a:solidFill>
                <a:schemeClr val="accent1"/>
              </a:solidFill>
              <a:round/>
            </a:ln>
            <a:effectLst/>
          </c:spPr>
          <c:marker>
            <c:symbol val="none"/>
          </c:marker>
          <c:cat>
            <c:numRef>
              <c:f>Sheet1!$G$9:$G$16</c:f>
              <c:numCache>
                <c:formatCode>General</c:formatCode>
                <c:ptCount val="8"/>
                <c:pt idx="0">
                  <c:v>2015</c:v>
                </c:pt>
                <c:pt idx="1">
                  <c:v>2016</c:v>
                </c:pt>
                <c:pt idx="2">
                  <c:v>2017</c:v>
                </c:pt>
                <c:pt idx="3">
                  <c:v>2018</c:v>
                </c:pt>
                <c:pt idx="4">
                  <c:v>2019</c:v>
                </c:pt>
                <c:pt idx="5">
                  <c:v>2020</c:v>
                </c:pt>
                <c:pt idx="6">
                  <c:v>2021</c:v>
                </c:pt>
                <c:pt idx="7">
                  <c:v>2022</c:v>
                </c:pt>
              </c:numCache>
            </c:numRef>
          </c:cat>
          <c:val>
            <c:numRef>
              <c:f>Sheet1!$H$9:$H$16</c:f>
              <c:numCache>
                <c:formatCode>General</c:formatCode>
                <c:ptCount val="8"/>
                <c:pt idx="0">
                  <c:v>23183</c:v>
                </c:pt>
                <c:pt idx="1">
                  <c:v>25076</c:v>
                </c:pt>
                <c:pt idx="2">
                  <c:v>25086</c:v>
                </c:pt>
                <c:pt idx="3">
                  <c:v>27959</c:v>
                </c:pt>
                <c:pt idx="4">
                  <c:v>23511</c:v>
                </c:pt>
                <c:pt idx="5">
                  <c:v>20674</c:v>
                </c:pt>
                <c:pt idx="6">
                  <c:v>17351</c:v>
                </c:pt>
                <c:pt idx="7">
                  <c:v>16313</c:v>
                </c:pt>
              </c:numCache>
            </c:numRef>
          </c:val>
          <c:smooth val="0"/>
          <c:extLst>
            <c:ext xmlns:c16="http://schemas.microsoft.com/office/drawing/2014/chart" uri="{C3380CC4-5D6E-409C-BE32-E72D297353CC}">
              <c16:uniqueId val="{00000000-9818-4B71-A2FC-4159B5AF3252}"/>
            </c:ext>
          </c:extLst>
        </c:ser>
        <c:dLbls>
          <c:showLegendKey val="0"/>
          <c:showVal val="0"/>
          <c:showCatName val="0"/>
          <c:showSerName val="0"/>
          <c:showPercent val="0"/>
          <c:showBubbleSize val="0"/>
        </c:dLbls>
        <c:smooth val="0"/>
        <c:axId val="183196831"/>
        <c:axId val="183175199"/>
      </c:lineChart>
      <c:catAx>
        <c:axId val="183196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175199"/>
        <c:crosses val="autoZero"/>
        <c:auto val="1"/>
        <c:lblAlgn val="ctr"/>
        <c:lblOffset val="100"/>
        <c:noMultiLvlLbl val="0"/>
      </c:catAx>
      <c:valAx>
        <c:axId val="183175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1968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6" ma:contentTypeDescription="Create a new document." ma:contentTypeScope="" ma:versionID="15883b792da53fd44784623907b31bb4">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0fc62fc07c23b42ad0842bced76ef983"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DOCID-322795542-33897</_dlc_DocId>
    <_dlc_DocIdUrl xmlns="4195ad5f-cdf2-4c4a-8d9b-b7944a108e98">
      <Url>https://pmc01.sharepoint.com/sites/CRMOBPR/_layouts/15/DocIdRedir.aspx?ID=DOCID-322795542-33897</Url>
      <Description>DOCID-322795542-33897</Description>
    </_dlc_DocIdUrl>
    <TaxCatchAll xmlns="4195ad5f-cdf2-4c4a-8d9b-b7944a108e98" xsi:nil="true"/>
    <SharedWithUsers xmlns="4195ad5f-cdf2-4c4a-8d9b-b7944a108e98">
      <UserInfo>
        <DisplayName>Schneider Rumble, Anna</DisplayName>
        <AccountId>31</AccountId>
        <AccountType/>
      </UserInfo>
    </SharedWithUsers>
    <_ip_UnifiedCompliancePolicyUIAction xmlns="http://schemas.microsoft.com/sharepoint/v3" xsi:nil="true"/>
    <_ip_UnifiedCompliancePolicyProperties xmlns="http://schemas.microsoft.com/sharepoint/v3" xsi:nil="true"/>
    <lcf76f155ced4ddcb4097134ff3c332f xmlns="26285671-540d-468b-b7a1-f3e0438dd5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53D9CE-4F16-4C37-8805-D593B796DE0A}">
  <ds:schemaRefs>
    <ds:schemaRef ds:uri="http://schemas.openxmlformats.org/officeDocument/2006/bibliography"/>
  </ds:schemaRefs>
</ds:datastoreItem>
</file>

<file path=customXml/itemProps2.xml><?xml version="1.0" encoding="utf-8"?>
<ds:datastoreItem xmlns:ds="http://schemas.openxmlformats.org/officeDocument/2006/customXml" ds:itemID="{A99ECAC9-780F-4FDE-8AAE-CFDC9301C3C6}">
  <ds:schemaRefs>
    <ds:schemaRef ds:uri="http://schemas.microsoft.com/sharepoint/v3/contenttype/forms"/>
  </ds:schemaRefs>
</ds:datastoreItem>
</file>

<file path=customXml/itemProps3.xml><?xml version="1.0" encoding="utf-8"?>
<ds:datastoreItem xmlns:ds="http://schemas.openxmlformats.org/officeDocument/2006/customXml" ds:itemID="{900DA8C1-0938-4030-BCB2-0A0D1728907C}">
  <ds:schemaRefs>
    <ds:schemaRef ds:uri="http://schemas.microsoft.com/sharepoint/events"/>
  </ds:schemaRefs>
</ds:datastoreItem>
</file>

<file path=customXml/itemProps4.xml><?xml version="1.0" encoding="utf-8"?>
<ds:datastoreItem xmlns:ds="http://schemas.openxmlformats.org/officeDocument/2006/customXml" ds:itemID="{0CC443A7-C23E-40B0-96F8-7F80D04EC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B62F2-EC4B-4539-BB25-DA0017EBD204}">
  <ds:schemaRefs>
    <ds:schemaRef ds:uri="http://schemas.microsoft.com/office/2006/metadata/properties"/>
    <ds:schemaRef ds:uri="http://schemas.microsoft.com/office/infopath/2007/PartnerControls"/>
    <ds:schemaRef ds:uri="fe39d773-a83d-4623-ae74-f25711a76616"/>
    <ds:schemaRef ds:uri="1de57c58-46f3-428b-b4d3-b5fbc4164ac7"/>
    <ds:schemaRef ds:uri="8c57e0fa-036b-4c8d-acdb-7bd9ad1e43e7"/>
    <ds:schemaRef ds:uri="4195ad5f-cdf2-4c4a-8d9b-b7944a108e98"/>
    <ds:schemaRef ds:uri="http://schemas.microsoft.com/sharepoint/v3"/>
    <ds:schemaRef ds:uri="26285671-540d-468b-b7a1-f3e0438dd51a"/>
  </ds:schemaRefs>
</ds:datastoreItem>
</file>

<file path=docProps/app.xml><?xml version="1.0" encoding="utf-8"?>
<Properties xmlns="http://schemas.openxmlformats.org/officeDocument/2006/extended-properties" xmlns:vt="http://schemas.openxmlformats.org/officeDocument/2006/docPropsVTypes">
  <Template>TSY Reg Impact Statement.dotx</Template>
  <TotalTime>3</TotalTime>
  <Pages>18</Pages>
  <Words>6489</Words>
  <Characters>36992</Characters>
  <Application>Microsoft Office Word</Application>
  <DocSecurity>0</DocSecurity>
  <Lines>308</Lines>
  <Paragraphs>86</Paragraphs>
  <ScaleCrop>false</ScaleCrop>
  <Company>Australian Government - The Treasury</Company>
  <LinksUpToDate>false</LinksUpToDate>
  <CharactersWithSpaces>43395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impact statement</dc:title>
  <dc:subject/>
  <dc:creator>Laing, Matthew</dc:creator>
  <cp:keywords/>
  <cp:lastModifiedBy>Holmes, Douglas</cp:lastModifiedBy>
  <cp:revision>3</cp:revision>
  <cp:lastPrinted>2023-04-06T02:29:00Z</cp:lastPrinted>
  <dcterms:created xsi:type="dcterms:W3CDTF">2023-06-16T01:04:00Z</dcterms:created>
  <dcterms:modified xsi:type="dcterms:W3CDTF">2023-06-16T01:06:00Z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8b7a3d45-9e6a-4407-80ff-c178f0adf122</vt:lpwstr>
  </property>
  <property fmtid="{D5CDD505-2E9C-101B-9397-08002B2CF9AE}" pid="4" name="_NewReviewCycle">
    <vt:lpwstr/>
  </property>
  <property fmtid="{D5CDD505-2E9C-101B-9397-08002B2CF9AE}" pid="5" name="Language">
    <vt:lpwstr>English</vt:lpwstr>
  </property>
  <property fmtid="{D5CDD505-2E9C-101B-9397-08002B2CF9AE}" pid="6" name="lb508a4dc5e84436a0fe496b536466aa">
    <vt:lpwstr>TSY RA-9072 - Retain as national archives|d71911a4-1e32-4fc6-834f-26c4fc33e217</vt:lpwstr>
  </property>
  <property fmtid="{D5CDD505-2E9C-101B-9397-08002B2CF9AE}" pid="7" name="Topics">
    <vt:lpwstr/>
  </property>
  <property fmtid="{D5CDD505-2E9C-101B-9397-08002B2CF9AE}" pid="8" name="TaxKeyword">
    <vt:lpwstr/>
  </property>
  <property fmtid="{D5CDD505-2E9C-101B-9397-08002B2CF9AE}" pid="9" name="TSYRecordClass">
    <vt:lpwstr>4;#TSY RA-9072 - Retain as national archives|d71911a4-1e32-4fc6-834f-26c4fc33e217</vt:lpwstr>
  </property>
  <property fmtid="{D5CDD505-2E9C-101B-9397-08002B2CF9AE}" pid="10" name="TaxKeywordTaxHTField">
    <vt:lpwstr/>
  </property>
  <property fmtid="{D5CDD505-2E9C-101B-9397-08002B2CF9AE}" pid="11" name="eTheme">
    <vt:lpwstr>1;#Financial System|047002ef-5ee0-47ee-8184-5f4aaddfe3b3</vt:lpwstr>
  </property>
  <property fmtid="{D5CDD505-2E9C-101B-9397-08002B2CF9AE}" pid="12" name="TSYStatus">
    <vt:lpwstr/>
  </property>
  <property fmtid="{D5CDD505-2E9C-101B-9397-08002B2CF9AE}" pid="13" name="eDocumentType">
    <vt:lpwstr>50;#Paper (Analysis or Research or Report)|6ad78538-b056-4e5b-8c06-e0b6c43f0ffa</vt:lpwstr>
  </property>
  <property fmtid="{D5CDD505-2E9C-101B-9397-08002B2CF9AE}" pid="14" name="eTopic">
    <vt:lpwstr>7;#Professional Standards|532cc25f-08c8-4904-9c88-181ec010b134</vt:lpwstr>
  </property>
  <property fmtid="{D5CDD505-2E9C-101B-9397-08002B2CF9AE}" pid="15" name="eActivity">
    <vt:lpwstr>27;#Policy development|3c21fa22-a311-4c7a-a8b0-1d9dee90bb01</vt:lpwstr>
  </property>
  <property fmtid="{D5CDD505-2E9C-101B-9397-08002B2CF9AE}" pid="16" name="Topic_x0020_3">
    <vt:lpwstr/>
  </property>
  <property fmtid="{D5CDD505-2E9C-101B-9397-08002B2CF9AE}" pid="17" name="Topic 2">
    <vt:lpwstr>49;#Education Standards|624ab263-161b-4a82-af9f-b63e668902b6</vt:lpwstr>
  </property>
  <property fmtid="{D5CDD505-2E9C-101B-9397-08002B2CF9AE}" pid="18" name="Topic 3">
    <vt:lpwstr>72;#Election Commitment 2022|0bf369d7-0a25-4bb4-96a0-965096feffa6</vt:lpwstr>
  </property>
  <property fmtid="{D5CDD505-2E9C-101B-9397-08002B2CF9AE}" pid="19" name="MediaServiceImageTags">
    <vt:lpwstr/>
  </property>
</Properties>
</file>