
<file path=[Content_Types].xml><?xml version="1.0" encoding="utf-8"?>
<Types xmlns="http://schemas.openxmlformats.org/package/2006/content-types">
  <Default Extension="png" ContentType="image/png"/>
  <Default Extension="bin" ContentType="application/vnd.openxmlformats-officedocument.oleObject"/>
  <Default Extension="xlsm" ContentType="application/vnd.ms-excel.sheet.macroEnabled.12"/>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36F" w:rsidRPr="0061636F" w:rsidRDefault="0061636F" w:rsidP="0061636F">
      <w:pPr>
        <w:pStyle w:val="Title"/>
      </w:pPr>
      <w:r w:rsidRPr="0061636F">
        <w:t xml:space="preserve">Independent Review of the </w:t>
      </w:r>
      <w:r w:rsidRPr="0061636F">
        <w:br/>
        <w:t>Greenhouse and Energy Minimum Standards (GEMS) Act 2012</w:t>
      </w:r>
    </w:p>
    <w:p w:rsidR="0061636F" w:rsidRDefault="0061636F" w:rsidP="0061636F">
      <w:pPr>
        <w:pStyle w:val="Heading2"/>
      </w:pPr>
      <w:bookmarkStart w:id="0" w:name="_Toc18660952"/>
      <w:r>
        <w:t>FINAL REPORT JUNE 2019</w:t>
      </w:r>
      <w:bookmarkEnd w:id="0"/>
    </w:p>
    <w:p w:rsidR="0061636F" w:rsidRDefault="0061636F" w:rsidP="0061636F">
      <w:pPr>
        <w:rPr>
          <w:rFonts w:cs="Arial"/>
          <w:sz w:val="28"/>
          <w:szCs w:val="24"/>
        </w:rPr>
      </w:pPr>
      <w:r>
        <w:br w:type="page"/>
      </w:r>
    </w:p>
    <w:p w:rsidR="00667786" w:rsidRPr="0061636F" w:rsidRDefault="00667786" w:rsidP="00083FFC">
      <w:pPr>
        <w:rPr>
          <w:rFonts w:ascii="Adobe Garamond Pro" w:hAnsi="Adobe Garamond Pro"/>
          <w:b/>
          <w:bCs/>
        </w:rPr>
      </w:pPr>
      <w:r w:rsidRPr="0061636F">
        <w:rPr>
          <w:b/>
          <w:bCs/>
        </w:rPr>
        <w:lastRenderedPageBreak/>
        <w:t>Disclaimer</w:t>
      </w:r>
    </w:p>
    <w:p w:rsidR="00667786" w:rsidRDefault="00667786" w:rsidP="00083FFC">
      <w: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667786" w:rsidRDefault="00667786" w:rsidP="00083FFC">
      <w:r>
        <w:t>© Copyright Commonwealth of Australia, 201</w:t>
      </w:r>
      <w:r w:rsidR="00C80ECD">
        <w:t>9</w:t>
      </w:r>
      <w:r>
        <w:t>.</w:t>
      </w:r>
    </w:p>
    <w:p w:rsidR="00667786" w:rsidRDefault="006A503D" w:rsidP="00083FFC">
      <w:r w:rsidRPr="00F269A1">
        <w:rPr>
          <w:noProof/>
          <w:lang w:eastAsia="en-AU"/>
        </w:rPr>
        <w:drawing>
          <wp:inline distT="0" distB="0" distL="0" distR="0">
            <wp:extent cx="1532890" cy="537845"/>
            <wp:effectExtent l="0" t="0" r="0" b="0"/>
            <wp:docPr id="1" name="Picture 6"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title="Creative Common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32890" cy="537845"/>
                    </a:xfrm>
                    <a:prstGeom prst="rect">
                      <a:avLst/>
                    </a:prstGeom>
                    <a:noFill/>
                    <a:ln>
                      <a:noFill/>
                    </a:ln>
                  </pic:spPr>
                </pic:pic>
              </a:graphicData>
            </a:graphic>
          </wp:inline>
        </w:drawing>
      </w:r>
    </w:p>
    <w:p w:rsidR="00667786" w:rsidRDefault="00667786" w:rsidP="00083FFC">
      <w:r>
        <w:t xml:space="preserve">The </w:t>
      </w:r>
      <w:r w:rsidRPr="002C5477">
        <w:t xml:space="preserve">Independent Review of the GEMS Act 2012 </w:t>
      </w:r>
      <w:r w:rsidR="006D499C">
        <w:t xml:space="preserve">Final </w:t>
      </w:r>
      <w:r w:rsidR="005F47A2">
        <w:t>Report</w:t>
      </w:r>
      <w:r>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8" w:history="1">
        <w:r w:rsidRPr="00857472">
          <w:rPr>
            <w:rStyle w:val="Hyperlink"/>
            <w:rFonts w:cs="Adobe Garamond Pro"/>
          </w:rPr>
          <w:t>http://creativecommons.org/licenses/by/3.0/au/</w:t>
        </w:r>
      </w:hyperlink>
    </w:p>
    <w:p w:rsidR="00667786" w:rsidRDefault="00667786" w:rsidP="00083FFC">
      <w:r w:rsidRPr="0093210C">
        <w:t xml:space="preserve">This </w:t>
      </w:r>
      <w:r w:rsidR="0050272B">
        <w:t>draft report</w:t>
      </w:r>
      <w:r w:rsidR="0050272B" w:rsidRPr="0093210C">
        <w:t xml:space="preserve"> </w:t>
      </w:r>
      <w:r w:rsidRPr="0093210C">
        <w:t>has been produced by the Australian Government Department of the Environment and Energy for the Independent Review of the GEMS Act 2012.</w:t>
      </w:r>
    </w:p>
    <w:p w:rsidR="00667786" w:rsidRDefault="00667786" w:rsidP="00083FFC">
      <w:r>
        <w:t>This document should be attributed as ‘</w:t>
      </w:r>
      <w:r w:rsidRPr="002C5477">
        <w:t>The Independent Review of the GEMS Act 2012</w:t>
      </w:r>
      <w:r w:rsidR="005F47A2">
        <w:t xml:space="preserve"> </w:t>
      </w:r>
      <w:r w:rsidR="006D499C">
        <w:t xml:space="preserve">Final </w:t>
      </w:r>
      <w:r w:rsidR="0050272B">
        <w:t>Report</w:t>
      </w:r>
      <w:r>
        <w:t>, Commonwealth of Australia 201</w:t>
      </w:r>
      <w:r w:rsidR="006D499C">
        <w:t>9</w:t>
      </w:r>
      <w:r>
        <w:t>.’</w:t>
      </w:r>
    </w:p>
    <w:p w:rsidR="00D606B3" w:rsidRDefault="00667786" w:rsidP="00083FFC">
      <w:r>
        <w:t>The Commonwealth of Australia has made all reasonable efforts to identify content supplied by third parties using the following format ‘© Copyright</w:t>
      </w:r>
      <w:r w:rsidRPr="008E2B74">
        <w:t xml:space="preserve">, </w:t>
      </w:r>
      <w:r w:rsidRPr="00510E20">
        <w:t>[name of third party]’</w:t>
      </w:r>
      <w:r w:rsidRPr="008E2B74">
        <w:t>.</w:t>
      </w:r>
    </w:p>
    <w:p w:rsidR="00C53EFD" w:rsidRDefault="00C53EFD" w:rsidP="00240A12">
      <w:r>
        <w:br w:type="page"/>
      </w:r>
    </w:p>
    <w:p w:rsidR="000D0DC4" w:rsidRDefault="000D0DC4" w:rsidP="0061636F">
      <w:pPr>
        <w:pStyle w:val="Heading1"/>
      </w:pPr>
      <w:bookmarkStart w:id="1" w:name="_Toc18660953"/>
      <w:r w:rsidRPr="000D0DC4">
        <w:lastRenderedPageBreak/>
        <w:t>Contents</w:t>
      </w:r>
      <w:bookmarkEnd w:id="1"/>
    </w:p>
    <w:p w:rsidR="00545AB0" w:rsidRDefault="000D0DC4" w:rsidP="00E612B1">
      <w:pPr>
        <w:pStyle w:val="TOC1"/>
        <w:rPr>
          <w:rFonts w:asciiTheme="minorHAnsi" w:eastAsiaTheme="minorEastAsia" w:hAnsiTheme="minorHAnsi" w:cstheme="minorBidi"/>
          <w:sz w:val="24"/>
          <w:szCs w:val="24"/>
          <w:lang w:eastAsia="en-GB"/>
        </w:rPr>
      </w:pPr>
      <w:r w:rsidRPr="00BA1E09">
        <w:fldChar w:fldCharType="begin"/>
      </w:r>
      <w:r w:rsidRPr="00BA1E09">
        <w:instrText xml:space="preserve"> TOC \o "1-3" \h \z \u </w:instrText>
      </w:r>
      <w:r w:rsidRPr="00BA1E09">
        <w:fldChar w:fldCharType="separate"/>
      </w:r>
      <w:hyperlink w:anchor="_Toc18660955" w:history="1">
        <w:r w:rsidR="00545AB0" w:rsidRPr="008911E6">
          <w:rPr>
            <w:rStyle w:val="Hyperlink"/>
          </w:rPr>
          <w:t>Executive Summary</w:t>
        </w:r>
        <w:r w:rsidR="00545AB0">
          <w:rPr>
            <w:webHidden/>
          </w:rPr>
          <w:tab/>
        </w:r>
        <w:r w:rsidR="00545AB0">
          <w:rPr>
            <w:webHidden/>
          </w:rPr>
          <w:fldChar w:fldCharType="begin"/>
        </w:r>
        <w:r w:rsidR="00545AB0">
          <w:rPr>
            <w:webHidden/>
          </w:rPr>
          <w:instrText xml:space="preserve"> PAGEREF _Toc18660955 \h </w:instrText>
        </w:r>
        <w:r w:rsidR="00545AB0">
          <w:rPr>
            <w:webHidden/>
          </w:rPr>
        </w:r>
        <w:r w:rsidR="00545AB0">
          <w:rPr>
            <w:webHidden/>
          </w:rPr>
          <w:fldChar w:fldCharType="separate"/>
        </w:r>
        <w:r w:rsidR="00FE1678">
          <w:rPr>
            <w:webHidden/>
          </w:rPr>
          <w:t>7</w:t>
        </w:r>
        <w:r w:rsidR="00545AB0">
          <w:rPr>
            <w:webHidden/>
          </w:rPr>
          <w:fldChar w:fldCharType="end"/>
        </w:r>
      </w:hyperlink>
    </w:p>
    <w:p w:rsidR="00545AB0" w:rsidRDefault="00841EE8">
      <w:pPr>
        <w:pStyle w:val="TOC1"/>
        <w:rPr>
          <w:rFonts w:asciiTheme="minorHAnsi" w:eastAsiaTheme="minorEastAsia" w:hAnsiTheme="minorHAnsi" w:cstheme="minorBidi"/>
          <w:b/>
          <w:sz w:val="24"/>
          <w:szCs w:val="24"/>
          <w:lang w:eastAsia="en-GB"/>
        </w:rPr>
      </w:pPr>
      <w:hyperlink w:anchor="_Toc18660956" w:history="1">
        <w:r w:rsidR="00545AB0" w:rsidRPr="008911E6">
          <w:rPr>
            <w:rStyle w:val="Hyperlink"/>
          </w:rPr>
          <w:t>Recommendations</w:t>
        </w:r>
        <w:r w:rsidR="00545AB0">
          <w:rPr>
            <w:webHidden/>
          </w:rPr>
          <w:tab/>
        </w:r>
        <w:r w:rsidR="00545AB0">
          <w:rPr>
            <w:webHidden/>
          </w:rPr>
          <w:fldChar w:fldCharType="begin"/>
        </w:r>
        <w:r w:rsidR="00545AB0">
          <w:rPr>
            <w:webHidden/>
          </w:rPr>
          <w:instrText xml:space="preserve"> PAGEREF _Toc18660956 \h </w:instrText>
        </w:r>
        <w:r w:rsidR="00545AB0">
          <w:rPr>
            <w:webHidden/>
          </w:rPr>
        </w:r>
        <w:r w:rsidR="00545AB0">
          <w:rPr>
            <w:webHidden/>
          </w:rPr>
          <w:fldChar w:fldCharType="separate"/>
        </w:r>
        <w:r w:rsidR="00FE1678">
          <w:rPr>
            <w:webHidden/>
          </w:rPr>
          <w:t>8</w:t>
        </w:r>
        <w:r w:rsidR="00545AB0">
          <w:rPr>
            <w:webHidden/>
          </w:rPr>
          <w:fldChar w:fldCharType="end"/>
        </w:r>
      </w:hyperlink>
    </w:p>
    <w:p w:rsidR="00545AB0" w:rsidRDefault="00841EE8">
      <w:pPr>
        <w:pStyle w:val="TOC1"/>
        <w:rPr>
          <w:rFonts w:asciiTheme="minorHAnsi" w:eastAsiaTheme="minorEastAsia" w:hAnsiTheme="minorHAnsi" w:cstheme="minorBidi"/>
          <w:b/>
          <w:sz w:val="24"/>
          <w:szCs w:val="24"/>
          <w:lang w:eastAsia="en-GB"/>
        </w:rPr>
      </w:pPr>
      <w:hyperlink w:anchor="_Toc18660961" w:history="1">
        <w:r w:rsidR="00545AB0" w:rsidRPr="008911E6">
          <w:rPr>
            <w:rStyle w:val="Hyperlink"/>
          </w:rPr>
          <w:t>1.</w:t>
        </w:r>
        <w:r w:rsidR="00545AB0">
          <w:rPr>
            <w:rFonts w:asciiTheme="minorHAnsi" w:eastAsiaTheme="minorEastAsia" w:hAnsiTheme="minorHAnsi" w:cstheme="minorBidi"/>
            <w:b/>
            <w:sz w:val="24"/>
            <w:szCs w:val="24"/>
            <w:lang w:eastAsia="en-GB"/>
          </w:rPr>
          <w:tab/>
        </w:r>
        <w:r w:rsidR="00545AB0" w:rsidRPr="008911E6">
          <w:rPr>
            <w:rStyle w:val="Hyperlink"/>
          </w:rPr>
          <w:t>Introduction</w:t>
        </w:r>
        <w:r w:rsidR="00545AB0">
          <w:rPr>
            <w:webHidden/>
          </w:rPr>
          <w:tab/>
        </w:r>
        <w:r w:rsidR="00545AB0">
          <w:rPr>
            <w:webHidden/>
          </w:rPr>
          <w:fldChar w:fldCharType="begin"/>
        </w:r>
        <w:r w:rsidR="00545AB0">
          <w:rPr>
            <w:webHidden/>
          </w:rPr>
          <w:instrText xml:space="preserve"> PAGEREF _Toc18660961 \h </w:instrText>
        </w:r>
        <w:r w:rsidR="00545AB0">
          <w:rPr>
            <w:webHidden/>
          </w:rPr>
        </w:r>
        <w:r w:rsidR="00545AB0">
          <w:rPr>
            <w:webHidden/>
          </w:rPr>
          <w:fldChar w:fldCharType="separate"/>
        </w:r>
        <w:r w:rsidR="00FE1678">
          <w:rPr>
            <w:webHidden/>
          </w:rPr>
          <w:t>12</w:t>
        </w:r>
        <w:r w:rsidR="00545AB0">
          <w:rPr>
            <w:webHidden/>
          </w:rPr>
          <w:fldChar w:fldCharType="end"/>
        </w:r>
      </w:hyperlink>
    </w:p>
    <w:p w:rsidR="00545AB0" w:rsidRDefault="00841EE8">
      <w:pPr>
        <w:pStyle w:val="TOC2"/>
        <w:rPr>
          <w:rFonts w:asciiTheme="minorHAnsi" w:eastAsiaTheme="minorEastAsia" w:hAnsiTheme="minorHAnsi" w:cstheme="minorBidi"/>
          <w:noProof/>
          <w:sz w:val="24"/>
          <w:szCs w:val="24"/>
          <w:lang w:eastAsia="en-GB"/>
        </w:rPr>
      </w:pPr>
      <w:hyperlink w:anchor="_Toc18660962" w:history="1">
        <w:r w:rsidR="00545AB0" w:rsidRPr="008911E6">
          <w:rPr>
            <w:rStyle w:val="Hyperlink"/>
            <w:noProof/>
          </w:rPr>
          <w:t>1.1</w:t>
        </w:r>
        <w:r w:rsidR="00545AB0">
          <w:rPr>
            <w:rFonts w:asciiTheme="minorHAnsi" w:eastAsiaTheme="minorEastAsia" w:hAnsiTheme="minorHAnsi" w:cstheme="minorBidi"/>
            <w:noProof/>
            <w:sz w:val="24"/>
            <w:szCs w:val="24"/>
            <w:lang w:eastAsia="en-GB"/>
          </w:rPr>
          <w:tab/>
        </w:r>
        <w:r w:rsidR="00545AB0" w:rsidRPr="008911E6">
          <w:rPr>
            <w:rStyle w:val="Hyperlink"/>
            <w:noProof/>
          </w:rPr>
          <w:t>Purpose of the review</w:t>
        </w:r>
        <w:r w:rsidR="00545AB0">
          <w:rPr>
            <w:noProof/>
            <w:webHidden/>
          </w:rPr>
          <w:tab/>
        </w:r>
        <w:r w:rsidR="00545AB0">
          <w:rPr>
            <w:noProof/>
            <w:webHidden/>
          </w:rPr>
          <w:fldChar w:fldCharType="begin"/>
        </w:r>
        <w:r w:rsidR="00545AB0">
          <w:rPr>
            <w:noProof/>
            <w:webHidden/>
          </w:rPr>
          <w:instrText xml:space="preserve"> PAGEREF _Toc18660962 \h </w:instrText>
        </w:r>
        <w:r w:rsidR="00545AB0">
          <w:rPr>
            <w:noProof/>
            <w:webHidden/>
          </w:rPr>
        </w:r>
        <w:r w:rsidR="00545AB0">
          <w:rPr>
            <w:noProof/>
            <w:webHidden/>
          </w:rPr>
          <w:fldChar w:fldCharType="separate"/>
        </w:r>
        <w:r w:rsidR="00FE1678">
          <w:rPr>
            <w:noProof/>
            <w:webHidden/>
          </w:rPr>
          <w:t>12</w:t>
        </w:r>
        <w:r w:rsidR="00545AB0">
          <w:rPr>
            <w:noProof/>
            <w:webHidden/>
          </w:rPr>
          <w:fldChar w:fldCharType="end"/>
        </w:r>
      </w:hyperlink>
    </w:p>
    <w:p w:rsidR="00545AB0" w:rsidRDefault="00841EE8">
      <w:pPr>
        <w:pStyle w:val="TOC2"/>
        <w:rPr>
          <w:rFonts w:asciiTheme="minorHAnsi" w:eastAsiaTheme="minorEastAsia" w:hAnsiTheme="minorHAnsi" w:cstheme="minorBidi"/>
          <w:noProof/>
          <w:sz w:val="24"/>
          <w:szCs w:val="24"/>
          <w:lang w:eastAsia="en-GB"/>
        </w:rPr>
      </w:pPr>
      <w:hyperlink w:anchor="_Toc18660963" w:history="1">
        <w:r w:rsidR="00545AB0" w:rsidRPr="008911E6">
          <w:rPr>
            <w:rStyle w:val="Hyperlink"/>
            <w:noProof/>
          </w:rPr>
          <w:t xml:space="preserve">1.2 </w:t>
        </w:r>
        <w:r w:rsidR="00545AB0">
          <w:rPr>
            <w:rFonts w:asciiTheme="minorHAnsi" w:eastAsiaTheme="minorEastAsia" w:hAnsiTheme="minorHAnsi" w:cstheme="minorBidi"/>
            <w:noProof/>
            <w:sz w:val="24"/>
            <w:szCs w:val="24"/>
            <w:lang w:eastAsia="en-GB"/>
          </w:rPr>
          <w:tab/>
        </w:r>
        <w:r w:rsidR="00545AB0" w:rsidRPr="008911E6">
          <w:rPr>
            <w:rStyle w:val="Hyperlink"/>
            <w:noProof/>
          </w:rPr>
          <w:t>Independent reviewer</w:t>
        </w:r>
        <w:r w:rsidR="00545AB0">
          <w:rPr>
            <w:noProof/>
            <w:webHidden/>
          </w:rPr>
          <w:tab/>
        </w:r>
        <w:r w:rsidR="00545AB0">
          <w:rPr>
            <w:noProof/>
            <w:webHidden/>
          </w:rPr>
          <w:fldChar w:fldCharType="begin"/>
        </w:r>
        <w:r w:rsidR="00545AB0">
          <w:rPr>
            <w:noProof/>
            <w:webHidden/>
          </w:rPr>
          <w:instrText xml:space="preserve"> PAGEREF _Toc18660963 \h </w:instrText>
        </w:r>
        <w:r w:rsidR="00545AB0">
          <w:rPr>
            <w:noProof/>
            <w:webHidden/>
          </w:rPr>
        </w:r>
        <w:r w:rsidR="00545AB0">
          <w:rPr>
            <w:noProof/>
            <w:webHidden/>
          </w:rPr>
          <w:fldChar w:fldCharType="separate"/>
        </w:r>
        <w:r w:rsidR="00FE1678">
          <w:rPr>
            <w:noProof/>
            <w:webHidden/>
          </w:rPr>
          <w:t>12</w:t>
        </w:r>
        <w:r w:rsidR="00545AB0">
          <w:rPr>
            <w:noProof/>
            <w:webHidden/>
          </w:rPr>
          <w:fldChar w:fldCharType="end"/>
        </w:r>
      </w:hyperlink>
    </w:p>
    <w:p w:rsidR="00545AB0" w:rsidRDefault="00841EE8">
      <w:pPr>
        <w:pStyle w:val="TOC2"/>
        <w:rPr>
          <w:rFonts w:asciiTheme="minorHAnsi" w:eastAsiaTheme="minorEastAsia" w:hAnsiTheme="minorHAnsi" w:cstheme="minorBidi"/>
          <w:noProof/>
          <w:sz w:val="24"/>
          <w:szCs w:val="24"/>
          <w:lang w:eastAsia="en-GB"/>
        </w:rPr>
      </w:pPr>
      <w:hyperlink w:anchor="_Toc18660964" w:history="1">
        <w:r w:rsidR="00545AB0" w:rsidRPr="008911E6">
          <w:rPr>
            <w:rStyle w:val="Hyperlink"/>
            <w:noProof/>
          </w:rPr>
          <w:t>1.3</w:t>
        </w:r>
        <w:r w:rsidR="00545AB0">
          <w:rPr>
            <w:rFonts w:asciiTheme="minorHAnsi" w:eastAsiaTheme="minorEastAsia" w:hAnsiTheme="minorHAnsi" w:cstheme="minorBidi"/>
            <w:noProof/>
            <w:sz w:val="24"/>
            <w:szCs w:val="24"/>
            <w:lang w:eastAsia="en-GB"/>
          </w:rPr>
          <w:tab/>
        </w:r>
        <w:r w:rsidR="00545AB0" w:rsidRPr="008911E6">
          <w:rPr>
            <w:rStyle w:val="Hyperlink"/>
            <w:noProof/>
          </w:rPr>
          <w:t>Scope</w:t>
        </w:r>
        <w:r w:rsidR="00545AB0">
          <w:rPr>
            <w:noProof/>
            <w:webHidden/>
          </w:rPr>
          <w:tab/>
        </w:r>
        <w:r w:rsidR="00545AB0">
          <w:rPr>
            <w:noProof/>
            <w:webHidden/>
          </w:rPr>
          <w:fldChar w:fldCharType="begin"/>
        </w:r>
        <w:r w:rsidR="00545AB0">
          <w:rPr>
            <w:noProof/>
            <w:webHidden/>
          </w:rPr>
          <w:instrText xml:space="preserve"> PAGEREF _Toc18660964 \h </w:instrText>
        </w:r>
        <w:r w:rsidR="00545AB0">
          <w:rPr>
            <w:noProof/>
            <w:webHidden/>
          </w:rPr>
        </w:r>
        <w:r w:rsidR="00545AB0">
          <w:rPr>
            <w:noProof/>
            <w:webHidden/>
          </w:rPr>
          <w:fldChar w:fldCharType="separate"/>
        </w:r>
        <w:r w:rsidR="00FE1678">
          <w:rPr>
            <w:noProof/>
            <w:webHidden/>
          </w:rPr>
          <w:t>12</w:t>
        </w:r>
        <w:r w:rsidR="00545AB0">
          <w:rPr>
            <w:noProof/>
            <w:webHidden/>
          </w:rPr>
          <w:fldChar w:fldCharType="end"/>
        </w:r>
      </w:hyperlink>
    </w:p>
    <w:p w:rsidR="00545AB0" w:rsidRDefault="00841EE8">
      <w:pPr>
        <w:pStyle w:val="TOC2"/>
        <w:rPr>
          <w:rFonts w:asciiTheme="minorHAnsi" w:eastAsiaTheme="minorEastAsia" w:hAnsiTheme="minorHAnsi" w:cstheme="minorBidi"/>
          <w:noProof/>
          <w:sz w:val="24"/>
          <w:szCs w:val="24"/>
          <w:lang w:eastAsia="en-GB"/>
        </w:rPr>
      </w:pPr>
      <w:hyperlink w:anchor="_Toc18660965" w:history="1">
        <w:r w:rsidR="00545AB0" w:rsidRPr="008911E6">
          <w:rPr>
            <w:rStyle w:val="Hyperlink"/>
            <w:noProof/>
          </w:rPr>
          <w:t>1.4</w:t>
        </w:r>
        <w:r w:rsidR="00545AB0">
          <w:rPr>
            <w:rFonts w:asciiTheme="minorHAnsi" w:eastAsiaTheme="minorEastAsia" w:hAnsiTheme="minorHAnsi" w:cstheme="minorBidi"/>
            <w:noProof/>
            <w:sz w:val="24"/>
            <w:szCs w:val="24"/>
            <w:lang w:eastAsia="en-GB"/>
          </w:rPr>
          <w:tab/>
        </w:r>
        <w:r w:rsidR="00545AB0" w:rsidRPr="008911E6">
          <w:rPr>
            <w:rStyle w:val="Hyperlink"/>
            <w:noProof/>
          </w:rPr>
          <w:t>Methodology</w:t>
        </w:r>
        <w:r w:rsidR="00545AB0">
          <w:rPr>
            <w:noProof/>
            <w:webHidden/>
          </w:rPr>
          <w:tab/>
        </w:r>
        <w:r w:rsidR="00545AB0">
          <w:rPr>
            <w:noProof/>
            <w:webHidden/>
          </w:rPr>
          <w:fldChar w:fldCharType="begin"/>
        </w:r>
        <w:r w:rsidR="00545AB0">
          <w:rPr>
            <w:noProof/>
            <w:webHidden/>
          </w:rPr>
          <w:instrText xml:space="preserve"> PAGEREF _Toc18660965 \h </w:instrText>
        </w:r>
        <w:r w:rsidR="00545AB0">
          <w:rPr>
            <w:noProof/>
            <w:webHidden/>
          </w:rPr>
        </w:r>
        <w:r w:rsidR="00545AB0">
          <w:rPr>
            <w:noProof/>
            <w:webHidden/>
          </w:rPr>
          <w:fldChar w:fldCharType="separate"/>
        </w:r>
        <w:r w:rsidR="00FE1678">
          <w:rPr>
            <w:noProof/>
            <w:webHidden/>
          </w:rPr>
          <w:t>13</w:t>
        </w:r>
        <w:r w:rsidR="00545AB0">
          <w:rPr>
            <w:noProof/>
            <w:webHidden/>
          </w:rPr>
          <w:fldChar w:fldCharType="end"/>
        </w:r>
      </w:hyperlink>
    </w:p>
    <w:p w:rsidR="00545AB0" w:rsidRDefault="00841EE8">
      <w:pPr>
        <w:pStyle w:val="TOC2"/>
        <w:rPr>
          <w:rFonts w:asciiTheme="minorHAnsi" w:eastAsiaTheme="minorEastAsia" w:hAnsiTheme="minorHAnsi" w:cstheme="minorBidi"/>
          <w:noProof/>
          <w:sz w:val="24"/>
          <w:szCs w:val="24"/>
          <w:lang w:eastAsia="en-GB"/>
        </w:rPr>
      </w:pPr>
      <w:hyperlink w:anchor="_Toc18660966" w:history="1">
        <w:r w:rsidR="00545AB0" w:rsidRPr="008911E6">
          <w:rPr>
            <w:rStyle w:val="Hyperlink"/>
            <w:noProof/>
          </w:rPr>
          <w:t>1.5</w:t>
        </w:r>
        <w:r w:rsidR="00545AB0">
          <w:rPr>
            <w:rFonts w:asciiTheme="minorHAnsi" w:eastAsiaTheme="minorEastAsia" w:hAnsiTheme="minorHAnsi" w:cstheme="minorBidi"/>
            <w:noProof/>
            <w:sz w:val="24"/>
            <w:szCs w:val="24"/>
            <w:lang w:eastAsia="en-GB"/>
          </w:rPr>
          <w:tab/>
        </w:r>
        <w:r w:rsidR="00545AB0" w:rsidRPr="008911E6">
          <w:rPr>
            <w:rStyle w:val="Hyperlink"/>
            <w:noProof/>
          </w:rPr>
          <w:t>Consultation</w:t>
        </w:r>
        <w:r w:rsidR="00545AB0">
          <w:rPr>
            <w:noProof/>
            <w:webHidden/>
          </w:rPr>
          <w:tab/>
        </w:r>
        <w:r w:rsidR="00545AB0">
          <w:rPr>
            <w:noProof/>
            <w:webHidden/>
          </w:rPr>
          <w:fldChar w:fldCharType="begin"/>
        </w:r>
        <w:r w:rsidR="00545AB0">
          <w:rPr>
            <w:noProof/>
            <w:webHidden/>
          </w:rPr>
          <w:instrText xml:space="preserve"> PAGEREF _Toc18660966 \h </w:instrText>
        </w:r>
        <w:r w:rsidR="00545AB0">
          <w:rPr>
            <w:noProof/>
            <w:webHidden/>
          </w:rPr>
        </w:r>
        <w:r w:rsidR="00545AB0">
          <w:rPr>
            <w:noProof/>
            <w:webHidden/>
          </w:rPr>
          <w:fldChar w:fldCharType="separate"/>
        </w:r>
        <w:r w:rsidR="00FE1678">
          <w:rPr>
            <w:noProof/>
            <w:webHidden/>
          </w:rPr>
          <w:t>13</w:t>
        </w:r>
        <w:r w:rsidR="00545AB0">
          <w:rPr>
            <w:noProof/>
            <w:webHidden/>
          </w:rPr>
          <w:fldChar w:fldCharType="end"/>
        </w:r>
      </w:hyperlink>
    </w:p>
    <w:p w:rsidR="00545AB0" w:rsidRDefault="00841EE8">
      <w:pPr>
        <w:pStyle w:val="TOC2"/>
        <w:rPr>
          <w:rFonts w:asciiTheme="minorHAnsi" w:eastAsiaTheme="minorEastAsia" w:hAnsiTheme="minorHAnsi" w:cstheme="minorBidi"/>
          <w:noProof/>
          <w:sz w:val="24"/>
          <w:szCs w:val="24"/>
          <w:lang w:eastAsia="en-GB"/>
        </w:rPr>
      </w:pPr>
      <w:hyperlink w:anchor="_Toc18660967" w:history="1">
        <w:r w:rsidR="00545AB0" w:rsidRPr="008911E6">
          <w:rPr>
            <w:rStyle w:val="Hyperlink"/>
            <w:noProof/>
          </w:rPr>
          <w:t>1.6</w:t>
        </w:r>
        <w:r w:rsidR="00545AB0">
          <w:rPr>
            <w:rFonts w:asciiTheme="minorHAnsi" w:eastAsiaTheme="minorEastAsia" w:hAnsiTheme="minorHAnsi" w:cstheme="minorBidi"/>
            <w:noProof/>
            <w:sz w:val="24"/>
            <w:szCs w:val="24"/>
            <w:lang w:eastAsia="en-GB"/>
          </w:rPr>
          <w:tab/>
        </w:r>
        <w:r w:rsidR="00545AB0" w:rsidRPr="008911E6">
          <w:rPr>
            <w:rStyle w:val="Hyperlink"/>
            <w:noProof/>
          </w:rPr>
          <w:t>Out-of-scope stakeholder issues</w:t>
        </w:r>
        <w:r w:rsidR="00545AB0">
          <w:rPr>
            <w:noProof/>
            <w:webHidden/>
          </w:rPr>
          <w:tab/>
        </w:r>
        <w:r w:rsidR="00545AB0">
          <w:rPr>
            <w:noProof/>
            <w:webHidden/>
          </w:rPr>
          <w:fldChar w:fldCharType="begin"/>
        </w:r>
        <w:r w:rsidR="00545AB0">
          <w:rPr>
            <w:noProof/>
            <w:webHidden/>
          </w:rPr>
          <w:instrText xml:space="preserve"> PAGEREF _Toc18660967 \h </w:instrText>
        </w:r>
        <w:r w:rsidR="00545AB0">
          <w:rPr>
            <w:noProof/>
            <w:webHidden/>
          </w:rPr>
        </w:r>
        <w:r w:rsidR="00545AB0">
          <w:rPr>
            <w:noProof/>
            <w:webHidden/>
          </w:rPr>
          <w:fldChar w:fldCharType="separate"/>
        </w:r>
        <w:r w:rsidR="00FE1678">
          <w:rPr>
            <w:noProof/>
            <w:webHidden/>
          </w:rPr>
          <w:t>13</w:t>
        </w:r>
        <w:r w:rsidR="00545AB0">
          <w:rPr>
            <w:noProof/>
            <w:webHidden/>
          </w:rPr>
          <w:fldChar w:fldCharType="end"/>
        </w:r>
      </w:hyperlink>
    </w:p>
    <w:p w:rsidR="00545AB0" w:rsidRDefault="00841EE8">
      <w:pPr>
        <w:pStyle w:val="TOC1"/>
        <w:rPr>
          <w:rFonts w:asciiTheme="minorHAnsi" w:eastAsiaTheme="minorEastAsia" w:hAnsiTheme="minorHAnsi" w:cstheme="minorBidi"/>
          <w:b/>
          <w:sz w:val="24"/>
          <w:szCs w:val="24"/>
          <w:lang w:eastAsia="en-GB"/>
        </w:rPr>
      </w:pPr>
      <w:hyperlink w:anchor="_Toc18660968" w:history="1">
        <w:r w:rsidR="00545AB0" w:rsidRPr="008911E6">
          <w:rPr>
            <w:rStyle w:val="Hyperlink"/>
          </w:rPr>
          <w:t>2.</w:t>
        </w:r>
        <w:r w:rsidR="00545AB0">
          <w:rPr>
            <w:rFonts w:asciiTheme="minorHAnsi" w:eastAsiaTheme="minorEastAsia" w:hAnsiTheme="minorHAnsi" w:cstheme="minorBidi"/>
            <w:b/>
            <w:sz w:val="24"/>
            <w:szCs w:val="24"/>
            <w:lang w:eastAsia="en-GB"/>
          </w:rPr>
          <w:tab/>
        </w:r>
        <w:r w:rsidR="00545AB0" w:rsidRPr="008911E6">
          <w:rPr>
            <w:rStyle w:val="Hyperlink"/>
          </w:rPr>
          <w:t>Summary of provisions, and operation of, the GEMS Act</w:t>
        </w:r>
        <w:r w:rsidR="00545AB0">
          <w:rPr>
            <w:webHidden/>
          </w:rPr>
          <w:tab/>
        </w:r>
        <w:r w:rsidR="00545AB0">
          <w:rPr>
            <w:webHidden/>
          </w:rPr>
          <w:fldChar w:fldCharType="begin"/>
        </w:r>
        <w:r w:rsidR="00545AB0">
          <w:rPr>
            <w:webHidden/>
          </w:rPr>
          <w:instrText xml:space="preserve"> PAGEREF _Toc18660968 \h </w:instrText>
        </w:r>
        <w:r w:rsidR="00545AB0">
          <w:rPr>
            <w:webHidden/>
          </w:rPr>
        </w:r>
        <w:r w:rsidR="00545AB0">
          <w:rPr>
            <w:webHidden/>
          </w:rPr>
          <w:fldChar w:fldCharType="separate"/>
        </w:r>
        <w:r w:rsidR="00FE1678">
          <w:rPr>
            <w:webHidden/>
          </w:rPr>
          <w:t>15</w:t>
        </w:r>
        <w:r w:rsidR="00545AB0">
          <w:rPr>
            <w:webHidden/>
          </w:rPr>
          <w:fldChar w:fldCharType="end"/>
        </w:r>
      </w:hyperlink>
    </w:p>
    <w:p w:rsidR="00545AB0" w:rsidRDefault="00841EE8">
      <w:pPr>
        <w:pStyle w:val="TOC2"/>
        <w:rPr>
          <w:rFonts w:asciiTheme="minorHAnsi" w:eastAsiaTheme="minorEastAsia" w:hAnsiTheme="minorHAnsi" w:cstheme="minorBidi"/>
          <w:noProof/>
          <w:sz w:val="24"/>
          <w:szCs w:val="24"/>
          <w:lang w:eastAsia="en-GB"/>
        </w:rPr>
      </w:pPr>
      <w:hyperlink w:anchor="_Toc18660969" w:history="1">
        <w:r w:rsidR="00545AB0" w:rsidRPr="008911E6">
          <w:rPr>
            <w:rStyle w:val="Hyperlink"/>
            <w:noProof/>
          </w:rPr>
          <w:t xml:space="preserve">2.1 </w:t>
        </w:r>
        <w:r w:rsidR="00545AB0">
          <w:rPr>
            <w:rFonts w:asciiTheme="minorHAnsi" w:eastAsiaTheme="minorEastAsia" w:hAnsiTheme="minorHAnsi" w:cstheme="minorBidi"/>
            <w:noProof/>
            <w:sz w:val="24"/>
            <w:szCs w:val="24"/>
            <w:lang w:eastAsia="en-GB"/>
          </w:rPr>
          <w:tab/>
        </w:r>
        <w:r w:rsidR="00545AB0" w:rsidRPr="008911E6">
          <w:rPr>
            <w:rStyle w:val="Hyperlink"/>
            <w:noProof/>
          </w:rPr>
          <w:t>Purpose of the legislation</w:t>
        </w:r>
        <w:r w:rsidR="00545AB0">
          <w:rPr>
            <w:noProof/>
            <w:webHidden/>
          </w:rPr>
          <w:tab/>
        </w:r>
        <w:r w:rsidR="00545AB0">
          <w:rPr>
            <w:noProof/>
            <w:webHidden/>
          </w:rPr>
          <w:fldChar w:fldCharType="begin"/>
        </w:r>
        <w:r w:rsidR="00545AB0">
          <w:rPr>
            <w:noProof/>
            <w:webHidden/>
          </w:rPr>
          <w:instrText xml:space="preserve"> PAGEREF _Toc18660969 \h </w:instrText>
        </w:r>
        <w:r w:rsidR="00545AB0">
          <w:rPr>
            <w:noProof/>
            <w:webHidden/>
          </w:rPr>
        </w:r>
        <w:r w:rsidR="00545AB0">
          <w:rPr>
            <w:noProof/>
            <w:webHidden/>
          </w:rPr>
          <w:fldChar w:fldCharType="separate"/>
        </w:r>
        <w:r w:rsidR="00FE1678">
          <w:rPr>
            <w:noProof/>
            <w:webHidden/>
          </w:rPr>
          <w:t>15</w:t>
        </w:r>
        <w:r w:rsidR="00545AB0">
          <w:rPr>
            <w:noProof/>
            <w:webHidden/>
          </w:rPr>
          <w:fldChar w:fldCharType="end"/>
        </w:r>
      </w:hyperlink>
    </w:p>
    <w:p w:rsidR="00545AB0" w:rsidRDefault="00841EE8">
      <w:pPr>
        <w:pStyle w:val="TOC2"/>
        <w:rPr>
          <w:rFonts w:asciiTheme="minorHAnsi" w:eastAsiaTheme="minorEastAsia" w:hAnsiTheme="minorHAnsi" w:cstheme="minorBidi"/>
          <w:noProof/>
          <w:sz w:val="24"/>
          <w:szCs w:val="24"/>
          <w:lang w:eastAsia="en-GB"/>
        </w:rPr>
      </w:pPr>
      <w:hyperlink w:anchor="_Toc18660970" w:history="1">
        <w:r w:rsidR="00545AB0" w:rsidRPr="008911E6">
          <w:rPr>
            <w:rStyle w:val="Hyperlink"/>
            <w:noProof/>
          </w:rPr>
          <w:t>2.2</w:t>
        </w:r>
        <w:r w:rsidR="00545AB0">
          <w:rPr>
            <w:rFonts w:asciiTheme="minorHAnsi" w:eastAsiaTheme="minorEastAsia" w:hAnsiTheme="minorHAnsi" w:cstheme="minorBidi"/>
            <w:noProof/>
            <w:sz w:val="24"/>
            <w:szCs w:val="24"/>
            <w:lang w:eastAsia="en-GB"/>
          </w:rPr>
          <w:tab/>
        </w:r>
        <w:r w:rsidR="00545AB0" w:rsidRPr="008911E6">
          <w:rPr>
            <w:rStyle w:val="Hyperlink"/>
            <w:noProof/>
          </w:rPr>
          <w:t>Governance and administration</w:t>
        </w:r>
        <w:r w:rsidR="00545AB0">
          <w:rPr>
            <w:noProof/>
            <w:webHidden/>
          </w:rPr>
          <w:tab/>
        </w:r>
        <w:r w:rsidR="00545AB0">
          <w:rPr>
            <w:noProof/>
            <w:webHidden/>
          </w:rPr>
          <w:fldChar w:fldCharType="begin"/>
        </w:r>
        <w:r w:rsidR="00545AB0">
          <w:rPr>
            <w:noProof/>
            <w:webHidden/>
          </w:rPr>
          <w:instrText xml:space="preserve"> PAGEREF _Toc18660970 \h </w:instrText>
        </w:r>
        <w:r w:rsidR="00545AB0">
          <w:rPr>
            <w:noProof/>
            <w:webHidden/>
          </w:rPr>
        </w:r>
        <w:r w:rsidR="00545AB0">
          <w:rPr>
            <w:noProof/>
            <w:webHidden/>
          </w:rPr>
          <w:fldChar w:fldCharType="separate"/>
        </w:r>
        <w:r w:rsidR="00FE1678">
          <w:rPr>
            <w:noProof/>
            <w:webHidden/>
          </w:rPr>
          <w:t>16</w:t>
        </w:r>
        <w:r w:rsidR="00545AB0">
          <w:rPr>
            <w:noProof/>
            <w:webHidden/>
          </w:rPr>
          <w:fldChar w:fldCharType="end"/>
        </w:r>
      </w:hyperlink>
    </w:p>
    <w:p w:rsidR="00545AB0" w:rsidRDefault="00841EE8">
      <w:pPr>
        <w:pStyle w:val="TOC2"/>
        <w:rPr>
          <w:rFonts w:asciiTheme="minorHAnsi" w:eastAsiaTheme="minorEastAsia" w:hAnsiTheme="minorHAnsi" w:cstheme="minorBidi"/>
          <w:noProof/>
          <w:sz w:val="24"/>
          <w:szCs w:val="24"/>
          <w:lang w:eastAsia="en-GB"/>
        </w:rPr>
      </w:pPr>
      <w:hyperlink w:anchor="_Toc18660971" w:history="1">
        <w:r w:rsidR="00545AB0" w:rsidRPr="008911E6">
          <w:rPr>
            <w:rStyle w:val="Hyperlink"/>
            <w:noProof/>
          </w:rPr>
          <w:t xml:space="preserve">2.3 </w:t>
        </w:r>
        <w:r w:rsidR="00545AB0">
          <w:rPr>
            <w:rFonts w:asciiTheme="minorHAnsi" w:eastAsiaTheme="minorEastAsia" w:hAnsiTheme="minorHAnsi" w:cstheme="minorBidi"/>
            <w:noProof/>
            <w:sz w:val="24"/>
            <w:szCs w:val="24"/>
            <w:lang w:eastAsia="en-GB"/>
          </w:rPr>
          <w:tab/>
        </w:r>
        <w:r w:rsidR="00545AB0" w:rsidRPr="008911E6">
          <w:rPr>
            <w:rStyle w:val="Hyperlink"/>
            <w:noProof/>
          </w:rPr>
          <w:t>2015 GEMS Review</w:t>
        </w:r>
        <w:r w:rsidR="00545AB0">
          <w:rPr>
            <w:noProof/>
            <w:webHidden/>
          </w:rPr>
          <w:tab/>
        </w:r>
        <w:r w:rsidR="00545AB0">
          <w:rPr>
            <w:noProof/>
            <w:webHidden/>
          </w:rPr>
          <w:fldChar w:fldCharType="begin"/>
        </w:r>
        <w:r w:rsidR="00545AB0">
          <w:rPr>
            <w:noProof/>
            <w:webHidden/>
          </w:rPr>
          <w:instrText xml:space="preserve"> PAGEREF _Toc18660971 \h </w:instrText>
        </w:r>
        <w:r w:rsidR="00545AB0">
          <w:rPr>
            <w:noProof/>
            <w:webHidden/>
          </w:rPr>
        </w:r>
        <w:r w:rsidR="00545AB0">
          <w:rPr>
            <w:noProof/>
            <w:webHidden/>
          </w:rPr>
          <w:fldChar w:fldCharType="separate"/>
        </w:r>
        <w:r w:rsidR="00FE1678">
          <w:rPr>
            <w:noProof/>
            <w:webHidden/>
          </w:rPr>
          <w:t>16</w:t>
        </w:r>
        <w:r w:rsidR="00545AB0">
          <w:rPr>
            <w:noProof/>
            <w:webHidden/>
          </w:rPr>
          <w:fldChar w:fldCharType="end"/>
        </w:r>
      </w:hyperlink>
    </w:p>
    <w:p w:rsidR="00545AB0" w:rsidRDefault="00841EE8">
      <w:pPr>
        <w:pStyle w:val="TOC2"/>
        <w:rPr>
          <w:rFonts w:asciiTheme="minorHAnsi" w:eastAsiaTheme="minorEastAsia" w:hAnsiTheme="minorHAnsi" w:cstheme="minorBidi"/>
          <w:noProof/>
          <w:sz w:val="24"/>
          <w:szCs w:val="24"/>
          <w:lang w:eastAsia="en-GB"/>
        </w:rPr>
      </w:pPr>
      <w:hyperlink w:anchor="_Toc18660972" w:history="1">
        <w:r w:rsidR="00545AB0" w:rsidRPr="008911E6">
          <w:rPr>
            <w:rStyle w:val="Hyperlink"/>
            <w:noProof/>
          </w:rPr>
          <w:t xml:space="preserve">2.4 </w:t>
        </w:r>
        <w:r w:rsidR="00545AB0">
          <w:rPr>
            <w:rFonts w:asciiTheme="minorHAnsi" w:eastAsiaTheme="minorEastAsia" w:hAnsiTheme="minorHAnsi" w:cstheme="minorBidi"/>
            <w:noProof/>
            <w:sz w:val="24"/>
            <w:szCs w:val="24"/>
            <w:lang w:eastAsia="en-GB"/>
          </w:rPr>
          <w:tab/>
        </w:r>
        <w:r w:rsidR="00545AB0" w:rsidRPr="008911E6">
          <w:rPr>
            <w:rStyle w:val="Hyperlink"/>
            <w:noProof/>
          </w:rPr>
          <w:t>Products regulated under the GEMS Act</w:t>
        </w:r>
        <w:r w:rsidR="00545AB0">
          <w:rPr>
            <w:noProof/>
            <w:webHidden/>
          </w:rPr>
          <w:tab/>
        </w:r>
        <w:r w:rsidR="00545AB0">
          <w:rPr>
            <w:noProof/>
            <w:webHidden/>
          </w:rPr>
          <w:fldChar w:fldCharType="begin"/>
        </w:r>
        <w:r w:rsidR="00545AB0">
          <w:rPr>
            <w:noProof/>
            <w:webHidden/>
          </w:rPr>
          <w:instrText xml:space="preserve"> PAGEREF _Toc18660972 \h </w:instrText>
        </w:r>
        <w:r w:rsidR="00545AB0">
          <w:rPr>
            <w:noProof/>
            <w:webHidden/>
          </w:rPr>
        </w:r>
        <w:r w:rsidR="00545AB0">
          <w:rPr>
            <w:noProof/>
            <w:webHidden/>
          </w:rPr>
          <w:fldChar w:fldCharType="separate"/>
        </w:r>
        <w:r w:rsidR="00FE1678">
          <w:rPr>
            <w:noProof/>
            <w:webHidden/>
          </w:rPr>
          <w:t>17</w:t>
        </w:r>
        <w:r w:rsidR="00545AB0">
          <w:rPr>
            <w:noProof/>
            <w:webHidden/>
          </w:rPr>
          <w:fldChar w:fldCharType="end"/>
        </w:r>
      </w:hyperlink>
    </w:p>
    <w:p w:rsidR="00545AB0" w:rsidRDefault="00841EE8">
      <w:pPr>
        <w:pStyle w:val="TOC2"/>
        <w:rPr>
          <w:rFonts w:asciiTheme="minorHAnsi" w:eastAsiaTheme="minorEastAsia" w:hAnsiTheme="minorHAnsi" w:cstheme="minorBidi"/>
          <w:noProof/>
          <w:sz w:val="24"/>
          <w:szCs w:val="24"/>
          <w:lang w:eastAsia="en-GB"/>
        </w:rPr>
      </w:pPr>
      <w:hyperlink w:anchor="_Toc18660973" w:history="1">
        <w:r w:rsidR="00545AB0" w:rsidRPr="008911E6">
          <w:rPr>
            <w:rStyle w:val="Hyperlink"/>
            <w:noProof/>
          </w:rPr>
          <w:t>2.5</w:t>
        </w:r>
        <w:r w:rsidR="00545AB0">
          <w:rPr>
            <w:rFonts w:asciiTheme="minorHAnsi" w:eastAsiaTheme="minorEastAsia" w:hAnsiTheme="minorHAnsi" w:cstheme="minorBidi"/>
            <w:noProof/>
            <w:sz w:val="24"/>
            <w:szCs w:val="24"/>
            <w:lang w:eastAsia="en-GB"/>
          </w:rPr>
          <w:tab/>
        </w:r>
        <w:r w:rsidR="00545AB0" w:rsidRPr="008911E6">
          <w:rPr>
            <w:rStyle w:val="Hyperlink"/>
            <w:noProof/>
          </w:rPr>
          <w:t>E3 prioritisation plan</w:t>
        </w:r>
        <w:r w:rsidR="00545AB0">
          <w:rPr>
            <w:noProof/>
            <w:webHidden/>
          </w:rPr>
          <w:tab/>
        </w:r>
        <w:r w:rsidR="00545AB0">
          <w:rPr>
            <w:noProof/>
            <w:webHidden/>
          </w:rPr>
          <w:fldChar w:fldCharType="begin"/>
        </w:r>
        <w:r w:rsidR="00545AB0">
          <w:rPr>
            <w:noProof/>
            <w:webHidden/>
          </w:rPr>
          <w:instrText xml:space="preserve"> PAGEREF _Toc18660973 \h </w:instrText>
        </w:r>
        <w:r w:rsidR="00545AB0">
          <w:rPr>
            <w:noProof/>
            <w:webHidden/>
          </w:rPr>
        </w:r>
        <w:r w:rsidR="00545AB0">
          <w:rPr>
            <w:noProof/>
            <w:webHidden/>
          </w:rPr>
          <w:fldChar w:fldCharType="separate"/>
        </w:r>
        <w:r w:rsidR="00FE1678">
          <w:rPr>
            <w:noProof/>
            <w:webHidden/>
          </w:rPr>
          <w:t>18</w:t>
        </w:r>
        <w:r w:rsidR="00545AB0">
          <w:rPr>
            <w:noProof/>
            <w:webHidden/>
          </w:rPr>
          <w:fldChar w:fldCharType="end"/>
        </w:r>
      </w:hyperlink>
    </w:p>
    <w:p w:rsidR="00545AB0" w:rsidRDefault="00841EE8">
      <w:pPr>
        <w:pStyle w:val="TOC2"/>
        <w:rPr>
          <w:rFonts w:asciiTheme="minorHAnsi" w:eastAsiaTheme="minorEastAsia" w:hAnsiTheme="minorHAnsi" w:cstheme="minorBidi"/>
          <w:noProof/>
          <w:sz w:val="24"/>
          <w:szCs w:val="24"/>
          <w:lang w:eastAsia="en-GB"/>
        </w:rPr>
      </w:pPr>
      <w:hyperlink w:anchor="_Toc18660974" w:history="1">
        <w:r w:rsidR="00545AB0" w:rsidRPr="008911E6">
          <w:rPr>
            <w:rStyle w:val="Hyperlink"/>
            <w:noProof/>
          </w:rPr>
          <w:t>2.6</w:t>
        </w:r>
        <w:r w:rsidR="00545AB0">
          <w:rPr>
            <w:rFonts w:asciiTheme="minorHAnsi" w:eastAsiaTheme="minorEastAsia" w:hAnsiTheme="minorHAnsi" w:cstheme="minorBidi"/>
            <w:noProof/>
            <w:sz w:val="24"/>
            <w:szCs w:val="24"/>
            <w:lang w:eastAsia="en-GB"/>
          </w:rPr>
          <w:tab/>
        </w:r>
        <w:r w:rsidR="00545AB0" w:rsidRPr="008911E6">
          <w:rPr>
            <w:rStyle w:val="Hyperlink"/>
            <w:noProof/>
          </w:rPr>
          <w:t>Current reporting</w:t>
        </w:r>
        <w:r w:rsidR="00545AB0">
          <w:rPr>
            <w:noProof/>
            <w:webHidden/>
          </w:rPr>
          <w:tab/>
        </w:r>
        <w:r w:rsidR="00545AB0">
          <w:rPr>
            <w:noProof/>
            <w:webHidden/>
          </w:rPr>
          <w:fldChar w:fldCharType="begin"/>
        </w:r>
        <w:r w:rsidR="00545AB0">
          <w:rPr>
            <w:noProof/>
            <w:webHidden/>
          </w:rPr>
          <w:instrText xml:space="preserve"> PAGEREF _Toc18660974 \h </w:instrText>
        </w:r>
        <w:r w:rsidR="00545AB0">
          <w:rPr>
            <w:noProof/>
            <w:webHidden/>
          </w:rPr>
        </w:r>
        <w:r w:rsidR="00545AB0">
          <w:rPr>
            <w:noProof/>
            <w:webHidden/>
          </w:rPr>
          <w:fldChar w:fldCharType="separate"/>
        </w:r>
        <w:r w:rsidR="00FE1678">
          <w:rPr>
            <w:noProof/>
            <w:webHidden/>
          </w:rPr>
          <w:t>18</w:t>
        </w:r>
        <w:r w:rsidR="00545AB0">
          <w:rPr>
            <w:noProof/>
            <w:webHidden/>
          </w:rPr>
          <w:fldChar w:fldCharType="end"/>
        </w:r>
      </w:hyperlink>
    </w:p>
    <w:p w:rsidR="00545AB0" w:rsidRDefault="00841EE8">
      <w:pPr>
        <w:pStyle w:val="TOC1"/>
        <w:rPr>
          <w:rFonts w:asciiTheme="minorHAnsi" w:eastAsiaTheme="minorEastAsia" w:hAnsiTheme="minorHAnsi" w:cstheme="minorBidi"/>
          <w:b/>
          <w:sz w:val="24"/>
          <w:szCs w:val="24"/>
          <w:lang w:eastAsia="en-GB"/>
        </w:rPr>
      </w:pPr>
      <w:hyperlink w:anchor="_Toc18660975" w:history="1">
        <w:r w:rsidR="00545AB0" w:rsidRPr="008911E6">
          <w:rPr>
            <w:rStyle w:val="Hyperlink"/>
          </w:rPr>
          <w:t>3.</w:t>
        </w:r>
        <w:r w:rsidR="00545AB0">
          <w:rPr>
            <w:rFonts w:asciiTheme="minorHAnsi" w:eastAsiaTheme="minorEastAsia" w:hAnsiTheme="minorHAnsi" w:cstheme="minorBidi"/>
            <w:b/>
            <w:sz w:val="24"/>
            <w:szCs w:val="24"/>
            <w:lang w:eastAsia="en-GB"/>
          </w:rPr>
          <w:tab/>
        </w:r>
        <w:r w:rsidR="00545AB0" w:rsidRPr="008911E6">
          <w:rPr>
            <w:rStyle w:val="Hyperlink"/>
          </w:rPr>
          <w:t>Context</w:t>
        </w:r>
        <w:r w:rsidR="00545AB0">
          <w:rPr>
            <w:webHidden/>
          </w:rPr>
          <w:tab/>
        </w:r>
        <w:r w:rsidR="00545AB0">
          <w:rPr>
            <w:webHidden/>
          </w:rPr>
          <w:fldChar w:fldCharType="begin"/>
        </w:r>
        <w:r w:rsidR="00545AB0">
          <w:rPr>
            <w:webHidden/>
          </w:rPr>
          <w:instrText xml:space="preserve"> PAGEREF _Toc18660975 \h </w:instrText>
        </w:r>
        <w:r w:rsidR="00545AB0">
          <w:rPr>
            <w:webHidden/>
          </w:rPr>
        </w:r>
        <w:r w:rsidR="00545AB0">
          <w:rPr>
            <w:webHidden/>
          </w:rPr>
          <w:fldChar w:fldCharType="separate"/>
        </w:r>
        <w:r w:rsidR="00FE1678">
          <w:rPr>
            <w:webHidden/>
          </w:rPr>
          <w:t>19</w:t>
        </w:r>
        <w:r w:rsidR="00545AB0">
          <w:rPr>
            <w:webHidden/>
          </w:rPr>
          <w:fldChar w:fldCharType="end"/>
        </w:r>
      </w:hyperlink>
    </w:p>
    <w:p w:rsidR="00545AB0" w:rsidRDefault="00841EE8">
      <w:pPr>
        <w:pStyle w:val="TOC2"/>
        <w:rPr>
          <w:rFonts w:asciiTheme="minorHAnsi" w:eastAsiaTheme="minorEastAsia" w:hAnsiTheme="minorHAnsi" w:cstheme="minorBidi"/>
          <w:noProof/>
          <w:sz w:val="24"/>
          <w:szCs w:val="24"/>
          <w:lang w:eastAsia="en-GB"/>
        </w:rPr>
      </w:pPr>
      <w:hyperlink w:anchor="_Toc18660976" w:history="1">
        <w:r w:rsidR="00545AB0" w:rsidRPr="008911E6">
          <w:rPr>
            <w:rStyle w:val="Hyperlink"/>
            <w:noProof/>
          </w:rPr>
          <w:t xml:space="preserve">3.1 </w:t>
        </w:r>
        <w:r w:rsidR="00545AB0">
          <w:rPr>
            <w:rFonts w:asciiTheme="minorHAnsi" w:eastAsiaTheme="minorEastAsia" w:hAnsiTheme="minorHAnsi" w:cstheme="minorBidi"/>
            <w:noProof/>
            <w:sz w:val="24"/>
            <w:szCs w:val="24"/>
            <w:lang w:eastAsia="en-GB"/>
          </w:rPr>
          <w:tab/>
        </w:r>
        <w:r w:rsidR="00545AB0" w:rsidRPr="008911E6">
          <w:rPr>
            <w:rStyle w:val="Hyperlink"/>
            <w:noProof/>
          </w:rPr>
          <w:t>Key points</w:t>
        </w:r>
        <w:r w:rsidR="00545AB0">
          <w:rPr>
            <w:noProof/>
            <w:webHidden/>
          </w:rPr>
          <w:tab/>
        </w:r>
        <w:r w:rsidR="00545AB0">
          <w:rPr>
            <w:noProof/>
            <w:webHidden/>
          </w:rPr>
          <w:fldChar w:fldCharType="begin"/>
        </w:r>
        <w:r w:rsidR="00545AB0">
          <w:rPr>
            <w:noProof/>
            <w:webHidden/>
          </w:rPr>
          <w:instrText xml:space="preserve"> PAGEREF _Toc18660976 \h </w:instrText>
        </w:r>
        <w:r w:rsidR="00545AB0">
          <w:rPr>
            <w:noProof/>
            <w:webHidden/>
          </w:rPr>
        </w:r>
        <w:r w:rsidR="00545AB0">
          <w:rPr>
            <w:noProof/>
            <w:webHidden/>
          </w:rPr>
          <w:fldChar w:fldCharType="separate"/>
        </w:r>
        <w:r w:rsidR="00FE1678">
          <w:rPr>
            <w:noProof/>
            <w:webHidden/>
          </w:rPr>
          <w:t>19</w:t>
        </w:r>
        <w:r w:rsidR="00545AB0">
          <w:rPr>
            <w:noProof/>
            <w:webHidden/>
          </w:rPr>
          <w:fldChar w:fldCharType="end"/>
        </w:r>
      </w:hyperlink>
    </w:p>
    <w:p w:rsidR="00545AB0" w:rsidRDefault="00841EE8">
      <w:pPr>
        <w:pStyle w:val="TOC2"/>
        <w:rPr>
          <w:rFonts w:asciiTheme="minorHAnsi" w:eastAsiaTheme="minorEastAsia" w:hAnsiTheme="minorHAnsi" w:cstheme="minorBidi"/>
          <w:noProof/>
          <w:sz w:val="24"/>
          <w:szCs w:val="24"/>
          <w:lang w:eastAsia="en-GB"/>
        </w:rPr>
      </w:pPr>
      <w:hyperlink w:anchor="_Toc18660977" w:history="1">
        <w:r w:rsidR="00545AB0" w:rsidRPr="008911E6">
          <w:rPr>
            <w:rStyle w:val="Hyperlink"/>
            <w:noProof/>
          </w:rPr>
          <w:t>3.2</w:t>
        </w:r>
        <w:r w:rsidR="00545AB0">
          <w:rPr>
            <w:rFonts w:asciiTheme="minorHAnsi" w:eastAsiaTheme="minorEastAsia" w:hAnsiTheme="minorHAnsi" w:cstheme="minorBidi"/>
            <w:noProof/>
            <w:sz w:val="24"/>
            <w:szCs w:val="24"/>
            <w:lang w:eastAsia="en-GB"/>
          </w:rPr>
          <w:tab/>
        </w:r>
        <w:r w:rsidR="00545AB0" w:rsidRPr="008911E6">
          <w:rPr>
            <w:rStyle w:val="Hyperlink"/>
            <w:noProof/>
          </w:rPr>
          <w:t>Broader energy policy</w:t>
        </w:r>
        <w:r w:rsidR="00545AB0">
          <w:rPr>
            <w:noProof/>
            <w:webHidden/>
          </w:rPr>
          <w:tab/>
        </w:r>
        <w:r w:rsidR="00545AB0">
          <w:rPr>
            <w:noProof/>
            <w:webHidden/>
          </w:rPr>
          <w:fldChar w:fldCharType="begin"/>
        </w:r>
        <w:r w:rsidR="00545AB0">
          <w:rPr>
            <w:noProof/>
            <w:webHidden/>
          </w:rPr>
          <w:instrText xml:space="preserve"> PAGEREF _Toc18660977 \h </w:instrText>
        </w:r>
        <w:r w:rsidR="00545AB0">
          <w:rPr>
            <w:noProof/>
            <w:webHidden/>
          </w:rPr>
        </w:r>
        <w:r w:rsidR="00545AB0">
          <w:rPr>
            <w:noProof/>
            <w:webHidden/>
          </w:rPr>
          <w:fldChar w:fldCharType="separate"/>
        </w:r>
        <w:r w:rsidR="00FE1678">
          <w:rPr>
            <w:noProof/>
            <w:webHidden/>
          </w:rPr>
          <w:t>19</w:t>
        </w:r>
        <w:r w:rsidR="00545AB0">
          <w:rPr>
            <w:noProof/>
            <w:webHidden/>
          </w:rPr>
          <w:fldChar w:fldCharType="end"/>
        </w:r>
      </w:hyperlink>
    </w:p>
    <w:p w:rsidR="00545AB0" w:rsidRDefault="00841EE8">
      <w:pPr>
        <w:pStyle w:val="TOC2"/>
        <w:rPr>
          <w:rFonts w:asciiTheme="minorHAnsi" w:eastAsiaTheme="minorEastAsia" w:hAnsiTheme="minorHAnsi" w:cstheme="minorBidi"/>
          <w:noProof/>
          <w:sz w:val="24"/>
          <w:szCs w:val="24"/>
          <w:lang w:eastAsia="en-GB"/>
        </w:rPr>
      </w:pPr>
      <w:hyperlink w:anchor="_Toc18660978" w:history="1">
        <w:r w:rsidR="00545AB0" w:rsidRPr="008911E6">
          <w:rPr>
            <w:rStyle w:val="Hyperlink"/>
            <w:noProof/>
          </w:rPr>
          <w:t>3.3</w:t>
        </w:r>
        <w:r w:rsidR="00545AB0">
          <w:rPr>
            <w:rFonts w:asciiTheme="minorHAnsi" w:eastAsiaTheme="minorEastAsia" w:hAnsiTheme="minorHAnsi" w:cstheme="minorBidi"/>
            <w:noProof/>
            <w:sz w:val="24"/>
            <w:szCs w:val="24"/>
            <w:lang w:eastAsia="en-GB"/>
          </w:rPr>
          <w:tab/>
        </w:r>
        <w:r w:rsidR="00545AB0" w:rsidRPr="008911E6">
          <w:rPr>
            <w:rStyle w:val="Hyperlink"/>
            <w:noProof/>
          </w:rPr>
          <w:t>Product regulation within an international market</w:t>
        </w:r>
        <w:r w:rsidR="00545AB0">
          <w:rPr>
            <w:noProof/>
            <w:webHidden/>
          </w:rPr>
          <w:tab/>
        </w:r>
        <w:r w:rsidR="00545AB0">
          <w:rPr>
            <w:noProof/>
            <w:webHidden/>
          </w:rPr>
          <w:fldChar w:fldCharType="begin"/>
        </w:r>
        <w:r w:rsidR="00545AB0">
          <w:rPr>
            <w:noProof/>
            <w:webHidden/>
          </w:rPr>
          <w:instrText xml:space="preserve"> PAGEREF _Toc18660978 \h </w:instrText>
        </w:r>
        <w:r w:rsidR="00545AB0">
          <w:rPr>
            <w:noProof/>
            <w:webHidden/>
          </w:rPr>
        </w:r>
        <w:r w:rsidR="00545AB0">
          <w:rPr>
            <w:noProof/>
            <w:webHidden/>
          </w:rPr>
          <w:fldChar w:fldCharType="separate"/>
        </w:r>
        <w:r w:rsidR="00FE1678">
          <w:rPr>
            <w:noProof/>
            <w:webHidden/>
          </w:rPr>
          <w:t>19</w:t>
        </w:r>
        <w:r w:rsidR="00545AB0">
          <w:rPr>
            <w:noProof/>
            <w:webHidden/>
          </w:rPr>
          <w:fldChar w:fldCharType="end"/>
        </w:r>
      </w:hyperlink>
    </w:p>
    <w:p w:rsidR="00545AB0" w:rsidRDefault="00841EE8">
      <w:pPr>
        <w:pStyle w:val="TOC2"/>
        <w:rPr>
          <w:rFonts w:asciiTheme="minorHAnsi" w:eastAsiaTheme="minorEastAsia" w:hAnsiTheme="minorHAnsi" w:cstheme="minorBidi"/>
          <w:noProof/>
          <w:sz w:val="24"/>
          <w:szCs w:val="24"/>
          <w:lang w:eastAsia="en-GB"/>
        </w:rPr>
      </w:pPr>
      <w:hyperlink w:anchor="_Toc18660979" w:history="1">
        <w:r w:rsidR="00545AB0" w:rsidRPr="008911E6">
          <w:rPr>
            <w:rStyle w:val="Hyperlink"/>
            <w:noProof/>
          </w:rPr>
          <w:t>3.4</w:t>
        </w:r>
        <w:r w:rsidR="00545AB0">
          <w:rPr>
            <w:rFonts w:asciiTheme="minorHAnsi" w:eastAsiaTheme="minorEastAsia" w:hAnsiTheme="minorHAnsi" w:cstheme="minorBidi"/>
            <w:noProof/>
            <w:sz w:val="24"/>
            <w:szCs w:val="24"/>
            <w:lang w:eastAsia="en-GB"/>
          </w:rPr>
          <w:tab/>
        </w:r>
        <w:r w:rsidR="00545AB0" w:rsidRPr="008911E6">
          <w:rPr>
            <w:rStyle w:val="Hyperlink"/>
            <w:noProof/>
          </w:rPr>
          <w:t>Interaction with other energy efficiency policies and programs</w:t>
        </w:r>
        <w:r w:rsidR="00545AB0">
          <w:rPr>
            <w:noProof/>
            <w:webHidden/>
          </w:rPr>
          <w:tab/>
        </w:r>
        <w:r w:rsidR="00545AB0">
          <w:rPr>
            <w:noProof/>
            <w:webHidden/>
          </w:rPr>
          <w:fldChar w:fldCharType="begin"/>
        </w:r>
        <w:r w:rsidR="00545AB0">
          <w:rPr>
            <w:noProof/>
            <w:webHidden/>
          </w:rPr>
          <w:instrText xml:space="preserve"> PAGEREF _Toc18660979 \h </w:instrText>
        </w:r>
        <w:r w:rsidR="00545AB0">
          <w:rPr>
            <w:noProof/>
            <w:webHidden/>
          </w:rPr>
        </w:r>
        <w:r w:rsidR="00545AB0">
          <w:rPr>
            <w:noProof/>
            <w:webHidden/>
          </w:rPr>
          <w:fldChar w:fldCharType="separate"/>
        </w:r>
        <w:r w:rsidR="00FE1678">
          <w:rPr>
            <w:noProof/>
            <w:webHidden/>
          </w:rPr>
          <w:t>20</w:t>
        </w:r>
        <w:r w:rsidR="00545AB0">
          <w:rPr>
            <w:noProof/>
            <w:webHidden/>
          </w:rPr>
          <w:fldChar w:fldCharType="end"/>
        </w:r>
      </w:hyperlink>
    </w:p>
    <w:p w:rsidR="00545AB0" w:rsidRDefault="00841EE8">
      <w:pPr>
        <w:pStyle w:val="TOC1"/>
        <w:rPr>
          <w:rFonts w:asciiTheme="minorHAnsi" w:eastAsiaTheme="minorEastAsia" w:hAnsiTheme="minorHAnsi" w:cstheme="minorBidi"/>
          <w:b/>
          <w:sz w:val="24"/>
          <w:szCs w:val="24"/>
          <w:lang w:eastAsia="en-GB"/>
        </w:rPr>
      </w:pPr>
      <w:hyperlink w:anchor="_Toc18660980" w:history="1">
        <w:r w:rsidR="00545AB0" w:rsidRPr="008911E6">
          <w:rPr>
            <w:rStyle w:val="Hyperlink"/>
          </w:rPr>
          <w:t>4.</w:t>
        </w:r>
        <w:r w:rsidR="00545AB0">
          <w:rPr>
            <w:rFonts w:asciiTheme="minorHAnsi" w:eastAsiaTheme="minorEastAsia" w:hAnsiTheme="minorHAnsi" w:cstheme="minorBidi"/>
            <w:b/>
            <w:sz w:val="24"/>
            <w:szCs w:val="24"/>
            <w:lang w:eastAsia="en-GB"/>
          </w:rPr>
          <w:tab/>
        </w:r>
        <w:r w:rsidR="00545AB0" w:rsidRPr="008911E6">
          <w:rPr>
            <w:rStyle w:val="Hyperlink"/>
          </w:rPr>
          <w:t>Effectiveness of the GEMS Act</w:t>
        </w:r>
        <w:r w:rsidR="00545AB0">
          <w:rPr>
            <w:webHidden/>
          </w:rPr>
          <w:tab/>
        </w:r>
        <w:r w:rsidR="00545AB0">
          <w:rPr>
            <w:webHidden/>
          </w:rPr>
          <w:fldChar w:fldCharType="begin"/>
        </w:r>
        <w:r w:rsidR="00545AB0">
          <w:rPr>
            <w:webHidden/>
          </w:rPr>
          <w:instrText xml:space="preserve"> PAGEREF _Toc18660980 \h </w:instrText>
        </w:r>
        <w:r w:rsidR="00545AB0">
          <w:rPr>
            <w:webHidden/>
          </w:rPr>
        </w:r>
        <w:r w:rsidR="00545AB0">
          <w:rPr>
            <w:webHidden/>
          </w:rPr>
          <w:fldChar w:fldCharType="separate"/>
        </w:r>
        <w:r w:rsidR="00FE1678">
          <w:rPr>
            <w:webHidden/>
          </w:rPr>
          <w:t>22</w:t>
        </w:r>
        <w:r w:rsidR="00545AB0">
          <w:rPr>
            <w:webHidden/>
          </w:rPr>
          <w:fldChar w:fldCharType="end"/>
        </w:r>
      </w:hyperlink>
    </w:p>
    <w:p w:rsidR="00545AB0" w:rsidRDefault="00841EE8">
      <w:pPr>
        <w:pStyle w:val="TOC2"/>
        <w:rPr>
          <w:rFonts w:asciiTheme="minorHAnsi" w:eastAsiaTheme="minorEastAsia" w:hAnsiTheme="minorHAnsi" w:cstheme="minorBidi"/>
          <w:noProof/>
          <w:sz w:val="24"/>
          <w:szCs w:val="24"/>
          <w:lang w:eastAsia="en-GB"/>
        </w:rPr>
      </w:pPr>
      <w:hyperlink w:anchor="_Toc18660981" w:history="1">
        <w:r w:rsidR="00545AB0" w:rsidRPr="008911E6">
          <w:rPr>
            <w:rStyle w:val="Hyperlink"/>
            <w:noProof/>
          </w:rPr>
          <w:t>4.1</w:t>
        </w:r>
        <w:r w:rsidR="00545AB0">
          <w:rPr>
            <w:rFonts w:asciiTheme="minorHAnsi" w:eastAsiaTheme="minorEastAsia" w:hAnsiTheme="minorHAnsi" w:cstheme="minorBidi"/>
            <w:noProof/>
            <w:sz w:val="24"/>
            <w:szCs w:val="24"/>
            <w:lang w:eastAsia="en-GB"/>
          </w:rPr>
          <w:tab/>
        </w:r>
        <w:r w:rsidR="00545AB0" w:rsidRPr="008911E6">
          <w:rPr>
            <w:rStyle w:val="Hyperlink"/>
            <w:noProof/>
          </w:rPr>
          <w:t>Key points</w:t>
        </w:r>
        <w:r w:rsidR="00545AB0">
          <w:rPr>
            <w:noProof/>
            <w:webHidden/>
          </w:rPr>
          <w:tab/>
        </w:r>
        <w:r w:rsidR="00545AB0">
          <w:rPr>
            <w:noProof/>
            <w:webHidden/>
          </w:rPr>
          <w:fldChar w:fldCharType="begin"/>
        </w:r>
        <w:r w:rsidR="00545AB0">
          <w:rPr>
            <w:noProof/>
            <w:webHidden/>
          </w:rPr>
          <w:instrText xml:space="preserve"> PAGEREF _Toc18660981 \h </w:instrText>
        </w:r>
        <w:r w:rsidR="00545AB0">
          <w:rPr>
            <w:noProof/>
            <w:webHidden/>
          </w:rPr>
        </w:r>
        <w:r w:rsidR="00545AB0">
          <w:rPr>
            <w:noProof/>
            <w:webHidden/>
          </w:rPr>
          <w:fldChar w:fldCharType="separate"/>
        </w:r>
        <w:r w:rsidR="00FE1678">
          <w:rPr>
            <w:noProof/>
            <w:webHidden/>
          </w:rPr>
          <w:t>22</w:t>
        </w:r>
        <w:r w:rsidR="00545AB0">
          <w:rPr>
            <w:noProof/>
            <w:webHidden/>
          </w:rPr>
          <w:fldChar w:fldCharType="end"/>
        </w:r>
      </w:hyperlink>
    </w:p>
    <w:p w:rsidR="00545AB0" w:rsidRDefault="00841EE8">
      <w:pPr>
        <w:pStyle w:val="TOC2"/>
        <w:rPr>
          <w:rFonts w:asciiTheme="minorHAnsi" w:eastAsiaTheme="minorEastAsia" w:hAnsiTheme="minorHAnsi" w:cstheme="minorBidi"/>
          <w:noProof/>
          <w:sz w:val="24"/>
          <w:szCs w:val="24"/>
          <w:lang w:eastAsia="en-GB"/>
        </w:rPr>
      </w:pPr>
      <w:hyperlink w:anchor="_Toc18660982" w:history="1">
        <w:r w:rsidR="00545AB0" w:rsidRPr="008911E6">
          <w:rPr>
            <w:rStyle w:val="Hyperlink"/>
            <w:noProof/>
          </w:rPr>
          <w:t>4.2</w:t>
        </w:r>
        <w:r w:rsidR="00545AB0">
          <w:rPr>
            <w:rFonts w:asciiTheme="minorHAnsi" w:eastAsiaTheme="minorEastAsia" w:hAnsiTheme="minorHAnsi" w:cstheme="minorBidi"/>
            <w:noProof/>
            <w:sz w:val="24"/>
            <w:szCs w:val="24"/>
            <w:lang w:eastAsia="en-GB"/>
          </w:rPr>
          <w:tab/>
        </w:r>
        <w:r w:rsidR="00545AB0" w:rsidRPr="008911E6">
          <w:rPr>
            <w:rStyle w:val="Hyperlink"/>
            <w:noProof/>
          </w:rPr>
          <w:t>Streamlined nationally consistent approach</w:t>
        </w:r>
        <w:r w:rsidR="00545AB0">
          <w:rPr>
            <w:noProof/>
            <w:webHidden/>
          </w:rPr>
          <w:tab/>
        </w:r>
        <w:r w:rsidR="00545AB0">
          <w:rPr>
            <w:noProof/>
            <w:webHidden/>
          </w:rPr>
          <w:fldChar w:fldCharType="begin"/>
        </w:r>
        <w:r w:rsidR="00545AB0">
          <w:rPr>
            <w:noProof/>
            <w:webHidden/>
          </w:rPr>
          <w:instrText xml:space="preserve"> PAGEREF _Toc18660982 \h </w:instrText>
        </w:r>
        <w:r w:rsidR="00545AB0">
          <w:rPr>
            <w:noProof/>
            <w:webHidden/>
          </w:rPr>
        </w:r>
        <w:r w:rsidR="00545AB0">
          <w:rPr>
            <w:noProof/>
            <w:webHidden/>
          </w:rPr>
          <w:fldChar w:fldCharType="separate"/>
        </w:r>
        <w:r w:rsidR="00FE1678">
          <w:rPr>
            <w:noProof/>
            <w:webHidden/>
          </w:rPr>
          <w:t>22</w:t>
        </w:r>
        <w:r w:rsidR="00545AB0">
          <w:rPr>
            <w:noProof/>
            <w:webHidden/>
          </w:rPr>
          <w:fldChar w:fldCharType="end"/>
        </w:r>
      </w:hyperlink>
    </w:p>
    <w:p w:rsidR="00545AB0" w:rsidRDefault="00841EE8">
      <w:pPr>
        <w:pStyle w:val="TOC2"/>
        <w:rPr>
          <w:rFonts w:asciiTheme="minorHAnsi" w:eastAsiaTheme="minorEastAsia" w:hAnsiTheme="minorHAnsi" w:cstheme="minorBidi"/>
          <w:noProof/>
          <w:sz w:val="24"/>
          <w:szCs w:val="24"/>
          <w:lang w:eastAsia="en-GB"/>
        </w:rPr>
      </w:pPr>
      <w:hyperlink w:anchor="_Toc18660983" w:history="1">
        <w:r w:rsidR="00545AB0" w:rsidRPr="008911E6">
          <w:rPr>
            <w:rStyle w:val="Hyperlink"/>
            <w:noProof/>
          </w:rPr>
          <w:t>4.3</w:t>
        </w:r>
        <w:r w:rsidR="00545AB0">
          <w:rPr>
            <w:rFonts w:asciiTheme="minorHAnsi" w:eastAsiaTheme="minorEastAsia" w:hAnsiTheme="minorHAnsi" w:cstheme="minorBidi"/>
            <w:noProof/>
            <w:sz w:val="24"/>
            <w:szCs w:val="24"/>
            <w:lang w:eastAsia="en-GB"/>
          </w:rPr>
          <w:tab/>
        </w:r>
        <w:r w:rsidR="00545AB0" w:rsidRPr="008911E6">
          <w:rPr>
            <w:rStyle w:val="Hyperlink"/>
            <w:noProof/>
          </w:rPr>
          <w:t>Saving energy and reducing greenhouse gas emissions</w:t>
        </w:r>
        <w:r w:rsidR="00545AB0">
          <w:rPr>
            <w:noProof/>
            <w:webHidden/>
          </w:rPr>
          <w:tab/>
        </w:r>
        <w:r w:rsidR="00545AB0">
          <w:rPr>
            <w:noProof/>
            <w:webHidden/>
          </w:rPr>
          <w:fldChar w:fldCharType="begin"/>
        </w:r>
        <w:r w:rsidR="00545AB0">
          <w:rPr>
            <w:noProof/>
            <w:webHidden/>
          </w:rPr>
          <w:instrText xml:space="preserve"> PAGEREF _Toc18660983 \h </w:instrText>
        </w:r>
        <w:r w:rsidR="00545AB0">
          <w:rPr>
            <w:noProof/>
            <w:webHidden/>
          </w:rPr>
        </w:r>
        <w:r w:rsidR="00545AB0">
          <w:rPr>
            <w:noProof/>
            <w:webHidden/>
          </w:rPr>
          <w:fldChar w:fldCharType="separate"/>
        </w:r>
        <w:r w:rsidR="00FE1678">
          <w:rPr>
            <w:noProof/>
            <w:webHidden/>
          </w:rPr>
          <w:t>24</w:t>
        </w:r>
        <w:r w:rsidR="00545AB0">
          <w:rPr>
            <w:noProof/>
            <w:webHidden/>
          </w:rPr>
          <w:fldChar w:fldCharType="end"/>
        </w:r>
      </w:hyperlink>
    </w:p>
    <w:p w:rsidR="00545AB0" w:rsidRDefault="00841EE8">
      <w:pPr>
        <w:pStyle w:val="TOC3"/>
        <w:rPr>
          <w:rFonts w:asciiTheme="minorHAnsi" w:eastAsiaTheme="minorEastAsia" w:hAnsiTheme="minorHAnsi" w:cstheme="minorBidi"/>
          <w:noProof/>
          <w:sz w:val="24"/>
          <w:szCs w:val="24"/>
          <w:lang w:eastAsia="en-GB"/>
        </w:rPr>
      </w:pPr>
      <w:hyperlink w:anchor="_Toc18660984" w:history="1">
        <w:r w:rsidR="00545AB0" w:rsidRPr="008911E6">
          <w:rPr>
            <w:rStyle w:val="Hyperlink"/>
            <w:noProof/>
          </w:rPr>
          <w:t>4.3.1 Illustrated impact of GEMS regulations</w:t>
        </w:r>
        <w:r w:rsidR="00545AB0">
          <w:rPr>
            <w:noProof/>
            <w:webHidden/>
          </w:rPr>
          <w:tab/>
        </w:r>
        <w:r w:rsidR="00545AB0">
          <w:rPr>
            <w:noProof/>
            <w:webHidden/>
          </w:rPr>
          <w:fldChar w:fldCharType="begin"/>
        </w:r>
        <w:r w:rsidR="00545AB0">
          <w:rPr>
            <w:noProof/>
            <w:webHidden/>
          </w:rPr>
          <w:instrText xml:space="preserve"> PAGEREF _Toc18660984 \h </w:instrText>
        </w:r>
        <w:r w:rsidR="00545AB0">
          <w:rPr>
            <w:noProof/>
            <w:webHidden/>
          </w:rPr>
        </w:r>
        <w:r w:rsidR="00545AB0">
          <w:rPr>
            <w:noProof/>
            <w:webHidden/>
          </w:rPr>
          <w:fldChar w:fldCharType="separate"/>
        </w:r>
        <w:r w:rsidR="00FE1678">
          <w:rPr>
            <w:noProof/>
            <w:webHidden/>
          </w:rPr>
          <w:t>25</w:t>
        </w:r>
        <w:r w:rsidR="00545AB0">
          <w:rPr>
            <w:noProof/>
            <w:webHidden/>
          </w:rPr>
          <w:fldChar w:fldCharType="end"/>
        </w:r>
      </w:hyperlink>
    </w:p>
    <w:p w:rsidR="00545AB0" w:rsidRDefault="00841EE8">
      <w:pPr>
        <w:pStyle w:val="TOC1"/>
        <w:rPr>
          <w:rFonts w:asciiTheme="minorHAnsi" w:eastAsiaTheme="minorEastAsia" w:hAnsiTheme="minorHAnsi" w:cstheme="minorBidi"/>
          <w:b/>
          <w:sz w:val="24"/>
          <w:szCs w:val="24"/>
          <w:lang w:eastAsia="en-GB"/>
        </w:rPr>
      </w:pPr>
      <w:hyperlink w:anchor="_Toc18660985" w:history="1">
        <w:r w:rsidR="00545AB0" w:rsidRPr="008911E6">
          <w:rPr>
            <w:rStyle w:val="Hyperlink"/>
          </w:rPr>
          <w:t>5.</w:t>
        </w:r>
        <w:r w:rsidR="00545AB0">
          <w:rPr>
            <w:rFonts w:asciiTheme="minorHAnsi" w:eastAsiaTheme="minorEastAsia" w:hAnsiTheme="minorHAnsi" w:cstheme="minorBidi"/>
            <w:b/>
            <w:sz w:val="24"/>
            <w:szCs w:val="24"/>
            <w:lang w:eastAsia="en-GB"/>
          </w:rPr>
          <w:tab/>
        </w:r>
        <w:r w:rsidR="00545AB0" w:rsidRPr="008911E6">
          <w:rPr>
            <w:rStyle w:val="Hyperlink"/>
          </w:rPr>
          <w:t>Opportunities to improve the operation of the GEMS Act</w:t>
        </w:r>
        <w:r w:rsidR="00545AB0">
          <w:rPr>
            <w:webHidden/>
          </w:rPr>
          <w:tab/>
        </w:r>
        <w:r w:rsidR="00545AB0">
          <w:rPr>
            <w:webHidden/>
          </w:rPr>
          <w:fldChar w:fldCharType="begin"/>
        </w:r>
        <w:r w:rsidR="00545AB0">
          <w:rPr>
            <w:webHidden/>
          </w:rPr>
          <w:instrText xml:space="preserve"> PAGEREF _Toc18660985 \h </w:instrText>
        </w:r>
        <w:r w:rsidR="00545AB0">
          <w:rPr>
            <w:webHidden/>
          </w:rPr>
        </w:r>
        <w:r w:rsidR="00545AB0">
          <w:rPr>
            <w:webHidden/>
          </w:rPr>
          <w:fldChar w:fldCharType="separate"/>
        </w:r>
        <w:r w:rsidR="00FE1678">
          <w:rPr>
            <w:webHidden/>
          </w:rPr>
          <w:t>29</w:t>
        </w:r>
        <w:r w:rsidR="00545AB0">
          <w:rPr>
            <w:webHidden/>
          </w:rPr>
          <w:fldChar w:fldCharType="end"/>
        </w:r>
      </w:hyperlink>
    </w:p>
    <w:p w:rsidR="00545AB0" w:rsidRDefault="00841EE8">
      <w:pPr>
        <w:pStyle w:val="TOC2"/>
        <w:rPr>
          <w:rFonts w:asciiTheme="minorHAnsi" w:eastAsiaTheme="minorEastAsia" w:hAnsiTheme="minorHAnsi" w:cstheme="minorBidi"/>
          <w:noProof/>
          <w:sz w:val="24"/>
          <w:szCs w:val="24"/>
          <w:lang w:eastAsia="en-GB"/>
        </w:rPr>
      </w:pPr>
      <w:hyperlink w:anchor="_Toc18660986" w:history="1">
        <w:r w:rsidR="00545AB0" w:rsidRPr="008911E6">
          <w:rPr>
            <w:rStyle w:val="Hyperlink"/>
            <w:noProof/>
          </w:rPr>
          <w:t>5.1</w:t>
        </w:r>
        <w:r w:rsidR="00545AB0">
          <w:rPr>
            <w:rFonts w:asciiTheme="minorHAnsi" w:eastAsiaTheme="minorEastAsia" w:hAnsiTheme="minorHAnsi" w:cstheme="minorBidi"/>
            <w:noProof/>
            <w:sz w:val="24"/>
            <w:szCs w:val="24"/>
            <w:lang w:eastAsia="en-GB"/>
          </w:rPr>
          <w:tab/>
        </w:r>
        <w:r w:rsidR="00545AB0" w:rsidRPr="008911E6">
          <w:rPr>
            <w:rStyle w:val="Hyperlink"/>
            <w:noProof/>
          </w:rPr>
          <w:t>Key points</w:t>
        </w:r>
        <w:r w:rsidR="00545AB0">
          <w:rPr>
            <w:noProof/>
            <w:webHidden/>
          </w:rPr>
          <w:tab/>
        </w:r>
        <w:r w:rsidR="00545AB0">
          <w:rPr>
            <w:noProof/>
            <w:webHidden/>
          </w:rPr>
          <w:fldChar w:fldCharType="begin"/>
        </w:r>
        <w:r w:rsidR="00545AB0">
          <w:rPr>
            <w:noProof/>
            <w:webHidden/>
          </w:rPr>
          <w:instrText xml:space="preserve"> PAGEREF _Toc18660986 \h </w:instrText>
        </w:r>
        <w:r w:rsidR="00545AB0">
          <w:rPr>
            <w:noProof/>
            <w:webHidden/>
          </w:rPr>
        </w:r>
        <w:r w:rsidR="00545AB0">
          <w:rPr>
            <w:noProof/>
            <w:webHidden/>
          </w:rPr>
          <w:fldChar w:fldCharType="separate"/>
        </w:r>
        <w:r w:rsidR="00FE1678">
          <w:rPr>
            <w:noProof/>
            <w:webHidden/>
          </w:rPr>
          <w:t>29</w:t>
        </w:r>
        <w:r w:rsidR="00545AB0">
          <w:rPr>
            <w:noProof/>
            <w:webHidden/>
          </w:rPr>
          <w:fldChar w:fldCharType="end"/>
        </w:r>
      </w:hyperlink>
    </w:p>
    <w:p w:rsidR="00545AB0" w:rsidRDefault="00841EE8">
      <w:pPr>
        <w:pStyle w:val="TOC2"/>
        <w:rPr>
          <w:rFonts w:asciiTheme="minorHAnsi" w:eastAsiaTheme="minorEastAsia" w:hAnsiTheme="minorHAnsi" w:cstheme="minorBidi"/>
          <w:noProof/>
          <w:sz w:val="24"/>
          <w:szCs w:val="24"/>
          <w:lang w:eastAsia="en-GB"/>
        </w:rPr>
      </w:pPr>
      <w:hyperlink w:anchor="_Toc18660987" w:history="1">
        <w:r w:rsidR="00545AB0" w:rsidRPr="008911E6">
          <w:rPr>
            <w:rStyle w:val="Hyperlink"/>
            <w:noProof/>
          </w:rPr>
          <w:t>5.2</w:t>
        </w:r>
        <w:r w:rsidR="00545AB0">
          <w:rPr>
            <w:rFonts w:asciiTheme="minorHAnsi" w:eastAsiaTheme="minorEastAsia" w:hAnsiTheme="minorHAnsi" w:cstheme="minorBidi"/>
            <w:noProof/>
            <w:sz w:val="24"/>
            <w:szCs w:val="24"/>
            <w:lang w:eastAsia="en-GB"/>
          </w:rPr>
          <w:tab/>
        </w:r>
        <w:r w:rsidR="00545AB0" w:rsidRPr="008911E6">
          <w:rPr>
            <w:rStyle w:val="Hyperlink"/>
            <w:noProof/>
          </w:rPr>
          <w:t>GEMS determinations</w:t>
        </w:r>
        <w:r w:rsidR="00545AB0">
          <w:rPr>
            <w:noProof/>
            <w:webHidden/>
          </w:rPr>
          <w:tab/>
        </w:r>
        <w:r w:rsidR="00545AB0">
          <w:rPr>
            <w:noProof/>
            <w:webHidden/>
          </w:rPr>
          <w:fldChar w:fldCharType="begin"/>
        </w:r>
        <w:r w:rsidR="00545AB0">
          <w:rPr>
            <w:noProof/>
            <w:webHidden/>
          </w:rPr>
          <w:instrText xml:space="preserve"> PAGEREF _Toc18660987 \h </w:instrText>
        </w:r>
        <w:r w:rsidR="00545AB0">
          <w:rPr>
            <w:noProof/>
            <w:webHidden/>
          </w:rPr>
        </w:r>
        <w:r w:rsidR="00545AB0">
          <w:rPr>
            <w:noProof/>
            <w:webHidden/>
          </w:rPr>
          <w:fldChar w:fldCharType="separate"/>
        </w:r>
        <w:r w:rsidR="00FE1678">
          <w:rPr>
            <w:noProof/>
            <w:webHidden/>
          </w:rPr>
          <w:t>30</w:t>
        </w:r>
        <w:r w:rsidR="00545AB0">
          <w:rPr>
            <w:noProof/>
            <w:webHidden/>
          </w:rPr>
          <w:fldChar w:fldCharType="end"/>
        </w:r>
      </w:hyperlink>
    </w:p>
    <w:p w:rsidR="00545AB0" w:rsidRDefault="00841EE8">
      <w:pPr>
        <w:pStyle w:val="TOC3"/>
        <w:rPr>
          <w:rFonts w:asciiTheme="minorHAnsi" w:eastAsiaTheme="minorEastAsia" w:hAnsiTheme="minorHAnsi" w:cstheme="minorBidi"/>
          <w:noProof/>
          <w:sz w:val="24"/>
          <w:szCs w:val="24"/>
          <w:lang w:eastAsia="en-GB"/>
        </w:rPr>
      </w:pPr>
      <w:hyperlink w:anchor="_Toc18660988" w:history="1">
        <w:r w:rsidR="00545AB0" w:rsidRPr="008911E6">
          <w:rPr>
            <w:rStyle w:val="Hyperlink"/>
            <w:noProof/>
          </w:rPr>
          <w:t>5.2.1</w:t>
        </w:r>
        <w:r w:rsidR="00545AB0">
          <w:rPr>
            <w:rFonts w:asciiTheme="minorHAnsi" w:eastAsiaTheme="minorEastAsia" w:hAnsiTheme="minorHAnsi" w:cstheme="minorBidi"/>
            <w:noProof/>
            <w:sz w:val="24"/>
            <w:szCs w:val="24"/>
            <w:lang w:eastAsia="en-GB"/>
          </w:rPr>
          <w:tab/>
        </w:r>
        <w:r w:rsidR="00545AB0" w:rsidRPr="008911E6">
          <w:rPr>
            <w:rStyle w:val="Hyperlink"/>
            <w:noProof/>
          </w:rPr>
          <w:t>Introduction</w:t>
        </w:r>
        <w:r w:rsidR="00545AB0">
          <w:rPr>
            <w:noProof/>
            <w:webHidden/>
          </w:rPr>
          <w:tab/>
        </w:r>
        <w:r w:rsidR="00545AB0">
          <w:rPr>
            <w:noProof/>
            <w:webHidden/>
          </w:rPr>
          <w:fldChar w:fldCharType="begin"/>
        </w:r>
        <w:r w:rsidR="00545AB0">
          <w:rPr>
            <w:noProof/>
            <w:webHidden/>
          </w:rPr>
          <w:instrText xml:space="preserve"> PAGEREF _Toc18660988 \h </w:instrText>
        </w:r>
        <w:r w:rsidR="00545AB0">
          <w:rPr>
            <w:noProof/>
            <w:webHidden/>
          </w:rPr>
        </w:r>
        <w:r w:rsidR="00545AB0">
          <w:rPr>
            <w:noProof/>
            <w:webHidden/>
          </w:rPr>
          <w:fldChar w:fldCharType="separate"/>
        </w:r>
        <w:r w:rsidR="00FE1678">
          <w:rPr>
            <w:noProof/>
            <w:webHidden/>
          </w:rPr>
          <w:t>30</w:t>
        </w:r>
        <w:r w:rsidR="00545AB0">
          <w:rPr>
            <w:noProof/>
            <w:webHidden/>
          </w:rPr>
          <w:fldChar w:fldCharType="end"/>
        </w:r>
      </w:hyperlink>
    </w:p>
    <w:p w:rsidR="00545AB0" w:rsidRDefault="00841EE8">
      <w:pPr>
        <w:pStyle w:val="TOC3"/>
        <w:rPr>
          <w:rFonts w:asciiTheme="minorHAnsi" w:eastAsiaTheme="minorEastAsia" w:hAnsiTheme="minorHAnsi" w:cstheme="minorBidi"/>
          <w:noProof/>
          <w:sz w:val="24"/>
          <w:szCs w:val="24"/>
          <w:lang w:eastAsia="en-GB"/>
        </w:rPr>
      </w:pPr>
      <w:hyperlink w:anchor="_Toc18660989" w:history="1">
        <w:r w:rsidR="00545AB0" w:rsidRPr="008911E6">
          <w:rPr>
            <w:rStyle w:val="Hyperlink"/>
            <w:noProof/>
          </w:rPr>
          <w:t>5.2.2</w:t>
        </w:r>
        <w:r w:rsidR="00545AB0">
          <w:rPr>
            <w:rFonts w:asciiTheme="minorHAnsi" w:eastAsiaTheme="minorEastAsia" w:hAnsiTheme="minorHAnsi" w:cstheme="minorBidi"/>
            <w:noProof/>
            <w:sz w:val="24"/>
            <w:szCs w:val="24"/>
            <w:lang w:eastAsia="en-GB"/>
          </w:rPr>
          <w:tab/>
        </w:r>
        <w:r w:rsidR="00545AB0" w:rsidRPr="008911E6">
          <w:rPr>
            <w:rStyle w:val="Hyperlink"/>
            <w:noProof/>
          </w:rPr>
          <w:t>Regulatory framework and innovation</w:t>
        </w:r>
        <w:r w:rsidR="00545AB0">
          <w:rPr>
            <w:noProof/>
            <w:webHidden/>
          </w:rPr>
          <w:tab/>
        </w:r>
        <w:r w:rsidR="00545AB0">
          <w:rPr>
            <w:noProof/>
            <w:webHidden/>
          </w:rPr>
          <w:fldChar w:fldCharType="begin"/>
        </w:r>
        <w:r w:rsidR="00545AB0">
          <w:rPr>
            <w:noProof/>
            <w:webHidden/>
          </w:rPr>
          <w:instrText xml:space="preserve"> PAGEREF _Toc18660989 \h </w:instrText>
        </w:r>
        <w:r w:rsidR="00545AB0">
          <w:rPr>
            <w:noProof/>
            <w:webHidden/>
          </w:rPr>
        </w:r>
        <w:r w:rsidR="00545AB0">
          <w:rPr>
            <w:noProof/>
            <w:webHidden/>
          </w:rPr>
          <w:fldChar w:fldCharType="separate"/>
        </w:r>
        <w:r w:rsidR="00FE1678">
          <w:rPr>
            <w:noProof/>
            <w:webHidden/>
          </w:rPr>
          <w:t>30</w:t>
        </w:r>
        <w:r w:rsidR="00545AB0">
          <w:rPr>
            <w:noProof/>
            <w:webHidden/>
          </w:rPr>
          <w:fldChar w:fldCharType="end"/>
        </w:r>
      </w:hyperlink>
    </w:p>
    <w:p w:rsidR="00545AB0" w:rsidRDefault="00841EE8">
      <w:pPr>
        <w:pStyle w:val="TOC3"/>
        <w:rPr>
          <w:rFonts w:asciiTheme="minorHAnsi" w:eastAsiaTheme="minorEastAsia" w:hAnsiTheme="minorHAnsi" w:cstheme="minorBidi"/>
          <w:noProof/>
          <w:sz w:val="24"/>
          <w:szCs w:val="24"/>
          <w:lang w:eastAsia="en-GB"/>
        </w:rPr>
      </w:pPr>
      <w:hyperlink w:anchor="_Toc18660990" w:history="1">
        <w:r w:rsidR="00545AB0" w:rsidRPr="008911E6">
          <w:rPr>
            <w:rStyle w:val="Hyperlink"/>
            <w:noProof/>
          </w:rPr>
          <w:t>5.2.3</w:t>
        </w:r>
        <w:r w:rsidR="00545AB0">
          <w:rPr>
            <w:rFonts w:asciiTheme="minorHAnsi" w:eastAsiaTheme="minorEastAsia" w:hAnsiTheme="minorHAnsi" w:cstheme="minorBidi"/>
            <w:noProof/>
            <w:sz w:val="24"/>
            <w:szCs w:val="24"/>
            <w:lang w:eastAsia="en-GB"/>
          </w:rPr>
          <w:tab/>
        </w:r>
        <w:r w:rsidR="00545AB0" w:rsidRPr="008911E6">
          <w:rPr>
            <w:rStyle w:val="Hyperlink"/>
            <w:noProof/>
          </w:rPr>
          <w:t>Determinations process</w:t>
        </w:r>
        <w:r w:rsidR="00545AB0">
          <w:rPr>
            <w:noProof/>
            <w:webHidden/>
          </w:rPr>
          <w:tab/>
        </w:r>
        <w:r w:rsidR="00545AB0">
          <w:rPr>
            <w:noProof/>
            <w:webHidden/>
          </w:rPr>
          <w:fldChar w:fldCharType="begin"/>
        </w:r>
        <w:r w:rsidR="00545AB0">
          <w:rPr>
            <w:noProof/>
            <w:webHidden/>
          </w:rPr>
          <w:instrText xml:space="preserve"> PAGEREF _Toc18660990 \h </w:instrText>
        </w:r>
        <w:r w:rsidR="00545AB0">
          <w:rPr>
            <w:noProof/>
            <w:webHidden/>
          </w:rPr>
        </w:r>
        <w:r w:rsidR="00545AB0">
          <w:rPr>
            <w:noProof/>
            <w:webHidden/>
          </w:rPr>
          <w:fldChar w:fldCharType="separate"/>
        </w:r>
        <w:r w:rsidR="00FE1678">
          <w:rPr>
            <w:noProof/>
            <w:webHidden/>
          </w:rPr>
          <w:t>31</w:t>
        </w:r>
        <w:r w:rsidR="00545AB0">
          <w:rPr>
            <w:noProof/>
            <w:webHidden/>
          </w:rPr>
          <w:fldChar w:fldCharType="end"/>
        </w:r>
      </w:hyperlink>
    </w:p>
    <w:p w:rsidR="00545AB0" w:rsidRDefault="00841EE8">
      <w:pPr>
        <w:pStyle w:val="TOC3"/>
        <w:rPr>
          <w:rFonts w:asciiTheme="minorHAnsi" w:eastAsiaTheme="minorEastAsia" w:hAnsiTheme="minorHAnsi" w:cstheme="minorBidi"/>
          <w:noProof/>
          <w:sz w:val="24"/>
          <w:szCs w:val="24"/>
          <w:lang w:eastAsia="en-GB"/>
        </w:rPr>
      </w:pPr>
      <w:hyperlink w:anchor="_Toc18660991" w:history="1">
        <w:r w:rsidR="00545AB0" w:rsidRPr="008911E6">
          <w:rPr>
            <w:rStyle w:val="Hyperlink"/>
            <w:noProof/>
          </w:rPr>
          <w:t>5.2.4</w:t>
        </w:r>
        <w:r w:rsidR="00545AB0">
          <w:rPr>
            <w:rFonts w:asciiTheme="minorHAnsi" w:eastAsiaTheme="minorEastAsia" w:hAnsiTheme="minorHAnsi" w:cstheme="minorBidi"/>
            <w:noProof/>
            <w:sz w:val="24"/>
            <w:szCs w:val="24"/>
            <w:lang w:eastAsia="en-GB"/>
          </w:rPr>
          <w:tab/>
        </w:r>
        <w:r w:rsidR="00545AB0" w:rsidRPr="008911E6">
          <w:rPr>
            <w:rStyle w:val="Hyperlink"/>
            <w:noProof/>
          </w:rPr>
          <w:t>Removing GEMS determinations</w:t>
        </w:r>
        <w:r w:rsidR="00545AB0">
          <w:rPr>
            <w:noProof/>
            <w:webHidden/>
          </w:rPr>
          <w:tab/>
        </w:r>
        <w:r w:rsidR="00545AB0">
          <w:rPr>
            <w:noProof/>
            <w:webHidden/>
          </w:rPr>
          <w:fldChar w:fldCharType="begin"/>
        </w:r>
        <w:r w:rsidR="00545AB0">
          <w:rPr>
            <w:noProof/>
            <w:webHidden/>
          </w:rPr>
          <w:instrText xml:space="preserve"> PAGEREF _Toc18660991 \h </w:instrText>
        </w:r>
        <w:r w:rsidR="00545AB0">
          <w:rPr>
            <w:noProof/>
            <w:webHidden/>
          </w:rPr>
        </w:r>
        <w:r w:rsidR="00545AB0">
          <w:rPr>
            <w:noProof/>
            <w:webHidden/>
          </w:rPr>
          <w:fldChar w:fldCharType="separate"/>
        </w:r>
        <w:r w:rsidR="00FE1678">
          <w:rPr>
            <w:noProof/>
            <w:webHidden/>
          </w:rPr>
          <w:t>37</w:t>
        </w:r>
        <w:r w:rsidR="00545AB0">
          <w:rPr>
            <w:noProof/>
            <w:webHidden/>
          </w:rPr>
          <w:fldChar w:fldCharType="end"/>
        </w:r>
      </w:hyperlink>
    </w:p>
    <w:p w:rsidR="00545AB0" w:rsidRDefault="00841EE8">
      <w:pPr>
        <w:pStyle w:val="TOC2"/>
        <w:rPr>
          <w:rFonts w:asciiTheme="minorHAnsi" w:eastAsiaTheme="minorEastAsia" w:hAnsiTheme="minorHAnsi" w:cstheme="minorBidi"/>
          <w:noProof/>
          <w:sz w:val="24"/>
          <w:szCs w:val="24"/>
          <w:lang w:eastAsia="en-GB"/>
        </w:rPr>
      </w:pPr>
      <w:hyperlink w:anchor="_Toc18660992" w:history="1">
        <w:r w:rsidR="00545AB0" w:rsidRPr="008911E6">
          <w:rPr>
            <w:rStyle w:val="Hyperlink"/>
            <w:noProof/>
          </w:rPr>
          <w:t>5.3</w:t>
        </w:r>
        <w:r w:rsidR="00545AB0">
          <w:rPr>
            <w:rFonts w:asciiTheme="minorHAnsi" w:eastAsiaTheme="minorEastAsia" w:hAnsiTheme="minorHAnsi" w:cstheme="minorBidi"/>
            <w:noProof/>
            <w:sz w:val="24"/>
            <w:szCs w:val="24"/>
            <w:lang w:eastAsia="en-GB"/>
          </w:rPr>
          <w:tab/>
        </w:r>
        <w:r w:rsidR="00545AB0" w:rsidRPr="008911E6">
          <w:rPr>
            <w:rStyle w:val="Hyperlink"/>
            <w:noProof/>
          </w:rPr>
          <w:t>Registrations</w:t>
        </w:r>
        <w:r w:rsidR="00545AB0">
          <w:rPr>
            <w:noProof/>
            <w:webHidden/>
          </w:rPr>
          <w:tab/>
        </w:r>
        <w:r w:rsidR="00545AB0">
          <w:rPr>
            <w:noProof/>
            <w:webHidden/>
          </w:rPr>
          <w:fldChar w:fldCharType="begin"/>
        </w:r>
        <w:r w:rsidR="00545AB0">
          <w:rPr>
            <w:noProof/>
            <w:webHidden/>
          </w:rPr>
          <w:instrText xml:space="preserve"> PAGEREF _Toc18660992 \h </w:instrText>
        </w:r>
        <w:r w:rsidR="00545AB0">
          <w:rPr>
            <w:noProof/>
            <w:webHidden/>
          </w:rPr>
        </w:r>
        <w:r w:rsidR="00545AB0">
          <w:rPr>
            <w:noProof/>
            <w:webHidden/>
          </w:rPr>
          <w:fldChar w:fldCharType="separate"/>
        </w:r>
        <w:r w:rsidR="00FE1678">
          <w:rPr>
            <w:noProof/>
            <w:webHidden/>
          </w:rPr>
          <w:t>38</w:t>
        </w:r>
        <w:r w:rsidR="00545AB0">
          <w:rPr>
            <w:noProof/>
            <w:webHidden/>
          </w:rPr>
          <w:fldChar w:fldCharType="end"/>
        </w:r>
      </w:hyperlink>
    </w:p>
    <w:p w:rsidR="00545AB0" w:rsidRDefault="00841EE8">
      <w:pPr>
        <w:pStyle w:val="TOC3"/>
        <w:rPr>
          <w:rFonts w:asciiTheme="minorHAnsi" w:eastAsiaTheme="minorEastAsia" w:hAnsiTheme="minorHAnsi" w:cstheme="minorBidi"/>
          <w:noProof/>
          <w:sz w:val="24"/>
          <w:szCs w:val="24"/>
          <w:lang w:eastAsia="en-GB"/>
        </w:rPr>
      </w:pPr>
      <w:hyperlink w:anchor="_Toc18660993" w:history="1">
        <w:r w:rsidR="00545AB0" w:rsidRPr="008911E6">
          <w:rPr>
            <w:rStyle w:val="Hyperlink"/>
            <w:noProof/>
          </w:rPr>
          <w:t>5.3.1</w:t>
        </w:r>
        <w:r w:rsidR="00545AB0">
          <w:rPr>
            <w:rFonts w:asciiTheme="minorHAnsi" w:eastAsiaTheme="minorEastAsia" w:hAnsiTheme="minorHAnsi" w:cstheme="minorBidi"/>
            <w:noProof/>
            <w:sz w:val="24"/>
            <w:szCs w:val="24"/>
            <w:lang w:eastAsia="en-GB"/>
          </w:rPr>
          <w:tab/>
        </w:r>
        <w:r w:rsidR="00545AB0" w:rsidRPr="008911E6">
          <w:rPr>
            <w:rStyle w:val="Hyperlink"/>
            <w:noProof/>
          </w:rPr>
          <w:t>Introduction</w:t>
        </w:r>
        <w:r w:rsidR="00545AB0">
          <w:rPr>
            <w:noProof/>
            <w:webHidden/>
          </w:rPr>
          <w:tab/>
        </w:r>
        <w:r w:rsidR="00545AB0">
          <w:rPr>
            <w:noProof/>
            <w:webHidden/>
          </w:rPr>
          <w:fldChar w:fldCharType="begin"/>
        </w:r>
        <w:r w:rsidR="00545AB0">
          <w:rPr>
            <w:noProof/>
            <w:webHidden/>
          </w:rPr>
          <w:instrText xml:space="preserve"> PAGEREF _Toc18660993 \h </w:instrText>
        </w:r>
        <w:r w:rsidR="00545AB0">
          <w:rPr>
            <w:noProof/>
            <w:webHidden/>
          </w:rPr>
        </w:r>
        <w:r w:rsidR="00545AB0">
          <w:rPr>
            <w:noProof/>
            <w:webHidden/>
          </w:rPr>
          <w:fldChar w:fldCharType="separate"/>
        </w:r>
        <w:r w:rsidR="00FE1678">
          <w:rPr>
            <w:noProof/>
            <w:webHidden/>
          </w:rPr>
          <w:t>38</w:t>
        </w:r>
        <w:r w:rsidR="00545AB0">
          <w:rPr>
            <w:noProof/>
            <w:webHidden/>
          </w:rPr>
          <w:fldChar w:fldCharType="end"/>
        </w:r>
      </w:hyperlink>
    </w:p>
    <w:p w:rsidR="00545AB0" w:rsidRDefault="00841EE8">
      <w:pPr>
        <w:pStyle w:val="TOC3"/>
        <w:rPr>
          <w:rFonts w:asciiTheme="minorHAnsi" w:eastAsiaTheme="minorEastAsia" w:hAnsiTheme="minorHAnsi" w:cstheme="minorBidi"/>
          <w:noProof/>
          <w:sz w:val="24"/>
          <w:szCs w:val="24"/>
          <w:lang w:eastAsia="en-GB"/>
        </w:rPr>
      </w:pPr>
      <w:hyperlink w:anchor="_Toc18660994" w:history="1">
        <w:r w:rsidR="00545AB0" w:rsidRPr="008911E6">
          <w:rPr>
            <w:rStyle w:val="Hyperlink"/>
            <w:noProof/>
          </w:rPr>
          <w:t>5.3.2</w:t>
        </w:r>
        <w:r w:rsidR="00545AB0">
          <w:rPr>
            <w:rFonts w:asciiTheme="minorHAnsi" w:eastAsiaTheme="minorEastAsia" w:hAnsiTheme="minorHAnsi" w:cstheme="minorBidi"/>
            <w:noProof/>
            <w:sz w:val="24"/>
            <w:szCs w:val="24"/>
            <w:lang w:eastAsia="en-GB"/>
          </w:rPr>
          <w:tab/>
        </w:r>
        <w:r w:rsidR="00545AB0" w:rsidRPr="008911E6">
          <w:rPr>
            <w:rStyle w:val="Hyperlink"/>
            <w:noProof/>
          </w:rPr>
          <w:t>Large number of models</w:t>
        </w:r>
        <w:r w:rsidR="00545AB0">
          <w:rPr>
            <w:noProof/>
            <w:webHidden/>
          </w:rPr>
          <w:tab/>
        </w:r>
        <w:r w:rsidR="00545AB0">
          <w:rPr>
            <w:noProof/>
            <w:webHidden/>
          </w:rPr>
          <w:fldChar w:fldCharType="begin"/>
        </w:r>
        <w:r w:rsidR="00545AB0">
          <w:rPr>
            <w:noProof/>
            <w:webHidden/>
          </w:rPr>
          <w:instrText xml:space="preserve"> PAGEREF _Toc18660994 \h </w:instrText>
        </w:r>
        <w:r w:rsidR="00545AB0">
          <w:rPr>
            <w:noProof/>
            <w:webHidden/>
          </w:rPr>
        </w:r>
        <w:r w:rsidR="00545AB0">
          <w:rPr>
            <w:noProof/>
            <w:webHidden/>
          </w:rPr>
          <w:fldChar w:fldCharType="separate"/>
        </w:r>
        <w:r w:rsidR="00FE1678">
          <w:rPr>
            <w:noProof/>
            <w:webHidden/>
          </w:rPr>
          <w:t>38</w:t>
        </w:r>
        <w:r w:rsidR="00545AB0">
          <w:rPr>
            <w:noProof/>
            <w:webHidden/>
          </w:rPr>
          <w:fldChar w:fldCharType="end"/>
        </w:r>
      </w:hyperlink>
    </w:p>
    <w:p w:rsidR="00545AB0" w:rsidRDefault="00841EE8">
      <w:pPr>
        <w:pStyle w:val="TOC2"/>
        <w:rPr>
          <w:rFonts w:asciiTheme="minorHAnsi" w:eastAsiaTheme="minorEastAsia" w:hAnsiTheme="minorHAnsi" w:cstheme="minorBidi"/>
          <w:noProof/>
          <w:sz w:val="24"/>
          <w:szCs w:val="24"/>
          <w:lang w:eastAsia="en-GB"/>
        </w:rPr>
      </w:pPr>
      <w:hyperlink w:anchor="_Toc18660995" w:history="1">
        <w:r w:rsidR="00545AB0" w:rsidRPr="008911E6">
          <w:rPr>
            <w:rStyle w:val="Hyperlink"/>
            <w:noProof/>
          </w:rPr>
          <w:t>5.3.3</w:t>
        </w:r>
        <w:r w:rsidR="00545AB0">
          <w:rPr>
            <w:rFonts w:asciiTheme="minorHAnsi" w:eastAsiaTheme="minorEastAsia" w:hAnsiTheme="minorHAnsi" w:cstheme="minorBidi"/>
            <w:noProof/>
            <w:sz w:val="24"/>
            <w:szCs w:val="24"/>
            <w:lang w:eastAsia="en-GB"/>
          </w:rPr>
          <w:tab/>
        </w:r>
        <w:r w:rsidR="00545AB0" w:rsidRPr="008911E6">
          <w:rPr>
            <w:rStyle w:val="Hyperlink"/>
            <w:noProof/>
          </w:rPr>
          <w:t>GEMS product unique identifiers</w:t>
        </w:r>
        <w:r w:rsidR="00545AB0">
          <w:rPr>
            <w:noProof/>
            <w:webHidden/>
          </w:rPr>
          <w:tab/>
        </w:r>
        <w:r w:rsidR="00545AB0">
          <w:rPr>
            <w:noProof/>
            <w:webHidden/>
          </w:rPr>
          <w:fldChar w:fldCharType="begin"/>
        </w:r>
        <w:r w:rsidR="00545AB0">
          <w:rPr>
            <w:noProof/>
            <w:webHidden/>
          </w:rPr>
          <w:instrText xml:space="preserve"> PAGEREF _Toc18660995 \h </w:instrText>
        </w:r>
        <w:r w:rsidR="00545AB0">
          <w:rPr>
            <w:noProof/>
            <w:webHidden/>
          </w:rPr>
        </w:r>
        <w:r w:rsidR="00545AB0">
          <w:rPr>
            <w:noProof/>
            <w:webHidden/>
          </w:rPr>
          <w:fldChar w:fldCharType="separate"/>
        </w:r>
        <w:r w:rsidR="00FE1678">
          <w:rPr>
            <w:noProof/>
            <w:webHidden/>
          </w:rPr>
          <w:t>41</w:t>
        </w:r>
        <w:r w:rsidR="00545AB0">
          <w:rPr>
            <w:noProof/>
            <w:webHidden/>
          </w:rPr>
          <w:fldChar w:fldCharType="end"/>
        </w:r>
      </w:hyperlink>
    </w:p>
    <w:p w:rsidR="00545AB0" w:rsidRDefault="00841EE8">
      <w:pPr>
        <w:pStyle w:val="TOC3"/>
        <w:rPr>
          <w:rFonts w:asciiTheme="minorHAnsi" w:eastAsiaTheme="minorEastAsia" w:hAnsiTheme="minorHAnsi" w:cstheme="minorBidi"/>
          <w:noProof/>
          <w:sz w:val="24"/>
          <w:szCs w:val="24"/>
          <w:lang w:eastAsia="en-GB"/>
        </w:rPr>
      </w:pPr>
      <w:hyperlink w:anchor="_Toc18660996" w:history="1">
        <w:r w:rsidR="00545AB0" w:rsidRPr="008911E6">
          <w:rPr>
            <w:rStyle w:val="Hyperlink"/>
            <w:noProof/>
          </w:rPr>
          <w:t>5.3.4</w:t>
        </w:r>
        <w:r w:rsidR="00545AB0">
          <w:rPr>
            <w:rFonts w:asciiTheme="minorHAnsi" w:eastAsiaTheme="minorEastAsia" w:hAnsiTheme="minorHAnsi" w:cstheme="minorBidi"/>
            <w:noProof/>
            <w:sz w:val="24"/>
            <w:szCs w:val="24"/>
            <w:lang w:eastAsia="en-GB"/>
          </w:rPr>
          <w:tab/>
        </w:r>
        <w:r w:rsidR="00545AB0" w:rsidRPr="008911E6">
          <w:rPr>
            <w:rStyle w:val="Hyperlink"/>
            <w:noProof/>
          </w:rPr>
          <w:t>Registration obligation for customised products</w:t>
        </w:r>
        <w:r w:rsidR="00545AB0">
          <w:rPr>
            <w:noProof/>
            <w:webHidden/>
          </w:rPr>
          <w:tab/>
        </w:r>
        <w:r w:rsidR="00545AB0">
          <w:rPr>
            <w:noProof/>
            <w:webHidden/>
          </w:rPr>
          <w:fldChar w:fldCharType="begin"/>
        </w:r>
        <w:r w:rsidR="00545AB0">
          <w:rPr>
            <w:noProof/>
            <w:webHidden/>
          </w:rPr>
          <w:instrText xml:space="preserve"> PAGEREF _Toc18660996 \h </w:instrText>
        </w:r>
        <w:r w:rsidR="00545AB0">
          <w:rPr>
            <w:noProof/>
            <w:webHidden/>
          </w:rPr>
        </w:r>
        <w:r w:rsidR="00545AB0">
          <w:rPr>
            <w:noProof/>
            <w:webHidden/>
          </w:rPr>
          <w:fldChar w:fldCharType="separate"/>
        </w:r>
        <w:r w:rsidR="00FE1678">
          <w:rPr>
            <w:noProof/>
            <w:webHidden/>
          </w:rPr>
          <w:t>42</w:t>
        </w:r>
        <w:r w:rsidR="00545AB0">
          <w:rPr>
            <w:noProof/>
            <w:webHidden/>
          </w:rPr>
          <w:fldChar w:fldCharType="end"/>
        </w:r>
      </w:hyperlink>
    </w:p>
    <w:p w:rsidR="00545AB0" w:rsidRDefault="00841EE8">
      <w:pPr>
        <w:pStyle w:val="TOC3"/>
        <w:rPr>
          <w:rFonts w:asciiTheme="minorHAnsi" w:eastAsiaTheme="minorEastAsia" w:hAnsiTheme="minorHAnsi" w:cstheme="minorBidi"/>
          <w:noProof/>
          <w:sz w:val="24"/>
          <w:szCs w:val="24"/>
          <w:lang w:eastAsia="en-GB"/>
        </w:rPr>
      </w:pPr>
      <w:hyperlink w:anchor="_Toc18660997" w:history="1">
        <w:r w:rsidR="00545AB0" w:rsidRPr="008911E6">
          <w:rPr>
            <w:rStyle w:val="Hyperlink"/>
            <w:noProof/>
          </w:rPr>
          <w:t>5.3.5</w:t>
        </w:r>
        <w:r w:rsidR="00545AB0">
          <w:rPr>
            <w:rFonts w:asciiTheme="minorHAnsi" w:eastAsiaTheme="minorEastAsia" w:hAnsiTheme="minorHAnsi" w:cstheme="minorBidi"/>
            <w:noProof/>
            <w:sz w:val="24"/>
            <w:szCs w:val="24"/>
            <w:lang w:eastAsia="en-GB"/>
          </w:rPr>
          <w:tab/>
        </w:r>
        <w:r w:rsidR="00545AB0" w:rsidRPr="008911E6">
          <w:rPr>
            <w:rStyle w:val="Hyperlink"/>
            <w:noProof/>
          </w:rPr>
          <w:t>Multiple registration requirements</w:t>
        </w:r>
        <w:r w:rsidR="00545AB0">
          <w:rPr>
            <w:noProof/>
            <w:webHidden/>
          </w:rPr>
          <w:tab/>
        </w:r>
        <w:r w:rsidR="00545AB0">
          <w:rPr>
            <w:noProof/>
            <w:webHidden/>
          </w:rPr>
          <w:fldChar w:fldCharType="begin"/>
        </w:r>
        <w:r w:rsidR="00545AB0">
          <w:rPr>
            <w:noProof/>
            <w:webHidden/>
          </w:rPr>
          <w:instrText xml:space="preserve"> PAGEREF _Toc18660997 \h </w:instrText>
        </w:r>
        <w:r w:rsidR="00545AB0">
          <w:rPr>
            <w:noProof/>
            <w:webHidden/>
          </w:rPr>
        </w:r>
        <w:r w:rsidR="00545AB0">
          <w:rPr>
            <w:noProof/>
            <w:webHidden/>
          </w:rPr>
          <w:fldChar w:fldCharType="separate"/>
        </w:r>
        <w:r w:rsidR="00FE1678">
          <w:rPr>
            <w:noProof/>
            <w:webHidden/>
          </w:rPr>
          <w:t>42</w:t>
        </w:r>
        <w:r w:rsidR="00545AB0">
          <w:rPr>
            <w:noProof/>
            <w:webHidden/>
          </w:rPr>
          <w:fldChar w:fldCharType="end"/>
        </w:r>
      </w:hyperlink>
    </w:p>
    <w:p w:rsidR="00545AB0" w:rsidRDefault="00841EE8">
      <w:pPr>
        <w:pStyle w:val="TOC3"/>
        <w:rPr>
          <w:rFonts w:asciiTheme="minorHAnsi" w:eastAsiaTheme="minorEastAsia" w:hAnsiTheme="minorHAnsi" w:cstheme="minorBidi"/>
          <w:noProof/>
          <w:sz w:val="24"/>
          <w:szCs w:val="24"/>
          <w:lang w:eastAsia="en-GB"/>
        </w:rPr>
      </w:pPr>
      <w:hyperlink w:anchor="_Toc18660998" w:history="1">
        <w:r w:rsidR="00545AB0" w:rsidRPr="008911E6">
          <w:rPr>
            <w:rStyle w:val="Hyperlink"/>
            <w:noProof/>
          </w:rPr>
          <w:t>5.3.6</w:t>
        </w:r>
        <w:r w:rsidR="00545AB0">
          <w:rPr>
            <w:rFonts w:asciiTheme="minorHAnsi" w:eastAsiaTheme="minorEastAsia" w:hAnsiTheme="minorHAnsi" w:cstheme="minorBidi"/>
            <w:noProof/>
            <w:sz w:val="24"/>
            <w:szCs w:val="24"/>
            <w:lang w:eastAsia="en-GB"/>
          </w:rPr>
          <w:tab/>
        </w:r>
        <w:r w:rsidR="00545AB0" w:rsidRPr="008911E6">
          <w:rPr>
            <w:rStyle w:val="Hyperlink"/>
            <w:noProof/>
          </w:rPr>
          <w:t>‘Grandfathering’ and the registration of newly regulated products</w:t>
        </w:r>
        <w:r w:rsidR="00545AB0">
          <w:rPr>
            <w:noProof/>
            <w:webHidden/>
          </w:rPr>
          <w:tab/>
        </w:r>
        <w:r w:rsidR="00545AB0">
          <w:rPr>
            <w:noProof/>
            <w:webHidden/>
          </w:rPr>
          <w:fldChar w:fldCharType="begin"/>
        </w:r>
        <w:r w:rsidR="00545AB0">
          <w:rPr>
            <w:noProof/>
            <w:webHidden/>
          </w:rPr>
          <w:instrText xml:space="preserve"> PAGEREF _Toc18660998 \h </w:instrText>
        </w:r>
        <w:r w:rsidR="00545AB0">
          <w:rPr>
            <w:noProof/>
            <w:webHidden/>
          </w:rPr>
        </w:r>
        <w:r w:rsidR="00545AB0">
          <w:rPr>
            <w:noProof/>
            <w:webHidden/>
          </w:rPr>
          <w:fldChar w:fldCharType="separate"/>
        </w:r>
        <w:r w:rsidR="00FE1678">
          <w:rPr>
            <w:noProof/>
            <w:webHidden/>
          </w:rPr>
          <w:t>44</w:t>
        </w:r>
        <w:r w:rsidR="00545AB0">
          <w:rPr>
            <w:noProof/>
            <w:webHidden/>
          </w:rPr>
          <w:fldChar w:fldCharType="end"/>
        </w:r>
      </w:hyperlink>
    </w:p>
    <w:p w:rsidR="00545AB0" w:rsidRDefault="00841EE8">
      <w:pPr>
        <w:pStyle w:val="TOC2"/>
        <w:rPr>
          <w:rFonts w:asciiTheme="minorHAnsi" w:eastAsiaTheme="minorEastAsia" w:hAnsiTheme="minorHAnsi" w:cstheme="minorBidi"/>
          <w:noProof/>
          <w:sz w:val="24"/>
          <w:szCs w:val="24"/>
          <w:lang w:eastAsia="en-GB"/>
        </w:rPr>
      </w:pPr>
      <w:hyperlink w:anchor="_Toc18660999" w:history="1">
        <w:r w:rsidR="00545AB0" w:rsidRPr="008911E6">
          <w:rPr>
            <w:rStyle w:val="Hyperlink"/>
            <w:noProof/>
          </w:rPr>
          <w:t xml:space="preserve">5.4 </w:t>
        </w:r>
        <w:r w:rsidR="00545AB0">
          <w:rPr>
            <w:rFonts w:asciiTheme="minorHAnsi" w:eastAsiaTheme="minorEastAsia" w:hAnsiTheme="minorHAnsi" w:cstheme="minorBidi"/>
            <w:noProof/>
            <w:sz w:val="24"/>
            <w:szCs w:val="24"/>
            <w:lang w:eastAsia="en-GB"/>
          </w:rPr>
          <w:tab/>
        </w:r>
        <w:r w:rsidR="00545AB0" w:rsidRPr="008911E6">
          <w:rPr>
            <w:rStyle w:val="Hyperlink"/>
            <w:noProof/>
          </w:rPr>
          <w:t>GEMS compliance</w:t>
        </w:r>
        <w:r w:rsidR="00545AB0">
          <w:rPr>
            <w:noProof/>
            <w:webHidden/>
          </w:rPr>
          <w:tab/>
        </w:r>
        <w:r w:rsidR="00545AB0">
          <w:rPr>
            <w:noProof/>
            <w:webHidden/>
          </w:rPr>
          <w:fldChar w:fldCharType="begin"/>
        </w:r>
        <w:r w:rsidR="00545AB0">
          <w:rPr>
            <w:noProof/>
            <w:webHidden/>
          </w:rPr>
          <w:instrText xml:space="preserve"> PAGEREF _Toc18660999 \h </w:instrText>
        </w:r>
        <w:r w:rsidR="00545AB0">
          <w:rPr>
            <w:noProof/>
            <w:webHidden/>
          </w:rPr>
        </w:r>
        <w:r w:rsidR="00545AB0">
          <w:rPr>
            <w:noProof/>
            <w:webHidden/>
          </w:rPr>
          <w:fldChar w:fldCharType="separate"/>
        </w:r>
        <w:r w:rsidR="00FE1678">
          <w:rPr>
            <w:noProof/>
            <w:webHidden/>
          </w:rPr>
          <w:t>45</w:t>
        </w:r>
        <w:r w:rsidR="00545AB0">
          <w:rPr>
            <w:noProof/>
            <w:webHidden/>
          </w:rPr>
          <w:fldChar w:fldCharType="end"/>
        </w:r>
      </w:hyperlink>
    </w:p>
    <w:p w:rsidR="00545AB0" w:rsidRDefault="00841EE8">
      <w:pPr>
        <w:pStyle w:val="TOC3"/>
        <w:rPr>
          <w:rFonts w:asciiTheme="minorHAnsi" w:eastAsiaTheme="minorEastAsia" w:hAnsiTheme="minorHAnsi" w:cstheme="minorBidi"/>
          <w:noProof/>
          <w:sz w:val="24"/>
          <w:szCs w:val="24"/>
          <w:lang w:eastAsia="en-GB"/>
        </w:rPr>
      </w:pPr>
      <w:hyperlink w:anchor="_Toc18661000" w:history="1">
        <w:r w:rsidR="00545AB0" w:rsidRPr="008911E6">
          <w:rPr>
            <w:rStyle w:val="Hyperlink"/>
            <w:noProof/>
          </w:rPr>
          <w:t>5.4.1</w:t>
        </w:r>
        <w:r w:rsidR="00545AB0">
          <w:rPr>
            <w:rFonts w:asciiTheme="minorHAnsi" w:eastAsiaTheme="minorEastAsia" w:hAnsiTheme="minorHAnsi" w:cstheme="minorBidi"/>
            <w:noProof/>
            <w:sz w:val="24"/>
            <w:szCs w:val="24"/>
            <w:lang w:eastAsia="en-GB"/>
          </w:rPr>
          <w:tab/>
        </w:r>
        <w:r w:rsidR="00545AB0" w:rsidRPr="008911E6">
          <w:rPr>
            <w:rStyle w:val="Hyperlink"/>
            <w:noProof/>
          </w:rPr>
          <w:t>Introduction</w:t>
        </w:r>
        <w:r w:rsidR="00545AB0">
          <w:rPr>
            <w:noProof/>
            <w:webHidden/>
          </w:rPr>
          <w:tab/>
        </w:r>
        <w:r w:rsidR="00545AB0">
          <w:rPr>
            <w:noProof/>
            <w:webHidden/>
          </w:rPr>
          <w:fldChar w:fldCharType="begin"/>
        </w:r>
        <w:r w:rsidR="00545AB0">
          <w:rPr>
            <w:noProof/>
            <w:webHidden/>
          </w:rPr>
          <w:instrText xml:space="preserve"> PAGEREF _Toc18661000 \h </w:instrText>
        </w:r>
        <w:r w:rsidR="00545AB0">
          <w:rPr>
            <w:noProof/>
            <w:webHidden/>
          </w:rPr>
        </w:r>
        <w:r w:rsidR="00545AB0">
          <w:rPr>
            <w:noProof/>
            <w:webHidden/>
          </w:rPr>
          <w:fldChar w:fldCharType="separate"/>
        </w:r>
        <w:r w:rsidR="00FE1678">
          <w:rPr>
            <w:noProof/>
            <w:webHidden/>
          </w:rPr>
          <w:t>45</w:t>
        </w:r>
        <w:r w:rsidR="00545AB0">
          <w:rPr>
            <w:noProof/>
            <w:webHidden/>
          </w:rPr>
          <w:fldChar w:fldCharType="end"/>
        </w:r>
      </w:hyperlink>
    </w:p>
    <w:p w:rsidR="00545AB0" w:rsidRDefault="00841EE8">
      <w:pPr>
        <w:pStyle w:val="TOC3"/>
        <w:rPr>
          <w:rFonts w:asciiTheme="minorHAnsi" w:eastAsiaTheme="minorEastAsia" w:hAnsiTheme="minorHAnsi" w:cstheme="minorBidi"/>
          <w:noProof/>
          <w:sz w:val="24"/>
          <w:szCs w:val="24"/>
          <w:lang w:eastAsia="en-GB"/>
        </w:rPr>
      </w:pPr>
      <w:hyperlink w:anchor="_Toc18661001" w:history="1">
        <w:r w:rsidR="00545AB0" w:rsidRPr="008911E6">
          <w:rPr>
            <w:rStyle w:val="Hyperlink"/>
            <w:noProof/>
          </w:rPr>
          <w:t>5.4.2</w:t>
        </w:r>
        <w:r w:rsidR="00545AB0">
          <w:rPr>
            <w:rFonts w:asciiTheme="minorHAnsi" w:eastAsiaTheme="minorEastAsia" w:hAnsiTheme="minorHAnsi" w:cstheme="minorBidi"/>
            <w:noProof/>
            <w:sz w:val="24"/>
            <w:szCs w:val="24"/>
            <w:lang w:eastAsia="en-GB"/>
          </w:rPr>
          <w:tab/>
        </w:r>
        <w:r w:rsidR="00545AB0" w:rsidRPr="008911E6">
          <w:rPr>
            <w:rStyle w:val="Hyperlink"/>
            <w:noProof/>
          </w:rPr>
          <w:t>GEMS compliance resourcing</w:t>
        </w:r>
        <w:r w:rsidR="00545AB0">
          <w:rPr>
            <w:noProof/>
            <w:webHidden/>
          </w:rPr>
          <w:tab/>
        </w:r>
        <w:r w:rsidR="00545AB0">
          <w:rPr>
            <w:noProof/>
            <w:webHidden/>
          </w:rPr>
          <w:fldChar w:fldCharType="begin"/>
        </w:r>
        <w:r w:rsidR="00545AB0">
          <w:rPr>
            <w:noProof/>
            <w:webHidden/>
          </w:rPr>
          <w:instrText xml:space="preserve"> PAGEREF _Toc18661001 \h </w:instrText>
        </w:r>
        <w:r w:rsidR="00545AB0">
          <w:rPr>
            <w:noProof/>
            <w:webHidden/>
          </w:rPr>
        </w:r>
        <w:r w:rsidR="00545AB0">
          <w:rPr>
            <w:noProof/>
            <w:webHidden/>
          </w:rPr>
          <w:fldChar w:fldCharType="separate"/>
        </w:r>
        <w:r w:rsidR="00FE1678">
          <w:rPr>
            <w:noProof/>
            <w:webHidden/>
          </w:rPr>
          <w:t>47</w:t>
        </w:r>
        <w:r w:rsidR="00545AB0">
          <w:rPr>
            <w:noProof/>
            <w:webHidden/>
          </w:rPr>
          <w:fldChar w:fldCharType="end"/>
        </w:r>
      </w:hyperlink>
    </w:p>
    <w:p w:rsidR="00545AB0" w:rsidRDefault="00841EE8">
      <w:pPr>
        <w:pStyle w:val="TOC3"/>
        <w:rPr>
          <w:rFonts w:asciiTheme="minorHAnsi" w:eastAsiaTheme="minorEastAsia" w:hAnsiTheme="minorHAnsi" w:cstheme="minorBidi"/>
          <w:noProof/>
          <w:sz w:val="24"/>
          <w:szCs w:val="24"/>
          <w:lang w:eastAsia="en-GB"/>
        </w:rPr>
      </w:pPr>
      <w:hyperlink w:anchor="_Toc18661002" w:history="1">
        <w:r w:rsidR="00545AB0" w:rsidRPr="008911E6">
          <w:rPr>
            <w:rStyle w:val="Hyperlink"/>
            <w:noProof/>
          </w:rPr>
          <w:t>5.4.3</w:t>
        </w:r>
        <w:r w:rsidR="00545AB0">
          <w:rPr>
            <w:rFonts w:asciiTheme="minorHAnsi" w:eastAsiaTheme="minorEastAsia" w:hAnsiTheme="minorHAnsi" w:cstheme="minorBidi"/>
            <w:noProof/>
            <w:sz w:val="24"/>
            <w:szCs w:val="24"/>
            <w:lang w:eastAsia="en-GB"/>
          </w:rPr>
          <w:tab/>
        </w:r>
        <w:r w:rsidR="00545AB0" w:rsidRPr="008911E6">
          <w:rPr>
            <w:rStyle w:val="Hyperlink"/>
            <w:noProof/>
          </w:rPr>
          <w:t>Compliance monitoring approach</w:t>
        </w:r>
        <w:r w:rsidR="00545AB0">
          <w:rPr>
            <w:noProof/>
            <w:webHidden/>
          </w:rPr>
          <w:tab/>
        </w:r>
        <w:r w:rsidR="00545AB0">
          <w:rPr>
            <w:noProof/>
            <w:webHidden/>
          </w:rPr>
          <w:fldChar w:fldCharType="begin"/>
        </w:r>
        <w:r w:rsidR="00545AB0">
          <w:rPr>
            <w:noProof/>
            <w:webHidden/>
          </w:rPr>
          <w:instrText xml:space="preserve"> PAGEREF _Toc18661002 \h </w:instrText>
        </w:r>
        <w:r w:rsidR="00545AB0">
          <w:rPr>
            <w:noProof/>
            <w:webHidden/>
          </w:rPr>
        </w:r>
        <w:r w:rsidR="00545AB0">
          <w:rPr>
            <w:noProof/>
            <w:webHidden/>
          </w:rPr>
          <w:fldChar w:fldCharType="separate"/>
        </w:r>
        <w:r w:rsidR="00FE1678">
          <w:rPr>
            <w:noProof/>
            <w:webHidden/>
          </w:rPr>
          <w:t>48</w:t>
        </w:r>
        <w:r w:rsidR="00545AB0">
          <w:rPr>
            <w:noProof/>
            <w:webHidden/>
          </w:rPr>
          <w:fldChar w:fldCharType="end"/>
        </w:r>
      </w:hyperlink>
    </w:p>
    <w:p w:rsidR="00545AB0" w:rsidRDefault="00841EE8">
      <w:pPr>
        <w:pStyle w:val="TOC3"/>
        <w:rPr>
          <w:rFonts w:asciiTheme="minorHAnsi" w:eastAsiaTheme="minorEastAsia" w:hAnsiTheme="minorHAnsi" w:cstheme="minorBidi"/>
          <w:noProof/>
          <w:sz w:val="24"/>
          <w:szCs w:val="24"/>
          <w:lang w:eastAsia="en-GB"/>
        </w:rPr>
      </w:pPr>
      <w:hyperlink w:anchor="_Toc18661003" w:history="1">
        <w:r w:rsidR="00545AB0" w:rsidRPr="008911E6">
          <w:rPr>
            <w:rStyle w:val="Hyperlink"/>
            <w:noProof/>
          </w:rPr>
          <w:t>5.4.4</w:t>
        </w:r>
        <w:r w:rsidR="00545AB0">
          <w:rPr>
            <w:rFonts w:asciiTheme="minorHAnsi" w:eastAsiaTheme="minorEastAsia" w:hAnsiTheme="minorHAnsi" w:cstheme="minorBidi"/>
            <w:noProof/>
            <w:sz w:val="24"/>
            <w:szCs w:val="24"/>
            <w:lang w:eastAsia="en-GB"/>
          </w:rPr>
          <w:tab/>
        </w:r>
        <w:r w:rsidR="00545AB0" w:rsidRPr="008911E6">
          <w:rPr>
            <w:rStyle w:val="Hyperlink"/>
            <w:noProof/>
          </w:rPr>
          <w:t>Penalties and reporting</w:t>
        </w:r>
        <w:r w:rsidR="00545AB0">
          <w:rPr>
            <w:noProof/>
            <w:webHidden/>
          </w:rPr>
          <w:tab/>
        </w:r>
        <w:r w:rsidR="00545AB0">
          <w:rPr>
            <w:noProof/>
            <w:webHidden/>
          </w:rPr>
          <w:fldChar w:fldCharType="begin"/>
        </w:r>
        <w:r w:rsidR="00545AB0">
          <w:rPr>
            <w:noProof/>
            <w:webHidden/>
          </w:rPr>
          <w:instrText xml:space="preserve"> PAGEREF _Toc18661003 \h </w:instrText>
        </w:r>
        <w:r w:rsidR="00545AB0">
          <w:rPr>
            <w:noProof/>
            <w:webHidden/>
          </w:rPr>
        </w:r>
        <w:r w:rsidR="00545AB0">
          <w:rPr>
            <w:noProof/>
            <w:webHidden/>
          </w:rPr>
          <w:fldChar w:fldCharType="separate"/>
        </w:r>
        <w:r w:rsidR="00FE1678">
          <w:rPr>
            <w:noProof/>
            <w:webHidden/>
          </w:rPr>
          <w:t>49</w:t>
        </w:r>
        <w:r w:rsidR="00545AB0">
          <w:rPr>
            <w:noProof/>
            <w:webHidden/>
          </w:rPr>
          <w:fldChar w:fldCharType="end"/>
        </w:r>
      </w:hyperlink>
    </w:p>
    <w:p w:rsidR="00545AB0" w:rsidRDefault="00841EE8">
      <w:pPr>
        <w:pStyle w:val="TOC3"/>
        <w:rPr>
          <w:rFonts w:asciiTheme="minorHAnsi" w:eastAsiaTheme="minorEastAsia" w:hAnsiTheme="minorHAnsi" w:cstheme="minorBidi"/>
          <w:noProof/>
          <w:sz w:val="24"/>
          <w:szCs w:val="24"/>
          <w:lang w:eastAsia="en-GB"/>
        </w:rPr>
      </w:pPr>
      <w:hyperlink w:anchor="_Toc18661004" w:history="1">
        <w:r w:rsidR="00545AB0" w:rsidRPr="008911E6">
          <w:rPr>
            <w:rStyle w:val="Hyperlink"/>
            <w:noProof/>
          </w:rPr>
          <w:t>5.4.5</w:t>
        </w:r>
        <w:r w:rsidR="00545AB0">
          <w:rPr>
            <w:rFonts w:asciiTheme="minorHAnsi" w:eastAsiaTheme="minorEastAsia" w:hAnsiTheme="minorHAnsi" w:cstheme="minorBidi"/>
            <w:noProof/>
            <w:sz w:val="24"/>
            <w:szCs w:val="24"/>
            <w:lang w:eastAsia="en-GB"/>
          </w:rPr>
          <w:tab/>
        </w:r>
        <w:r w:rsidR="00545AB0" w:rsidRPr="008911E6">
          <w:rPr>
            <w:rStyle w:val="Hyperlink"/>
            <w:noProof/>
          </w:rPr>
          <w:t>Two stage check testing</w:t>
        </w:r>
        <w:r w:rsidR="00545AB0">
          <w:rPr>
            <w:noProof/>
            <w:webHidden/>
          </w:rPr>
          <w:tab/>
        </w:r>
        <w:r w:rsidR="00545AB0">
          <w:rPr>
            <w:noProof/>
            <w:webHidden/>
          </w:rPr>
          <w:fldChar w:fldCharType="begin"/>
        </w:r>
        <w:r w:rsidR="00545AB0">
          <w:rPr>
            <w:noProof/>
            <w:webHidden/>
          </w:rPr>
          <w:instrText xml:space="preserve"> PAGEREF _Toc18661004 \h </w:instrText>
        </w:r>
        <w:r w:rsidR="00545AB0">
          <w:rPr>
            <w:noProof/>
            <w:webHidden/>
          </w:rPr>
        </w:r>
        <w:r w:rsidR="00545AB0">
          <w:rPr>
            <w:noProof/>
            <w:webHidden/>
          </w:rPr>
          <w:fldChar w:fldCharType="separate"/>
        </w:r>
        <w:r w:rsidR="00FE1678">
          <w:rPr>
            <w:noProof/>
            <w:webHidden/>
          </w:rPr>
          <w:t>50</w:t>
        </w:r>
        <w:r w:rsidR="00545AB0">
          <w:rPr>
            <w:noProof/>
            <w:webHidden/>
          </w:rPr>
          <w:fldChar w:fldCharType="end"/>
        </w:r>
      </w:hyperlink>
    </w:p>
    <w:p w:rsidR="00545AB0" w:rsidRDefault="00841EE8">
      <w:pPr>
        <w:pStyle w:val="TOC2"/>
        <w:rPr>
          <w:rFonts w:asciiTheme="minorHAnsi" w:eastAsiaTheme="minorEastAsia" w:hAnsiTheme="minorHAnsi" w:cstheme="minorBidi"/>
          <w:noProof/>
          <w:sz w:val="24"/>
          <w:szCs w:val="24"/>
          <w:lang w:eastAsia="en-GB"/>
        </w:rPr>
      </w:pPr>
      <w:hyperlink w:anchor="_Toc18661005" w:history="1">
        <w:r w:rsidR="00545AB0" w:rsidRPr="008911E6">
          <w:rPr>
            <w:rStyle w:val="Hyperlink"/>
            <w:noProof/>
          </w:rPr>
          <w:t xml:space="preserve">5.5 </w:t>
        </w:r>
        <w:r w:rsidR="00545AB0">
          <w:rPr>
            <w:rFonts w:asciiTheme="minorHAnsi" w:eastAsiaTheme="minorEastAsia" w:hAnsiTheme="minorHAnsi" w:cstheme="minorBidi"/>
            <w:noProof/>
            <w:sz w:val="24"/>
            <w:szCs w:val="24"/>
            <w:lang w:eastAsia="en-GB"/>
          </w:rPr>
          <w:tab/>
        </w:r>
        <w:r w:rsidR="00545AB0" w:rsidRPr="008911E6">
          <w:rPr>
            <w:rStyle w:val="Hyperlink"/>
            <w:noProof/>
          </w:rPr>
          <w:t>Managing the GEMS program</w:t>
        </w:r>
        <w:r w:rsidR="00545AB0">
          <w:rPr>
            <w:noProof/>
            <w:webHidden/>
          </w:rPr>
          <w:tab/>
        </w:r>
        <w:r w:rsidR="00545AB0">
          <w:rPr>
            <w:noProof/>
            <w:webHidden/>
          </w:rPr>
          <w:fldChar w:fldCharType="begin"/>
        </w:r>
        <w:r w:rsidR="00545AB0">
          <w:rPr>
            <w:noProof/>
            <w:webHidden/>
          </w:rPr>
          <w:instrText xml:space="preserve"> PAGEREF _Toc18661005 \h </w:instrText>
        </w:r>
        <w:r w:rsidR="00545AB0">
          <w:rPr>
            <w:noProof/>
            <w:webHidden/>
          </w:rPr>
        </w:r>
        <w:r w:rsidR="00545AB0">
          <w:rPr>
            <w:noProof/>
            <w:webHidden/>
          </w:rPr>
          <w:fldChar w:fldCharType="separate"/>
        </w:r>
        <w:r w:rsidR="00FE1678">
          <w:rPr>
            <w:noProof/>
            <w:webHidden/>
          </w:rPr>
          <w:t>52</w:t>
        </w:r>
        <w:r w:rsidR="00545AB0">
          <w:rPr>
            <w:noProof/>
            <w:webHidden/>
          </w:rPr>
          <w:fldChar w:fldCharType="end"/>
        </w:r>
      </w:hyperlink>
    </w:p>
    <w:p w:rsidR="00545AB0" w:rsidRDefault="00841EE8">
      <w:pPr>
        <w:pStyle w:val="TOC3"/>
        <w:rPr>
          <w:rFonts w:asciiTheme="minorHAnsi" w:eastAsiaTheme="minorEastAsia" w:hAnsiTheme="minorHAnsi" w:cstheme="minorBidi"/>
          <w:noProof/>
          <w:sz w:val="24"/>
          <w:szCs w:val="24"/>
          <w:lang w:eastAsia="en-GB"/>
        </w:rPr>
      </w:pPr>
      <w:hyperlink w:anchor="_Toc18661006" w:history="1">
        <w:r w:rsidR="00545AB0" w:rsidRPr="008911E6">
          <w:rPr>
            <w:rStyle w:val="Hyperlink"/>
            <w:noProof/>
          </w:rPr>
          <w:t xml:space="preserve">5.5.1 </w:t>
        </w:r>
        <w:r w:rsidR="00545AB0">
          <w:rPr>
            <w:rFonts w:asciiTheme="minorHAnsi" w:eastAsiaTheme="minorEastAsia" w:hAnsiTheme="minorHAnsi" w:cstheme="minorBidi"/>
            <w:noProof/>
            <w:sz w:val="24"/>
            <w:szCs w:val="24"/>
            <w:lang w:eastAsia="en-GB"/>
          </w:rPr>
          <w:tab/>
        </w:r>
        <w:r w:rsidR="00545AB0" w:rsidRPr="008911E6">
          <w:rPr>
            <w:rStyle w:val="Hyperlink"/>
            <w:noProof/>
          </w:rPr>
          <w:t>Mandatory or voluntary standards and labelling</w:t>
        </w:r>
        <w:r w:rsidR="00545AB0">
          <w:rPr>
            <w:noProof/>
            <w:webHidden/>
          </w:rPr>
          <w:tab/>
        </w:r>
        <w:r w:rsidR="00545AB0">
          <w:rPr>
            <w:noProof/>
            <w:webHidden/>
          </w:rPr>
          <w:fldChar w:fldCharType="begin"/>
        </w:r>
        <w:r w:rsidR="00545AB0">
          <w:rPr>
            <w:noProof/>
            <w:webHidden/>
          </w:rPr>
          <w:instrText xml:space="preserve"> PAGEREF _Toc18661006 \h </w:instrText>
        </w:r>
        <w:r w:rsidR="00545AB0">
          <w:rPr>
            <w:noProof/>
            <w:webHidden/>
          </w:rPr>
        </w:r>
        <w:r w:rsidR="00545AB0">
          <w:rPr>
            <w:noProof/>
            <w:webHidden/>
          </w:rPr>
          <w:fldChar w:fldCharType="separate"/>
        </w:r>
        <w:r w:rsidR="00FE1678">
          <w:rPr>
            <w:noProof/>
            <w:webHidden/>
          </w:rPr>
          <w:t>52</w:t>
        </w:r>
        <w:r w:rsidR="00545AB0">
          <w:rPr>
            <w:noProof/>
            <w:webHidden/>
          </w:rPr>
          <w:fldChar w:fldCharType="end"/>
        </w:r>
      </w:hyperlink>
    </w:p>
    <w:p w:rsidR="00545AB0" w:rsidRDefault="00841EE8">
      <w:pPr>
        <w:pStyle w:val="TOC3"/>
        <w:rPr>
          <w:rFonts w:asciiTheme="minorHAnsi" w:eastAsiaTheme="minorEastAsia" w:hAnsiTheme="minorHAnsi" w:cstheme="minorBidi"/>
          <w:noProof/>
          <w:sz w:val="24"/>
          <w:szCs w:val="24"/>
          <w:lang w:eastAsia="en-GB"/>
        </w:rPr>
      </w:pPr>
      <w:hyperlink w:anchor="_Toc18661007" w:history="1">
        <w:r w:rsidR="00545AB0" w:rsidRPr="008911E6">
          <w:rPr>
            <w:rStyle w:val="Hyperlink"/>
            <w:noProof/>
          </w:rPr>
          <w:t>5.5.2</w:t>
        </w:r>
        <w:r w:rsidR="00545AB0">
          <w:rPr>
            <w:rFonts w:asciiTheme="minorHAnsi" w:eastAsiaTheme="minorEastAsia" w:hAnsiTheme="minorHAnsi" w:cstheme="minorBidi"/>
            <w:noProof/>
            <w:sz w:val="24"/>
            <w:szCs w:val="24"/>
            <w:lang w:eastAsia="en-GB"/>
          </w:rPr>
          <w:tab/>
        </w:r>
        <w:r w:rsidR="00545AB0" w:rsidRPr="008911E6">
          <w:rPr>
            <w:rStyle w:val="Hyperlink"/>
            <w:noProof/>
          </w:rPr>
          <w:t>Data</w:t>
        </w:r>
        <w:r w:rsidR="00545AB0">
          <w:rPr>
            <w:noProof/>
            <w:webHidden/>
          </w:rPr>
          <w:tab/>
        </w:r>
        <w:r w:rsidR="00545AB0">
          <w:rPr>
            <w:noProof/>
            <w:webHidden/>
          </w:rPr>
          <w:fldChar w:fldCharType="begin"/>
        </w:r>
        <w:r w:rsidR="00545AB0">
          <w:rPr>
            <w:noProof/>
            <w:webHidden/>
          </w:rPr>
          <w:instrText xml:space="preserve"> PAGEREF _Toc18661007 \h </w:instrText>
        </w:r>
        <w:r w:rsidR="00545AB0">
          <w:rPr>
            <w:noProof/>
            <w:webHidden/>
          </w:rPr>
        </w:r>
        <w:r w:rsidR="00545AB0">
          <w:rPr>
            <w:noProof/>
            <w:webHidden/>
          </w:rPr>
          <w:fldChar w:fldCharType="separate"/>
        </w:r>
        <w:r w:rsidR="00FE1678">
          <w:rPr>
            <w:noProof/>
            <w:webHidden/>
          </w:rPr>
          <w:t>54</w:t>
        </w:r>
        <w:r w:rsidR="00545AB0">
          <w:rPr>
            <w:noProof/>
            <w:webHidden/>
          </w:rPr>
          <w:fldChar w:fldCharType="end"/>
        </w:r>
      </w:hyperlink>
    </w:p>
    <w:p w:rsidR="00545AB0" w:rsidRDefault="00841EE8">
      <w:pPr>
        <w:pStyle w:val="TOC2"/>
        <w:rPr>
          <w:rFonts w:asciiTheme="minorHAnsi" w:eastAsiaTheme="minorEastAsia" w:hAnsiTheme="minorHAnsi" w:cstheme="minorBidi"/>
          <w:noProof/>
          <w:sz w:val="24"/>
          <w:szCs w:val="24"/>
          <w:lang w:eastAsia="en-GB"/>
        </w:rPr>
      </w:pPr>
      <w:hyperlink w:anchor="_Toc18661008" w:history="1">
        <w:r w:rsidR="00545AB0" w:rsidRPr="008911E6">
          <w:rPr>
            <w:rStyle w:val="Hyperlink"/>
            <w:noProof/>
          </w:rPr>
          <w:t xml:space="preserve">5.6 </w:t>
        </w:r>
        <w:r w:rsidR="00545AB0">
          <w:rPr>
            <w:rFonts w:asciiTheme="minorHAnsi" w:eastAsiaTheme="minorEastAsia" w:hAnsiTheme="minorHAnsi" w:cstheme="minorBidi"/>
            <w:noProof/>
            <w:sz w:val="24"/>
            <w:szCs w:val="24"/>
            <w:lang w:eastAsia="en-GB"/>
          </w:rPr>
          <w:tab/>
        </w:r>
        <w:r w:rsidR="00545AB0" w:rsidRPr="008911E6">
          <w:rPr>
            <w:rStyle w:val="Hyperlink"/>
            <w:noProof/>
          </w:rPr>
          <w:t>Consumer behaviour</w:t>
        </w:r>
        <w:r w:rsidR="00545AB0">
          <w:rPr>
            <w:noProof/>
            <w:webHidden/>
          </w:rPr>
          <w:tab/>
        </w:r>
        <w:r w:rsidR="00545AB0">
          <w:rPr>
            <w:noProof/>
            <w:webHidden/>
          </w:rPr>
          <w:fldChar w:fldCharType="begin"/>
        </w:r>
        <w:r w:rsidR="00545AB0">
          <w:rPr>
            <w:noProof/>
            <w:webHidden/>
          </w:rPr>
          <w:instrText xml:space="preserve"> PAGEREF _Toc18661008 \h </w:instrText>
        </w:r>
        <w:r w:rsidR="00545AB0">
          <w:rPr>
            <w:noProof/>
            <w:webHidden/>
          </w:rPr>
        </w:r>
        <w:r w:rsidR="00545AB0">
          <w:rPr>
            <w:noProof/>
            <w:webHidden/>
          </w:rPr>
          <w:fldChar w:fldCharType="separate"/>
        </w:r>
        <w:r w:rsidR="00FE1678">
          <w:rPr>
            <w:noProof/>
            <w:webHidden/>
          </w:rPr>
          <w:t>57</w:t>
        </w:r>
        <w:r w:rsidR="00545AB0">
          <w:rPr>
            <w:noProof/>
            <w:webHidden/>
          </w:rPr>
          <w:fldChar w:fldCharType="end"/>
        </w:r>
      </w:hyperlink>
    </w:p>
    <w:p w:rsidR="00545AB0" w:rsidRDefault="00841EE8">
      <w:pPr>
        <w:pStyle w:val="TOC3"/>
        <w:rPr>
          <w:rFonts w:asciiTheme="minorHAnsi" w:eastAsiaTheme="minorEastAsia" w:hAnsiTheme="minorHAnsi" w:cstheme="minorBidi"/>
          <w:noProof/>
          <w:sz w:val="24"/>
          <w:szCs w:val="24"/>
          <w:lang w:eastAsia="en-GB"/>
        </w:rPr>
      </w:pPr>
      <w:hyperlink w:anchor="_Toc18661009" w:history="1">
        <w:r w:rsidR="00545AB0" w:rsidRPr="008911E6">
          <w:rPr>
            <w:rStyle w:val="Hyperlink"/>
            <w:noProof/>
          </w:rPr>
          <w:t xml:space="preserve">5.6.1 </w:t>
        </w:r>
        <w:r w:rsidR="00545AB0">
          <w:rPr>
            <w:rFonts w:asciiTheme="minorHAnsi" w:eastAsiaTheme="minorEastAsia" w:hAnsiTheme="minorHAnsi" w:cstheme="minorBidi"/>
            <w:noProof/>
            <w:sz w:val="24"/>
            <w:szCs w:val="24"/>
            <w:lang w:eastAsia="en-GB"/>
          </w:rPr>
          <w:tab/>
        </w:r>
        <w:r w:rsidR="00545AB0" w:rsidRPr="008911E6">
          <w:rPr>
            <w:rStyle w:val="Hyperlink"/>
            <w:noProof/>
          </w:rPr>
          <w:t>Energy rating label</w:t>
        </w:r>
        <w:r w:rsidR="00545AB0">
          <w:rPr>
            <w:noProof/>
            <w:webHidden/>
          </w:rPr>
          <w:tab/>
        </w:r>
        <w:r w:rsidR="00545AB0">
          <w:rPr>
            <w:noProof/>
            <w:webHidden/>
          </w:rPr>
          <w:fldChar w:fldCharType="begin"/>
        </w:r>
        <w:r w:rsidR="00545AB0">
          <w:rPr>
            <w:noProof/>
            <w:webHidden/>
          </w:rPr>
          <w:instrText xml:space="preserve"> PAGEREF _Toc18661009 \h </w:instrText>
        </w:r>
        <w:r w:rsidR="00545AB0">
          <w:rPr>
            <w:noProof/>
            <w:webHidden/>
          </w:rPr>
        </w:r>
        <w:r w:rsidR="00545AB0">
          <w:rPr>
            <w:noProof/>
            <w:webHidden/>
          </w:rPr>
          <w:fldChar w:fldCharType="separate"/>
        </w:r>
        <w:r w:rsidR="00FE1678">
          <w:rPr>
            <w:noProof/>
            <w:webHidden/>
          </w:rPr>
          <w:t>57</w:t>
        </w:r>
        <w:r w:rsidR="00545AB0">
          <w:rPr>
            <w:noProof/>
            <w:webHidden/>
          </w:rPr>
          <w:fldChar w:fldCharType="end"/>
        </w:r>
      </w:hyperlink>
    </w:p>
    <w:p w:rsidR="00545AB0" w:rsidRDefault="00841EE8">
      <w:pPr>
        <w:pStyle w:val="TOC3"/>
        <w:rPr>
          <w:rFonts w:asciiTheme="minorHAnsi" w:eastAsiaTheme="minorEastAsia" w:hAnsiTheme="minorHAnsi" w:cstheme="minorBidi"/>
          <w:noProof/>
          <w:sz w:val="24"/>
          <w:szCs w:val="24"/>
          <w:lang w:eastAsia="en-GB"/>
        </w:rPr>
      </w:pPr>
      <w:hyperlink w:anchor="_Toc18661010" w:history="1">
        <w:r w:rsidR="00545AB0" w:rsidRPr="008911E6">
          <w:rPr>
            <w:rStyle w:val="Hyperlink"/>
            <w:noProof/>
          </w:rPr>
          <w:t xml:space="preserve">5.6.2 </w:t>
        </w:r>
        <w:r w:rsidR="00545AB0">
          <w:rPr>
            <w:rFonts w:asciiTheme="minorHAnsi" w:eastAsiaTheme="minorEastAsia" w:hAnsiTheme="minorHAnsi" w:cstheme="minorBidi"/>
            <w:noProof/>
            <w:sz w:val="24"/>
            <w:szCs w:val="24"/>
            <w:lang w:eastAsia="en-GB"/>
          </w:rPr>
          <w:tab/>
        </w:r>
        <w:r w:rsidR="00545AB0" w:rsidRPr="008911E6">
          <w:rPr>
            <w:rStyle w:val="Hyperlink"/>
            <w:noProof/>
          </w:rPr>
          <w:t>Education</w:t>
        </w:r>
        <w:r w:rsidR="00545AB0">
          <w:rPr>
            <w:noProof/>
            <w:webHidden/>
          </w:rPr>
          <w:tab/>
        </w:r>
        <w:r w:rsidR="00545AB0">
          <w:rPr>
            <w:noProof/>
            <w:webHidden/>
          </w:rPr>
          <w:fldChar w:fldCharType="begin"/>
        </w:r>
        <w:r w:rsidR="00545AB0">
          <w:rPr>
            <w:noProof/>
            <w:webHidden/>
          </w:rPr>
          <w:instrText xml:space="preserve"> PAGEREF _Toc18661010 \h </w:instrText>
        </w:r>
        <w:r w:rsidR="00545AB0">
          <w:rPr>
            <w:noProof/>
            <w:webHidden/>
          </w:rPr>
        </w:r>
        <w:r w:rsidR="00545AB0">
          <w:rPr>
            <w:noProof/>
            <w:webHidden/>
          </w:rPr>
          <w:fldChar w:fldCharType="separate"/>
        </w:r>
        <w:r w:rsidR="00FE1678">
          <w:rPr>
            <w:noProof/>
            <w:webHidden/>
          </w:rPr>
          <w:t>59</w:t>
        </w:r>
        <w:r w:rsidR="00545AB0">
          <w:rPr>
            <w:noProof/>
            <w:webHidden/>
          </w:rPr>
          <w:fldChar w:fldCharType="end"/>
        </w:r>
      </w:hyperlink>
    </w:p>
    <w:p w:rsidR="00545AB0" w:rsidRDefault="00841EE8">
      <w:pPr>
        <w:pStyle w:val="TOC2"/>
        <w:rPr>
          <w:rFonts w:asciiTheme="minorHAnsi" w:eastAsiaTheme="minorEastAsia" w:hAnsiTheme="minorHAnsi" w:cstheme="minorBidi"/>
          <w:noProof/>
          <w:sz w:val="24"/>
          <w:szCs w:val="24"/>
          <w:lang w:eastAsia="en-GB"/>
        </w:rPr>
      </w:pPr>
      <w:hyperlink w:anchor="_Toc18661011" w:history="1">
        <w:r w:rsidR="00545AB0" w:rsidRPr="008911E6">
          <w:rPr>
            <w:rStyle w:val="Hyperlink"/>
            <w:noProof/>
          </w:rPr>
          <w:t xml:space="preserve">5.7 </w:t>
        </w:r>
        <w:r w:rsidR="00545AB0">
          <w:rPr>
            <w:rFonts w:asciiTheme="minorHAnsi" w:eastAsiaTheme="minorEastAsia" w:hAnsiTheme="minorHAnsi" w:cstheme="minorBidi"/>
            <w:noProof/>
            <w:sz w:val="24"/>
            <w:szCs w:val="24"/>
            <w:lang w:eastAsia="en-GB"/>
          </w:rPr>
          <w:tab/>
        </w:r>
        <w:r w:rsidR="00545AB0" w:rsidRPr="008911E6">
          <w:rPr>
            <w:rStyle w:val="Hyperlink"/>
            <w:noProof/>
          </w:rPr>
          <w:t>Ensuring the Act remains relevant</w:t>
        </w:r>
        <w:r w:rsidR="00545AB0">
          <w:rPr>
            <w:noProof/>
            <w:webHidden/>
          </w:rPr>
          <w:tab/>
        </w:r>
        <w:r w:rsidR="00545AB0">
          <w:rPr>
            <w:noProof/>
            <w:webHidden/>
          </w:rPr>
          <w:fldChar w:fldCharType="begin"/>
        </w:r>
        <w:r w:rsidR="00545AB0">
          <w:rPr>
            <w:noProof/>
            <w:webHidden/>
          </w:rPr>
          <w:instrText xml:space="preserve"> PAGEREF _Toc18661011 \h </w:instrText>
        </w:r>
        <w:r w:rsidR="00545AB0">
          <w:rPr>
            <w:noProof/>
            <w:webHidden/>
          </w:rPr>
        </w:r>
        <w:r w:rsidR="00545AB0">
          <w:rPr>
            <w:noProof/>
            <w:webHidden/>
          </w:rPr>
          <w:fldChar w:fldCharType="separate"/>
        </w:r>
        <w:r w:rsidR="00FE1678">
          <w:rPr>
            <w:noProof/>
            <w:webHidden/>
          </w:rPr>
          <w:t>61</w:t>
        </w:r>
        <w:r w:rsidR="00545AB0">
          <w:rPr>
            <w:noProof/>
            <w:webHidden/>
          </w:rPr>
          <w:fldChar w:fldCharType="end"/>
        </w:r>
      </w:hyperlink>
    </w:p>
    <w:p w:rsidR="00545AB0" w:rsidRDefault="00841EE8">
      <w:pPr>
        <w:pStyle w:val="TOC3"/>
        <w:rPr>
          <w:rFonts w:asciiTheme="minorHAnsi" w:eastAsiaTheme="minorEastAsia" w:hAnsiTheme="minorHAnsi" w:cstheme="minorBidi"/>
          <w:noProof/>
          <w:sz w:val="24"/>
          <w:szCs w:val="24"/>
          <w:lang w:eastAsia="en-GB"/>
        </w:rPr>
      </w:pPr>
      <w:hyperlink w:anchor="_Toc18661012" w:history="1">
        <w:r w:rsidR="00545AB0" w:rsidRPr="008911E6">
          <w:rPr>
            <w:rStyle w:val="Hyperlink"/>
            <w:noProof/>
          </w:rPr>
          <w:t xml:space="preserve">5.7.1 </w:t>
        </w:r>
        <w:r w:rsidR="00545AB0">
          <w:rPr>
            <w:rFonts w:asciiTheme="minorHAnsi" w:eastAsiaTheme="minorEastAsia" w:hAnsiTheme="minorHAnsi" w:cstheme="minorBidi"/>
            <w:noProof/>
            <w:sz w:val="24"/>
            <w:szCs w:val="24"/>
            <w:lang w:eastAsia="en-GB"/>
          </w:rPr>
          <w:tab/>
        </w:r>
        <w:r w:rsidR="00545AB0" w:rsidRPr="008911E6">
          <w:rPr>
            <w:rStyle w:val="Hyperlink"/>
            <w:noProof/>
          </w:rPr>
          <w:t>Establishing a trajectory for energy efficiency standards</w:t>
        </w:r>
        <w:r w:rsidR="00545AB0">
          <w:rPr>
            <w:noProof/>
            <w:webHidden/>
          </w:rPr>
          <w:tab/>
        </w:r>
        <w:r w:rsidR="00545AB0">
          <w:rPr>
            <w:noProof/>
            <w:webHidden/>
          </w:rPr>
          <w:fldChar w:fldCharType="begin"/>
        </w:r>
        <w:r w:rsidR="00545AB0">
          <w:rPr>
            <w:noProof/>
            <w:webHidden/>
          </w:rPr>
          <w:instrText xml:space="preserve"> PAGEREF _Toc18661012 \h </w:instrText>
        </w:r>
        <w:r w:rsidR="00545AB0">
          <w:rPr>
            <w:noProof/>
            <w:webHidden/>
          </w:rPr>
        </w:r>
        <w:r w:rsidR="00545AB0">
          <w:rPr>
            <w:noProof/>
            <w:webHidden/>
          </w:rPr>
          <w:fldChar w:fldCharType="separate"/>
        </w:r>
        <w:r w:rsidR="00FE1678">
          <w:rPr>
            <w:noProof/>
            <w:webHidden/>
          </w:rPr>
          <w:t>61</w:t>
        </w:r>
        <w:r w:rsidR="00545AB0">
          <w:rPr>
            <w:noProof/>
            <w:webHidden/>
          </w:rPr>
          <w:fldChar w:fldCharType="end"/>
        </w:r>
      </w:hyperlink>
    </w:p>
    <w:p w:rsidR="00545AB0" w:rsidRDefault="00841EE8">
      <w:pPr>
        <w:pStyle w:val="TOC3"/>
        <w:rPr>
          <w:rFonts w:asciiTheme="minorHAnsi" w:eastAsiaTheme="minorEastAsia" w:hAnsiTheme="minorHAnsi" w:cstheme="minorBidi"/>
          <w:noProof/>
          <w:sz w:val="24"/>
          <w:szCs w:val="24"/>
          <w:lang w:eastAsia="en-GB"/>
        </w:rPr>
      </w:pPr>
      <w:hyperlink w:anchor="_Toc18661013" w:history="1">
        <w:r w:rsidR="00545AB0" w:rsidRPr="008911E6">
          <w:rPr>
            <w:rStyle w:val="Hyperlink"/>
            <w:noProof/>
          </w:rPr>
          <w:t xml:space="preserve">5.7.2 </w:t>
        </w:r>
        <w:r w:rsidR="00545AB0">
          <w:rPr>
            <w:rFonts w:asciiTheme="minorHAnsi" w:eastAsiaTheme="minorEastAsia" w:hAnsiTheme="minorHAnsi" w:cstheme="minorBidi"/>
            <w:noProof/>
            <w:sz w:val="24"/>
            <w:szCs w:val="24"/>
            <w:lang w:eastAsia="en-GB"/>
          </w:rPr>
          <w:tab/>
        </w:r>
        <w:r w:rsidR="00545AB0" w:rsidRPr="008911E6">
          <w:rPr>
            <w:rStyle w:val="Hyperlink"/>
            <w:noProof/>
          </w:rPr>
          <w:t>Expand and align with international regulations</w:t>
        </w:r>
        <w:r w:rsidR="00545AB0">
          <w:rPr>
            <w:noProof/>
            <w:webHidden/>
          </w:rPr>
          <w:tab/>
        </w:r>
        <w:r w:rsidR="00545AB0">
          <w:rPr>
            <w:noProof/>
            <w:webHidden/>
          </w:rPr>
          <w:fldChar w:fldCharType="begin"/>
        </w:r>
        <w:r w:rsidR="00545AB0">
          <w:rPr>
            <w:noProof/>
            <w:webHidden/>
          </w:rPr>
          <w:instrText xml:space="preserve"> PAGEREF _Toc18661013 \h </w:instrText>
        </w:r>
        <w:r w:rsidR="00545AB0">
          <w:rPr>
            <w:noProof/>
            <w:webHidden/>
          </w:rPr>
        </w:r>
        <w:r w:rsidR="00545AB0">
          <w:rPr>
            <w:noProof/>
            <w:webHidden/>
          </w:rPr>
          <w:fldChar w:fldCharType="separate"/>
        </w:r>
        <w:r w:rsidR="00FE1678">
          <w:rPr>
            <w:noProof/>
            <w:webHidden/>
          </w:rPr>
          <w:t>62</w:t>
        </w:r>
        <w:r w:rsidR="00545AB0">
          <w:rPr>
            <w:noProof/>
            <w:webHidden/>
          </w:rPr>
          <w:fldChar w:fldCharType="end"/>
        </w:r>
      </w:hyperlink>
    </w:p>
    <w:p w:rsidR="00545AB0" w:rsidRDefault="00841EE8">
      <w:pPr>
        <w:pStyle w:val="TOC2"/>
        <w:rPr>
          <w:rFonts w:asciiTheme="minorHAnsi" w:eastAsiaTheme="minorEastAsia" w:hAnsiTheme="minorHAnsi" w:cstheme="minorBidi"/>
          <w:noProof/>
          <w:sz w:val="24"/>
          <w:szCs w:val="24"/>
          <w:lang w:eastAsia="en-GB"/>
        </w:rPr>
      </w:pPr>
      <w:hyperlink w:anchor="_Toc18661014" w:history="1">
        <w:r w:rsidR="00545AB0" w:rsidRPr="008911E6">
          <w:rPr>
            <w:rStyle w:val="Hyperlink"/>
            <w:noProof/>
          </w:rPr>
          <w:t xml:space="preserve">5.8 </w:t>
        </w:r>
        <w:r w:rsidR="00545AB0">
          <w:rPr>
            <w:rFonts w:asciiTheme="minorHAnsi" w:eastAsiaTheme="minorEastAsia" w:hAnsiTheme="minorHAnsi" w:cstheme="minorBidi"/>
            <w:noProof/>
            <w:sz w:val="24"/>
            <w:szCs w:val="24"/>
            <w:lang w:eastAsia="en-GB"/>
          </w:rPr>
          <w:tab/>
        </w:r>
        <w:r w:rsidR="00545AB0" w:rsidRPr="008911E6">
          <w:rPr>
            <w:rStyle w:val="Hyperlink"/>
            <w:noProof/>
          </w:rPr>
          <w:t>Pushing the boundaries of the Act</w:t>
        </w:r>
        <w:r w:rsidR="00545AB0">
          <w:rPr>
            <w:noProof/>
            <w:webHidden/>
          </w:rPr>
          <w:tab/>
        </w:r>
        <w:r w:rsidR="00545AB0">
          <w:rPr>
            <w:noProof/>
            <w:webHidden/>
          </w:rPr>
          <w:fldChar w:fldCharType="begin"/>
        </w:r>
        <w:r w:rsidR="00545AB0">
          <w:rPr>
            <w:noProof/>
            <w:webHidden/>
          </w:rPr>
          <w:instrText xml:space="preserve"> PAGEREF _Toc18661014 \h </w:instrText>
        </w:r>
        <w:r w:rsidR="00545AB0">
          <w:rPr>
            <w:noProof/>
            <w:webHidden/>
          </w:rPr>
        </w:r>
        <w:r w:rsidR="00545AB0">
          <w:rPr>
            <w:noProof/>
            <w:webHidden/>
          </w:rPr>
          <w:fldChar w:fldCharType="separate"/>
        </w:r>
        <w:r w:rsidR="00FE1678">
          <w:rPr>
            <w:noProof/>
            <w:webHidden/>
          </w:rPr>
          <w:t>66</w:t>
        </w:r>
        <w:r w:rsidR="00545AB0">
          <w:rPr>
            <w:noProof/>
            <w:webHidden/>
          </w:rPr>
          <w:fldChar w:fldCharType="end"/>
        </w:r>
      </w:hyperlink>
    </w:p>
    <w:p w:rsidR="00545AB0" w:rsidRDefault="00841EE8">
      <w:pPr>
        <w:pStyle w:val="TOC3"/>
        <w:rPr>
          <w:rFonts w:asciiTheme="minorHAnsi" w:eastAsiaTheme="minorEastAsia" w:hAnsiTheme="minorHAnsi" w:cstheme="minorBidi"/>
          <w:noProof/>
          <w:sz w:val="24"/>
          <w:szCs w:val="24"/>
          <w:lang w:eastAsia="en-GB"/>
        </w:rPr>
      </w:pPr>
      <w:hyperlink w:anchor="_Toc18661015" w:history="1">
        <w:r w:rsidR="00545AB0" w:rsidRPr="008911E6">
          <w:rPr>
            <w:rStyle w:val="Hyperlink"/>
            <w:noProof/>
          </w:rPr>
          <w:t xml:space="preserve">5.8.1 </w:t>
        </w:r>
        <w:r w:rsidR="00545AB0">
          <w:rPr>
            <w:rFonts w:asciiTheme="minorHAnsi" w:eastAsiaTheme="minorEastAsia" w:hAnsiTheme="minorHAnsi" w:cstheme="minorBidi"/>
            <w:noProof/>
            <w:sz w:val="24"/>
            <w:szCs w:val="24"/>
            <w:lang w:eastAsia="en-GB"/>
          </w:rPr>
          <w:tab/>
        </w:r>
        <w:r w:rsidR="00545AB0" w:rsidRPr="008911E6">
          <w:rPr>
            <w:rStyle w:val="Hyperlink"/>
            <w:noProof/>
          </w:rPr>
          <w:t>Integrated products</w:t>
        </w:r>
        <w:r w:rsidR="00545AB0">
          <w:rPr>
            <w:noProof/>
            <w:webHidden/>
          </w:rPr>
          <w:tab/>
        </w:r>
        <w:r w:rsidR="00545AB0">
          <w:rPr>
            <w:noProof/>
            <w:webHidden/>
          </w:rPr>
          <w:fldChar w:fldCharType="begin"/>
        </w:r>
        <w:r w:rsidR="00545AB0">
          <w:rPr>
            <w:noProof/>
            <w:webHidden/>
          </w:rPr>
          <w:instrText xml:space="preserve"> PAGEREF _Toc18661015 \h </w:instrText>
        </w:r>
        <w:r w:rsidR="00545AB0">
          <w:rPr>
            <w:noProof/>
            <w:webHidden/>
          </w:rPr>
        </w:r>
        <w:r w:rsidR="00545AB0">
          <w:rPr>
            <w:noProof/>
            <w:webHidden/>
          </w:rPr>
          <w:fldChar w:fldCharType="separate"/>
        </w:r>
        <w:r w:rsidR="00FE1678">
          <w:rPr>
            <w:noProof/>
            <w:webHidden/>
          </w:rPr>
          <w:t>66</w:t>
        </w:r>
        <w:r w:rsidR="00545AB0">
          <w:rPr>
            <w:noProof/>
            <w:webHidden/>
          </w:rPr>
          <w:fldChar w:fldCharType="end"/>
        </w:r>
      </w:hyperlink>
    </w:p>
    <w:p w:rsidR="00545AB0" w:rsidRDefault="00841EE8">
      <w:pPr>
        <w:pStyle w:val="TOC3"/>
        <w:rPr>
          <w:rFonts w:asciiTheme="minorHAnsi" w:eastAsiaTheme="minorEastAsia" w:hAnsiTheme="minorHAnsi" w:cstheme="minorBidi"/>
          <w:noProof/>
          <w:sz w:val="24"/>
          <w:szCs w:val="24"/>
          <w:lang w:eastAsia="en-GB"/>
        </w:rPr>
      </w:pPr>
      <w:hyperlink w:anchor="_Toc18661016" w:history="1">
        <w:r w:rsidR="00545AB0" w:rsidRPr="008911E6">
          <w:rPr>
            <w:rStyle w:val="Hyperlink"/>
            <w:noProof/>
          </w:rPr>
          <w:t xml:space="preserve">5.8.2 </w:t>
        </w:r>
        <w:r w:rsidR="00545AB0">
          <w:rPr>
            <w:rFonts w:asciiTheme="minorHAnsi" w:eastAsiaTheme="minorEastAsia" w:hAnsiTheme="minorHAnsi" w:cstheme="minorBidi"/>
            <w:noProof/>
            <w:sz w:val="24"/>
            <w:szCs w:val="24"/>
            <w:lang w:eastAsia="en-GB"/>
          </w:rPr>
          <w:tab/>
        </w:r>
        <w:r w:rsidR="00545AB0" w:rsidRPr="008911E6">
          <w:rPr>
            <w:rStyle w:val="Hyperlink"/>
            <w:noProof/>
          </w:rPr>
          <w:t>Demand response</w:t>
        </w:r>
        <w:r w:rsidR="00545AB0">
          <w:rPr>
            <w:noProof/>
            <w:webHidden/>
          </w:rPr>
          <w:tab/>
        </w:r>
        <w:r w:rsidR="00545AB0">
          <w:rPr>
            <w:noProof/>
            <w:webHidden/>
          </w:rPr>
          <w:fldChar w:fldCharType="begin"/>
        </w:r>
        <w:r w:rsidR="00545AB0">
          <w:rPr>
            <w:noProof/>
            <w:webHidden/>
          </w:rPr>
          <w:instrText xml:space="preserve"> PAGEREF _Toc18661016 \h </w:instrText>
        </w:r>
        <w:r w:rsidR="00545AB0">
          <w:rPr>
            <w:noProof/>
            <w:webHidden/>
          </w:rPr>
        </w:r>
        <w:r w:rsidR="00545AB0">
          <w:rPr>
            <w:noProof/>
            <w:webHidden/>
          </w:rPr>
          <w:fldChar w:fldCharType="separate"/>
        </w:r>
        <w:r w:rsidR="00FE1678">
          <w:rPr>
            <w:noProof/>
            <w:webHidden/>
          </w:rPr>
          <w:t>68</w:t>
        </w:r>
        <w:r w:rsidR="00545AB0">
          <w:rPr>
            <w:noProof/>
            <w:webHidden/>
          </w:rPr>
          <w:fldChar w:fldCharType="end"/>
        </w:r>
      </w:hyperlink>
    </w:p>
    <w:p w:rsidR="00545AB0" w:rsidRDefault="00841EE8">
      <w:pPr>
        <w:pStyle w:val="TOC3"/>
        <w:rPr>
          <w:rFonts w:asciiTheme="minorHAnsi" w:eastAsiaTheme="minorEastAsia" w:hAnsiTheme="minorHAnsi" w:cstheme="minorBidi"/>
          <w:noProof/>
          <w:sz w:val="24"/>
          <w:szCs w:val="24"/>
          <w:lang w:eastAsia="en-GB"/>
        </w:rPr>
      </w:pPr>
      <w:hyperlink w:anchor="_Toc18661017" w:history="1">
        <w:r w:rsidR="00545AB0" w:rsidRPr="008911E6">
          <w:rPr>
            <w:rStyle w:val="Hyperlink"/>
            <w:noProof/>
          </w:rPr>
          <w:t>5.8.3</w:t>
        </w:r>
        <w:r w:rsidR="00545AB0">
          <w:rPr>
            <w:rFonts w:asciiTheme="minorHAnsi" w:eastAsiaTheme="minorEastAsia" w:hAnsiTheme="minorHAnsi" w:cstheme="minorBidi"/>
            <w:noProof/>
            <w:sz w:val="24"/>
            <w:szCs w:val="24"/>
            <w:lang w:eastAsia="en-GB"/>
          </w:rPr>
          <w:tab/>
        </w:r>
        <w:r w:rsidR="00545AB0" w:rsidRPr="008911E6">
          <w:rPr>
            <w:rStyle w:val="Hyperlink"/>
            <w:noProof/>
          </w:rPr>
          <w:t>Potential to expand to energy systems</w:t>
        </w:r>
        <w:r w:rsidR="00545AB0">
          <w:rPr>
            <w:noProof/>
            <w:webHidden/>
          </w:rPr>
          <w:tab/>
        </w:r>
        <w:r w:rsidR="00545AB0">
          <w:rPr>
            <w:noProof/>
            <w:webHidden/>
          </w:rPr>
          <w:fldChar w:fldCharType="begin"/>
        </w:r>
        <w:r w:rsidR="00545AB0">
          <w:rPr>
            <w:noProof/>
            <w:webHidden/>
          </w:rPr>
          <w:instrText xml:space="preserve"> PAGEREF _Toc18661017 \h </w:instrText>
        </w:r>
        <w:r w:rsidR="00545AB0">
          <w:rPr>
            <w:noProof/>
            <w:webHidden/>
          </w:rPr>
        </w:r>
        <w:r w:rsidR="00545AB0">
          <w:rPr>
            <w:noProof/>
            <w:webHidden/>
          </w:rPr>
          <w:fldChar w:fldCharType="separate"/>
        </w:r>
        <w:r w:rsidR="00FE1678">
          <w:rPr>
            <w:noProof/>
            <w:webHidden/>
          </w:rPr>
          <w:t>70</w:t>
        </w:r>
        <w:r w:rsidR="00545AB0">
          <w:rPr>
            <w:noProof/>
            <w:webHidden/>
          </w:rPr>
          <w:fldChar w:fldCharType="end"/>
        </w:r>
      </w:hyperlink>
    </w:p>
    <w:p w:rsidR="00545AB0" w:rsidRDefault="00841EE8">
      <w:pPr>
        <w:pStyle w:val="TOC1"/>
        <w:rPr>
          <w:rFonts w:asciiTheme="minorHAnsi" w:eastAsiaTheme="minorEastAsia" w:hAnsiTheme="minorHAnsi" w:cstheme="minorBidi"/>
          <w:b/>
          <w:sz w:val="24"/>
          <w:szCs w:val="24"/>
          <w:lang w:eastAsia="en-GB"/>
        </w:rPr>
      </w:pPr>
      <w:hyperlink w:anchor="_Toc18661018" w:history="1">
        <w:r w:rsidR="00545AB0" w:rsidRPr="008911E6">
          <w:rPr>
            <w:rStyle w:val="Hyperlink"/>
          </w:rPr>
          <w:t>Appendix A</w:t>
        </w:r>
        <w:r w:rsidR="00545AB0">
          <w:rPr>
            <w:webHidden/>
          </w:rPr>
          <w:tab/>
        </w:r>
        <w:r w:rsidR="00545AB0">
          <w:rPr>
            <w:webHidden/>
          </w:rPr>
          <w:fldChar w:fldCharType="begin"/>
        </w:r>
        <w:r w:rsidR="00545AB0">
          <w:rPr>
            <w:webHidden/>
          </w:rPr>
          <w:instrText xml:space="preserve"> PAGEREF _Toc18661018 \h </w:instrText>
        </w:r>
        <w:r w:rsidR="00545AB0">
          <w:rPr>
            <w:webHidden/>
          </w:rPr>
        </w:r>
        <w:r w:rsidR="00545AB0">
          <w:rPr>
            <w:webHidden/>
          </w:rPr>
          <w:fldChar w:fldCharType="separate"/>
        </w:r>
        <w:r w:rsidR="00FE1678">
          <w:rPr>
            <w:webHidden/>
          </w:rPr>
          <w:t>73</w:t>
        </w:r>
        <w:r w:rsidR="00545AB0">
          <w:rPr>
            <w:webHidden/>
          </w:rPr>
          <w:fldChar w:fldCharType="end"/>
        </w:r>
      </w:hyperlink>
    </w:p>
    <w:p w:rsidR="00545AB0" w:rsidRDefault="00545AB0">
      <w:pPr>
        <w:pStyle w:val="TOC2"/>
        <w:rPr>
          <w:rFonts w:asciiTheme="minorHAnsi" w:eastAsiaTheme="minorEastAsia" w:hAnsiTheme="minorHAnsi" w:cstheme="minorBidi"/>
          <w:noProof/>
          <w:sz w:val="24"/>
          <w:szCs w:val="24"/>
          <w:lang w:eastAsia="en-GB"/>
        </w:rPr>
      </w:pPr>
      <w:hyperlink w:anchor="_Toc18661019" w:history="1">
        <w:r w:rsidRPr="008911E6">
          <w:rPr>
            <w:rStyle w:val="Hyperlink"/>
            <w:noProof/>
          </w:rPr>
          <w:t>Terms of Reference</w:t>
        </w:r>
        <w:r>
          <w:rPr>
            <w:noProof/>
            <w:webHidden/>
          </w:rPr>
          <w:tab/>
        </w:r>
        <w:r>
          <w:rPr>
            <w:noProof/>
            <w:webHidden/>
          </w:rPr>
          <w:fldChar w:fldCharType="begin"/>
        </w:r>
        <w:r>
          <w:rPr>
            <w:noProof/>
            <w:webHidden/>
          </w:rPr>
          <w:instrText xml:space="preserve"> PAGEREF _Toc18661019 \h </w:instrText>
        </w:r>
        <w:r>
          <w:rPr>
            <w:noProof/>
            <w:webHidden/>
          </w:rPr>
        </w:r>
        <w:r>
          <w:rPr>
            <w:noProof/>
            <w:webHidden/>
          </w:rPr>
          <w:fldChar w:fldCharType="separate"/>
        </w:r>
        <w:r w:rsidR="00FE1678">
          <w:rPr>
            <w:noProof/>
            <w:webHidden/>
          </w:rPr>
          <w:t>73</w:t>
        </w:r>
        <w:r>
          <w:rPr>
            <w:noProof/>
            <w:webHidden/>
          </w:rPr>
          <w:fldChar w:fldCharType="end"/>
        </w:r>
      </w:hyperlink>
    </w:p>
    <w:p w:rsidR="00545AB0" w:rsidRDefault="00841EE8">
      <w:pPr>
        <w:pStyle w:val="TOC1"/>
        <w:rPr>
          <w:rFonts w:asciiTheme="minorHAnsi" w:eastAsiaTheme="minorEastAsia" w:hAnsiTheme="minorHAnsi" w:cstheme="minorBidi"/>
          <w:b/>
          <w:sz w:val="24"/>
          <w:szCs w:val="24"/>
          <w:lang w:eastAsia="en-GB"/>
        </w:rPr>
      </w:pPr>
      <w:hyperlink w:anchor="_Toc18661024" w:history="1">
        <w:r w:rsidR="00545AB0" w:rsidRPr="008911E6">
          <w:rPr>
            <w:rStyle w:val="Hyperlink"/>
          </w:rPr>
          <w:t>Appendix B</w:t>
        </w:r>
        <w:r w:rsidR="00545AB0">
          <w:rPr>
            <w:webHidden/>
          </w:rPr>
          <w:tab/>
        </w:r>
        <w:r w:rsidR="00545AB0">
          <w:rPr>
            <w:webHidden/>
          </w:rPr>
          <w:fldChar w:fldCharType="begin"/>
        </w:r>
        <w:r w:rsidR="00545AB0">
          <w:rPr>
            <w:webHidden/>
          </w:rPr>
          <w:instrText xml:space="preserve"> PAGEREF _Toc18661024 \h </w:instrText>
        </w:r>
        <w:r w:rsidR="00545AB0">
          <w:rPr>
            <w:webHidden/>
          </w:rPr>
        </w:r>
        <w:r w:rsidR="00545AB0">
          <w:rPr>
            <w:webHidden/>
          </w:rPr>
          <w:fldChar w:fldCharType="separate"/>
        </w:r>
        <w:r w:rsidR="00FE1678">
          <w:rPr>
            <w:webHidden/>
          </w:rPr>
          <w:t>75</w:t>
        </w:r>
        <w:r w:rsidR="00545AB0">
          <w:rPr>
            <w:webHidden/>
          </w:rPr>
          <w:fldChar w:fldCharType="end"/>
        </w:r>
      </w:hyperlink>
    </w:p>
    <w:p w:rsidR="00545AB0" w:rsidRDefault="00841EE8">
      <w:pPr>
        <w:pStyle w:val="TOC2"/>
        <w:rPr>
          <w:rFonts w:asciiTheme="minorHAnsi" w:eastAsiaTheme="minorEastAsia" w:hAnsiTheme="minorHAnsi" w:cstheme="minorBidi"/>
          <w:noProof/>
          <w:sz w:val="24"/>
          <w:szCs w:val="24"/>
          <w:lang w:eastAsia="en-GB"/>
        </w:rPr>
      </w:pPr>
      <w:hyperlink w:anchor="_Toc18661025" w:history="1">
        <w:r w:rsidR="00545AB0" w:rsidRPr="008911E6">
          <w:rPr>
            <w:rStyle w:val="Hyperlink"/>
            <w:noProof/>
          </w:rPr>
          <w:t>2015 GEMS Review Recommendations</w:t>
        </w:r>
        <w:r w:rsidR="00545AB0">
          <w:rPr>
            <w:noProof/>
            <w:webHidden/>
          </w:rPr>
          <w:tab/>
        </w:r>
        <w:r w:rsidR="00545AB0">
          <w:rPr>
            <w:noProof/>
            <w:webHidden/>
          </w:rPr>
          <w:fldChar w:fldCharType="begin"/>
        </w:r>
        <w:r w:rsidR="00545AB0">
          <w:rPr>
            <w:noProof/>
            <w:webHidden/>
          </w:rPr>
          <w:instrText xml:space="preserve"> PAGEREF _Toc18661025 \h </w:instrText>
        </w:r>
        <w:r w:rsidR="00545AB0">
          <w:rPr>
            <w:noProof/>
            <w:webHidden/>
          </w:rPr>
        </w:r>
        <w:r w:rsidR="00545AB0">
          <w:rPr>
            <w:noProof/>
            <w:webHidden/>
          </w:rPr>
          <w:fldChar w:fldCharType="separate"/>
        </w:r>
        <w:r w:rsidR="00FE1678">
          <w:rPr>
            <w:noProof/>
            <w:webHidden/>
          </w:rPr>
          <w:t>75</w:t>
        </w:r>
        <w:r w:rsidR="00545AB0">
          <w:rPr>
            <w:noProof/>
            <w:webHidden/>
          </w:rPr>
          <w:fldChar w:fldCharType="end"/>
        </w:r>
      </w:hyperlink>
    </w:p>
    <w:p w:rsidR="00545AB0" w:rsidRDefault="00841EE8">
      <w:pPr>
        <w:pStyle w:val="TOC1"/>
        <w:rPr>
          <w:rFonts w:asciiTheme="minorHAnsi" w:eastAsiaTheme="minorEastAsia" w:hAnsiTheme="minorHAnsi" w:cstheme="minorBidi"/>
          <w:b/>
          <w:sz w:val="24"/>
          <w:szCs w:val="24"/>
          <w:lang w:eastAsia="en-GB"/>
        </w:rPr>
      </w:pPr>
      <w:hyperlink w:anchor="_Toc18661026" w:history="1">
        <w:r w:rsidR="00545AB0" w:rsidRPr="008911E6">
          <w:rPr>
            <w:rStyle w:val="Hyperlink"/>
          </w:rPr>
          <w:t>Appendix C</w:t>
        </w:r>
        <w:r w:rsidR="00545AB0">
          <w:rPr>
            <w:webHidden/>
          </w:rPr>
          <w:tab/>
        </w:r>
        <w:r w:rsidR="00545AB0">
          <w:rPr>
            <w:webHidden/>
          </w:rPr>
          <w:fldChar w:fldCharType="begin"/>
        </w:r>
        <w:r w:rsidR="00545AB0">
          <w:rPr>
            <w:webHidden/>
          </w:rPr>
          <w:instrText xml:space="preserve"> PAGEREF _Toc18661026 \h </w:instrText>
        </w:r>
        <w:r w:rsidR="00545AB0">
          <w:rPr>
            <w:webHidden/>
          </w:rPr>
        </w:r>
        <w:r w:rsidR="00545AB0">
          <w:rPr>
            <w:webHidden/>
          </w:rPr>
          <w:fldChar w:fldCharType="separate"/>
        </w:r>
        <w:r w:rsidR="00FE1678">
          <w:rPr>
            <w:webHidden/>
          </w:rPr>
          <w:t>78</w:t>
        </w:r>
        <w:r w:rsidR="00545AB0">
          <w:rPr>
            <w:webHidden/>
          </w:rPr>
          <w:fldChar w:fldCharType="end"/>
        </w:r>
      </w:hyperlink>
    </w:p>
    <w:p w:rsidR="00545AB0" w:rsidRDefault="00841EE8">
      <w:pPr>
        <w:pStyle w:val="TOC2"/>
        <w:rPr>
          <w:rFonts w:asciiTheme="minorHAnsi" w:eastAsiaTheme="minorEastAsia" w:hAnsiTheme="minorHAnsi" w:cstheme="minorBidi"/>
          <w:noProof/>
          <w:sz w:val="24"/>
          <w:szCs w:val="24"/>
          <w:lang w:eastAsia="en-GB"/>
        </w:rPr>
      </w:pPr>
      <w:hyperlink w:anchor="_Toc18661027" w:history="1">
        <w:r w:rsidR="00545AB0" w:rsidRPr="008911E6">
          <w:rPr>
            <w:rStyle w:val="Hyperlink"/>
            <w:noProof/>
          </w:rPr>
          <w:t>Jurisdiction Energy Efficiency Programs (March 2019)</w:t>
        </w:r>
        <w:r w:rsidR="00545AB0">
          <w:rPr>
            <w:noProof/>
            <w:webHidden/>
          </w:rPr>
          <w:tab/>
        </w:r>
        <w:r w:rsidR="00545AB0">
          <w:rPr>
            <w:noProof/>
            <w:webHidden/>
          </w:rPr>
          <w:fldChar w:fldCharType="begin"/>
        </w:r>
        <w:r w:rsidR="00545AB0">
          <w:rPr>
            <w:noProof/>
            <w:webHidden/>
          </w:rPr>
          <w:instrText xml:space="preserve"> PAGEREF _Toc18661027 \h </w:instrText>
        </w:r>
        <w:r w:rsidR="00545AB0">
          <w:rPr>
            <w:noProof/>
            <w:webHidden/>
          </w:rPr>
        </w:r>
        <w:r w:rsidR="00545AB0">
          <w:rPr>
            <w:noProof/>
            <w:webHidden/>
          </w:rPr>
          <w:fldChar w:fldCharType="separate"/>
        </w:r>
        <w:r w:rsidR="00FE1678">
          <w:rPr>
            <w:noProof/>
            <w:webHidden/>
          </w:rPr>
          <w:t>78</w:t>
        </w:r>
        <w:r w:rsidR="00545AB0">
          <w:rPr>
            <w:noProof/>
            <w:webHidden/>
          </w:rPr>
          <w:fldChar w:fldCharType="end"/>
        </w:r>
      </w:hyperlink>
    </w:p>
    <w:p w:rsidR="00545AB0" w:rsidRDefault="00841EE8">
      <w:pPr>
        <w:pStyle w:val="TOC1"/>
        <w:rPr>
          <w:rFonts w:asciiTheme="minorHAnsi" w:eastAsiaTheme="minorEastAsia" w:hAnsiTheme="minorHAnsi" w:cstheme="minorBidi"/>
          <w:b/>
          <w:sz w:val="24"/>
          <w:szCs w:val="24"/>
          <w:lang w:eastAsia="en-GB"/>
        </w:rPr>
      </w:pPr>
      <w:hyperlink w:anchor="_Toc18661035" w:history="1">
        <w:r w:rsidR="00545AB0" w:rsidRPr="008911E6">
          <w:rPr>
            <w:rStyle w:val="Hyperlink"/>
          </w:rPr>
          <w:t>Appendix D</w:t>
        </w:r>
        <w:r w:rsidR="00545AB0">
          <w:rPr>
            <w:webHidden/>
          </w:rPr>
          <w:tab/>
        </w:r>
        <w:r w:rsidR="00545AB0">
          <w:rPr>
            <w:webHidden/>
          </w:rPr>
          <w:fldChar w:fldCharType="begin"/>
        </w:r>
        <w:r w:rsidR="00545AB0">
          <w:rPr>
            <w:webHidden/>
          </w:rPr>
          <w:instrText xml:space="preserve"> PAGEREF _Toc18661035 \h </w:instrText>
        </w:r>
        <w:r w:rsidR="00545AB0">
          <w:rPr>
            <w:webHidden/>
          </w:rPr>
        </w:r>
        <w:r w:rsidR="00545AB0">
          <w:rPr>
            <w:webHidden/>
          </w:rPr>
          <w:fldChar w:fldCharType="separate"/>
        </w:r>
        <w:r w:rsidR="00FE1678">
          <w:rPr>
            <w:webHidden/>
          </w:rPr>
          <w:t>87</w:t>
        </w:r>
        <w:r w:rsidR="00545AB0">
          <w:rPr>
            <w:webHidden/>
          </w:rPr>
          <w:fldChar w:fldCharType="end"/>
        </w:r>
      </w:hyperlink>
    </w:p>
    <w:p w:rsidR="00545AB0" w:rsidRDefault="00545AB0">
      <w:pPr>
        <w:pStyle w:val="TOC2"/>
        <w:rPr>
          <w:rFonts w:asciiTheme="minorHAnsi" w:eastAsiaTheme="minorEastAsia" w:hAnsiTheme="minorHAnsi" w:cstheme="minorBidi"/>
          <w:noProof/>
          <w:sz w:val="24"/>
          <w:szCs w:val="24"/>
          <w:lang w:eastAsia="en-GB"/>
        </w:rPr>
      </w:pPr>
      <w:hyperlink w:anchor="_Toc18661036" w:history="1">
        <w:r w:rsidRPr="008911E6">
          <w:rPr>
            <w:rStyle w:val="Hyperlink"/>
            <w:noProof/>
          </w:rPr>
          <w:t>E3 Program Impact Analysis: Refrigerators and Freezers, June 2017</w:t>
        </w:r>
        <w:r>
          <w:rPr>
            <w:noProof/>
            <w:webHidden/>
          </w:rPr>
          <w:tab/>
        </w:r>
        <w:r>
          <w:rPr>
            <w:noProof/>
            <w:webHidden/>
          </w:rPr>
          <w:fldChar w:fldCharType="begin"/>
        </w:r>
        <w:r>
          <w:rPr>
            <w:noProof/>
            <w:webHidden/>
          </w:rPr>
          <w:instrText xml:space="preserve"> PAGEREF _Toc18661036 \h </w:instrText>
        </w:r>
        <w:r>
          <w:rPr>
            <w:noProof/>
            <w:webHidden/>
          </w:rPr>
        </w:r>
        <w:r>
          <w:rPr>
            <w:noProof/>
            <w:webHidden/>
          </w:rPr>
          <w:fldChar w:fldCharType="separate"/>
        </w:r>
        <w:r w:rsidR="00FE1678">
          <w:rPr>
            <w:noProof/>
            <w:webHidden/>
          </w:rPr>
          <w:t>87</w:t>
        </w:r>
        <w:r>
          <w:rPr>
            <w:noProof/>
            <w:webHidden/>
          </w:rPr>
          <w:fldChar w:fldCharType="end"/>
        </w:r>
      </w:hyperlink>
    </w:p>
    <w:p w:rsidR="00F271EB" w:rsidRDefault="000D0DC4" w:rsidP="00E612B1">
      <w:pPr>
        <w:spacing w:before="60" w:after="60"/>
      </w:pPr>
      <w:r w:rsidRPr="00BA1E09">
        <w:fldChar w:fldCharType="end"/>
      </w:r>
      <w:r w:rsidR="00F271EB">
        <w:br w:type="page"/>
      </w:r>
    </w:p>
    <w:p w:rsidR="000F15B4" w:rsidRPr="00CD54A1" w:rsidRDefault="000F15B4" w:rsidP="0061636F">
      <w:pPr>
        <w:pStyle w:val="Heading1"/>
        <w:rPr>
          <w:i/>
          <w:lang w:val="en-US"/>
        </w:rPr>
      </w:pPr>
      <w:bookmarkStart w:id="2" w:name="_Toc477439918"/>
      <w:bookmarkStart w:id="3" w:name="_Toc501610433"/>
      <w:bookmarkStart w:id="4" w:name="_Toc507145438"/>
      <w:bookmarkStart w:id="5" w:name="_Toc18660954"/>
      <w:r w:rsidRPr="001176A9">
        <w:rPr>
          <w:lang w:val="en-US"/>
        </w:rPr>
        <w:lastRenderedPageBreak/>
        <w:t>List of abbreviations</w:t>
      </w:r>
      <w:bookmarkEnd w:id="2"/>
      <w:bookmarkEnd w:id="3"/>
      <w:bookmarkEnd w:id="4"/>
      <w:bookmarkEnd w:id="5"/>
    </w:p>
    <w:p w:rsidR="0064328D" w:rsidRPr="004E675B" w:rsidRDefault="0064328D" w:rsidP="003442DC">
      <w:pPr>
        <w:ind w:left="1985" w:hanging="1979"/>
        <w:rPr>
          <w:sz w:val="22"/>
        </w:rPr>
      </w:pPr>
      <w:r w:rsidRPr="004E675B">
        <w:rPr>
          <w:sz w:val="22"/>
        </w:rPr>
        <w:t>4E</w:t>
      </w:r>
      <w:r w:rsidRPr="004E675B">
        <w:rPr>
          <w:sz w:val="22"/>
        </w:rPr>
        <w:tab/>
        <w:t xml:space="preserve">Energy Efficient End-Use Equipment </w:t>
      </w:r>
    </w:p>
    <w:p w:rsidR="00DF398A" w:rsidRDefault="00DF398A" w:rsidP="003442DC">
      <w:pPr>
        <w:ind w:left="1985" w:hanging="1979"/>
        <w:rPr>
          <w:sz w:val="22"/>
        </w:rPr>
      </w:pPr>
      <w:r>
        <w:rPr>
          <w:sz w:val="22"/>
        </w:rPr>
        <w:t>ACT</w:t>
      </w:r>
      <w:r>
        <w:rPr>
          <w:sz w:val="22"/>
        </w:rPr>
        <w:tab/>
        <w:t>Australian Capital Territory</w:t>
      </w:r>
    </w:p>
    <w:p w:rsidR="0064328D" w:rsidRPr="004E675B" w:rsidRDefault="0064328D" w:rsidP="003442DC">
      <w:pPr>
        <w:ind w:left="1985" w:hanging="1979"/>
        <w:rPr>
          <w:sz w:val="22"/>
        </w:rPr>
      </w:pPr>
      <w:r w:rsidRPr="004E675B">
        <w:rPr>
          <w:sz w:val="22"/>
        </w:rPr>
        <w:t>APEC</w:t>
      </w:r>
      <w:r w:rsidRPr="004E675B">
        <w:rPr>
          <w:sz w:val="22"/>
        </w:rPr>
        <w:tab/>
        <w:t>Asia-Pacific Economic Cooperation</w:t>
      </w:r>
    </w:p>
    <w:p w:rsidR="000876BF" w:rsidRPr="004E675B" w:rsidRDefault="000876BF" w:rsidP="003442DC">
      <w:pPr>
        <w:ind w:left="1985" w:hanging="1979"/>
        <w:rPr>
          <w:sz w:val="22"/>
        </w:rPr>
      </w:pPr>
      <w:r w:rsidRPr="004E675B">
        <w:rPr>
          <w:sz w:val="22"/>
        </w:rPr>
        <w:t>AS</w:t>
      </w:r>
      <w:r w:rsidRPr="004E675B">
        <w:rPr>
          <w:sz w:val="22"/>
        </w:rPr>
        <w:tab/>
        <w:t>Australian Standard</w:t>
      </w:r>
    </w:p>
    <w:p w:rsidR="000876BF" w:rsidRPr="004E675B" w:rsidRDefault="0064328D" w:rsidP="003442DC">
      <w:pPr>
        <w:ind w:left="1985" w:hanging="1979"/>
        <w:rPr>
          <w:sz w:val="22"/>
        </w:rPr>
      </w:pPr>
      <w:r w:rsidRPr="004E675B">
        <w:rPr>
          <w:sz w:val="22"/>
        </w:rPr>
        <w:t>AS/NZ</w:t>
      </w:r>
      <w:r w:rsidR="000876BF" w:rsidRPr="004E675B">
        <w:rPr>
          <w:sz w:val="22"/>
        </w:rPr>
        <w:tab/>
        <w:t>Australian and New Zealand Standard</w:t>
      </w:r>
    </w:p>
    <w:p w:rsidR="0064328D" w:rsidRPr="004E675B" w:rsidRDefault="0064328D" w:rsidP="003442DC">
      <w:pPr>
        <w:ind w:left="1985" w:hanging="1979"/>
        <w:rPr>
          <w:sz w:val="22"/>
        </w:rPr>
      </w:pPr>
      <w:r w:rsidRPr="004E675B">
        <w:rPr>
          <w:sz w:val="22"/>
        </w:rPr>
        <w:t>ASBEC</w:t>
      </w:r>
      <w:r w:rsidRPr="004E675B">
        <w:rPr>
          <w:sz w:val="22"/>
        </w:rPr>
        <w:tab/>
      </w:r>
      <w:r w:rsidR="00C1123A" w:rsidRPr="004E675B">
        <w:rPr>
          <w:sz w:val="22"/>
        </w:rPr>
        <w:t>Australian Sustainable Built Environment Council</w:t>
      </w:r>
    </w:p>
    <w:p w:rsidR="0064328D" w:rsidRPr="004E675B" w:rsidRDefault="0064328D" w:rsidP="003442DC">
      <w:pPr>
        <w:ind w:left="1985" w:hanging="1979"/>
        <w:rPr>
          <w:sz w:val="22"/>
        </w:rPr>
      </w:pPr>
      <w:r w:rsidRPr="004E675B">
        <w:rPr>
          <w:sz w:val="22"/>
        </w:rPr>
        <w:t>AiGroup</w:t>
      </w:r>
      <w:r w:rsidRPr="004E675B">
        <w:rPr>
          <w:sz w:val="22"/>
        </w:rPr>
        <w:tab/>
      </w:r>
      <w:r w:rsidR="00C1123A" w:rsidRPr="004E675B">
        <w:rPr>
          <w:sz w:val="22"/>
        </w:rPr>
        <w:t>Australian Industry Group</w:t>
      </w:r>
    </w:p>
    <w:p w:rsidR="0064328D" w:rsidRDefault="0064328D" w:rsidP="003442DC">
      <w:pPr>
        <w:ind w:left="1985" w:hanging="1979"/>
        <w:rPr>
          <w:sz w:val="22"/>
        </w:rPr>
      </w:pPr>
      <w:r w:rsidRPr="004E675B">
        <w:rPr>
          <w:sz w:val="22"/>
        </w:rPr>
        <w:t>AREMA</w:t>
      </w:r>
      <w:r w:rsidRPr="004E675B">
        <w:rPr>
          <w:sz w:val="22"/>
        </w:rPr>
        <w:tab/>
      </w:r>
      <w:r w:rsidR="00C1123A" w:rsidRPr="004E675B">
        <w:rPr>
          <w:sz w:val="22"/>
        </w:rPr>
        <w:t>Air Conditioning and Refrigeration Equipment Manufacturers Association</w:t>
      </w:r>
    </w:p>
    <w:p w:rsidR="00DF398A" w:rsidRPr="004E675B" w:rsidRDefault="00DF398A" w:rsidP="003442DC">
      <w:pPr>
        <w:ind w:left="1985" w:hanging="1979"/>
        <w:rPr>
          <w:sz w:val="22"/>
        </w:rPr>
      </w:pPr>
      <w:r>
        <w:rPr>
          <w:sz w:val="22"/>
        </w:rPr>
        <w:t>CBD</w:t>
      </w:r>
      <w:r>
        <w:rPr>
          <w:sz w:val="22"/>
        </w:rPr>
        <w:tab/>
        <w:t>Commercial Building Disclosure</w:t>
      </w:r>
    </w:p>
    <w:p w:rsidR="0064328D" w:rsidRPr="004E675B" w:rsidRDefault="0064328D" w:rsidP="003442DC">
      <w:pPr>
        <w:ind w:left="1985" w:hanging="1979"/>
        <w:rPr>
          <w:sz w:val="22"/>
        </w:rPr>
      </w:pPr>
      <w:r w:rsidRPr="004E675B">
        <w:rPr>
          <w:sz w:val="22"/>
        </w:rPr>
        <w:t>CEM</w:t>
      </w:r>
      <w:r w:rsidRPr="004E675B">
        <w:rPr>
          <w:sz w:val="22"/>
        </w:rPr>
        <w:tab/>
        <w:t>Clean Energy Ministerial</w:t>
      </w:r>
    </w:p>
    <w:p w:rsidR="0064328D" w:rsidRPr="004E675B" w:rsidRDefault="0064328D" w:rsidP="003442DC">
      <w:pPr>
        <w:ind w:left="1985" w:hanging="1979"/>
        <w:rPr>
          <w:sz w:val="22"/>
        </w:rPr>
      </w:pPr>
      <w:r w:rsidRPr="004E675B">
        <w:rPr>
          <w:sz w:val="22"/>
        </w:rPr>
        <w:t>CESA</w:t>
      </w:r>
      <w:r w:rsidRPr="004E675B">
        <w:rPr>
          <w:sz w:val="22"/>
        </w:rPr>
        <w:tab/>
      </w:r>
      <w:r w:rsidR="00C1123A" w:rsidRPr="004E675B">
        <w:rPr>
          <w:sz w:val="22"/>
        </w:rPr>
        <w:t>Consumer Electronic Suppliers Association</w:t>
      </w:r>
    </w:p>
    <w:p w:rsidR="000876BF" w:rsidRPr="004E675B" w:rsidRDefault="000876BF" w:rsidP="003442DC">
      <w:pPr>
        <w:ind w:left="1985" w:hanging="1979"/>
        <w:rPr>
          <w:sz w:val="22"/>
        </w:rPr>
      </w:pPr>
      <w:r w:rsidRPr="004E675B">
        <w:rPr>
          <w:sz w:val="22"/>
        </w:rPr>
        <w:t>COAG</w:t>
      </w:r>
      <w:r w:rsidRPr="004E675B">
        <w:rPr>
          <w:sz w:val="22"/>
        </w:rPr>
        <w:tab/>
        <w:t>Council of Australian Governments</w:t>
      </w:r>
    </w:p>
    <w:p w:rsidR="000876BF" w:rsidRPr="004E675B" w:rsidRDefault="000876BF" w:rsidP="003442DC">
      <w:pPr>
        <w:ind w:left="1985" w:hanging="1979"/>
        <w:rPr>
          <w:sz w:val="22"/>
        </w:rPr>
      </w:pPr>
      <w:r w:rsidRPr="004E675B">
        <w:rPr>
          <w:sz w:val="22"/>
        </w:rPr>
        <w:t>E3</w:t>
      </w:r>
      <w:r w:rsidRPr="004E675B">
        <w:rPr>
          <w:sz w:val="22"/>
        </w:rPr>
        <w:tab/>
        <w:t xml:space="preserve">Equipment Energy Efficiency  </w:t>
      </w:r>
    </w:p>
    <w:p w:rsidR="000876BF" w:rsidRPr="004E675B" w:rsidRDefault="000876BF" w:rsidP="003442DC">
      <w:pPr>
        <w:ind w:left="1985" w:hanging="1979"/>
        <w:rPr>
          <w:sz w:val="22"/>
        </w:rPr>
      </w:pPr>
      <w:r w:rsidRPr="004E675B">
        <w:rPr>
          <w:sz w:val="22"/>
        </w:rPr>
        <w:t>EEAT</w:t>
      </w:r>
      <w:r w:rsidRPr="004E675B">
        <w:rPr>
          <w:sz w:val="22"/>
        </w:rPr>
        <w:tab/>
        <w:t>Energy Efficiency Advisory Team</w:t>
      </w:r>
    </w:p>
    <w:p w:rsidR="0064328D" w:rsidRPr="004E675B" w:rsidRDefault="0064328D" w:rsidP="003442DC">
      <w:pPr>
        <w:ind w:left="1985" w:hanging="1979"/>
        <w:rPr>
          <w:sz w:val="22"/>
        </w:rPr>
      </w:pPr>
      <w:r w:rsidRPr="004E675B">
        <w:rPr>
          <w:sz w:val="22"/>
        </w:rPr>
        <w:t>EECA</w:t>
      </w:r>
      <w:r w:rsidRPr="004E675B">
        <w:rPr>
          <w:sz w:val="22"/>
        </w:rPr>
        <w:tab/>
      </w:r>
      <w:r w:rsidR="00C1123A" w:rsidRPr="004E675B">
        <w:rPr>
          <w:sz w:val="22"/>
        </w:rPr>
        <w:t>Energy Efficiency and Conservation Authority</w:t>
      </w:r>
    </w:p>
    <w:p w:rsidR="000876BF" w:rsidRPr="004E675B" w:rsidRDefault="000876BF" w:rsidP="003442DC">
      <w:pPr>
        <w:ind w:left="1985" w:hanging="1979"/>
        <w:rPr>
          <w:sz w:val="22"/>
        </w:rPr>
      </w:pPr>
      <w:r w:rsidRPr="004E675B">
        <w:rPr>
          <w:sz w:val="22"/>
        </w:rPr>
        <w:t>EESS</w:t>
      </w:r>
      <w:r w:rsidRPr="004E675B">
        <w:rPr>
          <w:sz w:val="22"/>
        </w:rPr>
        <w:tab/>
      </w:r>
      <w:r w:rsidR="00C1123A" w:rsidRPr="004E675B">
        <w:rPr>
          <w:sz w:val="22"/>
        </w:rPr>
        <w:t>Equipment Electrical Safety System</w:t>
      </w:r>
    </w:p>
    <w:p w:rsidR="000876BF" w:rsidRPr="004E675B" w:rsidRDefault="000876BF" w:rsidP="003442DC">
      <w:pPr>
        <w:ind w:left="1985" w:hanging="1979"/>
        <w:rPr>
          <w:sz w:val="22"/>
        </w:rPr>
      </w:pPr>
      <w:r w:rsidRPr="004E675B">
        <w:rPr>
          <w:sz w:val="22"/>
        </w:rPr>
        <w:t>ERL</w:t>
      </w:r>
      <w:r w:rsidRPr="004E675B">
        <w:rPr>
          <w:sz w:val="22"/>
        </w:rPr>
        <w:tab/>
        <w:t>Energy Rating Label</w:t>
      </w:r>
    </w:p>
    <w:p w:rsidR="000876BF" w:rsidRPr="004E675B" w:rsidRDefault="007B0292" w:rsidP="003442DC">
      <w:pPr>
        <w:ind w:left="1985" w:hanging="1979"/>
        <w:rPr>
          <w:sz w:val="22"/>
        </w:rPr>
      </w:pPr>
      <w:r>
        <w:rPr>
          <w:sz w:val="22"/>
        </w:rPr>
        <w:t>T</w:t>
      </w:r>
      <w:r w:rsidR="000876BF" w:rsidRPr="004E675B">
        <w:rPr>
          <w:sz w:val="22"/>
        </w:rPr>
        <w:t>he Finkel Review</w:t>
      </w:r>
      <w:r w:rsidR="000876BF" w:rsidRPr="004E675B">
        <w:rPr>
          <w:sz w:val="22"/>
        </w:rPr>
        <w:tab/>
        <w:t>The Independent Review into the Future Security of the National Electricity Market</w:t>
      </w:r>
    </w:p>
    <w:p w:rsidR="00462EC7" w:rsidRPr="004E675B" w:rsidRDefault="000876BF" w:rsidP="003442DC">
      <w:pPr>
        <w:ind w:left="1985" w:hanging="1979"/>
        <w:rPr>
          <w:sz w:val="22"/>
        </w:rPr>
      </w:pPr>
      <w:r w:rsidRPr="004E675B">
        <w:rPr>
          <w:sz w:val="22"/>
        </w:rPr>
        <w:t>GEMS</w:t>
      </w:r>
      <w:r w:rsidRPr="004E675B">
        <w:rPr>
          <w:sz w:val="22"/>
        </w:rPr>
        <w:tab/>
        <w:t>Greenhouse and Energy Minimum Standards</w:t>
      </w:r>
    </w:p>
    <w:p w:rsidR="0064328D" w:rsidRPr="004E675B" w:rsidRDefault="007B0292" w:rsidP="003442DC">
      <w:pPr>
        <w:ind w:left="1985" w:hanging="1979"/>
        <w:rPr>
          <w:sz w:val="22"/>
        </w:rPr>
      </w:pPr>
      <w:r w:rsidRPr="00243D5B">
        <w:rPr>
          <w:sz w:val="22"/>
        </w:rPr>
        <w:t>T</w:t>
      </w:r>
      <w:r w:rsidR="0064328D" w:rsidRPr="004E675B">
        <w:rPr>
          <w:sz w:val="22"/>
        </w:rPr>
        <w:t>he GEMS Act</w:t>
      </w:r>
      <w:r w:rsidR="0064328D" w:rsidRPr="004E675B">
        <w:rPr>
          <w:sz w:val="22"/>
        </w:rPr>
        <w:tab/>
        <w:t>Greenhouse and Energy Minimum Standards Act 2012</w:t>
      </w:r>
    </w:p>
    <w:p w:rsidR="0064328D" w:rsidRPr="004E675B" w:rsidRDefault="0064328D" w:rsidP="003442DC">
      <w:pPr>
        <w:ind w:left="1985" w:hanging="1979"/>
        <w:rPr>
          <w:sz w:val="22"/>
        </w:rPr>
      </w:pPr>
      <w:r w:rsidRPr="004E675B">
        <w:rPr>
          <w:sz w:val="22"/>
        </w:rPr>
        <w:t>IEA</w:t>
      </w:r>
      <w:r w:rsidRPr="004E675B">
        <w:rPr>
          <w:sz w:val="22"/>
        </w:rPr>
        <w:tab/>
        <w:t>International Energy Agency</w:t>
      </w:r>
    </w:p>
    <w:p w:rsidR="0064328D" w:rsidRPr="004E675B" w:rsidRDefault="0064328D" w:rsidP="003442DC">
      <w:pPr>
        <w:ind w:left="1985" w:hanging="1979"/>
        <w:rPr>
          <w:sz w:val="22"/>
        </w:rPr>
      </w:pPr>
      <w:r w:rsidRPr="004E675B">
        <w:rPr>
          <w:sz w:val="22"/>
        </w:rPr>
        <w:t>IEC</w:t>
      </w:r>
      <w:r w:rsidRPr="004E675B">
        <w:rPr>
          <w:sz w:val="22"/>
        </w:rPr>
        <w:tab/>
        <w:t>International Electrotechnical Commission</w:t>
      </w:r>
    </w:p>
    <w:p w:rsidR="0064328D" w:rsidRPr="004E675B" w:rsidRDefault="0064328D" w:rsidP="003442DC">
      <w:pPr>
        <w:ind w:left="1985" w:hanging="1979"/>
        <w:rPr>
          <w:sz w:val="22"/>
        </w:rPr>
      </w:pPr>
      <w:r w:rsidRPr="004E675B">
        <w:rPr>
          <w:sz w:val="22"/>
        </w:rPr>
        <w:t>IPEEC</w:t>
      </w:r>
      <w:r w:rsidRPr="004E675B">
        <w:rPr>
          <w:sz w:val="22"/>
        </w:rPr>
        <w:tab/>
        <w:t>International Partnership on Energy Efficiency Cooperation</w:t>
      </w:r>
    </w:p>
    <w:p w:rsidR="0064328D" w:rsidRPr="004E675B" w:rsidRDefault="0064328D" w:rsidP="003442DC">
      <w:pPr>
        <w:ind w:left="1985" w:hanging="1979"/>
        <w:rPr>
          <w:sz w:val="22"/>
        </w:rPr>
      </w:pPr>
      <w:r w:rsidRPr="004E675B">
        <w:rPr>
          <w:sz w:val="22"/>
        </w:rPr>
        <w:t>ISO</w:t>
      </w:r>
      <w:r w:rsidRPr="004E675B">
        <w:rPr>
          <w:sz w:val="22"/>
        </w:rPr>
        <w:tab/>
        <w:t>International Organisation for Standardisation</w:t>
      </w:r>
    </w:p>
    <w:p w:rsidR="0064328D" w:rsidRPr="004E675B" w:rsidRDefault="0064328D" w:rsidP="003442DC">
      <w:pPr>
        <w:ind w:left="1985" w:hanging="1979"/>
        <w:rPr>
          <w:sz w:val="22"/>
        </w:rPr>
      </w:pPr>
      <w:r w:rsidRPr="004E675B">
        <w:rPr>
          <w:sz w:val="22"/>
        </w:rPr>
        <w:t>Kg</w:t>
      </w:r>
      <w:r w:rsidRPr="004E675B">
        <w:rPr>
          <w:sz w:val="22"/>
        </w:rPr>
        <w:tab/>
      </w:r>
      <w:r w:rsidRPr="00C1123A">
        <w:rPr>
          <w:sz w:val="22"/>
        </w:rPr>
        <w:t>Kilogram</w:t>
      </w:r>
    </w:p>
    <w:p w:rsidR="0064328D" w:rsidRPr="004E675B" w:rsidRDefault="0064328D" w:rsidP="003442DC">
      <w:pPr>
        <w:ind w:left="1985" w:hanging="1979"/>
        <w:rPr>
          <w:sz w:val="22"/>
        </w:rPr>
      </w:pPr>
      <w:r w:rsidRPr="004E675B">
        <w:rPr>
          <w:sz w:val="22"/>
        </w:rPr>
        <w:t>Kwh</w:t>
      </w:r>
      <w:r w:rsidRPr="004E675B">
        <w:rPr>
          <w:sz w:val="22"/>
        </w:rPr>
        <w:tab/>
      </w:r>
      <w:r w:rsidRPr="00C1123A">
        <w:rPr>
          <w:sz w:val="22"/>
        </w:rPr>
        <w:t>Kilo</w:t>
      </w:r>
      <w:r w:rsidR="00825694">
        <w:rPr>
          <w:sz w:val="22"/>
        </w:rPr>
        <w:t>w</w:t>
      </w:r>
      <w:r w:rsidRPr="00C1123A">
        <w:rPr>
          <w:sz w:val="22"/>
        </w:rPr>
        <w:t xml:space="preserve">att </w:t>
      </w:r>
      <w:r w:rsidR="00825694">
        <w:rPr>
          <w:sz w:val="22"/>
        </w:rPr>
        <w:t>h</w:t>
      </w:r>
      <w:r w:rsidRPr="00C1123A">
        <w:rPr>
          <w:sz w:val="22"/>
        </w:rPr>
        <w:t>our</w:t>
      </w:r>
    </w:p>
    <w:p w:rsidR="0064328D" w:rsidRPr="004E675B" w:rsidRDefault="0064328D" w:rsidP="003442DC">
      <w:pPr>
        <w:ind w:left="1985" w:hanging="1979"/>
        <w:rPr>
          <w:sz w:val="22"/>
        </w:rPr>
      </w:pPr>
      <w:r w:rsidRPr="004E675B">
        <w:rPr>
          <w:sz w:val="22"/>
        </w:rPr>
        <w:t>L</w:t>
      </w:r>
      <w:r w:rsidRPr="004E675B">
        <w:rPr>
          <w:sz w:val="22"/>
        </w:rPr>
        <w:tab/>
      </w:r>
      <w:r w:rsidRPr="00C1123A">
        <w:rPr>
          <w:sz w:val="22"/>
        </w:rPr>
        <w:t>Litre</w:t>
      </w:r>
    </w:p>
    <w:p w:rsidR="0064328D" w:rsidRPr="004E675B" w:rsidRDefault="0064328D" w:rsidP="003442DC">
      <w:pPr>
        <w:ind w:left="1985" w:hanging="1979"/>
        <w:rPr>
          <w:sz w:val="22"/>
        </w:rPr>
      </w:pPr>
      <w:r w:rsidRPr="004E675B">
        <w:rPr>
          <w:sz w:val="22"/>
        </w:rPr>
        <w:t>LCA</w:t>
      </w:r>
      <w:r w:rsidRPr="004E675B">
        <w:rPr>
          <w:sz w:val="22"/>
        </w:rPr>
        <w:tab/>
      </w:r>
      <w:r w:rsidRPr="00C1123A">
        <w:rPr>
          <w:sz w:val="22"/>
        </w:rPr>
        <w:t>Lighting Council of Australia</w:t>
      </w:r>
    </w:p>
    <w:p w:rsidR="0064328D" w:rsidRPr="004E675B" w:rsidRDefault="0064328D" w:rsidP="003442DC">
      <w:pPr>
        <w:ind w:left="1985" w:hanging="1979"/>
        <w:rPr>
          <w:sz w:val="22"/>
        </w:rPr>
      </w:pPr>
      <w:r w:rsidRPr="004E675B">
        <w:rPr>
          <w:sz w:val="22"/>
        </w:rPr>
        <w:t>LED</w:t>
      </w:r>
      <w:r w:rsidRPr="004E675B">
        <w:rPr>
          <w:sz w:val="22"/>
        </w:rPr>
        <w:tab/>
      </w:r>
      <w:r w:rsidRPr="00C1123A">
        <w:rPr>
          <w:sz w:val="22"/>
        </w:rPr>
        <w:t>Light Emitting Diode</w:t>
      </w:r>
    </w:p>
    <w:p w:rsidR="000876BF" w:rsidRPr="004E675B" w:rsidRDefault="000876BF" w:rsidP="003442DC">
      <w:pPr>
        <w:ind w:left="1985" w:hanging="1979"/>
        <w:rPr>
          <w:sz w:val="22"/>
        </w:rPr>
      </w:pPr>
      <w:r w:rsidRPr="004E675B">
        <w:rPr>
          <w:sz w:val="22"/>
        </w:rPr>
        <w:t>MEPS</w:t>
      </w:r>
      <w:r w:rsidRPr="004E675B">
        <w:rPr>
          <w:sz w:val="22"/>
        </w:rPr>
        <w:tab/>
        <w:t xml:space="preserve">Minimum Energy Performance Standards </w:t>
      </w:r>
    </w:p>
    <w:p w:rsidR="0064328D" w:rsidRPr="004E675B" w:rsidRDefault="0064328D" w:rsidP="003442DC">
      <w:pPr>
        <w:ind w:left="1985" w:hanging="1979"/>
        <w:rPr>
          <w:sz w:val="22"/>
        </w:rPr>
      </w:pPr>
      <w:r w:rsidRPr="004E675B">
        <w:rPr>
          <w:sz w:val="22"/>
        </w:rPr>
        <w:t>MW</w:t>
      </w:r>
      <w:r w:rsidRPr="004E675B">
        <w:rPr>
          <w:sz w:val="22"/>
        </w:rPr>
        <w:tab/>
      </w:r>
      <w:r w:rsidRPr="00C1123A">
        <w:rPr>
          <w:sz w:val="22"/>
        </w:rPr>
        <w:t>Mega</w:t>
      </w:r>
      <w:r w:rsidR="00825694">
        <w:rPr>
          <w:sz w:val="22"/>
        </w:rPr>
        <w:t>w</w:t>
      </w:r>
      <w:r w:rsidRPr="00C1123A">
        <w:rPr>
          <w:sz w:val="22"/>
        </w:rPr>
        <w:t>att</w:t>
      </w:r>
    </w:p>
    <w:p w:rsidR="000876BF" w:rsidRPr="004E675B" w:rsidRDefault="000876BF" w:rsidP="003442DC">
      <w:pPr>
        <w:ind w:left="1985" w:hanging="1979"/>
        <w:rPr>
          <w:sz w:val="22"/>
        </w:rPr>
      </w:pPr>
      <w:r w:rsidRPr="004E675B">
        <w:rPr>
          <w:sz w:val="22"/>
        </w:rPr>
        <w:lastRenderedPageBreak/>
        <w:t>NatHERS</w:t>
      </w:r>
      <w:r w:rsidR="0064328D" w:rsidRPr="004E675B">
        <w:rPr>
          <w:sz w:val="22"/>
        </w:rPr>
        <w:tab/>
      </w:r>
      <w:r w:rsidR="00C1123A" w:rsidRPr="004E675B">
        <w:rPr>
          <w:sz w:val="22"/>
        </w:rPr>
        <w:t>Nationwide House Energy Rating Scheme</w:t>
      </w:r>
    </w:p>
    <w:p w:rsidR="00DF398A" w:rsidRDefault="00DF398A" w:rsidP="003442DC">
      <w:pPr>
        <w:ind w:left="1985" w:hanging="1979"/>
        <w:rPr>
          <w:sz w:val="22"/>
        </w:rPr>
      </w:pPr>
      <w:r>
        <w:rPr>
          <w:sz w:val="22"/>
        </w:rPr>
        <w:t>NSW</w:t>
      </w:r>
      <w:r>
        <w:rPr>
          <w:sz w:val="22"/>
        </w:rPr>
        <w:tab/>
        <w:t>New South Wales</w:t>
      </w:r>
    </w:p>
    <w:p w:rsidR="0064328D" w:rsidRPr="004E675B" w:rsidRDefault="0064328D" w:rsidP="003442DC">
      <w:pPr>
        <w:ind w:left="1985" w:hanging="1979"/>
        <w:rPr>
          <w:sz w:val="22"/>
        </w:rPr>
      </w:pPr>
      <w:r w:rsidRPr="004E675B">
        <w:rPr>
          <w:sz w:val="22"/>
        </w:rPr>
        <w:t>OPSGG</w:t>
      </w:r>
      <w:r w:rsidRPr="004E675B">
        <w:rPr>
          <w:sz w:val="22"/>
        </w:rPr>
        <w:tab/>
      </w:r>
      <w:r w:rsidR="00C1123A" w:rsidRPr="004E675B">
        <w:rPr>
          <w:sz w:val="22"/>
        </w:rPr>
        <w:t>Ozone Protection and Synthetic Greenhouse</w:t>
      </w:r>
      <w:r w:rsidR="008C238F">
        <w:rPr>
          <w:sz w:val="22"/>
        </w:rPr>
        <w:t xml:space="preserve"> Gases</w:t>
      </w:r>
    </w:p>
    <w:p w:rsidR="00DF398A" w:rsidRDefault="00DF398A" w:rsidP="003442DC">
      <w:pPr>
        <w:ind w:left="1985" w:hanging="1979"/>
        <w:rPr>
          <w:sz w:val="22"/>
        </w:rPr>
      </w:pPr>
      <w:r>
        <w:rPr>
          <w:sz w:val="22"/>
        </w:rPr>
        <w:t>PV</w:t>
      </w:r>
      <w:r>
        <w:rPr>
          <w:sz w:val="22"/>
        </w:rPr>
        <w:tab/>
        <w:t>Photovoltaic</w:t>
      </w:r>
    </w:p>
    <w:p w:rsidR="0064328D" w:rsidRPr="004E675B" w:rsidRDefault="0064328D" w:rsidP="003442DC">
      <w:pPr>
        <w:ind w:left="1985" w:hanging="1979"/>
        <w:rPr>
          <w:sz w:val="22"/>
        </w:rPr>
      </w:pPr>
      <w:r w:rsidRPr="004E675B">
        <w:rPr>
          <w:sz w:val="22"/>
        </w:rPr>
        <w:t>RBS</w:t>
      </w:r>
      <w:r w:rsidRPr="004E675B">
        <w:rPr>
          <w:sz w:val="22"/>
        </w:rPr>
        <w:tab/>
      </w:r>
      <w:r w:rsidR="00A16A3B" w:rsidRPr="00C1123A">
        <w:rPr>
          <w:sz w:val="22"/>
        </w:rPr>
        <w:t>Residential Baseline Study</w:t>
      </w:r>
    </w:p>
    <w:p w:rsidR="0064328D" w:rsidRPr="004E675B" w:rsidRDefault="0064328D" w:rsidP="003442DC">
      <w:pPr>
        <w:ind w:left="1985" w:hanging="1979"/>
        <w:rPr>
          <w:sz w:val="22"/>
        </w:rPr>
      </w:pPr>
      <w:r w:rsidRPr="004E675B">
        <w:rPr>
          <w:sz w:val="22"/>
        </w:rPr>
        <w:t>RIS</w:t>
      </w:r>
      <w:r w:rsidRPr="004E675B">
        <w:rPr>
          <w:sz w:val="22"/>
        </w:rPr>
        <w:tab/>
      </w:r>
      <w:r w:rsidR="00A16A3B" w:rsidRPr="00C1123A">
        <w:rPr>
          <w:sz w:val="22"/>
        </w:rPr>
        <w:t xml:space="preserve">Regulatory </w:t>
      </w:r>
      <w:r w:rsidR="008C238F" w:rsidRPr="00C1123A">
        <w:rPr>
          <w:sz w:val="22"/>
        </w:rPr>
        <w:t xml:space="preserve">Impact </w:t>
      </w:r>
      <w:r w:rsidR="00A16A3B" w:rsidRPr="00C1123A">
        <w:rPr>
          <w:sz w:val="22"/>
        </w:rPr>
        <w:t>Statement</w:t>
      </w:r>
    </w:p>
    <w:p w:rsidR="0064328D" w:rsidRPr="004E675B" w:rsidRDefault="0064328D" w:rsidP="003442DC">
      <w:pPr>
        <w:ind w:left="1985" w:hanging="1979"/>
        <w:rPr>
          <w:sz w:val="22"/>
        </w:rPr>
      </w:pPr>
      <w:r w:rsidRPr="004E675B">
        <w:rPr>
          <w:sz w:val="22"/>
        </w:rPr>
        <w:t>SEAD</w:t>
      </w:r>
      <w:r w:rsidRPr="004E675B">
        <w:rPr>
          <w:sz w:val="22"/>
        </w:rPr>
        <w:tab/>
        <w:t xml:space="preserve">Super-Efficient Equipment and Appliance Deployment </w:t>
      </w:r>
    </w:p>
    <w:p w:rsidR="00DF398A" w:rsidRDefault="00DF398A" w:rsidP="003442DC">
      <w:pPr>
        <w:ind w:left="1985" w:hanging="1979"/>
        <w:rPr>
          <w:sz w:val="22"/>
        </w:rPr>
      </w:pPr>
      <w:r>
        <w:rPr>
          <w:sz w:val="22"/>
        </w:rPr>
        <w:t>TV</w:t>
      </w:r>
      <w:r>
        <w:rPr>
          <w:sz w:val="22"/>
        </w:rPr>
        <w:tab/>
        <w:t>Television</w:t>
      </w:r>
    </w:p>
    <w:p w:rsidR="0064328D" w:rsidRDefault="0064328D" w:rsidP="003442DC">
      <w:pPr>
        <w:ind w:left="1985" w:hanging="1979"/>
        <w:rPr>
          <w:sz w:val="22"/>
        </w:rPr>
      </w:pPr>
      <w:r w:rsidRPr="004E675B">
        <w:rPr>
          <w:sz w:val="22"/>
        </w:rPr>
        <w:t>UNEP</w:t>
      </w:r>
      <w:r w:rsidRPr="004E675B">
        <w:rPr>
          <w:sz w:val="22"/>
        </w:rPr>
        <w:tab/>
        <w:t>United Nations Environment Programme</w:t>
      </w:r>
    </w:p>
    <w:p w:rsidR="007762BE" w:rsidRPr="004E675B" w:rsidRDefault="007762BE" w:rsidP="003442DC">
      <w:pPr>
        <w:ind w:left="1985" w:hanging="1979"/>
        <w:rPr>
          <w:sz w:val="22"/>
        </w:rPr>
      </w:pPr>
      <w:r>
        <w:rPr>
          <w:sz w:val="22"/>
        </w:rPr>
        <w:t>UNFCCC</w:t>
      </w:r>
      <w:r>
        <w:rPr>
          <w:sz w:val="22"/>
        </w:rPr>
        <w:tab/>
      </w:r>
      <w:r w:rsidR="009624DE" w:rsidRPr="002C0803">
        <w:rPr>
          <w:sz w:val="22"/>
        </w:rPr>
        <w:t>United Nations</w:t>
      </w:r>
      <w:r w:rsidR="009624DE">
        <w:rPr>
          <w:sz w:val="22"/>
        </w:rPr>
        <w:t xml:space="preserve"> Framework Convention on Climate Change</w:t>
      </w:r>
    </w:p>
    <w:p w:rsidR="008831CC" w:rsidRPr="004E675B" w:rsidRDefault="008831CC" w:rsidP="003442DC">
      <w:pPr>
        <w:ind w:left="1985" w:hanging="1979"/>
        <w:rPr>
          <w:sz w:val="22"/>
        </w:rPr>
      </w:pPr>
      <w:r w:rsidRPr="004E675B">
        <w:rPr>
          <w:sz w:val="22"/>
        </w:rPr>
        <w:t>VERLP</w:t>
      </w:r>
      <w:r w:rsidR="0064328D" w:rsidRPr="004E675B">
        <w:rPr>
          <w:sz w:val="22"/>
        </w:rPr>
        <w:tab/>
      </w:r>
      <w:r w:rsidR="00C1123A" w:rsidRPr="003442DC">
        <w:rPr>
          <w:sz w:val="22"/>
        </w:rPr>
        <w:t>Voluntary Energy Rating Labelling Program</w:t>
      </w:r>
    </w:p>
    <w:p w:rsidR="00F7725D" w:rsidRPr="004E675B" w:rsidRDefault="0064328D" w:rsidP="003442DC">
      <w:pPr>
        <w:ind w:left="1985" w:hanging="1979"/>
        <w:rPr>
          <w:sz w:val="22"/>
        </w:rPr>
      </w:pPr>
      <w:r w:rsidRPr="004E675B">
        <w:rPr>
          <w:sz w:val="22"/>
        </w:rPr>
        <w:t>WELS</w:t>
      </w:r>
      <w:r w:rsidRPr="004E675B">
        <w:rPr>
          <w:sz w:val="22"/>
        </w:rPr>
        <w:tab/>
      </w:r>
      <w:r w:rsidR="00C1123A" w:rsidRPr="004E675B">
        <w:rPr>
          <w:sz w:val="22"/>
        </w:rPr>
        <w:t>Water Efficiency Labelling and Standards</w:t>
      </w:r>
    </w:p>
    <w:p w:rsidR="000F15B4" w:rsidRDefault="000F15B4" w:rsidP="00240A12">
      <w:pPr>
        <w:rPr>
          <w:rFonts w:cs="Arial"/>
        </w:rPr>
      </w:pPr>
      <w:r>
        <w:br w:type="page"/>
      </w:r>
    </w:p>
    <w:p w:rsidR="0084273C" w:rsidRDefault="0061636F" w:rsidP="00B44994">
      <w:pPr>
        <w:pStyle w:val="Heading1"/>
      </w:pPr>
      <w:bookmarkStart w:id="6" w:name="_Toc18660955"/>
      <w:r>
        <w:lastRenderedPageBreak/>
        <w:t>Executive Summary</w:t>
      </w:r>
      <w:bookmarkEnd w:id="6"/>
    </w:p>
    <w:p w:rsidR="00400FDA" w:rsidRDefault="00441AB9" w:rsidP="003442DC">
      <w:r>
        <w:t xml:space="preserve">The </w:t>
      </w:r>
      <w:r w:rsidRPr="00441AB9">
        <w:rPr>
          <w:i/>
        </w:rPr>
        <w:t xml:space="preserve">Greenhouse and Energy Minimum Standards Act 2012 </w:t>
      </w:r>
      <w:r w:rsidRPr="00441AB9">
        <w:t>(GEMS Act)</w:t>
      </w:r>
      <w:r>
        <w:t xml:space="preserve"> came into effect on 1 October 2012, creating a national framework for product energy efficiency in Australia.</w:t>
      </w:r>
      <w:r w:rsidR="00842493">
        <w:t xml:space="preserve"> </w:t>
      </w:r>
      <w:r w:rsidR="00717F64">
        <w:t>The legislation requires</w:t>
      </w:r>
      <w:r w:rsidR="00A652AC">
        <w:t xml:space="preserve"> that</w:t>
      </w:r>
      <w:r w:rsidR="00842493">
        <w:t xml:space="preserve"> a review of the GEMS Act take place</w:t>
      </w:r>
      <w:r w:rsidR="00331787">
        <w:t xml:space="preserve"> as soon</w:t>
      </w:r>
      <w:r w:rsidR="00842493">
        <w:t xml:space="preserve"> </w:t>
      </w:r>
      <w:r w:rsidR="00717F64">
        <w:t xml:space="preserve">as possible </w:t>
      </w:r>
      <w:r w:rsidR="00842493">
        <w:t>after five years</w:t>
      </w:r>
      <w:r w:rsidR="00331787">
        <w:t xml:space="preserve"> of </w:t>
      </w:r>
      <w:r w:rsidR="00EF7FA6">
        <w:t xml:space="preserve">its </w:t>
      </w:r>
      <w:r w:rsidR="00331787">
        <w:t>operation</w:t>
      </w:r>
      <w:r w:rsidR="006E1DC9">
        <w:t>.</w:t>
      </w:r>
      <w:r w:rsidR="00842493">
        <w:t xml:space="preserve"> </w:t>
      </w:r>
      <w:r w:rsidR="00FB5EC5">
        <w:t>This</w:t>
      </w:r>
      <w:r w:rsidR="00331787">
        <w:t xml:space="preserve"> </w:t>
      </w:r>
      <w:r w:rsidR="00FB5EC5">
        <w:t xml:space="preserve">report provides the findings and recommendations of </w:t>
      </w:r>
      <w:r w:rsidR="00842493">
        <w:t>this i</w:t>
      </w:r>
      <w:r w:rsidR="00FB5EC5">
        <w:t xml:space="preserve">ndependent </w:t>
      </w:r>
      <w:r w:rsidR="00842493">
        <w:t>r</w:t>
      </w:r>
      <w:r w:rsidR="00FB5EC5">
        <w:t xml:space="preserve">eview. </w:t>
      </w:r>
      <w:r w:rsidR="00331787">
        <w:t>These have</w:t>
      </w:r>
      <w:r w:rsidR="00FB5EC5">
        <w:t xml:space="preserve"> been informed by </w:t>
      </w:r>
      <w:r>
        <w:t>submissions to the March 2018 discussion paper</w:t>
      </w:r>
      <w:r w:rsidR="00B6457F">
        <w:t xml:space="preserve"> and the November 2018 draft report,</w:t>
      </w:r>
      <w:r w:rsidR="0099565C">
        <w:t xml:space="preserve"> a</w:t>
      </w:r>
      <w:r w:rsidR="00856BCD">
        <w:t xml:space="preserve">s well as group and one-on-one </w:t>
      </w:r>
      <w:r w:rsidR="00EF7FA6">
        <w:t>meetings between the independent reviewer and</w:t>
      </w:r>
      <w:r w:rsidR="00B508F5">
        <w:t xml:space="preserve"> </w:t>
      </w:r>
      <w:r>
        <w:t>stakeholders</w:t>
      </w:r>
      <w:r w:rsidR="00FB5EC5">
        <w:t>.</w:t>
      </w:r>
    </w:p>
    <w:p w:rsidR="00006C62" w:rsidRDefault="00FB5EC5" w:rsidP="003442DC">
      <w:r>
        <w:t xml:space="preserve">The </w:t>
      </w:r>
      <w:r w:rsidR="00B6457F">
        <w:t xml:space="preserve">final </w:t>
      </w:r>
      <w:r>
        <w:t>report finds that the GEMS Act is achieving its purpose</w:t>
      </w:r>
      <w:r w:rsidR="00B27B24" w:rsidRPr="00B27B24">
        <w:t xml:space="preserve"> </w:t>
      </w:r>
      <w:r w:rsidR="00B27B24">
        <w:t xml:space="preserve">of providing a streamlined nationally-consistent approach to appliance energy efficiency while </w:t>
      </w:r>
      <w:r w:rsidR="00E439B9">
        <w:t xml:space="preserve">effectively </w:t>
      </w:r>
      <w:r w:rsidR="00B27B24">
        <w:t>reducing</w:t>
      </w:r>
      <w:r>
        <w:t xml:space="preserve"> energy use</w:t>
      </w:r>
      <w:r w:rsidR="00B27B24">
        <w:t>,</w:t>
      </w:r>
      <w:r>
        <w:t xml:space="preserve"> power bills</w:t>
      </w:r>
      <w:r w:rsidR="006E1DC9">
        <w:t xml:space="preserve"> and </w:t>
      </w:r>
      <w:r w:rsidR="0081625E">
        <w:t>greenhouse gas emissions</w:t>
      </w:r>
      <w:r w:rsidR="00994799">
        <w:t xml:space="preserve">. </w:t>
      </w:r>
    </w:p>
    <w:p w:rsidR="004D1A34" w:rsidRDefault="00472D81">
      <w:r>
        <w:t>It also finds that,</w:t>
      </w:r>
      <w:r w:rsidR="00AB0C07">
        <w:t xml:space="preserve"> f</w:t>
      </w:r>
      <w:r w:rsidR="00B508F5">
        <w:t xml:space="preserve">or the GEMS Act to continue to meet its objectives, and reduce costs of living for Australian households, </w:t>
      </w:r>
      <w:r w:rsidR="006E1DC9">
        <w:t>its operation will</w:t>
      </w:r>
      <w:r w:rsidR="00B508F5">
        <w:t xml:space="preserve"> need to </w:t>
      </w:r>
      <w:r w:rsidR="006E1DC9">
        <w:t>adapt to</w:t>
      </w:r>
      <w:r w:rsidR="00B508F5">
        <w:t xml:space="preserve"> </w:t>
      </w:r>
      <w:r w:rsidR="004D1A34">
        <w:t>changing market conditions and requirements</w:t>
      </w:r>
      <w:r w:rsidR="006E1DC9">
        <w:t>. Po</w:t>
      </w:r>
      <w:r w:rsidR="00BE503C">
        <w:t xml:space="preserve">tential </w:t>
      </w:r>
      <w:r w:rsidR="006E1DC9">
        <w:t>ways the GEMS Act could deliver a</w:t>
      </w:r>
      <w:r w:rsidR="004D1A34" w:rsidRPr="004D1A34">
        <w:t>dditional benefits</w:t>
      </w:r>
      <w:r w:rsidR="006E1DC9">
        <w:t xml:space="preserve"> include</w:t>
      </w:r>
      <w:r w:rsidR="004D1A34" w:rsidRPr="004D1A34">
        <w:t>:</w:t>
      </w:r>
      <w:r w:rsidR="00BD1829">
        <w:t xml:space="preserve"> </w:t>
      </w:r>
    </w:p>
    <w:p w:rsidR="00970E1C" w:rsidRPr="00E34AF0" w:rsidRDefault="00970E1C" w:rsidP="00427A0F">
      <w:pPr>
        <w:pStyle w:val="ListBullet"/>
        <w:ind w:hanging="426"/>
      </w:pPr>
      <w:r w:rsidRPr="004D7F4F">
        <w:rPr>
          <w:b/>
        </w:rPr>
        <w:t>Updating energy efficiency standards for products that are already regulated</w:t>
      </w:r>
      <w:r w:rsidR="00CD54A1" w:rsidRPr="004D7F4F">
        <w:rPr>
          <w:b/>
        </w:rPr>
        <w:t>.</w:t>
      </w:r>
      <w:r w:rsidR="00CD54A1">
        <w:t xml:space="preserve"> </w:t>
      </w:r>
      <w:r w:rsidR="00825694">
        <w:t>A</w:t>
      </w:r>
      <w:r w:rsidR="00CD54A1">
        <w:t xml:space="preserve">ny such updates </w:t>
      </w:r>
      <w:r w:rsidR="00BE503C">
        <w:t xml:space="preserve">would need to </w:t>
      </w:r>
      <w:r w:rsidR="00CD54A1">
        <w:t xml:space="preserve">take into account </w:t>
      </w:r>
      <w:r w:rsidRPr="00E34AF0">
        <w:t xml:space="preserve">technological advances and </w:t>
      </w:r>
      <w:r w:rsidR="000B57ED">
        <w:t xml:space="preserve">international </w:t>
      </w:r>
      <w:r w:rsidR="00BA477A">
        <w:t>best practice</w:t>
      </w:r>
      <w:r w:rsidRPr="00E34AF0">
        <w:t xml:space="preserve">. </w:t>
      </w:r>
    </w:p>
    <w:p w:rsidR="00970E1C" w:rsidRPr="00E34AF0" w:rsidRDefault="00970E1C" w:rsidP="00427A0F">
      <w:pPr>
        <w:pStyle w:val="ListBullet"/>
        <w:ind w:hanging="426"/>
      </w:pPr>
      <w:r w:rsidRPr="004D7F4F">
        <w:rPr>
          <w:b/>
        </w:rPr>
        <w:t>Expanding to new high energy using products that are not currently regulated in Australia.</w:t>
      </w:r>
      <w:r w:rsidRPr="00E34AF0">
        <w:t xml:space="preserve"> </w:t>
      </w:r>
      <w:r w:rsidR="00BE503C">
        <w:t>T</w:t>
      </w:r>
      <w:r w:rsidR="00BE503C" w:rsidRPr="00E34AF0">
        <w:t xml:space="preserve">he </w:t>
      </w:r>
      <w:r w:rsidR="00BE503C">
        <w:t>“</w:t>
      </w:r>
      <w:r w:rsidR="00BE503C" w:rsidRPr="00E34AF0">
        <w:t>low hanging fruit</w:t>
      </w:r>
      <w:r w:rsidR="00BE503C">
        <w:t>”</w:t>
      </w:r>
      <w:r w:rsidR="00BE503C" w:rsidRPr="00E34AF0">
        <w:t xml:space="preserve"> of standardised consumer goods have already been captured under the</w:t>
      </w:r>
      <w:r w:rsidR="00BE503C">
        <w:t xml:space="preserve"> GEMS</w:t>
      </w:r>
      <w:r w:rsidR="00BE503C" w:rsidRPr="00E34AF0">
        <w:t xml:space="preserve"> Act.</w:t>
      </w:r>
      <w:r w:rsidR="00BE503C">
        <w:t xml:space="preserve"> </w:t>
      </w:r>
      <w:r w:rsidR="00EF7FA6">
        <w:t>T</w:t>
      </w:r>
      <w:r w:rsidR="00EF7FA6" w:rsidRPr="00E34AF0">
        <w:t xml:space="preserve">o facilitate </w:t>
      </w:r>
      <w:r w:rsidR="00EF7FA6">
        <w:t>coverage of further high energy</w:t>
      </w:r>
      <w:r w:rsidR="00776D2A">
        <w:t xml:space="preserve"> using</w:t>
      </w:r>
      <w:r w:rsidR="00EF7FA6">
        <w:t xml:space="preserve"> products,</w:t>
      </w:r>
      <w:r w:rsidR="00EF7FA6" w:rsidRPr="00E34AF0" w:rsidDel="00BE503C">
        <w:t xml:space="preserve"> </w:t>
      </w:r>
      <w:r w:rsidR="00EF7FA6">
        <w:t>u</w:t>
      </w:r>
      <w:r w:rsidR="00BE503C">
        <w:t>pdates</w:t>
      </w:r>
      <w:r w:rsidRPr="00E34AF0">
        <w:t xml:space="preserve"> to some registration and compliance arrangements</w:t>
      </w:r>
      <w:r w:rsidR="00EF7FA6">
        <w:t>, to make them more flexible,</w:t>
      </w:r>
      <w:r w:rsidRPr="00E34AF0">
        <w:t xml:space="preserve"> </w:t>
      </w:r>
      <w:r w:rsidR="00BE503C">
        <w:t xml:space="preserve">would be required. </w:t>
      </w:r>
    </w:p>
    <w:p w:rsidR="00B62061" w:rsidRDefault="001B1EC4" w:rsidP="00427A0F">
      <w:pPr>
        <w:pStyle w:val="ListBullet"/>
        <w:ind w:hanging="426"/>
      </w:pPr>
      <w:r>
        <w:rPr>
          <w:b/>
        </w:rPr>
        <w:t>Expediting d</w:t>
      </w:r>
      <w:r w:rsidR="00970E1C" w:rsidRPr="004D7F4F">
        <w:rPr>
          <w:b/>
        </w:rPr>
        <w:t>evelop</w:t>
      </w:r>
      <w:r>
        <w:rPr>
          <w:b/>
        </w:rPr>
        <w:t>ment</w:t>
      </w:r>
      <w:r w:rsidR="00970E1C" w:rsidRPr="004D7F4F">
        <w:rPr>
          <w:b/>
        </w:rPr>
        <w:t xml:space="preserve"> and </w:t>
      </w:r>
      <w:r w:rsidRPr="004D7F4F">
        <w:rPr>
          <w:b/>
        </w:rPr>
        <w:t>implement</w:t>
      </w:r>
      <w:r>
        <w:rPr>
          <w:b/>
        </w:rPr>
        <w:t xml:space="preserve">ation of </w:t>
      </w:r>
      <w:r w:rsidR="00970E1C" w:rsidRPr="004D7F4F">
        <w:rPr>
          <w:b/>
        </w:rPr>
        <w:t>regulations.</w:t>
      </w:r>
      <w:r w:rsidR="00970E1C" w:rsidRPr="00E34AF0">
        <w:t xml:space="preserve"> When considering this improvement</w:t>
      </w:r>
      <w:r w:rsidR="00825694">
        <w:t>,</w:t>
      </w:r>
      <w:r w:rsidR="00970E1C" w:rsidRPr="00E34AF0">
        <w:t xml:space="preserve"> it is extremely important that </w:t>
      </w:r>
      <w:r>
        <w:t>a</w:t>
      </w:r>
      <w:r w:rsidR="00970E1C" w:rsidRPr="00E34AF0">
        <w:t xml:space="preserve"> balance </w:t>
      </w:r>
      <w:r>
        <w:t>be</w:t>
      </w:r>
      <w:r w:rsidR="00970E1C" w:rsidRPr="00E34AF0">
        <w:t xml:space="preserve"> found between expedience and </w:t>
      </w:r>
      <w:r w:rsidR="00EF7FA6">
        <w:t xml:space="preserve">adequate </w:t>
      </w:r>
      <w:r w:rsidR="00970E1C" w:rsidRPr="00E34AF0">
        <w:t>consultation with stakeholders.</w:t>
      </w:r>
    </w:p>
    <w:p w:rsidR="00970E1C" w:rsidRPr="00B62061" w:rsidRDefault="00B62061" w:rsidP="00427A0F">
      <w:pPr>
        <w:pStyle w:val="ListBullet"/>
        <w:ind w:hanging="426"/>
      </w:pPr>
      <w:r w:rsidRPr="004D7F4F">
        <w:rPr>
          <w:b/>
        </w:rPr>
        <w:t>Improving the effec</w:t>
      </w:r>
      <w:r w:rsidR="000B57ED" w:rsidRPr="004D7F4F">
        <w:rPr>
          <w:b/>
        </w:rPr>
        <w:t xml:space="preserve">tiveness of </w:t>
      </w:r>
      <w:r w:rsidR="00BA477A" w:rsidRPr="004D7F4F">
        <w:rPr>
          <w:b/>
        </w:rPr>
        <w:t xml:space="preserve">the </w:t>
      </w:r>
      <w:r w:rsidR="000B57ED" w:rsidRPr="004D7F4F">
        <w:rPr>
          <w:b/>
        </w:rPr>
        <w:t>energy rating label</w:t>
      </w:r>
      <w:r w:rsidR="001B1EC4">
        <w:rPr>
          <w:b/>
        </w:rPr>
        <w:t>.</w:t>
      </w:r>
      <w:r w:rsidR="000B57ED">
        <w:t xml:space="preserve"> </w:t>
      </w:r>
      <w:r w:rsidR="001B1EC4">
        <w:t>T</w:t>
      </w:r>
      <w:r w:rsidR="00EF7FA6">
        <w:t>his would</w:t>
      </w:r>
      <w:r w:rsidR="000B57ED">
        <w:t xml:space="preserve"> enhance customer understanding of the choices available to them</w:t>
      </w:r>
      <w:r w:rsidR="00EF7FA6">
        <w:t xml:space="preserve"> and</w:t>
      </w:r>
      <w:r w:rsidR="000B57ED">
        <w:t>, together with broader education and awareness activities</w:t>
      </w:r>
      <w:r w:rsidR="00EF7FA6">
        <w:t>,</w:t>
      </w:r>
      <w:r w:rsidR="000B57ED">
        <w:t xml:space="preserve"> assist customer</w:t>
      </w:r>
      <w:r w:rsidR="00EF7FA6">
        <w:t>s to better</w:t>
      </w:r>
      <w:r w:rsidR="000B57ED">
        <w:t xml:space="preserve"> engage</w:t>
      </w:r>
      <w:r w:rsidR="00EF7FA6">
        <w:t xml:space="preserve"> </w:t>
      </w:r>
      <w:r w:rsidR="000B57ED">
        <w:t>with energy efficiency</w:t>
      </w:r>
      <w:r w:rsidRPr="00E34AF0">
        <w:t>.</w:t>
      </w:r>
    </w:p>
    <w:p w:rsidR="00FB5EC5" w:rsidRDefault="004D1A34" w:rsidP="003442DC">
      <w:r>
        <w:t xml:space="preserve">When considering improvements to the operation of the </w:t>
      </w:r>
      <w:r w:rsidR="00935EB4">
        <w:t xml:space="preserve">GEMS </w:t>
      </w:r>
      <w:r>
        <w:t xml:space="preserve">Act, </w:t>
      </w:r>
      <w:r w:rsidR="005907E1">
        <w:t>this</w:t>
      </w:r>
      <w:r w:rsidR="0050272B">
        <w:t xml:space="preserve"> report</w:t>
      </w:r>
      <w:r w:rsidR="00B62061">
        <w:t xml:space="preserve"> proposes three implementation time horizons</w:t>
      </w:r>
      <w:r w:rsidR="00FB5EC5">
        <w:t xml:space="preserve">. </w:t>
      </w:r>
    </w:p>
    <w:p w:rsidR="00FB5EC5" w:rsidRPr="00FB5EC5" w:rsidRDefault="00FB5EC5" w:rsidP="004D7F4F">
      <w:pPr>
        <w:pStyle w:val="ListBullet"/>
      </w:pPr>
      <w:r w:rsidRPr="004D7F4F">
        <w:rPr>
          <w:b/>
        </w:rPr>
        <w:t>Horizon 1</w:t>
      </w:r>
      <w:r w:rsidRPr="00FB5EC5">
        <w:t xml:space="preserve"> </w:t>
      </w:r>
      <w:r w:rsidR="00131484">
        <w:t xml:space="preserve">covers </w:t>
      </w:r>
      <w:r w:rsidR="00131484" w:rsidRPr="004D7F4F">
        <w:t>short term improvements that will not require legislative change, to be completed within 12 months.</w:t>
      </w:r>
      <w:r w:rsidR="00131484">
        <w:t xml:space="preserve"> These </w:t>
      </w:r>
      <w:r w:rsidRPr="00FB5EC5">
        <w:t>improvements</w:t>
      </w:r>
      <w:r w:rsidR="00A64A38">
        <w:t xml:space="preserve"> are</w:t>
      </w:r>
      <w:r w:rsidRPr="00FB5EC5">
        <w:t xml:space="preserve"> </w:t>
      </w:r>
      <w:r w:rsidR="007E14AA">
        <w:t>for</w:t>
      </w:r>
      <w:r w:rsidR="00E01A87" w:rsidRPr="00E01A87">
        <w:t xml:space="preserve"> products</w:t>
      </w:r>
      <w:r w:rsidR="009F7CA5">
        <w:t xml:space="preserve"> that are already regulated</w:t>
      </w:r>
      <w:r w:rsidR="00E01A87" w:rsidRPr="00E01A87">
        <w:t>.</w:t>
      </w:r>
    </w:p>
    <w:p w:rsidR="00FB5EC5" w:rsidRPr="004D7F4F" w:rsidRDefault="00FB5EC5" w:rsidP="004D7F4F">
      <w:pPr>
        <w:pStyle w:val="ListBullet"/>
        <w:rPr>
          <w:b/>
        </w:rPr>
      </w:pPr>
      <w:r w:rsidRPr="004D7F4F">
        <w:rPr>
          <w:b/>
        </w:rPr>
        <w:t>Horizon 2</w:t>
      </w:r>
      <w:r w:rsidRPr="00FB5EC5">
        <w:t xml:space="preserve"> </w:t>
      </w:r>
      <w:r w:rsidR="006D0CB8">
        <w:t>covers</w:t>
      </w:r>
      <w:r w:rsidRPr="00FB5EC5">
        <w:t xml:space="preserve"> </w:t>
      </w:r>
      <w:r w:rsidR="00131484" w:rsidRPr="004D7F4F">
        <w:t>m</w:t>
      </w:r>
      <w:r w:rsidR="00A64A38">
        <w:t>edium term improvements</w:t>
      </w:r>
      <w:r w:rsidR="00DC7117">
        <w:t>,</w:t>
      </w:r>
      <w:r w:rsidR="00A64A38">
        <w:t xml:space="preserve"> with those </w:t>
      </w:r>
      <w:r w:rsidR="00131484" w:rsidRPr="004D7F4F">
        <w:t>n</w:t>
      </w:r>
      <w:r w:rsidR="00A64A38">
        <w:t>ot requiring legislative change</w:t>
      </w:r>
      <w:r w:rsidR="00131484" w:rsidRPr="004D7F4F">
        <w:t xml:space="preserve"> to be completed </w:t>
      </w:r>
      <w:r w:rsidR="00442BEF">
        <w:t>within two years</w:t>
      </w:r>
      <w:r w:rsidR="00FB10AC">
        <w:t>,</w:t>
      </w:r>
      <w:r w:rsidR="00A64A38">
        <w:t xml:space="preserve"> and those </w:t>
      </w:r>
      <w:r w:rsidR="00A64A38" w:rsidRPr="004D7F4F">
        <w:t>requir</w:t>
      </w:r>
      <w:r w:rsidR="00A64A38">
        <w:t xml:space="preserve">ing legislative change </w:t>
      </w:r>
      <w:r w:rsidR="00A64A38" w:rsidRPr="004D7F4F">
        <w:t xml:space="preserve">to be completed </w:t>
      </w:r>
      <w:r w:rsidR="00442BEF">
        <w:t>within three years</w:t>
      </w:r>
      <w:r w:rsidR="00A64A38" w:rsidRPr="004D7F4F">
        <w:t>.</w:t>
      </w:r>
      <w:r w:rsidR="00A64A38">
        <w:t xml:space="preserve"> </w:t>
      </w:r>
      <w:r w:rsidR="00EB0E4D">
        <w:t>Most of these</w:t>
      </w:r>
      <w:r w:rsidR="00131484" w:rsidRPr="00A64A38">
        <w:rPr>
          <w:b/>
        </w:rPr>
        <w:t xml:space="preserve"> </w:t>
      </w:r>
      <w:r w:rsidRPr="00FB5EC5">
        <w:t>improvements facilitate expansio</w:t>
      </w:r>
      <w:r w:rsidR="00CA7BA2">
        <w:t>n to a greater range of products</w:t>
      </w:r>
      <w:r w:rsidR="00EB0E4D">
        <w:t>.</w:t>
      </w:r>
    </w:p>
    <w:p w:rsidR="00FB5EC5" w:rsidRPr="004D7F4F" w:rsidRDefault="00FB5EC5">
      <w:pPr>
        <w:pStyle w:val="ListBullet"/>
        <w:ind w:hanging="426"/>
        <w:rPr>
          <w:b/>
        </w:rPr>
      </w:pPr>
      <w:r w:rsidRPr="004D7F4F">
        <w:rPr>
          <w:b/>
        </w:rPr>
        <w:t>Horizon 3</w:t>
      </w:r>
      <w:r w:rsidR="00FB10AC">
        <w:rPr>
          <w:b/>
        </w:rPr>
        <w:t xml:space="preserve"> </w:t>
      </w:r>
      <w:r w:rsidR="00FB10AC">
        <w:t>covers</w:t>
      </w:r>
      <w:r w:rsidR="00FB10AC" w:rsidRPr="00FB10AC">
        <w:rPr>
          <w:b/>
        </w:rPr>
        <w:t xml:space="preserve"> </w:t>
      </w:r>
      <w:r w:rsidR="00FB10AC" w:rsidRPr="004D7F4F">
        <w:t>long term improvements, which will require further consideration. These</w:t>
      </w:r>
      <w:r w:rsidR="00FB10AC">
        <w:rPr>
          <w:b/>
        </w:rPr>
        <w:t xml:space="preserve"> </w:t>
      </w:r>
      <w:r w:rsidR="00DA6335">
        <w:t xml:space="preserve">improvements </w:t>
      </w:r>
      <w:r w:rsidR="006D0CB8">
        <w:t xml:space="preserve">facilitate better coordination </w:t>
      </w:r>
      <w:r w:rsidR="006D0CB8" w:rsidRPr="006D0CB8">
        <w:t>with other policies, programs and legislation</w:t>
      </w:r>
      <w:r w:rsidR="006D0CB8">
        <w:t xml:space="preserve">. This horizon recognises that there </w:t>
      </w:r>
      <w:r w:rsidRPr="00FB5EC5">
        <w:t xml:space="preserve">is a limit to what the </w:t>
      </w:r>
      <w:r w:rsidR="00935EB4">
        <w:t xml:space="preserve">GEMS </w:t>
      </w:r>
      <w:r w:rsidRPr="00FB5EC5">
        <w:t>Act can achieve</w:t>
      </w:r>
      <w:r w:rsidR="006D0CB8">
        <w:t xml:space="preserve"> on its own, and that there are </w:t>
      </w:r>
      <w:r w:rsidR="00400FDA">
        <w:t xml:space="preserve">opportunities to move to </w:t>
      </w:r>
      <w:r w:rsidRPr="00FB5EC5">
        <w:t xml:space="preserve">a more holistic approach to regulating </w:t>
      </w:r>
      <w:r w:rsidR="000B57ED">
        <w:t>energy efficiency</w:t>
      </w:r>
      <w:r w:rsidR="006D0CB8">
        <w:t xml:space="preserve">. This is </w:t>
      </w:r>
      <w:r w:rsidR="00CA7BA2">
        <w:t xml:space="preserve">crucial to maximising energy efficiency gains in the long term. </w:t>
      </w:r>
    </w:p>
    <w:p w:rsidR="00E16DFF" w:rsidRPr="00C743A5" w:rsidRDefault="00FB5EC5" w:rsidP="003442DC">
      <w:pPr>
        <w:rPr>
          <w:b/>
          <w:bCs/>
        </w:rPr>
      </w:pPr>
      <w:r>
        <w:t>These improvements are reflecte</w:t>
      </w:r>
      <w:r w:rsidR="0080141D">
        <w:t xml:space="preserve">d in the recommendations </w:t>
      </w:r>
      <w:r>
        <w:t xml:space="preserve">and discussed in detail in </w:t>
      </w:r>
      <w:r w:rsidRPr="00C743A5">
        <w:rPr>
          <w:b/>
          <w:bCs/>
        </w:rPr>
        <w:t>Section 5</w:t>
      </w:r>
      <w:r w:rsidR="003F664A" w:rsidRPr="00C743A5">
        <w:rPr>
          <w:b/>
          <w:bCs/>
        </w:rPr>
        <w:t xml:space="preserve"> </w:t>
      </w:r>
      <w:r w:rsidR="003F664A" w:rsidRPr="003F664A">
        <w:t>of this report.</w:t>
      </w:r>
    </w:p>
    <w:p w:rsidR="00E16DFF" w:rsidRDefault="00E16DFF">
      <w:pPr>
        <w:spacing w:after="0" w:line="240" w:lineRule="auto"/>
        <w:rPr>
          <w:b/>
        </w:rPr>
      </w:pPr>
      <w:r>
        <w:rPr>
          <w:b/>
        </w:rPr>
        <w:br w:type="page"/>
      </w:r>
    </w:p>
    <w:p w:rsidR="003442DC" w:rsidRPr="00227EBA" w:rsidRDefault="003442DC" w:rsidP="003442DC">
      <w:pPr>
        <w:pStyle w:val="Heading1"/>
      </w:pPr>
      <w:bookmarkStart w:id="7" w:name="_Toc18660956"/>
      <w:r w:rsidRPr="00227EBA">
        <w:lastRenderedPageBreak/>
        <w:t>R</w:t>
      </w:r>
      <w:r w:rsidR="0061636F">
        <w:t>ecommendations</w:t>
      </w:r>
      <w:bookmarkEnd w:id="7"/>
    </w:p>
    <w:p w:rsidR="003442DC" w:rsidRPr="004C0DEC" w:rsidRDefault="003442DC" w:rsidP="00083FFC">
      <w:pPr>
        <w:pStyle w:val="Heading2"/>
        <w:rPr>
          <w:lang w:val="en"/>
        </w:rPr>
      </w:pPr>
      <w:bookmarkStart w:id="8" w:name="_Toc18660957"/>
      <w:r w:rsidRPr="004C0DEC">
        <w:rPr>
          <w:lang w:val="en"/>
        </w:rPr>
        <w:t xml:space="preserve">Implementation and </w:t>
      </w:r>
      <w:r w:rsidRPr="00083FFC">
        <w:t>transition</w:t>
      </w:r>
      <w:bookmarkEnd w:id="8"/>
    </w:p>
    <w:p w:rsidR="003442DC" w:rsidRDefault="003442DC" w:rsidP="003442DC">
      <w:r w:rsidRPr="007B0B22">
        <w:t>The recommendations are grouped under</w:t>
      </w:r>
      <w:r w:rsidR="007E14AA">
        <w:t xml:space="preserve"> </w:t>
      </w:r>
      <w:r w:rsidR="005907E1">
        <w:t xml:space="preserve">the </w:t>
      </w:r>
      <w:r w:rsidRPr="007B0B22">
        <w:t>three implementation time horizons.</w:t>
      </w:r>
      <w:r w:rsidR="009B7ED2">
        <w:t xml:space="preserve"> A</w:t>
      </w:r>
      <w:r w:rsidR="005907E1">
        <w:t> </w:t>
      </w:r>
      <w:r w:rsidRPr="007B0B22">
        <w:t>phased approach to implementation</w:t>
      </w:r>
      <w:r w:rsidR="009B7ED2">
        <w:t xml:space="preserve"> will </w:t>
      </w:r>
      <w:r w:rsidRPr="007B0B22">
        <w:t xml:space="preserve">ensure that more straightforward improvements </w:t>
      </w:r>
      <w:r w:rsidR="009B7ED2">
        <w:t>are</w:t>
      </w:r>
      <w:r w:rsidRPr="007B0B22">
        <w:t xml:space="preserve"> realised as soon as possible. The actual implementation dates of all changes will be affected by the</w:t>
      </w:r>
      <w:r w:rsidR="009B7ED2">
        <w:t>ir</w:t>
      </w:r>
      <w:r w:rsidRPr="007B0B22">
        <w:t xml:space="preserve"> complexity and</w:t>
      </w:r>
      <w:r w:rsidR="00C81DC6">
        <w:t xml:space="preserve"> potential</w:t>
      </w:r>
      <w:r w:rsidRPr="007B0B22">
        <w:t xml:space="preserve"> impact.</w:t>
      </w:r>
      <w:r>
        <w:t xml:space="preserve"> More detail on specific actions are provided in </w:t>
      </w:r>
      <w:r w:rsidRPr="00C743A5">
        <w:rPr>
          <w:b/>
          <w:bCs/>
        </w:rPr>
        <w:t>Section 5</w:t>
      </w:r>
      <w:r>
        <w:t xml:space="preserve"> of this report. </w:t>
      </w:r>
    </w:p>
    <w:p w:rsidR="003442DC" w:rsidRDefault="003442DC" w:rsidP="003442DC">
      <w:r>
        <w:t xml:space="preserve">The transition to an amended GEMS Act will require appropriate consultation with all affected stakeholders. </w:t>
      </w:r>
    </w:p>
    <w:p w:rsidR="003442DC" w:rsidRPr="004C0DEC" w:rsidRDefault="00012148" w:rsidP="003442DC">
      <w:r>
        <w:t xml:space="preserve">Additionally, </w:t>
      </w:r>
      <w:r w:rsidR="008E322D">
        <w:t>s</w:t>
      </w:r>
      <w:r w:rsidRPr="007E39A7">
        <w:t xml:space="preserve">ection 176 of the </w:t>
      </w:r>
      <w:r>
        <w:t xml:space="preserve">GEMS </w:t>
      </w:r>
      <w:r w:rsidRPr="007E39A7">
        <w:t xml:space="preserve">Act specifies </w:t>
      </w:r>
      <w:r>
        <w:t>that the</w:t>
      </w:r>
      <w:r w:rsidR="003442DC" w:rsidRPr="004C0DEC">
        <w:t xml:space="preserve"> next </w:t>
      </w:r>
      <w:r w:rsidRPr="007E39A7">
        <w:t>review of the operation of the Act be commenced as soon as possibl</w:t>
      </w:r>
      <w:r>
        <w:t>e</w:t>
      </w:r>
      <w:r w:rsidR="003442DC" w:rsidRPr="004C0DEC">
        <w:t xml:space="preserve"> after October 2027</w:t>
      </w:r>
      <w:r w:rsidR="003442DC">
        <w:t>.</w:t>
      </w:r>
    </w:p>
    <w:p w:rsidR="003442DC" w:rsidRPr="00083FFC" w:rsidRDefault="003442DC" w:rsidP="00083FFC">
      <w:pPr>
        <w:pStyle w:val="Heading3"/>
      </w:pPr>
      <w:bookmarkStart w:id="9" w:name="_Toc18660958"/>
      <w:r w:rsidRPr="0030226E">
        <w:t>Horizon 1</w:t>
      </w:r>
      <w:bookmarkEnd w:id="9"/>
    </w:p>
    <w:p w:rsidR="003442DC" w:rsidRPr="0030226E" w:rsidRDefault="003442DC" w:rsidP="004C0DEC">
      <w:pPr>
        <w:spacing w:after="240"/>
        <w:rPr>
          <w:b/>
        </w:rPr>
      </w:pPr>
      <w:r w:rsidRPr="0030226E">
        <w:rPr>
          <w:b/>
        </w:rPr>
        <w:t>Short term improvements will not require legislative change, to be completed within 12 months</w:t>
      </w:r>
    </w:p>
    <w:p w:rsidR="003442DC" w:rsidRPr="004E675B" w:rsidRDefault="003442DC" w:rsidP="00083FFC">
      <w:pPr>
        <w:pStyle w:val="Heading4"/>
        <w:rPr>
          <w:lang w:val="en"/>
        </w:rPr>
      </w:pPr>
      <w:r w:rsidRPr="004E675B">
        <w:rPr>
          <w:lang w:val="en"/>
        </w:rPr>
        <w:t>Strategic direction</w:t>
      </w:r>
    </w:p>
    <w:p w:rsidR="003442DC" w:rsidRPr="004E675B" w:rsidRDefault="003442DC" w:rsidP="00427A0F">
      <w:pPr>
        <w:pStyle w:val="ListNumber"/>
        <w:ind w:left="426" w:hanging="426"/>
        <w:rPr>
          <w:sz w:val="22"/>
        </w:rPr>
      </w:pPr>
      <w:r>
        <w:rPr>
          <w:sz w:val="22"/>
        </w:rPr>
        <w:t>2.</w:t>
      </w:r>
      <w:r w:rsidR="009B7ED2">
        <w:rPr>
          <w:rStyle w:val="FootnoteReference"/>
          <w:sz w:val="22"/>
        </w:rPr>
        <w:footnoteReference w:id="2"/>
      </w:r>
      <w:r>
        <w:rPr>
          <w:sz w:val="22"/>
        </w:rPr>
        <w:t xml:space="preserve"> </w:t>
      </w:r>
      <w:r w:rsidR="00427A0F">
        <w:rPr>
          <w:sz w:val="22"/>
        </w:rPr>
        <w:tab/>
      </w:r>
      <w:r w:rsidRPr="004E675B">
        <w:rPr>
          <w:sz w:val="22"/>
        </w:rPr>
        <w:t xml:space="preserve">The Commonwealth Government continue to include appliance and equipment energy efficiency as part of any future broader suite of energy policies. </w:t>
      </w:r>
    </w:p>
    <w:p w:rsidR="003442DC" w:rsidRPr="004E675B" w:rsidRDefault="003442DC" w:rsidP="00083FFC">
      <w:pPr>
        <w:pStyle w:val="Heading4"/>
        <w:rPr>
          <w:lang w:val="en"/>
        </w:rPr>
      </w:pPr>
      <w:r w:rsidRPr="004E675B">
        <w:rPr>
          <w:lang w:val="en"/>
        </w:rPr>
        <w:t>Determinations</w:t>
      </w:r>
    </w:p>
    <w:p w:rsidR="003442DC" w:rsidRPr="004E675B" w:rsidRDefault="003442DC" w:rsidP="00427A0F">
      <w:pPr>
        <w:pStyle w:val="ListNumber"/>
        <w:ind w:left="426" w:hanging="426"/>
        <w:rPr>
          <w:sz w:val="22"/>
        </w:rPr>
      </w:pPr>
      <w:r>
        <w:rPr>
          <w:sz w:val="22"/>
        </w:rPr>
        <w:t xml:space="preserve">3. </w:t>
      </w:r>
      <w:r w:rsidR="00427A0F">
        <w:rPr>
          <w:sz w:val="22"/>
        </w:rPr>
        <w:tab/>
      </w:r>
      <w:r w:rsidRPr="004E675B">
        <w:rPr>
          <w:sz w:val="22"/>
        </w:rPr>
        <w:t>The Commonwealth Government maintain the current flexibility within the regulatory framework to provide an appropriate balance between certainty and the flexibility to allow for product innovation.</w:t>
      </w:r>
    </w:p>
    <w:p w:rsidR="003442DC" w:rsidRDefault="003442DC" w:rsidP="00427A0F">
      <w:pPr>
        <w:pStyle w:val="ListNumber"/>
        <w:ind w:left="426" w:hanging="426"/>
        <w:rPr>
          <w:sz w:val="22"/>
        </w:rPr>
      </w:pPr>
      <w:r>
        <w:rPr>
          <w:sz w:val="22"/>
        </w:rPr>
        <w:t xml:space="preserve">4. </w:t>
      </w:r>
      <w:r w:rsidR="00427A0F">
        <w:rPr>
          <w:sz w:val="22"/>
        </w:rPr>
        <w:tab/>
      </w:r>
      <w:r w:rsidRPr="004E675B">
        <w:rPr>
          <w:sz w:val="22"/>
        </w:rPr>
        <w:t>The Commonwealth Government request</w:t>
      </w:r>
      <w:r w:rsidR="00DC7117">
        <w:rPr>
          <w:sz w:val="22"/>
        </w:rPr>
        <w:t xml:space="preserve"> that</w:t>
      </w:r>
      <w:r w:rsidRPr="004E675B">
        <w:rPr>
          <w:sz w:val="22"/>
        </w:rPr>
        <w:t xml:space="preserve"> the COAG Energy Council consult with industry</w:t>
      </w:r>
      <w:r w:rsidR="00DC7117">
        <w:rPr>
          <w:sz w:val="22"/>
        </w:rPr>
        <w:t>,</w:t>
      </w:r>
      <w:r w:rsidRPr="004E675B">
        <w:rPr>
          <w:sz w:val="22"/>
        </w:rPr>
        <w:t xml:space="preserve"> </w:t>
      </w:r>
      <w:r w:rsidR="00DC7117" w:rsidRPr="004E675B">
        <w:rPr>
          <w:sz w:val="22"/>
        </w:rPr>
        <w:t>on a product</w:t>
      </w:r>
      <w:r w:rsidR="00DC7117">
        <w:rPr>
          <w:sz w:val="22"/>
        </w:rPr>
        <w:t>-</w:t>
      </w:r>
      <w:r w:rsidR="00DC7117" w:rsidRPr="004E675B">
        <w:rPr>
          <w:sz w:val="22"/>
        </w:rPr>
        <w:t>by</w:t>
      </w:r>
      <w:r w:rsidR="00DC7117">
        <w:rPr>
          <w:sz w:val="22"/>
        </w:rPr>
        <w:t>-</w:t>
      </w:r>
      <w:r w:rsidR="00DC7117" w:rsidRPr="004E675B">
        <w:rPr>
          <w:sz w:val="22"/>
        </w:rPr>
        <w:t>product</w:t>
      </w:r>
      <w:r w:rsidR="002E36C0">
        <w:rPr>
          <w:sz w:val="22"/>
        </w:rPr>
        <w:t xml:space="preserve"> basis</w:t>
      </w:r>
      <w:r w:rsidR="00DC7117">
        <w:rPr>
          <w:sz w:val="22"/>
        </w:rPr>
        <w:t>,</w:t>
      </w:r>
      <w:r w:rsidR="00DC7117" w:rsidRPr="004E675B">
        <w:rPr>
          <w:sz w:val="22"/>
        </w:rPr>
        <w:t xml:space="preserve"> </w:t>
      </w:r>
      <w:r w:rsidRPr="004E675B">
        <w:rPr>
          <w:sz w:val="22"/>
        </w:rPr>
        <w:t>before</w:t>
      </w:r>
      <w:r w:rsidR="002E36C0">
        <w:rPr>
          <w:sz w:val="22"/>
        </w:rPr>
        <w:t xml:space="preserve"> specifying</w:t>
      </w:r>
      <w:r w:rsidRPr="004E675B">
        <w:rPr>
          <w:sz w:val="22"/>
        </w:rPr>
        <w:t xml:space="preserve"> </w:t>
      </w:r>
      <w:r w:rsidR="002E36C0">
        <w:rPr>
          <w:sz w:val="22"/>
        </w:rPr>
        <w:t>how</w:t>
      </w:r>
      <w:r w:rsidRPr="004E675B">
        <w:rPr>
          <w:sz w:val="22"/>
        </w:rPr>
        <w:t xml:space="preserve"> GEMS </w:t>
      </w:r>
      <w:r w:rsidR="002E36C0">
        <w:rPr>
          <w:sz w:val="22"/>
        </w:rPr>
        <w:t>determinatio</w:t>
      </w:r>
      <w:r w:rsidRPr="004E675B">
        <w:rPr>
          <w:sz w:val="22"/>
        </w:rPr>
        <w:t>n</w:t>
      </w:r>
      <w:r w:rsidR="002E36C0">
        <w:rPr>
          <w:sz w:val="22"/>
        </w:rPr>
        <w:t>s will be developed</w:t>
      </w:r>
      <w:r w:rsidRPr="004E675B">
        <w:rPr>
          <w:sz w:val="22"/>
        </w:rPr>
        <w:t>.</w:t>
      </w:r>
    </w:p>
    <w:p w:rsidR="00CF2CD3" w:rsidRPr="004E675B" w:rsidRDefault="00CF2CD3" w:rsidP="00427A0F">
      <w:pPr>
        <w:pStyle w:val="ListNumber"/>
        <w:ind w:left="426" w:hanging="426"/>
        <w:rPr>
          <w:sz w:val="22"/>
        </w:rPr>
      </w:pPr>
      <w:r>
        <w:rPr>
          <w:sz w:val="22"/>
        </w:rPr>
        <w:t>6.</w:t>
      </w:r>
      <w:r>
        <w:rPr>
          <w:sz w:val="22"/>
        </w:rPr>
        <w:tab/>
      </w:r>
      <w:r w:rsidRPr="00CF2CD3">
        <w:rPr>
          <w:sz w:val="22"/>
        </w:rPr>
        <w:t>The Commonwealth Government work closely with Standards Australia on how the GEMS determinations and Standards Australia processes could be mutually improved.</w:t>
      </w:r>
    </w:p>
    <w:p w:rsidR="003442DC" w:rsidRPr="004E675B" w:rsidRDefault="003442DC" w:rsidP="00427A0F">
      <w:pPr>
        <w:pStyle w:val="ListNumber"/>
        <w:ind w:left="426" w:hanging="426"/>
        <w:rPr>
          <w:sz w:val="22"/>
        </w:rPr>
      </w:pPr>
      <w:r>
        <w:rPr>
          <w:sz w:val="22"/>
        </w:rPr>
        <w:t xml:space="preserve">7. </w:t>
      </w:r>
      <w:r w:rsidR="00427A0F">
        <w:rPr>
          <w:sz w:val="22"/>
        </w:rPr>
        <w:tab/>
      </w:r>
      <w:r w:rsidRPr="004E675B">
        <w:rPr>
          <w:sz w:val="22"/>
        </w:rPr>
        <w:t xml:space="preserve">The Commonwealth Government identify </w:t>
      </w:r>
      <w:r w:rsidR="00174486">
        <w:rPr>
          <w:sz w:val="22"/>
        </w:rPr>
        <w:t xml:space="preserve">additional </w:t>
      </w:r>
      <w:r w:rsidRPr="004E675B">
        <w:rPr>
          <w:sz w:val="22"/>
        </w:rPr>
        <w:t>opportunities to streamline the process for developing GEMS determinations, while maintaining genuine consultation.</w:t>
      </w:r>
    </w:p>
    <w:p w:rsidR="003442DC" w:rsidRPr="004E675B" w:rsidRDefault="003442DC" w:rsidP="00427A0F">
      <w:pPr>
        <w:pStyle w:val="ListNumber"/>
        <w:ind w:left="426" w:hanging="426"/>
        <w:rPr>
          <w:sz w:val="22"/>
        </w:rPr>
      </w:pPr>
      <w:r>
        <w:rPr>
          <w:sz w:val="22"/>
        </w:rPr>
        <w:t xml:space="preserve">8. </w:t>
      </w:r>
      <w:r w:rsidR="00427A0F">
        <w:rPr>
          <w:sz w:val="22"/>
        </w:rPr>
        <w:tab/>
      </w:r>
      <w:r w:rsidRPr="004E675B">
        <w:rPr>
          <w:sz w:val="22"/>
        </w:rPr>
        <w:t xml:space="preserve">The Commonwealth Government consult with affected stakeholders before </w:t>
      </w:r>
      <w:r w:rsidR="002E36C0">
        <w:rPr>
          <w:sz w:val="22"/>
        </w:rPr>
        <w:t>specifying</w:t>
      </w:r>
      <w:r w:rsidR="002E36C0" w:rsidRPr="004E675B">
        <w:rPr>
          <w:sz w:val="22"/>
        </w:rPr>
        <w:t xml:space="preserve"> </w:t>
      </w:r>
      <w:r w:rsidRPr="004E675B">
        <w:rPr>
          <w:sz w:val="22"/>
        </w:rPr>
        <w:t>the implementation date of GEMS determinations.</w:t>
      </w:r>
    </w:p>
    <w:p w:rsidR="003442DC" w:rsidRPr="004E675B" w:rsidRDefault="003442DC" w:rsidP="00427A0F">
      <w:pPr>
        <w:pStyle w:val="ListNumber"/>
        <w:ind w:left="426" w:hanging="426"/>
        <w:rPr>
          <w:sz w:val="22"/>
        </w:rPr>
      </w:pPr>
      <w:r>
        <w:rPr>
          <w:sz w:val="22"/>
        </w:rPr>
        <w:t xml:space="preserve">9. </w:t>
      </w:r>
      <w:r w:rsidR="00427A0F">
        <w:rPr>
          <w:sz w:val="22"/>
        </w:rPr>
        <w:tab/>
      </w:r>
      <w:r w:rsidRPr="004E675B">
        <w:rPr>
          <w:sz w:val="22"/>
        </w:rPr>
        <w:t>The Commonwealth Government request</w:t>
      </w:r>
      <w:r w:rsidR="002E36C0">
        <w:rPr>
          <w:sz w:val="22"/>
        </w:rPr>
        <w:t xml:space="preserve"> that</w:t>
      </w:r>
      <w:r w:rsidRPr="004E675B">
        <w:rPr>
          <w:sz w:val="22"/>
        </w:rPr>
        <w:t xml:space="preserve"> the COAG Energy Council maintain</w:t>
      </w:r>
      <w:r w:rsidR="00FE7D1F">
        <w:rPr>
          <w:sz w:val="22"/>
        </w:rPr>
        <w:t>, and publish,</w:t>
      </w:r>
      <w:r w:rsidRPr="004E675B">
        <w:rPr>
          <w:sz w:val="22"/>
        </w:rPr>
        <w:t xml:space="preserve"> a work plan to review and renew GEMS determinations as appropriate.</w:t>
      </w:r>
    </w:p>
    <w:p w:rsidR="00013DD6" w:rsidRDefault="00013DD6">
      <w:pPr>
        <w:spacing w:after="0" w:line="240" w:lineRule="auto"/>
        <w:rPr>
          <w:i/>
          <w:sz w:val="22"/>
          <w:lang w:val="en"/>
        </w:rPr>
      </w:pPr>
      <w:r>
        <w:rPr>
          <w:i/>
          <w:sz w:val="22"/>
          <w:lang w:val="en"/>
        </w:rPr>
        <w:br w:type="page"/>
      </w:r>
    </w:p>
    <w:p w:rsidR="003442DC" w:rsidRPr="004E675B" w:rsidRDefault="003442DC" w:rsidP="00083FFC">
      <w:pPr>
        <w:pStyle w:val="Heading4"/>
        <w:rPr>
          <w:lang w:val="en"/>
        </w:rPr>
      </w:pPr>
      <w:r w:rsidRPr="004E675B">
        <w:rPr>
          <w:lang w:val="en"/>
        </w:rPr>
        <w:lastRenderedPageBreak/>
        <w:t>Registration</w:t>
      </w:r>
    </w:p>
    <w:p w:rsidR="003442DC" w:rsidRPr="004E675B" w:rsidRDefault="003442DC" w:rsidP="00427A0F">
      <w:pPr>
        <w:pStyle w:val="ListNumber"/>
        <w:ind w:left="426" w:hanging="426"/>
        <w:rPr>
          <w:sz w:val="22"/>
        </w:rPr>
      </w:pPr>
      <w:r>
        <w:rPr>
          <w:sz w:val="22"/>
        </w:rPr>
        <w:t>1</w:t>
      </w:r>
      <w:r w:rsidR="00DD7742">
        <w:rPr>
          <w:sz w:val="22"/>
        </w:rPr>
        <w:t>2</w:t>
      </w:r>
      <w:r>
        <w:rPr>
          <w:sz w:val="22"/>
        </w:rPr>
        <w:t xml:space="preserve">. </w:t>
      </w:r>
      <w:r w:rsidR="00427A0F">
        <w:rPr>
          <w:sz w:val="22"/>
        </w:rPr>
        <w:tab/>
      </w:r>
      <w:r w:rsidRPr="004E675B">
        <w:rPr>
          <w:sz w:val="22"/>
        </w:rPr>
        <w:t xml:space="preserve">The GEMS Regulator engage with industry stakeholders to improve the usability of unique identifiers for industry and GEMS compliance officers. </w:t>
      </w:r>
    </w:p>
    <w:p w:rsidR="003442DC" w:rsidRDefault="003442DC" w:rsidP="00427A0F">
      <w:pPr>
        <w:pStyle w:val="ListNumber"/>
        <w:ind w:left="426" w:hanging="426"/>
        <w:rPr>
          <w:sz w:val="22"/>
        </w:rPr>
      </w:pPr>
      <w:r>
        <w:rPr>
          <w:sz w:val="22"/>
        </w:rPr>
        <w:t>1</w:t>
      </w:r>
      <w:r w:rsidR="00555359">
        <w:rPr>
          <w:sz w:val="22"/>
        </w:rPr>
        <w:t>7</w:t>
      </w:r>
      <w:r>
        <w:rPr>
          <w:sz w:val="22"/>
        </w:rPr>
        <w:t xml:space="preserve">. </w:t>
      </w:r>
      <w:r w:rsidR="00427A0F">
        <w:rPr>
          <w:sz w:val="22"/>
        </w:rPr>
        <w:tab/>
      </w:r>
      <w:r w:rsidRPr="004E675B">
        <w:rPr>
          <w:sz w:val="22"/>
        </w:rPr>
        <w:t>The GEMS Regulator</w:t>
      </w:r>
      <w:r w:rsidR="002E36C0">
        <w:rPr>
          <w:sz w:val="22"/>
        </w:rPr>
        <w:t xml:space="preserve"> </w:t>
      </w:r>
      <w:r w:rsidRPr="004E675B">
        <w:rPr>
          <w:sz w:val="22"/>
        </w:rPr>
        <w:t xml:space="preserve">identify opportunities to </w:t>
      </w:r>
      <w:r w:rsidR="00174486">
        <w:rPr>
          <w:sz w:val="22"/>
        </w:rPr>
        <w:t xml:space="preserve">further </w:t>
      </w:r>
      <w:r w:rsidRPr="004E675B">
        <w:rPr>
          <w:sz w:val="22"/>
        </w:rPr>
        <w:t>streamline</w:t>
      </w:r>
      <w:r w:rsidR="002E36C0">
        <w:rPr>
          <w:sz w:val="22"/>
        </w:rPr>
        <w:t>,</w:t>
      </w:r>
      <w:r w:rsidRPr="004E675B">
        <w:rPr>
          <w:sz w:val="22"/>
        </w:rPr>
        <w:t xml:space="preserve"> and co-ordinate</w:t>
      </w:r>
      <w:r w:rsidR="002E36C0">
        <w:rPr>
          <w:sz w:val="22"/>
        </w:rPr>
        <w:t>,</w:t>
      </w:r>
      <w:r w:rsidRPr="004E675B">
        <w:rPr>
          <w:sz w:val="22"/>
        </w:rPr>
        <w:t xml:space="preserve"> registration processes to ease the regulatory burden on industry.</w:t>
      </w:r>
    </w:p>
    <w:p w:rsidR="003442DC" w:rsidRPr="004E675B" w:rsidRDefault="003442DC" w:rsidP="00083FFC">
      <w:pPr>
        <w:pStyle w:val="Heading4"/>
        <w:rPr>
          <w:lang w:val="en"/>
        </w:rPr>
      </w:pPr>
      <w:r w:rsidRPr="004E675B">
        <w:rPr>
          <w:lang w:val="en"/>
        </w:rPr>
        <w:t>Compliance</w:t>
      </w:r>
    </w:p>
    <w:p w:rsidR="003442DC" w:rsidRPr="004E675B" w:rsidRDefault="003442DC" w:rsidP="00427A0F">
      <w:pPr>
        <w:pStyle w:val="ListNumber"/>
        <w:ind w:left="426" w:hanging="426"/>
        <w:rPr>
          <w:sz w:val="22"/>
        </w:rPr>
      </w:pPr>
      <w:r>
        <w:rPr>
          <w:sz w:val="22"/>
        </w:rPr>
        <w:t>1</w:t>
      </w:r>
      <w:r w:rsidR="00555359">
        <w:rPr>
          <w:sz w:val="22"/>
        </w:rPr>
        <w:t>9</w:t>
      </w:r>
      <w:r>
        <w:rPr>
          <w:sz w:val="22"/>
        </w:rPr>
        <w:t xml:space="preserve">. </w:t>
      </w:r>
      <w:r w:rsidR="00427A0F">
        <w:rPr>
          <w:sz w:val="22"/>
        </w:rPr>
        <w:tab/>
      </w:r>
      <w:r w:rsidRPr="004E675B">
        <w:rPr>
          <w:sz w:val="22"/>
        </w:rPr>
        <w:t xml:space="preserve">The GEMS Regulator continue to identify </w:t>
      </w:r>
      <w:r w:rsidR="005258D0">
        <w:rPr>
          <w:sz w:val="22"/>
        </w:rPr>
        <w:t>further</w:t>
      </w:r>
      <w:r w:rsidR="00174486">
        <w:rPr>
          <w:sz w:val="22"/>
        </w:rPr>
        <w:t xml:space="preserve"> </w:t>
      </w:r>
      <w:r w:rsidRPr="004E675B">
        <w:rPr>
          <w:sz w:val="22"/>
        </w:rPr>
        <w:t>efficiencies and opportunities to allocate additional resources to GEMS compliance functions.</w:t>
      </w:r>
    </w:p>
    <w:p w:rsidR="003442DC" w:rsidRPr="004E675B" w:rsidRDefault="00555359" w:rsidP="00427A0F">
      <w:pPr>
        <w:pStyle w:val="ListNumber"/>
        <w:ind w:left="426" w:hanging="426"/>
        <w:rPr>
          <w:sz w:val="22"/>
        </w:rPr>
      </w:pPr>
      <w:r>
        <w:rPr>
          <w:sz w:val="22"/>
        </w:rPr>
        <w:t>21</w:t>
      </w:r>
      <w:r w:rsidR="003442DC">
        <w:rPr>
          <w:sz w:val="22"/>
        </w:rPr>
        <w:t xml:space="preserve">. </w:t>
      </w:r>
      <w:r w:rsidR="00531D08">
        <w:rPr>
          <w:sz w:val="22"/>
        </w:rPr>
        <w:tab/>
      </w:r>
      <w:r w:rsidR="003442DC" w:rsidRPr="004E675B">
        <w:rPr>
          <w:sz w:val="22"/>
        </w:rPr>
        <w:t xml:space="preserve">The GEMS Regulator continue to explore </w:t>
      </w:r>
      <w:r w:rsidR="00174486">
        <w:rPr>
          <w:sz w:val="22"/>
        </w:rPr>
        <w:t xml:space="preserve">new </w:t>
      </w:r>
      <w:r w:rsidR="003442DC" w:rsidRPr="004E675B">
        <w:rPr>
          <w:sz w:val="22"/>
        </w:rPr>
        <w:t>ways to target compliance activities</w:t>
      </w:r>
      <w:r w:rsidR="00C13403">
        <w:rPr>
          <w:sz w:val="22"/>
        </w:rPr>
        <w:t>,</w:t>
      </w:r>
      <w:r w:rsidR="003442DC" w:rsidRPr="004E675B">
        <w:rPr>
          <w:sz w:val="22"/>
        </w:rPr>
        <w:t xml:space="preserve"> including through collaboration with industry stakeholders.</w:t>
      </w:r>
    </w:p>
    <w:p w:rsidR="003442DC" w:rsidRPr="004E675B" w:rsidRDefault="003442DC" w:rsidP="00083FFC">
      <w:pPr>
        <w:pStyle w:val="Heading4"/>
        <w:rPr>
          <w:lang w:val="en"/>
        </w:rPr>
      </w:pPr>
      <w:r w:rsidRPr="004E675B">
        <w:rPr>
          <w:lang w:val="en"/>
        </w:rPr>
        <w:t>Managing the GEMS Program</w:t>
      </w:r>
    </w:p>
    <w:p w:rsidR="003442DC" w:rsidRPr="004E675B" w:rsidRDefault="003442DC" w:rsidP="00427A0F">
      <w:pPr>
        <w:pStyle w:val="ListNumber"/>
        <w:ind w:left="426" w:hanging="426"/>
        <w:rPr>
          <w:sz w:val="22"/>
        </w:rPr>
      </w:pPr>
      <w:r>
        <w:rPr>
          <w:sz w:val="22"/>
        </w:rPr>
        <w:t>2</w:t>
      </w:r>
      <w:r w:rsidR="00555359">
        <w:rPr>
          <w:sz w:val="22"/>
        </w:rPr>
        <w:t>4</w:t>
      </w:r>
      <w:r>
        <w:rPr>
          <w:sz w:val="22"/>
        </w:rPr>
        <w:t xml:space="preserve">. </w:t>
      </w:r>
      <w:r w:rsidR="00427A0F">
        <w:rPr>
          <w:sz w:val="22"/>
        </w:rPr>
        <w:tab/>
      </w:r>
      <w:r w:rsidRPr="004E675B">
        <w:rPr>
          <w:sz w:val="22"/>
        </w:rPr>
        <w:t>The Commonwealth Government request</w:t>
      </w:r>
      <w:r w:rsidR="0035657E">
        <w:rPr>
          <w:sz w:val="22"/>
        </w:rPr>
        <w:t xml:space="preserve"> that</w:t>
      </w:r>
      <w:r w:rsidRPr="004E675B">
        <w:rPr>
          <w:sz w:val="22"/>
        </w:rPr>
        <w:t xml:space="preserve"> the COAG Energy Council consider</w:t>
      </w:r>
      <w:r w:rsidR="0035657E">
        <w:rPr>
          <w:sz w:val="22"/>
        </w:rPr>
        <w:t>s</w:t>
      </w:r>
      <w:r w:rsidRPr="004E675B">
        <w:rPr>
          <w:sz w:val="22"/>
        </w:rPr>
        <w:t xml:space="preserve"> voluntary and mandatory measures when developing new or enhanced regulations.</w:t>
      </w:r>
    </w:p>
    <w:p w:rsidR="003442DC" w:rsidRPr="004E675B" w:rsidRDefault="003442DC" w:rsidP="00427A0F">
      <w:pPr>
        <w:pStyle w:val="ListNumber"/>
        <w:ind w:left="426" w:hanging="426"/>
        <w:rPr>
          <w:sz w:val="22"/>
        </w:rPr>
      </w:pPr>
      <w:r>
        <w:rPr>
          <w:sz w:val="22"/>
        </w:rPr>
        <w:t>2</w:t>
      </w:r>
      <w:r w:rsidR="00555359">
        <w:rPr>
          <w:sz w:val="22"/>
        </w:rPr>
        <w:t>7</w:t>
      </w:r>
      <w:r>
        <w:rPr>
          <w:sz w:val="22"/>
        </w:rPr>
        <w:t xml:space="preserve">. </w:t>
      </w:r>
      <w:r w:rsidR="00427A0F">
        <w:rPr>
          <w:sz w:val="22"/>
        </w:rPr>
        <w:tab/>
      </w:r>
      <w:r w:rsidRPr="004E675B">
        <w:rPr>
          <w:sz w:val="22"/>
        </w:rPr>
        <w:t xml:space="preserve">The Commonwealth Government commission an independent assessment of the benefits delivered by current GEMS regulations. </w:t>
      </w:r>
    </w:p>
    <w:p w:rsidR="003442DC" w:rsidRPr="004E675B" w:rsidRDefault="003442DC" w:rsidP="00427A0F">
      <w:pPr>
        <w:pStyle w:val="ListNumber"/>
        <w:ind w:left="426" w:hanging="426"/>
        <w:rPr>
          <w:sz w:val="22"/>
        </w:rPr>
      </w:pPr>
      <w:r>
        <w:rPr>
          <w:sz w:val="22"/>
        </w:rPr>
        <w:t>2</w:t>
      </w:r>
      <w:r w:rsidR="00555359">
        <w:rPr>
          <w:sz w:val="22"/>
        </w:rPr>
        <w:t>8</w:t>
      </w:r>
      <w:r>
        <w:rPr>
          <w:sz w:val="22"/>
        </w:rPr>
        <w:t xml:space="preserve">. </w:t>
      </w:r>
      <w:r w:rsidR="00531D08">
        <w:rPr>
          <w:sz w:val="22"/>
        </w:rPr>
        <w:tab/>
      </w:r>
      <w:r w:rsidRPr="004E675B">
        <w:rPr>
          <w:sz w:val="22"/>
        </w:rPr>
        <w:t xml:space="preserve">The Commonwealth Government commission an independent audit of the methodology and model used in the calculation of the cost and benefits of equipment and appliance energy efficiency regulations. </w:t>
      </w:r>
    </w:p>
    <w:p w:rsidR="003442DC" w:rsidRPr="004E675B" w:rsidRDefault="003442DC" w:rsidP="00083FFC">
      <w:pPr>
        <w:pStyle w:val="Heading4"/>
        <w:rPr>
          <w:lang w:val="en"/>
        </w:rPr>
      </w:pPr>
      <w:r w:rsidRPr="004E675B">
        <w:rPr>
          <w:lang w:val="en"/>
        </w:rPr>
        <w:t xml:space="preserve">Consumer </w:t>
      </w:r>
      <w:r w:rsidR="008C238F">
        <w:rPr>
          <w:lang w:val="en"/>
        </w:rPr>
        <w:t>b</w:t>
      </w:r>
      <w:r w:rsidRPr="004E675B">
        <w:rPr>
          <w:lang w:val="en"/>
        </w:rPr>
        <w:t>ehaviour</w:t>
      </w:r>
    </w:p>
    <w:p w:rsidR="003442DC" w:rsidRPr="004E675B" w:rsidRDefault="003442DC" w:rsidP="00427A0F">
      <w:pPr>
        <w:pStyle w:val="ListNumber"/>
        <w:ind w:left="426" w:hanging="426"/>
        <w:rPr>
          <w:sz w:val="22"/>
        </w:rPr>
      </w:pPr>
      <w:r>
        <w:rPr>
          <w:sz w:val="22"/>
        </w:rPr>
        <w:t>2</w:t>
      </w:r>
      <w:r w:rsidR="00555359">
        <w:rPr>
          <w:sz w:val="22"/>
        </w:rPr>
        <w:t>9</w:t>
      </w:r>
      <w:r>
        <w:rPr>
          <w:sz w:val="22"/>
        </w:rPr>
        <w:t xml:space="preserve">. </w:t>
      </w:r>
      <w:r w:rsidR="00427A0F">
        <w:rPr>
          <w:sz w:val="22"/>
        </w:rPr>
        <w:tab/>
      </w:r>
      <w:r w:rsidRPr="004E675B">
        <w:rPr>
          <w:sz w:val="22"/>
        </w:rPr>
        <w:t>The Commonwealth Government request</w:t>
      </w:r>
      <w:r w:rsidR="0035657E">
        <w:rPr>
          <w:sz w:val="22"/>
        </w:rPr>
        <w:t xml:space="preserve"> that</w:t>
      </w:r>
      <w:r w:rsidRPr="004E675B">
        <w:rPr>
          <w:sz w:val="22"/>
        </w:rPr>
        <w:t xml:space="preserve"> the COAG Energy Council continue</w:t>
      </w:r>
      <w:r w:rsidR="0035657E">
        <w:rPr>
          <w:sz w:val="22"/>
        </w:rPr>
        <w:t>s</w:t>
      </w:r>
      <w:r w:rsidRPr="004E675B">
        <w:rPr>
          <w:sz w:val="22"/>
        </w:rPr>
        <w:t xml:space="preserve"> to examine the costs and benefits associated with mandatory disclosure of energy rating information online and in print advertising</w:t>
      </w:r>
      <w:r w:rsidR="00837E55">
        <w:rPr>
          <w:sz w:val="22"/>
        </w:rPr>
        <w:t xml:space="preserve"> </w:t>
      </w:r>
      <w:r w:rsidR="00837E55" w:rsidRPr="008C2391">
        <w:rPr>
          <w:sz w:val="22"/>
        </w:rPr>
        <w:t>(also applies to Horizon 2)</w:t>
      </w:r>
      <w:r w:rsidRPr="004E675B">
        <w:rPr>
          <w:sz w:val="22"/>
        </w:rPr>
        <w:t>.</w:t>
      </w:r>
    </w:p>
    <w:p w:rsidR="003442DC" w:rsidRPr="004E675B" w:rsidRDefault="00555359" w:rsidP="00427A0F">
      <w:pPr>
        <w:pStyle w:val="ListNumber"/>
        <w:ind w:left="426" w:hanging="426"/>
        <w:rPr>
          <w:sz w:val="22"/>
        </w:rPr>
      </w:pPr>
      <w:r>
        <w:rPr>
          <w:sz w:val="22"/>
        </w:rPr>
        <w:t>30</w:t>
      </w:r>
      <w:r w:rsidR="003442DC">
        <w:rPr>
          <w:sz w:val="22"/>
        </w:rPr>
        <w:t xml:space="preserve">. </w:t>
      </w:r>
      <w:r w:rsidR="00427A0F">
        <w:rPr>
          <w:sz w:val="22"/>
        </w:rPr>
        <w:tab/>
      </w:r>
      <w:r w:rsidR="003442DC" w:rsidRPr="004E675B">
        <w:rPr>
          <w:sz w:val="22"/>
        </w:rPr>
        <w:t>The Commonwealth Government request</w:t>
      </w:r>
      <w:r w:rsidR="0035657E">
        <w:rPr>
          <w:sz w:val="22"/>
        </w:rPr>
        <w:t xml:space="preserve"> that</w:t>
      </w:r>
      <w:r w:rsidR="003442DC" w:rsidRPr="004E675B">
        <w:rPr>
          <w:sz w:val="22"/>
        </w:rPr>
        <w:t xml:space="preserve"> the COAG Energy Council pursue</w:t>
      </w:r>
      <w:r w:rsidR="0035657E">
        <w:rPr>
          <w:sz w:val="22"/>
        </w:rPr>
        <w:t>s</w:t>
      </w:r>
      <w:r w:rsidR="003442DC" w:rsidRPr="004E675B">
        <w:rPr>
          <w:sz w:val="22"/>
        </w:rPr>
        <w:t xml:space="preserve"> potential enhancements to the ERL.</w:t>
      </w:r>
    </w:p>
    <w:p w:rsidR="003442DC" w:rsidRDefault="00555359" w:rsidP="00427A0F">
      <w:pPr>
        <w:pStyle w:val="ListNumber"/>
        <w:ind w:left="426" w:hanging="426"/>
        <w:rPr>
          <w:sz w:val="22"/>
        </w:rPr>
      </w:pPr>
      <w:r>
        <w:rPr>
          <w:sz w:val="22"/>
        </w:rPr>
        <w:t>31</w:t>
      </w:r>
      <w:r w:rsidR="003442DC">
        <w:rPr>
          <w:sz w:val="22"/>
        </w:rPr>
        <w:t xml:space="preserve">. </w:t>
      </w:r>
      <w:r w:rsidR="00427A0F">
        <w:rPr>
          <w:sz w:val="22"/>
        </w:rPr>
        <w:tab/>
      </w:r>
      <w:r w:rsidR="003442DC" w:rsidRPr="004E675B">
        <w:rPr>
          <w:sz w:val="22"/>
        </w:rPr>
        <w:t>The Commonwealth Government request</w:t>
      </w:r>
      <w:r w:rsidR="00034A03">
        <w:rPr>
          <w:sz w:val="22"/>
        </w:rPr>
        <w:t xml:space="preserve"> </w:t>
      </w:r>
      <w:r w:rsidR="0035657E">
        <w:rPr>
          <w:sz w:val="22"/>
        </w:rPr>
        <w:t>that</w:t>
      </w:r>
      <w:r w:rsidR="003442DC" w:rsidRPr="004E675B">
        <w:rPr>
          <w:sz w:val="22"/>
        </w:rPr>
        <w:t xml:space="preserve"> the COAG Energy Council continue</w:t>
      </w:r>
      <w:r w:rsidR="0035657E">
        <w:rPr>
          <w:sz w:val="22"/>
        </w:rPr>
        <w:t>s</w:t>
      </w:r>
      <w:r w:rsidR="003442DC" w:rsidRPr="004E675B">
        <w:rPr>
          <w:sz w:val="22"/>
        </w:rPr>
        <w:t xml:space="preserve"> to engage in education, energy rating labelling and other efforts to promote energy efficient behaviours</w:t>
      </w:r>
      <w:r w:rsidR="00837E55">
        <w:rPr>
          <w:sz w:val="22"/>
        </w:rPr>
        <w:t xml:space="preserve"> </w:t>
      </w:r>
      <w:r w:rsidR="00837E55" w:rsidRPr="008C2391">
        <w:rPr>
          <w:sz w:val="22"/>
        </w:rPr>
        <w:t>(also applies to Horizon 2)</w:t>
      </w:r>
      <w:r w:rsidR="003442DC" w:rsidRPr="004E675B">
        <w:rPr>
          <w:sz w:val="22"/>
        </w:rPr>
        <w:t>.</w:t>
      </w:r>
    </w:p>
    <w:p w:rsidR="003442DC" w:rsidRPr="004E675B" w:rsidRDefault="003442DC" w:rsidP="00083FFC">
      <w:pPr>
        <w:pStyle w:val="Heading4"/>
        <w:rPr>
          <w:lang w:val="en"/>
        </w:rPr>
      </w:pPr>
      <w:r w:rsidRPr="004E675B">
        <w:rPr>
          <w:lang w:val="en"/>
        </w:rPr>
        <w:t xml:space="preserve">Ensuring the </w:t>
      </w:r>
      <w:r>
        <w:rPr>
          <w:lang w:val="en"/>
        </w:rPr>
        <w:t xml:space="preserve">GEMS </w:t>
      </w:r>
      <w:r w:rsidRPr="004E675B">
        <w:rPr>
          <w:lang w:val="en"/>
        </w:rPr>
        <w:t>Act remains relevant</w:t>
      </w:r>
    </w:p>
    <w:p w:rsidR="003442DC" w:rsidRPr="004E675B" w:rsidRDefault="003442DC" w:rsidP="00427A0F">
      <w:pPr>
        <w:pStyle w:val="ListNumber"/>
        <w:ind w:left="426" w:hanging="426"/>
        <w:rPr>
          <w:sz w:val="22"/>
        </w:rPr>
      </w:pPr>
      <w:r>
        <w:rPr>
          <w:sz w:val="22"/>
        </w:rPr>
        <w:t>3</w:t>
      </w:r>
      <w:r w:rsidR="00555359">
        <w:rPr>
          <w:sz w:val="22"/>
        </w:rPr>
        <w:t>2</w:t>
      </w:r>
      <w:r>
        <w:rPr>
          <w:sz w:val="22"/>
        </w:rPr>
        <w:t xml:space="preserve">. </w:t>
      </w:r>
      <w:r w:rsidR="00427A0F">
        <w:rPr>
          <w:sz w:val="22"/>
        </w:rPr>
        <w:tab/>
      </w:r>
      <w:r w:rsidRPr="004E675B">
        <w:rPr>
          <w:sz w:val="22"/>
        </w:rPr>
        <w:t>The Commonwealth Government request</w:t>
      </w:r>
      <w:r w:rsidR="0035657E">
        <w:rPr>
          <w:sz w:val="22"/>
        </w:rPr>
        <w:t xml:space="preserve"> that</w:t>
      </w:r>
      <w:r w:rsidRPr="004E675B">
        <w:rPr>
          <w:sz w:val="22"/>
        </w:rPr>
        <w:t xml:space="preserve"> the COAG Energy Council continues to update its work plan annually to ensure policy development remains focused on regulations that will deliver the greatest energy reductions. </w:t>
      </w:r>
      <w:r w:rsidR="007F56D9" w:rsidRPr="007F56D9">
        <w:rPr>
          <w:sz w:val="22"/>
        </w:rPr>
        <w:t>The work plan should be published annually</w:t>
      </w:r>
      <w:r w:rsidR="007F56D9">
        <w:rPr>
          <w:sz w:val="22"/>
        </w:rPr>
        <w:t>.</w:t>
      </w:r>
    </w:p>
    <w:p w:rsidR="003442DC" w:rsidRPr="004E675B" w:rsidRDefault="003442DC" w:rsidP="00427A0F">
      <w:pPr>
        <w:pStyle w:val="ListNumber"/>
        <w:ind w:left="426" w:hanging="426"/>
        <w:rPr>
          <w:sz w:val="22"/>
        </w:rPr>
      </w:pPr>
      <w:r>
        <w:rPr>
          <w:sz w:val="22"/>
        </w:rPr>
        <w:t>3</w:t>
      </w:r>
      <w:r w:rsidR="00555359">
        <w:rPr>
          <w:sz w:val="22"/>
        </w:rPr>
        <w:t>5</w:t>
      </w:r>
      <w:r>
        <w:rPr>
          <w:sz w:val="22"/>
        </w:rPr>
        <w:t xml:space="preserve">. </w:t>
      </w:r>
      <w:r w:rsidR="00427A0F">
        <w:rPr>
          <w:sz w:val="22"/>
        </w:rPr>
        <w:tab/>
      </w:r>
      <w:r w:rsidRPr="004E675B">
        <w:rPr>
          <w:sz w:val="22"/>
        </w:rPr>
        <w:t>The GEMS Regulator determine how GEMS regulations apply to new multifunctional products on a case</w:t>
      </w:r>
      <w:r w:rsidR="0035657E">
        <w:rPr>
          <w:sz w:val="22"/>
        </w:rPr>
        <w:t>-</w:t>
      </w:r>
      <w:r w:rsidRPr="004E675B">
        <w:rPr>
          <w:sz w:val="22"/>
        </w:rPr>
        <w:t>by</w:t>
      </w:r>
      <w:r w:rsidR="0035657E">
        <w:rPr>
          <w:sz w:val="22"/>
        </w:rPr>
        <w:t>-</w:t>
      </w:r>
      <w:r w:rsidRPr="004E675B">
        <w:rPr>
          <w:sz w:val="22"/>
        </w:rPr>
        <w:t>case basis and in consultation with the affected party.</w:t>
      </w:r>
    </w:p>
    <w:p w:rsidR="00531D08" w:rsidRDefault="00531D08">
      <w:pPr>
        <w:spacing w:after="0" w:line="240" w:lineRule="auto"/>
        <w:rPr>
          <w:i/>
          <w:sz w:val="22"/>
          <w:lang w:val="en"/>
        </w:rPr>
      </w:pPr>
      <w:r>
        <w:rPr>
          <w:i/>
          <w:sz w:val="22"/>
          <w:lang w:val="en"/>
        </w:rPr>
        <w:br w:type="page"/>
      </w:r>
    </w:p>
    <w:p w:rsidR="003442DC" w:rsidRPr="004E675B" w:rsidRDefault="003442DC" w:rsidP="00083FFC">
      <w:pPr>
        <w:pStyle w:val="Heading4"/>
        <w:rPr>
          <w:lang w:val="en"/>
        </w:rPr>
      </w:pPr>
      <w:r w:rsidRPr="004E675B">
        <w:rPr>
          <w:lang w:val="en"/>
        </w:rPr>
        <w:lastRenderedPageBreak/>
        <w:t>Pushing the boundaries of the</w:t>
      </w:r>
      <w:r>
        <w:rPr>
          <w:lang w:val="en"/>
        </w:rPr>
        <w:t xml:space="preserve"> GEMS</w:t>
      </w:r>
      <w:r w:rsidRPr="004E675B">
        <w:rPr>
          <w:lang w:val="en"/>
        </w:rPr>
        <w:t xml:space="preserve"> Act</w:t>
      </w:r>
    </w:p>
    <w:p w:rsidR="003442DC" w:rsidRPr="004E675B" w:rsidRDefault="003442DC" w:rsidP="00427A0F">
      <w:pPr>
        <w:pStyle w:val="ListNumber"/>
        <w:ind w:left="426" w:hanging="426"/>
        <w:rPr>
          <w:sz w:val="22"/>
        </w:rPr>
      </w:pPr>
      <w:r>
        <w:rPr>
          <w:sz w:val="22"/>
        </w:rPr>
        <w:t>3</w:t>
      </w:r>
      <w:r w:rsidR="00555359">
        <w:rPr>
          <w:sz w:val="22"/>
        </w:rPr>
        <w:t>6</w:t>
      </w:r>
      <w:r>
        <w:rPr>
          <w:sz w:val="22"/>
        </w:rPr>
        <w:t xml:space="preserve">. </w:t>
      </w:r>
      <w:r w:rsidR="00427A0F">
        <w:rPr>
          <w:sz w:val="22"/>
        </w:rPr>
        <w:tab/>
      </w:r>
      <w:r w:rsidRPr="004E675B">
        <w:rPr>
          <w:sz w:val="22"/>
        </w:rPr>
        <w:t>The Commonwealth Government request</w:t>
      </w:r>
      <w:r w:rsidR="0035657E">
        <w:rPr>
          <w:sz w:val="22"/>
        </w:rPr>
        <w:t xml:space="preserve"> that</w:t>
      </w:r>
      <w:r w:rsidRPr="004E675B">
        <w:rPr>
          <w:sz w:val="22"/>
        </w:rPr>
        <w:t xml:space="preserve"> the COAG Energy Council monitor</w:t>
      </w:r>
      <w:r w:rsidR="0035657E">
        <w:rPr>
          <w:sz w:val="22"/>
        </w:rPr>
        <w:t>s</w:t>
      </w:r>
      <w:r w:rsidRPr="004E675B">
        <w:rPr>
          <w:sz w:val="22"/>
        </w:rPr>
        <w:t xml:space="preserve"> the emerg</w:t>
      </w:r>
      <w:r w:rsidR="008C238F">
        <w:rPr>
          <w:sz w:val="22"/>
        </w:rPr>
        <w:t>ing trends in relation to multi</w:t>
      </w:r>
      <w:r w:rsidRPr="004E675B">
        <w:rPr>
          <w:sz w:val="22"/>
        </w:rPr>
        <w:t>functional products and ensure</w:t>
      </w:r>
      <w:r w:rsidR="0035657E">
        <w:rPr>
          <w:sz w:val="22"/>
        </w:rPr>
        <w:t>s</w:t>
      </w:r>
      <w:r w:rsidRPr="004E675B">
        <w:rPr>
          <w:sz w:val="22"/>
        </w:rPr>
        <w:t xml:space="preserve"> they are adequately reflected in the E3 prioritisation plan.</w:t>
      </w:r>
    </w:p>
    <w:p w:rsidR="003442DC" w:rsidRDefault="003442DC" w:rsidP="00427A0F">
      <w:pPr>
        <w:pStyle w:val="ListNumber"/>
        <w:ind w:left="426" w:hanging="426"/>
        <w:rPr>
          <w:sz w:val="22"/>
        </w:rPr>
      </w:pPr>
      <w:r>
        <w:rPr>
          <w:sz w:val="22"/>
        </w:rPr>
        <w:t>3</w:t>
      </w:r>
      <w:r w:rsidR="00555359">
        <w:rPr>
          <w:sz w:val="22"/>
        </w:rPr>
        <w:t>7</w:t>
      </w:r>
      <w:r>
        <w:rPr>
          <w:sz w:val="22"/>
        </w:rPr>
        <w:t xml:space="preserve">. </w:t>
      </w:r>
      <w:r w:rsidR="00427A0F">
        <w:rPr>
          <w:sz w:val="22"/>
        </w:rPr>
        <w:tab/>
      </w:r>
      <w:r w:rsidRPr="004E675B">
        <w:rPr>
          <w:sz w:val="22"/>
        </w:rPr>
        <w:t>The Commonwealth Government request</w:t>
      </w:r>
      <w:r w:rsidR="0035657E">
        <w:rPr>
          <w:sz w:val="22"/>
        </w:rPr>
        <w:t xml:space="preserve"> that</w:t>
      </w:r>
      <w:r w:rsidRPr="004E675B">
        <w:rPr>
          <w:sz w:val="22"/>
        </w:rPr>
        <w:t xml:space="preserve"> the COAG Energy Council address the challenges associated with regulated products inside other products on a case</w:t>
      </w:r>
      <w:r w:rsidR="0035657E">
        <w:rPr>
          <w:sz w:val="22"/>
        </w:rPr>
        <w:noBreakHyphen/>
      </w:r>
      <w:r w:rsidRPr="004E675B">
        <w:rPr>
          <w:sz w:val="22"/>
        </w:rPr>
        <w:t>by</w:t>
      </w:r>
      <w:r w:rsidR="0035657E">
        <w:rPr>
          <w:sz w:val="22"/>
        </w:rPr>
        <w:noBreakHyphen/>
      </w:r>
      <w:r w:rsidRPr="004E675B">
        <w:rPr>
          <w:sz w:val="22"/>
        </w:rPr>
        <w:t xml:space="preserve">case basis. </w:t>
      </w:r>
    </w:p>
    <w:p w:rsidR="003442DC" w:rsidRPr="0030226E" w:rsidRDefault="003442DC" w:rsidP="00083FFC">
      <w:pPr>
        <w:pStyle w:val="Heading3"/>
      </w:pPr>
      <w:bookmarkStart w:id="10" w:name="_Toc18660959"/>
      <w:r w:rsidRPr="0030226E">
        <w:t>Horizon 2</w:t>
      </w:r>
      <w:bookmarkEnd w:id="10"/>
    </w:p>
    <w:p w:rsidR="003442DC" w:rsidRPr="00C743A5" w:rsidRDefault="003442DC" w:rsidP="00C743A5">
      <w:pPr>
        <w:rPr>
          <w:b/>
          <w:bCs/>
        </w:rPr>
      </w:pPr>
      <w:r w:rsidRPr="00C743A5">
        <w:rPr>
          <w:b/>
          <w:bCs/>
        </w:rPr>
        <w:t>Medium term improvements not requiring legislative change, to be completed</w:t>
      </w:r>
      <w:r w:rsidR="00B47841" w:rsidRPr="00C743A5">
        <w:rPr>
          <w:b/>
          <w:bCs/>
        </w:rPr>
        <w:t xml:space="preserve"> within two years</w:t>
      </w:r>
      <w:r w:rsidRPr="00C743A5">
        <w:rPr>
          <w:b/>
          <w:bCs/>
        </w:rPr>
        <w:t xml:space="preserve"> </w:t>
      </w:r>
    </w:p>
    <w:p w:rsidR="003442DC" w:rsidRPr="004E675B" w:rsidRDefault="003442DC" w:rsidP="00083FFC">
      <w:pPr>
        <w:pStyle w:val="Heading4"/>
        <w:rPr>
          <w:lang w:val="en"/>
        </w:rPr>
      </w:pPr>
      <w:r w:rsidRPr="004E675B">
        <w:rPr>
          <w:lang w:val="en"/>
        </w:rPr>
        <w:t>Strategic direction</w:t>
      </w:r>
    </w:p>
    <w:p w:rsidR="003442DC" w:rsidRPr="004E675B" w:rsidRDefault="003442DC" w:rsidP="00EA0BA9">
      <w:pPr>
        <w:pStyle w:val="ListNumber"/>
        <w:ind w:left="426" w:hanging="426"/>
        <w:rPr>
          <w:sz w:val="22"/>
        </w:rPr>
      </w:pPr>
      <w:r>
        <w:rPr>
          <w:sz w:val="22"/>
        </w:rPr>
        <w:t xml:space="preserve">1. </w:t>
      </w:r>
      <w:r w:rsidR="00246184">
        <w:rPr>
          <w:sz w:val="22"/>
        </w:rPr>
        <w:tab/>
      </w:r>
      <w:r w:rsidRPr="004E675B">
        <w:rPr>
          <w:sz w:val="22"/>
        </w:rPr>
        <w:t>The Commonwealth Government develop a long term strategic plan for energy efficiency</w:t>
      </w:r>
      <w:r w:rsidR="00246184">
        <w:rPr>
          <w:sz w:val="22"/>
        </w:rPr>
        <w:t xml:space="preserve"> with clear objectives</w:t>
      </w:r>
      <w:r w:rsidRPr="004E675B">
        <w:rPr>
          <w:sz w:val="22"/>
        </w:rPr>
        <w:t xml:space="preserve">. </w:t>
      </w:r>
      <w:r w:rsidRPr="00A5116B">
        <w:rPr>
          <w:sz w:val="22"/>
        </w:rPr>
        <w:t>This strategic plan should include the comple</w:t>
      </w:r>
      <w:r w:rsidRPr="000E683C">
        <w:rPr>
          <w:sz w:val="22"/>
        </w:rPr>
        <w:t xml:space="preserve">mentary programs listed </w:t>
      </w:r>
      <w:r w:rsidR="008C238F">
        <w:rPr>
          <w:sz w:val="22"/>
        </w:rPr>
        <w:t xml:space="preserve">in </w:t>
      </w:r>
      <w:r w:rsidRPr="004E6CDC">
        <w:rPr>
          <w:b/>
          <w:sz w:val="22"/>
        </w:rPr>
        <w:t>Section 3.4</w:t>
      </w:r>
      <w:r>
        <w:rPr>
          <w:sz w:val="22"/>
        </w:rPr>
        <w:t>.</w:t>
      </w:r>
    </w:p>
    <w:p w:rsidR="003442DC" w:rsidRPr="004E675B" w:rsidRDefault="003442DC" w:rsidP="00083FFC">
      <w:pPr>
        <w:pStyle w:val="Heading4"/>
        <w:rPr>
          <w:lang w:val="en"/>
        </w:rPr>
      </w:pPr>
      <w:r w:rsidRPr="004E675B">
        <w:rPr>
          <w:lang w:val="en"/>
        </w:rPr>
        <w:t>Registration</w:t>
      </w:r>
    </w:p>
    <w:p w:rsidR="003442DC" w:rsidRDefault="003442DC" w:rsidP="002E6E99">
      <w:pPr>
        <w:pStyle w:val="ListNumber"/>
        <w:ind w:left="426" w:hanging="426"/>
        <w:rPr>
          <w:sz w:val="22"/>
        </w:rPr>
      </w:pPr>
      <w:r>
        <w:rPr>
          <w:sz w:val="22"/>
        </w:rPr>
        <w:t xml:space="preserve">10. </w:t>
      </w:r>
      <w:r w:rsidR="001B218A">
        <w:rPr>
          <w:sz w:val="22"/>
        </w:rPr>
        <w:tab/>
      </w:r>
      <w:r w:rsidRPr="004E675B">
        <w:rPr>
          <w:sz w:val="22"/>
        </w:rPr>
        <w:t>The Commonwealth Government examine the appropriate use of supplier level registration.</w:t>
      </w:r>
    </w:p>
    <w:p w:rsidR="001B218A" w:rsidRPr="004E675B" w:rsidRDefault="001B218A" w:rsidP="002E6E99">
      <w:pPr>
        <w:pStyle w:val="ListNumber"/>
        <w:ind w:left="426" w:hanging="426"/>
        <w:rPr>
          <w:sz w:val="22"/>
        </w:rPr>
      </w:pPr>
      <w:r>
        <w:rPr>
          <w:sz w:val="22"/>
        </w:rPr>
        <w:t>11.</w:t>
      </w:r>
      <w:r>
        <w:rPr>
          <w:sz w:val="22"/>
        </w:rPr>
        <w:tab/>
      </w:r>
      <w:r w:rsidR="0070422F" w:rsidRPr="0070422F">
        <w:rPr>
          <w:sz w:val="22"/>
        </w:rPr>
        <w:t>The Commonwealth Government request that the COAG Energy Council give more consideration to the use of existing flexibility arrangements when contemplating new or revised regulations for particular products.</w:t>
      </w:r>
    </w:p>
    <w:p w:rsidR="00F12250" w:rsidRDefault="003442DC" w:rsidP="0042578E">
      <w:pPr>
        <w:pStyle w:val="ListNumber"/>
        <w:ind w:left="426" w:hanging="426"/>
        <w:rPr>
          <w:sz w:val="22"/>
        </w:rPr>
      </w:pPr>
      <w:r>
        <w:rPr>
          <w:sz w:val="22"/>
        </w:rPr>
        <w:t>1</w:t>
      </w:r>
      <w:r w:rsidR="000530D2">
        <w:rPr>
          <w:sz w:val="22"/>
        </w:rPr>
        <w:t>4</w:t>
      </w:r>
      <w:r>
        <w:rPr>
          <w:sz w:val="22"/>
        </w:rPr>
        <w:t xml:space="preserve">. </w:t>
      </w:r>
      <w:r w:rsidR="00F12250">
        <w:rPr>
          <w:sz w:val="22"/>
        </w:rPr>
        <w:tab/>
      </w:r>
      <w:r w:rsidR="00F12250" w:rsidRPr="00F12250">
        <w:rPr>
          <w:sz w:val="22"/>
        </w:rPr>
        <w:t>The Commonwealth Government establish a working group of officials to consult with industry on how the ozone and GEMS legislation could be made more complementary.</w:t>
      </w:r>
    </w:p>
    <w:p w:rsidR="003442DC" w:rsidRPr="004E675B" w:rsidRDefault="00F12250" w:rsidP="00555359">
      <w:pPr>
        <w:pStyle w:val="ListNumber"/>
        <w:ind w:left="426" w:hanging="426"/>
        <w:rPr>
          <w:sz w:val="22"/>
        </w:rPr>
      </w:pPr>
      <w:r>
        <w:rPr>
          <w:sz w:val="22"/>
        </w:rPr>
        <w:t>15.</w:t>
      </w:r>
      <w:r>
        <w:rPr>
          <w:sz w:val="22"/>
        </w:rPr>
        <w:tab/>
      </w:r>
      <w:r w:rsidR="003442DC" w:rsidRPr="004E675B">
        <w:rPr>
          <w:sz w:val="22"/>
        </w:rPr>
        <w:t xml:space="preserve">The Commonwealth Government examine the joint registration arrangements with the </w:t>
      </w:r>
      <w:r w:rsidR="00E52556" w:rsidRPr="004E675B">
        <w:rPr>
          <w:sz w:val="22"/>
        </w:rPr>
        <w:t xml:space="preserve">Equipment Electrical Safety System </w:t>
      </w:r>
      <w:r w:rsidR="003442DC" w:rsidRPr="004E675B">
        <w:rPr>
          <w:sz w:val="22"/>
        </w:rPr>
        <w:t xml:space="preserve">for other products covered under the </w:t>
      </w:r>
      <w:r w:rsidR="003442DC">
        <w:rPr>
          <w:sz w:val="22"/>
        </w:rPr>
        <w:t xml:space="preserve">GEMS </w:t>
      </w:r>
      <w:r w:rsidR="003442DC" w:rsidRPr="004E675B">
        <w:rPr>
          <w:sz w:val="22"/>
        </w:rPr>
        <w:t>Act.</w:t>
      </w:r>
    </w:p>
    <w:p w:rsidR="003442DC" w:rsidRPr="004E675B" w:rsidRDefault="003442DC" w:rsidP="00083FFC">
      <w:pPr>
        <w:pStyle w:val="Heading4"/>
        <w:rPr>
          <w:lang w:val="en"/>
        </w:rPr>
      </w:pPr>
      <w:r w:rsidRPr="004E675B">
        <w:rPr>
          <w:lang w:val="en"/>
        </w:rPr>
        <w:t>Compliance</w:t>
      </w:r>
    </w:p>
    <w:p w:rsidR="003442DC" w:rsidRPr="004E675B" w:rsidRDefault="0042578E" w:rsidP="00EA0BA9">
      <w:pPr>
        <w:pStyle w:val="ListNumber"/>
        <w:ind w:left="426" w:hanging="426"/>
        <w:rPr>
          <w:sz w:val="22"/>
        </w:rPr>
      </w:pPr>
      <w:r>
        <w:rPr>
          <w:sz w:val="22"/>
        </w:rPr>
        <w:t>20</w:t>
      </w:r>
      <w:r w:rsidR="003442DC">
        <w:rPr>
          <w:sz w:val="22"/>
        </w:rPr>
        <w:t xml:space="preserve">. </w:t>
      </w:r>
      <w:r w:rsidR="00550104">
        <w:rPr>
          <w:sz w:val="22"/>
        </w:rPr>
        <w:tab/>
      </w:r>
      <w:r w:rsidR="003442DC" w:rsidRPr="004E675B">
        <w:rPr>
          <w:sz w:val="22"/>
        </w:rPr>
        <w:t>The Commonwealth Government allocate additional resources to further strengthen GEMS compliance activities.</w:t>
      </w:r>
    </w:p>
    <w:p w:rsidR="003442DC" w:rsidRPr="004E675B" w:rsidRDefault="003442DC" w:rsidP="00083FFC">
      <w:pPr>
        <w:pStyle w:val="Heading4"/>
        <w:rPr>
          <w:lang w:val="en"/>
        </w:rPr>
      </w:pPr>
      <w:r w:rsidRPr="004E675B">
        <w:rPr>
          <w:lang w:val="en"/>
        </w:rPr>
        <w:t xml:space="preserve">Ensuring the </w:t>
      </w:r>
      <w:r>
        <w:rPr>
          <w:lang w:val="en"/>
        </w:rPr>
        <w:t xml:space="preserve">GEMS </w:t>
      </w:r>
      <w:r w:rsidRPr="004E675B">
        <w:rPr>
          <w:lang w:val="en"/>
        </w:rPr>
        <w:t>Act remains relevant</w:t>
      </w:r>
    </w:p>
    <w:p w:rsidR="003442DC" w:rsidRPr="004E675B" w:rsidRDefault="003442DC" w:rsidP="002E6E99">
      <w:pPr>
        <w:pStyle w:val="ListNumber"/>
        <w:ind w:left="426" w:hanging="426"/>
        <w:rPr>
          <w:sz w:val="22"/>
        </w:rPr>
      </w:pPr>
      <w:r>
        <w:rPr>
          <w:sz w:val="22"/>
        </w:rPr>
        <w:t>3</w:t>
      </w:r>
      <w:r w:rsidR="0042578E">
        <w:rPr>
          <w:sz w:val="22"/>
        </w:rPr>
        <w:t>3</w:t>
      </w:r>
      <w:r>
        <w:rPr>
          <w:sz w:val="22"/>
        </w:rPr>
        <w:t xml:space="preserve">. </w:t>
      </w:r>
      <w:r w:rsidR="002E6E99">
        <w:rPr>
          <w:sz w:val="22"/>
        </w:rPr>
        <w:tab/>
      </w:r>
      <w:r w:rsidRPr="004E675B">
        <w:rPr>
          <w:sz w:val="22"/>
        </w:rPr>
        <w:t>The Commonwealth Government request</w:t>
      </w:r>
      <w:r w:rsidR="009235E7">
        <w:rPr>
          <w:sz w:val="22"/>
        </w:rPr>
        <w:t xml:space="preserve"> </w:t>
      </w:r>
      <w:r w:rsidR="0068182E">
        <w:rPr>
          <w:sz w:val="22"/>
        </w:rPr>
        <w:t>that</w:t>
      </w:r>
      <w:r w:rsidRPr="004E675B">
        <w:rPr>
          <w:sz w:val="22"/>
        </w:rPr>
        <w:t xml:space="preserve"> the COAG Energy Council continue to monitor international standards</w:t>
      </w:r>
      <w:r w:rsidR="00D86F81">
        <w:rPr>
          <w:sz w:val="22"/>
        </w:rPr>
        <w:t>, consider which are appropriate for Australia</w:t>
      </w:r>
      <w:r w:rsidRPr="004E675B">
        <w:rPr>
          <w:sz w:val="22"/>
        </w:rPr>
        <w:t xml:space="preserve"> and</w:t>
      </w:r>
      <w:r w:rsidR="00D86F81">
        <w:rPr>
          <w:sz w:val="22"/>
        </w:rPr>
        <w:t xml:space="preserve"> adopt suitable standards with necessary modifications for </w:t>
      </w:r>
      <w:r w:rsidRPr="004E675B">
        <w:rPr>
          <w:sz w:val="22"/>
        </w:rPr>
        <w:t>Australia</w:t>
      </w:r>
      <w:r w:rsidR="00D86F81">
        <w:rPr>
          <w:sz w:val="22"/>
        </w:rPr>
        <w:t>n conditions</w:t>
      </w:r>
      <w:r w:rsidRPr="004E675B">
        <w:rPr>
          <w:sz w:val="22"/>
        </w:rPr>
        <w:t>.</w:t>
      </w:r>
    </w:p>
    <w:p w:rsidR="003442DC" w:rsidRPr="004E675B" w:rsidRDefault="003442DC" w:rsidP="00EA0BA9">
      <w:pPr>
        <w:pStyle w:val="ListNumber"/>
        <w:ind w:left="426" w:hanging="426"/>
        <w:rPr>
          <w:sz w:val="22"/>
        </w:rPr>
      </w:pPr>
      <w:r>
        <w:rPr>
          <w:sz w:val="22"/>
        </w:rPr>
        <w:t>3</w:t>
      </w:r>
      <w:r w:rsidR="0042578E">
        <w:rPr>
          <w:sz w:val="22"/>
        </w:rPr>
        <w:t>4</w:t>
      </w:r>
      <w:r>
        <w:rPr>
          <w:sz w:val="22"/>
        </w:rPr>
        <w:t xml:space="preserve">. </w:t>
      </w:r>
      <w:r w:rsidR="002E6E99">
        <w:rPr>
          <w:sz w:val="22"/>
        </w:rPr>
        <w:tab/>
      </w:r>
      <w:r w:rsidR="00234A07" w:rsidRPr="00234A07">
        <w:rPr>
          <w:sz w:val="22"/>
        </w:rPr>
        <w:t>The Commonwealth Government continue to support Standards Australia’s participation in international standards development.</w:t>
      </w:r>
    </w:p>
    <w:p w:rsidR="00E34BE7" w:rsidRPr="004E675B" w:rsidRDefault="003442DC" w:rsidP="00083FFC">
      <w:pPr>
        <w:pStyle w:val="Heading4"/>
        <w:rPr>
          <w:lang w:val="en"/>
        </w:rPr>
      </w:pPr>
      <w:r w:rsidRPr="004E675B">
        <w:rPr>
          <w:lang w:val="en"/>
        </w:rPr>
        <w:t>Pushing the boundaries of the</w:t>
      </w:r>
      <w:r>
        <w:rPr>
          <w:lang w:val="en"/>
        </w:rPr>
        <w:t xml:space="preserve"> GEMS</w:t>
      </w:r>
      <w:r w:rsidRPr="004E675B">
        <w:rPr>
          <w:lang w:val="en"/>
        </w:rPr>
        <w:t xml:space="preserve"> Act</w:t>
      </w:r>
    </w:p>
    <w:p w:rsidR="00A537EE" w:rsidRDefault="0042578E" w:rsidP="002E6E99">
      <w:pPr>
        <w:pStyle w:val="ListNumber"/>
        <w:ind w:left="426" w:hanging="426"/>
        <w:rPr>
          <w:sz w:val="22"/>
        </w:rPr>
      </w:pPr>
      <w:r>
        <w:rPr>
          <w:sz w:val="22"/>
        </w:rPr>
        <w:t>40</w:t>
      </w:r>
      <w:r w:rsidR="003442DC">
        <w:rPr>
          <w:sz w:val="22"/>
        </w:rPr>
        <w:t xml:space="preserve">. </w:t>
      </w:r>
      <w:r w:rsidR="002E6E99">
        <w:rPr>
          <w:sz w:val="22"/>
        </w:rPr>
        <w:tab/>
      </w:r>
      <w:r w:rsidR="003442DC" w:rsidRPr="004E675B">
        <w:rPr>
          <w:sz w:val="22"/>
        </w:rPr>
        <w:t>The Commonwealth Government continue to work with the COAG Energy Council to ensure consistency and harmonisation between appliance and building energy efficiency regulations</w:t>
      </w:r>
      <w:r w:rsidR="003442DC" w:rsidRPr="00E31AA1">
        <w:rPr>
          <w:sz w:val="22"/>
        </w:rPr>
        <w:t xml:space="preserve"> </w:t>
      </w:r>
      <w:r w:rsidR="003442DC">
        <w:rPr>
          <w:sz w:val="22"/>
        </w:rPr>
        <w:t>(</w:t>
      </w:r>
      <w:r w:rsidR="00837E55">
        <w:rPr>
          <w:sz w:val="22"/>
        </w:rPr>
        <w:t>a</w:t>
      </w:r>
      <w:r w:rsidR="003442DC">
        <w:rPr>
          <w:sz w:val="22"/>
        </w:rPr>
        <w:t>lso applies to Horizon 3)</w:t>
      </w:r>
      <w:r w:rsidR="00837E55">
        <w:rPr>
          <w:sz w:val="22"/>
        </w:rPr>
        <w:t>.</w:t>
      </w:r>
    </w:p>
    <w:p w:rsidR="00A537EE" w:rsidRDefault="00A537EE" w:rsidP="00A537EE">
      <w:r>
        <w:br w:type="page"/>
      </w:r>
    </w:p>
    <w:p w:rsidR="003442DC" w:rsidRPr="0030226E" w:rsidRDefault="003442DC" w:rsidP="002E6E99">
      <w:pPr>
        <w:spacing w:after="240"/>
        <w:rPr>
          <w:b/>
        </w:rPr>
      </w:pPr>
      <w:r w:rsidRPr="0030226E">
        <w:rPr>
          <w:b/>
        </w:rPr>
        <w:lastRenderedPageBreak/>
        <w:t xml:space="preserve">Medium term </w:t>
      </w:r>
      <w:r>
        <w:rPr>
          <w:b/>
        </w:rPr>
        <w:t>i</w:t>
      </w:r>
      <w:r w:rsidRPr="0030226E">
        <w:rPr>
          <w:b/>
        </w:rPr>
        <w:t xml:space="preserve">mprovements requiring legislative change, completed </w:t>
      </w:r>
      <w:r w:rsidR="00B47841">
        <w:rPr>
          <w:b/>
        </w:rPr>
        <w:t>within three years</w:t>
      </w:r>
    </w:p>
    <w:p w:rsidR="003442DC" w:rsidRPr="00083FFC" w:rsidRDefault="003442DC" w:rsidP="00083FFC">
      <w:pPr>
        <w:pStyle w:val="Heading4"/>
      </w:pPr>
      <w:r w:rsidRPr="00083FFC">
        <w:t>Determinations</w:t>
      </w:r>
    </w:p>
    <w:p w:rsidR="003442DC" w:rsidRPr="004E675B" w:rsidRDefault="003442DC" w:rsidP="0032074F">
      <w:pPr>
        <w:pStyle w:val="ListNumber"/>
        <w:ind w:left="426" w:hanging="426"/>
        <w:rPr>
          <w:sz w:val="22"/>
        </w:rPr>
      </w:pPr>
      <w:r>
        <w:rPr>
          <w:sz w:val="22"/>
        </w:rPr>
        <w:t xml:space="preserve">5. </w:t>
      </w:r>
      <w:r w:rsidR="0032074F">
        <w:rPr>
          <w:sz w:val="22"/>
        </w:rPr>
        <w:tab/>
      </w:r>
      <w:r w:rsidRPr="004E675B">
        <w:rPr>
          <w:sz w:val="22"/>
        </w:rPr>
        <w:t>The Commonwealth Government amend the GEMS Act to require the Minister</w:t>
      </w:r>
      <w:r w:rsidR="004D7F4F">
        <w:rPr>
          <w:sz w:val="22"/>
        </w:rPr>
        <w:t xml:space="preserve"> to </w:t>
      </w:r>
      <w:r w:rsidRPr="004E675B">
        <w:rPr>
          <w:sz w:val="22"/>
        </w:rPr>
        <w:t xml:space="preserve">release an exposure draft of </w:t>
      </w:r>
      <w:r w:rsidR="004D7F4F">
        <w:rPr>
          <w:sz w:val="22"/>
        </w:rPr>
        <w:t xml:space="preserve">each </w:t>
      </w:r>
      <w:r w:rsidRPr="004E675B">
        <w:rPr>
          <w:sz w:val="22"/>
        </w:rPr>
        <w:t>proposed GEMS determination.</w:t>
      </w:r>
    </w:p>
    <w:p w:rsidR="003442DC" w:rsidRPr="00083FFC" w:rsidRDefault="003442DC" w:rsidP="00083FFC">
      <w:pPr>
        <w:pStyle w:val="Heading4"/>
      </w:pPr>
      <w:r w:rsidRPr="00083FFC">
        <w:t>Registration</w:t>
      </w:r>
    </w:p>
    <w:p w:rsidR="003442DC" w:rsidRDefault="003442DC" w:rsidP="0032074F">
      <w:pPr>
        <w:pStyle w:val="ListNumber"/>
        <w:ind w:left="426" w:hanging="426"/>
        <w:rPr>
          <w:sz w:val="22"/>
        </w:rPr>
      </w:pPr>
      <w:r>
        <w:rPr>
          <w:sz w:val="22"/>
        </w:rPr>
        <w:t>1</w:t>
      </w:r>
      <w:r w:rsidR="000530D2">
        <w:rPr>
          <w:sz w:val="22"/>
        </w:rPr>
        <w:t>3</w:t>
      </w:r>
      <w:r>
        <w:rPr>
          <w:sz w:val="22"/>
        </w:rPr>
        <w:t xml:space="preserve">. </w:t>
      </w:r>
      <w:r w:rsidR="0032074F">
        <w:rPr>
          <w:sz w:val="22"/>
        </w:rPr>
        <w:tab/>
      </w:r>
      <w:r w:rsidRPr="004E675B">
        <w:rPr>
          <w:sz w:val="22"/>
        </w:rPr>
        <w:t xml:space="preserve">The Commonwealth Government amend the </w:t>
      </w:r>
      <w:r>
        <w:rPr>
          <w:sz w:val="22"/>
        </w:rPr>
        <w:t xml:space="preserve">GEMS </w:t>
      </w:r>
      <w:r w:rsidRPr="004E675B">
        <w:rPr>
          <w:sz w:val="22"/>
        </w:rPr>
        <w:t>Act to allow registration ‘at the point a sale is confirmed’ for clearly defined customised products.</w:t>
      </w:r>
    </w:p>
    <w:p w:rsidR="003442DC" w:rsidRPr="004E675B" w:rsidRDefault="003442DC" w:rsidP="0032074F">
      <w:pPr>
        <w:pStyle w:val="ListNumber"/>
        <w:ind w:left="426" w:hanging="426"/>
        <w:rPr>
          <w:sz w:val="22"/>
        </w:rPr>
      </w:pPr>
      <w:r>
        <w:rPr>
          <w:sz w:val="22"/>
        </w:rPr>
        <w:t>1</w:t>
      </w:r>
      <w:r w:rsidR="0042578E">
        <w:rPr>
          <w:sz w:val="22"/>
        </w:rPr>
        <w:t>8</w:t>
      </w:r>
      <w:r>
        <w:rPr>
          <w:sz w:val="22"/>
        </w:rPr>
        <w:t xml:space="preserve">. </w:t>
      </w:r>
      <w:r w:rsidR="00550104">
        <w:rPr>
          <w:sz w:val="22"/>
        </w:rPr>
        <w:tab/>
      </w:r>
      <w:r w:rsidRPr="004E675B">
        <w:rPr>
          <w:sz w:val="22"/>
        </w:rPr>
        <w:t>The Commonwealth Government amend the GEMS Act to extend the grandfathering provisions that currently apply for non-compliant products to the registration obligation for compliant products.</w:t>
      </w:r>
    </w:p>
    <w:p w:rsidR="003442DC" w:rsidRPr="00083FFC" w:rsidRDefault="003442DC" w:rsidP="00083FFC">
      <w:pPr>
        <w:pStyle w:val="Heading4"/>
      </w:pPr>
      <w:r w:rsidRPr="00083FFC">
        <w:t>Compliance</w:t>
      </w:r>
    </w:p>
    <w:p w:rsidR="003442DC" w:rsidRPr="004E675B" w:rsidRDefault="003442DC" w:rsidP="0032074F">
      <w:pPr>
        <w:pStyle w:val="ListNumber"/>
        <w:ind w:left="426" w:hanging="426"/>
        <w:rPr>
          <w:sz w:val="22"/>
        </w:rPr>
      </w:pPr>
      <w:r>
        <w:rPr>
          <w:sz w:val="22"/>
        </w:rPr>
        <w:t>2</w:t>
      </w:r>
      <w:r w:rsidR="0042578E">
        <w:rPr>
          <w:sz w:val="22"/>
        </w:rPr>
        <w:t>2</w:t>
      </w:r>
      <w:r>
        <w:rPr>
          <w:sz w:val="22"/>
        </w:rPr>
        <w:t xml:space="preserve">. </w:t>
      </w:r>
      <w:r w:rsidR="00550104">
        <w:rPr>
          <w:sz w:val="22"/>
        </w:rPr>
        <w:tab/>
      </w:r>
      <w:r w:rsidRPr="004E675B">
        <w:rPr>
          <w:sz w:val="22"/>
        </w:rPr>
        <w:t>The GEMS Regulator engage with industry stakeholders on alternative check testing methods that ensure fairness, transparency, and integrity</w:t>
      </w:r>
      <w:r>
        <w:rPr>
          <w:sz w:val="22"/>
        </w:rPr>
        <w:t xml:space="preserve"> (</w:t>
      </w:r>
      <w:r w:rsidR="00837E55">
        <w:rPr>
          <w:sz w:val="22"/>
        </w:rPr>
        <w:t>a</w:t>
      </w:r>
      <w:r>
        <w:rPr>
          <w:sz w:val="22"/>
        </w:rPr>
        <w:t>lso applies to Horizon 3)</w:t>
      </w:r>
      <w:r w:rsidR="00837E55">
        <w:rPr>
          <w:sz w:val="22"/>
        </w:rPr>
        <w:t>.</w:t>
      </w:r>
    </w:p>
    <w:p w:rsidR="003442DC" w:rsidRPr="004E675B" w:rsidRDefault="003442DC" w:rsidP="0032074F">
      <w:pPr>
        <w:pStyle w:val="ListNumber"/>
        <w:ind w:left="426" w:hanging="426"/>
        <w:rPr>
          <w:sz w:val="22"/>
        </w:rPr>
      </w:pPr>
      <w:r>
        <w:rPr>
          <w:sz w:val="22"/>
        </w:rPr>
        <w:t>2</w:t>
      </w:r>
      <w:r w:rsidR="0042578E">
        <w:rPr>
          <w:sz w:val="22"/>
        </w:rPr>
        <w:t>3</w:t>
      </w:r>
      <w:r>
        <w:rPr>
          <w:sz w:val="22"/>
        </w:rPr>
        <w:t xml:space="preserve">. </w:t>
      </w:r>
      <w:r w:rsidR="00550104">
        <w:rPr>
          <w:sz w:val="22"/>
        </w:rPr>
        <w:tab/>
      </w:r>
      <w:r w:rsidRPr="004E675B">
        <w:rPr>
          <w:sz w:val="22"/>
        </w:rPr>
        <w:t>Based on the outcomes of Recommendation 2</w:t>
      </w:r>
      <w:r w:rsidR="00433219">
        <w:rPr>
          <w:sz w:val="22"/>
        </w:rPr>
        <w:t>1</w:t>
      </w:r>
      <w:r>
        <w:rPr>
          <w:sz w:val="22"/>
        </w:rPr>
        <w:t>,</w:t>
      </w:r>
      <w:r w:rsidRPr="004E675B">
        <w:rPr>
          <w:sz w:val="22"/>
        </w:rPr>
        <w:t xml:space="preserve"> </w:t>
      </w:r>
      <w:r>
        <w:rPr>
          <w:sz w:val="22"/>
        </w:rPr>
        <w:t>t</w:t>
      </w:r>
      <w:r w:rsidRPr="004E675B">
        <w:rPr>
          <w:sz w:val="22"/>
        </w:rPr>
        <w:t xml:space="preserve">he Commonwealth Government amend the </w:t>
      </w:r>
      <w:r>
        <w:rPr>
          <w:sz w:val="22"/>
        </w:rPr>
        <w:t xml:space="preserve">GEMS </w:t>
      </w:r>
      <w:r w:rsidRPr="004E675B">
        <w:rPr>
          <w:sz w:val="22"/>
        </w:rPr>
        <w:t>Act to allow a flexible approach to compliance and enforcement that maintains adequate protection for registrants</w:t>
      </w:r>
      <w:r>
        <w:rPr>
          <w:sz w:val="22"/>
        </w:rPr>
        <w:t xml:space="preserve"> (</w:t>
      </w:r>
      <w:r w:rsidR="00837E55">
        <w:rPr>
          <w:sz w:val="22"/>
        </w:rPr>
        <w:t>a</w:t>
      </w:r>
      <w:r>
        <w:rPr>
          <w:sz w:val="22"/>
        </w:rPr>
        <w:t>lso applies to Horizon 3)</w:t>
      </w:r>
      <w:r w:rsidR="00837E55">
        <w:rPr>
          <w:sz w:val="22"/>
        </w:rPr>
        <w:t>.</w:t>
      </w:r>
    </w:p>
    <w:p w:rsidR="003442DC" w:rsidRPr="00083FFC" w:rsidRDefault="003442DC" w:rsidP="00083FFC">
      <w:pPr>
        <w:pStyle w:val="Heading4"/>
      </w:pPr>
      <w:r w:rsidRPr="00083FFC">
        <w:t>Managing the GEMS Program</w:t>
      </w:r>
    </w:p>
    <w:p w:rsidR="003442DC" w:rsidRPr="004E675B" w:rsidRDefault="003442DC" w:rsidP="0032074F">
      <w:pPr>
        <w:pStyle w:val="ListNumber"/>
        <w:ind w:left="426" w:hanging="426"/>
        <w:rPr>
          <w:sz w:val="22"/>
        </w:rPr>
      </w:pPr>
      <w:r>
        <w:rPr>
          <w:sz w:val="22"/>
        </w:rPr>
        <w:t>2</w:t>
      </w:r>
      <w:r w:rsidR="0042578E">
        <w:rPr>
          <w:sz w:val="22"/>
        </w:rPr>
        <w:t>5</w:t>
      </w:r>
      <w:r>
        <w:rPr>
          <w:sz w:val="22"/>
        </w:rPr>
        <w:t xml:space="preserve">. </w:t>
      </w:r>
      <w:r w:rsidR="0032074F">
        <w:rPr>
          <w:sz w:val="22"/>
        </w:rPr>
        <w:tab/>
      </w:r>
      <w:r w:rsidRPr="004E675B">
        <w:rPr>
          <w:sz w:val="22"/>
        </w:rPr>
        <w:t xml:space="preserve">The Commonwealth Government reviews its information and data requirements and examines the most appropriate means to realise those data needs. </w:t>
      </w:r>
    </w:p>
    <w:p w:rsidR="003442DC" w:rsidRPr="004E675B" w:rsidRDefault="003442DC" w:rsidP="0032074F">
      <w:pPr>
        <w:pStyle w:val="ListNumber"/>
        <w:ind w:left="426" w:hanging="426"/>
        <w:rPr>
          <w:sz w:val="22"/>
        </w:rPr>
      </w:pPr>
      <w:r>
        <w:rPr>
          <w:sz w:val="22"/>
        </w:rPr>
        <w:t>2</w:t>
      </w:r>
      <w:r w:rsidR="0042578E">
        <w:rPr>
          <w:sz w:val="22"/>
        </w:rPr>
        <w:t>6</w:t>
      </w:r>
      <w:r>
        <w:rPr>
          <w:sz w:val="22"/>
        </w:rPr>
        <w:t xml:space="preserve">. </w:t>
      </w:r>
      <w:r w:rsidR="0032074F">
        <w:rPr>
          <w:sz w:val="22"/>
        </w:rPr>
        <w:tab/>
      </w:r>
      <w:r w:rsidRPr="004E675B">
        <w:rPr>
          <w:sz w:val="22"/>
        </w:rPr>
        <w:t xml:space="preserve">Based on the outcomes of Recommendation </w:t>
      </w:r>
      <w:r w:rsidR="00555359">
        <w:rPr>
          <w:sz w:val="22"/>
        </w:rPr>
        <w:t>25</w:t>
      </w:r>
      <w:r>
        <w:rPr>
          <w:sz w:val="22"/>
        </w:rPr>
        <w:t>,</w:t>
      </w:r>
      <w:r w:rsidRPr="004E675B">
        <w:rPr>
          <w:sz w:val="22"/>
        </w:rPr>
        <w:t xml:space="preserve"> </w:t>
      </w:r>
      <w:r>
        <w:rPr>
          <w:sz w:val="22"/>
        </w:rPr>
        <w:t>t</w:t>
      </w:r>
      <w:r w:rsidRPr="004E675B">
        <w:rPr>
          <w:sz w:val="22"/>
        </w:rPr>
        <w:t xml:space="preserve">he Commonwealth Government amend the GEMS Act to allow the GEMS Regulator to collect further data to improve its evidence base. </w:t>
      </w:r>
    </w:p>
    <w:p w:rsidR="00E34BE7" w:rsidRPr="00083FFC" w:rsidRDefault="00E34BE7" w:rsidP="00083FFC">
      <w:pPr>
        <w:pStyle w:val="Heading4"/>
      </w:pPr>
      <w:r w:rsidRPr="00083FFC">
        <w:t>Pushing the boundaries of the GEMS Act</w:t>
      </w:r>
    </w:p>
    <w:p w:rsidR="00E34BE7" w:rsidRPr="004E675B" w:rsidRDefault="00E34BE7" w:rsidP="00E34BE7">
      <w:pPr>
        <w:pStyle w:val="ListNumber"/>
        <w:ind w:left="426" w:hanging="426"/>
        <w:rPr>
          <w:sz w:val="22"/>
        </w:rPr>
      </w:pPr>
      <w:r>
        <w:rPr>
          <w:sz w:val="22"/>
        </w:rPr>
        <w:t xml:space="preserve">38. </w:t>
      </w:r>
      <w:r>
        <w:rPr>
          <w:sz w:val="22"/>
        </w:rPr>
        <w:tab/>
      </w:r>
      <w:r w:rsidRPr="00234A07">
        <w:rPr>
          <w:sz w:val="22"/>
        </w:rPr>
        <w:t>The Commonwealth Government update the GEMS Act to allow for mandat</w:t>
      </w:r>
      <w:r>
        <w:rPr>
          <w:sz w:val="22"/>
        </w:rPr>
        <w:t>ory demand response capability.</w:t>
      </w:r>
    </w:p>
    <w:p w:rsidR="003442DC" w:rsidRPr="00083FFC" w:rsidRDefault="003442DC" w:rsidP="00083FFC">
      <w:pPr>
        <w:pStyle w:val="Heading3"/>
      </w:pPr>
      <w:bookmarkStart w:id="11" w:name="_Toc18660960"/>
      <w:r w:rsidRPr="00083FFC">
        <w:t>Horizon 3</w:t>
      </w:r>
      <w:bookmarkEnd w:id="11"/>
    </w:p>
    <w:p w:rsidR="003442DC" w:rsidRPr="0030226E" w:rsidRDefault="003442DC" w:rsidP="002E6E99">
      <w:pPr>
        <w:spacing w:after="240"/>
        <w:rPr>
          <w:b/>
        </w:rPr>
      </w:pPr>
      <w:r>
        <w:rPr>
          <w:b/>
        </w:rPr>
        <w:t>Long term</w:t>
      </w:r>
      <w:r w:rsidRPr="0030226E">
        <w:rPr>
          <w:b/>
        </w:rPr>
        <w:t xml:space="preserve"> improvements </w:t>
      </w:r>
      <w:r>
        <w:rPr>
          <w:b/>
        </w:rPr>
        <w:t>requiring f</w:t>
      </w:r>
      <w:r w:rsidRPr="0030226E">
        <w:rPr>
          <w:b/>
        </w:rPr>
        <w:t xml:space="preserve">urther consideration </w:t>
      </w:r>
    </w:p>
    <w:p w:rsidR="003442DC" w:rsidRPr="00083FFC" w:rsidRDefault="003442DC" w:rsidP="00083FFC">
      <w:pPr>
        <w:pStyle w:val="Heading4"/>
      </w:pPr>
      <w:r w:rsidRPr="00083FFC">
        <w:t>Registration</w:t>
      </w:r>
    </w:p>
    <w:p w:rsidR="003442DC" w:rsidRPr="004E675B" w:rsidRDefault="003442DC" w:rsidP="0032074F">
      <w:pPr>
        <w:pStyle w:val="ListNumber"/>
        <w:ind w:left="426" w:hanging="426"/>
        <w:rPr>
          <w:sz w:val="22"/>
        </w:rPr>
      </w:pPr>
      <w:r>
        <w:rPr>
          <w:sz w:val="22"/>
        </w:rPr>
        <w:t>1</w:t>
      </w:r>
      <w:r w:rsidR="0042578E">
        <w:rPr>
          <w:sz w:val="22"/>
        </w:rPr>
        <w:t>6</w:t>
      </w:r>
      <w:r>
        <w:rPr>
          <w:sz w:val="22"/>
        </w:rPr>
        <w:t xml:space="preserve">. </w:t>
      </w:r>
      <w:r w:rsidR="0032074F">
        <w:rPr>
          <w:sz w:val="22"/>
        </w:rPr>
        <w:tab/>
      </w:r>
      <w:r w:rsidRPr="004E675B">
        <w:rPr>
          <w:sz w:val="22"/>
        </w:rPr>
        <w:t>The Commonwealth Government consider the development of a single entry point / central government portal to serve all government product registration obligations.</w:t>
      </w:r>
    </w:p>
    <w:p w:rsidR="003442DC" w:rsidRPr="00083FFC" w:rsidRDefault="003442DC" w:rsidP="00083FFC">
      <w:pPr>
        <w:pStyle w:val="Heading4"/>
      </w:pPr>
      <w:r w:rsidRPr="00083FFC">
        <w:t>Pushing the boundaries of the GEMS Act</w:t>
      </w:r>
    </w:p>
    <w:p w:rsidR="003442DC" w:rsidRPr="004E675B" w:rsidRDefault="003442DC" w:rsidP="0032074F">
      <w:pPr>
        <w:pStyle w:val="ListNumber"/>
        <w:ind w:left="426" w:hanging="426"/>
        <w:rPr>
          <w:sz w:val="22"/>
        </w:rPr>
      </w:pPr>
      <w:r>
        <w:rPr>
          <w:sz w:val="22"/>
        </w:rPr>
        <w:t>3</w:t>
      </w:r>
      <w:r w:rsidR="0042578E">
        <w:rPr>
          <w:sz w:val="22"/>
        </w:rPr>
        <w:t>9</w:t>
      </w:r>
      <w:r>
        <w:rPr>
          <w:sz w:val="22"/>
        </w:rPr>
        <w:t xml:space="preserve">. </w:t>
      </w:r>
      <w:r w:rsidR="00550104">
        <w:rPr>
          <w:sz w:val="22"/>
        </w:rPr>
        <w:tab/>
      </w:r>
      <w:r w:rsidRPr="004E675B">
        <w:rPr>
          <w:sz w:val="22"/>
        </w:rPr>
        <w:t>The Commonwealth Government request the COAG Energy Council investigate the potential of a systems approach to energy efficiency regulation.</w:t>
      </w:r>
    </w:p>
    <w:p w:rsidR="0084273C" w:rsidRDefault="0084273C" w:rsidP="001875E6">
      <w:pPr>
        <w:rPr>
          <w:rFonts w:cs="Arial"/>
        </w:rPr>
      </w:pPr>
      <w:r>
        <w:br w:type="page"/>
      </w:r>
    </w:p>
    <w:p w:rsidR="007E39A7" w:rsidRPr="007E39A7" w:rsidRDefault="007E39A7" w:rsidP="00F740A0">
      <w:pPr>
        <w:pStyle w:val="Heading1"/>
      </w:pPr>
      <w:bookmarkStart w:id="12" w:name="_Toc517621121"/>
      <w:bookmarkStart w:id="13" w:name="_Toc18660961"/>
      <w:r w:rsidRPr="007E39A7">
        <w:lastRenderedPageBreak/>
        <w:t>1.</w:t>
      </w:r>
      <w:r w:rsidRPr="007E39A7">
        <w:tab/>
        <w:t>Introduction</w:t>
      </w:r>
      <w:bookmarkEnd w:id="12"/>
      <w:bookmarkEnd w:id="13"/>
      <w:r w:rsidRPr="007E39A7">
        <w:t xml:space="preserve"> </w:t>
      </w:r>
    </w:p>
    <w:p w:rsidR="007E39A7" w:rsidRPr="007E39A7" w:rsidRDefault="007E39A7" w:rsidP="00F740A0">
      <w:pPr>
        <w:pStyle w:val="Heading2"/>
      </w:pPr>
      <w:bookmarkStart w:id="14" w:name="_Toc517621122"/>
      <w:bookmarkStart w:id="15" w:name="_Toc18660962"/>
      <w:r w:rsidRPr="007E39A7">
        <w:t>1.1</w:t>
      </w:r>
      <w:r w:rsidRPr="007E39A7">
        <w:tab/>
        <w:t>Purpose of the review</w:t>
      </w:r>
      <w:bookmarkEnd w:id="14"/>
      <w:bookmarkEnd w:id="15"/>
    </w:p>
    <w:p w:rsidR="007E39A7" w:rsidRPr="007E39A7" w:rsidRDefault="007E39A7" w:rsidP="00F740A0">
      <w:pPr>
        <w:rPr>
          <w:b/>
          <w:i/>
        </w:rPr>
      </w:pPr>
      <w:r w:rsidRPr="007E39A7">
        <w:t xml:space="preserve">The </w:t>
      </w:r>
      <w:r w:rsidRPr="007E39A7">
        <w:rPr>
          <w:i/>
        </w:rPr>
        <w:t>Greenhouse and Energy Minimum Standards Act 2012</w:t>
      </w:r>
      <w:r w:rsidRPr="007E39A7">
        <w:t xml:space="preserve"> (the GEMS Act) came into effect on 1 October 2012. Section 176 of the </w:t>
      </w:r>
      <w:r w:rsidR="00935EB4">
        <w:t xml:space="preserve">GEMS </w:t>
      </w:r>
      <w:r w:rsidRPr="007E39A7">
        <w:t xml:space="preserve">Act specifies a review of the operation of the Act be commenced as soon as possible after the fifth anniversary of its commencement date. This statutory requirement provides an opportunity to review the legislation at an early stage and ensure its effectiveness. As a program that is expected to continue well into the future and face changing market conditions and technology advancements, the operation of the </w:t>
      </w:r>
      <w:r w:rsidR="00935EB4">
        <w:t xml:space="preserve">GEMS </w:t>
      </w:r>
      <w:r w:rsidRPr="007E39A7">
        <w:t>Act must also be reviewed every ten years after the first review.</w:t>
      </w:r>
    </w:p>
    <w:p w:rsidR="007E39A7" w:rsidRPr="007E39A7" w:rsidRDefault="007E39A7" w:rsidP="00F740A0">
      <w:pPr>
        <w:pStyle w:val="Heading2"/>
      </w:pPr>
      <w:bookmarkStart w:id="16" w:name="_Toc517621123"/>
      <w:bookmarkStart w:id="17" w:name="_Toc18660963"/>
      <w:r w:rsidRPr="007E39A7">
        <w:t xml:space="preserve">1.2 </w:t>
      </w:r>
      <w:r w:rsidRPr="007E39A7">
        <w:tab/>
        <w:t>Independent reviewer</w:t>
      </w:r>
      <w:bookmarkEnd w:id="16"/>
      <w:bookmarkEnd w:id="17"/>
    </w:p>
    <w:p w:rsidR="007E39A7" w:rsidRPr="007E39A7" w:rsidRDefault="007E39A7" w:rsidP="00F740A0">
      <w:r w:rsidRPr="007E39A7">
        <w:t>The</w:t>
      </w:r>
      <w:r w:rsidR="007B38BA">
        <w:t xml:space="preserve"> then</w:t>
      </w:r>
      <w:r w:rsidRPr="007E39A7">
        <w:t xml:space="preserve"> Minister for the Environment and Energy</w:t>
      </w:r>
      <w:r w:rsidR="007B38BA">
        <w:t>, the Hon Josh Frydenberg MP,</w:t>
      </w:r>
      <w:r w:rsidRPr="007E39A7">
        <w:t xml:space="preserve"> appointed Ms Anna Collyer, a partner at law firm Allens, to undertake the review. Ms</w:t>
      </w:r>
      <w:r w:rsidR="007B38BA">
        <w:t> </w:t>
      </w:r>
      <w:r w:rsidRPr="007E39A7">
        <w:t xml:space="preserve">Collyer is supported by the GEMS </w:t>
      </w:r>
      <w:r w:rsidR="008C238F" w:rsidRPr="007E39A7">
        <w:t xml:space="preserve">review team </w:t>
      </w:r>
      <w:r w:rsidRPr="007E39A7">
        <w:t>in the Department</w:t>
      </w:r>
      <w:r w:rsidR="00F03195">
        <w:t xml:space="preserve"> of the Environment and Energy</w:t>
      </w:r>
      <w:r w:rsidRPr="007E39A7">
        <w:t xml:space="preserve">. </w:t>
      </w:r>
      <w:r w:rsidR="00E94D18" w:rsidRPr="007E39A7">
        <w:t xml:space="preserve">The findings from this review </w:t>
      </w:r>
      <w:r w:rsidR="00E94D18">
        <w:t xml:space="preserve">will </w:t>
      </w:r>
      <w:r w:rsidR="00E94D18" w:rsidRPr="007E39A7">
        <w:t>be presented to the COAG Energy Council</w:t>
      </w:r>
      <w:r w:rsidR="00E94D18" w:rsidRPr="00B95987">
        <w:t>.</w:t>
      </w:r>
      <w:r w:rsidR="00E94D18" w:rsidRPr="007E39A7">
        <w:t xml:space="preserve"> </w:t>
      </w:r>
    </w:p>
    <w:p w:rsidR="007E39A7" w:rsidRPr="007E39A7" w:rsidRDefault="007E39A7" w:rsidP="00F740A0">
      <w:pPr>
        <w:pStyle w:val="Heading2"/>
      </w:pPr>
      <w:bookmarkStart w:id="18" w:name="_Toc517621124"/>
      <w:bookmarkStart w:id="19" w:name="_Toc18660964"/>
      <w:r w:rsidRPr="007E39A7">
        <w:t>1.3</w:t>
      </w:r>
      <w:r w:rsidRPr="007E39A7">
        <w:tab/>
        <w:t>Scope</w:t>
      </w:r>
      <w:bookmarkEnd w:id="18"/>
      <w:bookmarkEnd w:id="19"/>
    </w:p>
    <w:p w:rsidR="007E39A7" w:rsidRPr="007E39A7" w:rsidRDefault="007E39A7" w:rsidP="00F740A0">
      <w:r w:rsidRPr="007E39A7">
        <w:t xml:space="preserve">The </w:t>
      </w:r>
      <w:r w:rsidR="008C238F" w:rsidRPr="007E39A7">
        <w:t xml:space="preserve">terms of reference </w:t>
      </w:r>
      <w:r w:rsidRPr="007E39A7">
        <w:t>(</w:t>
      </w:r>
      <w:r w:rsidRPr="00F740A0">
        <w:t>see</w:t>
      </w:r>
      <w:r w:rsidRPr="00C743A5">
        <w:rPr>
          <w:b/>
          <w:bCs/>
        </w:rPr>
        <w:t xml:space="preserve"> </w:t>
      </w:r>
      <w:r w:rsidR="00085440" w:rsidRPr="00C743A5">
        <w:rPr>
          <w:b/>
          <w:bCs/>
        </w:rPr>
        <w:t xml:space="preserve">Appendix </w:t>
      </w:r>
      <w:r w:rsidR="00512C0C" w:rsidRPr="00C743A5">
        <w:rPr>
          <w:b/>
          <w:bCs/>
        </w:rPr>
        <w:t>A</w:t>
      </w:r>
      <w:r w:rsidRPr="007E39A7">
        <w:t xml:space="preserve">) require the </w:t>
      </w:r>
      <w:r w:rsidR="008C238F" w:rsidRPr="007E39A7">
        <w:t xml:space="preserve">independent reviewer </w:t>
      </w:r>
      <w:r w:rsidRPr="007E39A7">
        <w:t>to evaluate, advise and report on the following:</w:t>
      </w:r>
    </w:p>
    <w:p w:rsidR="007E39A7" w:rsidRPr="007E39A7" w:rsidRDefault="007E39A7" w:rsidP="008A7FC0">
      <w:pPr>
        <w:pStyle w:val="ListParagraph"/>
        <w:numPr>
          <w:ilvl w:val="0"/>
          <w:numId w:val="9"/>
        </w:numPr>
        <w:ind w:left="426" w:hanging="426"/>
      </w:pPr>
      <w:r w:rsidRPr="007E39A7">
        <w:t>The extent to which the framework (including systems and procedures) established by the GEMS Act is achieving its purpose.</w:t>
      </w:r>
    </w:p>
    <w:p w:rsidR="007E39A7" w:rsidRPr="007E39A7" w:rsidRDefault="007E39A7" w:rsidP="008A7FC0">
      <w:pPr>
        <w:pStyle w:val="ListParagraph"/>
        <w:numPr>
          <w:ilvl w:val="0"/>
          <w:numId w:val="9"/>
        </w:numPr>
        <w:ind w:left="426" w:hanging="426"/>
      </w:pPr>
      <w:r w:rsidRPr="007E39A7">
        <w:t>Improvements that could be made to the operation of the GEMS Act, including any costs and impacts on stakeholders.</w:t>
      </w:r>
    </w:p>
    <w:p w:rsidR="007E39A7" w:rsidRPr="007E39A7" w:rsidRDefault="007E39A7" w:rsidP="008A7FC0">
      <w:pPr>
        <w:pStyle w:val="ListParagraph"/>
        <w:numPr>
          <w:ilvl w:val="1"/>
          <w:numId w:val="9"/>
        </w:numPr>
        <w:ind w:left="851" w:hanging="425"/>
      </w:pPr>
      <w:r w:rsidRPr="007E39A7">
        <w:t>Particular attention is given to improvements that will lead to an increased reduction in greenhouse gas emissions.</w:t>
      </w:r>
    </w:p>
    <w:p w:rsidR="007E39A7" w:rsidRPr="007E39A7" w:rsidRDefault="007E39A7" w:rsidP="008A7FC0">
      <w:pPr>
        <w:pStyle w:val="ListParagraph"/>
        <w:numPr>
          <w:ilvl w:val="0"/>
          <w:numId w:val="9"/>
        </w:numPr>
        <w:ind w:left="426" w:hanging="426"/>
      </w:pPr>
      <w:r w:rsidRPr="007E39A7">
        <w:t xml:space="preserve">Implementation and transition actions to facilitate improvements to the </w:t>
      </w:r>
      <w:r w:rsidR="00935EB4">
        <w:t xml:space="preserve">GEMS </w:t>
      </w:r>
      <w:r w:rsidRPr="007E39A7">
        <w:t>Act identified at point 2.</w:t>
      </w:r>
    </w:p>
    <w:p w:rsidR="007E39A7" w:rsidRPr="007E39A7" w:rsidRDefault="007E39A7" w:rsidP="008A7FC0">
      <w:pPr>
        <w:pStyle w:val="ListParagraph"/>
        <w:numPr>
          <w:ilvl w:val="0"/>
          <w:numId w:val="9"/>
        </w:numPr>
        <w:ind w:left="426" w:hanging="426"/>
      </w:pPr>
      <w:r w:rsidRPr="007E39A7">
        <w:t>Any other matters including environmental, cost, technical and regulatory issues relevant to the operation of the</w:t>
      </w:r>
      <w:r w:rsidR="00935EB4">
        <w:t xml:space="preserve"> GEMS</w:t>
      </w:r>
      <w:r w:rsidRPr="007E39A7">
        <w:t xml:space="preserve"> Act. </w:t>
      </w:r>
    </w:p>
    <w:p w:rsidR="007E39A7" w:rsidRPr="007E39A7" w:rsidRDefault="007E39A7" w:rsidP="00F740A0">
      <w:r w:rsidRPr="007E39A7">
        <w:t xml:space="preserve">The </w:t>
      </w:r>
      <w:r w:rsidR="008C238F" w:rsidRPr="007E39A7">
        <w:t xml:space="preserve">terms of reference </w:t>
      </w:r>
      <w:r w:rsidRPr="007E39A7">
        <w:t xml:space="preserve">specifically require the </w:t>
      </w:r>
      <w:r w:rsidR="008C238F" w:rsidRPr="007E39A7">
        <w:t xml:space="preserve">independent reviewer </w:t>
      </w:r>
      <w:r w:rsidRPr="007E39A7">
        <w:t xml:space="preserve">to consider the following issues in relation to the GEMS Act: </w:t>
      </w:r>
    </w:p>
    <w:p w:rsidR="007E39A7" w:rsidRPr="007E39A7" w:rsidRDefault="007E39A7" w:rsidP="008A7FC0">
      <w:pPr>
        <w:pStyle w:val="ListParagraph"/>
        <w:numPr>
          <w:ilvl w:val="0"/>
          <w:numId w:val="8"/>
        </w:numPr>
        <w:ind w:left="426" w:hanging="426"/>
      </w:pPr>
      <w:r w:rsidRPr="007E39A7">
        <w:t xml:space="preserve">The level of actual and required agility of the </w:t>
      </w:r>
      <w:r w:rsidR="00935EB4">
        <w:t xml:space="preserve">GEMS </w:t>
      </w:r>
      <w:r w:rsidRPr="007E39A7">
        <w:t>Act to respond to changing dynamics (for example, technological changes, increasing proportion of online sales, integrated products, less specific product categories).</w:t>
      </w:r>
    </w:p>
    <w:p w:rsidR="007E39A7" w:rsidRPr="007E39A7" w:rsidRDefault="007E39A7" w:rsidP="008A7FC0">
      <w:pPr>
        <w:pStyle w:val="ListParagraph"/>
        <w:numPr>
          <w:ilvl w:val="0"/>
          <w:numId w:val="8"/>
        </w:numPr>
        <w:ind w:left="426" w:hanging="426"/>
      </w:pPr>
      <w:r w:rsidRPr="007E39A7">
        <w:t xml:space="preserve">The ability of the </w:t>
      </w:r>
      <w:r w:rsidR="00935EB4">
        <w:t xml:space="preserve">GEMS </w:t>
      </w:r>
      <w:r w:rsidRPr="007E39A7">
        <w:t xml:space="preserve">Act to provide for adequate compliance arrangements for new and bespoke products. </w:t>
      </w:r>
    </w:p>
    <w:p w:rsidR="007E39A7" w:rsidRPr="007E39A7" w:rsidRDefault="007E39A7" w:rsidP="008A7FC0">
      <w:pPr>
        <w:pStyle w:val="ListParagraph"/>
        <w:numPr>
          <w:ilvl w:val="0"/>
          <w:numId w:val="8"/>
        </w:numPr>
        <w:ind w:left="426" w:hanging="426"/>
      </w:pPr>
      <w:r w:rsidRPr="007E39A7">
        <w:t xml:space="preserve">Administrative challenges (current and anticipated) faced by businesses and the GEMS Regulator. </w:t>
      </w:r>
    </w:p>
    <w:p w:rsidR="007E39A7" w:rsidRPr="007E39A7" w:rsidRDefault="007E39A7" w:rsidP="008A7FC0">
      <w:pPr>
        <w:pStyle w:val="ListParagraph"/>
        <w:numPr>
          <w:ilvl w:val="0"/>
          <w:numId w:val="8"/>
        </w:numPr>
        <w:ind w:left="426" w:hanging="426"/>
      </w:pPr>
      <w:r w:rsidRPr="007E39A7">
        <w:t xml:space="preserve">Whether there is a role for guidance about when mandatory standards are more useful and when other approaches might be more suitable. </w:t>
      </w:r>
    </w:p>
    <w:p w:rsidR="007E39A7" w:rsidRPr="007E39A7" w:rsidRDefault="007E39A7" w:rsidP="00F740A0">
      <w:pPr>
        <w:pStyle w:val="Heading2"/>
      </w:pPr>
      <w:bookmarkStart w:id="20" w:name="_Toc517621125"/>
      <w:bookmarkStart w:id="21" w:name="_Toc18660965"/>
      <w:r w:rsidRPr="007E39A7">
        <w:lastRenderedPageBreak/>
        <w:t>1.4</w:t>
      </w:r>
      <w:r w:rsidRPr="007E39A7">
        <w:tab/>
        <w:t>Methodology</w:t>
      </w:r>
      <w:bookmarkEnd w:id="20"/>
      <w:bookmarkEnd w:id="21"/>
    </w:p>
    <w:p w:rsidR="007E39A7" w:rsidRPr="007E39A7" w:rsidRDefault="007E39A7" w:rsidP="00F740A0">
      <w:r w:rsidRPr="007E39A7">
        <w:t xml:space="preserve">This review assesses the performance of the </w:t>
      </w:r>
      <w:r w:rsidR="00935EB4">
        <w:t xml:space="preserve">GEMS </w:t>
      </w:r>
      <w:r w:rsidRPr="007E39A7">
        <w:t>Act in terms of</w:t>
      </w:r>
      <w:r w:rsidR="00825694">
        <w:t xml:space="preserve"> its</w:t>
      </w:r>
      <w:r w:rsidRPr="007E39A7">
        <w:t>:</w:t>
      </w:r>
    </w:p>
    <w:p w:rsidR="007E39A7" w:rsidRPr="007E39A7" w:rsidRDefault="007E39A7" w:rsidP="008A7FC0">
      <w:pPr>
        <w:pStyle w:val="ListParagraph"/>
        <w:numPr>
          <w:ilvl w:val="0"/>
          <w:numId w:val="8"/>
        </w:numPr>
        <w:ind w:left="426" w:hanging="426"/>
      </w:pPr>
      <w:r w:rsidRPr="007E39A7">
        <w:t>efficacy compared with the previous state based regimes</w:t>
      </w:r>
      <w:r w:rsidR="00B71210">
        <w:t>.</w:t>
      </w:r>
    </w:p>
    <w:p w:rsidR="007E39A7" w:rsidRPr="007E39A7" w:rsidRDefault="007E39A7" w:rsidP="008A7FC0">
      <w:pPr>
        <w:pStyle w:val="ListParagraph"/>
        <w:numPr>
          <w:ilvl w:val="0"/>
          <w:numId w:val="8"/>
        </w:numPr>
        <w:ind w:left="426" w:hanging="426"/>
      </w:pPr>
      <w:r w:rsidRPr="007E39A7">
        <w:t>ability to reduce energy use and emissions</w:t>
      </w:r>
      <w:r w:rsidR="00B71210">
        <w:t>.</w:t>
      </w:r>
    </w:p>
    <w:p w:rsidR="007E39A7" w:rsidRPr="007E39A7" w:rsidRDefault="007E39A7" w:rsidP="008A7FC0">
      <w:pPr>
        <w:pStyle w:val="ListParagraph"/>
        <w:numPr>
          <w:ilvl w:val="0"/>
          <w:numId w:val="8"/>
        </w:numPr>
        <w:ind w:left="426" w:hanging="426"/>
      </w:pPr>
      <w:r w:rsidRPr="007E39A7">
        <w:t>ability to reduce power bills for consumers and minimise regulatory costs on industry.</w:t>
      </w:r>
    </w:p>
    <w:p w:rsidR="007E39A7" w:rsidRPr="007E39A7" w:rsidRDefault="007E39A7" w:rsidP="00F740A0">
      <w:r w:rsidRPr="007E39A7">
        <w:t>In doing so, the review considers the problems identified in the Regulation</w:t>
      </w:r>
      <w:r w:rsidR="002C3104">
        <w:t xml:space="preserve"> </w:t>
      </w:r>
      <w:r w:rsidRPr="007E39A7">
        <w:t>Impact</w:t>
      </w:r>
      <w:r w:rsidR="002C3104">
        <w:t xml:space="preserve"> </w:t>
      </w:r>
      <w:r w:rsidRPr="007E39A7">
        <w:t xml:space="preserve">Statement (RIS) referred to in the </w:t>
      </w:r>
      <w:r w:rsidR="008C238F" w:rsidRPr="007E39A7">
        <w:t xml:space="preserve">explanatory memorandum </w:t>
      </w:r>
      <w:r w:rsidRPr="007E39A7">
        <w:t>that the GEMS Act was intended to address. These problems include those related to:</w:t>
      </w:r>
    </w:p>
    <w:p w:rsidR="007E39A7" w:rsidRPr="007E39A7" w:rsidRDefault="007E39A7" w:rsidP="008A7FC0">
      <w:pPr>
        <w:pStyle w:val="ListParagraph"/>
        <w:numPr>
          <w:ilvl w:val="0"/>
          <w:numId w:val="8"/>
        </w:numPr>
        <w:ind w:left="426" w:hanging="426"/>
      </w:pPr>
      <w:r w:rsidRPr="007E39A7">
        <w:t>the governance and administration of the program</w:t>
      </w:r>
      <w:r w:rsidR="00B71210">
        <w:t>.</w:t>
      </w:r>
    </w:p>
    <w:p w:rsidR="007E39A7" w:rsidRPr="007E39A7" w:rsidRDefault="007E39A7" w:rsidP="008A7FC0">
      <w:pPr>
        <w:pStyle w:val="ListParagraph"/>
        <w:numPr>
          <w:ilvl w:val="0"/>
          <w:numId w:val="8"/>
        </w:numPr>
        <w:ind w:left="426" w:hanging="426"/>
      </w:pPr>
      <w:r w:rsidRPr="007E39A7">
        <w:t>scope of the program and appropriate targeting of products</w:t>
      </w:r>
      <w:r w:rsidR="00B71210">
        <w:t>.</w:t>
      </w:r>
    </w:p>
    <w:p w:rsidR="007E39A7" w:rsidRPr="007E39A7" w:rsidRDefault="007E39A7" w:rsidP="008A7FC0">
      <w:pPr>
        <w:pStyle w:val="ListParagraph"/>
        <w:numPr>
          <w:ilvl w:val="0"/>
          <w:numId w:val="8"/>
        </w:numPr>
        <w:ind w:left="426" w:hanging="426"/>
      </w:pPr>
      <w:r w:rsidRPr="007E39A7">
        <w:t>associated environmental impacts</w:t>
      </w:r>
      <w:r w:rsidR="00B71210">
        <w:t>.</w:t>
      </w:r>
    </w:p>
    <w:p w:rsidR="007E39A7" w:rsidRPr="007E39A7" w:rsidRDefault="00B71210" w:rsidP="008A7FC0">
      <w:pPr>
        <w:pStyle w:val="ListParagraph"/>
        <w:numPr>
          <w:ilvl w:val="0"/>
          <w:numId w:val="8"/>
        </w:numPr>
        <w:ind w:left="426" w:hanging="426"/>
      </w:pPr>
      <w:r>
        <w:t>m</w:t>
      </w:r>
      <w:r w:rsidRPr="007E39A7">
        <w:t>onitoring</w:t>
      </w:r>
      <w:r>
        <w:t>.</w:t>
      </w:r>
    </w:p>
    <w:p w:rsidR="007E39A7" w:rsidRPr="007E39A7" w:rsidRDefault="007E39A7" w:rsidP="008A7FC0">
      <w:pPr>
        <w:pStyle w:val="ListParagraph"/>
        <w:numPr>
          <w:ilvl w:val="0"/>
          <w:numId w:val="8"/>
        </w:numPr>
        <w:ind w:left="426" w:hanging="426"/>
      </w:pPr>
      <w:r w:rsidRPr="007E39A7">
        <w:t>targeting information to purchasers.</w:t>
      </w:r>
    </w:p>
    <w:p w:rsidR="007E39A7" w:rsidRPr="007E39A7" w:rsidRDefault="007E39A7" w:rsidP="00F740A0">
      <w:r w:rsidRPr="007E39A7">
        <w:t xml:space="preserve">The assessment will focus primarily on standards and labelling interventions implemented through the GEMS Act. It will not review the Inter-Governmental Agreement for GEMS, as this was undertaken in the 2015 GEMS Review. </w:t>
      </w:r>
    </w:p>
    <w:p w:rsidR="007E39A7" w:rsidRPr="007E39A7" w:rsidRDefault="007E39A7" w:rsidP="00F740A0">
      <w:pPr>
        <w:pStyle w:val="Heading2"/>
      </w:pPr>
      <w:bookmarkStart w:id="22" w:name="_Toc517621126"/>
      <w:bookmarkStart w:id="23" w:name="_Toc18660966"/>
      <w:r w:rsidRPr="007E39A7">
        <w:t>1.5</w:t>
      </w:r>
      <w:r w:rsidRPr="007E39A7">
        <w:tab/>
        <w:t>Consultation</w:t>
      </w:r>
      <w:bookmarkEnd w:id="22"/>
      <w:bookmarkEnd w:id="23"/>
    </w:p>
    <w:p w:rsidR="008020BF" w:rsidRDefault="00846F49">
      <w:r>
        <w:t>Public consultation</w:t>
      </w:r>
      <w:r w:rsidR="002A0646">
        <w:t xml:space="preserve"> </w:t>
      </w:r>
      <w:r w:rsidR="0046523F">
        <w:t>was</w:t>
      </w:r>
      <w:r w:rsidR="002A0646">
        <w:t xml:space="preserve"> </w:t>
      </w:r>
      <w:r w:rsidR="00E94D18" w:rsidRPr="007E39A7">
        <w:t xml:space="preserve">important to </w:t>
      </w:r>
      <w:r w:rsidR="002A0646">
        <w:t>the</w:t>
      </w:r>
      <w:r w:rsidR="00E94D18">
        <w:t xml:space="preserve"> </w:t>
      </w:r>
      <w:r w:rsidR="00E94D18" w:rsidRPr="007E39A7">
        <w:t>assessment and</w:t>
      </w:r>
      <w:r w:rsidR="00E94D18">
        <w:t xml:space="preserve"> the</w:t>
      </w:r>
      <w:r w:rsidR="00E94D18" w:rsidRPr="007E39A7">
        <w:t xml:space="preserve"> outcomes of this review</w:t>
      </w:r>
      <w:r>
        <w:t>, with stakeholders providing a</w:t>
      </w:r>
      <w:r w:rsidR="00E94D18">
        <w:t xml:space="preserve"> diverse range of views</w:t>
      </w:r>
      <w:r w:rsidR="00461375" w:rsidRPr="007E39A7">
        <w:t xml:space="preserve"> through</w:t>
      </w:r>
      <w:r w:rsidR="008020BF">
        <w:t>:</w:t>
      </w:r>
      <w:r w:rsidR="00461375" w:rsidRPr="007E39A7">
        <w:t xml:space="preserve"> </w:t>
      </w:r>
    </w:p>
    <w:p w:rsidR="00461375" w:rsidRDefault="008020BF" w:rsidP="003F6F3E">
      <w:pPr>
        <w:pStyle w:val="ListBullet"/>
      </w:pPr>
      <w:r>
        <w:t>W</w:t>
      </w:r>
      <w:r w:rsidR="00461375" w:rsidRPr="007E39A7">
        <w:t xml:space="preserve">ritten submissions on the </w:t>
      </w:r>
      <w:r w:rsidR="00825694">
        <w:t xml:space="preserve">review </w:t>
      </w:r>
      <w:r w:rsidR="0050272B" w:rsidRPr="007E39A7">
        <w:t>discussion paper</w:t>
      </w:r>
      <w:r w:rsidR="00825694">
        <w:t>, released on 1 March 2018</w:t>
      </w:r>
      <w:r w:rsidR="00461375" w:rsidRPr="007E39A7">
        <w:t>.</w:t>
      </w:r>
    </w:p>
    <w:p w:rsidR="00461375" w:rsidRDefault="008020BF" w:rsidP="003F6F3E">
      <w:pPr>
        <w:pStyle w:val="ListBullet"/>
      </w:pPr>
      <w:r>
        <w:t>Independent reviewer b</w:t>
      </w:r>
      <w:r w:rsidR="007E39A7" w:rsidRPr="007E39A7">
        <w:t>riefing</w:t>
      </w:r>
      <w:r>
        <w:t>s</w:t>
      </w:r>
      <w:r w:rsidR="007E39A7" w:rsidRPr="007E39A7">
        <w:t xml:space="preserve"> to </w:t>
      </w:r>
      <w:r w:rsidR="002C3104">
        <w:t xml:space="preserve">state and territory </w:t>
      </w:r>
      <w:r w:rsidR="00461375">
        <w:t>governments on 19</w:t>
      </w:r>
      <w:r>
        <w:t> </w:t>
      </w:r>
      <w:r w:rsidR="00461375">
        <w:t>March</w:t>
      </w:r>
      <w:r>
        <w:t> </w:t>
      </w:r>
      <w:r w:rsidR="00461375">
        <w:t xml:space="preserve">2018 and industry </w:t>
      </w:r>
      <w:r w:rsidR="007E39A7" w:rsidRPr="007E39A7">
        <w:t>stakeholders on 20 March 2018</w:t>
      </w:r>
      <w:r w:rsidR="00461375">
        <w:t>.</w:t>
      </w:r>
    </w:p>
    <w:p w:rsidR="008020BF" w:rsidRDefault="008020BF" w:rsidP="003F6F3E">
      <w:pPr>
        <w:pStyle w:val="ListBullet"/>
      </w:pPr>
      <w:r>
        <w:t>A</w:t>
      </w:r>
      <w:r w:rsidR="002C3104" w:rsidRPr="007E39A7">
        <w:t xml:space="preserve"> round table </w:t>
      </w:r>
      <w:r w:rsidR="007E39A7" w:rsidRPr="007E39A7">
        <w:t>with representatives from industry associations on 21 May 2018</w:t>
      </w:r>
      <w:r>
        <w:t>.</w:t>
      </w:r>
      <w:r w:rsidR="007E39A7" w:rsidRPr="007E39A7">
        <w:t xml:space="preserve"> </w:t>
      </w:r>
    </w:p>
    <w:p w:rsidR="00461375" w:rsidRDefault="008020BF" w:rsidP="003F6F3E">
      <w:pPr>
        <w:pStyle w:val="ListBullet"/>
      </w:pPr>
      <w:r>
        <w:t>O</w:t>
      </w:r>
      <w:r w:rsidR="007E39A7" w:rsidRPr="007E39A7">
        <w:t xml:space="preserve">ne-on-one meetings with interested stakeholders (who </w:t>
      </w:r>
      <w:r w:rsidR="00461375">
        <w:t xml:space="preserve">had previously </w:t>
      </w:r>
      <w:r w:rsidR="007E39A7" w:rsidRPr="007E39A7">
        <w:t>provided submissions) throughout June</w:t>
      </w:r>
      <w:r w:rsidR="002C3104">
        <w:t>, July</w:t>
      </w:r>
      <w:r w:rsidR="007E39A7" w:rsidRPr="007E39A7">
        <w:t xml:space="preserve"> </w:t>
      </w:r>
      <w:r w:rsidR="00400FDA">
        <w:t xml:space="preserve">and early </w:t>
      </w:r>
      <w:r w:rsidR="002C3104">
        <w:t>August</w:t>
      </w:r>
      <w:r w:rsidR="00400FDA">
        <w:t xml:space="preserve"> </w:t>
      </w:r>
      <w:r w:rsidR="007E39A7" w:rsidRPr="007E39A7">
        <w:t xml:space="preserve">2018. </w:t>
      </w:r>
    </w:p>
    <w:p w:rsidR="002A0646" w:rsidRDefault="008020BF" w:rsidP="003F6F3E">
      <w:pPr>
        <w:pStyle w:val="ListBullet"/>
      </w:pPr>
      <w:r>
        <w:t>W</w:t>
      </w:r>
      <w:r w:rsidR="00E94D18" w:rsidRPr="007E39A7">
        <w:t>ritten submission</w:t>
      </w:r>
      <w:r>
        <w:t>s</w:t>
      </w:r>
      <w:r w:rsidR="00E94D18" w:rsidRPr="007E39A7">
        <w:t xml:space="preserve"> on the </w:t>
      </w:r>
      <w:r w:rsidR="0050272B" w:rsidRPr="007E39A7">
        <w:t>draft report</w:t>
      </w:r>
      <w:r>
        <w:t xml:space="preserve">, released </w:t>
      </w:r>
      <w:r w:rsidR="003F6F3E">
        <w:t>13</w:t>
      </w:r>
      <w:r>
        <w:t xml:space="preserve"> November 2018.</w:t>
      </w:r>
    </w:p>
    <w:p w:rsidR="007E39A7" w:rsidRPr="007E39A7" w:rsidRDefault="008020BF" w:rsidP="003F6F3E">
      <w:pPr>
        <w:pStyle w:val="ListBullet"/>
      </w:pPr>
      <w:r>
        <w:t>P</w:t>
      </w:r>
      <w:r w:rsidR="00E94D18" w:rsidRPr="007E39A7">
        <w:t xml:space="preserve">ublic consultation sessions on the </w:t>
      </w:r>
      <w:r w:rsidR="0050272B" w:rsidRPr="007E39A7">
        <w:t>draft report</w:t>
      </w:r>
      <w:r>
        <w:t>,</w:t>
      </w:r>
      <w:r w:rsidR="00E94D18" w:rsidRPr="007E39A7">
        <w:t xml:space="preserve"> </w:t>
      </w:r>
      <w:r>
        <w:t>held in Canberra, Sydney and Melbourne i</w:t>
      </w:r>
      <w:r w:rsidR="002A0646">
        <w:t>n December 2018</w:t>
      </w:r>
      <w:r w:rsidR="00E94D18" w:rsidRPr="007E39A7">
        <w:t>.</w:t>
      </w:r>
    </w:p>
    <w:p w:rsidR="007E39A7" w:rsidRPr="007E39A7" w:rsidRDefault="007E39A7" w:rsidP="00F740A0">
      <w:pPr>
        <w:pStyle w:val="Heading2"/>
      </w:pPr>
      <w:bookmarkStart w:id="24" w:name="_Toc517621127"/>
      <w:bookmarkStart w:id="25" w:name="_Toc18660967"/>
      <w:r w:rsidRPr="007E39A7">
        <w:t>1.6</w:t>
      </w:r>
      <w:r w:rsidRPr="007E39A7">
        <w:tab/>
        <w:t>Out-of-scope stakeholder issues</w:t>
      </w:r>
      <w:bookmarkEnd w:id="24"/>
      <w:bookmarkEnd w:id="25"/>
    </w:p>
    <w:p w:rsidR="007E39A7" w:rsidRPr="007E39A7" w:rsidRDefault="007E39A7" w:rsidP="00F740A0">
      <w:r w:rsidRPr="007E39A7">
        <w:t>Stakeholders have raised several issues that are beyond the scope of this review, including:</w:t>
      </w:r>
    </w:p>
    <w:p w:rsidR="007E39A7" w:rsidRPr="00B71210" w:rsidRDefault="007E39A7" w:rsidP="00F740A0">
      <w:pPr>
        <w:pStyle w:val="ListBullet"/>
      </w:pPr>
      <w:r w:rsidRPr="00227EBA">
        <w:t>Broader government regulatory policies</w:t>
      </w:r>
      <w:r w:rsidR="00B71210" w:rsidRPr="00227EBA">
        <w:t>:</w:t>
      </w:r>
    </w:p>
    <w:p w:rsidR="007E39A7" w:rsidRPr="00227EBA" w:rsidRDefault="007E39A7" w:rsidP="008A7FC0">
      <w:pPr>
        <w:pStyle w:val="ListParagraph"/>
        <w:numPr>
          <w:ilvl w:val="0"/>
          <w:numId w:val="13"/>
        </w:numPr>
        <w:ind w:left="851" w:hanging="284"/>
      </w:pPr>
      <w:r w:rsidRPr="00B71210">
        <w:t>The Australian Government’s cost recovery policy, as stated in the Australian Government Cost Recovery Guidelines</w:t>
      </w:r>
      <w:r w:rsidR="00B71210" w:rsidRPr="003442DC">
        <w:t>.</w:t>
      </w:r>
    </w:p>
    <w:p w:rsidR="007E39A7" w:rsidRPr="00B71210" w:rsidRDefault="007E39A7" w:rsidP="008A7FC0">
      <w:pPr>
        <w:pStyle w:val="ListParagraph"/>
        <w:numPr>
          <w:ilvl w:val="0"/>
          <w:numId w:val="13"/>
        </w:numPr>
        <w:ind w:left="851" w:hanging="284"/>
      </w:pPr>
      <w:r w:rsidRPr="00227EBA">
        <w:lastRenderedPageBreak/>
        <w:t>The key principle for Australian Government policy makers that, “The cost burden of new regulation must be fully offset by reductions in existing regulatory burden”</w:t>
      </w:r>
      <w:r w:rsidR="00B71210" w:rsidRPr="003442DC">
        <w:t>.</w:t>
      </w:r>
      <w:r w:rsidRPr="00227EBA">
        <w:rPr>
          <w:vertAlign w:val="superscript"/>
        </w:rPr>
        <w:footnoteReference w:id="3"/>
      </w:r>
    </w:p>
    <w:p w:rsidR="007E39A7" w:rsidRPr="00C37C97" w:rsidRDefault="00C37C97" w:rsidP="00F740A0">
      <w:pPr>
        <w:pStyle w:val="ListBullet"/>
      </w:pPr>
      <w:r w:rsidRPr="00B71210">
        <w:t>Determination of</w:t>
      </w:r>
      <w:r w:rsidR="007E39A7" w:rsidRPr="00B71210">
        <w:t xml:space="preserve"> the fees associated with the delivery of registration and</w:t>
      </w:r>
      <w:r w:rsidR="007E39A7" w:rsidRPr="00C37C97">
        <w:t xml:space="preserve"> compliance services under the GEMS Act</w:t>
      </w:r>
      <w:r w:rsidR="00B71210">
        <w:t>:</w:t>
      </w:r>
    </w:p>
    <w:p w:rsidR="007E39A7" w:rsidRPr="00C37C97" w:rsidRDefault="007E39A7" w:rsidP="008A7FC0">
      <w:pPr>
        <w:pStyle w:val="ListBullet2"/>
        <w:numPr>
          <w:ilvl w:val="1"/>
          <w:numId w:val="30"/>
        </w:numPr>
        <w:ind w:left="851" w:hanging="425"/>
      </w:pPr>
      <w:r w:rsidRPr="00C37C97">
        <w:t>The Department of the Environment and Energy is undertaking a separate</w:t>
      </w:r>
      <w:r w:rsidR="00825694">
        <w:t xml:space="preserve"> registration</w:t>
      </w:r>
      <w:r w:rsidRPr="00C37C97">
        <w:t xml:space="preserve"> fee review.</w:t>
      </w:r>
      <w:r w:rsidR="00825694">
        <w:rPr>
          <w:rStyle w:val="FootnoteReference"/>
        </w:rPr>
        <w:footnoteReference w:id="4"/>
      </w:r>
      <w:r w:rsidRPr="00C37C97">
        <w:t xml:space="preserve"> </w:t>
      </w:r>
    </w:p>
    <w:p w:rsidR="00E50E8A" w:rsidRPr="00C37C97" w:rsidRDefault="00E50E8A" w:rsidP="00F740A0">
      <w:r w:rsidRPr="00C37C97">
        <w:t xml:space="preserve">The </w:t>
      </w:r>
      <w:r w:rsidR="008C238F">
        <w:t>r</w:t>
      </w:r>
      <w:r w:rsidR="008C238F" w:rsidRPr="00C37C97">
        <w:t xml:space="preserve">eview </w:t>
      </w:r>
      <w:r w:rsidRPr="00C37C97">
        <w:t xml:space="preserve">does, however, consider issues which are relevant to fees </w:t>
      </w:r>
      <w:r w:rsidR="00C37C97" w:rsidRPr="00C37C97">
        <w:t>including the approach to registration and the balance of activities for which costs are recovered through the fees.</w:t>
      </w:r>
    </w:p>
    <w:p w:rsidR="007E39A7" w:rsidRPr="00F740A0" w:rsidRDefault="007E39A7" w:rsidP="00F740A0">
      <w:pPr>
        <w:pStyle w:val="Heading1"/>
      </w:pPr>
      <w:bookmarkStart w:id="26" w:name="_Toc517621128"/>
      <w:bookmarkStart w:id="27" w:name="_Toc18660968"/>
      <w:r w:rsidRPr="00F740A0">
        <w:lastRenderedPageBreak/>
        <w:t>2.</w:t>
      </w:r>
      <w:r w:rsidRPr="00F740A0">
        <w:tab/>
        <w:t>Summary of provisions, and operation of, the GEMS Act</w:t>
      </w:r>
      <w:bookmarkEnd w:id="26"/>
      <w:bookmarkEnd w:id="27"/>
    </w:p>
    <w:p w:rsidR="007E39A7" w:rsidRPr="007E39A7" w:rsidRDefault="007E39A7" w:rsidP="00F740A0">
      <w:pPr>
        <w:pStyle w:val="Heading2"/>
      </w:pPr>
      <w:bookmarkStart w:id="28" w:name="_Toc517621129"/>
      <w:bookmarkStart w:id="29" w:name="_Toc18660969"/>
      <w:r w:rsidRPr="007E39A7">
        <w:t xml:space="preserve">2.1 </w:t>
      </w:r>
      <w:r w:rsidRPr="007E39A7">
        <w:tab/>
        <w:t>Purpose of the legislation</w:t>
      </w:r>
      <w:bookmarkEnd w:id="28"/>
      <w:bookmarkEnd w:id="29"/>
    </w:p>
    <w:p w:rsidR="007E39A7" w:rsidRPr="007E39A7" w:rsidRDefault="007E39A7" w:rsidP="00F740A0">
      <w:r w:rsidRPr="007E39A7">
        <w:t xml:space="preserve">The GEMS Act implemented a commitment by the Australian Government and the Council of Australian Governments (COAG) to establish national legislation to regulate energy efficiency and labelling standards for appliances and equipment. The national framework replaced seven separate state and territory legislative frameworks. The national legislation permits the Australian Government to set mandatory minimum efficiency requirements for products, which help drive greater energy efficiency and exclude the poorest performing products from the market. The GEMS Act also allows the Australian Government to set nationally-consistent labelling requirements to increase </w:t>
      </w:r>
      <w:r w:rsidR="004F06CA">
        <w:t>consumers’</w:t>
      </w:r>
      <w:r w:rsidR="004F06CA" w:rsidRPr="007E39A7">
        <w:t xml:space="preserve"> </w:t>
      </w:r>
      <w:r w:rsidRPr="007E39A7">
        <w:t xml:space="preserve">awareness of options to improve energy efficiency and reduce energy consumption, energy costs and greenhouse gas emissions. </w:t>
      </w:r>
    </w:p>
    <w:p w:rsidR="007E39A7" w:rsidRPr="00C743A5" w:rsidRDefault="007E39A7" w:rsidP="00F740A0">
      <w:pPr>
        <w:rPr>
          <w:b/>
          <w:bCs/>
        </w:rPr>
      </w:pPr>
      <w:r w:rsidRPr="007E39A7">
        <w:t xml:space="preserve">The GEMS Act is the underpinning legislation for </w:t>
      </w:r>
      <w:r w:rsidR="002F0D6E">
        <w:t>COAG’s</w:t>
      </w:r>
      <w:r w:rsidR="002F0D6E" w:rsidRPr="007E39A7">
        <w:t xml:space="preserve"> </w:t>
      </w:r>
      <w:r w:rsidRPr="007E39A7">
        <w:t xml:space="preserve">Equipment Energy Efficiency (E3) Program. </w:t>
      </w:r>
      <w:r w:rsidR="004F06CA">
        <w:t>C</w:t>
      </w:r>
      <w:r w:rsidRPr="007E39A7">
        <w:t>ommenced in 1992,</w:t>
      </w:r>
      <w:r w:rsidR="004F06CA">
        <w:t xml:space="preserve"> E3</w:t>
      </w:r>
      <w:r w:rsidRPr="007E39A7">
        <w:t xml:space="preserve"> is a cross-jurisdictional program through which </w:t>
      </w:r>
      <w:r w:rsidRPr="00B71210">
        <w:t xml:space="preserve">the Australian </w:t>
      </w:r>
      <w:r w:rsidR="00303EF8" w:rsidRPr="003442DC">
        <w:t>G</w:t>
      </w:r>
      <w:r w:rsidR="00303EF8" w:rsidRPr="00B71210">
        <w:t>overnment</w:t>
      </w:r>
      <w:r w:rsidRPr="00B71210">
        <w:t xml:space="preserve">, </w:t>
      </w:r>
      <w:r w:rsidR="004F06CA" w:rsidRPr="00227EBA">
        <w:t xml:space="preserve">state and territory governments </w:t>
      </w:r>
      <w:r w:rsidRPr="00227EBA">
        <w:t xml:space="preserve">and the New Zealand </w:t>
      </w:r>
      <w:r w:rsidR="00303EF8" w:rsidRPr="003442DC">
        <w:t>G</w:t>
      </w:r>
      <w:r w:rsidR="00303EF8" w:rsidRPr="00B71210">
        <w:t xml:space="preserve">overnment </w:t>
      </w:r>
      <w:r w:rsidRPr="00B71210">
        <w:t>c</w:t>
      </w:r>
      <w:r w:rsidRPr="00227EBA">
        <w:t>ollaborate</w:t>
      </w:r>
      <w:r w:rsidRPr="007E39A7">
        <w:t xml:space="preserve"> to deliver a single, integrated program on energy efficiency standards and energy labelling for equipment and appliances.</w:t>
      </w:r>
      <w:r w:rsidR="004F06CA" w:rsidRPr="007E39A7">
        <w:rPr>
          <w:vertAlign w:val="superscript"/>
        </w:rPr>
        <w:footnoteReference w:id="5"/>
      </w:r>
      <w:r w:rsidRPr="007E39A7">
        <w:t xml:space="preserve"> The program currently regulates 22 products by way of Minimum Energy Performance Standards (MEPS) and the Energy Rating Label (ERL) </w:t>
      </w:r>
      <w:r w:rsidR="00B66BBA">
        <w:t>(</w:t>
      </w:r>
      <w:r w:rsidRPr="00F740A0">
        <w:t>see</w:t>
      </w:r>
      <w:r w:rsidRPr="00C743A5">
        <w:rPr>
          <w:b/>
          <w:bCs/>
        </w:rPr>
        <w:t xml:space="preserve"> Section 2.</w:t>
      </w:r>
      <w:r w:rsidR="00512C0C" w:rsidRPr="00C743A5">
        <w:rPr>
          <w:b/>
          <w:bCs/>
        </w:rPr>
        <w:t>4</w:t>
      </w:r>
      <w:r w:rsidR="00B66BBA" w:rsidRPr="00F740A0">
        <w:t>)</w:t>
      </w:r>
      <w:r w:rsidRPr="00F740A0">
        <w:t>.</w:t>
      </w:r>
    </w:p>
    <w:p w:rsidR="00B87A8F" w:rsidRDefault="007E39A7" w:rsidP="00F740A0">
      <w:r w:rsidRPr="007E39A7">
        <w:t xml:space="preserve">The GEMS Act also gave effect to certain commitments under the United Nations Framework Convention on Climate Change </w:t>
      </w:r>
      <w:r w:rsidR="00512C0C">
        <w:t xml:space="preserve">(UNFCCC) </w:t>
      </w:r>
      <w:r w:rsidRPr="007E39A7">
        <w:t xml:space="preserve">to adopt national policies and measures to mitigate climate change and limit Australia’s emissions of greenhouse gases. </w:t>
      </w:r>
    </w:p>
    <w:p w:rsidR="007E39A7" w:rsidRPr="007E39A7" w:rsidRDefault="002F301D" w:rsidP="00F740A0">
      <w:pPr>
        <w:rPr>
          <w:color w:val="0000FF" w:themeColor="hyperlink"/>
          <w:u w:val="single"/>
        </w:rPr>
      </w:pPr>
      <w:r>
        <w:rPr>
          <w:noProof/>
          <w:lang w:eastAsia="en-AU"/>
        </w:rPr>
        <mc:AlternateContent>
          <mc:Choice Requires="wps">
            <w:drawing>
              <wp:anchor distT="45720" distB="45720" distL="114300" distR="114300" simplePos="0" relativeHeight="251654656" behindDoc="0" locked="0" layoutInCell="1" allowOverlap="1">
                <wp:simplePos x="0" y="0"/>
                <wp:positionH relativeFrom="column">
                  <wp:posOffset>26894</wp:posOffset>
                </wp:positionH>
                <wp:positionV relativeFrom="paragraph">
                  <wp:posOffset>293893</wp:posOffset>
                </wp:positionV>
                <wp:extent cx="5843905" cy="3240741"/>
                <wp:effectExtent l="0" t="0" r="1079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43905" cy="3240741"/>
                        </a:xfrm>
                        <a:prstGeom prst="rect">
                          <a:avLst/>
                        </a:prstGeom>
                        <a:solidFill>
                          <a:srgbClr val="FFFFFF"/>
                        </a:solidFill>
                        <a:ln w="9525">
                          <a:solidFill>
                            <a:srgbClr val="000000"/>
                          </a:solidFill>
                          <a:miter lim="800000"/>
                          <a:headEnd/>
                          <a:tailEnd/>
                        </a:ln>
                      </wps:spPr>
                      <wps:txbx>
                        <w:txbxContent>
                          <w:p w:rsidR="00646A05" w:rsidRPr="004E675B" w:rsidRDefault="00646A05" w:rsidP="00B44994">
                            <w:pPr>
                              <w:pStyle w:val="ListNumber"/>
                              <w:rPr>
                                <w:rStyle w:val="Emphasis"/>
                                <w:sz w:val="22"/>
                              </w:rPr>
                            </w:pPr>
                            <w:r w:rsidRPr="004E675B">
                              <w:rPr>
                                <w:rStyle w:val="Emphasis"/>
                                <w:sz w:val="22"/>
                              </w:rPr>
                              <w:t>Box 1: Rationale for transition to national legislation</w:t>
                            </w:r>
                          </w:p>
                          <w:p w:rsidR="00646A05" w:rsidRPr="004E675B" w:rsidRDefault="00646A05" w:rsidP="00B44994">
                            <w:pPr>
                              <w:rPr>
                                <w:sz w:val="22"/>
                              </w:rPr>
                            </w:pPr>
                            <w:r w:rsidRPr="004E675B">
                              <w:rPr>
                                <w:sz w:val="22"/>
                              </w:rPr>
                              <w:t xml:space="preserve">The evolving expansion of E3 under separate state and territory laws resulted in inconsistencies which increased the regulatory burden for businesses and government agencies. These included: </w:t>
                            </w:r>
                          </w:p>
                          <w:p w:rsidR="00646A05" w:rsidRPr="004E675B" w:rsidRDefault="00646A05" w:rsidP="001875E6">
                            <w:pPr>
                              <w:pStyle w:val="ListBullet"/>
                              <w:rPr>
                                <w:sz w:val="22"/>
                              </w:rPr>
                            </w:pPr>
                            <w:r w:rsidRPr="004E675B">
                              <w:rPr>
                                <w:sz w:val="22"/>
                              </w:rPr>
                              <w:t xml:space="preserve">a lack of coordination of the implementation date for agreed regulations </w:t>
                            </w:r>
                          </w:p>
                          <w:p w:rsidR="00646A05" w:rsidRPr="004E675B" w:rsidRDefault="00646A05" w:rsidP="001875E6">
                            <w:pPr>
                              <w:pStyle w:val="ListBullet"/>
                              <w:rPr>
                                <w:sz w:val="22"/>
                              </w:rPr>
                            </w:pPr>
                            <w:r w:rsidRPr="004E675B">
                              <w:rPr>
                                <w:sz w:val="22"/>
                              </w:rPr>
                              <w:t xml:space="preserve">some jurisdictions implementing requirements that were more stringent than nationally agreed MEPS levels </w:t>
                            </w:r>
                          </w:p>
                          <w:p w:rsidR="00646A05" w:rsidRPr="004E675B" w:rsidRDefault="00646A05" w:rsidP="00522FE5">
                            <w:pPr>
                              <w:pStyle w:val="ListBullet"/>
                              <w:rPr>
                                <w:sz w:val="22"/>
                              </w:rPr>
                            </w:pPr>
                            <w:r w:rsidRPr="004E675B">
                              <w:rPr>
                                <w:sz w:val="22"/>
                              </w:rPr>
                              <w:t>differences in how registration, compliance and enforcement were dealt with between jurisdictions.</w:t>
                            </w:r>
                          </w:p>
                          <w:p w:rsidR="00646A05" w:rsidRPr="004E675B" w:rsidRDefault="00646A05" w:rsidP="00522FE5">
                            <w:pPr>
                              <w:rPr>
                                <w:sz w:val="22"/>
                              </w:rPr>
                            </w:pPr>
                            <w:r w:rsidRPr="004E675B">
                              <w:rPr>
                                <w:sz w:val="22"/>
                              </w:rPr>
                              <w:t xml:space="preserve">These issues resulted in delays in implementation, increased costs to industry and reduced benefits expected to flow to consumers. In response to these problems, a </w:t>
                            </w:r>
                            <w:r>
                              <w:rPr>
                                <w:sz w:val="22"/>
                              </w:rPr>
                              <w:t>R</w:t>
                            </w:r>
                            <w:r w:rsidRPr="004E675B">
                              <w:rPr>
                                <w:sz w:val="22"/>
                              </w:rPr>
                              <w:t>IS process examined options to improve the regulatory framework. The RIS explored several framework options and concluded that the most cost-effective option was to establish a streamlined nationally-consistent regulatory framework.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_x0000_s1026" type="#_x0000_t202" style="position:absolute;margin-left:2.1pt;margin-top:23.15pt;width:460.15pt;height:255.2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">
                <v:path arrowok="t"/>
                <v:textbox>
                  <w:txbxContent>
                    <w:p w:rsidR="00646A05" w:rsidRPr="004E675B" w:rsidRDefault="00646A05" w:rsidP="00B44994">
                      <w:pPr>
                        <w:pStyle w:val="ListNumber"/>
                        <w:rPr>
                          <w:rStyle w:val="Emphasis"/>
                          <w:sz w:val="22"/>
                        </w:rPr>
                      </w:pPr>
                      <w:r w:rsidRPr="004E675B">
                        <w:rPr>
                          <w:rStyle w:val="Emphasis"/>
                          <w:sz w:val="22"/>
                        </w:rPr>
                        <w:t>Box 1: Rationale for transition to national legislation</w:t>
                      </w:r>
                    </w:p>
                    <w:p w:rsidR="00646A05" w:rsidRPr="004E675B" w:rsidRDefault="00646A05" w:rsidP="00B44994">
                      <w:pPr>
                        <w:rPr>
                          <w:sz w:val="22"/>
                        </w:rPr>
                      </w:pPr>
                      <w:r w:rsidRPr="004E675B">
                        <w:rPr>
                          <w:sz w:val="22"/>
                        </w:rPr>
                        <w:t xml:space="preserve">The evolving expansion of E3 under separate state and territory laws resulted in inconsistencies which increased the regulatory burden for businesses and government agencies. These included: </w:t>
                      </w:r>
                    </w:p>
                    <w:p w:rsidR="00646A05" w:rsidRPr="004E675B" w:rsidRDefault="00646A05" w:rsidP="001875E6">
                      <w:pPr>
                        <w:pStyle w:val="ListBullet"/>
                        <w:rPr>
                          <w:sz w:val="22"/>
                        </w:rPr>
                      </w:pPr>
                      <w:r w:rsidRPr="004E675B">
                        <w:rPr>
                          <w:sz w:val="22"/>
                        </w:rPr>
                        <w:t xml:space="preserve">a lack of coordination of the implementation date for agreed regulations </w:t>
                      </w:r>
                    </w:p>
                    <w:p w:rsidR="00646A05" w:rsidRPr="004E675B" w:rsidRDefault="00646A05" w:rsidP="001875E6">
                      <w:pPr>
                        <w:pStyle w:val="ListBullet"/>
                        <w:rPr>
                          <w:sz w:val="22"/>
                        </w:rPr>
                      </w:pPr>
                      <w:r w:rsidRPr="004E675B">
                        <w:rPr>
                          <w:sz w:val="22"/>
                        </w:rPr>
                        <w:t xml:space="preserve">some jurisdictions implementing requirements that were more stringent than nationally agreed MEPS levels </w:t>
                      </w:r>
                    </w:p>
                    <w:p w:rsidR="00646A05" w:rsidRPr="004E675B" w:rsidRDefault="00646A05" w:rsidP="00522FE5">
                      <w:pPr>
                        <w:pStyle w:val="ListBullet"/>
                        <w:rPr>
                          <w:sz w:val="22"/>
                        </w:rPr>
                      </w:pPr>
                      <w:r w:rsidRPr="004E675B">
                        <w:rPr>
                          <w:sz w:val="22"/>
                        </w:rPr>
                        <w:t>differences in how registration, compliance and enforcement were dealt with between jurisdictions.</w:t>
                      </w:r>
                    </w:p>
                    <w:p w:rsidR="00646A05" w:rsidRPr="004E675B" w:rsidRDefault="00646A05" w:rsidP="00522FE5">
                      <w:pPr>
                        <w:rPr>
                          <w:sz w:val="22"/>
                        </w:rPr>
                      </w:pPr>
                      <w:r w:rsidRPr="004E675B">
                        <w:rPr>
                          <w:sz w:val="22"/>
                        </w:rPr>
                        <w:t xml:space="preserve">These issues resulted in delays in implementation, increased costs to industry and reduced benefits expected to flow to consumers. In response to these problems, a </w:t>
                      </w:r>
                      <w:r>
                        <w:rPr>
                          <w:sz w:val="22"/>
                        </w:rPr>
                        <w:t>R</w:t>
                      </w:r>
                      <w:r w:rsidRPr="004E675B">
                        <w:rPr>
                          <w:sz w:val="22"/>
                        </w:rPr>
                        <w:t>IS process examined options to improve the regulatory framework. The RIS explored several framework options and concluded that the most cost-effective option was to establish a streamlined nationally-consistent regulatory framework.</w:t>
                      </w:r>
                    </w:p>
                  </w:txbxContent>
                </v:textbox>
                <w10:wrap type="square"/>
              </v:shape>
            </w:pict>
          </mc:Fallback>
        </mc:AlternateContent>
      </w:r>
      <w:r w:rsidR="007E39A7" w:rsidRPr="007E39A7">
        <w:t xml:space="preserve">The GEMS Act is available at </w:t>
      </w:r>
      <w:hyperlink r:id="rId9" w:history="1">
        <w:r w:rsidR="007E39A7" w:rsidRPr="007E39A7">
          <w:rPr>
            <w:color w:val="0000FF" w:themeColor="hyperlink"/>
            <w:u w:val="single"/>
          </w:rPr>
          <w:t>https://www.legislation.gov.au/Details/C2012A00132</w:t>
        </w:r>
      </w:hyperlink>
      <w:r w:rsidR="007E39A7" w:rsidRPr="007E39A7">
        <w:rPr>
          <w:color w:val="0000FF" w:themeColor="hyperlink"/>
          <w:u w:val="single"/>
        </w:rPr>
        <w:t>.</w:t>
      </w:r>
    </w:p>
    <w:p w:rsidR="007E39A7" w:rsidRPr="005F3AF8" w:rsidRDefault="007E39A7" w:rsidP="00F740A0">
      <w:pPr>
        <w:pStyle w:val="Heading2"/>
      </w:pPr>
      <w:bookmarkStart w:id="30" w:name="_Toc517621130"/>
      <w:bookmarkStart w:id="31" w:name="_Toc18660970"/>
      <w:r w:rsidRPr="00F25EB7">
        <w:lastRenderedPageBreak/>
        <w:t>2.2</w:t>
      </w:r>
      <w:r w:rsidRPr="00F25EB7">
        <w:tab/>
        <w:t>Governance and administration</w:t>
      </w:r>
      <w:bookmarkEnd w:id="30"/>
      <w:bookmarkEnd w:id="31"/>
    </w:p>
    <w:p w:rsidR="007E39A7" w:rsidRPr="007E39A7" w:rsidRDefault="007E39A7" w:rsidP="00F740A0">
      <w:r w:rsidRPr="007E39A7">
        <w:t>An Inter-Governmental Agreement provides the framework for national cooperation on E3.</w:t>
      </w:r>
      <w:r w:rsidRPr="007E39A7">
        <w:rPr>
          <w:vertAlign w:val="superscript"/>
        </w:rPr>
        <w:footnoteReference w:id="6"/>
      </w:r>
      <w:r w:rsidRPr="007E39A7">
        <w:t xml:space="preserve"> A similar arrangement has also been developed to ensure alignment with New Zealand.</w:t>
      </w:r>
    </w:p>
    <w:p w:rsidR="007E39A7" w:rsidRPr="004C0DEC" w:rsidRDefault="007E39A7" w:rsidP="004C0DEC">
      <w:pPr>
        <w:rPr>
          <w:i/>
        </w:rPr>
      </w:pPr>
      <w:r w:rsidRPr="004C0DEC">
        <w:rPr>
          <w:i/>
        </w:rPr>
        <w:t>The GEMS Regulator</w:t>
      </w:r>
    </w:p>
    <w:p w:rsidR="007E39A7" w:rsidRDefault="007E39A7" w:rsidP="00F740A0">
      <w:r w:rsidRPr="007E39A7">
        <w:t>The GEMS Regulator is based in the Australian Government Department of the Environment and Energy and is responsible for administering the GEMS Act, maintaining the GEMS register, and monitoring and enforcing compliance with the Act. Performance of the GEMS Regulator is evaluated through an annual stakeholder survey, the Regulator Performance Framework</w:t>
      </w:r>
      <w:r w:rsidRPr="007E39A7">
        <w:rPr>
          <w:vertAlign w:val="superscript"/>
        </w:rPr>
        <w:footnoteReference w:id="7"/>
      </w:r>
      <w:r w:rsidRPr="007E39A7">
        <w:t xml:space="preserve"> and ongoing feedback from industry and consumer stakeholders.</w:t>
      </w:r>
    </w:p>
    <w:p w:rsidR="007E39A7" w:rsidRPr="004C0DEC" w:rsidRDefault="007E39A7" w:rsidP="004C0DEC">
      <w:pPr>
        <w:rPr>
          <w:i/>
        </w:rPr>
      </w:pPr>
      <w:r w:rsidRPr="004C0DEC">
        <w:rPr>
          <w:i/>
        </w:rPr>
        <w:t>Energy Efficiency Advisory Team</w:t>
      </w:r>
    </w:p>
    <w:p w:rsidR="007E39A7" w:rsidRDefault="00FA2BAE" w:rsidP="00F740A0">
      <w:r w:rsidRPr="00166BAD">
        <w:rPr>
          <w:iCs/>
        </w:rPr>
        <w:t xml:space="preserve">The Energy Efficiency Advisory Team (EEAT) provides strategic direction, guidance and oversight of the E3 Program </w:t>
      </w:r>
      <w:r>
        <w:rPr>
          <w:iCs/>
        </w:rPr>
        <w:t>as well as the</w:t>
      </w:r>
      <w:r w:rsidRPr="00166BAD">
        <w:rPr>
          <w:iCs/>
        </w:rPr>
        <w:t xml:space="preserve"> Nationwide House Energy Rating Scheme (NatHERS).</w:t>
      </w:r>
      <w:r>
        <w:rPr>
          <w:i/>
          <w:iCs/>
        </w:rPr>
        <w:t xml:space="preserve"> </w:t>
      </w:r>
      <w:r w:rsidR="007E39A7" w:rsidRPr="00B71210">
        <w:t xml:space="preserve">The EEAT is made up of representatives of </w:t>
      </w:r>
      <w:r w:rsidR="007E39A7" w:rsidRPr="00227EBA">
        <w:t xml:space="preserve">Australian, state and territory governments and the New Zealand </w:t>
      </w:r>
      <w:r w:rsidR="00303EF8" w:rsidRPr="003442DC">
        <w:t>G</w:t>
      </w:r>
      <w:r w:rsidR="00303EF8" w:rsidRPr="00B71210">
        <w:t>overnment</w:t>
      </w:r>
      <w:r w:rsidR="007E39A7" w:rsidRPr="00B71210">
        <w:t>.</w:t>
      </w:r>
      <w:r w:rsidR="007E39A7" w:rsidRPr="00227EBA">
        <w:t xml:space="preserve"> The EEAT recommends actions through the Senior Committee of Officials to the COAG Energy Council for decision.</w:t>
      </w:r>
      <w:r w:rsidR="00BF4C62" w:rsidRPr="00227EBA">
        <w:t xml:space="preserve"> The EEAT overse</w:t>
      </w:r>
      <w:r w:rsidR="00BF4C62" w:rsidRPr="00B71210">
        <w:t>es the E3 Committee and the E3 work program.</w:t>
      </w:r>
    </w:p>
    <w:p w:rsidR="00FA2BAE" w:rsidRDefault="00FA2BAE" w:rsidP="00F740A0">
      <w:pPr>
        <w:rPr>
          <w:i/>
        </w:rPr>
      </w:pPr>
      <w:r w:rsidRPr="0070422F">
        <w:rPr>
          <w:i/>
        </w:rPr>
        <w:t>E3 Committee</w:t>
      </w:r>
    </w:p>
    <w:p w:rsidR="00FA2BAE" w:rsidRPr="0070422F" w:rsidRDefault="00FA2BAE" w:rsidP="00F740A0">
      <w:pPr>
        <w:rPr>
          <w:i/>
        </w:rPr>
      </w:pPr>
      <w:r w:rsidRPr="0070422F">
        <w:t>The E3 Committee manages the work program for equipment and appliance energy efficiency.</w:t>
      </w:r>
      <w:r>
        <w:rPr>
          <w:i/>
          <w:iCs/>
        </w:rPr>
        <w:t xml:space="preserve"> </w:t>
      </w:r>
      <w:r>
        <w:rPr>
          <w:iCs/>
        </w:rPr>
        <w:t xml:space="preserve">It is also made up of representatives of </w:t>
      </w:r>
      <w:r>
        <w:t>Australian s</w:t>
      </w:r>
      <w:r w:rsidRPr="00EB6BA0">
        <w:t>tate</w:t>
      </w:r>
      <w:r>
        <w:t xml:space="preserve"> and </w:t>
      </w:r>
      <w:r w:rsidRPr="0070422F">
        <w:t>territory</w:t>
      </w:r>
      <w:r>
        <w:t xml:space="preserve"> governments</w:t>
      </w:r>
      <w:r w:rsidRPr="0070422F">
        <w:t xml:space="preserve"> and</w:t>
      </w:r>
      <w:r>
        <w:t xml:space="preserve"> the</w:t>
      </w:r>
      <w:r w:rsidRPr="0070422F">
        <w:t xml:space="preserve"> New Zealand government.  </w:t>
      </w:r>
    </w:p>
    <w:p w:rsidR="007E39A7" w:rsidRPr="004C0DEC" w:rsidRDefault="007E39A7" w:rsidP="004C0DEC">
      <w:pPr>
        <w:rPr>
          <w:b/>
          <w:i/>
        </w:rPr>
      </w:pPr>
      <w:r w:rsidRPr="004C0DEC">
        <w:rPr>
          <w:i/>
        </w:rPr>
        <w:t>E3 Review Committee</w:t>
      </w:r>
      <w:r w:rsidR="00703526" w:rsidRPr="004C0DEC">
        <w:rPr>
          <w:i/>
        </w:rPr>
        <w:t xml:space="preserve"> </w:t>
      </w:r>
    </w:p>
    <w:p w:rsidR="007E39A7" w:rsidRPr="00C743A5" w:rsidRDefault="007E39A7" w:rsidP="00F740A0">
      <w:pPr>
        <w:rPr>
          <w:b/>
          <w:bCs/>
        </w:rPr>
      </w:pPr>
      <w:r w:rsidRPr="00B71210">
        <w:t xml:space="preserve">Industry and consumer groups participate through the E3 Review Committee and product specific working groups, such as the Air-Conditioner and Commercial Refrigeration Advisory Committee. The E3 Review Committee is a formal advisory group that consults with </w:t>
      </w:r>
      <w:r w:rsidR="00AF1FFA">
        <w:t xml:space="preserve">the </w:t>
      </w:r>
      <w:r w:rsidR="00151517">
        <w:t>COAG Energy Council</w:t>
      </w:r>
      <w:r w:rsidRPr="00B71210">
        <w:t xml:space="preserve"> on issues that affect industry and consumers.</w:t>
      </w:r>
    </w:p>
    <w:p w:rsidR="00CB3E90" w:rsidRPr="00B71210" w:rsidRDefault="00CB3E90" w:rsidP="00F740A0">
      <w:pPr>
        <w:pStyle w:val="Heading2"/>
      </w:pPr>
      <w:bookmarkStart w:id="32" w:name="_Toc18660971"/>
      <w:bookmarkStart w:id="33" w:name="_Toc517621131"/>
      <w:r w:rsidRPr="00B71210">
        <w:t xml:space="preserve">2.3 </w:t>
      </w:r>
      <w:r w:rsidRPr="00B71210">
        <w:tab/>
        <w:t>2015 GEMS Review</w:t>
      </w:r>
      <w:bookmarkEnd w:id="32"/>
    </w:p>
    <w:p w:rsidR="00CB3E90" w:rsidRPr="00B71210" w:rsidRDefault="00CB3E90" w:rsidP="00F740A0">
      <w:r w:rsidRPr="00B71210">
        <w:t>In 2014</w:t>
      </w:r>
      <w:r w:rsidR="004F06CA" w:rsidRPr="00B71210">
        <w:t>-</w:t>
      </w:r>
      <w:r w:rsidRPr="00B71210">
        <w:t>15</w:t>
      </w:r>
      <w:r w:rsidR="004F06CA" w:rsidRPr="00B71210">
        <w:t>,</w:t>
      </w:r>
      <w:r w:rsidRPr="00B71210">
        <w:t xml:space="preserve"> the COAG Energy Council commissioned an independent review of the Inter</w:t>
      </w:r>
      <w:r w:rsidRPr="00B71210">
        <w:noBreakHyphen/>
        <w:t>Governmental Agreement</w:t>
      </w:r>
      <w:r w:rsidRPr="00B71210" w:rsidDel="0082257B">
        <w:t xml:space="preserve"> </w:t>
      </w:r>
      <w:r w:rsidRPr="00B71210">
        <w:t>and GEMS legislative scheme and the GEMS Act (the 2015 GEMS Review).</w:t>
      </w:r>
      <w:r w:rsidRPr="00B71210">
        <w:rPr>
          <w:vertAlign w:val="superscript"/>
        </w:rPr>
        <w:footnoteReference w:id="8"/>
      </w:r>
      <w:r w:rsidRPr="00B71210">
        <w:t xml:space="preserve"> The 2015 GEMS Review concluded that:</w:t>
      </w:r>
    </w:p>
    <w:p w:rsidR="00CB3E90" w:rsidRPr="00B71210" w:rsidRDefault="00CB3E90" w:rsidP="008A7FC0">
      <w:pPr>
        <w:pStyle w:val="ListParagraph"/>
        <w:numPr>
          <w:ilvl w:val="0"/>
          <w:numId w:val="8"/>
        </w:numPr>
        <w:ind w:left="426" w:hanging="426"/>
      </w:pPr>
      <w:r w:rsidRPr="00B71210">
        <w:t>The GEMS Act supports the delivery of significant economic and environmental benefits in a cost-effective manner by increasing the energy efficiency of a range of energy using equipment sold in Australia.</w:t>
      </w:r>
    </w:p>
    <w:p w:rsidR="00CB3E90" w:rsidRPr="00B71210" w:rsidRDefault="00CB3E90" w:rsidP="008A7FC0">
      <w:pPr>
        <w:pStyle w:val="ListParagraph"/>
        <w:numPr>
          <w:ilvl w:val="0"/>
          <w:numId w:val="8"/>
        </w:numPr>
        <w:ind w:left="426" w:hanging="426"/>
      </w:pPr>
      <w:r w:rsidRPr="00B71210">
        <w:t>The Inter-Governmental Agreement</w:t>
      </w:r>
      <w:r w:rsidRPr="00B71210" w:rsidDel="0082257B">
        <w:t xml:space="preserve"> </w:t>
      </w:r>
      <w:r w:rsidRPr="00B71210">
        <w:t>provides a strong framework for national cooperation in implementing GEMS and E3.</w:t>
      </w:r>
    </w:p>
    <w:p w:rsidR="00CB3E90" w:rsidRPr="00B71210" w:rsidRDefault="00CB3E90" w:rsidP="008A7FC0">
      <w:pPr>
        <w:pStyle w:val="ListParagraph"/>
        <w:numPr>
          <w:ilvl w:val="0"/>
          <w:numId w:val="8"/>
        </w:numPr>
        <w:ind w:left="426" w:hanging="426"/>
      </w:pPr>
      <w:r w:rsidRPr="00B71210">
        <w:t>The program is being delivered effectively.</w:t>
      </w:r>
    </w:p>
    <w:p w:rsidR="00CB3E90" w:rsidRPr="00B71210" w:rsidRDefault="00CB3E90" w:rsidP="008A7FC0">
      <w:pPr>
        <w:pStyle w:val="ListParagraph"/>
        <w:numPr>
          <w:ilvl w:val="0"/>
          <w:numId w:val="8"/>
        </w:numPr>
        <w:ind w:left="426" w:hanging="426"/>
      </w:pPr>
      <w:r w:rsidRPr="00B71210">
        <w:t>There was a strong case for continued mandatory appliance standards and labelling to address market failures which led to consumers and businesses purchasing energy inefficient products.</w:t>
      </w:r>
    </w:p>
    <w:p w:rsidR="00CB3E90" w:rsidRDefault="00CB3E90" w:rsidP="00F740A0">
      <w:r w:rsidRPr="00B71210">
        <w:lastRenderedPageBreak/>
        <w:t>Following the 2015 GEMS Review</w:t>
      </w:r>
      <w:r w:rsidR="00EB7FC9">
        <w:t>,</w:t>
      </w:r>
      <w:r w:rsidRPr="00B71210">
        <w:t xml:space="preserve"> the Commonwealth worked with state, territory and New Zealand governments and the E3 Review Committee to implement the report recommendations agreed by the COAG Energy Council</w:t>
      </w:r>
      <w:r w:rsidRPr="00CB3E90">
        <w:t>.</w:t>
      </w:r>
      <w:r>
        <w:t xml:space="preserve"> </w:t>
      </w:r>
    </w:p>
    <w:p w:rsidR="00CB3E90" w:rsidRDefault="00E94D18" w:rsidP="00F740A0">
      <w:r>
        <w:t>A</w:t>
      </w:r>
      <w:r w:rsidR="00CB3E90">
        <w:t xml:space="preserve">n outline of actions </w:t>
      </w:r>
      <w:r w:rsidR="00437898">
        <w:t xml:space="preserve">taken </w:t>
      </w:r>
      <w:r w:rsidR="00CB3E90">
        <w:t>to address the key recommendation</w:t>
      </w:r>
      <w:r w:rsidR="00437898">
        <w:t xml:space="preserve">s of the 2015 GEMS Review </w:t>
      </w:r>
      <w:r>
        <w:t>is at</w:t>
      </w:r>
      <w:r w:rsidR="00437898">
        <w:t xml:space="preserve"> </w:t>
      </w:r>
      <w:r w:rsidR="00437898" w:rsidRPr="00C743A5">
        <w:rPr>
          <w:b/>
          <w:bCs/>
        </w:rPr>
        <w:t>Appendix</w:t>
      </w:r>
      <w:r w:rsidR="00CB3E90" w:rsidRPr="00C743A5">
        <w:rPr>
          <w:b/>
          <w:bCs/>
        </w:rPr>
        <w:t xml:space="preserve"> </w:t>
      </w:r>
      <w:r w:rsidR="00512C0C" w:rsidRPr="00C743A5">
        <w:rPr>
          <w:b/>
          <w:bCs/>
        </w:rPr>
        <w:t>B</w:t>
      </w:r>
      <w:r w:rsidR="00CB3E90">
        <w:t xml:space="preserve">. </w:t>
      </w:r>
    </w:p>
    <w:p w:rsidR="007E39A7" w:rsidRPr="007E39A7" w:rsidRDefault="007E39A7" w:rsidP="00F740A0">
      <w:pPr>
        <w:pStyle w:val="Heading2"/>
      </w:pPr>
      <w:bookmarkStart w:id="34" w:name="_Toc18660972"/>
      <w:r w:rsidRPr="007E39A7">
        <w:t>2.</w:t>
      </w:r>
      <w:r w:rsidR="00CB3E90">
        <w:t>4</w:t>
      </w:r>
      <w:r w:rsidRPr="007E39A7">
        <w:t xml:space="preserve"> </w:t>
      </w:r>
      <w:r w:rsidRPr="007E39A7">
        <w:tab/>
        <w:t>Products regulated under the GEMS Act</w:t>
      </w:r>
      <w:bookmarkEnd w:id="33"/>
      <w:bookmarkEnd w:id="34"/>
    </w:p>
    <w:p w:rsidR="007E39A7" w:rsidRPr="00413D00" w:rsidRDefault="007E39A7" w:rsidP="00F740A0">
      <w:pPr>
        <w:spacing w:after="0"/>
        <w:rPr>
          <w:rStyle w:val="Emphasis"/>
          <w:szCs w:val="20"/>
        </w:rPr>
      </w:pPr>
      <w:r w:rsidRPr="00413D00">
        <w:rPr>
          <w:rStyle w:val="Emphasis"/>
          <w:szCs w:val="20"/>
        </w:rPr>
        <w:t xml:space="preserve">Table </w:t>
      </w:r>
      <w:r w:rsidR="00474EA6" w:rsidRPr="00413D00">
        <w:rPr>
          <w:rStyle w:val="Emphasis"/>
          <w:szCs w:val="20"/>
        </w:rPr>
        <w:t>1</w:t>
      </w:r>
      <w:r w:rsidRPr="00413D00">
        <w:rPr>
          <w:rStyle w:val="Emphasis"/>
          <w:szCs w:val="20"/>
        </w:rPr>
        <w:t>: GEMS regulated products (as at</w:t>
      </w:r>
      <w:r w:rsidRPr="00413D00" w:rsidDel="005053EC">
        <w:rPr>
          <w:rStyle w:val="Emphasis"/>
          <w:szCs w:val="20"/>
        </w:rPr>
        <w:t xml:space="preserve"> </w:t>
      </w:r>
      <w:r w:rsidR="005053EC" w:rsidRPr="00413D00">
        <w:rPr>
          <w:rStyle w:val="Emphasis"/>
          <w:szCs w:val="20"/>
        </w:rPr>
        <w:t>February 2019</w:t>
      </w:r>
      <w:r w:rsidR="00285A20" w:rsidRPr="00413D00">
        <w:rPr>
          <w:rStyle w:val="Emphasis"/>
          <w:szCs w:val="20"/>
        </w:rPr>
        <w:t>)</w:t>
      </w:r>
      <w:r w:rsidR="00BE07AC" w:rsidRPr="00413D00">
        <w:rPr>
          <w:rStyle w:val="Emphasis"/>
          <w:szCs w:val="20"/>
          <w:vertAlign w:val="superscript"/>
        </w:rPr>
        <w:t>+</w:t>
      </w:r>
    </w:p>
    <w:tbl>
      <w:tblPr>
        <w:tblStyle w:val="TableGrid"/>
        <w:tblW w:w="5000" w:type="pct"/>
        <w:tblLook w:val="04A0" w:firstRow="1" w:lastRow="0" w:firstColumn="1" w:lastColumn="0" w:noHBand="0" w:noVBand="1"/>
      </w:tblPr>
      <w:tblGrid>
        <w:gridCol w:w="4809"/>
        <w:gridCol w:w="2036"/>
        <w:gridCol w:w="2171"/>
      </w:tblGrid>
      <w:tr w:rsidR="00B4458A" w:rsidRPr="00DE51A2" w:rsidTr="009115F1">
        <w:trPr>
          <w:cnfStyle w:val="100000000000" w:firstRow="1" w:lastRow="0" w:firstColumn="0" w:lastColumn="0" w:oddVBand="0" w:evenVBand="0" w:oddHBand="0" w:evenHBand="0" w:firstRowFirstColumn="0" w:firstRowLastColumn="0" w:lastRowFirstColumn="0" w:lastRowLastColumn="0"/>
          <w:tblHeader/>
        </w:trPr>
        <w:tc>
          <w:tcPr>
            <w:tcW w:w="2667" w:type="pct"/>
            <w:hideMark/>
          </w:tcPr>
          <w:p w:rsidR="007E39A7" w:rsidRPr="00C743A5" w:rsidRDefault="007E39A7" w:rsidP="00C743A5">
            <w:pPr>
              <w:rPr>
                <w:b/>
                <w:bCs/>
              </w:rPr>
            </w:pPr>
            <w:r w:rsidRPr="00C743A5">
              <w:rPr>
                <w:b/>
                <w:bCs/>
              </w:rPr>
              <w:t>Regulated Product</w:t>
            </w:r>
          </w:p>
        </w:tc>
        <w:tc>
          <w:tcPr>
            <w:tcW w:w="1129" w:type="pct"/>
            <w:hideMark/>
          </w:tcPr>
          <w:p w:rsidR="007E39A7" w:rsidRPr="00C743A5" w:rsidRDefault="007E39A7" w:rsidP="00C743A5">
            <w:pPr>
              <w:rPr>
                <w:b/>
                <w:bCs/>
              </w:rPr>
            </w:pPr>
            <w:r w:rsidRPr="00C743A5">
              <w:rPr>
                <w:b/>
                <w:bCs/>
              </w:rPr>
              <w:t>MEPS</w:t>
            </w:r>
          </w:p>
        </w:tc>
        <w:tc>
          <w:tcPr>
            <w:tcW w:w="1204" w:type="pct"/>
            <w:hideMark/>
          </w:tcPr>
          <w:p w:rsidR="007E39A7" w:rsidRPr="00C743A5" w:rsidRDefault="007E39A7" w:rsidP="00C743A5">
            <w:pPr>
              <w:rPr>
                <w:b/>
                <w:bCs/>
              </w:rPr>
            </w:pPr>
            <w:r w:rsidRPr="00C743A5">
              <w:rPr>
                <w:b/>
                <w:bCs/>
              </w:rPr>
              <w:t>ERL</w:t>
            </w:r>
          </w:p>
        </w:tc>
      </w:tr>
      <w:tr w:rsidR="00B4458A" w:rsidRPr="00E23A03" w:rsidTr="009115F1">
        <w:trPr>
          <w:cnfStyle w:val="000000100000" w:firstRow="0" w:lastRow="0" w:firstColumn="0" w:lastColumn="0" w:oddVBand="0" w:evenVBand="0" w:oddHBand="1" w:evenHBand="0" w:firstRowFirstColumn="0" w:firstRowLastColumn="0" w:lastRowFirstColumn="0" w:lastRowLastColumn="0"/>
        </w:trPr>
        <w:tc>
          <w:tcPr>
            <w:tcW w:w="2667" w:type="pct"/>
            <w:hideMark/>
          </w:tcPr>
          <w:p w:rsidR="007E39A7" w:rsidRPr="00F740A0" w:rsidRDefault="007E39A7" w:rsidP="00166BAD">
            <w:pPr>
              <w:spacing w:after="0" w:line="240" w:lineRule="auto"/>
              <w:rPr>
                <w:rFonts w:cs="Arial"/>
                <w:sz w:val="22"/>
              </w:rPr>
            </w:pPr>
            <w:r w:rsidRPr="00F740A0">
              <w:rPr>
                <w:rFonts w:cs="Arial"/>
                <w:sz w:val="22"/>
              </w:rPr>
              <w:t>Air conditioners – single phase</w:t>
            </w:r>
          </w:p>
        </w:tc>
        <w:tc>
          <w:tcPr>
            <w:tcW w:w="1129" w:type="pct"/>
            <w:hideMark/>
          </w:tcPr>
          <w:p w:rsidR="007E39A7" w:rsidRPr="00F740A0" w:rsidRDefault="007E39A7" w:rsidP="00166BAD">
            <w:pPr>
              <w:spacing w:after="0" w:line="240" w:lineRule="auto"/>
              <w:rPr>
                <w:rFonts w:cs="Arial"/>
                <w:sz w:val="22"/>
              </w:rPr>
            </w:pPr>
            <w:r w:rsidRPr="00F740A0">
              <w:rPr>
                <w:rFonts w:cs="Arial"/>
                <w:sz w:val="22"/>
              </w:rPr>
              <w:t>Yes</w:t>
            </w:r>
          </w:p>
        </w:tc>
        <w:tc>
          <w:tcPr>
            <w:tcW w:w="1204" w:type="pct"/>
            <w:hideMark/>
          </w:tcPr>
          <w:p w:rsidR="007E39A7" w:rsidRPr="00F740A0" w:rsidRDefault="007E39A7" w:rsidP="00166BAD">
            <w:pPr>
              <w:spacing w:after="0" w:line="240" w:lineRule="auto"/>
              <w:rPr>
                <w:rFonts w:cs="Arial"/>
                <w:sz w:val="22"/>
              </w:rPr>
            </w:pPr>
            <w:r w:rsidRPr="00F740A0">
              <w:rPr>
                <w:rFonts w:cs="Arial"/>
                <w:sz w:val="22"/>
              </w:rPr>
              <w:t>Yes</w:t>
            </w:r>
          </w:p>
        </w:tc>
      </w:tr>
      <w:tr w:rsidR="00B4458A" w:rsidRPr="00E23A03" w:rsidTr="009115F1">
        <w:trPr>
          <w:cnfStyle w:val="000000010000" w:firstRow="0" w:lastRow="0" w:firstColumn="0" w:lastColumn="0" w:oddVBand="0" w:evenVBand="0" w:oddHBand="0" w:evenHBand="1" w:firstRowFirstColumn="0" w:firstRowLastColumn="0" w:lastRowFirstColumn="0" w:lastRowLastColumn="0"/>
        </w:trPr>
        <w:tc>
          <w:tcPr>
            <w:tcW w:w="2667" w:type="pct"/>
            <w:hideMark/>
          </w:tcPr>
          <w:p w:rsidR="007E39A7" w:rsidRPr="00F740A0" w:rsidRDefault="007E39A7" w:rsidP="00166BAD">
            <w:pPr>
              <w:spacing w:after="0" w:line="240" w:lineRule="auto"/>
              <w:rPr>
                <w:rFonts w:cs="Arial"/>
                <w:sz w:val="22"/>
              </w:rPr>
            </w:pPr>
            <w:r w:rsidRPr="00F740A0">
              <w:rPr>
                <w:rFonts w:cs="Arial"/>
                <w:sz w:val="22"/>
              </w:rPr>
              <w:t>Air conditioners – three phase</w:t>
            </w:r>
          </w:p>
        </w:tc>
        <w:tc>
          <w:tcPr>
            <w:tcW w:w="1129" w:type="pct"/>
            <w:hideMark/>
          </w:tcPr>
          <w:p w:rsidR="007E39A7" w:rsidRPr="00F740A0" w:rsidRDefault="007E39A7" w:rsidP="00166BAD">
            <w:pPr>
              <w:spacing w:after="0" w:line="240" w:lineRule="auto"/>
              <w:rPr>
                <w:rFonts w:cs="Arial"/>
                <w:sz w:val="22"/>
              </w:rPr>
            </w:pPr>
            <w:r w:rsidRPr="00F740A0">
              <w:rPr>
                <w:rFonts w:cs="Arial"/>
                <w:sz w:val="22"/>
              </w:rPr>
              <w:t>Yes</w:t>
            </w:r>
          </w:p>
        </w:tc>
        <w:tc>
          <w:tcPr>
            <w:tcW w:w="1204" w:type="pct"/>
            <w:hideMark/>
          </w:tcPr>
          <w:p w:rsidR="007E39A7" w:rsidRPr="00F740A0" w:rsidRDefault="007E39A7" w:rsidP="006F5C44">
            <w:pPr>
              <w:spacing w:after="0" w:line="240" w:lineRule="auto"/>
              <w:rPr>
                <w:rFonts w:cs="Arial"/>
                <w:sz w:val="22"/>
              </w:rPr>
            </w:pPr>
            <w:r w:rsidRPr="00F740A0">
              <w:rPr>
                <w:rFonts w:cs="Arial"/>
                <w:bCs/>
                <w:sz w:val="22"/>
              </w:rPr>
              <w:t xml:space="preserve">Yes </w:t>
            </w:r>
            <w:r w:rsidRPr="00F740A0">
              <w:rPr>
                <w:rFonts w:cs="Arial"/>
                <w:sz w:val="22"/>
              </w:rPr>
              <w:t>(Voluntary)</w:t>
            </w:r>
            <w:r w:rsidR="00166BAD">
              <w:rPr>
                <w:rFonts w:cs="Arial"/>
                <w:sz w:val="22"/>
                <w:vertAlign w:val="superscript"/>
              </w:rPr>
              <w:t>++</w:t>
            </w:r>
          </w:p>
        </w:tc>
      </w:tr>
      <w:tr w:rsidR="00B4458A" w:rsidRPr="00E23A03" w:rsidTr="009115F1">
        <w:trPr>
          <w:cnfStyle w:val="000000100000" w:firstRow="0" w:lastRow="0" w:firstColumn="0" w:lastColumn="0" w:oddVBand="0" w:evenVBand="0" w:oddHBand="1" w:evenHBand="0" w:firstRowFirstColumn="0" w:firstRowLastColumn="0" w:lastRowFirstColumn="0" w:lastRowLastColumn="0"/>
        </w:trPr>
        <w:tc>
          <w:tcPr>
            <w:tcW w:w="2667" w:type="pct"/>
            <w:hideMark/>
          </w:tcPr>
          <w:p w:rsidR="007E39A7" w:rsidRPr="00F740A0" w:rsidRDefault="007E39A7" w:rsidP="00166BAD">
            <w:pPr>
              <w:spacing w:after="0" w:line="240" w:lineRule="auto"/>
              <w:rPr>
                <w:rFonts w:cs="Arial"/>
                <w:sz w:val="22"/>
              </w:rPr>
            </w:pPr>
            <w:r w:rsidRPr="00F740A0">
              <w:rPr>
                <w:rFonts w:cs="Arial"/>
                <w:sz w:val="22"/>
              </w:rPr>
              <w:t>Ballasts for fluorescent lamps</w:t>
            </w:r>
          </w:p>
        </w:tc>
        <w:tc>
          <w:tcPr>
            <w:tcW w:w="1129" w:type="pct"/>
            <w:hideMark/>
          </w:tcPr>
          <w:p w:rsidR="007E39A7" w:rsidRPr="00F740A0" w:rsidRDefault="007E39A7" w:rsidP="00166BAD">
            <w:pPr>
              <w:spacing w:after="0" w:line="240" w:lineRule="auto"/>
              <w:rPr>
                <w:rFonts w:cs="Arial"/>
                <w:sz w:val="22"/>
              </w:rPr>
            </w:pPr>
            <w:r w:rsidRPr="00F740A0">
              <w:rPr>
                <w:rFonts w:cs="Arial"/>
                <w:sz w:val="22"/>
              </w:rPr>
              <w:t>Yes</w:t>
            </w:r>
          </w:p>
        </w:tc>
        <w:tc>
          <w:tcPr>
            <w:tcW w:w="1204" w:type="pct"/>
            <w:hideMark/>
          </w:tcPr>
          <w:p w:rsidR="007E39A7" w:rsidRPr="00F740A0" w:rsidRDefault="007E39A7" w:rsidP="00166BAD">
            <w:pPr>
              <w:spacing w:after="0" w:line="240" w:lineRule="auto"/>
              <w:rPr>
                <w:rFonts w:cs="Arial"/>
                <w:sz w:val="22"/>
              </w:rPr>
            </w:pPr>
            <w:r w:rsidRPr="00F740A0">
              <w:rPr>
                <w:rFonts w:cs="Arial"/>
                <w:sz w:val="22"/>
              </w:rPr>
              <w:t>Other*</w:t>
            </w:r>
          </w:p>
        </w:tc>
      </w:tr>
      <w:tr w:rsidR="00B4458A" w:rsidRPr="00E23A03" w:rsidTr="009115F1">
        <w:trPr>
          <w:cnfStyle w:val="000000010000" w:firstRow="0" w:lastRow="0" w:firstColumn="0" w:lastColumn="0" w:oddVBand="0" w:evenVBand="0" w:oddHBand="0" w:evenHBand="1" w:firstRowFirstColumn="0" w:firstRowLastColumn="0" w:lastRowFirstColumn="0" w:lastRowLastColumn="0"/>
        </w:trPr>
        <w:tc>
          <w:tcPr>
            <w:tcW w:w="2667" w:type="pct"/>
            <w:hideMark/>
          </w:tcPr>
          <w:p w:rsidR="007E39A7" w:rsidRPr="00F740A0" w:rsidRDefault="007E39A7" w:rsidP="00166BAD">
            <w:pPr>
              <w:spacing w:after="0" w:line="240" w:lineRule="auto"/>
              <w:rPr>
                <w:rFonts w:cs="Arial"/>
                <w:sz w:val="22"/>
              </w:rPr>
            </w:pPr>
            <w:r w:rsidRPr="00F740A0">
              <w:rPr>
                <w:rFonts w:cs="Arial"/>
                <w:sz w:val="22"/>
              </w:rPr>
              <w:t>Close control air conditioners</w:t>
            </w:r>
          </w:p>
        </w:tc>
        <w:tc>
          <w:tcPr>
            <w:tcW w:w="1129" w:type="pct"/>
            <w:hideMark/>
          </w:tcPr>
          <w:p w:rsidR="007E39A7" w:rsidRPr="00F740A0" w:rsidRDefault="007E39A7" w:rsidP="00166BAD">
            <w:pPr>
              <w:spacing w:after="0" w:line="240" w:lineRule="auto"/>
              <w:rPr>
                <w:rFonts w:cs="Arial"/>
                <w:sz w:val="22"/>
              </w:rPr>
            </w:pPr>
            <w:r w:rsidRPr="00F740A0">
              <w:rPr>
                <w:rFonts w:cs="Arial"/>
                <w:sz w:val="22"/>
              </w:rPr>
              <w:t>Yes</w:t>
            </w:r>
          </w:p>
        </w:tc>
        <w:tc>
          <w:tcPr>
            <w:tcW w:w="1204" w:type="pct"/>
            <w:hideMark/>
          </w:tcPr>
          <w:p w:rsidR="007E39A7" w:rsidRPr="00F740A0" w:rsidRDefault="007E39A7" w:rsidP="00166BAD">
            <w:pPr>
              <w:spacing w:after="0" w:line="240" w:lineRule="auto"/>
              <w:rPr>
                <w:rFonts w:cs="Arial"/>
                <w:sz w:val="22"/>
              </w:rPr>
            </w:pPr>
            <w:r w:rsidRPr="00F740A0">
              <w:rPr>
                <w:rFonts w:cs="Arial"/>
                <w:sz w:val="22"/>
              </w:rPr>
              <w:t>No</w:t>
            </w:r>
          </w:p>
        </w:tc>
      </w:tr>
      <w:tr w:rsidR="00B4458A" w:rsidRPr="00E23A03" w:rsidTr="009115F1">
        <w:trPr>
          <w:cnfStyle w:val="000000100000" w:firstRow="0" w:lastRow="0" w:firstColumn="0" w:lastColumn="0" w:oddVBand="0" w:evenVBand="0" w:oddHBand="1" w:evenHBand="0" w:firstRowFirstColumn="0" w:firstRowLastColumn="0" w:lastRowFirstColumn="0" w:lastRowLastColumn="0"/>
        </w:trPr>
        <w:tc>
          <w:tcPr>
            <w:tcW w:w="2667" w:type="pct"/>
            <w:hideMark/>
          </w:tcPr>
          <w:p w:rsidR="007E39A7" w:rsidRPr="00F740A0" w:rsidRDefault="007E39A7" w:rsidP="00166BAD">
            <w:pPr>
              <w:spacing w:after="0" w:line="240" w:lineRule="auto"/>
              <w:rPr>
                <w:rFonts w:cs="Arial"/>
                <w:sz w:val="22"/>
              </w:rPr>
            </w:pPr>
            <w:r w:rsidRPr="00F740A0">
              <w:rPr>
                <w:rFonts w:cs="Arial"/>
                <w:sz w:val="22"/>
              </w:rPr>
              <w:t>Clothes dryers</w:t>
            </w:r>
          </w:p>
        </w:tc>
        <w:tc>
          <w:tcPr>
            <w:tcW w:w="1129" w:type="pct"/>
            <w:hideMark/>
          </w:tcPr>
          <w:p w:rsidR="007E39A7" w:rsidRPr="00F740A0" w:rsidRDefault="007E39A7" w:rsidP="00166BAD">
            <w:pPr>
              <w:spacing w:after="0" w:line="240" w:lineRule="auto"/>
              <w:rPr>
                <w:rFonts w:cs="Arial"/>
                <w:sz w:val="22"/>
              </w:rPr>
            </w:pPr>
            <w:r w:rsidRPr="00F740A0">
              <w:rPr>
                <w:rFonts w:cs="Arial"/>
                <w:sz w:val="22"/>
              </w:rPr>
              <w:t>Yes</w:t>
            </w:r>
          </w:p>
        </w:tc>
        <w:tc>
          <w:tcPr>
            <w:tcW w:w="1204" w:type="pct"/>
            <w:hideMark/>
          </w:tcPr>
          <w:p w:rsidR="007E39A7" w:rsidRPr="00F740A0" w:rsidRDefault="007E39A7" w:rsidP="00166BAD">
            <w:pPr>
              <w:spacing w:after="0" w:line="240" w:lineRule="auto"/>
              <w:rPr>
                <w:rFonts w:cs="Arial"/>
                <w:sz w:val="22"/>
              </w:rPr>
            </w:pPr>
            <w:r w:rsidRPr="00F740A0">
              <w:rPr>
                <w:rFonts w:cs="Arial"/>
                <w:sz w:val="22"/>
              </w:rPr>
              <w:t>Yes</w:t>
            </w:r>
          </w:p>
        </w:tc>
      </w:tr>
      <w:tr w:rsidR="00B4458A" w:rsidRPr="00E23A03" w:rsidTr="009115F1">
        <w:trPr>
          <w:cnfStyle w:val="000000010000" w:firstRow="0" w:lastRow="0" w:firstColumn="0" w:lastColumn="0" w:oddVBand="0" w:evenVBand="0" w:oddHBand="0" w:evenHBand="1" w:firstRowFirstColumn="0" w:firstRowLastColumn="0" w:lastRowFirstColumn="0" w:lastRowLastColumn="0"/>
        </w:trPr>
        <w:tc>
          <w:tcPr>
            <w:tcW w:w="2667" w:type="pct"/>
            <w:hideMark/>
          </w:tcPr>
          <w:p w:rsidR="007E39A7" w:rsidRPr="00F740A0" w:rsidRDefault="007E39A7" w:rsidP="00166BAD">
            <w:pPr>
              <w:spacing w:after="0" w:line="240" w:lineRule="auto"/>
              <w:rPr>
                <w:rFonts w:cs="Arial"/>
                <w:sz w:val="22"/>
              </w:rPr>
            </w:pPr>
            <w:r w:rsidRPr="00F740A0">
              <w:rPr>
                <w:rFonts w:cs="Arial"/>
                <w:sz w:val="22"/>
              </w:rPr>
              <w:t>Clothes washing machines^</w:t>
            </w:r>
          </w:p>
        </w:tc>
        <w:tc>
          <w:tcPr>
            <w:tcW w:w="1129" w:type="pct"/>
            <w:hideMark/>
          </w:tcPr>
          <w:p w:rsidR="007E39A7" w:rsidRPr="00F740A0" w:rsidRDefault="007E39A7" w:rsidP="00166BAD">
            <w:pPr>
              <w:spacing w:after="0" w:line="240" w:lineRule="auto"/>
              <w:rPr>
                <w:rFonts w:cs="Arial"/>
                <w:sz w:val="22"/>
              </w:rPr>
            </w:pPr>
            <w:r w:rsidRPr="00F740A0">
              <w:rPr>
                <w:rFonts w:cs="Arial"/>
                <w:sz w:val="22"/>
              </w:rPr>
              <w:t>No</w:t>
            </w:r>
          </w:p>
        </w:tc>
        <w:tc>
          <w:tcPr>
            <w:tcW w:w="1204" w:type="pct"/>
            <w:hideMark/>
          </w:tcPr>
          <w:p w:rsidR="007E39A7" w:rsidRPr="00F740A0" w:rsidRDefault="007E39A7" w:rsidP="00166BAD">
            <w:pPr>
              <w:spacing w:after="0" w:line="240" w:lineRule="auto"/>
              <w:rPr>
                <w:rFonts w:cs="Arial"/>
                <w:sz w:val="22"/>
              </w:rPr>
            </w:pPr>
            <w:r w:rsidRPr="00F740A0">
              <w:rPr>
                <w:rFonts w:cs="Arial"/>
                <w:sz w:val="22"/>
              </w:rPr>
              <w:t>Yes^</w:t>
            </w:r>
          </w:p>
        </w:tc>
      </w:tr>
      <w:tr w:rsidR="00B4458A" w:rsidRPr="00E23A03" w:rsidTr="009115F1">
        <w:trPr>
          <w:cnfStyle w:val="000000100000" w:firstRow="0" w:lastRow="0" w:firstColumn="0" w:lastColumn="0" w:oddVBand="0" w:evenVBand="0" w:oddHBand="1" w:evenHBand="0" w:firstRowFirstColumn="0" w:firstRowLastColumn="0" w:lastRowFirstColumn="0" w:lastRowLastColumn="0"/>
        </w:trPr>
        <w:tc>
          <w:tcPr>
            <w:tcW w:w="2667" w:type="pct"/>
            <w:hideMark/>
          </w:tcPr>
          <w:p w:rsidR="007E39A7" w:rsidRPr="00F740A0" w:rsidRDefault="007E39A7" w:rsidP="00166BAD">
            <w:pPr>
              <w:spacing w:after="0" w:line="240" w:lineRule="auto"/>
              <w:rPr>
                <w:rFonts w:cs="Arial"/>
                <w:sz w:val="22"/>
              </w:rPr>
            </w:pPr>
            <w:r w:rsidRPr="00F740A0">
              <w:rPr>
                <w:rFonts w:cs="Arial"/>
                <w:sz w:val="22"/>
              </w:rPr>
              <w:t>Commercial chillers</w:t>
            </w:r>
          </w:p>
        </w:tc>
        <w:tc>
          <w:tcPr>
            <w:tcW w:w="1129" w:type="pct"/>
            <w:hideMark/>
          </w:tcPr>
          <w:p w:rsidR="007E39A7" w:rsidRPr="00F740A0" w:rsidRDefault="007E39A7" w:rsidP="00166BAD">
            <w:pPr>
              <w:spacing w:after="0" w:line="240" w:lineRule="auto"/>
              <w:rPr>
                <w:rFonts w:cs="Arial"/>
                <w:sz w:val="22"/>
              </w:rPr>
            </w:pPr>
            <w:r w:rsidRPr="00F740A0">
              <w:rPr>
                <w:rFonts w:cs="Arial"/>
                <w:sz w:val="22"/>
              </w:rPr>
              <w:t>Yes</w:t>
            </w:r>
          </w:p>
        </w:tc>
        <w:tc>
          <w:tcPr>
            <w:tcW w:w="1204" w:type="pct"/>
            <w:hideMark/>
          </w:tcPr>
          <w:p w:rsidR="007E39A7" w:rsidRPr="00F740A0" w:rsidRDefault="007E39A7" w:rsidP="00166BAD">
            <w:pPr>
              <w:spacing w:after="0" w:line="240" w:lineRule="auto"/>
              <w:rPr>
                <w:rFonts w:cs="Arial"/>
                <w:sz w:val="22"/>
              </w:rPr>
            </w:pPr>
            <w:r w:rsidRPr="00F740A0">
              <w:rPr>
                <w:rFonts w:cs="Arial"/>
                <w:sz w:val="22"/>
              </w:rPr>
              <w:t>No</w:t>
            </w:r>
          </w:p>
        </w:tc>
      </w:tr>
      <w:tr w:rsidR="00B4458A" w:rsidRPr="00E23A03" w:rsidTr="009115F1">
        <w:trPr>
          <w:cnfStyle w:val="000000010000" w:firstRow="0" w:lastRow="0" w:firstColumn="0" w:lastColumn="0" w:oddVBand="0" w:evenVBand="0" w:oddHBand="0" w:evenHBand="1" w:firstRowFirstColumn="0" w:firstRowLastColumn="0" w:lastRowFirstColumn="0" w:lastRowLastColumn="0"/>
        </w:trPr>
        <w:tc>
          <w:tcPr>
            <w:tcW w:w="2667" w:type="pct"/>
            <w:hideMark/>
          </w:tcPr>
          <w:p w:rsidR="007E39A7" w:rsidRPr="00F740A0" w:rsidRDefault="007E39A7" w:rsidP="00166BAD">
            <w:pPr>
              <w:spacing w:after="0" w:line="240" w:lineRule="auto"/>
              <w:rPr>
                <w:rFonts w:cs="Arial"/>
                <w:sz w:val="22"/>
              </w:rPr>
            </w:pPr>
            <w:r w:rsidRPr="00F740A0">
              <w:rPr>
                <w:rFonts w:cs="Arial"/>
                <w:sz w:val="22"/>
              </w:rPr>
              <w:t>Compact fluorescent lamps</w:t>
            </w:r>
          </w:p>
        </w:tc>
        <w:tc>
          <w:tcPr>
            <w:tcW w:w="1129" w:type="pct"/>
            <w:hideMark/>
          </w:tcPr>
          <w:p w:rsidR="007E39A7" w:rsidRPr="00F740A0" w:rsidRDefault="007E39A7" w:rsidP="00166BAD">
            <w:pPr>
              <w:spacing w:after="0" w:line="240" w:lineRule="auto"/>
              <w:rPr>
                <w:rFonts w:cs="Arial"/>
                <w:sz w:val="22"/>
              </w:rPr>
            </w:pPr>
            <w:r w:rsidRPr="00F740A0">
              <w:rPr>
                <w:rFonts w:cs="Arial"/>
                <w:sz w:val="22"/>
              </w:rPr>
              <w:t>Yes</w:t>
            </w:r>
          </w:p>
        </w:tc>
        <w:tc>
          <w:tcPr>
            <w:tcW w:w="1204" w:type="pct"/>
            <w:hideMark/>
          </w:tcPr>
          <w:p w:rsidR="007E39A7" w:rsidRPr="00F740A0" w:rsidRDefault="007E39A7" w:rsidP="00166BAD">
            <w:pPr>
              <w:spacing w:after="0" w:line="240" w:lineRule="auto"/>
              <w:rPr>
                <w:rFonts w:cs="Arial"/>
                <w:sz w:val="22"/>
              </w:rPr>
            </w:pPr>
            <w:r w:rsidRPr="00F740A0">
              <w:rPr>
                <w:rFonts w:cs="Arial"/>
                <w:sz w:val="22"/>
              </w:rPr>
              <w:t>Other*</w:t>
            </w:r>
          </w:p>
        </w:tc>
      </w:tr>
      <w:tr w:rsidR="00B4458A" w:rsidRPr="00E23A03" w:rsidTr="009115F1">
        <w:trPr>
          <w:cnfStyle w:val="000000100000" w:firstRow="0" w:lastRow="0" w:firstColumn="0" w:lastColumn="0" w:oddVBand="0" w:evenVBand="0" w:oddHBand="1" w:evenHBand="0" w:firstRowFirstColumn="0" w:firstRowLastColumn="0" w:lastRowFirstColumn="0" w:lastRowLastColumn="0"/>
        </w:trPr>
        <w:tc>
          <w:tcPr>
            <w:tcW w:w="2667" w:type="pct"/>
            <w:hideMark/>
          </w:tcPr>
          <w:p w:rsidR="007E39A7" w:rsidRPr="00F740A0" w:rsidRDefault="007E39A7" w:rsidP="00166BAD">
            <w:pPr>
              <w:spacing w:after="0" w:line="240" w:lineRule="auto"/>
              <w:rPr>
                <w:rFonts w:cs="Arial"/>
                <w:sz w:val="22"/>
              </w:rPr>
            </w:pPr>
            <w:r w:rsidRPr="00F740A0">
              <w:rPr>
                <w:rFonts w:cs="Arial"/>
                <w:sz w:val="22"/>
              </w:rPr>
              <w:t>Computers</w:t>
            </w:r>
          </w:p>
        </w:tc>
        <w:tc>
          <w:tcPr>
            <w:tcW w:w="1129" w:type="pct"/>
            <w:hideMark/>
          </w:tcPr>
          <w:p w:rsidR="007E39A7" w:rsidRPr="00F740A0" w:rsidRDefault="007E39A7" w:rsidP="00166BAD">
            <w:pPr>
              <w:spacing w:after="0" w:line="240" w:lineRule="auto"/>
              <w:rPr>
                <w:rFonts w:cs="Arial"/>
                <w:sz w:val="22"/>
              </w:rPr>
            </w:pPr>
            <w:r w:rsidRPr="00F740A0">
              <w:rPr>
                <w:rFonts w:cs="Arial"/>
                <w:sz w:val="22"/>
              </w:rPr>
              <w:t>Yes</w:t>
            </w:r>
          </w:p>
        </w:tc>
        <w:tc>
          <w:tcPr>
            <w:tcW w:w="1204" w:type="pct"/>
            <w:hideMark/>
          </w:tcPr>
          <w:p w:rsidR="007E39A7" w:rsidRPr="00F740A0" w:rsidRDefault="007E39A7" w:rsidP="00166BAD">
            <w:pPr>
              <w:spacing w:after="0" w:line="240" w:lineRule="auto"/>
              <w:rPr>
                <w:rFonts w:cs="Arial"/>
                <w:sz w:val="22"/>
              </w:rPr>
            </w:pPr>
            <w:r w:rsidRPr="00F740A0">
              <w:rPr>
                <w:rFonts w:cs="Arial"/>
                <w:sz w:val="22"/>
              </w:rPr>
              <w:t>No</w:t>
            </w:r>
          </w:p>
        </w:tc>
      </w:tr>
      <w:tr w:rsidR="00B4458A" w:rsidRPr="00E23A03" w:rsidTr="009115F1">
        <w:trPr>
          <w:cnfStyle w:val="000000010000" w:firstRow="0" w:lastRow="0" w:firstColumn="0" w:lastColumn="0" w:oddVBand="0" w:evenVBand="0" w:oddHBand="0" w:evenHBand="1" w:firstRowFirstColumn="0" w:firstRowLastColumn="0" w:lastRowFirstColumn="0" w:lastRowLastColumn="0"/>
        </w:trPr>
        <w:tc>
          <w:tcPr>
            <w:tcW w:w="2667" w:type="pct"/>
            <w:hideMark/>
          </w:tcPr>
          <w:p w:rsidR="007E39A7" w:rsidRPr="00F740A0" w:rsidRDefault="007E39A7" w:rsidP="00166BAD">
            <w:pPr>
              <w:spacing w:after="0" w:line="240" w:lineRule="auto"/>
              <w:rPr>
                <w:rFonts w:cs="Arial"/>
                <w:sz w:val="22"/>
              </w:rPr>
            </w:pPr>
            <w:r w:rsidRPr="00F740A0">
              <w:rPr>
                <w:rFonts w:cs="Arial"/>
                <w:sz w:val="22"/>
              </w:rPr>
              <w:t>Computer monitors</w:t>
            </w:r>
          </w:p>
        </w:tc>
        <w:tc>
          <w:tcPr>
            <w:tcW w:w="1129" w:type="pct"/>
            <w:hideMark/>
          </w:tcPr>
          <w:p w:rsidR="007E39A7" w:rsidRPr="00F740A0" w:rsidRDefault="007E39A7" w:rsidP="00166BAD">
            <w:pPr>
              <w:spacing w:after="0" w:line="240" w:lineRule="auto"/>
              <w:rPr>
                <w:rFonts w:cs="Arial"/>
                <w:sz w:val="22"/>
              </w:rPr>
            </w:pPr>
            <w:r w:rsidRPr="00F740A0">
              <w:rPr>
                <w:rFonts w:cs="Arial"/>
                <w:sz w:val="22"/>
              </w:rPr>
              <w:t>Yes</w:t>
            </w:r>
          </w:p>
        </w:tc>
        <w:tc>
          <w:tcPr>
            <w:tcW w:w="1204" w:type="pct"/>
            <w:hideMark/>
          </w:tcPr>
          <w:p w:rsidR="007E39A7" w:rsidRPr="00F740A0" w:rsidRDefault="007E39A7" w:rsidP="00166BAD">
            <w:pPr>
              <w:spacing w:after="0" w:line="240" w:lineRule="auto"/>
              <w:rPr>
                <w:rFonts w:cs="Arial"/>
                <w:sz w:val="22"/>
              </w:rPr>
            </w:pPr>
            <w:r w:rsidRPr="00F740A0">
              <w:rPr>
                <w:rFonts w:cs="Arial"/>
                <w:sz w:val="22"/>
              </w:rPr>
              <w:t>Yes</w:t>
            </w:r>
          </w:p>
        </w:tc>
      </w:tr>
      <w:tr w:rsidR="00B4458A" w:rsidRPr="00E23A03" w:rsidTr="009115F1">
        <w:trPr>
          <w:cnfStyle w:val="000000100000" w:firstRow="0" w:lastRow="0" w:firstColumn="0" w:lastColumn="0" w:oddVBand="0" w:evenVBand="0" w:oddHBand="1" w:evenHBand="0" w:firstRowFirstColumn="0" w:firstRowLastColumn="0" w:lastRowFirstColumn="0" w:lastRowLastColumn="0"/>
        </w:trPr>
        <w:tc>
          <w:tcPr>
            <w:tcW w:w="2667" w:type="pct"/>
            <w:hideMark/>
          </w:tcPr>
          <w:p w:rsidR="007E39A7" w:rsidRPr="00F740A0" w:rsidRDefault="007E39A7" w:rsidP="00166BAD">
            <w:pPr>
              <w:spacing w:after="0" w:line="240" w:lineRule="auto"/>
              <w:rPr>
                <w:rFonts w:cs="Arial"/>
                <w:sz w:val="22"/>
              </w:rPr>
            </w:pPr>
            <w:r w:rsidRPr="00F740A0">
              <w:rPr>
                <w:rFonts w:cs="Arial"/>
                <w:sz w:val="22"/>
              </w:rPr>
              <w:t>Dishwashers^</w:t>
            </w:r>
          </w:p>
        </w:tc>
        <w:tc>
          <w:tcPr>
            <w:tcW w:w="1129" w:type="pct"/>
            <w:hideMark/>
          </w:tcPr>
          <w:p w:rsidR="007E39A7" w:rsidRPr="00F740A0" w:rsidRDefault="007E39A7" w:rsidP="00166BAD">
            <w:pPr>
              <w:spacing w:after="0" w:line="240" w:lineRule="auto"/>
              <w:rPr>
                <w:rFonts w:cs="Arial"/>
                <w:sz w:val="22"/>
              </w:rPr>
            </w:pPr>
            <w:r w:rsidRPr="00F740A0">
              <w:rPr>
                <w:rFonts w:cs="Arial"/>
                <w:sz w:val="22"/>
              </w:rPr>
              <w:t>No</w:t>
            </w:r>
          </w:p>
        </w:tc>
        <w:tc>
          <w:tcPr>
            <w:tcW w:w="1204" w:type="pct"/>
            <w:hideMark/>
          </w:tcPr>
          <w:p w:rsidR="007E39A7" w:rsidRPr="00F740A0" w:rsidRDefault="007E39A7" w:rsidP="00166BAD">
            <w:pPr>
              <w:spacing w:after="0" w:line="240" w:lineRule="auto"/>
              <w:rPr>
                <w:rFonts w:cs="Arial"/>
                <w:sz w:val="22"/>
              </w:rPr>
            </w:pPr>
            <w:r w:rsidRPr="00F740A0">
              <w:rPr>
                <w:rFonts w:cs="Arial"/>
                <w:sz w:val="22"/>
              </w:rPr>
              <w:t>Yes^</w:t>
            </w:r>
          </w:p>
        </w:tc>
      </w:tr>
      <w:tr w:rsidR="00B4458A" w:rsidRPr="00E23A03" w:rsidTr="009115F1">
        <w:trPr>
          <w:cnfStyle w:val="000000010000" w:firstRow="0" w:lastRow="0" w:firstColumn="0" w:lastColumn="0" w:oddVBand="0" w:evenVBand="0" w:oddHBand="0" w:evenHBand="1" w:firstRowFirstColumn="0" w:firstRowLastColumn="0" w:lastRowFirstColumn="0" w:lastRowLastColumn="0"/>
        </w:trPr>
        <w:tc>
          <w:tcPr>
            <w:tcW w:w="2667" w:type="pct"/>
            <w:hideMark/>
          </w:tcPr>
          <w:p w:rsidR="007E39A7" w:rsidRPr="00F740A0" w:rsidRDefault="007E39A7" w:rsidP="00166BAD">
            <w:pPr>
              <w:spacing w:after="0" w:line="240" w:lineRule="auto"/>
              <w:rPr>
                <w:rFonts w:cs="Arial"/>
                <w:sz w:val="22"/>
              </w:rPr>
            </w:pPr>
            <w:r w:rsidRPr="00F740A0">
              <w:rPr>
                <w:rFonts w:cs="Arial"/>
                <w:sz w:val="22"/>
              </w:rPr>
              <w:t>Distribution transformers</w:t>
            </w:r>
          </w:p>
        </w:tc>
        <w:tc>
          <w:tcPr>
            <w:tcW w:w="1129" w:type="pct"/>
            <w:hideMark/>
          </w:tcPr>
          <w:p w:rsidR="007E39A7" w:rsidRPr="00F740A0" w:rsidRDefault="007E39A7" w:rsidP="00166BAD">
            <w:pPr>
              <w:spacing w:after="0" w:line="240" w:lineRule="auto"/>
              <w:rPr>
                <w:rFonts w:cs="Arial"/>
                <w:sz w:val="22"/>
              </w:rPr>
            </w:pPr>
            <w:r w:rsidRPr="00F740A0">
              <w:rPr>
                <w:rFonts w:cs="Arial"/>
                <w:sz w:val="22"/>
              </w:rPr>
              <w:t>Yes</w:t>
            </w:r>
          </w:p>
        </w:tc>
        <w:tc>
          <w:tcPr>
            <w:tcW w:w="1204" w:type="pct"/>
            <w:hideMark/>
          </w:tcPr>
          <w:p w:rsidR="007E39A7" w:rsidRPr="00F740A0" w:rsidRDefault="007E39A7" w:rsidP="00166BAD">
            <w:pPr>
              <w:spacing w:after="0" w:line="240" w:lineRule="auto"/>
              <w:rPr>
                <w:rFonts w:cs="Arial"/>
                <w:sz w:val="22"/>
              </w:rPr>
            </w:pPr>
            <w:r w:rsidRPr="00F740A0">
              <w:rPr>
                <w:rFonts w:cs="Arial"/>
                <w:sz w:val="22"/>
              </w:rPr>
              <w:t>No</w:t>
            </w:r>
          </w:p>
        </w:tc>
      </w:tr>
      <w:tr w:rsidR="00B4458A" w:rsidRPr="00E23A03" w:rsidTr="009115F1">
        <w:trPr>
          <w:cnfStyle w:val="000000100000" w:firstRow="0" w:lastRow="0" w:firstColumn="0" w:lastColumn="0" w:oddVBand="0" w:evenVBand="0" w:oddHBand="1" w:evenHBand="0" w:firstRowFirstColumn="0" w:firstRowLastColumn="0" w:lastRowFirstColumn="0" w:lastRowLastColumn="0"/>
        </w:trPr>
        <w:tc>
          <w:tcPr>
            <w:tcW w:w="2667" w:type="pct"/>
            <w:hideMark/>
          </w:tcPr>
          <w:p w:rsidR="007E39A7" w:rsidRPr="00F740A0" w:rsidRDefault="007E39A7" w:rsidP="00166BAD">
            <w:pPr>
              <w:spacing w:after="0" w:line="240" w:lineRule="auto"/>
              <w:rPr>
                <w:rFonts w:cs="Arial"/>
                <w:sz w:val="22"/>
              </w:rPr>
            </w:pPr>
            <w:r w:rsidRPr="00F740A0">
              <w:rPr>
                <w:rFonts w:cs="Arial"/>
                <w:sz w:val="22"/>
              </w:rPr>
              <w:t>Electric motors (three phase)</w:t>
            </w:r>
          </w:p>
        </w:tc>
        <w:tc>
          <w:tcPr>
            <w:tcW w:w="1129" w:type="pct"/>
            <w:hideMark/>
          </w:tcPr>
          <w:p w:rsidR="007E39A7" w:rsidRPr="00F740A0" w:rsidRDefault="007E39A7" w:rsidP="00166BAD">
            <w:pPr>
              <w:spacing w:after="0" w:line="240" w:lineRule="auto"/>
              <w:rPr>
                <w:rFonts w:cs="Arial"/>
                <w:sz w:val="22"/>
              </w:rPr>
            </w:pPr>
            <w:r w:rsidRPr="00F740A0">
              <w:rPr>
                <w:rFonts w:cs="Arial"/>
                <w:sz w:val="22"/>
              </w:rPr>
              <w:t>Yes</w:t>
            </w:r>
          </w:p>
        </w:tc>
        <w:tc>
          <w:tcPr>
            <w:tcW w:w="1204" w:type="pct"/>
            <w:hideMark/>
          </w:tcPr>
          <w:p w:rsidR="007E39A7" w:rsidRPr="00F740A0" w:rsidRDefault="007E39A7" w:rsidP="00166BAD">
            <w:pPr>
              <w:spacing w:after="0" w:line="240" w:lineRule="auto"/>
              <w:rPr>
                <w:rFonts w:cs="Arial"/>
                <w:sz w:val="22"/>
              </w:rPr>
            </w:pPr>
            <w:r w:rsidRPr="00F740A0">
              <w:rPr>
                <w:rFonts w:cs="Arial"/>
                <w:sz w:val="22"/>
              </w:rPr>
              <w:t>Other*</w:t>
            </w:r>
          </w:p>
        </w:tc>
      </w:tr>
      <w:tr w:rsidR="00B4458A" w:rsidRPr="00E23A03" w:rsidTr="009115F1">
        <w:trPr>
          <w:cnfStyle w:val="000000010000" w:firstRow="0" w:lastRow="0" w:firstColumn="0" w:lastColumn="0" w:oddVBand="0" w:evenVBand="0" w:oddHBand="0" w:evenHBand="1" w:firstRowFirstColumn="0" w:firstRowLastColumn="0" w:lastRowFirstColumn="0" w:lastRowLastColumn="0"/>
        </w:trPr>
        <w:tc>
          <w:tcPr>
            <w:tcW w:w="2667" w:type="pct"/>
            <w:hideMark/>
          </w:tcPr>
          <w:p w:rsidR="007E39A7" w:rsidRPr="00F740A0" w:rsidRDefault="007E39A7" w:rsidP="00166BAD">
            <w:pPr>
              <w:spacing w:after="0" w:line="240" w:lineRule="auto"/>
              <w:rPr>
                <w:rFonts w:cs="Arial"/>
                <w:sz w:val="22"/>
              </w:rPr>
            </w:pPr>
            <w:r w:rsidRPr="00F740A0">
              <w:rPr>
                <w:rFonts w:cs="Arial"/>
                <w:sz w:val="22"/>
              </w:rPr>
              <w:t>Electric storage water heaters</w:t>
            </w:r>
          </w:p>
        </w:tc>
        <w:tc>
          <w:tcPr>
            <w:tcW w:w="1129" w:type="pct"/>
            <w:hideMark/>
          </w:tcPr>
          <w:p w:rsidR="007E39A7" w:rsidRPr="00F740A0" w:rsidRDefault="007E39A7" w:rsidP="00166BAD">
            <w:pPr>
              <w:spacing w:after="0" w:line="240" w:lineRule="auto"/>
              <w:rPr>
                <w:rFonts w:cs="Arial"/>
                <w:sz w:val="22"/>
              </w:rPr>
            </w:pPr>
            <w:r w:rsidRPr="00F740A0">
              <w:rPr>
                <w:rFonts w:cs="Arial"/>
                <w:sz w:val="22"/>
              </w:rPr>
              <w:t>Yes</w:t>
            </w:r>
          </w:p>
        </w:tc>
        <w:tc>
          <w:tcPr>
            <w:tcW w:w="1204" w:type="pct"/>
            <w:hideMark/>
          </w:tcPr>
          <w:p w:rsidR="007E39A7" w:rsidRPr="00F740A0" w:rsidRDefault="007E39A7" w:rsidP="00166BAD">
            <w:pPr>
              <w:spacing w:after="0" w:line="240" w:lineRule="auto"/>
              <w:rPr>
                <w:rFonts w:cs="Arial"/>
                <w:sz w:val="22"/>
              </w:rPr>
            </w:pPr>
            <w:r w:rsidRPr="00F740A0">
              <w:rPr>
                <w:rFonts w:cs="Arial"/>
                <w:sz w:val="22"/>
              </w:rPr>
              <w:t>No</w:t>
            </w:r>
          </w:p>
        </w:tc>
      </w:tr>
      <w:tr w:rsidR="00B4458A" w:rsidRPr="00E23A03" w:rsidTr="009115F1">
        <w:trPr>
          <w:cnfStyle w:val="000000100000" w:firstRow="0" w:lastRow="0" w:firstColumn="0" w:lastColumn="0" w:oddVBand="0" w:evenVBand="0" w:oddHBand="1" w:evenHBand="0" w:firstRowFirstColumn="0" w:firstRowLastColumn="0" w:lastRowFirstColumn="0" w:lastRowLastColumn="0"/>
        </w:trPr>
        <w:tc>
          <w:tcPr>
            <w:tcW w:w="2667" w:type="pct"/>
            <w:hideMark/>
          </w:tcPr>
          <w:p w:rsidR="007E39A7" w:rsidRPr="00F740A0" w:rsidRDefault="007E39A7" w:rsidP="00166BAD">
            <w:pPr>
              <w:spacing w:after="0" w:line="240" w:lineRule="auto"/>
              <w:rPr>
                <w:rFonts w:cs="Arial"/>
                <w:sz w:val="22"/>
              </w:rPr>
            </w:pPr>
            <w:r w:rsidRPr="00F740A0">
              <w:rPr>
                <w:rFonts w:cs="Arial"/>
                <w:sz w:val="22"/>
              </w:rPr>
              <w:t>External power supplies</w:t>
            </w:r>
          </w:p>
        </w:tc>
        <w:tc>
          <w:tcPr>
            <w:tcW w:w="1129" w:type="pct"/>
            <w:hideMark/>
          </w:tcPr>
          <w:p w:rsidR="007E39A7" w:rsidRPr="00F740A0" w:rsidRDefault="007E39A7" w:rsidP="00166BAD">
            <w:pPr>
              <w:spacing w:after="0" w:line="240" w:lineRule="auto"/>
              <w:rPr>
                <w:rFonts w:cs="Arial"/>
                <w:sz w:val="22"/>
              </w:rPr>
            </w:pPr>
            <w:r w:rsidRPr="00F740A0">
              <w:rPr>
                <w:rFonts w:cs="Arial"/>
                <w:sz w:val="22"/>
              </w:rPr>
              <w:t>Yes</w:t>
            </w:r>
          </w:p>
        </w:tc>
        <w:tc>
          <w:tcPr>
            <w:tcW w:w="1204" w:type="pct"/>
            <w:hideMark/>
          </w:tcPr>
          <w:p w:rsidR="007E39A7" w:rsidRPr="00F740A0" w:rsidRDefault="007E39A7" w:rsidP="00166BAD">
            <w:pPr>
              <w:spacing w:after="0" w:line="240" w:lineRule="auto"/>
              <w:rPr>
                <w:rFonts w:cs="Arial"/>
                <w:sz w:val="22"/>
              </w:rPr>
            </w:pPr>
            <w:r w:rsidRPr="00F740A0">
              <w:rPr>
                <w:rFonts w:cs="Arial"/>
                <w:sz w:val="22"/>
              </w:rPr>
              <w:t>No</w:t>
            </w:r>
          </w:p>
        </w:tc>
      </w:tr>
      <w:tr w:rsidR="00B4458A" w:rsidRPr="00E23A03" w:rsidTr="009115F1">
        <w:trPr>
          <w:cnfStyle w:val="000000010000" w:firstRow="0" w:lastRow="0" w:firstColumn="0" w:lastColumn="0" w:oddVBand="0" w:evenVBand="0" w:oddHBand="0" w:evenHBand="1" w:firstRowFirstColumn="0" w:firstRowLastColumn="0" w:lastRowFirstColumn="0" w:lastRowLastColumn="0"/>
        </w:trPr>
        <w:tc>
          <w:tcPr>
            <w:tcW w:w="2667" w:type="pct"/>
            <w:hideMark/>
          </w:tcPr>
          <w:p w:rsidR="007E39A7" w:rsidRPr="00F740A0" w:rsidRDefault="007E39A7" w:rsidP="00166BAD">
            <w:pPr>
              <w:spacing w:after="0" w:line="240" w:lineRule="auto"/>
              <w:rPr>
                <w:rFonts w:cs="Arial"/>
                <w:sz w:val="22"/>
              </w:rPr>
            </w:pPr>
            <w:r w:rsidRPr="00F740A0">
              <w:rPr>
                <w:rFonts w:cs="Arial"/>
                <w:sz w:val="22"/>
              </w:rPr>
              <w:t>Gas storage water heaters</w:t>
            </w:r>
          </w:p>
        </w:tc>
        <w:tc>
          <w:tcPr>
            <w:tcW w:w="1129" w:type="pct"/>
            <w:hideMark/>
          </w:tcPr>
          <w:p w:rsidR="007E39A7" w:rsidRPr="00F740A0" w:rsidRDefault="007E39A7" w:rsidP="00166BAD">
            <w:pPr>
              <w:spacing w:after="0" w:line="240" w:lineRule="auto"/>
              <w:rPr>
                <w:rFonts w:cs="Arial"/>
                <w:sz w:val="22"/>
              </w:rPr>
            </w:pPr>
            <w:r w:rsidRPr="00F740A0">
              <w:rPr>
                <w:rFonts w:cs="Arial"/>
                <w:sz w:val="22"/>
              </w:rPr>
              <w:t>Yes</w:t>
            </w:r>
          </w:p>
        </w:tc>
        <w:tc>
          <w:tcPr>
            <w:tcW w:w="1204" w:type="pct"/>
            <w:hideMark/>
          </w:tcPr>
          <w:p w:rsidR="007E39A7" w:rsidRPr="00F740A0" w:rsidRDefault="007E39A7" w:rsidP="00166BAD">
            <w:pPr>
              <w:spacing w:after="0" w:line="240" w:lineRule="auto"/>
              <w:rPr>
                <w:rFonts w:cs="Arial"/>
                <w:sz w:val="22"/>
              </w:rPr>
            </w:pPr>
            <w:r w:rsidRPr="00F740A0">
              <w:rPr>
                <w:rFonts w:cs="Arial"/>
                <w:sz w:val="22"/>
              </w:rPr>
              <w:t>No</w:t>
            </w:r>
          </w:p>
        </w:tc>
      </w:tr>
      <w:tr w:rsidR="00B4458A" w:rsidRPr="00E23A03" w:rsidTr="009115F1">
        <w:trPr>
          <w:cnfStyle w:val="000000100000" w:firstRow="0" w:lastRow="0" w:firstColumn="0" w:lastColumn="0" w:oddVBand="0" w:evenVBand="0" w:oddHBand="1" w:evenHBand="0" w:firstRowFirstColumn="0" w:firstRowLastColumn="0" w:lastRowFirstColumn="0" w:lastRowLastColumn="0"/>
        </w:trPr>
        <w:tc>
          <w:tcPr>
            <w:tcW w:w="2667" w:type="pct"/>
            <w:hideMark/>
          </w:tcPr>
          <w:p w:rsidR="007E39A7" w:rsidRPr="00F740A0" w:rsidRDefault="007E39A7" w:rsidP="00166BAD">
            <w:pPr>
              <w:spacing w:after="0" w:line="240" w:lineRule="auto"/>
              <w:rPr>
                <w:rFonts w:cs="Arial"/>
                <w:sz w:val="22"/>
              </w:rPr>
            </w:pPr>
            <w:r w:rsidRPr="00F740A0">
              <w:rPr>
                <w:rFonts w:cs="Arial"/>
                <w:sz w:val="22"/>
              </w:rPr>
              <w:t>Incandescent lamps</w:t>
            </w:r>
          </w:p>
        </w:tc>
        <w:tc>
          <w:tcPr>
            <w:tcW w:w="1129" w:type="pct"/>
            <w:hideMark/>
          </w:tcPr>
          <w:p w:rsidR="007E39A7" w:rsidRPr="00F740A0" w:rsidRDefault="007E39A7" w:rsidP="00166BAD">
            <w:pPr>
              <w:spacing w:after="0" w:line="240" w:lineRule="auto"/>
              <w:rPr>
                <w:rFonts w:cs="Arial"/>
                <w:sz w:val="22"/>
              </w:rPr>
            </w:pPr>
            <w:r w:rsidRPr="00F740A0">
              <w:rPr>
                <w:rFonts w:cs="Arial"/>
                <w:sz w:val="22"/>
              </w:rPr>
              <w:t>Yes</w:t>
            </w:r>
          </w:p>
        </w:tc>
        <w:tc>
          <w:tcPr>
            <w:tcW w:w="1204" w:type="pct"/>
            <w:hideMark/>
          </w:tcPr>
          <w:p w:rsidR="007E39A7" w:rsidRPr="00F740A0" w:rsidRDefault="007E39A7" w:rsidP="00166BAD">
            <w:pPr>
              <w:spacing w:after="0" w:line="240" w:lineRule="auto"/>
              <w:rPr>
                <w:rFonts w:cs="Arial"/>
                <w:sz w:val="22"/>
              </w:rPr>
            </w:pPr>
            <w:r w:rsidRPr="00F740A0">
              <w:rPr>
                <w:rFonts w:cs="Arial"/>
                <w:sz w:val="22"/>
              </w:rPr>
              <w:t>Other*</w:t>
            </w:r>
          </w:p>
        </w:tc>
      </w:tr>
      <w:tr w:rsidR="00B4458A" w:rsidRPr="00E23A03" w:rsidTr="009115F1">
        <w:trPr>
          <w:cnfStyle w:val="000000010000" w:firstRow="0" w:lastRow="0" w:firstColumn="0" w:lastColumn="0" w:oddVBand="0" w:evenVBand="0" w:oddHBand="0" w:evenHBand="1" w:firstRowFirstColumn="0" w:firstRowLastColumn="0" w:lastRowFirstColumn="0" w:lastRowLastColumn="0"/>
        </w:trPr>
        <w:tc>
          <w:tcPr>
            <w:tcW w:w="2667" w:type="pct"/>
            <w:hideMark/>
          </w:tcPr>
          <w:p w:rsidR="007E39A7" w:rsidRPr="00F740A0" w:rsidRDefault="007E39A7" w:rsidP="00166BAD">
            <w:pPr>
              <w:spacing w:after="0" w:line="240" w:lineRule="auto"/>
              <w:rPr>
                <w:rFonts w:cs="Arial"/>
                <w:sz w:val="22"/>
              </w:rPr>
            </w:pPr>
            <w:r w:rsidRPr="00F740A0">
              <w:rPr>
                <w:rFonts w:cs="Arial"/>
                <w:sz w:val="22"/>
              </w:rPr>
              <w:t>Instantaneous gas water heaters</w:t>
            </w:r>
          </w:p>
        </w:tc>
        <w:tc>
          <w:tcPr>
            <w:tcW w:w="1129" w:type="pct"/>
            <w:hideMark/>
          </w:tcPr>
          <w:p w:rsidR="007E39A7" w:rsidRPr="00F740A0" w:rsidRDefault="007E39A7" w:rsidP="00166BAD">
            <w:pPr>
              <w:spacing w:after="0" w:line="240" w:lineRule="auto"/>
              <w:rPr>
                <w:rFonts w:cs="Arial"/>
                <w:sz w:val="22"/>
              </w:rPr>
            </w:pPr>
            <w:r w:rsidRPr="00F740A0">
              <w:rPr>
                <w:rFonts w:cs="Arial"/>
                <w:sz w:val="22"/>
              </w:rPr>
              <w:t>Yes</w:t>
            </w:r>
          </w:p>
        </w:tc>
        <w:tc>
          <w:tcPr>
            <w:tcW w:w="1204" w:type="pct"/>
            <w:hideMark/>
          </w:tcPr>
          <w:p w:rsidR="007E39A7" w:rsidRPr="00F740A0" w:rsidRDefault="007E39A7" w:rsidP="00166BAD">
            <w:pPr>
              <w:spacing w:after="0" w:line="240" w:lineRule="auto"/>
              <w:rPr>
                <w:rFonts w:cs="Arial"/>
                <w:sz w:val="22"/>
              </w:rPr>
            </w:pPr>
            <w:r w:rsidRPr="00F740A0">
              <w:rPr>
                <w:rFonts w:cs="Arial"/>
                <w:sz w:val="22"/>
              </w:rPr>
              <w:t>No</w:t>
            </w:r>
          </w:p>
        </w:tc>
      </w:tr>
      <w:tr w:rsidR="00B4458A" w:rsidRPr="00E23A03" w:rsidTr="009115F1">
        <w:trPr>
          <w:cnfStyle w:val="000000100000" w:firstRow="0" w:lastRow="0" w:firstColumn="0" w:lastColumn="0" w:oddVBand="0" w:evenVBand="0" w:oddHBand="1" w:evenHBand="0" w:firstRowFirstColumn="0" w:firstRowLastColumn="0" w:lastRowFirstColumn="0" w:lastRowLastColumn="0"/>
        </w:trPr>
        <w:tc>
          <w:tcPr>
            <w:tcW w:w="2667" w:type="pct"/>
            <w:hideMark/>
          </w:tcPr>
          <w:p w:rsidR="007E39A7" w:rsidRPr="00F740A0" w:rsidRDefault="007E39A7" w:rsidP="00166BAD">
            <w:pPr>
              <w:spacing w:after="0" w:line="240" w:lineRule="auto"/>
              <w:rPr>
                <w:rFonts w:cs="Arial"/>
                <w:sz w:val="22"/>
              </w:rPr>
            </w:pPr>
            <w:r w:rsidRPr="00F740A0">
              <w:rPr>
                <w:rFonts w:cs="Arial"/>
                <w:sz w:val="22"/>
              </w:rPr>
              <w:t>Linear fluorescent lamps</w:t>
            </w:r>
          </w:p>
        </w:tc>
        <w:tc>
          <w:tcPr>
            <w:tcW w:w="1129" w:type="pct"/>
            <w:hideMark/>
          </w:tcPr>
          <w:p w:rsidR="007E39A7" w:rsidRPr="00F740A0" w:rsidRDefault="007E39A7" w:rsidP="00166BAD">
            <w:pPr>
              <w:spacing w:after="0" w:line="240" w:lineRule="auto"/>
              <w:rPr>
                <w:rFonts w:cs="Arial"/>
                <w:sz w:val="22"/>
              </w:rPr>
            </w:pPr>
            <w:r w:rsidRPr="00F740A0">
              <w:rPr>
                <w:rFonts w:cs="Arial"/>
                <w:sz w:val="22"/>
              </w:rPr>
              <w:t>Yes</w:t>
            </w:r>
          </w:p>
        </w:tc>
        <w:tc>
          <w:tcPr>
            <w:tcW w:w="1204" w:type="pct"/>
            <w:hideMark/>
          </w:tcPr>
          <w:p w:rsidR="007E39A7" w:rsidRPr="00F740A0" w:rsidRDefault="007E39A7" w:rsidP="00166BAD">
            <w:pPr>
              <w:spacing w:after="0" w:line="240" w:lineRule="auto"/>
              <w:rPr>
                <w:rFonts w:cs="Arial"/>
                <w:sz w:val="22"/>
              </w:rPr>
            </w:pPr>
            <w:r w:rsidRPr="00F740A0">
              <w:rPr>
                <w:rFonts w:cs="Arial"/>
                <w:sz w:val="22"/>
              </w:rPr>
              <w:t>No</w:t>
            </w:r>
          </w:p>
        </w:tc>
      </w:tr>
      <w:tr w:rsidR="00B4458A" w:rsidRPr="00E23A03" w:rsidTr="009115F1">
        <w:trPr>
          <w:cnfStyle w:val="000000010000" w:firstRow="0" w:lastRow="0" w:firstColumn="0" w:lastColumn="0" w:oddVBand="0" w:evenVBand="0" w:oddHBand="0" w:evenHBand="1" w:firstRowFirstColumn="0" w:firstRowLastColumn="0" w:lastRowFirstColumn="0" w:lastRowLastColumn="0"/>
        </w:trPr>
        <w:tc>
          <w:tcPr>
            <w:tcW w:w="2667" w:type="pct"/>
            <w:hideMark/>
          </w:tcPr>
          <w:p w:rsidR="007E39A7" w:rsidRPr="00F740A0" w:rsidRDefault="007E39A7" w:rsidP="00166BAD">
            <w:pPr>
              <w:spacing w:after="0" w:line="240" w:lineRule="auto"/>
              <w:rPr>
                <w:rFonts w:cs="Arial"/>
                <w:sz w:val="22"/>
              </w:rPr>
            </w:pPr>
            <w:r w:rsidRPr="00F740A0">
              <w:rPr>
                <w:rFonts w:cs="Arial"/>
                <w:sz w:val="22"/>
              </w:rPr>
              <w:t>Refrigerated display cabinets</w:t>
            </w:r>
          </w:p>
        </w:tc>
        <w:tc>
          <w:tcPr>
            <w:tcW w:w="1129" w:type="pct"/>
            <w:hideMark/>
          </w:tcPr>
          <w:p w:rsidR="007E39A7" w:rsidRPr="00F740A0" w:rsidRDefault="007E39A7" w:rsidP="00166BAD">
            <w:pPr>
              <w:spacing w:after="0" w:line="240" w:lineRule="auto"/>
              <w:rPr>
                <w:rFonts w:cs="Arial"/>
                <w:sz w:val="22"/>
              </w:rPr>
            </w:pPr>
            <w:r w:rsidRPr="00F740A0">
              <w:rPr>
                <w:rFonts w:cs="Arial"/>
                <w:sz w:val="22"/>
              </w:rPr>
              <w:t>Yes</w:t>
            </w:r>
          </w:p>
        </w:tc>
        <w:tc>
          <w:tcPr>
            <w:tcW w:w="1204" w:type="pct"/>
            <w:hideMark/>
          </w:tcPr>
          <w:p w:rsidR="007E39A7" w:rsidRPr="00F740A0" w:rsidRDefault="007E39A7" w:rsidP="00166BAD">
            <w:pPr>
              <w:spacing w:after="0" w:line="240" w:lineRule="auto"/>
              <w:rPr>
                <w:rFonts w:cs="Arial"/>
                <w:sz w:val="22"/>
              </w:rPr>
            </w:pPr>
            <w:r w:rsidRPr="00F740A0">
              <w:rPr>
                <w:rFonts w:cs="Arial"/>
                <w:sz w:val="22"/>
              </w:rPr>
              <w:t>No</w:t>
            </w:r>
          </w:p>
        </w:tc>
      </w:tr>
      <w:tr w:rsidR="00B4458A" w:rsidRPr="00E23A03" w:rsidTr="009115F1">
        <w:trPr>
          <w:cnfStyle w:val="000000100000" w:firstRow="0" w:lastRow="0" w:firstColumn="0" w:lastColumn="0" w:oddVBand="0" w:evenVBand="0" w:oddHBand="1" w:evenHBand="0" w:firstRowFirstColumn="0" w:firstRowLastColumn="0" w:lastRowFirstColumn="0" w:lastRowLastColumn="0"/>
        </w:trPr>
        <w:tc>
          <w:tcPr>
            <w:tcW w:w="2667" w:type="pct"/>
            <w:hideMark/>
          </w:tcPr>
          <w:p w:rsidR="007E39A7" w:rsidRPr="00F740A0" w:rsidRDefault="007E39A7" w:rsidP="00166BAD">
            <w:pPr>
              <w:spacing w:after="0" w:line="240" w:lineRule="auto"/>
              <w:rPr>
                <w:rFonts w:cs="Arial"/>
                <w:sz w:val="22"/>
              </w:rPr>
            </w:pPr>
            <w:r w:rsidRPr="00F740A0">
              <w:rPr>
                <w:rFonts w:cs="Arial"/>
                <w:sz w:val="22"/>
              </w:rPr>
              <w:t>Refrigerators and freezers</w:t>
            </w:r>
          </w:p>
        </w:tc>
        <w:tc>
          <w:tcPr>
            <w:tcW w:w="1129" w:type="pct"/>
            <w:hideMark/>
          </w:tcPr>
          <w:p w:rsidR="007E39A7" w:rsidRPr="00F740A0" w:rsidRDefault="007E39A7" w:rsidP="00166BAD">
            <w:pPr>
              <w:spacing w:after="0" w:line="240" w:lineRule="auto"/>
              <w:rPr>
                <w:rFonts w:cs="Arial"/>
                <w:sz w:val="22"/>
              </w:rPr>
            </w:pPr>
            <w:r w:rsidRPr="00F740A0">
              <w:rPr>
                <w:rFonts w:cs="Arial"/>
                <w:sz w:val="22"/>
              </w:rPr>
              <w:t>Yes</w:t>
            </w:r>
          </w:p>
        </w:tc>
        <w:tc>
          <w:tcPr>
            <w:tcW w:w="1204" w:type="pct"/>
            <w:hideMark/>
          </w:tcPr>
          <w:p w:rsidR="007E39A7" w:rsidRPr="00F740A0" w:rsidRDefault="007E39A7" w:rsidP="00166BAD">
            <w:pPr>
              <w:spacing w:after="0" w:line="240" w:lineRule="auto"/>
              <w:rPr>
                <w:rFonts w:cs="Arial"/>
                <w:sz w:val="22"/>
              </w:rPr>
            </w:pPr>
            <w:r w:rsidRPr="00F740A0">
              <w:rPr>
                <w:rFonts w:cs="Arial"/>
                <w:sz w:val="22"/>
              </w:rPr>
              <w:t>Yes</w:t>
            </w:r>
          </w:p>
        </w:tc>
      </w:tr>
      <w:tr w:rsidR="00B4458A" w:rsidRPr="00E23A03" w:rsidTr="009115F1">
        <w:trPr>
          <w:cnfStyle w:val="000000010000" w:firstRow="0" w:lastRow="0" w:firstColumn="0" w:lastColumn="0" w:oddVBand="0" w:evenVBand="0" w:oddHBand="0" w:evenHBand="1" w:firstRowFirstColumn="0" w:firstRowLastColumn="0" w:lastRowFirstColumn="0" w:lastRowLastColumn="0"/>
        </w:trPr>
        <w:tc>
          <w:tcPr>
            <w:tcW w:w="2667" w:type="pct"/>
            <w:hideMark/>
          </w:tcPr>
          <w:p w:rsidR="007E39A7" w:rsidRPr="00F740A0" w:rsidRDefault="007E39A7" w:rsidP="00166BAD">
            <w:pPr>
              <w:spacing w:after="0" w:line="240" w:lineRule="auto"/>
              <w:rPr>
                <w:rFonts w:cs="Arial"/>
                <w:sz w:val="22"/>
              </w:rPr>
            </w:pPr>
            <w:r w:rsidRPr="00F740A0">
              <w:rPr>
                <w:rFonts w:cs="Arial"/>
                <w:sz w:val="22"/>
              </w:rPr>
              <w:t>Set top boxes</w:t>
            </w:r>
          </w:p>
        </w:tc>
        <w:tc>
          <w:tcPr>
            <w:tcW w:w="1129" w:type="pct"/>
            <w:hideMark/>
          </w:tcPr>
          <w:p w:rsidR="007E39A7" w:rsidRPr="00F740A0" w:rsidRDefault="007E39A7" w:rsidP="00166BAD">
            <w:pPr>
              <w:spacing w:after="0" w:line="240" w:lineRule="auto"/>
              <w:rPr>
                <w:rFonts w:cs="Arial"/>
                <w:sz w:val="22"/>
              </w:rPr>
            </w:pPr>
            <w:r w:rsidRPr="00F740A0">
              <w:rPr>
                <w:rFonts w:cs="Arial"/>
                <w:sz w:val="22"/>
              </w:rPr>
              <w:t>Yes</w:t>
            </w:r>
          </w:p>
        </w:tc>
        <w:tc>
          <w:tcPr>
            <w:tcW w:w="1204" w:type="pct"/>
            <w:hideMark/>
          </w:tcPr>
          <w:p w:rsidR="007E39A7" w:rsidRPr="00F740A0" w:rsidRDefault="007E39A7" w:rsidP="00166BAD">
            <w:pPr>
              <w:spacing w:after="0" w:line="240" w:lineRule="auto"/>
              <w:rPr>
                <w:rFonts w:cs="Arial"/>
                <w:sz w:val="22"/>
              </w:rPr>
            </w:pPr>
            <w:r w:rsidRPr="00F740A0">
              <w:rPr>
                <w:rFonts w:cs="Arial"/>
                <w:sz w:val="22"/>
              </w:rPr>
              <w:t>No</w:t>
            </w:r>
          </w:p>
        </w:tc>
      </w:tr>
      <w:tr w:rsidR="00B4458A" w:rsidRPr="00E23A03" w:rsidTr="009115F1">
        <w:trPr>
          <w:cnfStyle w:val="000000100000" w:firstRow="0" w:lastRow="0" w:firstColumn="0" w:lastColumn="0" w:oddVBand="0" w:evenVBand="0" w:oddHBand="1" w:evenHBand="0" w:firstRowFirstColumn="0" w:firstRowLastColumn="0" w:lastRowFirstColumn="0" w:lastRowLastColumn="0"/>
        </w:trPr>
        <w:tc>
          <w:tcPr>
            <w:tcW w:w="2667" w:type="pct"/>
            <w:hideMark/>
          </w:tcPr>
          <w:p w:rsidR="007E39A7" w:rsidRPr="00F740A0" w:rsidRDefault="007E39A7" w:rsidP="00166BAD">
            <w:pPr>
              <w:spacing w:after="0" w:line="240" w:lineRule="auto"/>
              <w:rPr>
                <w:rFonts w:cs="Arial"/>
                <w:sz w:val="22"/>
              </w:rPr>
            </w:pPr>
            <w:r w:rsidRPr="00F740A0">
              <w:rPr>
                <w:rFonts w:cs="Arial"/>
                <w:sz w:val="22"/>
              </w:rPr>
              <w:t>Swimming pool pumps</w:t>
            </w:r>
          </w:p>
        </w:tc>
        <w:tc>
          <w:tcPr>
            <w:tcW w:w="1129" w:type="pct"/>
            <w:hideMark/>
          </w:tcPr>
          <w:p w:rsidR="007E39A7" w:rsidRPr="00F740A0" w:rsidRDefault="007E39A7" w:rsidP="00166BAD">
            <w:pPr>
              <w:spacing w:after="0" w:line="240" w:lineRule="auto"/>
              <w:rPr>
                <w:rFonts w:cs="Arial"/>
                <w:sz w:val="22"/>
              </w:rPr>
            </w:pPr>
            <w:r w:rsidRPr="00F740A0">
              <w:rPr>
                <w:rFonts w:cs="Arial"/>
                <w:sz w:val="22"/>
              </w:rPr>
              <w:t>No</w:t>
            </w:r>
          </w:p>
        </w:tc>
        <w:tc>
          <w:tcPr>
            <w:tcW w:w="1204" w:type="pct"/>
            <w:hideMark/>
          </w:tcPr>
          <w:p w:rsidR="007E39A7" w:rsidRPr="00F740A0" w:rsidRDefault="007E39A7" w:rsidP="00166BAD">
            <w:pPr>
              <w:spacing w:after="0" w:line="240" w:lineRule="auto"/>
              <w:rPr>
                <w:rFonts w:cs="Arial"/>
                <w:sz w:val="22"/>
              </w:rPr>
            </w:pPr>
            <w:r w:rsidRPr="00F740A0">
              <w:rPr>
                <w:rFonts w:cs="Arial"/>
                <w:bCs/>
                <w:sz w:val="22"/>
              </w:rPr>
              <w:t xml:space="preserve">Yes </w:t>
            </w:r>
            <w:r w:rsidRPr="00F740A0">
              <w:rPr>
                <w:rFonts w:cs="Arial"/>
                <w:sz w:val="22"/>
              </w:rPr>
              <w:t>(Voluntary)</w:t>
            </w:r>
            <w:r w:rsidR="002F0D6E" w:rsidRPr="003442DC">
              <w:rPr>
                <w:rFonts w:cs="Arial"/>
                <w:sz w:val="22"/>
                <w:vertAlign w:val="superscript"/>
              </w:rPr>
              <w:t>#</w:t>
            </w:r>
          </w:p>
        </w:tc>
      </w:tr>
      <w:tr w:rsidR="00B4458A" w:rsidRPr="00E23A03" w:rsidTr="009115F1">
        <w:trPr>
          <w:cnfStyle w:val="000000010000" w:firstRow="0" w:lastRow="0" w:firstColumn="0" w:lastColumn="0" w:oddVBand="0" w:evenVBand="0" w:oddHBand="0" w:evenHBand="1" w:firstRowFirstColumn="0" w:firstRowLastColumn="0" w:lastRowFirstColumn="0" w:lastRowLastColumn="0"/>
        </w:trPr>
        <w:tc>
          <w:tcPr>
            <w:tcW w:w="2667" w:type="pct"/>
            <w:hideMark/>
          </w:tcPr>
          <w:p w:rsidR="007E39A7" w:rsidRPr="00F740A0" w:rsidRDefault="007E39A7" w:rsidP="00166BAD">
            <w:pPr>
              <w:spacing w:after="0" w:line="240" w:lineRule="auto"/>
              <w:rPr>
                <w:rFonts w:cs="Arial"/>
                <w:sz w:val="22"/>
              </w:rPr>
            </w:pPr>
            <w:r w:rsidRPr="00F740A0">
              <w:rPr>
                <w:rFonts w:cs="Arial"/>
                <w:sz w:val="22"/>
              </w:rPr>
              <w:t>Televisions</w:t>
            </w:r>
          </w:p>
        </w:tc>
        <w:tc>
          <w:tcPr>
            <w:tcW w:w="1129" w:type="pct"/>
            <w:hideMark/>
          </w:tcPr>
          <w:p w:rsidR="007E39A7" w:rsidRPr="00F740A0" w:rsidRDefault="007E39A7" w:rsidP="00166BAD">
            <w:pPr>
              <w:spacing w:after="0" w:line="240" w:lineRule="auto"/>
              <w:rPr>
                <w:rFonts w:cs="Arial"/>
                <w:sz w:val="22"/>
              </w:rPr>
            </w:pPr>
            <w:r w:rsidRPr="00F740A0">
              <w:rPr>
                <w:rFonts w:cs="Arial"/>
                <w:sz w:val="22"/>
              </w:rPr>
              <w:t>Yes</w:t>
            </w:r>
          </w:p>
        </w:tc>
        <w:tc>
          <w:tcPr>
            <w:tcW w:w="1204" w:type="pct"/>
            <w:hideMark/>
          </w:tcPr>
          <w:p w:rsidR="007E39A7" w:rsidRPr="00F740A0" w:rsidRDefault="007E39A7" w:rsidP="00166BAD">
            <w:pPr>
              <w:spacing w:after="0" w:line="240" w:lineRule="auto"/>
              <w:rPr>
                <w:rFonts w:cs="Arial"/>
                <w:sz w:val="22"/>
              </w:rPr>
            </w:pPr>
            <w:r w:rsidRPr="00F740A0">
              <w:rPr>
                <w:rFonts w:cs="Arial"/>
                <w:sz w:val="22"/>
              </w:rPr>
              <w:t>Yes</w:t>
            </w:r>
          </w:p>
        </w:tc>
      </w:tr>
      <w:tr w:rsidR="00B4458A" w:rsidRPr="00E23A03" w:rsidTr="009115F1">
        <w:trPr>
          <w:cnfStyle w:val="000000100000" w:firstRow="0" w:lastRow="0" w:firstColumn="0" w:lastColumn="0" w:oddVBand="0" w:evenVBand="0" w:oddHBand="1" w:evenHBand="0" w:firstRowFirstColumn="0" w:firstRowLastColumn="0" w:lastRowFirstColumn="0" w:lastRowLastColumn="0"/>
        </w:trPr>
        <w:tc>
          <w:tcPr>
            <w:tcW w:w="2667" w:type="pct"/>
            <w:hideMark/>
          </w:tcPr>
          <w:p w:rsidR="007E39A7" w:rsidRPr="00F740A0" w:rsidRDefault="007E39A7" w:rsidP="00166BAD">
            <w:pPr>
              <w:spacing w:after="0" w:line="240" w:lineRule="auto"/>
              <w:rPr>
                <w:rFonts w:cs="Arial"/>
                <w:sz w:val="22"/>
              </w:rPr>
            </w:pPr>
            <w:r w:rsidRPr="00F740A0">
              <w:rPr>
                <w:rFonts w:cs="Arial"/>
                <w:sz w:val="22"/>
              </w:rPr>
              <w:t>Transformers and converters for halogens</w:t>
            </w:r>
          </w:p>
        </w:tc>
        <w:tc>
          <w:tcPr>
            <w:tcW w:w="1129" w:type="pct"/>
            <w:hideMark/>
          </w:tcPr>
          <w:p w:rsidR="007E39A7" w:rsidRPr="00F740A0" w:rsidRDefault="007E39A7" w:rsidP="00166BAD">
            <w:pPr>
              <w:spacing w:after="0" w:line="240" w:lineRule="auto"/>
              <w:rPr>
                <w:rFonts w:cs="Arial"/>
                <w:sz w:val="22"/>
              </w:rPr>
            </w:pPr>
            <w:r w:rsidRPr="00F740A0">
              <w:rPr>
                <w:rFonts w:cs="Arial"/>
                <w:sz w:val="22"/>
              </w:rPr>
              <w:t>Yes</w:t>
            </w:r>
          </w:p>
        </w:tc>
        <w:tc>
          <w:tcPr>
            <w:tcW w:w="1204" w:type="pct"/>
            <w:hideMark/>
          </w:tcPr>
          <w:p w:rsidR="007E39A7" w:rsidRPr="00F740A0" w:rsidRDefault="007E39A7" w:rsidP="00166BAD">
            <w:pPr>
              <w:spacing w:after="0" w:line="240" w:lineRule="auto"/>
              <w:rPr>
                <w:rFonts w:cs="Arial"/>
                <w:sz w:val="22"/>
              </w:rPr>
            </w:pPr>
            <w:r w:rsidRPr="00F740A0">
              <w:rPr>
                <w:rFonts w:cs="Arial"/>
                <w:sz w:val="22"/>
              </w:rPr>
              <w:t>Other*</w:t>
            </w:r>
          </w:p>
        </w:tc>
      </w:tr>
    </w:tbl>
    <w:p w:rsidR="005053EC" w:rsidRPr="00F30379" w:rsidRDefault="005E5CD2" w:rsidP="00166BAD">
      <w:pPr>
        <w:spacing w:after="0"/>
        <w:ind w:left="426" w:hanging="284"/>
        <w:rPr>
          <w:sz w:val="18"/>
        </w:rPr>
      </w:pPr>
      <w:r w:rsidRPr="00166BAD">
        <w:rPr>
          <w:sz w:val="18"/>
        </w:rPr>
        <w:t xml:space="preserve"> </w:t>
      </w:r>
      <w:r w:rsidR="00BE07AC" w:rsidRPr="00166BAD">
        <w:rPr>
          <w:sz w:val="18"/>
          <w:vertAlign w:val="superscript"/>
        </w:rPr>
        <w:t xml:space="preserve">+  </w:t>
      </w:r>
      <w:r w:rsidR="00CD4B46" w:rsidRPr="00166BAD">
        <w:rPr>
          <w:sz w:val="18"/>
          <w:vertAlign w:val="superscript"/>
        </w:rPr>
        <w:t xml:space="preserve">  </w:t>
      </w:r>
      <w:r w:rsidR="00C955F4">
        <w:rPr>
          <w:sz w:val="18"/>
          <w:vertAlign w:val="superscript"/>
        </w:rPr>
        <w:tab/>
      </w:r>
      <w:r w:rsidR="00CD4B46" w:rsidRPr="00166BAD">
        <w:rPr>
          <w:sz w:val="18"/>
          <w:vertAlign w:val="superscript"/>
        </w:rPr>
        <w:t xml:space="preserve"> </w:t>
      </w:r>
      <w:r w:rsidR="00BE07AC" w:rsidRPr="00166BAD">
        <w:rPr>
          <w:sz w:val="18"/>
        </w:rPr>
        <w:t>In December 2018, COAG Energy</w:t>
      </w:r>
      <w:r w:rsidR="00CD4B46" w:rsidRPr="00166BAD">
        <w:rPr>
          <w:sz w:val="18"/>
        </w:rPr>
        <w:t xml:space="preserve"> Council</w:t>
      </w:r>
      <w:r w:rsidR="00BE07AC" w:rsidRPr="00166BAD">
        <w:rPr>
          <w:sz w:val="18"/>
        </w:rPr>
        <w:t xml:space="preserve"> Ministers agreed to improve the existing regulations for air conditioners and to introduce regulations for swimming pool pumps, starting in 2020. </w:t>
      </w:r>
    </w:p>
    <w:p w:rsidR="00E21D78" w:rsidRPr="00166BAD" w:rsidRDefault="00166BAD" w:rsidP="00166BAD">
      <w:pPr>
        <w:spacing w:after="0"/>
        <w:ind w:left="426" w:hanging="284"/>
        <w:rPr>
          <w:sz w:val="18"/>
          <w:vertAlign w:val="superscript"/>
        </w:rPr>
      </w:pPr>
      <w:r>
        <w:rPr>
          <w:sz w:val="18"/>
          <w:vertAlign w:val="superscript"/>
        </w:rPr>
        <w:t xml:space="preserve"> ++</w:t>
      </w:r>
      <w:r w:rsidR="00E21D78">
        <w:rPr>
          <w:sz w:val="18"/>
          <w:vertAlign w:val="superscript"/>
        </w:rPr>
        <w:tab/>
      </w:r>
      <w:r w:rsidR="00045401" w:rsidRPr="00166BAD">
        <w:rPr>
          <w:sz w:val="18"/>
        </w:rPr>
        <w:t>T</w:t>
      </w:r>
      <w:r w:rsidR="00E21D78">
        <w:rPr>
          <w:sz w:val="18"/>
        </w:rPr>
        <w:t xml:space="preserve">he voluntary label for three phase </w:t>
      </w:r>
      <w:r w:rsidR="003A45D4">
        <w:rPr>
          <w:sz w:val="18"/>
        </w:rPr>
        <w:t>air conditioners</w:t>
      </w:r>
      <w:r w:rsidR="00E21D78">
        <w:rPr>
          <w:sz w:val="18"/>
        </w:rPr>
        <w:t xml:space="preserve"> </w:t>
      </w:r>
      <w:r w:rsidR="003A45D4">
        <w:rPr>
          <w:sz w:val="18"/>
        </w:rPr>
        <w:t>will be retained for products up to 30kW capacity</w:t>
      </w:r>
      <w:r w:rsidR="00045401">
        <w:rPr>
          <w:sz w:val="18"/>
        </w:rPr>
        <w:t xml:space="preserve"> </w:t>
      </w:r>
      <w:r w:rsidR="003A45D4">
        <w:rPr>
          <w:sz w:val="18"/>
        </w:rPr>
        <w:t>w</w:t>
      </w:r>
      <w:r w:rsidR="00045401">
        <w:rPr>
          <w:sz w:val="18"/>
        </w:rPr>
        <w:t>hen the proposed new r</w:t>
      </w:r>
      <w:r w:rsidR="003A45D4">
        <w:rPr>
          <w:sz w:val="18"/>
        </w:rPr>
        <w:t xml:space="preserve">egulations </w:t>
      </w:r>
      <w:r w:rsidR="00045401">
        <w:rPr>
          <w:sz w:val="18"/>
        </w:rPr>
        <w:t>commence</w:t>
      </w:r>
      <w:r w:rsidR="00E21D78">
        <w:rPr>
          <w:sz w:val="18"/>
        </w:rPr>
        <w:t xml:space="preserve">. </w:t>
      </w:r>
    </w:p>
    <w:p w:rsidR="007E39A7" w:rsidRPr="00166BAD" w:rsidRDefault="005053EC" w:rsidP="00C955F4">
      <w:pPr>
        <w:spacing w:after="0"/>
        <w:ind w:left="426" w:hanging="284"/>
        <w:rPr>
          <w:sz w:val="18"/>
        </w:rPr>
      </w:pPr>
      <w:r w:rsidRPr="00166BAD">
        <w:rPr>
          <w:sz w:val="18"/>
        </w:rPr>
        <w:lastRenderedPageBreak/>
        <w:t xml:space="preserve"> </w:t>
      </w:r>
      <w:r w:rsidR="007E39A7" w:rsidRPr="00166BAD">
        <w:rPr>
          <w:sz w:val="18"/>
        </w:rPr>
        <w:t xml:space="preserve">*  </w:t>
      </w:r>
      <w:r w:rsidR="00C955F4">
        <w:rPr>
          <w:sz w:val="18"/>
        </w:rPr>
        <w:tab/>
      </w:r>
      <w:r w:rsidR="007E39A7" w:rsidRPr="00166BAD">
        <w:rPr>
          <w:sz w:val="18"/>
        </w:rPr>
        <w:t>While no ERL is required, GEMS labelling requirements apply - see relevant GEMS determination</w:t>
      </w:r>
    </w:p>
    <w:p w:rsidR="002F0D6E" w:rsidRPr="00166BAD" w:rsidRDefault="005E5CD2" w:rsidP="00C955F4">
      <w:pPr>
        <w:spacing w:after="0"/>
        <w:ind w:left="426" w:hanging="284"/>
        <w:rPr>
          <w:sz w:val="18"/>
        </w:rPr>
      </w:pPr>
      <w:r w:rsidRPr="00166BAD">
        <w:rPr>
          <w:sz w:val="18"/>
        </w:rPr>
        <w:t xml:space="preserve"> </w:t>
      </w:r>
      <w:r w:rsidR="007E39A7" w:rsidRPr="00166BAD">
        <w:rPr>
          <w:sz w:val="18"/>
        </w:rPr>
        <w:t xml:space="preserve">^ </w:t>
      </w:r>
      <w:r w:rsidR="00E23A03" w:rsidRPr="00166BAD">
        <w:rPr>
          <w:sz w:val="18"/>
        </w:rPr>
        <w:t xml:space="preserve"> </w:t>
      </w:r>
      <w:r w:rsidR="00C955F4">
        <w:rPr>
          <w:sz w:val="18"/>
        </w:rPr>
        <w:tab/>
      </w:r>
      <w:r w:rsidR="007E39A7" w:rsidRPr="00166BAD">
        <w:rPr>
          <w:sz w:val="18"/>
        </w:rPr>
        <w:t xml:space="preserve">The ERL has proven to be an effective and appropriate mechanism to ensure increased efficiency. </w:t>
      </w:r>
      <w:r w:rsidR="00AF1FFA">
        <w:rPr>
          <w:sz w:val="18"/>
        </w:rPr>
        <w:t xml:space="preserve">COAG Energy Council </w:t>
      </w:r>
      <w:r w:rsidR="007E39A7" w:rsidRPr="00166BAD">
        <w:rPr>
          <w:sz w:val="18"/>
        </w:rPr>
        <w:t xml:space="preserve">reviews </w:t>
      </w:r>
      <w:r w:rsidR="00AF1FFA">
        <w:rPr>
          <w:sz w:val="18"/>
        </w:rPr>
        <w:t>have found that the</w:t>
      </w:r>
      <w:r w:rsidR="007E39A7" w:rsidRPr="00166BAD">
        <w:rPr>
          <w:sz w:val="18"/>
        </w:rPr>
        <w:t xml:space="preserve"> application of MEPS would not be cost effective at this time.</w:t>
      </w:r>
    </w:p>
    <w:p w:rsidR="009115F1" w:rsidRDefault="002F0D6E" w:rsidP="00C955F4">
      <w:pPr>
        <w:ind w:left="426" w:hanging="284"/>
        <w:rPr>
          <w:sz w:val="18"/>
        </w:rPr>
      </w:pPr>
      <w:r w:rsidRPr="00166BAD">
        <w:rPr>
          <w:sz w:val="18"/>
        </w:rPr>
        <w:t xml:space="preserve"> </w:t>
      </w:r>
      <w:r w:rsidRPr="00166BAD">
        <w:rPr>
          <w:sz w:val="18"/>
          <w:vertAlign w:val="superscript"/>
        </w:rPr>
        <w:t>#</w:t>
      </w:r>
      <w:r w:rsidRPr="00166BAD">
        <w:rPr>
          <w:sz w:val="18"/>
        </w:rPr>
        <w:t xml:space="preserve">  </w:t>
      </w:r>
      <w:r w:rsidR="00C955F4">
        <w:rPr>
          <w:sz w:val="18"/>
        </w:rPr>
        <w:tab/>
      </w:r>
      <w:r w:rsidRPr="00166BAD">
        <w:rPr>
          <w:sz w:val="18"/>
        </w:rPr>
        <w:t>The Voluntary Energy Rating Labelling Program</w:t>
      </w:r>
      <w:r w:rsidRPr="00166BAD">
        <w:rPr>
          <w:bCs/>
          <w:sz w:val="18"/>
        </w:rPr>
        <w:t xml:space="preserve"> (VERLP)</w:t>
      </w:r>
      <w:r w:rsidRPr="00166BAD">
        <w:rPr>
          <w:sz w:val="18"/>
        </w:rPr>
        <w:t xml:space="preserve"> is an E3 program</w:t>
      </w:r>
      <w:r w:rsidR="00296D6E">
        <w:rPr>
          <w:sz w:val="18"/>
        </w:rPr>
        <w:t xml:space="preserve"> for swimming pool pumps</w:t>
      </w:r>
      <w:r w:rsidRPr="00166BAD">
        <w:rPr>
          <w:sz w:val="18"/>
        </w:rPr>
        <w:t>, currently outside of GEMS regulations</w:t>
      </w:r>
      <w:r w:rsidR="00BE07AC" w:rsidRPr="00166BAD">
        <w:rPr>
          <w:sz w:val="18"/>
        </w:rPr>
        <w:t xml:space="preserve">. </w:t>
      </w:r>
      <w:r w:rsidR="00CD4B46" w:rsidRPr="00166BAD">
        <w:rPr>
          <w:sz w:val="18"/>
        </w:rPr>
        <w:t>The VERLP has closed for new application</w:t>
      </w:r>
      <w:r w:rsidR="00FC2CFF">
        <w:rPr>
          <w:sz w:val="18"/>
        </w:rPr>
        <w:t>s</w:t>
      </w:r>
      <w:r w:rsidR="00CD4B46" w:rsidRPr="00166BAD">
        <w:rPr>
          <w:sz w:val="18"/>
        </w:rPr>
        <w:t xml:space="preserve">. Existing registered VERLP products can display their label until after the </w:t>
      </w:r>
      <w:r w:rsidR="00357DAE">
        <w:rPr>
          <w:sz w:val="18"/>
        </w:rPr>
        <w:t xml:space="preserve">proposed </w:t>
      </w:r>
      <w:r w:rsidR="00CD4B46" w:rsidRPr="00166BAD">
        <w:rPr>
          <w:sz w:val="18"/>
        </w:rPr>
        <w:t>regu</w:t>
      </w:r>
      <w:r w:rsidR="003A45D4" w:rsidRPr="00F30379">
        <w:rPr>
          <w:sz w:val="18"/>
        </w:rPr>
        <w:t xml:space="preserve">lations </w:t>
      </w:r>
      <w:r w:rsidR="00CD4B46" w:rsidRPr="00166BAD">
        <w:rPr>
          <w:sz w:val="18"/>
        </w:rPr>
        <w:t>commence.</w:t>
      </w:r>
    </w:p>
    <w:p w:rsidR="007E39A7" w:rsidRPr="007E39A7" w:rsidRDefault="007E39A7" w:rsidP="00F740A0">
      <w:pPr>
        <w:pStyle w:val="Heading2"/>
      </w:pPr>
      <w:bookmarkStart w:id="35" w:name="_Toc517621132"/>
      <w:bookmarkStart w:id="36" w:name="_Toc18660973"/>
      <w:r w:rsidRPr="007E39A7">
        <w:t>2.</w:t>
      </w:r>
      <w:r w:rsidR="00CB3E90">
        <w:t>5</w:t>
      </w:r>
      <w:r w:rsidRPr="007E39A7">
        <w:tab/>
        <w:t xml:space="preserve">E3 </w:t>
      </w:r>
      <w:r w:rsidR="00E16DFF" w:rsidRPr="007E39A7">
        <w:t>prioritisation plan</w:t>
      </w:r>
      <w:bookmarkEnd w:id="35"/>
      <w:bookmarkEnd w:id="36"/>
    </w:p>
    <w:p w:rsidR="007E39A7" w:rsidRPr="007E39A7" w:rsidRDefault="007E39A7" w:rsidP="00F740A0">
      <w:r w:rsidRPr="007E39A7">
        <w:t>Setting priorities for E3 is critical to ensur</w:t>
      </w:r>
      <w:r w:rsidR="002A74A6">
        <w:t>ing</w:t>
      </w:r>
      <w:r w:rsidRPr="007E39A7">
        <w:t xml:space="preserve"> that opportunities to save energy, lower energy costs for households and business</w:t>
      </w:r>
      <w:r w:rsidR="00774E06">
        <w:t>,</w:t>
      </w:r>
      <w:r w:rsidRPr="007E39A7">
        <w:t xml:space="preserve"> and reduce greenhouse gas emissions, are realised as soon as possible. Evidence-based prioritisation of opportunities provide</w:t>
      </w:r>
      <w:r w:rsidR="002A74A6">
        <w:t>s</w:t>
      </w:r>
      <w:r w:rsidRPr="007E39A7">
        <w:t xml:space="preserve"> a basis for planning </w:t>
      </w:r>
      <w:r w:rsidR="00774E06">
        <w:t>of</w:t>
      </w:r>
      <w:r w:rsidR="00774E06" w:rsidRPr="007E39A7">
        <w:t xml:space="preserve"> </w:t>
      </w:r>
      <w:r w:rsidRPr="007E39A7">
        <w:t>future regulatory work and allocation of resources.</w:t>
      </w:r>
      <w:r w:rsidR="00437898">
        <w:t xml:space="preserve"> The development of the E3 </w:t>
      </w:r>
      <w:r w:rsidR="00E16DFF">
        <w:t>prioritisation plan</w:t>
      </w:r>
      <w:r w:rsidR="00437898">
        <w:t xml:space="preserve"> was one of the key recommendations of the 2015 GEMS </w:t>
      </w:r>
      <w:r w:rsidR="00774E06">
        <w:t>R</w:t>
      </w:r>
      <w:r w:rsidR="00437898">
        <w:t xml:space="preserve">eview (see </w:t>
      </w:r>
      <w:r w:rsidR="008C759E" w:rsidRPr="00C743A5">
        <w:rPr>
          <w:b/>
          <w:bCs/>
        </w:rPr>
        <w:t>S</w:t>
      </w:r>
      <w:r w:rsidR="00437898" w:rsidRPr="00C743A5">
        <w:rPr>
          <w:b/>
          <w:bCs/>
        </w:rPr>
        <w:t>ection 2.3</w:t>
      </w:r>
      <w:r w:rsidR="00437898">
        <w:t xml:space="preserve"> and </w:t>
      </w:r>
      <w:r w:rsidR="00437898" w:rsidRPr="00C743A5">
        <w:rPr>
          <w:b/>
          <w:bCs/>
        </w:rPr>
        <w:t xml:space="preserve">Appendix </w:t>
      </w:r>
      <w:r w:rsidR="00512C0C" w:rsidRPr="00C743A5">
        <w:rPr>
          <w:b/>
          <w:bCs/>
        </w:rPr>
        <w:t>B</w:t>
      </w:r>
      <w:r w:rsidR="00437898">
        <w:t>)</w:t>
      </w:r>
      <w:r w:rsidR="003C5D01">
        <w:t>.</w:t>
      </w:r>
    </w:p>
    <w:p w:rsidR="007E39A7" w:rsidRDefault="007E39A7" w:rsidP="00F740A0">
      <w:r w:rsidRPr="007E39A7">
        <w:t xml:space="preserve">In the short to medium-term, </w:t>
      </w:r>
      <w:r w:rsidR="002A74A6" w:rsidRPr="007E39A7">
        <w:t>prioritis</w:t>
      </w:r>
      <w:r w:rsidR="002A74A6">
        <w:t>ation</w:t>
      </w:r>
      <w:r w:rsidR="002A74A6" w:rsidRPr="007E39A7">
        <w:t xml:space="preserve"> </w:t>
      </w:r>
      <w:r w:rsidRPr="007E39A7">
        <w:t xml:space="preserve">means focusing resources on a smaller number of higher-value policies so they can be delivered earlier than they would be otherwise. </w:t>
      </w:r>
      <w:r w:rsidR="00285A20">
        <w:t>In 2016, t</w:t>
      </w:r>
      <w:r w:rsidRPr="007E39A7">
        <w:t>he</w:t>
      </w:r>
      <w:r w:rsidR="00285A20">
        <w:t xml:space="preserve"> E3 prioritisation</w:t>
      </w:r>
      <w:r w:rsidRPr="007E39A7">
        <w:t xml:space="preserve"> plan identified six priority areas with a further three added in 2017.</w:t>
      </w:r>
    </w:p>
    <w:p w:rsidR="00C321C0" w:rsidRPr="00C37C97" w:rsidRDefault="00C321C0" w:rsidP="00F740A0">
      <w:pPr>
        <w:rPr>
          <w:b/>
          <w:i/>
        </w:rPr>
      </w:pPr>
      <w:r>
        <w:t xml:space="preserve">Some stakeholders have requested that this plan be published annually (see </w:t>
      </w:r>
      <w:r w:rsidRPr="00C743A5">
        <w:rPr>
          <w:b/>
          <w:bCs/>
        </w:rPr>
        <w:t xml:space="preserve">Section </w:t>
      </w:r>
      <w:r w:rsidR="007F56D9" w:rsidRPr="00C743A5">
        <w:rPr>
          <w:b/>
          <w:bCs/>
        </w:rPr>
        <w:t>5.7.1</w:t>
      </w:r>
      <w:r w:rsidR="007F56D9">
        <w:t>).</w:t>
      </w:r>
    </w:p>
    <w:p w:rsidR="007E39A7" w:rsidRPr="00413D00" w:rsidRDefault="007E39A7" w:rsidP="00562F48">
      <w:pPr>
        <w:rPr>
          <w:rStyle w:val="Emphasis"/>
          <w:szCs w:val="20"/>
        </w:rPr>
      </w:pPr>
      <w:r w:rsidRPr="00413D00">
        <w:rPr>
          <w:rStyle w:val="Emphasis"/>
          <w:szCs w:val="20"/>
        </w:rPr>
        <w:t xml:space="preserve">Table </w:t>
      </w:r>
      <w:r w:rsidR="00474EA6" w:rsidRPr="00413D00">
        <w:rPr>
          <w:rStyle w:val="Emphasis"/>
          <w:szCs w:val="20"/>
        </w:rPr>
        <w:t>2</w:t>
      </w:r>
      <w:r w:rsidRPr="00413D00">
        <w:rPr>
          <w:rStyle w:val="Emphasis"/>
          <w:szCs w:val="20"/>
        </w:rPr>
        <w:t xml:space="preserve">: </w:t>
      </w:r>
      <w:r w:rsidR="00341EFA" w:rsidRPr="00413D00">
        <w:rPr>
          <w:rStyle w:val="Emphasis"/>
          <w:szCs w:val="20"/>
        </w:rPr>
        <w:t xml:space="preserve">2017-18 </w:t>
      </w:r>
      <w:r w:rsidRPr="00413D00">
        <w:rPr>
          <w:rStyle w:val="Emphasis"/>
          <w:szCs w:val="20"/>
        </w:rPr>
        <w:t xml:space="preserve">E3 </w:t>
      </w:r>
      <w:r w:rsidR="00E16DFF" w:rsidRPr="00413D00">
        <w:rPr>
          <w:rStyle w:val="Emphasis"/>
          <w:szCs w:val="20"/>
        </w:rPr>
        <w:t xml:space="preserve">prioritisation plan </w:t>
      </w:r>
      <w:r w:rsidR="00341EFA" w:rsidRPr="00413D00">
        <w:rPr>
          <w:rStyle w:val="Emphasis"/>
          <w:szCs w:val="20"/>
        </w:rPr>
        <w:t xml:space="preserve">high </w:t>
      </w:r>
      <w:r w:rsidRPr="00413D00">
        <w:rPr>
          <w:rStyle w:val="Emphasis"/>
          <w:szCs w:val="20"/>
        </w:rPr>
        <w:t>priority products</w:t>
      </w:r>
    </w:p>
    <w:tbl>
      <w:tblPr>
        <w:tblStyle w:val="TableGrid"/>
        <w:tblW w:w="5000" w:type="pct"/>
        <w:tblLook w:val="04A0" w:firstRow="1" w:lastRow="0" w:firstColumn="1" w:lastColumn="0" w:noHBand="0" w:noVBand="1"/>
      </w:tblPr>
      <w:tblGrid>
        <w:gridCol w:w="3722"/>
        <w:gridCol w:w="5294"/>
      </w:tblGrid>
      <w:tr w:rsidR="00341EFA" w:rsidRPr="00DE51A2" w:rsidTr="009115F1">
        <w:trPr>
          <w:cnfStyle w:val="100000000000" w:firstRow="1" w:lastRow="0" w:firstColumn="0" w:lastColumn="0" w:oddVBand="0" w:evenVBand="0" w:oddHBand="0" w:evenHBand="0" w:firstRowFirstColumn="0" w:firstRowLastColumn="0" w:lastRowFirstColumn="0" w:lastRowLastColumn="0"/>
          <w:tblHeader/>
        </w:trPr>
        <w:tc>
          <w:tcPr>
            <w:tcW w:w="2064" w:type="pct"/>
          </w:tcPr>
          <w:p w:rsidR="00341EFA" w:rsidRPr="00C743A5" w:rsidRDefault="00341EFA" w:rsidP="00C743A5">
            <w:pPr>
              <w:rPr>
                <w:b/>
                <w:bCs/>
              </w:rPr>
            </w:pPr>
            <w:r w:rsidRPr="00C743A5">
              <w:rPr>
                <w:b/>
                <w:bCs/>
              </w:rPr>
              <w:t>High priority product category</w:t>
            </w:r>
          </w:p>
        </w:tc>
        <w:tc>
          <w:tcPr>
            <w:tcW w:w="2936" w:type="pct"/>
          </w:tcPr>
          <w:p w:rsidR="00341EFA" w:rsidRPr="00C743A5" w:rsidRDefault="00341EFA" w:rsidP="00C743A5">
            <w:pPr>
              <w:rPr>
                <w:b/>
                <w:bCs/>
              </w:rPr>
            </w:pPr>
            <w:r w:rsidRPr="00C743A5">
              <w:rPr>
                <w:b/>
                <w:bCs/>
              </w:rPr>
              <w:t xml:space="preserve">Proposed actions </w:t>
            </w:r>
          </w:p>
        </w:tc>
      </w:tr>
      <w:tr w:rsidR="00341EFA" w:rsidRPr="00E23A03" w:rsidTr="009115F1">
        <w:trPr>
          <w:cnfStyle w:val="000000100000" w:firstRow="0" w:lastRow="0" w:firstColumn="0" w:lastColumn="0" w:oddVBand="0" w:evenVBand="0" w:oddHBand="1" w:evenHBand="0" w:firstRowFirstColumn="0" w:firstRowLastColumn="0" w:lastRowFirstColumn="0" w:lastRowLastColumn="0"/>
        </w:trPr>
        <w:tc>
          <w:tcPr>
            <w:tcW w:w="2064" w:type="pct"/>
          </w:tcPr>
          <w:p w:rsidR="00341EFA" w:rsidRPr="00E23A03" w:rsidRDefault="00341EFA" w:rsidP="00F740A0">
            <w:pPr>
              <w:spacing w:before="40" w:after="40" w:line="269" w:lineRule="auto"/>
              <w:mirrorIndents w:val="0"/>
              <w:rPr>
                <w:sz w:val="22"/>
                <w:lang w:eastAsia="en-AU"/>
              </w:rPr>
            </w:pPr>
            <w:r w:rsidRPr="00E23A03">
              <w:rPr>
                <w:sz w:val="22"/>
                <w:lang w:eastAsia="en-AU"/>
              </w:rPr>
              <w:t>Air conditioners</w:t>
            </w:r>
          </w:p>
        </w:tc>
        <w:tc>
          <w:tcPr>
            <w:tcW w:w="2936" w:type="pct"/>
          </w:tcPr>
          <w:p w:rsidR="00341EFA" w:rsidRPr="00E23A03" w:rsidRDefault="00341EFA" w:rsidP="00F740A0">
            <w:pPr>
              <w:spacing w:before="40" w:after="40" w:line="269" w:lineRule="auto"/>
              <w:mirrorIndents w:val="0"/>
              <w:rPr>
                <w:sz w:val="22"/>
                <w:lang w:eastAsia="en-AU"/>
              </w:rPr>
            </w:pPr>
            <w:r w:rsidRPr="00E23A03">
              <w:rPr>
                <w:sz w:val="22"/>
                <w:lang w:eastAsia="en-AU"/>
              </w:rPr>
              <w:t>New climate zoned labelling and enhanced MEPS</w:t>
            </w:r>
          </w:p>
        </w:tc>
      </w:tr>
      <w:tr w:rsidR="00341EFA" w:rsidRPr="00E23A03" w:rsidTr="009115F1">
        <w:trPr>
          <w:cnfStyle w:val="000000010000" w:firstRow="0" w:lastRow="0" w:firstColumn="0" w:lastColumn="0" w:oddVBand="0" w:evenVBand="0" w:oddHBand="0" w:evenHBand="1" w:firstRowFirstColumn="0" w:firstRowLastColumn="0" w:lastRowFirstColumn="0" w:lastRowLastColumn="0"/>
        </w:trPr>
        <w:tc>
          <w:tcPr>
            <w:tcW w:w="2064" w:type="pct"/>
          </w:tcPr>
          <w:p w:rsidR="00341EFA" w:rsidRPr="00E23A03" w:rsidRDefault="00341EFA" w:rsidP="00F740A0">
            <w:pPr>
              <w:spacing w:before="40" w:after="40" w:line="269" w:lineRule="auto"/>
              <w:mirrorIndents w:val="0"/>
              <w:rPr>
                <w:sz w:val="22"/>
                <w:lang w:eastAsia="en-AU"/>
              </w:rPr>
            </w:pPr>
            <w:r w:rsidRPr="00E23A03">
              <w:rPr>
                <w:sz w:val="22"/>
                <w:lang w:eastAsia="en-AU"/>
              </w:rPr>
              <w:t xml:space="preserve">Domestic refrigerators and freezers </w:t>
            </w:r>
          </w:p>
        </w:tc>
        <w:tc>
          <w:tcPr>
            <w:tcW w:w="2936" w:type="pct"/>
          </w:tcPr>
          <w:p w:rsidR="00341EFA" w:rsidRPr="00E23A03" w:rsidRDefault="00341EFA" w:rsidP="00F740A0">
            <w:pPr>
              <w:spacing w:before="40" w:after="40" w:line="269" w:lineRule="auto"/>
              <w:mirrorIndents w:val="0"/>
              <w:rPr>
                <w:sz w:val="22"/>
                <w:lang w:eastAsia="en-AU"/>
              </w:rPr>
            </w:pPr>
            <w:r w:rsidRPr="00E23A03">
              <w:rPr>
                <w:sz w:val="22"/>
                <w:lang w:eastAsia="en-AU"/>
              </w:rPr>
              <w:t>Enhanced MEPS</w:t>
            </w:r>
          </w:p>
        </w:tc>
      </w:tr>
      <w:tr w:rsidR="00341EFA" w:rsidRPr="00E23A03" w:rsidTr="009115F1">
        <w:trPr>
          <w:cnfStyle w:val="000000100000" w:firstRow="0" w:lastRow="0" w:firstColumn="0" w:lastColumn="0" w:oddVBand="0" w:evenVBand="0" w:oddHBand="1" w:evenHBand="0" w:firstRowFirstColumn="0" w:firstRowLastColumn="0" w:lastRowFirstColumn="0" w:lastRowLastColumn="0"/>
        </w:trPr>
        <w:tc>
          <w:tcPr>
            <w:tcW w:w="2064" w:type="pct"/>
          </w:tcPr>
          <w:p w:rsidR="00341EFA" w:rsidRPr="00E23A03" w:rsidRDefault="00341EFA" w:rsidP="00F740A0">
            <w:pPr>
              <w:spacing w:before="40" w:after="40" w:line="269" w:lineRule="auto"/>
              <w:mirrorIndents w:val="0"/>
              <w:rPr>
                <w:sz w:val="22"/>
                <w:lang w:eastAsia="en-AU"/>
              </w:rPr>
            </w:pPr>
            <w:r w:rsidRPr="00E23A03">
              <w:rPr>
                <w:sz w:val="22"/>
                <w:lang w:eastAsia="en-AU"/>
              </w:rPr>
              <w:t>Hot water systems</w:t>
            </w:r>
          </w:p>
        </w:tc>
        <w:tc>
          <w:tcPr>
            <w:tcW w:w="2936" w:type="pct"/>
          </w:tcPr>
          <w:p w:rsidR="00341EFA" w:rsidRPr="00E23A03" w:rsidRDefault="00341EFA" w:rsidP="00F740A0">
            <w:pPr>
              <w:spacing w:before="40" w:after="40" w:line="269" w:lineRule="auto"/>
              <w:mirrorIndents w:val="0"/>
              <w:rPr>
                <w:sz w:val="22"/>
                <w:lang w:eastAsia="en-AU"/>
              </w:rPr>
            </w:pPr>
            <w:r w:rsidRPr="00E23A03">
              <w:rPr>
                <w:sz w:val="22"/>
                <w:lang w:eastAsia="en-AU"/>
              </w:rPr>
              <w:t>Under investigation for future opportunities</w:t>
            </w:r>
          </w:p>
        </w:tc>
      </w:tr>
      <w:tr w:rsidR="00341EFA" w:rsidRPr="00E23A03" w:rsidTr="009115F1">
        <w:trPr>
          <w:cnfStyle w:val="000000010000" w:firstRow="0" w:lastRow="0" w:firstColumn="0" w:lastColumn="0" w:oddVBand="0" w:evenVBand="0" w:oddHBand="0" w:evenHBand="1" w:firstRowFirstColumn="0" w:firstRowLastColumn="0" w:lastRowFirstColumn="0" w:lastRowLastColumn="0"/>
          <w:trHeight w:val="53"/>
        </w:trPr>
        <w:tc>
          <w:tcPr>
            <w:tcW w:w="2064" w:type="pct"/>
          </w:tcPr>
          <w:p w:rsidR="00341EFA" w:rsidRPr="00E23A03" w:rsidRDefault="00341EFA" w:rsidP="00F740A0">
            <w:pPr>
              <w:spacing w:before="40" w:after="40" w:line="269" w:lineRule="auto"/>
              <w:mirrorIndents w:val="0"/>
              <w:rPr>
                <w:sz w:val="22"/>
                <w:lang w:eastAsia="en-AU"/>
              </w:rPr>
            </w:pPr>
            <w:r w:rsidRPr="00E23A03">
              <w:rPr>
                <w:sz w:val="22"/>
                <w:lang w:eastAsia="en-AU"/>
              </w:rPr>
              <w:t>Industrial products</w:t>
            </w:r>
          </w:p>
        </w:tc>
        <w:tc>
          <w:tcPr>
            <w:tcW w:w="2936" w:type="pct"/>
          </w:tcPr>
          <w:p w:rsidR="00341EFA" w:rsidRPr="00E23A03" w:rsidRDefault="00341EFA" w:rsidP="00F740A0">
            <w:pPr>
              <w:spacing w:before="40" w:after="40" w:line="269" w:lineRule="auto"/>
              <w:mirrorIndents w:val="0"/>
              <w:rPr>
                <w:sz w:val="22"/>
                <w:lang w:eastAsia="en-AU"/>
              </w:rPr>
            </w:pPr>
            <w:r w:rsidRPr="00E23A03">
              <w:rPr>
                <w:sz w:val="22"/>
                <w:lang w:eastAsia="en-AU"/>
              </w:rPr>
              <w:t>Under investigation for future opportunities</w:t>
            </w:r>
          </w:p>
        </w:tc>
      </w:tr>
      <w:tr w:rsidR="00341EFA" w:rsidRPr="00E23A03" w:rsidTr="009115F1">
        <w:trPr>
          <w:cnfStyle w:val="000000100000" w:firstRow="0" w:lastRow="0" w:firstColumn="0" w:lastColumn="0" w:oddVBand="0" w:evenVBand="0" w:oddHBand="1" w:evenHBand="0" w:firstRowFirstColumn="0" w:firstRowLastColumn="0" w:lastRowFirstColumn="0" w:lastRowLastColumn="0"/>
        </w:trPr>
        <w:tc>
          <w:tcPr>
            <w:tcW w:w="2064" w:type="pct"/>
          </w:tcPr>
          <w:p w:rsidR="00341EFA" w:rsidRPr="00E23A03" w:rsidRDefault="00341EFA" w:rsidP="00F740A0">
            <w:pPr>
              <w:spacing w:before="40" w:after="40" w:line="269" w:lineRule="auto"/>
              <w:mirrorIndents w:val="0"/>
              <w:rPr>
                <w:sz w:val="22"/>
                <w:lang w:eastAsia="en-AU"/>
              </w:rPr>
            </w:pPr>
            <w:r w:rsidRPr="00E23A03">
              <w:rPr>
                <w:sz w:val="22"/>
                <w:lang w:eastAsia="en-AU"/>
              </w:rPr>
              <w:t>Lighting</w:t>
            </w:r>
          </w:p>
        </w:tc>
        <w:tc>
          <w:tcPr>
            <w:tcW w:w="2936" w:type="pct"/>
          </w:tcPr>
          <w:p w:rsidR="00341EFA" w:rsidRPr="00E23A03" w:rsidRDefault="00341EFA" w:rsidP="00F740A0">
            <w:pPr>
              <w:spacing w:before="40" w:after="40" w:line="269" w:lineRule="auto"/>
              <w:mirrorIndents w:val="0"/>
              <w:rPr>
                <w:b/>
                <w:i/>
                <w:sz w:val="22"/>
                <w:lang w:eastAsia="en-AU"/>
              </w:rPr>
            </w:pPr>
            <w:r w:rsidRPr="00E23A03">
              <w:rPr>
                <w:sz w:val="22"/>
                <w:lang w:eastAsia="en-AU"/>
              </w:rPr>
              <w:t xml:space="preserve">Phasing out halogen light bulbs and introducing MEPS for LED lightbulbs in line with European Union standards </w:t>
            </w:r>
          </w:p>
        </w:tc>
      </w:tr>
      <w:tr w:rsidR="00341EFA" w:rsidRPr="00E23A03" w:rsidTr="009115F1">
        <w:trPr>
          <w:cnfStyle w:val="000000010000" w:firstRow="0" w:lastRow="0" w:firstColumn="0" w:lastColumn="0" w:oddVBand="0" w:evenVBand="0" w:oddHBand="0" w:evenHBand="1" w:firstRowFirstColumn="0" w:firstRowLastColumn="0" w:lastRowFirstColumn="0" w:lastRowLastColumn="0"/>
        </w:trPr>
        <w:tc>
          <w:tcPr>
            <w:tcW w:w="2064" w:type="pct"/>
          </w:tcPr>
          <w:p w:rsidR="00341EFA" w:rsidRPr="00E23A03" w:rsidRDefault="00341EFA" w:rsidP="00F740A0">
            <w:pPr>
              <w:spacing w:before="40" w:after="40" w:line="269" w:lineRule="auto"/>
              <w:mirrorIndents w:val="0"/>
              <w:rPr>
                <w:sz w:val="22"/>
                <w:lang w:eastAsia="en-AU"/>
              </w:rPr>
            </w:pPr>
            <w:r w:rsidRPr="00E23A03">
              <w:rPr>
                <w:sz w:val="22"/>
                <w:lang w:eastAsia="en-AU"/>
              </w:rPr>
              <w:t xml:space="preserve">Non-domestic fans </w:t>
            </w:r>
          </w:p>
        </w:tc>
        <w:tc>
          <w:tcPr>
            <w:tcW w:w="2936" w:type="pct"/>
          </w:tcPr>
          <w:p w:rsidR="00341EFA" w:rsidRPr="00E23A03" w:rsidRDefault="00341EFA" w:rsidP="00F740A0">
            <w:pPr>
              <w:spacing w:before="40" w:after="40" w:line="269" w:lineRule="auto"/>
              <w:mirrorIndents w:val="0"/>
              <w:rPr>
                <w:sz w:val="22"/>
                <w:lang w:eastAsia="en-AU"/>
              </w:rPr>
            </w:pPr>
            <w:r w:rsidRPr="00E23A03">
              <w:rPr>
                <w:sz w:val="22"/>
                <w:lang w:eastAsia="en-AU"/>
              </w:rPr>
              <w:t>New regulations</w:t>
            </w:r>
          </w:p>
        </w:tc>
      </w:tr>
      <w:tr w:rsidR="00341EFA" w:rsidRPr="00E23A03" w:rsidTr="009115F1">
        <w:trPr>
          <w:cnfStyle w:val="000000100000" w:firstRow="0" w:lastRow="0" w:firstColumn="0" w:lastColumn="0" w:oddVBand="0" w:evenVBand="0" w:oddHBand="1" w:evenHBand="0" w:firstRowFirstColumn="0" w:firstRowLastColumn="0" w:lastRowFirstColumn="0" w:lastRowLastColumn="0"/>
        </w:trPr>
        <w:tc>
          <w:tcPr>
            <w:tcW w:w="2064" w:type="pct"/>
          </w:tcPr>
          <w:p w:rsidR="00341EFA" w:rsidRPr="00E23A03" w:rsidRDefault="00341EFA" w:rsidP="004C0DEC">
            <w:pPr>
              <w:spacing w:before="40" w:after="40" w:line="269" w:lineRule="auto"/>
              <w:mirrorIndents w:val="0"/>
              <w:rPr>
                <w:sz w:val="22"/>
                <w:lang w:eastAsia="en-AU"/>
              </w:rPr>
            </w:pPr>
            <w:r w:rsidRPr="00E23A03">
              <w:rPr>
                <w:sz w:val="22"/>
                <w:lang w:eastAsia="en-AU"/>
              </w:rPr>
              <w:t xml:space="preserve">Refrigerated display </w:t>
            </w:r>
            <w:r w:rsidR="00717522" w:rsidRPr="00E23A03">
              <w:rPr>
                <w:sz w:val="22"/>
                <w:lang w:eastAsia="en-AU"/>
              </w:rPr>
              <w:t xml:space="preserve">and storage </w:t>
            </w:r>
            <w:r w:rsidRPr="00E23A03">
              <w:rPr>
                <w:sz w:val="22"/>
                <w:lang w:eastAsia="en-AU"/>
              </w:rPr>
              <w:t>cabinets</w:t>
            </w:r>
          </w:p>
        </w:tc>
        <w:tc>
          <w:tcPr>
            <w:tcW w:w="2936" w:type="pct"/>
          </w:tcPr>
          <w:p w:rsidR="00341EFA" w:rsidRPr="00E23A03" w:rsidRDefault="00341EFA" w:rsidP="00F740A0">
            <w:pPr>
              <w:spacing w:before="40" w:after="40" w:line="269" w:lineRule="auto"/>
              <w:mirrorIndents w:val="0"/>
              <w:rPr>
                <w:sz w:val="22"/>
                <w:lang w:eastAsia="en-AU"/>
              </w:rPr>
            </w:pPr>
            <w:r w:rsidRPr="00E23A03">
              <w:rPr>
                <w:sz w:val="22"/>
                <w:lang w:eastAsia="en-AU"/>
              </w:rPr>
              <w:t>Enhanced MEPS and new regulations</w:t>
            </w:r>
          </w:p>
        </w:tc>
      </w:tr>
      <w:tr w:rsidR="00341EFA" w:rsidRPr="00E23A03" w:rsidTr="009115F1">
        <w:trPr>
          <w:cnfStyle w:val="000000010000" w:firstRow="0" w:lastRow="0" w:firstColumn="0" w:lastColumn="0" w:oddVBand="0" w:evenVBand="0" w:oddHBand="0" w:evenHBand="1" w:firstRowFirstColumn="0" w:firstRowLastColumn="0" w:lastRowFirstColumn="0" w:lastRowLastColumn="0"/>
        </w:trPr>
        <w:tc>
          <w:tcPr>
            <w:tcW w:w="2064" w:type="pct"/>
          </w:tcPr>
          <w:p w:rsidR="00341EFA" w:rsidRPr="00E23A03" w:rsidRDefault="00DE51A2" w:rsidP="00F740A0">
            <w:pPr>
              <w:spacing w:before="40" w:after="40" w:line="269" w:lineRule="auto"/>
              <w:mirrorIndents w:val="0"/>
              <w:rPr>
                <w:sz w:val="22"/>
                <w:lang w:eastAsia="en-AU"/>
              </w:rPr>
            </w:pPr>
            <w:r>
              <w:rPr>
                <w:sz w:val="22"/>
                <w:lang w:eastAsia="en-AU"/>
              </w:rPr>
              <w:t>Swimming pool pumps</w:t>
            </w:r>
          </w:p>
        </w:tc>
        <w:tc>
          <w:tcPr>
            <w:tcW w:w="2936" w:type="pct"/>
          </w:tcPr>
          <w:p w:rsidR="00341EFA" w:rsidRPr="00E23A03" w:rsidRDefault="00341EFA" w:rsidP="00F740A0">
            <w:pPr>
              <w:spacing w:before="40" w:after="40" w:line="269" w:lineRule="auto"/>
              <w:mirrorIndents w:val="0"/>
              <w:rPr>
                <w:sz w:val="22"/>
                <w:lang w:eastAsia="en-AU"/>
              </w:rPr>
            </w:pPr>
            <w:r w:rsidRPr="00E23A03">
              <w:rPr>
                <w:sz w:val="22"/>
                <w:lang w:eastAsia="en-AU"/>
              </w:rPr>
              <w:t>New regulations</w:t>
            </w:r>
          </w:p>
        </w:tc>
      </w:tr>
      <w:tr w:rsidR="00341EFA" w:rsidRPr="00E23A03" w:rsidTr="009115F1">
        <w:trPr>
          <w:cnfStyle w:val="000000100000" w:firstRow="0" w:lastRow="0" w:firstColumn="0" w:lastColumn="0" w:oddVBand="0" w:evenVBand="0" w:oddHBand="1" w:evenHBand="0" w:firstRowFirstColumn="0" w:firstRowLastColumn="0" w:lastRowFirstColumn="0" w:lastRowLastColumn="0"/>
        </w:trPr>
        <w:tc>
          <w:tcPr>
            <w:tcW w:w="2064" w:type="pct"/>
          </w:tcPr>
          <w:p w:rsidR="00341EFA" w:rsidRPr="00E23A03" w:rsidRDefault="00341EFA" w:rsidP="00F740A0">
            <w:pPr>
              <w:spacing w:before="40" w:after="40" w:line="269" w:lineRule="auto"/>
              <w:mirrorIndents w:val="0"/>
              <w:rPr>
                <w:sz w:val="22"/>
                <w:lang w:eastAsia="en-AU"/>
              </w:rPr>
            </w:pPr>
            <w:r w:rsidRPr="00E23A03">
              <w:rPr>
                <w:sz w:val="22"/>
                <w:lang w:eastAsia="en-AU"/>
              </w:rPr>
              <w:t>Televisions</w:t>
            </w:r>
          </w:p>
        </w:tc>
        <w:tc>
          <w:tcPr>
            <w:tcW w:w="2936" w:type="pct"/>
          </w:tcPr>
          <w:p w:rsidR="00341EFA" w:rsidRPr="00E23A03" w:rsidRDefault="00341EFA" w:rsidP="00F740A0">
            <w:pPr>
              <w:spacing w:before="40" w:after="40" w:line="269" w:lineRule="auto"/>
              <w:mirrorIndents w:val="0"/>
              <w:rPr>
                <w:sz w:val="22"/>
                <w:lang w:eastAsia="en-AU"/>
              </w:rPr>
            </w:pPr>
            <w:r w:rsidRPr="00E23A03">
              <w:rPr>
                <w:sz w:val="22"/>
                <w:lang w:eastAsia="en-AU"/>
              </w:rPr>
              <w:t>Under investigation for future opportunities</w:t>
            </w:r>
          </w:p>
        </w:tc>
      </w:tr>
    </w:tbl>
    <w:p w:rsidR="00343DB3" w:rsidRPr="007E39A7" w:rsidRDefault="00343DB3" w:rsidP="00343DB3">
      <w:pPr>
        <w:pStyle w:val="Heading2"/>
      </w:pPr>
      <w:bookmarkStart w:id="37" w:name="_Toc18660974"/>
      <w:r w:rsidRPr="007E39A7">
        <w:t>2.</w:t>
      </w:r>
      <w:r>
        <w:t>6</w:t>
      </w:r>
      <w:r w:rsidRPr="007E39A7">
        <w:tab/>
      </w:r>
      <w:r>
        <w:t>Current reporting</w:t>
      </w:r>
      <w:bookmarkEnd w:id="37"/>
    </w:p>
    <w:p w:rsidR="00A97A0F" w:rsidRDefault="00E96846" w:rsidP="00F740A0">
      <w:r>
        <w:t xml:space="preserve">The GEMS Regulator reports on the operation of the GEMS Act each financial year. </w:t>
      </w:r>
      <w:r w:rsidR="00227C2B">
        <w:t>This report is included as an appendix to</w:t>
      </w:r>
      <w:r>
        <w:t xml:space="preserve"> the Department of the Environment and Energy’s Annual Report</w:t>
      </w:r>
      <w:r w:rsidR="00846F49">
        <w:t>,</w:t>
      </w:r>
      <w:r w:rsidR="00227C2B">
        <w:t xml:space="preserve"> which</w:t>
      </w:r>
      <w:r>
        <w:t xml:space="preserve"> is tabled in Parliament and circulated to participating jurisdictions. </w:t>
      </w:r>
    </w:p>
    <w:p w:rsidR="00A97A0F" w:rsidRDefault="00EB6BA0" w:rsidP="00F740A0">
      <w:r>
        <w:t xml:space="preserve">The </w:t>
      </w:r>
      <w:r w:rsidR="00A97A0F">
        <w:t>E3</w:t>
      </w:r>
      <w:r>
        <w:t xml:space="preserve"> Committee</w:t>
      </w:r>
      <w:r w:rsidR="00A97A0F" w:rsidRPr="00A97A0F">
        <w:t xml:space="preserve"> </w:t>
      </w:r>
      <w:r w:rsidR="002F0D6E">
        <w:t xml:space="preserve">is </w:t>
      </w:r>
      <w:r w:rsidR="00A97A0F">
        <w:t xml:space="preserve">required to report its progress in the development and implementation of new and enhanced regulations to the COAG Energy Council. </w:t>
      </w:r>
      <w:r>
        <w:t>The committee</w:t>
      </w:r>
      <w:r w:rsidR="00A97A0F">
        <w:t xml:space="preserve"> also provides a newsletter and annual achievement report to broader stakeholders.</w:t>
      </w:r>
    </w:p>
    <w:p w:rsidR="007E39A7" w:rsidRPr="007E39A7" w:rsidRDefault="007E39A7" w:rsidP="00F740A0">
      <w:pPr>
        <w:pStyle w:val="Heading1"/>
      </w:pPr>
      <w:bookmarkStart w:id="38" w:name="_Toc517621133"/>
      <w:bookmarkStart w:id="39" w:name="_Toc18660975"/>
      <w:r w:rsidRPr="007E39A7">
        <w:lastRenderedPageBreak/>
        <w:t>3.</w:t>
      </w:r>
      <w:r w:rsidRPr="007E39A7">
        <w:tab/>
        <w:t>Context</w:t>
      </w:r>
      <w:bookmarkEnd w:id="38"/>
      <w:bookmarkEnd w:id="39"/>
    </w:p>
    <w:p w:rsidR="007E39A7" w:rsidRDefault="007E39A7" w:rsidP="00F740A0">
      <w:pPr>
        <w:pStyle w:val="Heading2"/>
      </w:pPr>
      <w:bookmarkStart w:id="40" w:name="_Toc517621134"/>
      <w:bookmarkStart w:id="41" w:name="_Toc18660976"/>
      <w:r w:rsidRPr="007E39A7">
        <w:t xml:space="preserve">3.1 </w:t>
      </w:r>
      <w:r w:rsidRPr="007E39A7">
        <w:tab/>
      </w:r>
      <w:bookmarkEnd w:id="40"/>
      <w:r w:rsidR="00654F39">
        <w:t>Key points</w:t>
      </w:r>
      <w:bookmarkEnd w:id="41"/>
    </w:p>
    <w:p w:rsidR="007E39A7" w:rsidRPr="00654F39" w:rsidRDefault="00107A7A" w:rsidP="002A74A6">
      <w:pPr>
        <w:pStyle w:val="ListBullet"/>
        <w:ind w:hanging="426"/>
      </w:pPr>
      <w:r>
        <w:t>The</w:t>
      </w:r>
      <w:r w:rsidR="007E39A7" w:rsidRPr="00654F39">
        <w:t xml:space="preserve"> GEMS Act is </w:t>
      </w:r>
      <w:r w:rsidR="00C23E82">
        <w:t>part</w:t>
      </w:r>
      <w:r w:rsidR="007E39A7" w:rsidRPr="00654F39">
        <w:t xml:space="preserve"> </w:t>
      </w:r>
      <w:r>
        <w:t>of</w:t>
      </w:r>
      <w:r w:rsidR="007E39A7" w:rsidRPr="00654F39">
        <w:t xml:space="preserve"> a complex framework of regulation and programs</w:t>
      </w:r>
      <w:r w:rsidR="00C23E82">
        <w:t>.</w:t>
      </w:r>
    </w:p>
    <w:p w:rsidR="007E39A7" w:rsidRPr="00654F39" w:rsidRDefault="00107A7A" w:rsidP="008A7FC0">
      <w:pPr>
        <w:pStyle w:val="ListBullet"/>
        <w:numPr>
          <w:ilvl w:val="0"/>
          <w:numId w:val="27"/>
        </w:numPr>
        <w:ind w:left="851" w:hanging="425"/>
      </w:pPr>
      <w:r>
        <w:t>The</w:t>
      </w:r>
      <w:r w:rsidR="00935EB4">
        <w:t xml:space="preserve"> GEMS</w:t>
      </w:r>
      <w:r w:rsidR="007E39A7" w:rsidRPr="00654F39">
        <w:t xml:space="preserve"> Act makes a significant contribution to the broader energy and climate policy objectives of </w:t>
      </w:r>
      <w:r>
        <w:t>the Commonwealth G</w:t>
      </w:r>
      <w:r w:rsidR="007E39A7" w:rsidRPr="00654F39">
        <w:t>overnment</w:t>
      </w:r>
      <w:r w:rsidR="00303EF8">
        <w:t>.</w:t>
      </w:r>
    </w:p>
    <w:p w:rsidR="007E39A7" w:rsidRPr="00654F39" w:rsidRDefault="00107A7A" w:rsidP="008A7FC0">
      <w:pPr>
        <w:pStyle w:val="ListBullet"/>
        <w:numPr>
          <w:ilvl w:val="0"/>
          <w:numId w:val="27"/>
        </w:numPr>
        <w:ind w:left="851" w:hanging="425"/>
      </w:pPr>
      <w:r>
        <w:t xml:space="preserve">Other </w:t>
      </w:r>
      <w:r w:rsidRPr="00654F39">
        <w:t>regulatory regimes</w:t>
      </w:r>
      <w:r>
        <w:t>, both</w:t>
      </w:r>
      <w:r w:rsidRPr="00654F39">
        <w:t xml:space="preserve"> </w:t>
      </w:r>
      <w:r>
        <w:t>i</w:t>
      </w:r>
      <w:r w:rsidR="007E39A7" w:rsidRPr="00654F39">
        <w:t>nternational and local</w:t>
      </w:r>
      <w:r>
        <w:t>,</w:t>
      </w:r>
      <w:r w:rsidR="007E39A7" w:rsidRPr="00654F39">
        <w:t xml:space="preserve"> need to be taken into account </w:t>
      </w:r>
      <w:r>
        <w:t xml:space="preserve">when considering the </w:t>
      </w:r>
      <w:r w:rsidRPr="00DC2605">
        <w:t>impact</w:t>
      </w:r>
      <w:r>
        <w:t xml:space="preserve"> the</w:t>
      </w:r>
      <w:r w:rsidR="00935EB4">
        <w:t xml:space="preserve"> GEMS</w:t>
      </w:r>
      <w:r w:rsidR="007E39A7" w:rsidRPr="00654F39">
        <w:t xml:space="preserve"> Act</w:t>
      </w:r>
      <w:r w:rsidR="00C23E82">
        <w:t xml:space="preserve"> has on </w:t>
      </w:r>
      <w:r w:rsidR="00C23E82" w:rsidRPr="00DC2605">
        <w:t>industry</w:t>
      </w:r>
      <w:r w:rsidR="00303EF8">
        <w:t>.</w:t>
      </w:r>
    </w:p>
    <w:p w:rsidR="007E39A7" w:rsidRPr="007E39A7" w:rsidRDefault="00C23E82" w:rsidP="008A7FC0">
      <w:pPr>
        <w:pStyle w:val="ListBullet"/>
        <w:numPr>
          <w:ilvl w:val="0"/>
          <w:numId w:val="27"/>
        </w:numPr>
        <w:ind w:left="851" w:hanging="425"/>
        <w:rPr>
          <w:szCs w:val="24"/>
        </w:rPr>
      </w:pPr>
      <w:r>
        <w:t>To be fully effective, government e</w:t>
      </w:r>
      <w:r w:rsidR="007E39A7" w:rsidRPr="00654F39">
        <w:t>nerg</w:t>
      </w:r>
      <w:r w:rsidR="00654F39">
        <w:t>y efficiency</w:t>
      </w:r>
      <w:r w:rsidR="007E39A7" w:rsidRPr="00654F39">
        <w:t xml:space="preserve"> measures</w:t>
      </w:r>
      <w:r>
        <w:t>, including the GEMS Act,</w:t>
      </w:r>
      <w:r w:rsidR="007E39A7" w:rsidRPr="007E39A7">
        <w:rPr>
          <w:szCs w:val="24"/>
        </w:rPr>
        <w:t xml:space="preserve"> should </w:t>
      </w:r>
      <w:r>
        <w:rPr>
          <w:szCs w:val="24"/>
        </w:rPr>
        <w:t>be coordinated</w:t>
      </w:r>
      <w:r w:rsidR="00303EF8">
        <w:rPr>
          <w:szCs w:val="24"/>
        </w:rPr>
        <w:t>.</w:t>
      </w:r>
    </w:p>
    <w:p w:rsidR="007E39A7" w:rsidRPr="007E39A7" w:rsidRDefault="007E39A7" w:rsidP="00F740A0">
      <w:pPr>
        <w:pStyle w:val="Heading2"/>
      </w:pPr>
      <w:bookmarkStart w:id="42" w:name="_Toc517621135"/>
      <w:bookmarkStart w:id="43" w:name="_Toc18660977"/>
      <w:r w:rsidRPr="007E39A7">
        <w:t>3.2</w:t>
      </w:r>
      <w:r w:rsidRPr="007E39A7">
        <w:tab/>
        <w:t>Broader energy policy</w:t>
      </w:r>
      <w:bookmarkEnd w:id="42"/>
      <w:bookmarkEnd w:id="43"/>
    </w:p>
    <w:p w:rsidR="007E39A7" w:rsidRPr="007E39A7" w:rsidRDefault="007E39A7" w:rsidP="00F740A0">
      <w:r w:rsidRPr="007E39A7">
        <w:t>Australia is experiencing a major shift in its energy system. This is a result of new technologies and services</w:t>
      </w:r>
      <w:r w:rsidR="00293B2B">
        <w:t xml:space="preserve"> and</w:t>
      </w:r>
      <w:r w:rsidRPr="007E39A7">
        <w:t xml:space="preserve"> changing consumer demands. In response, governments are focused on building a secure, reliable and affordable new energy system </w:t>
      </w:r>
      <w:r w:rsidRPr="00CC3592">
        <w:t>that will also allow Australia to achieve its emissions reductions</w:t>
      </w:r>
      <w:r w:rsidR="00DE51A2" w:rsidRPr="00CC3592">
        <w:t xml:space="preserve"> objectives</w:t>
      </w:r>
      <w:r w:rsidRPr="00CC3592">
        <w:t>.</w:t>
      </w:r>
      <w:r w:rsidRPr="007E39A7">
        <w:t xml:space="preserve"> </w:t>
      </w:r>
    </w:p>
    <w:p w:rsidR="007E39A7" w:rsidRPr="007E39A7" w:rsidRDefault="007E39A7" w:rsidP="00F740A0">
      <w:pPr>
        <w:rPr>
          <w:lang w:val="en"/>
        </w:rPr>
      </w:pPr>
      <w:r w:rsidRPr="007E39A7">
        <w:t>The</w:t>
      </w:r>
      <w:r w:rsidRPr="007E39A7">
        <w:rPr>
          <w:i/>
        </w:rPr>
        <w:t xml:space="preserve"> Independent Review into the Future Security of the National Electricity Market </w:t>
      </w:r>
      <w:r w:rsidRPr="003442DC">
        <w:t>(the Finkel Review)</w:t>
      </w:r>
      <w:r w:rsidRPr="00774E06">
        <w:t xml:space="preserve"> </w:t>
      </w:r>
      <w:r w:rsidRPr="007E39A7">
        <w:t xml:space="preserve">found that “energy efficiency can contribute to improving reliability and affordability and reducing emissions”. </w:t>
      </w:r>
      <w:r w:rsidR="00B72FFD">
        <w:t>The Finkel Review</w:t>
      </w:r>
      <w:r w:rsidR="00B72FFD" w:rsidRPr="007E39A7">
        <w:t xml:space="preserve"> </w:t>
      </w:r>
      <w:r w:rsidRPr="007E39A7">
        <w:t>recommended that, “</w:t>
      </w:r>
      <w:r w:rsidR="00303EF8">
        <w:t>g</w:t>
      </w:r>
      <w:r w:rsidRPr="007E39A7">
        <w:t>overnments should accelerate the roll out of broader energy efficiency measures to complement the reforms recommended in this Review”.</w:t>
      </w:r>
      <w:r w:rsidRPr="007E39A7">
        <w:rPr>
          <w:vertAlign w:val="superscript"/>
        </w:rPr>
        <w:footnoteReference w:id="9"/>
      </w:r>
      <w:r w:rsidRPr="007E39A7">
        <w:t xml:space="preserve"> </w:t>
      </w:r>
      <w:r w:rsidRPr="007E39A7">
        <w:rPr>
          <w:lang w:val="en"/>
        </w:rPr>
        <w:t>Considerations of achieving the most cost-efficient benefits through the GEMS Act must take into account broader energy goals and the</w:t>
      </w:r>
      <w:r w:rsidRPr="007E39A7">
        <w:t xml:space="preserve"> wider suite of COAG, Australian Government, and state and territory energy </w:t>
      </w:r>
      <w:r w:rsidRPr="007E39A7">
        <w:rPr>
          <w:lang w:val="en"/>
        </w:rPr>
        <w:t>policies (</w:t>
      </w:r>
      <w:r w:rsidR="004462F9" w:rsidRPr="00F740A0">
        <w:rPr>
          <w:lang w:val="en"/>
        </w:rPr>
        <w:t>see</w:t>
      </w:r>
      <w:r w:rsidR="004462F9" w:rsidRPr="00C743A5">
        <w:rPr>
          <w:b/>
          <w:bCs/>
        </w:rPr>
        <w:t xml:space="preserve"> Figure 1</w:t>
      </w:r>
      <w:r w:rsidRPr="007E39A7">
        <w:rPr>
          <w:lang w:val="en"/>
        </w:rPr>
        <w:t>).</w:t>
      </w:r>
    </w:p>
    <w:p w:rsidR="007E39A7" w:rsidRPr="007E39A7" w:rsidRDefault="007E39A7" w:rsidP="00F740A0">
      <w:r w:rsidRPr="00CC3592">
        <w:t xml:space="preserve">The GEMS Act is also one of the Australian Government’s </w:t>
      </w:r>
      <w:r w:rsidRPr="00CC3592">
        <w:rPr>
          <w:lang w:val="en"/>
        </w:rPr>
        <w:t>policies to reduce domestic greenhouse gas emissions and support effective international efforts (see</w:t>
      </w:r>
      <w:r w:rsidRPr="00C743A5">
        <w:rPr>
          <w:b/>
          <w:bCs/>
        </w:rPr>
        <w:t xml:space="preserve"> Figure 1</w:t>
      </w:r>
      <w:r w:rsidRPr="00CC3592">
        <w:rPr>
          <w:lang w:val="en"/>
        </w:rPr>
        <w:t>). In 2017, the Australian Government undertook a review of its climate change policies and found that, “</w:t>
      </w:r>
      <w:r w:rsidRPr="00CC3592">
        <w:rPr>
          <w:szCs w:val="24"/>
        </w:rPr>
        <w:t>Measures that improve energy productivity for households and small businesses can provide a large volume of low cost emissions reductions alongside other benefits such as reduced energy bills, job creation, improved health, and regional benefits”</w:t>
      </w:r>
      <w:r w:rsidRPr="00CC3592">
        <w:rPr>
          <w:szCs w:val="24"/>
          <w:lang w:val="en"/>
        </w:rPr>
        <w:t>.</w:t>
      </w:r>
      <w:r w:rsidR="00F510B5" w:rsidRPr="00CC3592">
        <w:rPr>
          <w:rStyle w:val="FootnoteReference"/>
        </w:rPr>
        <w:footnoteReference w:id="10"/>
      </w:r>
    </w:p>
    <w:p w:rsidR="007E39A7" w:rsidRPr="007E39A7" w:rsidRDefault="007E39A7" w:rsidP="00F740A0">
      <w:pPr>
        <w:pStyle w:val="Heading2"/>
      </w:pPr>
      <w:bookmarkStart w:id="44" w:name="_Toc517621136"/>
      <w:bookmarkStart w:id="45" w:name="_Toc18660978"/>
      <w:r w:rsidRPr="007E39A7">
        <w:t>3.3</w:t>
      </w:r>
      <w:r w:rsidRPr="007E39A7">
        <w:tab/>
        <w:t>Product regulation</w:t>
      </w:r>
      <w:bookmarkEnd w:id="44"/>
      <w:r w:rsidR="000E18AD">
        <w:t xml:space="preserve"> within an international market</w:t>
      </w:r>
      <w:bookmarkEnd w:id="45"/>
    </w:p>
    <w:p w:rsidR="007E39A7" w:rsidRDefault="007E39A7" w:rsidP="00F740A0">
      <w:pPr>
        <w:rPr>
          <w:lang w:val="en"/>
        </w:rPr>
      </w:pPr>
      <w:r w:rsidRPr="007E39A7">
        <w:rPr>
          <w:lang w:val="en"/>
        </w:rPr>
        <w:t xml:space="preserve">In </w:t>
      </w:r>
      <w:r w:rsidR="00DD1835">
        <w:rPr>
          <w:lang w:val="en"/>
        </w:rPr>
        <w:t xml:space="preserve">response to </w:t>
      </w:r>
      <w:r w:rsidR="000D7B35">
        <w:rPr>
          <w:lang w:val="en"/>
        </w:rPr>
        <w:t>this review</w:t>
      </w:r>
      <w:r w:rsidRPr="007E39A7">
        <w:rPr>
          <w:lang w:val="en"/>
        </w:rPr>
        <w:t xml:space="preserve">, stakeholders </w:t>
      </w:r>
      <w:r w:rsidR="00DD1835">
        <w:rPr>
          <w:lang w:val="en"/>
        </w:rPr>
        <w:t>highlighted the need to consider</w:t>
      </w:r>
      <w:r w:rsidR="00DD1835" w:rsidRPr="007E39A7">
        <w:rPr>
          <w:lang w:val="en"/>
        </w:rPr>
        <w:t xml:space="preserve"> </w:t>
      </w:r>
      <w:r w:rsidRPr="007E39A7">
        <w:rPr>
          <w:lang w:val="en"/>
        </w:rPr>
        <w:t>GEMS regulations in an international context</w:t>
      </w:r>
      <w:r w:rsidR="00DD1835">
        <w:rPr>
          <w:lang w:val="en"/>
        </w:rPr>
        <w:t>. A</w:t>
      </w:r>
      <w:r w:rsidRPr="007E39A7">
        <w:rPr>
          <w:lang w:val="en"/>
        </w:rPr>
        <w:t xml:space="preserve"> number of submissions suggest</w:t>
      </w:r>
      <w:r w:rsidR="00DD1835">
        <w:rPr>
          <w:lang w:val="en"/>
        </w:rPr>
        <w:t>ed that</w:t>
      </w:r>
      <w:r w:rsidRPr="007E39A7">
        <w:rPr>
          <w:lang w:val="en"/>
        </w:rPr>
        <w:t xml:space="preserve"> Australia should better align MEPS with international standards</w:t>
      </w:r>
      <w:r w:rsidR="00DD1835">
        <w:rPr>
          <w:lang w:val="en"/>
        </w:rPr>
        <w:t>, and some further suggested that</w:t>
      </w:r>
      <w:r w:rsidRPr="007E39A7">
        <w:rPr>
          <w:lang w:val="en"/>
        </w:rPr>
        <w:t xml:space="preserve"> Australia should take more of a lead on international standards</w:t>
      </w:r>
      <w:r w:rsidR="00DE51A2">
        <w:rPr>
          <w:lang w:val="en"/>
        </w:rPr>
        <w:t xml:space="preserve">. </w:t>
      </w:r>
      <w:r w:rsidR="00DD1835">
        <w:rPr>
          <w:lang w:val="en"/>
        </w:rPr>
        <w:t xml:space="preserve">Other </w:t>
      </w:r>
      <w:r w:rsidR="00774E06">
        <w:rPr>
          <w:lang w:val="en"/>
        </w:rPr>
        <w:t xml:space="preserve">submissions </w:t>
      </w:r>
      <w:r w:rsidRPr="007E39A7">
        <w:rPr>
          <w:lang w:val="en"/>
        </w:rPr>
        <w:t>expressly argued against this</w:t>
      </w:r>
      <w:r w:rsidR="00DD1835">
        <w:rPr>
          <w:lang w:val="en"/>
        </w:rPr>
        <w:t xml:space="preserve"> position</w:t>
      </w:r>
      <w:r w:rsidRPr="007E39A7">
        <w:rPr>
          <w:lang w:val="en"/>
        </w:rPr>
        <w:t>.</w:t>
      </w:r>
    </w:p>
    <w:p w:rsidR="00603011" w:rsidRDefault="00603011" w:rsidP="00603011">
      <w:pPr>
        <w:rPr>
          <w:lang w:val="en"/>
        </w:rPr>
      </w:pPr>
      <w:r>
        <w:rPr>
          <w:lang w:val="en"/>
        </w:rPr>
        <w:t>The majority of the products covered by GEMS regulations are imported into Australia as part of a broader international market. Australia has retained manufacturing capability for very</w:t>
      </w:r>
      <w:r w:rsidRPr="007E39A7">
        <w:rPr>
          <w:lang w:val="en"/>
        </w:rPr>
        <w:t xml:space="preserve"> few produ</w:t>
      </w:r>
      <w:r>
        <w:rPr>
          <w:lang w:val="en"/>
        </w:rPr>
        <w:t xml:space="preserve">cts covered by GEMS regulations, </w:t>
      </w:r>
      <w:r w:rsidR="00256120">
        <w:rPr>
          <w:lang w:val="en"/>
        </w:rPr>
        <w:t>notably</w:t>
      </w:r>
      <w:r>
        <w:rPr>
          <w:lang w:val="en"/>
        </w:rPr>
        <w:t xml:space="preserve"> hot water systems. </w:t>
      </w:r>
    </w:p>
    <w:p w:rsidR="00EC706A" w:rsidRDefault="00603011" w:rsidP="00F740A0">
      <w:pPr>
        <w:rPr>
          <w:lang w:val="en"/>
        </w:rPr>
      </w:pPr>
      <w:r>
        <w:rPr>
          <w:lang w:val="en"/>
        </w:rPr>
        <w:t>Further</w:t>
      </w:r>
      <w:r w:rsidR="00774E06">
        <w:rPr>
          <w:lang w:val="en"/>
        </w:rPr>
        <w:t>more</w:t>
      </w:r>
      <w:r>
        <w:rPr>
          <w:lang w:val="en"/>
        </w:rPr>
        <w:t xml:space="preserve">, </w:t>
      </w:r>
      <w:r w:rsidR="007E39A7" w:rsidRPr="007E39A7">
        <w:rPr>
          <w:lang w:val="en"/>
        </w:rPr>
        <w:t>Australia is a</w:t>
      </w:r>
      <w:r w:rsidR="00EC706A">
        <w:rPr>
          <w:lang w:val="en"/>
        </w:rPr>
        <w:t xml:space="preserve"> relatively </w:t>
      </w:r>
      <w:r w:rsidR="007E39A7" w:rsidRPr="007E39A7">
        <w:rPr>
          <w:lang w:val="en"/>
        </w:rPr>
        <w:t>small market for appliances and equipment compared to markets such as the United States</w:t>
      </w:r>
      <w:r w:rsidR="00B9292B">
        <w:rPr>
          <w:lang w:val="en"/>
        </w:rPr>
        <w:t xml:space="preserve"> of America</w:t>
      </w:r>
      <w:r w:rsidR="007E39A7" w:rsidRPr="007E39A7">
        <w:rPr>
          <w:lang w:val="en"/>
        </w:rPr>
        <w:t xml:space="preserve"> and the European Union</w:t>
      </w:r>
      <w:r>
        <w:rPr>
          <w:lang w:val="en"/>
        </w:rPr>
        <w:t>. I</w:t>
      </w:r>
      <w:r w:rsidR="00EC706A" w:rsidRPr="007E39A7">
        <w:rPr>
          <w:lang w:val="en"/>
        </w:rPr>
        <w:t>n most cases</w:t>
      </w:r>
      <w:r w:rsidR="00774E06">
        <w:rPr>
          <w:lang w:val="en"/>
        </w:rPr>
        <w:t>,</w:t>
      </w:r>
      <w:r w:rsidR="00EC706A" w:rsidRPr="007E39A7" w:rsidDel="00EC706A">
        <w:rPr>
          <w:lang w:val="en"/>
        </w:rPr>
        <w:t xml:space="preserve"> </w:t>
      </w:r>
      <w:r w:rsidR="00EC706A">
        <w:rPr>
          <w:lang w:val="en"/>
        </w:rPr>
        <w:t xml:space="preserve">it is important that </w:t>
      </w:r>
      <w:r w:rsidR="00EC706A">
        <w:rPr>
          <w:lang w:val="en"/>
        </w:rPr>
        <w:lastRenderedPageBreak/>
        <w:t xml:space="preserve">Australia seeks to </w:t>
      </w:r>
      <w:r w:rsidR="007214DF">
        <w:rPr>
          <w:lang w:val="en"/>
        </w:rPr>
        <w:t>harmonise</w:t>
      </w:r>
      <w:r w:rsidR="00EC706A">
        <w:rPr>
          <w:lang w:val="en"/>
        </w:rPr>
        <w:t xml:space="preserve"> with world</w:t>
      </w:r>
      <w:r w:rsidR="007214DF">
        <w:rPr>
          <w:lang w:val="en"/>
        </w:rPr>
        <w:t>’</w:t>
      </w:r>
      <w:r w:rsidR="00EC706A">
        <w:rPr>
          <w:lang w:val="en"/>
        </w:rPr>
        <w:t xml:space="preserve">s best practice regulations rather than seeking to overstep or </w:t>
      </w:r>
      <w:r w:rsidR="00EC706A" w:rsidRPr="007E39A7">
        <w:rPr>
          <w:lang w:val="en"/>
        </w:rPr>
        <w:t>lead on product energy efficiency</w:t>
      </w:r>
      <w:r w:rsidR="00EC706A">
        <w:rPr>
          <w:lang w:val="en"/>
        </w:rPr>
        <w:t>. It is unlikely that multinational companies would produce a product line to meet Australian s</w:t>
      </w:r>
      <w:r>
        <w:rPr>
          <w:lang w:val="en"/>
        </w:rPr>
        <w:t>pecific regulatory requirements</w:t>
      </w:r>
      <w:r w:rsidR="00EC706A">
        <w:rPr>
          <w:lang w:val="en"/>
        </w:rPr>
        <w:t>.</w:t>
      </w:r>
    </w:p>
    <w:p w:rsidR="00603011" w:rsidRDefault="00603011" w:rsidP="00F740A0">
      <w:pPr>
        <w:rPr>
          <w:lang w:val="en"/>
        </w:rPr>
      </w:pPr>
      <w:r>
        <w:rPr>
          <w:lang w:val="en"/>
        </w:rPr>
        <w:t xml:space="preserve">Accordingly, </w:t>
      </w:r>
      <w:r w:rsidR="007E39A7" w:rsidRPr="007E39A7">
        <w:rPr>
          <w:lang w:val="en"/>
        </w:rPr>
        <w:t xml:space="preserve">GEMS regulations are examined on a product-by-product basis, </w:t>
      </w:r>
      <w:r w:rsidR="00DD1835">
        <w:rPr>
          <w:lang w:val="en"/>
        </w:rPr>
        <w:t xml:space="preserve">including the appropriateness of the adoption of </w:t>
      </w:r>
      <w:r w:rsidR="007E39A7" w:rsidRPr="007E39A7">
        <w:rPr>
          <w:lang w:val="en"/>
        </w:rPr>
        <w:t>international regulations</w:t>
      </w:r>
      <w:r w:rsidR="00EC706A">
        <w:rPr>
          <w:lang w:val="en"/>
        </w:rPr>
        <w:t xml:space="preserve"> </w:t>
      </w:r>
      <w:r w:rsidR="00DD1835">
        <w:rPr>
          <w:lang w:val="en"/>
        </w:rPr>
        <w:t>to the Australian market</w:t>
      </w:r>
      <w:r w:rsidR="00246184">
        <w:rPr>
          <w:lang w:val="en"/>
        </w:rPr>
        <w:t xml:space="preserve"> (with modifications for local conditions)</w:t>
      </w:r>
      <w:r w:rsidR="00B962B8">
        <w:rPr>
          <w:lang w:val="en"/>
        </w:rPr>
        <w:t>, in</w:t>
      </w:r>
      <w:r>
        <w:rPr>
          <w:lang w:val="en"/>
        </w:rPr>
        <w:t xml:space="preserve"> </w:t>
      </w:r>
      <w:r w:rsidR="00B962B8">
        <w:rPr>
          <w:lang w:val="en"/>
        </w:rPr>
        <w:t xml:space="preserve">line </w:t>
      </w:r>
      <w:r w:rsidR="007214DF">
        <w:rPr>
          <w:lang w:val="en"/>
        </w:rPr>
        <w:t>with</w:t>
      </w:r>
      <w:r w:rsidR="00B962B8">
        <w:rPr>
          <w:lang w:val="en"/>
        </w:rPr>
        <w:t xml:space="preserve"> broader government policy</w:t>
      </w:r>
      <w:r>
        <w:rPr>
          <w:lang w:val="en"/>
        </w:rPr>
        <w:t>.</w:t>
      </w:r>
      <w:r w:rsidR="00B9292B">
        <w:rPr>
          <w:lang w:val="en"/>
        </w:rPr>
        <w:t xml:space="preserve"> These issues are considered as part of </w:t>
      </w:r>
      <w:r w:rsidR="00774E06">
        <w:rPr>
          <w:lang w:val="en"/>
        </w:rPr>
        <w:t xml:space="preserve">a </w:t>
      </w:r>
      <w:r w:rsidR="00B9292B">
        <w:rPr>
          <w:lang w:val="en"/>
        </w:rPr>
        <w:t xml:space="preserve">consultation RIS. </w:t>
      </w:r>
    </w:p>
    <w:p w:rsidR="007E39A7" w:rsidRPr="00603011" w:rsidRDefault="00603011" w:rsidP="00F740A0">
      <w:pPr>
        <w:rPr>
          <w:b/>
          <w:i/>
          <w:lang w:val="en"/>
        </w:rPr>
      </w:pPr>
      <w:r>
        <w:rPr>
          <w:lang w:val="en"/>
        </w:rPr>
        <w:t>W</w:t>
      </w:r>
      <w:r w:rsidR="00B962B8">
        <w:rPr>
          <w:lang w:val="en"/>
        </w:rPr>
        <w:t xml:space="preserve">here </w:t>
      </w:r>
      <w:r w:rsidR="00E94D18">
        <w:rPr>
          <w:lang w:val="en"/>
        </w:rPr>
        <w:t xml:space="preserve">it </w:t>
      </w:r>
      <w:r w:rsidR="00B962B8">
        <w:rPr>
          <w:lang w:val="en"/>
        </w:rPr>
        <w:t xml:space="preserve">is </w:t>
      </w:r>
      <w:r w:rsidR="00B962B8" w:rsidRPr="007E39A7">
        <w:rPr>
          <w:lang w:val="en"/>
        </w:rPr>
        <w:t>preferable</w:t>
      </w:r>
      <w:r w:rsidR="00B962B8">
        <w:rPr>
          <w:lang w:val="en"/>
        </w:rPr>
        <w:t xml:space="preserve"> to adopt </w:t>
      </w:r>
      <w:r w:rsidR="00B962B8" w:rsidRPr="007E39A7">
        <w:rPr>
          <w:lang w:val="en"/>
        </w:rPr>
        <w:t>international standards</w:t>
      </w:r>
      <w:r w:rsidR="0015510B">
        <w:rPr>
          <w:lang w:val="en"/>
        </w:rPr>
        <w:t>,</w:t>
      </w:r>
      <w:r w:rsidR="00B962B8" w:rsidRPr="00B962B8">
        <w:rPr>
          <w:lang w:val="en"/>
        </w:rPr>
        <w:t xml:space="preserve"> </w:t>
      </w:r>
      <w:r w:rsidR="00B962B8" w:rsidRPr="007E39A7">
        <w:rPr>
          <w:lang w:val="en"/>
        </w:rPr>
        <w:t xml:space="preserve">it is important to ensure </w:t>
      </w:r>
      <w:r>
        <w:rPr>
          <w:lang w:val="en"/>
        </w:rPr>
        <w:t xml:space="preserve">that the new or </w:t>
      </w:r>
      <w:r w:rsidR="00B962B8">
        <w:rPr>
          <w:lang w:val="en"/>
        </w:rPr>
        <w:t>revised international standards</w:t>
      </w:r>
      <w:r w:rsidR="00B962B8" w:rsidRPr="007E39A7">
        <w:rPr>
          <w:lang w:val="en"/>
        </w:rPr>
        <w:t xml:space="preserve"> </w:t>
      </w:r>
      <w:r w:rsidR="00B962B8">
        <w:rPr>
          <w:lang w:val="en"/>
        </w:rPr>
        <w:t>are implemented as soon as possible to maximise the potential benefits,</w:t>
      </w:r>
      <w:r w:rsidR="007E39A7" w:rsidRPr="007E39A7">
        <w:rPr>
          <w:lang w:val="en"/>
        </w:rPr>
        <w:t xml:space="preserve"> </w:t>
      </w:r>
      <w:r w:rsidR="00DC34C4">
        <w:rPr>
          <w:lang w:val="en"/>
        </w:rPr>
        <w:t>(s</w:t>
      </w:r>
      <w:r w:rsidR="007E39A7" w:rsidRPr="00F740A0">
        <w:rPr>
          <w:lang w:val="en"/>
        </w:rPr>
        <w:t>ee</w:t>
      </w:r>
      <w:r w:rsidR="007E39A7" w:rsidRPr="00C743A5">
        <w:rPr>
          <w:b/>
          <w:bCs/>
        </w:rPr>
        <w:t xml:space="preserve"> Figure 1 </w:t>
      </w:r>
      <w:r w:rsidR="007E39A7" w:rsidRPr="007E39A7">
        <w:rPr>
          <w:lang w:val="en"/>
        </w:rPr>
        <w:t xml:space="preserve">and </w:t>
      </w:r>
      <w:r w:rsidR="007E39A7" w:rsidRPr="00C743A5">
        <w:rPr>
          <w:b/>
          <w:bCs/>
        </w:rPr>
        <w:t xml:space="preserve">Section </w:t>
      </w:r>
      <w:r w:rsidR="006C24D2" w:rsidRPr="00C743A5">
        <w:rPr>
          <w:b/>
          <w:bCs/>
        </w:rPr>
        <w:t>5.7</w:t>
      </w:r>
      <w:r w:rsidR="00B9292B" w:rsidRPr="00C743A5">
        <w:rPr>
          <w:b/>
          <w:bCs/>
        </w:rPr>
        <w:t>.2</w:t>
      </w:r>
      <w:r w:rsidR="006C24D2" w:rsidRPr="004E675B">
        <w:rPr>
          <w:i/>
        </w:rPr>
        <w:t>).</w:t>
      </w:r>
    </w:p>
    <w:p w:rsidR="007E39A7" w:rsidRDefault="007E39A7" w:rsidP="00F740A0">
      <w:r w:rsidRPr="007E39A7">
        <w:t>As highlighted by industry submissions, GEMS products may also be subje</w:t>
      </w:r>
      <w:r w:rsidR="00DE51A2">
        <w:t>ct to other regulatory schemes</w:t>
      </w:r>
      <w:r w:rsidRPr="007E39A7">
        <w:t xml:space="preserve"> including electrical safety, water efficiency, building codes, and ozone and synthetic greenhouse gases. Other regulatory schemes have been considered in the context of streamlining regulatory burden for industry (</w:t>
      </w:r>
      <w:r w:rsidRPr="00F740A0">
        <w:t>see</w:t>
      </w:r>
      <w:r w:rsidRPr="00C743A5">
        <w:rPr>
          <w:b/>
          <w:bCs/>
        </w:rPr>
        <w:t xml:space="preserve"> Figure 1</w:t>
      </w:r>
      <w:r w:rsidRPr="007E39A7">
        <w:t xml:space="preserve"> and </w:t>
      </w:r>
      <w:r w:rsidRPr="00C743A5">
        <w:rPr>
          <w:b/>
          <w:bCs/>
        </w:rPr>
        <w:t xml:space="preserve">Section </w:t>
      </w:r>
      <w:r w:rsidR="00B9292B" w:rsidRPr="00C743A5">
        <w:rPr>
          <w:b/>
          <w:bCs/>
        </w:rPr>
        <w:t>5.3.4</w:t>
      </w:r>
      <w:r w:rsidRPr="003442DC">
        <w:t>)</w:t>
      </w:r>
      <w:r w:rsidRPr="007E39A7">
        <w:t xml:space="preserve">. </w:t>
      </w:r>
    </w:p>
    <w:p w:rsidR="007E39A7" w:rsidRPr="007E39A7" w:rsidRDefault="007E39A7" w:rsidP="00F740A0">
      <w:pPr>
        <w:pStyle w:val="Heading2"/>
      </w:pPr>
      <w:bookmarkStart w:id="46" w:name="_Toc517621137"/>
      <w:bookmarkStart w:id="47" w:name="_Toc18660979"/>
      <w:r w:rsidRPr="007E39A7">
        <w:t>3.4</w:t>
      </w:r>
      <w:r w:rsidRPr="007E39A7">
        <w:tab/>
        <w:t>Interaction with other energy efficiency policies and programs</w:t>
      </w:r>
      <w:bookmarkEnd w:id="46"/>
      <w:bookmarkEnd w:id="47"/>
    </w:p>
    <w:p w:rsidR="007E39A7" w:rsidRPr="007E39A7" w:rsidRDefault="007E39A7" w:rsidP="00F740A0">
      <w:pPr>
        <w:rPr>
          <w:szCs w:val="24"/>
          <w:lang w:val="en"/>
        </w:rPr>
      </w:pPr>
      <w:r w:rsidRPr="007E39A7">
        <w:t>Improving Australia’s equipment energy efficiency is a key objective of the COAG Energy Council</w:t>
      </w:r>
      <w:r w:rsidRPr="007E39A7">
        <w:rPr>
          <w:lang w:val="en"/>
        </w:rPr>
        <w:t>.</w:t>
      </w:r>
      <w:r w:rsidRPr="007E39A7">
        <w:rPr>
          <w:vertAlign w:val="superscript"/>
          <w:lang w:val="en"/>
        </w:rPr>
        <w:footnoteReference w:id="11"/>
      </w:r>
      <w:r w:rsidRPr="007E39A7">
        <w:rPr>
          <w:lang w:val="en"/>
        </w:rPr>
        <w:t xml:space="preserve"> Its National Energy Productivity Plan (2015–2030) </w:t>
      </w:r>
      <w:r w:rsidR="00B9292B">
        <w:rPr>
          <w:lang w:val="en"/>
        </w:rPr>
        <w:t>acts</w:t>
      </w:r>
      <w:r w:rsidR="00B9292B" w:rsidRPr="007E39A7">
        <w:rPr>
          <w:lang w:val="en"/>
        </w:rPr>
        <w:t xml:space="preserve"> </w:t>
      </w:r>
      <w:r w:rsidRPr="007E39A7">
        <w:rPr>
          <w:lang w:val="en"/>
        </w:rPr>
        <w:t xml:space="preserve">to better coordinate, and advance, activities that impact on energy productivity, including the E3 </w:t>
      </w:r>
      <w:r w:rsidR="00E16DFF">
        <w:rPr>
          <w:lang w:val="en"/>
        </w:rPr>
        <w:t>p</w:t>
      </w:r>
      <w:r w:rsidR="00E16DFF" w:rsidRPr="007E39A7">
        <w:rPr>
          <w:lang w:val="en"/>
        </w:rPr>
        <w:t xml:space="preserve">rioritisation </w:t>
      </w:r>
      <w:r w:rsidR="00E16DFF">
        <w:rPr>
          <w:lang w:val="en"/>
        </w:rPr>
        <w:t>p</w:t>
      </w:r>
      <w:r w:rsidR="00E16DFF" w:rsidRPr="007E39A7">
        <w:rPr>
          <w:lang w:val="en"/>
        </w:rPr>
        <w:t>lan</w:t>
      </w:r>
      <w:r w:rsidRPr="007E39A7">
        <w:rPr>
          <w:lang w:val="en"/>
        </w:rPr>
        <w:t xml:space="preserve"> and the </w:t>
      </w:r>
      <w:r w:rsidRPr="007E39A7">
        <w:t>policies and programs mentioned below</w:t>
      </w:r>
      <w:r w:rsidRPr="007E39A7">
        <w:rPr>
          <w:lang w:val="en"/>
        </w:rPr>
        <w:t xml:space="preserve">. </w:t>
      </w:r>
    </w:p>
    <w:p w:rsidR="007E39A7" w:rsidRPr="007E39A7" w:rsidRDefault="007E39A7" w:rsidP="00F740A0">
      <w:r w:rsidRPr="007E39A7">
        <w:t xml:space="preserve">E3 </w:t>
      </w:r>
      <w:r w:rsidR="0015510B">
        <w:t>operates</w:t>
      </w:r>
      <w:r w:rsidR="0015510B" w:rsidRPr="007E39A7">
        <w:t xml:space="preserve"> </w:t>
      </w:r>
      <w:r w:rsidRPr="007E39A7">
        <w:t>alongside Australian</w:t>
      </w:r>
      <w:r w:rsidR="0015510B">
        <w:t>,</w:t>
      </w:r>
      <w:r w:rsidRPr="007E39A7">
        <w:t xml:space="preserve"> state and territory </w:t>
      </w:r>
      <w:r w:rsidR="0015510B">
        <w:t xml:space="preserve">government </w:t>
      </w:r>
      <w:r w:rsidRPr="007E39A7">
        <w:t>building energy efficiency policies</w:t>
      </w:r>
      <w:r w:rsidR="00B9292B">
        <w:t>,</w:t>
      </w:r>
      <w:r w:rsidRPr="007E39A7">
        <w:t xml:space="preserve"> programs</w:t>
      </w:r>
      <w:r w:rsidR="0015510B">
        <w:t>,</w:t>
      </w:r>
      <w:r w:rsidR="00B9292B">
        <w:t xml:space="preserve"> and information disseminating activities </w:t>
      </w:r>
      <w:r w:rsidRPr="007E39A7">
        <w:t>(</w:t>
      </w:r>
      <w:r w:rsidRPr="00F740A0">
        <w:t>see</w:t>
      </w:r>
      <w:r w:rsidRPr="007E39A7">
        <w:t xml:space="preserve"> </w:t>
      </w:r>
      <w:r w:rsidRPr="00C743A5">
        <w:rPr>
          <w:b/>
          <w:bCs/>
        </w:rPr>
        <w:t>Figure 1</w:t>
      </w:r>
      <w:r w:rsidRPr="007E39A7">
        <w:t xml:space="preserve">). These include the Commercial Building Disclosure </w:t>
      </w:r>
      <w:r w:rsidR="0015510B">
        <w:t>P</w:t>
      </w:r>
      <w:r w:rsidRPr="007E39A7">
        <w:t>rogram, NatHERS</w:t>
      </w:r>
      <w:r w:rsidR="0015510B">
        <w:t>,</w:t>
      </w:r>
      <w:r w:rsidRPr="007E39A7">
        <w:t xml:space="preserve"> and work to advance the National Construction Code. Information </w:t>
      </w:r>
      <w:r w:rsidR="00B9292B">
        <w:t xml:space="preserve">activities </w:t>
      </w:r>
      <w:r w:rsidRPr="007E39A7">
        <w:t xml:space="preserve">include the </w:t>
      </w:r>
      <w:r w:rsidR="005918F4">
        <w:t>energy.gov.au</w:t>
      </w:r>
      <w:r w:rsidRPr="007E39A7">
        <w:t xml:space="preserve"> website and Your Home guide to building, buying or renovating environmentally sustainable homes.</w:t>
      </w:r>
      <w:r w:rsidRPr="007E39A7">
        <w:rPr>
          <w:vertAlign w:val="superscript"/>
        </w:rPr>
        <w:footnoteReference w:id="12"/>
      </w:r>
      <w:r w:rsidRPr="007E39A7">
        <w:t xml:space="preserve"> State and territor</w:t>
      </w:r>
      <w:r w:rsidR="0015510B">
        <w:t xml:space="preserve">y governments </w:t>
      </w:r>
      <w:r w:rsidRPr="007E39A7">
        <w:t>also operate a number of their own policies and programs designed to improve the energy efficiency of households, businesses, schools and government. These include grants, information, finance</w:t>
      </w:r>
      <w:r w:rsidR="00D33571">
        <w:t xml:space="preserve">, </w:t>
      </w:r>
      <w:r w:rsidRPr="007E39A7">
        <w:t>rebate</w:t>
      </w:r>
      <w:r w:rsidR="00D33571">
        <w:t xml:space="preserve"> programs and white certificate</w:t>
      </w:r>
      <w:r w:rsidRPr="007E39A7">
        <w:t xml:space="preserve"> </w:t>
      </w:r>
      <w:r w:rsidR="00D33571">
        <w:t xml:space="preserve">schemes </w:t>
      </w:r>
      <w:r w:rsidR="00D41F10">
        <w:t>(</w:t>
      </w:r>
      <w:r w:rsidR="00D41F10" w:rsidRPr="00243D5B">
        <w:t xml:space="preserve">see </w:t>
      </w:r>
      <w:r w:rsidR="00D41F10" w:rsidRPr="00C743A5">
        <w:rPr>
          <w:b/>
          <w:bCs/>
        </w:rPr>
        <w:t xml:space="preserve">Appendix </w:t>
      </w:r>
      <w:r w:rsidR="00B9292B" w:rsidRPr="00C743A5">
        <w:rPr>
          <w:b/>
          <w:bCs/>
        </w:rPr>
        <w:t>C</w:t>
      </w:r>
      <w:r w:rsidR="00D41F10">
        <w:t>)</w:t>
      </w:r>
      <w:r w:rsidRPr="007E39A7">
        <w:t xml:space="preserve">. </w:t>
      </w:r>
    </w:p>
    <w:p w:rsidR="00A70CB2" w:rsidRDefault="007E39A7" w:rsidP="00F740A0">
      <w:pPr>
        <w:rPr>
          <w:lang w:val="en"/>
        </w:rPr>
      </w:pPr>
      <w:r w:rsidRPr="007E39A7">
        <w:rPr>
          <w:lang w:val="en"/>
        </w:rPr>
        <w:t xml:space="preserve">In submissions to </w:t>
      </w:r>
      <w:r w:rsidR="000D7B35">
        <w:rPr>
          <w:lang w:val="en"/>
        </w:rPr>
        <w:t>this review</w:t>
      </w:r>
      <w:r w:rsidRPr="007E39A7">
        <w:rPr>
          <w:lang w:val="en"/>
        </w:rPr>
        <w:t xml:space="preserve">, stakeholders noted that the ability of the GEMS Act to meet its objectives is affected by factors outside of current GEMS regulations. These include how appliances and equipment are installed and operated and how they interact with energy systems and other new technologies. </w:t>
      </w:r>
      <w:r w:rsidR="0015510B" w:rsidRPr="007E39A7">
        <w:rPr>
          <w:lang w:val="en"/>
        </w:rPr>
        <w:t>However</w:t>
      </w:r>
      <w:r w:rsidR="0015510B">
        <w:rPr>
          <w:lang w:val="en"/>
        </w:rPr>
        <w:t>,</w:t>
      </w:r>
      <w:r w:rsidR="00B71210">
        <w:rPr>
          <w:lang w:val="en"/>
        </w:rPr>
        <w:t xml:space="preserve"> </w:t>
      </w:r>
      <w:r w:rsidR="0015510B">
        <w:rPr>
          <w:lang w:val="en"/>
        </w:rPr>
        <w:t>t</w:t>
      </w:r>
      <w:r w:rsidRPr="007E39A7">
        <w:rPr>
          <w:lang w:val="en"/>
        </w:rPr>
        <w:t>he GEMS Act is not necessarily the most appropriate place to address these factors.</w:t>
      </w:r>
      <w:r w:rsidR="00B71210">
        <w:rPr>
          <w:lang w:val="en"/>
        </w:rPr>
        <w:t xml:space="preserve"> </w:t>
      </w:r>
    </w:p>
    <w:p w:rsidR="00B232CC" w:rsidRPr="00B232CC" w:rsidRDefault="0015510B" w:rsidP="00F740A0">
      <w:pPr>
        <w:rPr>
          <w:lang w:val="en"/>
        </w:rPr>
      </w:pPr>
      <w:r>
        <w:rPr>
          <w:lang w:val="en"/>
        </w:rPr>
        <w:t>C</w:t>
      </w:r>
      <w:r w:rsidR="007E39A7" w:rsidRPr="007E39A7">
        <w:rPr>
          <w:lang w:val="en"/>
        </w:rPr>
        <w:t xml:space="preserve">oordination with other policies, programs and legislation is crucial to maximising energy efficiency gains, especially as the GEMS Act moves beyond </w:t>
      </w:r>
      <w:r w:rsidR="00DE51A2">
        <w:rPr>
          <w:lang w:val="en"/>
        </w:rPr>
        <w:t xml:space="preserve">the </w:t>
      </w:r>
      <w:r w:rsidR="007E39A7" w:rsidRPr="007E39A7">
        <w:rPr>
          <w:lang w:val="en"/>
        </w:rPr>
        <w:t xml:space="preserve">current E3 </w:t>
      </w:r>
      <w:r w:rsidR="00DB67A4">
        <w:rPr>
          <w:lang w:val="en"/>
        </w:rPr>
        <w:t>work program</w:t>
      </w:r>
      <w:r w:rsidR="007E39A7" w:rsidRPr="007E39A7">
        <w:rPr>
          <w:lang w:val="en"/>
        </w:rPr>
        <w:t xml:space="preserve"> </w:t>
      </w:r>
      <w:r w:rsidR="007E39A7" w:rsidRPr="00F740A0">
        <w:rPr>
          <w:lang w:val="en"/>
        </w:rPr>
        <w:t>(see</w:t>
      </w:r>
      <w:r w:rsidR="007E39A7" w:rsidRPr="00C743A5">
        <w:rPr>
          <w:b/>
          <w:bCs/>
        </w:rPr>
        <w:t xml:space="preserve"> Figure 1</w:t>
      </w:r>
      <w:r w:rsidR="00B71210" w:rsidRPr="00C743A5">
        <w:rPr>
          <w:b/>
          <w:bCs/>
        </w:rPr>
        <w:t xml:space="preserve"> </w:t>
      </w:r>
      <w:r w:rsidR="00B71210" w:rsidRPr="003442DC">
        <w:rPr>
          <w:lang w:val="en"/>
        </w:rPr>
        <w:t>and</w:t>
      </w:r>
      <w:r w:rsidR="007E39A7" w:rsidRPr="00C743A5">
        <w:rPr>
          <w:b/>
          <w:bCs/>
        </w:rPr>
        <w:t xml:space="preserve"> Section 3.2</w:t>
      </w:r>
      <w:r w:rsidR="007E39A7" w:rsidRPr="00F740A0">
        <w:rPr>
          <w:lang w:val="en"/>
        </w:rPr>
        <w:t>)</w:t>
      </w:r>
      <w:r w:rsidR="00B232CC">
        <w:rPr>
          <w:lang w:val="en"/>
        </w:rPr>
        <w:t xml:space="preserve">. </w:t>
      </w:r>
    </w:p>
    <w:p w:rsidR="007E39A7" w:rsidRPr="00240A12" w:rsidRDefault="007E39A7" w:rsidP="003442DC">
      <w:pPr>
        <w:pStyle w:val="RecHead"/>
        <w:rPr>
          <w:lang w:val="en"/>
        </w:rPr>
      </w:pPr>
      <w:r w:rsidRPr="00240A12">
        <w:rPr>
          <w:lang w:val="en"/>
        </w:rPr>
        <w:t xml:space="preserve">RECOMMENDATION </w:t>
      </w:r>
      <w:r w:rsidR="00DC34C4">
        <w:rPr>
          <w:lang w:val="en"/>
        </w:rPr>
        <w:t>1</w:t>
      </w:r>
    </w:p>
    <w:p w:rsidR="007E39A7" w:rsidRPr="00C743A5" w:rsidRDefault="00DB67A4" w:rsidP="00C743A5">
      <w:pPr>
        <w:rPr>
          <w:b/>
          <w:bCs/>
        </w:rPr>
      </w:pPr>
      <w:r w:rsidRPr="00C743A5">
        <w:rPr>
          <w:b/>
          <w:bCs/>
        </w:rPr>
        <w:t xml:space="preserve">The </w:t>
      </w:r>
      <w:r w:rsidR="00802521" w:rsidRPr="00C743A5">
        <w:rPr>
          <w:b/>
          <w:bCs/>
        </w:rPr>
        <w:t xml:space="preserve">Commonwealth </w:t>
      </w:r>
      <w:r w:rsidRPr="00C743A5">
        <w:rPr>
          <w:b/>
          <w:bCs/>
        </w:rPr>
        <w:t xml:space="preserve">Government </w:t>
      </w:r>
      <w:r w:rsidR="00B01B72" w:rsidRPr="00C743A5">
        <w:rPr>
          <w:b/>
          <w:bCs/>
        </w:rPr>
        <w:t>develop</w:t>
      </w:r>
      <w:r w:rsidRPr="00C743A5">
        <w:rPr>
          <w:b/>
          <w:bCs/>
        </w:rPr>
        <w:t xml:space="preserve"> a long term strategic plan for energy efficiency</w:t>
      </w:r>
      <w:r w:rsidR="009F1CB2" w:rsidRPr="00C743A5">
        <w:rPr>
          <w:b/>
          <w:bCs/>
        </w:rPr>
        <w:t xml:space="preserve"> with clear objectives</w:t>
      </w:r>
      <w:r w:rsidRPr="00C743A5">
        <w:rPr>
          <w:b/>
          <w:bCs/>
        </w:rPr>
        <w:t>.</w:t>
      </w:r>
      <w:r w:rsidR="00DE51A2" w:rsidRPr="00C743A5">
        <w:rPr>
          <w:b/>
          <w:bCs/>
        </w:rPr>
        <w:t xml:space="preserve"> </w:t>
      </w:r>
      <w:r w:rsidRPr="00C743A5">
        <w:rPr>
          <w:b/>
          <w:bCs/>
        </w:rPr>
        <w:t>This strategic plan should include the complementary programs listed above and throughout this draft report.</w:t>
      </w:r>
      <w:r w:rsidR="007E39A7" w:rsidRPr="00C743A5">
        <w:rPr>
          <w:b/>
          <w:bCs/>
        </w:rPr>
        <w:br w:type="page"/>
      </w:r>
    </w:p>
    <w:p w:rsidR="007E39A7" w:rsidRPr="00413D00" w:rsidRDefault="007E39A7" w:rsidP="00F740A0">
      <w:pPr>
        <w:rPr>
          <w:rStyle w:val="Emphasis"/>
          <w:szCs w:val="20"/>
        </w:rPr>
      </w:pPr>
      <w:r w:rsidRPr="00413D00">
        <w:rPr>
          <w:rStyle w:val="Emphasis"/>
          <w:szCs w:val="20"/>
        </w:rPr>
        <w:lastRenderedPageBreak/>
        <w:t>Figure 1: Wider policy context of the GEMS Act and interactions with other regulations, and energy efficiency policies and programs.</w:t>
      </w:r>
    </w:p>
    <w:p w:rsidR="007E39A7" w:rsidRPr="007E39A7" w:rsidRDefault="009115F1" w:rsidP="00F740A0">
      <w:pPr>
        <w:rPr>
          <w:rFonts w:cs="Arial"/>
        </w:rPr>
      </w:pPr>
      <w:r>
        <w:rPr>
          <w:noProof/>
          <w:lang w:eastAsia="en-AU"/>
        </w:rPr>
        <w:drawing>
          <wp:anchor distT="0" distB="0" distL="114300" distR="114300" simplePos="0" relativeHeight="251657728" behindDoc="0" locked="0" layoutInCell="1" allowOverlap="1">
            <wp:simplePos x="0" y="0"/>
            <wp:positionH relativeFrom="column">
              <wp:posOffset>-448310</wp:posOffset>
            </wp:positionH>
            <wp:positionV relativeFrom="paragraph">
              <wp:posOffset>307116</wp:posOffset>
            </wp:positionV>
            <wp:extent cx="6298565" cy="5822950"/>
            <wp:effectExtent l="0" t="0" r="0" b="0"/>
            <wp:wrapNone/>
            <wp:docPr id="2" name="Picture 4" descr="Figure 1 shows the wider policy context of the GEMS Act and how it interacts with other regulations, and energy efficiency policies and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ot;&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8565" cy="582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39A7" w:rsidRPr="007E39A7">
        <w:br w:type="page"/>
      </w:r>
    </w:p>
    <w:p w:rsidR="007E39A7" w:rsidRPr="007E39A7" w:rsidRDefault="007E39A7" w:rsidP="00F740A0">
      <w:pPr>
        <w:pStyle w:val="Heading1"/>
      </w:pPr>
      <w:bookmarkStart w:id="48" w:name="_Toc517621138"/>
      <w:bookmarkStart w:id="49" w:name="_Toc18660980"/>
      <w:r w:rsidRPr="007E39A7">
        <w:lastRenderedPageBreak/>
        <w:t>4.</w:t>
      </w:r>
      <w:r w:rsidRPr="007E39A7">
        <w:tab/>
      </w:r>
      <w:r w:rsidR="00F51138">
        <w:t>E</w:t>
      </w:r>
      <w:r w:rsidRPr="007E39A7">
        <w:t>ffectiveness of the GEMS Act</w:t>
      </w:r>
      <w:bookmarkEnd w:id="48"/>
      <w:bookmarkEnd w:id="49"/>
    </w:p>
    <w:p w:rsidR="007E39A7" w:rsidRPr="004E675B" w:rsidRDefault="004D2B10" w:rsidP="004E675B">
      <w:pPr>
        <w:rPr>
          <w:color w:val="000000" w:themeColor="text1"/>
        </w:rPr>
      </w:pPr>
      <w:r w:rsidRPr="004E675B">
        <w:t xml:space="preserve">The review considered the </w:t>
      </w:r>
      <w:r w:rsidR="007E39A7" w:rsidRPr="004E675B">
        <w:t xml:space="preserve">extent to which the </w:t>
      </w:r>
      <w:r w:rsidRPr="004E675B">
        <w:t xml:space="preserve">GEMS regulatory </w:t>
      </w:r>
      <w:r w:rsidR="007E39A7" w:rsidRPr="004E675B">
        <w:t>framework</w:t>
      </w:r>
      <w:r w:rsidRPr="004E675B">
        <w:t xml:space="preserve">, </w:t>
      </w:r>
      <w:r w:rsidR="007E39A7" w:rsidRPr="004E675B">
        <w:t>systems and procedures</w:t>
      </w:r>
      <w:r w:rsidRPr="004E675B">
        <w:t xml:space="preserve"> </w:t>
      </w:r>
      <w:r w:rsidR="0015510B">
        <w:t>are</w:t>
      </w:r>
      <w:r w:rsidR="007E39A7" w:rsidRPr="004E675B">
        <w:t xml:space="preserve"> achieving </w:t>
      </w:r>
      <w:r w:rsidR="0015510B">
        <w:t>their</w:t>
      </w:r>
      <w:r w:rsidR="0015510B" w:rsidRPr="004E675B">
        <w:t xml:space="preserve"> </w:t>
      </w:r>
      <w:r w:rsidR="007E39A7" w:rsidRPr="004E675B">
        <w:t>purpose.</w:t>
      </w:r>
      <w:r w:rsidRPr="004E675B">
        <w:t xml:space="preserve"> </w:t>
      </w:r>
      <w:r w:rsidR="00EC22AC" w:rsidRPr="0063735A">
        <w:t>This section</w:t>
      </w:r>
      <w:r w:rsidR="00EC22AC" w:rsidRPr="004E675B">
        <w:t xml:space="preserve"> </w:t>
      </w:r>
      <w:r w:rsidR="00EC22AC">
        <w:t>examines t</w:t>
      </w:r>
      <w:r w:rsidRPr="004E675B">
        <w:t xml:space="preserve">he </w:t>
      </w:r>
      <w:r w:rsidR="0087673C" w:rsidRPr="004E675B">
        <w:t>GEMS Act’s successful provision</w:t>
      </w:r>
      <w:r w:rsidRPr="004E675B">
        <w:t xml:space="preserve"> </w:t>
      </w:r>
      <w:r w:rsidR="002E2DDF">
        <w:t xml:space="preserve">of </w:t>
      </w:r>
      <w:r w:rsidRPr="004E675B">
        <w:t xml:space="preserve">a </w:t>
      </w:r>
      <w:r w:rsidR="007E39A7" w:rsidRPr="004E675B">
        <w:t>streamlined nationally consistent approach to appliance energy efficiency</w:t>
      </w:r>
      <w:r w:rsidRPr="004E675B">
        <w:t xml:space="preserve"> and </w:t>
      </w:r>
      <w:r w:rsidR="0087673C" w:rsidRPr="004E675B">
        <w:t>its</w:t>
      </w:r>
      <w:r w:rsidRPr="004E675B">
        <w:t xml:space="preserve"> contribut</w:t>
      </w:r>
      <w:r w:rsidR="0087673C" w:rsidRPr="004E675B">
        <w:t>ion</w:t>
      </w:r>
      <w:r w:rsidRPr="004E675B">
        <w:t xml:space="preserve"> to energy savings, </w:t>
      </w:r>
      <w:r w:rsidR="007E39A7" w:rsidRPr="004E675B">
        <w:t>reduce</w:t>
      </w:r>
      <w:r w:rsidRPr="004E675B">
        <w:t>d</w:t>
      </w:r>
      <w:r w:rsidR="007E39A7" w:rsidRPr="004E675B">
        <w:t xml:space="preserve"> greenhouse gas emissions and </w:t>
      </w:r>
      <w:r w:rsidRPr="004E675B">
        <w:t xml:space="preserve">lower </w:t>
      </w:r>
      <w:r w:rsidR="007E39A7" w:rsidRPr="004E675B">
        <w:t>power bills</w:t>
      </w:r>
      <w:r w:rsidR="0087673C" w:rsidRPr="004E675B">
        <w:t>.</w:t>
      </w:r>
    </w:p>
    <w:p w:rsidR="007E39A7" w:rsidRPr="007E39A7" w:rsidRDefault="007E39A7" w:rsidP="00F740A0">
      <w:pPr>
        <w:pStyle w:val="Heading2"/>
      </w:pPr>
      <w:bookmarkStart w:id="50" w:name="_Toc517621139"/>
      <w:bookmarkStart w:id="51" w:name="_Toc18660981"/>
      <w:r w:rsidRPr="007E39A7">
        <w:t>4.1</w:t>
      </w:r>
      <w:r w:rsidRPr="007E39A7">
        <w:tab/>
        <w:t>Key points</w:t>
      </w:r>
      <w:bookmarkEnd w:id="50"/>
      <w:bookmarkEnd w:id="51"/>
    </w:p>
    <w:p w:rsidR="007E39A7" w:rsidRPr="002376E6" w:rsidRDefault="007E39A7" w:rsidP="00CE29AD">
      <w:pPr>
        <w:pStyle w:val="ListBullet"/>
        <w:ind w:hanging="426"/>
      </w:pPr>
      <w:r w:rsidRPr="002376E6">
        <w:t>The GEMS Act provides a nationally consistent approach to appliance energy efficiency</w:t>
      </w:r>
      <w:r w:rsidR="00B71210">
        <w:t>.</w:t>
      </w:r>
    </w:p>
    <w:p w:rsidR="007E39A7" w:rsidRPr="00113F75" w:rsidRDefault="007E39A7" w:rsidP="00CE29AD">
      <w:pPr>
        <w:pStyle w:val="ListBullet"/>
        <w:ind w:hanging="426"/>
      </w:pPr>
      <w:r w:rsidRPr="0099735C">
        <w:t>The GEMS Act has proven effective at reducing energy use and emissions</w:t>
      </w:r>
      <w:r w:rsidR="00B71210">
        <w:t>.</w:t>
      </w:r>
    </w:p>
    <w:p w:rsidR="008D7148" w:rsidRPr="002376E6" w:rsidRDefault="008D7148" w:rsidP="00CE29AD">
      <w:pPr>
        <w:pStyle w:val="ListBullet"/>
        <w:ind w:hanging="426"/>
      </w:pPr>
      <w:r w:rsidRPr="002376E6">
        <w:t xml:space="preserve">A range of improvements can be made to the operation of the GEMS Act. These improvements </w:t>
      </w:r>
      <w:r w:rsidR="00B9292B">
        <w:t>could</w:t>
      </w:r>
      <w:r w:rsidR="00B9292B" w:rsidRPr="002376E6">
        <w:t xml:space="preserve"> </w:t>
      </w:r>
      <w:r w:rsidRPr="002376E6">
        <w:t>include:</w:t>
      </w:r>
    </w:p>
    <w:p w:rsidR="008D7148" w:rsidRPr="002376E6" w:rsidRDefault="008D7148" w:rsidP="008A7FC0">
      <w:pPr>
        <w:pStyle w:val="ListBullet2"/>
        <w:numPr>
          <w:ilvl w:val="1"/>
          <w:numId w:val="26"/>
        </w:numPr>
        <w:ind w:left="851" w:hanging="425"/>
      </w:pPr>
      <w:r w:rsidRPr="002376E6">
        <w:t>Updating energy efficiency standards for products that are already regulated, subject to technological advances and international considerations</w:t>
      </w:r>
      <w:r w:rsidR="00B71210">
        <w:t>.</w:t>
      </w:r>
    </w:p>
    <w:p w:rsidR="0089011A" w:rsidRDefault="008D7148" w:rsidP="008A7FC0">
      <w:pPr>
        <w:pStyle w:val="ListBullet2"/>
        <w:numPr>
          <w:ilvl w:val="1"/>
          <w:numId w:val="26"/>
        </w:numPr>
        <w:ind w:left="851" w:hanging="425"/>
      </w:pPr>
      <w:r w:rsidRPr="002376E6">
        <w:t xml:space="preserve">Expanding </w:t>
      </w:r>
      <w:r w:rsidR="00B9292B">
        <w:t>regulations to include</w:t>
      </w:r>
      <w:r w:rsidR="00B9292B" w:rsidRPr="002376E6">
        <w:t xml:space="preserve"> </w:t>
      </w:r>
      <w:r w:rsidRPr="002376E6">
        <w:t>new high energy using products that are not currently regulated in Australia</w:t>
      </w:r>
      <w:r w:rsidR="00B71210">
        <w:t>.</w:t>
      </w:r>
    </w:p>
    <w:p w:rsidR="008D7148" w:rsidRDefault="008D7148" w:rsidP="008A7FC0">
      <w:pPr>
        <w:pStyle w:val="ListBullet2"/>
        <w:numPr>
          <w:ilvl w:val="1"/>
          <w:numId w:val="26"/>
        </w:numPr>
        <w:ind w:left="851" w:hanging="425"/>
      </w:pPr>
      <w:r w:rsidRPr="002376E6">
        <w:t>Developing and implementing regulations more quickly</w:t>
      </w:r>
      <w:r w:rsidR="00CE6C02">
        <w:t xml:space="preserve">, </w:t>
      </w:r>
      <w:r w:rsidR="00B9292B">
        <w:t>while maintaining</w:t>
      </w:r>
      <w:r w:rsidR="00CE6C02">
        <w:t xml:space="preserve"> adequate consultation with affected stakeholders</w:t>
      </w:r>
      <w:r w:rsidR="00B71210">
        <w:t>.</w:t>
      </w:r>
    </w:p>
    <w:p w:rsidR="008D7148" w:rsidRPr="002376E6" w:rsidRDefault="008D7148" w:rsidP="008A7FC0">
      <w:pPr>
        <w:pStyle w:val="ListBullet2"/>
        <w:numPr>
          <w:ilvl w:val="1"/>
          <w:numId w:val="26"/>
        </w:numPr>
        <w:ind w:left="851" w:hanging="425"/>
      </w:pPr>
      <w:r w:rsidRPr="0099735C">
        <w:t>Improving the effectiveness of energy rating labels</w:t>
      </w:r>
      <w:r w:rsidR="00CE6C02">
        <w:t xml:space="preserve"> and other customer </w:t>
      </w:r>
      <w:r w:rsidR="00B9292B">
        <w:t xml:space="preserve">engagement/education </w:t>
      </w:r>
      <w:r w:rsidR="00CE6C02">
        <w:t>activit</w:t>
      </w:r>
      <w:r w:rsidR="00B9292B">
        <w:t>ies</w:t>
      </w:r>
      <w:r w:rsidR="00B71210">
        <w:t>.</w:t>
      </w:r>
    </w:p>
    <w:p w:rsidR="008D7148" w:rsidRPr="00113F75" w:rsidRDefault="008D7148" w:rsidP="002E385F">
      <w:pPr>
        <w:pStyle w:val="ListBullet"/>
        <w:ind w:hanging="426"/>
      </w:pPr>
      <w:r w:rsidRPr="0099735C">
        <w:t>T</w:t>
      </w:r>
      <w:r w:rsidRPr="00113F75">
        <w:t>hese suggestions</w:t>
      </w:r>
      <w:r>
        <w:t xml:space="preserve"> are considered</w:t>
      </w:r>
      <w:r w:rsidRPr="00113F75">
        <w:t xml:space="preserve"> in more detail</w:t>
      </w:r>
      <w:r>
        <w:t xml:space="preserve"> in </w:t>
      </w:r>
      <w:r w:rsidRPr="00F51138">
        <w:rPr>
          <w:b/>
        </w:rPr>
        <w:t>Section 5</w:t>
      </w:r>
      <w:r w:rsidR="00B71210">
        <w:rPr>
          <w:b/>
        </w:rPr>
        <w:t>.</w:t>
      </w:r>
    </w:p>
    <w:p w:rsidR="007E39A7" w:rsidRPr="007E39A7" w:rsidRDefault="007E39A7" w:rsidP="00F740A0">
      <w:pPr>
        <w:pStyle w:val="Heading2"/>
      </w:pPr>
      <w:bookmarkStart w:id="52" w:name="_Toc517621140"/>
      <w:bookmarkStart w:id="53" w:name="_Toc18660982"/>
      <w:r w:rsidRPr="007E39A7">
        <w:t>4.2</w:t>
      </w:r>
      <w:r w:rsidRPr="007E39A7">
        <w:tab/>
        <w:t>Streamlined nationally consistent approach</w:t>
      </w:r>
      <w:bookmarkEnd w:id="52"/>
      <w:bookmarkEnd w:id="53"/>
    </w:p>
    <w:p w:rsidR="007E39A7" w:rsidRPr="007E39A7" w:rsidRDefault="007E39A7" w:rsidP="00F740A0">
      <w:r w:rsidRPr="007E39A7">
        <w:t xml:space="preserve">In terms of streamlining, the GEMS Act was designed to address: </w:t>
      </w:r>
    </w:p>
    <w:p w:rsidR="007E39A7" w:rsidRPr="007E39A7" w:rsidRDefault="007E39A7" w:rsidP="008A7FC0">
      <w:pPr>
        <w:pStyle w:val="ListParagraph"/>
        <w:numPr>
          <w:ilvl w:val="0"/>
          <w:numId w:val="3"/>
        </w:numPr>
        <w:tabs>
          <w:tab w:val="clear" w:pos="360"/>
          <w:tab w:val="num" w:pos="426"/>
        </w:tabs>
        <w:ind w:left="426" w:hanging="426"/>
      </w:pPr>
      <w:r w:rsidRPr="007E39A7">
        <w:t>a lack of coordination of the implementation date for agreed regulations</w:t>
      </w:r>
      <w:r w:rsidR="00B71210">
        <w:t>.</w:t>
      </w:r>
    </w:p>
    <w:p w:rsidR="007E39A7" w:rsidRPr="007E39A7" w:rsidRDefault="007E39A7" w:rsidP="008A7FC0">
      <w:pPr>
        <w:pStyle w:val="ListParagraph"/>
        <w:numPr>
          <w:ilvl w:val="0"/>
          <w:numId w:val="3"/>
        </w:numPr>
        <w:tabs>
          <w:tab w:val="clear" w:pos="360"/>
          <w:tab w:val="num" w:pos="426"/>
        </w:tabs>
        <w:ind w:left="426" w:hanging="426"/>
      </w:pPr>
      <w:r w:rsidRPr="007E39A7">
        <w:t>jurisdictions implementing requirements that were more stringent than nationally agreed MEPS levels</w:t>
      </w:r>
      <w:r w:rsidR="00B71210">
        <w:t>.</w:t>
      </w:r>
    </w:p>
    <w:p w:rsidR="007E39A7" w:rsidRPr="007E39A7" w:rsidRDefault="007E39A7" w:rsidP="008A7FC0">
      <w:pPr>
        <w:pStyle w:val="ListParagraph"/>
        <w:numPr>
          <w:ilvl w:val="0"/>
          <w:numId w:val="3"/>
        </w:numPr>
        <w:tabs>
          <w:tab w:val="clear" w:pos="360"/>
          <w:tab w:val="num" w:pos="426"/>
        </w:tabs>
        <w:ind w:left="426" w:hanging="426"/>
      </w:pPr>
      <w:r w:rsidRPr="007E39A7">
        <w:t>differences in how registration, compliance and enforcement were dealt with between jurisdictions</w:t>
      </w:r>
      <w:r w:rsidR="00B71210">
        <w:t>.</w:t>
      </w:r>
    </w:p>
    <w:p w:rsidR="005918F4" w:rsidRDefault="005918F4" w:rsidP="00F740A0"/>
    <w:p w:rsidR="005918F4" w:rsidRDefault="005918F4">
      <w:pPr>
        <w:spacing w:after="0" w:line="240" w:lineRule="auto"/>
      </w:pPr>
      <w:r>
        <w:br w:type="page"/>
      </w:r>
    </w:p>
    <w:p w:rsidR="007E39A7" w:rsidRPr="007E39A7" w:rsidRDefault="007E39A7" w:rsidP="00F740A0">
      <w:r w:rsidRPr="007E39A7">
        <w:lastRenderedPageBreak/>
        <w:t>The 2015 Review found that:</w:t>
      </w:r>
    </w:p>
    <w:p w:rsidR="007E39A7" w:rsidRPr="009115F1" w:rsidRDefault="007E39A7">
      <w:pPr>
        <w:pStyle w:val="SbQuote"/>
      </w:pPr>
      <w:r w:rsidRPr="009115F1">
        <w:t>…in general, stakeholders felt that the GEMS scheme, as a national program compared to the previous multi-jurisdictional scheme, provides consistency within the market; is more economical to comply with, mainly due to reduced uncertainty and administrative burden; and is less confusing for consumers.</w:t>
      </w:r>
    </w:p>
    <w:p w:rsidR="008417C3" w:rsidRPr="00B5770B" w:rsidRDefault="008417C3">
      <w:pPr>
        <w:pStyle w:val="SbQuoteref"/>
      </w:pPr>
      <w:r w:rsidRPr="00B5770B">
        <w:t>2015 GEMS Review</w:t>
      </w:r>
    </w:p>
    <w:p w:rsidR="00BB2A67" w:rsidRDefault="007E39A7" w:rsidP="00F740A0">
      <w:r w:rsidRPr="007E39A7">
        <w:t>Coordination of implementation dates for agreed regulations</w:t>
      </w:r>
      <w:r w:rsidR="004B07F2">
        <w:t>,</w:t>
      </w:r>
      <w:r w:rsidRPr="007E39A7">
        <w:t xml:space="preserve"> and consistent stringency of MEPS levels</w:t>
      </w:r>
      <w:r w:rsidR="004B07F2">
        <w:t>,</w:t>
      </w:r>
      <w:r w:rsidRPr="007E39A7">
        <w:t xml:space="preserve"> were addressed by the introduction of national legislation. The establishment of the GEMS Act also removed differences in how registration, compliance</w:t>
      </w:r>
      <w:r w:rsidR="004A0A3E">
        <w:t>,</w:t>
      </w:r>
      <w:r w:rsidRPr="007E39A7">
        <w:t xml:space="preserve"> and enforcement were treated between jurisdictions. </w:t>
      </w:r>
      <w:r w:rsidR="00BB2A67">
        <w:t xml:space="preserve">However, </w:t>
      </w:r>
      <w:r w:rsidR="00BB2A67" w:rsidRPr="007E39A7">
        <w:t>to what extent these outcomes have led to an overall reduce</w:t>
      </w:r>
      <w:r w:rsidR="00BB2A67">
        <w:t>d regulatory burden on industry ha</w:t>
      </w:r>
      <w:r w:rsidR="004A0A3E">
        <w:t>s</w:t>
      </w:r>
      <w:r w:rsidR="00BB2A67">
        <w:t xml:space="preserve"> not been formally assessed.</w:t>
      </w:r>
    </w:p>
    <w:p w:rsidR="007E39A7" w:rsidRPr="007E39A7" w:rsidRDefault="007E39A7" w:rsidP="00F740A0">
      <w:r w:rsidRPr="007E39A7">
        <w:t xml:space="preserve">It is difficult to </w:t>
      </w:r>
      <w:r w:rsidR="0089011A">
        <w:t xml:space="preserve">determine the cost </w:t>
      </w:r>
      <w:r w:rsidRPr="007E39A7">
        <w:t xml:space="preserve">savings to industry as a result of the establishment of the GEMS Act. This is partly </w:t>
      </w:r>
      <w:r w:rsidR="004A0A3E">
        <w:t>due to</w:t>
      </w:r>
      <w:r w:rsidRPr="007E39A7">
        <w:t xml:space="preserve"> unavailability of data on </w:t>
      </w:r>
      <w:r w:rsidR="00B232CC">
        <w:t>the regulatory costs</w:t>
      </w:r>
      <w:r w:rsidRPr="007E39A7">
        <w:t xml:space="preserve"> under the multi-jurisdictional scheme.</w:t>
      </w:r>
      <w:r w:rsidRPr="007E39A7">
        <w:rPr>
          <w:i/>
        </w:rPr>
        <w:t xml:space="preserve"> </w:t>
      </w:r>
      <w:r w:rsidRPr="007E39A7">
        <w:t>However, the third annual survey of users of GEMS registration and enquiry services, conducted at the beginning of May 2018, showed an overall satisfaction with GEMS registration and/or enquiries of 82 per cent.</w:t>
      </w:r>
    </w:p>
    <w:p w:rsidR="007E39A7" w:rsidRPr="009115F1" w:rsidRDefault="007E39A7">
      <w:pPr>
        <w:pStyle w:val="SbQuote"/>
      </w:pPr>
      <w:r w:rsidRPr="009115F1">
        <w:t>When asked about product registration and/or the enquiry process… respondents consistently recorded higher satisfaction scores than 2016-17 with 12 per cent more respondents agreeing the product registration process was improving over time and communication with the enquiry team was clear, accurate and relevant (up from 64 to 76 per cent and 76 to 87 per cent respectively). Ease of use of the registration system, enquiry resolution time and enquiry handling professionalism were all up nine per cent. A new question, agreement with the statement ‘The time it takes to complete a registration application is reasonable’, recorded a satisfaction level of 77 per cent.</w:t>
      </w:r>
    </w:p>
    <w:p w:rsidR="007E39A7" w:rsidRPr="00AD0830" w:rsidRDefault="007E39A7">
      <w:pPr>
        <w:pStyle w:val="SbQuoteref"/>
      </w:pPr>
      <w:r w:rsidRPr="00AD0830">
        <w:t xml:space="preserve">GEMS Stakeholder Satisfaction Survey – 2017-18 </w:t>
      </w:r>
    </w:p>
    <w:p w:rsidR="007E39A7" w:rsidRPr="00E055FD" w:rsidRDefault="007E39A7" w:rsidP="00E055FD">
      <w:r w:rsidRPr="00E055FD">
        <w:t>The survey also showed an increase in satisfaction with compliance and monitoring.</w:t>
      </w:r>
    </w:p>
    <w:p w:rsidR="007E39A7" w:rsidRPr="009115F1" w:rsidRDefault="007E39A7">
      <w:pPr>
        <w:pStyle w:val="SbQuote"/>
      </w:pPr>
      <w:r w:rsidRPr="009115F1">
        <w:t>An average of 64 per cent of respondents agreed with positive statements about compliance and monitoring activities, up from 58 per cent. There were improvements in all measures with the exception of levels of education and engagement being appropriate. The greatest improvement, 10 per cent, was recorded for compliance activities taking into consideration the operational needs of regulated businesses</w:t>
      </w:r>
      <w:r w:rsidR="00717522" w:rsidRPr="009115F1">
        <w:t>.</w:t>
      </w:r>
    </w:p>
    <w:p w:rsidR="007E39A7" w:rsidRPr="00E055FD" w:rsidRDefault="007E39A7">
      <w:pPr>
        <w:pStyle w:val="SbQuoteref"/>
      </w:pPr>
      <w:r w:rsidRPr="00E055FD">
        <w:t xml:space="preserve">GEMS Stakeholder Satisfaction Survey – 2017-18 </w:t>
      </w:r>
    </w:p>
    <w:p w:rsidR="007E39A7" w:rsidRPr="00E055FD" w:rsidRDefault="007E39A7" w:rsidP="00E055FD">
      <w:r w:rsidRPr="00E055FD">
        <w:t xml:space="preserve">Submissions to this review have generally expressed support for a national scheme over the previous scheme. </w:t>
      </w:r>
    </w:p>
    <w:p w:rsidR="007E39A7" w:rsidRPr="009115F1" w:rsidRDefault="007E39A7">
      <w:pPr>
        <w:pStyle w:val="SbQuote"/>
      </w:pPr>
      <w:r w:rsidRPr="009115F1">
        <w:t>Given that the Act replaced a series of state and territory Acts and regulations then its great strength is the national harmonisation of energy policy implementation in Australia.</w:t>
      </w:r>
    </w:p>
    <w:p w:rsidR="007E39A7" w:rsidRPr="00E055FD" w:rsidRDefault="007E39A7">
      <w:pPr>
        <w:pStyle w:val="SbQuoteref"/>
      </w:pPr>
      <w:r w:rsidRPr="00E055FD">
        <w:t>The Australian Industry Group</w:t>
      </w:r>
      <w:r w:rsidR="00BF4C62">
        <w:t xml:space="preserve"> (AiGroup)</w:t>
      </w:r>
      <w:r w:rsidRPr="00E055FD">
        <w:t>, 2018</w:t>
      </w:r>
    </w:p>
    <w:p w:rsidR="007E39A7" w:rsidRDefault="007E39A7" w:rsidP="00E055FD">
      <w:r w:rsidRPr="00E055FD">
        <w:t>The nationally-consistent approach of the GEMS Act aids Australia’s partnership with New Zealand on E3, facilitating trade and achieving administrative efficiencies for both governments.</w:t>
      </w:r>
    </w:p>
    <w:p w:rsidR="007C46F9" w:rsidRPr="009115F1" w:rsidRDefault="007C46F9">
      <w:pPr>
        <w:pStyle w:val="SbQuote"/>
      </w:pPr>
      <w:r w:rsidRPr="009115F1">
        <w:t>We see the ongoing trans-Tasman cooperation and regulatory alignment that we can achieve through the E3 programme as b</w:t>
      </w:r>
      <w:r w:rsidR="00E055FD" w:rsidRPr="009115F1">
        <w:t>eing mutually beneficial to New </w:t>
      </w:r>
      <w:r w:rsidRPr="009115F1">
        <w:t xml:space="preserve">Zealand and </w:t>
      </w:r>
      <w:r w:rsidRPr="009115F1">
        <w:lastRenderedPageBreak/>
        <w:t>Australia as it facilitates trade, reduces business costs, and achieves administrative efficiencies for both governments.</w:t>
      </w:r>
    </w:p>
    <w:p w:rsidR="007C46F9" w:rsidRPr="00E055FD" w:rsidRDefault="007C46F9">
      <w:pPr>
        <w:pStyle w:val="SbQuoteref"/>
      </w:pPr>
      <w:r w:rsidRPr="00E055FD">
        <w:t>Energy Efficiency and Conservation Authority (EECA), New Zealand, 2018</w:t>
      </w:r>
    </w:p>
    <w:p w:rsidR="007E39A7" w:rsidRPr="00C743A5" w:rsidRDefault="007E39A7" w:rsidP="00E055FD">
      <w:pPr>
        <w:rPr>
          <w:b/>
          <w:bCs/>
        </w:rPr>
      </w:pPr>
      <w:r w:rsidRPr="00E055FD">
        <w:t>The 2015 GEMS Review contained key recommendations to further streamline the</w:t>
      </w:r>
      <w:r w:rsidRPr="00B70820">
        <w:t xml:space="preserve"> operation of the GEMS Act and to </w:t>
      </w:r>
      <w:r w:rsidRPr="00F740A0">
        <w:t>minimise regulatory costs on industry.</w:t>
      </w:r>
      <w:r w:rsidRPr="005F3AF8">
        <w:t xml:space="preserve"> </w:t>
      </w:r>
      <w:r w:rsidR="00F25EB7" w:rsidRPr="00F740A0">
        <w:t xml:space="preserve">E3 </w:t>
      </w:r>
      <w:r w:rsidRPr="005F3AF8">
        <w:t>has led many actions to address these recommendations. These include updating the registration system to simplify the process, and moves to increase international harmonisation (for both test methods and energy efficiency standards)</w:t>
      </w:r>
      <w:r w:rsidR="00F25EB7" w:rsidRPr="00F740A0">
        <w:t xml:space="preserve"> (</w:t>
      </w:r>
      <w:r w:rsidRPr="00F25EB7">
        <w:t xml:space="preserve">see </w:t>
      </w:r>
      <w:r w:rsidR="00085440" w:rsidRPr="00C743A5">
        <w:rPr>
          <w:b/>
          <w:bCs/>
        </w:rPr>
        <w:t xml:space="preserve">Appendix </w:t>
      </w:r>
      <w:r w:rsidR="00BB2A67" w:rsidRPr="00C743A5">
        <w:rPr>
          <w:b/>
          <w:bCs/>
        </w:rPr>
        <w:t>B</w:t>
      </w:r>
      <w:r w:rsidR="00F25EB7" w:rsidRPr="00F740A0">
        <w:t>)</w:t>
      </w:r>
      <w:r w:rsidRPr="005F3AF8">
        <w:t>.</w:t>
      </w:r>
      <w:r w:rsidR="004C5332">
        <w:t xml:space="preserve"> </w:t>
      </w:r>
    </w:p>
    <w:p w:rsidR="007E39A7" w:rsidRPr="00240A12" w:rsidRDefault="007E39A7" w:rsidP="00E055FD">
      <w:pPr>
        <w:pStyle w:val="Heading2"/>
      </w:pPr>
      <w:bookmarkStart w:id="54" w:name="_Toc517621141"/>
      <w:bookmarkStart w:id="55" w:name="_Toc18660983"/>
      <w:r w:rsidRPr="00501828">
        <w:t>4.3</w:t>
      </w:r>
      <w:r w:rsidRPr="00501828">
        <w:tab/>
        <w:t>Saving energy and reducing greenhouse gas emissions</w:t>
      </w:r>
      <w:bookmarkEnd w:id="54"/>
      <w:bookmarkEnd w:id="55"/>
    </w:p>
    <w:p w:rsidR="007E39A7" w:rsidRPr="007E39A7" w:rsidRDefault="007E39A7" w:rsidP="00E055FD">
      <w:r w:rsidRPr="007E39A7">
        <w:t>Along with establishing national legislation to regulate energy efficiency standards for appliances and other products, the purpose of the GEMS Act is to help Australians save energy and thereby reduce energy bills and greenhouse gas emissions.</w:t>
      </w:r>
    </w:p>
    <w:p w:rsidR="007E39A7" w:rsidRPr="009115F1" w:rsidRDefault="007E39A7">
      <w:pPr>
        <w:pStyle w:val="SbQuote"/>
      </w:pPr>
      <w:r w:rsidRPr="009115F1">
        <w:t>Minimum standards also improve the security and affordability of energy systems, as energy efficiency is generally the cost form of ‘capacity’ in energy markets. For example, minimum standards for fridges reduce Australia’s electricity demand by over 500 MW, 24 hours a day, 365 days a year.</w:t>
      </w:r>
      <w:r w:rsidR="00341EFA" w:rsidRPr="002711E8">
        <w:rPr>
          <w:color w:val="243F60"/>
          <w:vertAlign w:val="superscript"/>
        </w:rPr>
        <w:footnoteReference w:id="13"/>
      </w:r>
      <w:r w:rsidRPr="009115F1">
        <w:t xml:space="preserve"> This ‘baseload’ capacity is the equivalent of half of the output of the now retired Hazelwood coal-fired generator and has a negative cost to consumers.</w:t>
      </w:r>
      <w:r w:rsidRPr="002711E8">
        <w:rPr>
          <w:color w:val="243F60"/>
          <w:vertAlign w:val="superscript"/>
        </w:rPr>
        <w:footnoteReference w:id="14"/>
      </w:r>
    </w:p>
    <w:p w:rsidR="007E39A7" w:rsidRPr="005942FF" w:rsidRDefault="007E39A7">
      <w:pPr>
        <w:pStyle w:val="SbQuoteref"/>
        <w:rPr>
          <w:b/>
        </w:rPr>
      </w:pPr>
      <w:r w:rsidRPr="007E39A7">
        <w:t>Energy Efficiency Council, 2018</w:t>
      </w:r>
    </w:p>
    <w:p w:rsidR="007E39A7" w:rsidRPr="007E39A7" w:rsidRDefault="007E39A7" w:rsidP="00E055FD">
      <w:r w:rsidRPr="007E39A7">
        <w:t xml:space="preserve">GEMS regulations save the average Australian household between $140 and $220 on their electricity bill each year (about 10 to 15 per cent of the average annual bill). The bulk of the benefits of GEMS regulations for households are delivered through appliances such as air conditioners, lighting and refrigerators. See </w:t>
      </w:r>
      <w:r w:rsidRPr="00C743A5">
        <w:rPr>
          <w:b/>
          <w:bCs/>
        </w:rPr>
        <w:t>Box 2</w:t>
      </w:r>
      <w:r w:rsidRPr="007E39A7">
        <w:t xml:space="preserve"> for examples of the type of household savings on energy bills resulting from GEMS regulations. </w:t>
      </w:r>
    </w:p>
    <w:p w:rsidR="007E39A7" w:rsidRPr="009115F1" w:rsidRDefault="007E39A7">
      <w:pPr>
        <w:pStyle w:val="SbQuote"/>
        <w:rPr>
          <w:lang w:eastAsia="en-AU"/>
        </w:rPr>
      </w:pPr>
      <w:r w:rsidRPr="009115F1">
        <w:rPr>
          <w:lang w:eastAsia="en-AU"/>
        </w:rPr>
        <w:t>The GEMS Act is key to helping Australian consumers make informed choices concerning their energy usage… The implementation of a recognisable star rating system has been important for raising awareness of energy usage more broadly.</w:t>
      </w:r>
    </w:p>
    <w:p w:rsidR="007E39A7" w:rsidRDefault="007E39A7">
      <w:pPr>
        <w:pStyle w:val="SbQuoteref"/>
      </w:pPr>
      <w:r>
        <w:t>C</w:t>
      </w:r>
      <w:r w:rsidRPr="007E39A7">
        <w:t>hoice, 2018</w:t>
      </w:r>
    </w:p>
    <w:p w:rsidR="00217D46" w:rsidRPr="007E39A7" w:rsidRDefault="00217D46" w:rsidP="00217D46">
      <w:r w:rsidRPr="007E39A7">
        <w:t>The Department</w:t>
      </w:r>
      <w:r>
        <w:t xml:space="preserve"> of the Environment and Energy</w:t>
      </w:r>
      <w:r w:rsidRPr="007E39A7">
        <w:t xml:space="preserve"> has calculated the benefits </w:t>
      </w:r>
      <w:r>
        <w:t>to date</w:t>
      </w:r>
      <w:r w:rsidRPr="007E39A7">
        <w:t xml:space="preserve"> and </w:t>
      </w:r>
      <w:r>
        <w:t xml:space="preserve">the </w:t>
      </w:r>
      <w:r w:rsidRPr="007E39A7">
        <w:t>benefits projected to be delivered by E3</w:t>
      </w:r>
      <w:r>
        <w:t>:</w:t>
      </w:r>
    </w:p>
    <w:p w:rsidR="00217D46" w:rsidRPr="00CC3592" w:rsidRDefault="00217D46" w:rsidP="008A7FC0">
      <w:pPr>
        <w:pStyle w:val="ListParagraph"/>
        <w:numPr>
          <w:ilvl w:val="0"/>
          <w:numId w:val="3"/>
        </w:numPr>
        <w:tabs>
          <w:tab w:val="clear" w:pos="360"/>
          <w:tab w:val="num" w:pos="426"/>
        </w:tabs>
        <w:ind w:left="426" w:hanging="426"/>
      </w:pPr>
      <w:r w:rsidRPr="007E39A7">
        <w:t xml:space="preserve">Between 2000 and 2014, E3 delivered a net benefit to consumers of between </w:t>
      </w:r>
      <w:r w:rsidRPr="00CC3592">
        <w:t xml:space="preserve">$4.3 and $7.8 billion. The program also reduced Australia’s </w:t>
      </w:r>
      <w:r w:rsidR="002E1BF0" w:rsidRPr="00CC3592">
        <w:t xml:space="preserve">greenhouse gas </w:t>
      </w:r>
      <w:r w:rsidRPr="00CC3592">
        <w:t xml:space="preserve">emissions by between 23 and 35 million tonnes. </w:t>
      </w:r>
    </w:p>
    <w:p w:rsidR="00217D46" w:rsidRPr="00CC3592" w:rsidRDefault="00217D46" w:rsidP="008A7FC0">
      <w:pPr>
        <w:pStyle w:val="ListParagraph"/>
        <w:numPr>
          <w:ilvl w:val="0"/>
          <w:numId w:val="3"/>
        </w:numPr>
        <w:tabs>
          <w:tab w:val="clear" w:pos="360"/>
          <w:tab w:val="num" w:pos="426"/>
        </w:tabs>
        <w:ind w:left="426" w:hanging="426"/>
      </w:pPr>
      <w:r w:rsidRPr="00CC3592">
        <w:t>From 2015 to 2020, current GEMS regulations are projected to deliver a further net benefit of between $5.1 and $11 billion. In this same period, the program is projected to deliver between 27 and 44 million tonnes of greenhouse gas emissions savings.</w:t>
      </w:r>
    </w:p>
    <w:p w:rsidR="00217D46" w:rsidRPr="00CC3592" w:rsidRDefault="00217D46" w:rsidP="008A7FC0">
      <w:pPr>
        <w:pStyle w:val="ListParagraph"/>
        <w:numPr>
          <w:ilvl w:val="0"/>
          <w:numId w:val="3"/>
        </w:numPr>
        <w:tabs>
          <w:tab w:val="clear" w:pos="360"/>
          <w:tab w:val="num" w:pos="426"/>
        </w:tabs>
        <w:ind w:left="426" w:hanging="426"/>
      </w:pPr>
      <w:r w:rsidRPr="00CC3592">
        <w:lastRenderedPageBreak/>
        <w:t>In 201</w:t>
      </w:r>
      <w:r w:rsidR="0090226E">
        <w:t>8</w:t>
      </w:r>
      <w:r w:rsidRPr="00CC3592">
        <w:t>, the net savings of GEMS regulations to the Australian economy range</w:t>
      </w:r>
      <w:r w:rsidR="002E1BF0" w:rsidRPr="00CC3592">
        <w:t>d between</w:t>
      </w:r>
      <w:r w:rsidRPr="00CC3592">
        <w:t xml:space="preserve"> $</w:t>
      </w:r>
      <w:r w:rsidR="0090226E">
        <w:t>1.13</w:t>
      </w:r>
      <w:r w:rsidRPr="00CC3592">
        <w:t> </w:t>
      </w:r>
      <w:r w:rsidR="00A81BB3">
        <w:t>and</w:t>
      </w:r>
      <w:r w:rsidRPr="00CC3592">
        <w:t xml:space="preserve"> $</w:t>
      </w:r>
      <w:r w:rsidR="0090226E">
        <w:t>2.15</w:t>
      </w:r>
      <w:r w:rsidRPr="00CC3592">
        <w:t> billion with greenhouse gas emissions savings of between 4.</w:t>
      </w:r>
      <w:r w:rsidR="0090226E">
        <w:t>8</w:t>
      </w:r>
      <w:r w:rsidRPr="00CC3592">
        <w:t xml:space="preserve"> and 7.</w:t>
      </w:r>
      <w:r w:rsidR="0090226E">
        <w:t>6</w:t>
      </w:r>
      <w:r w:rsidRPr="00CC3592">
        <w:t xml:space="preserve"> million tonnes. That is the equivalent of half of Queensland’s annual household emissions. </w:t>
      </w:r>
    </w:p>
    <w:p w:rsidR="00217D46" w:rsidRDefault="00217D46" w:rsidP="008A7FC0">
      <w:pPr>
        <w:pStyle w:val="ListParagraph"/>
        <w:numPr>
          <w:ilvl w:val="0"/>
          <w:numId w:val="3"/>
        </w:numPr>
        <w:tabs>
          <w:tab w:val="clear" w:pos="360"/>
          <w:tab w:val="num" w:pos="426"/>
        </w:tabs>
        <w:ind w:left="426" w:hanging="426"/>
      </w:pPr>
      <w:r w:rsidRPr="00CC3592">
        <w:t xml:space="preserve">Over the 2020 emissions reduction period, current GEMS regulations are expected to deliver between 50 and 79 million tonnes of greenhouse gas emissions savings, which equates to </w:t>
      </w:r>
      <w:r w:rsidR="00E04C35" w:rsidRPr="00CC3592">
        <w:t xml:space="preserve">9 </w:t>
      </w:r>
      <w:r w:rsidRPr="00CC3592">
        <w:t>to 15 per cent of Australia’s 2020 emissions reduction target.</w:t>
      </w:r>
    </w:p>
    <w:p w:rsidR="009B5D21" w:rsidRDefault="001B3908" w:rsidP="008A7FC0">
      <w:pPr>
        <w:pStyle w:val="ListParagraph"/>
        <w:numPr>
          <w:ilvl w:val="0"/>
          <w:numId w:val="3"/>
        </w:numPr>
        <w:tabs>
          <w:tab w:val="clear" w:pos="360"/>
          <w:tab w:val="num" w:pos="426"/>
        </w:tabs>
        <w:ind w:left="426" w:hanging="426"/>
      </w:pPr>
      <w:r>
        <w:t>McKinsey</w:t>
      </w:r>
      <w:r>
        <w:rPr>
          <w:rStyle w:val="FootnoteReference"/>
        </w:rPr>
        <w:footnoteReference w:id="15"/>
      </w:r>
      <w:r>
        <w:t xml:space="preserve"> identified appliance energy efficiency</w:t>
      </w:r>
      <w:r w:rsidR="004E1049">
        <w:t xml:space="preserve"> measures</w:t>
      </w:r>
      <w:r>
        <w:t xml:space="preserve"> as</w:t>
      </w:r>
      <w:r w:rsidR="004E1049">
        <w:t xml:space="preserve"> a</w:t>
      </w:r>
      <w:r>
        <w:t xml:space="preserve"> </w:t>
      </w:r>
      <w:r w:rsidR="005E6BA1">
        <w:t>negative</w:t>
      </w:r>
      <w:r>
        <w:t xml:space="preserve"> cost source of abatement.</w:t>
      </w:r>
      <w:r w:rsidR="005E6BA1">
        <w:t xml:space="preserve"> The Department estimates that GEMS regulations to date </w:t>
      </w:r>
      <w:r w:rsidR="008667D7">
        <w:t>have provided emissions abatement at</w:t>
      </w:r>
      <w:r w:rsidR="005E6BA1">
        <w:t xml:space="preserve"> a negative cost of around $200/tonne.</w:t>
      </w:r>
    </w:p>
    <w:p w:rsidR="007E39A7" w:rsidRPr="007E39A7" w:rsidRDefault="002F301D" w:rsidP="00F740A0">
      <w:pPr>
        <w:rPr>
          <w:rFonts w:cs="Arial"/>
          <w:lang w:eastAsia="en-AU"/>
        </w:rPr>
      </w:pPr>
      <w:r>
        <w:rPr>
          <w:noProof/>
          <w:lang w:eastAsia="en-AU"/>
        </w:rPr>
        <mc:AlternateContent>
          <mc:Choice Requires="wps">
            <w:drawing>
              <wp:inline distT="0" distB="0" distL="0" distR="0">
                <wp:extent cx="5849620" cy="3159125"/>
                <wp:effectExtent l="0" t="0" r="5080" b="317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49620" cy="3159125"/>
                        </a:xfrm>
                        <a:prstGeom prst="rect">
                          <a:avLst/>
                        </a:prstGeom>
                        <a:noFill/>
                        <a:ln w="9525">
                          <a:solidFill>
                            <a:srgbClr val="000000"/>
                          </a:solidFill>
                          <a:miter lim="800000"/>
                          <a:headEnd/>
                          <a:tailEnd/>
                        </a:ln>
                      </wps:spPr>
                      <wps:txbx>
                        <w:txbxContent>
                          <w:p w:rsidR="00646A05" w:rsidRPr="004E675B" w:rsidRDefault="00646A05" w:rsidP="00522FE5">
                            <w:pPr>
                              <w:rPr>
                                <w:rStyle w:val="Emphasis"/>
                                <w:sz w:val="22"/>
                              </w:rPr>
                            </w:pPr>
                            <w:r w:rsidRPr="004E675B">
                              <w:rPr>
                                <w:rStyle w:val="Emphasis"/>
                                <w:sz w:val="22"/>
                              </w:rPr>
                              <w:t>Box 2: Examples of potential household savings using GEMS information</w:t>
                            </w:r>
                          </w:p>
                          <w:p w:rsidR="00646A05" w:rsidRPr="004E675B" w:rsidRDefault="00646A05" w:rsidP="00240A12">
                            <w:pPr>
                              <w:rPr>
                                <w:sz w:val="22"/>
                              </w:rPr>
                            </w:pPr>
                            <w:r w:rsidRPr="004E675B">
                              <w:rPr>
                                <w:sz w:val="22"/>
                              </w:rPr>
                              <w:t xml:space="preserve">Purchasing appliances that are more energy efficient may cost more upfront but they can save consumers money in the long term. For example: </w:t>
                            </w:r>
                          </w:p>
                          <w:p w:rsidR="00646A05" w:rsidRPr="004E675B" w:rsidRDefault="00646A05" w:rsidP="008A7FC0">
                            <w:pPr>
                              <w:pStyle w:val="ListParagraph"/>
                              <w:numPr>
                                <w:ilvl w:val="0"/>
                                <w:numId w:val="8"/>
                              </w:numPr>
                              <w:ind w:left="426" w:hanging="426"/>
                              <w:rPr>
                                <w:sz w:val="22"/>
                              </w:rPr>
                            </w:pPr>
                            <w:r w:rsidRPr="004E675B">
                              <w:rPr>
                                <w:sz w:val="22"/>
                              </w:rPr>
                              <w:t>For an upfront cost of an additional $366, a family using an 8kg clothes dryer twice a week could save $1150 over 10 years by using a 7 star dryer (e.g. a heat pump dryer) over a 2 star dryer (e.g. a condenser dryer).</w:t>
                            </w:r>
                          </w:p>
                          <w:p w:rsidR="00646A05" w:rsidRPr="004E675B" w:rsidRDefault="00646A05" w:rsidP="008A7FC0">
                            <w:pPr>
                              <w:pStyle w:val="ListParagraph"/>
                              <w:numPr>
                                <w:ilvl w:val="0"/>
                                <w:numId w:val="8"/>
                              </w:numPr>
                              <w:ind w:left="426" w:hanging="426"/>
                              <w:rPr>
                                <w:sz w:val="22"/>
                              </w:rPr>
                            </w:pPr>
                            <w:r w:rsidRPr="004E675B">
                              <w:rPr>
                                <w:sz w:val="22"/>
                              </w:rPr>
                              <w:t>Purchasing an 8 star swimming pool pump, w</w:t>
                            </w:r>
                            <w:r>
                              <w:rPr>
                                <w:sz w:val="22"/>
                              </w:rPr>
                              <w:t>ould</w:t>
                            </w:r>
                            <w:r w:rsidRPr="004E675B">
                              <w:rPr>
                                <w:sz w:val="22"/>
                              </w:rPr>
                              <w:t xml:space="preserve"> likely cost an additional $360 compared </w:t>
                            </w:r>
                            <w:r>
                              <w:rPr>
                                <w:sz w:val="22"/>
                              </w:rPr>
                              <w:t>with</w:t>
                            </w:r>
                            <w:r w:rsidRPr="004E675B">
                              <w:rPr>
                                <w:sz w:val="22"/>
                              </w:rPr>
                              <w:t xml:space="preserve"> a 2 star pump. However, the </w:t>
                            </w:r>
                            <w:r>
                              <w:rPr>
                                <w:sz w:val="22"/>
                              </w:rPr>
                              <w:t>2</w:t>
                            </w:r>
                            <w:r w:rsidRPr="004E675B">
                              <w:rPr>
                                <w:sz w:val="22"/>
                              </w:rPr>
                              <w:t xml:space="preserve"> star pump </w:t>
                            </w:r>
                            <w:r>
                              <w:rPr>
                                <w:sz w:val="22"/>
                              </w:rPr>
                              <w:t xml:space="preserve">would use more electricity to run compared to an </w:t>
                            </w:r>
                            <w:r w:rsidRPr="004E675B">
                              <w:rPr>
                                <w:sz w:val="22"/>
                              </w:rPr>
                              <w:t>8 star</w:t>
                            </w:r>
                            <w:r>
                              <w:rPr>
                                <w:sz w:val="22"/>
                              </w:rPr>
                              <w:t xml:space="preserve"> pump,</w:t>
                            </w:r>
                            <w:r w:rsidRPr="004E675B">
                              <w:rPr>
                                <w:sz w:val="22"/>
                              </w:rPr>
                              <w:t xml:space="preserve"> </w:t>
                            </w:r>
                            <w:r>
                              <w:rPr>
                                <w:sz w:val="22"/>
                              </w:rPr>
                              <w:t xml:space="preserve">costing an additional </w:t>
                            </w:r>
                            <w:r w:rsidRPr="004E675B">
                              <w:rPr>
                                <w:sz w:val="22"/>
                              </w:rPr>
                              <w:t>$540 per</w:t>
                            </w:r>
                            <w:r>
                              <w:rPr>
                                <w:sz w:val="22"/>
                              </w:rPr>
                              <w:t xml:space="preserve"> year</w:t>
                            </w:r>
                            <w:r w:rsidRPr="004E675B">
                              <w:rPr>
                                <w:sz w:val="22"/>
                              </w:rPr>
                              <w:t xml:space="preserve">. </w:t>
                            </w:r>
                          </w:p>
                          <w:p w:rsidR="00646A05" w:rsidRPr="004E675B" w:rsidRDefault="00646A05" w:rsidP="008A7FC0">
                            <w:pPr>
                              <w:pStyle w:val="ListParagraph"/>
                              <w:numPr>
                                <w:ilvl w:val="0"/>
                                <w:numId w:val="8"/>
                              </w:numPr>
                              <w:ind w:left="426" w:hanging="426"/>
                              <w:rPr>
                                <w:sz w:val="22"/>
                              </w:rPr>
                            </w:pPr>
                            <w:r w:rsidRPr="004E675B">
                              <w:rPr>
                                <w:sz w:val="22"/>
                              </w:rPr>
                              <w:t>A 4 star 600L fridge, on average, could save</w:t>
                            </w:r>
                            <w:r>
                              <w:rPr>
                                <w:sz w:val="22"/>
                              </w:rPr>
                              <w:t xml:space="preserve"> a</w:t>
                            </w:r>
                            <w:r w:rsidRPr="004E675B">
                              <w:rPr>
                                <w:sz w:val="22"/>
                              </w:rPr>
                              <w:t xml:space="preserve"> household $260 over </w:t>
                            </w:r>
                            <w:r>
                              <w:rPr>
                                <w:sz w:val="22"/>
                              </w:rPr>
                              <w:t>its</w:t>
                            </w:r>
                            <w:r w:rsidRPr="004E675B">
                              <w:rPr>
                                <w:sz w:val="22"/>
                              </w:rPr>
                              <w:t xml:space="preserve"> lifetime compared to a 3 star fridge.</w:t>
                            </w:r>
                          </w:p>
                          <w:p w:rsidR="00646A05" w:rsidRPr="004E675B" w:rsidRDefault="00646A05" w:rsidP="008A7FC0">
                            <w:pPr>
                              <w:pStyle w:val="ListParagraph"/>
                              <w:numPr>
                                <w:ilvl w:val="0"/>
                                <w:numId w:val="8"/>
                              </w:numPr>
                              <w:rPr>
                                <w:sz w:val="22"/>
                              </w:rPr>
                            </w:pPr>
                            <w:r w:rsidRPr="000A5B03">
                              <w:rPr>
                                <w:sz w:val="22"/>
                              </w:rPr>
                              <w:t>The phase out of incandescent light bulbs, which commenced in 2009, is saving the average household about $70 per annum.</w:t>
                            </w: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 o:spid="_x0000_s1027" type="#_x0000_t202" style="width:460.6pt;height:2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" filled="f">
                <v:path arrowok="t"/>
                <v:textbox>
                  <w:txbxContent>
                    <w:p w:rsidR="00646A05" w:rsidRPr="004E675B" w:rsidRDefault="00646A05" w:rsidP="00522FE5">
                      <w:pPr>
                        <w:rPr>
                          <w:rStyle w:val="Emphasis"/>
                          <w:sz w:val="22"/>
                        </w:rPr>
                      </w:pPr>
                      <w:r w:rsidRPr="004E675B">
                        <w:rPr>
                          <w:rStyle w:val="Emphasis"/>
                          <w:sz w:val="22"/>
                        </w:rPr>
                        <w:t>Box 2: Examples of potential household savings using GEMS information</w:t>
                      </w:r>
                    </w:p>
                    <w:p w:rsidR="00646A05" w:rsidRPr="004E675B" w:rsidRDefault="00646A05" w:rsidP="00240A12">
                      <w:pPr>
                        <w:rPr>
                          <w:sz w:val="22"/>
                        </w:rPr>
                      </w:pPr>
                      <w:r w:rsidRPr="004E675B">
                        <w:rPr>
                          <w:sz w:val="22"/>
                        </w:rPr>
                        <w:t xml:space="preserve">Purchasing appliances that are more energy efficient may cost more upfront but they can save consumers money in the long term. For example: </w:t>
                      </w:r>
                    </w:p>
                    <w:p w:rsidR="00646A05" w:rsidRPr="004E675B" w:rsidRDefault="00646A05" w:rsidP="008A7FC0">
                      <w:pPr>
                        <w:pStyle w:val="ListParagraph"/>
                        <w:numPr>
                          <w:ilvl w:val="0"/>
                          <w:numId w:val="8"/>
                        </w:numPr>
                        <w:ind w:left="426" w:hanging="426"/>
                        <w:rPr>
                          <w:sz w:val="22"/>
                        </w:rPr>
                      </w:pPr>
                      <w:r w:rsidRPr="004E675B">
                        <w:rPr>
                          <w:sz w:val="22"/>
                        </w:rPr>
                        <w:t>For an upfront cost of an additional $366, a family using an 8kg clothes dryer twice a week could save $1150 over 10 years by using a 7 star dryer (e.g. a heat pump dryer) over a 2 star dryer (e.g. a condenser dryer).</w:t>
                      </w:r>
                    </w:p>
                    <w:p w:rsidR="00646A05" w:rsidRPr="004E675B" w:rsidRDefault="00646A05" w:rsidP="008A7FC0">
                      <w:pPr>
                        <w:pStyle w:val="ListParagraph"/>
                        <w:numPr>
                          <w:ilvl w:val="0"/>
                          <w:numId w:val="8"/>
                        </w:numPr>
                        <w:ind w:left="426" w:hanging="426"/>
                        <w:rPr>
                          <w:sz w:val="22"/>
                        </w:rPr>
                      </w:pPr>
                      <w:r w:rsidRPr="004E675B">
                        <w:rPr>
                          <w:sz w:val="22"/>
                        </w:rPr>
                        <w:t>Purchasing an 8 star swimming pool pump, w</w:t>
                      </w:r>
                      <w:r>
                        <w:rPr>
                          <w:sz w:val="22"/>
                        </w:rPr>
                        <w:t>ould</w:t>
                      </w:r>
                      <w:r w:rsidRPr="004E675B">
                        <w:rPr>
                          <w:sz w:val="22"/>
                        </w:rPr>
                        <w:t xml:space="preserve"> likely cost an additional $360 compared </w:t>
                      </w:r>
                      <w:r>
                        <w:rPr>
                          <w:sz w:val="22"/>
                        </w:rPr>
                        <w:t>with</w:t>
                      </w:r>
                      <w:r w:rsidRPr="004E675B">
                        <w:rPr>
                          <w:sz w:val="22"/>
                        </w:rPr>
                        <w:t xml:space="preserve"> a 2 star pump. However, the </w:t>
                      </w:r>
                      <w:r>
                        <w:rPr>
                          <w:sz w:val="22"/>
                        </w:rPr>
                        <w:t>2</w:t>
                      </w:r>
                      <w:r w:rsidRPr="004E675B">
                        <w:rPr>
                          <w:sz w:val="22"/>
                        </w:rPr>
                        <w:t xml:space="preserve"> star pump </w:t>
                      </w:r>
                      <w:r>
                        <w:rPr>
                          <w:sz w:val="22"/>
                        </w:rPr>
                        <w:t xml:space="preserve">would use more electricity to run compared to an </w:t>
                      </w:r>
                      <w:r w:rsidRPr="004E675B">
                        <w:rPr>
                          <w:sz w:val="22"/>
                        </w:rPr>
                        <w:t>8 star</w:t>
                      </w:r>
                      <w:r>
                        <w:rPr>
                          <w:sz w:val="22"/>
                        </w:rPr>
                        <w:t xml:space="preserve"> pump,</w:t>
                      </w:r>
                      <w:r w:rsidRPr="004E675B">
                        <w:rPr>
                          <w:sz w:val="22"/>
                        </w:rPr>
                        <w:t xml:space="preserve"> </w:t>
                      </w:r>
                      <w:r>
                        <w:rPr>
                          <w:sz w:val="22"/>
                        </w:rPr>
                        <w:t xml:space="preserve">costing an additional </w:t>
                      </w:r>
                      <w:r w:rsidRPr="004E675B">
                        <w:rPr>
                          <w:sz w:val="22"/>
                        </w:rPr>
                        <w:t>$540 per</w:t>
                      </w:r>
                      <w:r>
                        <w:rPr>
                          <w:sz w:val="22"/>
                        </w:rPr>
                        <w:t xml:space="preserve"> year</w:t>
                      </w:r>
                      <w:r w:rsidRPr="004E675B">
                        <w:rPr>
                          <w:sz w:val="22"/>
                        </w:rPr>
                        <w:t xml:space="preserve">. </w:t>
                      </w:r>
                    </w:p>
                    <w:p w:rsidR="00646A05" w:rsidRPr="004E675B" w:rsidRDefault="00646A05" w:rsidP="008A7FC0">
                      <w:pPr>
                        <w:pStyle w:val="ListParagraph"/>
                        <w:numPr>
                          <w:ilvl w:val="0"/>
                          <w:numId w:val="8"/>
                        </w:numPr>
                        <w:ind w:left="426" w:hanging="426"/>
                        <w:rPr>
                          <w:sz w:val="22"/>
                        </w:rPr>
                      </w:pPr>
                      <w:r w:rsidRPr="004E675B">
                        <w:rPr>
                          <w:sz w:val="22"/>
                        </w:rPr>
                        <w:t>A 4 star 600L fridge, on average, could save</w:t>
                      </w:r>
                      <w:r>
                        <w:rPr>
                          <w:sz w:val="22"/>
                        </w:rPr>
                        <w:t xml:space="preserve"> a</w:t>
                      </w:r>
                      <w:r w:rsidRPr="004E675B">
                        <w:rPr>
                          <w:sz w:val="22"/>
                        </w:rPr>
                        <w:t xml:space="preserve"> household $260 over </w:t>
                      </w:r>
                      <w:r>
                        <w:rPr>
                          <w:sz w:val="22"/>
                        </w:rPr>
                        <w:t>its</w:t>
                      </w:r>
                      <w:r w:rsidRPr="004E675B">
                        <w:rPr>
                          <w:sz w:val="22"/>
                        </w:rPr>
                        <w:t xml:space="preserve"> lifetime compared to a 3 star fridge.</w:t>
                      </w:r>
                    </w:p>
                    <w:p w:rsidR="00646A05" w:rsidRPr="004E675B" w:rsidRDefault="00646A05" w:rsidP="008A7FC0">
                      <w:pPr>
                        <w:pStyle w:val="ListParagraph"/>
                        <w:numPr>
                          <w:ilvl w:val="0"/>
                          <w:numId w:val="8"/>
                        </w:numPr>
                        <w:rPr>
                          <w:sz w:val="22"/>
                        </w:rPr>
                      </w:pPr>
                      <w:r w:rsidRPr="000A5B03">
                        <w:rPr>
                          <w:sz w:val="22"/>
                        </w:rPr>
                        <w:t>The phase out of incandescent light bulbs, which commenced in 2009, is saving the average household about $70 per annum.</w:t>
                      </w:r>
                    </w:p>
                  </w:txbxContent>
                </v:textbox>
                <w10:anchorlock/>
              </v:shape>
            </w:pict>
          </mc:Fallback>
        </mc:AlternateContent>
      </w:r>
    </w:p>
    <w:p w:rsidR="004F3D9C" w:rsidRPr="00F740A0" w:rsidRDefault="00E66D14" w:rsidP="00F740A0">
      <w:r>
        <w:t xml:space="preserve">For </w:t>
      </w:r>
      <w:r w:rsidR="004F3D9C" w:rsidRPr="00F740A0">
        <w:t>a high level description of how these net benefits are determined</w:t>
      </w:r>
      <w:r>
        <w:t xml:space="preserve">, </w:t>
      </w:r>
      <w:r w:rsidR="004F3D9C" w:rsidRPr="00F740A0">
        <w:t xml:space="preserve">see </w:t>
      </w:r>
      <w:r w:rsidRPr="00C743A5">
        <w:rPr>
          <w:b/>
          <w:bCs/>
        </w:rPr>
        <w:t>Section 5.5.2</w:t>
      </w:r>
      <w:r w:rsidR="004F3D9C" w:rsidRPr="00F740A0">
        <w:t xml:space="preserve"> (</w:t>
      </w:r>
      <w:r w:rsidR="004F3D9C" w:rsidRPr="00C743A5">
        <w:rPr>
          <w:b/>
          <w:bCs/>
        </w:rPr>
        <w:t xml:space="preserve">Box </w:t>
      </w:r>
      <w:r w:rsidR="001125A0" w:rsidRPr="00C743A5">
        <w:rPr>
          <w:b/>
          <w:bCs/>
        </w:rPr>
        <w:t>6</w:t>
      </w:r>
      <w:r w:rsidR="004F3D9C" w:rsidRPr="00F740A0">
        <w:t xml:space="preserve">). For a more detailed example of how the impact of GEMS regulations are calculated for specific products, see </w:t>
      </w:r>
      <w:r w:rsidR="004F3D9C" w:rsidRPr="00C743A5">
        <w:rPr>
          <w:b/>
          <w:bCs/>
        </w:rPr>
        <w:t xml:space="preserve">Appendix </w:t>
      </w:r>
      <w:r w:rsidR="00BB2A67" w:rsidRPr="00C743A5">
        <w:rPr>
          <w:b/>
          <w:bCs/>
        </w:rPr>
        <w:t>D</w:t>
      </w:r>
      <w:r w:rsidR="004F3D9C" w:rsidRPr="00F740A0">
        <w:t xml:space="preserve">. This analysis was undertaken by the Department of the Environment and Energy as part of an internal review of the impact of E3. </w:t>
      </w:r>
    </w:p>
    <w:p w:rsidR="007E39A7" w:rsidRPr="007E39A7" w:rsidRDefault="007E39A7" w:rsidP="00F740A0">
      <w:r w:rsidRPr="007E39A7">
        <w:t xml:space="preserve">A number of stakeholders have noted that it would be of benefit to have an independent review of the data and analysis used to evaluate the impact of GEMS regulations. This issue is </w:t>
      </w:r>
      <w:r w:rsidR="00E66D14">
        <w:t>also</w:t>
      </w:r>
      <w:r w:rsidRPr="007E39A7">
        <w:t xml:space="preserve"> addressed </w:t>
      </w:r>
      <w:r w:rsidR="00BB2A67">
        <w:t>in</w:t>
      </w:r>
      <w:r w:rsidR="00BB2A67" w:rsidRPr="007E39A7">
        <w:t xml:space="preserve"> </w:t>
      </w:r>
      <w:r w:rsidRPr="00C743A5">
        <w:rPr>
          <w:b/>
          <w:bCs/>
        </w:rPr>
        <w:t xml:space="preserve">Section </w:t>
      </w:r>
      <w:r w:rsidR="00DC34C4" w:rsidRPr="00C743A5">
        <w:rPr>
          <w:b/>
          <w:bCs/>
        </w:rPr>
        <w:t>5.5.2</w:t>
      </w:r>
      <w:r w:rsidRPr="00F740A0">
        <w:t>.</w:t>
      </w:r>
    </w:p>
    <w:p w:rsidR="007E39A7" w:rsidRDefault="007E39A7" w:rsidP="00F740A0">
      <w:pPr>
        <w:pStyle w:val="Heading3"/>
      </w:pPr>
      <w:bookmarkStart w:id="56" w:name="_Toc517621142"/>
      <w:bookmarkStart w:id="57" w:name="_Toc18660984"/>
      <w:r w:rsidRPr="007E39A7">
        <w:t>4.3.1 Illustrated impact of GEMS regulations</w:t>
      </w:r>
      <w:bookmarkEnd w:id="56"/>
      <w:bookmarkEnd w:id="57"/>
    </w:p>
    <w:p w:rsidR="009A0500" w:rsidRDefault="009A0500" w:rsidP="00F740A0">
      <w:r w:rsidRPr="00C743A5">
        <w:rPr>
          <w:b/>
          <w:bCs/>
        </w:rPr>
        <w:t>Chart 1</w:t>
      </w:r>
      <w:r w:rsidRPr="007E39A7">
        <w:t xml:space="preserve"> demonstrates the net financial benefits to consumers of </w:t>
      </w:r>
      <w:r>
        <w:t xml:space="preserve">current GEMS </w:t>
      </w:r>
      <w:r w:rsidRPr="007E39A7">
        <w:t xml:space="preserve">regulations. These include the value of energy savings </w:t>
      </w:r>
      <w:r>
        <w:t>less</w:t>
      </w:r>
      <w:r w:rsidRPr="007E39A7">
        <w:t xml:space="preserve"> the additional cost that consumers pay to purchase more energy efficient equipment and appliances. </w:t>
      </w:r>
      <w:r>
        <w:t>The analysis shows the</w:t>
      </w:r>
      <w:r w:rsidRPr="007E39A7">
        <w:t xml:space="preserve"> reduction in cost of living </w:t>
      </w:r>
      <w:r>
        <w:t>for each year</w:t>
      </w:r>
      <w:r w:rsidRPr="009A0500">
        <w:t xml:space="preserve"> </w:t>
      </w:r>
      <w:r w:rsidRPr="007E39A7">
        <w:t>against a baseline year but it is not cumulative</w:t>
      </w:r>
      <w:r>
        <w:t xml:space="preserve"> over the period. </w:t>
      </w:r>
    </w:p>
    <w:p w:rsidR="009A0500" w:rsidRDefault="009A0500" w:rsidP="00F740A0">
      <w:r>
        <w:t xml:space="preserve">The GEMS program analysis </w:t>
      </w:r>
      <w:r w:rsidRPr="007E39A7">
        <w:t>work</w:t>
      </w:r>
      <w:r>
        <w:t>s</w:t>
      </w:r>
      <w:r w:rsidRPr="007E39A7">
        <w:t xml:space="preserve"> on a </w:t>
      </w:r>
      <w:r>
        <w:t>'</w:t>
      </w:r>
      <w:r w:rsidRPr="007E39A7">
        <w:t>stock and flow</w:t>
      </w:r>
      <w:r>
        <w:t>'</w:t>
      </w:r>
      <w:r w:rsidRPr="007E39A7">
        <w:t xml:space="preserve"> basis. When a new MEPS is put in place, the savings do not immediately come into effect. This is because most homes will still have </w:t>
      </w:r>
      <w:r>
        <w:t>and operate their old appliance</w:t>
      </w:r>
      <w:r w:rsidRPr="007E39A7">
        <w:t>. However, as</w:t>
      </w:r>
      <w:r>
        <w:t xml:space="preserve"> newer</w:t>
      </w:r>
      <w:r w:rsidRPr="007E39A7">
        <w:t xml:space="preserve"> MEPS</w:t>
      </w:r>
      <w:r w:rsidR="00717522">
        <w:t xml:space="preserve"> </w:t>
      </w:r>
      <w:r w:rsidRPr="007E39A7">
        <w:t xml:space="preserve">compliant </w:t>
      </w:r>
      <w:r>
        <w:t>appliances</w:t>
      </w:r>
      <w:r w:rsidRPr="007E39A7">
        <w:t xml:space="preserve"> replace older models, the </w:t>
      </w:r>
      <w:r w:rsidRPr="007E39A7">
        <w:lastRenderedPageBreak/>
        <w:t xml:space="preserve">savings start to accumulate. For an individual household, </w:t>
      </w:r>
      <w:r>
        <w:t xml:space="preserve">any additional </w:t>
      </w:r>
      <w:r w:rsidRPr="007E39A7">
        <w:t>costs</w:t>
      </w:r>
      <w:r>
        <w:t>, if any,</w:t>
      </w:r>
      <w:r w:rsidRPr="007E39A7">
        <w:t xml:space="preserve"> are up front, </w:t>
      </w:r>
      <w:r>
        <w:t>whereas</w:t>
      </w:r>
      <w:r w:rsidRPr="007E39A7">
        <w:t xml:space="preserve"> the benefits occur for the </w:t>
      </w:r>
      <w:r>
        <w:t>life of the appliance</w:t>
      </w:r>
      <w:r w:rsidRPr="007E39A7">
        <w:t>.</w:t>
      </w:r>
    </w:p>
    <w:p w:rsidR="00DB447B" w:rsidRPr="00413D00" w:rsidRDefault="00DB447B" w:rsidP="00F740A0">
      <w:pPr>
        <w:spacing w:after="0"/>
        <w:rPr>
          <w:rStyle w:val="Emphasis"/>
          <w:szCs w:val="20"/>
        </w:rPr>
      </w:pPr>
      <w:r w:rsidRPr="00413D00">
        <w:rPr>
          <w:rStyle w:val="Emphasis"/>
          <w:szCs w:val="20"/>
        </w:rPr>
        <w:t>Chart 1:</w:t>
      </w:r>
      <w:r w:rsidR="004C5332" w:rsidRPr="00413D00">
        <w:rPr>
          <w:rStyle w:val="Emphasis"/>
          <w:szCs w:val="20"/>
        </w:rPr>
        <w:t xml:space="preserve"> </w:t>
      </w:r>
      <w:r w:rsidRPr="00413D00">
        <w:rPr>
          <w:rStyle w:val="Emphasis"/>
          <w:szCs w:val="20"/>
        </w:rPr>
        <w:t>GEMS year on year net benefits</w:t>
      </w:r>
    </w:p>
    <w:p w:rsidR="007E39A7" w:rsidRPr="007E39A7" w:rsidRDefault="006A503D" w:rsidP="00522FE5">
      <w:pPr>
        <w:rPr>
          <w:szCs w:val="24"/>
        </w:rPr>
      </w:pPr>
      <w:r w:rsidRPr="00833032">
        <w:rPr>
          <w:noProof/>
          <w:lang w:eastAsia="en-AU"/>
        </w:rPr>
        <w:drawing>
          <wp:inline distT="0" distB="0" distL="0" distR="0">
            <wp:extent cx="5902960" cy="3039110"/>
            <wp:effectExtent l="0" t="0" r="0" b="0"/>
            <wp:docPr id="3" name="Chart 10" descr="Chart 1 shows the year on year net benefits of GEMS."/>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E39A7" w:rsidRPr="007E39A7" w:rsidRDefault="007E39A7" w:rsidP="00196A23">
      <w:r w:rsidRPr="007E39A7">
        <w:t>The large ramp up starting from 2006</w:t>
      </w:r>
      <w:r w:rsidR="00935EB4">
        <w:t>,</w:t>
      </w:r>
      <w:r w:rsidRPr="007E39A7">
        <w:t xml:space="preserve"> shown on </w:t>
      </w:r>
      <w:r w:rsidR="009A0500" w:rsidRPr="00C743A5">
        <w:rPr>
          <w:b/>
          <w:bCs/>
        </w:rPr>
        <w:t>C</w:t>
      </w:r>
      <w:r w:rsidRPr="00C743A5">
        <w:rPr>
          <w:b/>
          <w:bCs/>
        </w:rPr>
        <w:t>hart</w:t>
      </w:r>
      <w:r w:rsidR="009A0500" w:rsidRPr="00C743A5">
        <w:rPr>
          <w:b/>
          <w:bCs/>
        </w:rPr>
        <w:t xml:space="preserve"> 1</w:t>
      </w:r>
      <w:r w:rsidRPr="007E39A7">
        <w:t xml:space="preserve">, is largely due to regulations </w:t>
      </w:r>
      <w:r w:rsidR="009A0500">
        <w:t xml:space="preserve">that E3 </w:t>
      </w:r>
      <w:r w:rsidRPr="007E39A7">
        <w:t xml:space="preserve">developed in the early 2000’s and </w:t>
      </w:r>
      <w:r w:rsidR="009A0500">
        <w:t>implemented</w:t>
      </w:r>
      <w:r w:rsidRPr="007E39A7">
        <w:t xml:space="preserve"> </w:t>
      </w:r>
      <w:r w:rsidR="009A0500">
        <w:t>between</w:t>
      </w:r>
      <w:r w:rsidR="009A0500" w:rsidRPr="007E39A7">
        <w:t xml:space="preserve"> </w:t>
      </w:r>
      <w:r w:rsidRPr="007E39A7">
        <w:t xml:space="preserve">2005 </w:t>
      </w:r>
      <w:r w:rsidR="00F10BFA">
        <w:t>and</w:t>
      </w:r>
      <w:r w:rsidR="00F10BFA" w:rsidRPr="007E39A7">
        <w:t xml:space="preserve"> </w:t>
      </w:r>
      <w:r w:rsidRPr="007E39A7">
        <w:t>2007. As more household appliances</w:t>
      </w:r>
      <w:r w:rsidR="007A43A6">
        <w:t>,</w:t>
      </w:r>
      <w:r w:rsidRPr="007E39A7">
        <w:t xml:space="preserve"> like refrigerators, lights and air conditioners</w:t>
      </w:r>
      <w:r w:rsidR="007A43A6">
        <w:t>,</w:t>
      </w:r>
      <w:r w:rsidRPr="007E39A7">
        <w:t xml:space="preserve"> were replaced by </w:t>
      </w:r>
      <w:r w:rsidR="009A0500">
        <w:t xml:space="preserve">newer </w:t>
      </w:r>
      <w:r w:rsidR="009A0500" w:rsidRPr="007E39A7">
        <w:t xml:space="preserve">products compliant </w:t>
      </w:r>
      <w:r w:rsidR="009A0500">
        <w:t xml:space="preserve">with higher </w:t>
      </w:r>
      <w:r w:rsidRPr="007E39A7">
        <w:t xml:space="preserve">MEPS </w:t>
      </w:r>
      <w:r w:rsidR="009A0500">
        <w:t>levels</w:t>
      </w:r>
      <w:r w:rsidRPr="007E39A7">
        <w:t xml:space="preserve">, more households started to see </w:t>
      </w:r>
      <w:r w:rsidR="00802521">
        <w:t>greater</w:t>
      </w:r>
      <w:r w:rsidR="00802521" w:rsidRPr="007E39A7">
        <w:t xml:space="preserve"> </w:t>
      </w:r>
      <w:r w:rsidRPr="007E39A7">
        <w:t xml:space="preserve">benefits and the total benefit continued to rise. </w:t>
      </w:r>
    </w:p>
    <w:p w:rsidR="002E2DDF" w:rsidRPr="003442DC" w:rsidRDefault="002E2DDF" w:rsidP="003442DC">
      <w:r w:rsidRPr="003442DC">
        <w:t>Further regulations, such as the enhance</w:t>
      </w:r>
      <w:r w:rsidR="00444722">
        <w:t>d</w:t>
      </w:r>
      <w:r w:rsidRPr="003442DC">
        <w:t xml:space="preserve"> air conditioner MEPS in 2010 and 2011, kep</w:t>
      </w:r>
      <w:r w:rsidRPr="002E2DDF">
        <w:t>t the trend in benefits rising.</w:t>
      </w:r>
      <w:r w:rsidRPr="003442DC">
        <w:t xml:space="preserve"> On the introduction of the GEMS Act in 2012, there </w:t>
      </w:r>
      <w:r w:rsidR="00717522">
        <w:t>had already been a</w:t>
      </w:r>
      <w:r w:rsidRPr="003442DC">
        <w:t xml:space="preserve"> large amount of work done to introduce regulations under the previous state regimes that </w:t>
      </w:r>
      <w:r w:rsidRPr="002E2DDF">
        <w:t>captured the low hanging fruit.</w:t>
      </w:r>
      <w:r w:rsidRPr="003442DC">
        <w:t xml:space="preserve"> Since 2012, those regulations have been incrementally improved, but the overall </w:t>
      </w:r>
      <w:r w:rsidRPr="002E2DDF">
        <w:t>benefits have begun to plateau.</w:t>
      </w:r>
      <w:r w:rsidRPr="003442DC">
        <w:t xml:space="preserve"> The current work under the E3 prioritisation plan will lead to further benefits and </w:t>
      </w:r>
      <w:r w:rsidR="00717522">
        <w:t xml:space="preserve">a </w:t>
      </w:r>
      <w:r w:rsidRPr="003442DC">
        <w:t>rise in the curve beyond 2020.</w:t>
      </w:r>
    </w:p>
    <w:p w:rsidR="007E39A7" w:rsidRPr="007E39A7" w:rsidRDefault="007E39A7" w:rsidP="000D0DC4">
      <w:r w:rsidRPr="007E39A7">
        <w:t xml:space="preserve">MEPS levels can become less effective, and even redundant, as industry </w:t>
      </w:r>
      <w:r w:rsidR="00BB2A67">
        <w:t>continues to innovate and</w:t>
      </w:r>
      <w:r w:rsidR="00BB2A67" w:rsidRPr="007E39A7">
        <w:t xml:space="preserve"> </w:t>
      </w:r>
      <w:r w:rsidRPr="007E39A7">
        <w:t>increase the energy efficiency of the products they sell due to technology change, international regulations</w:t>
      </w:r>
      <w:r w:rsidR="00935EB4">
        <w:t>,</w:t>
      </w:r>
      <w:r w:rsidRPr="007E39A7">
        <w:t xml:space="preserve"> or other drivers. When this occurs, the regulatory burden of the program remains fairly constant, so the net benefit of the program starts to reduce. The small reduction in estimated net benefits in 2020 is the result of this effect. </w:t>
      </w:r>
    </w:p>
    <w:p w:rsidR="007E39A7" w:rsidRPr="00B61168" w:rsidRDefault="007E39A7" w:rsidP="000D0DC4">
      <w:pPr>
        <w:rPr>
          <w:b/>
          <w:i/>
        </w:rPr>
      </w:pPr>
      <w:r w:rsidRPr="007E39A7">
        <w:t xml:space="preserve">In order </w:t>
      </w:r>
      <w:r w:rsidR="00802521">
        <w:t xml:space="preserve">for the GEMS Act to </w:t>
      </w:r>
      <w:r w:rsidRPr="007E39A7">
        <w:t xml:space="preserve">continue to </w:t>
      </w:r>
      <w:r w:rsidR="00802521">
        <w:t xml:space="preserve">fulfil </w:t>
      </w:r>
      <w:r w:rsidRPr="007E39A7">
        <w:t>its objectives and continue to reduce costs of living for Australian households, it will be necessary to consider the ways in which additional benefits can</w:t>
      </w:r>
      <w:r w:rsidR="00802521">
        <w:t xml:space="preserve"> continue to</w:t>
      </w:r>
      <w:r w:rsidRPr="007E39A7">
        <w:t xml:space="preserve"> be delivered</w:t>
      </w:r>
      <w:r w:rsidR="006038B5">
        <w:t>,</w:t>
      </w:r>
      <w:r w:rsidRPr="007E39A7">
        <w:t xml:space="preserve"> which may include:</w:t>
      </w:r>
    </w:p>
    <w:p w:rsidR="00DE2926" w:rsidRPr="002376E6" w:rsidRDefault="00DE2926" w:rsidP="002E385F">
      <w:pPr>
        <w:pStyle w:val="ListBullet"/>
        <w:ind w:hanging="426"/>
      </w:pPr>
      <w:r w:rsidRPr="002376E6">
        <w:t>Updating energy efficiency standards for products that are already regulated, subject to technological advances and international considerations</w:t>
      </w:r>
      <w:r w:rsidR="00B71210">
        <w:t>.</w:t>
      </w:r>
    </w:p>
    <w:p w:rsidR="00DE2926" w:rsidRDefault="00DE2926" w:rsidP="002E385F">
      <w:pPr>
        <w:pStyle w:val="ListBullet"/>
        <w:ind w:hanging="426"/>
      </w:pPr>
      <w:r w:rsidRPr="002376E6">
        <w:t xml:space="preserve">Expanding </w:t>
      </w:r>
      <w:r>
        <w:t>regulations to include</w:t>
      </w:r>
      <w:r w:rsidRPr="002376E6">
        <w:t xml:space="preserve"> new high energy using products that are not currently regulated in Australia</w:t>
      </w:r>
      <w:r w:rsidR="00B71210">
        <w:t>.</w:t>
      </w:r>
    </w:p>
    <w:p w:rsidR="00DE2926" w:rsidRDefault="00DE2926" w:rsidP="002E385F">
      <w:pPr>
        <w:pStyle w:val="ListBullet"/>
        <w:ind w:hanging="426"/>
      </w:pPr>
      <w:r w:rsidRPr="002376E6">
        <w:t>Developing and implementing regulations more quickly</w:t>
      </w:r>
      <w:r>
        <w:t>, while maintaining adequate consultation with affected stakeholders</w:t>
      </w:r>
      <w:r w:rsidR="00B71210">
        <w:t>.</w:t>
      </w:r>
    </w:p>
    <w:p w:rsidR="00DE2926" w:rsidRPr="002376E6" w:rsidRDefault="00DE2926" w:rsidP="002E385F">
      <w:pPr>
        <w:pStyle w:val="ListBullet"/>
        <w:ind w:hanging="426"/>
      </w:pPr>
      <w:r w:rsidRPr="0099735C">
        <w:lastRenderedPageBreak/>
        <w:t>Improving the effectiveness of energy rating labels</w:t>
      </w:r>
      <w:r>
        <w:t xml:space="preserve"> and other customer engagement/education activities</w:t>
      </w:r>
      <w:r w:rsidR="00B71210">
        <w:t>.</w:t>
      </w:r>
    </w:p>
    <w:p w:rsidR="00DB447B" w:rsidRPr="00413D00" w:rsidRDefault="00DB447B">
      <w:pPr>
        <w:rPr>
          <w:rStyle w:val="Emphasis"/>
          <w:szCs w:val="20"/>
        </w:rPr>
      </w:pPr>
      <w:r w:rsidRPr="00413D00">
        <w:rPr>
          <w:rStyle w:val="Emphasis"/>
          <w:szCs w:val="20"/>
        </w:rPr>
        <w:t xml:space="preserve">Chart </w:t>
      </w:r>
      <w:r w:rsidR="009A0500" w:rsidRPr="00413D00">
        <w:rPr>
          <w:rStyle w:val="Emphasis"/>
          <w:szCs w:val="20"/>
        </w:rPr>
        <w:t>2</w:t>
      </w:r>
      <w:r w:rsidRPr="00413D00">
        <w:rPr>
          <w:rStyle w:val="Emphasis"/>
          <w:szCs w:val="20"/>
        </w:rPr>
        <w:t>:</w:t>
      </w:r>
      <w:r w:rsidR="004C5332" w:rsidRPr="00413D00">
        <w:rPr>
          <w:rStyle w:val="Emphasis"/>
          <w:szCs w:val="20"/>
        </w:rPr>
        <w:t xml:space="preserve"> </w:t>
      </w:r>
      <w:r w:rsidRPr="00413D00">
        <w:rPr>
          <w:rStyle w:val="Emphasis"/>
          <w:szCs w:val="20"/>
        </w:rPr>
        <w:t xml:space="preserve">GEMS year on year </w:t>
      </w:r>
      <w:r w:rsidR="009A0500" w:rsidRPr="00413D00">
        <w:rPr>
          <w:rStyle w:val="Emphasis"/>
          <w:szCs w:val="20"/>
        </w:rPr>
        <w:t>emissions abatement</w:t>
      </w:r>
    </w:p>
    <w:p w:rsidR="007E39A7" w:rsidRPr="00C96AD2" w:rsidRDefault="006A503D" w:rsidP="00F740A0">
      <w:pPr>
        <w:rPr>
          <w:szCs w:val="24"/>
        </w:rPr>
      </w:pPr>
      <w:r w:rsidRPr="00EB09D2">
        <w:rPr>
          <w:noProof/>
          <w:lang w:eastAsia="en-AU"/>
        </w:rPr>
        <w:drawing>
          <wp:inline distT="0" distB="0" distL="0" distR="0">
            <wp:extent cx="5849620" cy="2971800"/>
            <wp:effectExtent l="0" t="0" r="0" b="0"/>
            <wp:docPr id="4" name="Chart 11" descr="Chart 2 shows the year on year emission abatement from GEMS."/>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E39A7" w:rsidRDefault="007E39A7" w:rsidP="00F740A0">
      <w:r w:rsidRPr="00C743A5">
        <w:rPr>
          <w:b/>
          <w:bCs/>
        </w:rPr>
        <w:t>Chart 2</w:t>
      </w:r>
      <w:r w:rsidRPr="00CC3592">
        <w:t>, shows the emissions savings over time. These are savings for each year alone and are not cumulative.</w:t>
      </w:r>
      <w:r w:rsidRPr="007E39A7">
        <w:t xml:space="preserve"> </w:t>
      </w:r>
    </w:p>
    <w:p w:rsidR="00802521" w:rsidRDefault="00802521">
      <w:r w:rsidRPr="00C743A5">
        <w:rPr>
          <w:b/>
          <w:bCs/>
        </w:rPr>
        <w:t>Chart 3</w:t>
      </w:r>
      <w:r w:rsidRPr="007E39A7">
        <w:t xml:space="preserve"> shows the actual and predicted energy use per Australian home by state </w:t>
      </w:r>
      <w:r w:rsidR="00E055FD">
        <w:t xml:space="preserve">and territory </w:t>
      </w:r>
      <w:r w:rsidRPr="007E39A7">
        <w:t xml:space="preserve">to 2030. This shows a general downward trend, which is a result of </w:t>
      </w:r>
      <w:r>
        <w:t>GEM</w:t>
      </w:r>
      <w:r w:rsidR="00A1185F">
        <w:t>S</w:t>
      </w:r>
      <w:r>
        <w:t xml:space="preserve"> </w:t>
      </w:r>
      <w:r w:rsidRPr="007E39A7">
        <w:t>regulations</w:t>
      </w:r>
      <w:r>
        <w:t xml:space="preserve"> along with</w:t>
      </w:r>
      <w:r w:rsidRPr="007E39A7">
        <w:t xml:space="preserve"> other market and regulatory forces. These additional forces include</w:t>
      </w:r>
      <w:r w:rsidR="007267F5">
        <w:t>:</w:t>
      </w:r>
      <w:r w:rsidRPr="007E39A7">
        <w:t xml:space="preserve"> new building regulations, state-based white certificate schemes, the effect of </w:t>
      </w:r>
      <w:r>
        <w:t xml:space="preserve">international </w:t>
      </w:r>
      <w:r w:rsidRPr="007E39A7">
        <w:t>energy efficiency regulations</w:t>
      </w:r>
      <w:r w:rsidR="00935EB4">
        <w:t>,</w:t>
      </w:r>
      <w:r w:rsidRPr="007E39A7">
        <w:t xml:space="preserve"> and industry innovation.</w:t>
      </w:r>
    </w:p>
    <w:p w:rsidR="00802521" w:rsidRPr="00413D00" w:rsidRDefault="00802521">
      <w:pPr>
        <w:spacing w:line="240" w:lineRule="auto"/>
        <w:rPr>
          <w:rStyle w:val="Emphasis"/>
          <w:szCs w:val="20"/>
        </w:rPr>
      </w:pPr>
      <w:r w:rsidRPr="00413D00">
        <w:rPr>
          <w:rStyle w:val="Emphasis"/>
          <w:szCs w:val="20"/>
        </w:rPr>
        <w:t>Chart 3:</w:t>
      </w:r>
      <w:r w:rsidR="004C5332" w:rsidRPr="00413D00">
        <w:rPr>
          <w:rStyle w:val="Emphasis"/>
          <w:szCs w:val="20"/>
        </w:rPr>
        <w:t xml:space="preserve"> </w:t>
      </w:r>
      <w:r w:rsidRPr="00413D00">
        <w:rPr>
          <w:rStyle w:val="Emphasis"/>
          <w:szCs w:val="20"/>
        </w:rPr>
        <w:t>Energy use per home for each state and territory</w:t>
      </w:r>
    </w:p>
    <w:p w:rsidR="007E39A7" w:rsidRPr="007E39A7" w:rsidRDefault="006A503D" w:rsidP="00F740A0">
      <w:pPr>
        <w:rPr>
          <w:szCs w:val="24"/>
        </w:rPr>
      </w:pPr>
      <w:r w:rsidRPr="003C5E10">
        <w:rPr>
          <w:noProof/>
          <w:lang w:eastAsia="en-AU"/>
        </w:rPr>
        <w:drawing>
          <wp:inline distT="0" distB="0" distL="0" distR="0">
            <wp:extent cx="5792470" cy="3540760"/>
            <wp:effectExtent l="0" t="0" r="0" b="2540"/>
            <wp:docPr id="5" name="Chart 12" descr="Chart 3 shows the energy use per home for each state and territory."/>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E39A7" w:rsidRPr="007E39A7" w:rsidRDefault="0011444C" w:rsidP="00F740A0">
      <w:pPr>
        <w:rPr>
          <w:b/>
          <w:i/>
        </w:rPr>
      </w:pPr>
      <w:r>
        <w:lastRenderedPageBreak/>
        <w:t>W</w:t>
      </w:r>
      <w:r w:rsidR="007E39A7" w:rsidRPr="007E39A7">
        <w:t xml:space="preserve">hile energy prices increased </w:t>
      </w:r>
      <w:r>
        <w:t>between</w:t>
      </w:r>
      <w:r w:rsidRPr="007E39A7">
        <w:t xml:space="preserve"> </w:t>
      </w:r>
      <w:r w:rsidR="007E39A7" w:rsidRPr="007E39A7">
        <w:t>2008</w:t>
      </w:r>
      <w:r w:rsidR="00F10BFA">
        <w:t xml:space="preserve"> and </w:t>
      </w:r>
      <w:r w:rsidR="007E39A7" w:rsidRPr="007E39A7">
        <w:t xml:space="preserve">2013 and again more recently, these energy efficiency </w:t>
      </w:r>
      <w:r>
        <w:t>measures</w:t>
      </w:r>
      <w:r w:rsidRPr="007E39A7">
        <w:t xml:space="preserve"> </w:t>
      </w:r>
      <w:r w:rsidR="007E39A7" w:rsidRPr="007E39A7">
        <w:t>had already been working to reduce the energy use of homes, while maintaining</w:t>
      </w:r>
      <w:r>
        <w:t xml:space="preserve"> and/or inc</w:t>
      </w:r>
      <w:r w:rsidR="00E055FD">
        <w:t>reasing</w:t>
      </w:r>
      <w:r>
        <w:t xml:space="preserve"> the standard of living</w:t>
      </w:r>
      <w:r w:rsidR="00E055FD">
        <w:t xml:space="preserve"> within the home.</w:t>
      </w:r>
      <w:r w:rsidR="007E39A7" w:rsidRPr="007E39A7">
        <w:t xml:space="preserve"> As an example, the energy use per home in NSW has reduced from 40,000 mega joules per year to 30,000 </w:t>
      </w:r>
      <w:r w:rsidR="006C24D2" w:rsidRPr="007E39A7">
        <w:t xml:space="preserve">mega joules </w:t>
      </w:r>
      <w:r w:rsidR="007E39A7" w:rsidRPr="007E39A7">
        <w:t>over the past 18 years, which is a 1.4</w:t>
      </w:r>
      <w:r w:rsidR="00F10BFA">
        <w:t> </w:t>
      </w:r>
      <w:r w:rsidR="007E39A7" w:rsidRPr="007E39A7">
        <w:t>per cent reduction each year.</w:t>
      </w:r>
    </w:p>
    <w:p w:rsidR="007E39A7" w:rsidRDefault="0011444C" w:rsidP="00F740A0">
      <w:r>
        <w:t>T</w:t>
      </w:r>
      <w:r w:rsidR="007E39A7" w:rsidRPr="007E39A7">
        <w:t xml:space="preserve">he effect of rising energy prices </w:t>
      </w:r>
      <w:r>
        <w:t>would</w:t>
      </w:r>
      <w:r w:rsidRPr="007E39A7">
        <w:t xml:space="preserve"> </w:t>
      </w:r>
      <w:r w:rsidR="007E39A7" w:rsidRPr="007E39A7">
        <w:t>have been felt even more had it not been for energy efficiency</w:t>
      </w:r>
      <w:r>
        <w:t xml:space="preserve"> measures, MEPS and the GEMS Act</w:t>
      </w:r>
      <w:r w:rsidR="007E39A7" w:rsidRPr="007E39A7">
        <w:t>.</w:t>
      </w:r>
    </w:p>
    <w:p w:rsidR="00EB4D94" w:rsidRPr="00F740A0" w:rsidRDefault="00EB4D94" w:rsidP="003442DC">
      <w:pPr>
        <w:pStyle w:val="RecHead"/>
        <w:rPr>
          <w:lang w:val="en"/>
        </w:rPr>
      </w:pPr>
      <w:r w:rsidRPr="00F740A0">
        <w:rPr>
          <w:lang w:val="en"/>
        </w:rPr>
        <w:t xml:space="preserve">RECOMMENDATION </w:t>
      </w:r>
      <w:r w:rsidR="00DC34C4">
        <w:rPr>
          <w:lang w:val="en"/>
        </w:rPr>
        <w:t>2</w:t>
      </w:r>
    </w:p>
    <w:p w:rsidR="00B62061" w:rsidRPr="00C743A5" w:rsidRDefault="00EB4D94" w:rsidP="00C743A5">
      <w:pPr>
        <w:rPr>
          <w:b/>
          <w:bCs/>
        </w:rPr>
      </w:pPr>
      <w:r w:rsidRPr="00C743A5">
        <w:rPr>
          <w:b/>
          <w:bCs/>
        </w:rPr>
        <w:t xml:space="preserve">The Commonwealth Government continue to include appliance and equipment energy efficiency as part of any future broader suite of energy policies. </w:t>
      </w:r>
      <w:r w:rsidR="00B62061" w:rsidRPr="00C743A5">
        <w:rPr>
          <w:b/>
          <w:bCs/>
        </w:rPr>
        <w:br w:type="page"/>
      </w:r>
    </w:p>
    <w:p w:rsidR="00600877" w:rsidRPr="00B70820" w:rsidRDefault="00CB5EA3" w:rsidP="005619A1">
      <w:pPr>
        <w:pStyle w:val="Heading1"/>
      </w:pPr>
      <w:bookmarkStart w:id="58" w:name="_Toc18660985"/>
      <w:r w:rsidRPr="00CB5EA3">
        <w:lastRenderedPageBreak/>
        <w:t>5.</w:t>
      </w:r>
      <w:r w:rsidRPr="00CB5EA3">
        <w:tab/>
      </w:r>
      <w:r w:rsidRPr="00F25EB7">
        <w:t xml:space="preserve">Opportunities </w:t>
      </w:r>
      <w:r w:rsidRPr="005F3AF8">
        <w:t xml:space="preserve">to improve the operation of the GEMS </w:t>
      </w:r>
      <w:r w:rsidRPr="00B70820">
        <w:t>Act</w:t>
      </w:r>
      <w:bookmarkEnd w:id="58"/>
    </w:p>
    <w:p w:rsidR="00BB2A67" w:rsidRPr="004E675B" w:rsidRDefault="00EC22AC" w:rsidP="004E675B">
      <w:r w:rsidRPr="0063735A">
        <w:t>T</w:t>
      </w:r>
      <w:r w:rsidRPr="00194853">
        <w:t>his section</w:t>
      </w:r>
      <w:r w:rsidR="00BB2A67" w:rsidRPr="00243D5B">
        <w:t xml:space="preserve"> </w:t>
      </w:r>
      <w:r w:rsidR="00BB2A67" w:rsidRPr="00A97A0F">
        <w:t>consider</w:t>
      </w:r>
      <w:r>
        <w:t xml:space="preserve">s </w:t>
      </w:r>
      <w:r w:rsidR="00BB2A67" w:rsidRPr="00A97A0F">
        <w:t xml:space="preserve">the </w:t>
      </w:r>
      <w:r w:rsidR="00BB2A67" w:rsidRPr="004E675B">
        <w:t>a</w:t>
      </w:r>
      <w:r w:rsidR="00955FB7">
        <w:t>b</w:t>
      </w:r>
      <w:r w:rsidR="00BB2A67" w:rsidRPr="004E675B">
        <w:t xml:space="preserve">ility of the </w:t>
      </w:r>
      <w:r w:rsidR="00935EB4">
        <w:t xml:space="preserve">GEMS </w:t>
      </w:r>
      <w:r w:rsidR="00BB2A67" w:rsidRPr="004E675B">
        <w:t>Act to respond to rapidly changing dynamics</w:t>
      </w:r>
      <w:r w:rsidR="00BB2A67" w:rsidRPr="00243D5B">
        <w:t xml:space="preserve"> (</w:t>
      </w:r>
      <w:r w:rsidR="00BB2A67" w:rsidRPr="00A97A0F">
        <w:t xml:space="preserve">policy, market, technology) </w:t>
      </w:r>
      <w:r w:rsidR="00955FB7">
        <w:t>and</w:t>
      </w:r>
      <w:r w:rsidR="00BB2A67" w:rsidRPr="004E675B">
        <w:t xml:space="preserve"> to provide for adequate compliance arrangements for new and bespoke products</w:t>
      </w:r>
      <w:r>
        <w:t>. It</w:t>
      </w:r>
      <w:r w:rsidR="00955FB7">
        <w:t xml:space="preserve"> also examines</w:t>
      </w:r>
      <w:r>
        <w:t xml:space="preserve"> </w:t>
      </w:r>
      <w:r w:rsidR="00BB2A67" w:rsidRPr="004E675B">
        <w:t>the role of mandatory standards compared to other approaches</w:t>
      </w:r>
      <w:r>
        <w:t>.</w:t>
      </w:r>
    </w:p>
    <w:p w:rsidR="00895691" w:rsidRPr="00F25EB7" w:rsidRDefault="00895691" w:rsidP="00F740A0">
      <w:pPr>
        <w:pStyle w:val="Heading2"/>
      </w:pPr>
      <w:bookmarkStart w:id="59" w:name="_Toc18660986"/>
      <w:r w:rsidRPr="00CB5EA3">
        <w:t>5.1</w:t>
      </w:r>
      <w:r w:rsidRPr="00CB5EA3">
        <w:tab/>
        <w:t>Key points</w:t>
      </w:r>
      <w:bookmarkEnd w:id="59"/>
    </w:p>
    <w:p w:rsidR="00501828" w:rsidRPr="00FE75E6" w:rsidRDefault="00501828" w:rsidP="002E385F">
      <w:pPr>
        <w:pStyle w:val="ListBullet"/>
        <w:ind w:hanging="426"/>
      </w:pPr>
      <w:r w:rsidRPr="00FE75E6">
        <w:t>There are a range of opportunities to enhance the GEMS Act and provide the flexibility to continue to deliver significant benefits in an increasingly dynamic environment</w:t>
      </w:r>
      <w:r w:rsidR="00B71210">
        <w:t>.</w:t>
      </w:r>
    </w:p>
    <w:p w:rsidR="00501828" w:rsidRPr="00FE75E6" w:rsidRDefault="00501828" w:rsidP="002E385F">
      <w:pPr>
        <w:pStyle w:val="ListBullet"/>
        <w:ind w:hanging="426"/>
      </w:pPr>
      <w:r w:rsidRPr="00FE75E6">
        <w:t xml:space="preserve">The issues and recommendations for improvements to the operation of the </w:t>
      </w:r>
      <w:r w:rsidR="00935EB4">
        <w:t xml:space="preserve">GEMS </w:t>
      </w:r>
      <w:r w:rsidRPr="00FE75E6">
        <w:t xml:space="preserve">Act have been considered in </w:t>
      </w:r>
      <w:r w:rsidRPr="00F740A0">
        <w:rPr>
          <w:b/>
        </w:rPr>
        <w:t>three horizons</w:t>
      </w:r>
      <w:r w:rsidR="00B71210">
        <w:rPr>
          <w:b/>
        </w:rPr>
        <w:t>.</w:t>
      </w:r>
    </w:p>
    <w:p w:rsidR="00501828" w:rsidRPr="00FE75E6" w:rsidRDefault="00003A97" w:rsidP="00575B69">
      <w:pPr>
        <w:pStyle w:val="ListBullet"/>
        <w:ind w:hanging="426"/>
      </w:pPr>
      <w:r w:rsidRPr="00575B69">
        <w:rPr>
          <w:b/>
        </w:rPr>
        <w:t>Horizon 1</w:t>
      </w:r>
      <w:r w:rsidRPr="00003A97">
        <w:t xml:space="preserve"> covers short term improvements that will not require legislative change, to be completed within 12 months. These improvements are for products that are already regulated</w:t>
      </w:r>
      <w:r>
        <w:t>, and</w:t>
      </w:r>
      <w:r w:rsidR="00501828" w:rsidRPr="00FE75E6">
        <w:t xml:space="preserve"> include:</w:t>
      </w:r>
      <w:r w:rsidR="001A3303">
        <w:t xml:space="preserve"> </w:t>
      </w:r>
    </w:p>
    <w:p w:rsidR="00501828" w:rsidRPr="00FE75E6" w:rsidRDefault="00501828" w:rsidP="008A7FC0">
      <w:pPr>
        <w:pStyle w:val="ListBullet2"/>
        <w:numPr>
          <w:ilvl w:val="1"/>
          <w:numId w:val="32"/>
        </w:numPr>
        <w:ind w:left="851" w:hanging="425"/>
        <w:rPr>
          <w:rFonts w:cs="Arial"/>
        </w:rPr>
      </w:pPr>
      <w:r w:rsidRPr="00FE75E6">
        <w:t>Improving the approach to unique identifiers on products to assist industry and GEMS compliance officers</w:t>
      </w:r>
      <w:r w:rsidR="00E055FD">
        <w:t>.</w:t>
      </w:r>
    </w:p>
    <w:p w:rsidR="00501828" w:rsidRPr="00FE75E6" w:rsidRDefault="00501828" w:rsidP="008A7FC0">
      <w:pPr>
        <w:pStyle w:val="ListBullet2"/>
        <w:numPr>
          <w:ilvl w:val="1"/>
          <w:numId w:val="32"/>
        </w:numPr>
        <w:ind w:left="851" w:hanging="425"/>
      </w:pPr>
      <w:r w:rsidRPr="00FE75E6">
        <w:t>Increasing the sharing of resources between GEMS registration and compliance functions</w:t>
      </w:r>
      <w:r w:rsidR="00E055FD">
        <w:t>.</w:t>
      </w:r>
    </w:p>
    <w:p w:rsidR="00DE2926" w:rsidRPr="00DE2926" w:rsidRDefault="00DE2926" w:rsidP="008A7FC0">
      <w:pPr>
        <w:pStyle w:val="ListBullet2"/>
        <w:numPr>
          <w:ilvl w:val="1"/>
          <w:numId w:val="32"/>
        </w:numPr>
        <w:ind w:left="851" w:hanging="425"/>
        <w:rPr>
          <w:sz w:val="22"/>
        </w:rPr>
      </w:pPr>
      <w:r w:rsidRPr="00DE2926">
        <w:t>Collaborating with industry, together with other measures, to assist targeting the intelligence</w:t>
      </w:r>
      <w:r w:rsidR="00060BA7">
        <w:t>-</w:t>
      </w:r>
      <w:r w:rsidRPr="00DE2926">
        <w:t>led compliance program</w:t>
      </w:r>
      <w:r>
        <w:t>.</w:t>
      </w:r>
    </w:p>
    <w:p w:rsidR="00501828" w:rsidRPr="00F740A0" w:rsidRDefault="00501828" w:rsidP="008A7FC0">
      <w:pPr>
        <w:pStyle w:val="ListBullet2"/>
        <w:numPr>
          <w:ilvl w:val="1"/>
          <w:numId w:val="32"/>
        </w:numPr>
        <w:ind w:left="851" w:hanging="425"/>
      </w:pPr>
      <w:r w:rsidRPr="00F740A0">
        <w:t>Examining the costs and benefits associated with mandatory disclosure of energy rating information online and in print advertising (also applies to Horizon</w:t>
      </w:r>
      <w:r w:rsidR="00522FE5">
        <w:t> </w:t>
      </w:r>
      <w:r w:rsidRPr="00F740A0">
        <w:t>2)</w:t>
      </w:r>
      <w:r w:rsidR="00E055FD">
        <w:t>.</w:t>
      </w:r>
    </w:p>
    <w:p w:rsidR="00501828" w:rsidRPr="00F740A0" w:rsidRDefault="00501828" w:rsidP="008A7FC0">
      <w:pPr>
        <w:pStyle w:val="ListBullet2"/>
        <w:numPr>
          <w:ilvl w:val="1"/>
          <w:numId w:val="32"/>
        </w:numPr>
        <w:ind w:left="851" w:hanging="425"/>
      </w:pPr>
      <w:r w:rsidRPr="00F740A0">
        <w:t>Continuing to</w:t>
      </w:r>
      <w:r w:rsidR="00A618B4">
        <w:t xml:space="preserve"> </w:t>
      </w:r>
      <w:r w:rsidRPr="00F740A0">
        <w:t>engage in education, energy rating labelling and other efforts to promote energy efficient behaviours (also applies to Horizon 2)</w:t>
      </w:r>
      <w:r w:rsidR="00E055FD">
        <w:t>.</w:t>
      </w:r>
      <w:r w:rsidRPr="00F740A0">
        <w:t xml:space="preserve"> </w:t>
      </w:r>
    </w:p>
    <w:p w:rsidR="00501828" w:rsidRPr="00240A12" w:rsidRDefault="00003A97" w:rsidP="008A7FC0">
      <w:pPr>
        <w:numPr>
          <w:ilvl w:val="0"/>
          <w:numId w:val="28"/>
        </w:numPr>
        <w:ind w:left="369"/>
      </w:pPr>
      <w:r w:rsidRPr="00C743A5">
        <w:rPr>
          <w:b/>
          <w:bCs/>
        </w:rPr>
        <w:t>Horizon 2</w:t>
      </w:r>
      <w:r w:rsidRPr="00BD383B">
        <w:t xml:space="preserve"> covers medium term improvements, with those not requiring legislative change to be completed </w:t>
      </w:r>
      <w:r w:rsidR="00442BEF">
        <w:t>within two years</w:t>
      </w:r>
      <w:r w:rsidRPr="00BD383B">
        <w:t xml:space="preserve">, and those requiring legislative change to be completed </w:t>
      </w:r>
      <w:r w:rsidR="00442BEF">
        <w:t>within three years</w:t>
      </w:r>
      <w:r w:rsidRPr="00BD383B">
        <w:t>. Most of these</w:t>
      </w:r>
      <w:r w:rsidRPr="00C743A5">
        <w:rPr>
          <w:b/>
          <w:bCs/>
        </w:rPr>
        <w:t xml:space="preserve"> </w:t>
      </w:r>
      <w:r w:rsidRPr="00BD383B">
        <w:t>improvements facilitate expansion to a greater range of products</w:t>
      </w:r>
      <w:r>
        <w:t>, and</w:t>
      </w:r>
      <w:r w:rsidR="00501828" w:rsidRPr="00240A12">
        <w:t xml:space="preserve"> include:</w:t>
      </w:r>
    </w:p>
    <w:p w:rsidR="00501828" w:rsidRPr="00240A12" w:rsidRDefault="00501828" w:rsidP="008A7FC0">
      <w:pPr>
        <w:pStyle w:val="ListBullet2"/>
        <w:numPr>
          <w:ilvl w:val="1"/>
          <w:numId w:val="33"/>
        </w:numPr>
        <w:ind w:left="851" w:hanging="425"/>
      </w:pPr>
      <w:r w:rsidRPr="00240A12">
        <w:t xml:space="preserve">Amending the </w:t>
      </w:r>
      <w:r w:rsidR="00935EB4">
        <w:t xml:space="preserve">GEMS </w:t>
      </w:r>
      <w:r w:rsidRPr="00240A12">
        <w:t xml:space="preserve">Act to require the release of </w:t>
      </w:r>
      <w:r w:rsidR="00444722">
        <w:t>a</w:t>
      </w:r>
      <w:r w:rsidRPr="00240A12">
        <w:t>n exposure draft of a proposed GEMS determination</w:t>
      </w:r>
      <w:r w:rsidR="00E055FD">
        <w:t>.</w:t>
      </w:r>
    </w:p>
    <w:p w:rsidR="00501828" w:rsidRPr="00F740A0" w:rsidRDefault="00501828" w:rsidP="008A7FC0">
      <w:pPr>
        <w:pStyle w:val="ListBullet2"/>
        <w:numPr>
          <w:ilvl w:val="1"/>
          <w:numId w:val="33"/>
        </w:numPr>
        <w:ind w:left="851" w:hanging="425"/>
        <w:rPr>
          <w:rFonts w:cs="Arial"/>
        </w:rPr>
      </w:pPr>
      <w:r w:rsidRPr="00F740A0">
        <w:t>Continuing to work closely with industry and Standards Australia on the process for developing GEMS determinations</w:t>
      </w:r>
      <w:r w:rsidR="00E055FD">
        <w:t>.</w:t>
      </w:r>
      <w:r w:rsidR="006F720D">
        <w:t xml:space="preserve"> </w:t>
      </w:r>
    </w:p>
    <w:p w:rsidR="00DE4CD6" w:rsidRPr="00FE75E6" w:rsidRDefault="00DE4CD6" w:rsidP="008A7FC0">
      <w:pPr>
        <w:pStyle w:val="ListBullet2"/>
        <w:numPr>
          <w:ilvl w:val="1"/>
          <w:numId w:val="33"/>
        </w:numPr>
        <w:ind w:left="851" w:hanging="425"/>
        <w:rPr>
          <w:rFonts w:cs="Arial"/>
        </w:rPr>
      </w:pPr>
      <w:r w:rsidRPr="00FE75E6">
        <w:t xml:space="preserve">Amending the grandfathering provisions in the </w:t>
      </w:r>
      <w:r>
        <w:t xml:space="preserve">GEMS </w:t>
      </w:r>
      <w:r w:rsidRPr="00FE75E6">
        <w:t>Act to reduce regulatory burden</w:t>
      </w:r>
      <w:r>
        <w:t>.</w:t>
      </w:r>
    </w:p>
    <w:p w:rsidR="00501828" w:rsidRPr="00240A12" w:rsidRDefault="00501828" w:rsidP="008A7FC0">
      <w:pPr>
        <w:pStyle w:val="ListBullet2"/>
        <w:numPr>
          <w:ilvl w:val="1"/>
          <w:numId w:val="33"/>
        </w:numPr>
        <w:ind w:left="851" w:hanging="425"/>
      </w:pPr>
      <w:r w:rsidRPr="00240A12">
        <w:t xml:space="preserve">Amending the </w:t>
      </w:r>
      <w:r w:rsidR="00935EB4">
        <w:t xml:space="preserve">GEMS </w:t>
      </w:r>
      <w:r w:rsidRPr="00240A12">
        <w:t>Act to facilitate the registration of clearly defined customised products</w:t>
      </w:r>
      <w:r w:rsidR="00E055FD">
        <w:t>.</w:t>
      </w:r>
    </w:p>
    <w:p w:rsidR="00501828" w:rsidRPr="00240A12" w:rsidRDefault="00501828" w:rsidP="008A7FC0">
      <w:pPr>
        <w:pStyle w:val="ListBullet2"/>
        <w:numPr>
          <w:ilvl w:val="1"/>
          <w:numId w:val="33"/>
        </w:numPr>
        <w:ind w:left="851" w:hanging="425"/>
      </w:pPr>
      <w:r w:rsidRPr="00240A12">
        <w:t>Examining the appropriate use of supplier level registration</w:t>
      </w:r>
      <w:r w:rsidR="00E055FD">
        <w:t>.</w:t>
      </w:r>
    </w:p>
    <w:p w:rsidR="00501828" w:rsidRPr="00C15057" w:rsidRDefault="00501828" w:rsidP="008A7FC0">
      <w:pPr>
        <w:pStyle w:val="ListBullet2"/>
        <w:numPr>
          <w:ilvl w:val="1"/>
          <w:numId w:val="33"/>
        </w:numPr>
        <w:ind w:left="851" w:hanging="425"/>
        <w:rPr>
          <w:rFonts w:cs="Arial"/>
        </w:rPr>
      </w:pPr>
      <w:r w:rsidRPr="00240A12">
        <w:t>Considering joint registration arrangements and other opportunities to streamline the registra</w:t>
      </w:r>
      <w:r w:rsidR="00C15057">
        <w:t>tion process.</w:t>
      </w:r>
    </w:p>
    <w:p w:rsidR="00C15057" w:rsidRPr="008417C3" w:rsidRDefault="00C15057" w:rsidP="008A7FC0">
      <w:pPr>
        <w:pStyle w:val="ListBullet2"/>
        <w:numPr>
          <w:ilvl w:val="1"/>
          <w:numId w:val="33"/>
        </w:numPr>
        <w:ind w:left="851" w:hanging="425"/>
        <w:rPr>
          <w:rFonts w:cs="Arial"/>
        </w:rPr>
      </w:pPr>
      <w:r w:rsidRPr="00522FE5">
        <w:t xml:space="preserve">Consulting with industry on acceptable alternatives to </w:t>
      </w:r>
      <w:r w:rsidR="00A97A0F">
        <w:t>the two stage</w:t>
      </w:r>
      <w:r w:rsidRPr="00522FE5">
        <w:t xml:space="preserve"> </w:t>
      </w:r>
      <w:r w:rsidR="00A97A0F" w:rsidRPr="00F740A0">
        <w:t>check testing process</w:t>
      </w:r>
      <w:r w:rsidRPr="00522FE5">
        <w:t xml:space="preserve"> </w:t>
      </w:r>
      <w:r w:rsidR="00A97A0F" w:rsidRPr="00F740A0">
        <w:t xml:space="preserve">(also applies to Horizon </w:t>
      </w:r>
      <w:r w:rsidR="00A97A0F">
        <w:t>3</w:t>
      </w:r>
      <w:r w:rsidR="00A97A0F" w:rsidRPr="00F740A0">
        <w:t>)</w:t>
      </w:r>
      <w:r w:rsidR="00B71210">
        <w:t>.</w:t>
      </w:r>
    </w:p>
    <w:p w:rsidR="00501828" w:rsidRDefault="00501828" w:rsidP="008A7FC0">
      <w:pPr>
        <w:pStyle w:val="ListBullet2"/>
        <w:numPr>
          <w:ilvl w:val="1"/>
          <w:numId w:val="33"/>
        </w:numPr>
        <w:ind w:left="851" w:hanging="425"/>
      </w:pPr>
      <w:r w:rsidRPr="00F740A0">
        <w:t>Monitoring the emerging trends in relation to product</w:t>
      </w:r>
      <w:r w:rsidR="00A97A0F">
        <w:t xml:space="preserve"> development, emerging technologies and </w:t>
      </w:r>
      <w:r w:rsidR="00A97A0F" w:rsidRPr="00F740A0">
        <w:t xml:space="preserve">international standards </w:t>
      </w:r>
      <w:r w:rsidRPr="00F740A0">
        <w:t xml:space="preserve">and </w:t>
      </w:r>
      <w:r w:rsidR="00A97A0F">
        <w:t>their possible application with</w:t>
      </w:r>
      <w:r w:rsidR="00656477">
        <w:t>in</w:t>
      </w:r>
      <w:r w:rsidR="00A97A0F">
        <w:t xml:space="preserve"> Australia.</w:t>
      </w:r>
      <w:r w:rsidRPr="00F740A0">
        <w:t xml:space="preserve"> </w:t>
      </w:r>
    </w:p>
    <w:p w:rsidR="00A97A0F" w:rsidRDefault="00A44DC6" w:rsidP="008A7FC0">
      <w:pPr>
        <w:pStyle w:val="ListBullet2"/>
        <w:numPr>
          <w:ilvl w:val="1"/>
          <w:numId w:val="33"/>
        </w:numPr>
        <w:ind w:left="851" w:hanging="425"/>
      </w:pPr>
      <w:r>
        <w:lastRenderedPageBreak/>
        <w:t xml:space="preserve">Amending the GEMS Act to allow for mandatory </w:t>
      </w:r>
      <w:r w:rsidR="00A97A0F" w:rsidRPr="00F740A0">
        <w:t>demand response</w:t>
      </w:r>
      <w:r>
        <w:t xml:space="preserve"> capability</w:t>
      </w:r>
      <w:r w:rsidR="00B71210">
        <w:t>.</w:t>
      </w:r>
    </w:p>
    <w:p w:rsidR="00A97A0F" w:rsidRPr="00F740A0" w:rsidRDefault="00A97A0F" w:rsidP="008A7FC0">
      <w:pPr>
        <w:pStyle w:val="ListBullet2"/>
        <w:numPr>
          <w:ilvl w:val="1"/>
          <w:numId w:val="33"/>
        </w:numPr>
        <w:ind w:left="851" w:hanging="425"/>
      </w:pPr>
      <w:r w:rsidRPr="00F740A0">
        <w:t xml:space="preserve">Ensuring consistency and harmonisation between appliance and building </w:t>
      </w:r>
      <w:r>
        <w:t xml:space="preserve">energy efficiency regulations </w:t>
      </w:r>
      <w:r w:rsidRPr="00F740A0">
        <w:t xml:space="preserve">(also applies to Horizon </w:t>
      </w:r>
      <w:r>
        <w:t>3</w:t>
      </w:r>
      <w:r w:rsidRPr="00F740A0">
        <w:t>)</w:t>
      </w:r>
      <w:r w:rsidR="00B71210">
        <w:t>.</w:t>
      </w:r>
    </w:p>
    <w:p w:rsidR="004073A4" w:rsidRPr="00C743A5" w:rsidRDefault="004073A4" w:rsidP="008A7FC0">
      <w:pPr>
        <w:numPr>
          <w:ilvl w:val="0"/>
          <w:numId w:val="28"/>
        </w:numPr>
        <w:ind w:left="426" w:hanging="426"/>
        <w:rPr>
          <w:b/>
          <w:bCs/>
        </w:rPr>
      </w:pPr>
      <w:r w:rsidRPr="00C743A5">
        <w:rPr>
          <w:b/>
          <w:bCs/>
        </w:rPr>
        <w:t xml:space="preserve">Horizon 3 </w:t>
      </w:r>
      <w:r w:rsidRPr="00BD383B">
        <w:t>covers</w:t>
      </w:r>
      <w:r w:rsidRPr="00C743A5">
        <w:rPr>
          <w:b/>
          <w:bCs/>
        </w:rPr>
        <w:t xml:space="preserve"> </w:t>
      </w:r>
      <w:r w:rsidRPr="00BD383B">
        <w:t>long term improvements, which will require further consideration. These</w:t>
      </w:r>
      <w:r w:rsidRPr="00C743A5">
        <w:rPr>
          <w:b/>
          <w:bCs/>
        </w:rPr>
        <w:t xml:space="preserve"> </w:t>
      </w:r>
      <w:r w:rsidRPr="00BD383B">
        <w:t xml:space="preserve">improvements facilitate better coordination with other policies, programs and legislation. This horizon recognises that there is a limit to what the GEMS Act can achieve on its own, and that there are opportunities to move to a more holistic approach to regulating energy efficiency. This is crucial to maximising energy efficiency gains in the long term. </w:t>
      </w:r>
      <w:r>
        <w:t>Improvements include:</w:t>
      </w:r>
    </w:p>
    <w:p w:rsidR="00501828" w:rsidRPr="00240A12" w:rsidRDefault="00501828" w:rsidP="008A7FC0">
      <w:pPr>
        <w:pStyle w:val="ListBullet2"/>
        <w:numPr>
          <w:ilvl w:val="1"/>
          <w:numId w:val="34"/>
        </w:numPr>
        <w:ind w:left="851" w:hanging="425"/>
        <w:rPr>
          <w:rFonts w:cs="Arial"/>
        </w:rPr>
      </w:pPr>
      <w:r w:rsidRPr="00240A12">
        <w:t>Considering the development of a ‘one stop shop’ government registration data base</w:t>
      </w:r>
      <w:r w:rsidR="00E055FD">
        <w:t>.</w:t>
      </w:r>
    </w:p>
    <w:p w:rsidR="00501828" w:rsidRPr="00F740A0" w:rsidRDefault="00501828" w:rsidP="008A7FC0">
      <w:pPr>
        <w:pStyle w:val="ListBullet2"/>
        <w:numPr>
          <w:ilvl w:val="1"/>
          <w:numId w:val="34"/>
        </w:numPr>
        <w:ind w:left="851" w:hanging="425"/>
      </w:pPr>
      <w:r w:rsidRPr="00F740A0">
        <w:t>Investigating the potential of a systems</w:t>
      </w:r>
      <w:r w:rsidR="00D730FB">
        <w:t>-</w:t>
      </w:r>
      <w:r w:rsidRPr="00F740A0">
        <w:t xml:space="preserve">based approach to </w:t>
      </w:r>
      <w:r w:rsidR="00C15057">
        <w:t xml:space="preserve">energy efficiency </w:t>
      </w:r>
      <w:r w:rsidRPr="00F740A0">
        <w:t>regulation</w:t>
      </w:r>
      <w:r w:rsidR="00E055FD">
        <w:t>.</w:t>
      </w:r>
    </w:p>
    <w:p w:rsidR="006C7E4C" w:rsidRPr="00F740A0" w:rsidRDefault="006C7E4C" w:rsidP="00F740A0">
      <w:pPr>
        <w:pStyle w:val="Heading2"/>
      </w:pPr>
      <w:bookmarkStart w:id="60" w:name="_Toc18660987"/>
      <w:r w:rsidRPr="00240A12">
        <w:t>5.2</w:t>
      </w:r>
      <w:r w:rsidRPr="00240A12">
        <w:tab/>
        <w:t xml:space="preserve">GEMS </w:t>
      </w:r>
      <w:r w:rsidR="008C238F">
        <w:t>d</w:t>
      </w:r>
      <w:r w:rsidR="008C238F" w:rsidRPr="00240A12">
        <w:t>eterminations</w:t>
      </w:r>
      <w:bookmarkEnd w:id="60"/>
    </w:p>
    <w:p w:rsidR="004D42A2" w:rsidRDefault="00C1076E" w:rsidP="00F740A0">
      <w:pPr>
        <w:pStyle w:val="Heading3"/>
      </w:pPr>
      <w:bookmarkStart w:id="61" w:name="_Toc18660988"/>
      <w:r w:rsidRPr="005F3AF8">
        <w:t>5.2.1</w:t>
      </w:r>
      <w:r w:rsidRPr="005F3AF8">
        <w:tab/>
      </w:r>
      <w:r w:rsidR="004D42A2">
        <w:t>Introduction</w:t>
      </w:r>
      <w:bookmarkEnd w:id="61"/>
    </w:p>
    <w:p w:rsidR="00575B69" w:rsidRDefault="00575B69" w:rsidP="004D42A2">
      <w:r w:rsidRPr="00575B69">
        <w:t>Under the </w:t>
      </w:r>
      <w:r w:rsidRPr="00575B69">
        <w:rPr>
          <w:iCs/>
        </w:rPr>
        <w:t>GEMS Act</w:t>
      </w:r>
      <w:r>
        <w:rPr>
          <w:iCs/>
        </w:rPr>
        <w:t>,</w:t>
      </w:r>
      <w:r w:rsidRPr="00575B69">
        <w:rPr>
          <w:iCs/>
        </w:rPr>
        <w:t xml:space="preserve"> </w:t>
      </w:r>
      <w:r w:rsidRPr="00575B69">
        <w:t>specific product requirements are set out in legis</w:t>
      </w:r>
      <w:r>
        <w:t>lative instruments called GEMS d</w:t>
      </w:r>
      <w:r w:rsidRPr="00575B69">
        <w:t xml:space="preserve">eterminations. Product requirements are </w:t>
      </w:r>
      <w:r>
        <w:t>set out either directly in the determination, or the d</w:t>
      </w:r>
      <w:r w:rsidRPr="00575B69">
        <w:t xml:space="preserve">etermination </w:t>
      </w:r>
      <w:r w:rsidR="00C45C94">
        <w:t xml:space="preserve">may cross </w:t>
      </w:r>
      <w:r w:rsidRPr="00575B69">
        <w:t xml:space="preserve">refer to </w:t>
      </w:r>
      <w:r>
        <w:t xml:space="preserve">the applicable clause </w:t>
      </w:r>
      <w:r w:rsidR="00C45C94">
        <w:t>of an Australian</w:t>
      </w:r>
      <w:r>
        <w:t xml:space="preserve"> </w:t>
      </w:r>
      <w:r w:rsidR="00C45C94">
        <w:t>S</w:t>
      </w:r>
      <w:r>
        <w:t>tandard. The d</w:t>
      </w:r>
      <w:r w:rsidRPr="00575B69">
        <w:t>etermination also establishes</w:t>
      </w:r>
      <w:r>
        <w:t xml:space="preserve"> which version of the relevant </w:t>
      </w:r>
      <w:r w:rsidR="00C45C94">
        <w:t>Australian S</w:t>
      </w:r>
      <w:r w:rsidRPr="00575B69">
        <w:t>tandard is applicable – usually the versio</w:t>
      </w:r>
      <w:r>
        <w:t>n that existed at the time the d</w:t>
      </w:r>
      <w:r w:rsidRPr="00575B69">
        <w:t>etermination was made.</w:t>
      </w:r>
    </w:p>
    <w:p w:rsidR="0062254A" w:rsidRDefault="00564771" w:rsidP="004D42A2">
      <w:r>
        <w:t>This section considers</w:t>
      </w:r>
      <w:r w:rsidR="00896F2B">
        <w:t xml:space="preserve"> the</w:t>
      </w:r>
      <w:r w:rsidR="00A02EB9">
        <w:t xml:space="preserve"> policy development process </w:t>
      </w:r>
      <w:r w:rsidR="00896F2B">
        <w:t>(in which products are</w:t>
      </w:r>
      <w:r w:rsidR="00A02EB9">
        <w:t xml:space="preserve"> </w:t>
      </w:r>
      <w:r w:rsidR="00896F2B">
        <w:t xml:space="preserve">considered for </w:t>
      </w:r>
      <w:r w:rsidR="00A02EB9">
        <w:t>regulation</w:t>
      </w:r>
      <w:r w:rsidR="00896F2B">
        <w:t>)</w:t>
      </w:r>
      <w:r w:rsidR="00A02EB9">
        <w:t xml:space="preserve"> </w:t>
      </w:r>
      <w:r w:rsidR="00DA793E">
        <w:t xml:space="preserve">as well as </w:t>
      </w:r>
      <w:r w:rsidR="00A02EB9">
        <w:t xml:space="preserve">the formal process </w:t>
      </w:r>
      <w:r w:rsidR="006B51E8">
        <w:t>for</w:t>
      </w:r>
      <w:r w:rsidR="00A02EB9">
        <w:t xml:space="preserve"> making GEMS determinations.</w:t>
      </w:r>
      <w:r w:rsidR="003D3808">
        <w:t xml:space="preserve"> These </w:t>
      </w:r>
      <w:r w:rsidR="006B6777">
        <w:t>are</w:t>
      </w:r>
      <w:r w:rsidR="003D3808">
        <w:t xml:space="preserve"> the foundation for the GEMS Act to achieve its objectives</w:t>
      </w:r>
      <w:r w:rsidR="006B51E8">
        <w:t>.</w:t>
      </w:r>
      <w:r w:rsidR="00896F2B">
        <w:t xml:space="preserve"> </w:t>
      </w:r>
      <w:r w:rsidR="00BA56F1">
        <w:t>Issues considered in the section include</w:t>
      </w:r>
      <w:r w:rsidR="00FF5202">
        <w:t>:</w:t>
      </w:r>
    </w:p>
    <w:p w:rsidR="006B51E8" w:rsidRDefault="0062254A" w:rsidP="005619A1">
      <w:pPr>
        <w:pStyle w:val="ListBullet"/>
        <w:ind w:hanging="426"/>
      </w:pPr>
      <w:r w:rsidRPr="0062254A">
        <w:t>the ability of the GEMS Act to deal with product innovation</w:t>
      </w:r>
      <w:r w:rsidR="00E36C74">
        <w:t xml:space="preserve">, and the need to balance </w:t>
      </w:r>
      <w:r w:rsidR="00E36C74" w:rsidRPr="00E36C74">
        <w:t>competing objectives of certainty and flexibility</w:t>
      </w:r>
      <w:r w:rsidR="00FF5202">
        <w:t xml:space="preserve"> (see </w:t>
      </w:r>
      <w:r w:rsidR="00FF5202" w:rsidRPr="005619A1">
        <w:rPr>
          <w:b/>
        </w:rPr>
        <w:t>Section 5.2.2</w:t>
      </w:r>
      <w:r w:rsidR="00FF5202">
        <w:t>)</w:t>
      </w:r>
      <w:r w:rsidR="002030F6">
        <w:t>.</w:t>
      </w:r>
    </w:p>
    <w:p w:rsidR="00FF5202" w:rsidRDefault="00967694" w:rsidP="005619A1">
      <w:pPr>
        <w:pStyle w:val="ListBullet"/>
        <w:ind w:hanging="426"/>
      </w:pPr>
      <w:r>
        <w:t xml:space="preserve">stakeholder </w:t>
      </w:r>
      <w:r w:rsidR="00776CA8">
        <w:t xml:space="preserve">concerns regarding </w:t>
      </w:r>
      <w:r>
        <w:t xml:space="preserve">consultation, timelines and the </w:t>
      </w:r>
      <w:r w:rsidRPr="00040C77">
        <w:t>transition period between the publication and implementation of a new or revised determination</w:t>
      </w:r>
      <w:r w:rsidR="00FF5202">
        <w:t xml:space="preserve"> (see </w:t>
      </w:r>
      <w:r w:rsidR="00FF5202" w:rsidRPr="005619A1">
        <w:rPr>
          <w:b/>
        </w:rPr>
        <w:t>Section 5.2.3</w:t>
      </w:r>
      <w:r w:rsidR="00FF5202">
        <w:t>)</w:t>
      </w:r>
      <w:r w:rsidR="00E36C74">
        <w:t>.</w:t>
      </w:r>
      <w:r w:rsidR="002030F6">
        <w:t xml:space="preserve"> </w:t>
      </w:r>
    </w:p>
    <w:p w:rsidR="00AE7EFC" w:rsidRPr="005619A1" w:rsidRDefault="002030F6" w:rsidP="008A7FC0">
      <w:pPr>
        <w:pStyle w:val="ListParagraph"/>
        <w:numPr>
          <w:ilvl w:val="0"/>
          <w:numId w:val="29"/>
        </w:numPr>
        <w:ind w:left="851" w:hanging="425"/>
      </w:pPr>
      <w:r>
        <w:t>This discussion reflects</w:t>
      </w:r>
      <w:r w:rsidR="00E36C74">
        <w:t xml:space="preserve"> the need to balance</w:t>
      </w:r>
      <w:r>
        <w:t xml:space="preserve"> competing objectives of</w:t>
      </w:r>
      <w:r w:rsidR="00E36C74">
        <w:t xml:space="preserve"> </w:t>
      </w:r>
      <w:r w:rsidR="00E36C74" w:rsidRPr="00E36C74">
        <w:t>expedience and adequate consultation.</w:t>
      </w:r>
    </w:p>
    <w:p w:rsidR="0062254A" w:rsidRDefault="00967694" w:rsidP="005619A1">
      <w:pPr>
        <w:pStyle w:val="ListBullet"/>
      </w:pPr>
      <w:r>
        <w:t>the</w:t>
      </w:r>
      <w:r w:rsidR="00E36C74">
        <w:t xml:space="preserve"> potential to rev</w:t>
      </w:r>
      <w:r>
        <w:t>o</w:t>
      </w:r>
      <w:r w:rsidR="00E36C74">
        <w:t xml:space="preserve">ke </w:t>
      </w:r>
      <w:r>
        <w:t>GEMS determinations</w:t>
      </w:r>
      <w:r w:rsidR="00E36C74">
        <w:t xml:space="preserve"> if the</w:t>
      </w:r>
      <w:r w:rsidR="00E36C74" w:rsidRPr="00E36C74">
        <w:t xml:space="preserve"> costs of regulation </w:t>
      </w:r>
      <w:r w:rsidR="00E36C74">
        <w:t>begin to outweigh</w:t>
      </w:r>
      <w:r w:rsidR="00E36C74" w:rsidRPr="00E36C74">
        <w:t xml:space="preserve"> the benefits</w:t>
      </w:r>
      <w:r w:rsidR="00FF5202">
        <w:t xml:space="preserve"> (see </w:t>
      </w:r>
      <w:r w:rsidR="00FF5202" w:rsidRPr="005619A1">
        <w:rPr>
          <w:b/>
        </w:rPr>
        <w:t>Section 5.2.4</w:t>
      </w:r>
      <w:r w:rsidR="00FF5202">
        <w:t>)</w:t>
      </w:r>
      <w:r w:rsidR="00E36C74">
        <w:t>.</w:t>
      </w:r>
    </w:p>
    <w:p w:rsidR="00E36C74" w:rsidRDefault="00C65D46" w:rsidP="00E36C74">
      <w:pPr>
        <w:rPr>
          <w:highlight w:val="yellow"/>
        </w:rPr>
      </w:pPr>
      <w:r>
        <w:t>F</w:t>
      </w:r>
      <w:r w:rsidR="00D01349">
        <w:t xml:space="preserve">urther consideration is given to </w:t>
      </w:r>
      <w:r w:rsidR="009D0E4A">
        <w:t xml:space="preserve">additional </w:t>
      </w:r>
      <w:r w:rsidR="00E36C74">
        <w:t xml:space="preserve">stakeholder </w:t>
      </w:r>
      <w:r w:rsidR="00D01349">
        <w:t xml:space="preserve">issues </w:t>
      </w:r>
      <w:r w:rsidR="00E36C74">
        <w:t>concerning</w:t>
      </w:r>
      <w:r w:rsidR="00D01349">
        <w:t xml:space="preserve"> </w:t>
      </w:r>
      <w:r w:rsidR="00452BEB">
        <w:t xml:space="preserve">policy development and GEMS determination processes </w:t>
      </w:r>
      <w:r w:rsidR="00D01349">
        <w:t xml:space="preserve">in </w:t>
      </w:r>
      <w:r w:rsidR="00FE1434" w:rsidRPr="00C743A5">
        <w:rPr>
          <w:b/>
          <w:bCs/>
        </w:rPr>
        <w:t>S</w:t>
      </w:r>
      <w:r w:rsidR="00D01349" w:rsidRPr="00C743A5">
        <w:rPr>
          <w:b/>
          <w:bCs/>
        </w:rPr>
        <w:t>ection 5.7</w:t>
      </w:r>
      <w:r w:rsidR="00E36C74" w:rsidRPr="00E36C74">
        <w:t xml:space="preserve"> </w:t>
      </w:r>
      <w:r w:rsidR="00E36C74" w:rsidRPr="00C743A5">
        <w:rPr>
          <w:b/>
          <w:bCs/>
        </w:rPr>
        <w:t>Ensuring the Act remains relevant</w:t>
      </w:r>
      <w:r w:rsidR="00D01349" w:rsidRPr="003442DC">
        <w:t>.</w:t>
      </w:r>
      <w:r w:rsidR="00E36C74" w:rsidRPr="00E36C74">
        <w:rPr>
          <w:highlight w:val="yellow"/>
        </w:rPr>
        <w:t xml:space="preserve"> </w:t>
      </w:r>
    </w:p>
    <w:p w:rsidR="00C1076E" w:rsidRPr="00F740A0" w:rsidRDefault="004D42A2" w:rsidP="00F740A0">
      <w:pPr>
        <w:pStyle w:val="Heading3"/>
      </w:pPr>
      <w:bookmarkStart w:id="62" w:name="_Toc18660989"/>
      <w:r>
        <w:t>5.2.2</w:t>
      </w:r>
      <w:r>
        <w:tab/>
      </w:r>
      <w:r w:rsidR="00C1076E" w:rsidRPr="005F3AF8">
        <w:t>Regulatory framework and innovation</w:t>
      </w:r>
      <w:bookmarkEnd w:id="62"/>
    </w:p>
    <w:p w:rsidR="007B3199" w:rsidRDefault="00C1076E" w:rsidP="00C852DC">
      <w:r w:rsidRPr="00C1076E">
        <w:t>A common challenge for regulation is that it takes time to develop standards while innovation</w:t>
      </w:r>
      <w:r w:rsidR="00C852DC">
        <w:t>s</w:t>
      </w:r>
      <w:r w:rsidRPr="00C1076E">
        <w:t xml:space="preserve"> may progress rapidly. </w:t>
      </w:r>
      <w:r w:rsidR="00F62786">
        <w:t>By</w:t>
      </w:r>
      <w:r w:rsidRPr="00C1076E">
        <w:t xml:space="preserve"> the time </w:t>
      </w:r>
      <w:r w:rsidR="008C0852">
        <w:t xml:space="preserve">GEMS </w:t>
      </w:r>
      <w:r w:rsidRPr="00C1076E">
        <w:t xml:space="preserve">regulations are established, </w:t>
      </w:r>
      <w:r w:rsidR="00564771">
        <w:t>industry may have developed</w:t>
      </w:r>
      <w:r w:rsidRPr="002A7A95">
        <w:t xml:space="preserve"> </w:t>
      </w:r>
      <w:r w:rsidR="006F7428">
        <w:t xml:space="preserve">product </w:t>
      </w:r>
      <w:r w:rsidRPr="002A7A95">
        <w:t xml:space="preserve">innovations that </w:t>
      </w:r>
      <w:r w:rsidR="00564771">
        <w:t>regulators did not consider</w:t>
      </w:r>
      <w:r w:rsidRPr="002A7A95">
        <w:t xml:space="preserve"> in the drafting process. </w:t>
      </w:r>
      <w:r w:rsidR="00F62786">
        <w:t>Th</w:t>
      </w:r>
      <w:r w:rsidR="007B3199">
        <w:t>is would be</w:t>
      </w:r>
      <w:r w:rsidR="00F62786">
        <w:t xml:space="preserve"> a problem</w:t>
      </w:r>
      <w:r w:rsidR="00BE118F" w:rsidRPr="00F740A0">
        <w:t xml:space="preserve"> </w:t>
      </w:r>
      <w:r w:rsidR="00BE118F" w:rsidRPr="002A7A95">
        <w:t>under any</w:t>
      </w:r>
      <w:r w:rsidR="006F7428">
        <w:t xml:space="preserve"> regulatory</w:t>
      </w:r>
      <w:r w:rsidR="00BE118F" w:rsidRPr="002A7A95">
        <w:t xml:space="preserve"> framework.</w:t>
      </w:r>
      <w:r w:rsidR="00EB6AD0">
        <w:t xml:space="preserve"> </w:t>
      </w:r>
    </w:p>
    <w:p w:rsidR="00BE118F" w:rsidRPr="00F740A0" w:rsidRDefault="00EB6AD0" w:rsidP="00C852DC">
      <w:r>
        <w:t>Some stakeholders, such as Choice, suggest that MEPS regulations</w:t>
      </w:r>
      <w:r w:rsidR="00C852DC">
        <w:t xml:space="preserve"> also</w:t>
      </w:r>
      <w:r>
        <w:t xml:space="preserve"> </w:t>
      </w:r>
      <w:r w:rsidRPr="003D1A9C">
        <w:rPr>
          <w:i/>
        </w:rPr>
        <w:t>drive</w:t>
      </w:r>
      <w:r>
        <w:t xml:space="preserve"> innovation, by encouraging research and development to </w:t>
      </w:r>
      <w:r w:rsidR="00E313CD" w:rsidRPr="00F740A0">
        <w:t>find cost-effective ways to improve efficiency</w:t>
      </w:r>
      <w:r w:rsidR="007B3199">
        <w:t>.</w:t>
      </w:r>
    </w:p>
    <w:p w:rsidR="004E79D0" w:rsidRDefault="00BB5BE5" w:rsidP="00F740A0">
      <w:r>
        <w:t xml:space="preserve">The GEMS framework </w:t>
      </w:r>
      <w:r w:rsidR="000A18CA">
        <w:t xml:space="preserve">seeks to </w:t>
      </w:r>
      <w:r w:rsidR="00EB6AD0">
        <w:t>a</w:t>
      </w:r>
      <w:r w:rsidR="007B3199">
        <w:t xml:space="preserve">ddress the </w:t>
      </w:r>
      <w:r w:rsidR="00C852DC">
        <w:t>problem</w:t>
      </w:r>
      <w:r>
        <w:t xml:space="preserve"> </w:t>
      </w:r>
      <w:r w:rsidR="007B3199">
        <w:t xml:space="preserve">of standards lagging behind innovations </w:t>
      </w:r>
      <w:r w:rsidR="001169B5">
        <w:t xml:space="preserve">by regulating </w:t>
      </w:r>
      <w:r w:rsidR="000A18CA">
        <w:t xml:space="preserve">through determinations made under the </w:t>
      </w:r>
      <w:r w:rsidR="006F7428">
        <w:t xml:space="preserve">GEMS </w:t>
      </w:r>
      <w:r w:rsidR="000A18CA">
        <w:t xml:space="preserve">Act. </w:t>
      </w:r>
      <w:r w:rsidR="00C852DC">
        <w:t>GEMS determinations</w:t>
      </w:r>
      <w:r w:rsidR="000A18CA">
        <w:t xml:space="preserve"> allow the flexibility to design </w:t>
      </w:r>
      <w:r w:rsidR="00F7426E">
        <w:t>product</w:t>
      </w:r>
      <w:r w:rsidR="00EB6AD0">
        <w:t>-</w:t>
      </w:r>
      <w:r w:rsidR="00F7426E">
        <w:t xml:space="preserve">specific approaches to regulation, as well as </w:t>
      </w:r>
      <w:r w:rsidR="001169B5">
        <w:t xml:space="preserve">the ability </w:t>
      </w:r>
      <w:r w:rsidR="00F7426E">
        <w:t>to introduce new regulation</w:t>
      </w:r>
      <w:r w:rsidR="00C852DC">
        <w:t>s</w:t>
      </w:r>
      <w:r w:rsidR="00F7426E">
        <w:t xml:space="preserve"> without amend</w:t>
      </w:r>
      <w:r w:rsidR="00C852DC">
        <w:t>ing</w:t>
      </w:r>
      <w:r w:rsidR="00F7426E">
        <w:t xml:space="preserve"> the legislation</w:t>
      </w:r>
      <w:r w:rsidR="00BA16EA">
        <w:t xml:space="preserve">. Additionally, </w:t>
      </w:r>
      <w:r>
        <w:t xml:space="preserve">the </w:t>
      </w:r>
      <w:r w:rsidR="00DA213F">
        <w:t xml:space="preserve">GEMS </w:t>
      </w:r>
      <w:r w:rsidR="001169B5">
        <w:t xml:space="preserve">Act allows </w:t>
      </w:r>
      <w:r w:rsidR="00BA16EA">
        <w:t xml:space="preserve">the </w:t>
      </w:r>
      <w:r w:rsidR="00F97BC9">
        <w:t>GEMS R</w:t>
      </w:r>
      <w:r w:rsidR="00BA16EA">
        <w:t xml:space="preserve">egulator </w:t>
      </w:r>
      <w:r w:rsidR="00BA16EA">
        <w:lastRenderedPageBreak/>
        <w:t xml:space="preserve">to grant </w:t>
      </w:r>
      <w:r w:rsidR="00081497">
        <w:t>exemption</w:t>
      </w:r>
      <w:r w:rsidR="00BA16EA">
        <w:t>s</w:t>
      </w:r>
      <w:r w:rsidR="00081497">
        <w:t xml:space="preserve"> where </w:t>
      </w:r>
      <w:r w:rsidR="00BA16EA">
        <w:t xml:space="preserve">it is </w:t>
      </w:r>
      <w:r w:rsidR="00081497">
        <w:t xml:space="preserve">considered appropriate, which provides some </w:t>
      </w:r>
      <w:r w:rsidR="00C852DC">
        <w:t xml:space="preserve">further </w:t>
      </w:r>
      <w:r w:rsidR="009D14F9">
        <w:t xml:space="preserve">flexibility </w:t>
      </w:r>
      <w:r w:rsidR="00081497">
        <w:t>for managing new products that do</w:t>
      </w:r>
      <w:r w:rsidR="00A1185F">
        <w:t xml:space="preserve"> </w:t>
      </w:r>
      <w:r w:rsidR="00081497">
        <w:t>n</w:t>
      </w:r>
      <w:r w:rsidR="00A1185F">
        <w:t>o</w:t>
      </w:r>
      <w:r w:rsidR="00081497">
        <w:t xml:space="preserve">t fit neatly within </w:t>
      </w:r>
      <w:r>
        <w:t xml:space="preserve">the existing framework </w:t>
      </w:r>
      <w:r w:rsidR="00DC34C4">
        <w:t xml:space="preserve">(see </w:t>
      </w:r>
      <w:r w:rsidR="002C3104" w:rsidRPr="00C743A5">
        <w:rPr>
          <w:b/>
          <w:bCs/>
        </w:rPr>
        <w:t xml:space="preserve">Table </w:t>
      </w:r>
      <w:r w:rsidR="00474EA6" w:rsidRPr="00C743A5">
        <w:rPr>
          <w:b/>
          <w:bCs/>
        </w:rPr>
        <w:t>4</w:t>
      </w:r>
      <w:r w:rsidR="00DC34C4">
        <w:t>)</w:t>
      </w:r>
      <w:r>
        <w:t>.</w:t>
      </w:r>
    </w:p>
    <w:p w:rsidR="009D14F9" w:rsidRDefault="00C1076E" w:rsidP="0042252C">
      <w:r w:rsidRPr="00C1076E">
        <w:t xml:space="preserve">Some industry stakeholders </w:t>
      </w:r>
      <w:r w:rsidR="00F7426E">
        <w:t xml:space="preserve">have suggested that there should be greater flexibility for the </w:t>
      </w:r>
      <w:r w:rsidR="00F97BC9">
        <w:t xml:space="preserve">GEMS </w:t>
      </w:r>
      <w:r w:rsidR="00F7426E">
        <w:t xml:space="preserve">Regulator, </w:t>
      </w:r>
      <w:r w:rsidR="001169B5">
        <w:t xml:space="preserve">and have </w:t>
      </w:r>
      <w:r w:rsidR="00081497">
        <w:t xml:space="preserve">noted the use of </w:t>
      </w:r>
      <w:r w:rsidRPr="00C1076E">
        <w:t>reg</w:t>
      </w:r>
      <w:r w:rsidR="00081497">
        <w:t xml:space="preserve">ulatory rulings </w:t>
      </w:r>
      <w:r w:rsidRPr="00C1076E">
        <w:t xml:space="preserve">under the </w:t>
      </w:r>
      <w:r w:rsidR="00575F78">
        <w:t xml:space="preserve">previous </w:t>
      </w:r>
      <w:r w:rsidRPr="00C1076E">
        <w:t xml:space="preserve">state based arrangements. </w:t>
      </w:r>
    </w:p>
    <w:p w:rsidR="009D14F9" w:rsidRPr="009115F1" w:rsidRDefault="00DC34C4">
      <w:pPr>
        <w:pStyle w:val="SbQuote"/>
      </w:pPr>
      <w:r w:rsidRPr="009115F1">
        <w:t xml:space="preserve">… </w:t>
      </w:r>
      <w:r w:rsidR="00C1076E" w:rsidRPr="009115F1">
        <w:t xml:space="preserve">there needs to be a mechanism where the GEMS Regulator or relevant Minister are able to introduce a ruling or similar document that allows alternative means of complying with a determination so that products may continue to be tested and supplied until such time as a replacement determination is made. </w:t>
      </w:r>
    </w:p>
    <w:p w:rsidR="009D14F9" w:rsidRDefault="009D14F9">
      <w:pPr>
        <w:pStyle w:val="SbQuoteref"/>
      </w:pPr>
      <w:r w:rsidRPr="00C1076E">
        <w:t>C</w:t>
      </w:r>
      <w:r>
        <w:t xml:space="preserve">onsumer Electronic Suppliers Association (CESA), 2018 </w:t>
      </w:r>
    </w:p>
    <w:p w:rsidR="00936F96" w:rsidRDefault="00BB5BE5" w:rsidP="0042252C">
      <w:r>
        <w:t xml:space="preserve">However </w:t>
      </w:r>
      <w:r w:rsidR="00C1076E" w:rsidRPr="00C1076E">
        <w:t>these regulatory ruling</w:t>
      </w:r>
      <w:r w:rsidR="00081497">
        <w:t xml:space="preserve">s were not legally </w:t>
      </w:r>
      <w:r w:rsidR="009D14F9">
        <w:t xml:space="preserve">binding or </w:t>
      </w:r>
      <w:r w:rsidR="00081497">
        <w:t>enforceable.</w:t>
      </w:r>
    </w:p>
    <w:p w:rsidR="00A1185F" w:rsidRDefault="009D14F9" w:rsidP="00A1185F">
      <w:r>
        <w:t xml:space="preserve">The GEMS </w:t>
      </w:r>
      <w:r w:rsidR="00797F2B">
        <w:t>A</w:t>
      </w:r>
      <w:r>
        <w:t xml:space="preserve">ct does allow the GEMS Regulator to issue </w:t>
      </w:r>
      <w:r w:rsidRPr="00C1076E">
        <w:t xml:space="preserve">guidance notes on particular issues to help stakeholders understand their responsibilities under the </w:t>
      </w:r>
      <w:r w:rsidR="003E0BFC">
        <w:t>GEMS regulatory</w:t>
      </w:r>
      <w:r w:rsidR="003E0BFC" w:rsidRPr="00C1076E">
        <w:t xml:space="preserve"> </w:t>
      </w:r>
      <w:r w:rsidRPr="00C1076E">
        <w:t>framework.</w:t>
      </w:r>
      <w:r w:rsidR="00797F2B">
        <w:t xml:space="preserve"> </w:t>
      </w:r>
      <w:r w:rsidR="00465266">
        <w:t>Similar to the previous regulatory rulings, t</w:t>
      </w:r>
      <w:r>
        <w:t xml:space="preserve">hese guidance notes do not </w:t>
      </w:r>
      <w:r w:rsidRPr="00C1076E">
        <w:t>constitute legal advice</w:t>
      </w:r>
      <w:r w:rsidR="00DA213F">
        <w:t>,</w:t>
      </w:r>
      <w:r>
        <w:t xml:space="preserve"> and are not legally binding, but do serve to provide clarity and certainty.</w:t>
      </w:r>
      <w:r w:rsidR="003E0BFC">
        <w:t xml:space="preserve"> </w:t>
      </w:r>
      <w:r w:rsidR="00A1185F">
        <w:t>Effectively, the current guidance notes and the previous regulatory rulings provide the same flexibility.</w:t>
      </w:r>
    </w:p>
    <w:p w:rsidR="00936F96" w:rsidRPr="00465266" w:rsidRDefault="00465266" w:rsidP="0042252C">
      <w:r>
        <w:t>It is necessary to balance t</w:t>
      </w:r>
      <w:r w:rsidR="00936F96">
        <w:t xml:space="preserve">he ongoing </w:t>
      </w:r>
      <w:r w:rsidR="00C1076E" w:rsidRPr="00C1076E">
        <w:t>challenge</w:t>
      </w:r>
      <w:r w:rsidR="00936F96">
        <w:t xml:space="preserve"> of delivering a regulatory regime with the necessary flexibility to accommodate innovation and technology changes within a compliance framework that requires repeatable, consistent and </w:t>
      </w:r>
      <w:r w:rsidR="002A7A95">
        <w:t>defendable</w:t>
      </w:r>
      <w:r w:rsidR="00936F96">
        <w:t xml:space="preserve"> out</w:t>
      </w:r>
      <w:r w:rsidR="002A7A95">
        <w:t xml:space="preserve">comes. The GEMS Regulator can best manage these competing pressures by regularly </w:t>
      </w:r>
      <w:r w:rsidR="002A7A95" w:rsidRPr="00C1076E">
        <w:t xml:space="preserve">reviewing </w:t>
      </w:r>
      <w:r w:rsidR="002A7A95">
        <w:t xml:space="preserve">the regulatory </w:t>
      </w:r>
      <w:r w:rsidR="002A7A95" w:rsidRPr="00C1076E">
        <w:t xml:space="preserve">requirements to make sure they are still </w:t>
      </w:r>
      <w:r w:rsidR="002A7A95">
        <w:t xml:space="preserve">appropriate, </w:t>
      </w:r>
      <w:r w:rsidR="002A7A95" w:rsidRPr="00C1076E">
        <w:t xml:space="preserve">relevant, and </w:t>
      </w:r>
      <w:r w:rsidR="002A7A95">
        <w:t>delivering the intended outcomes.</w:t>
      </w:r>
      <w:r>
        <w:t xml:space="preserve"> See </w:t>
      </w:r>
      <w:r w:rsidR="003E0BFC" w:rsidRPr="00C743A5">
        <w:rPr>
          <w:b/>
          <w:bCs/>
        </w:rPr>
        <w:t>Section 5.8.1</w:t>
      </w:r>
      <w:r w:rsidR="003E0BFC">
        <w:t xml:space="preserve"> </w:t>
      </w:r>
      <w:r>
        <w:t>for further discussion on emerging products.</w:t>
      </w:r>
    </w:p>
    <w:p w:rsidR="00787CEF" w:rsidRPr="00240A12" w:rsidRDefault="00787CEF" w:rsidP="003442DC">
      <w:pPr>
        <w:pStyle w:val="RecHead"/>
      </w:pPr>
      <w:r w:rsidRPr="00240A12">
        <w:t>RECOMMENDATION</w:t>
      </w:r>
      <w:r w:rsidR="00D8668D" w:rsidRPr="00240A12">
        <w:t xml:space="preserve"> </w:t>
      </w:r>
      <w:r w:rsidR="00DC34C4">
        <w:t>3</w:t>
      </w:r>
    </w:p>
    <w:p w:rsidR="002A7A95" w:rsidRPr="00C743A5" w:rsidRDefault="002A7A95" w:rsidP="00C743A5">
      <w:pPr>
        <w:rPr>
          <w:b/>
          <w:bCs/>
        </w:rPr>
      </w:pPr>
      <w:r w:rsidRPr="00C743A5">
        <w:rPr>
          <w:b/>
          <w:bCs/>
        </w:rPr>
        <w:t>The</w:t>
      </w:r>
      <w:r w:rsidR="00B01B72" w:rsidRPr="00C743A5">
        <w:rPr>
          <w:b/>
          <w:bCs/>
        </w:rPr>
        <w:t xml:space="preserve"> Commonwealth Government </w:t>
      </w:r>
      <w:r w:rsidRPr="00C743A5">
        <w:rPr>
          <w:b/>
          <w:bCs/>
        </w:rPr>
        <w:t xml:space="preserve">maintain the current flexibility within the </w:t>
      </w:r>
      <w:r w:rsidR="00A1185F" w:rsidRPr="00C743A5">
        <w:rPr>
          <w:b/>
          <w:bCs/>
        </w:rPr>
        <w:t xml:space="preserve">regulatory framework </w:t>
      </w:r>
      <w:r w:rsidRPr="00C743A5">
        <w:rPr>
          <w:b/>
          <w:bCs/>
        </w:rPr>
        <w:t xml:space="preserve">to </w:t>
      </w:r>
      <w:r w:rsidR="00465266" w:rsidRPr="00C743A5">
        <w:rPr>
          <w:b/>
          <w:bCs/>
        </w:rPr>
        <w:t>provide an appropriate balance between certainty and the flexibility to allow for product innovation.</w:t>
      </w:r>
    </w:p>
    <w:p w:rsidR="00692698" w:rsidRPr="00CB5EA3" w:rsidRDefault="004D42A2" w:rsidP="00F740A0">
      <w:pPr>
        <w:pStyle w:val="Heading3"/>
      </w:pPr>
      <w:bookmarkStart w:id="63" w:name="_Toc18660990"/>
      <w:r>
        <w:t>5.2.3</w:t>
      </w:r>
      <w:r w:rsidR="00692698" w:rsidRPr="00CB5EA3">
        <w:tab/>
        <w:t>Determinations process</w:t>
      </w:r>
      <w:bookmarkEnd w:id="63"/>
    </w:p>
    <w:p w:rsidR="004D42A2" w:rsidRPr="00A02EB9" w:rsidRDefault="0029020F" w:rsidP="00F740A0">
      <w:pPr>
        <w:rPr>
          <w:b/>
          <w:i/>
        </w:rPr>
      </w:pPr>
      <w:r w:rsidRPr="0029020F">
        <w:t>T</w:t>
      </w:r>
      <w:r w:rsidR="00D8668D">
        <w:t>hree</w:t>
      </w:r>
      <w:r w:rsidRPr="0029020F">
        <w:t xml:space="preserve"> main issues have been considered with regard to the process for developing new or revised GEMS determination</w:t>
      </w:r>
      <w:r w:rsidR="00D8668D">
        <w:t>s</w:t>
      </w:r>
      <w:r w:rsidR="004D42A2">
        <w:t>:</w:t>
      </w:r>
      <w:r w:rsidR="00A02EB9">
        <w:t xml:space="preserve">  </w:t>
      </w:r>
    </w:p>
    <w:p w:rsidR="004D42A2" w:rsidRPr="004E675B" w:rsidRDefault="00D8668D" w:rsidP="008A7FC0">
      <w:pPr>
        <w:pStyle w:val="ListParagraph"/>
        <w:numPr>
          <w:ilvl w:val="0"/>
          <w:numId w:val="21"/>
        </w:numPr>
        <w:ind w:hanging="436"/>
      </w:pPr>
      <w:r w:rsidRPr="00040C77">
        <w:t>the consultation process</w:t>
      </w:r>
      <w:r w:rsidR="004D42A2" w:rsidRPr="00BF4C62">
        <w:t>;</w:t>
      </w:r>
    </w:p>
    <w:p w:rsidR="004D42A2" w:rsidRPr="004E675B" w:rsidRDefault="0029020F" w:rsidP="008A7FC0">
      <w:pPr>
        <w:pStyle w:val="ListParagraph"/>
        <w:numPr>
          <w:ilvl w:val="0"/>
          <w:numId w:val="21"/>
        </w:numPr>
        <w:ind w:hanging="436"/>
      </w:pPr>
      <w:r w:rsidRPr="00040C77">
        <w:t>the timeline</w:t>
      </w:r>
      <w:r w:rsidR="004D42A2" w:rsidRPr="00BF4C62">
        <w:t xml:space="preserve"> for making determinations; and</w:t>
      </w:r>
    </w:p>
    <w:p w:rsidR="0029020F" w:rsidRPr="004E675B" w:rsidRDefault="00D8668D" w:rsidP="008A7FC0">
      <w:pPr>
        <w:pStyle w:val="ListParagraph"/>
        <w:numPr>
          <w:ilvl w:val="0"/>
          <w:numId w:val="21"/>
        </w:numPr>
        <w:ind w:hanging="436"/>
      </w:pPr>
      <w:r w:rsidRPr="00040C77">
        <w:t>the transition period between the publication and implementation of a new or revised determination</w:t>
      </w:r>
      <w:r w:rsidR="0029020F" w:rsidRPr="00BF4C62">
        <w:t>.</w:t>
      </w:r>
    </w:p>
    <w:p w:rsidR="0029020F" w:rsidRPr="0029020F" w:rsidRDefault="0029020F" w:rsidP="0042252C">
      <w:pPr>
        <w:pStyle w:val="Heading4"/>
      </w:pPr>
      <w:r w:rsidRPr="0029020F">
        <w:t>Consultation</w:t>
      </w:r>
      <w:r w:rsidR="00226752">
        <w:t xml:space="preserve"> process</w:t>
      </w:r>
    </w:p>
    <w:p w:rsidR="009D32BF" w:rsidRDefault="0029020F" w:rsidP="0042252C">
      <w:r w:rsidRPr="0029020F">
        <w:t xml:space="preserve">Submissions from industry stakeholders highlighted concerns about the potential lack of clear obligations </w:t>
      </w:r>
      <w:r w:rsidR="009D32BF">
        <w:t>for</w:t>
      </w:r>
      <w:r w:rsidR="009D32BF" w:rsidRPr="0029020F">
        <w:t xml:space="preserve"> </w:t>
      </w:r>
      <w:r w:rsidRPr="0029020F">
        <w:t xml:space="preserve">consultation where regulation is progressed through a GEMS </w:t>
      </w:r>
      <w:r w:rsidR="00000B69">
        <w:t>d</w:t>
      </w:r>
      <w:r w:rsidRPr="0029020F">
        <w:t xml:space="preserve">etermination directly, rather than through the </w:t>
      </w:r>
      <w:r w:rsidR="00000B69">
        <w:t>process for developing Australian S</w:t>
      </w:r>
      <w:r w:rsidRPr="0029020F">
        <w:t xml:space="preserve">tandards. </w:t>
      </w:r>
    </w:p>
    <w:p w:rsidR="007A43A6" w:rsidRDefault="007A43A6">
      <w:pPr>
        <w:spacing w:after="0" w:line="240" w:lineRule="auto"/>
        <w:rPr>
          <w:color w:val="243F60"/>
          <w:sz w:val="22"/>
        </w:rPr>
      </w:pPr>
      <w:r>
        <w:rPr>
          <w:color w:val="243F60"/>
        </w:rPr>
        <w:br w:type="page"/>
      </w:r>
    </w:p>
    <w:p w:rsidR="009D32BF" w:rsidRPr="009115F1" w:rsidRDefault="009D32BF">
      <w:pPr>
        <w:pStyle w:val="SbQuote"/>
      </w:pPr>
      <w:r w:rsidRPr="009115F1">
        <w:lastRenderedPageBreak/>
        <w:t xml:space="preserve">The GEMS Act allows for the use of alternative regulatory standards and this is potentially problematic for industry stakeholders because the regulatory processes to develop an alternative regulatory standard do not contain the same pillars of consensus, transparency and balance as contained within the Standards Australia process. </w:t>
      </w:r>
    </w:p>
    <w:p w:rsidR="009D32BF" w:rsidRDefault="009D32BF">
      <w:pPr>
        <w:pStyle w:val="SbQuoteref"/>
      </w:pPr>
      <w:r>
        <w:t>Lighting Council of Australia (LCA), 2018</w:t>
      </w:r>
    </w:p>
    <w:p w:rsidR="009D32BF" w:rsidRPr="009115F1" w:rsidRDefault="009D32BF">
      <w:pPr>
        <w:pStyle w:val="SbQuote"/>
      </w:pPr>
      <w:r w:rsidRPr="009115F1">
        <w:t>CESA strongly prefers the use of the standards approach instead of the use of determinations, in particular because the department is not required to reach consensus under the determination approach…</w:t>
      </w:r>
    </w:p>
    <w:p w:rsidR="009D32BF" w:rsidRDefault="009D32BF">
      <w:pPr>
        <w:pStyle w:val="SbQuoteref"/>
      </w:pPr>
      <w:r w:rsidRPr="00C1076E">
        <w:t>C</w:t>
      </w:r>
      <w:r>
        <w:t xml:space="preserve">onsumer Electronic Suppliers Association (CESA), 2018 </w:t>
      </w:r>
    </w:p>
    <w:p w:rsidR="004B4BF0" w:rsidRPr="0029020F" w:rsidRDefault="004B4BF0" w:rsidP="0042252C">
      <w:r w:rsidRPr="0029020F">
        <w:t xml:space="preserve">Others acknowledged that, sometimes, the direct determination approach may be beneficial. </w:t>
      </w:r>
    </w:p>
    <w:p w:rsidR="004B4BF0" w:rsidRPr="009115F1" w:rsidRDefault="004B4BF0">
      <w:pPr>
        <w:pStyle w:val="SbQuote"/>
        <w:rPr>
          <w:lang w:eastAsia="en-AU"/>
        </w:rPr>
      </w:pPr>
      <w:r w:rsidRPr="009115F1">
        <w:rPr>
          <w:lang w:eastAsia="en-AU"/>
        </w:rPr>
        <w:t>AREMA supports the current standards-based mechanism for establishing determinations as it ensure sufficient industry engagement.</w:t>
      </w:r>
      <w:r w:rsidR="003E0BFC" w:rsidRPr="009115F1">
        <w:rPr>
          <w:lang w:eastAsia="en-AU"/>
        </w:rPr>
        <w:t xml:space="preserve"> </w:t>
      </w:r>
      <w:r w:rsidRPr="009115F1">
        <w:rPr>
          <w:lang w:eastAsia="en-AU"/>
        </w:rPr>
        <w:t>We do recognize, however, that there are times when an alternative approach may be beneficial.</w:t>
      </w:r>
    </w:p>
    <w:p w:rsidR="004B4BF0" w:rsidRPr="00D41F10" w:rsidRDefault="004B4BF0">
      <w:pPr>
        <w:pStyle w:val="SbQuoteref"/>
      </w:pPr>
      <w:r w:rsidRPr="00D41F10">
        <w:t>The Air Conditioning and Refrigeration Equipment Manufacturers Association (</w:t>
      </w:r>
      <w:r w:rsidRPr="00F740A0">
        <w:t>AREMA), 2018</w:t>
      </w:r>
    </w:p>
    <w:p w:rsidR="004B4BF0" w:rsidRPr="009115F1" w:rsidRDefault="004B4BF0">
      <w:pPr>
        <w:pStyle w:val="SbQuote"/>
      </w:pPr>
      <w:r w:rsidRPr="009115F1">
        <w:t>Standards Australia also acknowledges that, sometimes, the GEMS determination pathway is the most appropriate policy approach to delivering the desired outcome to the market.</w:t>
      </w:r>
    </w:p>
    <w:p w:rsidR="004B4BF0" w:rsidRDefault="004B4BF0">
      <w:pPr>
        <w:pStyle w:val="SbQuoteref"/>
      </w:pPr>
      <w:r>
        <w:t>Standards Australia, 2018</w:t>
      </w:r>
    </w:p>
    <w:p w:rsidR="00294C43" w:rsidRDefault="004B4BF0" w:rsidP="0042252C">
      <w:r w:rsidRPr="0029020F">
        <w:t>AREMA’s submission outlines two main areas that it believes need to be addressed</w:t>
      </w:r>
      <w:r w:rsidR="000E683C">
        <w:t>:</w:t>
      </w:r>
    </w:p>
    <w:p w:rsidR="00294C43" w:rsidRDefault="004B4BF0" w:rsidP="008A7FC0">
      <w:pPr>
        <w:pStyle w:val="ListParagraph"/>
        <w:numPr>
          <w:ilvl w:val="0"/>
          <w:numId w:val="20"/>
        </w:numPr>
        <w:ind w:left="567" w:hanging="425"/>
      </w:pPr>
      <w:r w:rsidRPr="0029020F">
        <w:t>the process of determining whether the standards-based approach or alternative approach should be followed</w:t>
      </w:r>
      <w:r w:rsidR="00717522">
        <w:t xml:space="preserve">; and </w:t>
      </w:r>
    </w:p>
    <w:p w:rsidR="004B4BF0" w:rsidRPr="0029020F" w:rsidRDefault="004B4BF0" w:rsidP="008A7FC0">
      <w:pPr>
        <w:pStyle w:val="ListParagraph"/>
        <w:numPr>
          <w:ilvl w:val="0"/>
          <w:numId w:val="20"/>
        </w:numPr>
        <w:ind w:left="567" w:hanging="425"/>
      </w:pPr>
      <w:r w:rsidRPr="0029020F">
        <w:t xml:space="preserve">where an alternative approach is used, that there be sufficient detail and robustness with regard to the consultation process. </w:t>
      </w:r>
    </w:p>
    <w:p w:rsidR="00775BF0" w:rsidRDefault="000C059A" w:rsidP="00F740A0">
      <w:r>
        <w:t xml:space="preserve">In submissions to the draft report, several industry groups called for this review to </w:t>
      </w:r>
      <w:r w:rsidR="00555719">
        <w:t>provide a</w:t>
      </w:r>
      <w:r w:rsidRPr="000C059A">
        <w:t xml:space="preserve"> more definitive statement regarding the use of Standards Australia development processes</w:t>
      </w:r>
      <w:r>
        <w:t xml:space="preserve">. </w:t>
      </w:r>
      <w:r w:rsidR="00E9194D">
        <w:t>They</w:t>
      </w:r>
      <w:r w:rsidR="00555719">
        <w:t xml:space="preserve"> called for the</w:t>
      </w:r>
      <w:r>
        <w:t xml:space="preserve"> GEMS Act </w:t>
      </w:r>
      <w:r w:rsidR="00555719">
        <w:t>to</w:t>
      </w:r>
      <w:r>
        <w:t xml:space="preserve"> be amended </w:t>
      </w:r>
      <w:r w:rsidR="00DC5418">
        <w:t xml:space="preserve">so that the </w:t>
      </w:r>
      <w:r>
        <w:t>Standards Australia</w:t>
      </w:r>
      <w:r w:rsidR="00DC5418">
        <w:t xml:space="preserve"> process</w:t>
      </w:r>
      <w:r>
        <w:t xml:space="preserve"> is recog</w:t>
      </w:r>
      <w:r w:rsidR="00555719">
        <w:t>nised as the default, and that</w:t>
      </w:r>
      <w:r>
        <w:t xml:space="preserve"> alternative process</w:t>
      </w:r>
      <w:r w:rsidR="00555719">
        <w:t>es</w:t>
      </w:r>
      <w:r w:rsidR="00775BF0">
        <w:t xml:space="preserve"> sh</w:t>
      </w:r>
      <w:r w:rsidR="00555719">
        <w:t>ould</w:t>
      </w:r>
      <w:r>
        <w:t xml:space="preserve"> only be undertaken if favoured by al</w:t>
      </w:r>
      <w:r w:rsidR="00555719">
        <w:t xml:space="preserve">l stakeholders. </w:t>
      </w:r>
    </w:p>
    <w:p w:rsidR="00C744D5" w:rsidRPr="009115F1" w:rsidRDefault="000448EE">
      <w:pPr>
        <w:pStyle w:val="SbQuote"/>
      </w:pPr>
      <w:r w:rsidRPr="009115F1">
        <w:t>Ai Group would like to see a more definitive statement regarding the default use of Standards Australia standards development processes. Current recommendations leave the Government free to pursue alternative standards development processes without a commitment to consensus.</w:t>
      </w:r>
    </w:p>
    <w:p w:rsidR="000448EE" w:rsidRPr="009271CB" w:rsidRDefault="000448EE">
      <w:pPr>
        <w:pStyle w:val="SbQuote"/>
        <w:spacing w:after="200"/>
        <w:rPr>
          <w:i/>
          <w:color w:val="auto"/>
        </w:rPr>
      </w:pPr>
      <w:r w:rsidRPr="000448EE">
        <w:rPr>
          <w:i/>
          <w:color w:val="auto"/>
        </w:rPr>
        <w:t>Ai Group, 2018</w:t>
      </w:r>
    </w:p>
    <w:p w:rsidR="00775BF0" w:rsidRDefault="004B78F5" w:rsidP="00F740A0">
      <w:r>
        <w:t>The</w:t>
      </w:r>
      <w:r w:rsidR="00555719">
        <w:t xml:space="preserve"> Energy Efficiency Council and the Australian Sustainable Built Environment Council submissions opposed </w:t>
      </w:r>
      <w:r w:rsidR="00DC5418">
        <w:t>favouring of the Standards Australia process</w:t>
      </w:r>
      <w:r w:rsidR="00555719">
        <w:t xml:space="preserve">, on the grounds that a consensus approach to developing standards may </w:t>
      </w:r>
      <w:r w:rsidR="00431C07">
        <w:t xml:space="preserve">impede the delivery of </w:t>
      </w:r>
      <w:r w:rsidR="00555719">
        <w:t>substantial benefits to consumers.</w:t>
      </w:r>
      <w:r w:rsidR="00775BF0">
        <w:t xml:space="preserve"> They also called for greater consultation with consumer representatives when developing standards, as they believe the views of consumer groups are under-represented. </w:t>
      </w:r>
    </w:p>
    <w:p w:rsidR="009F7842" w:rsidRDefault="00F51DE6" w:rsidP="00C744D5">
      <w:pPr>
        <w:spacing w:after="0"/>
        <w:ind w:left="720"/>
        <w:rPr>
          <w:color w:val="243F60"/>
          <w:sz w:val="22"/>
        </w:rPr>
      </w:pPr>
      <w:r>
        <w:rPr>
          <w:color w:val="243F60"/>
          <w:sz w:val="22"/>
        </w:rPr>
        <w:t>(The Energy Efficiency Council) s</w:t>
      </w:r>
      <w:r w:rsidRPr="00C744D5">
        <w:rPr>
          <w:color w:val="243F60"/>
          <w:sz w:val="22"/>
        </w:rPr>
        <w:t xml:space="preserve">trongly opposes the proposal </w:t>
      </w:r>
      <w:r>
        <w:rPr>
          <w:color w:val="243F60"/>
          <w:sz w:val="22"/>
        </w:rPr>
        <w:t>…</w:t>
      </w:r>
      <w:r w:rsidRPr="00C744D5">
        <w:rPr>
          <w:color w:val="243F60"/>
          <w:sz w:val="22"/>
        </w:rPr>
        <w:t xml:space="preserve"> that minimum energy performance standards for appliances should be required to be developed by consensus, similar to the Standards Australia approach.</w:t>
      </w:r>
      <w:r>
        <w:rPr>
          <w:color w:val="243F60"/>
          <w:sz w:val="22"/>
        </w:rPr>
        <w:t xml:space="preserve"> </w:t>
      </w:r>
      <w:r w:rsidRPr="00C744D5">
        <w:rPr>
          <w:color w:val="243F60"/>
          <w:sz w:val="22"/>
        </w:rPr>
        <w:t xml:space="preserve">A requirement for </w:t>
      </w:r>
      <w:r w:rsidRPr="00C744D5">
        <w:rPr>
          <w:color w:val="243F60"/>
          <w:sz w:val="22"/>
        </w:rPr>
        <w:lastRenderedPageBreak/>
        <w:t xml:space="preserve">consensus would enable a single stakeholder to oppose the development or tightening of standards that could deliver substantial benefits to consumers. </w:t>
      </w:r>
    </w:p>
    <w:p w:rsidR="00F51DE6" w:rsidRPr="000448EE" w:rsidRDefault="00F51DE6" w:rsidP="000448EE">
      <w:pPr>
        <w:ind w:left="720"/>
        <w:rPr>
          <w:i/>
          <w:sz w:val="22"/>
        </w:rPr>
      </w:pPr>
      <w:r w:rsidRPr="000448EE">
        <w:rPr>
          <w:i/>
          <w:sz w:val="22"/>
        </w:rPr>
        <w:t>Energy Efficiency Council</w:t>
      </w:r>
      <w:r w:rsidR="00BF5550" w:rsidRPr="000448EE">
        <w:rPr>
          <w:i/>
          <w:sz w:val="22"/>
        </w:rPr>
        <w:t>,</w:t>
      </w:r>
      <w:r w:rsidRPr="000448EE">
        <w:rPr>
          <w:i/>
          <w:sz w:val="22"/>
        </w:rPr>
        <w:t xml:space="preserve"> 201</w:t>
      </w:r>
      <w:r w:rsidR="000448EE" w:rsidRPr="000448EE">
        <w:rPr>
          <w:i/>
          <w:sz w:val="22"/>
        </w:rPr>
        <w:t>8</w:t>
      </w:r>
    </w:p>
    <w:p w:rsidR="004263D5" w:rsidRDefault="004263D5" w:rsidP="00F740A0">
      <w:r w:rsidRPr="00F740A0">
        <w:t xml:space="preserve">The need to </w:t>
      </w:r>
      <w:r>
        <w:t xml:space="preserve">draft a new determination or revise an existing determination, usually follows extensive consultation as part of the COAG RIS process. </w:t>
      </w:r>
      <w:r w:rsidR="00867183">
        <w:t>Once COAG Energy Council has made a decision, that decision</w:t>
      </w:r>
      <w:r w:rsidR="00440B62">
        <w:t xml:space="preserve"> should</w:t>
      </w:r>
      <w:r w:rsidR="00867183">
        <w:t xml:space="preserve"> be implemented </w:t>
      </w:r>
      <w:r w:rsidR="00440B62">
        <w:t xml:space="preserve">as soon as possible, </w:t>
      </w:r>
      <w:r w:rsidR="00867183">
        <w:t xml:space="preserve">to ensure the benefits are delivered to Australian households and business. As such, it is </w:t>
      </w:r>
      <w:r w:rsidR="0029020F" w:rsidRPr="0029020F">
        <w:t xml:space="preserve">prudent that </w:t>
      </w:r>
      <w:r w:rsidR="00226752">
        <w:t xml:space="preserve">the GEMS </w:t>
      </w:r>
      <w:r w:rsidR="00867183">
        <w:t xml:space="preserve">Act provide the </w:t>
      </w:r>
      <w:r w:rsidR="0029020F" w:rsidRPr="0029020F">
        <w:t>flexibility to use the approach that will deliver the most desirable outcome given the circumstance</w:t>
      </w:r>
      <w:r w:rsidR="00867183">
        <w:t>s</w:t>
      </w:r>
      <w:r w:rsidR="0029020F" w:rsidRPr="0029020F">
        <w:t xml:space="preserve">. However, it is </w:t>
      </w:r>
      <w:r w:rsidR="00867183">
        <w:t xml:space="preserve">also </w:t>
      </w:r>
      <w:r w:rsidR="0029020F" w:rsidRPr="0029020F">
        <w:t>important that industry and other stakeholders</w:t>
      </w:r>
      <w:r w:rsidR="00094716">
        <w:t xml:space="preserve"> h</w:t>
      </w:r>
      <w:r w:rsidR="00FD28D2">
        <w:t>a</w:t>
      </w:r>
      <w:r w:rsidR="0029020F" w:rsidRPr="0029020F">
        <w:t>ve sufficient confidence regarding the</w:t>
      </w:r>
      <w:r w:rsidR="00867183">
        <w:t xml:space="preserve"> implementation</w:t>
      </w:r>
      <w:r w:rsidR="0029020F" w:rsidRPr="0029020F">
        <w:t xml:space="preserve"> process. </w:t>
      </w:r>
    </w:p>
    <w:p w:rsidR="004263D5" w:rsidRDefault="00867183" w:rsidP="00F740A0">
      <w:pPr>
        <w:rPr>
          <w:szCs w:val="24"/>
        </w:rPr>
      </w:pPr>
      <w:r w:rsidRPr="0029020F">
        <w:rPr>
          <w:szCs w:val="24"/>
        </w:rPr>
        <w:t>A</w:t>
      </w:r>
      <w:r w:rsidRPr="0029020F">
        <w:t>ppropriate consultation is a requirement of the COAG RIS</w:t>
      </w:r>
      <w:r>
        <w:t xml:space="preserve"> process, </w:t>
      </w:r>
      <w:r w:rsidRPr="00040C77">
        <w:t xml:space="preserve">and </w:t>
      </w:r>
      <w:r w:rsidR="009D2EAF" w:rsidRPr="004E675B">
        <w:t xml:space="preserve">government </w:t>
      </w:r>
      <w:r w:rsidRPr="004E675B">
        <w:t>official</w:t>
      </w:r>
      <w:r w:rsidR="00B03018" w:rsidRPr="004E675B">
        <w:t>s</w:t>
      </w:r>
      <w:r w:rsidRPr="00040C77">
        <w:t xml:space="preserve"> would be expected</w:t>
      </w:r>
      <w:r w:rsidRPr="00BF4C62">
        <w:t xml:space="preserve"> to ensure that adequate and </w:t>
      </w:r>
      <w:r w:rsidRPr="00BF4C62">
        <w:rPr>
          <w:szCs w:val="24"/>
        </w:rPr>
        <w:t xml:space="preserve">genuine </w:t>
      </w:r>
      <w:r w:rsidRPr="009D2EAF">
        <w:rPr>
          <w:szCs w:val="24"/>
        </w:rPr>
        <w:t>con</w:t>
      </w:r>
      <w:r w:rsidRPr="0029020F">
        <w:rPr>
          <w:szCs w:val="24"/>
        </w:rPr>
        <w:t>sultation</w:t>
      </w:r>
      <w:r>
        <w:rPr>
          <w:szCs w:val="24"/>
        </w:rPr>
        <w:t xml:space="preserve"> was undertaken.</w:t>
      </w:r>
      <w:r w:rsidR="004C5332">
        <w:rPr>
          <w:szCs w:val="24"/>
        </w:rPr>
        <w:t xml:space="preserve"> </w:t>
      </w:r>
      <w:r w:rsidR="004263D5" w:rsidRPr="00C743A5">
        <w:rPr>
          <w:b/>
          <w:bCs/>
        </w:rPr>
        <w:t xml:space="preserve">Box </w:t>
      </w:r>
      <w:r w:rsidR="00DC34C4" w:rsidRPr="00C743A5">
        <w:rPr>
          <w:b/>
          <w:bCs/>
        </w:rPr>
        <w:t>3</w:t>
      </w:r>
      <w:r w:rsidR="00210E88" w:rsidRPr="00C743A5">
        <w:rPr>
          <w:b/>
          <w:bCs/>
        </w:rPr>
        <w:t xml:space="preserve"> </w:t>
      </w:r>
      <w:r w:rsidR="00210E88" w:rsidRPr="004E675B">
        <w:t>outlines the COAG principles for best practice consultation</w:t>
      </w:r>
      <w:r w:rsidR="004263D5" w:rsidRPr="0029020F">
        <w:rPr>
          <w:szCs w:val="24"/>
        </w:rPr>
        <w:t xml:space="preserve">. </w:t>
      </w:r>
    </w:p>
    <w:p w:rsidR="00B71210" w:rsidRPr="00C1076E" w:rsidRDefault="00440B62" w:rsidP="00B71210">
      <w:r>
        <w:t>T</w:t>
      </w:r>
      <w:r w:rsidR="00B71210" w:rsidRPr="00C1076E">
        <w:t xml:space="preserve">he </w:t>
      </w:r>
      <w:r w:rsidR="00B71210" w:rsidRPr="00CC3592">
        <w:rPr>
          <w:i/>
        </w:rPr>
        <w:t>Commonwealth Legislation Act 2003</w:t>
      </w:r>
      <w:r w:rsidR="00B71210" w:rsidRPr="00C1076E">
        <w:t xml:space="preserve"> </w:t>
      </w:r>
      <w:r>
        <w:t xml:space="preserve">also </w:t>
      </w:r>
      <w:r w:rsidR="00B71210" w:rsidRPr="00C1076E">
        <w:t>sets an expectation that</w:t>
      </w:r>
      <w:r w:rsidR="00B71210">
        <w:t>,</w:t>
      </w:r>
      <w:r w:rsidR="00B71210" w:rsidRPr="00C1076E">
        <w:t xml:space="preserve"> before making a legislative instrument, the rule-maker (the Minister in relation to GEMS </w:t>
      </w:r>
      <w:r w:rsidR="00B71210">
        <w:t>d</w:t>
      </w:r>
      <w:r w:rsidR="00B71210" w:rsidRPr="00C1076E">
        <w:t>eterminations) must be satisfied that appropriate</w:t>
      </w:r>
      <w:r w:rsidR="00B71210">
        <w:t xml:space="preserve"> and</w:t>
      </w:r>
      <w:r w:rsidR="00B71210" w:rsidRPr="00C1076E">
        <w:t xml:space="preserve"> reasonably practicable consultation has been undertaken. </w:t>
      </w:r>
      <w:r w:rsidR="00B71210">
        <w:t xml:space="preserve">Section 17 of the </w:t>
      </w:r>
      <w:r w:rsidR="00B71210" w:rsidRPr="00C1076E">
        <w:t>Legislation Act</w:t>
      </w:r>
      <w:r w:rsidR="00B71210">
        <w:t>,</w:t>
      </w:r>
      <w:r w:rsidR="00B71210" w:rsidRPr="00C1076E">
        <w:t xml:space="preserve"> pro</w:t>
      </w:r>
      <w:r w:rsidR="00B71210">
        <w:t>vides guidance on what the rule</w:t>
      </w:r>
      <w:r w:rsidR="00B71210">
        <w:noBreakHyphen/>
      </w:r>
      <w:r w:rsidR="00B71210" w:rsidRPr="00C1076E">
        <w:t xml:space="preserve">maker should </w:t>
      </w:r>
      <w:r w:rsidR="00B71210">
        <w:t>consider</w:t>
      </w:r>
      <w:r w:rsidR="00B71210" w:rsidRPr="00C1076E">
        <w:t xml:space="preserve"> in assessing whether the consultation has been appropriate, which includes the extent to which the knowledge of experts in the field has been drawn on, and the extent to which those likely to be affected by the instrument have had an opportunity to provide comment.</w:t>
      </w:r>
    </w:p>
    <w:p w:rsidR="007A43A6" w:rsidRDefault="006979A5" w:rsidP="007A43A6">
      <w:r>
        <w:t>Furthermore, t</w:t>
      </w:r>
      <w:r w:rsidRPr="00C1076E">
        <w:t xml:space="preserve">he explanatory statement for the instrument, which accompanies the </w:t>
      </w:r>
      <w:r>
        <w:t>determination</w:t>
      </w:r>
      <w:r w:rsidRPr="00C1076E">
        <w:t xml:space="preserve"> when it is tabled for Parliamentary scrutiny, is required to contain a description of the consultation undertaken, or provide an explanation for the absence of consultation where none was undertaken</w:t>
      </w:r>
      <w:r w:rsidR="007A43A6">
        <w:t>.</w:t>
      </w:r>
    </w:p>
    <w:p w:rsidR="007A43A6" w:rsidRDefault="007A43A6">
      <w:pPr>
        <w:spacing w:after="0" w:line="240" w:lineRule="auto"/>
      </w:pPr>
      <w:r>
        <w:br w:type="page"/>
      </w:r>
    </w:p>
    <w:p w:rsidR="004263D5" w:rsidRPr="00413D00" w:rsidRDefault="004263D5">
      <w:pPr>
        <w:pBdr>
          <w:top w:val="single" w:sz="4" w:space="1" w:color="auto"/>
          <w:left w:val="single" w:sz="4" w:space="4" w:color="auto"/>
          <w:bottom w:val="single" w:sz="4" w:space="1" w:color="auto"/>
          <w:right w:val="single" w:sz="4" w:space="4" w:color="auto"/>
        </w:pBdr>
        <w:rPr>
          <w:rStyle w:val="Emphasis"/>
          <w:szCs w:val="20"/>
        </w:rPr>
      </w:pPr>
      <w:r w:rsidRPr="00413D00">
        <w:rPr>
          <w:rStyle w:val="Emphasis"/>
          <w:szCs w:val="20"/>
        </w:rPr>
        <w:lastRenderedPageBreak/>
        <w:t xml:space="preserve">Box </w:t>
      </w:r>
      <w:r w:rsidR="00DC34C4" w:rsidRPr="00413D00">
        <w:rPr>
          <w:rStyle w:val="Emphasis"/>
          <w:szCs w:val="20"/>
        </w:rPr>
        <w:t>3</w:t>
      </w:r>
      <w:r w:rsidRPr="00413D00">
        <w:rPr>
          <w:rStyle w:val="Emphasis"/>
          <w:szCs w:val="20"/>
        </w:rPr>
        <w:t xml:space="preserve">: </w:t>
      </w:r>
      <w:r w:rsidR="00210E88" w:rsidRPr="00413D00">
        <w:rPr>
          <w:rStyle w:val="Emphasis"/>
          <w:szCs w:val="20"/>
        </w:rPr>
        <w:t>COAG Principles for best practice consultation</w:t>
      </w:r>
      <w:r w:rsidR="004C5332" w:rsidRPr="00413D00">
        <w:rPr>
          <w:rStyle w:val="Emphasis"/>
          <w:szCs w:val="20"/>
        </w:rPr>
        <w:t xml:space="preserve"> </w:t>
      </w:r>
    </w:p>
    <w:p w:rsidR="00210E88" w:rsidRPr="004E675B" w:rsidRDefault="00210E88" w:rsidP="004E675B">
      <w:pPr>
        <w:pBdr>
          <w:top w:val="single" w:sz="4" w:space="1" w:color="auto"/>
          <w:left w:val="single" w:sz="4" w:space="4" w:color="auto"/>
          <w:bottom w:val="single" w:sz="4" w:space="1" w:color="auto"/>
          <w:right w:val="single" w:sz="4" w:space="4" w:color="auto"/>
        </w:pBdr>
        <w:ind w:left="2884" w:hanging="2884"/>
        <w:rPr>
          <w:sz w:val="22"/>
          <w:lang w:eastAsia="en-AU"/>
        </w:rPr>
      </w:pPr>
      <w:r w:rsidRPr="00C743A5">
        <w:rPr>
          <w:b/>
          <w:bCs/>
        </w:rPr>
        <w:t>Continuity:</w:t>
      </w:r>
      <w:r w:rsidRPr="00C743A5">
        <w:rPr>
          <w:b/>
          <w:bCs/>
        </w:rPr>
        <w:tab/>
      </w:r>
      <w:r w:rsidRPr="004E675B">
        <w:rPr>
          <w:sz w:val="22"/>
          <w:lang w:eastAsia="en-AU"/>
        </w:rPr>
        <w:t>Consultation should be a continuous process that starts early in the policy development process.</w:t>
      </w:r>
    </w:p>
    <w:p w:rsidR="00210E88" w:rsidRPr="004E675B" w:rsidRDefault="00210E88" w:rsidP="004E675B">
      <w:pPr>
        <w:pBdr>
          <w:top w:val="single" w:sz="4" w:space="1" w:color="auto"/>
          <w:left w:val="single" w:sz="4" w:space="4" w:color="auto"/>
          <w:bottom w:val="single" w:sz="4" w:space="1" w:color="auto"/>
          <w:right w:val="single" w:sz="4" w:space="4" w:color="auto"/>
        </w:pBdr>
        <w:ind w:left="2884" w:hanging="2884"/>
        <w:rPr>
          <w:sz w:val="22"/>
          <w:lang w:eastAsia="en-AU"/>
        </w:rPr>
      </w:pPr>
      <w:r w:rsidRPr="00C743A5">
        <w:rPr>
          <w:b/>
          <w:bCs/>
        </w:rPr>
        <w:t>Targeting:</w:t>
      </w:r>
      <w:r w:rsidRPr="00C743A5">
        <w:rPr>
          <w:b/>
          <w:bCs/>
        </w:rPr>
        <w:tab/>
      </w:r>
      <w:r w:rsidRPr="004E675B">
        <w:rPr>
          <w:sz w:val="22"/>
          <w:lang w:eastAsia="en-AU"/>
        </w:rPr>
        <w:t xml:space="preserve">Consultation should be widely based to ensure it captures the diversity of stakeholders affected by the proposed changes. This includes Commonwealth, </w:t>
      </w:r>
      <w:r w:rsidR="00717522" w:rsidRPr="004E675B">
        <w:rPr>
          <w:sz w:val="22"/>
          <w:lang w:eastAsia="en-AU"/>
        </w:rPr>
        <w:t xml:space="preserve">state, territory </w:t>
      </w:r>
      <w:r w:rsidRPr="004E675B">
        <w:rPr>
          <w:sz w:val="22"/>
          <w:lang w:eastAsia="en-AU"/>
        </w:rPr>
        <w:t>and local governments, as appropriate.</w:t>
      </w:r>
    </w:p>
    <w:p w:rsidR="00210E88" w:rsidRPr="004E675B" w:rsidRDefault="00210E88" w:rsidP="004E675B">
      <w:pPr>
        <w:pBdr>
          <w:top w:val="single" w:sz="4" w:space="1" w:color="auto"/>
          <w:left w:val="single" w:sz="4" w:space="4" w:color="auto"/>
          <w:bottom w:val="single" w:sz="4" w:space="1" w:color="auto"/>
          <w:right w:val="single" w:sz="4" w:space="4" w:color="auto"/>
        </w:pBdr>
        <w:ind w:left="2884" w:hanging="2884"/>
        <w:rPr>
          <w:sz w:val="22"/>
          <w:lang w:eastAsia="en-AU"/>
        </w:rPr>
      </w:pPr>
      <w:r w:rsidRPr="00C743A5">
        <w:rPr>
          <w:b/>
          <w:bCs/>
        </w:rPr>
        <w:t>Appropriate timeliness:</w:t>
      </w:r>
      <w:r w:rsidRPr="00C743A5">
        <w:rPr>
          <w:b/>
          <w:bCs/>
        </w:rPr>
        <w:tab/>
      </w:r>
      <w:r w:rsidRPr="004E675B">
        <w:rPr>
          <w:sz w:val="22"/>
          <w:lang w:eastAsia="en-AU"/>
        </w:rPr>
        <w:t>Consultation should start when policy objectives and options are being identified. Throughout the consultation process stakeholders should be given sufficient time to provide considered responses.</w:t>
      </w:r>
    </w:p>
    <w:p w:rsidR="00210E88" w:rsidRPr="004E675B" w:rsidRDefault="00210E88" w:rsidP="004E675B">
      <w:pPr>
        <w:pBdr>
          <w:top w:val="single" w:sz="4" w:space="1" w:color="auto"/>
          <w:left w:val="single" w:sz="4" w:space="4" w:color="auto"/>
          <w:bottom w:val="single" w:sz="4" w:space="1" w:color="auto"/>
          <w:right w:val="single" w:sz="4" w:space="4" w:color="auto"/>
        </w:pBdr>
        <w:ind w:left="2884" w:hanging="2884"/>
        <w:rPr>
          <w:sz w:val="22"/>
          <w:lang w:eastAsia="en-AU"/>
        </w:rPr>
      </w:pPr>
      <w:r w:rsidRPr="00C743A5">
        <w:rPr>
          <w:b/>
          <w:bCs/>
        </w:rPr>
        <w:t>Accessibility:</w:t>
      </w:r>
      <w:r w:rsidRPr="00C743A5">
        <w:rPr>
          <w:b/>
          <w:bCs/>
        </w:rPr>
        <w:tab/>
      </w:r>
      <w:r w:rsidRPr="004E675B">
        <w:rPr>
          <w:sz w:val="22"/>
          <w:lang w:eastAsia="en-AU"/>
        </w:rPr>
        <w:t>Stakeholder groups should be informed of proposed consultation, and be provided with information about proposals, via a range of means appropriate to those groups.</w:t>
      </w:r>
    </w:p>
    <w:p w:rsidR="00210E88" w:rsidRPr="004E675B" w:rsidRDefault="00210E88" w:rsidP="004E675B">
      <w:pPr>
        <w:pBdr>
          <w:top w:val="single" w:sz="4" w:space="1" w:color="auto"/>
          <w:left w:val="single" w:sz="4" w:space="4" w:color="auto"/>
          <w:bottom w:val="single" w:sz="4" w:space="1" w:color="auto"/>
          <w:right w:val="single" w:sz="4" w:space="4" w:color="auto"/>
        </w:pBdr>
        <w:ind w:left="2884" w:hanging="2884"/>
        <w:rPr>
          <w:sz w:val="22"/>
          <w:lang w:eastAsia="en-AU"/>
        </w:rPr>
      </w:pPr>
      <w:r w:rsidRPr="00C743A5">
        <w:rPr>
          <w:b/>
          <w:bCs/>
        </w:rPr>
        <w:t>Transparency:</w:t>
      </w:r>
      <w:r w:rsidRPr="00C743A5">
        <w:rPr>
          <w:b/>
          <w:bCs/>
        </w:rPr>
        <w:tab/>
      </w:r>
      <w:r w:rsidRPr="004E675B">
        <w:rPr>
          <w:sz w:val="22"/>
          <w:lang w:eastAsia="en-AU"/>
        </w:rPr>
        <w:t>Ministerial Councils need to explain clearly the objectives of the consultation process, the regulation policy framework within which consultations will take place and provide feedback on how they have taken consultation responses into consideration.</w:t>
      </w:r>
    </w:p>
    <w:p w:rsidR="00210E88" w:rsidRPr="004E675B" w:rsidRDefault="00210E88" w:rsidP="004E675B">
      <w:pPr>
        <w:pBdr>
          <w:top w:val="single" w:sz="4" w:space="1" w:color="auto"/>
          <w:left w:val="single" w:sz="4" w:space="4" w:color="auto"/>
          <w:bottom w:val="single" w:sz="4" w:space="1" w:color="auto"/>
          <w:right w:val="single" w:sz="4" w:space="4" w:color="auto"/>
        </w:pBdr>
        <w:ind w:left="2884" w:hanging="2884"/>
        <w:rPr>
          <w:sz w:val="22"/>
          <w:lang w:eastAsia="en-AU"/>
        </w:rPr>
      </w:pPr>
      <w:r w:rsidRPr="00C743A5">
        <w:rPr>
          <w:b/>
          <w:bCs/>
        </w:rPr>
        <w:t>Consistency and flexibility:</w:t>
      </w:r>
      <w:r w:rsidRPr="00C743A5">
        <w:rPr>
          <w:b/>
          <w:bCs/>
        </w:rPr>
        <w:tab/>
      </w:r>
      <w:r w:rsidRPr="004E675B">
        <w:rPr>
          <w:sz w:val="22"/>
          <w:lang w:eastAsia="en-AU"/>
        </w:rPr>
        <w:t>Consistent consultation procedures can make it easier for stakeholders to participate. However, this must be balanced with the need for consultation arrangements to be designed to suit the circumstances of the particular proposal under consideration.</w:t>
      </w:r>
    </w:p>
    <w:p w:rsidR="00210E88" w:rsidRPr="004E675B" w:rsidRDefault="00210E88" w:rsidP="005619A1">
      <w:pPr>
        <w:pBdr>
          <w:top w:val="single" w:sz="4" w:space="1" w:color="auto"/>
          <w:left w:val="single" w:sz="4" w:space="4" w:color="auto"/>
          <w:bottom w:val="single" w:sz="4" w:space="1" w:color="auto"/>
          <w:right w:val="single" w:sz="4" w:space="4" w:color="auto"/>
        </w:pBdr>
        <w:spacing w:after="0"/>
        <w:ind w:left="2884" w:hanging="2884"/>
        <w:rPr>
          <w:sz w:val="22"/>
        </w:rPr>
      </w:pPr>
      <w:r w:rsidRPr="00C743A5">
        <w:rPr>
          <w:b/>
          <w:bCs/>
        </w:rPr>
        <w:t>Evaluation and review:</w:t>
      </w:r>
      <w:r w:rsidRPr="00C743A5">
        <w:rPr>
          <w:b/>
          <w:bCs/>
        </w:rPr>
        <w:tab/>
      </w:r>
      <w:r w:rsidRPr="004E675B">
        <w:rPr>
          <w:sz w:val="22"/>
          <w:lang w:eastAsia="en-AU"/>
        </w:rPr>
        <w:t>Policy agencies should evaluate consultation processes and continue to examine ways of making them more effective.</w:t>
      </w:r>
    </w:p>
    <w:p w:rsidR="00210E88" w:rsidRPr="00413D00" w:rsidRDefault="00210E88">
      <w:pPr>
        <w:pBdr>
          <w:top w:val="single" w:sz="4" w:space="1" w:color="auto"/>
          <w:left w:val="single" w:sz="4" w:space="4" w:color="auto"/>
          <w:bottom w:val="single" w:sz="4" w:space="1" w:color="auto"/>
          <w:right w:val="single" w:sz="4" w:space="4" w:color="auto"/>
        </w:pBdr>
        <w:rPr>
          <w:rStyle w:val="Emphasis"/>
          <w:szCs w:val="20"/>
          <w:highlight w:val="cyan"/>
        </w:rPr>
      </w:pPr>
    </w:p>
    <w:p w:rsidR="002023A0" w:rsidRDefault="00821BCD" w:rsidP="00F740A0">
      <w:r w:rsidRPr="00C1076E">
        <w:t>In addition to these general principles and requirements, it is recommended</w:t>
      </w:r>
      <w:r>
        <w:t xml:space="preserve"> </w:t>
      </w:r>
      <w:r w:rsidR="004263D5" w:rsidRPr="0029020F">
        <w:t xml:space="preserve">that </w:t>
      </w:r>
      <w:r w:rsidR="00672536">
        <w:t>the COAG Energy Council</w:t>
      </w:r>
      <w:r w:rsidR="004263D5" w:rsidRPr="0029020F">
        <w:t xml:space="preserve"> consult with industry before determining what approach should be followed on a product by product basis. If the direct determinations approach is taken, there should be sufficient detail on the consultation process to provide indu</w:t>
      </w:r>
      <w:r w:rsidR="00226752">
        <w:t>stry with confidence in that process</w:t>
      </w:r>
      <w:r w:rsidR="004263D5" w:rsidRPr="0029020F">
        <w:t xml:space="preserve">. </w:t>
      </w:r>
    </w:p>
    <w:p w:rsidR="00440B62" w:rsidRDefault="00C41A78" w:rsidP="00F740A0">
      <w:r w:rsidRPr="00C41A78">
        <w:t xml:space="preserve">In its submission to the </w:t>
      </w:r>
      <w:r w:rsidR="007A43A6">
        <w:t>draft r</w:t>
      </w:r>
      <w:r w:rsidRPr="00C41A78">
        <w:t xml:space="preserve">eport, AREMA suggested that, in developing determinations, consideration should be given to forming committees similar to the Air Conditioning and Refrigeration Advisory Committee (ACRAC). This would “lock in the practice of effective consultation”. AREMA stated that ACRAC was formed after a “period of poor communication between the GEMS Regulator (and officials) and industry”. As this committee worked well for the development of updated air conditioner regulations, forming similar committees for other products may be beneficial. The </w:t>
      </w:r>
      <w:r w:rsidR="00465DF2">
        <w:t>COAG Energy Council</w:t>
      </w:r>
      <w:r w:rsidRPr="00C41A78">
        <w:t xml:space="preserve"> could consider this on a case-by-case basis, to see if this approach is suitable for each product. </w:t>
      </w:r>
    </w:p>
    <w:p w:rsidR="00821BCD" w:rsidRDefault="00EC4DD2" w:rsidP="00F740A0">
      <w:r>
        <w:t>I</w:t>
      </w:r>
      <w:r w:rsidR="00821BCD" w:rsidRPr="00C1076E">
        <w:t xml:space="preserve">t is also recommended that the </w:t>
      </w:r>
      <w:r w:rsidR="003E0BFC">
        <w:t xml:space="preserve">GEMS </w:t>
      </w:r>
      <w:r w:rsidR="00821BCD" w:rsidRPr="00C1076E">
        <w:t xml:space="preserve">Act is amended to require that the Minister release an exposure draft of a proposed GEMS determination before it is formally made. To ensure that such a requirement would not cause undue delays where a quick process was to everyone’s benefit, the amendment should provide sufficient flexibility to allow exceptions in circumstances where more targeted or no further consultation was appropriate, such as where the determination is only making </w:t>
      </w:r>
      <w:r w:rsidR="00821BCD" w:rsidRPr="00C1076E">
        <w:lastRenderedPageBreak/>
        <w:t>minor changes or addressing inconsistencies, or where the changes have already been agreed to by stakeholders.</w:t>
      </w:r>
      <w:r w:rsidR="00993979">
        <w:tab/>
      </w:r>
    </w:p>
    <w:p w:rsidR="00821BCD" w:rsidRPr="00FE37E2" w:rsidRDefault="00821BCD" w:rsidP="003442DC">
      <w:pPr>
        <w:pStyle w:val="RecHead"/>
      </w:pPr>
      <w:r w:rsidRPr="00FE37E2">
        <w:t xml:space="preserve">RECOMMENDATION </w:t>
      </w:r>
      <w:r w:rsidR="00DC34C4">
        <w:t>4</w:t>
      </w:r>
    </w:p>
    <w:p w:rsidR="00821BCD" w:rsidRPr="00C743A5" w:rsidRDefault="00F5518E" w:rsidP="00C743A5">
      <w:pPr>
        <w:rPr>
          <w:b/>
          <w:bCs/>
        </w:rPr>
      </w:pPr>
      <w:r w:rsidRPr="00C743A5">
        <w:rPr>
          <w:b/>
          <w:bCs/>
        </w:rPr>
        <w:t>The Commonwealth Government request that the COAG Energy Council consult with industry, on a product-by-product basis, before specifying how GEMS determinations will be developed.</w:t>
      </w:r>
    </w:p>
    <w:p w:rsidR="00821BCD" w:rsidRPr="00821BCD" w:rsidRDefault="00821BCD" w:rsidP="003442DC">
      <w:pPr>
        <w:pStyle w:val="RecHead"/>
      </w:pPr>
      <w:r w:rsidRPr="00821BCD">
        <w:t xml:space="preserve">RECOMMENDATION </w:t>
      </w:r>
      <w:r w:rsidR="00DC34C4">
        <w:t>5</w:t>
      </w:r>
    </w:p>
    <w:p w:rsidR="00821BCD" w:rsidRPr="00C743A5" w:rsidRDefault="00821BCD" w:rsidP="00C743A5">
      <w:pPr>
        <w:rPr>
          <w:b/>
          <w:bCs/>
        </w:rPr>
      </w:pPr>
      <w:r w:rsidRPr="00C743A5">
        <w:rPr>
          <w:b/>
          <w:bCs/>
        </w:rPr>
        <w:t xml:space="preserve">The Commonwealth Government amend the </w:t>
      </w:r>
      <w:r w:rsidR="00B01B72" w:rsidRPr="00C743A5">
        <w:rPr>
          <w:b/>
          <w:bCs/>
        </w:rPr>
        <w:t xml:space="preserve">GEMS </w:t>
      </w:r>
      <w:r w:rsidRPr="00C743A5">
        <w:rPr>
          <w:b/>
          <w:bCs/>
        </w:rPr>
        <w:t>Act</w:t>
      </w:r>
      <w:r w:rsidR="00F072B9" w:rsidRPr="00C743A5">
        <w:rPr>
          <w:b/>
          <w:bCs/>
        </w:rPr>
        <w:t xml:space="preserve"> to</w:t>
      </w:r>
      <w:r w:rsidRPr="00C743A5">
        <w:rPr>
          <w:b/>
          <w:bCs/>
        </w:rPr>
        <w:t xml:space="preserve"> require the Minister </w:t>
      </w:r>
      <w:r w:rsidR="00F5518E" w:rsidRPr="00C743A5">
        <w:rPr>
          <w:b/>
          <w:bCs/>
        </w:rPr>
        <w:t xml:space="preserve">to </w:t>
      </w:r>
      <w:r w:rsidRPr="00C743A5">
        <w:rPr>
          <w:b/>
          <w:bCs/>
        </w:rPr>
        <w:t xml:space="preserve">release an exposure draft of </w:t>
      </w:r>
      <w:r w:rsidR="00F5518E" w:rsidRPr="00C743A5">
        <w:rPr>
          <w:b/>
          <w:bCs/>
        </w:rPr>
        <w:t>each</w:t>
      </w:r>
      <w:r w:rsidRPr="00C743A5">
        <w:rPr>
          <w:b/>
          <w:bCs/>
        </w:rPr>
        <w:t xml:space="preserve"> proposed GEMS determination.</w:t>
      </w:r>
    </w:p>
    <w:p w:rsidR="0029020F" w:rsidRPr="0029020F" w:rsidRDefault="00B95987" w:rsidP="00F740A0">
      <w:pPr>
        <w:pStyle w:val="Heading4"/>
      </w:pPr>
      <w:r>
        <w:t>Development T</w:t>
      </w:r>
      <w:r w:rsidR="0029020F" w:rsidRPr="0029020F">
        <w:t>imeline</w:t>
      </w:r>
    </w:p>
    <w:p w:rsidR="0029020F" w:rsidRPr="0029020F" w:rsidRDefault="0029020F" w:rsidP="00F740A0">
      <w:r w:rsidRPr="0029020F">
        <w:t xml:space="preserve">A number of submissions called for a shorter or more streamlined process for policy and determination development. </w:t>
      </w:r>
    </w:p>
    <w:p w:rsidR="002D3EBC" w:rsidRDefault="0029020F" w:rsidP="00F740A0">
      <w:r w:rsidRPr="0029020F">
        <w:t>To assist with accelerating processes, Standards Australia’s submission noted there are further opportunities to partner with the GEMS Regulator to create greater efficiencies and synergies between the standards and the determinations development processes.</w:t>
      </w:r>
      <w:r w:rsidR="00AC2402" w:rsidRPr="00AC2402">
        <w:t xml:space="preserve"> </w:t>
      </w:r>
      <w:r w:rsidR="00AC2402">
        <w:t>It</w:t>
      </w:r>
      <w:r w:rsidR="00AC2402" w:rsidRPr="0029020F">
        <w:t xml:space="preserve"> suggested there should be consideration of the extent to which these two processes can be run in parallel. </w:t>
      </w:r>
      <w:r w:rsidR="00AC2402">
        <w:t xml:space="preserve">Additionally, Standards </w:t>
      </w:r>
      <w:r w:rsidR="00AC2402" w:rsidRPr="0029020F">
        <w:t xml:space="preserve">Australia </w:t>
      </w:r>
      <w:r w:rsidR="00AC2402">
        <w:t>recently undertook a technical governance review.</w:t>
      </w:r>
      <w:r w:rsidR="00AC2402" w:rsidRPr="00D1172C">
        <w:rPr>
          <w:vertAlign w:val="superscript"/>
        </w:rPr>
        <w:footnoteReference w:id="16"/>
      </w:r>
      <w:r w:rsidR="00AC2402" w:rsidRPr="00D1172C">
        <w:t xml:space="preserve"> </w:t>
      </w:r>
      <w:r w:rsidR="00AC2402">
        <w:t xml:space="preserve">Standards Australia is using this technical governance review as an opportunity to </w:t>
      </w:r>
      <w:r w:rsidR="00AC2402" w:rsidRPr="00D1172C">
        <w:t>work closely with</w:t>
      </w:r>
      <w:r w:rsidR="00223ABC">
        <w:t xml:space="preserve"> </w:t>
      </w:r>
      <w:r w:rsidR="00303EF8">
        <w:t>g</w:t>
      </w:r>
      <w:r w:rsidR="00223ABC">
        <w:t>overnment</w:t>
      </w:r>
      <w:r w:rsidR="00AC2402" w:rsidRPr="00D1172C">
        <w:t xml:space="preserve"> and industry to improve their strategic engagement and processes.</w:t>
      </w:r>
    </w:p>
    <w:p w:rsidR="0029020F" w:rsidRDefault="0029020F" w:rsidP="00F740A0">
      <w:r w:rsidRPr="0029020F">
        <w:t xml:space="preserve">Since the 2015 Review, </w:t>
      </w:r>
      <w:r w:rsidR="00531D08">
        <w:t>the COAG Energy Council</w:t>
      </w:r>
      <w:r w:rsidRPr="0029020F">
        <w:t xml:space="preserve"> has been endeavouring to streamline processes</w:t>
      </w:r>
      <w:r w:rsidR="002D3EBC">
        <w:t xml:space="preserve"> and an</w:t>
      </w:r>
      <w:r w:rsidRPr="0029020F">
        <w:t xml:space="preserve"> important step has been the introduction of the E3 </w:t>
      </w:r>
      <w:r w:rsidR="00E16DFF" w:rsidRPr="0029020F">
        <w:t>prioritisation plan</w:t>
      </w:r>
      <w:r w:rsidRPr="0029020F">
        <w:t xml:space="preserve"> (see </w:t>
      </w:r>
      <w:r w:rsidR="00E626AC" w:rsidRPr="00C743A5">
        <w:rPr>
          <w:b/>
          <w:bCs/>
        </w:rPr>
        <w:t>S</w:t>
      </w:r>
      <w:r w:rsidRPr="00C743A5">
        <w:rPr>
          <w:b/>
          <w:bCs/>
        </w:rPr>
        <w:t>ection </w:t>
      </w:r>
      <w:r w:rsidR="003E0BFC" w:rsidRPr="00C743A5">
        <w:rPr>
          <w:b/>
          <w:bCs/>
        </w:rPr>
        <w:t>2.5</w:t>
      </w:r>
      <w:r w:rsidRPr="0029020F">
        <w:t xml:space="preserve">). This has been a positive step to ensure cost </w:t>
      </w:r>
      <w:r w:rsidR="00F9682A" w:rsidRPr="0029020F">
        <w:t xml:space="preserve">and </w:t>
      </w:r>
      <w:r w:rsidRPr="0029020F">
        <w:t xml:space="preserve">energy savings can be achieved more quickly than in the past. </w:t>
      </w:r>
      <w:r w:rsidR="00C964EE" w:rsidRPr="00C743A5">
        <w:rPr>
          <w:b/>
          <w:bCs/>
        </w:rPr>
        <w:t xml:space="preserve">Table </w:t>
      </w:r>
      <w:r w:rsidR="00474EA6" w:rsidRPr="00C743A5">
        <w:rPr>
          <w:b/>
          <w:bCs/>
        </w:rPr>
        <w:t>3</w:t>
      </w:r>
      <w:r w:rsidR="00C964EE">
        <w:t xml:space="preserve">, demonstrates the improved timeliness of the development of new and enhanced regulations as a result of the </w:t>
      </w:r>
      <w:r w:rsidR="00C964EE" w:rsidRPr="0029020F">
        <w:t xml:space="preserve">E3 </w:t>
      </w:r>
      <w:r w:rsidR="00E16DFF" w:rsidRPr="0029020F">
        <w:t>prioritisation plan</w:t>
      </w:r>
      <w:r w:rsidR="00C964EE">
        <w:t>.</w:t>
      </w:r>
    </w:p>
    <w:p w:rsidR="006979A5" w:rsidRDefault="006979A5" w:rsidP="006979A5">
      <w:pPr>
        <w:pStyle w:val="RecHead"/>
      </w:pPr>
      <w:r w:rsidRPr="00FE37E2">
        <w:t xml:space="preserve">RECOMMENDATION </w:t>
      </w:r>
      <w:r>
        <w:t>6</w:t>
      </w:r>
    </w:p>
    <w:p w:rsidR="006979A5" w:rsidRPr="00C743A5" w:rsidRDefault="006979A5" w:rsidP="00C743A5">
      <w:pPr>
        <w:rPr>
          <w:b/>
          <w:bCs/>
        </w:rPr>
      </w:pPr>
      <w:r w:rsidRPr="00C743A5">
        <w:rPr>
          <w:b/>
          <w:bCs/>
        </w:rPr>
        <w:t>The Commonwealth Government work closely with Standards Australia on how the GEMS determinations and Standards Australia processes could be mutually improved.</w:t>
      </w:r>
    </w:p>
    <w:p w:rsidR="006979A5" w:rsidRDefault="006979A5" w:rsidP="006979A5">
      <w:pPr>
        <w:pStyle w:val="RecHead"/>
      </w:pPr>
      <w:r w:rsidRPr="00D41F10">
        <w:t xml:space="preserve">RECOMMENDATION </w:t>
      </w:r>
      <w:r>
        <w:t>7</w:t>
      </w:r>
    </w:p>
    <w:p w:rsidR="006979A5" w:rsidRPr="00C743A5" w:rsidRDefault="006979A5" w:rsidP="00C743A5">
      <w:pPr>
        <w:rPr>
          <w:b/>
          <w:bCs/>
        </w:rPr>
      </w:pPr>
      <w:r w:rsidRPr="00C743A5">
        <w:rPr>
          <w:b/>
          <w:bCs/>
        </w:rPr>
        <w:t xml:space="preserve">The Commonwealth Government identify </w:t>
      </w:r>
      <w:r w:rsidR="00097DFA" w:rsidRPr="00C743A5">
        <w:rPr>
          <w:b/>
          <w:bCs/>
        </w:rPr>
        <w:t xml:space="preserve">additional </w:t>
      </w:r>
      <w:r w:rsidRPr="00C743A5">
        <w:rPr>
          <w:b/>
          <w:bCs/>
        </w:rPr>
        <w:t>opportunities to streamline the process for developing GEMS determinations, while maintaining genuine consultation.</w:t>
      </w:r>
    </w:p>
    <w:p w:rsidR="00C964EE" w:rsidRPr="00413D00" w:rsidRDefault="00C964EE" w:rsidP="004E675B">
      <w:pPr>
        <w:spacing w:after="0"/>
        <w:rPr>
          <w:rStyle w:val="Emphasis"/>
          <w:szCs w:val="20"/>
        </w:rPr>
      </w:pPr>
      <w:r w:rsidRPr="00413D00">
        <w:rPr>
          <w:rStyle w:val="Emphasis"/>
          <w:szCs w:val="20"/>
        </w:rPr>
        <w:t xml:space="preserve">Table </w:t>
      </w:r>
      <w:r w:rsidR="00474EA6" w:rsidRPr="00413D00">
        <w:rPr>
          <w:rStyle w:val="Emphasis"/>
          <w:szCs w:val="20"/>
        </w:rPr>
        <w:t>3</w:t>
      </w:r>
      <w:r w:rsidRPr="00413D00">
        <w:rPr>
          <w:rStyle w:val="Emphasis"/>
          <w:szCs w:val="20"/>
        </w:rPr>
        <w:t xml:space="preserve">: Development of regulation under the E3 </w:t>
      </w:r>
      <w:r w:rsidR="00E16DFF" w:rsidRPr="00413D00">
        <w:rPr>
          <w:rStyle w:val="Emphasis"/>
          <w:szCs w:val="20"/>
        </w:rPr>
        <w:t>prioritisation plan</w:t>
      </w:r>
    </w:p>
    <w:tbl>
      <w:tblPr>
        <w:tblStyle w:val="TableGrid"/>
        <w:tblW w:w="5000" w:type="pct"/>
        <w:tblLook w:val="04A0" w:firstRow="1" w:lastRow="0" w:firstColumn="1" w:lastColumn="0" w:noHBand="0" w:noVBand="1"/>
      </w:tblPr>
      <w:tblGrid>
        <w:gridCol w:w="2955"/>
        <w:gridCol w:w="2961"/>
        <w:gridCol w:w="3100"/>
      </w:tblGrid>
      <w:tr w:rsidR="007820FD" w:rsidRPr="007820FD" w:rsidTr="009115F1">
        <w:trPr>
          <w:cnfStyle w:val="100000000000" w:firstRow="1" w:lastRow="0" w:firstColumn="0" w:lastColumn="0" w:oddVBand="0" w:evenVBand="0" w:oddHBand="0" w:evenHBand="0" w:firstRowFirstColumn="0" w:firstRowLastColumn="0" w:lastRowFirstColumn="0" w:lastRowLastColumn="0"/>
          <w:tblHeader/>
        </w:trPr>
        <w:tc>
          <w:tcPr>
            <w:tcW w:w="1639" w:type="pct"/>
          </w:tcPr>
          <w:p w:rsidR="007820FD" w:rsidRPr="00C743A5" w:rsidRDefault="007820FD" w:rsidP="00C743A5">
            <w:pPr>
              <w:rPr>
                <w:b/>
                <w:bCs/>
              </w:rPr>
            </w:pPr>
            <w:r w:rsidRPr="00C743A5">
              <w:rPr>
                <w:b/>
                <w:bCs/>
                <w:color w:val="000000" w:themeColor="text1"/>
              </w:rPr>
              <w:t>Product</w:t>
            </w:r>
          </w:p>
        </w:tc>
        <w:tc>
          <w:tcPr>
            <w:tcW w:w="1642" w:type="pct"/>
          </w:tcPr>
          <w:p w:rsidR="007820FD" w:rsidRPr="00C743A5" w:rsidRDefault="007820FD" w:rsidP="00C743A5">
            <w:pPr>
              <w:rPr>
                <w:b/>
                <w:bCs/>
              </w:rPr>
            </w:pPr>
            <w:r w:rsidRPr="00C743A5">
              <w:rPr>
                <w:b/>
                <w:bCs/>
                <w:color w:val="000000" w:themeColor="text1"/>
              </w:rPr>
              <w:t>Consultation RIS</w:t>
            </w:r>
            <w:r w:rsidR="00DD082D" w:rsidRPr="00C743A5">
              <w:rPr>
                <w:b/>
                <w:bCs/>
                <w:color w:val="000000" w:themeColor="text1"/>
              </w:rPr>
              <w:t xml:space="preserve"> agreed by COAG Energy Council</w:t>
            </w:r>
          </w:p>
        </w:tc>
        <w:tc>
          <w:tcPr>
            <w:tcW w:w="1719" w:type="pct"/>
          </w:tcPr>
          <w:p w:rsidR="007820FD" w:rsidRPr="00C743A5" w:rsidRDefault="007820FD" w:rsidP="00C743A5">
            <w:pPr>
              <w:rPr>
                <w:b/>
                <w:bCs/>
              </w:rPr>
            </w:pPr>
            <w:r w:rsidRPr="00C743A5">
              <w:rPr>
                <w:b/>
                <w:bCs/>
                <w:color w:val="000000" w:themeColor="text1"/>
              </w:rPr>
              <w:t>Decision RIS</w:t>
            </w:r>
            <w:r w:rsidR="00DD082D" w:rsidRPr="00C743A5">
              <w:rPr>
                <w:b/>
                <w:bCs/>
                <w:color w:val="000000" w:themeColor="text1"/>
              </w:rPr>
              <w:t xml:space="preserve"> agreed by COAG Energy Council</w:t>
            </w:r>
          </w:p>
        </w:tc>
      </w:tr>
      <w:tr w:rsidR="007820FD" w:rsidRPr="007820FD" w:rsidTr="009115F1">
        <w:trPr>
          <w:cnfStyle w:val="000000100000" w:firstRow="0" w:lastRow="0" w:firstColumn="0" w:lastColumn="0" w:oddVBand="0" w:evenVBand="0" w:oddHBand="1" w:evenHBand="0" w:firstRowFirstColumn="0" w:firstRowLastColumn="0" w:lastRowFirstColumn="0" w:lastRowLastColumn="0"/>
        </w:trPr>
        <w:tc>
          <w:tcPr>
            <w:tcW w:w="1639" w:type="pct"/>
          </w:tcPr>
          <w:p w:rsidR="007820FD" w:rsidRPr="004E675B" w:rsidRDefault="007820FD" w:rsidP="004E675B">
            <w:pPr>
              <w:spacing w:before="60" w:after="60"/>
              <w:mirrorIndents w:val="0"/>
              <w:rPr>
                <w:sz w:val="22"/>
              </w:rPr>
            </w:pPr>
            <w:r w:rsidRPr="004E675B">
              <w:rPr>
                <w:sz w:val="22"/>
              </w:rPr>
              <w:t xml:space="preserve">Air conditioners </w:t>
            </w:r>
          </w:p>
        </w:tc>
        <w:tc>
          <w:tcPr>
            <w:tcW w:w="1642" w:type="pct"/>
          </w:tcPr>
          <w:p w:rsidR="007820FD" w:rsidRPr="004E675B" w:rsidRDefault="007820FD" w:rsidP="004E675B">
            <w:pPr>
              <w:spacing w:before="60" w:after="60"/>
              <w:mirrorIndents w:val="0"/>
              <w:rPr>
                <w:sz w:val="22"/>
              </w:rPr>
            </w:pPr>
            <w:r w:rsidRPr="004E675B">
              <w:rPr>
                <w:sz w:val="22"/>
              </w:rPr>
              <w:t xml:space="preserve">4 </w:t>
            </w:r>
            <w:r w:rsidRPr="007820FD">
              <w:rPr>
                <w:sz w:val="22"/>
              </w:rPr>
              <w:t>Feb</w:t>
            </w:r>
            <w:r>
              <w:rPr>
                <w:sz w:val="22"/>
              </w:rPr>
              <w:t>ruary</w:t>
            </w:r>
            <w:r w:rsidRPr="004E675B">
              <w:rPr>
                <w:sz w:val="22"/>
              </w:rPr>
              <w:t xml:space="preserve"> 2016</w:t>
            </w:r>
          </w:p>
        </w:tc>
        <w:tc>
          <w:tcPr>
            <w:tcW w:w="1719" w:type="pct"/>
          </w:tcPr>
          <w:p w:rsidR="007820FD" w:rsidRPr="004E675B" w:rsidRDefault="005A5A7F" w:rsidP="004E675B">
            <w:pPr>
              <w:spacing w:before="60" w:after="60"/>
              <w:mirrorIndents w:val="0"/>
              <w:rPr>
                <w:sz w:val="22"/>
              </w:rPr>
            </w:pPr>
            <w:r>
              <w:rPr>
                <w:sz w:val="22"/>
              </w:rPr>
              <w:t>19</w:t>
            </w:r>
            <w:r w:rsidR="003458F6">
              <w:rPr>
                <w:sz w:val="22"/>
              </w:rPr>
              <w:t xml:space="preserve"> December 2018</w:t>
            </w:r>
          </w:p>
        </w:tc>
      </w:tr>
      <w:tr w:rsidR="007820FD" w:rsidRPr="007820FD" w:rsidTr="009115F1">
        <w:trPr>
          <w:cnfStyle w:val="000000010000" w:firstRow="0" w:lastRow="0" w:firstColumn="0" w:lastColumn="0" w:oddVBand="0" w:evenVBand="0" w:oddHBand="0" w:evenHBand="1" w:firstRowFirstColumn="0" w:firstRowLastColumn="0" w:lastRowFirstColumn="0" w:lastRowLastColumn="0"/>
        </w:trPr>
        <w:tc>
          <w:tcPr>
            <w:tcW w:w="1639" w:type="pct"/>
          </w:tcPr>
          <w:p w:rsidR="007820FD" w:rsidRPr="004E675B" w:rsidRDefault="007820FD" w:rsidP="004E675B">
            <w:pPr>
              <w:spacing w:before="60" w:after="60"/>
              <w:mirrorIndents w:val="0"/>
              <w:rPr>
                <w:sz w:val="22"/>
              </w:rPr>
            </w:pPr>
            <w:r w:rsidRPr="004E675B">
              <w:rPr>
                <w:sz w:val="22"/>
              </w:rPr>
              <w:t>Chillers</w:t>
            </w:r>
          </w:p>
        </w:tc>
        <w:tc>
          <w:tcPr>
            <w:tcW w:w="1642" w:type="pct"/>
          </w:tcPr>
          <w:p w:rsidR="007820FD" w:rsidRPr="004E675B" w:rsidRDefault="007820FD" w:rsidP="004E675B">
            <w:pPr>
              <w:spacing w:before="60" w:after="60"/>
              <w:mirrorIndents w:val="0"/>
              <w:rPr>
                <w:sz w:val="22"/>
              </w:rPr>
            </w:pPr>
            <w:r w:rsidRPr="004E675B">
              <w:rPr>
                <w:sz w:val="22"/>
              </w:rPr>
              <w:t xml:space="preserve">4 </w:t>
            </w:r>
            <w:r w:rsidRPr="001C2AAD">
              <w:rPr>
                <w:sz w:val="22"/>
              </w:rPr>
              <w:t>Feb</w:t>
            </w:r>
            <w:r>
              <w:rPr>
                <w:sz w:val="22"/>
              </w:rPr>
              <w:t>ruary</w:t>
            </w:r>
            <w:r w:rsidRPr="001C2AAD">
              <w:rPr>
                <w:sz w:val="22"/>
              </w:rPr>
              <w:t xml:space="preserve"> </w:t>
            </w:r>
            <w:r w:rsidRPr="004E675B">
              <w:rPr>
                <w:sz w:val="22"/>
              </w:rPr>
              <w:t>2016</w:t>
            </w:r>
          </w:p>
        </w:tc>
        <w:tc>
          <w:tcPr>
            <w:tcW w:w="1719" w:type="pct"/>
          </w:tcPr>
          <w:p w:rsidR="007820FD" w:rsidRPr="004E675B" w:rsidRDefault="007820FD" w:rsidP="004E675B">
            <w:pPr>
              <w:spacing w:before="60" w:after="60"/>
              <w:mirrorIndents w:val="0"/>
              <w:rPr>
                <w:sz w:val="22"/>
              </w:rPr>
            </w:pPr>
            <w:r w:rsidRPr="007820FD">
              <w:rPr>
                <w:sz w:val="22"/>
              </w:rPr>
              <w:t>In development</w:t>
            </w:r>
          </w:p>
        </w:tc>
      </w:tr>
      <w:tr w:rsidR="007820FD" w:rsidRPr="007820FD" w:rsidTr="009115F1">
        <w:trPr>
          <w:cnfStyle w:val="000000100000" w:firstRow="0" w:lastRow="0" w:firstColumn="0" w:lastColumn="0" w:oddVBand="0" w:evenVBand="0" w:oddHBand="1" w:evenHBand="0" w:firstRowFirstColumn="0" w:firstRowLastColumn="0" w:lastRowFirstColumn="0" w:lastRowLastColumn="0"/>
        </w:trPr>
        <w:tc>
          <w:tcPr>
            <w:tcW w:w="1639" w:type="pct"/>
          </w:tcPr>
          <w:p w:rsidR="007820FD" w:rsidRPr="007820FD" w:rsidRDefault="007820FD">
            <w:pPr>
              <w:spacing w:before="60" w:after="60"/>
              <w:mirrorIndents w:val="0"/>
              <w:rPr>
                <w:sz w:val="22"/>
              </w:rPr>
            </w:pPr>
            <w:r w:rsidRPr="004E675B">
              <w:rPr>
                <w:sz w:val="22"/>
              </w:rPr>
              <w:t>Commercial Refrigeration</w:t>
            </w:r>
          </w:p>
        </w:tc>
        <w:tc>
          <w:tcPr>
            <w:tcW w:w="1642" w:type="pct"/>
          </w:tcPr>
          <w:p w:rsidR="007820FD" w:rsidRPr="007820FD" w:rsidRDefault="007820FD">
            <w:pPr>
              <w:spacing w:before="60" w:after="60"/>
              <w:mirrorIndents w:val="0"/>
              <w:rPr>
                <w:sz w:val="22"/>
              </w:rPr>
            </w:pPr>
            <w:r w:rsidRPr="004E675B">
              <w:rPr>
                <w:sz w:val="22"/>
              </w:rPr>
              <w:t>15 July 2016</w:t>
            </w:r>
          </w:p>
        </w:tc>
        <w:tc>
          <w:tcPr>
            <w:tcW w:w="1719" w:type="pct"/>
          </w:tcPr>
          <w:p w:rsidR="007820FD" w:rsidRPr="007820FD" w:rsidRDefault="00C964EE">
            <w:pPr>
              <w:spacing w:before="60" w:after="60"/>
              <w:mirrorIndents w:val="0"/>
              <w:rPr>
                <w:sz w:val="22"/>
              </w:rPr>
            </w:pPr>
            <w:r>
              <w:rPr>
                <w:sz w:val="22"/>
              </w:rPr>
              <w:t xml:space="preserve">24 </w:t>
            </w:r>
            <w:r w:rsidR="007820FD" w:rsidRPr="004E675B">
              <w:rPr>
                <w:sz w:val="22"/>
              </w:rPr>
              <w:t>Nov</w:t>
            </w:r>
            <w:r>
              <w:rPr>
                <w:sz w:val="22"/>
              </w:rPr>
              <w:t>ember</w:t>
            </w:r>
            <w:r w:rsidR="007820FD" w:rsidRPr="004E675B">
              <w:rPr>
                <w:sz w:val="22"/>
              </w:rPr>
              <w:t xml:space="preserve"> 2017</w:t>
            </w:r>
          </w:p>
        </w:tc>
      </w:tr>
      <w:tr w:rsidR="007820FD" w:rsidRPr="007820FD" w:rsidTr="009115F1">
        <w:trPr>
          <w:cnfStyle w:val="000000010000" w:firstRow="0" w:lastRow="0" w:firstColumn="0" w:lastColumn="0" w:oddVBand="0" w:evenVBand="0" w:oddHBand="0" w:evenHBand="1" w:firstRowFirstColumn="0" w:firstRowLastColumn="0" w:lastRowFirstColumn="0" w:lastRowLastColumn="0"/>
        </w:trPr>
        <w:tc>
          <w:tcPr>
            <w:tcW w:w="1639" w:type="pct"/>
          </w:tcPr>
          <w:p w:rsidR="007820FD" w:rsidRPr="007820FD" w:rsidRDefault="007820FD">
            <w:pPr>
              <w:spacing w:before="60" w:after="60"/>
              <w:mirrorIndents w:val="0"/>
              <w:rPr>
                <w:sz w:val="22"/>
              </w:rPr>
            </w:pPr>
            <w:r w:rsidRPr="004E675B">
              <w:rPr>
                <w:sz w:val="22"/>
              </w:rPr>
              <w:t>Fridges and Freezers</w:t>
            </w:r>
          </w:p>
        </w:tc>
        <w:tc>
          <w:tcPr>
            <w:tcW w:w="1642" w:type="pct"/>
          </w:tcPr>
          <w:p w:rsidR="007820FD" w:rsidRPr="007820FD" w:rsidRDefault="007820FD">
            <w:pPr>
              <w:spacing w:before="60" w:after="60"/>
              <w:mirrorIndents w:val="0"/>
              <w:rPr>
                <w:sz w:val="22"/>
              </w:rPr>
            </w:pPr>
            <w:r w:rsidRPr="004E675B">
              <w:rPr>
                <w:sz w:val="22"/>
              </w:rPr>
              <w:t>13 Apr 2017</w:t>
            </w:r>
          </w:p>
        </w:tc>
        <w:tc>
          <w:tcPr>
            <w:tcW w:w="1719" w:type="pct"/>
          </w:tcPr>
          <w:p w:rsidR="007820FD" w:rsidRPr="007820FD" w:rsidRDefault="00C964EE">
            <w:pPr>
              <w:spacing w:before="60" w:after="60"/>
              <w:mirrorIndents w:val="0"/>
              <w:rPr>
                <w:sz w:val="22"/>
              </w:rPr>
            </w:pPr>
            <w:r>
              <w:rPr>
                <w:sz w:val="22"/>
              </w:rPr>
              <w:t xml:space="preserve">24 </w:t>
            </w:r>
            <w:r w:rsidRPr="001C2AAD">
              <w:rPr>
                <w:sz w:val="22"/>
              </w:rPr>
              <w:t>Nov</w:t>
            </w:r>
            <w:r>
              <w:rPr>
                <w:sz w:val="22"/>
              </w:rPr>
              <w:t>ember</w:t>
            </w:r>
            <w:r w:rsidRPr="001C2AAD">
              <w:rPr>
                <w:sz w:val="22"/>
              </w:rPr>
              <w:t xml:space="preserve"> </w:t>
            </w:r>
            <w:r w:rsidR="007820FD" w:rsidRPr="004E675B">
              <w:rPr>
                <w:sz w:val="22"/>
              </w:rPr>
              <w:t>2017</w:t>
            </w:r>
          </w:p>
        </w:tc>
      </w:tr>
      <w:tr w:rsidR="007820FD" w:rsidRPr="007820FD" w:rsidTr="009115F1">
        <w:trPr>
          <w:cnfStyle w:val="000000100000" w:firstRow="0" w:lastRow="0" w:firstColumn="0" w:lastColumn="0" w:oddVBand="0" w:evenVBand="0" w:oddHBand="1" w:evenHBand="0" w:firstRowFirstColumn="0" w:firstRowLastColumn="0" w:lastRowFirstColumn="0" w:lastRowLastColumn="0"/>
        </w:trPr>
        <w:tc>
          <w:tcPr>
            <w:tcW w:w="1639" w:type="pct"/>
          </w:tcPr>
          <w:p w:rsidR="007820FD" w:rsidRPr="007820FD" w:rsidRDefault="007820FD">
            <w:pPr>
              <w:spacing w:before="60" w:after="60"/>
              <w:mirrorIndents w:val="0"/>
              <w:rPr>
                <w:sz w:val="22"/>
              </w:rPr>
            </w:pPr>
            <w:r w:rsidRPr="004E675B">
              <w:rPr>
                <w:sz w:val="22"/>
              </w:rPr>
              <w:lastRenderedPageBreak/>
              <w:t>Lighting</w:t>
            </w:r>
          </w:p>
        </w:tc>
        <w:tc>
          <w:tcPr>
            <w:tcW w:w="1642" w:type="pct"/>
          </w:tcPr>
          <w:p w:rsidR="007820FD" w:rsidRPr="007820FD" w:rsidRDefault="007820FD">
            <w:pPr>
              <w:spacing w:before="60" w:after="60"/>
              <w:mirrorIndents w:val="0"/>
              <w:rPr>
                <w:sz w:val="22"/>
              </w:rPr>
            </w:pPr>
            <w:r w:rsidRPr="004E675B">
              <w:rPr>
                <w:sz w:val="22"/>
              </w:rPr>
              <w:t>24 Nov</w:t>
            </w:r>
            <w:r>
              <w:rPr>
                <w:sz w:val="22"/>
              </w:rPr>
              <w:t>ember</w:t>
            </w:r>
            <w:r w:rsidRPr="004E675B">
              <w:rPr>
                <w:sz w:val="22"/>
              </w:rPr>
              <w:t xml:space="preserve"> 2016</w:t>
            </w:r>
          </w:p>
        </w:tc>
        <w:tc>
          <w:tcPr>
            <w:tcW w:w="1719" w:type="pct"/>
          </w:tcPr>
          <w:p w:rsidR="007820FD" w:rsidRPr="007820FD" w:rsidRDefault="00C964EE">
            <w:pPr>
              <w:spacing w:before="60" w:after="60"/>
              <w:mirrorIndents w:val="0"/>
              <w:rPr>
                <w:sz w:val="22"/>
              </w:rPr>
            </w:pPr>
            <w:r>
              <w:rPr>
                <w:sz w:val="22"/>
              </w:rPr>
              <w:t xml:space="preserve">20 </w:t>
            </w:r>
            <w:r w:rsidR="007820FD" w:rsidRPr="004E675B">
              <w:rPr>
                <w:sz w:val="22"/>
              </w:rPr>
              <w:t>April 2018</w:t>
            </w:r>
          </w:p>
        </w:tc>
      </w:tr>
      <w:tr w:rsidR="007820FD" w:rsidRPr="007820FD" w:rsidTr="009115F1">
        <w:trPr>
          <w:cnfStyle w:val="000000010000" w:firstRow="0" w:lastRow="0" w:firstColumn="0" w:lastColumn="0" w:oddVBand="0" w:evenVBand="0" w:oddHBand="0" w:evenHBand="1" w:firstRowFirstColumn="0" w:firstRowLastColumn="0" w:lastRowFirstColumn="0" w:lastRowLastColumn="0"/>
        </w:trPr>
        <w:tc>
          <w:tcPr>
            <w:tcW w:w="1639" w:type="pct"/>
          </w:tcPr>
          <w:p w:rsidR="007820FD" w:rsidRPr="004E675B" w:rsidRDefault="007820FD" w:rsidP="004E675B">
            <w:pPr>
              <w:spacing w:before="60" w:after="60"/>
              <w:mirrorIndents w:val="0"/>
              <w:rPr>
                <w:sz w:val="22"/>
              </w:rPr>
            </w:pPr>
            <w:r w:rsidRPr="004E675B">
              <w:rPr>
                <w:sz w:val="22"/>
              </w:rPr>
              <w:t>Non Domestic Fans</w:t>
            </w:r>
          </w:p>
        </w:tc>
        <w:tc>
          <w:tcPr>
            <w:tcW w:w="1642" w:type="pct"/>
          </w:tcPr>
          <w:p w:rsidR="007820FD" w:rsidRPr="004E675B" w:rsidRDefault="007820FD" w:rsidP="004E675B">
            <w:pPr>
              <w:spacing w:before="60" w:after="60"/>
              <w:mirrorIndents w:val="0"/>
              <w:rPr>
                <w:sz w:val="22"/>
              </w:rPr>
            </w:pPr>
            <w:r w:rsidRPr="004E675B">
              <w:rPr>
                <w:sz w:val="22"/>
              </w:rPr>
              <w:t>3 May 2017</w:t>
            </w:r>
          </w:p>
        </w:tc>
        <w:tc>
          <w:tcPr>
            <w:tcW w:w="1719" w:type="pct"/>
          </w:tcPr>
          <w:p w:rsidR="007820FD" w:rsidRPr="004E675B" w:rsidRDefault="00FE6FFA" w:rsidP="004E675B">
            <w:pPr>
              <w:spacing w:before="60" w:after="60"/>
              <w:mirrorIndents w:val="0"/>
              <w:rPr>
                <w:sz w:val="22"/>
              </w:rPr>
            </w:pPr>
            <w:r>
              <w:rPr>
                <w:sz w:val="22"/>
              </w:rPr>
              <w:t>On hold</w:t>
            </w:r>
          </w:p>
        </w:tc>
      </w:tr>
      <w:tr w:rsidR="007820FD" w:rsidRPr="007820FD" w:rsidTr="009115F1">
        <w:trPr>
          <w:cnfStyle w:val="000000100000" w:firstRow="0" w:lastRow="0" w:firstColumn="0" w:lastColumn="0" w:oddVBand="0" w:evenVBand="0" w:oddHBand="1" w:evenHBand="0" w:firstRowFirstColumn="0" w:firstRowLastColumn="0" w:lastRowFirstColumn="0" w:lastRowLastColumn="0"/>
        </w:trPr>
        <w:tc>
          <w:tcPr>
            <w:tcW w:w="1639" w:type="pct"/>
          </w:tcPr>
          <w:p w:rsidR="007820FD" w:rsidRPr="004E675B" w:rsidRDefault="007820FD" w:rsidP="004E675B">
            <w:pPr>
              <w:spacing w:before="60" w:after="60"/>
              <w:mirrorIndents w:val="0"/>
              <w:rPr>
                <w:sz w:val="22"/>
              </w:rPr>
            </w:pPr>
            <w:r w:rsidRPr="004E675B">
              <w:rPr>
                <w:sz w:val="22"/>
              </w:rPr>
              <w:t>Swimming pool pumps</w:t>
            </w:r>
          </w:p>
        </w:tc>
        <w:tc>
          <w:tcPr>
            <w:tcW w:w="1642" w:type="pct"/>
          </w:tcPr>
          <w:p w:rsidR="007820FD" w:rsidRPr="004E675B" w:rsidRDefault="007820FD" w:rsidP="004E675B">
            <w:pPr>
              <w:spacing w:before="60" w:after="60"/>
              <w:mirrorIndents w:val="0"/>
              <w:rPr>
                <w:sz w:val="22"/>
              </w:rPr>
            </w:pPr>
            <w:r w:rsidRPr="004E675B">
              <w:rPr>
                <w:sz w:val="22"/>
              </w:rPr>
              <w:t xml:space="preserve">14 </w:t>
            </w:r>
            <w:r w:rsidRPr="001C2AAD">
              <w:rPr>
                <w:sz w:val="22"/>
              </w:rPr>
              <w:t>Nov</w:t>
            </w:r>
            <w:r>
              <w:rPr>
                <w:sz w:val="22"/>
              </w:rPr>
              <w:t>ember</w:t>
            </w:r>
            <w:r w:rsidRPr="001C2AAD">
              <w:rPr>
                <w:sz w:val="22"/>
              </w:rPr>
              <w:t xml:space="preserve"> </w:t>
            </w:r>
            <w:r w:rsidRPr="004E675B">
              <w:rPr>
                <w:sz w:val="22"/>
              </w:rPr>
              <w:t>2016</w:t>
            </w:r>
          </w:p>
        </w:tc>
        <w:tc>
          <w:tcPr>
            <w:tcW w:w="1719" w:type="pct"/>
          </w:tcPr>
          <w:p w:rsidR="007820FD" w:rsidRPr="004E675B" w:rsidRDefault="005A5A7F" w:rsidP="005A5A7F">
            <w:pPr>
              <w:spacing w:before="60" w:after="60"/>
              <w:mirrorIndents w:val="0"/>
              <w:rPr>
                <w:sz w:val="22"/>
              </w:rPr>
            </w:pPr>
            <w:r>
              <w:rPr>
                <w:sz w:val="22"/>
              </w:rPr>
              <w:t>19</w:t>
            </w:r>
            <w:r w:rsidR="003458F6">
              <w:rPr>
                <w:sz w:val="22"/>
              </w:rPr>
              <w:t xml:space="preserve"> December 2018</w:t>
            </w:r>
          </w:p>
        </w:tc>
      </w:tr>
    </w:tbl>
    <w:p w:rsidR="007820FD" w:rsidRDefault="007820FD" w:rsidP="00F740A0"/>
    <w:p w:rsidR="00C247BC" w:rsidRPr="00C247BC" w:rsidRDefault="00B95987" w:rsidP="00F740A0">
      <w:pPr>
        <w:pStyle w:val="Heading4"/>
      </w:pPr>
      <w:r w:rsidRPr="00F740A0">
        <w:t xml:space="preserve">Implementation </w:t>
      </w:r>
      <w:r w:rsidR="00C247BC">
        <w:t>Transition</w:t>
      </w:r>
    </w:p>
    <w:p w:rsidR="00787D62" w:rsidRDefault="009F165F" w:rsidP="00F740A0">
      <w:r>
        <w:t>A</w:t>
      </w:r>
      <w:r w:rsidR="0029020F" w:rsidRPr="0029020F">
        <w:t xml:space="preserve"> number of submissions outlined that </w:t>
      </w:r>
      <w:r w:rsidR="00787D62">
        <w:t>allocated time</w:t>
      </w:r>
      <w:r w:rsidR="0029020F" w:rsidRPr="0029020F">
        <w:t xml:space="preserve"> between determination publication and implementation may actually require a longer lead time than </w:t>
      </w:r>
      <w:r w:rsidR="00787D62">
        <w:t xml:space="preserve">currently provided for in the </w:t>
      </w:r>
      <w:r w:rsidR="003E0BFC">
        <w:t xml:space="preserve">GEMS </w:t>
      </w:r>
      <w:r w:rsidR="00787D62">
        <w:t xml:space="preserve">Act. The Act currently includes a </w:t>
      </w:r>
      <w:r w:rsidR="00787D62" w:rsidRPr="0029020F">
        <w:t>default 12 months</w:t>
      </w:r>
      <w:r w:rsidR="00787D62">
        <w:t xml:space="preserve"> for implementation of the regulations contained in the determination, however it also provides the </w:t>
      </w:r>
      <w:r w:rsidR="00787D62" w:rsidRPr="0029020F">
        <w:t>flexibility for a new determination to specify the day</w:t>
      </w:r>
      <w:r w:rsidR="00787D62">
        <w:t xml:space="preserve"> the regulations will come into force.</w:t>
      </w:r>
      <w:r w:rsidR="00787D62" w:rsidRPr="00787D62">
        <w:rPr>
          <w:vertAlign w:val="superscript"/>
        </w:rPr>
        <w:t xml:space="preserve"> </w:t>
      </w:r>
      <w:r w:rsidR="00787D62" w:rsidRPr="0029020F">
        <w:rPr>
          <w:vertAlign w:val="superscript"/>
        </w:rPr>
        <w:footnoteReference w:id="17"/>
      </w:r>
    </w:p>
    <w:p w:rsidR="00CC2ACD" w:rsidRDefault="00787D62" w:rsidP="00F740A0">
      <w:r>
        <w:t>Although the provision of a 12 month default is cont</w:t>
      </w:r>
      <w:r w:rsidR="00797F2B">
        <w:t>ained</w:t>
      </w:r>
      <w:r w:rsidR="005F26E4">
        <w:t xml:space="preserve"> in the GEMS Act,</w:t>
      </w:r>
      <w:r w:rsidR="00797F2B">
        <w:t xml:space="preserve"> it has not be</w:t>
      </w:r>
      <w:r w:rsidR="004817AB">
        <w:t>en</w:t>
      </w:r>
      <w:r w:rsidR="00797F2B">
        <w:t xml:space="preserve"> exercised. </w:t>
      </w:r>
      <w:r>
        <w:t xml:space="preserve">To date the implementation </w:t>
      </w:r>
      <w:r w:rsidR="00A0519C">
        <w:t>date for</w:t>
      </w:r>
      <w:r>
        <w:t xml:space="preserve"> new and revised regulations has been specified in the </w:t>
      </w:r>
      <w:r w:rsidR="00A0519C">
        <w:t xml:space="preserve">GEMS </w:t>
      </w:r>
      <w:r>
        <w:t>determination</w:t>
      </w:r>
      <w:r w:rsidR="003E0BFC">
        <w:t>,</w:t>
      </w:r>
      <w:r w:rsidR="00223ABC">
        <w:t xml:space="preserve"> following consultation with </w:t>
      </w:r>
      <w:r w:rsidR="00223ABC" w:rsidRPr="0029020F">
        <w:t>affected stakeholders</w:t>
      </w:r>
      <w:r w:rsidR="00797F2B">
        <w:t xml:space="preserve">. </w:t>
      </w:r>
    </w:p>
    <w:p w:rsidR="00E810A5" w:rsidRDefault="00B104DE" w:rsidP="00F740A0">
      <w:r>
        <w:t xml:space="preserve">In the majority of cases following the initial transition to the GEMS framework, the implementation period has been less than the default, with industry agreement. In terms of new regulations, the GEMS determinations for computers and computer monitors, for example, commenced approximately six months after publication because a particular implementation date had been agreed with industry in the </w:t>
      </w:r>
      <w:r w:rsidR="00C66238">
        <w:t xml:space="preserve">COAG </w:t>
      </w:r>
      <w:r>
        <w:t>RIS and standards development process</w:t>
      </w:r>
      <w:r w:rsidR="00C66238">
        <w:t>es</w:t>
      </w:r>
      <w:r w:rsidR="00CC2ACD">
        <w:t xml:space="preserve">. </w:t>
      </w:r>
    </w:p>
    <w:p w:rsidR="00CC2ACD" w:rsidRDefault="00CC2ACD" w:rsidP="00F740A0">
      <w:r>
        <w:t>In terms of revised regulations, most replacement GEMS determinations have been made to address identified issues either in the previous determination itself or in the relevant standard, and have commenced immediately or with a short lead-in period after consultation with industry, so that the issues were dealt with in a timely manner.  Some e</w:t>
      </w:r>
      <w:r w:rsidR="00E810A5">
        <w:t>xamples are:</w:t>
      </w:r>
    </w:p>
    <w:p w:rsidR="00E810A5" w:rsidRDefault="00E810A5" w:rsidP="00AF1FFA">
      <w:pPr>
        <w:pStyle w:val="ListBullet"/>
        <w:ind w:hanging="426"/>
      </w:pPr>
      <w:r>
        <w:t>external power supplies, to allow the use of Energy Mark IV (commenced immediately)</w:t>
      </w:r>
    </w:p>
    <w:p w:rsidR="00E810A5" w:rsidRDefault="00E810A5" w:rsidP="00AF1FFA">
      <w:pPr>
        <w:pStyle w:val="ListBullet"/>
        <w:ind w:hanging="426"/>
      </w:pPr>
      <w:r>
        <w:t>clothes washing machines, to allow the use of the 10-star label and the testing of larger machines than allowed for by the standard (commenced immediately)</w:t>
      </w:r>
    </w:p>
    <w:p w:rsidR="00E810A5" w:rsidRDefault="00E810A5" w:rsidP="00AF1FFA">
      <w:pPr>
        <w:pStyle w:val="ListBullet"/>
        <w:ind w:hanging="426"/>
      </w:pPr>
      <w:r>
        <w:t>compact fluorescent lamps, to reduce the allowable amount of mercury in a regulated product in order to comply with Australia’s international obligations (</w:t>
      </w:r>
      <w:r w:rsidR="006844C4">
        <w:t>six</w:t>
      </w:r>
      <w:r>
        <w:t xml:space="preserve"> month implementation period)</w:t>
      </w:r>
    </w:p>
    <w:p w:rsidR="00E810A5" w:rsidRDefault="00E810A5">
      <w:pPr>
        <w:pStyle w:val="ListBullet"/>
        <w:numPr>
          <w:ilvl w:val="0"/>
          <w:numId w:val="0"/>
        </w:numPr>
        <w:ind w:left="57"/>
      </w:pPr>
      <w:r>
        <w:t xml:space="preserve">With regard to forthcoming revisions to regulations, implementation periods of longer than the default </w:t>
      </w:r>
      <w:r w:rsidR="007E72B9">
        <w:t>have been agreed with industry in the RIS process for both air conditioners and domestic refrigerators and freezers.</w:t>
      </w:r>
    </w:p>
    <w:p w:rsidR="0029020F" w:rsidRDefault="0026623E" w:rsidP="00F740A0">
      <w:r>
        <w:t xml:space="preserve">The Minister and the COAG Energy Council </w:t>
      </w:r>
      <w:r w:rsidR="00223ABC">
        <w:t xml:space="preserve">must </w:t>
      </w:r>
      <w:r w:rsidR="00223ABC" w:rsidRPr="0029020F">
        <w:t>ensure that industry has sufficient time to prepare for the changes while ensuring that the benefits as a result of the new or revised determination are realised as soon as possible.</w:t>
      </w:r>
      <w:r w:rsidR="00223ABC">
        <w:t xml:space="preserve"> </w:t>
      </w:r>
    </w:p>
    <w:p w:rsidR="00646A05" w:rsidRDefault="00646A05" w:rsidP="00F740A0"/>
    <w:p w:rsidR="008D42F4" w:rsidRPr="00A85D26" w:rsidRDefault="008D42F4" w:rsidP="003442DC">
      <w:pPr>
        <w:pStyle w:val="RecHead"/>
      </w:pPr>
      <w:r w:rsidRPr="00C2144F">
        <w:t xml:space="preserve">RECOMMENDATION </w:t>
      </w:r>
      <w:r w:rsidR="00DC34C4">
        <w:t>8</w:t>
      </w:r>
    </w:p>
    <w:p w:rsidR="00223ABC" w:rsidRPr="00C743A5" w:rsidRDefault="00223ABC" w:rsidP="00C743A5">
      <w:pPr>
        <w:rPr>
          <w:b/>
          <w:bCs/>
        </w:rPr>
      </w:pPr>
      <w:r w:rsidRPr="00C743A5">
        <w:rPr>
          <w:b/>
          <w:bCs/>
        </w:rPr>
        <w:lastRenderedPageBreak/>
        <w:t>The Commonwealth Government</w:t>
      </w:r>
      <w:r w:rsidR="00A0519C" w:rsidRPr="00C743A5">
        <w:rPr>
          <w:b/>
          <w:bCs/>
        </w:rPr>
        <w:t xml:space="preserve"> </w:t>
      </w:r>
      <w:r w:rsidRPr="00C743A5">
        <w:rPr>
          <w:b/>
          <w:bCs/>
        </w:rPr>
        <w:t xml:space="preserve">consult with affected stakeholders before </w:t>
      </w:r>
      <w:r w:rsidR="00F5518E" w:rsidRPr="00C743A5">
        <w:rPr>
          <w:b/>
          <w:bCs/>
        </w:rPr>
        <w:t xml:space="preserve">specifying </w:t>
      </w:r>
      <w:r w:rsidRPr="00C743A5">
        <w:rPr>
          <w:b/>
          <w:bCs/>
        </w:rPr>
        <w:t xml:space="preserve">the implementation date of GEMS </w:t>
      </w:r>
      <w:r w:rsidR="00B01B72" w:rsidRPr="00C743A5">
        <w:rPr>
          <w:b/>
          <w:bCs/>
        </w:rPr>
        <w:t>determinations</w:t>
      </w:r>
      <w:r w:rsidRPr="00C743A5">
        <w:rPr>
          <w:b/>
          <w:bCs/>
        </w:rPr>
        <w:t>.</w:t>
      </w:r>
    </w:p>
    <w:p w:rsidR="00FE69D2" w:rsidRPr="00F25EB7" w:rsidRDefault="00FE69D2" w:rsidP="00F740A0">
      <w:pPr>
        <w:pStyle w:val="Heading3"/>
      </w:pPr>
      <w:bookmarkStart w:id="64" w:name="_Toc18660991"/>
      <w:r w:rsidRPr="00F25EB7">
        <w:t>5.2.</w:t>
      </w:r>
      <w:r w:rsidR="00CA07B4">
        <w:t>4</w:t>
      </w:r>
      <w:r w:rsidRPr="00F25EB7">
        <w:tab/>
        <w:t>Removing GEMS determinations</w:t>
      </w:r>
      <w:bookmarkEnd w:id="64"/>
    </w:p>
    <w:p w:rsidR="00FE69D2" w:rsidRPr="008512A7" w:rsidRDefault="00FE69D2" w:rsidP="00F740A0">
      <w:r w:rsidRPr="008512A7">
        <w:t xml:space="preserve">To date, no GEMS determinations have been </w:t>
      </w:r>
      <w:r>
        <w:t xml:space="preserve">revoked or </w:t>
      </w:r>
      <w:r w:rsidRPr="008512A7">
        <w:t xml:space="preserve">removed. E3 undertakes analysis to </w:t>
      </w:r>
      <w:r w:rsidR="00645CCF">
        <w:t>review</w:t>
      </w:r>
      <w:r w:rsidR="00645CCF" w:rsidRPr="008512A7">
        <w:t xml:space="preserve"> </w:t>
      </w:r>
      <w:r w:rsidRPr="008512A7">
        <w:t>the impact</w:t>
      </w:r>
      <w:r w:rsidR="00645CCF">
        <w:t>s</w:t>
      </w:r>
      <w:r w:rsidRPr="008512A7">
        <w:t xml:space="preserve"> that GEMS regulations are having in terms of net benefits and reducing energy use. If the costs of regulation were outweighing the benefits, a policy decision </w:t>
      </w:r>
      <w:r w:rsidR="00645CCF">
        <w:t>should</w:t>
      </w:r>
      <w:r w:rsidR="00645CCF" w:rsidRPr="008512A7">
        <w:t xml:space="preserve"> </w:t>
      </w:r>
      <w:r w:rsidRPr="008512A7">
        <w:t>be taken to</w:t>
      </w:r>
      <w:r w:rsidR="00C949DB">
        <w:t xml:space="preserve"> update or</w:t>
      </w:r>
      <w:r w:rsidRPr="008512A7">
        <w:t xml:space="preserve"> remove a GEMS determination.</w:t>
      </w:r>
    </w:p>
    <w:p w:rsidR="00FE69D2" w:rsidRPr="008512A7" w:rsidRDefault="00FE69D2" w:rsidP="00F740A0">
      <w:r w:rsidRPr="008512A7">
        <w:t xml:space="preserve">The review has invited stakeholders to identify issues that would need to be taken into account when considering such decisions. </w:t>
      </w:r>
      <w:r w:rsidRPr="00CB1555">
        <w:t xml:space="preserve">While submissions focussed on GEMS expanding to more products rather than removal of determinations, industry stakeholders have noted that appropriate consultation prior </w:t>
      </w:r>
      <w:r w:rsidR="00CB1555" w:rsidRPr="004E675B">
        <w:t xml:space="preserve">to the </w:t>
      </w:r>
      <w:r w:rsidRPr="00CB1555">
        <w:t xml:space="preserve">removal of a determination </w:t>
      </w:r>
      <w:r w:rsidR="00CB1555" w:rsidRPr="004E675B">
        <w:t>would be essential</w:t>
      </w:r>
      <w:r w:rsidRPr="00CB1555">
        <w:t>.</w:t>
      </w:r>
      <w:r w:rsidRPr="008512A7">
        <w:t xml:space="preserve"> </w:t>
      </w:r>
    </w:p>
    <w:p w:rsidR="00FE69D2" w:rsidRPr="008512A7" w:rsidRDefault="00645CCF" w:rsidP="00F740A0">
      <w:r>
        <w:t xml:space="preserve">Revoking a GEMS </w:t>
      </w:r>
      <w:r w:rsidR="009003F0">
        <w:t>d</w:t>
      </w:r>
      <w:r>
        <w:t xml:space="preserve">etermination would require </w:t>
      </w:r>
      <w:r w:rsidR="00FE69D2" w:rsidRPr="008512A7">
        <w:t xml:space="preserve">a </w:t>
      </w:r>
      <w:r>
        <w:t xml:space="preserve">COAG </w:t>
      </w:r>
      <w:r w:rsidR="00FE69D2" w:rsidRPr="008512A7">
        <w:t xml:space="preserve">RIS </w:t>
      </w:r>
      <w:r>
        <w:t xml:space="preserve">to ensure the implications were fully explored and considered </w:t>
      </w:r>
      <w:r w:rsidR="00FE69D2" w:rsidRPr="008512A7">
        <w:t xml:space="preserve">(though it would not need to be as extensive as a RIS proposing new regulation). </w:t>
      </w:r>
    </w:p>
    <w:p w:rsidR="00AE097B" w:rsidRDefault="00FE69D2" w:rsidP="00BF210A">
      <w:r w:rsidRPr="008512A7">
        <w:t xml:space="preserve">Some industry stakeholders also suggested timeframes under which determinations should sunset. </w:t>
      </w:r>
    </w:p>
    <w:p w:rsidR="00AE097B" w:rsidRPr="009115F1" w:rsidRDefault="00AE097B">
      <w:pPr>
        <w:pStyle w:val="SbQuote"/>
      </w:pPr>
      <w:r w:rsidRPr="009115F1">
        <w:t xml:space="preserve">Ai Group believes that </w:t>
      </w:r>
      <w:r w:rsidR="0023527F" w:rsidRPr="009115F1">
        <w:t>d</w:t>
      </w:r>
      <w:r w:rsidRPr="009115F1">
        <w:t xml:space="preserve">eterminations should automatically expire after a period of </w:t>
      </w:r>
      <w:r w:rsidR="00C63B26" w:rsidRPr="009115F1">
        <w:t>five</w:t>
      </w:r>
      <w:r w:rsidRPr="009115F1">
        <w:t xml:space="preserve"> years unless a case can be made by policy makers that the original cost/benefit is still valid.</w:t>
      </w:r>
    </w:p>
    <w:p w:rsidR="00AE097B" w:rsidRPr="00BF210A" w:rsidRDefault="00AE097B">
      <w:pPr>
        <w:pStyle w:val="SbQuoteref"/>
      </w:pPr>
      <w:r w:rsidRPr="00BF210A">
        <w:t>The Australian Industry Group (</w:t>
      </w:r>
      <w:r w:rsidR="00C63B26" w:rsidRPr="00BF210A">
        <w:t>AiGroup), 2018</w:t>
      </w:r>
    </w:p>
    <w:p w:rsidR="00AE097B" w:rsidRPr="009115F1" w:rsidRDefault="00AE097B">
      <w:pPr>
        <w:pStyle w:val="SbQuote"/>
      </w:pPr>
      <w:r w:rsidRPr="009115F1">
        <w:t xml:space="preserve">… all </w:t>
      </w:r>
      <w:r w:rsidR="0023527F" w:rsidRPr="009115F1">
        <w:t>d</w:t>
      </w:r>
      <w:r w:rsidRPr="009115F1">
        <w:t>eterminations ought to be subject to mandatory first-principles reviews periodically and subject to sunset clauses bringing about the expiry of an instrument after 24 to 36 months.</w:t>
      </w:r>
    </w:p>
    <w:p w:rsidR="00AE097B" w:rsidRDefault="00AE097B" w:rsidP="004E675B">
      <w:pPr>
        <w:pStyle w:val="SbQuoteref"/>
      </w:pPr>
      <w:r w:rsidRPr="00BF210A">
        <w:t>Lighting Council of Australia (LCA), 2018</w:t>
      </w:r>
    </w:p>
    <w:p w:rsidR="00F1768A" w:rsidRPr="00F740A0" w:rsidRDefault="00AF1AAE" w:rsidP="00F740A0">
      <w:r>
        <w:t>O</w:t>
      </w:r>
      <w:r w:rsidR="00F1768A" w:rsidRPr="00F740A0">
        <w:t>ther stakeholders, including AREMA, have expressed the view that even where the existing MEPS regulations are no longer driving improvements in efficiency, it is important to keep them in place as a baseline, to ensure that inefficient products removed by the regulations do not have an opportunity to re-enter the market.</w:t>
      </w:r>
      <w:r w:rsidR="00C66238">
        <w:t xml:space="preserve"> The Energy Efficiency Council also indicated that it was strongly opposed to the automatic sunsetting of appliance standards</w:t>
      </w:r>
      <w:r w:rsidR="00EF7C2A">
        <w:t xml:space="preserve"> on the basis that, as compliance costs for producers decline over time as products improve and the benefits of the standards continue, there is no sound rationale for sunsetting to occur automatically.</w:t>
      </w:r>
    </w:p>
    <w:p w:rsidR="006979A5" w:rsidRDefault="005D6A09" w:rsidP="00F740A0">
      <w:r w:rsidRPr="005B55F1">
        <w:t xml:space="preserve">GEMS determinations </w:t>
      </w:r>
      <w:r>
        <w:t xml:space="preserve">are covered by the </w:t>
      </w:r>
      <w:r w:rsidR="00303EF8">
        <w:t>g</w:t>
      </w:r>
      <w:r>
        <w:t>overnment’s</w:t>
      </w:r>
      <w:r w:rsidRPr="005B55F1">
        <w:t xml:space="preserve"> default sunsetting provisions which apply to Commonwealth legislative instruments</w:t>
      </w:r>
      <w:r w:rsidR="00797F2B">
        <w:t xml:space="preserve">. </w:t>
      </w:r>
      <w:r>
        <w:t xml:space="preserve">As such, </w:t>
      </w:r>
      <w:r w:rsidRPr="005B55F1">
        <w:t xml:space="preserve">GEMS determinations </w:t>
      </w:r>
      <w:r>
        <w:t xml:space="preserve">will </w:t>
      </w:r>
      <w:r w:rsidRPr="005B55F1">
        <w:t>sunset</w:t>
      </w:r>
      <w:r w:rsidR="0059299E">
        <w:t xml:space="preserve"> or </w:t>
      </w:r>
      <w:r w:rsidR="0059299E">
        <w:rPr>
          <w:rStyle w:val="ilfuvd"/>
          <w:rFonts w:cs="Arial"/>
          <w:color w:val="222222"/>
        </w:rPr>
        <w:t xml:space="preserve">cease to have effect </w:t>
      </w:r>
      <w:r w:rsidRPr="005B55F1">
        <w:t xml:space="preserve">after a 10 year period unless action is taken to update </w:t>
      </w:r>
      <w:r>
        <w:t>and renew the determinations</w:t>
      </w:r>
      <w:r w:rsidRPr="005B55F1">
        <w:t>.</w:t>
      </w:r>
      <w:r w:rsidR="003E0BFC">
        <w:t xml:space="preserve"> </w:t>
      </w:r>
      <w:r w:rsidRPr="005B55F1">
        <w:t xml:space="preserve">E3 </w:t>
      </w:r>
      <w:r>
        <w:t xml:space="preserve">should </w:t>
      </w:r>
      <w:r w:rsidRPr="005B55F1">
        <w:t>develop a work plan to review the cost benefit analysis of</w:t>
      </w:r>
      <w:r>
        <w:t xml:space="preserve"> determinations within that 10 year period and assess </w:t>
      </w:r>
      <w:r w:rsidRPr="005B55F1">
        <w:t>whether there is value in replacing the determinations with revised requirements, or allowing them to sunset without action or potentially be revoked earlier if warranted.</w:t>
      </w:r>
      <w:r>
        <w:t xml:space="preserve"> </w:t>
      </w:r>
    </w:p>
    <w:p w:rsidR="003E0BFC" w:rsidRDefault="003E0BFC" w:rsidP="00F740A0">
      <w:r>
        <w:t>Given the balance of the issues, the Commonwealth’s default sunsetting provision of 10</w:t>
      </w:r>
      <w:r w:rsidR="00FD4DFF">
        <w:t xml:space="preserve"> </w:t>
      </w:r>
      <w:r>
        <w:t>years would seem appropriate. However, if the E3 routine analysis of the impacts of GEMS regulations identifies a determination that should be revoked prior to the 10</w:t>
      </w:r>
      <w:r w:rsidR="00FD4DFF">
        <w:t> </w:t>
      </w:r>
      <w:r>
        <w:t>year period, the flexibility should remain to allow an early removal.</w:t>
      </w:r>
    </w:p>
    <w:p w:rsidR="00F072B9" w:rsidRDefault="00F072B9" w:rsidP="003442DC">
      <w:pPr>
        <w:pStyle w:val="RecHead"/>
      </w:pPr>
      <w:r>
        <w:t xml:space="preserve">RECOMMENDATION </w:t>
      </w:r>
      <w:r w:rsidR="00D477E6">
        <w:t>9</w:t>
      </w:r>
    </w:p>
    <w:p w:rsidR="00F072B9" w:rsidRPr="00C743A5" w:rsidRDefault="009F165F" w:rsidP="00C743A5">
      <w:pPr>
        <w:rPr>
          <w:b/>
          <w:bCs/>
        </w:rPr>
      </w:pPr>
      <w:r w:rsidRPr="00C743A5">
        <w:rPr>
          <w:b/>
          <w:bCs/>
        </w:rPr>
        <w:t xml:space="preserve">The Commonwealth Government request </w:t>
      </w:r>
      <w:r w:rsidR="00F5518E" w:rsidRPr="00C743A5">
        <w:rPr>
          <w:b/>
          <w:bCs/>
        </w:rPr>
        <w:t xml:space="preserve">that </w:t>
      </w:r>
      <w:r w:rsidRPr="00C743A5">
        <w:rPr>
          <w:b/>
          <w:bCs/>
        </w:rPr>
        <w:t xml:space="preserve">the COAG Energy Council </w:t>
      </w:r>
      <w:r w:rsidR="00F072B9" w:rsidRPr="00C743A5">
        <w:rPr>
          <w:b/>
          <w:bCs/>
        </w:rPr>
        <w:t>maintain</w:t>
      </w:r>
      <w:r w:rsidR="00FE7D1F" w:rsidRPr="00C743A5">
        <w:rPr>
          <w:b/>
          <w:bCs/>
        </w:rPr>
        <w:t>,</w:t>
      </w:r>
      <w:r w:rsidR="00F072B9" w:rsidRPr="00C743A5">
        <w:rPr>
          <w:b/>
          <w:bCs/>
        </w:rPr>
        <w:t xml:space="preserve"> </w:t>
      </w:r>
      <w:r w:rsidR="00FE7D1F" w:rsidRPr="00C743A5">
        <w:rPr>
          <w:b/>
          <w:bCs/>
        </w:rPr>
        <w:t>and publish,</w:t>
      </w:r>
      <w:r w:rsidR="00F072B9" w:rsidRPr="00C743A5">
        <w:rPr>
          <w:b/>
          <w:bCs/>
        </w:rPr>
        <w:t xml:space="preserve"> a work</w:t>
      </w:r>
      <w:r w:rsidR="005C3FEB" w:rsidRPr="00C743A5">
        <w:rPr>
          <w:b/>
          <w:bCs/>
        </w:rPr>
        <w:t xml:space="preserve"> plan to review and renew GEMS d</w:t>
      </w:r>
      <w:r w:rsidR="00F072B9" w:rsidRPr="00C743A5">
        <w:rPr>
          <w:b/>
          <w:bCs/>
        </w:rPr>
        <w:t>eterminations as appropriate.</w:t>
      </w:r>
    </w:p>
    <w:p w:rsidR="006C7E4C" w:rsidRPr="005F3AF8" w:rsidRDefault="006C7E4C" w:rsidP="00F740A0">
      <w:pPr>
        <w:pStyle w:val="Heading2"/>
      </w:pPr>
      <w:bookmarkStart w:id="65" w:name="_Toc18660992"/>
      <w:r w:rsidRPr="005F3AF8">
        <w:lastRenderedPageBreak/>
        <w:t>5.3</w:t>
      </w:r>
      <w:r w:rsidRPr="005F3AF8">
        <w:tab/>
        <w:t>Registrations</w:t>
      </w:r>
      <w:bookmarkEnd w:id="65"/>
    </w:p>
    <w:p w:rsidR="00AF1AAE" w:rsidRDefault="00FE69D2" w:rsidP="00F740A0">
      <w:pPr>
        <w:pStyle w:val="Heading3"/>
      </w:pPr>
      <w:bookmarkStart w:id="66" w:name="_Toc18660993"/>
      <w:r w:rsidRPr="00B70820">
        <w:t>5.3.1</w:t>
      </w:r>
      <w:r w:rsidRPr="00B70820">
        <w:tab/>
      </w:r>
      <w:r w:rsidR="00AF1AAE">
        <w:t>Introduction</w:t>
      </w:r>
      <w:bookmarkEnd w:id="66"/>
    </w:p>
    <w:p w:rsidR="00AF1AAE" w:rsidRPr="003F0E8F" w:rsidRDefault="007B3199" w:rsidP="00AF1AAE">
      <w:r w:rsidRPr="0063735A">
        <w:t>Products regulated for energy efficiency</w:t>
      </w:r>
      <w:r w:rsidR="005724A3" w:rsidRPr="005724A3">
        <w:t> in Australia must be registered</w:t>
      </w:r>
      <w:r w:rsidR="005724A3">
        <w:t>,</w:t>
      </w:r>
      <w:r w:rsidR="005724A3" w:rsidRPr="005724A3">
        <w:t xml:space="preserve"> and meet a number of legal requirements</w:t>
      </w:r>
      <w:r w:rsidR="005724A3">
        <w:t>,</w:t>
      </w:r>
      <w:r w:rsidR="005724A3" w:rsidRPr="005724A3">
        <w:t xml:space="preserve"> before they can be sold or offered for supply.</w:t>
      </w:r>
      <w:r w:rsidR="003B5BA6">
        <w:t xml:space="preserve"> </w:t>
      </w:r>
      <w:r w:rsidR="00AF1AAE">
        <w:t>R</w:t>
      </w:r>
      <w:r w:rsidR="00AF1AAE" w:rsidRPr="003F0E8F">
        <w:t>egistration</w:t>
      </w:r>
      <w:r w:rsidR="00AF1AAE">
        <w:t xml:space="preserve"> and the registration system is fundamentally important </w:t>
      </w:r>
      <w:r w:rsidR="0010740D">
        <w:t xml:space="preserve">to the effectiveness of the GEMS Act </w:t>
      </w:r>
      <w:r w:rsidR="00AF1AAE">
        <w:t>as it</w:t>
      </w:r>
      <w:r w:rsidR="00AF1AAE" w:rsidRPr="003F0E8F">
        <w:t xml:space="preserve"> is the first </w:t>
      </w:r>
      <w:r w:rsidR="00AF1AAE">
        <w:t xml:space="preserve">element </w:t>
      </w:r>
      <w:r w:rsidR="00AF1AAE" w:rsidRPr="003F0E8F">
        <w:t>in</w:t>
      </w:r>
      <w:r w:rsidR="00AF1AAE">
        <w:t xml:space="preserve"> the b</w:t>
      </w:r>
      <w:r w:rsidR="005E2902">
        <w:t>r</w:t>
      </w:r>
      <w:r w:rsidR="00AF1AAE">
        <w:t>oader</w:t>
      </w:r>
      <w:r w:rsidR="00AF1AAE" w:rsidRPr="003F0E8F">
        <w:t xml:space="preserve"> monitoring and enforcing compliance</w:t>
      </w:r>
      <w:r w:rsidR="00AF1AAE">
        <w:t xml:space="preserve"> regime</w:t>
      </w:r>
      <w:r w:rsidR="00AF1AAE" w:rsidRPr="003F0E8F">
        <w:t xml:space="preserve">. Data collected through </w:t>
      </w:r>
      <w:r w:rsidR="00CD1034">
        <w:t xml:space="preserve">the </w:t>
      </w:r>
      <w:r w:rsidR="00AF1AAE" w:rsidRPr="003F0E8F">
        <w:t>registration</w:t>
      </w:r>
      <w:r w:rsidR="00AF1AAE">
        <w:t xml:space="preserve"> process</w:t>
      </w:r>
      <w:r w:rsidR="00AF1AAE" w:rsidRPr="003F0E8F">
        <w:t xml:space="preserve"> also provides information for consumer</w:t>
      </w:r>
      <w:r w:rsidR="003E0BFC">
        <w:t>s and underpin</w:t>
      </w:r>
      <w:r w:rsidR="002214DB">
        <w:t>s</w:t>
      </w:r>
      <w:r w:rsidR="003E0BFC">
        <w:t xml:space="preserve"> information</w:t>
      </w:r>
      <w:r w:rsidR="00AF1AAE" w:rsidRPr="003F0E8F">
        <w:t xml:space="preserve"> tools, such as the registration database and the </w:t>
      </w:r>
      <w:r w:rsidR="00EF421E">
        <w:t>E</w:t>
      </w:r>
      <w:r w:rsidR="00AF1AAE" w:rsidRPr="003F0E8F">
        <w:t xml:space="preserve">nergy </w:t>
      </w:r>
      <w:r w:rsidR="00EF421E">
        <w:t>R</w:t>
      </w:r>
      <w:r w:rsidR="00AF1AAE" w:rsidRPr="003F0E8F">
        <w:t xml:space="preserve">ating </w:t>
      </w:r>
      <w:r w:rsidR="00EF421E">
        <w:t>C</w:t>
      </w:r>
      <w:r w:rsidR="00AF1AAE" w:rsidRPr="003F0E8F">
        <w:t xml:space="preserve">alculator. </w:t>
      </w:r>
    </w:p>
    <w:p w:rsidR="009D0E4A" w:rsidRDefault="009D0E4A" w:rsidP="00AF1AAE">
      <w:r>
        <w:t>This section of the report discusses r</w:t>
      </w:r>
      <w:r w:rsidR="00247E7C">
        <w:t>egistration issues for two categories</w:t>
      </w:r>
      <w:r>
        <w:t xml:space="preserve"> of products</w:t>
      </w:r>
      <w:r w:rsidR="003A1B3B">
        <w:t xml:space="preserve"> – p</w:t>
      </w:r>
      <w:r>
        <w:t xml:space="preserve">roducts with a large number of models </w:t>
      </w:r>
      <w:r w:rsidRPr="003442DC">
        <w:t>(</w:t>
      </w:r>
      <w:r w:rsidR="003E0BFC" w:rsidRPr="00C743A5">
        <w:rPr>
          <w:b/>
          <w:bCs/>
        </w:rPr>
        <w:t xml:space="preserve">Section </w:t>
      </w:r>
      <w:r w:rsidRPr="00C743A5">
        <w:rPr>
          <w:b/>
          <w:bCs/>
        </w:rPr>
        <w:t>5.3.2</w:t>
      </w:r>
      <w:r>
        <w:t>)</w:t>
      </w:r>
      <w:r w:rsidR="00444722">
        <w:t>,</w:t>
      </w:r>
      <w:r>
        <w:t xml:space="preserve"> customised products (</w:t>
      </w:r>
      <w:r w:rsidR="003E0BFC" w:rsidRPr="00C743A5">
        <w:rPr>
          <w:b/>
          <w:bCs/>
        </w:rPr>
        <w:t xml:space="preserve">Section </w:t>
      </w:r>
      <w:r w:rsidRPr="00C743A5">
        <w:rPr>
          <w:b/>
          <w:bCs/>
        </w:rPr>
        <w:t>5.3.4</w:t>
      </w:r>
      <w:r w:rsidR="003A1B3B">
        <w:t xml:space="preserve">) – </w:t>
      </w:r>
      <w:r>
        <w:t>and considers whether the GEMS Act has sufficient flexibility to dea</w:t>
      </w:r>
      <w:r w:rsidR="00F92B93">
        <w:t xml:space="preserve">l with </w:t>
      </w:r>
      <w:r w:rsidR="00444722">
        <w:t xml:space="preserve">these </w:t>
      </w:r>
      <w:r w:rsidR="00F92B93">
        <w:t>product types. It</w:t>
      </w:r>
      <w:r>
        <w:t xml:space="preserve"> also considers </w:t>
      </w:r>
      <w:r w:rsidR="00F92B93">
        <w:t xml:space="preserve">a number of </w:t>
      </w:r>
      <w:r w:rsidR="00247E7C">
        <w:t xml:space="preserve">other issues </w:t>
      </w:r>
      <w:r>
        <w:t>which apply across all product types</w:t>
      </w:r>
      <w:r w:rsidR="00F92B93">
        <w:t>, including suggestions for both increasing the effectiveness of the registration system from a compliance perspective (</w:t>
      </w:r>
      <w:r w:rsidR="003E0BFC" w:rsidRPr="00C743A5">
        <w:rPr>
          <w:b/>
          <w:bCs/>
        </w:rPr>
        <w:t>Section</w:t>
      </w:r>
      <w:r w:rsidR="00444722" w:rsidRPr="00C743A5">
        <w:rPr>
          <w:b/>
          <w:bCs/>
        </w:rPr>
        <w:t> </w:t>
      </w:r>
      <w:r w:rsidR="00F92B93" w:rsidRPr="00C743A5">
        <w:rPr>
          <w:b/>
          <w:bCs/>
        </w:rPr>
        <w:t>5.3.3</w:t>
      </w:r>
      <w:r w:rsidR="00F92B93">
        <w:t>)</w:t>
      </w:r>
      <w:r w:rsidR="00444722">
        <w:t xml:space="preserve"> </w:t>
      </w:r>
      <w:r w:rsidR="00EF421E">
        <w:t xml:space="preserve">and </w:t>
      </w:r>
      <w:r w:rsidR="00F92B93">
        <w:t>reducing regulatory burden (</w:t>
      </w:r>
      <w:r w:rsidR="003E0BFC" w:rsidRPr="00C743A5">
        <w:rPr>
          <w:b/>
          <w:bCs/>
        </w:rPr>
        <w:t xml:space="preserve">Section </w:t>
      </w:r>
      <w:r w:rsidR="00F92B93" w:rsidRPr="00C743A5">
        <w:rPr>
          <w:b/>
          <w:bCs/>
        </w:rPr>
        <w:t xml:space="preserve">5.3.5 </w:t>
      </w:r>
      <w:r w:rsidR="00F92B93" w:rsidRPr="004E675B">
        <w:t>and</w:t>
      </w:r>
      <w:r w:rsidR="00F92B93" w:rsidRPr="00C743A5">
        <w:rPr>
          <w:b/>
          <w:bCs/>
        </w:rPr>
        <w:t xml:space="preserve"> </w:t>
      </w:r>
      <w:r w:rsidR="00243D5B" w:rsidRPr="00C743A5">
        <w:rPr>
          <w:b/>
          <w:bCs/>
        </w:rPr>
        <w:t xml:space="preserve">Section </w:t>
      </w:r>
      <w:r w:rsidR="00F92B93" w:rsidRPr="00C743A5">
        <w:rPr>
          <w:b/>
          <w:bCs/>
        </w:rPr>
        <w:t>5.3.6</w:t>
      </w:r>
      <w:r w:rsidR="00F92B93">
        <w:t>).</w:t>
      </w:r>
    </w:p>
    <w:p w:rsidR="00F92B93" w:rsidRPr="00F92B93" w:rsidRDefault="00F92B93" w:rsidP="00AF1AAE">
      <w:r>
        <w:t>Stakeholders commented on the interplay between the registration and compliance regimes in the GEMS Act and the way in which they are administered</w:t>
      </w:r>
      <w:r w:rsidR="00247E7C">
        <w:t xml:space="preserve">. These issues are </w:t>
      </w:r>
      <w:r>
        <w:t xml:space="preserve">considered </w:t>
      </w:r>
      <w:r w:rsidR="00247E7C">
        <w:t xml:space="preserve">further </w:t>
      </w:r>
      <w:r>
        <w:t xml:space="preserve">in </w:t>
      </w:r>
      <w:r w:rsidR="003B5BA6" w:rsidRPr="00C743A5">
        <w:rPr>
          <w:b/>
          <w:bCs/>
        </w:rPr>
        <w:t>S</w:t>
      </w:r>
      <w:r w:rsidRPr="00C743A5">
        <w:rPr>
          <w:b/>
          <w:bCs/>
        </w:rPr>
        <w:t>ection 5.4.3</w:t>
      </w:r>
      <w:r>
        <w:t>.</w:t>
      </w:r>
    </w:p>
    <w:p w:rsidR="00AF1AAE" w:rsidRPr="000674DD" w:rsidRDefault="00AF1AAE" w:rsidP="00AF1AAE">
      <w:r>
        <w:t xml:space="preserve">Australia’s registration system and the GEMS registration database are highly regarded within the international community. </w:t>
      </w:r>
      <w:r w:rsidRPr="000674DD">
        <w:t xml:space="preserve">The European Union </w:t>
      </w:r>
      <w:r>
        <w:t xml:space="preserve">is </w:t>
      </w:r>
      <w:r w:rsidR="00243D5B">
        <w:t xml:space="preserve">currently </w:t>
      </w:r>
      <w:r>
        <w:t>develop</w:t>
      </w:r>
      <w:r w:rsidR="00CD1034">
        <w:t>ing</w:t>
      </w:r>
      <w:r>
        <w:t xml:space="preserve"> a </w:t>
      </w:r>
      <w:r w:rsidRPr="00FE37E2">
        <w:t>registration database</w:t>
      </w:r>
      <w:r>
        <w:t xml:space="preserve"> and is moving </w:t>
      </w:r>
      <w:r w:rsidRPr="000674DD">
        <w:t xml:space="preserve">towards </w:t>
      </w:r>
      <w:r>
        <w:t xml:space="preserve">requiring </w:t>
      </w:r>
      <w:r w:rsidRPr="000674DD">
        <w:t>registration</w:t>
      </w:r>
      <w:r>
        <w:t xml:space="preserve"> of</w:t>
      </w:r>
      <w:r w:rsidRPr="000674DD">
        <w:t xml:space="preserve"> </w:t>
      </w:r>
      <w:r w:rsidR="00C24E12">
        <w:t>a range of consumer</w:t>
      </w:r>
      <w:r w:rsidR="00C24E12" w:rsidRPr="000674DD">
        <w:t xml:space="preserve"> </w:t>
      </w:r>
      <w:r>
        <w:t xml:space="preserve">products and all </w:t>
      </w:r>
      <w:r w:rsidRPr="000674DD">
        <w:t xml:space="preserve">models </w:t>
      </w:r>
      <w:r>
        <w:t>for sale within the</w:t>
      </w:r>
      <w:r w:rsidRPr="002C2AD6">
        <w:t xml:space="preserve"> </w:t>
      </w:r>
      <w:r w:rsidRPr="00FE37E2">
        <w:t>European Union</w:t>
      </w:r>
      <w:r w:rsidR="00080F98">
        <w:t>. The European Commission</w:t>
      </w:r>
      <w:r w:rsidR="00C24E12">
        <w:t xml:space="preserve"> specifically mentioned the Australian system</w:t>
      </w:r>
      <w:r w:rsidR="00C35AD1">
        <w:t xml:space="preserve"> as a positive example</w:t>
      </w:r>
      <w:r w:rsidR="00C24E12">
        <w:t xml:space="preserve"> in the analysis of the costs and benefit of their approach</w:t>
      </w:r>
      <w:r w:rsidRPr="000674DD">
        <w:t>. Th</w:t>
      </w:r>
      <w:r w:rsidR="0062198A">
        <w:t>e Euro</w:t>
      </w:r>
      <w:r w:rsidR="00466F39">
        <w:t>pean Commission indicated a database</w:t>
      </w:r>
      <w:r w:rsidRPr="000674DD">
        <w:t xml:space="preserve"> is expected to provide a useful tool for consumers</w:t>
      </w:r>
      <w:r w:rsidR="00466F39">
        <w:t>;</w:t>
      </w:r>
      <w:r w:rsidRPr="000674DD">
        <w:t xml:space="preserve"> allow alternative ways for product dealers to receive product information sheets</w:t>
      </w:r>
      <w:r w:rsidR="00466F39">
        <w:t>; and</w:t>
      </w:r>
      <w:r w:rsidRPr="000674DD">
        <w:t xml:space="preserve"> facilitat</w:t>
      </w:r>
      <w:r w:rsidR="00466F39">
        <w:t>e</w:t>
      </w:r>
      <w:r w:rsidRPr="000674DD">
        <w:t xml:space="preserve"> the monitoring of compliance and provi</w:t>
      </w:r>
      <w:r w:rsidR="00466F39">
        <w:t>sion of</w:t>
      </w:r>
      <w:r w:rsidR="00BF5550">
        <w:t xml:space="preserve"> </w:t>
      </w:r>
      <w:r w:rsidRPr="000674DD">
        <w:t>data for regulatory processes. The modelled impact of having a registration</w:t>
      </w:r>
      <w:r w:rsidR="003E1283">
        <w:t xml:space="preserve"> d</w:t>
      </w:r>
      <w:r w:rsidRPr="000674DD">
        <w:t xml:space="preserve">atabase is estimated to improve compliance rates </w:t>
      </w:r>
      <w:r>
        <w:t>by</w:t>
      </w:r>
      <w:r w:rsidRPr="000674DD">
        <w:t xml:space="preserve"> six</w:t>
      </w:r>
      <w:r w:rsidR="00EF421E">
        <w:t> </w:t>
      </w:r>
      <w:r w:rsidRPr="000674DD">
        <w:t>percent</w:t>
      </w:r>
      <w:r w:rsidR="0062198A">
        <w:t>age points</w:t>
      </w:r>
      <w:r w:rsidRPr="000674DD">
        <w:t xml:space="preserve"> and </w:t>
      </w:r>
      <w:r w:rsidR="00040C77">
        <w:rPr>
          <w:noProof/>
        </w:rPr>
        <w:t>reduce energy savings losses as a result of non-compliance by three</w:t>
      </w:r>
      <w:r w:rsidR="00EF421E">
        <w:rPr>
          <w:noProof/>
        </w:rPr>
        <w:t> </w:t>
      </w:r>
      <w:r w:rsidR="00040C77">
        <w:rPr>
          <w:noProof/>
        </w:rPr>
        <w:t>per cent</w:t>
      </w:r>
      <w:r w:rsidR="0062198A">
        <w:rPr>
          <w:noProof/>
        </w:rPr>
        <w:t>age points</w:t>
      </w:r>
      <w:r>
        <w:t>.</w:t>
      </w:r>
      <w:r w:rsidRPr="000674DD">
        <w:rPr>
          <w:vertAlign w:val="superscript"/>
        </w:rPr>
        <w:footnoteReference w:id="18"/>
      </w:r>
      <w:r w:rsidRPr="000674DD">
        <w:t xml:space="preserve"> </w:t>
      </w:r>
      <w:r w:rsidR="00C35AD1">
        <w:t xml:space="preserve">In addition to the European Commission, a number of countries, such as Saudi Arabia and </w:t>
      </w:r>
      <w:r w:rsidR="00C35AD1" w:rsidRPr="005467DD">
        <w:t>South Africa</w:t>
      </w:r>
      <w:r w:rsidR="00C35AD1">
        <w:t>, have looked closely at the Australian system when evaluating approaches to registration for their own energy efficiency regulations.</w:t>
      </w:r>
    </w:p>
    <w:p w:rsidR="00FE69D2" w:rsidRPr="00AF1AAE" w:rsidRDefault="00AF1AAE" w:rsidP="00AF1AAE">
      <w:pPr>
        <w:pStyle w:val="Heading3"/>
      </w:pPr>
      <w:bookmarkStart w:id="67" w:name="_Toc18660994"/>
      <w:r>
        <w:t>5.3.2</w:t>
      </w:r>
      <w:r>
        <w:tab/>
      </w:r>
      <w:r w:rsidR="00FE69D2" w:rsidRPr="00AF1AAE">
        <w:t>Large number of models</w:t>
      </w:r>
      <w:bookmarkEnd w:id="67"/>
    </w:p>
    <w:p w:rsidR="00F63B3B" w:rsidRDefault="00E65E8F" w:rsidP="00F740A0">
      <w:r>
        <w:t>The registration of</w:t>
      </w:r>
      <w:r w:rsidR="00FE69D2" w:rsidRPr="00240A12">
        <w:t xml:space="preserve"> products with a very large number of models per supplier</w:t>
      </w:r>
      <w:r w:rsidR="00AE6B43">
        <w:t xml:space="preserve"> within the GEMS regulatory framework</w:t>
      </w:r>
      <w:r w:rsidR="00FE69D2" w:rsidRPr="00240A12">
        <w:t xml:space="preserve"> is complex and varies depending on the product. </w:t>
      </w:r>
    </w:p>
    <w:p w:rsidR="00FE69D2" w:rsidRPr="00240A12" w:rsidRDefault="00FE69D2" w:rsidP="00F740A0">
      <w:r w:rsidRPr="00240A12">
        <w:t xml:space="preserve">However, </w:t>
      </w:r>
      <w:r w:rsidR="00AE6B43">
        <w:t>t</w:t>
      </w:r>
      <w:r w:rsidRPr="00240A12">
        <w:t xml:space="preserve">here are a number of ways in which the </w:t>
      </w:r>
      <w:r w:rsidR="00243D5B">
        <w:t xml:space="preserve">GEMS </w:t>
      </w:r>
      <w:r w:rsidRPr="00240A12">
        <w:t xml:space="preserve">Act can provide flexibility in regard to these concerns (see </w:t>
      </w:r>
      <w:r w:rsidR="00522FE5" w:rsidRPr="00C743A5">
        <w:rPr>
          <w:b/>
          <w:bCs/>
        </w:rPr>
        <w:t xml:space="preserve">Table </w:t>
      </w:r>
      <w:r w:rsidR="00474EA6" w:rsidRPr="00C743A5">
        <w:rPr>
          <w:b/>
          <w:bCs/>
        </w:rPr>
        <w:t>4</w:t>
      </w:r>
      <w:r w:rsidRPr="00240A12">
        <w:t xml:space="preserve">). </w:t>
      </w:r>
      <w:r w:rsidR="00444722">
        <w:t>G</w:t>
      </w:r>
      <w:r w:rsidRPr="00240A12">
        <w:t xml:space="preserve">reater use of these mechanisms could assist in achieving that balance, or </w:t>
      </w:r>
      <w:r w:rsidR="00AE6B43">
        <w:t xml:space="preserve">further </w:t>
      </w:r>
      <w:r w:rsidRPr="00240A12">
        <w:t xml:space="preserve">amendments to increase flexibility </w:t>
      </w:r>
      <w:r w:rsidR="00444722">
        <w:t xml:space="preserve">may </w:t>
      </w:r>
      <w:r w:rsidRPr="00240A12">
        <w:t>need to be considered.</w:t>
      </w:r>
    </w:p>
    <w:p w:rsidR="00FE69D2" w:rsidRPr="00240A12" w:rsidRDefault="00FE69D2" w:rsidP="00F740A0">
      <w:r w:rsidRPr="00240A12">
        <w:t xml:space="preserve">The </w:t>
      </w:r>
      <w:r w:rsidR="00466F39">
        <w:t>review</w:t>
      </w:r>
      <w:r w:rsidRPr="00240A12">
        <w:t xml:space="preserve"> </w:t>
      </w:r>
      <w:r w:rsidR="007E0274">
        <w:t xml:space="preserve">sought feedback on </w:t>
      </w:r>
      <w:r w:rsidRPr="00240A12">
        <w:t xml:space="preserve">the balance between flexibility and risk </w:t>
      </w:r>
      <w:r w:rsidR="007E0274">
        <w:t xml:space="preserve">associated with </w:t>
      </w:r>
      <w:r w:rsidRPr="00240A12">
        <w:t xml:space="preserve">family registrations where a large number of models </w:t>
      </w:r>
      <w:r w:rsidR="007E0274">
        <w:t>are</w:t>
      </w:r>
      <w:r w:rsidR="007E0274" w:rsidRPr="00240A12">
        <w:t xml:space="preserve"> </w:t>
      </w:r>
      <w:r w:rsidRPr="00240A12">
        <w:t xml:space="preserve">allowed in </w:t>
      </w:r>
      <w:r w:rsidR="007E0274">
        <w:t>a single</w:t>
      </w:r>
      <w:r w:rsidR="007E0274" w:rsidRPr="00240A12">
        <w:t xml:space="preserve"> </w:t>
      </w:r>
      <w:r w:rsidRPr="00240A12">
        <w:t>family</w:t>
      </w:r>
      <w:r w:rsidR="007E0274">
        <w:t xml:space="preserve"> registration</w:t>
      </w:r>
      <w:r w:rsidRPr="00240A12">
        <w:t>.</w:t>
      </w:r>
      <w:r w:rsidR="007E0274">
        <w:t xml:space="preserve"> </w:t>
      </w:r>
      <w:r w:rsidRPr="00240A12">
        <w:t xml:space="preserve">Some stakeholders saw the current arrangements as striking the appropriate balance, while others </w:t>
      </w:r>
      <w:r w:rsidR="007E0274">
        <w:t xml:space="preserve">argued </w:t>
      </w:r>
      <w:r w:rsidR="007E0274">
        <w:lastRenderedPageBreak/>
        <w:t>that</w:t>
      </w:r>
      <w:r w:rsidR="007E0274" w:rsidRPr="00240A12">
        <w:t xml:space="preserve"> </w:t>
      </w:r>
      <w:r w:rsidRPr="00240A12">
        <w:t xml:space="preserve">families with a large number of models were too risky given that if one </w:t>
      </w:r>
      <w:r w:rsidR="007E0274">
        <w:t xml:space="preserve">model </w:t>
      </w:r>
      <w:r w:rsidRPr="00240A12">
        <w:t xml:space="preserve">was non-compliant, all models in the family </w:t>
      </w:r>
      <w:r w:rsidR="007E0274">
        <w:t>could</w:t>
      </w:r>
      <w:r w:rsidR="007E0274" w:rsidRPr="00240A12">
        <w:t xml:space="preserve"> </w:t>
      </w:r>
      <w:r w:rsidRPr="00240A12">
        <w:t>be removed from the market</w:t>
      </w:r>
      <w:r w:rsidRPr="00B44994">
        <w:t>.</w:t>
      </w:r>
      <w:r w:rsidR="007E0274">
        <w:rPr>
          <w:rStyle w:val="FootnoteReference"/>
          <w:szCs w:val="24"/>
        </w:rPr>
        <w:footnoteReference w:id="19"/>
      </w:r>
    </w:p>
    <w:p w:rsidR="00FE69D2" w:rsidRPr="00240A12" w:rsidRDefault="007E0274" w:rsidP="00F740A0">
      <w:r>
        <w:t>T</w:t>
      </w:r>
      <w:r w:rsidR="00FE69D2" w:rsidRPr="00240A12">
        <w:t xml:space="preserve">he GEMS Regulator </w:t>
      </w:r>
      <w:r>
        <w:t>does have</w:t>
      </w:r>
      <w:r w:rsidRPr="00240A12">
        <w:t xml:space="preserve"> </w:t>
      </w:r>
      <w:r w:rsidR="00FE69D2" w:rsidRPr="00240A12">
        <w:t xml:space="preserve">discretion in </w:t>
      </w:r>
      <w:r>
        <w:t>determining the</w:t>
      </w:r>
      <w:r w:rsidR="00FE69D2" w:rsidRPr="00240A12">
        <w:t xml:space="preserve"> enforcement response appropriate to the circumstances and this may mean that cancelling a registration is not pursued in all cases. The GEMS Regulator also has the ability to consider fee relief in situations </w:t>
      </w:r>
      <w:r w:rsidR="002214DB">
        <w:t>where</w:t>
      </w:r>
      <w:r w:rsidR="002214DB" w:rsidRPr="00240A12">
        <w:t xml:space="preserve"> </w:t>
      </w:r>
      <w:r w:rsidR="00FE69D2" w:rsidRPr="00240A12">
        <w:t>re-registration is sought</w:t>
      </w:r>
      <w:r w:rsidR="002214DB">
        <w:t xml:space="preserve"> and</w:t>
      </w:r>
      <w:r w:rsidR="00FE69D2" w:rsidRPr="00240A12">
        <w:t xml:space="preserve"> where compliance can be demonstrated for </w:t>
      </w:r>
      <w:r>
        <w:t xml:space="preserve">the remaining </w:t>
      </w:r>
      <w:r w:rsidR="00FE69D2" w:rsidRPr="00240A12">
        <w:t xml:space="preserve">models in the cancelled family. </w:t>
      </w:r>
      <w:r w:rsidR="00CD6B49">
        <w:t xml:space="preserve">There is also the </w:t>
      </w:r>
      <w:r w:rsidR="00FE69D2" w:rsidRPr="00240A12">
        <w:t xml:space="preserve">capacity for registrants to </w:t>
      </w:r>
      <w:r w:rsidR="00CD6B49">
        <w:t>mitigate</w:t>
      </w:r>
      <w:r w:rsidR="00CD6B49" w:rsidRPr="00240A12">
        <w:t xml:space="preserve"> </w:t>
      </w:r>
      <w:r w:rsidR="00FE69D2" w:rsidRPr="00240A12">
        <w:t xml:space="preserve">some of the risk by </w:t>
      </w:r>
      <w:r w:rsidR="00FE69D2" w:rsidRPr="00B44994">
        <w:t>register</w:t>
      </w:r>
      <w:r w:rsidR="00CD6B49">
        <w:t xml:space="preserve">ing </w:t>
      </w:r>
      <w:r w:rsidR="00FE69D2" w:rsidRPr="00240A12">
        <w:t>smaller groups of models across a number of family registrations, even where they could all be covered by one family registration.</w:t>
      </w:r>
    </w:p>
    <w:p w:rsidR="000448EE" w:rsidRDefault="008A0703" w:rsidP="00F63B3B">
      <w:r w:rsidRPr="00F740A0">
        <w:t xml:space="preserve">The </w:t>
      </w:r>
      <w:r w:rsidR="00E65E8F">
        <w:t>existing arrangements largely work well for the current range of products</w:t>
      </w:r>
      <w:r>
        <w:t>.</w:t>
      </w:r>
      <w:r w:rsidR="00E65E8F">
        <w:t xml:space="preserve"> </w:t>
      </w:r>
      <w:r w:rsidR="009C252D">
        <w:t>However, c</w:t>
      </w:r>
      <w:r w:rsidR="00F63B3B">
        <w:t xml:space="preserve">oncerns from suppliers about the cost and practicality of model level registration are emerging for some products. </w:t>
      </w:r>
    </w:p>
    <w:p w:rsidR="00742825" w:rsidRPr="009115F1" w:rsidRDefault="00ED24F9" w:rsidP="00562F48">
      <w:pPr>
        <w:pStyle w:val="SbQuote"/>
      </w:pPr>
      <w:r w:rsidRPr="009115F1">
        <w:t>…it is impractical to list every model of computer where a large range of options is available because very many options can be unique to each purchase order.</w:t>
      </w:r>
    </w:p>
    <w:p w:rsidR="00ED24F9" w:rsidRDefault="00ED24F9" w:rsidP="00562F48">
      <w:pPr>
        <w:pStyle w:val="SbQuote"/>
        <w:rPr>
          <w:i/>
        </w:rPr>
      </w:pPr>
      <w:r w:rsidRPr="00562F48">
        <w:rPr>
          <w:i/>
        </w:rPr>
        <w:t>Australian Information Industry Association, 2018</w:t>
      </w:r>
    </w:p>
    <w:p w:rsidR="00E65E8F" w:rsidRPr="00562F48" w:rsidRDefault="00E65E8F" w:rsidP="00562F48">
      <w:pPr>
        <w:pStyle w:val="SbQuote"/>
        <w:rPr>
          <w:i/>
        </w:rPr>
      </w:pPr>
    </w:p>
    <w:p w:rsidR="00F63B3B" w:rsidRDefault="00F63B3B" w:rsidP="00F63B3B">
      <w:r>
        <w:t>For complex products such as chillers, or products with a large number of models such as computers, consideration should be given to further use of the flexibility available under the GEMS Act</w:t>
      </w:r>
      <w:r w:rsidR="00E65E8F">
        <w:t xml:space="preserve"> </w:t>
      </w:r>
      <w:r w:rsidR="00272E1D">
        <w:t>so that registration</w:t>
      </w:r>
      <w:r w:rsidR="009C252D">
        <w:t xml:space="preserve"> requirements are not onerous f</w:t>
      </w:r>
      <w:r>
        <w:t xml:space="preserve">or suppliers. </w:t>
      </w:r>
    </w:p>
    <w:p w:rsidR="00E65E8F" w:rsidRDefault="00E65E8F" w:rsidP="00F63B3B">
      <w:r>
        <w:t>For some</w:t>
      </w:r>
      <w:r w:rsidRPr="00E65E8F">
        <w:t xml:space="preserve"> product </w:t>
      </w:r>
      <w:r>
        <w:t xml:space="preserve">categories, there is also value </w:t>
      </w:r>
      <w:r w:rsidRPr="00E65E8F">
        <w:t xml:space="preserve">in exploring other options. For example, the Department of the Environment and Energy has agreed to work towards supplier level registration for LED lighting products, providing a test case for assessing the merits of extending such an approach to other regulated products. The </w:t>
      </w:r>
      <w:r w:rsidR="004817AB">
        <w:t>D</w:t>
      </w:r>
      <w:r w:rsidRPr="00E65E8F">
        <w:t xml:space="preserve">epartment’s current work on supplier level registration should be used to evaluate the merits of extending such an approach to other regulated products for which it would be appropriate. </w:t>
      </w:r>
    </w:p>
    <w:p w:rsidR="00CD6B49" w:rsidRPr="005C0227" w:rsidRDefault="00CD6B49" w:rsidP="003442DC">
      <w:pPr>
        <w:pStyle w:val="RecHead"/>
      </w:pPr>
      <w:r w:rsidRPr="005C0227">
        <w:t xml:space="preserve">RECOMMENDATION </w:t>
      </w:r>
      <w:r w:rsidR="00D477E6">
        <w:t>10</w:t>
      </w:r>
    </w:p>
    <w:p w:rsidR="006F12A4" w:rsidRPr="00C743A5" w:rsidRDefault="008A0703" w:rsidP="00C743A5">
      <w:pPr>
        <w:rPr>
          <w:b/>
          <w:bCs/>
        </w:rPr>
      </w:pPr>
      <w:r w:rsidRPr="00C743A5">
        <w:rPr>
          <w:b/>
          <w:bCs/>
        </w:rPr>
        <w:t>The Commonwealth Government examine the appropriate use of supplier level registration</w:t>
      </w:r>
      <w:r w:rsidR="0082135D" w:rsidRPr="00C743A5">
        <w:rPr>
          <w:b/>
          <w:bCs/>
        </w:rPr>
        <w:t>.</w:t>
      </w:r>
      <w:r w:rsidR="00FA077A" w:rsidRPr="00C743A5">
        <w:rPr>
          <w:b/>
          <w:bCs/>
        </w:rPr>
        <w:t xml:space="preserve"> </w:t>
      </w:r>
    </w:p>
    <w:p w:rsidR="006F12A4" w:rsidRPr="00413D00" w:rsidRDefault="006F12A4" w:rsidP="00413D00">
      <w:pPr>
        <w:pStyle w:val="RecHead"/>
      </w:pPr>
      <w:r w:rsidRPr="00413D00">
        <w:t>RECOMMENDATION 11</w:t>
      </w:r>
    </w:p>
    <w:p w:rsidR="008A0703" w:rsidRPr="00C743A5" w:rsidRDefault="00CB1224" w:rsidP="00C743A5">
      <w:pPr>
        <w:rPr>
          <w:b/>
          <w:bCs/>
        </w:rPr>
      </w:pPr>
      <w:r w:rsidRPr="00C743A5">
        <w:rPr>
          <w:b/>
          <w:bCs/>
        </w:rPr>
        <w:t xml:space="preserve">The Commonwealth Government request that the COAG Energy Council </w:t>
      </w:r>
      <w:r w:rsidR="006F12A4" w:rsidRPr="00C743A5">
        <w:rPr>
          <w:b/>
          <w:bCs/>
        </w:rPr>
        <w:t>give more</w:t>
      </w:r>
      <w:r w:rsidR="00B840F9" w:rsidRPr="00C743A5">
        <w:rPr>
          <w:b/>
          <w:bCs/>
        </w:rPr>
        <w:t xml:space="preserve"> </w:t>
      </w:r>
      <w:r w:rsidR="006F12A4" w:rsidRPr="00C743A5">
        <w:rPr>
          <w:b/>
          <w:bCs/>
        </w:rPr>
        <w:t xml:space="preserve">consideration to </w:t>
      </w:r>
      <w:r w:rsidR="00207028" w:rsidRPr="00C743A5">
        <w:rPr>
          <w:b/>
          <w:bCs/>
        </w:rPr>
        <w:t xml:space="preserve">the use of existing flexibility arrangements when </w:t>
      </w:r>
      <w:r w:rsidR="006F12A4" w:rsidRPr="00C743A5">
        <w:rPr>
          <w:b/>
          <w:bCs/>
        </w:rPr>
        <w:t>contemplating</w:t>
      </w:r>
      <w:r w:rsidR="00B840F9" w:rsidRPr="00C743A5">
        <w:rPr>
          <w:b/>
          <w:bCs/>
        </w:rPr>
        <w:t xml:space="preserve"> new or revised regulations for particular products</w:t>
      </w:r>
      <w:r w:rsidR="008A0703" w:rsidRPr="00C743A5">
        <w:rPr>
          <w:b/>
          <w:bCs/>
        </w:rPr>
        <w:t>.</w:t>
      </w:r>
    </w:p>
    <w:p w:rsidR="004039FF" w:rsidRPr="00413D00" w:rsidRDefault="008417C3" w:rsidP="00F740A0">
      <w:pPr>
        <w:pStyle w:val="ListNumber"/>
        <w:spacing w:after="0"/>
        <w:rPr>
          <w:rStyle w:val="Emphasis"/>
          <w:szCs w:val="20"/>
        </w:rPr>
      </w:pPr>
      <w:r w:rsidRPr="00413D00">
        <w:rPr>
          <w:rStyle w:val="Emphasis"/>
          <w:szCs w:val="20"/>
        </w:rPr>
        <w:t xml:space="preserve">Table </w:t>
      </w:r>
      <w:r w:rsidR="00474EA6" w:rsidRPr="00413D00">
        <w:rPr>
          <w:rStyle w:val="Emphasis"/>
          <w:szCs w:val="20"/>
        </w:rPr>
        <w:t>4</w:t>
      </w:r>
      <w:r w:rsidRPr="00413D00">
        <w:rPr>
          <w:rStyle w:val="Emphasis"/>
          <w:szCs w:val="20"/>
        </w:rPr>
        <w:t>: Flexible arrangements currently within the Act</w:t>
      </w:r>
      <w:r w:rsidR="005E2902" w:rsidRPr="00413D00">
        <w:rPr>
          <w:rStyle w:val="Emphasis"/>
          <w:szCs w:val="20"/>
        </w:rPr>
        <w:t xml:space="preserve">  </w:t>
      </w:r>
    </w:p>
    <w:tbl>
      <w:tblPr>
        <w:tblStyle w:val="TableGrid"/>
        <w:tblW w:w="5000" w:type="pct"/>
        <w:tblLook w:val="04A0" w:firstRow="1" w:lastRow="0" w:firstColumn="1" w:lastColumn="0" w:noHBand="0" w:noVBand="1"/>
      </w:tblPr>
      <w:tblGrid>
        <w:gridCol w:w="1427"/>
        <w:gridCol w:w="7589"/>
      </w:tblGrid>
      <w:tr w:rsidR="007E0274" w:rsidRPr="000B17F1" w:rsidTr="009115F1">
        <w:trPr>
          <w:cnfStyle w:val="100000000000" w:firstRow="1" w:lastRow="0" w:firstColumn="0" w:lastColumn="0" w:oddVBand="0" w:evenVBand="0" w:oddHBand="0" w:evenHBand="0" w:firstRowFirstColumn="0" w:firstRowLastColumn="0" w:lastRowFirstColumn="0" w:lastRowLastColumn="0"/>
          <w:tblHeader/>
        </w:trPr>
        <w:tc>
          <w:tcPr>
            <w:tcW w:w="791" w:type="pct"/>
          </w:tcPr>
          <w:p w:rsidR="00D74010" w:rsidRPr="008417C3" w:rsidRDefault="00D74010" w:rsidP="006979A5">
            <w:pPr>
              <w:pStyle w:val="ListNumber"/>
              <w:rPr>
                <w:b/>
                <w:sz w:val="22"/>
              </w:rPr>
            </w:pPr>
            <w:r w:rsidRPr="008417C3">
              <w:rPr>
                <w:b/>
                <w:sz w:val="22"/>
              </w:rPr>
              <w:t>Feature</w:t>
            </w:r>
          </w:p>
        </w:tc>
        <w:tc>
          <w:tcPr>
            <w:tcW w:w="4209" w:type="pct"/>
          </w:tcPr>
          <w:p w:rsidR="00D74010" w:rsidRPr="008417C3" w:rsidRDefault="00D74010" w:rsidP="006979A5">
            <w:pPr>
              <w:rPr>
                <w:sz w:val="22"/>
              </w:rPr>
            </w:pPr>
            <w:r w:rsidRPr="008417C3">
              <w:rPr>
                <w:sz w:val="22"/>
              </w:rPr>
              <w:t xml:space="preserve">Scope of </w:t>
            </w:r>
            <w:r w:rsidR="008A0703" w:rsidRPr="008417C3">
              <w:rPr>
                <w:sz w:val="22"/>
              </w:rPr>
              <w:t>d</w:t>
            </w:r>
            <w:r w:rsidRPr="008417C3">
              <w:rPr>
                <w:sz w:val="22"/>
              </w:rPr>
              <w:t>etermination</w:t>
            </w:r>
          </w:p>
        </w:tc>
      </w:tr>
      <w:tr w:rsidR="008A0703" w:rsidRPr="000B17F1" w:rsidTr="009115F1">
        <w:trPr>
          <w:cnfStyle w:val="000000100000" w:firstRow="0" w:lastRow="0" w:firstColumn="0" w:lastColumn="0" w:oddVBand="0" w:evenVBand="0" w:oddHBand="1" w:evenHBand="0" w:firstRowFirstColumn="0" w:firstRowLastColumn="0" w:lastRowFirstColumn="0" w:lastRowLastColumn="0"/>
        </w:trPr>
        <w:tc>
          <w:tcPr>
            <w:tcW w:w="791" w:type="pct"/>
          </w:tcPr>
          <w:p w:rsidR="00D74010" w:rsidRPr="008417C3" w:rsidDel="00D74010" w:rsidRDefault="00D74010" w:rsidP="00F740A0">
            <w:pPr>
              <w:ind w:right="-108"/>
              <w:mirrorIndents w:val="0"/>
              <w:rPr>
                <w:b/>
                <w:sz w:val="22"/>
              </w:rPr>
            </w:pPr>
            <w:r w:rsidRPr="008417C3">
              <w:rPr>
                <w:b/>
                <w:sz w:val="22"/>
              </w:rPr>
              <w:t>Description</w:t>
            </w:r>
            <w:r w:rsidRPr="008417C3" w:rsidDel="00D74010">
              <w:rPr>
                <w:b/>
                <w:sz w:val="22"/>
              </w:rPr>
              <w:t xml:space="preserve"> </w:t>
            </w:r>
          </w:p>
        </w:tc>
        <w:tc>
          <w:tcPr>
            <w:tcW w:w="4209" w:type="pct"/>
          </w:tcPr>
          <w:p w:rsidR="00D74010" w:rsidRPr="008417C3" w:rsidRDefault="00D74010" w:rsidP="00F740A0">
            <w:pPr>
              <w:mirrorIndents w:val="0"/>
              <w:rPr>
                <w:sz w:val="22"/>
              </w:rPr>
            </w:pPr>
            <w:r w:rsidRPr="008417C3">
              <w:rPr>
                <w:sz w:val="22"/>
              </w:rPr>
              <w:t xml:space="preserve">Setting out the classes of products that are covered and not covered (or excluded) by the </w:t>
            </w:r>
            <w:r w:rsidR="008A0703" w:rsidRPr="008417C3">
              <w:rPr>
                <w:sz w:val="22"/>
              </w:rPr>
              <w:t>d</w:t>
            </w:r>
            <w:r w:rsidRPr="008417C3">
              <w:rPr>
                <w:sz w:val="22"/>
              </w:rPr>
              <w:t>etermination.</w:t>
            </w:r>
          </w:p>
        </w:tc>
      </w:tr>
      <w:tr w:rsidR="007E0274" w:rsidRPr="000B17F1" w:rsidTr="009115F1">
        <w:trPr>
          <w:cnfStyle w:val="000000010000" w:firstRow="0" w:lastRow="0" w:firstColumn="0" w:lastColumn="0" w:oddVBand="0" w:evenVBand="0" w:oddHBand="0" w:evenHBand="1" w:firstRowFirstColumn="0" w:firstRowLastColumn="0" w:lastRowFirstColumn="0" w:lastRowLastColumn="0"/>
        </w:trPr>
        <w:tc>
          <w:tcPr>
            <w:tcW w:w="791" w:type="pct"/>
          </w:tcPr>
          <w:p w:rsidR="00D74010" w:rsidRPr="008417C3" w:rsidDel="00D74010" w:rsidRDefault="00D74010" w:rsidP="00F740A0">
            <w:pPr>
              <w:ind w:right="-108"/>
              <w:mirrorIndents w:val="0"/>
              <w:rPr>
                <w:b/>
                <w:sz w:val="22"/>
              </w:rPr>
            </w:pPr>
            <w:r w:rsidRPr="008417C3">
              <w:rPr>
                <w:b/>
                <w:sz w:val="22"/>
              </w:rPr>
              <w:t>Criteria</w:t>
            </w:r>
          </w:p>
        </w:tc>
        <w:tc>
          <w:tcPr>
            <w:tcW w:w="4209" w:type="pct"/>
          </w:tcPr>
          <w:p w:rsidR="00D74010" w:rsidRPr="008417C3" w:rsidRDefault="00D74010" w:rsidP="00797F2B">
            <w:pPr>
              <w:mirrorIndents w:val="0"/>
              <w:rPr>
                <w:sz w:val="22"/>
              </w:rPr>
            </w:pPr>
            <w:r w:rsidRPr="008417C3">
              <w:rPr>
                <w:sz w:val="22"/>
              </w:rPr>
              <w:t>Done in all cases. The interaction between the covered and excluded product classes ensures that only the products for which regulation is deemed appropriate are captured. The approach can be either broad/high-</w:t>
            </w:r>
            <w:r w:rsidRPr="008417C3">
              <w:rPr>
                <w:sz w:val="22"/>
              </w:rPr>
              <w:lastRenderedPageBreak/>
              <w:t xml:space="preserve">level coverage statements with a detailed set of exclusions, or a relatively targeted list of covered product classes with fewer exclusions. </w:t>
            </w:r>
          </w:p>
        </w:tc>
      </w:tr>
      <w:tr w:rsidR="00D74010" w:rsidRPr="000B17F1" w:rsidTr="009115F1">
        <w:trPr>
          <w:cnfStyle w:val="000000100000" w:firstRow="0" w:lastRow="0" w:firstColumn="0" w:lastColumn="0" w:oddVBand="0" w:evenVBand="0" w:oddHBand="1" w:evenHBand="0" w:firstRowFirstColumn="0" w:firstRowLastColumn="0" w:lastRowFirstColumn="0" w:lastRowLastColumn="0"/>
        </w:trPr>
        <w:tc>
          <w:tcPr>
            <w:tcW w:w="791" w:type="pct"/>
          </w:tcPr>
          <w:p w:rsidR="00D74010" w:rsidRPr="008417C3" w:rsidRDefault="00D74010" w:rsidP="006979A5">
            <w:pPr>
              <w:ind w:right="-108"/>
              <w:mirrorIndents w:val="0"/>
              <w:rPr>
                <w:b/>
                <w:sz w:val="22"/>
              </w:rPr>
            </w:pPr>
            <w:r w:rsidRPr="008417C3">
              <w:rPr>
                <w:b/>
                <w:sz w:val="22"/>
              </w:rPr>
              <w:lastRenderedPageBreak/>
              <w:t>Feature</w:t>
            </w:r>
          </w:p>
        </w:tc>
        <w:tc>
          <w:tcPr>
            <w:tcW w:w="4209" w:type="pct"/>
          </w:tcPr>
          <w:p w:rsidR="00D74010" w:rsidRPr="008417C3" w:rsidRDefault="00D74010" w:rsidP="006979A5">
            <w:pPr>
              <w:mirrorIndents w:val="0"/>
              <w:rPr>
                <w:sz w:val="22"/>
              </w:rPr>
            </w:pPr>
            <w:r w:rsidRPr="008417C3">
              <w:rPr>
                <w:sz w:val="22"/>
              </w:rPr>
              <w:t>Registration exemption</w:t>
            </w:r>
          </w:p>
        </w:tc>
      </w:tr>
      <w:tr w:rsidR="00D74010" w:rsidRPr="000B17F1" w:rsidTr="009115F1">
        <w:trPr>
          <w:cnfStyle w:val="000000010000" w:firstRow="0" w:lastRow="0" w:firstColumn="0" w:lastColumn="0" w:oddVBand="0" w:evenVBand="0" w:oddHBand="0" w:evenHBand="1" w:firstRowFirstColumn="0" w:firstRowLastColumn="0" w:lastRowFirstColumn="0" w:lastRowLastColumn="0"/>
        </w:trPr>
        <w:tc>
          <w:tcPr>
            <w:tcW w:w="791" w:type="pct"/>
          </w:tcPr>
          <w:p w:rsidR="00D74010" w:rsidRPr="008417C3" w:rsidRDefault="00D74010" w:rsidP="008417C3">
            <w:pPr>
              <w:ind w:right="-108"/>
              <w:mirrorIndents w:val="0"/>
              <w:rPr>
                <w:b/>
                <w:sz w:val="22"/>
              </w:rPr>
            </w:pPr>
            <w:r w:rsidRPr="008417C3">
              <w:rPr>
                <w:b/>
                <w:sz w:val="22"/>
              </w:rPr>
              <w:t>Description</w:t>
            </w:r>
            <w:r w:rsidRPr="008417C3" w:rsidDel="00D74010">
              <w:rPr>
                <w:b/>
                <w:sz w:val="22"/>
              </w:rPr>
              <w:t xml:space="preserve"> </w:t>
            </w:r>
          </w:p>
        </w:tc>
        <w:tc>
          <w:tcPr>
            <w:tcW w:w="4209" w:type="pct"/>
          </w:tcPr>
          <w:p w:rsidR="00D74010" w:rsidRPr="008417C3" w:rsidRDefault="00D74010" w:rsidP="00240A12">
            <w:pPr>
              <w:mirrorIndents w:val="0"/>
              <w:rPr>
                <w:sz w:val="22"/>
              </w:rPr>
            </w:pPr>
            <w:r w:rsidRPr="008417C3">
              <w:rPr>
                <w:sz w:val="22"/>
              </w:rPr>
              <w:t>A determination can specify that models in a product class are exempt from the obligation to register.</w:t>
            </w:r>
          </w:p>
        </w:tc>
      </w:tr>
      <w:tr w:rsidR="00D74010" w:rsidRPr="000B17F1" w:rsidTr="009115F1">
        <w:trPr>
          <w:cnfStyle w:val="000000100000" w:firstRow="0" w:lastRow="0" w:firstColumn="0" w:lastColumn="0" w:oddVBand="0" w:evenVBand="0" w:oddHBand="1" w:evenHBand="0" w:firstRowFirstColumn="0" w:firstRowLastColumn="0" w:lastRowFirstColumn="0" w:lastRowLastColumn="0"/>
        </w:trPr>
        <w:tc>
          <w:tcPr>
            <w:tcW w:w="791" w:type="pct"/>
          </w:tcPr>
          <w:p w:rsidR="00D74010" w:rsidRPr="008417C3" w:rsidRDefault="00D74010" w:rsidP="008417C3">
            <w:pPr>
              <w:ind w:right="-108"/>
              <w:mirrorIndents w:val="0"/>
              <w:rPr>
                <w:b/>
                <w:sz w:val="22"/>
              </w:rPr>
            </w:pPr>
            <w:r w:rsidRPr="008417C3">
              <w:rPr>
                <w:b/>
                <w:sz w:val="22"/>
              </w:rPr>
              <w:t>Criteria</w:t>
            </w:r>
          </w:p>
        </w:tc>
        <w:tc>
          <w:tcPr>
            <w:tcW w:w="4209" w:type="pct"/>
          </w:tcPr>
          <w:p w:rsidR="00D74010" w:rsidRPr="008417C3" w:rsidRDefault="00D414C3" w:rsidP="00313B36">
            <w:pPr>
              <w:mirrorIndents w:val="0"/>
              <w:rPr>
                <w:sz w:val="22"/>
              </w:rPr>
            </w:pPr>
            <w:r w:rsidRPr="008417C3">
              <w:rPr>
                <w:sz w:val="22"/>
              </w:rPr>
              <w:t xml:space="preserve">Generally intended for circumstances where there is a large variety of covered products (and/or large numbers within a product class) and only a small number (one or two) of regulated parameters. For example, was intended for use with the proposal to regulate stand-by power for a wide range of appliance types. This would have seen a significant increase in the number products captured by the </w:t>
            </w:r>
            <w:r w:rsidR="00313B36">
              <w:rPr>
                <w:sz w:val="22"/>
              </w:rPr>
              <w:t>regulations</w:t>
            </w:r>
            <w:r w:rsidRPr="008417C3">
              <w:rPr>
                <w:sz w:val="22"/>
              </w:rPr>
              <w:t>, with most having no re</w:t>
            </w:r>
            <w:r w:rsidR="00797F2B">
              <w:rPr>
                <w:sz w:val="22"/>
              </w:rPr>
              <w:t>quirements other than stand-by.</w:t>
            </w:r>
            <w:r w:rsidRPr="008417C3">
              <w:rPr>
                <w:sz w:val="22"/>
              </w:rPr>
              <w:t xml:space="preserve"> Registration would be a large burden on both industry and the GEMS Regulator in those circumstances.</w:t>
            </w:r>
          </w:p>
        </w:tc>
      </w:tr>
    </w:tbl>
    <w:p w:rsidR="00AF1FFA" w:rsidRDefault="00AF1FFA"/>
    <w:tbl>
      <w:tblPr>
        <w:tblStyle w:val="TableGrid"/>
        <w:tblW w:w="5000" w:type="pct"/>
        <w:tblLook w:val="04A0" w:firstRow="1" w:lastRow="0" w:firstColumn="1" w:lastColumn="0" w:noHBand="0" w:noVBand="1"/>
      </w:tblPr>
      <w:tblGrid>
        <w:gridCol w:w="1427"/>
        <w:gridCol w:w="7589"/>
      </w:tblGrid>
      <w:tr w:rsidR="00D74010" w:rsidRPr="000B17F1" w:rsidTr="009115F1">
        <w:trPr>
          <w:cnfStyle w:val="100000000000" w:firstRow="1" w:lastRow="0" w:firstColumn="0" w:lastColumn="0" w:oddVBand="0" w:evenVBand="0" w:oddHBand="0" w:evenHBand="0" w:firstRowFirstColumn="0" w:firstRowLastColumn="0" w:lastRowFirstColumn="0" w:lastRowLastColumn="0"/>
          <w:tblHeader/>
        </w:trPr>
        <w:tc>
          <w:tcPr>
            <w:tcW w:w="791" w:type="pct"/>
          </w:tcPr>
          <w:p w:rsidR="00D74010" w:rsidRPr="008417C3" w:rsidRDefault="00D74010" w:rsidP="006979A5">
            <w:pPr>
              <w:ind w:right="-108"/>
              <w:rPr>
                <w:b/>
                <w:sz w:val="22"/>
              </w:rPr>
            </w:pPr>
            <w:r w:rsidRPr="008417C3">
              <w:rPr>
                <w:b/>
                <w:sz w:val="22"/>
              </w:rPr>
              <w:t>Feature</w:t>
            </w:r>
          </w:p>
        </w:tc>
        <w:tc>
          <w:tcPr>
            <w:tcW w:w="4209" w:type="pct"/>
          </w:tcPr>
          <w:p w:rsidR="00D74010" w:rsidRPr="008417C3" w:rsidRDefault="00D74010" w:rsidP="006979A5">
            <w:pPr>
              <w:rPr>
                <w:sz w:val="22"/>
              </w:rPr>
            </w:pPr>
            <w:r w:rsidRPr="008417C3">
              <w:rPr>
                <w:sz w:val="22"/>
              </w:rPr>
              <w:t>Family of models</w:t>
            </w:r>
          </w:p>
        </w:tc>
      </w:tr>
      <w:tr w:rsidR="00D74010" w:rsidRPr="000B17F1" w:rsidTr="009115F1">
        <w:trPr>
          <w:cnfStyle w:val="000000100000" w:firstRow="0" w:lastRow="0" w:firstColumn="0" w:lastColumn="0" w:oddVBand="0" w:evenVBand="0" w:oddHBand="1" w:evenHBand="0" w:firstRowFirstColumn="0" w:firstRowLastColumn="0" w:lastRowFirstColumn="0" w:lastRowLastColumn="0"/>
        </w:trPr>
        <w:tc>
          <w:tcPr>
            <w:tcW w:w="791" w:type="pct"/>
          </w:tcPr>
          <w:p w:rsidR="00D74010" w:rsidRPr="008417C3" w:rsidRDefault="00D74010" w:rsidP="008417C3">
            <w:pPr>
              <w:ind w:right="-108"/>
              <w:mirrorIndents w:val="0"/>
              <w:rPr>
                <w:b/>
                <w:sz w:val="22"/>
              </w:rPr>
            </w:pPr>
            <w:r w:rsidRPr="008417C3">
              <w:rPr>
                <w:b/>
                <w:sz w:val="22"/>
              </w:rPr>
              <w:t>Description</w:t>
            </w:r>
            <w:r w:rsidRPr="008417C3" w:rsidDel="00D74010">
              <w:rPr>
                <w:b/>
                <w:sz w:val="22"/>
              </w:rPr>
              <w:t xml:space="preserve"> </w:t>
            </w:r>
          </w:p>
        </w:tc>
        <w:tc>
          <w:tcPr>
            <w:tcW w:w="4209" w:type="pct"/>
          </w:tcPr>
          <w:p w:rsidR="00D74010" w:rsidRPr="008417C3" w:rsidRDefault="00D74010" w:rsidP="00240A12">
            <w:pPr>
              <w:mirrorIndents w:val="0"/>
              <w:rPr>
                <w:sz w:val="22"/>
              </w:rPr>
            </w:pPr>
            <w:r w:rsidRPr="008417C3">
              <w:rPr>
                <w:sz w:val="22"/>
              </w:rPr>
              <w:t>Traditionally an arrangement where products with different model numbers and minor cosmetic differences, but with the same core technical specifications and energy performance, can be co</w:t>
            </w:r>
            <w:r w:rsidR="00797F2B">
              <w:rPr>
                <w:sz w:val="22"/>
              </w:rPr>
              <w:t>vered by the same registration.</w:t>
            </w:r>
            <w:r w:rsidRPr="008417C3">
              <w:rPr>
                <w:sz w:val="22"/>
              </w:rPr>
              <w:t xml:space="preserve"> More recently, variations in energy performance within certain bounds have been allowed </w:t>
            </w:r>
            <w:r w:rsidR="00970576" w:rsidRPr="008417C3">
              <w:rPr>
                <w:sz w:val="22"/>
              </w:rPr>
              <w:t>withi</w:t>
            </w:r>
            <w:r w:rsidRPr="008417C3">
              <w:rPr>
                <w:sz w:val="22"/>
              </w:rPr>
              <w:t>n a family.</w:t>
            </w:r>
          </w:p>
        </w:tc>
      </w:tr>
      <w:tr w:rsidR="00D74010" w:rsidRPr="000B17F1" w:rsidTr="009115F1">
        <w:trPr>
          <w:cnfStyle w:val="000000010000" w:firstRow="0" w:lastRow="0" w:firstColumn="0" w:lastColumn="0" w:oddVBand="0" w:evenVBand="0" w:oddHBand="0" w:evenHBand="1" w:firstRowFirstColumn="0" w:firstRowLastColumn="0" w:lastRowFirstColumn="0" w:lastRowLastColumn="0"/>
          <w:trHeight w:val="2411"/>
        </w:trPr>
        <w:tc>
          <w:tcPr>
            <w:tcW w:w="791" w:type="pct"/>
          </w:tcPr>
          <w:p w:rsidR="00D74010" w:rsidRPr="008417C3" w:rsidRDefault="00D74010" w:rsidP="008417C3">
            <w:pPr>
              <w:ind w:right="-108"/>
              <w:mirrorIndents w:val="0"/>
              <w:rPr>
                <w:b/>
                <w:sz w:val="22"/>
              </w:rPr>
            </w:pPr>
            <w:r w:rsidRPr="008417C3">
              <w:rPr>
                <w:b/>
                <w:sz w:val="22"/>
              </w:rPr>
              <w:t>Criteria</w:t>
            </w:r>
          </w:p>
        </w:tc>
        <w:tc>
          <w:tcPr>
            <w:tcW w:w="4209" w:type="pct"/>
          </w:tcPr>
          <w:p w:rsidR="006979A5" w:rsidRPr="008417C3" w:rsidRDefault="001B2792" w:rsidP="006979A5">
            <w:pPr>
              <w:pStyle w:val="ListNumber"/>
              <w:mirrorIndents w:val="0"/>
              <w:rPr>
                <w:sz w:val="22"/>
              </w:rPr>
            </w:pPr>
            <w:r w:rsidRPr="008417C3">
              <w:rPr>
                <w:sz w:val="22"/>
              </w:rPr>
              <w:t>Generally makes sense for fairly standardised produ</w:t>
            </w:r>
            <w:r w:rsidR="00797F2B">
              <w:rPr>
                <w:sz w:val="22"/>
              </w:rPr>
              <w:t>cts sold in reasonable volumes.</w:t>
            </w:r>
            <w:r w:rsidRPr="008417C3">
              <w:rPr>
                <w:sz w:val="22"/>
              </w:rPr>
              <w:t xml:space="preserve"> An example is domestic refrigerators, where different models with the same core specifications and efficiency, but with cosmetic differences such as colour or left and right-opening doors which don’t affect performance, can be covered in a family registration. In this example, if the variants were all supplied under the same model number they could be covered by a single model registration.</w:t>
            </w:r>
          </w:p>
        </w:tc>
      </w:tr>
      <w:tr w:rsidR="00F0187C" w:rsidRPr="000B17F1" w:rsidTr="009115F1">
        <w:trPr>
          <w:cnfStyle w:val="000000100000" w:firstRow="0" w:lastRow="0" w:firstColumn="0" w:lastColumn="0" w:oddVBand="0" w:evenVBand="0" w:oddHBand="1" w:evenHBand="0" w:firstRowFirstColumn="0" w:firstRowLastColumn="0" w:lastRowFirstColumn="0" w:lastRowLastColumn="0"/>
        </w:trPr>
        <w:tc>
          <w:tcPr>
            <w:tcW w:w="791" w:type="pct"/>
          </w:tcPr>
          <w:p w:rsidR="00F0187C" w:rsidRPr="008417C3" w:rsidRDefault="00F0187C" w:rsidP="006979A5">
            <w:pPr>
              <w:ind w:right="-108"/>
              <w:mirrorIndents w:val="0"/>
              <w:rPr>
                <w:b/>
                <w:sz w:val="22"/>
              </w:rPr>
            </w:pPr>
            <w:r w:rsidRPr="008417C3">
              <w:rPr>
                <w:b/>
                <w:sz w:val="22"/>
              </w:rPr>
              <w:t>Feature</w:t>
            </w:r>
          </w:p>
        </w:tc>
        <w:tc>
          <w:tcPr>
            <w:tcW w:w="4209" w:type="pct"/>
          </w:tcPr>
          <w:p w:rsidR="00F0187C" w:rsidRPr="008417C3" w:rsidRDefault="00F0187C" w:rsidP="006979A5">
            <w:pPr>
              <w:pStyle w:val="ListNumber"/>
              <w:mirrorIndents w:val="0"/>
              <w:rPr>
                <w:sz w:val="22"/>
              </w:rPr>
            </w:pPr>
            <w:r w:rsidRPr="008417C3">
              <w:rPr>
                <w:sz w:val="22"/>
              </w:rPr>
              <w:t>Exemption power</w:t>
            </w:r>
          </w:p>
        </w:tc>
      </w:tr>
      <w:tr w:rsidR="00F0187C" w:rsidRPr="000B17F1" w:rsidTr="009115F1">
        <w:trPr>
          <w:cnfStyle w:val="000000010000" w:firstRow="0" w:lastRow="0" w:firstColumn="0" w:lastColumn="0" w:oddVBand="0" w:evenVBand="0" w:oddHBand="0" w:evenHBand="1" w:firstRowFirstColumn="0" w:firstRowLastColumn="0" w:lastRowFirstColumn="0" w:lastRowLastColumn="0"/>
        </w:trPr>
        <w:tc>
          <w:tcPr>
            <w:tcW w:w="791" w:type="pct"/>
          </w:tcPr>
          <w:p w:rsidR="00F0187C" w:rsidRPr="008417C3" w:rsidRDefault="00F0187C" w:rsidP="0047610F">
            <w:pPr>
              <w:ind w:right="-108"/>
              <w:mirrorIndents w:val="0"/>
              <w:rPr>
                <w:b/>
                <w:sz w:val="22"/>
              </w:rPr>
            </w:pPr>
            <w:r w:rsidRPr="008417C3">
              <w:rPr>
                <w:b/>
                <w:sz w:val="22"/>
              </w:rPr>
              <w:t>Description</w:t>
            </w:r>
            <w:r w:rsidRPr="008417C3" w:rsidDel="00D74010">
              <w:rPr>
                <w:b/>
                <w:sz w:val="22"/>
              </w:rPr>
              <w:t xml:space="preserve"> </w:t>
            </w:r>
          </w:p>
        </w:tc>
        <w:tc>
          <w:tcPr>
            <w:tcW w:w="4209" w:type="pct"/>
          </w:tcPr>
          <w:p w:rsidR="00F0187C" w:rsidRPr="008417C3" w:rsidRDefault="00F0187C" w:rsidP="0047610F">
            <w:pPr>
              <w:pStyle w:val="ListNumber"/>
              <w:mirrorIndents w:val="0"/>
              <w:rPr>
                <w:sz w:val="22"/>
              </w:rPr>
            </w:pPr>
            <w:r w:rsidRPr="008417C3">
              <w:rPr>
                <w:sz w:val="22"/>
              </w:rPr>
              <w:t xml:space="preserve">The GEMS Regulator has the power under </w:t>
            </w:r>
            <w:r w:rsidR="008C759E">
              <w:rPr>
                <w:sz w:val="22"/>
              </w:rPr>
              <w:t>S</w:t>
            </w:r>
            <w:r w:rsidRPr="008417C3">
              <w:rPr>
                <w:sz w:val="22"/>
              </w:rPr>
              <w:t>ection 39 of the Act to grant exemptions to specified models from some or all of the requirements of a Determination, either for all or specified supplies.</w:t>
            </w:r>
          </w:p>
        </w:tc>
      </w:tr>
      <w:tr w:rsidR="00F0187C" w:rsidRPr="000B17F1" w:rsidTr="009115F1">
        <w:trPr>
          <w:cnfStyle w:val="000000100000" w:firstRow="0" w:lastRow="0" w:firstColumn="0" w:lastColumn="0" w:oddVBand="0" w:evenVBand="0" w:oddHBand="1" w:evenHBand="0" w:firstRowFirstColumn="0" w:firstRowLastColumn="0" w:lastRowFirstColumn="0" w:lastRowLastColumn="0"/>
        </w:trPr>
        <w:tc>
          <w:tcPr>
            <w:tcW w:w="791" w:type="pct"/>
          </w:tcPr>
          <w:p w:rsidR="00F0187C" w:rsidRPr="008417C3" w:rsidRDefault="00F0187C" w:rsidP="0047610F">
            <w:pPr>
              <w:ind w:right="-108"/>
              <w:mirrorIndents w:val="0"/>
              <w:rPr>
                <w:b/>
                <w:sz w:val="22"/>
              </w:rPr>
            </w:pPr>
            <w:r w:rsidRPr="008417C3">
              <w:rPr>
                <w:b/>
                <w:sz w:val="22"/>
              </w:rPr>
              <w:t>Criteria</w:t>
            </w:r>
          </w:p>
        </w:tc>
        <w:tc>
          <w:tcPr>
            <w:tcW w:w="4209" w:type="pct"/>
          </w:tcPr>
          <w:p w:rsidR="00F0187C" w:rsidRPr="008417C3" w:rsidRDefault="00F0187C" w:rsidP="0047610F">
            <w:pPr>
              <w:pStyle w:val="ListNumber"/>
              <w:mirrorIndents w:val="0"/>
              <w:rPr>
                <w:sz w:val="22"/>
              </w:rPr>
            </w:pPr>
            <w:r w:rsidRPr="008417C3">
              <w:rPr>
                <w:sz w:val="22"/>
              </w:rPr>
              <w:t>Generally considered to be for use in unusual or unique circumstances, such as where a MEPS-compliant alternative is not a</w:t>
            </w:r>
            <w:r>
              <w:rPr>
                <w:sz w:val="22"/>
              </w:rPr>
              <w:t>vailable.</w:t>
            </w:r>
            <w:r w:rsidRPr="008417C3">
              <w:rPr>
                <w:sz w:val="22"/>
              </w:rPr>
              <w:t xml:space="preserve"> Major mining companies have previously applied to the GEMS Regulator for an exemption relating to the importation of specialised equipment which would have been covered by the electric motors determination.</w:t>
            </w:r>
          </w:p>
        </w:tc>
      </w:tr>
      <w:tr w:rsidR="00D74010" w:rsidRPr="000B17F1" w:rsidTr="009115F1">
        <w:trPr>
          <w:cnfStyle w:val="000000010000" w:firstRow="0" w:lastRow="0" w:firstColumn="0" w:lastColumn="0" w:oddVBand="0" w:evenVBand="0" w:oddHBand="0" w:evenHBand="1" w:firstRowFirstColumn="0" w:firstRowLastColumn="0" w:lastRowFirstColumn="0" w:lastRowLastColumn="0"/>
        </w:trPr>
        <w:tc>
          <w:tcPr>
            <w:tcW w:w="791" w:type="pct"/>
          </w:tcPr>
          <w:p w:rsidR="00D74010" w:rsidRPr="008417C3" w:rsidRDefault="00D74010" w:rsidP="006979A5">
            <w:pPr>
              <w:ind w:right="-108"/>
              <w:mirrorIndents w:val="0"/>
              <w:rPr>
                <w:b/>
                <w:sz w:val="22"/>
              </w:rPr>
            </w:pPr>
            <w:r w:rsidRPr="008417C3">
              <w:rPr>
                <w:b/>
                <w:sz w:val="22"/>
              </w:rPr>
              <w:lastRenderedPageBreak/>
              <w:t>Feature</w:t>
            </w:r>
          </w:p>
        </w:tc>
        <w:tc>
          <w:tcPr>
            <w:tcW w:w="4209" w:type="pct"/>
          </w:tcPr>
          <w:p w:rsidR="00D74010" w:rsidRPr="008417C3" w:rsidRDefault="00D74010" w:rsidP="006979A5">
            <w:pPr>
              <w:pStyle w:val="ListNumber"/>
              <w:mirrorIndents w:val="0"/>
              <w:rPr>
                <w:sz w:val="22"/>
              </w:rPr>
            </w:pPr>
            <w:r w:rsidRPr="008417C3">
              <w:rPr>
                <w:sz w:val="22"/>
              </w:rPr>
              <w:t>Deemed to comply</w:t>
            </w:r>
          </w:p>
        </w:tc>
      </w:tr>
      <w:tr w:rsidR="00D74010" w:rsidRPr="000B17F1" w:rsidTr="009115F1">
        <w:trPr>
          <w:cnfStyle w:val="000000100000" w:firstRow="0" w:lastRow="0" w:firstColumn="0" w:lastColumn="0" w:oddVBand="0" w:evenVBand="0" w:oddHBand="1" w:evenHBand="0" w:firstRowFirstColumn="0" w:firstRowLastColumn="0" w:lastRowFirstColumn="0" w:lastRowLastColumn="0"/>
        </w:trPr>
        <w:tc>
          <w:tcPr>
            <w:tcW w:w="791" w:type="pct"/>
          </w:tcPr>
          <w:p w:rsidR="00D74010" w:rsidRPr="008417C3" w:rsidRDefault="00D74010" w:rsidP="008417C3">
            <w:pPr>
              <w:ind w:right="-108"/>
              <w:mirrorIndents w:val="0"/>
              <w:rPr>
                <w:b/>
                <w:sz w:val="22"/>
              </w:rPr>
            </w:pPr>
            <w:r w:rsidRPr="008417C3">
              <w:rPr>
                <w:b/>
                <w:sz w:val="22"/>
              </w:rPr>
              <w:t>Description</w:t>
            </w:r>
            <w:r w:rsidRPr="008417C3" w:rsidDel="00D74010">
              <w:rPr>
                <w:b/>
                <w:sz w:val="22"/>
              </w:rPr>
              <w:t xml:space="preserve"> </w:t>
            </w:r>
          </w:p>
        </w:tc>
        <w:tc>
          <w:tcPr>
            <w:tcW w:w="4209" w:type="pct"/>
          </w:tcPr>
          <w:p w:rsidR="00D74010" w:rsidRPr="008417C3" w:rsidRDefault="00D74010" w:rsidP="00F740A0">
            <w:pPr>
              <w:pStyle w:val="ListNumber"/>
              <w:mirrorIndents w:val="0"/>
              <w:rPr>
                <w:sz w:val="22"/>
              </w:rPr>
            </w:pPr>
            <w:r w:rsidRPr="008417C3">
              <w:rPr>
                <w:sz w:val="22"/>
              </w:rPr>
              <w:t>An alternative arrangement for demonstrating compliance, where if a product has certain specified features, it is taken to be compliant without having to undertake the full range of testing.</w:t>
            </w:r>
          </w:p>
        </w:tc>
      </w:tr>
      <w:tr w:rsidR="00D74010" w:rsidRPr="000B17F1" w:rsidTr="009115F1">
        <w:trPr>
          <w:cnfStyle w:val="000000010000" w:firstRow="0" w:lastRow="0" w:firstColumn="0" w:lastColumn="0" w:oddVBand="0" w:evenVBand="0" w:oddHBand="0" w:evenHBand="1" w:firstRowFirstColumn="0" w:firstRowLastColumn="0" w:lastRowFirstColumn="0" w:lastRowLastColumn="0"/>
        </w:trPr>
        <w:tc>
          <w:tcPr>
            <w:tcW w:w="791" w:type="pct"/>
          </w:tcPr>
          <w:p w:rsidR="00D74010" w:rsidRPr="008417C3" w:rsidRDefault="007E0274" w:rsidP="008417C3">
            <w:pPr>
              <w:ind w:right="-108"/>
              <w:mirrorIndents w:val="0"/>
              <w:rPr>
                <w:b/>
                <w:sz w:val="22"/>
              </w:rPr>
            </w:pPr>
            <w:r w:rsidRPr="008417C3">
              <w:rPr>
                <w:b/>
                <w:sz w:val="22"/>
              </w:rPr>
              <w:t>Criteria</w:t>
            </w:r>
          </w:p>
        </w:tc>
        <w:tc>
          <w:tcPr>
            <w:tcW w:w="4209" w:type="pct"/>
          </w:tcPr>
          <w:p w:rsidR="00D74010" w:rsidRPr="008417C3" w:rsidRDefault="00D74010" w:rsidP="00F740A0">
            <w:pPr>
              <w:pStyle w:val="ListNumber"/>
              <w:mirrorIndents w:val="0"/>
              <w:rPr>
                <w:sz w:val="22"/>
              </w:rPr>
            </w:pPr>
            <w:r w:rsidRPr="008417C3">
              <w:rPr>
                <w:sz w:val="22"/>
              </w:rPr>
              <w:t>Generally suitable for low volume or bespoke products. An example is the arrangement for computers – a model is deemed to comply if annual sales are less than 200 units, and it uses a power suppl</w:t>
            </w:r>
            <w:r w:rsidR="00797F2B">
              <w:rPr>
                <w:sz w:val="22"/>
              </w:rPr>
              <w:t>y above a specified efficiency.</w:t>
            </w:r>
            <w:r w:rsidRPr="008417C3">
              <w:rPr>
                <w:sz w:val="22"/>
              </w:rPr>
              <w:t xml:space="preserve"> Demonstrating compliance with the full range of MEPS requirements</w:t>
            </w:r>
            <w:r w:rsidR="00970576" w:rsidRPr="008417C3">
              <w:rPr>
                <w:sz w:val="22"/>
              </w:rPr>
              <w:t>,</w:t>
            </w:r>
            <w:r w:rsidRPr="008417C3">
              <w:rPr>
                <w:sz w:val="22"/>
              </w:rPr>
              <w:t xml:space="preserve"> </w:t>
            </w:r>
            <w:r w:rsidR="00970576" w:rsidRPr="00F740A0">
              <w:rPr>
                <w:sz w:val="22"/>
              </w:rPr>
              <w:t xml:space="preserve">as part of the registration process, </w:t>
            </w:r>
            <w:r w:rsidRPr="008417C3">
              <w:rPr>
                <w:sz w:val="22"/>
              </w:rPr>
              <w:t xml:space="preserve">is not required unless the sales volume goes above 200 in a given year. </w:t>
            </w:r>
            <w:r w:rsidR="00970576" w:rsidRPr="008417C3">
              <w:rPr>
                <w:sz w:val="22"/>
              </w:rPr>
              <w:t>It is proposed, a</w:t>
            </w:r>
            <w:r w:rsidRPr="008417C3">
              <w:rPr>
                <w:sz w:val="22"/>
              </w:rPr>
              <w:t xml:space="preserve"> similar approach </w:t>
            </w:r>
            <w:r w:rsidR="00970576" w:rsidRPr="008417C3">
              <w:rPr>
                <w:sz w:val="22"/>
              </w:rPr>
              <w:t>wi</w:t>
            </w:r>
            <w:r w:rsidRPr="008417C3">
              <w:rPr>
                <w:sz w:val="22"/>
              </w:rPr>
              <w:t>ll be implemented for low volume and bespoke refrigerated display and storage cabinets when the current GEMS determination is replaced</w:t>
            </w:r>
            <w:r w:rsidR="00970576" w:rsidRPr="008417C3">
              <w:rPr>
                <w:sz w:val="22"/>
              </w:rPr>
              <w:t>.</w:t>
            </w:r>
          </w:p>
        </w:tc>
      </w:tr>
    </w:tbl>
    <w:p w:rsidR="00AF1FFA" w:rsidRDefault="00AF1FFA"/>
    <w:tbl>
      <w:tblPr>
        <w:tblStyle w:val="TableGrid"/>
        <w:tblW w:w="5000" w:type="pct"/>
        <w:tblLook w:val="04A0" w:firstRow="1" w:lastRow="0" w:firstColumn="1" w:lastColumn="0" w:noHBand="0" w:noVBand="1"/>
      </w:tblPr>
      <w:tblGrid>
        <w:gridCol w:w="1427"/>
        <w:gridCol w:w="7589"/>
      </w:tblGrid>
      <w:tr w:rsidR="00D74010" w:rsidRPr="000B17F1" w:rsidTr="009115F1">
        <w:trPr>
          <w:cnfStyle w:val="100000000000" w:firstRow="1" w:lastRow="0" w:firstColumn="0" w:lastColumn="0" w:oddVBand="0" w:evenVBand="0" w:oddHBand="0" w:evenHBand="0" w:firstRowFirstColumn="0" w:firstRowLastColumn="0" w:lastRowFirstColumn="0" w:lastRowLastColumn="0"/>
          <w:tblHeader/>
        </w:trPr>
        <w:tc>
          <w:tcPr>
            <w:tcW w:w="791" w:type="pct"/>
          </w:tcPr>
          <w:p w:rsidR="00D74010" w:rsidRPr="008417C3" w:rsidRDefault="00D74010" w:rsidP="006979A5">
            <w:pPr>
              <w:ind w:right="-108"/>
              <w:rPr>
                <w:b/>
                <w:sz w:val="22"/>
              </w:rPr>
            </w:pPr>
            <w:r w:rsidRPr="008417C3">
              <w:rPr>
                <w:b/>
                <w:sz w:val="22"/>
              </w:rPr>
              <w:t>Feature</w:t>
            </w:r>
          </w:p>
        </w:tc>
        <w:tc>
          <w:tcPr>
            <w:tcW w:w="4209" w:type="pct"/>
          </w:tcPr>
          <w:p w:rsidR="00D74010" w:rsidRPr="008417C3" w:rsidRDefault="00D74010" w:rsidP="006979A5">
            <w:pPr>
              <w:pStyle w:val="ListNumber"/>
              <w:rPr>
                <w:sz w:val="22"/>
              </w:rPr>
            </w:pPr>
            <w:r w:rsidRPr="008417C3">
              <w:rPr>
                <w:sz w:val="22"/>
              </w:rPr>
              <w:t>Fee reduction/waiver</w:t>
            </w:r>
          </w:p>
        </w:tc>
      </w:tr>
      <w:tr w:rsidR="00D74010" w:rsidRPr="000B17F1" w:rsidTr="009115F1">
        <w:trPr>
          <w:cnfStyle w:val="000000100000" w:firstRow="0" w:lastRow="0" w:firstColumn="0" w:lastColumn="0" w:oddVBand="0" w:evenVBand="0" w:oddHBand="1" w:evenHBand="0" w:firstRowFirstColumn="0" w:firstRowLastColumn="0" w:lastRowFirstColumn="0" w:lastRowLastColumn="0"/>
        </w:trPr>
        <w:tc>
          <w:tcPr>
            <w:tcW w:w="791" w:type="pct"/>
          </w:tcPr>
          <w:p w:rsidR="00D74010" w:rsidRPr="008417C3" w:rsidRDefault="00D74010" w:rsidP="008417C3">
            <w:pPr>
              <w:ind w:right="-108"/>
              <w:mirrorIndents w:val="0"/>
              <w:rPr>
                <w:b/>
                <w:sz w:val="22"/>
              </w:rPr>
            </w:pPr>
            <w:r w:rsidRPr="008417C3">
              <w:rPr>
                <w:b/>
                <w:sz w:val="22"/>
              </w:rPr>
              <w:t>Description</w:t>
            </w:r>
            <w:r w:rsidRPr="008417C3" w:rsidDel="00D74010">
              <w:rPr>
                <w:b/>
                <w:sz w:val="22"/>
              </w:rPr>
              <w:t xml:space="preserve"> </w:t>
            </w:r>
          </w:p>
        </w:tc>
        <w:tc>
          <w:tcPr>
            <w:tcW w:w="4209" w:type="pct"/>
          </w:tcPr>
          <w:p w:rsidR="00D74010" w:rsidRPr="008417C3" w:rsidRDefault="00D74010" w:rsidP="00F740A0">
            <w:pPr>
              <w:pStyle w:val="ListNumber"/>
              <w:mirrorIndents w:val="0"/>
              <w:rPr>
                <w:sz w:val="22"/>
              </w:rPr>
            </w:pPr>
            <w:r w:rsidRPr="008417C3">
              <w:rPr>
                <w:sz w:val="22"/>
              </w:rPr>
              <w:t xml:space="preserve">The GEMS Regulator has the power under </w:t>
            </w:r>
            <w:r w:rsidR="008C759E">
              <w:rPr>
                <w:sz w:val="22"/>
              </w:rPr>
              <w:t>S</w:t>
            </w:r>
            <w:r w:rsidRPr="008417C3">
              <w:rPr>
                <w:sz w:val="22"/>
              </w:rPr>
              <w:t>ection 64 of the Act to reduce or waive a registration fee that would otherwise be payable, either in a particular case or in a particular class of cases.</w:t>
            </w:r>
          </w:p>
        </w:tc>
      </w:tr>
      <w:tr w:rsidR="00D74010" w:rsidRPr="000B17F1" w:rsidTr="009115F1">
        <w:trPr>
          <w:cnfStyle w:val="000000010000" w:firstRow="0" w:lastRow="0" w:firstColumn="0" w:lastColumn="0" w:oddVBand="0" w:evenVBand="0" w:oddHBand="0" w:evenHBand="1" w:firstRowFirstColumn="0" w:firstRowLastColumn="0" w:lastRowFirstColumn="0" w:lastRowLastColumn="0"/>
        </w:trPr>
        <w:tc>
          <w:tcPr>
            <w:tcW w:w="791" w:type="pct"/>
          </w:tcPr>
          <w:p w:rsidR="00D74010" w:rsidRPr="008417C3" w:rsidRDefault="00D74010" w:rsidP="008417C3">
            <w:pPr>
              <w:ind w:right="-108"/>
              <w:mirrorIndents w:val="0"/>
              <w:rPr>
                <w:b/>
                <w:sz w:val="22"/>
              </w:rPr>
            </w:pPr>
            <w:r w:rsidRPr="008417C3">
              <w:rPr>
                <w:b/>
                <w:sz w:val="22"/>
              </w:rPr>
              <w:t>Criteria</w:t>
            </w:r>
          </w:p>
        </w:tc>
        <w:tc>
          <w:tcPr>
            <w:tcW w:w="4209" w:type="pct"/>
          </w:tcPr>
          <w:p w:rsidR="00D74010" w:rsidRPr="008417C3" w:rsidRDefault="00D74010" w:rsidP="00F740A0">
            <w:pPr>
              <w:pStyle w:val="ListNumber"/>
              <w:mirrorIndents w:val="0"/>
              <w:rPr>
                <w:sz w:val="22"/>
              </w:rPr>
            </w:pPr>
            <w:r w:rsidRPr="008417C3">
              <w:rPr>
                <w:sz w:val="22"/>
              </w:rPr>
              <w:t xml:space="preserve">This power has been used to maintain a concessional arrangement for electric motors that existed under </w:t>
            </w:r>
            <w:r w:rsidR="00313B36" w:rsidRPr="008417C3">
              <w:rPr>
                <w:sz w:val="22"/>
              </w:rPr>
              <w:t xml:space="preserve">state and territory </w:t>
            </w:r>
            <w:r w:rsidRPr="008417C3">
              <w:rPr>
                <w:sz w:val="22"/>
              </w:rPr>
              <w:t>arrangements in the transition to the GEMS framework. It has also been used to waive the registration fee for deemed-to-comply computers, on the basis that the nature of the deemed-to-comply arrangement means that it adds little to the cost of regulating the program</w:t>
            </w:r>
          </w:p>
        </w:tc>
      </w:tr>
    </w:tbl>
    <w:p w:rsidR="00E626AC" w:rsidRPr="00A90B5B" w:rsidRDefault="00E626AC" w:rsidP="002150B0">
      <w:pPr>
        <w:pStyle w:val="Heading2"/>
        <w:rPr>
          <w:i/>
        </w:rPr>
      </w:pPr>
      <w:bookmarkStart w:id="68" w:name="_Toc18660995"/>
      <w:r w:rsidRPr="00A90B5B">
        <w:t>5.3.</w:t>
      </w:r>
      <w:r w:rsidR="007B329D">
        <w:t>3</w:t>
      </w:r>
      <w:r w:rsidRPr="00A90B5B">
        <w:tab/>
      </w:r>
      <w:r w:rsidR="00A54C81">
        <w:t>GEMS product unique identifiers</w:t>
      </w:r>
      <w:bookmarkEnd w:id="68"/>
    </w:p>
    <w:p w:rsidR="00E626AC" w:rsidRPr="00F960FF" w:rsidRDefault="00E626AC" w:rsidP="000D0DC4">
      <w:r w:rsidRPr="00F960FF">
        <w:t>Some GEMS products are not offered to the market with a readily identifiable model number (most commonly electric motors and lighting products). The GEMS Act does not specifically require a model number</w:t>
      </w:r>
      <w:r w:rsidR="00F5320F">
        <w:t>,</w:t>
      </w:r>
      <w:r w:rsidRPr="00F960FF">
        <w:t xml:space="preserve"> the Act requires a single unique identifier (model identifier)</w:t>
      </w:r>
      <w:r w:rsidR="00F5320F">
        <w:t>. This</w:t>
      </w:r>
      <w:r w:rsidR="00F5320F" w:rsidRPr="00F5320F">
        <w:t xml:space="preserve"> </w:t>
      </w:r>
      <w:r w:rsidR="00F5320F" w:rsidRPr="00F960FF">
        <w:t>unique</w:t>
      </w:r>
      <w:r w:rsidR="00F5320F">
        <w:t xml:space="preserve"> identifier </w:t>
      </w:r>
      <w:r w:rsidRPr="00F960FF">
        <w:t xml:space="preserve">may be a model number used in supplying the product, but may also be </w:t>
      </w:r>
      <w:r w:rsidR="00F5320F">
        <w:t>an</w:t>
      </w:r>
      <w:r w:rsidRPr="00F960FF">
        <w:t xml:space="preserve"> identifier used in manufactu</w:t>
      </w:r>
      <w:r w:rsidR="00F5320F">
        <w:t>re of</w:t>
      </w:r>
      <w:r w:rsidRPr="00F960FF">
        <w:t xml:space="preserve"> the product, such as a part number or an internal stock number. </w:t>
      </w:r>
      <w:r w:rsidR="00F5320F">
        <w:t>Some</w:t>
      </w:r>
      <w:r w:rsidRPr="00F960FF">
        <w:t xml:space="preserve"> suppliers create a model number solely for GEMS registration purposes, often from a combination of the technical features of the product (</w:t>
      </w:r>
      <w:r w:rsidR="001B218A">
        <w:t>for example,</w:t>
      </w:r>
      <w:r w:rsidRPr="00F960FF">
        <w:t xml:space="preserve"> </w:t>
      </w:r>
      <w:r w:rsidR="00243D5B" w:rsidRPr="00F960FF">
        <w:t>for lamps</w:t>
      </w:r>
      <w:r w:rsidR="00243D5B">
        <w:t>,</w:t>
      </w:r>
      <w:r w:rsidR="00243D5B" w:rsidRPr="00F960FF">
        <w:t xml:space="preserve"> </w:t>
      </w:r>
      <w:r w:rsidRPr="00F960FF">
        <w:t xml:space="preserve">wattage, shape, cap size/type, beam angle etc.) but </w:t>
      </w:r>
      <w:r w:rsidR="00F5320F">
        <w:t>there is</w:t>
      </w:r>
      <w:r w:rsidR="00F5320F" w:rsidRPr="00F960FF">
        <w:t xml:space="preserve"> </w:t>
      </w:r>
      <w:r w:rsidRPr="00F960FF">
        <w:t xml:space="preserve">no consistent </w:t>
      </w:r>
      <w:r w:rsidR="00F5320F">
        <w:t xml:space="preserve">or uniform </w:t>
      </w:r>
      <w:r w:rsidRPr="00F960FF">
        <w:t xml:space="preserve">approach </w:t>
      </w:r>
      <w:r w:rsidR="00F5320F">
        <w:t>across</w:t>
      </w:r>
      <w:r w:rsidR="00F5320F" w:rsidRPr="00F960FF">
        <w:t xml:space="preserve"> </w:t>
      </w:r>
      <w:r w:rsidR="00797F2B">
        <w:t>suppliers.</w:t>
      </w:r>
      <w:r w:rsidRPr="00F960FF">
        <w:t xml:space="preserve"> This can make it difficult for compliance officers conducting desktop or store surveys to establish a connection between a physical example of a product on the shelf, or model</w:t>
      </w:r>
      <w:r w:rsidR="00F5320F">
        <w:t>s</w:t>
      </w:r>
      <w:r w:rsidRPr="00F960FF">
        <w:t xml:space="preserve"> offered in product literature, and </w:t>
      </w:r>
      <w:r w:rsidR="00F5320F">
        <w:t>the actual GEMS</w:t>
      </w:r>
      <w:r w:rsidR="00F5320F" w:rsidRPr="00F960FF">
        <w:t xml:space="preserve"> </w:t>
      </w:r>
      <w:r w:rsidRPr="00F960FF">
        <w:t>registration.</w:t>
      </w:r>
    </w:p>
    <w:p w:rsidR="00E626AC" w:rsidRPr="00F960FF" w:rsidRDefault="004C2736" w:rsidP="000D0DC4">
      <w:r>
        <w:t>Stakeholder s</w:t>
      </w:r>
      <w:r w:rsidR="00E62131">
        <w:t>ubmissions suggest</w:t>
      </w:r>
      <w:r w:rsidR="00E626AC" w:rsidRPr="00F960FF">
        <w:t xml:space="preserve"> that </w:t>
      </w:r>
      <w:r w:rsidR="00E62131" w:rsidRPr="00F960FF">
        <w:t>rather than seeking to impose particular formats,</w:t>
      </w:r>
      <w:r w:rsidR="00E62131">
        <w:t xml:space="preserve"> </w:t>
      </w:r>
      <w:r w:rsidR="00E626AC" w:rsidRPr="00F960FF">
        <w:t>the GEMS registration system should be able to accommodate industry practice, and that effective post-market compliance and enforcement activity should be the focus, rather than additional compliance costs.</w:t>
      </w:r>
      <w:r w:rsidR="00797F2B">
        <w:t xml:space="preserve"> </w:t>
      </w:r>
      <w:r w:rsidR="00E62131">
        <w:t xml:space="preserve">However, where a clear and unique identifier </w:t>
      </w:r>
      <w:r w:rsidR="007007F3">
        <w:t>cannot</w:t>
      </w:r>
      <w:r w:rsidR="00E62131">
        <w:t xml:space="preserve"> be readily located, GEMS compliance officers </w:t>
      </w:r>
      <w:r w:rsidR="00E62131">
        <w:lastRenderedPageBreak/>
        <w:t xml:space="preserve">must spend additional resources in simply determining </w:t>
      </w:r>
      <w:r w:rsidR="00E62131" w:rsidRPr="00F960FF">
        <w:t>whether or not a product is registered.</w:t>
      </w:r>
      <w:r w:rsidR="00E62131">
        <w:t xml:space="preserve"> This unnecessary delay means </w:t>
      </w:r>
      <w:r w:rsidR="00E62131" w:rsidRPr="00F960FF">
        <w:t xml:space="preserve">compliance resources </w:t>
      </w:r>
      <w:r w:rsidR="00665034">
        <w:t>have to</w:t>
      </w:r>
      <w:r w:rsidR="00E62131" w:rsidRPr="00F960FF">
        <w:t xml:space="preserve"> be diverted from other, higher-value activities. </w:t>
      </w:r>
    </w:p>
    <w:p w:rsidR="00E626AC" w:rsidRPr="00F740A0" w:rsidRDefault="00A54C81" w:rsidP="00F740A0">
      <w:r w:rsidRPr="00240A12">
        <w:t>Improvements and clarity relating to the unique identifier requirements of the GEMS</w:t>
      </w:r>
      <w:r w:rsidR="00243D5B">
        <w:t> </w:t>
      </w:r>
      <w:r w:rsidRPr="00240A12">
        <w:t>Act would pr</w:t>
      </w:r>
      <w:r w:rsidR="00797F2B">
        <w:t>esent benefits for all parties.</w:t>
      </w:r>
      <w:r w:rsidRPr="00240A12">
        <w:t xml:space="preserve"> </w:t>
      </w:r>
      <w:r w:rsidR="000F6DD0" w:rsidRPr="00240A12">
        <w:t xml:space="preserve">The inclusion of this issue as part of the </w:t>
      </w:r>
      <w:r w:rsidR="0070263D">
        <w:t xml:space="preserve">GEMS </w:t>
      </w:r>
      <w:r w:rsidR="000F6DD0" w:rsidRPr="00240A12">
        <w:t xml:space="preserve">Regulator’s continuing stakeholder outreach would assist both sides in appreciating the importance and challenges </w:t>
      </w:r>
      <w:r w:rsidR="000F6DD0" w:rsidRPr="00B44994">
        <w:t>relating to determining th</w:t>
      </w:r>
      <w:r w:rsidR="00797F2B">
        <w:t xml:space="preserve">e most appropriate identifier. </w:t>
      </w:r>
      <w:r w:rsidR="000F6DD0" w:rsidRPr="00B44994">
        <w:t xml:space="preserve">Recognising that the majority of GEMS products are </w:t>
      </w:r>
      <w:r w:rsidR="000F6DD0" w:rsidRPr="001875E6">
        <w:t>internationally traded goods, s</w:t>
      </w:r>
      <w:r w:rsidR="000F6DD0" w:rsidRPr="00522FE5">
        <w:t xml:space="preserve">etting </w:t>
      </w:r>
      <w:r w:rsidR="00E626AC" w:rsidRPr="00F740A0">
        <w:t>GEMS labelling</w:t>
      </w:r>
      <w:r w:rsidR="000F6DD0" w:rsidRPr="00F740A0">
        <w:t xml:space="preserve"> and marking</w:t>
      </w:r>
      <w:r w:rsidR="00E626AC" w:rsidRPr="00F740A0">
        <w:t xml:space="preserve"> requirements for product</w:t>
      </w:r>
      <w:r w:rsidR="000F6DD0" w:rsidRPr="00F740A0">
        <w:t>s</w:t>
      </w:r>
      <w:r w:rsidR="00E626AC" w:rsidRPr="00F740A0">
        <w:t xml:space="preserve"> that require </w:t>
      </w:r>
      <w:r w:rsidR="000F6DD0" w:rsidRPr="00F740A0">
        <w:t xml:space="preserve">a </w:t>
      </w:r>
      <w:r w:rsidR="00E626AC" w:rsidRPr="00F740A0">
        <w:t xml:space="preserve">model identifier </w:t>
      </w:r>
      <w:r w:rsidR="000F6DD0" w:rsidRPr="00F740A0">
        <w:t>for</w:t>
      </w:r>
      <w:r w:rsidR="00E626AC" w:rsidRPr="00F740A0">
        <w:t xml:space="preserve"> registration</w:t>
      </w:r>
      <w:r w:rsidR="000F6DD0" w:rsidRPr="00F740A0">
        <w:t xml:space="preserve"> could be problematic, costly and unnecessary</w:t>
      </w:r>
      <w:r w:rsidR="00E626AC" w:rsidRPr="00F740A0">
        <w:t>.</w:t>
      </w:r>
    </w:p>
    <w:p w:rsidR="00E62131" w:rsidRPr="002D4A16" w:rsidRDefault="00E62131" w:rsidP="003442DC">
      <w:pPr>
        <w:pStyle w:val="RecHead"/>
      </w:pPr>
      <w:r w:rsidRPr="002D4A16">
        <w:t xml:space="preserve">RECOMMENDATION </w:t>
      </w:r>
      <w:r w:rsidR="00D477E6">
        <w:t>1</w:t>
      </w:r>
      <w:r w:rsidR="006F12A4">
        <w:t>2</w:t>
      </w:r>
    </w:p>
    <w:p w:rsidR="00E62131" w:rsidRPr="00C743A5" w:rsidRDefault="00665034" w:rsidP="00C743A5">
      <w:pPr>
        <w:rPr>
          <w:b/>
          <w:bCs/>
        </w:rPr>
      </w:pPr>
      <w:r w:rsidRPr="00C743A5">
        <w:rPr>
          <w:b/>
          <w:bCs/>
        </w:rPr>
        <w:t xml:space="preserve">The GEMS </w:t>
      </w:r>
      <w:r w:rsidR="00CD1034" w:rsidRPr="00C743A5">
        <w:rPr>
          <w:b/>
          <w:bCs/>
        </w:rPr>
        <w:t xml:space="preserve">Regulator </w:t>
      </w:r>
      <w:r w:rsidRPr="00C743A5">
        <w:rPr>
          <w:b/>
          <w:bCs/>
        </w:rPr>
        <w:t xml:space="preserve">engage with industry stakeholders </w:t>
      </w:r>
      <w:r w:rsidR="00A54C81" w:rsidRPr="00C743A5">
        <w:rPr>
          <w:b/>
          <w:bCs/>
        </w:rPr>
        <w:t xml:space="preserve">to improve the usability of unique identifiers for industry and GEMS compliance officers. </w:t>
      </w:r>
    </w:p>
    <w:p w:rsidR="00E626AC" w:rsidRPr="00F740A0" w:rsidRDefault="00E626AC" w:rsidP="00F740A0">
      <w:pPr>
        <w:pStyle w:val="Heading3"/>
      </w:pPr>
      <w:bookmarkStart w:id="69" w:name="_Toc18660996"/>
      <w:r w:rsidRPr="00CB5EA3">
        <w:t>5.3.</w:t>
      </w:r>
      <w:r w:rsidR="007B329D">
        <w:t>4</w:t>
      </w:r>
      <w:r w:rsidRPr="00CB5EA3">
        <w:tab/>
        <w:t>Registration obligation for customised products</w:t>
      </w:r>
      <w:bookmarkEnd w:id="69"/>
    </w:p>
    <w:p w:rsidR="00E626AC" w:rsidRPr="00E626AC" w:rsidRDefault="00E626AC" w:rsidP="00F740A0">
      <w:r w:rsidRPr="00E626AC">
        <w:t xml:space="preserve">Under the GEMS Act, the registration obligation for regulated </w:t>
      </w:r>
      <w:r w:rsidR="005E2902">
        <w:t xml:space="preserve">products </w:t>
      </w:r>
      <w:r w:rsidR="00C248A0">
        <w:t>comes into force</w:t>
      </w:r>
      <w:r w:rsidR="00C248A0" w:rsidRPr="00E626AC">
        <w:t xml:space="preserve"> </w:t>
      </w:r>
      <w:r w:rsidRPr="00E626AC">
        <w:t>at the point the produc</w:t>
      </w:r>
      <w:r w:rsidR="00797F2B">
        <w:t xml:space="preserve">t is first offered for supply. </w:t>
      </w:r>
      <w:r w:rsidRPr="00E626AC">
        <w:t>This works well for standardised products sold in reasonable volumes, but can be problematic for customised products, where a supplier may make an offer that never turns into an actual supply.</w:t>
      </w:r>
    </w:p>
    <w:p w:rsidR="00E626AC" w:rsidRPr="00E626AC" w:rsidRDefault="00E626AC" w:rsidP="00F740A0">
      <w:r w:rsidRPr="00E626AC">
        <w:t>It c</w:t>
      </w:r>
      <w:r w:rsidR="005E2902">
        <w:t>an be argued registration at the time</w:t>
      </w:r>
      <w:r w:rsidRPr="00E626AC">
        <w:t xml:space="preserve"> an offer is </w:t>
      </w:r>
      <w:r w:rsidR="005E2902">
        <w:t xml:space="preserve">first </w:t>
      </w:r>
      <w:r w:rsidRPr="00E626AC">
        <w:t xml:space="preserve">made is not as relevant for customised products as it is for more standardised products, as the cooperative process of developing the specifications of a customised product between the customer and the supplier means that the customer is in a position to ensure that what they want in terms of energy efficiency is factored into </w:t>
      </w:r>
      <w:r w:rsidR="00797F2B">
        <w:t>the design process.</w:t>
      </w:r>
      <w:r w:rsidRPr="00E626AC">
        <w:t xml:space="preserve"> On this basis, a different point of registration may be appropriate, such as when a sale is confirmed.</w:t>
      </w:r>
    </w:p>
    <w:p w:rsidR="00C248A0" w:rsidRPr="00EA4925" w:rsidRDefault="00001BFE" w:rsidP="005E2902">
      <w:pPr>
        <w:pStyle w:val="ListBullet"/>
        <w:numPr>
          <w:ilvl w:val="0"/>
          <w:numId w:val="0"/>
        </w:numPr>
        <w:ind w:left="57"/>
      </w:pPr>
      <w:r w:rsidRPr="00EA4925">
        <w:t xml:space="preserve">The </w:t>
      </w:r>
      <w:r w:rsidR="00243D5B">
        <w:t xml:space="preserve">GEMS </w:t>
      </w:r>
      <w:r w:rsidRPr="00EA4925">
        <w:t xml:space="preserve">Act </w:t>
      </w:r>
      <w:r w:rsidR="00C248A0" w:rsidRPr="00EA4925">
        <w:t xml:space="preserve">could </w:t>
      </w:r>
      <w:r w:rsidRPr="00EA4925">
        <w:t>be amended to provide for registration at the point a sale is confirmed for customised products</w:t>
      </w:r>
      <w:r w:rsidR="00EA4925" w:rsidRPr="00EA4925">
        <w:t xml:space="preserve">, however it would need </w:t>
      </w:r>
      <w:r w:rsidR="00C248A0" w:rsidRPr="00EA4925">
        <w:t>to consider:</w:t>
      </w:r>
      <w:r w:rsidRPr="00EA4925">
        <w:t xml:space="preserve"> </w:t>
      </w:r>
    </w:p>
    <w:p w:rsidR="00C248A0" w:rsidRPr="00EA4925" w:rsidRDefault="00C248A0" w:rsidP="003E1283">
      <w:pPr>
        <w:pStyle w:val="ListBullet"/>
        <w:ind w:hanging="426"/>
      </w:pPr>
      <w:r w:rsidRPr="00EA4925">
        <w:t>clear parameters for identifying which arrangement applied to what products</w:t>
      </w:r>
      <w:r w:rsidR="0059299E">
        <w:t>.</w:t>
      </w:r>
    </w:p>
    <w:p w:rsidR="00C248A0" w:rsidRPr="00EA4925" w:rsidRDefault="00C248A0" w:rsidP="003E1283">
      <w:pPr>
        <w:pStyle w:val="ListBullet"/>
        <w:ind w:hanging="426"/>
      </w:pPr>
      <w:r w:rsidRPr="00EA4925">
        <w:t xml:space="preserve">how product classes that contained both customised and standardised products would be </w:t>
      </w:r>
      <w:r w:rsidR="00EA4925" w:rsidRPr="00EA4925">
        <w:t>addressed</w:t>
      </w:r>
      <w:r w:rsidR="0059299E">
        <w:t>.</w:t>
      </w:r>
    </w:p>
    <w:p w:rsidR="00C248A0" w:rsidRPr="00EA4925" w:rsidRDefault="00C248A0" w:rsidP="003E1283">
      <w:pPr>
        <w:pStyle w:val="ListBullet"/>
        <w:ind w:hanging="426"/>
      </w:pPr>
      <w:r w:rsidRPr="00EA4925">
        <w:t>identifying at what point a sale is considered to be confirmed</w:t>
      </w:r>
      <w:r w:rsidR="0059299E">
        <w:t>.</w:t>
      </w:r>
    </w:p>
    <w:p w:rsidR="00001BFE" w:rsidRPr="00EA4925" w:rsidRDefault="00243D5B" w:rsidP="003E1283">
      <w:pPr>
        <w:pStyle w:val="ListBullet"/>
        <w:ind w:hanging="426"/>
      </w:pPr>
      <w:r>
        <w:t>t</w:t>
      </w:r>
      <w:r w:rsidRPr="00EA4925">
        <w:t xml:space="preserve">he </w:t>
      </w:r>
      <w:r w:rsidR="00001BFE" w:rsidRPr="00EA4925">
        <w:t>existing arrangement should be maintained for standardised products</w:t>
      </w:r>
      <w:r w:rsidR="00EA4925" w:rsidRPr="00EA4925">
        <w:t>.</w:t>
      </w:r>
    </w:p>
    <w:p w:rsidR="000F6DD0" w:rsidRDefault="000F6DD0" w:rsidP="003442DC">
      <w:pPr>
        <w:pStyle w:val="RecHead"/>
      </w:pPr>
      <w:r>
        <w:t xml:space="preserve">RECOMMENDATION </w:t>
      </w:r>
      <w:r w:rsidR="007A0763">
        <w:t>1</w:t>
      </w:r>
      <w:r w:rsidR="006F12A4">
        <w:t>3</w:t>
      </w:r>
    </w:p>
    <w:p w:rsidR="00EA4925" w:rsidRPr="00C743A5" w:rsidRDefault="00EA4925" w:rsidP="00C743A5">
      <w:pPr>
        <w:rPr>
          <w:b/>
          <w:bCs/>
        </w:rPr>
      </w:pPr>
      <w:r w:rsidRPr="00C743A5">
        <w:rPr>
          <w:b/>
          <w:bCs/>
        </w:rPr>
        <w:t xml:space="preserve">The Commonwealth Government amend the Act to </w:t>
      </w:r>
      <w:r w:rsidR="003E181D" w:rsidRPr="00C743A5">
        <w:rPr>
          <w:b/>
          <w:bCs/>
        </w:rPr>
        <w:t>allow</w:t>
      </w:r>
      <w:r w:rsidRPr="00C743A5">
        <w:rPr>
          <w:b/>
          <w:bCs/>
        </w:rPr>
        <w:t xml:space="preserve"> registration </w:t>
      </w:r>
      <w:r w:rsidR="00CD1034" w:rsidRPr="00C743A5">
        <w:rPr>
          <w:b/>
          <w:bCs/>
        </w:rPr>
        <w:t>‘</w:t>
      </w:r>
      <w:r w:rsidRPr="00C743A5">
        <w:rPr>
          <w:b/>
          <w:bCs/>
        </w:rPr>
        <w:t>at the point a sale is confirmed</w:t>
      </w:r>
      <w:r w:rsidR="00CD1034" w:rsidRPr="00C743A5">
        <w:rPr>
          <w:b/>
          <w:bCs/>
        </w:rPr>
        <w:t>’</w:t>
      </w:r>
      <w:r w:rsidRPr="00C743A5">
        <w:rPr>
          <w:b/>
          <w:bCs/>
        </w:rPr>
        <w:t xml:space="preserve"> for clearly defined customised products.</w:t>
      </w:r>
    </w:p>
    <w:p w:rsidR="00E626AC" w:rsidRPr="00F740A0" w:rsidRDefault="00E626AC" w:rsidP="00F740A0">
      <w:pPr>
        <w:pStyle w:val="Heading3"/>
      </w:pPr>
      <w:bookmarkStart w:id="70" w:name="_Toc18660997"/>
      <w:r w:rsidRPr="00CB5EA3">
        <w:t>5.3.</w:t>
      </w:r>
      <w:r w:rsidR="007B329D">
        <w:t>5</w:t>
      </w:r>
      <w:r w:rsidRPr="00CB5EA3">
        <w:tab/>
        <w:t>Multiple registration requirements</w:t>
      </w:r>
      <w:bookmarkEnd w:id="70"/>
    </w:p>
    <w:p w:rsidR="00E626AC" w:rsidRPr="00E626AC" w:rsidRDefault="00E626AC" w:rsidP="00F740A0">
      <w:r w:rsidRPr="00E626AC">
        <w:t>Products regulated under the GEMS Act often have compliance obligations and registration requirements for other Commonwealth and State legislative programs, such as electrical safety, ozone protection</w:t>
      </w:r>
      <w:r w:rsidR="00797F2B">
        <w:t xml:space="preserve"> and water efficiency. </w:t>
      </w:r>
      <w:r w:rsidRPr="00E626AC">
        <w:t xml:space="preserve">There </w:t>
      </w:r>
      <w:r w:rsidR="00D71769">
        <w:t>is a</w:t>
      </w:r>
      <w:r w:rsidR="00D71769" w:rsidRPr="00E626AC">
        <w:t xml:space="preserve"> </w:t>
      </w:r>
      <w:r w:rsidRPr="00E626AC">
        <w:t xml:space="preserve">clear </w:t>
      </w:r>
      <w:r w:rsidR="00D71769">
        <w:t xml:space="preserve">and unnecessary </w:t>
      </w:r>
      <w:r w:rsidRPr="00E626AC">
        <w:t xml:space="preserve">regulatory burden </w:t>
      </w:r>
      <w:r w:rsidR="00D71769">
        <w:t>being placed</w:t>
      </w:r>
      <w:r w:rsidR="00D71769" w:rsidRPr="00E626AC">
        <w:t xml:space="preserve"> </w:t>
      </w:r>
      <w:r w:rsidR="00D71769">
        <w:t xml:space="preserve">on </w:t>
      </w:r>
      <w:r w:rsidRPr="00E626AC">
        <w:t xml:space="preserve">suppliers </w:t>
      </w:r>
      <w:r w:rsidR="00D71769">
        <w:t xml:space="preserve">by </w:t>
      </w:r>
      <w:r w:rsidRPr="00E626AC">
        <w:t>requir</w:t>
      </w:r>
      <w:r w:rsidR="00D71769">
        <w:t>ing them</w:t>
      </w:r>
      <w:r w:rsidRPr="00E626AC">
        <w:t xml:space="preserve"> to interact with multiple registration</w:t>
      </w:r>
      <w:r w:rsidR="00D71769">
        <w:t xml:space="preserve"> systems</w:t>
      </w:r>
      <w:r w:rsidRPr="00E626AC">
        <w:t xml:space="preserve"> and/or reporting databases for </w:t>
      </w:r>
      <w:r w:rsidR="00D71769">
        <w:t>a single</w:t>
      </w:r>
      <w:r w:rsidRPr="00E626AC">
        <w:t xml:space="preserve"> product. </w:t>
      </w:r>
    </w:p>
    <w:p w:rsidR="00D71769" w:rsidRDefault="00E626AC" w:rsidP="00F740A0">
      <w:r w:rsidRPr="00E626AC">
        <w:t xml:space="preserve">A number of stakeholders have proposed streamlining </w:t>
      </w:r>
      <w:r w:rsidR="00D71769">
        <w:t xml:space="preserve">and coordination of </w:t>
      </w:r>
      <w:r w:rsidRPr="00E626AC">
        <w:t>requirements</w:t>
      </w:r>
      <w:r w:rsidR="00D71769">
        <w:t xml:space="preserve">, so that a single </w:t>
      </w:r>
      <w:r w:rsidR="00D71769" w:rsidRPr="00E626AC">
        <w:t>registration application</w:t>
      </w:r>
      <w:r w:rsidR="00D71769">
        <w:t xml:space="preserve"> would fulfil the requirements of multiple government regulations and/or agencies. For example, it was suggested that </w:t>
      </w:r>
      <w:r w:rsidR="00D71769" w:rsidRPr="00243D5B">
        <w:t xml:space="preserve">the </w:t>
      </w:r>
      <w:r w:rsidR="00243D5B" w:rsidRPr="004E675B">
        <w:t>Equipment Electrical Safety System</w:t>
      </w:r>
      <w:r w:rsidR="00243D5B" w:rsidRPr="00243D5B">
        <w:t xml:space="preserve"> (</w:t>
      </w:r>
      <w:r w:rsidR="00D71769" w:rsidRPr="00A97A0F">
        <w:t>EESS</w:t>
      </w:r>
      <w:r w:rsidR="00243D5B" w:rsidRPr="004E675B">
        <w:t>)</w:t>
      </w:r>
      <w:r w:rsidR="00D71769" w:rsidRPr="004E675B">
        <w:t xml:space="preserve"> could </w:t>
      </w:r>
      <w:r w:rsidR="00D71769" w:rsidRPr="004E675B">
        <w:lastRenderedPageBreak/>
        <w:t>be used to capture all the relevant</w:t>
      </w:r>
      <w:r w:rsidR="00D71769">
        <w:t xml:space="preserve"> information needed for a </w:t>
      </w:r>
      <w:r w:rsidR="00D71769" w:rsidRPr="00E626AC">
        <w:t>GEMS registration</w:t>
      </w:r>
      <w:r w:rsidR="00797F2B">
        <w:t>.</w:t>
      </w:r>
      <w:r w:rsidR="00D71769">
        <w:t xml:space="preserve"> </w:t>
      </w:r>
      <w:r w:rsidR="00D71769" w:rsidRPr="00CB1555">
        <w:t>However, at least one major industry association has indicated that its members would not support this approach at this tim</w:t>
      </w:r>
      <w:r w:rsidR="00CB1555" w:rsidRPr="004E675B">
        <w:t xml:space="preserve">e, noting that </w:t>
      </w:r>
      <w:r w:rsidR="00CB1555" w:rsidRPr="00CB1555">
        <w:t>there are benefits of the current approach for some products</w:t>
      </w:r>
      <w:r w:rsidR="00D71769" w:rsidRPr="00CB1555">
        <w:t>.</w:t>
      </w:r>
    </w:p>
    <w:p w:rsidR="00E626AC" w:rsidRPr="00E626AC" w:rsidRDefault="00D71769" w:rsidP="00F740A0">
      <w:r>
        <w:t xml:space="preserve">Any efforts to streamline administrative arrangement would result in a significant reduction in the </w:t>
      </w:r>
      <w:r w:rsidRPr="00E626AC">
        <w:t xml:space="preserve">regulatory burden </w:t>
      </w:r>
      <w:r>
        <w:t>being placed</w:t>
      </w:r>
      <w:r w:rsidRPr="00E626AC">
        <w:t xml:space="preserve"> </w:t>
      </w:r>
      <w:r w:rsidR="00797F2B">
        <w:t>on industry.</w:t>
      </w:r>
      <w:r w:rsidR="00243D5B">
        <w:t xml:space="preserve"> H</w:t>
      </w:r>
      <w:r w:rsidR="00E626AC" w:rsidRPr="00E626AC">
        <w:t>owever</w:t>
      </w:r>
      <w:r w:rsidR="00243D5B">
        <w:t>,</w:t>
      </w:r>
      <w:r w:rsidR="00E626AC" w:rsidRPr="00E626AC">
        <w:t xml:space="preserve"> there are challenges</w:t>
      </w:r>
      <w:r w:rsidR="00BD4D8B">
        <w:t xml:space="preserve"> and impediments</w:t>
      </w:r>
      <w:r w:rsidR="00E626AC" w:rsidRPr="00E626AC">
        <w:t xml:space="preserve"> that would need to be addressed which may affect the cost effectiveness or ability to implement </w:t>
      </w:r>
      <w:r w:rsidR="00BD4D8B">
        <w:t>any improvements</w:t>
      </w:r>
      <w:r w:rsidR="00797F2B">
        <w:t xml:space="preserve">. </w:t>
      </w:r>
      <w:r w:rsidR="00E626AC" w:rsidRPr="00E626AC">
        <w:t>Some of the</w:t>
      </w:r>
      <w:r w:rsidR="00BD4D8B">
        <w:t xml:space="preserve"> issues that would need to be addressed </w:t>
      </w:r>
      <w:r w:rsidR="00E626AC" w:rsidRPr="00E626AC">
        <w:t>include:</w:t>
      </w:r>
    </w:p>
    <w:p w:rsidR="00E626AC" w:rsidRPr="00240A12" w:rsidRDefault="00E626AC" w:rsidP="003E1283">
      <w:pPr>
        <w:pStyle w:val="ListBullet"/>
        <w:ind w:hanging="426"/>
      </w:pPr>
      <w:r w:rsidRPr="00240A12">
        <w:t>incompatibilities in legislative frameworks</w:t>
      </w:r>
      <w:r w:rsidR="0059299E">
        <w:t>.</w:t>
      </w:r>
    </w:p>
    <w:p w:rsidR="00E626AC" w:rsidRPr="00240A12" w:rsidRDefault="00E626AC" w:rsidP="003E1283">
      <w:pPr>
        <w:pStyle w:val="ListBullet"/>
        <w:ind w:hanging="426"/>
      </w:pPr>
      <w:r w:rsidRPr="00240A12">
        <w:t>database compatibility issues</w:t>
      </w:r>
      <w:r w:rsidR="0059299E">
        <w:t>.</w:t>
      </w:r>
    </w:p>
    <w:p w:rsidR="00E626AC" w:rsidRPr="00B44994" w:rsidRDefault="00E626AC" w:rsidP="003E1283">
      <w:pPr>
        <w:pStyle w:val="ListBullet"/>
        <w:ind w:hanging="426"/>
      </w:pPr>
      <w:r w:rsidRPr="00B44994">
        <w:t>data protection</w:t>
      </w:r>
      <w:r w:rsidR="0059299E">
        <w:t>.</w:t>
      </w:r>
    </w:p>
    <w:p w:rsidR="00E626AC" w:rsidRPr="001875E6" w:rsidRDefault="00E626AC" w:rsidP="003E1283">
      <w:pPr>
        <w:pStyle w:val="ListBullet"/>
        <w:ind w:hanging="426"/>
      </w:pPr>
      <w:r w:rsidRPr="00B44994">
        <w:t xml:space="preserve">cost (including cross-subsidisation </w:t>
      </w:r>
      <w:r w:rsidRPr="001875E6">
        <w:t>issues)</w:t>
      </w:r>
      <w:r w:rsidR="0059299E">
        <w:t>.</w:t>
      </w:r>
    </w:p>
    <w:p w:rsidR="00E626AC" w:rsidRPr="001875E6" w:rsidRDefault="00E626AC" w:rsidP="003E1283">
      <w:pPr>
        <w:pStyle w:val="ListBullet"/>
        <w:ind w:hanging="426"/>
      </w:pPr>
      <w:r w:rsidRPr="001875E6">
        <w:t>multiple requirements for some products, for example:</w:t>
      </w:r>
    </w:p>
    <w:p w:rsidR="00E626AC" w:rsidRPr="00E626AC" w:rsidRDefault="00E626AC" w:rsidP="008A7FC0">
      <w:pPr>
        <w:pStyle w:val="ListBullet2"/>
        <w:numPr>
          <w:ilvl w:val="1"/>
          <w:numId w:val="31"/>
        </w:numPr>
        <w:ind w:left="851" w:hanging="425"/>
      </w:pPr>
      <w:r w:rsidRPr="00E626AC">
        <w:t xml:space="preserve">electrical safety, GEMS, and ozone protection for air conditioners </w:t>
      </w:r>
      <w:r w:rsidR="00A267DC">
        <w:t>and</w:t>
      </w:r>
      <w:r w:rsidRPr="00E626AC">
        <w:t xml:space="preserve"> refrigeration products</w:t>
      </w:r>
      <w:r w:rsidR="0059299E">
        <w:t>.</w:t>
      </w:r>
      <w:r w:rsidRPr="00E626AC">
        <w:t xml:space="preserve"> </w:t>
      </w:r>
    </w:p>
    <w:p w:rsidR="00E626AC" w:rsidRPr="00E626AC" w:rsidRDefault="00E626AC" w:rsidP="008A7FC0">
      <w:pPr>
        <w:pStyle w:val="ListBullet2"/>
        <w:numPr>
          <w:ilvl w:val="1"/>
          <w:numId w:val="31"/>
        </w:numPr>
        <w:ind w:left="851" w:hanging="425"/>
      </w:pPr>
      <w:r w:rsidRPr="00E626AC">
        <w:t>electrical safety, GEMS</w:t>
      </w:r>
      <w:r w:rsidRPr="00C2144F">
        <w:t xml:space="preserve">, </w:t>
      </w:r>
      <w:r w:rsidR="00BD4D8B" w:rsidRPr="00F740A0">
        <w:t>Water Efficiency Labelling and Standards (WELS)</w:t>
      </w:r>
      <w:r w:rsidR="00BD4D8B" w:rsidRPr="00E626AC" w:rsidDel="00BD4D8B">
        <w:t xml:space="preserve"> </w:t>
      </w:r>
      <w:r w:rsidRPr="00E626AC">
        <w:t>for wet whitegoods (clothes washers and dishwashers)</w:t>
      </w:r>
      <w:r w:rsidR="0059299E">
        <w:t>.</w:t>
      </w:r>
      <w:r w:rsidRPr="00E626AC">
        <w:t xml:space="preserve"> </w:t>
      </w:r>
    </w:p>
    <w:p w:rsidR="00E626AC" w:rsidRPr="00E626AC" w:rsidRDefault="00E626AC" w:rsidP="008A7FC0">
      <w:pPr>
        <w:pStyle w:val="ListBullet2"/>
        <w:numPr>
          <w:ilvl w:val="1"/>
          <w:numId w:val="31"/>
        </w:numPr>
        <w:ind w:left="851" w:hanging="425"/>
      </w:pPr>
      <w:r w:rsidRPr="00E626AC">
        <w:t>gas safety and GEMS for gas water heaters</w:t>
      </w:r>
      <w:r w:rsidR="00A267DC">
        <w:t>.</w:t>
      </w:r>
    </w:p>
    <w:p w:rsidR="00BD4D8B" w:rsidRPr="00D375C7" w:rsidRDefault="00BD4D8B" w:rsidP="00F740A0">
      <w:r w:rsidRPr="00D375C7">
        <w:t>The Department</w:t>
      </w:r>
      <w:r w:rsidR="00243D5B">
        <w:t xml:space="preserve"> of the Environment and Energy</w:t>
      </w:r>
      <w:r w:rsidRPr="00D375C7">
        <w:t xml:space="preserve"> has an ongoing work program to review and improve the ease of use of the existing registration system, </w:t>
      </w:r>
      <w:r w:rsidRPr="00BC5F6E">
        <w:t xml:space="preserve">and according to the recent </w:t>
      </w:r>
      <w:r w:rsidR="00BC5F6E" w:rsidRPr="00F740A0">
        <w:t xml:space="preserve">GEMS </w:t>
      </w:r>
      <w:r w:rsidRPr="00BC5F6E">
        <w:t xml:space="preserve">stakeholder </w:t>
      </w:r>
      <w:r w:rsidR="00BC5F6E" w:rsidRPr="00F740A0">
        <w:t xml:space="preserve">satisfaction </w:t>
      </w:r>
      <w:r w:rsidRPr="00BC5F6E">
        <w:t>survey</w:t>
      </w:r>
      <w:r w:rsidR="00C2144F" w:rsidRPr="00BC5F6E">
        <w:t xml:space="preserve">, </w:t>
      </w:r>
      <w:r w:rsidR="00662F1C">
        <w:t>76</w:t>
      </w:r>
      <w:r w:rsidR="00662F1C" w:rsidRPr="00F740A0">
        <w:t xml:space="preserve"> </w:t>
      </w:r>
      <w:r w:rsidR="00BC5F6E" w:rsidRPr="00F740A0">
        <w:t>per cent of respondents had noticed an improvement to the product registration process</w:t>
      </w:r>
      <w:r w:rsidR="00C2144F" w:rsidRPr="00BC5F6E">
        <w:t>.</w:t>
      </w:r>
    </w:p>
    <w:p w:rsidR="00E626AC" w:rsidRPr="00D375C7" w:rsidRDefault="00C2144F" w:rsidP="00F740A0">
      <w:r w:rsidRPr="00D375C7">
        <w:t xml:space="preserve">Additionally, the </w:t>
      </w:r>
      <w:r w:rsidR="00E626AC" w:rsidRPr="00D375C7">
        <w:t xml:space="preserve">Department </w:t>
      </w:r>
      <w:r w:rsidR="00BD4D8B" w:rsidRPr="00D375C7">
        <w:t xml:space="preserve">is currently </w:t>
      </w:r>
      <w:r w:rsidR="00E626AC" w:rsidRPr="00D375C7">
        <w:t>work</w:t>
      </w:r>
      <w:r w:rsidR="00BD4D8B" w:rsidRPr="00D375C7">
        <w:t>ing with the EESS</w:t>
      </w:r>
      <w:r w:rsidR="00243D5B">
        <w:t>,</w:t>
      </w:r>
      <w:r w:rsidR="00BD4D8B" w:rsidRPr="00D375C7">
        <w:t xml:space="preserve"> examining the potential of </w:t>
      </w:r>
      <w:r w:rsidR="00E626AC" w:rsidRPr="00D375C7">
        <w:t xml:space="preserve">a joint registration submission process </w:t>
      </w:r>
      <w:r w:rsidR="00BD4D8B" w:rsidRPr="00D375C7">
        <w:t>for</w:t>
      </w:r>
      <w:r w:rsidR="00E626AC" w:rsidRPr="00D375C7">
        <w:t xml:space="preserve"> the implementation of regulations for LED lamps</w:t>
      </w:r>
      <w:r w:rsidR="00BD4D8B" w:rsidRPr="00D375C7">
        <w:t xml:space="preserve">. </w:t>
      </w:r>
      <w:r w:rsidRPr="00D375C7">
        <w:t xml:space="preserve">Suppliers of LED lamps </w:t>
      </w:r>
      <w:r w:rsidR="00BD4D8B" w:rsidRPr="00D375C7">
        <w:t xml:space="preserve">would then be able to </w:t>
      </w:r>
      <w:r w:rsidR="00E626AC" w:rsidRPr="00D375C7">
        <w:t>fulfil their electrical safety and GEMS obliga</w:t>
      </w:r>
      <w:r w:rsidR="00797F2B">
        <w:t>tions through a single portal.</w:t>
      </w:r>
    </w:p>
    <w:p w:rsidR="00B419FC" w:rsidRPr="00B419FC" w:rsidRDefault="00B419FC" w:rsidP="00B419FC">
      <w:pPr>
        <w:pStyle w:val="Default"/>
        <w:rPr>
          <w:rFonts w:cs="Times New Roman"/>
          <w:color w:val="auto"/>
          <w:szCs w:val="22"/>
          <w:lang w:eastAsia="en-US"/>
        </w:rPr>
      </w:pPr>
      <w:r w:rsidRPr="00B419FC">
        <w:rPr>
          <w:rFonts w:cs="Times New Roman"/>
          <w:color w:val="auto"/>
          <w:szCs w:val="22"/>
          <w:lang w:eastAsia="en-US"/>
        </w:rPr>
        <w:t>A recommendation of the 2014-2016 review of the Ozone Protection and Synthetic Greenhouse Gas Program is to allow inter-agency data sharing. Information sharing with the G</w:t>
      </w:r>
      <w:r w:rsidR="00905BF9">
        <w:rPr>
          <w:rFonts w:cs="Times New Roman"/>
          <w:color w:val="auto"/>
          <w:szCs w:val="22"/>
          <w:lang w:eastAsia="en-US"/>
        </w:rPr>
        <w:t>EMS</w:t>
      </w:r>
      <w:r w:rsidRPr="00B419FC">
        <w:rPr>
          <w:rFonts w:cs="Times New Roman"/>
          <w:color w:val="auto"/>
          <w:szCs w:val="22"/>
          <w:lang w:eastAsia="en-US"/>
        </w:rPr>
        <w:t xml:space="preserve"> </w:t>
      </w:r>
      <w:r w:rsidR="00905BF9">
        <w:rPr>
          <w:rFonts w:cs="Times New Roman"/>
          <w:color w:val="auto"/>
          <w:szCs w:val="22"/>
          <w:lang w:eastAsia="en-US"/>
        </w:rPr>
        <w:t>R</w:t>
      </w:r>
      <w:r w:rsidRPr="00B419FC">
        <w:rPr>
          <w:rFonts w:cs="Times New Roman"/>
          <w:color w:val="auto"/>
          <w:szCs w:val="22"/>
          <w:lang w:eastAsia="en-US"/>
        </w:rPr>
        <w:t xml:space="preserve">egulator is a specific recommendation. Amendments to the Ozone Protection and Synthetic Greenhouse Gas Management Act 1989 will be included in the second round of amendments which are anticipated to be introduced into Parliament in 2019. This may provide opportunities for streamlining for air conditioners and other refrigeration products, though further work will be required to identify those opportunities and any practical impediments. </w:t>
      </w:r>
    </w:p>
    <w:p w:rsidR="00ED5C08" w:rsidRDefault="00ED5C08" w:rsidP="00413D00">
      <w:pPr>
        <w:pStyle w:val="RecHead"/>
      </w:pPr>
      <w:r>
        <w:t>RECOMMENDATION 14</w:t>
      </w:r>
    </w:p>
    <w:p w:rsidR="00ED5C08" w:rsidRPr="00C743A5" w:rsidRDefault="00ED5C08" w:rsidP="00C743A5">
      <w:pPr>
        <w:rPr>
          <w:b/>
          <w:bCs/>
        </w:rPr>
      </w:pPr>
      <w:r w:rsidRPr="00C743A5">
        <w:rPr>
          <w:b/>
          <w:bCs/>
        </w:rPr>
        <w:t>The Commonwealth Government</w:t>
      </w:r>
      <w:r w:rsidR="00D234F4" w:rsidRPr="00C743A5">
        <w:rPr>
          <w:b/>
          <w:bCs/>
        </w:rPr>
        <w:t xml:space="preserve"> </w:t>
      </w:r>
      <w:r w:rsidRPr="00C743A5">
        <w:rPr>
          <w:b/>
          <w:bCs/>
        </w:rPr>
        <w:t>establish a working group of officials to consult with</w:t>
      </w:r>
      <w:r w:rsidR="00D234F4" w:rsidRPr="00C743A5">
        <w:rPr>
          <w:b/>
          <w:bCs/>
        </w:rPr>
        <w:t xml:space="preserve"> industry</w:t>
      </w:r>
      <w:r w:rsidRPr="00C743A5">
        <w:rPr>
          <w:b/>
          <w:bCs/>
        </w:rPr>
        <w:t xml:space="preserve"> </w:t>
      </w:r>
      <w:r w:rsidR="00D234F4" w:rsidRPr="00C743A5">
        <w:rPr>
          <w:b/>
          <w:bCs/>
        </w:rPr>
        <w:t>on</w:t>
      </w:r>
      <w:r w:rsidRPr="00C743A5">
        <w:rPr>
          <w:b/>
          <w:bCs/>
        </w:rPr>
        <w:t xml:space="preserve"> </w:t>
      </w:r>
      <w:r w:rsidR="00D234F4" w:rsidRPr="00C743A5">
        <w:rPr>
          <w:b/>
          <w:bCs/>
        </w:rPr>
        <w:t>how the ozone and GEMS</w:t>
      </w:r>
      <w:r w:rsidRPr="00C743A5">
        <w:rPr>
          <w:b/>
          <w:bCs/>
        </w:rPr>
        <w:t xml:space="preserve"> legislation could be </w:t>
      </w:r>
      <w:r w:rsidR="00D234F4" w:rsidRPr="00C743A5">
        <w:rPr>
          <w:b/>
          <w:bCs/>
        </w:rPr>
        <w:t>made more complementary</w:t>
      </w:r>
      <w:r w:rsidRPr="00C743A5">
        <w:rPr>
          <w:b/>
          <w:bCs/>
        </w:rPr>
        <w:t>.</w:t>
      </w:r>
    </w:p>
    <w:p w:rsidR="00BE118F" w:rsidRPr="00B03018" w:rsidRDefault="00BE118F" w:rsidP="00ED5C08">
      <w:pPr>
        <w:pStyle w:val="RecHead"/>
      </w:pPr>
      <w:r w:rsidRPr="001B2792">
        <w:t xml:space="preserve">RECOMMENDATION </w:t>
      </w:r>
      <w:r w:rsidR="007A0763">
        <w:t>1</w:t>
      </w:r>
      <w:r w:rsidR="00ED5C08">
        <w:t>5</w:t>
      </w:r>
    </w:p>
    <w:p w:rsidR="00200229" w:rsidRPr="00C743A5" w:rsidRDefault="00C2144F" w:rsidP="00C743A5">
      <w:pPr>
        <w:rPr>
          <w:b/>
          <w:bCs/>
        </w:rPr>
      </w:pPr>
      <w:r w:rsidRPr="00C743A5">
        <w:rPr>
          <w:b/>
          <w:bCs/>
        </w:rPr>
        <w:t>The Commonwealth Government examine the joint registration arrangements with the EESS for other GEMS products covered under the Act.</w:t>
      </w:r>
    </w:p>
    <w:p w:rsidR="00200229" w:rsidRDefault="00200229">
      <w:pPr>
        <w:spacing w:before="0" w:after="0" w:line="240" w:lineRule="auto"/>
        <w:rPr>
          <w:b/>
          <w:bCs/>
        </w:rPr>
      </w:pPr>
      <w:r>
        <w:rPr>
          <w:b/>
          <w:bCs/>
        </w:rPr>
        <w:br w:type="page"/>
      </w:r>
    </w:p>
    <w:p w:rsidR="00B105E5" w:rsidRPr="00562F48" w:rsidRDefault="00B105E5" w:rsidP="00413D00">
      <w:pPr>
        <w:pStyle w:val="RecHead"/>
      </w:pPr>
      <w:r w:rsidRPr="00562F48">
        <w:lastRenderedPageBreak/>
        <w:t xml:space="preserve">RECOMMENDATION </w:t>
      </w:r>
      <w:r w:rsidR="007A0763" w:rsidRPr="00562F48">
        <w:t>1</w:t>
      </w:r>
      <w:r w:rsidR="00ED5C08" w:rsidRPr="00562F48">
        <w:t>6</w:t>
      </w:r>
    </w:p>
    <w:p w:rsidR="00B105E5" w:rsidRPr="00C743A5" w:rsidRDefault="00B105E5" w:rsidP="00C743A5">
      <w:pPr>
        <w:rPr>
          <w:b/>
          <w:bCs/>
        </w:rPr>
      </w:pPr>
      <w:r w:rsidRPr="00C743A5">
        <w:rPr>
          <w:b/>
          <w:bCs/>
        </w:rPr>
        <w:t>The Commonwealth Government consider the development of a single entry point / central government portal to serve all government product registration obligations.</w:t>
      </w:r>
    </w:p>
    <w:p w:rsidR="00FD45FA" w:rsidRDefault="00BC1CF6" w:rsidP="005619A1">
      <w:pPr>
        <w:pStyle w:val="RecHead"/>
      </w:pPr>
      <w:r w:rsidRPr="00D375C7">
        <w:t xml:space="preserve">RECOMMENDATION </w:t>
      </w:r>
      <w:r w:rsidR="007A0763">
        <w:t>1</w:t>
      </w:r>
      <w:r w:rsidR="00ED5C08">
        <w:t>7</w:t>
      </w:r>
    </w:p>
    <w:p w:rsidR="00BC1CF6" w:rsidRPr="00C743A5" w:rsidRDefault="00FD45FA" w:rsidP="00C743A5">
      <w:pPr>
        <w:rPr>
          <w:b/>
          <w:bCs/>
        </w:rPr>
      </w:pPr>
      <w:r w:rsidRPr="00C743A5">
        <w:rPr>
          <w:b/>
          <w:bCs/>
        </w:rPr>
        <w:t>T</w:t>
      </w:r>
      <w:r w:rsidR="00BC1CF6" w:rsidRPr="00C743A5">
        <w:rPr>
          <w:b/>
          <w:bCs/>
        </w:rPr>
        <w:t xml:space="preserve">he </w:t>
      </w:r>
      <w:r w:rsidR="00085440" w:rsidRPr="00C743A5">
        <w:rPr>
          <w:b/>
          <w:bCs/>
        </w:rPr>
        <w:t>GEMS Regulator</w:t>
      </w:r>
      <w:r w:rsidR="00BC1CF6" w:rsidRPr="00C743A5">
        <w:rPr>
          <w:b/>
          <w:bCs/>
        </w:rPr>
        <w:t xml:space="preserve"> identify opportunities to</w:t>
      </w:r>
      <w:r w:rsidR="00097DFA" w:rsidRPr="00C743A5">
        <w:rPr>
          <w:b/>
          <w:bCs/>
        </w:rPr>
        <w:t xml:space="preserve"> further</w:t>
      </w:r>
      <w:r w:rsidR="00BC1CF6" w:rsidRPr="00C743A5">
        <w:rPr>
          <w:b/>
          <w:bCs/>
        </w:rPr>
        <w:t xml:space="preserve"> streamline and coordinate </w:t>
      </w:r>
      <w:r w:rsidR="00CD1034" w:rsidRPr="00C743A5">
        <w:rPr>
          <w:b/>
          <w:bCs/>
        </w:rPr>
        <w:t xml:space="preserve">registration </w:t>
      </w:r>
      <w:r w:rsidR="00BC1CF6" w:rsidRPr="00C743A5">
        <w:rPr>
          <w:b/>
          <w:bCs/>
        </w:rPr>
        <w:t>processes to ease the regulatory burden on industry.</w:t>
      </w:r>
    </w:p>
    <w:p w:rsidR="00E626AC" w:rsidRPr="00F740A0" w:rsidRDefault="00E626AC" w:rsidP="005619A1">
      <w:pPr>
        <w:pStyle w:val="Heading3"/>
        <w:spacing w:before="360"/>
      </w:pPr>
      <w:bookmarkStart w:id="71" w:name="_Toc18660998"/>
      <w:r w:rsidRPr="00CB5EA3">
        <w:t>5.3.</w:t>
      </w:r>
      <w:r w:rsidR="007B329D">
        <w:t>6</w:t>
      </w:r>
      <w:r w:rsidRPr="00CB5EA3">
        <w:tab/>
        <w:t>‘Grandfathering’ and the registration of newly regulated pro</w:t>
      </w:r>
      <w:r w:rsidRPr="00F25EB7">
        <w:t>ducts</w:t>
      </w:r>
      <w:bookmarkEnd w:id="71"/>
    </w:p>
    <w:p w:rsidR="00E626AC" w:rsidRDefault="002B46B3" w:rsidP="001F2E9E">
      <w:r w:rsidRPr="005E551D">
        <w:t>A</w:t>
      </w:r>
      <w:r w:rsidR="00E626AC" w:rsidRPr="005E551D">
        <w:t xml:space="preserve"> number of industry associations </w:t>
      </w:r>
      <w:r w:rsidR="00CA1CC8" w:rsidRPr="00F740A0">
        <w:t xml:space="preserve">raised a </w:t>
      </w:r>
      <w:r w:rsidR="00E626AC" w:rsidRPr="005E551D">
        <w:t>concern with</w:t>
      </w:r>
      <w:r w:rsidR="00CA1CC8" w:rsidRPr="00F740A0">
        <w:t xml:space="preserve"> the current grandfathering provisions of the GEMS Act. The </w:t>
      </w:r>
      <w:r w:rsidR="00E626AC" w:rsidRPr="005E551D">
        <w:t xml:space="preserve">Act requires </w:t>
      </w:r>
      <w:r w:rsidR="00CA1CC8" w:rsidRPr="00F740A0">
        <w:t xml:space="preserve">that </w:t>
      </w:r>
      <w:r w:rsidR="00E626AC" w:rsidRPr="005E551D">
        <w:t>all products</w:t>
      </w:r>
      <w:r w:rsidR="00CA1CC8" w:rsidRPr="00F740A0">
        <w:t xml:space="preserve"> covered by a GEMS determination</w:t>
      </w:r>
      <w:r w:rsidR="00E626AC" w:rsidRPr="005E551D">
        <w:t xml:space="preserve"> be registered</w:t>
      </w:r>
      <w:r w:rsidR="00CA1CC8" w:rsidRPr="00F740A0">
        <w:t xml:space="preserve"> prior to being offered for sale. The grandfathering provisions, will allow products that cannot meet</w:t>
      </w:r>
      <w:r w:rsidR="00E626AC" w:rsidRPr="005E551D">
        <w:t xml:space="preserve"> the MEPS requirements</w:t>
      </w:r>
      <w:r w:rsidR="00CA1CC8" w:rsidRPr="00F740A0">
        <w:t xml:space="preserve"> to </w:t>
      </w:r>
      <w:r w:rsidR="005E551D" w:rsidRPr="00F740A0">
        <w:t>continue</w:t>
      </w:r>
      <w:r w:rsidR="00CA1CC8" w:rsidRPr="00F740A0">
        <w:t xml:space="preserve"> to be sold if they</w:t>
      </w:r>
      <w:r w:rsidR="00E626AC" w:rsidRPr="005E551D">
        <w:t xml:space="preserve"> were imported into</w:t>
      </w:r>
      <w:r w:rsidR="00042671" w:rsidRPr="00F740A0">
        <w:t>, or</w:t>
      </w:r>
      <w:r w:rsidR="00CA1CC8" w:rsidRPr="00F740A0">
        <w:t xml:space="preserve"> </w:t>
      </w:r>
      <w:r w:rsidR="00042671" w:rsidRPr="00F740A0">
        <w:t>manufactured in,</w:t>
      </w:r>
      <w:r w:rsidR="00E626AC" w:rsidRPr="005E551D">
        <w:t xml:space="preserve"> Australia before </w:t>
      </w:r>
      <w:r w:rsidR="005E551D" w:rsidRPr="00F740A0">
        <w:t>the regulation</w:t>
      </w:r>
      <w:r w:rsidR="005E551D" w:rsidRPr="005E551D">
        <w:t xml:space="preserve"> </w:t>
      </w:r>
      <w:r w:rsidR="00797F2B">
        <w:t>took effect.</w:t>
      </w:r>
      <w:r w:rsidR="00E626AC" w:rsidRPr="005E551D">
        <w:t xml:space="preserve"> </w:t>
      </w:r>
      <w:r w:rsidR="00E626AC" w:rsidRPr="004C346C">
        <w:t xml:space="preserve">For newly regulated products, this means that compliant stock would </w:t>
      </w:r>
      <w:r w:rsidR="005E551D" w:rsidRPr="00F740A0">
        <w:t>need</w:t>
      </w:r>
      <w:r w:rsidR="005E551D" w:rsidRPr="004C346C">
        <w:t xml:space="preserve"> </w:t>
      </w:r>
      <w:r w:rsidR="00E626AC" w:rsidRPr="004C346C">
        <w:t xml:space="preserve">to be registered when the </w:t>
      </w:r>
      <w:r w:rsidR="004C346C" w:rsidRPr="00F740A0">
        <w:t xml:space="preserve">regulation comes into </w:t>
      </w:r>
      <w:r w:rsidR="00E626AC" w:rsidRPr="004C346C">
        <w:t xml:space="preserve">effect </w:t>
      </w:r>
      <w:r w:rsidR="004C346C" w:rsidRPr="00F740A0">
        <w:t>and not</w:t>
      </w:r>
      <w:r w:rsidR="004C346C" w:rsidRPr="004C346C">
        <w:t xml:space="preserve"> </w:t>
      </w:r>
      <w:r w:rsidR="004C346C" w:rsidRPr="00F740A0">
        <w:t>when</w:t>
      </w:r>
      <w:r w:rsidR="00E626AC" w:rsidRPr="004C346C">
        <w:t xml:space="preserve"> </w:t>
      </w:r>
      <w:r w:rsidR="004C346C" w:rsidRPr="00F740A0">
        <w:t xml:space="preserve">new </w:t>
      </w:r>
      <w:r w:rsidR="00E626AC" w:rsidRPr="004C346C">
        <w:t xml:space="preserve">stock </w:t>
      </w:r>
      <w:r w:rsidR="004C346C" w:rsidRPr="00F740A0">
        <w:t>is then</w:t>
      </w:r>
      <w:r w:rsidR="00E626AC" w:rsidRPr="004C346C">
        <w:t xml:space="preserve"> imported</w:t>
      </w:r>
      <w:r w:rsidR="00042671" w:rsidRPr="00F740A0">
        <w:t xml:space="preserve"> or manufactured</w:t>
      </w:r>
      <w:r w:rsidR="00E626AC" w:rsidRPr="004C346C">
        <w:t xml:space="preserve"> afterward</w:t>
      </w:r>
      <w:r w:rsidR="00442BEF">
        <w:t>s</w:t>
      </w:r>
      <w:r w:rsidR="00E626AC" w:rsidRPr="004C346C">
        <w:t>.</w:t>
      </w:r>
      <w:r w:rsidR="008C13C7" w:rsidRPr="004C346C">
        <w:t xml:space="preserve"> </w:t>
      </w:r>
    </w:p>
    <w:p w:rsidR="004C346C" w:rsidRPr="009115F1" w:rsidRDefault="004C346C">
      <w:pPr>
        <w:pStyle w:val="SbQuote"/>
      </w:pPr>
      <w:r w:rsidRPr="009115F1">
        <w:t xml:space="preserve">A grandfathering period is to give suppliers time to sell out </w:t>
      </w:r>
      <w:r w:rsidR="00B7201D" w:rsidRPr="009115F1">
        <w:t>non-compliant</w:t>
      </w:r>
      <w:r w:rsidRPr="009115F1">
        <w:t xml:space="preserve"> stock, or stock which may be compliant but the model is not continuing so will not be registered. In most cases the determination has not limited the grandfathering period, as allowed by the Act, because of the unlikely prospect of stockpiling models prior to a determination application date, stockpiling being uneconomical in the majority of cases.</w:t>
      </w:r>
    </w:p>
    <w:p w:rsidR="004C346C" w:rsidRDefault="004C346C">
      <w:pPr>
        <w:pStyle w:val="SbQuoteref"/>
      </w:pPr>
      <w:r w:rsidRPr="00C1076E">
        <w:t>C</w:t>
      </w:r>
      <w:r>
        <w:t xml:space="preserve">onsumer Electronic Suppliers Association (CESA), 2018 </w:t>
      </w:r>
    </w:p>
    <w:p w:rsidR="00B7201D" w:rsidRPr="009115F1" w:rsidRDefault="00B7201D">
      <w:pPr>
        <w:pStyle w:val="SbQuote"/>
      </w:pPr>
      <w:r w:rsidRPr="009115F1">
        <w:t xml:space="preserve">The current grandfathering provision does not accommodate products that are imported before a determination is implemented but are also compliant at the time of importation. In that case, those products need to be registered when the determination is implemented, raising cost and complexity for suppliers. </w:t>
      </w:r>
    </w:p>
    <w:p w:rsidR="004C346C" w:rsidRDefault="004C346C">
      <w:pPr>
        <w:pStyle w:val="SbQuoteref"/>
      </w:pPr>
      <w:r>
        <w:t>Lighting Council of Australia (LCA), 2018</w:t>
      </w:r>
    </w:p>
    <w:p w:rsidR="00E626AC" w:rsidRPr="00BC5F6E" w:rsidRDefault="00E626AC" w:rsidP="001F2E9E">
      <w:r w:rsidRPr="00BC5F6E">
        <w:t xml:space="preserve">For product types that are supplied on a seasonal basis, which have short product lifecycles, or are made to order, the practical impact of this issue should be minimal, particularly where the statutory notice period </w:t>
      </w:r>
      <w:r w:rsidR="00B7201D" w:rsidRPr="00F740A0">
        <w:t xml:space="preserve">is </w:t>
      </w:r>
      <w:r w:rsidRPr="00BC5F6E">
        <w:t xml:space="preserve">long enough to ensure that suppliers have sufficient time </w:t>
      </w:r>
      <w:r w:rsidR="00B7201D" w:rsidRPr="00F740A0">
        <w:t>to</w:t>
      </w:r>
      <w:r w:rsidRPr="00BC5F6E">
        <w:t xml:space="preserve"> meet </w:t>
      </w:r>
      <w:r w:rsidR="00B7201D" w:rsidRPr="00F740A0">
        <w:t>the new</w:t>
      </w:r>
      <w:r w:rsidR="00B7201D" w:rsidRPr="00BC5F6E">
        <w:t xml:space="preserve"> </w:t>
      </w:r>
      <w:r w:rsidRPr="00BC5F6E">
        <w:t>obligations.</w:t>
      </w:r>
    </w:p>
    <w:p w:rsidR="000E60F1" w:rsidRPr="00A97A0F" w:rsidRDefault="00E626AC" w:rsidP="00F740A0">
      <w:r w:rsidRPr="00243D5B">
        <w:t xml:space="preserve">For product types with longer shelf lives or for which higher stock levels are typically maintained, the impact </w:t>
      </w:r>
      <w:r w:rsidR="00797F2B" w:rsidRPr="00243D5B">
        <w:t xml:space="preserve">on </w:t>
      </w:r>
      <w:r w:rsidR="00797F2B" w:rsidRPr="00A97A0F">
        <w:t xml:space="preserve">registrants may be greater. </w:t>
      </w:r>
      <w:r w:rsidR="000E60F1" w:rsidRPr="004E675B">
        <w:t>To date</w:t>
      </w:r>
      <w:r w:rsidR="00E31CC3">
        <w:t>,</w:t>
      </w:r>
      <w:r w:rsidR="000E60F1" w:rsidRPr="004E675B">
        <w:t xml:space="preserve"> the GEMS Regulator has undertaken to take a common sense approach and work with affected registrants to provide assistance on a case-by-case basis where the impacts are greater. However, a solution that applies more generally, rather than on an ad-hoc product-by-product basis, would be beneficial in terms of certainty and reducing burden on industry.</w:t>
      </w:r>
    </w:p>
    <w:p w:rsidR="00042671" w:rsidRPr="004E675B" w:rsidRDefault="00512C0C" w:rsidP="00F740A0">
      <w:r>
        <w:t>As such, t</w:t>
      </w:r>
      <w:r w:rsidR="00BC5F6E" w:rsidRPr="00243D5B">
        <w:t>he</w:t>
      </w:r>
      <w:r w:rsidR="00042671" w:rsidRPr="00243D5B">
        <w:t xml:space="preserve">re </w:t>
      </w:r>
      <w:r w:rsidR="00042671" w:rsidRPr="00F740A0">
        <w:t>seems to be little</w:t>
      </w:r>
      <w:r w:rsidR="00BC5F6E" w:rsidRPr="00F740A0">
        <w:t xml:space="preserve"> </w:t>
      </w:r>
      <w:r w:rsidR="00042671" w:rsidRPr="00F740A0">
        <w:t xml:space="preserve">risk to extending the grandfathering arrangements that currently apply for non-compliant </w:t>
      </w:r>
      <w:r w:rsidR="00BC5F6E" w:rsidRPr="00F740A0">
        <w:t xml:space="preserve">products </w:t>
      </w:r>
      <w:r w:rsidR="00BC5F6E" w:rsidRPr="00BC5F6E">
        <w:t xml:space="preserve">(GEMS Act sections 16 and 18) </w:t>
      </w:r>
      <w:r w:rsidR="00042671" w:rsidRPr="00F740A0">
        <w:t xml:space="preserve">to the </w:t>
      </w:r>
      <w:r w:rsidR="00042671" w:rsidRPr="00243D5B">
        <w:t>registration obligation for compliant products</w:t>
      </w:r>
      <w:r w:rsidR="00BC5F6E" w:rsidRPr="00243D5B">
        <w:t xml:space="preserve"> (GEMS Act sections 17 and 19).</w:t>
      </w:r>
      <w:r w:rsidR="00367701" w:rsidRPr="00A97A0F">
        <w:t xml:space="preserve"> </w:t>
      </w:r>
    </w:p>
    <w:p w:rsidR="00042671" w:rsidRPr="00F740A0" w:rsidRDefault="00042671" w:rsidP="003442DC">
      <w:pPr>
        <w:pStyle w:val="RecHead"/>
      </w:pPr>
      <w:r w:rsidRPr="00F740A0">
        <w:t xml:space="preserve">RECOMMENDATION </w:t>
      </w:r>
      <w:r w:rsidR="007A0763">
        <w:t>1</w:t>
      </w:r>
      <w:r w:rsidR="0042578E">
        <w:t>8</w:t>
      </w:r>
    </w:p>
    <w:p w:rsidR="00CA1CC8" w:rsidRPr="00C743A5" w:rsidRDefault="002B46B3" w:rsidP="00C743A5">
      <w:pPr>
        <w:rPr>
          <w:b/>
          <w:bCs/>
        </w:rPr>
      </w:pPr>
      <w:r w:rsidRPr="00C743A5">
        <w:rPr>
          <w:b/>
          <w:bCs/>
        </w:rPr>
        <w:t>The Commonwealth Government amend the GEMS Act to extend the grandfathering provisions</w:t>
      </w:r>
      <w:r w:rsidR="00BC5F6E" w:rsidRPr="00C743A5">
        <w:rPr>
          <w:b/>
          <w:bCs/>
        </w:rPr>
        <w:t xml:space="preserve"> that currently apply for non-compliant products to the registration obligation for compliant products.</w:t>
      </w:r>
    </w:p>
    <w:p w:rsidR="006608FA" w:rsidRPr="00F740A0" w:rsidRDefault="00AC4267" w:rsidP="00F740A0">
      <w:pPr>
        <w:pStyle w:val="Heading2"/>
      </w:pPr>
      <w:bookmarkStart w:id="72" w:name="_Toc18660999"/>
      <w:r w:rsidRPr="00F740A0">
        <w:lastRenderedPageBreak/>
        <w:t xml:space="preserve">5.4 </w:t>
      </w:r>
      <w:r w:rsidR="006C7E4C" w:rsidRPr="00F740A0">
        <w:tab/>
      </w:r>
      <w:r w:rsidR="003630A7" w:rsidRPr="00F740A0">
        <w:t xml:space="preserve">GEMS </w:t>
      </w:r>
      <w:r w:rsidR="008C238F">
        <w:t>c</w:t>
      </w:r>
      <w:r w:rsidR="008C238F" w:rsidRPr="00F740A0">
        <w:t>ompliance</w:t>
      </w:r>
      <w:bookmarkEnd w:id="72"/>
    </w:p>
    <w:p w:rsidR="00E40A47" w:rsidRPr="00B06CE5" w:rsidRDefault="00E40A47" w:rsidP="00F740A0">
      <w:pPr>
        <w:pStyle w:val="Heading3"/>
        <w:rPr>
          <w:i/>
        </w:rPr>
      </w:pPr>
      <w:bookmarkStart w:id="73" w:name="_Toc518817685"/>
      <w:bookmarkStart w:id="74" w:name="_Toc18661000"/>
      <w:r w:rsidRPr="00B06CE5">
        <w:t>5.4.1</w:t>
      </w:r>
      <w:r w:rsidRPr="00B06CE5">
        <w:tab/>
      </w:r>
      <w:bookmarkEnd w:id="73"/>
      <w:r w:rsidR="0010740D">
        <w:t>Introduction</w:t>
      </w:r>
      <w:bookmarkEnd w:id="74"/>
    </w:p>
    <w:p w:rsidR="0010740D" w:rsidRDefault="002150B0" w:rsidP="00F740A0">
      <w:r w:rsidRPr="002150B0">
        <w:t>The majority of</w:t>
      </w:r>
      <w:r w:rsidR="00E40A47" w:rsidRPr="002150B0">
        <w:t xml:space="preserve"> stakeholders acknowledged the importance of a robust compliance regime to ensure the GEMS</w:t>
      </w:r>
      <w:r w:rsidR="00E40A47" w:rsidRPr="00240A12">
        <w:t xml:space="preserve"> </w:t>
      </w:r>
      <w:r w:rsidR="0010740D">
        <w:t>Act is achieving its objectives.</w:t>
      </w:r>
    </w:p>
    <w:p w:rsidR="0010740D" w:rsidRDefault="004834FD" w:rsidP="00F740A0">
      <w:r w:rsidRPr="00240A12">
        <w:t>The GEMS Regulator and GEMS inspectors monitor and enforce compli</w:t>
      </w:r>
      <w:r>
        <w:t>ance with the GEMS Act through</w:t>
      </w:r>
      <w:r w:rsidR="0010740D">
        <w:t xml:space="preserve"> four distinct but inter-related activities:</w:t>
      </w:r>
    </w:p>
    <w:p w:rsidR="0010740D" w:rsidRPr="00240A12" w:rsidRDefault="0010740D" w:rsidP="00FD45FA">
      <w:pPr>
        <w:pStyle w:val="ListBullet"/>
        <w:ind w:hanging="426"/>
      </w:pPr>
      <w:r w:rsidRPr="00240A12">
        <w:t>Engagement and education activities to assist regulated entities to voluntarily comply.</w:t>
      </w:r>
    </w:p>
    <w:p w:rsidR="0010740D" w:rsidRPr="00240A12" w:rsidRDefault="0010740D" w:rsidP="00FD45FA">
      <w:pPr>
        <w:pStyle w:val="ListBullet"/>
        <w:ind w:hanging="426"/>
      </w:pPr>
      <w:r w:rsidRPr="00240A12">
        <w:t xml:space="preserve">Market surveillance activities to ensure </w:t>
      </w:r>
      <w:r w:rsidR="00E31CC3">
        <w:t xml:space="preserve">adherence of </w:t>
      </w:r>
      <w:r w:rsidRPr="00240A12">
        <w:t>registration and labelling requirements.</w:t>
      </w:r>
    </w:p>
    <w:p w:rsidR="0010740D" w:rsidRPr="00240A12" w:rsidRDefault="0010740D" w:rsidP="00FD45FA">
      <w:pPr>
        <w:pStyle w:val="ListBullet"/>
        <w:ind w:hanging="426"/>
      </w:pPr>
      <w:r w:rsidRPr="00240A12">
        <w:t xml:space="preserve">Check testing </w:t>
      </w:r>
      <w:r w:rsidRPr="00B44994">
        <w:t xml:space="preserve">models of GEMS products to ensure energy efficiency requirements and claims are </w:t>
      </w:r>
      <w:r w:rsidRPr="00F740A0">
        <w:t>met</w:t>
      </w:r>
      <w:r w:rsidRPr="00240A12">
        <w:t>.</w:t>
      </w:r>
    </w:p>
    <w:p w:rsidR="0010740D" w:rsidRPr="00240A12" w:rsidRDefault="0010740D" w:rsidP="00FD45FA">
      <w:pPr>
        <w:pStyle w:val="ListBullet"/>
        <w:ind w:hanging="426"/>
      </w:pPr>
      <w:r w:rsidRPr="00240A12">
        <w:t>Assessing and investigating allegations of non-compliance received by the GEMS Regulator.</w:t>
      </w:r>
    </w:p>
    <w:p w:rsidR="00DE2926" w:rsidRPr="00C743A5" w:rsidRDefault="00DE2926" w:rsidP="00836D1D">
      <w:pPr>
        <w:rPr>
          <w:b/>
          <w:bCs/>
        </w:rPr>
      </w:pPr>
      <w:r>
        <w:t xml:space="preserve">Additional detail regarding these activities is provided in </w:t>
      </w:r>
      <w:r w:rsidRPr="00C743A5">
        <w:rPr>
          <w:b/>
          <w:bCs/>
        </w:rPr>
        <w:t>Box 4</w:t>
      </w:r>
      <w:r>
        <w:t>.</w:t>
      </w:r>
    </w:p>
    <w:p w:rsidR="00E40A47" w:rsidRPr="00240A12" w:rsidRDefault="00E40A47" w:rsidP="00F740A0">
      <w:r w:rsidRPr="00240A12">
        <w:t>Stake</w:t>
      </w:r>
      <w:r w:rsidR="00247E7C">
        <w:t>holders</w:t>
      </w:r>
      <w:r w:rsidR="004834FD">
        <w:t xml:space="preserve"> </w:t>
      </w:r>
      <w:r w:rsidR="00247E7C">
        <w:t xml:space="preserve">raised a range of suggestions in relation to possible enhancement of </w:t>
      </w:r>
      <w:r w:rsidRPr="00240A12">
        <w:t>the efficiency and effectiveness of GEMS c</w:t>
      </w:r>
      <w:r w:rsidR="00247E7C">
        <w:t>ompliance activities</w:t>
      </w:r>
      <w:r w:rsidR="004834FD">
        <w:t>, including:</w:t>
      </w:r>
    </w:p>
    <w:p w:rsidR="00E40A47" w:rsidRPr="00240A12" w:rsidRDefault="00E40A47" w:rsidP="00FD45FA">
      <w:pPr>
        <w:pStyle w:val="ListBullet"/>
        <w:ind w:hanging="426"/>
      </w:pPr>
      <w:r w:rsidRPr="00240A12">
        <w:t xml:space="preserve">resourcing commitments </w:t>
      </w:r>
      <w:r w:rsidR="004834FD">
        <w:t>(</w:t>
      </w:r>
      <w:r w:rsidR="008C759E">
        <w:rPr>
          <w:b/>
        </w:rPr>
        <w:t>S</w:t>
      </w:r>
      <w:r w:rsidR="004834FD">
        <w:rPr>
          <w:b/>
        </w:rPr>
        <w:t>ection 5.4.2</w:t>
      </w:r>
      <w:r w:rsidR="004834FD">
        <w:t>)</w:t>
      </w:r>
    </w:p>
    <w:p w:rsidR="00E40A47" w:rsidRPr="00B44994" w:rsidRDefault="00E40A47" w:rsidP="00FD45FA">
      <w:pPr>
        <w:pStyle w:val="ListBullet"/>
        <w:ind w:hanging="426"/>
      </w:pPr>
      <w:r w:rsidRPr="00B44994">
        <w:t>industry engagement</w:t>
      </w:r>
      <w:r w:rsidR="004834FD">
        <w:t xml:space="preserve"> and particular approaches to compliance monitoring (</w:t>
      </w:r>
      <w:r w:rsidR="008C759E">
        <w:rPr>
          <w:b/>
        </w:rPr>
        <w:t>S</w:t>
      </w:r>
      <w:r w:rsidR="004834FD">
        <w:rPr>
          <w:b/>
        </w:rPr>
        <w:t>ection 5.4.3</w:t>
      </w:r>
      <w:r w:rsidR="004834FD">
        <w:t>)</w:t>
      </w:r>
    </w:p>
    <w:p w:rsidR="00217D46" w:rsidRDefault="00E40A47" w:rsidP="00FD45FA">
      <w:pPr>
        <w:pStyle w:val="ListBullet"/>
        <w:ind w:hanging="426"/>
      </w:pPr>
      <w:r w:rsidRPr="00B44994">
        <w:t>enforcement responses and pena</w:t>
      </w:r>
      <w:r w:rsidR="004834FD">
        <w:t>lties (</w:t>
      </w:r>
      <w:r w:rsidR="008C759E">
        <w:rPr>
          <w:b/>
        </w:rPr>
        <w:t>S</w:t>
      </w:r>
      <w:r w:rsidR="004834FD" w:rsidRPr="00A97A0F">
        <w:rPr>
          <w:b/>
        </w:rPr>
        <w:t>ection 5.4.4</w:t>
      </w:r>
      <w:r w:rsidR="004834FD">
        <w:t>).</w:t>
      </w:r>
    </w:p>
    <w:p w:rsidR="00200229" w:rsidRDefault="008A7CD5" w:rsidP="00562F48">
      <w:pPr>
        <w:pStyle w:val="ListBullet"/>
        <w:spacing w:line="240" w:lineRule="auto"/>
        <w:ind w:hanging="426"/>
      </w:pPr>
      <w:r>
        <w:t>whether the compliance regime has the necessary flexibility to deal with two categories of products, short market life products and unique or bespoke products (</w:t>
      </w:r>
      <w:r>
        <w:rPr>
          <w:b/>
        </w:rPr>
        <w:t>Section 5.4.5</w:t>
      </w:r>
      <w:r w:rsidRPr="00173641">
        <w:t>)</w:t>
      </w:r>
      <w:r>
        <w:t>.</w:t>
      </w:r>
    </w:p>
    <w:p w:rsidR="008A74FC" w:rsidRPr="00200229" w:rsidRDefault="00200229" w:rsidP="00200229">
      <w:pPr>
        <w:spacing w:before="0" w:after="0" w:line="240" w:lineRule="auto"/>
      </w:pPr>
      <w:r>
        <w:br w:type="page"/>
      </w:r>
    </w:p>
    <w:tbl>
      <w:tblPr>
        <w:tblStyle w:val="TableGrid"/>
        <w:tblpPr w:leftFromText="180" w:rightFromText="180" w:vertAnchor="text" w:horzAnchor="margin" w:tblpY="9"/>
        <w:tblW w:w="5000" w:type="pct"/>
        <w:tblLook w:val="04A0" w:firstRow="1" w:lastRow="0" w:firstColumn="1" w:lastColumn="0" w:noHBand="0" w:noVBand="1"/>
      </w:tblPr>
      <w:tblGrid>
        <w:gridCol w:w="2094"/>
        <w:gridCol w:w="6922"/>
      </w:tblGrid>
      <w:tr w:rsidR="008A74FC" w:rsidRPr="00067101" w:rsidTr="009115F1">
        <w:trPr>
          <w:cnfStyle w:val="100000000000" w:firstRow="1" w:lastRow="0" w:firstColumn="0" w:lastColumn="0" w:oddVBand="0" w:evenVBand="0" w:oddHBand="0" w:evenHBand="0" w:firstRowFirstColumn="0" w:firstRowLastColumn="0" w:lastRowFirstColumn="0" w:lastRowLastColumn="0"/>
          <w:tblHeader/>
        </w:trPr>
        <w:tc>
          <w:tcPr>
            <w:tcW w:w="5000" w:type="pct"/>
            <w:gridSpan w:val="2"/>
          </w:tcPr>
          <w:p w:rsidR="008A74FC" w:rsidRDefault="008A74FC" w:rsidP="00472D81">
            <w:pPr>
              <w:spacing w:before="80"/>
              <w:rPr>
                <w:b/>
                <w:sz w:val="22"/>
              </w:rPr>
            </w:pPr>
            <w:r>
              <w:rPr>
                <w:b/>
                <w:sz w:val="22"/>
              </w:rPr>
              <w:lastRenderedPageBreak/>
              <w:t>Box 4: GEMS compliance activities</w:t>
            </w:r>
          </w:p>
          <w:p w:rsidR="008A74FC" w:rsidRPr="00C743A5" w:rsidRDefault="008A74FC" w:rsidP="00C743A5">
            <w:pPr>
              <w:rPr>
                <w:b/>
                <w:bCs/>
              </w:rPr>
            </w:pPr>
            <w:r w:rsidRPr="00C743A5">
              <w:rPr>
                <w:b/>
                <w:bCs/>
              </w:rPr>
              <w:t>Engagement and Education</w:t>
            </w:r>
          </w:p>
        </w:tc>
      </w:tr>
      <w:tr w:rsidR="008A74FC" w:rsidRPr="00067101" w:rsidTr="009115F1">
        <w:trPr>
          <w:cnfStyle w:val="000000100000" w:firstRow="0" w:lastRow="0" w:firstColumn="0" w:lastColumn="0" w:oddVBand="0" w:evenVBand="0" w:oddHBand="1" w:evenHBand="0" w:firstRowFirstColumn="0" w:firstRowLastColumn="0" w:lastRowFirstColumn="0" w:lastRowLastColumn="0"/>
        </w:trPr>
        <w:tc>
          <w:tcPr>
            <w:tcW w:w="1161" w:type="pct"/>
          </w:tcPr>
          <w:p w:rsidR="008A74FC" w:rsidRPr="00C743A5" w:rsidRDefault="008A74FC" w:rsidP="00C743A5">
            <w:pPr>
              <w:rPr>
                <w:b/>
                <w:bCs/>
              </w:rPr>
            </w:pPr>
            <w:r w:rsidRPr="00C743A5">
              <w:rPr>
                <w:b/>
                <w:bCs/>
              </w:rPr>
              <w:t>Purpose</w:t>
            </w:r>
          </w:p>
        </w:tc>
        <w:tc>
          <w:tcPr>
            <w:tcW w:w="3839" w:type="pct"/>
          </w:tcPr>
          <w:p w:rsidR="008A74FC" w:rsidRPr="004E675B" w:rsidRDefault="008A74FC" w:rsidP="00472D81">
            <w:pPr>
              <w:spacing w:before="40" w:after="40"/>
              <w:mirrorIndents w:val="0"/>
              <w:rPr>
                <w:sz w:val="22"/>
              </w:rPr>
            </w:pPr>
            <w:r w:rsidRPr="004E675B">
              <w:rPr>
                <w:sz w:val="22"/>
              </w:rPr>
              <w:t>Compliance begins with engagement and education. The GEMS Regulator and GEMS inspectors provide information and resources to assist regulated entities to comply with their obligations under the Act and specific GEMS determinations.</w:t>
            </w:r>
          </w:p>
        </w:tc>
      </w:tr>
      <w:tr w:rsidR="008A74FC" w:rsidRPr="00067101" w:rsidTr="009115F1">
        <w:trPr>
          <w:cnfStyle w:val="000000010000" w:firstRow="0" w:lastRow="0" w:firstColumn="0" w:lastColumn="0" w:oddVBand="0" w:evenVBand="0" w:oddHBand="0" w:evenHBand="1" w:firstRowFirstColumn="0" w:firstRowLastColumn="0" w:lastRowFirstColumn="0" w:lastRowLastColumn="0"/>
        </w:trPr>
        <w:tc>
          <w:tcPr>
            <w:tcW w:w="1161" w:type="pct"/>
          </w:tcPr>
          <w:p w:rsidR="008A74FC" w:rsidRPr="004E675B" w:rsidRDefault="008A74FC" w:rsidP="00472D81">
            <w:pPr>
              <w:spacing w:before="40" w:after="40"/>
              <w:ind w:right="-108"/>
              <w:mirrorIndents w:val="0"/>
              <w:rPr>
                <w:b/>
                <w:sz w:val="22"/>
              </w:rPr>
            </w:pPr>
            <w:r w:rsidRPr="004E675B">
              <w:rPr>
                <w:b/>
                <w:sz w:val="22"/>
              </w:rPr>
              <w:t>Nature of activities</w:t>
            </w:r>
          </w:p>
        </w:tc>
        <w:tc>
          <w:tcPr>
            <w:tcW w:w="3839" w:type="pct"/>
          </w:tcPr>
          <w:p w:rsidR="008A74FC" w:rsidRPr="004E675B" w:rsidRDefault="008A74FC" w:rsidP="00472D81">
            <w:pPr>
              <w:spacing w:before="40" w:after="40"/>
              <w:mirrorIndents w:val="0"/>
              <w:rPr>
                <w:sz w:val="22"/>
              </w:rPr>
            </w:pPr>
            <w:r w:rsidRPr="004E675B">
              <w:rPr>
                <w:sz w:val="22"/>
              </w:rPr>
              <w:t xml:space="preserve">For example: </w:t>
            </w:r>
          </w:p>
          <w:p w:rsidR="008A74FC" w:rsidRPr="004E675B" w:rsidRDefault="008A74FC" w:rsidP="00472D81">
            <w:pPr>
              <w:pStyle w:val="ListBullet"/>
              <w:spacing w:before="40" w:after="40"/>
              <w:mirrorIndents w:val="0"/>
              <w:rPr>
                <w:sz w:val="22"/>
              </w:rPr>
            </w:pPr>
            <w:r w:rsidRPr="004E675B">
              <w:rPr>
                <w:sz w:val="22"/>
              </w:rPr>
              <w:t>GEMS inspectors attend and present at industry and consumer fora.</w:t>
            </w:r>
          </w:p>
          <w:p w:rsidR="008A74FC" w:rsidRPr="004E675B" w:rsidRDefault="008A74FC" w:rsidP="00472D81">
            <w:pPr>
              <w:pStyle w:val="ListBullet"/>
              <w:spacing w:before="40" w:after="40"/>
              <w:mirrorIndents w:val="0"/>
              <w:rPr>
                <w:sz w:val="22"/>
              </w:rPr>
            </w:pPr>
            <w:r w:rsidRPr="004E675B">
              <w:rPr>
                <w:sz w:val="22"/>
              </w:rPr>
              <w:t xml:space="preserve">The GEMS Regulator publicises the results of, and responses to, GEMS compliance monitoring activities. </w:t>
            </w:r>
          </w:p>
          <w:p w:rsidR="008A74FC" w:rsidRPr="004E675B" w:rsidRDefault="008A74FC" w:rsidP="00472D81">
            <w:pPr>
              <w:pStyle w:val="ListBullet"/>
              <w:spacing w:before="40" w:after="40"/>
              <w:mirrorIndents w:val="0"/>
              <w:rPr>
                <w:sz w:val="22"/>
              </w:rPr>
            </w:pPr>
            <w:r w:rsidRPr="004E675B">
              <w:rPr>
                <w:sz w:val="22"/>
              </w:rPr>
              <w:t xml:space="preserve">GEMS inspectors, conducting surveillance activities, ensure suppliers are provided with immediate and post inspection feedback. </w:t>
            </w:r>
          </w:p>
        </w:tc>
      </w:tr>
      <w:tr w:rsidR="008A74FC" w:rsidRPr="00067101" w:rsidTr="009115F1">
        <w:trPr>
          <w:cnfStyle w:val="000000100000" w:firstRow="0" w:lastRow="0" w:firstColumn="0" w:lastColumn="0" w:oddVBand="0" w:evenVBand="0" w:oddHBand="1" w:evenHBand="0" w:firstRowFirstColumn="0" w:firstRowLastColumn="0" w:lastRowFirstColumn="0" w:lastRowLastColumn="0"/>
        </w:trPr>
        <w:tc>
          <w:tcPr>
            <w:tcW w:w="5000" w:type="pct"/>
            <w:gridSpan w:val="2"/>
          </w:tcPr>
          <w:p w:rsidR="008A74FC" w:rsidRPr="004E675B" w:rsidRDefault="008A74FC" w:rsidP="00472D81">
            <w:pPr>
              <w:spacing w:before="80" w:after="40"/>
              <w:mirrorIndents w:val="0"/>
              <w:rPr>
                <w:b/>
                <w:sz w:val="22"/>
              </w:rPr>
            </w:pPr>
            <w:r w:rsidRPr="004E675B">
              <w:rPr>
                <w:b/>
                <w:sz w:val="22"/>
              </w:rPr>
              <w:t>GEMS Inspector Market Surveillance</w:t>
            </w:r>
          </w:p>
        </w:tc>
      </w:tr>
      <w:tr w:rsidR="008A74FC" w:rsidRPr="00067101" w:rsidTr="009115F1">
        <w:trPr>
          <w:cnfStyle w:val="000000010000" w:firstRow="0" w:lastRow="0" w:firstColumn="0" w:lastColumn="0" w:oddVBand="0" w:evenVBand="0" w:oddHBand="0" w:evenHBand="1" w:firstRowFirstColumn="0" w:firstRowLastColumn="0" w:lastRowFirstColumn="0" w:lastRowLastColumn="0"/>
        </w:trPr>
        <w:tc>
          <w:tcPr>
            <w:tcW w:w="1161" w:type="pct"/>
          </w:tcPr>
          <w:p w:rsidR="008A74FC" w:rsidRPr="00C743A5" w:rsidRDefault="008A74FC" w:rsidP="00C743A5">
            <w:pPr>
              <w:rPr>
                <w:b/>
                <w:bCs/>
              </w:rPr>
            </w:pPr>
            <w:r w:rsidRPr="00C743A5">
              <w:rPr>
                <w:b/>
                <w:bCs/>
              </w:rPr>
              <w:t>Purpose</w:t>
            </w:r>
          </w:p>
        </w:tc>
        <w:tc>
          <w:tcPr>
            <w:tcW w:w="3839" w:type="pct"/>
          </w:tcPr>
          <w:p w:rsidR="008A74FC" w:rsidRPr="004E675B" w:rsidRDefault="008A74FC" w:rsidP="00472D81">
            <w:pPr>
              <w:spacing w:before="40" w:after="40"/>
              <w:mirrorIndents w:val="0"/>
              <w:rPr>
                <w:sz w:val="22"/>
              </w:rPr>
            </w:pPr>
            <w:r w:rsidRPr="004E675B">
              <w:rPr>
                <w:sz w:val="22"/>
              </w:rPr>
              <w:t>Market surveillance is conducted by GEMS inspectors during visits to retailers, suppliers, importers, and manufacturers to ensure registration and labelling requirements are met. Market surveillance is also conducted to ensure that GEMS products offered for supply on-line meet GEMS registration requirements.</w:t>
            </w:r>
          </w:p>
        </w:tc>
      </w:tr>
      <w:tr w:rsidR="008A74FC" w:rsidRPr="00067101" w:rsidTr="009115F1">
        <w:trPr>
          <w:cnfStyle w:val="000000100000" w:firstRow="0" w:lastRow="0" w:firstColumn="0" w:lastColumn="0" w:oddVBand="0" w:evenVBand="0" w:oddHBand="1" w:evenHBand="0" w:firstRowFirstColumn="0" w:firstRowLastColumn="0" w:lastRowFirstColumn="0" w:lastRowLastColumn="0"/>
        </w:trPr>
        <w:tc>
          <w:tcPr>
            <w:tcW w:w="1161" w:type="pct"/>
          </w:tcPr>
          <w:p w:rsidR="008A74FC" w:rsidRPr="00C743A5" w:rsidRDefault="008A74FC" w:rsidP="00C743A5">
            <w:pPr>
              <w:rPr>
                <w:b/>
                <w:bCs/>
              </w:rPr>
            </w:pPr>
            <w:r w:rsidRPr="00C743A5">
              <w:rPr>
                <w:b/>
                <w:bCs/>
              </w:rPr>
              <w:t>Nature of activities</w:t>
            </w:r>
          </w:p>
        </w:tc>
        <w:tc>
          <w:tcPr>
            <w:tcW w:w="3839" w:type="pct"/>
          </w:tcPr>
          <w:p w:rsidR="008A74FC" w:rsidRPr="004E675B" w:rsidRDefault="008A74FC" w:rsidP="00472D81">
            <w:pPr>
              <w:spacing w:before="40" w:after="40"/>
              <w:mirrorIndents w:val="0"/>
              <w:rPr>
                <w:sz w:val="22"/>
              </w:rPr>
            </w:pPr>
            <w:r w:rsidRPr="004E675B">
              <w:rPr>
                <w:sz w:val="22"/>
              </w:rPr>
              <w:t>The average number of models inspected each year is around 3,500. Recent market surveillance has focussed on ‘consumer’ GEMS products and lighting. Industrial and commercial GEMS products require a more targeted and unique approach for detecting non-compliance as they are rarely supplied in traditional retail environments.</w:t>
            </w:r>
          </w:p>
        </w:tc>
      </w:tr>
      <w:tr w:rsidR="00200229" w:rsidRPr="00067101" w:rsidTr="00200229">
        <w:trPr>
          <w:cnfStyle w:val="000000010000" w:firstRow="0" w:lastRow="0" w:firstColumn="0" w:lastColumn="0" w:oddVBand="0" w:evenVBand="0" w:oddHBand="0" w:evenHBand="1" w:firstRowFirstColumn="0" w:firstRowLastColumn="0" w:lastRowFirstColumn="0" w:lastRowLastColumn="0"/>
        </w:trPr>
        <w:tc>
          <w:tcPr>
            <w:tcW w:w="5000" w:type="pct"/>
            <w:gridSpan w:val="2"/>
          </w:tcPr>
          <w:p w:rsidR="00200229" w:rsidRPr="00C743A5" w:rsidRDefault="00200229" w:rsidP="00C743A5">
            <w:pPr>
              <w:rPr>
                <w:b/>
                <w:bCs/>
              </w:rPr>
            </w:pPr>
            <w:r w:rsidRPr="00C743A5">
              <w:rPr>
                <w:b/>
                <w:bCs/>
              </w:rPr>
              <w:t>Check Testing</w:t>
            </w:r>
          </w:p>
        </w:tc>
      </w:tr>
      <w:tr w:rsidR="00200229" w:rsidRPr="00067101" w:rsidTr="009115F1">
        <w:trPr>
          <w:cnfStyle w:val="000000100000" w:firstRow="0" w:lastRow="0" w:firstColumn="0" w:lastColumn="0" w:oddVBand="0" w:evenVBand="0" w:oddHBand="1" w:evenHBand="0" w:firstRowFirstColumn="0" w:firstRowLastColumn="0" w:lastRowFirstColumn="0" w:lastRowLastColumn="0"/>
        </w:trPr>
        <w:tc>
          <w:tcPr>
            <w:tcW w:w="1161" w:type="pct"/>
          </w:tcPr>
          <w:p w:rsidR="00200229" w:rsidRPr="004E675B" w:rsidRDefault="00200229" w:rsidP="00472D81">
            <w:pPr>
              <w:spacing w:before="40" w:after="40"/>
              <w:ind w:right="-108"/>
              <w:rPr>
                <w:b/>
                <w:sz w:val="22"/>
              </w:rPr>
            </w:pPr>
            <w:r w:rsidRPr="004E675B">
              <w:rPr>
                <w:b/>
                <w:sz w:val="22"/>
              </w:rPr>
              <w:t>Purpose</w:t>
            </w:r>
          </w:p>
        </w:tc>
        <w:tc>
          <w:tcPr>
            <w:tcW w:w="3839" w:type="pct"/>
          </w:tcPr>
          <w:p w:rsidR="00200229" w:rsidRPr="004E675B" w:rsidRDefault="00200229" w:rsidP="00472D81">
            <w:pPr>
              <w:spacing w:before="40" w:after="40"/>
              <w:rPr>
                <w:sz w:val="22"/>
              </w:rPr>
            </w:pPr>
            <w:r w:rsidRPr="004E675B">
              <w:rPr>
                <w:sz w:val="22"/>
              </w:rPr>
              <w:t>Check testing ensures that models of GEMS products meet the relevant GEMS level requirements (or MEPS) and the energy efficiency claims of the supplier.</w:t>
            </w:r>
          </w:p>
        </w:tc>
      </w:tr>
      <w:tr w:rsidR="00200229" w:rsidRPr="00067101" w:rsidTr="009115F1">
        <w:trPr>
          <w:cnfStyle w:val="000000010000" w:firstRow="0" w:lastRow="0" w:firstColumn="0" w:lastColumn="0" w:oddVBand="0" w:evenVBand="0" w:oddHBand="0" w:evenHBand="1" w:firstRowFirstColumn="0" w:firstRowLastColumn="0" w:lastRowFirstColumn="0" w:lastRowLastColumn="0"/>
        </w:trPr>
        <w:tc>
          <w:tcPr>
            <w:tcW w:w="1161" w:type="pct"/>
          </w:tcPr>
          <w:p w:rsidR="00200229" w:rsidRPr="004E675B" w:rsidRDefault="00200229" w:rsidP="00472D81">
            <w:pPr>
              <w:spacing w:before="40" w:after="40"/>
              <w:ind w:right="-108"/>
              <w:rPr>
                <w:b/>
                <w:sz w:val="22"/>
              </w:rPr>
            </w:pPr>
            <w:r w:rsidRPr="004E675B">
              <w:rPr>
                <w:b/>
                <w:sz w:val="22"/>
              </w:rPr>
              <w:t>Nature of activities</w:t>
            </w:r>
          </w:p>
        </w:tc>
        <w:tc>
          <w:tcPr>
            <w:tcW w:w="3839" w:type="pct"/>
          </w:tcPr>
          <w:p w:rsidR="00200229" w:rsidRPr="004E675B" w:rsidRDefault="00200229" w:rsidP="00200229">
            <w:pPr>
              <w:spacing w:before="40" w:after="40"/>
              <w:mirrorIndents w:val="0"/>
              <w:rPr>
                <w:sz w:val="22"/>
              </w:rPr>
            </w:pPr>
            <w:r w:rsidRPr="004E675B">
              <w:rPr>
                <w:sz w:val="22"/>
              </w:rPr>
              <w:t xml:space="preserve">During 2017–2018, the GEMS Regulator completed check tests for 102 models of 13 GEMS products, 95 (93 per cent) met GEMS requirements and seven (13 per cent) failed. </w:t>
            </w:r>
          </w:p>
          <w:p w:rsidR="00200229" w:rsidRPr="004E675B" w:rsidRDefault="00200229" w:rsidP="00200229">
            <w:pPr>
              <w:spacing w:before="40" w:after="40"/>
              <w:mirrorIndents w:val="0"/>
              <w:rPr>
                <w:sz w:val="22"/>
              </w:rPr>
            </w:pPr>
            <w:r w:rsidRPr="004E675B">
              <w:rPr>
                <w:sz w:val="22"/>
              </w:rPr>
              <w:t>In response to the seven failed check tests, the GEMS Regulator:</w:t>
            </w:r>
          </w:p>
          <w:p w:rsidR="00200229" w:rsidRPr="004E675B" w:rsidRDefault="00200229" w:rsidP="00200229">
            <w:pPr>
              <w:pStyle w:val="ListBullet"/>
              <w:spacing w:before="40" w:after="40"/>
              <w:mirrorIndents w:val="0"/>
              <w:rPr>
                <w:sz w:val="22"/>
              </w:rPr>
            </w:pPr>
            <w:r w:rsidRPr="004E675B">
              <w:rPr>
                <w:sz w:val="22"/>
              </w:rPr>
              <w:t>Cancelled the registration of five models</w:t>
            </w:r>
          </w:p>
          <w:p w:rsidR="00200229" w:rsidRPr="004E675B" w:rsidRDefault="00200229" w:rsidP="00200229">
            <w:pPr>
              <w:pStyle w:val="ListBullet"/>
              <w:spacing w:before="40" w:after="40"/>
              <w:mirrorIndents w:val="0"/>
              <w:rPr>
                <w:sz w:val="22"/>
              </w:rPr>
            </w:pPr>
            <w:r w:rsidRPr="004E675B">
              <w:rPr>
                <w:sz w:val="22"/>
              </w:rPr>
              <w:t>Referred the non-compliance of one model to another regulator</w:t>
            </w:r>
          </w:p>
          <w:p w:rsidR="00200229" w:rsidRPr="004E675B" w:rsidRDefault="00200229" w:rsidP="00200229">
            <w:pPr>
              <w:pStyle w:val="ListBullet"/>
              <w:spacing w:before="40" w:after="40"/>
              <w:mirrorIndents w:val="0"/>
              <w:rPr>
                <w:sz w:val="22"/>
              </w:rPr>
            </w:pPr>
            <w:r w:rsidRPr="004E675B">
              <w:rPr>
                <w:sz w:val="22"/>
              </w:rPr>
              <w:t>Took alternative enforcement action for one model.</w:t>
            </w:r>
          </w:p>
          <w:p w:rsidR="00200229" w:rsidRPr="004E675B" w:rsidRDefault="00200229" w:rsidP="00200229">
            <w:pPr>
              <w:spacing w:before="40" w:after="40"/>
              <w:rPr>
                <w:sz w:val="22"/>
              </w:rPr>
            </w:pPr>
            <w:r w:rsidRPr="004E675B">
              <w:rPr>
                <w:sz w:val="22"/>
              </w:rPr>
              <w:t>The GEMS Regulator also accepted two enforceable undertakings where registrants agreed to take specific remedial actions in relation to the non-compliance.</w:t>
            </w:r>
          </w:p>
        </w:tc>
      </w:tr>
    </w:tbl>
    <w:p w:rsidR="00AF1FFA" w:rsidRDefault="00AF1FFA"/>
    <w:p w:rsidR="008A74FC" w:rsidRDefault="008A74FC">
      <w:pPr>
        <w:spacing w:after="0" w:line="240" w:lineRule="auto"/>
        <w:rPr>
          <w:rFonts w:cs="Arial"/>
          <w:b/>
        </w:rPr>
      </w:pPr>
    </w:p>
    <w:p w:rsidR="00217D46" w:rsidRDefault="00217D46" w:rsidP="00217D46">
      <w:pPr>
        <w:pStyle w:val="Heading3"/>
      </w:pPr>
      <w:bookmarkStart w:id="75" w:name="_Toc18661001"/>
      <w:r>
        <w:t>5.4.2</w:t>
      </w:r>
      <w:r>
        <w:tab/>
      </w:r>
      <w:r w:rsidRPr="00B06CE5">
        <w:t xml:space="preserve">GEMS </w:t>
      </w:r>
      <w:r w:rsidR="008C238F" w:rsidRPr="00B06CE5">
        <w:t>compliance resourcing</w:t>
      </w:r>
      <w:bookmarkEnd w:id="75"/>
    </w:p>
    <w:p w:rsidR="006979A5" w:rsidRDefault="00217D46" w:rsidP="006979A5">
      <w:r>
        <w:t>GEMS compliance activities are subject to the same constraints and resource pressures faced by other areas across government and businesses. The GEMS Regulator's compliance team currently has 8.5 permanent staff, located within the Department of the Environment and Energy in Canberra.</w:t>
      </w:r>
      <w:r w:rsidR="00A07611">
        <w:t xml:space="preserve"> </w:t>
      </w:r>
      <w:r w:rsidR="006979A5">
        <w:t>In addition, nine officers from various state governments in Western Australia, Victoria and South Australia are contracted as GEMS inspectors to undertake inspections on a monthly basis and as directed by the GEMS Market Surveillance Annual Plan.</w:t>
      </w:r>
      <w:r w:rsidR="006979A5">
        <w:rPr>
          <w:rStyle w:val="FootnoteReference"/>
          <w:szCs w:val="24"/>
        </w:rPr>
        <w:footnoteReference w:id="20"/>
      </w:r>
      <w:r w:rsidR="006979A5">
        <w:t xml:space="preserve"> These GEMS inspectors are not considered Australian government staff, however they supplement the resources available to the GEMS Regulator for market surveillance. </w:t>
      </w:r>
    </w:p>
    <w:p w:rsidR="00E83FA8" w:rsidRDefault="00E83FA8" w:rsidP="00E83FA8">
      <w:r w:rsidRPr="003630A7">
        <w:t xml:space="preserve">Several submissions </w:t>
      </w:r>
      <w:r>
        <w:t xml:space="preserve">suggested </w:t>
      </w:r>
      <w:r w:rsidRPr="003630A7">
        <w:t>the GEMS Regulator should focus more on compliance monitoring and enforcement (post-market activities) and less on registr</w:t>
      </w:r>
      <w:r>
        <w:t>ation (pre-market activities).</w:t>
      </w:r>
    </w:p>
    <w:p w:rsidR="00E83FA8" w:rsidRPr="009115F1" w:rsidRDefault="00E83FA8" w:rsidP="00E83FA8">
      <w:pPr>
        <w:pStyle w:val="SbQuote"/>
      </w:pPr>
      <w:r w:rsidRPr="009115F1">
        <w:t>The Consumer Electronics Suppliers Association (CESA) is concerned about the lack of overall market place surveillance and enforcement activities relative to the number of registered products. We acknowledge that the Act needs to follow government full cost recovery policy, but as submitted in the CESA response to the GEMS Fees Review, we believe more funds should be directed towards enforcement by further reducing registration administration costs.</w:t>
      </w:r>
    </w:p>
    <w:p w:rsidR="00E83FA8" w:rsidRDefault="00E83FA8" w:rsidP="003442DC">
      <w:pPr>
        <w:pStyle w:val="SbQuoteref"/>
      </w:pPr>
      <w:r w:rsidRPr="00B06CE5">
        <w:t>Consumer Electronics Suppliers Association</w:t>
      </w:r>
      <w:r>
        <w:t xml:space="preserve"> (CESA)</w:t>
      </w:r>
      <w:r w:rsidRPr="00B06CE5">
        <w:t>, 2018</w:t>
      </w:r>
    </w:p>
    <w:p w:rsidR="000D6F1C" w:rsidRDefault="003448CC" w:rsidP="00F740A0">
      <w:r>
        <w:t xml:space="preserve">As discussed in </w:t>
      </w:r>
      <w:r w:rsidR="008C759E" w:rsidRPr="00C743A5">
        <w:rPr>
          <w:b/>
          <w:bCs/>
        </w:rPr>
        <w:t>S</w:t>
      </w:r>
      <w:r w:rsidRPr="00C743A5">
        <w:rPr>
          <w:b/>
          <w:bCs/>
        </w:rPr>
        <w:t>ection 5.3.1</w:t>
      </w:r>
      <w:r w:rsidR="007911DA">
        <w:t xml:space="preserve">, </w:t>
      </w:r>
      <w:r w:rsidR="00E40A47" w:rsidRPr="003630A7">
        <w:t>registration requirements</w:t>
      </w:r>
      <w:r w:rsidR="00E40A47">
        <w:t xml:space="preserve"> </w:t>
      </w:r>
      <w:r w:rsidR="00E40A47" w:rsidRPr="003630A7">
        <w:t xml:space="preserve">are </w:t>
      </w:r>
      <w:r w:rsidR="00E40A47">
        <w:t xml:space="preserve">an </w:t>
      </w:r>
      <w:r w:rsidR="00E40A47" w:rsidRPr="003630A7">
        <w:t xml:space="preserve">essential and effective </w:t>
      </w:r>
      <w:r w:rsidR="00E40A47">
        <w:t>part</w:t>
      </w:r>
      <w:r w:rsidR="00E40A47" w:rsidRPr="003630A7">
        <w:t xml:space="preserve"> of </w:t>
      </w:r>
      <w:r w:rsidR="00E40A47">
        <w:t>a holistic</w:t>
      </w:r>
      <w:r w:rsidR="00E40A47" w:rsidRPr="003630A7">
        <w:t xml:space="preserve"> compliance </w:t>
      </w:r>
      <w:r w:rsidR="00E40A47">
        <w:t>regime</w:t>
      </w:r>
      <w:r w:rsidR="00E40A47" w:rsidRPr="003630A7">
        <w:t xml:space="preserve">. </w:t>
      </w:r>
      <w:r w:rsidR="00E40A47">
        <w:t>Registration</w:t>
      </w:r>
      <w:r w:rsidR="00E40A47" w:rsidRPr="003630A7">
        <w:t xml:space="preserve"> require</w:t>
      </w:r>
      <w:r w:rsidR="00243D5B">
        <w:t>s</w:t>
      </w:r>
      <w:r w:rsidR="00E40A47" w:rsidRPr="003630A7">
        <w:t xml:space="preserve"> suppliers to</w:t>
      </w:r>
      <w:r w:rsidR="00E40A47" w:rsidRPr="00757EEA">
        <w:t xml:space="preserve"> </w:t>
      </w:r>
      <w:r w:rsidR="00E40A47" w:rsidRPr="003630A7">
        <w:t>acknowledge</w:t>
      </w:r>
      <w:r w:rsidR="00E40A47">
        <w:t xml:space="preserve"> that</w:t>
      </w:r>
      <w:r w:rsidR="00E40A47" w:rsidRPr="003630A7">
        <w:t xml:space="preserve"> it may be an offence to provide false or misleading information</w:t>
      </w:r>
      <w:r w:rsidR="00E40A47">
        <w:t>, along with the provision of model data and test data</w:t>
      </w:r>
      <w:r w:rsidR="00E40A47" w:rsidRPr="003630A7">
        <w:t>. Sanctions include suspending or cancelling a model’s registration, publicising the suspension or cancellation, and</w:t>
      </w:r>
      <w:r w:rsidR="00E40A47">
        <w:t xml:space="preserve">/or </w:t>
      </w:r>
      <w:r w:rsidR="00E40A47" w:rsidRPr="003630A7">
        <w:t>criminal charges</w:t>
      </w:r>
      <w:r w:rsidR="00E40A47">
        <w:t>.</w:t>
      </w:r>
      <w:r w:rsidR="00E40A47" w:rsidRPr="003630A7">
        <w:rPr>
          <w:rStyle w:val="FootnoteReference"/>
          <w:szCs w:val="24"/>
        </w:rPr>
        <w:footnoteReference w:id="21"/>
      </w:r>
      <w:r w:rsidR="00E40A47">
        <w:t xml:space="preserve"> </w:t>
      </w:r>
      <w:r>
        <w:t>While</w:t>
      </w:r>
      <w:r w:rsidR="00E40A47">
        <w:t xml:space="preserve"> registration requirements on their own do not guarantee</w:t>
      </w:r>
      <w:r>
        <w:t xml:space="preserve"> compliance</w:t>
      </w:r>
      <w:r w:rsidR="00E31CC3">
        <w:t>,</w:t>
      </w:r>
      <w:r>
        <w:t xml:space="preserve"> they do increase</w:t>
      </w:r>
      <w:r w:rsidR="00E40A47">
        <w:t xml:space="preserve"> the likelihood regulated entities will comply.</w:t>
      </w:r>
      <w:r w:rsidR="00A07611">
        <w:t xml:space="preserve"> </w:t>
      </w:r>
      <w:r w:rsidR="00E31CC3">
        <w:t>A</w:t>
      </w:r>
      <w:r w:rsidR="000D6F1C">
        <w:t xml:space="preserve"> number of steps are already being</w:t>
      </w:r>
      <w:r w:rsidR="0014183A">
        <w:t>,</w:t>
      </w:r>
      <w:r w:rsidR="000D6F1C">
        <w:t xml:space="preserve"> or could be</w:t>
      </w:r>
      <w:r w:rsidR="0014183A">
        <w:t>,</w:t>
      </w:r>
      <w:r w:rsidR="000D6F1C">
        <w:t xml:space="preserve"> considered in relation to the resources available for post market compliance</w:t>
      </w:r>
      <w:r w:rsidR="00CB1555">
        <w:t>, including:</w:t>
      </w:r>
    </w:p>
    <w:p w:rsidR="007911DA" w:rsidRPr="000D6F1C" w:rsidRDefault="00CB1555" w:rsidP="003E1283">
      <w:pPr>
        <w:pStyle w:val="ListBullet"/>
        <w:ind w:hanging="426"/>
        <w:rPr>
          <w:b/>
          <w:i/>
        </w:rPr>
      </w:pPr>
      <w:r>
        <w:t>G</w:t>
      </w:r>
      <w:r w:rsidR="007911DA" w:rsidRPr="007911DA">
        <w:t xml:space="preserve">iven the importance of engagement and education activities, additional resources are being </w:t>
      </w:r>
      <w:r w:rsidR="00512C0C">
        <w:t xml:space="preserve">reallocated from </w:t>
      </w:r>
      <w:r w:rsidR="00DF5F5C">
        <w:t>registration</w:t>
      </w:r>
      <w:r w:rsidR="00512C0C">
        <w:t xml:space="preserve"> to compliance </w:t>
      </w:r>
      <w:r w:rsidR="007911DA" w:rsidRPr="007911DA">
        <w:t>to develop educational materials and improve the public profile of compliance.</w:t>
      </w:r>
      <w:r w:rsidR="000D6F1C">
        <w:t xml:space="preserve"> </w:t>
      </w:r>
    </w:p>
    <w:p w:rsidR="00E40A47" w:rsidRDefault="00CB1555" w:rsidP="003E1283">
      <w:pPr>
        <w:pStyle w:val="ListBullet"/>
        <w:ind w:hanging="426"/>
      </w:pPr>
      <w:r>
        <w:t>A</w:t>
      </w:r>
      <w:r w:rsidR="00E40A47">
        <w:t>s part of the GEMS Fees Review, the GEMS Regulator undertook staff time and work surveys in both the registration and compliance functions. Efficiencies identified in the delivery of registrations services were applied as part of the GEMS Fees Review</w:t>
      </w:r>
      <w:r w:rsidR="00E31CC3">
        <w:t xml:space="preserve"> and </w:t>
      </w:r>
      <w:r w:rsidR="00E40A47">
        <w:t>could also be extended and considered in regards to compliance functions.</w:t>
      </w:r>
    </w:p>
    <w:p w:rsidR="00067101" w:rsidRDefault="00544DC7" w:rsidP="00F740A0">
      <w:r>
        <w:t xml:space="preserve">Submissions also suggested resources should be </w:t>
      </w:r>
      <w:r w:rsidR="00243D5B">
        <w:t>redirected</w:t>
      </w:r>
      <w:r>
        <w:t xml:space="preserve"> to enable and support a</w:t>
      </w:r>
      <w:r w:rsidRPr="003630A7">
        <w:t xml:space="preserve"> more comprehensive post-market </w:t>
      </w:r>
      <w:r>
        <w:t>compliance</w:t>
      </w:r>
      <w:r w:rsidRPr="003630A7">
        <w:t xml:space="preserve"> regime.</w:t>
      </w:r>
      <w:r>
        <w:t xml:space="preserve"> </w:t>
      </w:r>
    </w:p>
    <w:p w:rsidR="00481C55" w:rsidRPr="009115F1" w:rsidRDefault="00481C55" w:rsidP="00481C55">
      <w:pPr>
        <w:pStyle w:val="SbQuote"/>
        <w:rPr>
          <w:lang w:eastAsia="en-AU"/>
        </w:rPr>
      </w:pPr>
      <w:r w:rsidRPr="009115F1">
        <w:rPr>
          <w:lang w:eastAsia="en-AU"/>
        </w:rPr>
        <w:t>AREMA strongly supports robust and active compliance and enforcement action… We would propose that there is a significant ramping up of compliance efforts going forward…</w:t>
      </w:r>
    </w:p>
    <w:p w:rsidR="00481C55" w:rsidRPr="00BD0D26" w:rsidRDefault="00481C55" w:rsidP="00481C55">
      <w:pPr>
        <w:pStyle w:val="SbQuoteref"/>
      </w:pPr>
      <w:r w:rsidRPr="00BD0D26">
        <w:t>Air Conditioning and Refrigeration Equipment Manufacturers Association (AREMA)</w:t>
      </w:r>
      <w:r>
        <w:t>, 2018</w:t>
      </w:r>
    </w:p>
    <w:p w:rsidR="00067101" w:rsidRPr="009115F1" w:rsidRDefault="00481C55" w:rsidP="004E675B">
      <w:pPr>
        <w:pStyle w:val="SbQuote"/>
      </w:pPr>
      <w:r w:rsidRPr="009115F1">
        <w:rPr>
          <w:rFonts w:cs="Arial"/>
        </w:rPr>
        <w:lastRenderedPageBreak/>
        <w:t>...</w:t>
      </w:r>
      <w:r w:rsidR="00067101" w:rsidRPr="009115F1">
        <w:t>the enforcement team do a great job with the limited funding provided to them</w:t>
      </w:r>
      <w:r w:rsidRPr="009115F1">
        <w:t>…</w:t>
      </w:r>
    </w:p>
    <w:p w:rsidR="00067101" w:rsidRPr="00B06CE5" w:rsidRDefault="00067101" w:rsidP="00067101">
      <w:pPr>
        <w:pStyle w:val="SbQuoteref"/>
      </w:pPr>
      <w:r w:rsidRPr="00B06CE5">
        <w:t>Consumer Electronics Suppliers Association</w:t>
      </w:r>
      <w:r>
        <w:t xml:space="preserve"> (CESA)</w:t>
      </w:r>
      <w:r w:rsidRPr="00B06CE5">
        <w:t>, 2018</w:t>
      </w:r>
    </w:p>
    <w:p w:rsidR="00544DC7" w:rsidRPr="004E675B" w:rsidRDefault="00544DC7" w:rsidP="00F7725D">
      <w:r>
        <w:t>The team currently working on the range of compliance activities is relatively small given the breadth of the products covered and the rang</w:t>
      </w:r>
      <w:r w:rsidR="007911DA">
        <w:t xml:space="preserve">e of activities which are </w:t>
      </w:r>
      <w:r>
        <w:t>undertaken. As the GEMS Program is expanded to include more products with gr</w:t>
      </w:r>
      <w:r w:rsidR="002D3A65">
        <w:t>eater diversity</w:t>
      </w:r>
      <w:r w:rsidR="00E31CC3">
        <w:t>,</w:t>
      </w:r>
      <w:r w:rsidR="002D3A65">
        <w:t xml:space="preserve"> and therefore </w:t>
      </w:r>
      <w:r w:rsidR="007911DA">
        <w:t xml:space="preserve">increased </w:t>
      </w:r>
      <w:r w:rsidR="002D3A65">
        <w:t xml:space="preserve">complexity, the demands on the compliance team are likely to increase. In order to maintain and further develop a robust compliance regime, consideration should be given to the appropriate level of </w:t>
      </w:r>
      <w:r w:rsidR="002D3A65" w:rsidRPr="00243D5B">
        <w:t xml:space="preserve">resourcing. </w:t>
      </w:r>
    </w:p>
    <w:p w:rsidR="001157E0" w:rsidRDefault="00243D5B" w:rsidP="00A97A0F">
      <w:r>
        <w:t>Robust and effective compliance underpins the success of the GEMS Act. In order to continue the current success of the GEMS regulatory framework, compliance will need to be an ongoing priority.</w:t>
      </w:r>
    </w:p>
    <w:p w:rsidR="00E40A47" w:rsidRPr="002150B0" w:rsidRDefault="008417C3" w:rsidP="003442DC">
      <w:pPr>
        <w:pStyle w:val="RecHead"/>
      </w:pPr>
      <w:r w:rsidRPr="002150B0">
        <w:t>RECOMMENDATION</w:t>
      </w:r>
      <w:r w:rsidR="00D477E6">
        <w:t xml:space="preserve"> </w:t>
      </w:r>
      <w:r w:rsidR="007A0763">
        <w:t>1</w:t>
      </w:r>
      <w:r w:rsidR="0042578E">
        <w:t>9</w:t>
      </w:r>
    </w:p>
    <w:p w:rsidR="002150B0" w:rsidRPr="00C743A5" w:rsidRDefault="00544DC7" w:rsidP="00C743A5">
      <w:pPr>
        <w:rPr>
          <w:b/>
          <w:bCs/>
        </w:rPr>
      </w:pPr>
      <w:r w:rsidRPr="00C743A5">
        <w:rPr>
          <w:b/>
          <w:bCs/>
        </w:rPr>
        <w:t>The GEMS R</w:t>
      </w:r>
      <w:r w:rsidR="002150B0" w:rsidRPr="00C743A5">
        <w:rPr>
          <w:b/>
          <w:bCs/>
        </w:rPr>
        <w:t xml:space="preserve">egulator to identify </w:t>
      </w:r>
      <w:r w:rsidR="005258D0" w:rsidRPr="00C743A5">
        <w:rPr>
          <w:b/>
          <w:bCs/>
        </w:rPr>
        <w:t xml:space="preserve">further </w:t>
      </w:r>
      <w:r w:rsidR="002150B0" w:rsidRPr="00C743A5">
        <w:rPr>
          <w:b/>
          <w:bCs/>
        </w:rPr>
        <w:t>efficiencies and opportunities to allocate additional resources to GEMS compliance functions.</w:t>
      </w:r>
    </w:p>
    <w:p w:rsidR="002150B0" w:rsidRPr="002150B0" w:rsidRDefault="00D477E6" w:rsidP="003442DC">
      <w:pPr>
        <w:pStyle w:val="RecHead"/>
      </w:pPr>
      <w:r>
        <w:t xml:space="preserve">RECOMMENDATION </w:t>
      </w:r>
      <w:r w:rsidR="0042578E">
        <w:t>20</w:t>
      </w:r>
    </w:p>
    <w:p w:rsidR="002150B0" w:rsidRPr="00C743A5" w:rsidRDefault="002150B0" w:rsidP="00C743A5">
      <w:pPr>
        <w:rPr>
          <w:b/>
          <w:bCs/>
        </w:rPr>
      </w:pPr>
      <w:r w:rsidRPr="00C743A5">
        <w:rPr>
          <w:b/>
          <w:bCs/>
        </w:rPr>
        <w:t>The Commonwealth Government allocate additional resources to further strengthen GEMS compliance activities.</w:t>
      </w:r>
    </w:p>
    <w:p w:rsidR="00E40A47" w:rsidRPr="00B06CE5" w:rsidRDefault="00F1389E" w:rsidP="002150B0">
      <w:pPr>
        <w:pStyle w:val="Heading3"/>
      </w:pPr>
      <w:bookmarkStart w:id="76" w:name="_Toc18661002"/>
      <w:r>
        <w:t>5.4.3</w:t>
      </w:r>
      <w:r w:rsidR="00B44994">
        <w:tab/>
      </w:r>
      <w:r w:rsidR="00E40A47" w:rsidRPr="00B06CE5">
        <w:t xml:space="preserve">Compliance </w:t>
      </w:r>
      <w:r w:rsidR="008C238F" w:rsidRPr="00B06CE5">
        <w:t>monitoring approach</w:t>
      </w:r>
      <w:bookmarkEnd w:id="76"/>
    </w:p>
    <w:p w:rsidR="00E40A47" w:rsidRDefault="00E40A47" w:rsidP="00F740A0">
      <w:r w:rsidRPr="003630A7">
        <w:t>Whil</w:t>
      </w:r>
      <w:r w:rsidR="001157E0">
        <w:t>e</w:t>
      </w:r>
      <w:r w:rsidRPr="003630A7">
        <w:t xml:space="preserve"> the requirements of the GEMS Act apply to all regulated entities, it is impossible to ensure every model of every GEMS product </w:t>
      </w:r>
      <w:r>
        <w:t>is compliant</w:t>
      </w:r>
      <w:r w:rsidRPr="003630A7">
        <w:t>. As such, the GEMS Regulator uses an intelligence</w:t>
      </w:r>
      <w:r>
        <w:t>-</w:t>
      </w:r>
      <w:r w:rsidRPr="003630A7">
        <w:t>led, risk</w:t>
      </w:r>
      <w:r>
        <w:t>-</w:t>
      </w:r>
      <w:r w:rsidRPr="003630A7">
        <w:t xml:space="preserve">based approach to target GEMS products and models more likely to fail to meet GEMS requirements. </w:t>
      </w:r>
      <w:r>
        <w:t>T</w:t>
      </w:r>
      <w:r w:rsidR="001C65D2">
        <w:t>he GEMS Regulator recognises</w:t>
      </w:r>
      <w:r w:rsidRPr="003630A7">
        <w:t xml:space="preserve"> the importance of maintaining a </w:t>
      </w:r>
      <w:r>
        <w:t>‘</w:t>
      </w:r>
      <w:r w:rsidRPr="003630A7">
        <w:t>level playing field</w:t>
      </w:r>
      <w:r>
        <w:t>’</w:t>
      </w:r>
      <w:r w:rsidRPr="003630A7">
        <w:t xml:space="preserve"> and ensuring those entities suspected of intentionally contravening the </w:t>
      </w:r>
      <w:r w:rsidR="00DF6C62">
        <w:t xml:space="preserve">GEMS </w:t>
      </w:r>
      <w:r w:rsidRPr="003630A7">
        <w:t>Act are monitored and appropri</w:t>
      </w:r>
      <w:r>
        <w:t>ately sanctioned.</w:t>
      </w:r>
    </w:p>
    <w:p w:rsidR="00E40A47" w:rsidRPr="00B06CE5" w:rsidRDefault="00E40A47" w:rsidP="00F740A0">
      <w:pPr>
        <w:pStyle w:val="Heading4"/>
      </w:pPr>
      <w:r w:rsidRPr="00B06CE5">
        <w:t>Industry Involvement in GEMS Compliance Activities</w:t>
      </w:r>
    </w:p>
    <w:p w:rsidR="00E40A47" w:rsidRDefault="00E40A47" w:rsidP="00F740A0">
      <w:r w:rsidRPr="003630A7">
        <w:t xml:space="preserve">Several submissions suggested industry should be more involved in GEMS compliance monitoring activities. </w:t>
      </w:r>
      <w:r>
        <w:t>I</w:t>
      </w:r>
      <w:r w:rsidRPr="003630A7">
        <w:t>nformation provided by industry participants already contributes to the intelligence</w:t>
      </w:r>
      <w:r>
        <w:t>-</w:t>
      </w:r>
      <w:r w:rsidRPr="003630A7">
        <w:t>led, risk</w:t>
      </w:r>
      <w:r>
        <w:t>-</w:t>
      </w:r>
      <w:r w:rsidRPr="003630A7">
        <w:t>based approach</w:t>
      </w:r>
      <w:r w:rsidR="001C65D2">
        <w:t xml:space="preserve">. The </w:t>
      </w:r>
      <w:r w:rsidRPr="003630A7">
        <w:t xml:space="preserve">GEMS </w:t>
      </w:r>
      <w:r w:rsidR="001C65D2">
        <w:t>Regulator has</w:t>
      </w:r>
      <w:r w:rsidRPr="003630A7">
        <w:t xml:space="preserve"> </w:t>
      </w:r>
      <w:r>
        <w:t>already responded to this industry suggestion.</w:t>
      </w:r>
      <w:r w:rsidR="004C5332">
        <w:t xml:space="preserve"> </w:t>
      </w:r>
      <w:r>
        <w:t>Several meeting</w:t>
      </w:r>
      <w:r w:rsidR="00A267DC">
        <w:t>s</w:t>
      </w:r>
      <w:r>
        <w:t xml:space="preserve"> with in</w:t>
      </w:r>
      <w:r w:rsidRPr="003630A7">
        <w:t>dustry bodies and pa</w:t>
      </w:r>
      <w:r>
        <w:t>rticipants have been convened to discuss how this collaboration should proceed and further meetings are planned.</w:t>
      </w:r>
    </w:p>
    <w:p w:rsidR="009B000A" w:rsidRDefault="00EE2676" w:rsidP="00E20B61">
      <w:pPr>
        <w:pStyle w:val="Heading4"/>
      </w:pPr>
      <w:r>
        <w:t>Assessment of the Impact of Non-Compliance</w:t>
      </w:r>
    </w:p>
    <w:p w:rsidR="005C08C0" w:rsidRDefault="005C08C0" w:rsidP="00562F48">
      <w:r w:rsidRPr="005C08C0">
        <w:t>One submission suggested that analysis on the impact to the program of unregistered product and non-conforming product would be useful. An assessment of the impact of non-compliance could only be possible were the GEMS Regulator to have a complete picture of the number of instances of and extent of non-compliance. Surveillance for registration compliance is carried out via online and physical inspections. The GEMS Regulator’s approach upon becoming aware of registration non-compliance, is to bring those entities into compliance. Where there is resistance to compliance, enforcement responses are considered. Targeted check testing aims to identify those suppliers most at risk of non-compliance</w:t>
      </w:r>
      <w:r w:rsidR="00750270">
        <w:t>,</w:t>
      </w:r>
      <w:r w:rsidR="00750270" w:rsidRPr="00750270">
        <w:rPr>
          <w:rFonts w:cs="Arial"/>
          <w:szCs w:val="20"/>
        </w:rPr>
        <w:t xml:space="preserve"> </w:t>
      </w:r>
      <w:r w:rsidR="00750270" w:rsidRPr="00750270">
        <w:t>which may include recently registered products</w:t>
      </w:r>
      <w:r w:rsidRPr="005C08C0">
        <w:t>. Stakeholders are encouraged to assist by bringing instances of registration non-compliance or issues of G</w:t>
      </w:r>
      <w:r w:rsidR="00750270">
        <w:t>EMS level or GEMS labelling non</w:t>
      </w:r>
      <w:r w:rsidR="00750270">
        <w:noBreakHyphen/>
      </w:r>
      <w:r w:rsidRPr="005C08C0">
        <w:t>compliance to the GEMS Regulator’s attention.</w:t>
      </w:r>
    </w:p>
    <w:p w:rsidR="00E40A47" w:rsidRPr="00B06CE5" w:rsidRDefault="00E40A47" w:rsidP="00562F48">
      <w:pPr>
        <w:pStyle w:val="Heading4"/>
      </w:pPr>
      <w:r w:rsidRPr="00B06CE5">
        <w:t>Preliminary Testing</w:t>
      </w:r>
    </w:p>
    <w:p w:rsidR="00E40A47" w:rsidRPr="002825D7" w:rsidRDefault="00E40A47" w:rsidP="00562F48">
      <w:r>
        <w:t>Some i</w:t>
      </w:r>
      <w:r w:rsidRPr="002825D7">
        <w:t xml:space="preserve">ndustry </w:t>
      </w:r>
      <w:r>
        <w:t xml:space="preserve">submissions </w:t>
      </w:r>
      <w:r w:rsidRPr="002825D7">
        <w:t>suggested that greater use could be made of preliminary inexpensive testing methods to increase the overall number of check tests.</w:t>
      </w:r>
    </w:p>
    <w:p w:rsidR="00E40A47" w:rsidRPr="009115F1" w:rsidRDefault="00C4098D">
      <w:pPr>
        <w:pStyle w:val="SbQuote"/>
      </w:pPr>
      <w:r w:rsidRPr="009115F1">
        <w:lastRenderedPageBreak/>
        <w:t>...</w:t>
      </w:r>
      <w:r w:rsidR="00E40A47" w:rsidRPr="009115F1">
        <w:t>indicative testing of lighting products should be undertaken using inexpensive testing apparatus.</w:t>
      </w:r>
      <w:r w:rsidR="004C5332" w:rsidRPr="009115F1">
        <w:t xml:space="preserve"> </w:t>
      </w:r>
      <w:r w:rsidR="00E40A47" w:rsidRPr="009115F1">
        <w:t>Where a product fails to meet a requirement by a clear margin, say 20 per cent, then it may be appropriate to impose an obligation on the supplier to fund independent testing of that product.</w:t>
      </w:r>
    </w:p>
    <w:p w:rsidR="00E40A47" w:rsidRPr="002825D7" w:rsidRDefault="00E40A47">
      <w:pPr>
        <w:pStyle w:val="SbQuoteref"/>
      </w:pPr>
      <w:r w:rsidRPr="002825D7">
        <w:t>Lighting Council</w:t>
      </w:r>
      <w:r w:rsidR="00750270">
        <w:t xml:space="preserve"> of</w:t>
      </w:r>
      <w:r w:rsidRPr="002825D7">
        <w:t xml:space="preserve"> Australia</w:t>
      </w:r>
      <w:r w:rsidR="00F7725D">
        <w:t xml:space="preserve"> (LCA)</w:t>
      </w:r>
      <w:r w:rsidRPr="002825D7">
        <w:t>, 2018</w:t>
      </w:r>
    </w:p>
    <w:p w:rsidR="00DF6C62" w:rsidRPr="004E675B" w:rsidRDefault="00E40A47" w:rsidP="00F740A0">
      <w:r w:rsidRPr="00A97A0F">
        <w:t>Undertaking a higher number of tests on light products could be achieved with the relatively inexpensive LightSpion light testing suitcase</w:t>
      </w:r>
      <w:r w:rsidRPr="004E675B">
        <w:t xml:space="preserve">. </w:t>
      </w:r>
      <w:r w:rsidR="001C65D2" w:rsidRPr="004E675B">
        <w:t>The LightSpion could be used by the GEMS Regulator to assist in identifying potential models to target for the check testing process as a further means of providing greater f</w:t>
      </w:r>
      <w:r w:rsidR="00556F3B" w:rsidRPr="004E675B">
        <w:t>ocus to compliance activities.</w:t>
      </w:r>
    </w:p>
    <w:p w:rsidR="00E40A47" w:rsidRDefault="002A7F24" w:rsidP="00F740A0">
      <w:r w:rsidRPr="004E675B">
        <w:t>Further use of</w:t>
      </w:r>
      <w:r w:rsidR="00DF6C62" w:rsidRPr="004E675B">
        <w:t xml:space="preserve"> prelim</w:t>
      </w:r>
      <w:r w:rsidR="00E31CC3">
        <w:t>in</w:t>
      </w:r>
      <w:r w:rsidR="00DF6C62" w:rsidRPr="004E675B">
        <w:t>ary testing, including the use of the</w:t>
      </w:r>
      <w:r w:rsidRPr="00A97A0F">
        <w:t xml:space="preserve"> LightSpion, </w:t>
      </w:r>
      <w:r w:rsidRPr="004E675B">
        <w:t>as part of Stage</w:t>
      </w:r>
      <w:r w:rsidR="00E31CC3">
        <w:t> </w:t>
      </w:r>
      <w:r w:rsidRPr="004E675B">
        <w:t xml:space="preserve">1 check testing would be outside current industry accepted practices and would require consultation with industry as discussed in </w:t>
      </w:r>
      <w:r w:rsidR="008C759E" w:rsidRPr="00C743A5">
        <w:rPr>
          <w:b/>
          <w:bCs/>
        </w:rPr>
        <w:t>S</w:t>
      </w:r>
      <w:r w:rsidRPr="00C743A5">
        <w:rPr>
          <w:b/>
          <w:bCs/>
        </w:rPr>
        <w:t>ection 5.4.5</w:t>
      </w:r>
      <w:r w:rsidRPr="004E675B">
        <w:t xml:space="preserve"> below.</w:t>
      </w:r>
      <w:r w:rsidR="00E40A47" w:rsidRPr="004E675B">
        <w:t xml:space="preserve"> </w:t>
      </w:r>
    </w:p>
    <w:p w:rsidR="00E40A47" w:rsidRPr="008627BB" w:rsidRDefault="00E40A47" w:rsidP="00C07210">
      <w:pPr>
        <w:pStyle w:val="Heading4"/>
      </w:pPr>
      <w:r w:rsidRPr="008627BB">
        <w:t>Use of External Data</w:t>
      </w:r>
    </w:p>
    <w:p w:rsidR="00E40A47" w:rsidRDefault="00E40A47" w:rsidP="00F740A0">
      <w:r w:rsidRPr="008627BB">
        <w:t>Industry also suggested the GEMS Regulator collect and analyse data related to the importation of GEMS products to assist with streamlining compliance monitoring and enforcement activities. This approach has been used to identify three phase cage induction motors contained in imported equipment and machinery.</w:t>
      </w:r>
      <w:r w:rsidR="004C5332">
        <w:t xml:space="preserve"> </w:t>
      </w:r>
      <w:r w:rsidRPr="008627BB">
        <w:t>The use of importation dat</w:t>
      </w:r>
      <w:r w:rsidR="001C65D2">
        <w:t>a should continue and the GEMS R</w:t>
      </w:r>
      <w:r w:rsidRPr="008627BB">
        <w:t xml:space="preserve">egulator </w:t>
      </w:r>
      <w:r w:rsidR="001C65D2">
        <w:t xml:space="preserve">should </w:t>
      </w:r>
      <w:r w:rsidRPr="008627BB">
        <w:t>continue to work with government and industry on ways to improve the correlation of import codes with GEMS products.</w:t>
      </w:r>
    </w:p>
    <w:p w:rsidR="007C27B8" w:rsidRDefault="007C27B8" w:rsidP="00F740A0">
      <w:r>
        <w:t>The use of data analytics was also suggested as a way of identifying faulty and inefficient products in the field</w:t>
      </w:r>
      <w:r w:rsidR="00750270" w:rsidRPr="00750270">
        <w:rPr>
          <w:rFonts w:cs="Arial"/>
          <w:szCs w:val="20"/>
        </w:rPr>
        <w:t xml:space="preserve"> </w:t>
      </w:r>
      <w:r w:rsidR="00750270" w:rsidRPr="00750270">
        <w:t>which may include recently registered products</w:t>
      </w:r>
      <w:r>
        <w:t xml:space="preserve">. The GEMS Regulator should continue to monitor </w:t>
      </w:r>
      <w:r w:rsidR="009B000A">
        <w:t>the market and where possible</w:t>
      </w:r>
      <w:r w:rsidR="00433219">
        <w:t>,</w:t>
      </w:r>
      <w:r w:rsidR="009B000A">
        <w:t xml:space="preserve"> and practical</w:t>
      </w:r>
      <w:r w:rsidR="00433219">
        <w:t>,</w:t>
      </w:r>
      <w:r w:rsidR="009B000A">
        <w:t xml:space="preserve"> make use of emerging technologies where they can assist with the identification of potentially non-conforming GEMS products.</w:t>
      </w:r>
    </w:p>
    <w:p w:rsidR="002A7F24" w:rsidRPr="00C70F24" w:rsidRDefault="002A7F24" w:rsidP="003442DC">
      <w:pPr>
        <w:pStyle w:val="RecHead"/>
      </w:pPr>
      <w:r w:rsidRPr="00C70F24">
        <w:t>RECOMMENDATION</w:t>
      </w:r>
      <w:r w:rsidR="00D477E6">
        <w:t xml:space="preserve"> </w:t>
      </w:r>
      <w:r w:rsidR="006F12A4">
        <w:t>2</w:t>
      </w:r>
      <w:r w:rsidR="0042578E">
        <w:t>1</w:t>
      </w:r>
    </w:p>
    <w:p w:rsidR="002A7F24" w:rsidRPr="00C743A5" w:rsidRDefault="002A7F24" w:rsidP="00C743A5">
      <w:pPr>
        <w:rPr>
          <w:b/>
          <w:bCs/>
        </w:rPr>
      </w:pPr>
      <w:r w:rsidRPr="00C743A5">
        <w:rPr>
          <w:b/>
          <w:bCs/>
        </w:rPr>
        <w:t xml:space="preserve">The GEMS Regulator continue to explore </w:t>
      </w:r>
      <w:r w:rsidR="005258D0" w:rsidRPr="00C743A5">
        <w:rPr>
          <w:b/>
          <w:bCs/>
        </w:rPr>
        <w:t xml:space="preserve">new </w:t>
      </w:r>
      <w:r w:rsidRPr="00C743A5">
        <w:rPr>
          <w:b/>
          <w:bCs/>
        </w:rPr>
        <w:t>ways to target compliance activities including through collaboration with industry stakeholders.</w:t>
      </w:r>
    </w:p>
    <w:p w:rsidR="00E40A47" w:rsidRPr="00A24A02" w:rsidRDefault="00F1389E" w:rsidP="00F740A0">
      <w:pPr>
        <w:pStyle w:val="Heading3"/>
      </w:pPr>
      <w:bookmarkStart w:id="77" w:name="_Toc18661003"/>
      <w:r>
        <w:t>5.4.4</w:t>
      </w:r>
      <w:r w:rsidR="00B44994">
        <w:tab/>
      </w:r>
      <w:r w:rsidR="00E40A47" w:rsidRPr="00A24A02">
        <w:t xml:space="preserve">Penalties and </w:t>
      </w:r>
      <w:r w:rsidR="008C238F">
        <w:t>r</w:t>
      </w:r>
      <w:r w:rsidR="008C238F" w:rsidRPr="00A24A02">
        <w:t>eporting</w:t>
      </w:r>
      <w:bookmarkEnd w:id="77"/>
    </w:p>
    <w:p w:rsidR="00E40A47" w:rsidRPr="00A24A02" w:rsidRDefault="00E40A47" w:rsidP="00562F48">
      <w:r w:rsidRPr="00A24A02">
        <w:t xml:space="preserve">The GEMS Act provides the GEMS Regulator with educative, administrative, civil, and criminal enforcement response options. In determining the appropriate response, the GEMS </w:t>
      </w:r>
      <w:r w:rsidR="00A267DC">
        <w:t>R</w:t>
      </w:r>
      <w:r w:rsidRPr="00A24A02">
        <w:t>egulator considers a regulated entity’s compliance history, behaviour, motivation, and intention; and, is proportiona</w:t>
      </w:r>
      <w:r w:rsidR="00A267DC">
        <w:t>te to the risk posed by the non</w:t>
      </w:r>
      <w:r w:rsidR="00A267DC">
        <w:noBreakHyphen/>
      </w:r>
      <w:r w:rsidRPr="00A24A02">
        <w:t>compliance. Responses under</w:t>
      </w:r>
      <w:r w:rsidR="00225942">
        <w:t xml:space="preserve"> the GEMS</w:t>
      </w:r>
      <w:r w:rsidRPr="00A24A02">
        <w:t xml:space="preserve"> Act include:</w:t>
      </w:r>
    </w:p>
    <w:p w:rsidR="00E40A47" w:rsidRPr="00A24A02" w:rsidRDefault="00E40A47" w:rsidP="00413D7F">
      <w:pPr>
        <w:pStyle w:val="ListBullet"/>
        <w:ind w:hanging="426"/>
      </w:pPr>
      <w:r w:rsidRPr="00A24A02">
        <w:t>suspending a model’s registration</w:t>
      </w:r>
      <w:r w:rsidR="00D0354D">
        <w:t>.</w:t>
      </w:r>
    </w:p>
    <w:p w:rsidR="00E40A47" w:rsidRPr="00A24A02" w:rsidRDefault="00E40A47" w:rsidP="00413D7F">
      <w:pPr>
        <w:pStyle w:val="ListBullet"/>
        <w:ind w:hanging="426"/>
      </w:pPr>
      <w:r w:rsidRPr="00A24A02">
        <w:t>cancelling a model’s registration</w:t>
      </w:r>
      <w:r w:rsidR="00D0354D">
        <w:t>.</w:t>
      </w:r>
    </w:p>
    <w:p w:rsidR="00E40A47" w:rsidRPr="00A24A02" w:rsidRDefault="00E40A47" w:rsidP="00413D7F">
      <w:pPr>
        <w:pStyle w:val="ListBullet"/>
        <w:ind w:hanging="426"/>
      </w:pPr>
      <w:r w:rsidRPr="00A24A02">
        <w:t>enforceable undertakings</w:t>
      </w:r>
      <w:r w:rsidR="00D0354D">
        <w:t>.</w:t>
      </w:r>
    </w:p>
    <w:p w:rsidR="00E40A47" w:rsidRPr="00A24A02" w:rsidRDefault="00E40A47" w:rsidP="00413D7F">
      <w:pPr>
        <w:pStyle w:val="ListBullet"/>
        <w:ind w:hanging="426"/>
      </w:pPr>
      <w:r w:rsidRPr="00A24A02">
        <w:t>infringement notices</w:t>
      </w:r>
      <w:r w:rsidR="00D0354D">
        <w:t>.</w:t>
      </w:r>
    </w:p>
    <w:p w:rsidR="00E40A47" w:rsidRPr="00A24A02" w:rsidRDefault="00E40A47" w:rsidP="00413D7F">
      <w:pPr>
        <w:pStyle w:val="ListBullet"/>
        <w:ind w:hanging="426"/>
      </w:pPr>
      <w:r w:rsidRPr="00A24A02">
        <w:t>civil penalty orders</w:t>
      </w:r>
      <w:r w:rsidR="00D0354D">
        <w:t>.</w:t>
      </w:r>
    </w:p>
    <w:p w:rsidR="00E40A47" w:rsidRPr="00A24A02" w:rsidRDefault="00E40A47" w:rsidP="00413D7F">
      <w:pPr>
        <w:pStyle w:val="ListBullet"/>
        <w:ind w:hanging="426"/>
      </w:pPr>
      <w:r w:rsidRPr="00A24A02">
        <w:t>injunctions.</w:t>
      </w:r>
    </w:p>
    <w:p w:rsidR="00E40A47" w:rsidRPr="00A24A02" w:rsidRDefault="00E40A47" w:rsidP="00F740A0">
      <w:r w:rsidRPr="00A24A02">
        <w:t>The GEMS Act also allows the GEMS Regulator to publicise details relating to enforcement responses including the names of registrants and the model numbers of GEMS products.</w:t>
      </w:r>
    </w:p>
    <w:p w:rsidR="00DF6C62" w:rsidRDefault="00EB6929" w:rsidP="00F740A0">
      <w:r>
        <w:t>Stakeholders</w:t>
      </w:r>
      <w:r w:rsidRPr="00A24A02">
        <w:t xml:space="preserve"> </w:t>
      </w:r>
      <w:r w:rsidR="00E40A47" w:rsidRPr="00A24A02">
        <w:t>ha</w:t>
      </w:r>
      <w:r>
        <w:t>ve</w:t>
      </w:r>
      <w:r w:rsidR="00E40A47" w:rsidRPr="00A24A02">
        <w:t xml:space="preserve"> suggested the penalties imposed by the GEMS Regulator to date are insufficient to deter non-compliance.</w:t>
      </w:r>
      <w:r w:rsidR="004C5332">
        <w:t xml:space="preserve"> </w:t>
      </w:r>
    </w:p>
    <w:p w:rsidR="00E40A47" w:rsidRPr="00A24A02" w:rsidRDefault="00E40A47" w:rsidP="00F740A0">
      <w:r w:rsidRPr="00A24A02">
        <w:lastRenderedPageBreak/>
        <w:t xml:space="preserve">Currently, the GEMS Act allows for significant monetary penalties. For example, the penalty for contravention of </w:t>
      </w:r>
      <w:r w:rsidR="005619A1">
        <w:t>S</w:t>
      </w:r>
      <w:r w:rsidRPr="00A24A02">
        <w:t>ection 17, supplying an unregistered model, is 60</w:t>
      </w:r>
      <w:r w:rsidR="00BA0379">
        <w:t> </w:t>
      </w:r>
      <w:r w:rsidRPr="00A24A02">
        <w:t>penalty</w:t>
      </w:r>
      <w:r w:rsidR="00BA0379">
        <w:t> </w:t>
      </w:r>
      <w:r w:rsidRPr="00A24A02">
        <w:t>units. One penalty unit equates to $210, as such, 60 units would result in a $12,600 penalty. Section 142(2) of the Act also allows a separate contravention for each day the contravention occurs. As a result the penalties could rapidly multiply if the contravention is not rectified immediately.</w:t>
      </w:r>
    </w:p>
    <w:p w:rsidR="00E40A47" w:rsidRDefault="00E40A47" w:rsidP="00F740A0">
      <w:r w:rsidRPr="00A24A02">
        <w:t xml:space="preserve">Additionally, </w:t>
      </w:r>
      <w:r w:rsidR="002214DB">
        <w:t xml:space="preserve">by </w:t>
      </w:r>
      <w:r w:rsidRPr="00A24A02">
        <w:t>cancelling or suspending a model’s GEMS registration and requiring the cessation of supply, the GEMS Act imposes significant commercial penalties via lost revenue and disposal costs.</w:t>
      </w:r>
    </w:p>
    <w:p w:rsidR="0016071B" w:rsidRPr="004E675B" w:rsidRDefault="0016071B" w:rsidP="004E675B">
      <w:r w:rsidRPr="004E675B">
        <w:t>The GEMS Regulator is committed to assisting regulated entities to understand the requirements of the GEMS Act, monitoring compliance with the requirements and actively pursuing those who opportunistically or deliberately contravene the Act.</w:t>
      </w:r>
    </w:p>
    <w:p w:rsidR="00DF6C62" w:rsidRDefault="00444722" w:rsidP="0016071B">
      <w:r>
        <w:t>While</w:t>
      </w:r>
      <w:r w:rsidRPr="004E675B">
        <w:t xml:space="preserve"> </w:t>
      </w:r>
      <w:r w:rsidR="00EB6929">
        <w:t>stakeholders</w:t>
      </w:r>
      <w:r w:rsidR="00EB6929" w:rsidRPr="004E675B">
        <w:t xml:space="preserve"> </w:t>
      </w:r>
      <w:r w:rsidR="0016071B" w:rsidRPr="004E675B">
        <w:t>ha</w:t>
      </w:r>
      <w:r w:rsidR="00EB6929">
        <w:t>ve</w:t>
      </w:r>
      <w:r w:rsidR="0016071B" w:rsidRPr="004E675B">
        <w:t xml:space="preserve"> suggested the penalties imposed by the GEMS Regulator have been insufficient to deter non-compliance, all enforcement responses have considered a regulated entity’s history, behaviour, motivation, and intention and have been proportionate to the risk posed by the non-compliance. </w:t>
      </w:r>
    </w:p>
    <w:p w:rsidR="00E83FA8" w:rsidRDefault="00DF6C62" w:rsidP="0016071B">
      <w:r w:rsidRPr="00A97A0F">
        <w:t xml:space="preserve">Following the efforts of the GEMS </w:t>
      </w:r>
      <w:r w:rsidR="00331543">
        <w:t>R</w:t>
      </w:r>
      <w:r w:rsidRPr="00A97A0F">
        <w:t xml:space="preserve">egulator and the GEMS compliance team, </w:t>
      </w:r>
      <w:r w:rsidRPr="004E675B">
        <w:t xml:space="preserve">systems are in place to </w:t>
      </w:r>
      <w:r w:rsidRPr="00836D1D">
        <w:t xml:space="preserve">facilitate the range of compliance activities allowed under the GEMS Act. </w:t>
      </w:r>
      <w:r w:rsidR="00836D1D" w:rsidRPr="003442DC">
        <w:t xml:space="preserve">As such, resources previously dedicated to the development of systems and processes are likely to be reallocated to focus </w:t>
      </w:r>
      <w:r w:rsidR="002214DB">
        <w:t>on</w:t>
      </w:r>
      <w:r w:rsidR="002214DB" w:rsidRPr="003442DC">
        <w:t xml:space="preserve"> </w:t>
      </w:r>
      <w:r w:rsidR="00836D1D" w:rsidRPr="003442DC">
        <w:t>enforcement.</w:t>
      </w:r>
    </w:p>
    <w:p w:rsidR="00E40A47" w:rsidRPr="005011A4" w:rsidRDefault="00E40A47" w:rsidP="00F740A0">
      <w:pPr>
        <w:pStyle w:val="Heading3"/>
        <w:rPr>
          <w:i/>
        </w:rPr>
      </w:pPr>
      <w:bookmarkStart w:id="78" w:name="_Toc518817686"/>
      <w:bookmarkStart w:id="79" w:name="_Toc18661004"/>
      <w:r w:rsidRPr="005011A4">
        <w:t>5.4.</w:t>
      </w:r>
      <w:r w:rsidR="00F1389E">
        <w:t>5</w:t>
      </w:r>
      <w:r w:rsidRPr="005011A4">
        <w:tab/>
        <w:t xml:space="preserve">Two </w:t>
      </w:r>
      <w:r w:rsidR="008C238F">
        <w:t>s</w:t>
      </w:r>
      <w:r w:rsidR="008C238F" w:rsidRPr="005011A4">
        <w:t xml:space="preserve">tage </w:t>
      </w:r>
      <w:r w:rsidR="008C238F">
        <w:t>c</w:t>
      </w:r>
      <w:r w:rsidR="008C238F" w:rsidRPr="005011A4">
        <w:t xml:space="preserve">heck </w:t>
      </w:r>
      <w:r w:rsidR="008C238F">
        <w:t>t</w:t>
      </w:r>
      <w:r w:rsidR="008C238F" w:rsidRPr="005011A4">
        <w:t>esting</w:t>
      </w:r>
      <w:bookmarkEnd w:id="78"/>
      <w:bookmarkEnd w:id="79"/>
    </w:p>
    <w:p w:rsidR="00E40A47" w:rsidRPr="00F740A0" w:rsidRDefault="00193CB8" w:rsidP="00F740A0">
      <w:r w:rsidRPr="00C743A5">
        <w:rPr>
          <w:b/>
          <w:bCs/>
        </w:rPr>
        <w:t xml:space="preserve">Box </w:t>
      </w:r>
      <w:r w:rsidR="007253C5" w:rsidRPr="00C743A5">
        <w:rPr>
          <w:b/>
          <w:bCs/>
        </w:rPr>
        <w:t>5</w:t>
      </w:r>
      <w:r w:rsidR="00E40A47" w:rsidRPr="00F740A0">
        <w:t xml:space="preserve"> set</w:t>
      </w:r>
      <w:r>
        <w:t>s</w:t>
      </w:r>
      <w:r w:rsidR="00E40A47" w:rsidRPr="00F740A0">
        <w:t xml:space="preserve"> out the two stage check testing process undertaken by the GEMS Regulator and </w:t>
      </w:r>
      <w:r w:rsidR="002138EE">
        <w:t xml:space="preserve">the paragraphs following Box 5 </w:t>
      </w:r>
      <w:r w:rsidR="00E40A47" w:rsidRPr="00F740A0">
        <w:t xml:space="preserve">outline the difficulty in applying this approach in two particular instances: </w:t>
      </w:r>
    </w:p>
    <w:p w:rsidR="00E40A47" w:rsidRPr="00F740A0" w:rsidRDefault="00E40A47" w:rsidP="008A7FC0">
      <w:pPr>
        <w:pStyle w:val="ListParagraph"/>
        <w:numPr>
          <w:ilvl w:val="0"/>
          <w:numId w:val="19"/>
        </w:numPr>
        <w:ind w:left="426" w:hanging="284"/>
      </w:pPr>
      <w:r w:rsidRPr="00F740A0">
        <w:t>short market life products</w:t>
      </w:r>
      <w:r w:rsidR="00D0354D">
        <w:t>;</w:t>
      </w:r>
      <w:r w:rsidRPr="00F740A0">
        <w:t xml:space="preserve"> and</w:t>
      </w:r>
    </w:p>
    <w:p w:rsidR="00E40A47" w:rsidRPr="00F740A0" w:rsidRDefault="00E40A47" w:rsidP="008A7FC0">
      <w:pPr>
        <w:pStyle w:val="ListParagraph"/>
        <w:numPr>
          <w:ilvl w:val="0"/>
          <w:numId w:val="19"/>
        </w:numPr>
        <w:ind w:left="426" w:hanging="284"/>
      </w:pPr>
      <w:r w:rsidRPr="00F740A0">
        <w:t>unique and bespoke products.</w:t>
      </w:r>
    </w:p>
    <w:p w:rsidR="00413D7F" w:rsidRDefault="00E40A47" w:rsidP="00F740A0">
      <w:r w:rsidRPr="00F740A0">
        <w:t xml:space="preserve">The two stage check testing process is used to assist in determining whether a registered model of a GEMS product meets the requirements of the relevant GEMS determination. From a legislative perspective, the GEMS Regulator is permitted to require a registrant to either apply to cancel the registration of the model or arrange for further testing and examination of products if the </w:t>
      </w:r>
      <w:r w:rsidR="0070263D">
        <w:t xml:space="preserve">GEMS </w:t>
      </w:r>
      <w:r w:rsidRPr="00F740A0">
        <w:t>Regulator considers, that the model in question does not comply with the relevant determination. The Stage 1 check test provides a robust basis to infor</w:t>
      </w:r>
      <w:r w:rsidR="00225942">
        <w:t xml:space="preserve">m the GEMS Regulator and the </w:t>
      </w:r>
      <w:r w:rsidRPr="00F740A0">
        <w:t xml:space="preserve">justification to require the registrant to apply to cancel the registration or conduct the Stage 2 check test. </w:t>
      </w:r>
    </w:p>
    <w:p w:rsidR="007253C5" w:rsidRDefault="002F301D" w:rsidP="00413D7F">
      <w:r>
        <w:rPr>
          <w:noProof/>
          <w:lang w:eastAsia="en-AU"/>
        </w:rPr>
        <w:lastRenderedPageBreak/>
        <mc:AlternateContent>
          <mc:Choice Requires="wps">
            <w:drawing>
              <wp:anchor distT="45720" distB="45720" distL="114300" distR="114300" simplePos="0" relativeHeight="251662848" behindDoc="0" locked="0" layoutInCell="1" allowOverlap="1">
                <wp:simplePos x="0" y="0"/>
                <wp:positionH relativeFrom="column">
                  <wp:posOffset>-13970</wp:posOffset>
                </wp:positionH>
                <wp:positionV relativeFrom="paragraph">
                  <wp:posOffset>712470</wp:posOffset>
                </wp:positionV>
                <wp:extent cx="5924550" cy="5567045"/>
                <wp:effectExtent l="0" t="0" r="19050" b="8255"/>
                <wp:wrapTopAndBottom/>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4550" cy="5567045"/>
                        </a:xfrm>
                        <a:prstGeom prst="rect">
                          <a:avLst/>
                        </a:prstGeom>
                        <a:solidFill>
                          <a:srgbClr val="FFFFFF"/>
                        </a:solidFill>
                        <a:ln w="9525">
                          <a:solidFill>
                            <a:srgbClr val="000000"/>
                          </a:solidFill>
                          <a:miter lim="800000"/>
                          <a:headEnd/>
                          <a:tailEnd/>
                        </a:ln>
                      </wps:spPr>
                      <wps:txbx>
                        <w:txbxContent>
                          <w:p w:rsidR="00646A05" w:rsidRPr="00950F33" w:rsidRDefault="00646A05" w:rsidP="00562F48">
                            <w:pPr>
                              <w:rPr>
                                <w:b/>
                              </w:rPr>
                            </w:pPr>
                            <w:r w:rsidRPr="00950F33">
                              <w:rPr>
                                <w:b/>
                              </w:rPr>
                              <w:t>Box 5: The two stage check testing process</w:t>
                            </w:r>
                          </w:p>
                          <w:p w:rsidR="00646A05" w:rsidRDefault="00646A05" w:rsidP="00562F48">
                            <w:r>
                              <w:t xml:space="preserve">Check testing refers to the activities undertaken by the GEMS Regulator to ensure that models meet the performance and labelling requirements set out in relevant GEMS determinations. The following summarises the stage 1 and 2 process taken from the GEMS Check Testing Policy.  </w:t>
                            </w:r>
                          </w:p>
                          <w:p w:rsidR="00646A05" w:rsidRDefault="00646A05" w:rsidP="00562F48">
                            <w:r w:rsidRPr="00950F33">
                              <w:rPr>
                                <w:b/>
                              </w:rPr>
                              <w:t>Stage 1:</w:t>
                            </w:r>
                            <w:r>
                              <w:t xml:space="preserve"> Usually a single product is tested to check it meets the requirements of the relevant GEMS determination. However, for some products (for example, lamps) a single product is not considered representative of the model. In these situations the relevant determination will specify how many products will be tested.</w:t>
                            </w:r>
                          </w:p>
                          <w:p w:rsidR="00646A05" w:rsidRDefault="00646A05" w:rsidP="008A7FC0">
                            <w:pPr>
                              <w:pStyle w:val="ListParagraph"/>
                              <w:numPr>
                                <w:ilvl w:val="0"/>
                                <w:numId w:val="36"/>
                              </w:numPr>
                              <w:ind w:left="426" w:hanging="426"/>
                            </w:pPr>
                            <w:r>
                              <w:t xml:space="preserve">If the product meets the requirements of the GEMS determination, the GEMS Regulator notifies the registrant and no further action is taken. </w:t>
                            </w:r>
                          </w:p>
                          <w:p w:rsidR="00646A05" w:rsidRDefault="00646A05" w:rsidP="008A7FC0">
                            <w:pPr>
                              <w:pStyle w:val="ListParagraph"/>
                              <w:numPr>
                                <w:ilvl w:val="0"/>
                                <w:numId w:val="35"/>
                              </w:numPr>
                              <w:ind w:left="426" w:hanging="426"/>
                            </w:pPr>
                            <w:r>
                              <w:t>If the product does not meet the requirements of the GEMS determination, the registrant will be notified; supplied with the check test results; and given an opportunity to provide information for the GEMS Regulator to consider in deciding whether to issue a notice under section 61 of the GEMS Act. A section 61 notice requires that the registrant either elect to cancel the registration of the model or arrange for Stage 2 check testing at the registrant’s expense.</w:t>
                            </w:r>
                          </w:p>
                          <w:p w:rsidR="00646A05" w:rsidRDefault="00646A05" w:rsidP="00562F48">
                            <w:r w:rsidRPr="00950F33">
                              <w:rPr>
                                <w:b/>
                              </w:rPr>
                              <w:t>Stage 2:</w:t>
                            </w:r>
                            <w:r>
                              <w:t xml:space="preserve">  If the registrant believes that the results of the Stage 1 check test do not accurately reflect the model, then the registrant may arrange for Stage 2 check testing at the registrant’s expense in accordance with the section 61 notice. The notice details, amongst other requirements; how products will be selected, how many products will be selected, and where the products will be tested. For products such as lamps, two or three products are not considered representative of the model. In these situations, the GEMS Regulator will determine how many products will be tested.</w:t>
                            </w:r>
                          </w:p>
                          <w:p w:rsidR="00646A05" w:rsidRDefault="00646A05" w:rsidP="008A7FC0">
                            <w:pPr>
                              <w:pStyle w:val="ListParagraph"/>
                              <w:numPr>
                                <w:ilvl w:val="0"/>
                                <w:numId w:val="37"/>
                              </w:numPr>
                              <w:ind w:left="426" w:hanging="426"/>
                            </w:pPr>
                            <w:r>
                              <w:t>If the test results reveal that the products meet the requirements of the GEMS determination, then the model passes. The GEMS Regulator notifies the registrant and no further action is taken.</w:t>
                            </w:r>
                          </w:p>
                          <w:p w:rsidR="00646A05" w:rsidRDefault="00646A05" w:rsidP="008A7FC0">
                            <w:pPr>
                              <w:pStyle w:val="ListParagraph"/>
                              <w:numPr>
                                <w:ilvl w:val="0"/>
                                <w:numId w:val="38"/>
                              </w:numPr>
                              <w:ind w:left="426" w:hanging="426"/>
                            </w:pPr>
                            <w:r>
                              <w:t>If the test results reveal that the products do not meet the requirements of the GEMS determination, then the GEMS Regulator may suspend (under section 49 of the GEMS Act) or cancel (under section 54 of the GEMS Act) the model’s registration. The GEMS Regulator may also consider additional enforcement responses.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8" type="#_x0000_t202" style="position:absolute;margin-left:-1.1pt;margin-top:56.1pt;width:466.5pt;height:438.3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">
                <v:path arrowok="t"/>
                <v:textbox>
                  <w:txbxContent>
                    <w:p w:rsidR="00646A05" w:rsidRPr="00950F33" w:rsidRDefault="00646A05" w:rsidP="00562F48">
                      <w:pPr>
                        <w:rPr>
                          <w:b/>
                        </w:rPr>
                      </w:pPr>
                      <w:r w:rsidRPr="00950F33">
                        <w:rPr>
                          <w:b/>
                        </w:rPr>
                        <w:t>Box 5: The two stage check testing process</w:t>
                      </w:r>
                    </w:p>
                    <w:p w:rsidR="00646A05" w:rsidRDefault="00646A05" w:rsidP="00562F48">
                      <w:r>
                        <w:t xml:space="preserve">Check testing refers to the activities undertaken by the GEMS Regulator to ensure that models meet the performance and labelling requirements set out in relevant GEMS determinations. The following summarises the stage 1 and 2 process taken from the GEMS Check Testing Policy.  </w:t>
                      </w:r>
                    </w:p>
                    <w:p w:rsidR="00646A05" w:rsidRDefault="00646A05" w:rsidP="00562F48">
                      <w:r w:rsidRPr="00950F33">
                        <w:rPr>
                          <w:b/>
                        </w:rPr>
                        <w:t>Stage 1:</w:t>
                      </w:r>
                      <w:r>
                        <w:t xml:space="preserve"> Usually a single product is tested to check it meets the requirements of the relevant GEMS determination. However, for some products (for example, lamps) a single product is not considered representative of the model. In these situations the relevant determination will specify how many products will be tested.</w:t>
                      </w:r>
                    </w:p>
                    <w:p w:rsidR="00646A05" w:rsidRDefault="00646A05" w:rsidP="008A7FC0">
                      <w:pPr>
                        <w:pStyle w:val="ListParagraph"/>
                        <w:numPr>
                          <w:ilvl w:val="0"/>
                          <w:numId w:val="36"/>
                        </w:numPr>
                        <w:ind w:left="426" w:hanging="426"/>
                      </w:pPr>
                      <w:r>
                        <w:t xml:space="preserve">If the product meets the requirements of the GEMS determination, the GEMS Regulator notifies the registrant and no further action is taken. </w:t>
                      </w:r>
                    </w:p>
                    <w:p w:rsidR="00646A05" w:rsidRDefault="00646A05" w:rsidP="008A7FC0">
                      <w:pPr>
                        <w:pStyle w:val="ListParagraph"/>
                        <w:numPr>
                          <w:ilvl w:val="0"/>
                          <w:numId w:val="35"/>
                        </w:numPr>
                        <w:ind w:left="426" w:hanging="426"/>
                      </w:pPr>
                      <w:r>
                        <w:t>If the product does not meet the requirements of the GEMS determination, the registrant will be notified; supplied with the check test results; and given an opportunity to provide information for the GEMS Regulator to consider in deciding whether to issue a notice under section 61 of the GEMS Act. A section 61 notice requires that the registrant either elect to cancel the registration of the model or arrange for Stage 2 check testing at the registrant’s expense.</w:t>
                      </w:r>
                    </w:p>
                    <w:p w:rsidR="00646A05" w:rsidRDefault="00646A05" w:rsidP="00562F48">
                      <w:r w:rsidRPr="00950F33">
                        <w:rPr>
                          <w:b/>
                        </w:rPr>
                        <w:t>Stage 2:</w:t>
                      </w:r>
                      <w:r>
                        <w:t xml:space="preserve">  If the registrant believes that the results of the Stage 1 check test do not accurately reflect the model, then the registrant may arrange for Stage 2 check testing at the registrant’s expense in accordance with the section 61 notice. The notice details, amongst other requirements; how products will be selected, how many products will be selected, and where the products will be tested. For products such as lamps, two or three products are not considered representative of the model. In these situations, the GEMS Regulator will determine how many products will be tested.</w:t>
                      </w:r>
                    </w:p>
                    <w:p w:rsidR="00646A05" w:rsidRDefault="00646A05" w:rsidP="008A7FC0">
                      <w:pPr>
                        <w:pStyle w:val="ListParagraph"/>
                        <w:numPr>
                          <w:ilvl w:val="0"/>
                          <w:numId w:val="37"/>
                        </w:numPr>
                        <w:ind w:left="426" w:hanging="426"/>
                      </w:pPr>
                      <w:r>
                        <w:t>If the test results reveal that the products meet the requirements of the GEMS determination, then the model passes. The GEMS Regulator notifies the registrant and no further action is taken.</w:t>
                      </w:r>
                    </w:p>
                    <w:p w:rsidR="00646A05" w:rsidRDefault="00646A05" w:rsidP="008A7FC0">
                      <w:pPr>
                        <w:pStyle w:val="ListParagraph"/>
                        <w:numPr>
                          <w:ilvl w:val="0"/>
                          <w:numId w:val="38"/>
                        </w:numPr>
                        <w:ind w:left="426" w:hanging="426"/>
                      </w:pPr>
                      <w:r>
                        <w:t>If the test results reveal that the products do not meet the requirements of the GEMS determination, then the GEMS Regulator may suspend (under section 49 of the GEMS Act) or cancel (under section 54 of the GEMS Act) the model’s registration. The GEMS Regulator may also consider additional enforcement responses.</w:t>
                      </w:r>
                    </w:p>
                  </w:txbxContent>
                </v:textbox>
                <w10:wrap type="topAndBottom"/>
              </v:shape>
            </w:pict>
          </mc:Fallback>
        </mc:AlternateContent>
      </w:r>
      <w:r w:rsidR="00E40A47" w:rsidRPr="00F740A0">
        <w:t xml:space="preserve">The two stage testing process aims to achieve the appropriate balance between timely enforcement action, ensuring decisions </w:t>
      </w:r>
      <w:r w:rsidR="00225942">
        <w:t xml:space="preserve">are </w:t>
      </w:r>
      <w:r w:rsidR="00E40A47" w:rsidRPr="00F740A0">
        <w:t xml:space="preserve">defendable and made </w:t>
      </w:r>
      <w:r w:rsidR="00225942">
        <w:t>on a sound basis through a rigo</w:t>
      </w:r>
      <w:r w:rsidR="00E40A47" w:rsidRPr="00F740A0">
        <w:t>r</w:t>
      </w:r>
      <w:r w:rsidR="00225942">
        <w:t>ou</w:t>
      </w:r>
      <w:r w:rsidR="00E40A47" w:rsidRPr="00F740A0">
        <w:t>s</w:t>
      </w:r>
      <w:r w:rsidR="00225942">
        <w:t xml:space="preserve"> process</w:t>
      </w:r>
      <w:r w:rsidR="00E40A47" w:rsidRPr="00F740A0">
        <w:t xml:space="preserve">, and </w:t>
      </w:r>
      <w:r w:rsidR="00E40A47" w:rsidRPr="00240A12">
        <w:t>ensuring procedural fairness</w:t>
      </w:r>
      <w:r w:rsidR="00E40A47" w:rsidRPr="00F740A0">
        <w:t>.</w:t>
      </w:r>
    </w:p>
    <w:p w:rsidR="00E40A47" w:rsidRPr="001875E6" w:rsidRDefault="00E40A47" w:rsidP="00F740A0">
      <w:pPr>
        <w:pStyle w:val="Heading4"/>
      </w:pPr>
      <w:bookmarkStart w:id="80" w:name="_Toc518817687"/>
      <w:r w:rsidRPr="00240A12">
        <w:t>Short market life products</w:t>
      </w:r>
      <w:bookmarkEnd w:id="80"/>
    </w:p>
    <w:p w:rsidR="00E40A47" w:rsidRDefault="00EB6929" w:rsidP="00F740A0">
      <w:r>
        <w:t>The issue for short market life GEMS products is that the two stage check testing process can be lengthy</w:t>
      </w:r>
      <w:r w:rsidR="00E40A47">
        <w:t xml:space="preserve">. Acquiring products, testing the requirements mandated in determinations and standards, liaising with registrants, and ensuring procedural fairness can </w:t>
      </w:r>
      <w:r w:rsidR="00E40A47" w:rsidRPr="00EC114E">
        <w:t xml:space="preserve">take between </w:t>
      </w:r>
      <w:r w:rsidR="00EC114E" w:rsidRPr="00EC114E">
        <w:t xml:space="preserve">21 </w:t>
      </w:r>
      <w:r w:rsidR="00E40A47" w:rsidRPr="00EC114E">
        <w:t xml:space="preserve">and </w:t>
      </w:r>
      <w:r w:rsidR="00EC114E" w:rsidRPr="00EC114E">
        <w:t>480 days</w:t>
      </w:r>
      <w:r w:rsidR="002214DB">
        <w:t>, depending on the product and the Stage 1 outcome.</w:t>
      </w:r>
    </w:p>
    <w:p w:rsidR="00E40A47" w:rsidRDefault="00E40A47" w:rsidP="00F740A0">
      <w:r w:rsidRPr="009B4D6A">
        <w:t xml:space="preserve">This issue </w:t>
      </w:r>
      <w:r w:rsidR="009B4D6A" w:rsidRPr="009B4D6A">
        <w:t>has been raised in relation to lighting products.</w:t>
      </w:r>
      <w:r w:rsidRPr="009B4D6A">
        <w:t xml:space="preserve"> For example, self-ballasted compact fluorescent lamps </w:t>
      </w:r>
      <w:r w:rsidR="009B4D6A" w:rsidRPr="009B4D6A">
        <w:t xml:space="preserve">have a </w:t>
      </w:r>
      <w:r w:rsidRPr="009B4D6A">
        <w:t>minimu</w:t>
      </w:r>
      <w:r w:rsidR="009B4D6A" w:rsidRPr="009B4D6A">
        <w:t xml:space="preserve">m lumen maintenance </w:t>
      </w:r>
      <w:r w:rsidRPr="009B4D6A">
        <w:t>measured at 2,000</w:t>
      </w:r>
      <w:r w:rsidR="000876BF">
        <w:t> </w:t>
      </w:r>
      <w:r w:rsidRPr="009B4D6A">
        <w:t>hours (83 days) an</w:t>
      </w:r>
      <w:r w:rsidR="009B4D6A" w:rsidRPr="009B4D6A">
        <w:t>d 5,000 hours (206 days), and a</w:t>
      </w:r>
      <w:r w:rsidRPr="009B4D6A">
        <w:t xml:space="preserve"> minimum life is measured at 6,000</w:t>
      </w:r>
      <w:r w:rsidR="000876BF">
        <w:t> </w:t>
      </w:r>
      <w:r w:rsidRPr="009B4D6A">
        <w:t>hours (250 days).</w:t>
      </w:r>
    </w:p>
    <w:p w:rsidR="00E40A47" w:rsidRPr="003630A7" w:rsidRDefault="00E40A47" w:rsidP="00F740A0">
      <w:r>
        <w:t>Using the intellige</w:t>
      </w:r>
      <w:r w:rsidR="004817AB">
        <w:t>nce-led, risk-</w:t>
      </w:r>
      <w:r>
        <w:t>based approach, t</w:t>
      </w:r>
      <w:r w:rsidRPr="003630A7">
        <w:t xml:space="preserve">he GEMS Regulator </w:t>
      </w:r>
      <w:r>
        <w:t xml:space="preserve">already </w:t>
      </w:r>
      <w:r w:rsidRPr="003630A7">
        <w:t xml:space="preserve">prioritises the testing of </w:t>
      </w:r>
      <w:r>
        <w:t>compliance requirements</w:t>
      </w:r>
      <w:r w:rsidRPr="003630A7">
        <w:t xml:space="preserve"> </w:t>
      </w:r>
      <w:r w:rsidR="00A267DC">
        <w:t>where there is a history of non</w:t>
      </w:r>
      <w:r w:rsidR="00A267DC">
        <w:noBreakHyphen/>
      </w:r>
      <w:r w:rsidRPr="003630A7">
        <w:t xml:space="preserve">compliance. </w:t>
      </w:r>
      <w:r>
        <w:t xml:space="preserve">Where this </w:t>
      </w:r>
      <w:r w:rsidR="001157E0">
        <w:t xml:space="preserve">does </w:t>
      </w:r>
      <w:r>
        <w:t>n</w:t>
      </w:r>
      <w:r w:rsidR="001157E0">
        <w:t>o</w:t>
      </w:r>
      <w:r>
        <w:t>t include minimum life testing, the</w:t>
      </w:r>
      <w:r w:rsidRPr="003630A7">
        <w:t xml:space="preserve"> targeted </w:t>
      </w:r>
      <w:r>
        <w:t xml:space="preserve">approach </w:t>
      </w:r>
      <w:r w:rsidRPr="003630A7">
        <w:t>already reduce</w:t>
      </w:r>
      <w:r>
        <w:t>s</w:t>
      </w:r>
      <w:r w:rsidRPr="003630A7">
        <w:t xml:space="preserve"> the time</w:t>
      </w:r>
      <w:r>
        <w:t xml:space="preserve"> required for check testing.</w:t>
      </w:r>
    </w:p>
    <w:p w:rsidR="00E40A47" w:rsidRPr="00B81EB7" w:rsidRDefault="00E40A47" w:rsidP="00F740A0">
      <w:pPr>
        <w:pStyle w:val="Heading4"/>
      </w:pPr>
      <w:r w:rsidRPr="00B81EB7">
        <w:lastRenderedPageBreak/>
        <w:t>Unique and bespoke products</w:t>
      </w:r>
    </w:p>
    <w:p w:rsidR="00E40A47" w:rsidRDefault="00E40A47" w:rsidP="00F740A0">
      <w:r w:rsidRPr="003630A7">
        <w:t xml:space="preserve">Industry </w:t>
      </w:r>
      <w:r>
        <w:t>also suggests that</w:t>
      </w:r>
      <w:r w:rsidRPr="003630A7">
        <w:t xml:space="preserve"> the two stage check testing process does not work for unique and bespoke GEMS products and suggested </w:t>
      </w:r>
      <w:r>
        <w:t>the GEMS Regulator work</w:t>
      </w:r>
      <w:r w:rsidRPr="003630A7">
        <w:t xml:space="preserve"> close</w:t>
      </w:r>
      <w:r w:rsidR="001157E0">
        <w:t>r</w:t>
      </w:r>
      <w:r w:rsidRPr="003630A7">
        <w:t xml:space="preserve"> with industr</w:t>
      </w:r>
      <w:r>
        <w:t xml:space="preserve">y to develop a workable and effective solution. </w:t>
      </w:r>
    </w:p>
    <w:p w:rsidR="00E40A47" w:rsidRDefault="00E40A47" w:rsidP="00F740A0">
      <w:r>
        <w:t>In lieu of the two stage process, industry s</w:t>
      </w:r>
      <w:r w:rsidRPr="003630A7">
        <w:t>uggestions included a</w:t>
      </w:r>
      <w:r>
        <w:t xml:space="preserve"> one stage</w:t>
      </w:r>
      <w:r w:rsidRPr="003630A7">
        <w:t xml:space="preserve"> formal, expert energy performance assessment comprising</w:t>
      </w:r>
      <w:r>
        <w:t xml:space="preserve">, for example, </w:t>
      </w:r>
      <w:r w:rsidRPr="003630A7">
        <w:t>a visual inspection and a review of product literature, certifications, and registration information.</w:t>
      </w:r>
      <w:r>
        <w:t xml:space="preserve"> </w:t>
      </w:r>
      <w:r w:rsidRPr="003630A7">
        <w:t xml:space="preserve">The results of the assessment would be provided to and discussed with the registrant </w:t>
      </w:r>
      <w:r w:rsidR="00331543">
        <w:t>with</w:t>
      </w:r>
      <w:r w:rsidR="00331543" w:rsidRPr="003630A7">
        <w:t xml:space="preserve"> </w:t>
      </w:r>
      <w:r w:rsidRPr="003630A7">
        <w:t>agreement reached before a</w:t>
      </w:r>
      <w:r>
        <w:t xml:space="preserve">ny compliance action taken. </w:t>
      </w:r>
    </w:p>
    <w:p w:rsidR="00E40A47" w:rsidRDefault="00E40A47" w:rsidP="00F740A0">
      <w:r>
        <w:t>However, a</w:t>
      </w:r>
      <w:r w:rsidRPr="0076073B">
        <w:t xml:space="preserve">ny changes to the Stage 1 and </w:t>
      </w:r>
      <w:r>
        <w:t xml:space="preserve">Stage </w:t>
      </w:r>
      <w:r w:rsidRPr="0076073B">
        <w:t>2 check testing process</w:t>
      </w:r>
      <w:r>
        <w:t xml:space="preserve"> to accommodate short market life or bespoke products</w:t>
      </w:r>
      <w:r w:rsidRPr="0076073B">
        <w:t xml:space="preserve"> must be </w:t>
      </w:r>
      <w:r>
        <w:t>developed in consultation</w:t>
      </w:r>
      <w:r w:rsidRPr="0076073B">
        <w:t xml:space="preserve"> with the </w:t>
      </w:r>
      <w:r>
        <w:t xml:space="preserve">relevant </w:t>
      </w:r>
      <w:r w:rsidRPr="0076073B">
        <w:t>industry</w:t>
      </w:r>
      <w:r>
        <w:t xml:space="preserve"> participants</w:t>
      </w:r>
      <w:r w:rsidRPr="0076073B">
        <w:t xml:space="preserve">. </w:t>
      </w:r>
    </w:p>
    <w:p w:rsidR="00E40A47" w:rsidRPr="001D2B3A" w:rsidRDefault="008417C3" w:rsidP="003442DC">
      <w:pPr>
        <w:pStyle w:val="RecHead"/>
      </w:pPr>
      <w:r w:rsidRPr="001D2B3A">
        <w:t xml:space="preserve">RECOMMENDATION </w:t>
      </w:r>
      <w:r w:rsidR="007A0763">
        <w:t>2</w:t>
      </w:r>
      <w:r w:rsidR="0042578E">
        <w:t>2</w:t>
      </w:r>
    </w:p>
    <w:p w:rsidR="00C07210" w:rsidRPr="00C743A5" w:rsidRDefault="00C07210" w:rsidP="00C743A5">
      <w:pPr>
        <w:rPr>
          <w:b/>
          <w:bCs/>
        </w:rPr>
      </w:pPr>
      <w:r w:rsidRPr="00C743A5">
        <w:rPr>
          <w:b/>
          <w:bCs/>
        </w:rPr>
        <w:t>The GEMS Regulator engage with industry stakeholders on alternative check testing methods that ensure fairness, transparency, and integrity</w:t>
      </w:r>
      <w:r w:rsidR="001D2B3A" w:rsidRPr="00C743A5">
        <w:rPr>
          <w:b/>
          <w:bCs/>
        </w:rPr>
        <w:t>.</w:t>
      </w:r>
    </w:p>
    <w:p w:rsidR="001D2B3A" w:rsidRPr="001D2B3A" w:rsidRDefault="00D477E6" w:rsidP="003442DC">
      <w:pPr>
        <w:pStyle w:val="RecHead"/>
      </w:pPr>
      <w:r>
        <w:t xml:space="preserve">RECOMMENDATION </w:t>
      </w:r>
      <w:r w:rsidR="007A0763">
        <w:t>2</w:t>
      </w:r>
      <w:r w:rsidR="0042578E">
        <w:t>3</w:t>
      </w:r>
    </w:p>
    <w:p w:rsidR="001D2B3A" w:rsidRPr="00C743A5" w:rsidRDefault="001D2B3A" w:rsidP="00C743A5">
      <w:pPr>
        <w:rPr>
          <w:b/>
          <w:bCs/>
        </w:rPr>
      </w:pPr>
      <w:r w:rsidRPr="00C743A5">
        <w:rPr>
          <w:b/>
          <w:bCs/>
        </w:rPr>
        <w:t xml:space="preserve">Based on the outcomes of Recommendation </w:t>
      </w:r>
      <w:r w:rsidR="007A0763" w:rsidRPr="00C743A5">
        <w:rPr>
          <w:b/>
          <w:bCs/>
        </w:rPr>
        <w:t>2</w:t>
      </w:r>
      <w:r w:rsidR="0042578E" w:rsidRPr="00C743A5">
        <w:rPr>
          <w:b/>
          <w:bCs/>
        </w:rPr>
        <w:t>2</w:t>
      </w:r>
      <w:r w:rsidRPr="00C743A5">
        <w:rPr>
          <w:b/>
          <w:bCs/>
        </w:rPr>
        <w:t>.</w:t>
      </w:r>
      <w:r w:rsidR="004C5332" w:rsidRPr="00C743A5">
        <w:rPr>
          <w:b/>
          <w:bCs/>
        </w:rPr>
        <w:t xml:space="preserve"> </w:t>
      </w:r>
      <w:r w:rsidRPr="00C743A5">
        <w:rPr>
          <w:b/>
          <w:bCs/>
        </w:rPr>
        <w:t xml:space="preserve">The Commonwealth Government amend the Act to allow a flexible approach to </w:t>
      </w:r>
      <w:r w:rsidR="001157E0" w:rsidRPr="00C743A5">
        <w:rPr>
          <w:b/>
          <w:bCs/>
        </w:rPr>
        <w:t xml:space="preserve">compliance and </w:t>
      </w:r>
      <w:r w:rsidRPr="00C743A5">
        <w:rPr>
          <w:b/>
          <w:bCs/>
        </w:rPr>
        <w:t>enforcement that maintain</w:t>
      </w:r>
      <w:r w:rsidR="001157E0" w:rsidRPr="00C743A5">
        <w:rPr>
          <w:b/>
          <w:bCs/>
        </w:rPr>
        <w:t>s</w:t>
      </w:r>
      <w:r w:rsidRPr="00C743A5">
        <w:rPr>
          <w:b/>
          <w:bCs/>
        </w:rPr>
        <w:t xml:space="preserve"> adequate protection for registrants.</w:t>
      </w:r>
    </w:p>
    <w:p w:rsidR="00AC4267" w:rsidRDefault="00AC4267" w:rsidP="005619A1">
      <w:pPr>
        <w:pStyle w:val="Heading2"/>
        <w:spacing w:before="240"/>
      </w:pPr>
      <w:bookmarkStart w:id="81" w:name="_Toc18661005"/>
      <w:r>
        <w:t xml:space="preserve">5.5 </w:t>
      </w:r>
      <w:r w:rsidR="0026488F">
        <w:tab/>
      </w:r>
      <w:r w:rsidR="001B6EBA" w:rsidRPr="00F25EB7">
        <w:t>Managing</w:t>
      </w:r>
      <w:r w:rsidR="001B6EBA">
        <w:t xml:space="preserve"> the GEMS </w:t>
      </w:r>
      <w:r w:rsidR="008C238F">
        <w:t>program</w:t>
      </w:r>
      <w:bookmarkEnd w:id="81"/>
    </w:p>
    <w:p w:rsidR="00415FBB" w:rsidRPr="00AC4267" w:rsidRDefault="00415FBB" w:rsidP="00F740A0">
      <w:pPr>
        <w:pStyle w:val="Heading3"/>
        <w:rPr>
          <w:i/>
        </w:rPr>
      </w:pPr>
      <w:bookmarkStart w:id="82" w:name="_Toc518817690"/>
      <w:bookmarkStart w:id="83" w:name="_Toc18661006"/>
      <w:r>
        <w:t xml:space="preserve">5.5.1 </w:t>
      </w:r>
      <w:r>
        <w:tab/>
      </w:r>
      <w:r w:rsidRPr="00AC4267">
        <w:t xml:space="preserve">Mandatory </w:t>
      </w:r>
      <w:r w:rsidR="002E038E">
        <w:t>or</w:t>
      </w:r>
      <w:r w:rsidR="002E038E" w:rsidRPr="00AC4267">
        <w:t xml:space="preserve"> </w:t>
      </w:r>
      <w:r w:rsidRPr="00CB5EA3">
        <w:t>voluntary</w:t>
      </w:r>
      <w:r w:rsidRPr="00AC4267">
        <w:t xml:space="preserve"> standards and labelling</w:t>
      </w:r>
      <w:bookmarkEnd w:id="82"/>
      <w:bookmarkEnd w:id="83"/>
    </w:p>
    <w:p w:rsidR="00415FBB" w:rsidRPr="00BD0D26" w:rsidRDefault="00415FBB" w:rsidP="00F740A0">
      <w:r w:rsidRPr="00BD0D26">
        <w:t>The Terms of Reference asked the review to consider whether there is a role for guidance about when standards and labelling should be mandatory and when other approaches might be more suitable.</w:t>
      </w:r>
    </w:p>
    <w:p w:rsidR="00415FBB" w:rsidRPr="00BD0D26" w:rsidRDefault="00415FBB" w:rsidP="00F740A0">
      <w:r w:rsidRPr="00BD0D26">
        <w:t>The 2015 GEMS Review examined the case for mandatory energy performance standards and energy labelling for equipment and appliances, and whether these government interventions should be voluntary. It found that there was a strong case for intervention and that:</w:t>
      </w:r>
    </w:p>
    <w:p w:rsidR="00415FBB" w:rsidRPr="009115F1" w:rsidRDefault="00415FBB">
      <w:pPr>
        <w:pStyle w:val="SbQuote"/>
      </w:pPr>
      <w:r w:rsidRPr="009115F1">
        <w:t xml:space="preserve">MEPS are generally mandatory because regulation, with good compliance, delivers certainty and consistent outcomes for businesses and consumers. Voluntary agreements… appear successful only in specific circumstances, such as when markets are dominated by a limited number of domestic manufacturers, with similar (high) technical competency and incentives to develop energy efficient product. These circumstances do not </w:t>
      </w:r>
      <w:r w:rsidR="00A267DC" w:rsidRPr="009115F1">
        <w:t>apply to the Australian and New </w:t>
      </w:r>
      <w:r w:rsidRPr="009115F1">
        <w:t xml:space="preserve">Zealand markets. </w:t>
      </w:r>
    </w:p>
    <w:p w:rsidR="00A267DC" w:rsidRPr="009115F1" w:rsidRDefault="00A267DC">
      <w:pPr>
        <w:pStyle w:val="SbQuote"/>
      </w:pPr>
    </w:p>
    <w:p w:rsidR="00415FBB" w:rsidRPr="009115F1" w:rsidRDefault="00415FBB">
      <w:pPr>
        <w:pStyle w:val="SbQuote"/>
      </w:pPr>
      <w:r w:rsidRPr="009115F1">
        <w:t>Mandatory comparison labels provide authoritative and trusted information for consumers and for this reason the large majority of stakeholders support their use.</w:t>
      </w:r>
    </w:p>
    <w:p w:rsidR="00B5770B" w:rsidRPr="00B5770B" w:rsidRDefault="00B5770B">
      <w:pPr>
        <w:pStyle w:val="SbQuoteref"/>
      </w:pPr>
      <w:r w:rsidRPr="00B5770B">
        <w:t>2015 GEMS Review</w:t>
      </w:r>
    </w:p>
    <w:p w:rsidR="00415FBB" w:rsidRPr="00BD0D26" w:rsidRDefault="00415FBB" w:rsidP="00F740A0">
      <w:r w:rsidRPr="00BD0D26">
        <w:t xml:space="preserve">In 2017, research commissioned by the International Energy Agency’s </w:t>
      </w:r>
      <w:r w:rsidR="00DA19B5">
        <w:t xml:space="preserve">(IEA) </w:t>
      </w:r>
      <w:r w:rsidRPr="00BD0D26">
        <w:t xml:space="preserve">Energy Efficient End-use Equipment </w:t>
      </w:r>
      <w:r w:rsidR="00DA19B5">
        <w:t xml:space="preserve">(4E) </w:t>
      </w:r>
      <w:r w:rsidR="007A5D59">
        <w:t>T</w:t>
      </w:r>
      <w:r w:rsidRPr="00BD0D26">
        <w:t>echnology Collaboration Programme analysed 51 voluntary a</w:t>
      </w:r>
      <w:r w:rsidR="00A267DC">
        <w:t xml:space="preserve">greements. The study found that </w:t>
      </w:r>
      <w:r w:rsidRPr="00BD0D26">
        <w:t xml:space="preserve">these agreements are best applied when policy action is desirable but regulation currently </w:t>
      </w:r>
      <w:r w:rsidRPr="00BD0D26">
        <w:lastRenderedPageBreak/>
        <w:t>not feasible, for example</w:t>
      </w:r>
      <w:r w:rsidR="00331543">
        <w:t>,</w:t>
      </w:r>
      <w:r w:rsidRPr="00BD0D26">
        <w:t xml:space="preserve"> when there are regulatory hurdles, unusual markets, lack of information or lack of government resources</w:t>
      </w:r>
      <w:r w:rsidR="00B8201E">
        <w:t>.</w:t>
      </w:r>
      <w:r w:rsidR="00A267DC">
        <w:rPr>
          <w:rStyle w:val="FootnoteReference"/>
        </w:rPr>
        <w:footnoteReference w:id="22"/>
      </w:r>
      <w:r w:rsidRPr="00BD0D26">
        <w:t xml:space="preserve"> </w:t>
      </w:r>
    </w:p>
    <w:p w:rsidR="00415FBB" w:rsidRPr="00BD0D26" w:rsidRDefault="00715980" w:rsidP="00F740A0">
      <w:r>
        <w:t>A</w:t>
      </w:r>
      <w:r w:rsidRPr="00BD0D26">
        <w:t>lmost all products currently regulated under the GEMS Act have mandatory standards and labelling regulations</w:t>
      </w:r>
      <w:r>
        <w:t xml:space="preserve"> (</w:t>
      </w:r>
      <w:r w:rsidRPr="00F740A0">
        <w:t>see</w:t>
      </w:r>
      <w:r w:rsidRPr="00C743A5">
        <w:rPr>
          <w:b/>
          <w:bCs/>
        </w:rPr>
        <w:t xml:space="preserve"> Table </w:t>
      </w:r>
      <w:r w:rsidR="00474EA6" w:rsidRPr="00C743A5">
        <w:rPr>
          <w:b/>
          <w:bCs/>
        </w:rPr>
        <w:t>1</w:t>
      </w:r>
      <w:r>
        <w:t xml:space="preserve">) and </w:t>
      </w:r>
      <w:r w:rsidR="00415FBB" w:rsidRPr="00BD0D26">
        <w:t xml:space="preserve">submissions </w:t>
      </w:r>
      <w:r>
        <w:t>suggest broad</w:t>
      </w:r>
      <w:r w:rsidRPr="00BD0D26">
        <w:t xml:space="preserve"> </w:t>
      </w:r>
      <w:r w:rsidR="00415FBB" w:rsidRPr="00BD0D26">
        <w:t xml:space="preserve">support </w:t>
      </w:r>
      <w:r>
        <w:t xml:space="preserve">for </w:t>
      </w:r>
      <w:r w:rsidR="00415FBB" w:rsidRPr="00BD0D26">
        <w:t xml:space="preserve">mandatory standards and labelling as they effectively deliver energy and cost savings and keep the least energy efficient products off the market. </w:t>
      </w:r>
    </w:p>
    <w:p w:rsidR="00415FBB" w:rsidRDefault="00415FBB" w:rsidP="00F740A0">
      <w:r w:rsidRPr="00BD0D26">
        <w:t xml:space="preserve">Notwithstanding support for mandatory approaches, </w:t>
      </w:r>
      <w:r w:rsidR="00531D08">
        <w:t xml:space="preserve">the COAG Energy Council </w:t>
      </w:r>
      <w:r w:rsidRPr="00BD0D26">
        <w:t>routinely investigates both voluntary and mandatory policy options that may be used to improve energy efficiency standards and labelling for equipment and appliances.</w:t>
      </w:r>
      <w:r w:rsidR="00715980">
        <w:t xml:space="preserve"> </w:t>
      </w:r>
      <w:r w:rsidRPr="00BD0D26">
        <w:t xml:space="preserve">This is </w:t>
      </w:r>
      <w:r w:rsidR="00E55253">
        <w:t xml:space="preserve">a </w:t>
      </w:r>
      <w:r w:rsidR="00715980">
        <w:t>necessary step</w:t>
      </w:r>
      <w:r w:rsidR="00715980" w:rsidRPr="00BD0D26">
        <w:t xml:space="preserve"> </w:t>
      </w:r>
      <w:r w:rsidRPr="00BD0D26">
        <w:t>of the process of examining potential new regulations</w:t>
      </w:r>
      <w:r w:rsidR="00B45271">
        <w:t xml:space="preserve"> (</w:t>
      </w:r>
      <w:r w:rsidR="00B45271" w:rsidRPr="00F740A0">
        <w:t>see</w:t>
      </w:r>
      <w:r w:rsidR="00B45271" w:rsidRPr="00C743A5">
        <w:rPr>
          <w:b/>
          <w:bCs/>
        </w:rPr>
        <w:t xml:space="preserve"> Section 5.2.2</w:t>
      </w:r>
      <w:r w:rsidR="00B45271">
        <w:t>)</w:t>
      </w:r>
      <w:r w:rsidRPr="00BD0D26">
        <w:t xml:space="preserve">. See </w:t>
      </w:r>
      <w:r w:rsidRPr="00C743A5">
        <w:rPr>
          <w:b/>
          <w:bCs/>
        </w:rPr>
        <w:t xml:space="preserve">Box </w:t>
      </w:r>
      <w:r w:rsidR="001417E9" w:rsidRPr="00C743A5">
        <w:rPr>
          <w:b/>
          <w:bCs/>
        </w:rPr>
        <w:t>6</w:t>
      </w:r>
      <w:r w:rsidR="001125A0" w:rsidRPr="00BD0D26">
        <w:t xml:space="preserve"> </w:t>
      </w:r>
      <w:r w:rsidRPr="00BD0D26">
        <w:t>for an example of the examination of voluntary labelling through a policy development process.</w:t>
      </w:r>
      <w:r>
        <w:t xml:space="preserve"> </w:t>
      </w:r>
    </w:p>
    <w:p w:rsidR="00E83FA8" w:rsidRPr="00240A12" w:rsidRDefault="00E83FA8" w:rsidP="00E83FA8">
      <w:r w:rsidRPr="00240A12">
        <w:t xml:space="preserve">Additionally, E3 has a voluntary Energy Rating Icon for online and print advertising and a voluntary standard for demand response interfaces for some equipment and appliances. These specific cases are considered further in </w:t>
      </w:r>
      <w:r w:rsidRPr="00C743A5">
        <w:rPr>
          <w:b/>
          <w:bCs/>
        </w:rPr>
        <w:t>Sections 5.6.1</w:t>
      </w:r>
      <w:r w:rsidRPr="00B71210">
        <w:t>.</w:t>
      </w:r>
      <w:r w:rsidRPr="00240A12">
        <w:t xml:space="preserve"> </w:t>
      </w:r>
    </w:p>
    <w:p w:rsidR="00415FBB" w:rsidRPr="00413D00" w:rsidRDefault="00415FBB" w:rsidP="00F740A0">
      <w:pPr>
        <w:pBdr>
          <w:top w:val="single" w:sz="4" w:space="1" w:color="auto"/>
          <w:left w:val="single" w:sz="4" w:space="4" w:color="auto"/>
          <w:bottom w:val="single" w:sz="4" w:space="1" w:color="auto"/>
          <w:right w:val="single" w:sz="4" w:space="4" w:color="auto"/>
        </w:pBdr>
        <w:rPr>
          <w:rStyle w:val="Emphasis"/>
          <w:szCs w:val="20"/>
        </w:rPr>
      </w:pPr>
      <w:r w:rsidRPr="00413D00">
        <w:rPr>
          <w:rStyle w:val="Emphasis"/>
          <w:szCs w:val="20"/>
        </w:rPr>
        <w:t xml:space="preserve">Box </w:t>
      </w:r>
      <w:r w:rsidR="001417E9" w:rsidRPr="00413D00">
        <w:rPr>
          <w:rStyle w:val="Emphasis"/>
          <w:szCs w:val="20"/>
        </w:rPr>
        <w:t>6</w:t>
      </w:r>
      <w:r w:rsidRPr="00413D00">
        <w:rPr>
          <w:rStyle w:val="Emphasis"/>
          <w:szCs w:val="20"/>
        </w:rPr>
        <w:t>: Voluntary Energy Rating Labelling Program (VERLP) for swimming pool pumps</w:t>
      </w:r>
    </w:p>
    <w:p w:rsidR="00B021D3" w:rsidRDefault="00B021D3" w:rsidP="00B85DA6">
      <w:pPr>
        <w:pBdr>
          <w:top w:val="single" w:sz="4" w:space="1" w:color="auto"/>
          <w:left w:val="single" w:sz="4" w:space="4" w:color="auto"/>
          <w:bottom w:val="single" w:sz="4" w:space="1" w:color="auto"/>
          <w:right w:val="single" w:sz="4" w:space="4" w:color="auto"/>
        </w:pBdr>
        <w:rPr>
          <w:sz w:val="22"/>
        </w:rPr>
      </w:pPr>
      <w:r w:rsidRPr="00441401">
        <w:rPr>
          <w:sz w:val="22"/>
        </w:rPr>
        <w:t>The VERLP began in April 2010 and is administered by the Commonwealth Department of the Environment and Energy on behalf of the E3 Program. The program was intended as a transitional step leading to the introduction of mandatory labelling and MEPS requirements, which were expected to come into force in 2012.</w:t>
      </w:r>
    </w:p>
    <w:p w:rsidR="00B021D3" w:rsidRDefault="00B021D3" w:rsidP="00B85DA6">
      <w:pPr>
        <w:pBdr>
          <w:top w:val="single" w:sz="4" w:space="1" w:color="auto"/>
          <w:left w:val="single" w:sz="4" w:space="4" w:color="auto"/>
          <w:bottom w:val="single" w:sz="4" w:space="1" w:color="auto"/>
          <w:right w:val="single" w:sz="4" w:space="4" w:color="auto"/>
        </w:pBdr>
        <w:rPr>
          <w:sz w:val="22"/>
        </w:rPr>
      </w:pPr>
      <w:r w:rsidRPr="00441401">
        <w:rPr>
          <w:sz w:val="22"/>
        </w:rPr>
        <w:t>The consultation regulat</w:t>
      </w:r>
      <w:r>
        <w:rPr>
          <w:sz w:val="22"/>
        </w:rPr>
        <w:t>ion</w:t>
      </w:r>
      <w:r w:rsidRPr="00441401">
        <w:rPr>
          <w:sz w:val="22"/>
        </w:rPr>
        <w:t xml:space="preserve"> impact statement for swimming pool pumps (released November</w:t>
      </w:r>
      <w:r>
        <w:rPr>
          <w:sz w:val="22"/>
        </w:rPr>
        <w:t> </w:t>
      </w:r>
      <w:r w:rsidRPr="00441401">
        <w:rPr>
          <w:sz w:val="22"/>
        </w:rPr>
        <w:t>2016), highlighted limitations of the program.</w:t>
      </w:r>
      <w:r>
        <w:rPr>
          <w:sz w:val="22"/>
        </w:rPr>
        <w:t xml:space="preserve"> Some of these limitations are:</w:t>
      </w:r>
    </w:p>
    <w:p w:rsidR="00B021D3" w:rsidRPr="008F5FC2" w:rsidRDefault="00B021D3" w:rsidP="008A7FC0">
      <w:pPr>
        <w:numPr>
          <w:ilvl w:val="0"/>
          <w:numId w:val="25"/>
        </w:numPr>
        <w:pBdr>
          <w:top w:val="single" w:sz="4" w:space="1" w:color="auto"/>
          <w:left w:val="single" w:sz="4" w:space="4" w:color="auto"/>
          <w:bottom w:val="single" w:sz="4" w:space="1" w:color="auto"/>
          <w:right w:val="single" w:sz="4" w:space="4" w:color="auto"/>
        </w:pBdr>
        <w:ind w:left="426" w:hanging="426"/>
        <w:rPr>
          <w:sz w:val="22"/>
        </w:rPr>
      </w:pPr>
      <w:r w:rsidRPr="008F5FC2">
        <w:rPr>
          <w:sz w:val="22"/>
        </w:rPr>
        <w:t>Only the most efficient pumps are registered under the program and therefore it has limited benefits for advising consumers of energy efficiency information.</w:t>
      </w:r>
    </w:p>
    <w:p w:rsidR="00B021D3" w:rsidRPr="008F5FC2" w:rsidRDefault="00B021D3" w:rsidP="008A7FC0">
      <w:pPr>
        <w:numPr>
          <w:ilvl w:val="0"/>
          <w:numId w:val="25"/>
        </w:numPr>
        <w:pBdr>
          <w:top w:val="single" w:sz="4" w:space="1" w:color="auto"/>
          <w:left w:val="single" w:sz="4" w:space="4" w:color="auto"/>
          <w:bottom w:val="single" w:sz="4" w:space="1" w:color="auto"/>
          <w:right w:val="single" w:sz="4" w:space="4" w:color="auto"/>
        </w:pBdr>
        <w:ind w:left="426" w:hanging="426"/>
        <w:rPr>
          <w:sz w:val="22"/>
        </w:rPr>
      </w:pPr>
      <w:r w:rsidRPr="008F5FC2">
        <w:rPr>
          <w:sz w:val="22"/>
        </w:rPr>
        <w:t>After eight years of operation, most pumps sold in Australia are not registered with the program and are not labelled with energy performance information.</w:t>
      </w:r>
    </w:p>
    <w:p w:rsidR="00B021D3" w:rsidRPr="008F5FC2" w:rsidRDefault="00B021D3" w:rsidP="008A7FC0">
      <w:pPr>
        <w:numPr>
          <w:ilvl w:val="0"/>
          <w:numId w:val="25"/>
        </w:numPr>
        <w:pBdr>
          <w:top w:val="single" w:sz="4" w:space="1" w:color="auto"/>
          <w:left w:val="single" w:sz="4" w:space="4" w:color="auto"/>
          <w:bottom w:val="single" w:sz="4" w:space="1" w:color="auto"/>
          <w:right w:val="single" w:sz="4" w:space="4" w:color="auto"/>
        </w:pBdr>
        <w:ind w:left="426" w:hanging="426"/>
        <w:rPr>
          <w:sz w:val="22"/>
        </w:rPr>
      </w:pPr>
      <w:r w:rsidRPr="008F5FC2">
        <w:rPr>
          <w:sz w:val="22"/>
        </w:rPr>
        <w:t>Although the VERLP provides some information to consumers and there are some broader community benefits, the primary effect of the program is supporting industry advertising and marketing.</w:t>
      </w:r>
    </w:p>
    <w:p w:rsidR="00B021D3" w:rsidRPr="008F5FC2" w:rsidRDefault="00B021D3" w:rsidP="008A7FC0">
      <w:pPr>
        <w:numPr>
          <w:ilvl w:val="0"/>
          <w:numId w:val="25"/>
        </w:numPr>
        <w:pBdr>
          <w:top w:val="single" w:sz="4" w:space="1" w:color="auto"/>
          <w:left w:val="single" w:sz="4" w:space="4" w:color="auto"/>
          <w:bottom w:val="single" w:sz="4" w:space="1" w:color="auto"/>
          <w:right w:val="single" w:sz="4" w:space="4" w:color="auto"/>
        </w:pBdr>
        <w:ind w:left="426" w:hanging="426"/>
        <w:rPr>
          <w:sz w:val="22"/>
        </w:rPr>
      </w:pPr>
      <w:r w:rsidRPr="008F5FC2">
        <w:rPr>
          <w:sz w:val="22"/>
        </w:rPr>
        <w:t>There is no evidence that the VERLP has increased the uptake of energy efficient pumps in Australia.</w:t>
      </w:r>
    </w:p>
    <w:p w:rsidR="001C6FDE" w:rsidRDefault="00B021D3" w:rsidP="008A7FC0">
      <w:pPr>
        <w:numPr>
          <w:ilvl w:val="0"/>
          <w:numId w:val="25"/>
        </w:numPr>
        <w:pBdr>
          <w:top w:val="single" w:sz="4" w:space="1" w:color="auto"/>
          <w:left w:val="single" w:sz="4" w:space="4" w:color="auto"/>
          <w:bottom w:val="single" w:sz="4" w:space="1" w:color="auto"/>
          <w:right w:val="single" w:sz="4" w:space="4" w:color="auto"/>
        </w:pBdr>
        <w:spacing w:after="0"/>
        <w:ind w:left="426" w:hanging="426"/>
      </w:pPr>
      <w:r w:rsidRPr="005619A1">
        <w:rPr>
          <w:sz w:val="22"/>
        </w:rPr>
        <w:t>Administrative arrangements for the program do not align with broader GEMS legislation and program arrangements.</w:t>
      </w:r>
      <w:bookmarkStart w:id="84" w:name="_Toc518817691"/>
    </w:p>
    <w:p w:rsidR="00E83FA8" w:rsidRDefault="00E83FA8" w:rsidP="00413D7F">
      <w:pPr>
        <w:pStyle w:val="RecHead"/>
        <w:spacing w:before="360"/>
      </w:pPr>
      <w:r>
        <w:t>RECOMMENDATION 2</w:t>
      </w:r>
      <w:r w:rsidR="0042578E">
        <w:t>4</w:t>
      </w:r>
    </w:p>
    <w:p w:rsidR="00E83FA8" w:rsidRPr="00C743A5" w:rsidRDefault="00E83FA8" w:rsidP="00C743A5">
      <w:pPr>
        <w:rPr>
          <w:b/>
          <w:bCs/>
        </w:rPr>
      </w:pPr>
      <w:r w:rsidRPr="00C743A5">
        <w:rPr>
          <w:b/>
          <w:bCs/>
        </w:rPr>
        <w:t>The Commonwealth Government request the COAG Energy Council consider voluntary and mandatory measures when developing new or enhanced regulations.</w:t>
      </w:r>
    </w:p>
    <w:p w:rsidR="001B6EBA" w:rsidRPr="00F740A0" w:rsidRDefault="001B6EBA" w:rsidP="00B85DA6">
      <w:pPr>
        <w:pStyle w:val="Heading3"/>
        <w:spacing w:after="240"/>
      </w:pPr>
      <w:bookmarkStart w:id="85" w:name="_Toc18661007"/>
      <w:r w:rsidRPr="00CB5EA3">
        <w:lastRenderedPageBreak/>
        <w:t>5.5.</w:t>
      </w:r>
      <w:r w:rsidRPr="00F25EB7">
        <w:t>2</w:t>
      </w:r>
      <w:r w:rsidRPr="005F3AF8">
        <w:tab/>
        <w:t>Data</w:t>
      </w:r>
      <w:bookmarkEnd w:id="85"/>
    </w:p>
    <w:p w:rsidR="001B6EBA" w:rsidRDefault="001B6EBA" w:rsidP="00413D7F">
      <w:r w:rsidRPr="004F3448">
        <w:t>Stakeholder submissions and consultations have raised two issues concerning data used to calculate the impact of GEMS regulations</w:t>
      </w:r>
      <w:r w:rsidR="00715980">
        <w:rPr>
          <w:rStyle w:val="FootnoteReference"/>
          <w:szCs w:val="24"/>
        </w:rPr>
        <w:footnoteReference w:id="23"/>
      </w:r>
      <w:r w:rsidRPr="004F3448">
        <w:t xml:space="preserve"> and to determ</w:t>
      </w:r>
      <w:r>
        <w:t>ine which products to regulate:</w:t>
      </w:r>
    </w:p>
    <w:p w:rsidR="001B6EBA" w:rsidRPr="008417C3" w:rsidRDefault="001B6EBA" w:rsidP="008A7FC0">
      <w:pPr>
        <w:pStyle w:val="ListParagraph"/>
        <w:numPr>
          <w:ilvl w:val="0"/>
          <w:numId w:val="17"/>
        </w:numPr>
        <w:ind w:left="426" w:hanging="284"/>
      </w:pPr>
      <w:r w:rsidRPr="00A85736">
        <w:t>The first issue concerns the availability and quality of data critical to ensuring GEMS regulation</w:t>
      </w:r>
      <w:r>
        <w:t>s are as effective as possible</w:t>
      </w:r>
      <w:r w:rsidR="00EA3D42">
        <w:t>; and</w:t>
      </w:r>
    </w:p>
    <w:p w:rsidR="001B6EBA" w:rsidRPr="008417C3" w:rsidRDefault="001B6EBA" w:rsidP="008A7FC0">
      <w:pPr>
        <w:pStyle w:val="ListParagraph"/>
        <w:numPr>
          <w:ilvl w:val="0"/>
          <w:numId w:val="17"/>
        </w:numPr>
        <w:ind w:left="426" w:hanging="284"/>
      </w:pPr>
      <w:r w:rsidRPr="00A85736">
        <w:t>The second concerns how the available data is analysed.</w:t>
      </w:r>
    </w:p>
    <w:p w:rsidR="001B6EBA" w:rsidRPr="00040C77" w:rsidRDefault="001B6EBA" w:rsidP="004E675B">
      <w:pPr>
        <w:pStyle w:val="Heading4"/>
      </w:pPr>
      <w:r w:rsidRPr="00040C77">
        <w:t>Evidence base</w:t>
      </w:r>
    </w:p>
    <w:p w:rsidR="001B6EBA" w:rsidRDefault="001B6EBA" w:rsidP="00F740A0">
      <w:r w:rsidRPr="004F3448">
        <w:t>The Queensland Government and the Green Building Council of Australia have highlighted the need to improve the evidence base to evaluate the effectiveness of GEMS regulations. This was also a recommendation of the 2015 GEMS Review</w:t>
      </w:r>
      <w:r>
        <w:t>:</w:t>
      </w:r>
    </w:p>
    <w:p w:rsidR="001B6EBA" w:rsidRPr="002711E8" w:rsidRDefault="001B6EBA">
      <w:pPr>
        <w:pStyle w:val="SbQuote"/>
        <w:rPr>
          <w:b/>
          <w:i/>
          <w:color w:val="243F60"/>
        </w:rPr>
      </w:pPr>
      <w:r w:rsidRPr="009115F1">
        <w:t>(The E3 program should) undertake further outcome evaluation studies to improve the evidence on program savings and cost effectiveness.</w:t>
      </w:r>
      <w:r w:rsidR="004C5332" w:rsidRPr="009115F1">
        <w:t xml:space="preserve"> </w:t>
      </w:r>
      <w:r w:rsidRPr="009115F1">
        <w:t>In particular, this should continue to focus on actual market impacts rather than projections and isolating the impact of the program from other factors.</w:t>
      </w:r>
      <w:r w:rsidR="004C5332" w:rsidRPr="009115F1">
        <w:t xml:space="preserve"> </w:t>
      </w:r>
      <w:r w:rsidRPr="009115F1">
        <w:t>Furthermore, it would be useful to better understand the impacts of labelling through further research in order to help understand the costs and benefits of labelling vs. MEPS.</w:t>
      </w:r>
    </w:p>
    <w:p w:rsidR="001B6EBA" w:rsidRPr="00B5770B" w:rsidRDefault="001B6EBA">
      <w:pPr>
        <w:pStyle w:val="SbQuoteref"/>
      </w:pPr>
      <w:r w:rsidRPr="00B5770B">
        <w:t>2015 GEMS Review</w:t>
      </w:r>
    </w:p>
    <w:p w:rsidR="001B6EBA" w:rsidRPr="004F3448" w:rsidRDefault="001B6EBA" w:rsidP="00F740A0">
      <w:r w:rsidRPr="004F3448">
        <w:t>Following</w:t>
      </w:r>
      <w:r w:rsidR="00444722">
        <w:t xml:space="preserve"> the</w:t>
      </w:r>
      <w:r w:rsidRPr="004F3448">
        <w:t xml:space="preserve"> 2015 GEMS Review, the Department of the Environment and Energy </w:t>
      </w:r>
      <w:r w:rsidR="00857A3B">
        <w:t xml:space="preserve">and E3 </w:t>
      </w:r>
      <w:r w:rsidRPr="004F3448">
        <w:t>ha</w:t>
      </w:r>
      <w:r w:rsidR="00857A3B">
        <w:t>ve</w:t>
      </w:r>
      <w:r w:rsidRPr="004F3448">
        <w:t xml:space="preserve"> worked to improve its gathering and analysis of data. Examples of this work include: </w:t>
      </w:r>
    </w:p>
    <w:p w:rsidR="001B6EBA" w:rsidRPr="00E76F07" w:rsidRDefault="00442BEF" w:rsidP="00A07611">
      <w:pPr>
        <w:pStyle w:val="ListBullet"/>
        <w:ind w:hanging="426"/>
      </w:pPr>
      <w:r>
        <w:t>A</w:t>
      </w:r>
      <w:r w:rsidR="001B6EBA" w:rsidRPr="00E76F07">
        <w:t xml:space="preserve"> Residential Baseline Study (RBS), a bottom up model of household energy use. It connects appliance sales data with surveys of hours of use, climate data and product life time to produce a stock model of appliance energy use within the home. The energy use estimations have been compared with both gas and electricity distribution data and have shown to be robust. </w:t>
      </w:r>
    </w:p>
    <w:p w:rsidR="001B6EBA" w:rsidRPr="00E76F07" w:rsidRDefault="00442BEF" w:rsidP="00A07611">
      <w:pPr>
        <w:pStyle w:val="ListBullet"/>
        <w:ind w:hanging="426"/>
      </w:pPr>
      <w:r>
        <w:t>A</w:t>
      </w:r>
      <w:r w:rsidR="001B6EBA" w:rsidRPr="00E76F07">
        <w:t xml:space="preserve"> wide scoping study, which </w:t>
      </w:r>
      <w:r w:rsidR="00857A3B">
        <w:t>examines</w:t>
      </w:r>
      <w:r w:rsidR="001B6EBA" w:rsidRPr="00E76F07">
        <w:t xml:space="preserve"> Australian energy use </w:t>
      </w:r>
      <w:r w:rsidR="00857A3B">
        <w:t>through to</w:t>
      </w:r>
      <w:r w:rsidR="001B6EBA" w:rsidRPr="00E76F07">
        <w:t xml:space="preserve"> </w:t>
      </w:r>
      <w:r w:rsidR="00857A3B">
        <w:t xml:space="preserve">the </w:t>
      </w:r>
      <w:r w:rsidR="001B6EBA" w:rsidRPr="00E76F07">
        <w:t xml:space="preserve">end use equipment and identifies where there are </w:t>
      </w:r>
      <w:r w:rsidR="00857A3B">
        <w:t xml:space="preserve">potential </w:t>
      </w:r>
      <w:r w:rsidR="001B6EBA" w:rsidRPr="00E76F07">
        <w:t>energy savings opportunities at the system level.</w:t>
      </w:r>
    </w:p>
    <w:p w:rsidR="007A4121" w:rsidRDefault="007A4121" w:rsidP="00F740A0">
      <w:r>
        <w:t>S</w:t>
      </w:r>
      <w:r w:rsidRPr="004F3448">
        <w:t xml:space="preserve">ection 56 of </w:t>
      </w:r>
      <w:r w:rsidR="003B703C">
        <w:t xml:space="preserve">the </w:t>
      </w:r>
      <w:r w:rsidRPr="004F3448">
        <w:t xml:space="preserve">GEMS </w:t>
      </w:r>
      <w:r>
        <w:t>Act</w:t>
      </w:r>
      <w:r w:rsidRPr="007A4121">
        <w:t xml:space="preserve"> </w:t>
      </w:r>
      <w:r>
        <w:t xml:space="preserve">provides the GEMS </w:t>
      </w:r>
      <w:r w:rsidR="00E55253">
        <w:t>R</w:t>
      </w:r>
      <w:r>
        <w:t>egulator the power to collect</w:t>
      </w:r>
      <w:r w:rsidRPr="004F3448">
        <w:t xml:space="preserve"> data </w:t>
      </w:r>
      <w:r w:rsidRPr="004C0DEC">
        <w:t>relating to the import and manufacture of regulated products</w:t>
      </w:r>
      <w:r>
        <w:rPr>
          <w:i/>
        </w:rPr>
        <w:t>.</w:t>
      </w:r>
      <w:r w:rsidR="004C5332">
        <w:rPr>
          <w:i/>
        </w:rPr>
        <w:t xml:space="preserve"> </w:t>
      </w:r>
      <w:r>
        <w:t>To date</w:t>
      </w:r>
      <w:r w:rsidR="000B5847">
        <w:t>,</w:t>
      </w:r>
      <w:r>
        <w:t xml:space="preserve"> the GEMS Regulator has not used this power and instead E3 </w:t>
      </w:r>
      <w:r w:rsidR="00E55253">
        <w:t xml:space="preserve">has </w:t>
      </w:r>
      <w:r>
        <w:t>relied on purchased sales data to inform the development of new and enhanced regulations. However</w:t>
      </w:r>
      <w:r w:rsidR="003B703C">
        <w:t>,</w:t>
      </w:r>
      <w:r>
        <w:t xml:space="preserve"> the major supplier of this sales data has recently announced it would no longer include sales data from two </w:t>
      </w:r>
      <w:r w:rsidRPr="004F3448">
        <w:t>major retailers</w:t>
      </w:r>
      <w:r>
        <w:t>.</w:t>
      </w:r>
      <w:r w:rsidRPr="007A4121">
        <w:t xml:space="preserve"> </w:t>
      </w:r>
      <w:r>
        <w:t>To replace or supplement this data, it m</w:t>
      </w:r>
      <w:r w:rsidRPr="004F3448">
        <w:t xml:space="preserve">ay be necessary for </w:t>
      </w:r>
      <w:r>
        <w:t>the GEMS Regulator</w:t>
      </w:r>
      <w:r w:rsidRPr="004F3448">
        <w:t xml:space="preserve"> to consider </w:t>
      </w:r>
      <w:r>
        <w:t xml:space="preserve">using the information gathering powers under </w:t>
      </w:r>
      <w:r w:rsidR="005619A1">
        <w:t xml:space="preserve">Section </w:t>
      </w:r>
      <w:r>
        <w:t xml:space="preserve">56. </w:t>
      </w:r>
    </w:p>
    <w:p w:rsidR="003454D4" w:rsidRDefault="003454D4" w:rsidP="003454D4">
      <w:r>
        <w:t xml:space="preserve">Any consideration of collecting data from industry would need to take into account the cost to industry of providing this data </w:t>
      </w:r>
      <w:r w:rsidR="00402EB1">
        <w:t>as well as</w:t>
      </w:r>
      <w:r>
        <w:t xml:space="preserve"> the benefits of acquiring the data, and whether the data can be obtained elsewhere.</w:t>
      </w:r>
    </w:p>
    <w:p w:rsidR="003B703C" w:rsidRDefault="003B703C" w:rsidP="00F740A0">
      <w:r>
        <w:t xml:space="preserve">Industry may be concerned about the prospect of providing commercially sensitive information to the GEMS Regulator. Part 10 of the GEMS Act provides protection of information obtained by, or disclosed to, persons in connection with the Act. </w:t>
      </w:r>
      <w:r w:rsidRPr="003B703C">
        <w:t>Disclosing protected information is an offence if it might substantially prejudice the commercial interests of a person, and the disclosure is not authorised by this Part.</w:t>
      </w:r>
      <w:r>
        <w:t xml:space="preserve"> </w:t>
      </w:r>
      <w:r w:rsidRPr="003B703C">
        <w:t>The ability of courts and tribunals to require the disclosure of protected information is also limited by this Part.</w:t>
      </w:r>
    </w:p>
    <w:p w:rsidR="001B6EBA" w:rsidRDefault="001B6EBA" w:rsidP="003442DC">
      <w:pPr>
        <w:pStyle w:val="RecHead"/>
      </w:pPr>
      <w:r>
        <w:lastRenderedPageBreak/>
        <w:t xml:space="preserve">RECOMMENDATION </w:t>
      </w:r>
      <w:r w:rsidR="000E60F1">
        <w:t>2</w:t>
      </w:r>
      <w:r w:rsidR="0042578E">
        <w:t>5</w:t>
      </w:r>
    </w:p>
    <w:p w:rsidR="001D2B3A" w:rsidRPr="00C743A5" w:rsidRDefault="001D2B3A" w:rsidP="00C743A5">
      <w:pPr>
        <w:rPr>
          <w:b/>
          <w:bCs/>
        </w:rPr>
      </w:pPr>
      <w:r w:rsidRPr="00C743A5">
        <w:rPr>
          <w:b/>
          <w:bCs/>
        </w:rPr>
        <w:t xml:space="preserve">The Commonwealth Government reviews its information and data requirements and examines the most appropriate means to realise those data needs. </w:t>
      </w:r>
    </w:p>
    <w:p w:rsidR="001D2B3A" w:rsidRDefault="001D2B3A" w:rsidP="003442DC">
      <w:pPr>
        <w:pStyle w:val="RecHead"/>
      </w:pPr>
      <w:r>
        <w:t xml:space="preserve">RECOMMENDATION </w:t>
      </w:r>
      <w:r w:rsidR="000E60F1">
        <w:t>2</w:t>
      </w:r>
      <w:r w:rsidR="0042578E">
        <w:t>6</w:t>
      </w:r>
    </w:p>
    <w:p w:rsidR="001B6EBA" w:rsidRPr="00C743A5" w:rsidRDefault="001D2B3A" w:rsidP="00C743A5">
      <w:pPr>
        <w:rPr>
          <w:b/>
          <w:bCs/>
        </w:rPr>
      </w:pPr>
      <w:r w:rsidRPr="00C743A5">
        <w:rPr>
          <w:b/>
          <w:bCs/>
        </w:rPr>
        <w:t xml:space="preserve">Based on the outcomes of Recommendation </w:t>
      </w:r>
      <w:r w:rsidR="000E60F1" w:rsidRPr="00C743A5">
        <w:rPr>
          <w:b/>
          <w:bCs/>
        </w:rPr>
        <w:t>2</w:t>
      </w:r>
      <w:r w:rsidR="00555359" w:rsidRPr="00C743A5">
        <w:rPr>
          <w:b/>
          <w:bCs/>
        </w:rPr>
        <w:t>5</w:t>
      </w:r>
      <w:r w:rsidRPr="00C743A5">
        <w:rPr>
          <w:b/>
          <w:bCs/>
        </w:rPr>
        <w:t>.</w:t>
      </w:r>
      <w:r w:rsidR="004C5332" w:rsidRPr="00C743A5">
        <w:rPr>
          <w:b/>
          <w:bCs/>
        </w:rPr>
        <w:t xml:space="preserve"> </w:t>
      </w:r>
      <w:r w:rsidR="001B6EBA" w:rsidRPr="00C743A5">
        <w:rPr>
          <w:b/>
          <w:bCs/>
        </w:rPr>
        <w:t xml:space="preserve">The Commonwealth Government </w:t>
      </w:r>
      <w:r w:rsidR="007A4121" w:rsidRPr="00C743A5">
        <w:rPr>
          <w:b/>
          <w:bCs/>
        </w:rPr>
        <w:t xml:space="preserve">amend </w:t>
      </w:r>
      <w:r w:rsidR="001B6EBA" w:rsidRPr="00C743A5">
        <w:rPr>
          <w:b/>
          <w:bCs/>
        </w:rPr>
        <w:t xml:space="preserve">the GEMS Act to </w:t>
      </w:r>
      <w:r w:rsidR="007A4121" w:rsidRPr="00C743A5">
        <w:rPr>
          <w:b/>
          <w:bCs/>
        </w:rPr>
        <w:t xml:space="preserve">allow the GEMS </w:t>
      </w:r>
      <w:r w:rsidR="00E55253" w:rsidRPr="00C743A5">
        <w:rPr>
          <w:b/>
          <w:bCs/>
        </w:rPr>
        <w:t xml:space="preserve">Regulator </w:t>
      </w:r>
      <w:r w:rsidR="00BE0483" w:rsidRPr="00C743A5">
        <w:rPr>
          <w:b/>
          <w:bCs/>
        </w:rPr>
        <w:t>to</w:t>
      </w:r>
      <w:r w:rsidR="007A4121" w:rsidRPr="00C743A5">
        <w:rPr>
          <w:b/>
          <w:bCs/>
        </w:rPr>
        <w:t xml:space="preserve"> </w:t>
      </w:r>
      <w:r w:rsidR="001B6EBA" w:rsidRPr="00C743A5">
        <w:rPr>
          <w:b/>
          <w:bCs/>
        </w:rPr>
        <w:t xml:space="preserve">collect further data to improve its evidence base. </w:t>
      </w:r>
    </w:p>
    <w:p w:rsidR="001B6EBA" w:rsidRPr="00A85736" w:rsidRDefault="001B6EBA" w:rsidP="00F740A0">
      <w:pPr>
        <w:pStyle w:val="Heading4"/>
      </w:pPr>
      <w:r>
        <w:t>Data analysis</w:t>
      </w:r>
    </w:p>
    <w:p w:rsidR="00217D46" w:rsidRDefault="001B6EBA" w:rsidP="00F740A0">
      <w:r w:rsidRPr="004F3448">
        <w:t>The Lighting Council of Australia has suggested the benefits of</w:t>
      </w:r>
      <w:r>
        <w:t xml:space="preserve"> GEMS regulations may </w:t>
      </w:r>
      <w:r w:rsidR="00BE0483">
        <w:t xml:space="preserve">currently </w:t>
      </w:r>
      <w:r>
        <w:t>be</w:t>
      </w:r>
      <w:r w:rsidRPr="004F3448">
        <w:t xml:space="preserve"> overstated. It </w:t>
      </w:r>
      <w:r w:rsidR="00BE0483">
        <w:t>argues that the</w:t>
      </w:r>
      <w:r w:rsidR="00BE0483" w:rsidRPr="004F3448" w:rsidDel="00BE0483">
        <w:t xml:space="preserve"> </w:t>
      </w:r>
      <w:r w:rsidRPr="004F3448">
        <w:t>data assumpti</w:t>
      </w:r>
      <w:r>
        <w:t xml:space="preserve">ons should be updated </w:t>
      </w:r>
      <w:r w:rsidR="00BE0483">
        <w:t xml:space="preserve">regularly </w:t>
      </w:r>
      <w:r w:rsidRPr="004F3448">
        <w:t>to ensure the most accurate analysi</w:t>
      </w:r>
      <w:r w:rsidR="00BE0483">
        <w:t>s</w:t>
      </w:r>
      <w:r w:rsidRPr="004F3448">
        <w:t xml:space="preserve">. </w:t>
      </w:r>
    </w:p>
    <w:p w:rsidR="00BD1489" w:rsidRPr="00F740A0" w:rsidRDefault="002214DB" w:rsidP="00F740A0">
      <w:r>
        <w:t>A</w:t>
      </w:r>
      <w:r w:rsidR="00BD1489" w:rsidRPr="00F740A0">
        <w:t xml:space="preserve"> number of reports have considered the potential benefits delivered by energy efficiency regulations</w:t>
      </w:r>
      <w:r>
        <w:t>,</w:t>
      </w:r>
      <w:r w:rsidR="00BD1489" w:rsidRPr="00F740A0">
        <w:t xml:space="preserve"> including:</w:t>
      </w:r>
    </w:p>
    <w:p w:rsidR="00BD1489" w:rsidRPr="00240A12" w:rsidRDefault="00BD1489" w:rsidP="00A07611">
      <w:pPr>
        <w:pStyle w:val="ListBullet"/>
        <w:ind w:hanging="426"/>
      </w:pPr>
      <w:r w:rsidRPr="00240A12">
        <w:t>Impacts of the E3 program 2014</w:t>
      </w:r>
      <w:r w:rsidR="00693AE4">
        <w:t xml:space="preserve">, </w:t>
      </w:r>
      <w:r w:rsidR="00693AE4">
        <w:rPr>
          <w:i/>
          <w:iCs/>
        </w:rPr>
        <w:t>George Wilkenfeld</w:t>
      </w:r>
      <w:r w:rsidR="000B5847">
        <w:rPr>
          <w:i/>
          <w:iCs/>
        </w:rPr>
        <w:t xml:space="preserve"> </w:t>
      </w:r>
      <w:r w:rsidRPr="00240A12">
        <w:rPr>
          <w:rStyle w:val="FootnoteReference"/>
          <w:szCs w:val="24"/>
        </w:rPr>
        <w:footnoteReference w:id="24"/>
      </w:r>
      <w:r w:rsidRPr="00240A12">
        <w:br/>
        <w:t>Net benefit of $10.3 billion from 2000 to 2013</w:t>
      </w:r>
      <w:r w:rsidRPr="00240A12">
        <w:br/>
        <w:t>Net benefit of $43.3 billion from 2014 to 2030</w:t>
      </w:r>
    </w:p>
    <w:p w:rsidR="00BD1489" w:rsidRPr="00240A12" w:rsidRDefault="00BD1489" w:rsidP="00A07611">
      <w:pPr>
        <w:pStyle w:val="ListBullet"/>
        <w:ind w:hanging="426"/>
      </w:pPr>
      <w:r w:rsidRPr="00B44994">
        <w:t>2015 Independent</w:t>
      </w:r>
      <w:r w:rsidRPr="00F740A0">
        <w:t xml:space="preserve"> GEMS</w:t>
      </w:r>
      <w:r w:rsidRPr="00240A12">
        <w:t xml:space="preserve"> review</w:t>
      </w:r>
      <w:r w:rsidR="00693AE4">
        <w:t xml:space="preserve">, </w:t>
      </w:r>
      <w:r w:rsidR="004817AB">
        <w:rPr>
          <w:i/>
          <w:iCs/>
        </w:rPr>
        <w:t>Datab</w:t>
      </w:r>
      <w:r w:rsidR="00693AE4">
        <w:rPr>
          <w:i/>
          <w:iCs/>
        </w:rPr>
        <w:t>uild</w:t>
      </w:r>
      <w:r w:rsidR="000B5847">
        <w:rPr>
          <w:i/>
          <w:iCs/>
        </w:rPr>
        <w:t xml:space="preserve"> </w:t>
      </w:r>
      <w:r w:rsidRPr="00240A12">
        <w:rPr>
          <w:rStyle w:val="FootnoteReference"/>
          <w:szCs w:val="24"/>
        </w:rPr>
        <w:footnoteReference w:id="25"/>
      </w:r>
      <w:r w:rsidRPr="00240A12">
        <w:t xml:space="preserve"> </w:t>
      </w:r>
      <w:r w:rsidRPr="00240A12">
        <w:br/>
        <w:t xml:space="preserve">Net benefit of between $3.3 billion and $7.3 billion from 2014 to 2020 </w:t>
      </w:r>
    </w:p>
    <w:p w:rsidR="00BD1489" w:rsidRDefault="00E55253" w:rsidP="00A07611">
      <w:pPr>
        <w:pStyle w:val="ListBullet"/>
        <w:ind w:hanging="426"/>
      </w:pPr>
      <w:r w:rsidRPr="00B44994">
        <w:t>Department</w:t>
      </w:r>
      <w:r>
        <w:t xml:space="preserve"> of the Environment and Energy,</w:t>
      </w:r>
      <w:r w:rsidRPr="00B44994">
        <w:t xml:space="preserve"> </w:t>
      </w:r>
      <w:r w:rsidR="00BD1489" w:rsidRPr="00B44994">
        <w:t>Internal Analysis</w:t>
      </w:r>
      <w:r w:rsidR="00BD1489" w:rsidRPr="00B44994">
        <w:br/>
        <w:t>Net benefit of between $4.2 billion and $8.1 billion from 2000 to 2014</w:t>
      </w:r>
      <w:r w:rsidR="00BD1489" w:rsidRPr="001875E6">
        <w:br/>
      </w:r>
      <w:r w:rsidR="00BD1489" w:rsidRPr="00522FE5">
        <w:t xml:space="preserve">Net benefit of between $4.9 billion and $9.1 billion from 2015 to 2020 </w:t>
      </w:r>
    </w:p>
    <w:p w:rsidR="006979A5" w:rsidRDefault="006979A5" w:rsidP="006979A5">
      <w:r>
        <w:t>Any assessment of the benefits of the GEMS Program necessarily involves assumptions as it is not possible to physically measure the impact of the Program. However, such variation in the estimated or projected benefits can undermine stakeholder confidence in the determination of those benefits.</w:t>
      </w:r>
    </w:p>
    <w:p w:rsidR="006979A5" w:rsidRDefault="00C743A5" w:rsidP="00C743A5">
      <w:pPr>
        <w:spacing w:before="0" w:after="0" w:line="240" w:lineRule="auto"/>
      </w:pPr>
      <w:r>
        <w:br w:type="page"/>
      </w:r>
    </w:p>
    <w:p w:rsidR="001B6EBA" w:rsidRPr="00413D00" w:rsidRDefault="001B6EBA" w:rsidP="00F740A0">
      <w:pPr>
        <w:pBdr>
          <w:top w:val="single" w:sz="4" w:space="1" w:color="auto"/>
          <w:left w:val="single" w:sz="4" w:space="4" w:color="auto"/>
          <w:bottom w:val="single" w:sz="4" w:space="1" w:color="auto"/>
          <w:right w:val="single" w:sz="4" w:space="4" w:color="auto"/>
        </w:pBdr>
        <w:rPr>
          <w:rStyle w:val="Emphasis"/>
          <w:szCs w:val="20"/>
        </w:rPr>
      </w:pPr>
      <w:r w:rsidRPr="00413D00">
        <w:rPr>
          <w:rStyle w:val="Emphasis"/>
          <w:szCs w:val="20"/>
        </w:rPr>
        <w:lastRenderedPageBreak/>
        <w:t xml:space="preserve">Box </w:t>
      </w:r>
      <w:r w:rsidR="001417E9" w:rsidRPr="00413D00">
        <w:rPr>
          <w:rStyle w:val="Emphasis"/>
          <w:szCs w:val="20"/>
        </w:rPr>
        <w:t>7</w:t>
      </w:r>
      <w:r w:rsidR="00974FCE" w:rsidRPr="00413D00">
        <w:rPr>
          <w:rStyle w:val="Emphasis"/>
          <w:szCs w:val="20"/>
        </w:rPr>
        <w:t>:</w:t>
      </w:r>
      <w:r w:rsidR="001125A0" w:rsidRPr="00413D00">
        <w:rPr>
          <w:rStyle w:val="Emphasis"/>
          <w:szCs w:val="20"/>
        </w:rPr>
        <w:t xml:space="preserve"> </w:t>
      </w:r>
      <w:r w:rsidRPr="00413D00">
        <w:rPr>
          <w:rStyle w:val="Emphasis"/>
          <w:szCs w:val="20"/>
        </w:rPr>
        <w:t>GEMS impact calculations</w:t>
      </w:r>
    </w:p>
    <w:p w:rsidR="001B6EBA" w:rsidRPr="004E675B" w:rsidRDefault="001B6EBA" w:rsidP="00196A23">
      <w:pPr>
        <w:pBdr>
          <w:top w:val="single" w:sz="4" w:space="1" w:color="auto"/>
          <w:left w:val="single" w:sz="4" w:space="4" w:color="auto"/>
          <w:bottom w:val="single" w:sz="4" w:space="1" w:color="auto"/>
          <w:right w:val="single" w:sz="4" w:space="4" w:color="auto"/>
        </w:pBdr>
        <w:spacing w:after="0"/>
        <w:rPr>
          <w:b/>
          <w:sz w:val="22"/>
        </w:rPr>
      </w:pPr>
      <w:r w:rsidRPr="004E675B">
        <w:rPr>
          <w:b/>
          <w:sz w:val="22"/>
        </w:rPr>
        <w:t>Data</w:t>
      </w:r>
    </w:p>
    <w:p w:rsidR="001B6EBA" w:rsidRPr="004E675B" w:rsidRDefault="001B6EBA" w:rsidP="002150B0">
      <w:pPr>
        <w:pBdr>
          <w:top w:val="single" w:sz="4" w:space="1" w:color="auto"/>
          <w:left w:val="single" w:sz="4" w:space="4" w:color="auto"/>
          <w:bottom w:val="single" w:sz="4" w:space="1" w:color="auto"/>
          <w:right w:val="single" w:sz="4" w:space="4" w:color="auto"/>
        </w:pBdr>
        <w:rPr>
          <w:sz w:val="22"/>
        </w:rPr>
      </w:pPr>
      <w:r w:rsidRPr="004E675B">
        <w:rPr>
          <w:sz w:val="22"/>
        </w:rPr>
        <w:t>The costs and benefits estimates for GEMS have been calculated using historical data on regulated appliances. The sales of white goods and consumer electronics have been recorded since 2000. Every product that is regulated under GEMS and sold in Australia has submitted a test report on efficiency. Matching these two data sets provides very detailed data on the efficiency, cost and sales number of almost every product regulated by GEMS. In some cases, sales data is not available and in these cases biannual surveys of over 1000 sales are used to estimate sales trends.</w:t>
      </w:r>
    </w:p>
    <w:p w:rsidR="001B6EBA" w:rsidRPr="004E675B" w:rsidRDefault="001B6EBA" w:rsidP="002150B0">
      <w:pPr>
        <w:pBdr>
          <w:top w:val="single" w:sz="4" w:space="1" w:color="auto"/>
          <w:left w:val="single" w:sz="4" w:space="4" w:color="auto"/>
          <w:bottom w:val="single" w:sz="4" w:space="1" w:color="auto"/>
          <w:right w:val="single" w:sz="4" w:space="4" w:color="auto"/>
        </w:pBdr>
        <w:spacing w:after="0"/>
        <w:rPr>
          <w:b/>
          <w:sz w:val="22"/>
        </w:rPr>
      </w:pPr>
      <w:r w:rsidRPr="004E675B">
        <w:rPr>
          <w:b/>
          <w:sz w:val="22"/>
        </w:rPr>
        <w:t>Efficiency calculations</w:t>
      </w:r>
    </w:p>
    <w:p w:rsidR="001B6EBA" w:rsidRPr="004E675B" w:rsidRDefault="004817AB" w:rsidP="00C07210">
      <w:pPr>
        <w:pBdr>
          <w:top w:val="single" w:sz="4" w:space="1" w:color="auto"/>
          <w:left w:val="single" w:sz="4" w:space="4" w:color="auto"/>
          <w:bottom w:val="single" w:sz="4" w:space="1" w:color="auto"/>
          <w:right w:val="single" w:sz="4" w:space="4" w:color="auto"/>
        </w:pBdr>
        <w:rPr>
          <w:sz w:val="22"/>
        </w:rPr>
      </w:pPr>
      <w:r>
        <w:rPr>
          <w:sz w:val="22"/>
        </w:rPr>
        <w:t>Using this data, the D</w:t>
      </w:r>
      <w:r w:rsidR="001B6EBA" w:rsidRPr="004E675B">
        <w:rPr>
          <w:sz w:val="22"/>
        </w:rPr>
        <w:t xml:space="preserve">epartment builds up stock models of previous years. The </w:t>
      </w:r>
      <w:r w:rsidR="002214DB">
        <w:rPr>
          <w:sz w:val="22"/>
        </w:rPr>
        <w:t>D</w:t>
      </w:r>
      <w:r w:rsidR="002214DB" w:rsidRPr="004E675B">
        <w:rPr>
          <w:sz w:val="22"/>
        </w:rPr>
        <w:t xml:space="preserve">epartment </w:t>
      </w:r>
      <w:r w:rsidR="001B6EBA" w:rsidRPr="004E675B">
        <w:rPr>
          <w:sz w:val="22"/>
        </w:rPr>
        <w:t>then overlays information about the regulations that were put in place so it can be seen which products the regulations removed and how suppliers reacted to the regulation. For example, did they all manufacture products that just met the new efficiency standard or did they make significant improvements? The trends over time are investigated to see how long it took suppliers to substantially improve to the point at which the regulation no longer had an effect. This will often correspond to a technology change or moves internationally to increase efficiency levels which have flow on effects domestically. The difference in cost between the old and new products is taken as the cost to the consumer of the regulations. Often there is no noticeable cost to the consumer from a regulation, however in some cases the costs can be significant.</w:t>
      </w:r>
    </w:p>
    <w:p w:rsidR="001B6EBA" w:rsidRPr="004E675B" w:rsidRDefault="001B6EBA" w:rsidP="00F740A0">
      <w:pPr>
        <w:pBdr>
          <w:top w:val="single" w:sz="4" w:space="1" w:color="auto"/>
          <w:left w:val="single" w:sz="4" w:space="4" w:color="auto"/>
          <w:bottom w:val="single" w:sz="4" w:space="1" w:color="auto"/>
          <w:right w:val="single" w:sz="4" w:space="4" w:color="auto"/>
        </w:pBdr>
        <w:spacing w:after="0"/>
        <w:rPr>
          <w:b/>
          <w:sz w:val="22"/>
        </w:rPr>
      </w:pPr>
      <w:r w:rsidRPr="004E675B">
        <w:rPr>
          <w:b/>
          <w:sz w:val="22"/>
        </w:rPr>
        <w:t>Labelling</w:t>
      </w:r>
    </w:p>
    <w:p w:rsidR="001B6EBA" w:rsidRPr="004E675B" w:rsidRDefault="001B6EBA" w:rsidP="00F740A0">
      <w:pPr>
        <w:pBdr>
          <w:top w:val="single" w:sz="4" w:space="1" w:color="auto"/>
          <w:left w:val="single" w:sz="4" w:space="4" w:color="auto"/>
          <w:bottom w:val="single" w:sz="4" w:space="1" w:color="auto"/>
          <w:right w:val="single" w:sz="4" w:space="4" w:color="auto"/>
        </w:pBdr>
        <w:rPr>
          <w:sz w:val="22"/>
        </w:rPr>
      </w:pPr>
      <w:r w:rsidRPr="004E675B">
        <w:rPr>
          <w:sz w:val="22"/>
        </w:rPr>
        <w:t xml:space="preserve">The impact of how consumers are responding to information provided on energy rating labels is estimated by comparing the average efficiency of products manufacturers place on the market, with the sales weighted efficiency in any one year. The theory being, manufacturers will put a range of products out to the market, and if the label is having an impact, then consumers will purchase more of the higher star products. </w:t>
      </w:r>
    </w:p>
    <w:p w:rsidR="001B6EBA" w:rsidRPr="004E675B" w:rsidRDefault="001B6EBA" w:rsidP="00F740A0">
      <w:pPr>
        <w:pBdr>
          <w:top w:val="single" w:sz="4" w:space="1" w:color="auto"/>
          <w:left w:val="single" w:sz="4" w:space="4" w:color="auto"/>
          <w:bottom w:val="single" w:sz="4" w:space="1" w:color="auto"/>
          <w:right w:val="single" w:sz="4" w:space="4" w:color="auto"/>
        </w:pBdr>
        <w:spacing w:after="0"/>
        <w:rPr>
          <w:b/>
          <w:sz w:val="22"/>
        </w:rPr>
      </w:pPr>
      <w:r w:rsidRPr="004E675B">
        <w:rPr>
          <w:b/>
          <w:sz w:val="22"/>
        </w:rPr>
        <w:t>Range of estimates</w:t>
      </w:r>
    </w:p>
    <w:p w:rsidR="008417C3" w:rsidRPr="004E675B" w:rsidRDefault="001B6EBA" w:rsidP="005619A1">
      <w:pPr>
        <w:pBdr>
          <w:top w:val="single" w:sz="4" w:space="1" w:color="auto"/>
          <w:left w:val="single" w:sz="4" w:space="4" w:color="auto"/>
          <w:bottom w:val="single" w:sz="4" w:space="1" w:color="auto"/>
          <w:right w:val="single" w:sz="4" w:space="4" w:color="auto"/>
        </w:pBdr>
        <w:spacing w:after="240"/>
        <w:rPr>
          <w:sz w:val="22"/>
        </w:rPr>
      </w:pPr>
      <w:r w:rsidRPr="004E675B">
        <w:rPr>
          <w:sz w:val="22"/>
        </w:rPr>
        <w:t xml:space="preserve">The net benefits are always described as a high and low figure, this includes all the statistical errors that are inherent to the data being used. The high and low figures, represent around an 80 per cent confidence interval. Without the ability to meter every appliance in every home before and after a regulation the </w:t>
      </w:r>
      <w:r w:rsidR="002214DB">
        <w:rPr>
          <w:sz w:val="22"/>
        </w:rPr>
        <w:t>D</w:t>
      </w:r>
      <w:r w:rsidR="002214DB" w:rsidRPr="004E675B">
        <w:rPr>
          <w:sz w:val="22"/>
        </w:rPr>
        <w:t xml:space="preserve">epartment </w:t>
      </w:r>
      <w:r w:rsidRPr="004E675B">
        <w:rPr>
          <w:sz w:val="22"/>
        </w:rPr>
        <w:t>could not provide a single point estimate of the costs and benefits</w:t>
      </w:r>
      <w:r w:rsidR="00A07611">
        <w:rPr>
          <w:sz w:val="22"/>
        </w:rPr>
        <w:t>.</w:t>
      </w:r>
    </w:p>
    <w:p w:rsidR="00E83FA8" w:rsidRDefault="00E83FA8" w:rsidP="00037D82">
      <w:r w:rsidRPr="001B7716">
        <w:t>A robust independent assessment of the impact of GEMS regulations utilising the most recent data, assumptions and modelling tools would give stakeholders greater confidence in E3’s stated benefits.</w:t>
      </w:r>
      <w:r>
        <w:t xml:space="preserve"> </w:t>
      </w:r>
      <w:r w:rsidRPr="001B7716">
        <w:t xml:space="preserve">Additionally, </w:t>
      </w:r>
      <w:r>
        <w:t xml:space="preserve">the </w:t>
      </w:r>
      <w:r w:rsidRPr="001B7716">
        <w:t>Department of the Environment and Energy should secure an independent review and audit of their cost benefit model to provide stakeholder additional assurance that regulations are based on sound analysis.</w:t>
      </w:r>
    </w:p>
    <w:p w:rsidR="00E83FA8" w:rsidRPr="004F3448" w:rsidRDefault="00E83FA8" w:rsidP="003442DC">
      <w:pPr>
        <w:pStyle w:val="RecHead"/>
      </w:pPr>
      <w:r w:rsidRPr="004F3448">
        <w:t>RECOMMENDATION</w:t>
      </w:r>
      <w:r>
        <w:t xml:space="preserve"> 2</w:t>
      </w:r>
      <w:r w:rsidR="0042578E">
        <w:t>7</w:t>
      </w:r>
    </w:p>
    <w:p w:rsidR="00C743A5" w:rsidRPr="00C743A5" w:rsidRDefault="00E83FA8" w:rsidP="00C743A5">
      <w:pPr>
        <w:rPr>
          <w:b/>
          <w:bCs/>
        </w:rPr>
      </w:pPr>
      <w:r w:rsidRPr="00C743A5">
        <w:rPr>
          <w:b/>
          <w:bCs/>
        </w:rPr>
        <w:t xml:space="preserve">The Commonwealth Government commission an independent assessment of the benefits delivered by current GEMS regulations. </w:t>
      </w:r>
    </w:p>
    <w:p w:rsidR="00C743A5" w:rsidRDefault="00C743A5">
      <w:pPr>
        <w:spacing w:before="0" w:after="0" w:line="240" w:lineRule="auto"/>
        <w:rPr>
          <w:b/>
          <w:bCs/>
        </w:rPr>
      </w:pPr>
      <w:r>
        <w:rPr>
          <w:b/>
          <w:bCs/>
        </w:rPr>
        <w:br w:type="page"/>
      </w:r>
    </w:p>
    <w:p w:rsidR="00E83FA8" w:rsidRPr="004F3448" w:rsidRDefault="00E83FA8" w:rsidP="003442DC">
      <w:pPr>
        <w:pStyle w:val="RecHead"/>
      </w:pPr>
      <w:r w:rsidRPr="004F3448">
        <w:lastRenderedPageBreak/>
        <w:t>RECOMMENDATION</w:t>
      </w:r>
      <w:r>
        <w:t xml:space="preserve"> 2</w:t>
      </w:r>
      <w:r w:rsidR="0042578E">
        <w:t>8</w:t>
      </w:r>
    </w:p>
    <w:p w:rsidR="00E83FA8" w:rsidRPr="00C743A5" w:rsidRDefault="00E83FA8" w:rsidP="00C743A5">
      <w:pPr>
        <w:rPr>
          <w:b/>
          <w:bCs/>
        </w:rPr>
      </w:pPr>
      <w:r w:rsidRPr="00C743A5">
        <w:rPr>
          <w:b/>
          <w:bCs/>
        </w:rPr>
        <w:t xml:space="preserve">The Commonwealth Government commission an independent audit of the methodology and model used in the calculation of the cost and benefits of equipment and appliance energy efficiency regulations. </w:t>
      </w:r>
    </w:p>
    <w:p w:rsidR="001B6EBA" w:rsidRPr="00F25EB7" w:rsidRDefault="00AD6A63" w:rsidP="00F740A0">
      <w:pPr>
        <w:pStyle w:val="Heading2"/>
      </w:pPr>
      <w:bookmarkStart w:id="86" w:name="_Toc18661008"/>
      <w:r w:rsidRPr="00CB5EA3">
        <w:t xml:space="preserve">5.6 </w:t>
      </w:r>
      <w:r w:rsidRPr="00CB5EA3">
        <w:tab/>
        <w:t xml:space="preserve">Consumer </w:t>
      </w:r>
      <w:r w:rsidR="008C238F">
        <w:t>b</w:t>
      </w:r>
      <w:r w:rsidR="008C238F" w:rsidRPr="00CB5EA3">
        <w:t>ehaviour</w:t>
      </w:r>
      <w:bookmarkEnd w:id="86"/>
    </w:p>
    <w:p w:rsidR="00415FBB" w:rsidRPr="00F740A0" w:rsidRDefault="00415FBB" w:rsidP="00F740A0">
      <w:pPr>
        <w:pStyle w:val="Heading3"/>
      </w:pPr>
      <w:bookmarkStart w:id="87" w:name="_Toc18661009"/>
      <w:r w:rsidRPr="005F3AF8">
        <w:t>5.</w:t>
      </w:r>
      <w:r w:rsidR="00AD6A63" w:rsidRPr="005F3AF8">
        <w:t>6</w:t>
      </w:r>
      <w:r w:rsidRPr="00CB5EA3">
        <w:t>.</w:t>
      </w:r>
      <w:r w:rsidR="00AD6A63" w:rsidRPr="00CB5EA3">
        <w:t>1</w:t>
      </w:r>
      <w:r w:rsidRPr="00CB5EA3">
        <w:t xml:space="preserve"> </w:t>
      </w:r>
      <w:r w:rsidRPr="00CB5EA3">
        <w:tab/>
        <w:t>Energy rating label</w:t>
      </w:r>
      <w:bookmarkEnd w:id="84"/>
      <w:bookmarkEnd w:id="87"/>
    </w:p>
    <w:p w:rsidR="006B3797" w:rsidRPr="005C0227" w:rsidRDefault="00415FBB" w:rsidP="00F740A0">
      <w:r w:rsidRPr="005C0227">
        <w:t>Two main issues in relation to energy rating labels were raised in submissions to this review:</w:t>
      </w:r>
      <w:r w:rsidR="00105DD3" w:rsidRPr="005C0227">
        <w:t xml:space="preserve"> </w:t>
      </w:r>
    </w:p>
    <w:p w:rsidR="00105DD3" w:rsidRDefault="00105DD3" w:rsidP="008A7FC0">
      <w:pPr>
        <w:pStyle w:val="ListParagraph"/>
        <w:numPr>
          <w:ilvl w:val="0"/>
          <w:numId w:val="16"/>
        </w:numPr>
        <w:ind w:left="426" w:hanging="284"/>
      </w:pPr>
      <w:r w:rsidRPr="00660A22">
        <w:t>online labelling and print advertising</w:t>
      </w:r>
      <w:r w:rsidR="00EA3D42">
        <w:t>; and</w:t>
      </w:r>
    </w:p>
    <w:p w:rsidR="00415FBB" w:rsidRPr="005C0227" w:rsidRDefault="00105DD3" w:rsidP="008A7FC0">
      <w:pPr>
        <w:pStyle w:val="ListParagraph"/>
        <w:numPr>
          <w:ilvl w:val="0"/>
          <w:numId w:val="16"/>
        </w:numPr>
        <w:ind w:left="426" w:hanging="284"/>
      </w:pPr>
      <w:r>
        <w:t xml:space="preserve">possible changes to </w:t>
      </w:r>
      <w:r w:rsidR="00037AAA">
        <w:t>the current ERL</w:t>
      </w:r>
      <w:r w:rsidR="00EA3D42">
        <w:t>.</w:t>
      </w:r>
    </w:p>
    <w:p w:rsidR="00415FBB" w:rsidRPr="00660A22" w:rsidRDefault="00415FBB" w:rsidP="004E675B">
      <w:pPr>
        <w:pStyle w:val="Heading4"/>
      </w:pPr>
      <w:r w:rsidRPr="00660A22">
        <w:t>Online labelling and print advertising</w:t>
      </w:r>
    </w:p>
    <w:p w:rsidR="00415FBB" w:rsidRDefault="00415FBB" w:rsidP="00F740A0">
      <w:r w:rsidRPr="00BD0D26">
        <w:t xml:space="preserve">While the GEMS Act mandates the display of the </w:t>
      </w:r>
      <w:r w:rsidR="00037AAA">
        <w:t>ERL</w:t>
      </w:r>
      <w:r w:rsidRPr="00BD0D26">
        <w:t xml:space="preserve"> in stores on </w:t>
      </w:r>
      <w:r>
        <w:t>relevant</w:t>
      </w:r>
      <w:r w:rsidRPr="00BD0D26">
        <w:t xml:space="preserve"> regulated products, the use of the Energy Rating Icon (a simpler version of the </w:t>
      </w:r>
      <w:r w:rsidR="005B2C07">
        <w:t>ERL</w:t>
      </w:r>
      <w:r w:rsidRPr="00BD0D26">
        <w:t xml:space="preserve"> </w:t>
      </w:r>
      <w:r w:rsidR="00D32889">
        <w:t>that is more easily read, and understood,</w:t>
      </w:r>
      <w:r w:rsidRPr="00BD0D26">
        <w:t xml:space="preserve"> online</w:t>
      </w:r>
      <w:r w:rsidR="003624F4">
        <w:t xml:space="preserve"> – including on mobile devices -</w:t>
      </w:r>
      <w:r w:rsidRPr="00BD0D26">
        <w:t xml:space="preserve"> and in p</w:t>
      </w:r>
      <w:r>
        <w:t>rint advertising) is voluntary. Some stakeholders have raised concerns about this approach.</w:t>
      </w:r>
    </w:p>
    <w:p w:rsidR="00D375C7" w:rsidRPr="00413D00" w:rsidRDefault="00D375C7" w:rsidP="0082135D">
      <w:pPr>
        <w:spacing w:after="0" w:line="240" w:lineRule="auto"/>
        <w:rPr>
          <w:rStyle w:val="Emphasis"/>
          <w:szCs w:val="20"/>
        </w:rPr>
      </w:pPr>
      <w:r w:rsidRPr="00413D00">
        <w:rPr>
          <w:rStyle w:val="Emphasis"/>
          <w:szCs w:val="20"/>
        </w:rPr>
        <w:t xml:space="preserve">Figure </w:t>
      </w:r>
      <w:r w:rsidR="007007F3" w:rsidRPr="00413D00">
        <w:rPr>
          <w:rStyle w:val="Emphasis"/>
          <w:szCs w:val="20"/>
        </w:rPr>
        <w:t>2</w:t>
      </w:r>
      <w:r w:rsidRPr="00413D00">
        <w:rPr>
          <w:rStyle w:val="Emphasis"/>
          <w:szCs w:val="20"/>
        </w:rPr>
        <w:t>: Example of a 10 Star Energy Rating Icon for use online.</w:t>
      </w:r>
    </w:p>
    <w:p w:rsidR="00037AAA" w:rsidRDefault="006A503D" w:rsidP="00F740A0">
      <w:pPr>
        <w:jc w:val="center"/>
      </w:pPr>
      <w:r w:rsidRPr="00E576E4">
        <w:rPr>
          <w:noProof/>
          <w:lang w:eastAsia="en-AU"/>
        </w:rPr>
        <w:drawing>
          <wp:inline distT="0" distB="0" distL="0" distR="0">
            <wp:extent cx="1734820" cy="2164715"/>
            <wp:effectExtent l="0" t="0" r="0" b="0"/>
            <wp:docPr id="6" name="Picture 14" descr="Figure 2 shows an example of a 10 star energy rating icon for use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ergy Rating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4820" cy="2164715"/>
                    </a:xfrm>
                    <a:prstGeom prst="rect">
                      <a:avLst/>
                    </a:prstGeom>
                    <a:noFill/>
                    <a:ln>
                      <a:noFill/>
                    </a:ln>
                  </pic:spPr>
                </pic:pic>
              </a:graphicData>
            </a:graphic>
          </wp:inline>
        </w:drawing>
      </w:r>
    </w:p>
    <w:p w:rsidR="00415FBB" w:rsidRPr="009115F1" w:rsidRDefault="00415FBB">
      <w:pPr>
        <w:pStyle w:val="SbQuote"/>
      </w:pPr>
      <w:r w:rsidRPr="009115F1">
        <w:t>Increasing numbers of buyers now shop on-line or via catalogues. But labelling is not mandated in these media. This means the label is becoming less useful over time.</w:t>
      </w:r>
    </w:p>
    <w:p w:rsidR="00415FBB" w:rsidRPr="00BD0D26" w:rsidRDefault="00415FBB">
      <w:pPr>
        <w:pStyle w:val="SbQuoteref"/>
      </w:pPr>
      <w:r>
        <w:t>Alan Pears, 2018</w:t>
      </w:r>
    </w:p>
    <w:p w:rsidR="00415FBB" w:rsidRPr="00BD0D26" w:rsidRDefault="00415FBB" w:rsidP="00F740A0">
      <w:r w:rsidRPr="00BD0D26">
        <w:t xml:space="preserve">The COAG Energy Council considered mandatory online labelling and print advertising </w:t>
      </w:r>
      <w:r w:rsidR="00037AAA">
        <w:t>during the</w:t>
      </w:r>
      <w:r w:rsidR="00037AAA" w:rsidRPr="00BD0D26">
        <w:t xml:space="preserve"> </w:t>
      </w:r>
      <w:r w:rsidRPr="00BD0D26">
        <w:t>develop</w:t>
      </w:r>
      <w:r w:rsidR="00037AAA">
        <w:t>ment of</w:t>
      </w:r>
      <w:r w:rsidRPr="00BD0D26">
        <w:t xml:space="preserve"> the GEMS Act and determined that further work was required with regard to the costs and benefits before introducing mandatory regulation. </w:t>
      </w:r>
    </w:p>
    <w:p w:rsidR="00415FBB" w:rsidRPr="00BD0D26" w:rsidRDefault="00415FBB" w:rsidP="00F740A0">
      <w:r w:rsidRPr="00BD0D26">
        <w:t xml:space="preserve">Recent work </w:t>
      </w:r>
      <w:r>
        <w:t>commissioned by E3</w:t>
      </w:r>
      <w:r w:rsidR="00037AAA">
        <w:t>,</w:t>
      </w:r>
      <w:r>
        <w:t xml:space="preserve"> examined </w:t>
      </w:r>
      <w:r w:rsidR="00037AAA">
        <w:t>if, and to what extent,</w:t>
      </w:r>
      <w:r w:rsidRPr="00BD0D26">
        <w:t xml:space="preserve"> the presence of energy rating information at the </w:t>
      </w:r>
      <w:r w:rsidR="00037AAA" w:rsidRPr="00BD0D26">
        <w:t xml:space="preserve">online </w:t>
      </w:r>
      <w:r w:rsidRPr="00BD0D26">
        <w:t>point-of-purchase</w:t>
      </w:r>
      <w:r w:rsidR="00037AAA">
        <w:t>,</w:t>
      </w:r>
      <w:r w:rsidRPr="00BD0D26">
        <w:t xml:space="preserve"> influence</w:t>
      </w:r>
      <w:r w:rsidR="00037AAA">
        <w:t>d</w:t>
      </w:r>
      <w:r w:rsidRPr="00BD0D26">
        <w:t xml:space="preserve"> the energy efficiency of consumers’ purchase decisions. Research </w:t>
      </w:r>
      <w:r w:rsidR="00037AAA">
        <w:t>conducted on</w:t>
      </w:r>
      <w:r w:rsidRPr="00BD0D26">
        <w:t xml:space="preserve"> refrigerator purchases online found that:</w:t>
      </w:r>
    </w:p>
    <w:p w:rsidR="00415FBB" w:rsidRPr="00240A12" w:rsidRDefault="00037AAA" w:rsidP="00A07611">
      <w:pPr>
        <w:pStyle w:val="ListBullet"/>
        <w:ind w:hanging="426"/>
      </w:pPr>
      <w:r w:rsidRPr="00240A12">
        <w:t xml:space="preserve">customers </w:t>
      </w:r>
      <w:r w:rsidR="00415FBB" w:rsidRPr="00240A12">
        <w:t>who are exposed to energy rating information choose more energy efficient products</w:t>
      </w:r>
      <w:r w:rsidR="00D0354D">
        <w:t>.</w:t>
      </w:r>
    </w:p>
    <w:p w:rsidR="00415FBB" w:rsidRPr="00240A12" w:rsidRDefault="00415FBB" w:rsidP="00A07611">
      <w:pPr>
        <w:pStyle w:val="ListBullet"/>
        <w:ind w:hanging="426"/>
      </w:pPr>
      <w:r w:rsidRPr="00240A12">
        <w:lastRenderedPageBreak/>
        <w:t>the Energy Rating Icon is more effective than text only information, especially when shown at both consideration and choice stages</w:t>
      </w:r>
      <w:r w:rsidR="00D0354D">
        <w:t>.</w:t>
      </w:r>
      <w:r w:rsidRPr="00240A12">
        <w:rPr>
          <w:vertAlign w:val="superscript"/>
        </w:rPr>
        <w:footnoteReference w:id="26"/>
      </w:r>
    </w:p>
    <w:p w:rsidR="00415FBB" w:rsidRPr="00B44994" w:rsidRDefault="00415FBB" w:rsidP="00A07611">
      <w:pPr>
        <w:pStyle w:val="ListBullet"/>
        <w:ind w:hanging="426"/>
      </w:pPr>
      <w:r w:rsidRPr="00240A12">
        <w:t xml:space="preserve">the simplified version of the </w:t>
      </w:r>
      <w:r w:rsidR="00037AAA" w:rsidRPr="00240A12">
        <w:t>ERL</w:t>
      </w:r>
      <w:r w:rsidRPr="00240A12">
        <w:t xml:space="preserve"> (the Energy Rating Icon) is generally understood.</w:t>
      </w:r>
    </w:p>
    <w:p w:rsidR="00415FBB" w:rsidRPr="00BD0D26" w:rsidRDefault="00415FBB" w:rsidP="00F740A0">
      <w:r w:rsidRPr="00BD0D26">
        <w:t>E3 has flagged the potential of testing if the same effect occurs for other appliances, to quantify the benefits of mandating display of energy rating information online</w:t>
      </w:r>
      <w:r w:rsidR="00045915">
        <w:t>.</w:t>
      </w:r>
      <w:r w:rsidR="004C5332">
        <w:t xml:space="preserve"> </w:t>
      </w:r>
      <w:r w:rsidR="00045915">
        <w:t>Additionally, f</w:t>
      </w:r>
      <w:r w:rsidRPr="00BD0D26">
        <w:t xml:space="preserve">urther </w:t>
      </w:r>
      <w:r w:rsidRPr="0011207C">
        <w:t>work is being undertaken to further understand</w:t>
      </w:r>
      <w:r w:rsidRPr="00BD0D26">
        <w:t xml:space="preserve"> the costs that would be imposed by mandating the display of energy rating information online and the compliance resources needed to enforce this. E3 is also working to understand the costs and benefits of mandating the display of energy rating information in print advertising. </w:t>
      </w:r>
    </w:p>
    <w:p w:rsidR="00415FBB" w:rsidRDefault="00415FBB" w:rsidP="00F740A0">
      <w:r w:rsidRPr="00BD0D26">
        <w:t>No legislative changes to the GEMS Act are required in order to mandate the use of the Energy Rating Icon.</w:t>
      </w:r>
    </w:p>
    <w:p w:rsidR="00415FBB" w:rsidRDefault="00415FBB" w:rsidP="003442DC">
      <w:pPr>
        <w:pStyle w:val="RecHead"/>
      </w:pPr>
      <w:r w:rsidRPr="00BD0D26">
        <w:t>RECOMMENDATION</w:t>
      </w:r>
      <w:r>
        <w:t xml:space="preserve"> </w:t>
      </w:r>
      <w:r w:rsidR="000E60F1">
        <w:t>2</w:t>
      </w:r>
      <w:r w:rsidR="0042578E">
        <w:t>9</w:t>
      </w:r>
    </w:p>
    <w:p w:rsidR="00045915" w:rsidRPr="00C743A5" w:rsidRDefault="00045915" w:rsidP="00C743A5">
      <w:pPr>
        <w:rPr>
          <w:b/>
          <w:bCs/>
        </w:rPr>
      </w:pPr>
      <w:r w:rsidRPr="00C743A5">
        <w:rPr>
          <w:b/>
          <w:bCs/>
        </w:rPr>
        <w:t xml:space="preserve">The </w:t>
      </w:r>
      <w:r w:rsidR="00B3581E" w:rsidRPr="00C743A5">
        <w:rPr>
          <w:b/>
          <w:bCs/>
        </w:rPr>
        <w:t>Commonwealth Government request</w:t>
      </w:r>
      <w:r w:rsidR="00B7508E" w:rsidRPr="00C743A5">
        <w:rPr>
          <w:b/>
          <w:bCs/>
        </w:rPr>
        <w:t xml:space="preserve"> that</w:t>
      </w:r>
      <w:r w:rsidR="00B3581E" w:rsidRPr="00C743A5">
        <w:rPr>
          <w:b/>
          <w:bCs/>
        </w:rPr>
        <w:t xml:space="preserve"> the COAG Energy Council </w:t>
      </w:r>
      <w:r w:rsidRPr="00C743A5">
        <w:rPr>
          <w:b/>
          <w:bCs/>
        </w:rPr>
        <w:t>continue to examine the costs and benefits associated with mandatory disclosure of energy rating information online</w:t>
      </w:r>
      <w:r w:rsidR="00E55253" w:rsidRPr="00C743A5">
        <w:rPr>
          <w:b/>
          <w:bCs/>
        </w:rPr>
        <w:t xml:space="preserve"> and in print advertising</w:t>
      </w:r>
      <w:r w:rsidRPr="00C743A5">
        <w:rPr>
          <w:b/>
          <w:bCs/>
        </w:rPr>
        <w:t>.</w:t>
      </w:r>
    </w:p>
    <w:p w:rsidR="00415FBB" w:rsidRPr="00851D16" w:rsidRDefault="00415FBB" w:rsidP="00F740A0">
      <w:pPr>
        <w:pStyle w:val="Heading4"/>
      </w:pPr>
      <w:r w:rsidRPr="00851D16">
        <w:t xml:space="preserve">Possible changes to </w:t>
      </w:r>
      <w:r w:rsidR="00443A23">
        <w:t>the current ERL</w:t>
      </w:r>
    </w:p>
    <w:p w:rsidR="00415FBB" w:rsidRDefault="00415FBB" w:rsidP="00F740A0">
      <w:r w:rsidRPr="00FA3AD6">
        <w:t xml:space="preserve">The ERL </w:t>
      </w:r>
      <w:r w:rsidR="002214DB">
        <w:t>is</w:t>
      </w:r>
      <w:r w:rsidRPr="00FA3AD6">
        <w:t xml:space="preserve"> used to inform customers of the relative energy efficiency of appliances. It was first introduced in New South Wales </w:t>
      </w:r>
      <w:r w:rsidR="002214DB">
        <w:t xml:space="preserve">in </w:t>
      </w:r>
      <w:r w:rsidRPr="00FA3AD6">
        <w:t xml:space="preserve">1986, and has remained relatively unchanged. </w:t>
      </w:r>
      <w:r w:rsidRPr="001B3C07">
        <w:t xml:space="preserve">Evidence suggests that consumer understanding and interpretation of the </w:t>
      </w:r>
      <w:r>
        <w:t xml:space="preserve">ERL could be enhanced. In recognition of this potential for improvement, a range of possible changes to labelling were suggested in stakeholder submissions. </w:t>
      </w:r>
    </w:p>
    <w:p w:rsidR="00CD7A3B" w:rsidRPr="009115F1" w:rsidRDefault="000A7BC8">
      <w:pPr>
        <w:pStyle w:val="SbQuote"/>
        <w:rPr>
          <w:lang w:eastAsia="en-AU"/>
        </w:rPr>
      </w:pPr>
      <w:r w:rsidRPr="009115F1">
        <w:rPr>
          <w:lang w:eastAsia="en-AU"/>
        </w:rPr>
        <w:t>It would be worth considering the use of a dollar value indicator (based on a</w:t>
      </w:r>
      <w:r w:rsidR="00B134A3" w:rsidRPr="009115F1">
        <w:rPr>
          <w:lang w:eastAsia="en-AU"/>
        </w:rPr>
        <w:t xml:space="preserve"> </w:t>
      </w:r>
      <w:r w:rsidRPr="009115F1">
        <w:rPr>
          <w:lang w:eastAsia="en-AU"/>
        </w:rPr>
        <w:t>conservative average of national energy pricing) in the ERL to give consumers an idea of what</w:t>
      </w:r>
      <w:r w:rsidR="00B134A3" w:rsidRPr="009115F1">
        <w:rPr>
          <w:lang w:eastAsia="en-AU"/>
        </w:rPr>
        <w:t xml:space="preserve"> </w:t>
      </w:r>
      <w:r w:rsidRPr="009115F1">
        <w:rPr>
          <w:lang w:eastAsia="en-AU"/>
        </w:rPr>
        <w:t>long term impacts this will have on their electricity bill.</w:t>
      </w:r>
    </w:p>
    <w:p w:rsidR="00B134A3" w:rsidRDefault="00B134A3">
      <w:pPr>
        <w:pStyle w:val="SbQuoteref"/>
        <w:rPr>
          <w:szCs w:val="24"/>
        </w:rPr>
      </w:pPr>
      <w:r>
        <w:t>Choice, 2018</w:t>
      </w:r>
    </w:p>
    <w:p w:rsidR="00B134A3" w:rsidRPr="009115F1" w:rsidRDefault="00B134A3">
      <w:pPr>
        <w:pStyle w:val="SbQuote"/>
      </w:pPr>
      <w:r w:rsidRPr="009115F1">
        <w:t xml:space="preserve">To make competing energy cost and emissions information more salient can GEMS labels possibly state in dollar terms the payback time and ultimate gains, in dollars, a device choice offers? Could a form of GEMS labelling (or supplemental label) simply state total financial benefit and total environmental benefit? </w:t>
      </w:r>
    </w:p>
    <w:p w:rsidR="00B134A3" w:rsidRPr="00E30752" w:rsidRDefault="00B134A3">
      <w:pPr>
        <w:pStyle w:val="SbQuoteref"/>
      </w:pPr>
      <w:r>
        <w:t>Generation Shared, 2018</w:t>
      </w:r>
    </w:p>
    <w:p w:rsidR="00ED7279" w:rsidRDefault="00DC0582" w:rsidP="00F740A0">
      <w:r>
        <w:t>Other suggestions included the development of a much broader label covering embedded energy</w:t>
      </w:r>
      <w:r w:rsidR="003C411B">
        <w:rPr>
          <w:rStyle w:val="FootnoteReference"/>
          <w:szCs w:val="24"/>
        </w:rPr>
        <w:footnoteReference w:id="27"/>
      </w:r>
      <w:r w:rsidR="003C411B">
        <w:t xml:space="preserve"> </w:t>
      </w:r>
      <w:r>
        <w:t xml:space="preserve">and </w:t>
      </w:r>
      <w:r w:rsidR="00ED7279">
        <w:t xml:space="preserve">the challenges for consumers in understanding the star rating scale </w:t>
      </w:r>
      <w:r w:rsidR="00ED7279" w:rsidRPr="00FE0507">
        <w:t>when technologies for some appliances are ch</w:t>
      </w:r>
      <w:r w:rsidR="00ED7279">
        <w:t>anging much faster than others.</w:t>
      </w:r>
      <w:r w:rsidR="004C5332">
        <w:t xml:space="preserve"> </w:t>
      </w:r>
    </w:p>
    <w:p w:rsidR="00415FBB" w:rsidRDefault="00415FBB" w:rsidP="00F740A0">
      <w:r>
        <w:t>The effectiveness</w:t>
      </w:r>
      <w:r w:rsidR="00443A23">
        <w:t xml:space="preserve"> and enhancement </w:t>
      </w:r>
      <w:r>
        <w:t xml:space="preserve">of the ERL is part of </w:t>
      </w:r>
      <w:r w:rsidR="002214DB">
        <w:t xml:space="preserve">an </w:t>
      </w:r>
      <w:r>
        <w:t xml:space="preserve">ongoing work program for E3. Recently, the </w:t>
      </w:r>
      <w:r w:rsidR="00443A23">
        <w:t xml:space="preserve">Department of the </w:t>
      </w:r>
      <w:r>
        <w:t>Environment and Energy partnered with the Department of the Prime Min</w:t>
      </w:r>
      <w:r w:rsidR="00DA6E63">
        <w:t>i</w:t>
      </w:r>
      <w:r>
        <w:t>ster and Cabinet and</w:t>
      </w:r>
      <w:r w:rsidRPr="001B3C07">
        <w:t xml:space="preserve"> Appliances Online to </w:t>
      </w:r>
      <w:r>
        <w:t xml:space="preserve">assess whether consumers could be encouraged </w:t>
      </w:r>
      <w:r w:rsidRPr="004C0DEC">
        <w:t>to buy more energy</w:t>
      </w:r>
      <w:r w:rsidR="002214DB" w:rsidRPr="004C0DEC">
        <w:t xml:space="preserve"> </w:t>
      </w:r>
      <w:r w:rsidRPr="004C0DEC">
        <w:t>efficient appliances</w:t>
      </w:r>
      <w:r w:rsidR="00443A23">
        <w:rPr>
          <w:rFonts w:cs="Arial"/>
        </w:rPr>
        <w:t xml:space="preserve">, </w:t>
      </w:r>
      <w:r>
        <w:t>helping them to save money</w:t>
      </w:r>
      <w:r w:rsidR="00443A23">
        <w:t xml:space="preserve">, </w:t>
      </w:r>
      <w:r>
        <w:t xml:space="preserve">through changes to the ERL. </w:t>
      </w:r>
    </w:p>
    <w:p w:rsidR="00562BB6" w:rsidRDefault="00443A23" w:rsidP="00F740A0">
      <w:r>
        <w:lastRenderedPageBreak/>
        <w:t xml:space="preserve">A </w:t>
      </w:r>
      <w:r w:rsidR="00415FBB">
        <w:t xml:space="preserve">randomised control trial </w:t>
      </w:r>
      <w:r>
        <w:t>was conducted that</w:t>
      </w:r>
      <w:r w:rsidR="00562BB6">
        <w:t xml:space="preserve"> presented no energy efficiency information, the Energy Rating Icon or a modified Energy Rating Icon that presented the energy use figure in dollars rather than </w:t>
      </w:r>
      <w:r w:rsidR="00B3581E">
        <w:t>kilo-watt hours (kWh)</w:t>
      </w:r>
      <w:r w:rsidR="00562BB6">
        <w:t xml:space="preserve">. The </w:t>
      </w:r>
      <w:r w:rsidR="00B03018">
        <w:t>trial</w:t>
      </w:r>
      <w:r w:rsidR="00562BB6">
        <w:t xml:space="preserve"> </w:t>
      </w:r>
      <w:r w:rsidR="00415FBB">
        <w:t xml:space="preserve">found that </w:t>
      </w:r>
      <w:r w:rsidR="00415FBB" w:rsidRPr="00FE0507">
        <w:t xml:space="preserve">energy labels have positive effects on consumer </w:t>
      </w:r>
      <w:r w:rsidR="00415FBB">
        <w:t>behaviour compared to no labels. However, the trial</w:t>
      </w:r>
      <w:r w:rsidR="00415FBB" w:rsidRPr="00FE0507">
        <w:t xml:space="preserve"> did not find any difference between the impact of the existing label and the alternative label</w:t>
      </w:r>
      <w:r w:rsidR="00415FBB">
        <w:t xml:space="preserve"> that was tested</w:t>
      </w:r>
      <w:r w:rsidR="00415FBB" w:rsidRPr="00FE0507">
        <w:t>.</w:t>
      </w:r>
      <w:r w:rsidR="00415FBB">
        <w:t xml:space="preserve"> </w:t>
      </w:r>
    </w:p>
    <w:p w:rsidR="00415FBB" w:rsidRDefault="00562BB6" w:rsidP="00F740A0">
      <w:r>
        <w:t xml:space="preserve">The findings of this </w:t>
      </w:r>
      <w:r w:rsidR="00B03018">
        <w:t>trial</w:t>
      </w:r>
      <w:r>
        <w:t xml:space="preserve"> are available from the Prime Min</w:t>
      </w:r>
      <w:r w:rsidR="00DA6E63">
        <w:t>i</w:t>
      </w:r>
      <w:r>
        <w:t>ster and Cabinet website</w:t>
      </w:r>
      <w:r w:rsidR="00EA3D42">
        <w:t>.</w:t>
      </w:r>
      <w:r w:rsidR="00EA3D42">
        <w:rPr>
          <w:rStyle w:val="FootnoteReference"/>
        </w:rPr>
        <w:footnoteReference w:id="28"/>
      </w:r>
      <w:r>
        <w:t xml:space="preserve"> </w:t>
      </w:r>
    </w:p>
    <w:p w:rsidR="00415FBB" w:rsidRDefault="00415FBB" w:rsidP="003442DC">
      <w:pPr>
        <w:pStyle w:val="RecHead"/>
      </w:pPr>
      <w:r>
        <w:t xml:space="preserve">RECOMMENDATION </w:t>
      </w:r>
      <w:r w:rsidR="0042578E">
        <w:t>30</w:t>
      </w:r>
    </w:p>
    <w:p w:rsidR="00562BB6" w:rsidRPr="00C743A5" w:rsidRDefault="00E46ADF" w:rsidP="00C743A5">
      <w:pPr>
        <w:rPr>
          <w:b/>
          <w:bCs/>
        </w:rPr>
      </w:pPr>
      <w:r w:rsidRPr="00C743A5">
        <w:rPr>
          <w:b/>
          <w:bCs/>
        </w:rPr>
        <w:t xml:space="preserve">The </w:t>
      </w:r>
      <w:r w:rsidR="00B3581E" w:rsidRPr="00C743A5">
        <w:rPr>
          <w:b/>
          <w:bCs/>
        </w:rPr>
        <w:t>Commonwealth Government request</w:t>
      </w:r>
      <w:r w:rsidR="00B7508E" w:rsidRPr="00C743A5">
        <w:rPr>
          <w:b/>
          <w:bCs/>
        </w:rPr>
        <w:t xml:space="preserve"> that</w:t>
      </w:r>
      <w:r w:rsidR="00B3581E" w:rsidRPr="00C743A5">
        <w:rPr>
          <w:b/>
          <w:bCs/>
        </w:rPr>
        <w:t xml:space="preserve"> the COAG Energy Council </w:t>
      </w:r>
      <w:r w:rsidR="00562BB6" w:rsidRPr="00C743A5">
        <w:rPr>
          <w:b/>
          <w:bCs/>
        </w:rPr>
        <w:t>pursue potential enhancements to the ERL.</w:t>
      </w:r>
    </w:p>
    <w:p w:rsidR="00AD6A63" w:rsidRPr="00B70820" w:rsidRDefault="00AD6A63" w:rsidP="00F740A0">
      <w:pPr>
        <w:pStyle w:val="Heading3"/>
        <w:rPr>
          <w:highlight w:val="yellow"/>
        </w:rPr>
      </w:pPr>
      <w:bookmarkStart w:id="88" w:name="_Toc18661010"/>
      <w:bookmarkStart w:id="89" w:name="_Toc518817692"/>
      <w:r w:rsidRPr="00CB5EA3">
        <w:t>5.6</w:t>
      </w:r>
      <w:r w:rsidRPr="00F25EB7">
        <w:t>.</w:t>
      </w:r>
      <w:r w:rsidRPr="005F3AF8">
        <w:t xml:space="preserve">2 </w:t>
      </w:r>
      <w:r w:rsidRPr="005F3AF8">
        <w:tab/>
        <w:t>Education</w:t>
      </w:r>
      <w:bookmarkEnd w:id="88"/>
      <w:r w:rsidRPr="005F3AF8">
        <w:t xml:space="preserve"> </w:t>
      </w:r>
    </w:p>
    <w:p w:rsidR="00AD6A63" w:rsidRPr="00B44994" w:rsidRDefault="00AD6A63" w:rsidP="00F740A0">
      <w:r w:rsidRPr="00240A12">
        <w:t xml:space="preserve">A common theme during consultation was the challenge associated with shifting behaviour regarding energy use. This observation is supported by a range of research and is one of the main reasons for </w:t>
      </w:r>
      <w:r w:rsidR="00FA397C" w:rsidRPr="00240A12">
        <w:t>energy efficiency regulation such as</w:t>
      </w:r>
      <w:r w:rsidRPr="00240A12">
        <w:t xml:space="preserve"> GEMS</w:t>
      </w:r>
      <w:r w:rsidRPr="00B44994">
        <w:t xml:space="preserve">. </w:t>
      </w:r>
    </w:p>
    <w:p w:rsidR="00AD6A63" w:rsidRPr="00F740A0" w:rsidRDefault="006C2162" w:rsidP="00F740A0">
      <w:r w:rsidRPr="001875E6">
        <w:t>Every sector has unique challenges</w:t>
      </w:r>
      <w:r w:rsidRPr="00196A23" w:rsidDel="006C2162">
        <w:t xml:space="preserve"> </w:t>
      </w:r>
      <w:r w:rsidRPr="00196A23">
        <w:t xml:space="preserve">in engaging and enabling </w:t>
      </w:r>
      <w:r w:rsidR="00AD6A63" w:rsidRPr="00196A23">
        <w:t xml:space="preserve">demand side </w:t>
      </w:r>
      <w:r w:rsidRPr="00F740A0">
        <w:t>action</w:t>
      </w:r>
      <w:r w:rsidR="00694943" w:rsidRPr="00F740A0">
        <w:t>.</w:t>
      </w:r>
      <w:r w:rsidR="00AD6A63" w:rsidRPr="00F740A0">
        <w:t xml:space="preserve"> </w:t>
      </w:r>
      <w:r w:rsidR="00694943" w:rsidRPr="00F740A0">
        <w:t>I</w:t>
      </w:r>
      <w:r w:rsidR="00AD6A63" w:rsidRPr="00F740A0">
        <w:t>t is noted</w:t>
      </w:r>
      <w:r w:rsidR="00694943" w:rsidRPr="00F740A0">
        <w:t xml:space="preserve">, </w:t>
      </w:r>
      <w:r w:rsidR="00AD6A63" w:rsidRPr="00F740A0">
        <w:t xml:space="preserve">that the water sector has achieved very successful outcomes in terms of behaviour change around conservation. Generation Shared highlighted this in its submission: </w:t>
      </w:r>
    </w:p>
    <w:p w:rsidR="00AD6A63" w:rsidRPr="009115F1" w:rsidRDefault="00AD6A63">
      <w:pPr>
        <w:pStyle w:val="SbQuote"/>
      </w:pPr>
      <w:r w:rsidRPr="009115F1">
        <w:t xml:space="preserve">Consumers can respond to signals and substantially conserve. Melbourne is the international poster child for water conservation with demand having halved during the 03-09 drought and it has stayed down ever since. This is attributed to the Yarra Water Target 155 campaign which used innovative group signals to bring about behaviour change in whole streets at once. </w:t>
      </w:r>
    </w:p>
    <w:p w:rsidR="00AD6A63" w:rsidRPr="00E30752" w:rsidRDefault="00AD6A63">
      <w:pPr>
        <w:pStyle w:val="SbQuoteref"/>
      </w:pPr>
      <w:r>
        <w:t>Generation Shared, 2018</w:t>
      </w:r>
    </w:p>
    <w:p w:rsidR="00AD6A63" w:rsidRDefault="00AD6A63" w:rsidP="00F740A0">
      <w:r w:rsidRPr="00240A12">
        <w:t xml:space="preserve">In addition to considering innovative ideas from the water sector, stakeholders offered a range of other suggestions relating to education and behaviour change they believed could be applied to product energy efficiency. These are summarised in </w:t>
      </w:r>
      <w:r w:rsidR="007007F3" w:rsidRPr="00C743A5">
        <w:rPr>
          <w:b/>
          <w:bCs/>
        </w:rPr>
        <w:t>T</w:t>
      </w:r>
      <w:r w:rsidRPr="00C743A5">
        <w:rPr>
          <w:b/>
          <w:bCs/>
        </w:rPr>
        <w:t>able</w:t>
      </w:r>
      <w:r w:rsidR="00562BB6" w:rsidRPr="00C743A5">
        <w:rPr>
          <w:b/>
          <w:bCs/>
        </w:rPr>
        <w:t xml:space="preserve"> </w:t>
      </w:r>
      <w:r w:rsidR="00474EA6" w:rsidRPr="00C743A5">
        <w:rPr>
          <w:b/>
          <w:bCs/>
        </w:rPr>
        <w:t>5</w:t>
      </w:r>
      <w:r w:rsidR="0099746E">
        <w:t>.</w:t>
      </w:r>
    </w:p>
    <w:p w:rsidR="0099746E" w:rsidRPr="00240A12" w:rsidRDefault="0099746E" w:rsidP="0099746E">
      <w:r w:rsidRPr="00240A12">
        <w:t xml:space="preserve">The </w:t>
      </w:r>
      <w:r w:rsidR="003E4A33">
        <w:t xml:space="preserve">Australian </w:t>
      </w:r>
      <w:r w:rsidRPr="00240A12">
        <w:t xml:space="preserve">Government and E3 </w:t>
      </w:r>
      <w:r w:rsidR="00CC670C">
        <w:t>are</w:t>
      </w:r>
      <w:r w:rsidRPr="00240A12">
        <w:t xml:space="preserve"> progressing a range of work streams in relation to education and behaviour change. Labelling is an important tool here, and is discussed </w:t>
      </w:r>
      <w:r w:rsidRPr="004E675B">
        <w:t xml:space="preserve">in </w:t>
      </w:r>
      <w:r w:rsidRPr="00C743A5">
        <w:rPr>
          <w:b/>
          <w:bCs/>
        </w:rPr>
        <w:t xml:space="preserve">Section </w:t>
      </w:r>
      <w:r w:rsidR="00EA3D42" w:rsidRPr="00C743A5">
        <w:rPr>
          <w:b/>
          <w:bCs/>
        </w:rPr>
        <w:t>5.6.1</w:t>
      </w:r>
      <w:r w:rsidRPr="00240A12">
        <w:t>. Other examples include:</w:t>
      </w:r>
    </w:p>
    <w:p w:rsidR="0099746E" w:rsidRPr="00240A12" w:rsidRDefault="0099746E" w:rsidP="00A07611">
      <w:pPr>
        <w:pStyle w:val="ListBullet"/>
        <w:ind w:hanging="426"/>
      </w:pPr>
      <w:r w:rsidRPr="00240A12">
        <w:t xml:space="preserve">Wide ranging improvements to the energyrating.gov.au website that were made following the 2015 GEMS </w:t>
      </w:r>
      <w:r w:rsidRPr="00A97A0F">
        <w:t>review (</w:t>
      </w:r>
      <w:r w:rsidRPr="004E675B">
        <w:t xml:space="preserve">see </w:t>
      </w:r>
      <w:r w:rsidRPr="004E675B">
        <w:rPr>
          <w:b/>
        </w:rPr>
        <w:t xml:space="preserve">Appendix </w:t>
      </w:r>
      <w:r w:rsidR="00EA3D42" w:rsidRPr="00A97A0F">
        <w:rPr>
          <w:b/>
        </w:rPr>
        <w:t>B</w:t>
      </w:r>
      <w:r w:rsidRPr="004E675B">
        <w:t>), including tailored content with clear entry points for suppliers, retailers and tradespeople</w:t>
      </w:r>
      <w:r w:rsidRPr="00240A12">
        <w:t xml:space="preserve"> and consumers.</w:t>
      </w:r>
    </w:p>
    <w:p w:rsidR="0099746E" w:rsidRPr="003442DC" w:rsidRDefault="0099746E" w:rsidP="00A07611">
      <w:pPr>
        <w:pStyle w:val="ListBullet"/>
        <w:ind w:hanging="426"/>
      </w:pPr>
      <w:r w:rsidRPr="00240A12">
        <w:rPr>
          <w:lang w:val="en-US"/>
        </w:rPr>
        <w:t>Trialing paid digital marketing to actively promote content to consumers</w:t>
      </w:r>
      <w:r>
        <w:rPr>
          <w:lang w:val="en-US"/>
        </w:rPr>
        <w:t>.</w:t>
      </w:r>
    </w:p>
    <w:p w:rsidR="00E83FA8" w:rsidRPr="00F740A0" w:rsidRDefault="00E83FA8" w:rsidP="00A07611">
      <w:pPr>
        <w:pStyle w:val="ListBullet"/>
        <w:ind w:hanging="426"/>
        <w:rPr>
          <w:lang w:val="en-US"/>
        </w:rPr>
      </w:pPr>
      <w:r w:rsidRPr="00240A12">
        <w:rPr>
          <w:lang w:val="en-US"/>
        </w:rPr>
        <w:t xml:space="preserve">Continued efforts to make the Energy </w:t>
      </w:r>
      <w:r w:rsidRPr="001875E6">
        <w:rPr>
          <w:lang w:val="en-US"/>
        </w:rPr>
        <w:t>R</w:t>
      </w:r>
      <w:r w:rsidRPr="008417C3">
        <w:rPr>
          <w:lang w:val="en-US"/>
        </w:rPr>
        <w:t xml:space="preserve">ating </w:t>
      </w:r>
      <w:r w:rsidRPr="00196A23">
        <w:rPr>
          <w:lang w:val="en-US"/>
        </w:rPr>
        <w:t xml:space="preserve">Calculator easier and more intuitive for consumers to use, improving both its interface and functionality. Further enhancements were also made to the </w:t>
      </w:r>
      <w:r w:rsidRPr="000D0DC4">
        <w:rPr>
          <w:lang w:val="en-US"/>
        </w:rPr>
        <w:t>C</w:t>
      </w:r>
      <w:r w:rsidRPr="00F740A0">
        <w:rPr>
          <w:lang w:val="en-US"/>
        </w:rPr>
        <w:t xml:space="preserve">alculator </w:t>
      </w:r>
      <w:r w:rsidR="00CC670C">
        <w:rPr>
          <w:lang w:val="en-US"/>
        </w:rPr>
        <w:t>A</w:t>
      </w:r>
      <w:r w:rsidR="00CC670C" w:rsidRPr="00F740A0">
        <w:rPr>
          <w:lang w:val="en-US"/>
        </w:rPr>
        <w:t xml:space="preserve">pp </w:t>
      </w:r>
      <w:r w:rsidRPr="00F740A0">
        <w:rPr>
          <w:lang w:val="en-US"/>
        </w:rPr>
        <w:t xml:space="preserve">and the Light Bulb Saver </w:t>
      </w:r>
      <w:r w:rsidR="00CC670C">
        <w:rPr>
          <w:lang w:val="en-US"/>
        </w:rPr>
        <w:t>A</w:t>
      </w:r>
      <w:r w:rsidR="00CC670C" w:rsidRPr="00F740A0">
        <w:rPr>
          <w:lang w:val="en-US"/>
        </w:rPr>
        <w:t>pp</w:t>
      </w:r>
      <w:r w:rsidRPr="00F740A0">
        <w:rPr>
          <w:lang w:val="en-US"/>
        </w:rPr>
        <w:t xml:space="preserve">. </w:t>
      </w:r>
    </w:p>
    <w:p w:rsidR="00E83FA8" w:rsidRPr="00F740A0" w:rsidRDefault="00E83FA8" w:rsidP="00A07611">
      <w:pPr>
        <w:pStyle w:val="ListBullet"/>
        <w:ind w:hanging="426"/>
      </w:pPr>
      <w:r w:rsidRPr="00F740A0">
        <w:t>The addition of GEMS Regulator and Energy Rating YouTube channels to provide more interactive communication methods with industry and consumers.</w:t>
      </w:r>
    </w:p>
    <w:p w:rsidR="00E83FA8" w:rsidRPr="00F740A0" w:rsidRDefault="00E83FA8" w:rsidP="00A07611">
      <w:pPr>
        <w:pStyle w:val="ListBullet"/>
        <w:ind w:hanging="426"/>
      </w:pPr>
      <w:r w:rsidRPr="00F740A0">
        <w:rPr>
          <w:lang w:val="en-US"/>
        </w:rPr>
        <w:t xml:space="preserve">New video content promoting the Light Bulb Saver App and the ERL. </w:t>
      </w:r>
    </w:p>
    <w:p w:rsidR="00E83FA8" w:rsidRPr="00F740A0" w:rsidRDefault="00E83FA8" w:rsidP="00A07611">
      <w:pPr>
        <w:pStyle w:val="ListBullet"/>
        <w:ind w:hanging="426"/>
      </w:pPr>
      <w:r w:rsidRPr="00F740A0">
        <w:rPr>
          <w:lang w:val="en-US"/>
        </w:rPr>
        <w:t xml:space="preserve">The </w:t>
      </w:r>
      <w:r w:rsidRPr="006761F8">
        <w:t>National Retailer Engagement Strategy</w:t>
      </w:r>
      <w:r w:rsidRPr="00F740A0">
        <w:t xml:space="preserve">, </w:t>
      </w:r>
      <w:r>
        <w:t xml:space="preserve">developed </w:t>
      </w:r>
      <w:r w:rsidRPr="00F740A0">
        <w:t>in conjunction with Sustainability Victoria and the N</w:t>
      </w:r>
      <w:r>
        <w:t xml:space="preserve">ew </w:t>
      </w:r>
      <w:r w:rsidRPr="00F740A0">
        <w:t>S</w:t>
      </w:r>
      <w:r>
        <w:t xml:space="preserve">outh </w:t>
      </w:r>
      <w:r w:rsidRPr="00F740A0">
        <w:t>W</w:t>
      </w:r>
      <w:r>
        <w:t>ales</w:t>
      </w:r>
      <w:r w:rsidRPr="00F740A0">
        <w:t xml:space="preserve"> Office of Environment and Heritage. The strategy aims to increase </w:t>
      </w:r>
      <w:r w:rsidRPr="00F740A0">
        <w:lastRenderedPageBreak/>
        <w:t xml:space="preserve">uptake of voluntary resources such as the Energy Rating Icon, the Energy Rating Calculator and online retailer training modules. These resources are designed to assist retail staff in encouraging their customers to purchase energy efficient appliances. </w:t>
      </w:r>
    </w:p>
    <w:p w:rsidR="006979A5" w:rsidRDefault="00E83FA8" w:rsidP="00E20B61">
      <w:pPr>
        <w:pStyle w:val="ListBullet"/>
        <w:ind w:hanging="426"/>
      </w:pPr>
      <w:r w:rsidRPr="00F740A0">
        <w:t xml:space="preserve">An updated engagement and education work program to further improve communication with the regulated community. </w:t>
      </w:r>
    </w:p>
    <w:p w:rsidR="00DD7742" w:rsidRDefault="00DD7742" w:rsidP="00C743A5">
      <w:pPr>
        <w:pStyle w:val="RecHead"/>
      </w:pPr>
      <w:r>
        <w:t xml:space="preserve">RECOMMENDATION 31 </w:t>
      </w:r>
      <w:r>
        <w:tab/>
      </w:r>
    </w:p>
    <w:p w:rsidR="00DD7742" w:rsidRDefault="00DD7742" w:rsidP="0082135D">
      <w:pPr>
        <w:spacing w:after="0" w:line="240" w:lineRule="auto"/>
        <w:rPr>
          <w:b/>
          <w:bCs/>
        </w:rPr>
      </w:pPr>
      <w:r w:rsidRPr="00DD7742">
        <w:rPr>
          <w:b/>
          <w:bCs/>
        </w:rPr>
        <w:t>The Commonwealth Government request that the COAG Energy Council continues to engage in education, energy rating labelling and other efforts to promote energy efficient behaviours.</w:t>
      </w:r>
    </w:p>
    <w:p w:rsidR="00004CF1" w:rsidRPr="00413D00" w:rsidRDefault="00004CF1" w:rsidP="0082135D">
      <w:pPr>
        <w:spacing w:after="0" w:line="240" w:lineRule="auto"/>
        <w:rPr>
          <w:rStyle w:val="Emphasis"/>
          <w:szCs w:val="20"/>
        </w:rPr>
      </w:pPr>
      <w:r w:rsidRPr="00413D00">
        <w:rPr>
          <w:rStyle w:val="Emphasis"/>
          <w:szCs w:val="20"/>
        </w:rPr>
        <w:t xml:space="preserve">Table </w:t>
      </w:r>
      <w:r w:rsidR="00474EA6" w:rsidRPr="00413D00">
        <w:rPr>
          <w:rStyle w:val="Emphasis"/>
          <w:szCs w:val="20"/>
        </w:rPr>
        <w:t>5</w:t>
      </w:r>
      <w:r w:rsidRPr="00413D00">
        <w:rPr>
          <w:rStyle w:val="Emphasis"/>
          <w:szCs w:val="20"/>
        </w:rPr>
        <w:t>: Stakeholder suggestions relating to education and behaviour change</w:t>
      </w:r>
    </w:p>
    <w:p w:rsidR="00DD7742" w:rsidRPr="00413D00" w:rsidRDefault="00DD7742" w:rsidP="0082135D">
      <w:pPr>
        <w:spacing w:after="0" w:line="240" w:lineRule="auto"/>
        <w:rPr>
          <w:rStyle w:val="Emphasis"/>
          <w:szCs w:val="20"/>
        </w:rPr>
      </w:pPr>
    </w:p>
    <w:tbl>
      <w:tblPr>
        <w:tblStyle w:val="TableGrid"/>
        <w:tblW w:w="5000" w:type="pct"/>
        <w:tblLook w:val="04A0" w:firstRow="1" w:lastRow="0" w:firstColumn="1" w:lastColumn="0" w:noHBand="0" w:noVBand="1"/>
      </w:tblPr>
      <w:tblGrid>
        <w:gridCol w:w="9016"/>
      </w:tblGrid>
      <w:tr w:rsidR="00004CF1" w:rsidRPr="001F2E9E" w:rsidTr="009115F1">
        <w:trPr>
          <w:cnfStyle w:val="100000000000" w:firstRow="1" w:lastRow="0" w:firstColumn="0" w:lastColumn="0" w:oddVBand="0" w:evenVBand="0" w:oddHBand="0" w:evenHBand="0" w:firstRowFirstColumn="0" w:firstRowLastColumn="0" w:lastRowFirstColumn="0" w:lastRowLastColumn="0"/>
          <w:tblHeader/>
        </w:trPr>
        <w:tc>
          <w:tcPr>
            <w:tcW w:w="5000" w:type="pct"/>
          </w:tcPr>
          <w:p w:rsidR="00004CF1" w:rsidRPr="001F2E9E" w:rsidRDefault="00004CF1" w:rsidP="00774E06">
            <w:pPr>
              <w:spacing w:before="40" w:after="40"/>
              <w:rPr>
                <w:color w:val="FFFFCC"/>
                <w:sz w:val="22"/>
              </w:rPr>
            </w:pPr>
            <w:r w:rsidRPr="00C743A5">
              <w:rPr>
                <w:b/>
                <w:bCs/>
                <w:color w:val="000000" w:themeColor="text1"/>
              </w:rPr>
              <w:t>Stakeholder suggestions</w:t>
            </w:r>
            <w:r w:rsidRPr="002711E8">
              <w:rPr>
                <w:rStyle w:val="FootnoteReference"/>
                <w:color w:val="FFFFFF" w:themeColor="background1"/>
                <w:sz w:val="22"/>
              </w:rPr>
              <w:footnoteReference w:id="29"/>
            </w:r>
          </w:p>
        </w:tc>
      </w:tr>
      <w:tr w:rsidR="00004CF1" w:rsidRPr="00196A23" w:rsidTr="009115F1">
        <w:trPr>
          <w:cnfStyle w:val="000000100000" w:firstRow="0" w:lastRow="0" w:firstColumn="0" w:lastColumn="0" w:oddVBand="0" w:evenVBand="0" w:oddHBand="1" w:evenHBand="0" w:firstRowFirstColumn="0" w:firstRowLastColumn="0" w:lastRowFirstColumn="0" w:lastRowLastColumn="0"/>
        </w:trPr>
        <w:tc>
          <w:tcPr>
            <w:tcW w:w="5000" w:type="pct"/>
          </w:tcPr>
          <w:p w:rsidR="00004CF1" w:rsidRPr="00196A23" w:rsidRDefault="00004CF1" w:rsidP="00774E06">
            <w:pPr>
              <w:spacing w:before="40" w:after="40"/>
              <w:mirrorIndents w:val="0"/>
              <w:rPr>
                <w:b/>
                <w:sz w:val="22"/>
              </w:rPr>
            </w:pPr>
            <w:r w:rsidRPr="00196A23">
              <w:rPr>
                <w:b/>
                <w:sz w:val="22"/>
              </w:rPr>
              <w:t xml:space="preserve">Labelling </w:t>
            </w:r>
          </w:p>
          <w:p w:rsidR="00004CF1" w:rsidRPr="00196A23" w:rsidRDefault="00004CF1" w:rsidP="00774E06">
            <w:pPr>
              <w:pStyle w:val="ListBullet"/>
              <w:spacing w:before="40" w:after="40"/>
              <w:mirrorIndents w:val="0"/>
              <w:rPr>
                <w:sz w:val="22"/>
              </w:rPr>
            </w:pPr>
            <w:r w:rsidRPr="00196A23">
              <w:rPr>
                <w:sz w:val="22"/>
              </w:rPr>
              <w:t>Mandate online labelling (including linking to additional helpful resources online)</w:t>
            </w:r>
            <w:r>
              <w:rPr>
                <w:sz w:val="22"/>
              </w:rPr>
              <w:t>.</w:t>
            </w:r>
          </w:p>
          <w:p w:rsidR="00004CF1" w:rsidRPr="00196A23" w:rsidRDefault="00004CF1" w:rsidP="00774E06">
            <w:pPr>
              <w:pStyle w:val="ListBullet"/>
              <w:spacing w:before="40" w:after="40"/>
              <w:mirrorIndents w:val="0"/>
              <w:rPr>
                <w:sz w:val="22"/>
              </w:rPr>
            </w:pPr>
            <w:r w:rsidRPr="00196A23">
              <w:rPr>
                <w:sz w:val="22"/>
              </w:rPr>
              <w:t>Display different information on the Energy Rating Label, for example:</w:t>
            </w:r>
          </w:p>
          <w:p w:rsidR="00004CF1" w:rsidRPr="00196A23" w:rsidRDefault="00004CF1" w:rsidP="008A7FC0">
            <w:pPr>
              <w:pStyle w:val="ListBullet"/>
              <w:numPr>
                <w:ilvl w:val="0"/>
                <w:numId w:val="15"/>
              </w:numPr>
              <w:spacing w:before="40" w:after="40"/>
              <w:ind w:left="880"/>
              <w:mirrorIndents w:val="0"/>
              <w:rPr>
                <w:sz w:val="22"/>
              </w:rPr>
            </w:pPr>
            <w:r w:rsidRPr="00196A23">
              <w:rPr>
                <w:sz w:val="22"/>
              </w:rPr>
              <w:t>running costs rather than energy use</w:t>
            </w:r>
            <w:r>
              <w:rPr>
                <w:sz w:val="22"/>
              </w:rPr>
              <w:t>.</w:t>
            </w:r>
          </w:p>
          <w:p w:rsidR="00004CF1" w:rsidRPr="00196A23" w:rsidRDefault="00004CF1" w:rsidP="008A7FC0">
            <w:pPr>
              <w:pStyle w:val="ListBullet"/>
              <w:numPr>
                <w:ilvl w:val="0"/>
                <w:numId w:val="15"/>
              </w:numPr>
              <w:spacing w:before="40" w:after="40"/>
              <w:ind w:left="880"/>
              <w:mirrorIndents w:val="0"/>
              <w:rPr>
                <w:sz w:val="22"/>
              </w:rPr>
            </w:pPr>
            <w:r>
              <w:rPr>
                <w:sz w:val="22"/>
              </w:rPr>
              <w:t>payback time.</w:t>
            </w:r>
          </w:p>
          <w:p w:rsidR="00004CF1" w:rsidRPr="00196A23" w:rsidRDefault="00004CF1" w:rsidP="008A7FC0">
            <w:pPr>
              <w:pStyle w:val="ListBullet"/>
              <w:numPr>
                <w:ilvl w:val="0"/>
                <w:numId w:val="15"/>
              </w:numPr>
              <w:spacing w:before="40" w:after="40"/>
              <w:ind w:left="880"/>
              <w:mirrorIndents w:val="0"/>
              <w:rPr>
                <w:sz w:val="22"/>
              </w:rPr>
            </w:pPr>
            <w:r w:rsidRPr="00196A23">
              <w:rPr>
                <w:sz w:val="22"/>
              </w:rPr>
              <w:t>embedded energy (as different high efficiency appliances can have varying total carbon debts based on the materials used)</w:t>
            </w:r>
            <w:r>
              <w:rPr>
                <w:sz w:val="22"/>
              </w:rPr>
              <w:t>.</w:t>
            </w:r>
          </w:p>
          <w:p w:rsidR="00004CF1" w:rsidRPr="00196A23" w:rsidRDefault="00004CF1" w:rsidP="008A7FC0">
            <w:pPr>
              <w:pStyle w:val="ListBullet"/>
              <w:numPr>
                <w:ilvl w:val="0"/>
                <w:numId w:val="15"/>
              </w:numPr>
              <w:spacing w:before="40" w:after="40"/>
              <w:ind w:left="880"/>
              <w:mirrorIndents w:val="0"/>
              <w:rPr>
                <w:sz w:val="22"/>
              </w:rPr>
            </w:pPr>
            <w:r w:rsidRPr="00196A23">
              <w:rPr>
                <w:sz w:val="22"/>
              </w:rPr>
              <w:t>an additional label to display total financial and environmental benefit</w:t>
            </w:r>
            <w:r>
              <w:rPr>
                <w:sz w:val="22"/>
              </w:rPr>
              <w:t>.</w:t>
            </w:r>
          </w:p>
          <w:p w:rsidR="00004CF1" w:rsidRPr="00196A23" w:rsidRDefault="00004CF1" w:rsidP="00774E06">
            <w:pPr>
              <w:pStyle w:val="ListBullet"/>
              <w:spacing w:before="40" w:after="40"/>
              <w:mirrorIndents w:val="0"/>
              <w:rPr>
                <w:sz w:val="22"/>
              </w:rPr>
            </w:pPr>
            <w:r w:rsidRPr="00196A23">
              <w:rPr>
                <w:sz w:val="22"/>
              </w:rPr>
              <w:t xml:space="preserve">Education to ensure </w:t>
            </w:r>
            <w:r w:rsidR="00CC670C">
              <w:rPr>
                <w:sz w:val="22"/>
              </w:rPr>
              <w:t xml:space="preserve">the </w:t>
            </w:r>
            <w:r w:rsidRPr="00196A23">
              <w:rPr>
                <w:sz w:val="22"/>
              </w:rPr>
              <w:t>label is</w:t>
            </w:r>
            <w:r w:rsidR="00444722">
              <w:rPr>
                <w:sz w:val="22"/>
              </w:rPr>
              <w:t xml:space="preserve"> </w:t>
            </w:r>
            <w:r w:rsidRPr="00196A23">
              <w:rPr>
                <w:sz w:val="22"/>
              </w:rPr>
              <w:t>n</w:t>
            </w:r>
            <w:r w:rsidR="00444722">
              <w:rPr>
                <w:sz w:val="22"/>
              </w:rPr>
              <w:t>o</w:t>
            </w:r>
            <w:r w:rsidRPr="00196A23">
              <w:rPr>
                <w:sz w:val="22"/>
              </w:rPr>
              <w:t>t misunderstood</w:t>
            </w:r>
            <w:r>
              <w:rPr>
                <w:sz w:val="22"/>
              </w:rPr>
              <w:t>.</w:t>
            </w:r>
            <w:r w:rsidRPr="00196A23" w:rsidDel="00C31E49">
              <w:rPr>
                <w:sz w:val="22"/>
              </w:rPr>
              <w:t xml:space="preserve"> </w:t>
            </w:r>
          </w:p>
        </w:tc>
      </w:tr>
      <w:tr w:rsidR="00004CF1" w:rsidRPr="00196A23" w:rsidTr="009115F1">
        <w:trPr>
          <w:cnfStyle w:val="000000010000" w:firstRow="0" w:lastRow="0" w:firstColumn="0" w:lastColumn="0" w:oddVBand="0" w:evenVBand="0" w:oddHBand="0" w:evenHBand="1" w:firstRowFirstColumn="0" w:firstRowLastColumn="0" w:lastRowFirstColumn="0" w:lastRowLastColumn="0"/>
        </w:trPr>
        <w:tc>
          <w:tcPr>
            <w:tcW w:w="5000" w:type="pct"/>
          </w:tcPr>
          <w:p w:rsidR="00004CF1" w:rsidRPr="00196A23" w:rsidRDefault="00004CF1" w:rsidP="00774E06">
            <w:pPr>
              <w:spacing w:before="40" w:after="40"/>
              <w:mirrorIndents w:val="0"/>
              <w:rPr>
                <w:b/>
                <w:sz w:val="22"/>
              </w:rPr>
            </w:pPr>
            <w:r w:rsidRPr="00196A23">
              <w:rPr>
                <w:b/>
                <w:sz w:val="22"/>
              </w:rPr>
              <w:t>Energyrating.gov.au website and Energy Rating Calculator</w:t>
            </w:r>
          </w:p>
          <w:p w:rsidR="00004CF1" w:rsidRPr="00196A23" w:rsidRDefault="00004CF1" w:rsidP="00774E06">
            <w:pPr>
              <w:pStyle w:val="ListBullet"/>
              <w:spacing w:before="40" w:after="40"/>
              <w:mirrorIndents w:val="0"/>
              <w:rPr>
                <w:sz w:val="22"/>
              </w:rPr>
            </w:pPr>
            <w:r w:rsidRPr="00196A23">
              <w:rPr>
                <w:sz w:val="22"/>
              </w:rPr>
              <w:t>Include real life stories on the website, to make it more engaging</w:t>
            </w:r>
            <w:r>
              <w:rPr>
                <w:sz w:val="22"/>
              </w:rPr>
              <w:t>.</w:t>
            </w:r>
          </w:p>
          <w:p w:rsidR="00004CF1" w:rsidRPr="00196A23" w:rsidRDefault="00004CF1" w:rsidP="00774E06">
            <w:pPr>
              <w:pStyle w:val="ListBullet"/>
              <w:spacing w:before="40" w:after="40"/>
              <w:mirrorIndents w:val="0"/>
              <w:rPr>
                <w:sz w:val="22"/>
              </w:rPr>
            </w:pPr>
            <w:r w:rsidRPr="00196A23">
              <w:rPr>
                <w:sz w:val="22"/>
              </w:rPr>
              <w:t>Improve the usability and clarity of the website and calculator by providing additional flexibility to undertake product comparisons</w:t>
            </w:r>
            <w:r>
              <w:rPr>
                <w:sz w:val="22"/>
              </w:rPr>
              <w:t>.</w:t>
            </w:r>
          </w:p>
        </w:tc>
      </w:tr>
      <w:tr w:rsidR="00004CF1" w:rsidRPr="00196A23" w:rsidTr="009115F1">
        <w:trPr>
          <w:cnfStyle w:val="000000100000" w:firstRow="0" w:lastRow="0" w:firstColumn="0" w:lastColumn="0" w:oddVBand="0" w:evenVBand="0" w:oddHBand="1" w:evenHBand="0" w:firstRowFirstColumn="0" w:firstRowLastColumn="0" w:lastRowFirstColumn="0" w:lastRowLastColumn="0"/>
        </w:trPr>
        <w:tc>
          <w:tcPr>
            <w:tcW w:w="5000" w:type="pct"/>
          </w:tcPr>
          <w:p w:rsidR="00004CF1" w:rsidRPr="00196A23" w:rsidRDefault="00004CF1" w:rsidP="00774E06">
            <w:pPr>
              <w:spacing w:before="40" w:after="40"/>
              <w:mirrorIndents w:val="0"/>
              <w:rPr>
                <w:b/>
                <w:sz w:val="22"/>
              </w:rPr>
            </w:pPr>
            <w:r w:rsidRPr="00196A23">
              <w:rPr>
                <w:b/>
                <w:sz w:val="22"/>
              </w:rPr>
              <w:t>Targeted engagement with stakeholders such as tradespeople and retailers</w:t>
            </w:r>
          </w:p>
          <w:p w:rsidR="00004CF1" w:rsidRPr="00196A23" w:rsidRDefault="00004CF1" w:rsidP="00774E06">
            <w:pPr>
              <w:pStyle w:val="ListBullet"/>
              <w:spacing w:before="40" w:after="40"/>
              <w:mirrorIndents w:val="0"/>
              <w:rPr>
                <w:sz w:val="22"/>
              </w:rPr>
            </w:pPr>
            <w:r w:rsidRPr="00196A23">
              <w:rPr>
                <w:sz w:val="22"/>
              </w:rPr>
              <w:t xml:space="preserve">Tradespeople, suppliers and installers have practical and economic concerns that compete with efficiency. There is an opportunity to educate these parties on the ongoing benefits that more efficient equipment and appliances deliver to the customer and the environment. </w:t>
            </w:r>
          </w:p>
          <w:p w:rsidR="00004CF1" w:rsidRPr="00196A23" w:rsidRDefault="00004CF1" w:rsidP="00774E06">
            <w:pPr>
              <w:pStyle w:val="ListBullet"/>
              <w:spacing w:before="40" w:after="40"/>
              <w:mirrorIndents w:val="0"/>
              <w:rPr>
                <w:sz w:val="22"/>
              </w:rPr>
            </w:pPr>
            <w:r w:rsidRPr="00196A23">
              <w:rPr>
                <w:sz w:val="22"/>
              </w:rPr>
              <w:t xml:space="preserve">Retailers often play an important role in advising consumers on their purchase, and can assist consumers understand the benefits of more efficient options. </w:t>
            </w:r>
          </w:p>
        </w:tc>
      </w:tr>
      <w:tr w:rsidR="00004CF1" w:rsidRPr="00196A23" w:rsidTr="009115F1">
        <w:trPr>
          <w:cnfStyle w:val="000000010000" w:firstRow="0" w:lastRow="0" w:firstColumn="0" w:lastColumn="0" w:oddVBand="0" w:evenVBand="0" w:oddHBand="0" w:evenHBand="1" w:firstRowFirstColumn="0" w:firstRowLastColumn="0" w:lastRowFirstColumn="0" w:lastRowLastColumn="0"/>
        </w:trPr>
        <w:tc>
          <w:tcPr>
            <w:tcW w:w="5000" w:type="pct"/>
          </w:tcPr>
          <w:p w:rsidR="00004CF1" w:rsidRPr="00196A23" w:rsidRDefault="00004CF1" w:rsidP="00774E06">
            <w:pPr>
              <w:spacing w:before="40" w:after="40"/>
              <w:mirrorIndents w:val="0"/>
              <w:rPr>
                <w:b/>
                <w:sz w:val="22"/>
              </w:rPr>
            </w:pPr>
            <w:r w:rsidRPr="00196A23">
              <w:rPr>
                <w:b/>
                <w:sz w:val="22"/>
              </w:rPr>
              <w:t>Finance for energy efficient products</w:t>
            </w:r>
          </w:p>
          <w:p w:rsidR="00004CF1" w:rsidRPr="00196A23" w:rsidRDefault="00004CF1" w:rsidP="00774E06">
            <w:pPr>
              <w:pStyle w:val="ListBullet"/>
              <w:spacing w:before="40" w:after="40"/>
              <w:mirrorIndents w:val="0"/>
              <w:rPr>
                <w:sz w:val="22"/>
              </w:rPr>
            </w:pPr>
            <w:r w:rsidRPr="00196A23">
              <w:rPr>
                <w:sz w:val="22"/>
              </w:rPr>
              <w:t>Support to purchase more energy efficient appliances for vulnerable consumers</w:t>
            </w:r>
            <w:r>
              <w:rPr>
                <w:sz w:val="22"/>
              </w:rPr>
              <w:t>.</w:t>
            </w:r>
          </w:p>
          <w:p w:rsidR="00004CF1" w:rsidRPr="00196A23" w:rsidRDefault="00004CF1" w:rsidP="00774E06">
            <w:pPr>
              <w:pStyle w:val="ListBullet"/>
              <w:spacing w:before="40" w:after="40"/>
              <w:mirrorIndents w:val="0"/>
              <w:rPr>
                <w:sz w:val="22"/>
              </w:rPr>
            </w:pPr>
            <w:r w:rsidRPr="00196A23">
              <w:rPr>
                <w:sz w:val="22"/>
              </w:rPr>
              <w:t>Discounted debt could be offered for an efficient purchase (rather than cash rebates) and recouped through regular payments</w:t>
            </w:r>
            <w:r>
              <w:rPr>
                <w:sz w:val="22"/>
              </w:rPr>
              <w:t>.</w:t>
            </w:r>
          </w:p>
        </w:tc>
      </w:tr>
      <w:tr w:rsidR="00004CF1" w:rsidRPr="00196A23" w:rsidTr="009115F1">
        <w:trPr>
          <w:cnfStyle w:val="000000100000" w:firstRow="0" w:lastRow="0" w:firstColumn="0" w:lastColumn="0" w:oddVBand="0" w:evenVBand="0" w:oddHBand="1" w:evenHBand="0" w:firstRowFirstColumn="0" w:firstRowLastColumn="0" w:lastRowFirstColumn="0" w:lastRowLastColumn="0"/>
        </w:trPr>
        <w:tc>
          <w:tcPr>
            <w:tcW w:w="5000" w:type="pct"/>
          </w:tcPr>
          <w:p w:rsidR="00004CF1" w:rsidRPr="00196A23" w:rsidRDefault="00004CF1" w:rsidP="00774E06">
            <w:pPr>
              <w:spacing w:before="40" w:after="40"/>
              <w:mirrorIndents w:val="0"/>
              <w:rPr>
                <w:b/>
                <w:sz w:val="22"/>
              </w:rPr>
            </w:pPr>
            <w:r w:rsidRPr="00196A23">
              <w:rPr>
                <w:b/>
                <w:sz w:val="22"/>
              </w:rPr>
              <w:t xml:space="preserve">Data </w:t>
            </w:r>
          </w:p>
          <w:p w:rsidR="00004CF1" w:rsidRPr="00C743A5" w:rsidRDefault="00004CF1" w:rsidP="008A7FC0">
            <w:pPr>
              <w:pStyle w:val="ListBullet"/>
              <w:spacing w:before="40" w:after="40"/>
              <w:mirrorIndents w:val="0"/>
              <w:rPr>
                <w:sz w:val="22"/>
              </w:rPr>
            </w:pPr>
            <w:r w:rsidRPr="00196A23">
              <w:rPr>
                <w:sz w:val="22"/>
              </w:rPr>
              <w:t>Greater access to energy data would assist consumers in managing their energy and becoming more conscious of energy efficient products.</w:t>
            </w:r>
            <w:r w:rsidRPr="00196A23" w:rsidDel="00304BEB">
              <w:rPr>
                <w:sz w:val="22"/>
              </w:rPr>
              <w:t xml:space="preserve"> </w:t>
            </w:r>
          </w:p>
        </w:tc>
      </w:tr>
    </w:tbl>
    <w:p w:rsidR="00AA5F12" w:rsidRPr="00AA5F12" w:rsidRDefault="00AA5F12" w:rsidP="00F740A0">
      <w:pPr>
        <w:pStyle w:val="Heading2"/>
      </w:pPr>
      <w:bookmarkStart w:id="90" w:name="_Toc18661011"/>
      <w:bookmarkStart w:id="91" w:name="_Toc518817696"/>
      <w:bookmarkEnd w:id="89"/>
      <w:r>
        <w:lastRenderedPageBreak/>
        <w:t xml:space="preserve">5.7 </w:t>
      </w:r>
      <w:r>
        <w:tab/>
        <w:t>Ensuring the Act remains relevant</w:t>
      </w:r>
      <w:bookmarkEnd w:id="90"/>
    </w:p>
    <w:p w:rsidR="00415FBB" w:rsidRPr="00F740A0" w:rsidRDefault="00415FBB" w:rsidP="00F740A0">
      <w:pPr>
        <w:pStyle w:val="Heading3"/>
      </w:pPr>
      <w:bookmarkStart w:id="92" w:name="_Toc18661012"/>
      <w:r w:rsidRPr="00F25EB7">
        <w:t>5.</w:t>
      </w:r>
      <w:r w:rsidR="00AA5F12" w:rsidRPr="005F3AF8">
        <w:t>7</w:t>
      </w:r>
      <w:r w:rsidRPr="00B70820">
        <w:t>.</w:t>
      </w:r>
      <w:r w:rsidR="00AA5F12" w:rsidRPr="00CB5EA3">
        <w:t>1</w:t>
      </w:r>
      <w:r w:rsidRPr="00CB5EA3">
        <w:t xml:space="preserve"> </w:t>
      </w:r>
      <w:r w:rsidRPr="00CB5EA3">
        <w:tab/>
        <w:t>Establishing a trajectory for</w:t>
      </w:r>
      <w:r w:rsidR="0080718D" w:rsidRPr="00CB5EA3">
        <w:t xml:space="preserve"> energy </w:t>
      </w:r>
      <w:r w:rsidR="007007F3" w:rsidRPr="00CB5EA3">
        <w:t>efficiency</w:t>
      </w:r>
      <w:r w:rsidRPr="00CB5EA3">
        <w:t xml:space="preserve"> standards</w:t>
      </w:r>
      <w:bookmarkEnd w:id="91"/>
      <w:bookmarkEnd w:id="92"/>
    </w:p>
    <w:p w:rsidR="00415FBB" w:rsidRPr="00BD0D26" w:rsidRDefault="00415FBB" w:rsidP="00F740A0">
      <w:r w:rsidRPr="00BD0D26">
        <w:t>Forward trajectories can be effective in enabling energy efficiency improvements and are used internationally by several jurisdictions. Some stakeholders have suggested that Australia should set its own forward trajectory for progressively raising mandatory minimum standards.</w:t>
      </w:r>
    </w:p>
    <w:p w:rsidR="00415FBB" w:rsidRPr="009115F1" w:rsidRDefault="00415FBB">
      <w:pPr>
        <w:pStyle w:val="SbQuote"/>
      </w:pPr>
      <w:r w:rsidRPr="009115F1">
        <w:t>The GEMS Act is critically important for transitioning to a low carbon built environment sector in Australia; however, the standards are currently lagging behind world’s best practices and need a forward trajectory to be set to enable an agreed and orderly transition.</w:t>
      </w:r>
    </w:p>
    <w:p w:rsidR="00415FBB" w:rsidRPr="00BD0D26" w:rsidRDefault="00415FBB">
      <w:pPr>
        <w:pStyle w:val="SbQuoteref"/>
      </w:pPr>
      <w:r w:rsidRPr="00BD0D26">
        <w:t>ClimateWorks Australia</w:t>
      </w:r>
      <w:r>
        <w:t>, 2018</w:t>
      </w:r>
    </w:p>
    <w:p w:rsidR="00415FBB" w:rsidRPr="00BD0D26" w:rsidRDefault="00415FBB" w:rsidP="001F2E9E">
      <w:r w:rsidRPr="00BD0D26">
        <w:t xml:space="preserve">The Australian Sustainable Built Environment Council (ASBEC) and the Green Building Council of Australia have also advocated for the establishment of a forward trajectory. </w:t>
      </w:r>
      <w:r w:rsidR="00693AE4">
        <w:t>However, such</w:t>
      </w:r>
      <w:r w:rsidR="00693AE4" w:rsidRPr="00BD0D26">
        <w:t xml:space="preserve"> </w:t>
      </w:r>
      <w:r w:rsidRPr="00BD0D26">
        <w:t>energy efficiency trajectories typically cover buildings, appliances and equipment (</w:t>
      </w:r>
      <w:r w:rsidRPr="00F740A0">
        <w:t>see</w:t>
      </w:r>
      <w:r w:rsidRPr="00C743A5">
        <w:rPr>
          <w:b/>
          <w:bCs/>
        </w:rPr>
        <w:t xml:space="preserve"> Section </w:t>
      </w:r>
      <w:r w:rsidR="00B45271" w:rsidRPr="00C743A5">
        <w:rPr>
          <w:b/>
          <w:bCs/>
        </w:rPr>
        <w:t>5.</w:t>
      </w:r>
      <w:r w:rsidR="00693AE4" w:rsidRPr="00C743A5">
        <w:rPr>
          <w:b/>
          <w:bCs/>
        </w:rPr>
        <w:t>8</w:t>
      </w:r>
      <w:r w:rsidR="00B45271" w:rsidRPr="00C743A5">
        <w:rPr>
          <w:b/>
          <w:bCs/>
        </w:rPr>
        <w:t>.</w:t>
      </w:r>
      <w:r w:rsidR="00693AE4" w:rsidRPr="00C743A5">
        <w:rPr>
          <w:b/>
          <w:bCs/>
        </w:rPr>
        <w:t>3</w:t>
      </w:r>
      <w:r w:rsidRPr="00BD0D26">
        <w:t>)</w:t>
      </w:r>
      <w:r w:rsidR="00693AE4">
        <w:t>, whereby a portfolio approach can be taken to achieving the target by better utilisation of existing technology</w:t>
      </w:r>
      <w:r w:rsidRPr="00BD0D26">
        <w:t>.</w:t>
      </w:r>
    </w:p>
    <w:p w:rsidR="00415FBB" w:rsidRPr="00BD0D26" w:rsidRDefault="00693AE4" w:rsidP="001F2E9E">
      <w:r>
        <w:t xml:space="preserve">In contrast, the GEMS Act regulates the energy efficiency of individual products. </w:t>
      </w:r>
      <w:r w:rsidR="00415FBB" w:rsidRPr="00BD0D26">
        <w:t>Industry stakeholders have noted that there is a limit to the improvements to be gained by increasing stringency on products already covered by GEMS regulations.</w:t>
      </w:r>
    </w:p>
    <w:p w:rsidR="00415FBB" w:rsidRPr="009115F1" w:rsidRDefault="00415FBB">
      <w:pPr>
        <w:pStyle w:val="SbQuote"/>
      </w:pPr>
      <w:r w:rsidRPr="009115F1">
        <w:t>As products develop, they naturally get more efficient over time. Naturally, the largest improvements occur in the initial years when the technology is new and not yet fine-tuned. Over time the capacity for improvements diminishes as the technology matures and improves.</w:t>
      </w:r>
    </w:p>
    <w:p w:rsidR="00B5770B" w:rsidRPr="00BD0D26" w:rsidRDefault="00B5770B">
      <w:pPr>
        <w:pStyle w:val="SbQuoteref"/>
      </w:pPr>
      <w:r w:rsidRPr="00BD0D26">
        <w:t>Air Conditioning and Refrigeration Equipment Manufacturers Association (AREMA)</w:t>
      </w:r>
      <w:r>
        <w:t>, 2018</w:t>
      </w:r>
    </w:p>
    <w:p w:rsidR="00415FBB" w:rsidRPr="00BD0D26" w:rsidRDefault="00CD2656" w:rsidP="00F740A0">
      <w:r>
        <w:t>T</w:t>
      </w:r>
      <w:r w:rsidR="00415FBB" w:rsidRPr="00BD0D26">
        <w:t>o achieve greater improvements in appliance and equipment efficiency overall</w:t>
      </w:r>
      <w:r>
        <w:t xml:space="preserve"> </w:t>
      </w:r>
      <w:r w:rsidR="00415FBB">
        <w:t xml:space="preserve">in addition to considering more stringent standards for existing products, </w:t>
      </w:r>
      <w:r w:rsidR="00415FBB" w:rsidRPr="00BD0D26">
        <w:t xml:space="preserve">GEMS regulations may need to cover a wider range of products and/or take a </w:t>
      </w:r>
      <w:r w:rsidR="00415FBB" w:rsidRPr="00BF4C62">
        <w:t>different approach</w:t>
      </w:r>
      <w:r w:rsidR="00B3581E" w:rsidRPr="00F7725D">
        <w:t>, such as system level regulation</w:t>
      </w:r>
      <w:r w:rsidR="00415FBB" w:rsidRPr="00BD0D26">
        <w:t xml:space="preserve"> (</w:t>
      </w:r>
      <w:r w:rsidR="00415FBB" w:rsidRPr="00F740A0">
        <w:t>see</w:t>
      </w:r>
      <w:r w:rsidR="00415FBB" w:rsidRPr="00C743A5">
        <w:rPr>
          <w:b/>
          <w:bCs/>
        </w:rPr>
        <w:t xml:space="preserve"> Section </w:t>
      </w:r>
      <w:r w:rsidR="00B3581E" w:rsidRPr="00C743A5">
        <w:rPr>
          <w:b/>
          <w:bCs/>
        </w:rPr>
        <w:t>5.8.3</w:t>
      </w:r>
      <w:r w:rsidR="00415FBB" w:rsidRPr="00BD0D26">
        <w:t>).</w:t>
      </w:r>
      <w:r w:rsidR="00355871">
        <w:t xml:space="preserve"> </w:t>
      </w:r>
    </w:p>
    <w:p w:rsidR="00415FBB" w:rsidRPr="00BD0D26" w:rsidRDefault="00415FBB" w:rsidP="00F740A0">
      <w:r w:rsidRPr="00BD0D26">
        <w:t xml:space="preserve">While there is no trajectory specifically for the raising of mandatory minimum standards for appliances and equipment in Australia, there are other policies and processes in place to accelerate action. As outlined in </w:t>
      </w:r>
      <w:r w:rsidRPr="00C743A5">
        <w:rPr>
          <w:b/>
          <w:bCs/>
        </w:rPr>
        <w:t xml:space="preserve">Section </w:t>
      </w:r>
      <w:r w:rsidR="00EA3D42" w:rsidRPr="00C743A5">
        <w:rPr>
          <w:b/>
          <w:bCs/>
        </w:rPr>
        <w:t>2.5</w:t>
      </w:r>
      <w:r w:rsidRPr="00BD0D26">
        <w:t xml:space="preserve">, following the 2015 GEMS Review, the COAG Energy Council developed an E3 </w:t>
      </w:r>
      <w:r w:rsidR="00E16DFF">
        <w:t>p</w:t>
      </w:r>
      <w:r w:rsidR="00E16DFF" w:rsidRPr="00BD0D26">
        <w:t xml:space="preserve">rioritisation </w:t>
      </w:r>
      <w:r w:rsidR="00E16DFF">
        <w:t>p</w:t>
      </w:r>
      <w:r w:rsidR="00E16DFF" w:rsidRPr="00BD0D26">
        <w:t>lan</w:t>
      </w:r>
      <w:r w:rsidRPr="00BD0D26">
        <w:t xml:space="preserve"> to set out plans for potential new regulations that will have the greatest impact in terms of reducing energy use and yielding financial benefits to the Australian economy. </w:t>
      </w:r>
      <w:r w:rsidR="00FC7E21" w:rsidRPr="00BD0D26">
        <w:t xml:space="preserve">The </w:t>
      </w:r>
      <w:r w:rsidR="00FC7E21">
        <w:t xml:space="preserve">work </w:t>
      </w:r>
      <w:r w:rsidR="00FC7E21" w:rsidRPr="00BD0D26">
        <w:t>plan, which is updated annually, also provides a degree of certainty to stakeholders in relation to the government’s direction for future energy efficiency regulations.</w:t>
      </w:r>
    </w:p>
    <w:p w:rsidR="00415FBB" w:rsidRPr="00BD0D26" w:rsidRDefault="00415FBB" w:rsidP="00F740A0">
      <w:r w:rsidRPr="00BD0D26">
        <w:t xml:space="preserve">The E3 prioritisation plan is itself part of the COAG Energy Council’s National Energy Productivity Plan, a package of measures to improve Australia’s energy productivity by 40 per cent between 2015 and 2030. GEMS regulations </w:t>
      </w:r>
      <w:r w:rsidR="005B2C07">
        <w:t xml:space="preserve">also </w:t>
      </w:r>
      <w:r w:rsidRPr="00BD0D26">
        <w:t>play an important role in achieving Australia’s 2030 target and Paris Agreement commitments.</w:t>
      </w:r>
    </w:p>
    <w:p w:rsidR="00415FBB" w:rsidRDefault="00415FBB" w:rsidP="00F740A0">
      <w:r w:rsidRPr="00BD0D26">
        <w:t>These existing priority setting policies can offer the same impact of establishing a forward trajectory for progressively raising mandatory minimum standards of appliances and equipment. As they include consideration of broader product coverage, and of potentially expanding to include energy systems, these polices also address concerns about the diminishing returns on targeting pro</w:t>
      </w:r>
      <w:r>
        <w:t xml:space="preserve">ducts already covered by GEMS. </w:t>
      </w:r>
    </w:p>
    <w:p w:rsidR="00764A62" w:rsidRPr="00711269" w:rsidRDefault="00764A62" w:rsidP="00F740A0">
      <w:r w:rsidRPr="00764A62">
        <w:lastRenderedPageBreak/>
        <w:t>In submissions to this review, some stakeholders requested that the E3 prioritisation plan be published annually. The GEMS Regulator</w:t>
      </w:r>
      <w:r w:rsidR="00C321C0">
        <w:t xml:space="preserve"> currently</w:t>
      </w:r>
      <w:r w:rsidRPr="00764A62">
        <w:t xml:space="preserve"> publishes the plan on energyrating.gov.au each time it is updated, most recently in November 2017.</w:t>
      </w:r>
      <w:r>
        <w:t xml:space="preserve"> Annual publishing of the plan, even if confirming no change, would help stakeholders</w:t>
      </w:r>
      <w:r w:rsidR="00C30A51">
        <w:t xml:space="preserve"> </w:t>
      </w:r>
      <w:r w:rsidR="00C321C0">
        <w:t>keep</w:t>
      </w:r>
      <w:r w:rsidR="00C30A51">
        <w:t xml:space="preserve"> across E3 priorities.</w:t>
      </w:r>
      <w:r>
        <w:t xml:space="preserve"> </w:t>
      </w:r>
    </w:p>
    <w:p w:rsidR="00415FBB" w:rsidRPr="00BD0D26" w:rsidRDefault="00415FBB" w:rsidP="003442DC">
      <w:pPr>
        <w:pStyle w:val="RecHead"/>
      </w:pPr>
      <w:r w:rsidRPr="00BD0D26">
        <w:t>RECOMMENDAT</w:t>
      </w:r>
      <w:r>
        <w:t>I</w:t>
      </w:r>
      <w:r w:rsidRPr="00BD0D26">
        <w:t>ON</w:t>
      </w:r>
      <w:r>
        <w:t xml:space="preserve"> </w:t>
      </w:r>
      <w:r w:rsidR="007A0763">
        <w:t>3</w:t>
      </w:r>
      <w:r w:rsidR="0042578E">
        <w:t>2</w:t>
      </w:r>
    </w:p>
    <w:p w:rsidR="00415FBB" w:rsidRPr="00C743A5" w:rsidRDefault="00BE4F2B" w:rsidP="00C743A5">
      <w:pPr>
        <w:rPr>
          <w:b/>
          <w:bCs/>
        </w:rPr>
      </w:pPr>
      <w:r w:rsidRPr="00C743A5">
        <w:rPr>
          <w:b/>
          <w:bCs/>
        </w:rPr>
        <w:t xml:space="preserve">The </w:t>
      </w:r>
      <w:r w:rsidR="00B3581E" w:rsidRPr="00C743A5">
        <w:rPr>
          <w:b/>
          <w:bCs/>
        </w:rPr>
        <w:t xml:space="preserve">Commonwealth Government request </w:t>
      </w:r>
      <w:r w:rsidR="00B7508E" w:rsidRPr="00C743A5">
        <w:rPr>
          <w:b/>
          <w:bCs/>
        </w:rPr>
        <w:t xml:space="preserve">that </w:t>
      </w:r>
      <w:r w:rsidR="00B3581E" w:rsidRPr="00C743A5">
        <w:rPr>
          <w:b/>
          <w:bCs/>
        </w:rPr>
        <w:t xml:space="preserve">the COAG Energy Council </w:t>
      </w:r>
      <w:r w:rsidRPr="00C743A5">
        <w:rPr>
          <w:b/>
          <w:bCs/>
        </w:rPr>
        <w:t xml:space="preserve">continues to </w:t>
      </w:r>
      <w:r w:rsidR="00415FBB" w:rsidRPr="00C743A5">
        <w:rPr>
          <w:b/>
          <w:bCs/>
        </w:rPr>
        <w:t>update</w:t>
      </w:r>
      <w:r w:rsidRPr="00C743A5">
        <w:rPr>
          <w:b/>
          <w:bCs/>
        </w:rPr>
        <w:t xml:space="preserve"> its work plan</w:t>
      </w:r>
      <w:r w:rsidR="00415FBB" w:rsidRPr="00C743A5">
        <w:rPr>
          <w:b/>
          <w:bCs/>
        </w:rPr>
        <w:t xml:space="preserve"> annually to </w:t>
      </w:r>
      <w:r w:rsidRPr="00C743A5">
        <w:rPr>
          <w:b/>
          <w:bCs/>
        </w:rPr>
        <w:t xml:space="preserve">ensure </w:t>
      </w:r>
      <w:r w:rsidR="00415FBB" w:rsidRPr="00C743A5">
        <w:rPr>
          <w:b/>
          <w:bCs/>
        </w:rPr>
        <w:t xml:space="preserve">policy development </w:t>
      </w:r>
      <w:r w:rsidRPr="00C743A5">
        <w:rPr>
          <w:b/>
          <w:bCs/>
        </w:rPr>
        <w:t xml:space="preserve">remains </w:t>
      </w:r>
      <w:r w:rsidR="00415FBB" w:rsidRPr="00C743A5">
        <w:rPr>
          <w:b/>
          <w:bCs/>
        </w:rPr>
        <w:t>focus</w:t>
      </w:r>
      <w:r w:rsidRPr="00C743A5">
        <w:rPr>
          <w:b/>
          <w:bCs/>
        </w:rPr>
        <w:t>ed</w:t>
      </w:r>
      <w:r w:rsidR="00415FBB" w:rsidRPr="00C743A5">
        <w:rPr>
          <w:b/>
          <w:bCs/>
        </w:rPr>
        <w:t xml:space="preserve"> on regulations that will </w:t>
      </w:r>
      <w:r w:rsidRPr="00C743A5">
        <w:rPr>
          <w:b/>
          <w:bCs/>
        </w:rPr>
        <w:t xml:space="preserve">deliver the greatest energy </w:t>
      </w:r>
      <w:r w:rsidR="00415FBB" w:rsidRPr="00C743A5">
        <w:rPr>
          <w:b/>
          <w:bCs/>
        </w:rPr>
        <w:t>reduc</w:t>
      </w:r>
      <w:r w:rsidRPr="00C743A5">
        <w:rPr>
          <w:b/>
          <w:bCs/>
        </w:rPr>
        <w:t>tions</w:t>
      </w:r>
      <w:r w:rsidR="00415FBB" w:rsidRPr="00C743A5">
        <w:rPr>
          <w:b/>
          <w:bCs/>
        </w:rPr>
        <w:t>.</w:t>
      </w:r>
      <w:r w:rsidR="00430A63" w:rsidRPr="00C743A5">
        <w:rPr>
          <w:b/>
          <w:bCs/>
        </w:rPr>
        <w:t xml:space="preserve"> </w:t>
      </w:r>
      <w:r w:rsidR="0017161F" w:rsidRPr="00C743A5">
        <w:rPr>
          <w:b/>
          <w:bCs/>
        </w:rPr>
        <w:t>The work plan should be published annually.</w:t>
      </w:r>
    </w:p>
    <w:p w:rsidR="00415FBB" w:rsidRPr="00CB5EA3" w:rsidRDefault="00415FBB" w:rsidP="00F740A0">
      <w:pPr>
        <w:pStyle w:val="Heading3"/>
      </w:pPr>
      <w:bookmarkStart w:id="93" w:name="_Toc518817697"/>
      <w:bookmarkStart w:id="94" w:name="_Toc18661013"/>
      <w:r w:rsidRPr="00B70820">
        <w:t>5.</w:t>
      </w:r>
      <w:r w:rsidR="00AA5F12" w:rsidRPr="00CB5EA3">
        <w:t>7.2</w:t>
      </w:r>
      <w:r w:rsidRPr="00CB5EA3">
        <w:t xml:space="preserve"> </w:t>
      </w:r>
      <w:r w:rsidRPr="00CB5EA3">
        <w:tab/>
        <w:t>Expand and align with international regulations</w:t>
      </w:r>
      <w:bookmarkEnd w:id="93"/>
      <w:bookmarkEnd w:id="94"/>
    </w:p>
    <w:p w:rsidR="003F6505" w:rsidRDefault="00415FBB" w:rsidP="001F2E9E">
      <w:r w:rsidRPr="00BD0D26">
        <w:t xml:space="preserve">In submissions to this review, a number of stakeholders expressed support for expanding the product coverage of GEMS standards along with harmonising current product standards with leading economies. </w:t>
      </w:r>
    </w:p>
    <w:p w:rsidR="003F6505" w:rsidRPr="009115F1" w:rsidRDefault="004D7AF3">
      <w:pPr>
        <w:pStyle w:val="SbQuote"/>
      </w:pPr>
      <w:r w:rsidRPr="009115F1">
        <w:t>(</w:t>
      </w:r>
      <w:r w:rsidR="00415FBB" w:rsidRPr="009115F1">
        <w:t>The Australian Sustainable Built Environment Council</w:t>
      </w:r>
      <w:r w:rsidRPr="009115F1">
        <w:t>),</w:t>
      </w:r>
      <w:r w:rsidR="00415FBB" w:rsidRPr="009115F1">
        <w:t xml:space="preserve"> strongly supports the implementation of the recommendations of the (2015) GEMS Review to expand, strengthen and accelerate future improvements in minimum equipment and appliance standards. </w:t>
      </w:r>
    </w:p>
    <w:p w:rsidR="004D7AF3" w:rsidRDefault="004D7AF3">
      <w:pPr>
        <w:pStyle w:val="SbQuoteref"/>
      </w:pPr>
      <w:r>
        <w:t>Australian Sustainable Built Environment Council, 2018</w:t>
      </w:r>
    </w:p>
    <w:p w:rsidR="003F6505" w:rsidRDefault="00415FBB" w:rsidP="001F2E9E">
      <w:r w:rsidRPr="00BD0D26">
        <w:t>The Green Building Council of Australia</w:t>
      </w:r>
      <w:r w:rsidR="004D7AF3">
        <w:t xml:space="preserve"> </w:t>
      </w:r>
      <w:r w:rsidRPr="00BD0D26">
        <w:t>supports actions to harmonise standards with leading economies such as the United States and the European Union</w:t>
      </w:r>
      <w:r w:rsidR="003F6505">
        <w:t>:</w:t>
      </w:r>
    </w:p>
    <w:p w:rsidR="003F6505" w:rsidRPr="009115F1" w:rsidRDefault="003F6505">
      <w:pPr>
        <w:pStyle w:val="SbQuote"/>
      </w:pPr>
      <w:r w:rsidRPr="009115F1">
        <w:t>…</w:t>
      </w:r>
      <w:r w:rsidR="00415FBB" w:rsidRPr="009115F1">
        <w:t xml:space="preserve">not only would this reduce red tape and accelerate the benefits of energy efficiency for businesses, it also enables Australian product manufacturers and exporters to benefit from larger overseas markets”. </w:t>
      </w:r>
    </w:p>
    <w:p w:rsidR="004D7AF3" w:rsidRDefault="004D7AF3">
      <w:pPr>
        <w:pStyle w:val="SbQuoteref"/>
      </w:pPr>
      <w:r>
        <w:t>Green Building Council of Australia, 2018</w:t>
      </w:r>
    </w:p>
    <w:p w:rsidR="00415FBB" w:rsidRPr="00C743A5" w:rsidRDefault="00415FBB" w:rsidP="00F740A0">
      <w:pPr>
        <w:rPr>
          <w:b/>
          <w:bCs/>
        </w:rPr>
      </w:pPr>
      <w:r w:rsidRPr="00BD0D26">
        <w:t xml:space="preserve">ClimateWorks Australia </w:t>
      </w:r>
      <w:r w:rsidR="00BE4F2B">
        <w:t>argued</w:t>
      </w:r>
      <w:r w:rsidR="00BE4F2B" w:rsidRPr="00BD0D26">
        <w:t xml:space="preserve"> </w:t>
      </w:r>
      <w:r w:rsidRPr="00BD0D26">
        <w:t xml:space="preserve">that Australian standards </w:t>
      </w:r>
      <w:r w:rsidR="00BE4F2B">
        <w:t>were</w:t>
      </w:r>
      <w:r w:rsidR="00BE4F2B" w:rsidRPr="00BD0D26">
        <w:t xml:space="preserve"> </w:t>
      </w:r>
      <w:r w:rsidRPr="00BD0D26">
        <w:t>lagging behind other countries and the pace of development of new technologies.</w:t>
      </w:r>
    </w:p>
    <w:p w:rsidR="00415FBB" w:rsidRDefault="00415FBB" w:rsidP="00F740A0">
      <w:r>
        <w:t>These submissions raise a number of separate, albeit closely related, issues:</w:t>
      </w:r>
    </w:p>
    <w:p w:rsidR="00415FBB" w:rsidRDefault="00415FBB" w:rsidP="008A7FC0">
      <w:pPr>
        <w:pStyle w:val="ListParagraph"/>
        <w:numPr>
          <w:ilvl w:val="0"/>
          <w:numId w:val="14"/>
        </w:numPr>
        <w:ind w:left="426" w:hanging="426"/>
      </w:pPr>
      <w:r>
        <w:t>Does Australia regulate the same type of products as other jurisdictions?</w:t>
      </w:r>
    </w:p>
    <w:p w:rsidR="00415FBB" w:rsidRDefault="00415FBB" w:rsidP="008A7FC0">
      <w:pPr>
        <w:pStyle w:val="ListParagraph"/>
        <w:numPr>
          <w:ilvl w:val="0"/>
          <w:numId w:val="14"/>
        </w:numPr>
        <w:ind w:left="426" w:hanging="426"/>
      </w:pPr>
      <w:r>
        <w:t>Does Australia impose similarly stringent standards as other jurisdictions?</w:t>
      </w:r>
    </w:p>
    <w:p w:rsidR="00415FBB" w:rsidRPr="001D1D99" w:rsidRDefault="00415FBB" w:rsidP="008A7FC0">
      <w:pPr>
        <w:pStyle w:val="ListParagraph"/>
        <w:numPr>
          <w:ilvl w:val="0"/>
          <w:numId w:val="14"/>
        </w:numPr>
        <w:ind w:left="426" w:hanging="426"/>
      </w:pPr>
      <w:r>
        <w:t xml:space="preserve">How is Australia participating in international forums to both learn from and contribute to international </w:t>
      </w:r>
      <w:r w:rsidR="00CB01B4">
        <w:t xml:space="preserve">policy development </w:t>
      </w:r>
      <w:r>
        <w:t>on energy efficiency regulation?</w:t>
      </w:r>
    </w:p>
    <w:p w:rsidR="00415FBB" w:rsidRPr="00AD3D80" w:rsidRDefault="00CB01B4" w:rsidP="00F740A0">
      <w:r>
        <w:t>It is</w:t>
      </w:r>
      <w:r w:rsidR="00415FBB">
        <w:t xml:space="preserve"> important to note that </w:t>
      </w:r>
      <w:r w:rsidR="00415FBB" w:rsidRPr="00BD0D26">
        <w:t>E3 includes New Zealand as a vital</w:t>
      </w:r>
      <w:r>
        <w:t xml:space="preserve"> and active</w:t>
      </w:r>
      <w:r w:rsidR="00415FBB" w:rsidRPr="00BD0D26">
        <w:t xml:space="preserve"> partner</w:t>
      </w:r>
      <w:r w:rsidR="007F6C4E">
        <w:t xml:space="preserve">. </w:t>
      </w:r>
      <w:r>
        <w:rPr>
          <w:rStyle w:val="FootnoteReference"/>
          <w:szCs w:val="24"/>
        </w:rPr>
        <w:footnoteReference w:id="30"/>
      </w:r>
      <w:r w:rsidR="00415FBB" w:rsidRPr="00BD0D26">
        <w:t xml:space="preserve"> Working together enables Australia and New Zealand to share the cost of regulation</w:t>
      </w:r>
      <w:r w:rsidR="008E655F">
        <w:t xml:space="preserve"> development</w:t>
      </w:r>
      <w:r w:rsidR="00415FBB" w:rsidRPr="00BD0D26">
        <w:t xml:space="preserve"> and </w:t>
      </w:r>
      <w:r w:rsidR="008E655F">
        <w:t>significantly reduces the regulator</w:t>
      </w:r>
      <w:r w:rsidR="0070263D">
        <w:t>y</w:t>
      </w:r>
      <w:r w:rsidR="008E655F">
        <w:t xml:space="preserve"> burden of companies operating within</w:t>
      </w:r>
      <w:r w:rsidR="00415FBB" w:rsidRPr="00BD0D26">
        <w:t xml:space="preserve"> both countries.</w:t>
      </w:r>
    </w:p>
    <w:p w:rsidR="00415FBB" w:rsidRPr="00BD0D26" w:rsidRDefault="00415FBB" w:rsidP="00F740A0">
      <w:pPr>
        <w:pStyle w:val="Heading4"/>
      </w:pPr>
      <w:r w:rsidRPr="00BD0D26">
        <w:t>Expanding GEMS coverage</w:t>
      </w:r>
    </w:p>
    <w:p w:rsidR="00415FBB" w:rsidRPr="00BD0D26" w:rsidRDefault="00415FBB" w:rsidP="00F740A0">
      <w:r w:rsidRPr="00BD0D26">
        <w:t>There are many products regulated overseas that are not currently regulated in Australia. These include products that are relatively uncommon in our market, such as kimchi refrigerators and heated toilet seats, but also include products that may be cost-effective to regulate in Australia.</w:t>
      </w:r>
    </w:p>
    <w:p w:rsidR="00CB01B4" w:rsidRDefault="00FC7E21" w:rsidP="00F740A0">
      <w:r w:rsidRPr="00BD0D26">
        <w:lastRenderedPageBreak/>
        <w:t xml:space="preserve">As </w:t>
      </w:r>
      <w:r>
        <w:t>noted in</w:t>
      </w:r>
      <w:r w:rsidRPr="00C743A5">
        <w:rPr>
          <w:b/>
          <w:bCs/>
        </w:rPr>
        <w:t xml:space="preserve"> Section </w:t>
      </w:r>
      <w:r w:rsidR="00F04968" w:rsidRPr="00C743A5">
        <w:rPr>
          <w:b/>
          <w:bCs/>
        </w:rPr>
        <w:t>2.5</w:t>
      </w:r>
      <w:r w:rsidRPr="00C743A5">
        <w:rPr>
          <w:b/>
          <w:bCs/>
        </w:rPr>
        <w:t xml:space="preserve"> </w:t>
      </w:r>
      <w:r w:rsidRPr="00F740A0">
        <w:t>and</w:t>
      </w:r>
      <w:r w:rsidRPr="00C743A5">
        <w:rPr>
          <w:b/>
          <w:bCs/>
        </w:rPr>
        <w:t xml:space="preserve"> Section </w:t>
      </w:r>
      <w:r w:rsidR="00F04968" w:rsidRPr="00C743A5">
        <w:rPr>
          <w:b/>
          <w:bCs/>
        </w:rPr>
        <w:t>3.3</w:t>
      </w:r>
      <w:r w:rsidRPr="00BD0D26">
        <w:t xml:space="preserve">, the E3 prioritisation plan examines potential new regulations to determine those that will best reduce energy use </w:t>
      </w:r>
      <w:r w:rsidRPr="004E675B">
        <w:t xml:space="preserve">while yielding financial benefits to the Australian economy. </w:t>
      </w:r>
      <w:r w:rsidR="00F04968" w:rsidRPr="004E675B">
        <w:t xml:space="preserve">In developing the </w:t>
      </w:r>
      <w:r w:rsidR="00E16DFF">
        <w:t>p</w:t>
      </w:r>
      <w:r w:rsidR="00E16DFF" w:rsidRPr="004E675B">
        <w:t xml:space="preserve">rioritisation </w:t>
      </w:r>
      <w:r w:rsidR="00E16DFF">
        <w:t>p</w:t>
      </w:r>
      <w:r w:rsidR="00E16DFF" w:rsidRPr="004E675B">
        <w:t>lan</w:t>
      </w:r>
      <w:r w:rsidR="00F04968" w:rsidRPr="004E675B">
        <w:t>, E3 considers the developments in international policies and regulations relating to equipment and appliance energy efficiency and their possible application in Australia.</w:t>
      </w:r>
      <w:r w:rsidR="00F04968">
        <w:t xml:space="preserve"> </w:t>
      </w:r>
      <w:r w:rsidRPr="00BD0D26">
        <w:t xml:space="preserve">The </w:t>
      </w:r>
      <w:r w:rsidR="00E16DFF">
        <w:t>p</w:t>
      </w:r>
      <w:r w:rsidR="00E16DFF" w:rsidRPr="00BD0D26">
        <w:t xml:space="preserve">rioritisation </w:t>
      </w:r>
      <w:r w:rsidR="00E16DFF">
        <w:t>p</w:t>
      </w:r>
      <w:r w:rsidR="00E16DFF" w:rsidRPr="00BD0D26">
        <w:t>lan</w:t>
      </w:r>
      <w:r w:rsidRPr="00BD0D26">
        <w:t xml:space="preserve"> has set the expansion of the program in the short and medium terms. In considering the longer term effectiveness of GEMS regulations, E3 has </w:t>
      </w:r>
      <w:r>
        <w:t xml:space="preserve">also </w:t>
      </w:r>
      <w:r w:rsidRPr="00BD0D26">
        <w:t>been investigating new opportunities for expanding into residential, transport, industrial and agricultural sectors</w:t>
      </w:r>
      <w:r>
        <w:t xml:space="preserve">, which is discussed further in </w:t>
      </w:r>
      <w:r w:rsidR="00CC670C" w:rsidRPr="00C743A5">
        <w:rPr>
          <w:b/>
          <w:bCs/>
        </w:rPr>
        <w:t>Section 5.8.3</w:t>
      </w:r>
      <w:r w:rsidRPr="00BD0D26">
        <w:t xml:space="preserve">. </w:t>
      </w:r>
      <w:r w:rsidR="00CB01B4" w:rsidRPr="00C743A5">
        <w:rPr>
          <w:b/>
          <w:bCs/>
        </w:rPr>
        <w:t xml:space="preserve">Table </w:t>
      </w:r>
      <w:r w:rsidR="00004CF1" w:rsidRPr="00C743A5">
        <w:rPr>
          <w:b/>
          <w:bCs/>
        </w:rPr>
        <w:t>7</w:t>
      </w:r>
      <w:r w:rsidR="00004CF1" w:rsidRPr="00BD0D26">
        <w:t xml:space="preserve"> </w:t>
      </w:r>
      <w:r w:rsidR="00CB01B4" w:rsidRPr="00BD0D26">
        <w:t xml:space="preserve">shows these priorities in </w:t>
      </w:r>
      <w:r w:rsidR="00CC670C">
        <w:t xml:space="preserve">the </w:t>
      </w:r>
      <w:r w:rsidR="00CB01B4" w:rsidRPr="00BD0D26">
        <w:t xml:space="preserve">2017-18 </w:t>
      </w:r>
      <w:r w:rsidR="00E16DFF">
        <w:t>p</w:t>
      </w:r>
      <w:r w:rsidR="00E16DFF" w:rsidRPr="00BD0D26">
        <w:t xml:space="preserve">rioritisation </w:t>
      </w:r>
      <w:r w:rsidR="00E16DFF">
        <w:t>p</w:t>
      </w:r>
      <w:r w:rsidR="00E16DFF" w:rsidRPr="00BD0D26">
        <w:t>lan</w:t>
      </w:r>
      <w:r w:rsidR="00CB01B4" w:rsidRPr="00BD0D26">
        <w:t>.</w:t>
      </w:r>
    </w:p>
    <w:p w:rsidR="00004CF1" w:rsidRDefault="00FC7E21" w:rsidP="0099746E">
      <w:r>
        <w:t>Through this work,</w:t>
      </w:r>
      <w:r w:rsidR="0099746E" w:rsidRPr="00BD0D26">
        <w:t xml:space="preserve"> E3 has been actively considering options for expanding product coverage under the GEMS Act. This has helped the program to focus strategically to ensure that the most appropriate products are targeted in the future for new or updated regulations. </w:t>
      </w:r>
    </w:p>
    <w:p w:rsidR="009250E3" w:rsidRPr="00461A5D" w:rsidRDefault="00E83FA8" w:rsidP="00461A5D">
      <w:pPr>
        <w:pStyle w:val="Heading4"/>
      </w:pPr>
      <w:r w:rsidRPr="00BD0D26">
        <w:t>Alignin</w:t>
      </w:r>
      <w:r>
        <w:t>g with international regulation</w:t>
      </w:r>
    </w:p>
    <w:p w:rsidR="00E83FA8" w:rsidRDefault="00E83FA8" w:rsidP="00E83FA8">
      <w:pPr>
        <w:rPr>
          <w:lang w:val="en"/>
        </w:rPr>
      </w:pPr>
      <w:r w:rsidRPr="00BD0D26">
        <w:t xml:space="preserve">As discussed in </w:t>
      </w:r>
      <w:r w:rsidRPr="00C743A5">
        <w:rPr>
          <w:b/>
          <w:bCs/>
        </w:rPr>
        <w:t>Section 3</w:t>
      </w:r>
      <w:r w:rsidRPr="00BD0D26">
        <w:t>, in general, Australia</w:t>
      </w:r>
      <w:r w:rsidRPr="00BD0D26">
        <w:rPr>
          <w:lang w:val="en"/>
        </w:rPr>
        <w:t xml:space="preserve"> is </w:t>
      </w:r>
      <w:r>
        <w:rPr>
          <w:lang w:val="en"/>
        </w:rPr>
        <w:t xml:space="preserve">highly dependent on imports for the supply of the majority of products covered by GEMS regulations. </w:t>
      </w:r>
      <w:r w:rsidR="009276D8">
        <w:rPr>
          <w:lang w:val="en"/>
        </w:rPr>
        <w:t>Ours</w:t>
      </w:r>
      <w:r>
        <w:rPr>
          <w:lang w:val="en"/>
        </w:rPr>
        <w:t xml:space="preserve"> is also </w:t>
      </w:r>
      <w:r w:rsidRPr="00BD0D26">
        <w:rPr>
          <w:lang w:val="en"/>
        </w:rPr>
        <w:t xml:space="preserve">a small market </w:t>
      </w:r>
      <w:r>
        <w:rPr>
          <w:lang w:val="en"/>
        </w:rPr>
        <w:t>when compared to</w:t>
      </w:r>
      <w:r w:rsidRPr="00BD0D26">
        <w:t xml:space="preserve"> the European Union and the United States</w:t>
      </w:r>
      <w:r w:rsidR="009276D8">
        <w:t>.</w:t>
      </w:r>
      <w:r w:rsidRPr="00BD0D26">
        <w:t xml:space="preserve"> </w:t>
      </w:r>
      <w:r w:rsidR="009276D8">
        <w:rPr>
          <w:lang w:val="en"/>
        </w:rPr>
        <w:t>A</w:t>
      </w:r>
      <w:r w:rsidRPr="00BD0D26">
        <w:rPr>
          <w:lang w:val="en"/>
        </w:rPr>
        <w:t>s such, in most cases, it is not practical</w:t>
      </w:r>
      <w:r w:rsidR="009276D8">
        <w:rPr>
          <w:lang w:val="en"/>
        </w:rPr>
        <w:t xml:space="preserve"> for Australia</w:t>
      </w:r>
      <w:r w:rsidRPr="00BD0D26">
        <w:rPr>
          <w:lang w:val="en"/>
        </w:rPr>
        <w:t xml:space="preserve"> to lead on product energy efficiency. </w:t>
      </w:r>
      <w:r>
        <w:rPr>
          <w:lang w:val="en"/>
        </w:rPr>
        <w:t xml:space="preserve">Appropriately, </w:t>
      </w:r>
      <w:r w:rsidR="009276D8">
        <w:rPr>
          <w:lang w:val="en"/>
        </w:rPr>
        <w:t>we tend</w:t>
      </w:r>
      <w:r>
        <w:rPr>
          <w:lang w:val="en"/>
        </w:rPr>
        <w:t xml:space="preserve"> to be a</w:t>
      </w:r>
      <w:r w:rsidRPr="00BD0D26">
        <w:rPr>
          <w:lang w:val="en"/>
        </w:rPr>
        <w:t xml:space="preserve">n early </w:t>
      </w:r>
      <w:r w:rsidR="009250E3">
        <w:rPr>
          <w:lang w:val="en"/>
        </w:rPr>
        <w:t>follower</w:t>
      </w:r>
      <w:r w:rsidR="009250E3" w:rsidRPr="00BD0D26">
        <w:rPr>
          <w:lang w:val="en"/>
        </w:rPr>
        <w:t xml:space="preserve"> </w:t>
      </w:r>
      <w:r w:rsidRPr="00BD0D26">
        <w:rPr>
          <w:lang w:val="en"/>
        </w:rPr>
        <w:t>(rather than a leader or a lagga</w:t>
      </w:r>
      <w:r>
        <w:rPr>
          <w:lang w:val="en"/>
        </w:rPr>
        <w:t>rd</w:t>
      </w:r>
      <w:r w:rsidRPr="00BD0D26">
        <w:rPr>
          <w:lang w:val="en"/>
        </w:rPr>
        <w:t>) with regard to appliance energy efficiency</w:t>
      </w:r>
      <w:r>
        <w:rPr>
          <w:lang w:val="en"/>
        </w:rPr>
        <w:t xml:space="preserve"> regulations</w:t>
      </w:r>
      <w:r w:rsidRPr="00BD0D26">
        <w:rPr>
          <w:lang w:val="en"/>
        </w:rPr>
        <w:t xml:space="preserve">. </w:t>
      </w:r>
      <w:r w:rsidRPr="00784537">
        <w:rPr>
          <w:lang w:val="en"/>
        </w:rPr>
        <w:t xml:space="preserve">The question of whether </w:t>
      </w:r>
      <w:r w:rsidR="009276D8">
        <w:rPr>
          <w:lang w:val="en"/>
        </w:rPr>
        <w:t>we are</w:t>
      </w:r>
      <w:r w:rsidRPr="00784537">
        <w:rPr>
          <w:lang w:val="en"/>
        </w:rPr>
        <w:t xml:space="preserve"> lagging on particular products may come down to how quickly new regulations are considered</w:t>
      </w:r>
      <w:r>
        <w:rPr>
          <w:lang w:val="en"/>
        </w:rPr>
        <w:t xml:space="preserve"> and </w:t>
      </w:r>
      <w:r w:rsidR="009250E3">
        <w:rPr>
          <w:lang w:val="en"/>
        </w:rPr>
        <w:t>ad</w:t>
      </w:r>
      <w:r w:rsidR="00461A5D">
        <w:rPr>
          <w:lang w:val="en"/>
        </w:rPr>
        <w:t xml:space="preserve">opted </w:t>
      </w:r>
      <w:r w:rsidR="009250E3">
        <w:rPr>
          <w:lang w:val="en"/>
        </w:rPr>
        <w:t xml:space="preserve">with </w:t>
      </w:r>
      <w:r w:rsidR="00461A5D">
        <w:rPr>
          <w:lang w:val="en"/>
        </w:rPr>
        <w:t xml:space="preserve">necessary </w:t>
      </w:r>
      <w:r w:rsidR="009250E3">
        <w:rPr>
          <w:lang w:val="en"/>
        </w:rPr>
        <w:t>modifications for Australian con</w:t>
      </w:r>
      <w:r w:rsidR="00461A5D">
        <w:rPr>
          <w:lang w:val="en"/>
        </w:rPr>
        <w:t>ditions</w:t>
      </w:r>
      <w:r w:rsidRPr="00784537">
        <w:rPr>
          <w:lang w:val="en"/>
        </w:rPr>
        <w:t>.</w:t>
      </w:r>
      <w:r>
        <w:rPr>
          <w:lang w:val="en"/>
        </w:rPr>
        <w:t xml:space="preserve"> </w:t>
      </w:r>
    </w:p>
    <w:p w:rsidR="006979A5" w:rsidRDefault="006979A5" w:rsidP="00E83FA8">
      <w:pPr>
        <w:rPr>
          <w:lang w:val="en"/>
        </w:rPr>
      </w:pPr>
    </w:p>
    <w:p w:rsidR="00A07611" w:rsidRPr="00413D00" w:rsidRDefault="00A07611">
      <w:pPr>
        <w:spacing w:after="0" w:line="240" w:lineRule="auto"/>
        <w:rPr>
          <w:rStyle w:val="Emphasis"/>
          <w:szCs w:val="20"/>
        </w:rPr>
      </w:pPr>
      <w:r w:rsidRPr="00413D00">
        <w:rPr>
          <w:rStyle w:val="Emphasis"/>
          <w:szCs w:val="20"/>
        </w:rPr>
        <w:br w:type="page"/>
      </w:r>
    </w:p>
    <w:p w:rsidR="007007F3" w:rsidRPr="00413D00" w:rsidRDefault="007007F3" w:rsidP="003442DC">
      <w:pPr>
        <w:keepNext/>
        <w:spacing w:after="0"/>
        <w:rPr>
          <w:rStyle w:val="Emphasis"/>
          <w:szCs w:val="20"/>
        </w:rPr>
      </w:pPr>
      <w:r w:rsidRPr="00413D00">
        <w:rPr>
          <w:rStyle w:val="Emphasis"/>
          <w:szCs w:val="20"/>
        </w:rPr>
        <w:lastRenderedPageBreak/>
        <w:t xml:space="preserve">Table </w:t>
      </w:r>
      <w:r w:rsidR="00004CF1" w:rsidRPr="00413D00">
        <w:rPr>
          <w:rStyle w:val="Emphasis"/>
          <w:szCs w:val="20"/>
        </w:rPr>
        <w:t>7</w:t>
      </w:r>
      <w:r w:rsidRPr="00413D00">
        <w:rPr>
          <w:rStyle w:val="Emphasis"/>
          <w:szCs w:val="20"/>
        </w:rPr>
        <w:t xml:space="preserve">: </w:t>
      </w:r>
      <w:r w:rsidR="008643BD" w:rsidRPr="00413D00">
        <w:rPr>
          <w:rStyle w:val="Emphasis"/>
          <w:szCs w:val="20"/>
        </w:rPr>
        <w:t>E3 prioritisation plan</w:t>
      </w:r>
    </w:p>
    <w:tbl>
      <w:tblPr>
        <w:tblStyle w:val="TableGrid"/>
        <w:tblW w:w="5000" w:type="pct"/>
        <w:tblLook w:val="04A0" w:firstRow="1" w:lastRow="0" w:firstColumn="1" w:lastColumn="0" w:noHBand="0" w:noVBand="1"/>
      </w:tblPr>
      <w:tblGrid>
        <w:gridCol w:w="3332"/>
        <w:gridCol w:w="5684"/>
      </w:tblGrid>
      <w:tr w:rsidR="001F2E9E" w:rsidRPr="001F2E9E" w:rsidTr="009115F1">
        <w:trPr>
          <w:cnfStyle w:val="100000000000" w:firstRow="1" w:lastRow="0" w:firstColumn="0" w:lastColumn="0" w:oddVBand="0" w:evenVBand="0" w:oddHBand="0" w:evenHBand="0" w:firstRowFirstColumn="0" w:firstRowLastColumn="0" w:lastRowFirstColumn="0" w:lastRowLastColumn="0"/>
          <w:tblHeader/>
        </w:trPr>
        <w:tc>
          <w:tcPr>
            <w:tcW w:w="1848" w:type="pct"/>
          </w:tcPr>
          <w:p w:rsidR="00CB01B4" w:rsidRPr="00C743A5" w:rsidRDefault="00CB01B4" w:rsidP="00C743A5">
            <w:pPr>
              <w:rPr>
                <w:b/>
                <w:bCs/>
              </w:rPr>
            </w:pPr>
            <w:r w:rsidRPr="00C743A5">
              <w:rPr>
                <w:b/>
                <w:bCs/>
                <w:color w:val="000000" w:themeColor="text1"/>
              </w:rPr>
              <w:t>High Priority</w:t>
            </w:r>
          </w:p>
        </w:tc>
        <w:tc>
          <w:tcPr>
            <w:tcW w:w="3152" w:type="pct"/>
          </w:tcPr>
          <w:p w:rsidR="00CB01B4" w:rsidRPr="001F2E9E" w:rsidRDefault="00CB01B4" w:rsidP="001F2E9E">
            <w:pPr>
              <w:spacing w:before="40" w:after="40"/>
              <w:rPr>
                <w:b/>
                <w:color w:val="FFFFCC"/>
                <w:sz w:val="22"/>
              </w:rPr>
            </w:pPr>
          </w:p>
        </w:tc>
      </w:tr>
      <w:tr w:rsidR="00CB01B4" w:rsidRPr="00196A23" w:rsidTr="009115F1">
        <w:trPr>
          <w:cnfStyle w:val="000000100000" w:firstRow="0" w:lastRow="0" w:firstColumn="0" w:lastColumn="0" w:oddVBand="0" w:evenVBand="0" w:oddHBand="1" w:evenHBand="0" w:firstRowFirstColumn="0" w:firstRowLastColumn="0" w:lastRowFirstColumn="0" w:lastRowLastColumn="0"/>
        </w:trPr>
        <w:tc>
          <w:tcPr>
            <w:tcW w:w="1848" w:type="pct"/>
          </w:tcPr>
          <w:p w:rsidR="00CB01B4" w:rsidRPr="00196A23" w:rsidRDefault="00CB01B4" w:rsidP="001F2E9E">
            <w:pPr>
              <w:spacing w:before="40" w:after="40"/>
              <w:mirrorIndents w:val="0"/>
              <w:rPr>
                <w:sz w:val="22"/>
              </w:rPr>
            </w:pPr>
            <w:r w:rsidRPr="00196A23">
              <w:rPr>
                <w:sz w:val="22"/>
              </w:rPr>
              <w:t>E3’s immediate attention will be focussed on the work streams for these products</w:t>
            </w:r>
          </w:p>
        </w:tc>
        <w:tc>
          <w:tcPr>
            <w:tcW w:w="3152" w:type="pct"/>
          </w:tcPr>
          <w:p w:rsidR="00FC7E21" w:rsidRDefault="00FC7E21" w:rsidP="008A7FC0">
            <w:pPr>
              <w:pStyle w:val="ListParagraph"/>
              <w:numPr>
                <w:ilvl w:val="0"/>
                <w:numId w:val="10"/>
              </w:numPr>
              <w:spacing w:before="40" w:after="40"/>
              <w:mirrorIndents w:val="0"/>
              <w:rPr>
                <w:sz w:val="22"/>
              </w:rPr>
            </w:pPr>
            <w:r>
              <w:rPr>
                <w:sz w:val="22"/>
              </w:rPr>
              <w:t>Air conditioners</w:t>
            </w:r>
          </w:p>
          <w:p w:rsidR="00FC7E21" w:rsidRDefault="00FC7E21" w:rsidP="008A7FC0">
            <w:pPr>
              <w:pStyle w:val="ListParagraph"/>
              <w:numPr>
                <w:ilvl w:val="0"/>
                <w:numId w:val="10"/>
              </w:numPr>
              <w:spacing w:before="40" w:after="40"/>
              <w:mirrorIndents w:val="0"/>
              <w:rPr>
                <w:sz w:val="22"/>
              </w:rPr>
            </w:pPr>
            <w:r>
              <w:rPr>
                <w:sz w:val="22"/>
              </w:rPr>
              <w:t>Domestic refrigerators and freezers</w:t>
            </w:r>
          </w:p>
          <w:p w:rsidR="00FC7E21" w:rsidRDefault="00FC7E21" w:rsidP="008A7FC0">
            <w:pPr>
              <w:pStyle w:val="ListParagraph"/>
              <w:numPr>
                <w:ilvl w:val="0"/>
                <w:numId w:val="10"/>
              </w:numPr>
              <w:spacing w:before="40" w:after="40"/>
              <w:mirrorIndents w:val="0"/>
              <w:rPr>
                <w:sz w:val="22"/>
              </w:rPr>
            </w:pPr>
            <w:r>
              <w:rPr>
                <w:sz w:val="22"/>
              </w:rPr>
              <w:t>Hot water systems</w:t>
            </w:r>
          </w:p>
          <w:p w:rsidR="00FC7E21" w:rsidRDefault="00FC7E21" w:rsidP="008A7FC0">
            <w:pPr>
              <w:pStyle w:val="ListParagraph"/>
              <w:numPr>
                <w:ilvl w:val="0"/>
                <w:numId w:val="10"/>
              </w:numPr>
              <w:spacing w:before="40" w:after="40"/>
              <w:mirrorIndents w:val="0"/>
              <w:rPr>
                <w:sz w:val="22"/>
              </w:rPr>
            </w:pPr>
            <w:r>
              <w:rPr>
                <w:sz w:val="22"/>
              </w:rPr>
              <w:t>Industrial products</w:t>
            </w:r>
          </w:p>
          <w:p w:rsidR="00FC7E21" w:rsidRPr="00196A23" w:rsidRDefault="00FC7E21" w:rsidP="008A7FC0">
            <w:pPr>
              <w:pStyle w:val="ListParagraph"/>
              <w:numPr>
                <w:ilvl w:val="0"/>
                <w:numId w:val="10"/>
              </w:numPr>
              <w:spacing w:before="40" w:after="40"/>
              <w:mirrorIndents w:val="0"/>
              <w:rPr>
                <w:sz w:val="22"/>
              </w:rPr>
            </w:pPr>
            <w:r w:rsidRPr="00196A23">
              <w:rPr>
                <w:sz w:val="22"/>
              </w:rPr>
              <w:t xml:space="preserve">Lighting </w:t>
            </w:r>
          </w:p>
          <w:p w:rsidR="00FC7E21" w:rsidRPr="00196A23" w:rsidRDefault="00FC7E21" w:rsidP="008A7FC0">
            <w:pPr>
              <w:pStyle w:val="ListParagraph"/>
              <w:numPr>
                <w:ilvl w:val="0"/>
                <w:numId w:val="10"/>
              </w:numPr>
              <w:spacing w:before="40" w:after="40"/>
              <w:mirrorIndents w:val="0"/>
              <w:rPr>
                <w:sz w:val="22"/>
              </w:rPr>
            </w:pPr>
            <w:r w:rsidRPr="00196A23">
              <w:rPr>
                <w:sz w:val="22"/>
              </w:rPr>
              <w:t xml:space="preserve">Non domestic fans </w:t>
            </w:r>
          </w:p>
          <w:p w:rsidR="00FC7E21" w:rsidRPr="00196A23" w:rsidRDefault="00FC7E21" w:rsidP="008A7FC0">
            <w:pPr>
              <w:pStyle w:val="ListParagraph"/>
              <w:numPr>
                <w:ilvl w:val="0"/>
                <w:numId w:val="10"/>
              </w:numPr>
              <w:spacing w:before="40" w:after="40"/>
              <w:mirrorIndents w:val="0"/>
              <w:rPr>
                <w:sz w:val="22"/>
              </w:rPr>
            </w:pPr>
            <w:r w:rsidRPr="00196A23">
              <w:rPr>
                <w:sz w:val="22"/>
              </w:rPr>
              <w:t xml:space="preserve">Refrigerated storage and display cabinets </w:t>
            </w:r>
          </w:p>
          <w:p w:rsidR="00FC7E21" w:rsidRPr="00196A23" w:rsidRDefault="00FC7E21" w:rsidP="008A7FC0">
            <w:pPr>
              <w:pStyle w:val="ListParagraph"/>
              <w:numPr>
                <w:ilvl w:val="0"/>
                <w:numId w:val="10"/>
              </w:numPr>
              <w:spacing w:before="40" w:after="40"/>
              <w:mirrorIndents w:val="0"/>
              <w:rPr>
                <w:sz w:val="22"/>
              </w:rPr>
            </w:pPr>
            <w:r w:rsidRPr="00196A23">
              <w:rPr>
                <w:sz w:val="22"/>
              </w:rPr>
              <w:t>Swimming pool pumps</w:t>
            </w:r>
          </w:p>
          <w:p w:rsidR="00CB01B4" w:rsidRPr="00196A23" w:rsidRDefault="00FC7E21" w:rsidP="008A7FC0">
            <w:pPr>
              <w:pStyle w:val="ListParagraph"/>
              <w:numPr>
                <w:ilvl w:val="0"/>
                <w:numId w:val="10"/>
              </w:numPr>
              <w:spacing w:before="40" w:after="40"/>
              <w:mirrorIndents w:val="0"/>
              <w:rPr>
                <w:sz w:val="22"/>
              </w:rPr>
            </w:pPr>
            <w:r w:rsidRPr="00196A23">
              <w:rPr>
                <w:sz w:val="22"/>
              </w:rPr>
              <w:t>Televisions</w:t>
            </w:r>
          </w:p>
        </w:tc>
      </w:tr>
      <w:tr w:rsidR="00CB01B4" w:rsidRPr="00196A23" w:rsidTr="009115F1">
        <w:trPr>
          <w:cnfStyle w:val="000000010000" w:firstRow="0" w:lastRow="0" w:firstColumn="0" w:lastColumn="0" w:oddVBand="0" w:evenVBand="0" w:oddHBand="0" w:evenHBand="1" w:firstRowFirstColumn="0" w:firstRowLastColumn="0" w:lastRowFirstColumn="0" w:lastRowLastColumn="0"/>
        </w:trPr>
        <w:tc>
          <w:tcPr>
            <w:tcW w:w="1848" w:type="pct"/>
          </w:tcPr>
          <w:p w:rsidR="00CB01B4" w:rsidRPr="00C743A5" w:rsidRDefault="00CB01B4" w:rsidP="00C743A5">
            <w:pPr>
              <w:rPr>
                <w:b/>
                <w:bCs/>
              </w:rPr>
            </w:pPr>
            <w:r w:rsidRPr="00C743A5">
              <w:rPr>
                <w:b/>
                <w:bCs/>
                <w:color w:val="000000" w:themeColor="text1"/>
              </w:rPr>
              <w:t>Lower priority</w:t>
            </w:r>
          </w:p>
        </w:tc>
        <w:tc>
          <w:tcPr>
            <w:tcW w:w="3152" w:type="pct"/>
          </w:tcPr>
          <w:p w:rsidR="00CB01B4" w:rsidRPr="002711E8" w:rsidRDefault="00CB01B4" w:rsidP="001F2E9E">
            <w:pPr>
              <w:spacing w:before="40" w:after="40"/>
              <w:mirrorIndents w:val="0"/>
              <w:rPr>
                <w:color w:val="ECAE8C"/>
                <w:sz w:val="22"/>
              </w:rPr>
            </w:pPr>
          </w:p>
        </w:tc>
      </w:tr>
      <w:tr w:rsidR="00CB01B4" w:rsidRPr="00196A23" w:rsidTr="009115F1">
        <w:trPr>
          <w:cnfStyle w:val="000000100000" w:firstRow="0" w:lastRow="0" w:firstColumn="0" w:lastColumn="0" w:oddVBand="0" w:evenVBand="0" w:oddHBand="1" w:evenHBand="0" w:firstRowFirstColumn="0" w:firstRowLastColumn="0" w:lastRowFirstColumn="0" w:lastRowLastColumn="0"/>
        </w:trPr>
        <w:tc>
          <w:tcPr>
            <w:tcW w:w="1848" w:type="pct"/>
          </w:tcPr>
          <w:p w:rsidR="00CB01B4" w:rsidRPr="00196A23" w:rsidRDefault="00CB01B4" w:rsidP="001F2E9E">
            <w:pPr>
              <w:spacing w:before="40" w:after="40"/>
              <w:mirrorIndents w:val="0"/>
              <w:rPr>
                <w:sz w:val="22"/>
              </w:rPr>
            </w:pPr>
            <w:r w:rsidRPr="00196A23">
              <w:rPr>
                <w:sz w:val="22"/>
              </w:rPr>
              <w:t>E3 remains committed to reviewing and assessing these products as it develops future work plans</w:t>
            </w:r>
          </w:p>
          <w:p w:rsidR="00CB01B4" w:rsidRDefault="00CB01B4" w:rsidP="001F2E9E">
            <w:pPr>
              <w:spacing w:before="40" w:after="40"/>
              <w:mirrorIndents w:val="0"/>
              <w:rPr>
                <w:sz w:val="22"/>
              </w:rPr>
            </w:pPr>
            <w:r w:rsidRPr="00196A23">
              <w:rPr>
                <w:sz w:val="22"/>
              </w:rPr>
              <w:t>Engagement with industry stakeholders will be ongoing</w:t>
            </w:r>
          </w:p>
          <w:p w:rsidR="00FC7E21" w:rsidRPr="00196A23" w:rsidRDefault="00FC7E21" w:rsidP="001F2E9E">
            <w:pPr>
              <w:spacing w:before="40" w:after="40"/>
              <w:mirrorIndents w:val="0"/>
              <w:rPr>
                <w:b/>
                <w:sz w:val="22"/>
              </w:rPr>
            </w:pPr>
          </w:p>
        </w:tc>
        <w:tc>
          <w:tcPr>
            <w:tcW w:w="3152" w:type="pct"/>
          </w:tcPr>
          <w:p w:rsidR="00CB01B4" w:rsidRPr="00196A23" w:rsidRDefault="00CB01B4" w:rsidP="001F2E9E">
            <w:pPr>
              <w:spacing w:before="40" w:after="40"/>
              <w:mirrorIndents w:val="0"/>
              <w:rPr>
                <w:sz w:val="22"/>
              </w:rPr>
            </w:pPr>
            <w:r w:rsidRPr="00196A23">
              <w:rPr>
                <w:sz w:val="22"/>
              </w:rPr>
              <w:t>These products will continue to be regulated</w:t>
            </w:r>
            <w:r w:rsidR="00512C0C">
              <w:rPr>
                <w:sz w:val="22"/>
              </w:rPr>
              <w:t xml:space="preserve"> or considered for future regulation</w:t>
            </w:r>
            <w:r w:rsidRPr="00196A23">
              <w:rPr>
                <w:sz w:val="22"/>
              </w:rPr>
              <w:t xml:space="preserve">: </w:t>
            </w:r>
          </w:p>
          <w:p w:rsidR="00FC7E21" w:rsidRPr="007056A0" w:rsidRDefault="00FC7E21" w:rsidP="008A7FC0">
            <w:pPr>
              <w:pStyle w:val="ListParagraph"/>
              <w:numPr>
                <w:ilvl w:val="0"/>
                <w:numId w:val="10"/>
              </w:numPr>
              <w:spacing w:before="40" w:after="40"/>
              <w:mirrorIndents w:val="0"/>
              <w:rPr>
                <w:sz w:val="22"/>
              </w:rPr>
            </w:pPr>
            <w:r w:rsidRPr="00196A23">
              <w:rPr>
                <w:sz w:val="22"/>
              </w:rPr>
              <w:t>Clothes dryers</w:t>
            </w:r>
          </w:p>
          <w:p w:rsidR="00FC7E21" w:rsidRPr="00196A23" w:rsidRDefault="00FC7E21" w:rsidP="008A7FC0">
            <w:pPr>
              <w:pStyle w:val="ListParagraph"/>
              <w:numPr>
                <w:ilvl w:val="0"/>
                <w:numId w:val="10"/>
              </w:numPr>
              <w:spacing w:before="40" w:after="40"/>
              <w:mirrorIndents w:val="0"/>
              <w:rPr>
                <w:sz w:val="22"/>
              </w:rPr>
            </w:pPr>
            <w:r>
              <w:rPr>
                <w:sz w:val="22"/>
              </w:rPr>
              <w:t>Clothes w</w:t>
            </w:r>
            <w:r w:rsidRPr="00196A23">
              <w:rPr>
                <w:sz w:val="22"/>
              </w:rPr>
              <w:t>ashing machines</w:t>
            </w:r>
          </w:p>
          <w:p w:rsidR="00FC7E21" w:rsidRPr="00196A23" w:rsidRDefault="00FC7E21" w:rsidP="008A7FC0">
            <w:pPr>
              <w:pStyle w:val="ListParagraph"/>
              <w:numPr>
                <w:ilvl w:val="0"/>
                <w:numId w:val="10"/>
              </w:numPr>
              <w:spacing w:before="40" w:after="40"/>
              <w:mirrorIndents w:val="0"/>
              <w:rPr>
                <w:sz w:val="22"/>
              </w:rPr>
            </w:pPr>
            <w:r w:rsidRPr="00196A23">
              <w:rPr>
                <w:sz w:val="22"/>
              </w:rPr>
              <w:t>Computers</w:t>
            </w:r>
          </w:p>
          <w:p w:rsidR="00EB6929" w:rsidRPr="004E675B" w:rsidRDefault="00EB6929" w:rsidP="008A7FC0">
            <w:pPr>
              <w:pStyle w:val="ListParagraph"/>
              <w:numPr>
                <w:ilvl w:val="0"/>
                <w:numId w:val="10"/>
              </w:numPr>
              <w:spacing w:before="40" w:after="40"/>
              <w:mirrorIndents w:val="0"/>
              <w:rPr>
                <w:sz w:val="22"/>
              </w:rPr>
            </w:pPr>
            <w:r>
              <w:rPr>
                <w:sz w:val="22"/>
              </w:rPr>
              <w:t xml:space="preserve">Computer </w:t>
            </w:r>
            <w:r w:rsidR="00CC670C">
              <w:rPr>
                <w:sz w:val="22"/>
              </w:rPr>
              <w:t>m</w:t>
            </w:r>
            <w:r w:rsidR="00CC670C" w:rsidRPr="004E675B">
              <w:rPr>
                <w:sz w:val="22"/>
              </w:rPr>
              <w:t xml:space="preserve">onitors </w:t>
            </w:r>
            <w:r w:rsidRPr="004E675B">
              <w:rPr>
                <w:sz w:val="22"/>
              </w:rPr>
              <w:t>and other flat screen technology (excluding televisions)</w:t>
            </w:r>
          </w:p>
          <w:p w:rsidR="00FC7E21" w:rsidRPr="00196A23" w:rsidRDefault="00FC7E21" w:rsidP="008A7FC0">
            <w:pPr>
              <w:pStyle w:val="ListParagraph"/>
              <w:numPr>
                <w:ilvl w:val="0"/>
                <w:numId w:val="10"/>
              </w:numPr>
              <w:spacing w:before="40" w:after="40"/>
              <w:mirrorIndents w:val="0"/>
              <w:rPr>
                <w:sz w:val="22"/>
              </w:rPr>
            </w:pPr>
            <w:r w:rsidRPr="00196A23">
              <w:rPr>
                <w:sz w:val="22"/>
              </w:rPr>
              <w:t>Dishwashers</w:t>
            </w:r>
          </w:p>
          <w:p w:rsidR="00FC7E21" w:rsidRPr="00196A23" w:rsidRDefault="00FC7E21" w:rsidP="008A7FC0">
            <w:pPr>
              <w:pStyle w:val="ListParagraph"/>
              <w:numPr>
                <w:ilvl w:val="0"/>
                <w:numId w:val="10"/>
              </w:numPr>
              <w:spacing w:before="40" w:after="40"/>
              <w:mirrorIndents w:val="0"/>
              <w:rPr>
                <w:sz w:val="22"/>
              </w:rPr>
            </w:pPr>
            <w:r w:rsidRPr="00196A23">
              <w:rPr>
                <w:sz w:val="22"/>
              </w:rPr>
              <w:t>Distribution transformers</w:t>
            </w:r>
          </w:p>
          <w:p w:rsidR="00FC7E21" w:rsidRPr="00196A23" w:rsidRDefault="00FC7E21" w:rsidP="008A7FC0">
            <w:pPr>
              <w:pStyle w:val="ListParagraph"/>
              <w:numPr>
                <w:ilvl w:val="0"/>
                <w:numId w:val="10"/>
              </w:numPr>
              <w:spacing w:before="40" w:after="40"/>
              <w:mirrorIndents w:val="0"/>
              <w:rPr>
                <w:sz w:val="22"/>
              </w:rPr>
            </w:pPr>
            <w:r w:rsidRPr="00196A23">
              <w:rPr>
                <w:sz w:val="22"/>
              </w:rPr>
              <w:t>Electric motors</w:t>
            </w:r>
          </w:p>
          <w:p w:rsidR="00FC7E21" w:rsidRPr="00196A23" w:rsidRDefault="00FC7E21" w:rsidP="008A7FC0">
            <w:pPr>
              <w:pStyle w:val="ListParagraph"/>
              <w:numPr>
                <w:ilvl w:val="0"/>
                <w:numId w:val="10"/>
              </w:numPr>
              <w:spacing w:before="40" w:after="40"/>
              <w:mirrorIndents w:val="0"/>
              <w:rPr>
                <w:sz w:val="22"/>
              </w:rPr>
            </w:pPr>
            <w:r w:rsidRPr="00196A23">
              <w:rPr>
                <w:sz w:val="22"/>
              </w:rPr>
              <w:t>External power supplies</w:t>
            </w:r>
          </w:p>
          <w:p w:rsidR="00FC7E21" w:rsidRPr="004E675B" w:rsidRDefault="00FC7E21" w:rsidP="008A7FC0">
            <w:pPr>
              <w:pStyle w:val="ListParagraph"/>
              <w:numPr>
                <w:ilvl w:val="0"/>
                <w:numId w:val="10"/>
              </w:numPr>
              <w:spacing w:before="40" w:after="40"/>
              <w:mirrorIndents w:val="0"/>
              <w:rPr>
                <w:sz w:val="22"/>
              </w:rPr>
            </w:pPr>
            <w:r w:rsidRPr="00243D5B">
              <w:rPr>
                <w:sz w:val="22"/>
              </w:rPr>
              <w:t>S</w:t>
            </w:r>
            <w:r w:rsidRPr="004E675B">
              <w:rPr>
                <w:sz w:val="22"/>
              </w:rPr>
              <w:t>et-top boxes</w:t>
            </w:r>
          </w:p>
          <w:p w:rsidR="00CB01B4" w:rsidRPr="00196A23" w:rsidRDefault="00FC7E21" w:rsidP="008A7FC0">
            <w:pPr>
              <w:pStyle w:val="ListParagraph"/>
              <w:numPr>
                <w:ilvl w:val="0"/>
                <w:numId w:val="10"/>
              </w:numPr>
              <w:spacing w:before="40" w:after="40"/>
              <w:mirrorIndents w:val="0"/>
              <w:rPr>
                <w:b/>
                <w:sz w:val="22"/>
              </w:rPr>
            </w:pPr>
            <w:r w:rsidRPr="004E675B">
              <w:rPr>
                <w:sz w:val="22"/>
              </w:rPr>
              <w:t>Standby power</w:t>
            </w:r>
          </w:p>
        </w:tc>
      </w:tr>
    </w:tbl>
    <w:p w:rsidR="00C84E23" w:rsidRDefault="00C84E23" w:rsidP="00F740A0">
      <w:pPr>
        <w:rPr>
          <w:lang w:val="en"/>
        </w:rPr>
      </w:pPr>
      <w:r w:rsidRPr="00F740A0">
        <w:rPr>
          <w:lang w:val="en"/>
        </w:rPr>
        <w:t>It is important to recognise</w:t>
      </w:r>
      <w:r w:rsidR="008E655F" w:rsidRPr="00F740A0">
        <w:rPr>
          <w:lang w:val="en"/>
        </w:rPr>
        <w:t xml:space="preserve"> that</w:t>
      </w:r>
      <w:r w:rsidRPr="00F740A0">
        <w:rPr>
          <w:lang w:val="en"/>
        </w:rPr>
        <w:t xml:space="preserve"> there are difficulties a</w:t>
      </w:r>
      <w:r w:rsidR="005B2C07">
        <w:rPr>
          <w:lang w:val="en"/>
        </w:rPr>
        <w:t>ssociated with undertaking like</w:t>
      </w:r>
      <w:r w:rsidR="005B2C07">
        <w:rPr>
          <w:lang w:val="en"/>
        </w:rPr>
        <w:noBreakHyphen/>
        <w:t>for</w:t>
      </w:r>
      <w:r w:rsidR="005B2C07">
        <w:rPr>
          <w:lang w:val="en"/>
        </w:rPr>
        <w:noBreakHyphen/>
      </w:r>
      <w:r w:rsidRPr="00F740A0">
        <w:rPr>
          <w:lang w:val="en"/>
        </w:rPr>
        <w:t>like international comparisons. Energy consumption information often differs between regions as test methods and calculations used to determine these figures can vary substantially. For example, the introduction of a MEPS</w:t>
      </w:r>
      <w:r w:rsidR="008208AB">
        <w:rPr>
          <w:lang w:val="en"/>
        </w:rPr>
        <w:t xml:space="preserve"> level</w:t>
      </w:r>
      <w:r w:rsidRPr="00F740A0">
        <w:rPr>
          <w:lang w:val="en"/>
        </w:rPr>
        <w:t xml:space="preserve"> for portable air conditioners in Australia</w:t>
      </w:r>
      <w:r w:rsidR="008208AB">
        <w:rPr>
          <w:lang w:val="en"/>
        </w:rPr>
        <w:t xml:space="preserve"> of</w:t>
      </w:r>
      <w:r w:rsidRPr="00F740A0">
        <w:rPr>
          <w:lang w:val="en"/>
        </w:rPr>
        <w:t xml:space="preserve"> 2.50 is slightly lower than the European Union level of 2.60</w:t>
      </w:r>
      <w:r w:rsidR="008208AB">
        <w:rPr>
          <w:lang w:val="en"/>
        </w:rPr>
        <w:t>,</w:t>
      </w:r>
      <w:r w:rsidRPr="00F740A0">
        <w:rPr>
          <w:lang w:val="en"/>
        </w:rPr>
        <w:t xml:space="preserve"> to account for the larger testing tolerances allowed in the </w:t>
      </w:r>
      <w:r w:rsidR="00D0354D" w:rsidRPr="00F740A0">
        <w:rPr>
          <w:lang w:val="en"/>
        </w:rPr>
        <w:t>European Union</w:t>
      </w:r>
      <w:r w:rsidRPr="00F740A0">
        <w:rPr>
          <w:lang w:val="en"/>
        </w:rPr>
        <w:t xml:space="preserve">. In other words, </w:t>
      </w:r>
      <w:r w:rsidR="008E655F" w:rsidRPr="00F740A0">
        <w:rPr>
          <w:lang w:val="en"/>
        </w:rPr>
        <w:t>the proposed</w:t>
      </w:r>
      <w:r w:rsidRPr="00F740A0">
        <w:rPr>
          <w:lang w:val="en"/>
        </w:rPr>
        <w:t xml:space="preserve"> lower MEPS </w:t>
      </w:r>
      <w:r w:rsidR="008E655F" w:rsidRPr="00F740A0">
        <w:rPr>
          <w:lang w:val="en"/>
        </w:rPr>
        <w:t xml:space="preserve">would in effect </w:t>
      </w:r>
      <w:r w:rsidRPr="00F740A0">
        <w:rPr>
          <w:lang w:val="en"/>
        </w:rPr>
        <w:t>achieve</w:t>
      </w:r>
      <w:r w:rsidR="008E655F" w:rsidRPr="00F740A0">
        <w:rPr>
          <w:lang w:val="en"/>
        </w:rPr>
        <w:t xml:space="preserve"> a similar</w:t>
      </w:r>
      <w:r w:rsidRPr="00F740A0">
        <w:rPr>
          <w:lang w:val="en"/>
        </w:rPr>
        <w:t xml:space="preserve"> outcome. </w:t>
      </w:r>
    </w:p>
    <w:p w:rsidR="00750270" w:rsidRPr="00750270" w:rsidRDefault="00750270" w:rsidP="00750270">
      <w:r w:rsidRPr="00750270">
        <w:t>The Lighting Council of Australia suggested that the GEMS Regulator adopt similar tolerance and test sampling approach to the requirements set out in international standards or</w:t>
      </w:r>
      <w:r>
        <w:t xml:space="preserve"> regulation in other countries.</w:t>
      </w:r>
      <w:r w:rsidRPr="00750270">
        <w:t xml:space="preserve"> However, consistent with the approach to consider the applicability of any international standard for an Australian context, the GEMS Regulator will modify international requirements for Australian purposes following consultation with stakeholders.</w:t>
      </w:r>
    </w:p>
    <w:p w:rsidR="00C743A5" w:rsidRDefault="00415FBB">
      <w:r w:rsidRPr="00BD0D26">
        <w:t xml:space="preserve">The Energy Efficiency Council suggested reversing the onus of proof when “major trading partners” propose new regulations. Stakeholders would then need to argue why standards should </w:t>
      </w:r>
      <w:r w:rsidRPr="00BD0D26">
        <w:rPr>
          <w:i/>
        </w:rPr>
        <w:t>not</w:t>
      </w:r>
      <w:r w:rsidRPr="00BD0D26">
        <w:t xml:space="preserve"> be adopted and harmonised. </w:t>
      </w:r>
      <w:r w:rsidR="001605B4">
        <w:t>However, i</w:t>
      </w:r>
      <w:r w:rsidRPr="00BD0D26">
        <w:t>t is unclear how much time and regulatory cost t</w:t>
      </w:r>
      <w:r>
        <w:t xml:space="preserve">his would </w:t>
      </w:r>
      <w:r w:rsidR="001605B4">
        <w:t xml:space="preserve">actually </w:t>
      </w:r>
      <w:r>
        <w:t>save in the long run</w:t>
      </w:r>
      <w:r w:rsidR="001605B4">
        <w:t>.</w:t>
      </w:r>
    </w:p>
    <w:p w:rsidR="00C743A5" w:rsidRDefault="00C743A5">
      <w:pPr>
        <w:spacing w:before="0" w:after="0" w:line="240" w:lineRule="auto"/>
      </w:pPr>
      <w:r>
        <w:br w:type="page"/>
      </w:r>
    </w:p>
    <w:p w:rsidR="00415FBB" w:rsidRPr="00BD0D26" w:rsidRDefault="00415FBB" w:rsidP="003442DC">
      <w:pPr>
        <w:pStyle w:val="RecHead"/>
      </w:pPr>
      <w:r w:rsidRPr="00BD0D26">
        <w:lastRenderedPageBreak/>
        <w:t>RECOMMENDATION</w:t>
      </w:r>
      <w:r>
        <w:t xml:space="preserve"> </w:t>
      </w:r>
      <w:r w:rsidR="007A0763">
        <w:t>3</w:t>
      </w:r>
      <w:r w:rsidR="0042578E">
        <w:t>3</w:t>
      </w:r>
    </w:p>
    <w:p w:rsidR="001605B4" w:rsidRPr="00C743A5" w:rsidRDefault="00E55253" w:rsidP="00C743A5">
      <w:pPr>
        <w:rPr>
          <w:b/>
          <w:bCs/>
        </w:rPr>
      </w:pPr>
      <w:r w:rsidRPr="00C743A5">
        <w:rPr>
          <w:b/>
          <w:bCs/>
        </w:rPr>
        <w:t xml:space="preserve">The </w:t>
      </w:r>
      <w:r w:rsidR="00B3581E" w:rsidRPr="00C743A5">
        <w:rPr>
          <w:b/>
          <w:bCs/>
        </w:rPr>
        <w:t>Commonwealth Government request</w:t>
      </w:r>
      <w:r w:rsidR="00B7508E" w:rsidRPr="00C743A5">
        <w:rPr>
          <w:b/>
          <w:bCs/>
        </w:rPr>
        <w:t xml:space="preserve"> that</w:t>
      </w:r>
      <w:r w:rsidR="00B3581E" w:rsidRPr="00C743A5">
        <w:rPr>
          <w:b/>
          <w:bCs/>
        </w:rPr>
        <w:t xml:space="preserve"> the COAG Energy Council </w:t>
      </w:r>
      <w:r w:rsidR="001605B4" w:rsidRPr="00C743A5">
        <w:rPr>
          <w:b/>
          <w:bCs/>
        </w:rPr>
        <w:t>continue to monitor international standards</w:t>
      </w:r>
      <w:r w:rsidR="00461A5D" w:rsidRPr="00C743A5">
        <w:rPr>
          <w:b/>
          <w:bCs/>
        </w:rPr>
        <w:t>, consider which are</w:t>
      </w:r>
      <w:r w:rsidR="001605B4" w:rsidRPr="00C743A5">
        <w:rPr>
          <w:b/>
          <w:bCs/>
        </w:rPr>
        <w:t xml:space="preserve"> appropriate</w:t>
      </w:r>
      <w:r w:rsidR="00461A5D" w:rsidRPr="00C743A5">
        <w:rPr>
          <w:b/>
          <w:bCs/>
        </w:rPr>
        <w:t xml:space="preserve"> for</w:t>
      </w:r>
      <w:r w:rsidR="001605B4" w:rsidRPr="00C743A5">
        <w:rPr>
          <w:b/>
          <w:bCs/>
        </w:rPr>
        <w:t xml:space="preserve"> Australia</w:t>
      </w:r>
      <w:r w:rsidR="00461A5D" w:rsidRPr="00C743A5">
        <w:rPr>
          <w:b/>
          <w:bCs/>
        </w:rPr>
        <w:t xml:space="preserve"> and adopt</w:t>
      </w:r>
      <w:r w:rsidR="001A16E4" w:rsidRPr="00C743A5">
        <w:rPr>
          <w:b/>
          <w:bCs/>
        </w:rPr>
        <w:t xml:space="preserve"> </w:t>
      </w:r>
      <w:r w:rsidR="004239EB" w:rsidRPr="00C743A5">
        <w:rPr>
          <w:b/>
          <w:bCs/>
        </w:rPr>
        <w:t>suitable standards</w:t>
      </w:r>
      <w:r w:rsidR="00461A5D" w:rsidRPr="00C743A5">
        <w:rPr>
          <w:b/>
          <w:bCs/>
        </w:rPr>
        <w:t xml:space="preserve"> with necessary modifications for Australian conditions.</w:t>
      </w:r>
    </w:p>
    <w:p w:rsidR="00415FBB" w:rsidRPr="00A46684" w:rsidRDefault="00415FBB" w:rsidP="00F740A0">
      <w:pPr>
        <w:pStyle w:val="Heading4"/>
        <w:rPr>
          <w:lang w:val="en"/>
        </w:rPr>
      </w:pPr>
      <w:r>
        <w:rPr>
          <w:lang w:val="en"/>
        </w:rPr>
        <w:t>International engagement</w:t>
      </w:r>
    </w:p>
    <w:p w:rsidR="00415FBB" w:rsidRPr="00BD0D26" w:rsidRDefault="001605B4" w:rsidP="00F740A0">
      <w:r w:rsidRPr="00BD0D26">
        <w:t>Consultation with international stakeholders and alignment to existing international standards is a key outcome for E3.</w:t>
      </w:r>
      <w:r>
        <w:t xml:space="preserve"> </w:t>
      </w:r>
      <w:r w:rsidR="00415FBB" w:rsidRPr="00BD0D26">
        <w:rPr>
          <w:lang w:val="en"/>
        </w:rPr>
        <w:t xml:space="preserve">Even though we are a small market for appliances and equipment, </w:t>
      </w:r>
      <w:r w:rsidR="00415FBB" w:rsidRPr="00BD0D26">
        <w:t>Australia does have influence on worldwide standards through bilateral</w:t>
      </w:r>
      <w:r>
        <w:t xml:space="preserve"> and multilateral</w:t>
      </w:r>
      <w:r w:rsidR="00415FBB" w:rsidRPr="00BD0D26">
        <w:t xml:space="preserve"> international engagement.</w:t>
      </w:r>
    </w:p>
    <w:p w:rsidR="00415FBB" w:rsidRPr="00BD0D26" w:rsidRDefault="00415FBB" w:rsidP="00F740A0">
      <w:r w:rsidRPr="00BD0D26">
        <w:t>Australia engages internationally with the following organisations on appliance energy efficiency:</w:t>
      </w:r>
    </w:p>
    <w:p w:rsidR="00415FBB" w:rsidRPr="00240A12" w:rsidRDefault="00841EE8" w:rsidP="008A7FC0">
      <w:pPr>
        <w:pStyle w:val="ListParagraph"/>
        <w:numPr>
          <w:ilvl w:val="0"/>
          <w:numId w:val="11"/>
        </w:numPr>
        <w:ind w:left="426" w:hanging="426"/>
        <w:rPr>
          <w:rStyle w:val="Hyperlink"/>
          <w:szCs w:val="24"/>
        </w:rPr>
      </w:pPr>
      <w:hyperlink r:id="rId15" w:tgtFrame="_blank" w:history="1">
        <w:r w:rsidR="00415FBB" w:rsidRPr="00240A12">
          <w:rPr>
            <w:rStyle w:val="Hyperlink"/>
            <w:szCs w:val="24"/>
          </w:rPr>
          <w:t>Clean Energy Ministerial (CEM) </w:t>
        </w:r>
      </w:hyperlink>
    </w:p>
    <w:p w:rsidR="00415FBB" w:rsidRPr="00240A12" w:rsidRDefault="00415FBB" w:rsidP="008A7FC0">
      <w:pPr>
        <w:pStyle w:val="ListParagraph"/>
        <w:numPr>
          <w:ilvl w:val="1"/>
          <w:numId w:val="12"/>
        </w:numPr>
        <w:ind w:left="851" w:hanging="425"/>
        <w:rPr>
          <w:rStyle w:val="Hyperlink"/>
          <w:szCs w:val="24"/>
        </w:rPr>
      </w:pPr>
      <w:r w:rsidRPr="00F740A0">
        <w:rPr>
          <w:rStyle w:val="Hyperlink"/>
          <w:szCs w:val="24"/>
        </w:rPr>
        <w:fldChar w:fldCharType="begin"/>
      </w:r>
      <w:r w:rsidRPr="00F740A0">
        <w:rPr>
          <w:rStyle w:val="Hyperlink"/>
          <w:szCs w:val="24"/>
        </w:rPr>
        <w:instrText xml:space="preserve"> HYPERLINK "http://www.superefficient.org/" </w:instrText>
      </w:r>
      <w:r w:rsidRPr="00F740A0">
        <w:rPr>
          <w:rStyle w:val="Hyperlink"/>
          <w:szCs w:val="24"/>
        </w:rPr>
        <w:fldChar w:fldCharType="separate"/>
      </w:r>
      <w:r w:rsidRPr="00240A12">
        <w:rPr>
          <w:rStyle w:val="Hyperlink"/>
          <w:szCs w:val="24"/>
        </w:rPr>
        <w:t>Super-Efficient Equipment and Appliance Deployment Initiative (SEAD)</w:t>
      </w:r>
    </w:p>
    <w:p w:rsidR="00415FBB" w:rsidRPr="00BD0D26" w:rsidRDefault="00415FBB" w:rsidP="008A7FC0">
      <w:pPr>
        <w:pStyle w:val="ListParagraph"/>
        <w:numPr>
          <w:ilvl w:val="0"/>
          <w:numId w:val="11"/>
        </w:numPr>
        <w:tabs>
          <w:tab w:val="clear" w:pos="720"/>
          <w:tab w:val="num" w:pos="426"/>
        </w:tabs>
        <w:ind w:left="851" w:hanging="851"/>
      </w:pPr>
      <w:r w:rsidRPr="00F740A0">
        <w:rPr>
          <w:rStyle w:val="Hyperlink"/>
          <w:szCs w:val="24"/>
        </w:rPr>
        <w:fldChar w:fldCharType="end"/>
      </w:r>
      <w:hyperlink r:id="rId16" w:tgtFrame="_blank" w:history="1">
        <w:r w:rsidRPr="00BD0D26">
          <w:rPr>
            <w:rStyle w:val="Hyperlink"/>
            <w:szCs w:val="24"/>
          </w:rPr>
          <w:t>International Partnership on Energy Efficiency Cooperation (IPEEC)</w:t>
        </w:r>
      </w:hyperlink>
    </w:p>
    <w:p w:rsidR="00415FBB" w:rsidRPr="00240A12" w:rsidRDefault="00841EE8" w:rsidP="008A7FC0">
      <w:pPr>
        <w:pStyle w:val="ListParagraph"/>
        <w:numPr>
          <w:ilvl w:val="0"/>
          <w:numId w:val="11"/>
        </w:numPr>
        <w:ind w:left="426" w:hanging="426"/>
        <w:rPr>
          <w:szCs w:val="24"/>
        </w:rPr>
      </w:pPr>
      <w:hyperlink r:id="rId17" w:tgtFrame="_blank" w:history="1">
        <w:r w:rsidR="00415FBB" w:rsidRPr="00240A12">
          <w:rPr>
            <w:rStyle w:val="Hyperlink"/>
            <w:szCs w:val="24"/>
          </w:rPr>
          <w:t>International Energy Agency (IEA)</w:t>
        </w:r>
      </w:hyperlink>
    </w:p>
    <w:p w:rsidR="00415FBB" w:rsidRPr="00BD0D26" w:rsidRDefault="00841EE8" w:rsidP="008A7FC0">
      <w:pPr>
        <w:pStyle w:val="ListParagraph"/>
        <w:numPr>
          <w:ilvl w:val="1"/>
          <w:numId w:val="12"/>
        </w:numPr>
        <w:ind w:left="851" w:hanging="425"/>
      </w:pPr>
      <w:hyperlink r:id="rId18" w:tgtFrame="_blank" w:history="1">
        <w:r w:rsidR="00415FBB" w:rsidRPr="00240A12">
          <w:rPr>
            <w:rStyle w:val="Hyperlink"/>
            <w:szCs w:val="24"/>
          </w:rPr>
          <w:t>Energy Efficient End-Use Equipment</w:t>
        </w:r>
        <w:r w:rsidR="004C5332">
          <w:rPr>
            <w:rStyle w:val="Hyperlink"/>
            <w:szCs w:val="24"/>
          </w:rPr>
          <w:t xml:space="preserve"> </w:t>
        </w:r>
        <w:r w:rsidR="00415FBB" w:rsidRPr="00240A12">
          <w:rPr>
            <w:rStyle w:val="Hyperlink"/>
            <w:szCs w:val="24"/>
          </w:rPr>
          <w:t>(4E)</w:t>
        </w:r>
      </w:hyperlink>
      <w:r w:rsidR="00A85D26" w:rsidRPr="00240A12">
        <w:rPr>
          <w:rStyle w:val="Hyperlink"/>
          <w:szCs w:val="24"/>
        </w:rPr>
        <w:br/>
      </w:r>
      <w:r w:rsidR="00415FBB" w:rsidRPr="00240A12">
        <w:rPr>
          <w:rStyle w:val="Hyperlink"/>
          <w:color w:val="000000" w:themeColor="text1"/>
          <w:szCs w:val="24"/>
        </w:rPr>
        <w:t xml:space="preserve">(Australia </w:t>
      </w:r>
      <w:r w:rsidR="00C84E23" w:rsidRPr="00240A12">
        <w:rPr>
          <w:rStyle w:val="Hyperlink"/>
          <w:color w:val="000000" w:themeColor="text1"/>
          <w:szCs w:val="24"/>
        </w:rPr>
        <w:t>ta</w:t>
      </w:r>
      <w:r w:rsidR="00C84E23" w:rsidRPr="008417C3">
        <w:rPr>
          <w:rStyle w:val="Hyperlink"/>
          <w:color w:val="000000" w:themeColor="text1"/>
          <w:szCs w:val="24"/>
        </w:rPr>
        <w:t xml:space="preserve">kes a leading role by </w:t>
      </w:r>
      <w:r w:rsidR="00415FBB" w:rsidRPr="00196A23">
        <w:rPr>
          <w:rStyle w:val="Hyperlink"/>
          <w:color w:val="000000" w:themeColor="text1"/>
          <w:szCs w:val="24"/>
        </w:rPr>
        <w:t>chair</w:t>
      </w:r>
      <w:r w:rsidR="00C84E23" w:rsidRPr="00196A23">
        <w:rPr>
          <w:rStyle w:val="Hyperlink"/>
          <w:color w:val="000000" w:themeColor="text1"/>
          <w:szCs w:val="24"/>
        </w:rPr>
        <w:t>ing</w:t>
      </w:r>
      <w:r w:rsidR="00415FBB" w:rsidRPr="000D0DC4">
        <w:rPr>
          <w:rStyle w:val="Hyperlink"/>
          <w:color w:val="000000" w:themeColor="text1"/>
          <w:szCs w:val="24"/>
        </w:rPr>
        <w:t xml:space="preserve"> this committee)</w:t>
      </w:r>
    </w:p>
    <w:p w:rsidR="00415FBB" w:rsidRPr="00BD0D26" w:rsidRDefault="00841EE8" w:rsidP="008A7FC0">
      <w:pPr>
        <w:pStyle w:val="ListParagraph"/>
        <w:numPr>
          <w:ilvl w:val="0"/>
          <w:numId w:val="11"/>
        </w:numPr>
        <w:ind w:left="426" w:hanging="426"/>
      </w:pPr>
      <w:hyperlink r:id="rId19" w:tgtFrame="_blank" w:history="1">
        <w:r w:rsidR="00415FBB" w:rsidRPr="00240A12">
          <w:rPr>
            <w:rStyle w:val="Hyperlink"/>
            <w:szCs w:val="24"/>
          </w:rPr>
          <w:t>Asia-Pacific Economic Cooperation (APEC) Expert Group on Energy Efficiency and Conservation</w:t>
        </w:r>
      </w:hyperlink>
    </w:p>
    <w:p w:rsidR="00415FBB" w:rsidRPr="00BD0D26" w:rsidRDefault="00841EE8" w:rsidP="008A7FC0">
      <w:pPr>
        <w:pStyle w:val="ListParagraph"/>
        <w:numPr>
          <w:ilvl w:val="0"/>
          <w:numId w:val="11"/>
        </w:numPr>
        <w:ind w:left="426" w:hanging="426"/>
      </w:pPr>
      <w:hyperlink r:id="rId20" w:tgtFrame="_blank" w:history="1">
        <w:r w:rsidR="00415FBB" w:rsidRPr="00240A12">
          <w:rPr>
            <w:rStyle w:val="Hyperlink"/>
            <w:szCs w:val="24"/>
          </w:rPr>
          <w:t>International Electrotechnical Commission</w:t>
        </w:r>
      </w:hyperlink>
      <w:r w:rsidR="00415FBB" w:rsidRPr="00BD0D26">
        <w:t> (IEC)</w:t>
      </w:r>
    </w:p>
    <w:p w:rsidR="00415FBB" w:rsidRPr="00BD0D26" w:rsidRDefault="00841EE8" w:rsidP="008A7FC0">
      <w:pPr>
        <w:pStyle w:val="ListParagraph"/>
        <w:numPr>
          <w:ilvl w:val="0"/>
          <w:numId w:val="11"/>
        </w:numPr>
        <w:ind w:left="426" w:hanging="426"/>
      </w:pPr>
      <w:hyperlink r:id="rId21" w:history="1">
        <w:r w:rsidR="00415FBB" w:rsidRPr="00240A12">
          <w:rPr>
            <w:rStyle w:val="Hyperlink"/>
            <w:szCs w:val="24"/>
          </w:rPr>
          <w:t>International Organisation for Standardisation (ISO)</w:t>
        </w:r>
      </w:hyperlink>
    </w:p>
    <w:p w:rsidR="00434722" w:rsidRPr="00F740A0" w:rsidRDefault="00841EE8" w:rsidP="008A7FC0">
      <w:pPr>
        <w:pStyle w:val="ListParagraph"/>
        <w:numPr>
          <w:ilvl w:val="0"/>
          <w:numId w:val="11"/>
        </w:numPr>
        <w:ind w:left="426" w:hanging="426"/>
      </w:pPr>
      <w:hyperlink r:id="rId22" w:tgtFrame="_blank" w:history="1">
        <w:r w:rsidR="00415FBB" w:rsidRPr="00240A12">
          <w:rPr>
            <w:rStyle w:val="Hyperlink"/>
            <w:szCs w:val="24"/>
          </w:rPr>
          <w:t>United Nations Environment Programme (UNEP)</w:t>
        </w:r>
      </w:hyperlink>
      <w:r w:rsidR="00415FBB" w:rsidRPr="00240A12">
        <w:rPr>
          <w:szCs w:val="24"/>
        </w:rPr>
        <w:t>.</w:t>
      </w:r>
      <w:bookmarkStart w:id="95" w:name="_Toc518817698"/>
    </w:p>
    <w:p w:rsidR="009250E3" w:rsidRDefault="00413D10" w:rsidP="003442DC">
      <w:r>
        <w:t xml:space="preserve">In its submission to the draft report, </w:t>
      </w:r>
      <w:r w:rsidR="00434722" w:rsidRPr="00240A12">
        <w:t>Choice</w:t>
      </w:r>
      <w:r w:rsidR="00576FE4" w:rsidRPr="00240A12">
        <w:t xml:space="preserve"> suggested that </w:t>
      </w:r>
      <w:r w:rsidR="00485BD0" w:rsidRPr="00240A12">
        <w:t>international standards could be developed with an addendum that takes into consideration the regional</w:t>
      </w:r>
      <w:r w:rsidR="00A25008" w:rsidRPr="00240A12">
        <w:t xml:space="preserve"> requirements</w:t>
      </w:r>
      <w:r w:rsidR="00485BD0" w:rsidRPr="00240A12">
        <w:t xml:space="preserve"> of Australia and similar countries.</w:t>
      </w:r>
      <w:r w:rsidR="00A25008" w:rsidRPr="008417C3">
        <w:t xml:space="preserve"> </w:t>
      </w:r>
      <w:r w:rsidR="002E1019" w:rsidRPr="002E1019">
        <w:t xml:space="preserve">Choice suggests that this would be </w:t>
      </w:r>
      <w:r w:rsidR="00B2382A">
        <w:t xml:space="preserve">a </w:t>
      </w:r>
      <w:r w:rsidR="002E1019" w:rsidRPr="002E1019">
        <w:t>more straightforward process for adopting international standards.</w:t>
      </w:r>
    </w:p>
    <w:p w:rsidR="00413D10" w:rsidRDefault="009250E3" w:rsidP="003442DC">
      <w:r>
        <w:t xml:space="preserve">The draft report </w:t>
      </w:r>
      <w:r w:rsidR="00586F19">
        <w:t>suggested that Standards Australia may be able to facilitate such an approach and that it would need financial assistance to represent Australia on international standards committees.</w:t>
      </w:r>
      <w:r>
        <w:t xml:space="preserve"> </w:t>
      </w:r>
      <w:r w:rsidR="009276D8">
        <w:t>In response to the</w:t>
      </w:r>
      <w:r w:rsidR="00413D10">
        <w:t>s</w:t>
      </w:r>
      <w:r w:rsidR="009276D8">
        <w:t>e</w:t>
      </w:r>
      <w:r w:rsidR="00413D10">
        <w:t xml:space="preserve"> suggestion</w:t>
      </w:r>
      <w:r w:rsidR="009276D8">
        <w:t>s</w:t>
      </w:r>
      <w:r w:rsidR="00413D10">
        <w:t>, Standards Australia</w:t>
      </w:r>
      <w:r w:rsidR="00C419B2">
        <w:t xml:space="preserve"> noted</w:t>
      </w:r>
      <w:r w:rsidR="00586F19">
        <w:t xml:space="preserve"> that it</w:t>
      </w:r>
      <w:r w:rsidR="00C419B2">
        <w:t>:</w:t>
      </w:r>
    </w:p>
    <w:p w:rsidR="00586F19" w:rsidRPr="009115F1" w:rsidRDefault="00586F19" w:rsidP="00E20B61">
      <w:pPr>
        <w:pStyle w:val="SbQuote"/>
      </w:pPr>
      <w:r w:rsidRPr="009115F1">
        <w:t>…</w:t>
      </w:r>
      <w:r w:rsidR="0059546C" w:rsidRPr="009115F1">
        <w:t>currently has an existing process in place for adopting international standards with modifications. This process is widely used and works effectively to achieve international harmonisation that takes into account local environmental or regulatory factors.</w:t>
      </w:r>
      <w:r w:rsidRPr="009115F1">
        <w:t xml:space="preserve"> This type of international standard adoption includes an appendix to the document, outlining all of the Australian-specific modifications. </w:t>
      </w:r>
    </w:p>
    <w:p w:rsidR="00586F19" w:rsidRPr="009115F1" w:rsidRDefault="00586F19" w:rsidP="00C743A5">
      <w:pPr>
        <w:pStyle w:val="SbQuote"/>
        <w:ind w:left="0"/>
      </w:pPr>
    </w:p>
    <w:p w:rsidR="006D467C" w:rsidRDefault="00750270" w:rsidP="00E20B61">
      <w:pPr>
        <w:pStyle w:val="SbQuote"/>
        <w:ind w:left="0"/>
        <w:rPr>
          <w:color w:val="auto"/>
        </w:rPr>
      </w:pPr>
      <w:r w:rsidRPr="00750270">
        <w:rPr>
          <w:color w:val="auto"/>
        </w:rPr>
        <w:t>As such, the Australian specific modifications to an international standard have to be developed by a local standards committee and do not automatically form part of</w:t>
      </w:r>
      <w:r>
        <w:rPr>
          <w:color w:val="auto"/>
        </w:rPr>
        <w:t xml:space="preserve"> the international standard. In</w:t>
      </w:r>
      <w:r w:rsidRPr="00750270">
        <w:rPr>
          <w:color w:val="auto"/>
        </w:rPr>
        <w:t xml:space="preserve"> addition, any proposal to 'call up' an international standard with Australian modifications for the purposes of regulating energy efficiency remains subject to a cost benefit analysis to examine whether mandating the standard would provide a net benefit for the Australian community.</w:t>
      </w:r>
    </w:p>
    <w:p w:rsidR="00750270" w:rsidRDefault="00750270" w:rsidP="00E20B61">
      <w:pPr>
        <w:pStyle w:val="SbQuote"/>
        <w:ind w:left="0"/>
        <w:rPr>
          <w:color w:val="auto"/>
        </w:rPr>
      </w:pPr>
    </w:p>
    <w:p w:rsidR="009250E3" w:rsidRPr="00E20B61" w:rsidRDefault="00586F19" w:rsidP="00E20B61">
      <w:pPr>
        <w:pStyle w:val="SbQuote"/>
        <w:ind w:left="0"/>
        <w:rPr>
          <w:color w:val="auto"/>
        </w:rPr>
      </w:pPr>
      <w:r w:rsidRPr="00E20B61">
        <w:rPr>
          <w:color w:val="auto"/>
        </w:rPr>
        <w:lastRenderedPageBreak/>
        <w:t xml:space="preserve">Standards Australia receives funding </w:t>
      </w:r>
      <w:r w:rsidR="009276D8" w:rsidRPr="00F05B31">
        <w:rPr>
          <w:color w:val="auto"/>
        </w:rPr>
        <w:t>to support Australia's participation on international standards organisations</w:t>
      </w:r>
      <w:r w:rsidR="009276D8" w:rsidRPr="00E20B61">
        <w:rPr>
          <w:color w:val="auto"/>
        </w:rPr>
        <w:t xml:space="preserve"> </w:t>
      </w:r>
      <w:r w:rsidRPr="00E20B61">
        <w:rPr>
          <w:color w:val="auto"/>
        </w:rPr>
        <w:t>through the Commonwealth Government Support Industry Service</w:t>
      </w:r>
      <w:r w:rsidR="00A47A52" w:rsidRPr="00E20B61">
        <w:rPr>
          <w:color w:val="auto"/>
        </w:rPr>
        <w:t xml:space="preserve"> Organisations (SISO) Programme</w:t>
      </w:r>
      <w:r w:rsidR="00A47A52">
        <w:rPr>
          <w:color w:val="auto"/>
        </w:rPr>
        <w:t xml:space="preserve">. </w:t>
      </w:r>
      <w:r w:rsidR="00546C6E" w:rsidRPr="00546C6E">
        <w:rPr>
          <w:color w:val="auto"/>
        </w:rPr>
        <w:t xml:space="preserve">Australian representatives at meetings of international standards organisations are generally from a particular company, industry association or government, and are endorsed by the relevant Australian standards committee. </w:t>
      </w:r>
      <w:r w:rsidRPr="00E20B61">
        <w:rPr>
          <w:color w:val="auto"/>
        </w:rPr>
        <w:t xml:space="preserve">Standards Australia </w:t>
      </w:r>
      <w:r w:rsidR="005E3B61">
        <w:rPr>
          <w:color w:val="auto"/>
        </w:rPr>
        <w:t xml:space="preserve">stated that it </w:t>
      </w:r>
      <w:r w:rsidR="009250E3">
        <w:rPr>
          <w:color w:val="auto"/>
        </w:rPr>
        <w:t>is not seeking</w:t>
      </w:r>
      <w:r w:rsidRPr="00E20B61">
        <w:rPr>
          <w:color w:val="auto"/>
        </w:rPr>
        <w:t xml:space="preserve"> further financial assistanc</w:t>
      </w:r>
      <w:r w:rsidR="00A47A52">
        <w:rPr>
          <w:color w:val="auto"/>
        </w:rPr>
        <w:t>e.</w:t>
      </w:r>
    </w:p>
    <w:p w:rsidR="00A255F5" w:rsidRDefault="00A255F5" w:rsidP="003442DC">
      <w:pPr>
        <w:pStyle w:val="RecHead"/>
      </w:pPr>
      <w:r w:rsidRPr="00FE37E2">
        <w:t xml:space="preserve">RECOMMENDATION </w:t>
      </w:r>
      <w:r w:rsidR="007A0763">
        <w:t>3</w:t>
      </w:r>
      <w:r w:rsidR="0042578E">
        <w:t>4</w:t>
      </w:r>
    </w:p>
    <w:p w:rsidR="00A255F5" w:rsidRPr="00C743A5" w:rsidRDefault="00A255F5" w:rsidP="00C743A5">
      <w:pPr>
        <w:rPr>
          <w:b/>
          <w:bCs/>
        </w:rPr>
      </w:pPr>
      <w:r w:rsidRPr="00C743A5">
        <w:rPr>
          <w:b/>
          <w:bCs/>
        </w:rPr>
        <w:t xml:space="preserve">The </w:t>
      </w:r>
      <w:r w:rsidR="00B3581E" w:rsidRPr="00C743A5">
        <w:rPr>
          <w:b/>
          <w:bCs/>
        </w:rPr>
        <w:t xml:space="preserve">Commonwealth Government </w:t>
      </w:r>
      <w:r w:rsidR="00330F67" w:rsidRPr="00C743A5">
        <w:rPr>
          <w:b/>
          <w:bCs/>
        </w:rPr>
        <w:t>continue to</w:t>
      </w:r>
      <w:r w:rsidRPr="00C743A5">
        <w:rPr>
          <w:b/>
          <w:bCs/>
        </w:rPr>
        <w:t xml:space="preserve"> </w:t>
      </w:r>
      <w:r w:rsidR="002D0CD7" w:rsidRPr="00C743A5">
        <w:rPr>
          <w:b/>
          <w:bCs/>
        </w:rPr>
        <w:t>support Standards Australia’s participation in international standards development</w:t>
      </w:r>
      <w:r w:rsidRPr="00C743A5">
        <w:rPr>
          <w:b/>
          <w:bCs/>
        </w:rPr>
        <w:t>.</w:t>
      </w:r>
    </w:p>
    <w:p w:rsidR="00AA5F12" w:rsidRPr="009640E3" w:rsidRDefault="00AA5F12" w:rsidP="00F740A0">
      <w:pPr>
        <w:pStyle w:val="Heading2"/>
      </w:pPr>
      <w:bookmarkStart w:id="96" w:name="_Toc18661014"/>
      <w:bookmarkEnd w:id="95"/>
      <w:r>
        <w:t xml:space="preserve">5.8 </w:t>
      </w:r>
      <w:r>
        <w:tab/>
        <w:t>Pushing the boundaries of the Act</w:t>
      </w:r>
      <w:bookmarkEnd w:id="96"/>
    </w:p>
    <w:p w:rsidR="00AA5F12" w:rsidRPr="00F740A0" w:rsidRDefault="00AA5F12" w:rsidP="00F740A0">
      <w:pPr>
        <w:pStyle w:val="Heading3"/>
      </w:pPr>
      <w:bookmarkStart w:id="97" w:name="_Toc18661015"/>
      <w:r w:rsidRPr="00F25EB7">
        <w:t xml:space="preserve">5.8.1 </w:t>
      </w:r>
      <w:r w:rsidRPr="00F25EB7">
        <w:tab/>
        <w:t>Integrated products</w:t>
      </w:r>
      <w:bookmarkEnd w:id="97"/>
    </w:p>
    <w:p w:rsidR="00AA5F12" w:rsidRPr="00BD0D26" w:rsidRDefault="00AA5F12" w:rsidP="00F740A0">
      <w:r w:rsidRPr="00BD0D26">
        <w:t>Integrated products are products that incorporate other products. There are two types with implications for regulations</w:t>
      </w:r>
      <w:r w:rsidR="0007104B">
        <w:t xml:space="preserve"> under the</w:t>
      </w:r>
      <w:r w:rsidR="0007104B" w:rsidRPr="0007104B">
        <w:t xml:space="preserve"> </w:t>
      </w:r>
      <w:r w:rsidR="0007104B" w:rsidRPr="00BD0D26">
        <w:t>GEMS</w:t>
      </w:r>
      <w:r w:rsidR="0007104B">
        <w:t xml:space="preserve"> Act</w:t>
      </w:r>
      <w:r w:rsidRPr="00BD0D26">
        <w:t xml:space="preserve">: </w:t>
      </w:r>
    </w:p>
    <w:p w:rsidR="00AA5F12" w:rsidRPr="00BD0D26" w:rsidRDefault="00AA5F12" w:rsidP="008A7FC0">
      <w:pPr>
        <w:pStyle w:val="ListParagraph"/>
        <w:numPr>
          <w:ilvl w:val="0"/>
          <w:numId w:val="18"/>
        </w:numPr>
        <w:ind w:left="426" w:hanging="284"/>
      </w:pPr>
      <w:r w:rsidRPr="00BD0D26">
        <w:t>new products that are multi-functional</w:t>
      </w:r>
      <w:r w:rsidR="00D0354D">
        <w:t xml:space="preserve">; and </w:t>
      </w:r>
    </w:p>
    <w:p w:rsidR="00AA5F12" w:rsidRPr="00BD0D26" w:rsidRDefault="00AA5F12" w:rsidP="008A7FC0">
      <w:pPr>
        <w:pStyle w:val="ListParagraph"/>
        <w:numPr>
          <w:ilvl w:val="0"/>
          <w:numId w:val="18"/>
        </w:numPr>
        <w:ind w:left="426" w:hanging="284"/>
      </w:pPr>
      <w:r w:rsidRPr="00BD0D26">
        <w:t>regulated products with (or potentially with) components that are separately regulated.</w:t>
      </w:r>
    </w:p>
    <w:p w:rsidR="00AA5F12" w:rsidRPr="00BD0D26" w:rsidRDefault="00AA5F12" w:rsidP="00F740A0">
      <w:pPr>
        <w:pStyle w:val="Heading4"/>
      </w:pPr>
      <w:r w:rsidRPr="00BD0D26">
        <w:t>New products that are multi-functional</w:t>
      </w:r>
    </w:p>
    <w:p w:rsidR="00AA5F12" w:rsidRPr="00F740A0" w:rsidRDefault="00AA5F12" w:rsidP="00F740A0">
      <w:pPr>
        <w:rPr>
          <w:i/>
        </w:rPr>
      </w:pPr>
      <w:r w:rsidRPr="00BD0D26">
        <w:t xml:space="preserve">Products with multiple functions are increasingly entering the equipment and appliance market. These include </w:t>
      </w:r>
      <w:r w:rsidR="0007104B">
        <w:t xml:space="preserve">intelligent </w:t>
      </w:r>
      <w:r w:rsidRPr="00BD0D26">
        <w:t xml:space="preserve">lighting products that can connect to networks (via </w:t>
      </w:r>
      <w:r w:rsidR="00D863AD" w:rsidRPr="00BD0D26">
        <w:t>Wi-Fi</w:t>
      </w:r>
      <w:r w:rsidRPr="00BD0D26">
        <w:t xml:space="preserve"> or Bluetooth)</w:t>
      </w:r>
      <w:r w:rsidR="00000EAE">
        <w:t xml:space="preserve"> and provide a range of secondary functions, such as</w:t>
      </w:r>
      <w:r w:rsidRPr="00BD0D26">
        <w:t xml:space="preserve"> provid</w:t>
      </w:r>
      <w:r w:rsidR="00E20362">
        <w:t>ing</w:t>
      </w:r>
      <w:r w:rsidRPr="00BD0D26">
        <w:t xml:space="preserve"> security (using microphones and cameras), play</w:t>
      </w:r>
      <w:r w:rsidR="00E20362">
        <w:t>ing</w:t>
      </w:r>
      <w:r w:rsidRPr="00BD0D26">
        <w:t xml:space="preserve"> music</w:t>
      </w:r>
      <w:r w:rsidR="00E20362">
        <w:t>,</w:t>
      </w:r>
      <w:r w:rsidRPr="00BD0D26">
        <w:t xml:space="preserve"> and sens</w:t>
      </w:r>
      <w:r w:rsidR="00E20362">
        <w:t>ing</w:t>
      </w:r>
      <w:r w:rsidRPr="00BD0D26">
        <w:t xml:space="preserve"> temperatures. Other examples include dual drum washing machines and fridges that incorporate large display screens. </w:t>
      </w:r>
      <w:r>
        <w:t>(</w:t>
      </w:r>
      <w:r w:rsidRPr="00C743A5">
        <w:rPr>
          <w:b/>
          <w:bCs/>
        </w:rPr>
        <w:t>Section 5.2.1</w:t>
      </w:r>
      <w:r>
        <w:t xml:space="preserve"> discusses the issue of the regulatory regime keeping up with product innovation such as this). </w:t>
      </w:r>
    </w:p>
    <w:p w:rsidR="00AA5F12" w:rsidRPr="00BD0D26" w:rsidRDefault="00000EAE" w:rsidP="00F740A0">
      <w:r>
        <w:t>N</w:t>
      </w:r>
      <w:r w:rsidR="00AA5F12" w:rsidRPr="00BD0D26">
        <w:t xml:space="preserve">ew </w:t>
      </w:r>
      <w:r>
        <w:t xml:space="preserve">multifunction </w:t>
      </w:r>
      <w:r w:rsidR="00AA5F12" w:rsidRPr="00BD0D26">
        <w:t xml:space="preserve">products </w:t>
      </w:r>
      <w:r>
        <w:t>need careful consideration in</w:t>
      </w:r>
      <w:r w:rsidR="00AA5F12" w:rsidRPr="00BD0D26">
        <w:t xml:space="preserve"> determining whether current GEMS regulations apply</w:t>
      </w:r>
      <w:r>
        <w:t xml:space="preserve"> and</w:t>
      </w:r>
      <w:r w:rsidR="00E20362">
        <w:t>,</w:t>
      </w:r>
      <w:r>
        <w:t xml:space="preserve"> if so, how those regulations should be applied</w:t>
      </w:r>
      <w:r w:rsidR="00AA5F12" w:rsidRPr="00BD0D26">
        <w:t>. For example, in the case of a combination clothes washer dryer where both the washer and dryer fall within the scope of the respective GEMS determinations, then both GEMS requirements apply (</w:t>
      </w:r>
      <w:r w:rsidR="00B42E7C">
        <w:t>that is,</w:t>
      </w:r>
      <w:r w:rsidR="00AA5F12" w:rsidRPr="00BD0D26">
        <w:t xml:space="preserve"> two ERLs are required to be displayed and</w:t>
      </w:r>
      <w:r>
        <w:t xml:space="preserve"> </w:t>
      </w:r>
      <w:r w:rsidR="00AA5F12" w:rsidRPr="00BD0D26">
        <w:t>the clothes drying component must</w:t>
      </w:r>
      <w:r>
        <w:t xml:space="preserve"> also</w:t>
      </w:r>
      <w:r w:rsidR="00AA5F12" w:rsidRPr="00BD0D26">
        <w:t xml:space="preserve"> meet MEPS</w:t>
      </w:r>
      <w:r w:rsidR="00AA5F12" w:rsidRPr="008643BD">
        <w:t>). The registration of a combination washer and dryer requires two separate registrations from two separate applications.</w:t>
      </w:r>
      <w:r w:rsidR="00AA5F12" w:rsidRPr="00BD0D26">
        <w:t xml:space="preserve"> </w:t>
      </w:r>
      <w:r>
        <w:t>T</w:t>
      </w:r>
      <w:r w:rsidR="00AA5F12" w:rsidRPr="00BD0D26">
        <w:t>he emergence of dual drum washing machines</w:t>
      </w:r>
      <w:r>
        <w:t xml:space="preserve"> is another example, w</w:t>
      </w:r>
      <w:r w:rsidR="00DA1635">
        <w:t>h</w:t>
      </w:r>
      <w:r>
        <w:t>ere</w:t>
      </w:r>
      <w:r w:rsidR="00AA5F12" w:rsidRPr="00BD0D26">
        <w:t xml:space="preserve"> both washing units </w:t>
      </w:r>
      <w:r>
        <w:t>must</w:t>
      </w:r>
      <w:r w:rsidR="00AA5F12" w:rsidRPr="00BD0D26">
        <w:t xml:space="preserve"> satisfy the GEMS level requirements. </w:t>
      </w:r>
    </w:p>
    <w:p w:rsidR="00AA5F12" w:rsidRDefault="00000EAE" w:rsidP="001F2E9E">
      <w:r>
        <w:t>M</w:t>
      </w:r>
      <w:r w:rsidR="00AA5F12" w:rsidRPr="00BD0D26">
        <w:t xml:space="preserve">ultifunctional products </w:t>
      </w:r>
      <w:r>
        <w:t xml:space="preserve">may also </w:t>
      </w:r>
      <w:r w:rsidR="00AA5F12" w:rsidRPr="00BD0D26">
        <w:t>require additional power and</w:t>
      </w:r>
      <w:r>
        <w:t>/or</w:t>
      </w:r>
      <w:r w:rsidR="00AA5F12" w:rsidRPr="00BD0D26">
        <w:t xml:space="preserve"> may require</w:t>
      </w:r>
      <w:r w:rsidR="00D863AD">
        <w:t xml:space="preserve"> the </w:t>
      </w:r>
      <w:r w:rsidR="00AA5F12" w:rsidRPr="00BD0D26">
        <w:t xml:space="preserve">product to continually remain on standby (or on standby for longer than they would otherwise). </w:t>
      </w:r>
    </w:p>
    <w:p w:rsidR="00AA5F12" w:rsidRPr="009115F1" w:rsidRDefault="0024750C">
      <w:pPr>
        <w:pStyle w:val="SbQuote"/>
      </w:pPr>
      <w:r w:rsidRPr="009115F1">
        <w:t>T</w:t>
      </w:r>
      <w:r w:rsidR="00AA5F12" w:rsidRPr="009115F1">
        <w:t xml:space="preserve">he smart home environment presents new challenges for consumers. While many new, innovative devices are designed to make efficiency improvements including energy, their ‘always on’ nature can come at a cost to consumers… When considering the cumulative cost of ‘always on’ devices, including LEDs, thermometers and smoke alarms, the costs to consumers will add up. </w:t>
      </w:r>
    </w:p>
    <w:p w:rsidR="00AA5F12" w:rsidRPr="00BD0D26" w:rsidRDefault="00AA5F12">
      <w:pPr>
        <w:pStyle w:val="SbQuoteref"/>
      </w:pPr>
      <w:r w:rsidRPr="00BD0D26">
        <w:t>Choice</w:t>
      </w:r>
      <w:r>
        <w:t>, 2018</w:t>
      </w:r>
    </w:p>
    <w:p w:rsidR="00AA5F12" w:rsidRPr="00BD0D26" w:rsidRDefault="00D863AD" w:rsidP="001F2E9E">
      <w:r>
        <w:t>T</w:t>
      </w:r>
      <w:r w:rsidRPr="00BD0D26">
        <w:t>he emerging area of multifunctional products</w:t>
      </w:r>
      <w:r>
        <w:t xml:space="preserve"> is not only an issue for</w:t>
      </w:r>
      <w:r w:rsidRPr="00BD0D26">
        <w:t xml:space="preserve"> </w:t>
      </w:r>
      <w:r w:rsidR="00AA5F12" w:rsidRPr="00BD0D26">
        <w:t>Australia</w:t>
      </w:r>
      <w:r w:rsidR="00AA5F12">
        <w:t>’</w:t>
      </w:r>
      <w:r>
        <w:t xml:space="preserve">s regulatory framework, many international jurisdictions are experiencing the same challenges. </w:t>
      </w:r>
      <w:r w:rsidR="00AA5F12" w:rsidRPr="00BD0D26">
        <w:t xml:space="preserve">For example, through the IEA 4E’s Electronic Devices and Networks Annex, the Australian Government has been </w:t>
      </w:r>
      <w:r w:rsidR="00AA5F12" w:rsidRPr="00BD0D26">
        <w:lastRenderedPageBreak/>
        <w:t>working with a number of other countries to examine standby power for a variety of products and consider technology and policy pathways towards “network zero” connected devices.</w:t>
      </w:r>
      <w:r w:rsidR="0099746E">
        <w:rPr>
          <w:rStyle w:val="FootnoteReference"/>
        </w:rPr>
        <w:footnoteReference w:id="31"/>
      </w:r>
      <w:r w:rsidR="00AA5F12" w:rsidRPr="00BD0D26">
        <w:t xml:space="preserve"> </w:t>
      </w:r>
    </w:p>
    <w:p w:rsidR="00AA5F12" w:rsidRPr="0081539F" w:rsidRDefault="00AA5F12" w:rsidP="003442DC">
      <w:pPr>
        <w:pStyle w:val="RecHead"/>
      </w:pPr>
      <w:r w:rsidRPr="0081539F">
        <w:t>RECOMMENDATION</w:t>
      </w:r>
      <w:r>
        <w:t xml:space="preserve"> </w:t>
      </w:r>
      <w:r w:rsidR="007A0763">
        <w:t>3</w:t>
      </w:r>
      <w:r w:rsidR="0042578E">
        <w:t>5</w:t>
      </w:r>
    </w:p>
    <w:p w:rsidR="00AA5F12" w:rsidRPr="00C743A5" w:rsidRDefault="00D863AD" w:rsidP="00C743A5">
      <w:pPr>
        <w:rPr>
          <w:b/>
          <w:bCs/>
        </w:rPr>
      </w:pPr>
      <w:r w:rsidRPr="00C743A5">
        <w:rPr>
          <w:b/>
          <w:bCs/>
        </w:rPr>
        <w:t>The GEMS Regulator de</w:t>
      </w:r>
      <w:r w:rsidR="00AA5F12" w:rsidRPr="00C743A5">
        <w:rPr>
          <w:b/>
          <w:bCs/>
        </w:rPr>
        <w:t>termin</w:t>
      </w:r>
      <w:r w:rsidRPr="00C743A5">
        <w:rPr>
          <w:b/>
          <w:bCs/>
        </w:rPr>
        <w:t>e</w:t>
      </w:r>
      <w:r w:rsidR="00AA5F12" w:rsidRPr="00C743A5">
        <w:rPr>
          <w:b/>
          <w:bCs/>
        </w:rPr>
        <w:t xml:space="preserve"> how GEMS regulation</w:t>
      </w:r>
      <w:r w:rsidRPr="00C743A5">
        <w:rPr>
          <w:b/>
          <w:bCs/>
        </w:rPr>
        <w:t>s</w:t>
      </w:r>
      <w:r w:rsidR="00AA5F12" w:rsidRPr="00C743A5">
        <w:rPr>
          <w:b/>
          <w:bCs/>
        </w:rPr>
        <w:t xml:space="preserve"> appl</w:t>
      </w:r>
      <w:r w:rsidRPr="00C743A5">
        <w:rPr>
          <w:b/>
          <w:bCs/>
        </w:rPr>
        <w:t>y</w:t>
      </w:r>
      <w:r w:rsidR="00AA5F12" w:rsidRPr="00C743A5">
        <w:rPr>
          <w:b/>
          <w:bCs/>
        </w:rPr>
        <w:t xml:space="preserve"> </w:t>
      </w:r>
      <w:r w:rsidRPr="00C743A5">
        <w:rPr>
          <w:b/>
          <w:bCs/>
        </w:rPr>
        <w:t>to</w:t>
      </w:r>
      <w:r w:rsidR="00AA5F12" w:rsidRPr="00C743A5">
        <w:rPr>
          <w:b/>
          <w:bCs/>
        </w:rPr>
        <w:t xml:space="preserve"> new </w:t>
      </w:r>
      <w:r w:rsidRPr="00C743A5">
        <w:rPr>
          <w:b/>
          <w:bCs/>
        </w:rPr>
        <w:t xml:space="preserve">multifunctional </w:t>
      </w:r>
      <w:r w:rsidR="00AA5F12" w:rsidRPr="00C743A5">
        <w:rPr>
          <w:b/>
          <w:bCs/>
        </w:rPr>
        <w:t>products on a case by case basis</w:t>
      </w:r>
      <w:r w:rsidRPr="00C743A5">
        <w:rPr>
          <w:b/>
          <w:bCs/>
        </w:rPr>
        <w:t xml:space="preserve"> and in consultation with the </w:t>
      </w:r>
      <w:r w:rsidR="00E55253" w:rsidRPr="00C743A5">
        <w:rPr>
          <w:b/>
          <w:bCs/>
        </w:rPr>
        <w:t xml:space="preserve">affected </w:t>
      </w:r>
      <w:r w:rsidRPr="00C743A5">
        <w:rPr>
          <w:b/>
          <w:bCs/>
        </w:rPr>
        <w:t>party</w:t>
      </w:r>
      <w:r w:rsidR="00AA5F12" w:rsidRPr="00C743A5">
        <w:rPr>
          <w:b/>
          <w:bCs/>
        </w:rPr>
        <w:t>.</w:t>
      </w:r>
    </w:p>
    <w:p w:rsidR="00D863AD" w:rsidRPr="0081539F" w:rsidRDefault="00D863AD" w:rsidP="003442DC">
      <w:pPr>
        <w:pStyle w:val="RecHead"/>
      </w:pPr>
      <w:r w:rsidRPr="0081539F">
        <w:t>RECOMMENDATION</w:t>
      </w:r>
      <w:r>
        <w:t xml:space="preserve"> </w:t>
      </w:r>
      <w:r w:rsidR="007A0763">
        <w:t>3</w:t>
      </w:r>
      <w:r w:rsidR="0042578E">
        <w:t>6</w:t>
      </w:r>
    </w:p>
    <w:p w:rsidR="00D863AD" w:rsidRPr="00C743A5" w:rsidRDefault="00D863AD" w:rsidP="00C743A5">
      <w:pPr>
        <w:rPr>
          <w:b/>
          <w:bCs/>
        </w:rPr>
      </w:pPr>
      <w:r w:rsidRPr="00C743A5">
        <w:rPr>
          <w:b/>
          <w:bCs/>
        </w:rPr>
        <w:t>The Commonwealth Government request</w:t>
      </w:r>
      <w:r w:rsidR="00B7508E" w:rsidRPr="00C743A5">
        <w:rPr>
          <w:b/>
          <w:bCs/>
        </w:rPr>
        <w:t xml:space="preserve"> that</w:t>
      </w:r>
      <w:r w:rsidRPr="00C743A5">
        <w:rPr>
          <w:b/>
          <w:bCs/>
        </w:rPr>
        <w:t xml:space="preserve"> the COAG Energy Council monitor the emerging trends in relation to multifunctional products and ensure they are adequately reflected in the E3 </w:t>
      </w:r>
      <w:r w:rsidR="00E16DFF" w:rsidRPr="00C743A5">
        <w:rPr>
          <w:b/>
          <w:bCs/>
        </w:rPr>
        <w:t>prioritisation plan</w:t>
      </w:r>
      <w:r w:rsidRPr="00C743A5">
        <w:rPr>
          <w:b/>
          <w:bCs/>
        </w:rPr>
        <w:t>.</w:t>
      </w:r>
    </w:p>
    <w:p w:rsidR="00AA5F12" w:rsidRPr="00BD0D26" w:rsidRDefault="00AA5F12" w:rsidP="001F2E9E">
      <w:pPr>
        <w:pStyle w:val="Heading4"/>
      </w:pPr>
      <w:r w:rsidRPr="00BD0D26">
        <w:t>Regulated products within other products.</w:t>
      </w:r>
    </w:p>
    <w:p w:rsidR="00AA5F12" w:rsidRPr="00BD0D26" w:rsidRDefault="00AA5F12" w:rsidP="001F2E9E">
      <w:r w:rsidRPr="00BD0D26">
        <w:t xml:space="preserve">Energy consumed by industrial and commercial equipment is a major source of energy </w:t>
      </w:r>
      <w:r w:rsidR="00C701C1">
        <w:t>consumption</w:t>
      </w:r>
      <w:r w:rsidRPr="00BD0D26">
        <w:t xml:space="preserve">. A common characteristic of some of these larger </w:t>
      </w:r>
      <w:r w:rsidR="00C701C1">
        <w:t xml:space="preserve">industrial </w:t>
      </w:r>
      <w:r w:rsidRPr="00BD0D26">
        <w:t>products</w:t>
      </w:r>
      <w:r w:rsidR="00C701C1">
        <w:t xml:space="preserve"> or equipment</w:t>
      </w:r>
      <w:r w:rsidRPr="00BD0D26">
        <w:t xml:space="preserve"> that are regulated (or being considered for future regulation) is they may form part of a larger product. This can create challenges, such as </w:t>
      </w:r>
      <w:r w:rsidR="00C701C1" w:rsidRPr="00BD0D26">
        <w:t>potential double regulation</w:t>
      </w:r>
      <w:r w:rsidR="00C701C1">
        <w:t>, unnecessarily complex compliance activities and</w:t>
      </w:r>
      <w:r w:rsidR="00C701C1" w:rsidRPr="00BD0D26">
        <w:t xml:space="preserve"> </w:t>
      </w:r>
      <w:r w:rsidRPr="00BD0D26">
        <w:t xml:space="preserve">level playing field issues. </w:t>
      </w:r>
    </w:p>
    <w:p w:rsidR="008F048F" w:rsidRDefault="00FC7E21" w:rsidP="001F2E9E">
      <w:r>
        <w:t>T</w:t>
      </w:r>
      <w:r w:rsidR="008F048F" w:rsidRPr="00BD0D26">
        <w:t>hree phase electric motors</w:t>
      </w:r>
      <w:r>
        <w:t xml:space="preserve"> are an example of this kind of product</w:t>
      </w:r>
      <w:r w:rsidR="008F048F">
        <w:t xml:space="preserve">. The GEMS regulations apply to both motors sold separately and motors that are </w:t>
      </w:r>
      <w:r w:rsidR="008F048F" w:rsidRPr="00BD0D26">
        <w:t>incorporated</w:t>
      </w:r>
      <w:r w:rsidR="008F048F">
        <w:t xml:space="preserve"> into </w:t>
      </w:r>
      <w:r w:rsidR="008F048F" w:rsidRPr="00BD0D26">
        <w:t>machines</w:t>
      </w:r>
      <w:r w:rsidR="008F048F">
        <w:t xml:space="preserve"> or equipment.</w:t>
      </w:r>
      <w:r w:rsidR="008F048F" w:rsidRPr="008F048F">
        <w:t xml:space="preserve"> </w:t>
      </w:r>
      <w:r w:rsidR="008F048F">
        <w:t>Industry stakeholders</w:t>
      </w:r>
      <w:r w:rsidR="008F048F" w:rsidRPr="00BD0D26">
        <w:t xml:space="preserve"> have</w:t>
      </w:r>
      <w:r w:rsidR="008F048F">
        <w:t xml:space="preserve"> anecdotally</w:t>
      </w:r>
      <w:r w:rsidR="008F048F" w:rsidRPr="00BD0D26">
        <w:t xml:space="preserve"> reported that up to 50</w:t>
      </w:r>
      <w:r w:rsidR="000816F5">
        <w:t> </w:t>
      </w:r>
      <w:r w:rsidR="008F048F" w:rsidRPr="00BD0D26">
        <w:t>per cent of all motors imported into Australia may be bypassing the GEMS scheme as they arrive as part of a system that is difficult to track and audit</w:t>
      </w:r>
      <w:r w:rsidR="008F048F">
        <w:t>.</w:t>
      </w:r>
      <w:r w:rsidR="008F048F" w:rsidRPr="008F048F">
        <w:t xml:space="preserve"> </w:t>
      </w:r>
      <w:r w:rsidR="008F048F">
        <w:t>They</w:t>
      </w:r>
      <w:r w:rsidR="008F048F" w:rsidRPr="00BD0D26">
        <w:t xml:space="preserve"> suggest the GEMS regime increase the resources made available for surveillance and check testing</w:t>
      </w:r>
      <w:r w:rsidR="008F048F">
        <w:t xml:space="preserve"> of motors in machines so there is a level playing field between the motor supplier and machinery sectors</w:t>
      </w:r>
      <w:r w:rsidR="008F048F" w:rsidRPr="00BD0D26">
        <w:t xml:space="preserve">. </w:t>
      </w:r>
      <w:r w:rsidR="008F048F">
        <w:t>This issue is particularly relevant to three phase motors that are incorporated into machines that that are not currently covered by GEMS regulation</w:t>
      </w:r>
      <w:r w:rsidR="008F048F" w:rsidRPr="00BD0D26">
        <w:t xml:space="preserve">. </w:t>
      </w:r>
    </w:p>
    <w:p w:rsidR="00FC7E21" w:rsidRPr="00B37FF6" w:rsidRDefault="00AA5F12" w:rsidP="00FC7E21">
      <w:pPr>
        <w:rPr>
          <w:b/>
          <w:i/>
        </w:rPr>
      </w:pPr>
      <w:r>
        <w:t>In cases where a machine is covered by GEMS regulation (</w:t>
      </w:r>
      <w:r w:rsidR="001B218A">
        <w:t>for example,</w:t>
      </w:r>
      <w:r>
        <w:t xml:space="preserve"> a refrigeration appliance that incorporates a three phase motor)</w:t>
      </w:r>
      <w:r w:rsidR="000816F5">
        <w:t>,</w:t>
      </w:r>
      <w:r>
        <w:t xml:space="preserve"> the energy efficiency of the system is regulated</w:t>
      </w:r>
      <w:r w:rsidR="000816F5">
        <w:t>,</w:t>
      </w:r>
      <w:r>
        <w:t xml:space="preserve"> and therefore the motor’s contribution to the system’s efficiency</w:t>
      </w:r>
      <w:r w:rsidR="000816F5">
        <w:t>,</w:t>
      </w:r>
      <w:r>
        <w:t xml:space="preserve"> is implicitly considered. </w:t>
      </w:r>
      <w:r w:rsidR="00FC7E21" w:rsidRPr="004E675B">
        <w:t>However, under the current regulation, a three phase motor that is within the scope of the relevant determination and is supplied as a spare part for such a system would need to meet GEMS level requirements.</w:t>
      </w:r>
      <w:r w:rsidR="00FC7E21">
        <w:t xml:space="preserve"> </w:t>
      </w:r>
    </w:p>
    <w:p w:rsidR="00AA5F12" w:rsidRPr="00BD0D26" w:rsidRDefault="00AA5F12" w:rsidP="001F2E9E">
      <w:r w:rsidRPr="00BD0D26">
        <w:t xml:space="preserve">Non-domestic fans are being considered for regulation under the GEMS Act, however submissions to this review have highlighted the potential for double regulation </w:t>
      </w:r>
      <w:r>
        <w:t xml:space="preserve">and level playing field issues </w:t>
      </w:r>
      <w:r w:rsidRPr="00BD0D26">
        <w:t>associat</w:t>
      </w:r>
      <w:r>
        <w:t>ed with this product</w:t>
      </w:r>
      <w:r w:rsidRPr="00BD0D26">
        <w:t>:</w:t>
      </w:r>
    </w:p>
    <w:p w:rsidR="00AA5F12" w:rsidRPr="009115F1" w:rsidRDefault="00AA5F12">
      <w:pPr>
        <w:pStyle w:val="SbQuote"/>
      </w:pPr>
      <w:r w:rsidRPr="009115F1">
        <w:t>Many fans are used within heating and air conditioning and refrigeration equipment that is already covered by MEPS. Manufacturers of such equipment have expressed concern about the potential administrative and cost burden of registering a component of their equipment. If a self-certification process was enabled this would lead to a possible solution.</w:t>
      </w:r>
      <w:r w:rsidR="004C5332" w:rsidRPr="009115F1">
        <w:t xml:space="preserve"> </w:t>
      </w:r>
    </w:p>
    <w:p w:rsidR="00AA5F12" w:rsidRPr="00BD0D26" w:rsidRDefault="00AA5F12">
      <w:pPr>
        <w:pStyle w:val="SbQuoteref"/>
      </w:pPr>
      <w:r w:rsidRPr="00BD0D26">
        <w:t>Fan Manufacturers Association of Australia and New Zealand</w:t>
      </w:r>
      <w:r>
        <w:t>, 2018</w:t>
      </w:r>
    </w:p>
    <w:p w:rsidR="00AA5F12" w:rsidRPr="009115F1" w:rsidRDefault="00AA5F12">
      <w:pPr>
        <w:pStyle w:val="SbQuote"/>
      </w:pPr>
      <w:r w:rsidRPr="009115F1">
        <w:t xml:space="preserve">The scenario where a component failed a MEPS check test but the equipment met its requirement would be difficult to resolve. The air conditioning company would accurately claim it had met its overall obligation. However, excluding fans included as components within air conditioning would create an uneven playing field in the market </w:t>
      </w:r>
      <w:r w:rsidRPr="009115F1">
        <w:lastRenderedPageBreak/>
        <w:t>and would be significantly disruptive to fan manufacturers. It is unclear whether one could, or should, design a policy approach that only covers half of the market.</w:t>
      </w:r>
      <w:r w:rsidR="004C5332" w:rsidRPr="009115F1">
        <w:t xml:space="preserve"> </w:t>
      </w:r>
    </w:p>
    <w:p w:rsidR="00AA5F12" w:rsidRPr="00BD0D26" w:rsidRDefault="00AA5F12">
      <w:pPr>
        <w:pStyle w:val="SbQuoteref"/>
      </w:pPr>
      <w:r w:rsidRPr="00BD0D26">
        <w:t>Air Conditioning and Refrigeration Equipment Manufacturers Association (AREMA)</w:t>
      </w:r>
      <w:r>
        <w:t>, 2018</w:t>
      </w:r>
    </w:p>
    <w:p w:rsidR="00EB6929" w:rsidRDefault="00EB6929" w:rsidP="003442DC">
      <w:pPr>
        <w:rPr>
          <w:sz w:val="22"/>
        </w:rPr>
      </w:pPr>
      <w:r>
        <w:t>As noted above, this issue is further complicated if the analysis is extended to spare parts suppliers that provide identical component products for use in both GE</w:t>
      </w:r>
      <w:r w:rsidR="00D0354D">
        <w:t>MS products and other products.</w:t>
      </w:r>
      <w:r>
        <w:t xml:space="preserve"> While this issue may not currently be a problem for three phase motors, there are unregulated product groups under consideration for GEMS regulations (including fan units) where the spare parts issue would need to be addressed prior to the introduction of any regulation.</w:t>
      </w:r>
    </w:p>
    <w:p w:rsidR="004A5E25" w:rsidRDefault="00AA5F12" w:rsidP="001F2E9E">
      <w:r w:rsidRPr="009640E3">
        <w:t xml:space="preserve">Amending the GEMS Act to regulate based on use does not appear to be an appropriate solution as it would seem to raise inevitable level playing field issues. To date, </w:t>
      </w:r>
      <w:r w:rsidR="00FC7E21">
        <w:t xml:space="preserve">the GEMS Regulator and E3 </w:t>
      </w:r>
      <w:r w:rsidRPr="009640E3">
        <w:t>ha</w:t>
      </w:r>
      <w:r w:rsidR="00FC7E21">
        <w:t>ve</w:t>
      </w:r>
      <w:r w:rsidRPr="009640E3">
        <w:t xml:space="preserve"> sought to address the challenges associated with regulated products inside other products on a case by case basis</w:t>
      </w:r>
    </w:p>
    <w:p w:rsidR="00AA5F12" w:rsidRDefault="00AA5F12" w:rsidP="001F2E9E">
      <w:r w:rsidRPr="009640E3">
        <w:t xml:space="preserve">In relation to integrated products with a very large number of models per supplier, </w:t>
      </w:r>
      <w:r w:rsidRPr="00C743A5">
        <w:rPr>
          <w:b/>
          <w:bCs/>
        </w:rPr>
        <w:t>Section 5.3.1</w:t>
      </w:r>
      <w:r w:rsidRPr="009640E3">
        <w:t xml:space="preserve"> of this report notes that that the Department of the Environment and Energy is undertaking work on supplier level registration with LED lighting products as </w:t>
      </w:r>
      <w:r w:rsidR="00683603">
        <w:t xml:space="preserve">a </w:t>
      </w:r>
      <w:r w:rsidRPr="009640E3">
        <w:t>test case. This w</w:t>
      </w:r>
      <w:r w:rsidR="00683603">
        <w:t>ork may find there are merits to</w:t>
      </w:r>
      <w:r w:rsidRPr="009640E3">
        <w:t xml:space="preserve"> extending such an approach to other regulated products</w:t>
      </w:r>
      <w:r w:rsidR="00FC7E21">
        <w:t>,</w:t>
      </w:r>
      <w:r w:rsidR="00FC7E21" w:rsidRPr="00FC7E21">
        <w:t xml:space="preserve"> </w:t>
      </w:r>
      <w:r w:rsidR="00FC7E21">
        <w:t>which could also be useful in address</w:t>
      </w:r>
      <w:r w:rsidR="00683603">
        <w:t>ing</w:t>
      </w:r>
      <w:r w:rsidR="00FC7E21">
        <w:t xml:space="preserve"> the issues arising with these types of products</w:t>
      </w:r>
      <w:r w:rsidRPr="009640E3">
        <w:t xml:space="preserve">. </w:t>
      </w:r>
    </w:p>
    <w:p w:rsidR="00AA5F12" w:rsidRPr="0081539F" w:rsidRDefault="00AA5F12" w:rsidP="003442DC">
      <w:pPr>
        <w:pStyle w:val="RecHead"/>
      </w:pPr>
      <w:r w:rsidRPr="0081539F">
        <w:t xml:space="preserve">RECOMMENDATION </w:t>
      </w:r>
      <w:r w:rsidR="007E7C3B">
        <w:t>3</w:t>
      </w:r>
      <w:r w:rsidR="0042578E">
        <w:t>7</w:t>
      </w:r>
    </w:p>
    <w:p w:rsidR="00AA5F12" w:rsidRPr="00C743A5" w:rsidRDefault="00E55253" w:rsidP="00C743A5">
      <w:pPr>
        <w:rPr>
          <w:b/>
          <w:bCs/>
        </w:rPr>
      </w:pPr>
      <w:r w:rsidRPr="00C743A5">
        <w:rPr>
          <w:b/>
          <w:bCs/>
        </w:rPr>
        <w:t>The Commonwealth Government request</w:t>
      </w:r>
      <w:r w:rsidR="00B7508E" w:rsidRPr="00C743A5">
        <w:rPr>
          <w:b/>
          <w:bCs/>
        </w:rPr>
        <w:t xml:space="preserve"> that</w:t>
      </w:r>
      <w:r w:rsidRPr="00C743A5">
        <w:rPr>
          <w:b/>
          <w:bCs/>
        </w:rPr>
        <w:t xml:space="preserve"> the COAG Energy Council</w:t>
      </w:r>
      <w:r w:rsidR="004A5E25" w:rsidRPr="00C743A5">
        <w:rPr>
          <w:b/>
          <w:bCs/>
        </w:rPr>
        <w:t xml:space="preserve"> address the </w:t>
      </w:r>
      <w:r w:rsidR="00AA5F12" w:rsidRPr="00C743A5">
        <w:rPr>
          <w:b/>
          <w:bCs/>
        </w:rPr>
        <w:t xml:space="preserve">challenges associated with regulated products inside other products on a case by case basis. </w:t>
      </w:r>
    </w:p>
    <w:p w:rsidR="00AA5F12" w:rsidRPr="00F740A0" w:rsidRDefault="00AA5F12" w:rsidP="001F2E9E">
      <w:pPr>
        <w:pStyle w:val="Heading3"/>
      </w:pPr>
      <w:bookmarkStart w:id="98" w:name="_Toc18661016"/>
      <w:r w:rsidRPr="005F3AF8">
        <w:t xml:space="preserve">5.8.2 </w:t>
      </w:r>
      <w:r w:rsidRPr="005F3AF8">
        <w:tab/>
        <w:t xml:space="preserve">Demand </w:t>
      </w:r>
      <w:r w:rsidR="008C238F">
        <w:t>r</w:t>
      </w:r>
      <w:r w:rsidR="008C238F" w:rsidRPr="005F3AF8">
        <w:t>esponse</w:t>
      </w:r>
      <w:bookmarkEnd w:id="98"/>
    </w:p>
    <w:p w:rsidR="00AA5F12" w:rsidRPr="00BD0D26" w:rsidRDefault="00AA5F12" w:rsidP="001F2E9E">
      <w:r w:rsidRPr="00BD0D26">
        <w:t xml:space="preserve">Household appliances with demand response interfaces (smart appliances) give consumers the choice to allow a third party to remotely control their appliances </w:t>
      </w:r>
      <w:r w:rsidR="00CC0C4B">
        <w:t xml:space="preserve">(normally </w:t>
      </w:r>
      <w:r w:rsidRPr="00BD0D26">
        <w:t>during peak periods</w:t>
      </w:r>
      <w:r w:rsidR="00CC0C4B">
        <w:t>)</w:t>
      </w:r>
      <w:r w:rsidRPr="00BD0D26">
        <w:t>. The Finkel Review</w:t>
      </w:r>
      <w:r>
        <w:rPr>
          <w:b/>
          <w:i/>
        </w:rPr>
        <w:t xml:space="preserve"> </w:t>
      </w:r>
      <w:r w:rsidRPr="00BD0D26">
        <w:t xml:space="preserve">found that demand response can improve reliability and reduce wholesale prices. </w:t>
      </w:r>
    </w:p>
    <w:p w:rsidR="00357739" w:rsidRDefault="00357739" w:rsidP="00357739">
      <w:r w:rsidRPr="000A7363">
        <w:t>Using demand response to incentivise consumers to reduce their demand at peak times is often c</w:t>
      </w:r>
      <w:r w:rsidR="00683603">
        <w:t>heaper and significantly faster</w:t>
      </w:r>
      <w:r w:rsidRPr="000A7363">
        <w:t xml:space="preserve"> than bui</w:t>
      </w:r>
      <w:r w:rsidR="00CC670C">
        <w:t>lding new generation or network</w:t>
      </w:r>
      <w:r w:rsidRPr="000A7363">
        <w:t xml:space="preserve"> capacity to meet the peak.</w:t>
      </w:r>
      <w:r>
        <w:t xml:space="preserve"> Demand response can be encouraged in a number of ways. Customers can be encouraged to change how they use electricity using price signals such as time-of-use and demand tariffs. More active demand response can be supported by appliances that include capabilities for their operation to be controlled remotely, for example air conditioners that can reduce their consumption for a period of time. This allows electricity retailers, networks and other companies to respond to issues like high prices in the wholesale market and network congestion and reward customers for participating in a demand response program.</w:t>
      </w:r>
    </w:p>
    <w:p w:rsidR="00AA5F12" w:rsidRPr="00BD0D26" w:rsidRDefault="00AA5F12" w:rsidP="001F2E9E">
      <w:r w:rsidRPr="00BD0D26">
        <w:t xml:space="preserve">Currently, no products regulated under the GEMS Act are required to include a demand response </w:t>
      </w:r>
      <w:r w:rsidR="00CC0C4B">
        <w:t>capability</w:t>
      </w:r>
      <w:r w:rsidRPr="00BD0D26">
        <w:t xml:space="preserve">. However, some stakeholders have advocated for mandatory demand response </w:t>
      </w:r>
      <w:r w:rsidR="00CC0C4B">
        <w:t xml:space="preserve">capability </w:t>
      </w:r>
      <w:r w:rsidRPr="00BD0D26">
        <w:t xml:space="preserve">for air conditioners in order to gain the benefits outlined above. </w:t>
      </w:r>
    </w:p>
    <w:p w:rsidR="00AA5F12" w:rsidRPr="009115F1" w:rsidRDefault="00AA5F12">
      <w:pPr>
        <w:pStyle w:val="SbQuote"/>
      </w:pPr>
      <w:r w:rsidRPr="009115F1">
        <w:t xml:space="preserve">We consider a Demand Response Interface GEMS </w:t>
      </w:r>
      <w:r w:rsidR="00DD1C4C" w:rsidRPr="009115F1">
        <w:t>d</w:t>
      </w:r>
      <w:r w:rsidRPr="009115F1">
        <w:t>etermination, mandating compliance with (Australian Standard) 4755 (AS 4755), should be re-considered to realise the significant network cost savings potential from demand response initiatives.</w:t>
      </w:r>
      <w:r w:rsidR="004C5332" w:rsidRPr="009115F1">
        <w:t xml:space="preserve"> </w:t>
      </w:r>
      <w:r w:rsidRPr="009115F1">
        <w:t xml:space="preserve">While recognising that other aspects of the energy market regulatory framework may also be important drivers of these initiatives, an E3 </w:t>
      </w:r>
      <w:r w:rsidR="00DD1C4C" w:rsidRPr="009115F1">
        <w:t>d</w:t>
      </w:r>
      <w:r w:rsidRPr="009115F1">
        <w:t xml:space="preserve">etermination could provide the necessary national impetus towards more efficient, secure network management for the benefit of all consumers. </w:t>
      </w:r>
    </w:p>
    <w:p w:rsidR="00AA5F12" w:rsidRPr="00BD0D26" w:rsidRDefault="00AA5F12">
      <w:pPr>
        <w:pStyle w:val="SbQuoteref"/>
      </w:pPr>
      <w:r w:rsidRPr="00BD0D26">
        <w:lastRenderedPageBreak/>
        <w:t>South Australian Department of the Premier and Cabinet</w:t>
      </w:r>
      <w:r w:rsidR="00B5770B">
        <w:t>, 2018.</w:t>
      </w:r>
    </w:p>
    <w:p w:rsidR="00AA5F12" w:rsidRPr="009115F1" w:rsidRDefault="00AA5F12">
      <w:pPr>
        <w:pStyle w:val="SbQuote"/>
      </w:pPr>
      <w:r w:rsidRPr="009115F1">
        <w:t xml:space="preserve">A mandatory compliance for demand response technology should be adopted, as long as there is the option for consumers to opt-out of this technology for medical, age and other special requirements. </w:t>
      </w:r>
    </w:p>
    <w:p w:rsidR="00AA5F12" w:rsidRPr="00BD0D26" w:rsidRDefault="00AA5F12">
      <w:pPr>
        <w:pStyle w:val="SbQuoteref"/>
      </w:pPr>
      <w:r w:rsidRPr="00BD0D26">
        <w:t>Choice</w:t>
      </w:r>
      <w:r w:rsidR="00B5770B">
        <w:t>, 2018.</w:t>
      </w:r>
    </w:p>
    <w:p w:rsidR="00AA5F12" w:rsidRPr="00EC0A2F" w:rsidRDefault="00AA5F12" w:rsidP="001F2E9E">
      <w:r w:rsidRPr="00BD0D26">
        <w:t xml:space="preserve">E3, in conjunction with industry, developed </w:t>
      </w:r>
      <w:r w:rsidR="00CC670C">
        <w:t xml:space="preserve">the </w:t>
      </w:r>
      <w:r w:rsidRPr="00BD0D26">
        <w:t>AS/NZ 4755</w:t>
      </w:r>
      <w:r>
        <w:t xml:space="preserve"> suite of standards</w:t>
      </w:r>
      <w:r w:rsidRPr="00BD0D26">
        <w:t xml:space="preserve"> for demand response interfaces.</w:t>
      </w:r>
      <w:r w:rsidRPr="00BD0D26">
        <w:rPr>
          <w:vertAlign w:val="superscript"/>
        </w:rPr>
        <w:footnoteReference w:id="32"/>
      </w:r>
      <w:r w:rsidRPr="00BD0D26">
        <w:t xml:space="preserve"> </w:t>
      </w:r>
      <w:r w:rsidR="00031722" w:rsidRPr="00F740A0">
        <w:t xml:space="preserve">The standard was developed prior to the introduction of the GEMS Act (and published in April 2007) and was led by E3 as a result of electricity system events </w:t>
      </w:r>
      <w:r w:rsidR="00BA477A">
        <w:t>at</w:t>
      </w:r>
      <w:r w:rsidR="00BA477A" w:rsidRPr="00F740A0">
        <w:t xml:space="preserve"> </w:t>
      </w:r>
      <w:r w:rsidR="00031722" w:rsidRPr="00F740A0">
        <w:t>the time.</w:t>
      </w:r>
      <w:r w:rsidR="00031722">
        <w:t xml:space="preserve"> </w:t>
      </w:r>
      <w:r w:rsidRPr="00BD0D26">
        <w:t xml:space="preserve">AS/NZS 4755 is intended to enable the large scale introduction of smart appliances by ensuring that the appliances will be able to operate reliably with any communications protocol and any metering. </w:t>
      </w:r>
      <w:r w:rsidR="00324FF9">
        <w:t>The standard was developed with the intention to consider its mandatory adoption</w:t>
      </w:r>
      <w:r w:rsidR="005F10B3">
        <w:t>,</w:t>
      </w:r>
      <w:r w:rsidR="00E103FC">
        <w:t xml:space="preserve"> with a c</w:t>
      </w:r>
      <w:r w:rsidR="005F10B3">
        <w:t>onsultation RIS published in 2013</w:t>
      </w:r>
      <w:r w:rsidR="00324FF9">
        <w:t>.</w:t>
      </w:r>
      <w:r w:rsidR="005F10B3">
        <w:t xml:space="preserve"> This work did not proceed to a decision RIS.</w:t>
      </w:r>
      <w:r w:rsidR="00324FF9">
        <w:t xml:space="preserve"> </w:t>
      </w:r>
    </w:p>
    <w:p w:rsidR="00AA5F12" w:rsidRPr="00BD0D26" w:rsidRDefault="00AA5F12" w:rsidP="001F2E9E">
      <w:r w:rsidRPr="00BD0D26">
        <w:t>Demand management programs in Queensland have led to voluntary compliance with AS 4755</w:t>
      </w:r>
      <w:r w:rsidR="00FD2C62">
        <w:t>,</w:t>
      </w:r>
      <w:r w:rsidRPr="00BD0D26">
        <w:t xml:space="preserve"> which has resulted in demand response capability being consistently available in air conditioners since 2014. This has allowed significant market uptake of demand response capability in air conditioning units and will provide a good platform for electricity retailers, networks and other businesses to develop demand response programs if driven by electricity market forces. </w:t>
      </w:r>
    </w:p>
    <w:p w:rsidR="00AA5F12" w:rsidRPr="00BD0D26" w:rsidRDefault="00B070DB" w:rsidP="001F2E9E">
      <w:r>
        <w:t xml:space="preserve">The </w:t>
      </w:r>
      <w:r w:rsidR="00AA5F12" w:rsidRPr="00BD0D26">
        <w:t>Department of the Environment and Energy analysis has shown that about 20</w:t>
      </w:r>
      <w:r>
        <w:t> </w:t>
      </w:r>
      <w:r w:rsidR="00AA5F12" w:rsidRPr="00BD0D26">
        <w:t>per</w:t>
      </w:r>
      <w:r>
        <w:t> </w:t>
      </w:r>
      <w:r w:rsidR="00AA5F12" w:rsidRPr="00BD0D26">
        <w:t xml:space="preserve">cent of room air conditioners installed in homes today are capable of having their demand remotely controlled by third party </w:t>
      </w:r>
      <w:r w:rsidR="00031722">
        <w:t>operators</w:t>
      </w:r>
      <w:r w:rsidR="00AA5F12" w:rsidRPr="00BD0D26">
        <w:t xml:space="preserve">. This is equivalent to the current capacity of the Liddell power station. </w:t>
      </w:r>
      <w:r w:rsidR="005F13FA">
        <w:t>The GEMS</w:t>
      </w:r>
      <w:r w:rsidR="00AA5F12" w:rsidRPr="00BD0D26">
        <w:t xml:space="preserve"> registration database</w:t>
      </w:r>
      <w:r w:rsidR="00031722">
        <w:t xml:space="preserve"> also </w:t>
      </w:r>
      <w:r w:rsidR="005F13FA">
        <w:t xml:space="preserve">indicates that </w:t>
      </w:r>
      <w:r w:rsidR="00AA5F12" w:rsidRPr="00BD0D26">
        <w:t xml:space="preserve">more than 65 per cent of </w:t>
      </w:r>
      <w:r w:rsidR="000C7C09">
        <w:t xml:space="preserve">room </w:t>
      </w:r>
      <w:r w:rsidR="00AA5F12" w:rsidRPr="00BD0D26">
        <w:t xml:space="preserve">air conditioners </w:t>
      </w:r>
      <w:r w:rsidR="005F13FA">
        <w:t>available on</w:t>
      </w:r>
      <w:r w:rsidR="00AA5F12" w:rsidRPr="00BD0D26">
        <w:t xml:space="preserve"> the market today are demand response capable.</w:t>
      </w:r>
    </w:p>
    <w:p w:rsidR="00357739" w:rsidRPr="00BD0D26" w:rsidRDefault="00357739" w:rsidP="00357739">
      <w:r w:rsidRPr="00BD0D26">
        <w:t>The</w:t>
      </w:r>
      <w:r w:rsidR="00B02C34">
        <w:t xml:space="preserve"> draft report noted</w:t>
      </w:r>
      <w:r w:rsidR="00AB7B90">
        <w:t xml:space="preserve"> that</w:t>
      </w:r>
      <w:r w:rsidR="00B02C34">
        <w:t xml:space="preserve"> the</w:t>
      </w:r>
      <w:r w:rsidRPr="00BD0D26">
        <w:t xml:space="preserve"> issue appears </w:t>
      </w:r>
      <w:r>
        <w:t>not to be the</w:t>
      </w:r>
      <w:r w:rsidRPr="00BD0D26">
        <w:t xml:space="preserve"> availability of demand response </w:t>
      </w:r>
      <w:r>
        <w:t>appliances, rather</w:t>
      </w:r>
      <w:r w:rsidRPr="00BD0D26">
        <w:t xml:space="preserve"> the utilisation of that technology. </w:t>
      </w:r>
      <w:r>
        <w:t xml:space="preserve">As part of a </w:t>
      </w:r>
      <w:r w:rsidRPr="00BD0D26">
        <w:t>$35.7</w:t>
      </w:r>
      <w:r w:rsidR="00AB7B90">
        <w:t> </w:t>
      </w:r>
      <w:r w:rsidRPr="00BD0D26">
        <w:t>million demand response initiative</w:t>
      </w:r>
      <w:r w:rsidRPr="00BD0D26" w:rsidDel="005F13FA">
        <w:t xml:space="preserve"> </w:t>
      </w:r>
      <w:r w:rsidRPr="00BD0D26">
        <w:t xml:space="preserve">the Australian Renewable Energy Agency and the Australian Energy Market Operator awarded funding to ten pilot projects to manage electricity supply during extreme peaks. </w:t>
      </w:r>
      <w:r>
        <w:t xml:space="preserve">Several of the </w:t>
      </w:r>
      <w:r w:rsidRPr="00BD0D26">
        <w:t xml:space="preserve">pilot projects </w:t>
      </w:r>
      <w:r>
        <w:t>have</w:t>
      </w:r>
      <w:r w:rsidRPr="00BD0D26">
        <w:t xml:space="preserve"> engage</w:t>
      </w:r>
      <w:r>
        <w:t>d</w:t>
      </w:r>
      <w:r w:rsidRPr="00BD0D26">
        <w:t xml:space="preserve"> large scale industrial and commercial businesses</w:t>
      </w:r>
      <w:r>
        <w:t>, while some of the pilot projects have targeted household and small business customers</w:t>
      </w:r>
      <w:r w:rsidR="00FD2C62">
        <w:t>.</w:t>
      </w:r>
      <w:r w:rsidRPr="00BD0D26">
        <w:t xml:space="preserve"> Tens of thousands of households are expected to voluntarily sign up to participate in exchange for incentives. </w:t>
      </w:r>
    </w:p>
    <w:p w:rsidR="004B0B59" w:rsidRDefault="00F76C19" w:rsidP="001F2E9E">
      <w:r>
        <w:t>T</w:t>
      </w:r>
      <w:r w:rsidR="00AA5F12">
        <w:t xml:space="preserve">he GEMS Act is </w:t>
      </w:r>
      <w:r w:rsidR="005F13FA">
        <w:t xml:space="preserve">primarily </w:t>
      </w:r>
      <w:r w:rsidR="00AA5F12">
        <w:t xml:space="preserve">focussed on </w:t>
      </w:r>
      <w:r w:rsidR="005F13FA">
        <w:t xml:space="preserve">the </w:t>
      </w:r>
      <w:r w:rsidR="00AA5F12">
        <w:t>energy efficiency</w:t>
      </w:r>
      <w:r w:rsidR="005F13FA">
        <w:t xml:space="preserve"> of products which it regulates</w:t>
      </w:r>
      <w:r w:rsidR="00AA5F12">
        <w:t xml:space="preserve">. </w:t>
      </w:r>
      <w:r w:rsidR="00BE3BB4">
        <w:t xml:space="preserve">The draft report suggested </w:t>
      </w:r>
      <w:r w:rsidR="00BA2C45">
        <w:t>that mandating</w:t>
      </w:r>
      <w:r w:rsidR="00AA5F12">
        <w:t xml:space="preserve"> </w:t>
      </w:r>
      <w:r w:rsidR="00BA2C45">
        <w:t xml:space="preserve">demand response capability through the GEMS Act </w:t>
      </w:r>
      <w:r w:rsidR="00AA5F12">
        <w:t>would be a significant shift</w:t>
      </w:r>
      <w:r w:rsidR="00BA2C45">
        <w:t xml:space="preserve"> in its purpose</w:t>
      </w:r>
      <w:r w:rsidR="00AA5F12">
        <w:t xml:space="preserve"> and </w:t>
      </w:r>
      <w:r w:rsidR="005F13FA">
        <w:t>unlikely to</w:t>
      </w:r>
      <w:r w:rsidR="00AA5F12">
        <w:t xml:space="preserve"> be the most effective approach to </w:t>
      </w:r>
      <w:r w:rsidR="005F13FA">
        <w:t xml:space="preserve">increasing </w:t>
      </w:r>
      <w:r w:rsidR="005D4054">
        <w:t xml:space="preserve">demand response </w:t>
      </w:r>
      <w:r w:rsidR="005D4054" w:rsidRPr="00BD0D26">
        <w:t>initiative</w:t>
      </w:r>
      <w:r w:rsidR="005D4054">
        <w:t>s</w:t>
      </w:r>
      <w:r w:rsidR="00AA5F12">
        <w:t xml:space="preserve"> </w:t>
      </w:r>
      <w:r w:rsidR="005D4054">
        <w:t>within the National Energy Market.</w:t>
      </w:r>
      <w:r w:rsidR="00BE3BB4">
        <w:t xml:space="preserve"> </w:t>
      </w:r>
      <w:r w:rsidR="0083039C">
        <w:t>In</w:t>
      </w:r>
      <w:r w:rsidR="005C1C77">
        <w:t xml:space="preserve"> response</w:t>
      </w:r>
      <w:r>
        <w:t xml:space="preserve"> </w:t>
      </w:r>
      <w:r w:rsidR="0083039C">
        <w:t>to the draft report,</w:t>
      </w:r>
      <w:r w:rsidR="005C1C77">
        <w:t xml:space="preserve"> </w:t>
      </w:r>
      <w:r w:rsidR="001B02BC">
        <w:t xml:space="preserve">government </w:t>
      </w:r>
      <w:r w:rsidR="00BC3EB3">
        <w:t xml:space="preserve">representatives </w:t>
      </w:r>
      <w:r w:rsidR="00AB7B90">
        <w:t xml:space="preserve">of </w:t>
      </w:r>
      <w:r w:rsidR="00BC3EB3">
        <w:t>New South Wales, Victoria, South Australia and Tasmania</w:t>
      </w:r>
      <w:r w:rsidR="004B0B59">
        <w:t xml:space="preserve"> </w:t>
      </w:r>
      <w:r w:rsidR="00BC3EB3">
        <w:t>expressed support for manda</w:t>
      </w:r>
      <w:r w:rsidR="00F74398">
        <w:t xml:space="preserve">ting demand response capability </w:t>
      </w:r>
      <w:r w:rsidR="00BC3EB3">
        <w:t>through the GEMS Act.</w:t>
      </w:r>
      <w:r w:rsidR="009065DF">
        <w:t xml:space="preserve"> </w:t>
      </w:r>
      <w:r w:rsidR="00E7330C">
        <w:t>State</w:t>
      </w:r>
      <w:r w:rsidR="00F74398">
        <w:t xml:space="preserve"> representatives further</w:t>
      </w:r>
      <w:r w:rsidR="009065DF">
        <w:t xml:space="preserve"> </w:t>
      </w:r>
      <w:r w:rsidR="00757FA8">
        <w:t>pointed out</w:t>
      </w:r>
      <w:r w:rsidR="004B0B59">
        <w:t xml:space="preserve"> that in developing the </w:t>
      </w:r>
      <w:r w:rsidR="00E7330C">
        <w:t xml:space="preserve">national </w:t>
      </w:r>
      <w:r w:rsidR="004B0B59">
        <w:t xml:space="preserve">GEMS Act framework, </w:t>
      </w:r>
      <w:r w:rsidR="00F74398">
        <w:t xml:space="preserve">the </w:t>
      </w:r>
      <w:r w:rsidR="004B0B59">
        <w:t>inten</w:t>
      </w:r>
      <w:r w:rsidR="00F74398">
        <w:t>tion was</w:t>
      </w:r>
      <w:r w:rsidR="004B0B59">
        <w:t xml:space="preserve"> to provide the ability to mandate demand response for appliances. </w:t>
      </w:r>
      <w:r w:rsidR="001831DF">
        <w:t>However, the Queensland representative noted that their state already has a number of demand response programs and cautioned against new regulations that might adversely affect these schemes.</w:t>
      </w:r>
    </w:p>
    <w:p w:rsidR="004B0B59" w:rsidRDefault="004B0B59" w:rsidP="001F2E9E">
      <w:r w:rsidRPr="00E20B61">
        <w:t xml:space="preserve">At the COAG Energy Council meeting on 19 December 2018, Ministers agreed to </w:t>
      </w:r>
      <w:r w:rsidR="00F74398" w:rsidRPr="00E20B61">
        <w:t>a request from South Australia</w:t>
      </w:r>
      <w:r w:rsidR="00F74398">
        <w:t xml:space="preserve"> to</w:t>
      </w:r>
      <w:r w:rsidRPr="00E20B61">
        <w:t xml:space="preserve"> draft a regulatory impact statement for certain electrical appliances to be demand response enabled.</w:t>
      </w:r>
      <w:r w:rsidR="00E7330C">
        <w:t xml:space="preserve"> This followed the release of the GEMS Review draft report in November</w:t>
      </w:r>
      <w:r w:rsidR="00683603">
        <w:t xml:space="preserve"> 2018</w:t>
      </w:r>
      <w:r w:rsidR="00E7330C">
        <w:t>.</w:t>
      </w:r>
    </w:p>
    <w:p w:rsidR="004B0B59" w:rsidRDefault="00875D24" w:rsidP="001F2E9E">
      <w:r>
        <w:t>The GEMS Act does not currently deal with demand response in a clear way. It is therefore recommended that</w:t>
      </w:r>
      <w:r w:rsidR="00C015D7">
        <w:t xml:space="preserve"> the GEMS Act be </w:t>
      </w:r>
      <w:r w:rsidR="000C3D01">
        <w:t>reviewed</w:t>
      </w:r>
      <w:r w:rsidR="00C015D7">
        <w:t xml:space="preserve"> </w:t>
      </w:r>
      <w:r>
        <w:t>and amended</w:t>
      </w:r>
      <w:r w:rsidR="00C015D7">
        <w:t xml:space="preserve"> to specifically allow demand response. </w:t>
      </w:r>
    </w:p>
    <w:p w:rsidR="00AA5F12" w:rsidRPr="00DD7567" w:rsidRDefault="00AA5F12">
      <w:pPr>
        <w:pStyle w:val="RecHead"/>
      </w:pPr>
      <w:r w:rsidRPr="00DD7567">
        <w:lastRenderedPageBreak/>
        <w:t xml:space="preserve">RECOMMENDATION </w:t>
      </w:r>
      <w:r w:rsidR="007A0763" w:rsidRPr="00DD7567">
        <w:t>3</w:t>
      </w:r>
      <w:r w:rsidR="0042578E">
        <w:t>8</w:t>
      </w:r>
    </w:p>
    <w:p w:rsidR="00FC7E21" w:rsidRPr="00C743A5" w:rsidRDefault="00AA5F12" w:rsidP="00C743A5">
      <w:pPr>
        <w:rPr>
          <w:b/>
          <w:bCs/>
        </w:rPr>
      </w:pPr>
      <w:r w:rsidRPr="00C743A5">
        <w:rPr>
          <w:b/>
          <w:bCs/>
        </w:rPr>
        <w:t xml:space="preserve">The </w:t>
      </w:r>
      <w:r w:rsidR="005D4054" w:rsidRPr="00C743A5">
        <w:rPr>
          <w:b/>
          <w:bCs/>
        </w:rPr>
        <w:t xml:space="preserve">Commonwealth Government </w:t>
      </w:r>
      <w:r w:rsidR="00BA2C45" w:rsidRPr="00C743A5">
        <w:rPr>
          <w:b/>
          <w:bCs/>
        </w:rPr>
        <w:t>update the GEMS Act to</w:t>
      </w:r>
      <w:r w:rsidR="000C3D01" w:rsidRPr="00C743A5">
        <w:rPr>
          <w:b/>
          <w:bCs/>
        </w:rPr>
        <w:t xml:space="preserve"> </w:t>
      </w:r>
      <w:r w:rsidR="00BA2C45" w:rsidRPr="00C743A5">
        <w:rPr>
          <w:b/>
          <w:bCs/>
        </w:rPr>
        <w:t>allow for mandatory demand response capability</w:t>
      </w:r>
      <w:r w:rsidR="005D4054" w:rsidRPr="00C743A5">
        <w:rPr>
          <w:b/>
          <w:bCs/>
        </w:rPr>
        <w:t>.</w:t>
      </w:r>
      <w:r w:rsidR="00FC7E21" w:rsidRPr="00C743A5">
        <w:rPr>
          <w:b/>
          <w:bCs/>
          <w:highlight w:val="yellow"/>
        </w:rPr>
        <w:t xml:space="preserve"> </w:t>
      </w:r>
    </w:p>
    <w:p w:rsidR="00AA5F12" w:rsidRPr="00F740A0" w:rsidRDefault="00AA5F12" w:rsidP="001F2E9E">
      <w:pPr>
        <w:pStyle w:val="Heading3"/>
      </w:pPr>
      <w:bookmarkStart w:id="99" w:name="_Toc18661017"/>
      <w:r w:rsidRPr="005F3AF8">
        <w:t>5.8.3</w:t>
      </w:r>
      <w:r w:rsidRPr="00B70820">
        <w:tab/>
        <w:t>Potential to expand to energy systems</w:t>
      </w:r>
      <w:r w:rsidRPr="00240A12">
        <w:rPr>
          <w:rStyle w:val="FootnoteReference"/>
          <w:rFonts w:cs="Arial"/>
          <w:b/>
        </w:rPr>
        <w:footnoteReference w:id="33"/>
      </w:r>
      <w:bookmarkEnd w:id="99"/>
    </w:p>
    <w:p w:rsidR="00AA5F12" w:rsidRPr="001A25B3" w:rsidRDefault="00AA5F12" w:rsidP="001F2E9E">
      <w:r w:rsidRPr="001A25B3">
        <w:t>In considering future opportunities for the GEMS Act to further its impact, a number of submissions noted that most appliance energy efficiency “low hanging fruit” has already been captured. These submissions suggest that significant cost-effective future energy savings can only come from a widening array of product categories</w:t>
      </w:r>
      <w:r>
        <w:t xml:space="preserve"> (</w:t>
      </w:r>
      <w:r w:rsidR="00D911A0">
        <w:t>see</w:t>
      </w:r>
      <w:r w:rsidRPr="00571917">
        <w:t xml:space="preserve"> </w:t>
      </w:r>
      <w:r w:rsidRPr="004E675B">
        <w:t xml:space="preserve">in </w:t>
      </w:r>
      <w:r w:rsidRPr="00C743A5">
        <w:rPr>
          <w:b/>
          <w:bCs/>
        </w:rPr>
        <w:t xml:space="preserve">Section </w:t>
      </w:r>
      <w:r w:rsidR="00D911A0" w:rsidRPr="00C743A5">
        <w:rPr>
          <w:b/>
          <w:bCs/>
        </w:rPr>
        <w:t>5.8</w:t>
      </w:r>
      <w:r w:rsidRPr="004E675B">
        <w:t>) or from a different approach to regulating energy efficiency.</w:t>
      </w:r>
      <w:r w:rsidRPr="001A25B3">
        <w:t xml:space="preserve"> </w:t>
      </w:r>
    </w:p>
    <w:p w:rsidR="00AA5F12" w:rsidRPr="009115F1" w:rsidRDefault="00AA5F12">
      <w:pPr>
        <w:pStyle w:val="SbQuote"/>
      </w:pPr>
      <w:r w:rsidRPr="009115F1">
        <w:t xml:space="preserve">The current E3 work program will extend coverage of the program to most of the major (appliance) energy users in the residential sector by 2022. As such, it is important to consider strategic future directions for the program beyond the current suite of products, including expansion into the commercial and industrial sectors, bespoke products and energy systems. </w:t>
      </w:r>
    </w:p>
    <w:p w:rsidR="00AA5F12" w:rsidRPr="005C0227" w:rsidRDefault="00AA5F12">
      <w:pPr>
        <w:pStyle w:val="SbQuoteref"/>
      </w:pPr>
      <w:r>
        <w:t>South Australian Department of Premier and Cabinet</w:t>
      </w:r>
      <w:r w:rsidR="00B5770B">
        <w:t>, 2018.</w:t>
      </w:r>
    </w:p>
    <w:p w:rsidR="00AA5F12" w:rsidRDefault="00AA5F12" w:rsidP="001F2E9E">
      <w:r w:rsidRPr="001A25B3">
        <w:t xml:space="preserve">There is significant potential to save energy from taking a </w:t>
      </w:r>
      <w:r>
        <w:t xml:space="preserve">holistic or </w:t>
      </w:r>
      <w:r w:rsidRPr="001A25B3">
        <w:t>systems-based approach to regulation. Opportunities to save energy are greater when considering the system as a whole, because savings can be achieved through better installation, more appropriate control systems, more accurate design</w:t>
      </w:r>
      <w:r w:rsidR="00D8328D">
        <w:t>,</w:t>
      </w:r>
      <w:r w:rsidRPr="001A25B3">
        <w:t xml:space="preserve"> and more efficient appliances or </w:t>
      </w:r>
      <w:r w:rsidR="0046434C">
        <w:t>equipment</w:t>
      </w:r>
      <w:r w:rsidRPr="001A25B3">
        <w:t xml:space="preserve">. </w:t>
      </w:r>
    </w:p>
    <w:p w:rsidR="00AA5F12" w:rsidRPr="009115F1" w:rsidRDefault="00AA5F12">
      <w:pPr>
        <w:pStyle w:val="SbQuote"/>
      </w:pPr>
      <w:r w:rsidRPr="009115F1">
        <w:t>The potential benefit from government intervention in ensuring that the right equipment is chosen for the job and it is installed well is massive.</w:t>
      </w:r>
    </w:p>
    <w:p w:rsidR="00B5770B" w:rsidRPr="00BD0D26" w:rsidRDefault="00B5770B">
      <w:pPr>
        <w:pStyle w:val="SbQuoteref"/>
      </w:pPr>
      <w:r w:rsidRPr="00BD0D26">
        <w:t>Air Conditioning and Refrigeration Equipment Manufacturers Association (AREMA)</w:t>
      </w:r>
      <w:r>
        <w:t>, 2018</w:t>
      </w:r>
    </w:p>
    <w:p w:rsidR="003527F6" w:rsidRDefault="0046434C" w:rsidP="001F2E9E">
      <w:r>
        <w:t>G</w:t>
      </w:r>
      <w:r w:rsidR="00AA5F12" w:rsidRPr="00C248A9">
        <w:t>overnments have typically regulated appliances or equipment as standalone items</w:t>
      </w:r>
      <w:r w:rsidR="003527F6">
        <w:t xml:space="preserve"> as t</w:t>
      </w:r>
      <w:r w:rsidR="00AA5F12" w:rsidRPr="00C248A9">
        <w:t xml:space="preserve">esting and </w:t>
      </w:r>
      <w:r w:rsidR="003527F6">
        <w:t>verification of</w:t>
      </w:r>
      <w:r w:rsidR="00683603">
        <w:t xml:space="preserve"> </w:t>
      </w:r>
      <w:r w:rsidR="00AA5F12" w:rsidRPr="00C248A9">
        <w:t xml:space="preserve">energy efficiency is much easier </w:t>
      </w:r>
      <w:r w:rsidR="003527F6">
        <w:t xml:space="preserve">and repeatable within a technical </w:t>
      </w:r>
      <w:r w:rsidR="00AA5F12" w:rsidRPr="00C248A9">
        <w:t>laboratory. Regulating the system can be more difficult because the installation of a product can be bespoke</w:t>
      </w:r>
      <w:r w:rsidR="00AA5F12">
        <w:t xml:space="preserve"> or requires assessment of a combination of separate elements operating together</w:t>
      </w:r>
      <w:r w:rsidR="00AA5F12" w:rsidRPr="00C248A9">
        <w:t xml:space="preserve">. </w:t>
      </w:r>
    </w:p>
    <w:p w:rsidR="00AA5F12" w:rsidRPr="00C248A9" w:rsidRDefault="00AA5F12" w:rsidP="00F740A0">
      <w:pPr>
        <w:pStyle w:val="Heading4"/>
      </w:pPr>
      <w:r w:rsidRPr="00C248A9">
        <w:t>Wide scoping of systems opportunities</w:t>
      </w:r>
    </w:p>
    <w:p w:rsidR="00C743A5" w:rsidRDefault="00AA5F12" w:rsidP="00F740A0">
      <w:r w:rsidRPr="00C248A9">
        <w:t>E3 recently undertook research to identify the potential for energy savings at the system level. This study focused on heavy industry, transport, commercial buildings</w:t>
      </w:r>
      <w:r w:rsidR="00D8328D">
        <w:t>,</w:t>
      </w:r>
      <w:r w:rsidRPr="00C248A9">
        <w:t xml:space="preserve"> and </w:t>
      </w:r>
      <w:r>
        <w:t>residential buildings</w:t>
      </w:r>
      <w:r w:rsidRPr="00C248A9">
        <w:t xml:space="preserve">. This </w:t>
      </w:r>
      <w:r w:rsidR="003527F6">
        <w:t xml:space="preserve">study recommended </w:t>
      </w:r>
      <w:r w:rsidRPr="00C248A9">
        <w:t xml:space="preserve">that most of the systems level opportunities </w:t>
      </w:r>
      <w:r w:rsidR="003527F6">
        <w:t>would result</w:t>
      </w:r>
      <w:r w:rsidRPr="00C248A9">
        <w:t xml:space="preserve"> from regulations </w:t>
      </w:r>
      <w:r w:rsidR="003527F6">
        <w:t>targeted at</w:t>
      </w:r>
      <w:r w:rsidRPr="00C248A9">
        <w:t xml:space="preserve"> the facility level (</w:t>
      </w:r>
      <w:r w:rsidR="003527F6">
        <w:t>for</w:t>
      </w:r>
      <w:r w:rsidRPr="00C248A9">
        <w:t xml:space="preserve"> example the ‘whole of house’ approach outlined in </w:t>
      </w:r>
      <w:r w:rsidRPr="00C743A5">
        <w:rPr>
          <w:b/>
          <w:bCs/>
        </w:rPr>
        <w:t xml:space="preserve">Box </w:t>
      </w:r>
      <w:r w:rsidR="001417E9" w:rsidRPr="00C743A5">
        <w:rPr>
          <w:b/>
          <w:bCs/>
        </w:rPr>
        <w:t>8</w:t>
      </w:r>
      <w:r w:rsidRPr="00C248A9">
        <w:t>).</w:t>
      </w:r>
      <w:r>
        <w:t xml:space="preserve"> </w:t>
      </w:r>
    </w:p>
    <w:p w:rsidR="00AA5F12" w:rsidRDefault="00C743A5" w:rsidP="00C743A5">
      <w:pPr>
        <w:spacing w:before="0" w:after="0" w:line="240" w:lineRule="auto"/>
      </w:pPr>
      <w:r>
        <w:br w:type="page"/>
      </w:r>
    </w:p>
    <w:p w:rsidR="00AA5F12" w:rsidRPr="00413D00" w:rsidRDefault="00AA5F12" w:rsidP="001417E9">
      <w:pPr>
        <w:pBdr>
          <w:top w:val="single" w:sz="4" w:space="1" w:color="auto"/>
          <w:left w:val="single" w:sz="4" w:space="4" w:color="auto"/>
          <w:bottom w:val="single" w:sz="4" w:space="0" w:color="auto"/>
          <w:right w:val="single" w:sz="4" w:space="4" w:color="auto"/>
        </w:pBdr>
        <w:rPr>
          <w:rStyle w:val="Emphasis"/>
          <w:szCs w:val="20"/>
        </w:rPr>
      </w:pPr>
      <w:r w:rsidRPr="00413D00">
        <w:rPr>
          <w:rStyle w:val="Emphasis"/>
          <w:szCs w:val="20"/>
        </w:rPr>
        <w:lastRenderedPageBreak/>
        <w:t xml:space="preserve">Box </w:t>
      </w:r>
      <w:r w:rsidR="001417E9" w:rsidRPr="00413D00">
        <w:rPr>
          <w:rStyle w:val="Emphasis"/>
          <w:szCs w:val="20"/>
        </w:rPr>
        <w:t>8</w:t>
      </w:r>
      <w:r w:rsidR="00196A23" w:rsidRPr="00413D00">
        <w:rPr>
          <w:rStyle w:val="Emphasis"/>
          <w:szCs w:val="20"/>
        </w:rPr>
        <w:t>:</w:t>
      </w:r>
      <w:r w:rsidRPr="00413D00">
        <w:rPr>
          <w:rStyle w:val="Emphasis"/>
          <w:szCs w:val="20"/>
        </w:rPr>
        <w:t xml:space="preserve"> Whole of house system</w:t>
      </w:r>
      <w:r w:rsidR="00D911A0" w:rsidRPr="00413D00">
        <w:rPr>
          <w:rStyle w:val="Emphasis"/>
          <w:szCs w:val="20"/>
        </w:rPr>
        <w:t xml:space="preserve">  </w:t>
      </w:r>
    </w:p>
    <w:p w:rsidR="00D0354D" w:rsidRDefault="00D0354D" w:rsidP="001417E9">
      <w:pPr>
        <w:pBdr>
          <w:top w:val="single" w:sz="4" w:space="1" w:color="auto"/>
          <w:left w:val="single" w:sz="4" w:space="4" w:color="auto"/>
          <w:bottom w:val="single" w:sz="4" w:space="0" w:color="auto"/>
          <w:right w:val="single" w:sz="4" w:space="4" w:color="auto"/>
        </w:pBdr>
        <w:rPr>
          <w:sz w:val="22"/>
        </w:rPr>
      </w:pPr>
      <w:r w:rsidRPr="003442DC">
        <w:rPr>
          <w:sz w:val="22"/>
        </w:rPr>
        <w:t>Australia currently regulates new buildings for the thermal performance of their construction (under the Building Code of Australia) and some services and appliances within a building.</w:t>
      </w:r>
    </w:p>
    <w:p w:rsidR="00D0354D" w:rsidRPr="003442DC" w:rsidRDefault="00D0354D" w:rsidP="001417E9">
      <w:pPr>
        <w:pBdr>
          <w:top w:val="single" w:sz="4" w:space="1" w:color="auto"/>
          <w:left w:val="single" w:sz="4" w:space="4" w:color="auto"/>
          <w:bottom w:val="single" w:sz="4" w:space="0" w:color="auto"/>
          <w:right w:val="single" w:sz="4" w:space="4" w:color="auto"/>
        </w:pBdr>
        <w:rPr>
          <w:sz w:val="22"/>
        </w:rPr>
      </w:pPr>
      <w:r w:rsidRPr="003442DC">
        <w:rPr>
          <w:sz w:val="22"/>
        </w:rPr>
        <w:t>Howeve</w:t>
      </w:r>
      <w:r w:rsidR="00303EF8" w:rsidRPr="00B71210">
        <w:rPr>
          <w:sz w:val="22"/>
        </w:rPr>
        <w:t>r, Australian g</w:t>
      </w:r>
      <w:r w:rsidRPr="003442DC">
        <w:rPr>
          <w:sz w:val="22"/>
        </w:rPr>
        <w:t>overnments are now looking into opportunities to move to a whole-of-house system approach that could include greater consideration of how the thermal performance and fixed appliances operate together, along with rooftop solar photovoltaic, and account for plugin loads, so that all household energy use is covered.</w:t>
      </w:r>
    </w:p>
    <w:p w:rsidR="004A1640" w:rsidRPr="004E675B" w:rsidRDefault="00D0354D">
      <w:pPr>
        <w:pBdr>
          <w:top w:val="single" w:sz="4" w:space="1" w:color="auto"/>
          <w:left w:val="single" w:sz="4" w:space="4" w:color="auto"/>
          <w:bottom w:val="single" w:sz="4" w:space="0" w:color="auto"/>
          <w:right w:val="single" w:sz="4" w:space="4" w:color="auto"/>
        </w:pBdr>
        <w:rPr>
          <w:sz w:val="22"/>
        </w:rPr>
      </w:pPr>
      <w:r w:rsidRPr="003442DC">
        <w:rPr>
          <w:sz w:val="22"/>
        </w:rPr>
        <w:t>This approach could allow for trade-offs to some degree between different elements in the building, to achieve the most cost-effective outcome. Modelling and industry examples has shown that it is generally cost-effective today to achieve zero energy or zero carbon homes for many detached homes and there are opportunities to strengthen building code requirements in line with these findings.</w:t>
      </w:r>
    </w:p>
    <w:p w:rsidR="006979A5" w:rsidRDefault="006979A5" w:rsidP="001417E9">
      <w:r w:rsidRPr="00BD0D26">
        <w:rPr>
          <w:rFonts w:cs="Arial"/>
        </w:rPr>
        <w:t>Australia engages actively in international fora (</w:t>
      </w:r>
      <w:r w:rsidRPr="002C0803">
        <w:rPr>
          <w:rFonts w:cs="Arial"/>
        </w:rPr>
        <w:t>see</w:t>
      </w:r>
      <w:r w:rsidRPr="00C743A5">
        <w:rPr>
          <w:b/>
          <w:bCs/>
        </w:rPr>
        <w:t xml:space="preserve"> Section 5.7.2</w:t>
      </w:r>
      <w:r w:rsidRPr="00BD0D26">
        <w:rPr>
          <w:rFonts w:cs="Arial"/>
        </w:rPr>
        <w:t>)</w:t>
      </w:r>
      <w:r>
        <w:rPr>
          <w:rFonts w:cs="Arial"/>
        </w:rPr>
        <w:t xml:space="preserve"> and is contributing to </w:t>
      </w:r>
      <w:r>
        <w:t xml:space="preserve">the </w:t>
      </w:r>
      <w:r w:rsidRPr="002C0803">
        <w:t>IEA 4E’s</w:t>
      </w:r>
      <w:r>
        <w:t xml:space="preserve"> examination of systems based regulation to gain a better understanding of possible regulatory approaches. </w:t>
      </w:r>
    </w:p>
    <w:p w:rsidR="00AA5F12" w:rsidRPr="009E490D" w:rsidRDefault="00AA5F12" w:rsidP="00196A23">
      <w:pPr>
        <w:pStyle w:val="Heading4"/>
      </w:pPr>
      <w:r w:rsidRPr="009E490D">
        <w:t>Appliance regulation to support policy measures at the systems level</w:t>
      </w:r>
    </w:p>
    <w:p w:rsidR="00AA5F12" w:rsidRPr="002732AD" w:rsidRDefault="00AA5F12" w:rsidP="002150B0">
      <w:pPr>
        <w:rPr>
          <w:highlight w:val="yellow"/>
        </w:rPr>
      </w:pPr>
      <w:r w:rsidRPr="009E490D">
        <w:t xml:space="preserve">In considering a shift to policy measures at the systems level, it is important to recognise that </w:t>
      </w:r>
      <w:r w:rsidR="00542675">
        <w:t>systems and appliance regulations are compl</w:t>
      </w:r>
      <w:r w:rsidR="00BB2050">
        <w:t>e</w:t>
      </w:r>
      <w:r w:rsidR="00542675">
        <w:t xml:space="preserve">mentary and it </w:t>
      </w:r>
      <w:r w:rsidRPr="009E490D">
        <w:t xml:space="preserve">may not be practical </w:t>
      </w:r>
      <w:r w:rsidR="00542675">
        <w:t>to do one without the other</w:t>
      </w:r>
      <w:r w:rsidRPr="009E490D">
        <w:t xml:space="preserve">. </w:t>
      </w:r>
      <w:r w:rsidR="003527F6">
        <w:t>For</w:t>
      </w:r>
      <w:r w:rsidRPr="009E490D">
        <w:t xml:space="preserve"> example</w:t>
      </w:r>
      <w:r w:rsidR="00542675">
        <w:t>, a whole of house system regulatory approach (</w:t>
      </w:r>
      <w:r w:rsidR="00542675" w:rsidRPr="00C743A5">
        <w:rPr>
          <w:b/>
          <w:bCs/>
        </w:rPr>
        <w:t xml:space="preserve">Box </w:t>
      </w:r>
      <w:r w:rsidR="001417E9" w:rsidRPr="00C743A5">
        <w:rPr>
          <w:b/>
          <w:bCs/>
        </w:rPr>
        <w:t>8</w:t>
      </w:r>
      <w:r w:rsidR="00542675">
        <w:t xml:space="preserve">) still relies on continuing </w:t>
      </w:r>
      <w:r w:rsidR="00542675" w:rsidRPr="009E490D">
        <w:t>appliance regulations</w:t>
      </w:r>
      <w:r w:rsidR="00542675">
        <w:t xml:space="preserve"> t</w:t>
      </w:r>
      <w:r w:rsidR="00542675" w:rsidRPr="009E490D">
        <w:t>o ensure that existing homes are</w:t>
      </w:r>
      <w:r w:rsidR="00542675">
        <w:t xml:space="preserve"> also</w:t>
      </w:r>
      <w:r w:rsidR="00542675" w:rsidRPr="009E490D">
        <w:t xml:space="preserve"> reducing their energy costs</w:t>
      </w:r>
      <w:r w:rsidR="00542675">
        <w:t>.</w:t>
      </w:r>
      <w:r w:rsidR="004C5332">
        <w:t xml:space="preserve"> </w:t>
      </w:r>
      <w:r w:rsidR="00542675">
        <w:t>Additionally, 10-15 years into the life of the new home, many of the appliances will need to be replaced. A</w:t>
      </w:r>
      <w:r w:rsidR="00542675" w:rsidRPr="009E490D">
        <w:t>ppliance regulations</w:t>
      </w:r>
      <w:r w:rsidR="00542675">
        <w:t xml:space="preserve"> will be necessary to </w:t>
      </w:r>
      <w:r w:rsidRPr="009E490D">
        <w:t xml:space="preserve">prevent inefficient fixed appliances </w:t>
      </w:r>
      <w:r w:rsidR="00542675">
        <w:t>entering</w:t>
      </w:r>
      <w:r w:rsidRPr="009E490D">
        <w:t xml:space="preserve"> the new home</w:t>
      </w:r>
      <w:r w:rsidR="00542675">
        <w:t>.</w:t>
      </w:r>
      <w:r w:rsidRPr="009E490D">
        <w:t xml:space="preserve"> </w:t>
      </w:r>
    </w:p>
    <w:p w:rsidR="00AA5F12" w:rsidRPr="00A75E82" w:rsidRDefault="00AA5F12" w:rsidP="00F740A0">
      <w:pPr>
        <w:pStyle w:val="Heading4"/>
      </w:pPr>
      <w:r w:rsidRPr="00A75E82">
        <w:t>Interaction between building and appliance energy efficiency</w:t>
      </w:r>
    </w:p>
    <w:p w:rsidR="00AA5F12" w:rsidRPr="009640E3" w:rsidRDefault="00AA5F12" w:rsidP="00F740A0">
      <w:r w:rsidRPr="009640E3">
        <w:t>A particular concern that has been raised by industry is the potential for</w:t>
      </w:r>
      <w:r w:rsidR="00542675">
        <w:t xml:space="preserve"> overlapping and</w:t>
      </w:r>
      <w:r w:rsidRPr="009640E3">
        <w:t xml:space="preserve"> </w:t>
      </w:r>
      <w:r w:rsidR="00542675" w:rsidRPr="009640E3">
        <w:t xml:space="preserve">inconsistent </w:t>
      </w:r>
      <w:r w:rsidR="00542675">
        <w:t>regulation</w:t>
      </w:r>
      <w:r w:rsidRPr="009640E3">
        <w:t xml:space="preserve">. </w:t>
      </w:r>
      <w:r w:rsidR="00542675">
        <w:t>Industry argues t</w:t>
      </w:r>
      <w:r w:rsidRPr="009640E3">
        <w:t xml:space="preserve">hat policy instruments should be aligned and streamlined to increase efficiencies but, if there is a need for multiple instruments, they should be </w:t>
      </w:r>
      <w:r w:rsidR="00676C86">
        <w:t>consistent</w:t>
      </w:r>
      <w:r w:rsidRPr="009640E3">
        <w:t xml:space="preserve">. E3 support this regulatory principle and in the case of chillers recently noted that in the longer term the MEPS and the National Construction Code requirements for chillers should be harmonised. However it was noted that this cannot be achieved </w:t>
      </w:r>
      <w:r w:rsidR="00676C86">
        <w:t>with</w:t>
      </w:r>
      <w:r w:rsidRPr="009640E3">
        <w:t xml:space="preserve">in the current review cycle of the </w:t>
      </w:r>
      <w:r w:rsidR="00676C86" w:rsidRPr="009640E3">
        <w:t>National Construction Code</w:t>
      </w:r>
      <w:r w:rsidRPr="009640E3">
        <w:t>.</w:t>
      </w:r>
      <w:r w:rsidRPr="00F740A0">
        <w:rPr>
          <w:vertAlign w:val="superscript"/>
        </w:rPr>
        <w:footnoteReference w:id="34"/>
      </w:r>
    </w:p>
    <w:p w:rsidR="00AA5F12" w:rsidRDefault="00AA5F12" w:rsidP="00F740A0">
      <w:r>
        <w:t>Th</w:t>
      </w:r>
      <w:r w:rsidRPr="00A75E82">
        <w:t xml:space="preserve">e COAG Energy Council is advancing the energy performance of residential </w:t>
      </w:r>
      <w:r>
        <w:t xml:space="preserve">and commercial </w:t>
      </w:r>
      <w:r w:rsidRPr="00A75E82">
        <w:t>buildings through the development of a trajectory for low energy homes</w:t>
      </w:r>
      <w:r>
        <w:t xml:space="preserve"> and commercial buildings</w:t>
      </w:r>
      <w:r w:rsidRPr="00A75E82">
        <w:t>. This will also consider possible changes to the National Construction Code</w:t>
      </w:r>
      <w:r>
        <w:t xml:space="preserve"> </w:t>
      </w:r>
      <w:r w:rsidRPr="00A75E82">
        <w:t xml:space="preserve">in 2022 and a whole-of-house approach (see </w:t>
      </w:r>
      <w:r w:rsidRPr="00C743A5">
        <w:rPr>
          <w:b/>
          <w:bCs/>
        </w:rPr>
        <w:t xml:space="preserve">Box </w:t>
      </w:r>
      <w:r w:rsidR="001417E9" w:rsidRPr="00C743A5">
        <w:rPr>
          <w:b/>
          <w:bCs/>
        </w:rPr>
        <w:t>8</w:t>
      </w:r>
      <w:r w:rsidRPr="00A75E82">
        <w:t xml:space="preserve">) </w:t>
      </w:r>
      <w:r>
        <w:t>to energy use for homes</w:t>
      </w:r>
      <w:r w:rsidRPr="00A75E82">
        <w:t xml:space="preserve">. </w:t>
      </w:r>
      <w:r w:rsidRPr="00852F1E">
        <w:t xml:space="preserve">Any requirements added to the </w:t>
      </w:r>
      <w:r w:rsidR="00676C86" w:rsidRPr="009640E3">
        <w:t>National Construction Code</w:t>
      </w:r>
      <w:r w:rsidRPr="00852F1E">
        <w:t xml:space="preserve"> </w:t>
      </w:r>
      <w:r>
        <w:t>will</w:t>
      </w:r>
      <w:r w:rsidRPr="00852F1E">
        <w:t xml:space="preserve"> not include minimum regulations for specific appliances</w:t>
      </w:r>
      <w:r>
        <w:t xml:space="preserve"> but may consider minimum regulations for the building as a system, which </w:t>
      </w:r>
      <w:r w:rsidR="00115A62">
        <w:t xml:space="preserve">would </w:t>
      </w:r>
      <w:r>
        <w:t xml:space="preserve">include </w:t>
      </w:r>
      <w:r w:rsidRPr="00852F1E">
        <w:t xml:space="preserve">interactions with appliances. Minimum regulations for specific appliances will continue through GEMS. </w:t>
      </w:r>
    </w:p>
    <w:p w:rsidR="00AA5F12" w:rsidRPr="002C7A9F" w:rsidRDefault="00AA5F12" w:rsidP="003442DC">
      <w:pPr>
        <w:pStyle w:val="RecHead"/>
      </w:pPr>
      <w:r>
        <w:t xml:space="preserve">RECOMMENDATION </w:t>
      </w:r>
      <w:r w:rsidR="007A0763">
        <w:t>3</w:t>
      </w:r>
      <w:r w:rsidR="0042578E">
        <w:t>9</w:t>
      </w:r>
    </w:p>
    <w:p w:rsidR="00C743A5" w:rsidRPr="00C743A5" w:rsidRDefault="00115A62" w:rsidP="00C743A5">
      <w:pPr>
        <w:rPr>
          <w:b/>
          <w:bCs/>
        </w:rPr>
      </w:pPr>
      <w:r w:rsidRPr="00C743A5">
        <w:rPr>
          <w:b/>
          <w:bCs/>
        </w:rPr>
        <w:t>The Commonwealth Government request</w:t>
      </w:r>
      <w:r w:rsidR="004A1640" w:rsidRPr="00C743A5">
        <w:rPr>
          <w:b/>
          <w:bCs/>
        </w:rPr>
        <w:t xml:space="preserve"> that</w:t>
      </w:r>
      <w:r w:rsidRPr="00C743A5">
        <w:rPr>
          <w:b/>
          <w:bCs/>
        </w:rPr>
        <w:t xml:space="preserve"> the COAG Energy Council </w:t>
      </w:r>
      <w:r w:rsidR="00B070DB" w:rsidRPr="00C743A5">
        <w:rPr>
          <w:b/>
          <w:bCs/>
        </w:rPr>
        <w:t>i</w:t>
      </w:r>
      <w:r w:rsidR="00F90EF8" w:rsidRPr="00C743A5">
        <w:rPr>
          <w:b/>
          <w:bCs/>
        </w:rPr>
        <w:t>nvestigate</w:t>
      </w:r>
      <w:r w:rsidR="004A1640" w:rsidRPr="00C743A5">
        <w:rPr>
          <w:b/>
          <w:bCs/>
        </w:rPr>
        <w:t>s</w:t>
      </w:r>
      <w:r w:rsidR="00F90EF8" w:rsidRPr="00C743A5">
        <w:rPr>
          <w:b/>
          <w:bCs/>
        </w:rPr>
        <w:t xml:space="preserve"> </w:t>
      </w:r>
      <w:r w:rsidRPr="00C743A5">
        <w:rPr>
          <w:b/>
          <w:bCs/>
        </w:rPr>
        <w:t>the potential of a systems approach to energy efficiency regulation.</w:t>
      </w:r>
    </w:p>
    <w:p w:rsidR="00C743A5" w:rsidRDefault="00C743A5">
      <w:pPr>
        <w:spacing w:before="0" w:after="0" w:line="240" w:lineRule="auto"/>
        <w:rPr>
          <w:b/>
          <w:bCs/>
        </w:rPr>
      </w:pPr>
      <w:r>
        <w:rPr>
          <w:b/>
          <w:bCs/>
        </w:rPr>
        <w:br w:type="page"/>
      </w:r>
    </w:p>
    <w:p w:rsidR="004A1640" w:rsidRDefault="00692B24" w:rsidP="003442DC">
      <w:pPr>
        <w:pStyle w:val="RecHead"/>
      </w:pPr>
      <w:r>
        <w:lastRenderedPageBreak/>
        <w:t xml:space="preserve">RECOMMENDATION </w:t>
      </w:r>
      <w:r w:rsidR="0042578E">
        <w:t>40</w:t>
      </w:r>
    </w:p>
    <w:p w:rsidR="004421EE" w:rsidRPr="00C743A5" w:rsidRDefault="00115A62" w:rsidP="00C743A5">
      <w:pPr>
        <w:rPr>
          <w:b/>
          <w:bCs/>
        </w:rPr>
      </w:pPr>
      <w:r w:rsidRPr="00C743A5">
        <w:rPr>
          <w:b/>
          <w:bCs/>
        </w:rPr>
        <w:t>The Commonwealth Government continue to work with the COAG Energy Council to ensure consistency and harmonisation between appliance and building energy efficiency regulations.</w:t>
      </w:r>
    </w:p>
    <w:p w:rsidR="00B542C9" w:rsidRDefault="00B542C9">
      <w:pPr>
        <w:spacing w:after="0" w:line="240" w:lineRule="auto"/>
      </w:pPr>
      <w:r>
        <w:br w:type="page"/>
      </w:r>
    </w:p>
    <w:p w:rsidR="00C743A5" w:rsidRDefault="00B542C9" w:rsidP="00B542C9">
      <w:pPr>
        <w:pStyle w:val="Heading1"/>
      </w:pPr>
      <w:bookmarkStart w:id="100" w:name="_Toc18661018"/>
      <w:r w:rsidRPr="00BE7765">
        <w:lastRenderedPageBreak/>
        <w:t xml:space="preserve">Appendix </w:t>
      </w:r>
      <w:r w:rsidRPr="006761F8">
        <w:t>A</w:t>
      </w:r>
      <w:bookmarkEnd w:id="100"/>
      <w:r w:rsidRPr="00BE7765">
        <w:t xml:space="preserve"> </w:t>
      </w:r>
    </w:p>
    <w:p w:rsidR="00B542C9" w:rsidRPr="00DA4F43" w:rsidRDefault="00B542C9" w:rsidP="00C743A5">
      <w:pPr>
        <w:pStyle w:val="Heading2"/>
      </w:pPr>
      <w:bookmarkStart w:id="101" w:name="_Toc18661019"/>
      <w:r w:rsidRPr="00BE7765">
        <w:t>Term</w:t>
      </w:r>
      <w:r w:rsidR="00474608">
        <w:t>s</w:t>
      </w:r>
      <w:r w:rsidRPr="00BE7765">
        <w:t xml:space="preserve"> of Reference</w:t>
      </w:r>
      <w:bookmarkEnd w:id="101"/>
    </w:p>
    <w:p w:rsidR="00B542C9" w:rsidRPr="00C743A5" w:rsidRDefault="00B542C9" w:rsidP="00C743A5">
      <w:pPr>
        <w:pStyle w:val="Heading3"/>
      </w:pPr>
      <w:bookmarkStart w:id="102" w:name="_Toc18661020"/>
      <w:r w:rsidRPr="00C743A5">
        <w:t>Introduction</w:t>
      </w:r>
      <w:bookmarkEnd w:id="102"/>
    </w:p>
    <w:p w:rsidR="00B542C9" w:rsidRPr="006761F8" w:rsidRDefault="00B542C9" w:rsidP="00B542C9">
      <w:pPr>
        <w:rPr>
          <w:sz w:val="22"/>
        </w:rPr>
      </w:pPr>
      <w:r w:rsidRPr="006761F8">
        <w:rPr>
          <w:sz w:val="22"/>
        </w:rPr>
        <w:t xml:space="preserve">The </w:t>
      </w:r>
      <w:r w:rsidRPr="006761F8">
        <w:rPr>
          <w:i/>
          <w:sz w:val="22"/>
        </w:rPr>
        <w:t>Greenhouse and Energy Minimum Standards Act 2012</w:t>
      </w:r>
      <w:r w:rsidRPr="006761F8">
        <w:rPr>
          <w:sz w:val="22"/>
        </w:rPr>
        <w:t xml:space="preserve"> (GEMS Act) implements the commitments of the Australian Government and the Council of Australian Governments (COAG) to establish national legislation to regulate energy efficiency and labelling standards for appliances and other products. The national legislation permits the Australian Government to set mandatory minimum efficiency requirements for products to drive greater energy efficiency. The Act also allows the Australian Government to set nationally-consistent labelling requirements, to increase Australians’ awareness of options to improve energy efficiency and reduce energy consumption, energy costs and greenhouse gas emissions. </w:t>
      </w:r>
    </w:p>
    <w:p w:rsidR="00B542C9" w:rsidRPr="006761F8" w:rsidRDefault="00B542C9" w:rsidP="00B542C9">
      <w:pPr>
        <w:rPr>
          <w:sz w:val="22"/>
        </w:rPr>
      </w:pPr>
      <w:r w:rsidRPr="006761F8">
        <w:rPr>
          <w:sz w:val="22"/>
        </w:rPr>
        <w:t xml:space="preserve">Clause 176 of the GEMS Act requires a review of the operation of the Act as soon as possible after the fifth anniversary of its commencement date (1 October 2012). As a program that is expected to continue well into the future, and face changing requirements necessary to meet the significant challenge of reducing Australia’s energy consumption and greenhouse gas emissions, the operation of the Act also must be reviewed every ten years after the first review. </w:t>
      </w:r>
    </w:p>
    <w:p w:rsidR="00B542C9" w:rsidRPr="00C743A5" w:rsidRDefault="00B542C9" w:rsidP="00C743A5">
      <w:pPr>
        <w:pStyle w:val="Heading3"/>
      </w:pPr>
      <w:bookmarkStart w:id="103" w:name="_Toc18661021"/>
      <w:r w:rsidRPr="00C743A5">
        <w:t>Scope</w:t>
      </w:r>
      <w:bookmarkEnd w:id="103"/>
    </w:p>
    <w:p w:rsidR="00B542C9" w:rsidRPr="006761F8" w:rsidRDefault="00B542C9" w:rsidP="00B542C9">
      <w:pPr>
        <w:spacing w:after="100"/>
        <w:rPr>
          <w:sz w:val="22"/>
        </w:rPr>
      </w:pPr>
      <w:r w:rsidRPr="006761F8">
        <w:rPr>
          <w:sz w:val="22"/>
        </w:rPr>
        <w:t>The independent review will fulfil the requirements of Clause 176 of the GEMS Act. The review will evaluate, advise and report on the items listed below:</w:t>
      </w:r>
    </w:p>
    <w:p w:rsidR="00B542C9" w:rsidRPr="006761F8" w:rsidRDefault="00B542C9" w:rsidP="008A7FC0">
      <w:pPr>
        <w:pStyle w:val="ListParagraph"/>
        <w:numPr>
          <w:ilvl w:val="0"/>
          <w:numId w:val="23"/>
        </w:numPr>
        <w:spacing w:after="100"/>
        <w:ind w:left="426" w:hanging="426"/>
        <w:rPr>
          <w:sz w:val="22"/>
        </w:rPr>
      </w:pPr>
      <w:r w:rsidRPr="006761F8">
        <w:rPr>
          <w:sz w:val="22"/>
        </w:rPr>
        <w:t>The extent to which the framework (including systems and procedures) established by the GEMS Act is achieving its purpose.</w:t>
      </w:r>
    </w:p>
    <w:p w:rsidR="00B542C9" w:rsidRPr="006761F8" w:rsidRDefault="00B542C9" w:rsidP="008A7FC0">
      <w:pPr>
        <w:pStyle w:val="ListParagraph"/>
        <w:numPr>
          <w:ilvl w:val="0"/>
          <w:numId w:val="23"/>
        </w:numPr>
        <w:spacing w:after="100"/>
        <w:ind w:left="426" w:hanging="426"/>
        <w:rPr>
          <w:sz w:val="22"/>
        </w:rPr>
      </w:pPr>
      <w:r w:rsidRPr="006761F8">
        <w:rPr>
          <w:sz w:val="22"/>
        </w:rPr>
        <w:t>Improvements that could be made to the operation of the GEMS Act, including any costs and impacts on stakeholders.</w:t>
      </w:r>
    </w:p>
    <w:p w:rsidR="00B542C9" w:rsidRPr="00BE133C" w:rsidRDefault="00B542C9" w:rsidP="008A7FC0">
      <w:pPr>
        <w:pStyle w:val="ListParagraph"/>
        <w:numPr>
          <w:ilvl w:val="1"/>
          <w:numId w:val="23"/>
        </w:numPr>
        <w:spacing w:after="100"/>
        <w:ind w:left="851" w:hanging="425"/>
        <w:rPr>
          <w:sz w:val="22"/>
        </w:rPr>
      </w:pPr>
      <w:r w:rsidRPr="00BE133C">
        <w:rPr>
          <w:sz w:val="22"/>
        </w:rPr>
        <w:t>Particular attention should be given to improvements that will lead to an increased reduction in greenhouse gas emissions.</w:t>
      </w:r>
    </w:p>
    <w:p w:rsidR="00B542C9" w:rsidRPr="006761F8" w:rsidRDefault="00B542C9" w:rsidP="008A7FC0">
      <w:pPr>
        <w:pStyle w:val="ListParagraph"/>
        <w:numPr>
          <w:ilvl w:val="0"/>
          <w:numId w:val="23"/>
        </w:numPr>
        <w:spacing w:after="100"/>
        <w:ind w:left="426" w:hanging="426"/>
        <w:rPr>
          <w:sz w:val="22"/>
        </w:rPr>
      </w:pPr>
      <w:r w:rsidRPr="006761F8">
        <w:rPr>
          <w:sz w:val="22"/>
        </w:rPr>
        <w:t>Implementation and transition actions to facilitate improvements to the Act identified at point 2.</w:t>
      </w:r>
    </w:p>
    <w:p w:rsidR="00B542C9" w:rsidRPr="006761F8" w:rsidRDefault="00B542C9" w:rsidP="008A7FC0">
      <w:pPr>
        <w:pStyle w:val="ListParagraph"/>
        <w:numPr>
          <w:ilvl w:val="0"/>
          <w:numId w:val="23"/>
        </w:numPr>
        <w:ind w:left="426" w:hanging="426"/>
        <w:rPr>
          <w:sz w:val="22"/>
        </w:rPr>
      </w:pPr>
      <w:r w:rsidRPr="006761F8">
        <w:rPr>
          <w:sz w:val="22"/>
        </w:rPr>
        <w:t xml:space="preserve">Any other matters including environmental, cost, technical and regulatory issues relevant to the operation of the Act. </w:t>
      </w:r>
    </w:p>
    <w:p w:rsidR="00B542C9" w:rsidRPr="006761F8" w:rsidRDefault="00B542C9" w:rsidP="00B542C9">
      <w:pPr>
        <w:spacing w:after="100"/>
        <w:rPr>
          <w:sz w:val="22"/>
        </w:rPr>
      </w:pPr>
      <w:r w:rsidRPr="006761F8">
        <w:rPr>
          <w:sz w:val="22"/>
        </w:rPr>
        <w:t xml:space="preserve">The reviewer will be assisted by considering the following issues in relation to the GEMS Act: </w:t>
      </w:r>
    </w:p>
    <w:p w:rsidR="00B542C9" w:rsidRPr="006761F8" w:rsidRDefault="00B542C9" w:rsidP="008A7FC0">
      <w:pPr>
        <w:pStyle w:val="ListBullet"/>
        <w:numPr>
          <w:ilvl w:val="0"/>
          <w:numId w:val="22"/>
        </w:numPr>
        <w:spacing w:after="100"/>
        <w:ind w:left="426" w:hanging="426"/>
        <w:rPr>
          <w:sz w:val="22"/>
        </w:rPr>
      </w:pPr>
      <w:r w:rsidRPr="006761F8">
        <w:rPr>
          <w:sz w:val="22"/>
        </w:rPr>
        <w:t>The level of actual and required agility of the Act to respond to changing dynamics (for example, technological changes, increasing proportion of online sales, integrated products, less specific product categories).</w:t>
      </w:r>
    </w:p>
    <w:p w:rsidR="00B542C9" w:rsidRPr="006761F8" w:rsidRDefault="00B542C9" w:rsidP="008A7FC0">
      <w:pPr>
        <w:pStyle w:val="ListBullet"/>
        <w:numPr>
          <w:ilvl w:val="0"/>
          <w:numId w:val="22"/>
        </w:numPr>
        <w:spacing w:after="100"/>
        <w:ind w:left="426" w:hanging="426"/>
        <w:rPr>
          <w:sz w:val="22"/>
        </w:rPr>
      </w:pPr>
      <w:r w:rsidRPr="006761F8">
        <w:rPr>
          <w:sz w:val="22"/>
        </w:rPr>
        <w:t xml:space="preserve">The ability of the GEMS Act to provide for adequate compliance arrangements for new and bespoke products. </w:t>
      </w:r>
    </w:p>
    <w:p w:rsidR="00B542C9" w:rsidRPr="006761F8" w:rsidRDefault="00B542C9" w:rsidP="008A7FC0">
      <w:pPr>
        <w:pStyle w:val="ListBullet"/>
        <w:numPr>
          <w:ilvl w:val="0"/>
          <w:numId w:val="22"/>
        </w:numPr>
        <w:spacing w:after="100"/>
        <w:ind w:left="426" w:hanging="426"/>
        <w:rPr>
          <w:sz w:val="22"/>
        </w:rPr>
      </w:pPr>
      <w:r w:rsidRPr="006761F8">
        <w:rPr>
          <w:sz w:val="22"/>
        </w:rPr>
        <w:lastRenderedPageBreak/>
        <w:t xml:space="preserve">Administrative challenges (current and anticipated) faced by businesses and the GEMS Regulator. </w:t>
      </w:r>
    </w:p>
    <w:p w:rsidR="00B542C9" w:rsidRPr="006761F8" w:rsidRDefault="00B542C9" w:rsidP="008A7FC0">
      <w:pPr>
        <w:pStyle w:val="ListBullet"/>
        <w:numPr>
          <w:ilvl w:val="0"/>
          <w:numId w:val="22"/>
        </w:numPr>
        <w:ind w:left="426" w:hanging="426"/>
        <w:rPr>
          <w:sz w:val="22"/>
        </w:rPr>
      </w:pPr>
      <w:r w:rsidRPr="006761F8">
        <w:rPr>
          <w:sz w:val="22"/>
        </w:rPr>
        <w:t xml:space="preserve">Whether there is a role for guidance about when mandatory standards are more useful and when other approaches might be more suitable. </w:t>
      </w:r>
    </w:p>
    <w:p w:rsidR="00B542C9" w:rsidRPr="006761F8" w:rsidRDefault="00B542C9" w:rsidP="00B542C9">
      <w:pPr>
        <w:rPr>
          <w:i/>
          <w:iCs/>
          <w:color w:val="1F497D"/>
          <w:sz w:val="22"/>
        </w:rPr>
      </w:pPr>
      <w:r w:rsidRPr="006761F8">
        <w:rPr>
          <w:sz w:val="22"/>
        </w:rPr>
        <w:t xml:space="preserve">As far as possible, the review will meet the requirements of a RIS-like process and as such, will answer the questions as per the guidance note on Independent Reviews, RIS-like Processes and the Regulation Impact Statement requirements: </w:t>
      </w:r>
      <w:hyperlink r:id="rId23" w:history="1">
        <w:r w:rsidRPr="006761F8">
          <w:rPr>
            <w:rStyle w:val="Hyperlink"/>
            <w:iCs/>
            <w:sz w:val="22"/>
          </w:rPr>
          <w:t>http://www.dpmc.gov.au/resource-centre/regulation/independent-reviews-and-ris-process-guidance-note</w:t>
        </w:r>
      </w:hyperlink>
      <w:r w:rsidRPr="006761F8">
        <w:rPr>
          <w:i/>
          <w:iCs/>
          <w:color w:val="1F497D"/>
          <w:sz w:val="22"/>
        </w:rPr>
        <w:t>.</w:t>
      </w:r>
    </w:p>
    <w:p w:rsidR="00B542C9" w:rsidRPr="00C743A5" w:rsidRDefault="00B542C9" w:rsidP="00C743A5">
      <w:pPr>
        <w:pStyle w:val="Heading3"/>
      </w:pPr>
      <w:bookmarkStart w:id="104" w:name="_Toc18661022"/>
      <w:r w:rsidRPr="00C743A5">
        <w:t>Governance and Deliverables</w:t>
      </w:r>
      <w:bookmarkEnd w:id="104"/>
    </w:p>
    <w:p w:rsidR="00B542C9" w:rsidRPr="006761F8" w:rsidRDefault="00B542C9" w:rsidP="00B542C9">
      <w:pPr>
        <w:rPr>
          <w:sz w:val="22"/>
        </w:rPr>
      </w:pPr>
      <w:r w:rsidRPr="006761F8">
        <w:rPr>
          <w:sz w:val="22"/>
        </w:rPr>
        <w:t xml:space="preserve">The review will be undertaken by an independent reviewer contracted by the Department of the Environment and Energy. The independent reviewer will be supported by a secretariat in the Department and will provide regular updates to the COAG Energy Council’s Energy Efficiency Advisory Team. </w:t>
      </w:r>
    </w:p>
    <w:p w:rsidR="00B542C9" w:rsidRPr="006761F8" w:rsidRDefault="00B542C9" w:rsidP="00B542C9">
      <w:pPr>
        <w:rPr>
          <w:sz w:val="22"/>
        </w:rPr>
      </w:pPr>
      <w:r w:rsidRPr="006761F8">
        <w:rPr>
          <w:sz w:val="22"/>
        </w:rPr>
        <w:t xml:space="preserve">A written report of the review will be given to the Minister. </w:t>
      </w:r>
    </w:p>
    <w:p w:rsidR="00B542C9" w:rsidRPr="00C743A5" w:rsidRDefault="00B542C9" w:rsidP="00C743A5">
      <w:pPr>
        <w:pStyle w:val="Heading3"/>
      </w:pPr>
      <w:bookmarkStart w:id="105" w:name="_Toc18661023"/>
      <w:r w:rsidRPr="00C743A5">
        <w:t>Timeframe and Methodology</w:t>
      </w:r>
      <w:bookmarkEnd w:id="105"/>
      <w:r w:rsidRPr="00C743A5">
        <w:t xml:space="preserve"> </w:t>
      </w:r>
    </w:p>
    <w:p w:rsidR="00B542C9" w:rsidRPr="006761F8" w:rsidRDefault="00B542C9" w:rsidP="00B542C9">
      <w:pPr>
        <w:rPr>
          <w:sz w:val="22"/>
        </w:rPr>
      </w:pPr>
      <w:r w:rsidRPr="006761F8">
        <w:rPr>
          <w:sz w:val="22"/>
        </w:rPr>
        <w:t xml:space="preserve">The independent review will commence as soon as possible after 1 October 2017, and provide a written report to the Minister by mid-2018. </w:t>
      </w:r>
    </w:p>
    <w:p w:rsidR="00B542C9" w:rsidRPr="006761F8" w:rsidRDefault="00B542C9" w:rsidP="00B542C9">
      <w:pPr>
        <w:rPr>
          <w:sz w:val="22"/>
        </w:rPr>
      </w:pPr>
      <w:r w:rsidRPr="006761F8">
        <w:rPr>
          <w:sz w:val="22"/>
        </w:rPr>
        <w:t>The independent review will, as relevant, consider:</w:t>
      </w:r>
    </w:p>
    <w:p w:rsidR="00B542C9" w:rsidRPr="006761F8" w:rsidRDefault="00B542C9" w:rsidP="008A7FC0">
      <w:pPr>
        <w:pStyle w:val="ListBullet"/>
        <w:numPr>
          <w:ilvl w:val="0"/>
          <w:numId w:val="22"/>
        </w:numPr>
        <w:ind w:left="426" w:hanging="426"/>
        <w:rPr>
          <w:sz w:val="22"/>
        </w:rPr>
      </w:pPr>
      <w:r w:rsidRPr="006761F8">
        <w:rPr>
          <w:sz w:val="22"/>
        </w:rPr>
        <w:t>submissions from, and consultations with, business, consumer groups, the community and relevant Commonwealth, New Zealand, state and territory agencies;</w:t>
      </w:r>
    </w:p>
    <w:p w:rsidR="00B542C9" w:rsidRPr="006761F8" w:rsidRDefault="00B542C9" w:rsidP="008A7FC0">
      <w:pPr>
        <w:pStyle w:val="ListBullet"/>
        <w:numPr>
          <w:ilvl w:val="0"/>
          <w:numId w:val="22"/>
        </w:numPr>
        <w:ind w:left="426" w:hanging="426"/>
        <w:rPr>
          <w:sz w:val="22"/>
        </w:rPr>
      </w:pPr>
      <w:r w:rsidRPr="006761F8">
        <w:rPr>
          <w:sz w:val="22"/>
        </w:rPr>
        <w:t xml:space="preserve">the reports and outcomes of recent reviews in relation to GEMS, such as the </w:t>
      </w:r>
      <w:r w:rsidRPr="006761F8">
        <w:rPr>
          <w:i/>
          <w:sz w:val="22"/>
        </w:rPr>
        <w:t>2014</w:t>
      </w:r>
      <w:r w:rsidRPr="006761F8">
        <w:rPr>
          <w:i/>
          <w:sz w:val="22"/>
        </w:rPr>
        <w:noBreakHyphen/>
        <w:t>15 Review of the Inter-Governmental Agreement for the GEMS Legislative Scheme</w:t>
      </w:r>
      <w:r w:rsidRPr="006761F8">
        <w:rPr>
          <w:sz w:val="22"/>
        </w:rPr>
        <w:t xml:space="preserve"> and the </w:t>
      </w:r>
      <w:r w:rsidRPr="006761F8">
        <w:rPr>
          <w:i/>
          <w:sz w:val="22"/>
        </w:rPr>
        <w:t>2016-17 GEMS Fees Review</w:t>
      </w:r>
      <w:r w:rsidRPr="006761F8">
        <w:rPr>
          <w:sz w:val="22"/>
        </w:rPr>
        <w:t xml:space="preserve">. </w:t>
      </w:r>
    </w:p>
    <w:p w:rsidR="00B542C9" w:rsidRPr="006761F8" w:rsidRDefault="00B542C9" w:rsidP="00B542C9">
      <w:pPr>
        <w:rPr>
          <w:sz w:val="22"/>
        </w:rPr>
      </w:pPr>
      <w:r w:rsidRPr="006761F8">
        <w:rPr>
          <w:sz w:val="22"/>
        </w:rPr>
        <w:t xml:space="preserve">The independent review will meet the requirements of the COAG Best Practice Regulation Guidelines and Australian Government Guide to Regulation. </w:t>
      </w:r>
    </w:p>
    <w:p w:rsidR="00B542C9" w:rsidRDefault="00B542C9" w:rsidP="00B542C9">
      <w:pPr>
        <w:spacing w:after="0" w:line="240" w:lineRule="auto"/>
      </w:pPr>
      <w:r>
        <w:br w:type="page"/>
      </w:r>
    </w:p>
    <w:p w:rsidR="00C743A5" w:rsidRDefault="00B542C9" w:rsidP="00B542C9">
      <w:pPr>
        <w:pStyle w:val="Heading1"/>
      </w:pPr>
      <w:bookmarkStart w:id="106" w:name="_Toc18661024"/>
      <w:r>
        <w:lastRenderedPageBreak/>
        <w:t>Appendix B</w:t>
      </w:r>
      <w:bookmarkEnd w:id="106"/>
      <w:r>
        <w:t xml:space="preserve"> </w:t>
      </w:r>
    </w:p>
    <w:p w:rsidR="00B542C9" w:rsidRPr="00122DBA" w:rsidRDefault="00B542C9" w:rsidP="00C743A5">
      <w:pPr>
        <w:pStyle w:val="Heading2"/>
      </w:pPr>
      <w:bookmarkStart w:id="107" w:name="_Toc18661025"/>
      <w:r w:rsidRPr="00122DBA">
        <w:t>2015 GEMS Review Recommendations</w:t>
      </w:r>
      <w:bookmarkEnd w:id="107"/>
    </w:p>
    <w:tbl>
      <w:tblPr>
        <w:tblStyle w:val="TableGrid"/>
        <w:tblW w:w="5000" w:type="pct"/>
        <w:tblLook w:val="04A0" w:firstRow="1" w:lastRow="0" w:firstColumn="1" w:lastColumn="0" w:noHBand="0" w:noVBand="1"/>
      </w:tblPr>
      <w:tblGrid>
        <w:gridCol w:w="4205"/>
        <w:gridCol w:w="4811"/>
      </w:tblGrid>
      <w:tr w:rsidR="00B542C9" w:rsidRPr="00B31BF9" w:rsidTr="009115F1">
        <w:trPr>
          <w:cnfStyle w:val="100000000000" w:firstRow="1" w:lastRow="0" w:firstColumn="0" w:lastColumn="0" w:oddVBand="0" w:evenVBand="0" w:oddHBand="0" w:evenHBand="0" w:firstRowFirstColumn="0" w:firstRowLastColumn="0" w:lastRowFirstColumn="0" w:lastRowLastColumn="0"/>
          <w:tblHeader/>
        </w:trPr>
        <w:tc>
          <w:tcPr>
            <w:tcW w:w="2332" w:type="pct"/>
          </w:tcPr>
          <w:p w:rsidR="00B542C9" w:rsidRPr="00C743A5" w:rsidRDefault="00B542C9" w:rsidP="00C743A5">
            <w:pPr>
              <w:rPr>
                <w:b/>
                <w:bCs/>
              </w:rPr>
            </w:pPr>
            <w:r w:rsidRPr="00C743A5">
              <w:rPr>
                <w:b/>
                <w:bCs/>
                <w:color w:val="000000" w:themeColor="text1"/>
              </w:rPr>
              <w:t>Key recommendation</w:t>
            </w:r>
          </w:p>
        </w:tc>
        <w:tc>
          <w:tcPr>
            <w:tcW w:w="2668" w:type="pct"/>
          </w:tcPr>
          <w:p w:rsidR="00B542C9" w:rsidRPr="00C743A5" w:rsidRDefault="00B542C9" w:rsidP="00C743A5">
            <w:pPr>
              <w:rPr>
                <w:b/>
                <w:bCs/>
              </w:rPr>
            </w:pPr>
            <w:r w:rsidRPr="00C743A5">
              <w:rPr>
                <w:b/>
                <w:bCs/>
                <w:color w:val="000000" w:themeColor="text1"/>
              </w:rPr>
              <w:t>Action since release of 2015 review</w:t>
            </w:r>
          </w:p>
        </w:tc>
      </w:tr>
      <w:tr w:rsidR="00B542C9" w:rsidRPr="00B31BF9" w:rsidTr="009115F1">
        <w:trPr>
          <w:cnfStyle w:val="000000100000" w:firstRow="0" w:lastRow="0" w:firstColumn="0" w:lastColumn="0" w:oddVBand="0" w:evenVBand="0" w:oddHBand="1" w:evenHBand="0" w:firstRowFirstColumn="0" w:firstRowLastColumn="0" w:lastRowFirstColumn="0" w:lastRowLastColumn="0"/>
        </w:trPr>
        <w:tc>
          <w:tcPr>
            <w:tcW w:w="5000" w:type="pct"/>
            <w:gridSpan w:val="2"/>
          </w:tcPr>
          <w:p w:rsidR="00B542C9" w:rsidRPr="00C743A5" w:rsidRDefault="00B542C9" w:rsidP="00C743A5">
            <w:pPr>
              <w:rPr>
                <w:b/>
                <w:bCs/>
              </w:rPr>
            </w:pPr>
            <w:r w:rsidRPr="00C743A5">
              <w:rPr>
                <w:b/>
                <w:bCs/>
              </w:rPr>
              <w:t>Program design</w:t>
            </w:r>
          </w:p>
        </w:tc>
      </w:tr>
      <w:tr w:rsidR="00B542C9" w:rsidRPr="00420DD5" w:rsidTr="009115F1">
        <w:trPr>
          <w:cnfStyle w:val="000000010000" w:firstRow="0" w:lastRow="0" w:firstColumn="0" w:lastColumn="0" w:oddVBand="0" w:evenVBand="0" w:oddHBand="0" w:evenHBand="1" w:firstRowFirstColumn="0" w:firstRowLastColumn="0" w:lastRowFirstColumn="0" w:lastRowLastColumn="0"/>
        </w:trPr>
        <w:tc>
          <w:tcPr>
            <w:tcW w:w="2332" w:type="pct"/>
          </w:tcPr>
          <w:p w:rsidR="00B542C9" w:rsidRDefault="00B542C9" w:rsidP="003442DC">
            <w:pPr>
              <w:spacing w:before="60" w:after="60" w:line="240" w:lineRule="auto"/>
              <w:mirrorIndents w:val="0"/>
              <w:rPr>
                <w:rFonts w:cs="Arial"/>
                <w:szCs w:val="20"/>
                <w:lang w:val="en-GB" w:eastAsia="en-GB"/>
              </w:rPr>
            </w:pPr>
            <w:r w:rsidRPr="006761F8">
              <w:rPr>
                <w:rFonts w:cs="Arial"/>
                <w:szCs w:val="20"/>
                <w:lang w:val="en-GB" w:eastAsia="en-GB"/>
              </w:rPr>
              <w:t>In future, both MEPS and labelling schemes should be retained as national government measures.</w:t>
            </w:r>
          </w:p>
          <w:p w:rsidR="003D670E" w:rsidRPr="006761F8" w:rsidRDefault="003D670E" w:rsidP="003442DC">
            <w:pPr>
              <w:spacing w:before="60" w:after="60" w:line="240" w:lineRule="auto"/>
              <w:mirrorIndents w:val="0"/>
              <w:rPr>
                <w:rFonts w:cs="Arial"/>
                <w:b/>
                <w:szCs w:val="20"/>
                <w:lang w:val="en-GB" w:eastAsia="en-GB"/>
              </w:rPr>
            </w:pPr>
          </w:p>
        </w:tc>
        <w:tc>
          <w:tcPr>
            <w:tcW w:w="2668" w:type="pct"/>
          </w:tcPr>
          <w:p w:rsidR="00B542C9" w:rsidRPr="006761F8" w:rsidRDefault="00B542C9" w:rsidP="003442DC">
            <w:pPr>
              <w:spacing w:before="60" w:after="60" w:line="240" w:lineRule="auto"/>
              <w:mirrorIndents w:val="0"/>
              <w:rPr>
                <w:rFonts w:cs="Arial"/>
                <w:szCs w:val="20"/>
              </w:rPr>
            </w:pPr>
            <w:r w:rsidRPr="006761F8">
              <w:rPr>
                <w:rFonts w:cs="Arial"/>
                <w:szCs w:val="20"/>
              </w:rPr>
              <w:t>MEPS and labelling schemes have been retained as national government measures.</w:t>
            </w:r>
          </w:p>
        </w:tc>
      </w:tr>
      <w:tr w:rsidR="00B542C9" w:rsidRPr="00B31BF9" w:rsidTr="009115F1">
        <w:trPr>
          <w:cnfStyle w:val="000000100000" w:firstRow="0" w:lastRow="0" w:firstColumn="0" w:lastColumn="0" w:oddVBand="0" w:evenVBand="0" w:oddHBand="1" w:evenHBand="0" w:firstRowFirstColumn="0" w:firstRowLastColumn="0" w:lastRowFirstColumn="0" w:lastRowLastColumn="0"/>
        </w:trPr>
        <w:tc>
          <w:tcPr>
            <w:tcW w:w="5000" w:type="pct"/>
            <w:gridSpan w:val="2"/>
          </w:tcPr>
          <w:p w:rsidR="00B542C9" w:rsidRPr="00C743A5" w:rsidRDefault="00B542C9" w:rsidP="00C743A5">
            <w:pPr>
              <w:rPr>
                <w:b/>
                <w:bCs/>
              </w:rPr>
            </w:pPr>
            <w:bookmarkStart w:id="108" w:name="_Toc422298360"/>
            <w:r w:rsidRPr="00C743A5">
              <w:rPr>
                <w:b/>
                <w:bCs/>
              </w:rPr>
              <w:t>Delivering Inter-Governmental Agreement (IGA), GEMS and E3 objectives</w:t>
            </w:r>
            <w:bookmarkEnd w:id="108"/>
          </w:p>
        </w:tc>
      </w:tr>
      <w:tr w:rsidR="00B542C9" w:rsidRPr="00420DD5" w:rsidTr="009115F1">
        <w:trPr>
          <w:cnfStyle w:val="000000010000" w:firstRow="0" w:lastRow="0" w:firstColumn="0" w:lastColumn="0" w:oddVBand="0" w:evenVBand="0" w:oddHBand="0" w:evenHBand="1" w:firstRowFirstColumn="0" w:firstRowLastColumn="0" w:lastRowFirstColumn="0" w:lastRowLastColumn="0"/>
        </w:trPr>
        <w:tc>
          <w:tcPr>
            <w:tcW w:w="2332" w:type="pct"/>
          </w:tcPr>
          <w:p w:rsidR="00B542C9" w:rsidRPr="006761F8" w:rsidRDefault="00B542C9" w:rsidP="003442DC">
            <w:pPr>
              <w:spacing w:before="60" w:after="60" w:line="240" w:lineRule="auto"/>
              <w:mirrorIndents w:val="0"/>
              <w:rPr>
                <w:rFonts w:cs="Arial"/>
                <w:b/>
                <w:bCs/>
                <w:szCs w:val="20"/>
                <w:lang w:val="en-GB" w:eastAsia="en-GB"/>
              </w:rPr>
            </w:pPr>
            <w:r w:rsidRPr="006761F8">
              <w:rPr>
                <w:rFonts w:cs="Arial"/>
                <w:szCs w:val="20"/>
                <w:lang w:val="en-GB" w:eastAsia="en-GB"/>
              </w:rPr>
              <w:t>The program should implement MEPS and labelling for planned product groups and consider further broadening coverage of product groups.</w:t>
            </w:r>
          </w:p>
        </w:tc>
        <w:tc>
          <w:tcPr>
            <w:tcW w:w="2668" w:type="pct"/>
          </w:tcPr>
          <w:p w:rsidR="00B542C9" w:rsidRDefault="00B542C9" w:rsidP="003442DC">
            <w:pPr>
              <w:spacing w:before="60" w:after="60" w:line="240" w:lineRule="auto"/>
              <w:mirrorIndents w:val="0"/>
              <w:rPr>
                <w:rFonts w:cs="Arial"/>
                <w:szCs w:val="20"/>
              </w:rPr>
            </w:pPr>
            <w:r w:rsidRPr="006761F8">
              <w:rPr>
                <w:rFonts w:cs="Arial"/>
                <w:szCs w:val="20"/>
              </w:rPr>
              <w:t>The COAG Energy Council developed an E3 Prioritisation Plan to ensure that opportunities to save energy, lower energy costs for households and business and reduce greenhouse gas emissions, are realised as soon as possible. Evidence-based prioritisation of opportunities provides a basis for planning for future regulatory work and allocation of resources.</w:t>
            </w:r>
          </w:p>
          <w:p w:rsidR="00271A57" w:rsidRPr="006761F8" w:rsidRDefault="00271A57" w:rsidP="003442DC">
            <w:pPr>
              <w:spacing w:before="60" w:after="60" w:line="240" w:lineRule="auto"/>
              <w:mirrorIndents w:val="0"/>
              <w:rPr>
                <w:rFonts w:cs="Arial"/>
                <w:szCs w:val="20"/>
              </w:rPr>
            </w:pPr>
          </w:p>
        </w:tc>
      </w:tr>
      <w:tr w:rsidR="00B542C9" w:rsidRPr="00B31BF9" w:rsidTr="009115F1">
        <w:trPr>
          <w:cnfStyle w:val="000000100000" w:firstRow="0" w:lastRow="0" w:firstColumn="0" w:lastColumn="0" w:oddVBand="0" w:evenVBand="0" w:oddHBand="1" w:evenHBand="0" w:firstRowFirstColumn="0" w:firstRowLastColumn="0" w:lastRowFirstColumn="0" w:lastRowLastColumn="0"/>
        </w:trPr>
        <w:tc>
          <w:tcPr>
            <w:tcW w:w="5000" w:type="pct"/>
            <w:gridSpan w:val="2"/>
          </w:tcPr>
          <w:p w:rsidR="00B542C9" w:rsidRPr="00C743A5" w:rsidRDefault="00B542C9" w:rsidP="00C743A5">
            <w:pPr>
              <w:rPr>
                <w:b/>
                <w:bCs/>
              </w:rPr>
            </w:pPr>
            <w:r w:rsidRPr="00C743A5">
              <w:rPr>
                <w:b/>
                <w:bCs/>
              </w:rPr>
              <w:t>Opportunities to reduce burden and improve outcomes</w:t>
            </w:r>
          </w:p>
        </w:tc>
      </w:tr>
      <w:tr w:rsidR="00B542C9" w:rsidRPr="00420DD5" w:rsidTr="009115F1">
        <w:trPr>
          <w:cnfStyle w:val="000000010000" w:firstRow="0" w:lastRow="0" w:firstColumn="0" w:lastColumn="0" w:oddVBand="0" w:evenVBand="0" w:oddHBand="0" w:evenHBand="1" w:firstRowFirstColumn="0" w:firstRowLastColumn="0" w:lastRowFirstColumn="0" w:lastRowLastColumn="0"/>
        </w:trPr>
        <w:tc>
          <w:tcPr>
            <w:tcW w:w="2332" w:type="pct"/>
          </w:tcPr>
          <w:p w:rsidR="00B542C9" w:rsidRPr="006761F8" w:rsidRDefault="00B542C9" w:rsidP="003442DC">
            <w:pPr>
              <w:spacing w:before="60" w:after="60" w:line="240" w:lineRule="auto"/>
              <w:ind w:left="454" w:hanging="454"/>
              <w:mirrorIndents w:val="0"/>
              <w:rPr>
                <w:rFonts w:cs="Arial"/>
                <w:b/>
                <w:szCs w:val="20"/>
                <w:lang w:val="en-GB" w:eastAsia="en-GB"/>
              </w:rPr>
            </w:pPr>
            <w:r w:rsidRPr="006761F8">
              <w:rPr>
                <w:rFonts w:cs="Arial"/>
                <w:szCs w:val="20"/>
                <w:lang w:val="en-GB" w:eastAsia="en-GB"/>
              </w:rPr>
              <w:t xml:space="preserve">1. </w:t>
            </w:r>
            <w:r w:rsidRPr="006761F8">
              <w:rPr>
                <w:rFonts w:cs="Arial"/>
                <w:szCs w:val="20"/>
                <w:lang w:val="en-GB" w:eastAsia="en-GB"/>
              </w:rPr>
              <w:tab/>
              <w:t>The IGA should be retained in its current form.</w:t>
            </w:r>
          </w:p>
        </w:tc>
        <w:tc>
          <w:tcPr>
            <w:tcW w:w="2668" w:type="pct"/>
          </w:tcPr>
          <w:p w:rsidR="00B542C9" w:rsidRPr="006761F8" w:rsidRDefault="00B542C9" w:rsidP="003442DC">
            <w:pPr>
              <w:spacing w:before="60" w:after="60" w:line="240" w:lineRule="auto"/>
              <w:ind w:left="488" w:hanging="488"/>
              <w:mirrorIndents w:val="0"/>
              <w:rPr>
                <w:rFonts w:cs="Arial"/>
                <w:szCs w:val="20"/>
              </w:rPr>
            </w:pPr>
            <w:r w:rsidRPr="006761F8">
              <w:rPr>
                <w:rFonts w:cs="Arial"/>
                <w:szCs w:val="20"/>
              </w:rPr>
              <w:t xml:space="preserve">1. </w:t>
            </w:r>
            <w:r w:rsidRPr="006761F8">
              <w:rPr>
                <w:rFonts w:cs="Arial"/>
                <w:szCs w:val="20"/>
              </w:rPr>
              <w:tab/>
              <w:t>The form of the IGA remains fundamentally unchanged. However, it was amended to clarify funding arrangements between the Commonwealth and the states and territories for Regulator and policy activities.</w:t>
            </w:r>
          </w:p>
        </w:tc>
      </w:tr>
      <w:tr w:rsidR="00B542C9" w:rsidRPr="00420DD5" w:rsidTr="009115F1">
        <w:trPr>
          <w:cnfStyle w:val="000000100000" w:firstRow="0" w:lastRow="0" w:firstColumn="0" w:lastColumn="0" w:oddVBand="0" w:evenVBand="0" w:oddHBand="1" w:evenHBand="0" w:firstRowFirstColumn="0" w:firstRowLastColumn="0" w:lastRowFirstColumn="0" w:lastRowLastColumn="0"/>
        </w:trPr>
        <w:tc>
          <w:tcPr>
            <w:tcW w:w="2332" w:type="pct"/>
          </w:tcPr>
          <w:p w:rsidR="00B542C9" w:rsidRPr="006761F8" w:rsidRDefault="00B542C9" w:rsidP="003442DC">
            <w:pPr>
              <w:spacing w:before="60" w:after="60" w:line="240" w:lineRule="auto"/>
              <w:ind w:left="454" w:hanging="454"/>
              <w:mirrorIndents w:val="0"/>
              <w:rPr>
                <w:rFonts w:cs="Arial"/>
                <w:szCs w:val="20"/>
                <w:lang w:val="en-GB" w:eastAsia="en-GB"/>
              </w:rPr>
            </w:pPr>
            <w:r w:rsidRPr="006761F8">
              <w:rPr>
                <w:rFonts w:cs="Arial"/>
                <w:szCs w:val="20"/>
                <w:lang w:val="en-GB" w:eastAsia="en-GB"/>
              </w:rPr>
              <w:t xml:space="preserve">2. </w:t>
            </w:r>
            <w:r w:rsidRPr="006761F8">
              <w:rPr>
                <w:rFonts w:cs="Arial"/>
                <w:szCs w:val="20"/>
                <w:lang w:val="en-GB" w:eastAsia="en-GB"/>
              </w:rPr>
              <w:tab/>
              <w:t>The GEMS Act should not be fundamentally changed. To do so would risk adverse outcomes such as reduced opportunity available for implementing energy efficiency measures and/or significantly increased risks to effective delivery and/or compromising equitable markets.</w:t>
            </w:r>
          </w:p>
        </w:tc>
        <w:tc>
          <w:tcPr>
            <w:tcW w:w="2668" w:type="pct"/>
          </w:tcPr>
          <w:p w:rsidR="00B542C9" w:rsidRPr="006761F8" w:rsidRDefault="00B542C9" w:rsidP="003442DC">
            <w:pPr>
              <w:spacing w:before="60" w:after="60" w:line="240" w:lineRule="auto"/>
              <w:ind w:left="488" w:hanging="488"/>
              <w:mirrorIndents w:val="0"/>
              <w:rPr>
                <w:rFonts w:cs="Arial"/>
                <w:szCs w:val="20"/>
              </w:rPr>
            </w:pPr>
            <w:r w:rsidRPr="006761F8">
              <w:rPr>
                <w:rFonts w:cs="Arial"/>
                <w:szCs w:val="20"/>
              </w:rPr>
              <w:t xml:space="preserve">2. </w:t>
            </w:r>
            <w:r w:rsidRPr="006761F8">
              <w:rPr>
                <w:rFonts w:cs="Arial"/>
                <w:szCs w:val="20"/>
              </w:rPr>
              <w:tab/>
              <w:t>The Act has not been amended since the 2015 GEMS Review.</w:t>
            </w:r>
          </w:p>
          <w:p w:rsidR="00B542C9" w:rsidRPr="006761F8" w:rsidRDefault="00B542C9" w:rsidP="003442DC">
            <w:pPr>
              <w:spacing w:before="60" w:after="60" w:line="240" w:lineRule="auto"/>
              <w:mirrorIndents w:val="0"/>
              <w:rPr>
                <w:rFonts w:cs="Arial"/>
                <w:szCs w:val="20"/>
              </w:rPr>
            </w:pPr>
          </w:p>
        </w:tc>
      </w:tr>
      <w:tr w:rsidR="00B542C9" w:rsidRPr="00420DD5" w:rsidTr="009115F1">
        <w:trPr>
          <w:cnfStyle w:val="000000010000" w:firstRow="0" w:lastRow="0" w:firstColumn="0" w:lastColumn="0" w:oddVBand="0" w:evenVBand="0" w:oddHBand="0" w:evenHBand="1" w:firstRowFirstColumn="0" w:firstRowLastColumn="0" w:lastRowFirstColumn="0" w:lastRowLastColumn="0"/>
        </w:trPr>
        <w:tc>
          <w:tcPr>
            <w:tcW w:w="2332" w:type="pct"/>
          </w:tcPr>
          <w:p w:rsidR="00B542C9" w:rsidRPr="006761F8" w:rsidRDefault="00B542C9" w:rsidP="003442DC">
            <w:pPr>
              <w:spacing w:before="60" w:after="60" w:line="240" w:lineRule="auto"/>
              <w:ind w:left="426" w:hanging="426"/>
              <w:mirrorIndents w:val="0"/>
              <w:rPr>
                <w:rFonts w:cs="Arial"/>
                <w:szCs w:val="20"/>
                <w:lang w:val="en-GB" w:eastAsia="en-GB"/>
              </w:rPr>
            </w:pPr>
            <w:r w:rsidRPr="006761F8">
              <w:rPr>
                <w:rFonts w:cs="Arial"/>
                <w:szCs w:val="20"/>
                <w:lang w:val="en-GB" w:eastAsia="en-GB"/>
              </w:rPr>
              <w:t xml:space="preserve">3. </w:t>
            </w:r>
            <w:r w:rsidRPr="006761F8">
              <w:rPr>
                <w:rFonts w:cs="Arial"/>
                <w:szCs w:val="20"/>
                <w:lang w:val="en-GB" w:eastAsia="en-GB"/>
              </w:rPr>
              <w:tab/>
            </w:r>
            <w:r w:rsidRPr="006761F8">
              <w:rPr>
                <w:rFonts w:cs="Arial"/>
                <w:szCs w:val="20"/>
              </w:rPr>
              <w:t>The program should consider and progress identified opportunities to reduce regulatory burden and improve outcomes.</w:t>
            </w:r>
          </w:p>
        </w:tc>
        <w:tc>
          <w:tcPr>
            <w:tcW w:w="2668" w:type="pct"/>
          </w:tcPr>
          <w:p w:rsidR="00B542C9" w:rsidRDefault="00B542C9" w:rsidP="003442DC">
            <w:pPr>
              <w:spacing w:before="60" w:after="60" w:line="240" w:lineRule="auto"/>
              <w:ind w:left="488" w:hanging="488"/>
              <w:mirrorIndents w:val="0"/>
              <w:rPr>
                <w:rFonts w:cs="Arial"/>
                <w:szCs w:val="20"/>
              </w:rPr>
            </w:pPr>
            <w:r w:rsidRPr="006761F8">
              <w:rPr>
                <w:rFonts w:cs="Arial"/>
                <w:szCs w:val="20"/>
              </w:rPr>
              <w:t xml:space="preserve">3. </w:t>
            </w:r>
            <w:r w:rsidRPr="006761F8">
              <w:rPr>
                <w:rFonts w:cs="Arial"/>
                <w:szCs w:val="20"/>
              </w:rPr>
              <w:tab/>
              <w:t>Opportunities to reduce regulatory burden have been made through improvements to the GEMS registration system (</w:t>
            </w:r>
            <w:r w:rsidRPr="00C743A5">
              <w:rPr>
                <w:b/>
                <w:bCs/>
              </w:rPr>
              <w:t>see Program Administration below</w:t>
            </w:r>
            <w:r w:rsidRPr="006761F8">
              <w:rPr>
                <w:rFonts w:cs="Arial"/>
                <w:szCs w:val="20"/>
              </w:rPr>
              <w:t>) and are being considered in the Fee Review (</w:t>
            </w:r>
            <w:r w:rsidRPr="00C743A5">
              <w:rPr>
                <w:b/>
                <w:bCs/>
              </w:rPr>
              <w:t>see Program Funding below</w:t>
            </w:r>
            <w:r w:rsidRPr="006761F8">
              <w:rPr>
                <w:rFonts w:cs="Arial"/>
                <w:szCs w:val="20"/>
              </w:rPr>
              <w:t>).</w:t>
            </w:r>
          </w:p>
          <w:p w:rsidR="00271A57" w:rsidRPr="006761F8" w:rsidRDefault="00271A57" w:rsidP="003442DC">
            <w:pPr>
              <w:spacing w:before="60" w:after="60" w:line="240" w:lineRule="auto"/>
              <w:ind w:left="488" w:hanging="488"/>
              <w:mirrorIndents w:val="0"/>
              <w:rPr>
                <w:rFonts w:cs="Arial"/>
                <w:szCs w:val="20"/>
              </w:rPr>
            </w:pPr>
          </w:p>
        </w:tc>
      </w:tr>
      <w:tr w:rsidR="00B542C9" w:rsidRPr="00B31BF9" w:rsidTr="009115F1">
        <w:trPr>
          <w:cnfStyle w:val="000000100000" w:firstRow="0" w:lastRow="0" w:firstColumn="0" w:lastColumn="0" w:oddVBand="0" w:evenVBand="0" w:oddHBand="1" w:evenHBand="0" w:firstRowFirstColumn="0" w:firstRowLastColumn="0" w:lastRowFirstColumn="0" w:lastRowLastColumn="0"/>
          <w:trHeight w:val="240"/>
        </w:trPr>
        <w:tc>
          <w:tcPr>
            <w:tcW w:w="5000" w:type="pct"/>
            <w:gridSpan w:val="2"/>
          </w:tcPr>
          <w:p w:rsidR="00B542C9" w:rsidRPr="00C743A5" w:rsidRDefault="00B542C9" w:rsidP="00C743A5">
            <w:pPr>
              <w:rPr>
                <w:b/>
                <w:bCs/>
              </w:rPr>
            </w:pPr>
            <w:r w:rsidRPr="00C743A5">
              <w:rPr>
                <w:b/>
                <w:bCs/>
              </w:rPr>
              <w:t>Program funding</w:t>
            </w:r>
          </w:p>
        </w:tc>
      </w:tr>
      <w:tr w:rsidR="00B542C9" w:rsidRPr="00F7268E" w:rsidTr="009115F1">
        <w:trPr>
          <w:cnfStyle w:val="000000010000" w:firstRow="0" w:lastRow="0" w:firstColumn="0" w:lastColumn="0" w:oddVBand="0" w:evenVBand="0" w:oddHBand="0" w:evenHBand="1" w:firstRowFirstColumn="0" w:firstRowLastColumn="0" w:lastRowFirstColumn="0" w:lastRowLastColumn="0"/>
          <w:trHeight w:val="2610"/>
        </w:trPr>
        <w:tc>
          <w:tcPr>
            <w:tcW w:w="2332" w:type="pct"/>
          </w:tcPr>
          <w:p w:rsidR="00B542C9" w:rsidRPr="00F7268E" w:rsidRDefault="00B542C9" w:rsidP="003442DC">
            <w:pPr>
              <w:spacing w:before="60" w:after="60" w:line="240" w:lineRule="auto"/>
              <w:mirrorIndents w:val="0"/>
              <w:rPr>
                <w:rFonts w:cs="Arial"/>
                <w:b/>
                <w:szCs w:val="20"/>
                <w:lang w:val="en-GB" w:eastAsia="en-GB"/>
              </w:rPr>
            </w:pPr>
            <w:r w:rsidRPr="00F7268E">
              <w:rPr>
                <w:rFonts w:cs="Arial"/>
                <w:szCs w:val="20"/>
                <w:lang w:val="en-GB" w:eastAsia="en-GB"/>
              </w:rPr>
              <w:lastRenderedPageBreak/>
              <w:t>Take account of stakeholder feedback in relation to cost recovery levels when reviewing registration fees in October 2015.</w:t>
            </w:r>
          </w:p>
        </w:tc>
        <w:tc>
          <w:tcPr>
            <w:tcW w:w="2668" w:type="pct"/>
          </w:tcPr>
          <w:p w:rsidR="00B542C9" w:rsidRPr="00F7268E" w:rsidRDefault="00B542C9" w:rsidP="003442DC">
            <w:pPr>
              <w:spacing w:before="60" w:after="60" w:line="240" w:lineRule="auto"/>
              <w:mirrorIndents w:val="0"/>
              <w:rPr>
                <w:rFonts w:cs="Arial"/>
                <w:iCs/>
                <w:szCs w:val="20"/>
              </w:rPr>
            </w:pPr>
            <w:r w:rsidRPr="00F7268E">
              <w:rPr>
                <w:rFonts w:cs="Arial"/>
                <w:iCs/>
                <w:szCs w:val="20"/>
              </w:rPr>
              <w:t>The Department of the Environment and Energy is undertaking a review of the fees associated with the delivery of registration and compliance services under the </w:t>
            </w:r>
            <w:r w:rsidRPr="00F7268E">
              <w:rPr>
                <w:rFonts w:cs="Arial"/>
                <w:i/>
                <w:iCs/>
                <w:szCs w:val="20"/>
              </w:rPr>
              <w:t xml:space="preserve">Greenhouse and Minimum Standards Act 2012 </w:t>
            </w:r>
            <w:r w:rsidRPr="00F7268E">
              <w:rPr>
                <w:rFonts w:cs="Arial"/>
                <w:iCs/>
                <w:szCs w:val="20"/>
              </w:rPr>
              <w:t>(GEMS Act). </w:t>
            </w:r>
          </w:p>
          <w:p w:rsidR="00B542C9" w:rsidRPr="00F7268E" w:rsidRDefault="004817AB" w:rsidP="003442DC">
            <w:pPr>
              <w:spacing w:before="60" w:after="60" w:line="240" w:lineRule="auto"/>
              <w:mirrorIndents w:val="0"/>
              <w:rPr>
                <w:rFonts w:cs="Arial"/>
                <w:iCs/>
                <w:szCs w:val="20"/>
              </w:rPr>
            </w:pPr>
            <w:r>
              <w:rPr>
                <w:rFonts w:cs="Arial"/>
                <w:iCs/>
                <w:szCs w:val="20"/>
              </w:rPr>
              <w:t>In November 2017, the D</w:t>
            </w:r>
            <w:r w:rsidR="00B542C9" w:rsidRPr="00F7268E">
              <w:rPr>
                <w:rFonts w:cs="Arial"/>
                <w:iCs/>
                <w:szCs w:val="20"/>
              </w:rPr>
              <w:t>epartment released a supplementary paper to respond to issues raised by stakeholders following the release of the GEMS Fee Review 2016–2017 Consultation paper.</w:t>
            </w:r>
          </w:p>
          <w:p w:rsidR="00B542C9" w:rsidRDefault="004817AB" w:rsidP="003442DC">
            <w:pPr>
              <w:spacing w:before="60" w:after="60" w:line="240" w:lineRule="auto"/>
              <w:mirrorIndents w:val="0"/>
              <w:rPr>
                <w:rFonts w:cs="Arial"/>
                <w:iCs/>
                <w:szCs w:val="20"/>
              </w:rPr>
            </w:pPr>
            <w:r>
              <w:rPr>
                <w:rFonts w:cs="Arial"/>
                <w:iCs/>
                <w:szCs w:val="20"/>
              </w:rPr>
              <w:t>The D</w:t>
            </w:r>
            <w:r w:rsidR="00B542C9" w:rsidRPr="00F7268E">
              <w:rPr>
                <w:rFonts w:cs="Arial"/>
                <w:iCs/>
                <w:szCs w:val="20"/>
              </w:rPr>
              <w:t xml:space="preserve">epartment is now seeking final feedback from industry in relation to the GEMS fees. </w:t>
            </w:r>
          </w:p>
          <w:p w:rsidR="00271A57" w:rsidRDefault="00271A57" w:rsidP="003442DC">
            <w:pPr>
              <w:spacing w:before="60" w:after="60" w:line="240" w:lineRule="auto"/>
              <w:mirrorIndents w:val="0"/>
              <w:rPr>
                <w:rFonts w:cs="Arial"/>
                <w:iCs/>
                <w:szCs w:val="20"/>
              </w:rPr>
            </w:pPr>
          </w:p>
        </w:tc>
      </w:tr>
      <w:tr w:rsidR="00B542C9" w:rsidRPr="00B31BF9" w:rsidTr="009115F1">
        <w:trPr>
          <w:cnfStyle w:val="000000100000" w:firstRow="0" w:lastRow="0" w:firstColumn="0" w:lastColumn="0" w:oddVBand="0" w:evenVBand="0" w:oddHBand="1" w:evenHBand="0" w:firstRowFirstColumn="0" w:firstRowLastColumn="0" w:lastRowFirstColumn="0" w:lastRowLastColumn="0"/>
        </w:trPr>
        <w:tc>
          <w:tcPr>
            <w:tcW w:w="5000" w:type="pct"/>
            <w:gridSpan w:val="2"/>
          </w:tcPr>
          <w:p w:rsidR="00B542C9" w:rsidRPr="00C743A5" w:rsidRDefault="00B542C9" w:rsidP="00C743A5">
            <w:pPr>
              <w:rPr>
                <w:b/>
                <w:bCs/>
              </w:rPr>
            </w:pPr>
            <w:r w:rsidRPr="00C743A5">
              <w:rPr>
                <w:b/>
                <w:bCs/>
              </w:rPr>
              <w:t>Program Administration</w:t>
            </w:r>
          </w:p>
        </w:tc>
      </w:tr>
      <w:tr w:rsidR="00B542C9" w:rsidRPr="00420DD5" w:rsidTr="009115F1">
        <w:trPr>
          <w:cnfStyle w:val="000000010000" w:firstRow="0" w:lastRow="0" w:firstColumn="0" w:lastColumn="0" w:oddVBand="0" w:evenVBand="0" w:oddHBand="0" w:evenHBand="1" w:firstRowFirstColumn="0" w:firstRowLastColumn="0" w:lastRowFirstColumn="0" w:lastRowLastColumn="0"/>
        </w:trPr>
        <w:tc>
          <w:tcPr>
            <w:tcW w:w="2332" w:type="pct"/>
          </w:tcPr>
          <w:p w:rsidR="00B542C9" w:rsidRPr="006761F8" w:rsidRDefault="00B542C9" w:rsidP="003442DC">
            <w:pPr>
              <w:spacing w:before="60" w:after="60" w:line="240" w:lineRule="auto"/>
              <w:ind w:left="426" w:hanging="426"/>
              <w:mirrorIndents w:val="0"/>
              <w:rPr>
                <w:rFonts w:cs="Arial"/>
                <w:b/>
                <w:szCs w:val="20"/>
                <w:lang w:val="en-GB" w:eastAsia="en-GB"/>
              </w:rPr>
            </w:pPr>
            <w:r w:rsidRPr="006761F8">
              <w:rPr>
                <w:rFonts w:cs="Arial"/>
                <w:szCs w:val="20"/>
                <w:lang w:val="en-GB" w:eastAsia="en-GB"/>
              </w:rPr>
              <w:t xml:space="preserve">1. </w:t>
            </w:r>
            <w:r w:rsidRPr="006761F8">
              <w:rPr>
                <w:rFonts w:cs="Arial"/>
                <w:szCs w:val="20"/>
                <w:lang w:val="en-GB" w:eastAsia="en-GB"/>
              </w:rPr>
              <w:tab/>
              <w:t>GEMS determinations – the overall GEMS determinations process should be maintained and opportunities for improvements identified within this review explored. This includes continuing the focus on international harmonisation, implementing a set timetable for development, and greater cooperation between the program and the Office of Best Practice Regulation (OBPR).</w:t>
            </w:r>
          </w:p>
        </w:tc>
        <w:tc>
          <w:tcPr>
            <w:tcW w:w="2668" w:type="pct"/>
          </w:tcPr>
          <w:p w:rsidR="00B542C9" w:rsidRPr="006761F8" w:rsidRDefault="00B542C9" w:rsidP="003442DC">
            <w:pPr>
              <w:spacing w:before="60" w:after="60" w:line="240" w:lineRule="auto"/>
              <w:ind w:left="488" w:hanging="488"/>
              <w:mirrorIndents w:val="0"/>
              <w:rPr>
                <w:rFonts w:cs="Arial"/>
                <w:szCs w:val="20"/>
              </w:rPr>
            </w:pPr>
            <w:r w:rsidRPr="006761F8">
              <w:rPr>
                <w:rFonts w:cs="Arial"/>
                <w:szCs w:val="20"/>
              </w:rPr>
              <w:t xml:space="preserve">1. </w:t>
            </w:r>
            <w:r w:rsidRPr="006761F8">
              <w:rPr>
                <w:rFonts w:cs="Arial"/>
                <w:szCs w:val="20"/>
              </w:rPr>
              <w:tab/>
              <w:t>Work to streamline processes has included trialling a new approach to developing GEMS determi</w:t>
            </w:r>
            <w:r w:rsidRPr="00BE7765">
              <w:rPr>
                <w:rFonts w:cs="Arial"/>
                <w:szCs w:val="20"/>
              </w:rPr>
              <w:t>nations and</w:t>
            </w:r>
            <w:r w:rsidRPr="006761F8">
              <w:rPr>
                <w:rFonts w:cs="Arial"/>
                <w:szCs w:val="20"/>
              </w:rPr>
              <w:t xml:space="preserve"> working actively with the Office of Best Practice Regulation. </w:t>
            </w:r>
          </w:p>
          <w:p w:rsidR="00B542C9" w:rsidRPr="006761F8" w:rsidRDefault="00B542C9" w:rsidP="003442DC">
            <w:pPr>
              <w:spacing w:before="60" w:after="60" w:line="240" w:lineRule="auto"/>
              <w:ind w:left="488" w:hanging="488"/>
              <w:mirrorIndents w:val="0"/>
              <w:rPr>
                <w:rFonts w:cs="Arial"/>
                <w:szCs w:val="20"/>
              </w:rPr>
            </w:pPr>
            <w:r w:rsidRPr="006761F8">
              <w:rPr>
                <w:rFonts w:cs="Arial"/>
                <w:szCs w:val="20"/>
              </w:rPr>
              <w:tab/>
              <w:t xml:space="preserve">The COAG Energy Council continues to examine opportunities to harmonise with international test methods and international efficiency standards. For example, on 24 November 2017, COAG Energy Ministers approved an E3 Decision RIS for household refrigerators and freezers that recommended: (a) Australian MEPS levels be tightened and aligned to those adopted in the United States, and (b) an Australian/New Zealand test standard be replaced with an International Electrotechnical Committee test standard. </w:t>
            </w:r>
          </w:p>
        </w:tc>
      </w:tr>
      <w:tr w:rsidR="00B542C9" w:rsidRPr="00420DD5" w:rsidTr="009115F1">
        <w:trPr>
          <w:cnfStyle w:val="000000100000" w:firstRow="0" w:lastRow="0" w:firstColumn="0" w:lastColumn="0" w:oddVBand="0" w:evenVBand="0" w:oddHBand="1" w:evenHBand="0" w:firstRowFirstColumn="0" w:firstRowLastColumn="0" w:lastRowFirstColumn="0" w:lastRowLastColumn="0"/>
        </w:trPr>
        <w:tc>
          <w:tcPr>
            <w:tcW w:w="2332" w:type="pct"/>
          </w:tcPr>
          <w:p w:rsidR="00B542C9" w:rsidRPr="006761F8" w:rsidRDefault="00B542C9" w:rsidP="003442DC">
            <w:pPr>
              <w:spacing w:before="60" w:after="60" w:line="240" w:lineRule="auto"/>
              <w:ind w:left="426" w:hanging="426"/>
              <w:mirrorIndents w:val="0"/>
              <w:rPr>
                <w:rFonts w:cs="Arial"/>
                <w:szCs w:val="20"/>
                <w:lang w:val="en-GB" w:eastAsia="en-GB"/>
              </w:rPr>
            </w:pPr>
            <w:r w:rsidRPr="006761F8">
              <w:rPr>
                <w:rFonts w:cs="Arial"/>
                <w:szCs w:val="20"/>
                <w:lang w:val="en-GB" w:eastAsia="en-GB"/>
              </w:rPr>
              <w:t xml:space="preserve">2. </w:t>
            </w:r>
            <w:r w:rsidRPr="006761F8">
              <w:rPr>
                <w:rFonts w:cs="Arial"/>
                <w:szCs w:val="20"/>
                <w:lang w:val="en-GB" w:eastAsia="en-GB"/>
              </w:rPr>
              <w:tab/>
              <w:t xml:space="preserve">Product registration – practical issues with registration should be addressed as a priority to reduce administrative burden.  A change in registration requirements for particular product categories, could be considered in order to make the fees more equitable.  </w:t>
            </w:r>
          </w:p>
        </w:tc>
        <w:tc>
          <w:tcPr>
            <w:tcW w:w="2668" w:type="pct"/>
          </w:tcPr>
          <w:p w:rsidR="00B542C9" w:rsidRPr="006761F8" w:rsidRDefault="00B542C9" w:rsidP="003442DC">
            <w:pPr>
              <w:suppressAutoHyphens/>
              <w:spacing w:before="60" w:after="60" w:line="240" w:lineRule="auto"/>
              <w:ind w:left="488" w:hanging="488"/>
              <w:mirrorIndents w:val="0"/>
              <w:rPr>
                <w:rFonts w:cs="Arial"/>
                <w:szCs w:val="20"/>
              </w:rPr>
            </w:pPr>
            <w:r w:rsidRPr="006761F8">
              <w:rPr>
                <w:rFonts w:cs="Arial"/>
                <w:szCs w:val="20"/>
              </w:rPr>
              <w:t xml:space="preserve">2. </w:t>
            </w:r>
            <w:r w:rsidRPr="006761F8">
              <w:rPr>
                <w:rFonts w:cs="Arial"/>
                <w:szCs w:val="20"/>
              </w:rPr>
              <w:tab/>
              <w:t>Improvements to the GEMS registration system include:</w:t>
            </w:r>
          </w:p>
          <w:p w:rsidR="00B542C9" w:rsidRPr="006761F8" w:rsidRDefault="00B542C9" w:rsidP="008A7FC0">
            <w:pPr>
              <w:numPr>
                <w:ilvl w:val="0"/>
                <w:numId w:val="24"/>
              </w:numPr>
              <w:suppressAutoHyphens/>
              <w:spacing w:before="60" w:after="60" w:line="240" w:lineRule="auto"/>
              <w:ind w:left="913" w:hanging="425"/>
              <w:mirrorIndents w:val="0"/>
              <w:rPr>
                <w:rFonts w:cs="Arial"/>
                <w:szCs w:val="20"/>
              </w:rPr>
            </w:pPr>
            <w:r w:rsidRPr="006761F8">
              <w:rPr>
                <w:rFonts w:cs="Arial"/>
                <w:szCs w:val="20"/>
              </w:rPr>
              <w:t>A bulk application process that allows multiple applications to be submitted through excel spreadsheets.</w:t>
            </w:r>
          </w:p>
          <w:p w:rsidR="00B542C9" w:rsidRPr="006761F8" w:rsidRDefault="00B542C9" w:rsidP="008A7FC0">
            <w:pPr>
              <w:numPr>
                <w:ilvl w:val="0"/>
                <w:numId w:val="24"/>
              </w:numPr>
              <w:suppressAutoHyphens/>
              <w:spacing w:before="60" w:after="60" w:line="240" w:lineRule="auto"/>
              <w:ind w:left="913" w:hanging="425"/>
              <w:mirrorIndents w:val="0"/>
              <w:rPr>
                <w:rFonts w:cs="Arial"/>
                <w:szCs w:val="20"/>
              </w:rPr>
            </w:pPr>
            <w:r w:rsidRPr="006761F8">
              <w:rPr>
                <w:rFonts w:cs="Arial"/>
                <w:szCs w:val="20"/>
              </w:rPr>
              <w:t>“Copy to new” functionality that allows registrants to create a pre-populated application based on an existing, similar approved registration. Only fields where details are different need be edited.</w:t>
            </w:r>
          </w:p>
          <w:p w:rsidR="00B542C9" w:rsidRPr="006761F8" w:rsidRDefault="00B542C9" w:rsidP="008A7FC0">
            <w:pPr>
              <w:numPr>
                <w:ilvl w:val="0"/>
                <w:numId w:val="24"/>
              </w:numPr>
              <w:suppressAutoHyphens/>
              <w:spacing w:before="60" w:after="60" w:line="240" w:lineRule="auto"/>
              <w:ind w:left="913" w:hanging="425"/>
              <w:mirrorIndents w:val="0"/>
              <w:rPr>
                <w:rFonts w:cs="Arial"/>
                <w:szCs w:val="20"/>
              </w:rPr>
            </w:pPr>
            <w:r w:rsidRPr="006761F8">
              <w:rPr>
                <w:rFonts w:cs="Arial"/>
                <w:szCs w:val="20"/>
              </w:rPr>
              <w:t xml:space="preserve">A supplier dashboard to provide registrants with a management tool to assist with their registrations. </w:t>
            </w:r>
          </w:p>
          <w:p w:rsidR="00B542C9" w:rsidRPr="006761F8" w:rsidRDefault="00B542C9" w:rsidP="008A7FC0">
            <w:pPr>
              <w:numPr>
                <w:ilvl w:val="0"/>
                <w:numId w:val="24"/>
              </w:numPr>
              <w:suppressAutoHyphens/>
              <w:spacing w:before="60" w:after="60" w:line="240" w:lineRule="auto"/>
              <w:ind w:left="913" w:hanging="425"/>
              <w:mirrorIndents w:val="0"/>
              <w:rPr>
                <w:rFonts w:cs="Arial"/>
                <w:szCs w:val="20"/>
              </w:rPr>
            </w:pPr>
            <w:r w:rsidRPr="006761F8">
              <w:rPr>
                <w:rFonts w:cs="Arial"/>
                <w:szCs w:val="20"/>
              </w:rPr>
              <w:t>Removal of non-mandatory questions.</w:t>
            </w:r>
          </w:p>
          <w:p w:rsidR="00B542C9" w:rsidRPr="006761F8" w:rsidRDefault="00B542C9" w:rsidP="008A7FC0">
            <w:pPr>
              <w:numPr>
                <w:ilvl w:val="0"/>
                <w:numId w:val="24"/>
              </w:numPr>
              <w:suppressAutoHyphens/>
              <w:spacing w:before="60" w:after="60" w:line="240" w:lineRule="auto"/>
              <w:ind w:left="913" w:hanging="425"/>
              <w:mirrorIndents w:val="0"/>
              <w:rPr>
                <w:rFonts w:cs="Arial"/>
                <w:szCs w:val="20"/>
              </w:rPr>
            </w:pPr>
            <w:r w:rsidRPr="006761F8">
              <w:rPr>
                <w:rFonts w:cs="Arial"/>
                <w:szCs w:val="20"/>
              </w:rPr>
              <w:t>New payment options, including American Express and debit cards.</w:t>
            </w:r>
          </w:p>
        </w:tc>
      </w:tr>
      <w:tr w:rsidR="00B542C9" w:rsidRPr="00420DD5" w:rsidTr="009115F1">
        <w:trPr>
          <w:cnfStyle w:val="000000010000" w:firstRow="0" w:lastRow="0" w:firstColumn="0" w:lastColumn="0" w:oddVBand="0" w:evenVBand="0" w:oddHBand="0" w:evenHBand="1" w:firstRowFirstColumn="0" w:firstRowLastColumn="0" w:lastRowFirstColumn="0" w:lastRowLastColumn="0"/>
        </w:trPr>
        <w:tc>
          <w:tcPr>
            <w:tcW w:w="2332" w:type="pct"/>
          </w:tcPr>
          <w:p w:rsidR="00B542C9" w:rsidRPr="006761F8" w:rsidRDefault="00B542C9" w:rsidP="003442DC">
            <w:pPr>
              <w:spacing w:before="60" w:after="60" w:line="240" w:lineRule="auto"/>
              <w:ind w:left="454" w:hanging="454"/>
              <w:mirrorIndents w:val="0"/>
              <w:rPr>
                <w:rFonts w:cs="Arial"/>
                <w:szCs w:val="20"/>
                <w:lang w:val="en-GB" w:eastAsia="en-GB"/>
              </w:rPr>
            </w:pPr>
            <w:r w:rsidRPr="006761F8">
              <w:rPr>
                <w:rFonts w:cs="Arial"/>
                <w:szCs w:val="20"/>
                <w:lang w:val="en-GB" w:eastAsia="en-GB"/>
              </w:rPr>
              <w:t xml:space="preserve">3. </w:t>
            </w:r>
            <w:r w:rsidRPr="006761F8">
              <w:rPr>
                <w:rFonts w:cs="Arial"/>
                <w:szCs w:val="20"/>
                <w:lang w:val="en-GB" w:eastAsia="en-GB"/>
              </w:rPr>
              <w:tab/>
              <w:t xml:space="preserve">Communication with stakeholders and strategic planning – the Department should continue its efforts to extend and formalise stakeholder engagement and strategic planning for GEMS. </w:t>
            </w:r>
          </w:p>
        </w:tc>
        <w:tc>
          <w:tcPr>
            <w:tcW w:w="2668" w:type="pct"/>
          </w:tcPr>
          <w:p w:rsidR="00B542C9" w:rsidRPr="006761F8" w:rsidRDefault="00B542C9" w:rsidP="003442DC">
            <w:pPr>
              <w:suppressAutoHyphens/>
              <w:spacing w:before="60" w:after="60" w:line="240" w:lineRule="auto"/>
              <w:ind w:left="488" w:hanging="488"/>
              <w:mirrorIndents w:val="0"/>
              <w:rPr>
                <w:rFonts w:cs="Arial"/>
                <w:szCs w:val="20"/>
              </w:rPr>
            </w:pPr>
            <w:r w:rsidRPr="006761F8">
              <w:rPr>
                <w:rFonts w:cs="Arial"/>
                <w:szCs w:val="20"/>
              </w:rPr>
              <w:t>3.</w:t>
            </w:r>
            <w:r w:rsidRPr="006761F8">
              <w:rPr>
                <w:rFonts w:cs="Arial"/>
                <w:szCs w:val="20"/>
              </w:rPr>
              <w:tab/>
              <w:t xml:space="preserve">The E3 Prioritisation Plan is updated and communicated to stakeholders annually to promote certainty on E3 policy development. </w:t>
            </w:r>
          </w:p>
          <w:p w:rsidR="00B542C9" w:rsidRPr="006761F8" w:rsidRDefault="00B542C9" w:rsidP="003442DC">
            <w:pPr>
              <w:spacing w:before="60" w:after="60" w:line="240" w:lineRule="auto"/>
              <w:ind w:left="488" w:hanging="488"/>
              <w:mirrorIndents w:val="0"/>
              <w:rPr>
                <w:rFonts w:cs="Arial"/>
                <w:szCs w:val="20"/>
              </w:rPr>
            </w:pPr>
            <w:r w:rsidRPr="006761F8">
              <w:rPr>
                <w:rFonts w:cs="Arial"/>
                <w:szCs w:val="20"/>
              </w:rPr>
              <w:tab/>
              <w:t xml:space="preserve">Formal performance assessment and feedback mechanisms (such as the GEMS Stakeholder Satisfaction Survey) are now </w:t>
            </w:r>
            <w:r w:rsidRPr="006761F8">
              <w:rPr>
                <w:rFonts w:cs="Arial"/>
                <w:szCs w:val="20"/>
              </w:rPr>
              <w:lastRenderedPageBreak/>
              <w:t xml:space="preserve">used to identify and make improvements for stakeholders. </w:t>
            </w:r>
          </w:p>
          <w:p w:rsidR="00B542C9" w:rsidRPr="006761F8" w:rsidRDefault="00B542C9" w:rsidP="003442DC">
            <w:pPr>
              <w:spacing w:before="60" w:after="60" w:line="240" w:lineRule="auto"/>
              <w:ind w:left="488" w:hanging="488"/>
              <w:mirrorIndents w:val="0"/>
              <w:rPr>
                <w:rFonts w:cs="Arial"/>
                <w:szCs w:val="20"/>
              </w:rPr>
            </w:pPr>
            <w:r w:rsidRPr="006761F8">
              <w:rPr>
                <w:rFonts w:cs="Arial"/>
                <w:szCs w:val="20"/>
              </w:rPr>
              <w:tab/>
              <w:t>Improvements were also made to energyrating.gov.au shortly after the 2015 review, including:</w:t>
            </w:r>
          </w:p>
          <w:p w:rsidR="00B542C9" w:rsidRPr="006761F8" w:rsidRDefault="00B542C9" w:rsidP="008A7FC0">
            <w:pPr>
              <w:numPr>
                <w:ilvl w:val="0"/>
                <w:numId w:val="24"/>
              </w:numPr>
              <w:suppressAutoHyphens/>
              <w:spacing w:before="60" w:after="60" w:line="240" w:lineRule="auto"/>
              <w:ind w:left="913" w:hanging="425"/>
              <w:mirrorIndents w:val="0"/>
              <w:rPr>
                <w:rFonts w:cs="Arial"/>
                <w:szCs w:val="20"/>
              </w:rPr>
            </w:pPr>
            <w:r w:rsidRPr="006761F8">
              <w:rPr>
                <w:rFonts w:cs="Arial"/>
                <w:szCs w:val="20"/>
              </w:rPr>
              <w:t>Tailored content for the diverse range of stakeholders with clear entry p</w:t>
            </w:r>
            <w:r w:rsidRPr="00BE7765">
              <w:rPr>
                <w:rFonts w:cs="Arial"/>
                <w:szCs w:val="20"/>
              </w:rPr>
              <w:t>oints for suppliers, retailers and</w:t>
            </w:r>
            <w:r w:rsidRPr="006761F8">
              <w:rPr>
                <w:rFonts w:cs="Arial"/>
                <w:szCs w:val="20"/>
              </w:rPr>
              <w:t xml:space="preserve"> tradespeople and consumers </w:t>
            </w:r>
          </w:p>
          <w:p w:rsidR="00B542C9" w:rsidRPr="006761F8" w:rsidRDefault="00B542C9" w:rsidP="008A7FC0">
            <w:pPr>
              <w:numPr>
                <w:ilvl w:val="0"/>
                <w:numId w:val="24"/>
              </w:numPr>
              <w:suppressAutoHyphens/>
              <w:spacing w:before="60" w:after="60" w:line="240" w:lineRule="auto"/>
              <w:ind w:left="913" w:hanging="425"/>
              <w:mirrorIndents w:val="0"/>
              <w:rPr>
                <w:rFonts w:cs="Arial"/>
                <w:szCs w:val="20"/>
              </w:rPr>
            </w:pPr>
            <w:r w:rsidRPr="006761F8">
              <w:rPr>
                <w:rFonts w:cs="Arial"/>
                <w:szCs w:val="20"/>
              </w:rPr>
              <w:t>Inclusion of videos and infographics to provide diversity in how information is communicated</w:t>
            </w:r>
          </w:p>
          <w:p w:rsidR="00B542C9" w:rsidRPr="006761F8" w:rsidRDefault="00B542C9" w:rsidP="008A7FC0">
            <w:pPr>
              <w:numPr>
                <w:ilvl w:val="0"/>
                <w:numId w:val="24"/>
              </w:numPr>
              <w:suppressAutoHyphens/>
              <w:spacing w:before="60" w:after="60" w:line="240" w:lineRule="auto"/>
              <w:ind w:left="913" w:hanging="425"/>
              <w:mirrorIndents w:val="0"/>
              <w:rPr>
                <w:rFonts w:cs="Arial"/>
                <w:szCs w:val="20"/>
              </w:rPr>
            </w:pPr>
            <w:r w:rsidRPr="006761F8">
              <w:rPr>
                <w:rFonts w:cs="Arial"/>
                <w:szCs w:val="20"/>
              </w:rPr>
              <w:t xml:space="preserve">Inclusion of an Energy Rating Calculator </w:t>
            </w:r>
          </w:p>
          <w:p w:rsidR="00B542C9" w:rsidRPr="006761F8" w:rsidRDefault="00B542C9" w:rsidP="008A7FC0">
            <w:pPr>
              <w:numPr>
                <w:ilvl w:val="0"/>
                <w:numId w:val="24"/>
              </w:numPr>
              <w:suppressAutoHyphens/>
              <w:spacing w:before="60" w:after="60" w:line="240" w:lineRule="auto"/>
              <w:ind w:left="913" w:hanging="425"/>
              <w:mirrorIndents w:val="0"/>
              <w:rPr>
                <w:rFonts w:cs="Arial"/>
                <w:szCs w:val="20"/>
              </w:rPr>
            </w:pPr>
            <w:r w:rsidRPr="006761F8">
              <w:rPr>
                <w:rFonts w:cs="Arial"/>
                <w:szCs w:val="20"/>
              </w:rPr>
              <w:t>New content management system, significantly reducing hosting and ongoing maintenance costs.</w:t>
            </w:r>
          </w:p>
        </w:tc>
      </w:tr>
      <w:tr w:rsidR="00B542C9" w:rsidRPr="00420DD5" w:rsidTr="009115F1">
        <w:trPr>
          <w:cnfStyle w:val="000000100000" w:firstRow="0" w:lastRow="0" w:firstColumn="0" w:lastColumn="0" w:oddVBand="0" w:evenVBand="0" w:oddHBand="1" w:evenHBand="0" w:firstRowFirstColumn="0" w:firstRowLastColumn="0" w:lastRowFirstColumn="0" w:lastRowLastColumn="0"/>
        </w:trPr>
        <w:tc>
          <w:tcPr>
            <w:tcW w:w="2332" w:type="pct"/>
          </w:tcPr>
          <w:p w:rsidR="00B542C9" w:rsidRPr="006761F8" w:rsidRDefault="00B542C9" w:rsidP="003442DC">
            <w:pPr>
              <w:spacing w:before="60" w:after="60" w:line="240" w:lineRule="auto"/>
              <w:ind w:left="426" w:hanging="426"/>
              <w:mirrorIndents w:val="0"/>
              <w:rPr>
                <w:rFonts w:cs="Arial"/>
                <w:szCs w:val="20"/>
                <w:lang w:val="en-GB" w:eastAsia="en-GB"/>
              </w:rPr>
            </w:pPr>
            <w:r w:rsidRPr="006761F8">
              <w:rPr>
                <w:rFonts w:cs="Arial"/>
                <w:szCs w:val="20"/>
                <w:lang w:val="en-GB" w:eastAsia="en-GB"/>
              </w:rPr>
              <w:lastRenderedPageBreak/>
              <w:t xml:space="preserve">4. </w:t>
            </w:r>
            <w:r w:rsidRPr="006761F8">
              <w:rPr>
                <w:rFonts w:cs="Arial"/>
                <w:szCs w:val="20"/>
                <w:lang w:val="en-GB" w:eastAsia="en-GB"/>
              </w:rPr>
              <w:tab/>
              <w:t>Compliance and enforcement – delivering compliance and enforcement effectively should remain a top priority.</w:t>
            </w:r>
          </w:p>
        </w:tc>
        <w:tc>
          <w:tcPr>
            <w:tcW w:w="2668" w:type="pct"/>
          </w:tcPr>
          <w:p w:rsidR="00B542C9" w:rsidRPr="006761F8" w:rsidRDefault="00B542C9" w:rsidP="003442DC">
            <w:pPr>
              <w:pStyle w:val="ListBullet"/>
              <w:numPr>
                <w:ilvl w:val="0"/>
                <w:numId w:val="0"/>
              </w:numPr>
              <w:spacing w:before="60" w:after="60" w:line="240" w:lineRule="auto"/>
              <w:ind w:left="488" w:hanging="488"/>
              <w:mirrorIndents w:val="0"/>
              <w:rPr>
                <w:rFonts w:cs="Arial"/>
                <w:szCs w:val="20"/>
              </w:rPr>
            </w:pPr>
            <w:r w:rsidRPr="006761F8">
              <w:rPr>
                <w:rFonts w:cs="Arial"/>
                <w:szCs w:val="20"/>
              </w:rPr>
              <w:t>4</w:t>
            </w:r>
            <w:r w:rsidRPr="00BE7765">
              <w:rPr>
                <w:rFonts w:cs="Arial"/>
                <w:szCs w:val="20"/>
              </w:rPr>
              <w:t>.</w:t>
            </w:r>
            <w:r w:rsidRPr="006761F8">
              <w:rPr>
                <w:rFonts w:cs="Arial"/>
                <w:szCs w:val="20"/>
              </w:rPr>
              <w:tab/>
              <w:t>GEMS compliance activities remain a priority, with inspectors conducting market surveillance activities throughout Australia.</w:t>
            </w:r>
          </w:p>
          <w:p w:rsidR="00B542C9" w:rsidRPr="006761F8" w:rsidRDefault="00B542C9" w:rsidP="003442DC">
            <w:pPr>
              <w:spacing w:before="60" w:after="60" w:line="240" w:lineRule="auto"/>
              <w:ind w:left="488" w:hanging="488"/>
              <w:mirrorIndents w:val="0"/>
              <w:rPr>
                <w:rFonts w:cs="Arial"/>
                <w:szCs w:val="20"/>
              </w:rPr>
            </w:pPr>
            <w:r w:rsidRPr="006761F8">
              <w:rPr>
                <w:rFonts w:cs="Arial"/>
                <w:szCs w:val="20"/>
              </w:rPr>
              <w:tab/>
              <w:t>Following the 2015 review, the visibility of these activities was enhanced on the energyrating.gov.au website, by providing an overview of GEMS Act compliance, explanations of compliance monitoring activities, and links to key documents.</w:t>
            </w:r>
          </w:p>
          <w:p w:rsidR="00B542C9" w:rsidRPr="006761F8" w:rsidRDefault="00B542C9" w:rsidP="003442DC">
            <w:pPr>
              <w:spacing w:before="60" w:after="60" w:line="240" w:lineRule="auto"/>
              <w:ind w:left="488" w:hanging="488"/>
              <w:mirrorIndents w:val="0"/>
              <w:rPr>
                <w:rFonts w:cs="Arial"/>
                <w:szCs w:val="20"/>
              </w:rPr>
            </w:pPr>
            <w:r w:rsidRPr="006761F8">
              <w:rPr>
                <w:rFonts w:cs="Arial"/>
                <w:szCs w:val="20"/>
              </w:rPr>
              <w:tab/>
              <w:t xml:space="preserve">Publication of the outcomes of GEMS compliance monitoring activities, both market surveillance and check testing, are also available at energyrating.gov.au. This includes publication of products failing check tests and having registrations suspended or cancelled.  </w:t>
            </w:r>
          </w:p>
        </w:tc>
      </w:tr>
      <w:tr w:rsidR="00B542C9" w:rsidRPr="00420DD5" w:rsidTr="009115F1">
        <w:trPr>
          <w:cnfStyle w:val="000000010000" w:firstRow="0" w:lastRow="0" w:firstColumn="0" w:lastColumn="0" w:oddVBand="0" w:evenVBand="0" w:oddHBand="0" w:evenHBand="1" w:firstRowFirstColumn="0" w:firstRowLastColumn="0" w:lastRowFirstColumn="0" w:lastRowLastColumn="0"/>
        </w:trPr>
        <w:tc>
          <w:tcPr>
            <w:tcW w:w="2332" w:type="pct"/>
          </w:tcPr>
          <w:p w:rsidR="00B542C9" w:rsidRPr="006761F8" w:rsidRDefault="00B542C9" w:rsidP="003442DC">
            <w:pPr>
              <w:spacing w:before="60" w:after="60" w:line="240" w:lineRule="auto"/>
              <w:ind w:left="426" w:hanging="426"/>
              <w:mirrorIndents w:val="0"/>
              <w:rPr>
                <w:rFonts w:cs="Arial"/>
                <w:szCs w:val="20"/>
                <w:lang w:val="en-GB" w:eastAsia="en-GB"/>
              </w:rPr>
            </w:pPr>
            <w:r w:rsidRPr="006761F8">
              <w:rPr>
                <w:rFonts w:cs="Arial"/>
                <w:szCs w:val="20"/>
                <w:lang w:val="en-GB" w:eastAsia="en-GB"/>
              </w:rPr>
              <w:t xml:space="preserve">5. </w:t>
            </w:r>
            <w:r w:rsidRPr="006761F8">
              <w:rPr>
                <w:rFonts w:cs="Arial"/>
                <w:szCs w:val="20"/>
                <w:lang w:val="en-GB" w:eastAsia="en-GB"/>
              </w:rPr>
              <w:tab/>
              <w:t>Other initiatives – innovations such as climate zone labelling and supporting policy initiatives such as the website and mobile application should continue to be developed.</w:t>
            </w:r>
          </w:p>
        </w:tc>
        <w:tc>
          <w:tcPr>
            <w:tcW w:w="2668" w:type="pct"/>
          </w:tcPr>
          <w:p w:rsidR="00B542C9" w:rsidRPr="006761F8" w:rsidRDefault="00B542C9" w:rsidP="003442DC">
            <w:pPr>
              <w:suppressAutoHyphens/>
              <w:spacing w:before="60" w:after="60" w:line="240" w:lineRule="auto"/>
              <w:ind w:left="488" w:hanging="488"/>
              <w:mirrorIndents w:val="0"/>
              <w:rPr>
                <w:rFonts w:cs="Arial"/>
                <w:szCs w:val="20"/>
              </w:rPr>
            </w:pPr>
            <w:r w:rsidRPr="006761F8">
              <w:rPr>
                <w:rFonts w:cs="Arial"/>
                <w:szCs w:val="20"/>
              </w:rPr>
              <w:t>5.</w:t>
            </w:r>
            <w:r w:rsidRPr="006761F8">
              <w:rPr>
                <w:rFonts w:cs="Arial"/>
                <w:color w:val="333333"/>
                <w:szCs w:val="20"/>
                <w:lang w:eastAsia="en-AU"/>
              </w:rPr>
              <w:t xml:space="preserve"> </w:t>
            </w:r>
            <w:r w:rsidRPr="006761F8">
              <w:rPr>
                <w:rFonts w:cs="Arial"/>
                <w:color w:val="333333"/>
                <w:szCs w:val="20"/>
                <w:lang w:eastAsia="en-AU"/>
              </w:rPr>
              <w:tab/>
            </w:r>
            <w:r w:rsidRPr="006761F8">
              <w:rPr>
                <w:rFonts w:cs="Arial"/>
                <w:szCs w:val="20"/>
              </w:rPr>
              <w:t xml:space="preserve">The E3 Program has developed a Zoned Energy Rating Label (ZERL) for air conditioners to reflect how performance and energy efficiency are significantly affected by the climate in which they are installed. </w:t>
            </w:r>
          </w:p>
          <w:p w:rsidR="00B542C9" w:rsidRPr="006761F8" w:rsidRDefault="00B542C9" w:rsidP="003442DC">
            <w:pPr>
              <w:suppressAutoHyphens/>
              <w:spacing w:before="60" w:after="60" w:line="240" w:lineRule="auto"/>
              <w:ind w:left="488" w:hanging="488"/>
              <w:mirrorIndents w:val="0"/>
              <w:rPr>
                <w:rFonts w:cs="Arial"/>
                <w:szCs w:val="20"/>
              </w:rPr>
            </w:pPr>
            <w:r w:rsidRPr="006761F8">
              <w:rPr>
                <w:rFonts w:cs="Arial"/>
                <w:szCs w:val="20"/>
              </w:rPr>
              <w:tab/>
              <w:t>The E3 Program website, energyrating.gov.au, has been updated and improved (see points above).</w:t>
            </w:r>
          </w:p>
          <w:p w:rsidR="00B542C9" w:rsidRPr="006761F8" w:rsidRDefault="00B542C9" w:rsidP="003442DC">
            <w:pPr>
              <w:suppressAutoHyphens/>
              <w:spacing w:before="60" w:after="60" w:line="240" w:lineRule="auto"/>
              <w:ind w:left="488" w:hanging="488"/>
              <w:mirrorIndents w:val="0"/>
              <w:rPr>
                <w:rFonts w:cs="Arial"/>
                <w:szCs w:val="20"/>
              </w:rPr>
            </w:pPr>
            <w:r w:rsidRPr="006761F8">
              <w:rPr>
                <w:rFonts w:cs="Arial"/>
                <w:szCs w:val="20"/>
              </w:rPr>
              <w:tab/>
              <w:t>The Program released a</w:t>
            </w:r>
            <w:r w:rsidRPr="006761F8">
              <w:rPr>
                <w:rFonts w:cs="Arial"/>
                <w:color w:val="333333"/>
                <w:szCs w:val="20"/>
              </w:rPr>
              <w:t xml:space="preserve"> </w:t>
            </w:r>
            <w:r w:rsidRPr="006761F8">
              <w:rPr>
                <w:rFonts w:cs="Arial"/>
                <w:szCs w:val="20"/>
              </w:rPr>
              <w:t>Light Bulb Saver app in May 2016. The app shows how choosing energy efficient lights can help consumers save on their electricity bill.</w:t>
            </w:r>
          </w:p>
        </w:tc>
      </w:tr>
    </w:tbl>
    <w:p w:rsidR="00B542C9" w:rsidRDefault="00B542C9" w:rsidP="00B542C9">
      <w:pPr>
        <w:spacing w:before="40" w:after="40"/>
      </w:pPr>
    </w:p>
    <w:p w:rsidR="00B542C9" w:rsidRDefault="00B542C9" w:rsidP="00B542C9">
      <w:pPr>
        <w:spacing w:after="0" w:line="240" w:lineRule="auto"/>
      </w:pPr>
      <w:r>
        <w:br w:type="page"/>
      </w:r>
    </w:p>
    <w:p w:rsidR="00C743A5" w:rsidRDefault="00B542C9" w:rsidP="00B542C9">
      <w:pPr>
        <w:pStyle w:val="Heading1"/>
      </w:pPr>
      <w:bookmarkStart w:id="109" w:name="_Toc18661026"/>
      <w:r>
        <w:lastRenderedPageBreak/>
        <w:t>Appendix C</w:t>
      </w:r>
      <w:bookmarkEnd w:id="109"/>
    </w:p>
    <w:p w:rsidR="00B542C9" w:rsidRDefault="00B542C9" w:rsidP="00C743A5">
      <w:pPr>
        <w:pStyle w:val="Heading2"/>
      </w:pPr>
      <w:bookmarkStart w:id="110" w:name="_Toc18661027"/>
      <w:r>
        <w:t>Jurisdiction Energy Efficiency Programs</w:t>
      </w:r>
      <w:r w:rsidR="00EA0BA9">
        <w:t xml:space="preserve"> (March 2019)</w:t>
      </w:r>
      <w:bookmarkEnd w:id="110"/>
    </w:p>
    <w:p w:rsidR="00B542C9" w:rsidRPr="00C743A5" w:rsidRDefault="00B542C9" w:rsidP="00C743A5">
      <w:pPr>
        <w:pStyle w:val="Heading3"/>
      </w:pPr>
      <w:bookmarkStart w:id="111" w:name="_Toc18661028"/>
      <w:r w:rsidRPr="00C743A5">
        <w:t>Australian Capital Territory</w:t>
      </w:r>
      <w:bookmarkEnd w:id="111"/>
    </w:p>
    <w:tbl>
      <w:tblPr>
        <w:tblStyle w:val="TableGrid"/>
        <w:tblW w:w="5000" w:type="pct"/>
        <w:tblLook w:val="04A0" w:firstRow="1" w:lastRow="0" w:firstColumn="1" w:lastColumn="0" w:noHBand="0" w:noVBand="1"/>
      </w:tblPr>
      <w:tblGrid>
        <w:gridCol w:w="9016"/>
      </w:tblGrid>
      <w:tr w:rsidR="00203466" w:rsidRPr="008823E6" w:rsidTr="0061636F">
        <w:trPr>
          <w:cnfStyle w:val="100000000000" w:firstRow="1" w:lastRow="0" w:firstColumn="0" w:lastColumn="0" w:oddVBand="0" w:evenVBand="0" w:oddHBand="0" w:evenHBand="0" w:firstRowFirstColumn="0" w:firstRowLastColumn="0" w:lastRowFirstColumn="0" w:lastRowLastColumn="0"/>
        </w:trPr>
        <w:tc>
          <w:tcPr>
            <w:tcW w:w="5000" w:type="pct"/>
          </w:tcPr>
          <w:p w:rsidR="00203466" w:rsidRPr="00C743A5" w:rsidRDefault="00203466" w:rsidP="00C743A5">
            <w:pPr>
              <w:rPr>
                <w:b/>
                <w:bCs/>
              </w:rPr>
            </w:pPr>
            <w:r w:rsidRPr="00C743A5">
              <w:rPr>
                <w:b/>
                <w:bCs/>
              </w:rPr>
              <w:t xml:space="preserve">Energy Efficiency Improvement Scheme </w:t>
            </w:r>
          </w:p>
          <w:p w:rsidR="00203466" w:rsidRPr="00C743A5" w:rsidRDefault="00203466" w:rsidP="00C743A5">
            <w:r w:rsidRPr="00C743A5">
              <w:t xml:space="preserve">The </w:t>
            </w:r>
            <w:r w:rsidR="004160C7" w:rsidRPr="00C743A5">
              <w:t>s</w:t>
            </w:r>
            <w:r w:rsidRPr="00C743A5">
              <w:t xml:space="preserve">cheme requires electricity retailers to achieve energy and greenhouse gas emission savings in households and small-to-medium enterprises. The scheme has provided financial incentives for residential and commercial lighting upgrades, replacing old, inefficient residential space and water heaters with high efficiency equipment, draught sealing and removing old, inefficient refrigerators. </w:t>
            </w:r>
            <w:r w:rsidR="004160C7" w:rsidRPr="00C743A5">
              <w:t xml:space="preserve">The scheme also provides assistance to low income households through a 20 per cent Priority Household Target. </w:t>
            </w:r>
            <w:r w:rsidRPr="00C743A5">
              <w:t>Nearly half of ACT households and 20 per cent of businesses had benefited from the scheme by the end of 2018.</w:t>
            </w:r>
          </w:p>
        </w:tc>
      </w:tr>
      <w:tr w:rsidR="00CF19B7" w:rsidRPr="008823E6" w:rsidTr="0061636F">
        <w:trPr>
          <w:cnfStyle w:val="000000100000" w:firstRow="0" w:lastRow="0" w:firstColumn="0" w:lastColumn="0" w:oddVBand="0" w:evenVBand="0" w:oddHBand="1" w:evenHBand="0" w:firstRowFirstColumn="0" w:firstRowLastColumn="0" w:lastRowFirstColumn="0" w:lastRowLastColumn="0"/>
        </w:trPr>
        <w:tc>
          <w:tcPr>
            <w:tcW w:w="5000" w:type="pct"/>
          </w:tcPr>
          <w:p w:rsidR="00CF19B7" w:rsidRPr="006761F8" w:rsidRDefault="00CF19B7" w:rsidP="003442DC">
            <w:pPr>
              <w:spacing w:before="60" w:after="60" w:line="240" w:lineRule="auto"/>
              <w:mirrorIndents w:val="0"/>
              <w:rPr>
                <w:rFonts w:asciiTheme="minorHAnsi" w:hAnsiTheme="minorHAnsi" w:cs="Arial"/>
                <w:b/>
                <w:color w:val="000000"/>
                <w:sz w:val="22"/>
              </w:rPr>
            </w:pPr>
            <w:r w:rsidRPr="006761F8">
              <w:rPr>
                <w:rFonts w:asciiTheme="minorHAnsi" w:hAnsiTheme="minorHAnsi" w:cs="Arial"/>
                <w:b/>
                <w:sz w:val="22"/>
              </w:rPr>
              <w:t>ACT Carbon Neutral Government by 2020 Program</w:t>
            </w:r>
          </w:p>
          <w:p w:rsidR="00CF19B7" w:rsidRPr="006761F8" w:rsidRDefault="00CF19B7" w:rsidP="003442DC">
            <w:pPr>
              <w:spacing w:before="60" w:after="60" w:line="240" w:lineRule="auto"/>
              <w:mirrorIndents w:val="0"/>
              <w:rPr>
                <w:rFonts w:asciiTheme="minorHAnsi" w:hAnsiTheme="minorHAnsi" w:cs="Arial"/>
                <w:sz w:val="22"/>
              </w:rPr>
            </w:pPr>
            <w:r w:rsidRPr="00C743A5">
              <w:t xml:space="preserve">The ACT Government is working to improve energy efficiency and reduce emissions to achieve net carbon neutrality in its own operations by 2020. The Carbon Neutral Government Fund provides interest free loans to agencies to support approved energy efficiency and renewable energy upgrade projects. </w:t>
            </w:r>
          </w:p>
        </w:tc>
      </w:tr>
      <w:tr w:rsidR="00CF19B7" w:rsidRPr="008823E6" w:rsidTr="0061636F">
        <w:trPr>
          <w:cnfStyle w:val="000000010000" w:firstRow="0" w:lastRow="0" w:firstColumn="0" w:lastColumn="0" w:oddVBand="0" w:evenVBand="0" w:oddHBand="0" w:evenHBand="1" w:firstRowFirstColumn="0" w:firstRowLastColumn="0" w:lastRowFirstColumn="0" w:lastRowLastColumn="0"/>
        </w:trPr>
        <w:tc>
          <w:tcPr>
            <w:tcW w:w="5000" w:type="pct"/>
          </w:tcPr>
          <w:p w:rsidR="00CF19B7" w:rsidRPr="00C743A5" w:rsidRDefault="00CF19B7" w:rsidP="00C743A5">
            <w:pPr>
              <w:rPr>
                <w:b/>
                <w:bCs/>
              </w:rPr>
            </w:pPr>
            <w:r w:rsidRPr="00C743A5">
              <w:rPr>
                <w:b/>
                <w:bCs/>
              </w:rPr>
              <w:t>Actsmart Business Energy and Water Program</w:t>
            </w:r>
          </w:p>
          <w:p w:rsidR="00CF19B7" w:rsidRPr="00C743A5" w:rsidRDefault="00CF19B7" w:rsidP="00C743A5">
            <w:r w:rsidRPr="00C743A5">
              <w:t xml:space="preserve">The </w:t>
            </w:r>
            <w:r w:rsidR="004160C7" w:rsidRPr="00C743A5">
              <w:t>p</w:t>
            </w:r>
            <w:r w:rsidRPr="00C743A5">
              <w:t xml:space="preserve">rogram has assisted over 600 eligible small businesses in the ACT to reduce energy and water use, while lowering operating costs and reducing greenhouse gas emissions.  </w:t>
            </w:r>
          </w:p>
        </w:tc>
      </w:tr>
      <w:tr w:rsidR="00CF19B7" w:rsidRPr="008823E6" w:rsidTr="0061636F">
        <w:trPr>
          <w:cnfStyle w:val="000000100000" w:firstRow="0" w:lastRow="0" w:firstColumn="0" w:lastColumn="0" w:oddVBand="0" w:evenVBand="0" w:oddHBand="1" w:evenHBand="0" w:firstRowFirstColumn="0" w:firstRowLastColumn="0" w:lastRowFirstColumn="0" w:lastRowLastColumn="0"/>
        </w:trPr>
        <w:tc>
          <w:tcPr>
            <w:tcW w:w="5000" w:type="pct"/>
          </w:tcPr>
          <w:p w:rsidR="00CF19B7" w:rsidRPr="00C743A5" w:rsidRDefault="00CF19B7" w:rsidP="00C743A5">
            <w:pPr>
              <w:rPr>
                <w:b/>
                <w:bCs/>
              </w:rPr>
            </w:pPr>
            <w:r w:rsidRPr="00C743A5">
              <w:rPr>
                <w:b/>
                <w:bCs/>
              </w:rPr>
              <w:t>Actsmart Low Income Household Energy Efficiency Program</w:t>
            </w:r>
          </w:p>
          <w:p w:rsidR="00CF19B7" w:rsidRPr="0061636F" w:rsidRDefault="00CF19B7" w:rsidP="0061636F">
            <w:r w:rsidRPr="0061636F">
              <w:t>Th</w:t>
            </w:r>
            <w:r w:rsidR="004160C7" w:rsidRPr="0061636F">
              <w:t>e</w:t>
            </w:r>
            <w:r w:rsidRPr="0061636F">
              <w:t xml:space="preserve"> program offers practical ways for low-income households in the ACT to reduce energy and water bills with advice, draught proofing and appliance upgrades.</w:t>
            </w:r>
          </w:p>
        </w:tc>
      </w:tr>
      <w:tr w:rsidR="00203466" w:rsidRPr="008823E6" w:rsidTr="0061636F">
        <w:trPr>
          <w:cnfStyle w:val="000000010000" w:firstRow="0" w:lastRow="0" w:firstColumn="0" w:lastColumn="0" w:oddVBand="0" w:evenVBand="0" w:oddHBand="0" w:evenHBand="1" w:firstRowFirstColumn="0" w:firstRowLastColumn="0" w:lastRowFirstColumn="0" w:lastRowLastColumn="0"/>
        </w:trPr>
        <w:tc>
          <w:tcPr>
            <w:tcW w:w="5000" w:type="pct"/>
          </w:tcPr>
          <w:p w:rsidR="00203466" w:rsidRPr="00D50402" w:rsidRDefault="00203466" w:rsidP="00203466">
            <w:pPr>
              <w:spacing w:before="60" w:after="60" w:line="240" w:lineRule="auto"/>
              <w:mirrorIndents w:val="0"/>
              <w:rPr>
                <w:rFonts w:cs="Arial"/>
                <w:b/>
                <w:color w:val="000000"/>
                <w:sz w:val="22"/>
              </w:rPr>
            </w:pPr>
            <w:r w:rsidRPr="006761F8">
              <w:rPr>
                <w:rFonts w:asciiTheme="minorHAnsi" w:hAnsiTheme="minorHAnsi" w:cs="Arial"/>
                <w:b/>
                <w:color w:val="000000"/>
                <w:sz w:val="22"/>
              </w:rPr>
              <w:t xml:space="preserve">Actsmart </w:t>
            </w:r>
            <w:r>
              <w:rPr>
                <w:rFonts w:asciiTheme="minorHAnsi" w:hAnsiTheme="minorHAnsi" w:cs="Arial"/>
                <w:b/>
                <w:color w:val="000000"/>
                <w:sz w:val="22"/>
              </w:rPr>
              <w:t xml:space="preserve">Solar for </w:t>
            </w:r>
            <w:r w:rsidRPr="006761F8">
              <w:rPr>
                <w:rFonts w:asciiTheme="minorHAnsi" w:hAnsiTheme="minorHAnsi" w:cs="Arial"/>
                <w:b/>
                <w:color w:val="000000"/>
                <w:sz w:val="22"/>
              </w:rPr>
              <w:t>Low Income Program</w:t>
            </w:r>
          </w:p>
          <w:p w:rsidR="00203466" w:rsidRPr="00C743A5" w:rsidRDefault="00203466" w:rsidP="00C743A5">
            <w:r w:rsidRPr="00C743A5">
              <w:t>The program enables eligible households in the ACT to invest in rooftop solar panels to help reduce their energy costs. Eligible participants are able to access a subsidy of up to 60</w:t>
            </w:r>
            <w:r w:rsidR="00D86F81" w:rsidRPr="00C743A5">
              <w:t xml:space="preserve"> per cent</w:t>
            </w:r>
            <w:r w:rsidRPr="00C743A5">
              <w:t xml:space="preserve"> of the total cost of a solar system along with access to a three year interest free loan to pay off the difference.</w:t>
            </w:r>
          </w:p>
        </w:tc>
      </w:tr>
      <w:tr w:rsidR="00CF19B7" w:rsidRPr="008823E6" w:rsidTr="0061636F">
        <w:trPr>
          <w:cnfStyle w:val="000000100000" w:firstRow="0" w:lastRow="0" w:firstColumn="0" w:lastColumn="0" w:oddVBand="0" w:evenVBand="0" w:oddHBand="1" w:evenHBand="0" w:firstRowFirstColumn="0" w:firstRowLastColumn="0" w:lastRowFirstColumn="0" w:lastRowLastColumn="0"/>
        </w:trPr>
        <w:tc>
          <w:tcPr>
            <w:tcW w:w="5000" w:type="pct"/>
          </w:tcPr>
          <w:p w:rsidR="00CF19B7" w:rsidRPr="00C743A5" w:rsidRDefault="00CF19B7" w:rsidP="00C743A5">
            <w:pPr>
              <w:rPr>
                <w:b/>
                <w:bCs/>
              </w:rPr>
            </w:pPr>
            <w:r w:rsidRPr="00C743A5">
              <w:rPr>
                <w:b/>
                <w:bCs/>
              </w:rPr>
              <w:t>Actsmart Schools</w:t>
            </w:r>
          </w:p>
          <w:p w:rsidR="00CF19B7" w:rsidRPr="00C743A5" w:rsidRDefault="00CF19B7" w:rsidP="00C743A5">
            <w:r w:rsidRPr="00C743A5">
              <w:t>The program provides support and resources to help all schools transition to more sustainable management of energy,</w:t>
            </w:r>
            <w:r w:rsidR="00203466" w:rsidRPr="00C743A5">
              <w:t xml:space="preserve"> water, waste and improve biodiversity of the school. Schools participating in the program reduce greenhouse gas emissions and costs while improving the school environment.</w:t>
            </w:r>
          </w:p>
        </w:tc>
      </w:tr>
      <w:tr w:rsidR="00CF19B7" w:rsidRPr="008823E6" w:rsidTr="0061636F">
        <w:trPr>
          <w:cnfStyle w:val="000000010000" w:firstRow="0" w:lastRow="0" w:firstColumn="0" w:lastColumn="0" w:oddVBand="0" w:evenVBand="0" w:oddHBand="0" w:evenHBand="1" w:firstRowFirstColumn="0" w:firstRowLastColumn="0" w:lastRowFirstColumn="0" w:lastRowLastColumn="0"/>
        </w:trPr>
        <w:tc>
          <w:tcPr>
            <w:tcW w:w="5000" w:type="pct"/>
          </w:tcPr>
          <w:p w:rsidR="00CF19B7" w:rsidRPr="00C743A5" w:rsidRDefault="00CF19B7" w:rsidP="00C743A5">
            <w:pPr>
              <w:rPr>
                <w:b/>
                <w:bCs/>
              </w:rPr>
            </w:pPr>
            <w:r w:rsidRPr="00C743A5">
              <w:rPr>
                <w:b/>
                <w:bCs/>
              </w:rPr>
              <w:t>Actsmart Sustainable Home Advice</w:t>
            </w:r>
          </w:p>
          <w:p w:rsidR="00CF19B7" w:rsidRPr="00C743A5" w:rsidRDefault="004160C7" w:rsidP="00C743A5">
            <w:r w:rsidRPr="00C743A5">
              <w:t>The program offers f</w:t>
            </w:r>
            <w:r w:rsidR="00CF19B7" w:rsidRPr="00C743A5">
              <w:t>ree independent advice and information available to all ACT residents to help them save greenhouse gas emissions and save money.</w:t>
            </w:r>
            <w:r w:rsidR="00203466" w:rsidRPr="00C743A5">
              <w:t xml:space="preserve"> It includes workshops, email and phone advice.</w:t>
            </w:r>
          </w:p>
        </w:tc>
      </w:tr>
      <w:tr w:rsidR="00CF19B7" w:rsidRPr="008823E6" w:rsidTr="0061636F">
        <w:trPr>
          <w:cnfStyle w:val="000000100000" w:firstRow="0" w:lastRow="0" w:firstColumn="0" w:lastColumn="0" w:oddVBand="0" w:evenVBand="0" w:oddHBand="1" w:evenHBand="0" w:firstRowFirstColumn="0" w:firstRowLastColumn="0" w:lastRowFirstColumn="0" w:lastRowLastColumn="0"/>
        </w:trPr>
        <w:tc>
          <w:tcPr>
            <w:tcW w:w="5000" w:type="pct"/>
          </w:tcPr>
          <w:p w:rsidR="00CF19B7" w:rsidRPr="00C743A5" w:rsidRDefault="00CF19B7" w:rsidP="00C743A5">
            <w:pPr>
              <w:rPr>
                <w:b/>
                <w:bCs/>
              </w:rPr>
            </w:pPr>
            <w:r w:rsidRPr="00C743A5">
              <w:rPr>
                <w:b/>
                <w:bCs/>
              </w:rPr>
              <w:t xml:space="preserve">Actsmart web portal </w:t>
            </w:r>
          </w:p>
          <w:p w:rsidR="00CF19B7" w:rsidRPr="00C743A5" w:rsidRDefault="00CF19B7" w:rsidP="00C743A5">
            <w:r w:rsidRPr="00C743A5">
              <w:lastRenderedPageBreak/>
              <w:t xml:space="preserve">ACT Government’s Sustainability Hub delivers information and advice on how Canberra business, households, schools and community can take action on energy efficiency and sustainability. </w:t>
            </w:r>
          </w:p>
        </w:tc>
      </w:tr>
      <w:tr w:rsidR="00CF19B7" w:rsidRPr="008823E6" w:rsidTr="0061636F">
        <w:trPr>
          <w:cnfStyle w:val="000000010000" w:firstRow="0" w:lastRow="0" w:firstColumn="0" w:lastColumn="0" w:oddVBand="0" w:evenVBand="0" w:oddHBand="0" w:evenHBand="1" w:firstRowFirstColumn="0" w:firstRowLastColumn="0" w:lastRowFirstColumn="0" w:lastRowLastColumn="0"/>
        </w:trPr>
        <w:tc>
          <w:tcPr>
            <w:tcW w:w="5000" w:type="pct"/>
          </w:tcPr>
          <w:p w:rsidR="00CF19B7" w:rsidRPr="00C743A5" w:rsidRDefault="00CF19B7" w:rsidP="00C743A5">
            <w:pPr>
              <w:rPr>
                <w:b/>
                <w:bCs/>
              </w:rPr>
            </w:pPr>
            <w:r w:rsidRPr="00C743A5">
              <w:rPr>
                <w:b/>
                <w:bCs/>
              </w:rPr>
              <w:lastRenderedPageBreak/>
              <w:t>Home energy ratings - mandatory disclosure</w:t>
            </w:r>
          </w:p>
          <w:p w:rsidR="00CF19B7" w:rsidRPr="0061636F" w:rsidRDefault="00CF19B7" w:rsidP="0061636F">
            <w:r w:rsidRPr="0061636F">
              <w:t xml:space="preserve">The Civil Law Act 2003 requires all homes being sold in the ACT to carry an energy rating. When advertising to rent a dwelling, owners or investors must also disclose the existing energy rating. </w:t>
            </w:r>
          </w:p>
        </w:tc>
      </w:tr>
    </w:tbl>
    <w:p w:rsidR="00CF19B7" w:rsidRPr="00C743A5" w:rsidRDefault="008B611B" w:rsidP="0061636F">
      <w:pPr>
        <w:pStyle w:val="Heading3"/>
      </w:pPr>
      <w:bookmarkStart w:id="112" w:name="_Toc18661029"/>
      <w:r w:rsidRPr="00C743A5">
        <w:t xml:space="preserve">The </w:t>
      </w:r>
      <w:r w:rsidR="00CF19B7" w:rsidRPr="00C743A5">
        <w:t>Commonwealth and COAG</w:t>
      </w:r>
      <w:bookmarkEnd w:id="112"/>
    </w:p>
    <w:tbl>
      <w:tblPr>
        <w:tblStyle w:val="TableGrid"/>
        <w:tblW w:w="5000" w:type="pct"/>
        <w:tblLook w:val="04A0" w:firstRow="1" w:lastRow="0" w:firstColumn="1" w:lastColumn="0" w:noHBand="0" w:noVBand="1"/>
      </w:tblPr>
      <w:tblGrid>
        <w:gridCol w:w="9016"/>
      </w:tblGrid>
      <w:tr w:rsidR="00CF19B7" w:rsidRPr="00BE7765" w:rsidTr="0061636F">
        <w:trPr>
          <w:cnfStyle w:val="100000000000" w:firstRow="1" w:lastRow="0" w:firstColumn="0" w:lastColumn="0" w:oddVBand="0" w:evenVBand="0" w:oddHBand="0" w:evenHBand="0" w:firstRowFirstColumn="0" w:firstRowLastColumn="0" w:lastRowFirstColumn="0" w:lastRowLastColumn="0"/>
        </w:trPr>
        <w:tc>
          <w:tcPr>
            <w:tcW w:w="5000" w:type="pct"/>
          </w:tcPr>
          <w:p w:rsidR="00CF19B7" w:rsidRPr="00C743A5" w:rsidRDefault="00CF19B7" w:rsidP="00C743A5">
            <w:pPr>
              <w:rPr>
                <w:b/>
                <w:bCs/>
              </w:rPr>
            </w:pPr>
            <w:r w:rsidRPr="00C743A5">
              <w:rPr>
                <w:b/>
                <w:bCs/>
              </w:rPr>
              <w:t xml:space="preserve">Commercial Building Disclosure </w:t>
            </w:r>
            <w:r w:rsidR="00C80308" w:rsidRPr="00C743A5">
              <w:rPr>
                <w:b/>
                <w:bCs/>
              </w:rPr>
              <w:t>Program</w:t>
            </w:r>
          </w:p>
          <w:p w:rsidR="00CF19B7" w:rsidRPr="00C743A5" w:rsidRDefault="00CF19B7" w:rsidP="00C743A5">
            <w:r w:rsidRPr="00C743A5">
              <w:t xml:space="preserve">The </w:t>
            </w:r>
            <w:r w:rsidR="004160C7" w:rsidRPr="00C743A5">
              <w:t>p</w:t>
            </w:r>
            <w:r w:rsidRPr="00C743A5">
              <w:t xml:space="preserve">rogram requires energy efficiency information to be provided in most cases when commercial office space of 1000 square metres or more is offered for sale or lease. </w:t>
            </w:r>
          </w:p>
        </w:tc>
      </w:tr>
      <w:tr w:rsidR="00CF19B7" w:rsidRPr="00BE7765" w:rsidTr="0061636F">
        <w:trPr>
          <w:cnfStyle w:val="000000100000" w:firstRow="0" w:lastRow="0" w:firstColumn="0" w:lastColumn="0" w:oddVBand="0" w:evenVBand="0" w:oddHBand="1" w:evenHBand="0" w:firstRowFirstColumn="0" w:firstRowLastColumn="0" w:lastRowFirstColumn="0" w:lastRowLastColumn="0"/>
        </w:trPr>
        <w:tc>
          <w:tcPr>
            <w:tcW w:w="5000" w:type="pct"/>
          </w:tcPr>
          <w:p w:rsidR="00CF19B7" w:rsidRPr="00C743A5" w:rsidRDefault="00CF19B7" w:rsidP="00C743A5">
            <w:pPr>
              <w:rPr>
                <w:b/>
                <w:bCs/>
              </w:rPr>
            </w:pPr>
            <w:r w:rsidRPr="00C743A5">
              <w:rPr>
                <w:b/>
                <w:bCs/>
              </w:rPr>
              <w:t>Equipment Energy Efficiency (E3) Program</w:t>
            </w:r>
          </w:p>
          <w:p w:rsidR="00CF19B7" w:rsidRPr="00C743A5" w:rsidRDefault="00CF19B7" w:rsidP="00C743A5">
            <w:r w:rsidRPr="00C743A5">
              <w:t xml:space="preserve">The program is a cross-jurisdictional integrated program on energy efficiency standards and energy labelling for </w:t>
            </w:r>
            <w:r w:rsidR="00C456B5" w:rsidRPr="00C743A5">
              <w:t xml:space="preserve">household and business </w:t>
            </w:r>
            <w:r w:rsidRPr="00C743A5">
              <w:t>equipment and appliances.</w:t>
            </w:r>
          </w:p>
        </w:tc>
      </w:tr>
      <w:tr w:rsidR="00CF19B7" w:rsidRPr="008823E6" w:rsidTr="0061636F">
        <w:trPr>
          <w:cnfStyle w:val="000000010000" w:firstRow="0" w:lastRow="0" w:firstColumn="0" w:lastColumn="0" w:oddVBand="0" w:evenVBand="0" w:oddHBand="0" w:evenHBand="1" w:firstRowFirstColumn="0" w:firstRowLastColumn="0" w:lastRowFirstColumn="0" w:lastRowLastColumn="0"/>
        </w:trPr>
        <w:tc>
          <w:tcPr>
            <w:tcW w:w="5000" w:type="pct"/>
          </w:tcPr>
          <w:p w:rsidR="00CF19B7" w:rsidRPr="00C743A5" w:rsidRDefault="00CF19B7" w:rsidP="00C743A5">
            <w:pPr>
              <w:rPr>
                <w:b/>
                <w:bCs/>
              </w:rPr>
            </w:pPr>
            <w:r w:rsidRPr="00C743A5">
              <w:rPr>
                <w:b/>
                <w:bCs/>
              </w:rPr>
              <w:t>National Energy Efficiency Building Project</w:t>
            </w:r>
          </w:p>
          <w:p w:rsidR="00CF19B7" w:rsidRPr="00C743A5" w:rsidRDefault="00CF19B7" w:rsidP="00C743A5">
            <w:r w:rsidRPr="00C743A5">
              <w:t xml:space="preserve">The </w:t>
            </w:r>
            <w:r w:rsidR="004160C7" w:rsidRPr="00C743A5">
              <w:t>p</w:t>
            </w:r>
            <w:r w:rsidRPr="00C743A5">
              <w:t xml:space="preserve">roject aims to support consumers, government and industry to achieve better energy efficiency in new buildings, renovations and additions. </w:t>
            </w:r>
          </w:p>
        </w:tc>
      </w:tr>
      <w:tr w:rsidR="00CF19B7" w:rsidRPr="00BE7765" w:rsidTr="0061636F">
        <w:trPr>
          <w:cnfStyle w:val="000000100000" w:firstRow="0" w:lastRow="0" w:firstColumn="0" w:lastColumn="0" w:oddVBand="0" w:evenVBand="0" w:oddHBand="1" w:evenHBand="0" w:firstRowFirstColumn="0" w:firstRowLastColumn="0" w:lastRowFirstColumn="0" w:lastRowLastColumn="0"/>
        </w:trPr>
        <w:tc>
          <w:tcPr>
            <w:tcW w:w="5000" w:type="pct"/>
          </w:tcPr>
          <w:p w:rsidR="00CF19B7" w:rsidRPr="00C743A5" w:rsidRDefault="00CF19B7" w:rsidP="00C743A5">
            <w:pPr>
              <w:rPr>
                <w:b/>
                <w:bCs/>
              </w:rPr>
            </w:pPr>
            <w:r w:rsidRPr="00C743A5">
              <w:rPr>
                <w:b/>
                <w:bCs/>
              </w:rPr>
              <w:t>Nationwide House Energy Rating Scheme</w:t>
            </w:r>
          </w:p>
          <w:p w:rsidR="00CF19B7" w:rsidRPr="00C743A5" w:rsidRDefault="00CF19B7" w:rsidP="00C743A5">
            <w:r w:rsidRPr="00C743A5">
              <w:t xml:space="preserve">The </w:t>
            </w:r>
            <w:r w:rsidR="004160C7" w:rsidRPr="00C743A5">
              <w:t>scheme</w:t>
            </w:r>
            <w:r w:rsidRPr="00C743A5">
              <w:t xml:space="preserve"> is a star rating system (out of ten) that rates the energy efficiency of a home, based on its design. </w:t>
            </w:r>
          </w:p>
        </w:tc>
      </w:tr>
      <w:tr w:rsidR="00C456B5" w:rsidRPr="00BE7765" w:rsidTr="0061636F">
        <w:trPr>
          <w:cnfStyle w:val="000000010000" w:firstRow="0" w:lastRow="0" w:firstColumn="0" w:lastColumn="0" w:oddVBand="0" w:evenVBand="0" w:oddHBand="0" w:evenHBand="1" w:firstRowFirstColumn="0" w:firstRowLastColumn="0" w:lastRowFirstColumn="0" w:lastRowLastColumn="0"/>
        </w:trPr>
        <w:tc>
          <w:tcPr>
            <w:tcW w:w="5000" w:type="pct"/>
          </w:tcPr>
          <w:p w:rsidR="00C456B5" w:rsidRPr="00C743A5" w:rsidRDefault="00C456B5" w:rsidP="00C743A5">
            <w:pPr>
              <w:rPr>
                <w:b/>
                <w:bCs/>
              </w:rPr>
            </w:pPr>
            <w:r w:rsidRPr="00C743A5">
              <w:rPr>
                <w:b/>
                <w:bCs/>
              </w:rPr>
              <w:t>Trajectory for Low Energy Buildings</w:t>
            </w:r>
          </w:p>
          <w:p w:rsidR="00C456B5" w:rsidRPr="00C743A5" w:rsidRDefault="00C456B5" w:rsidP="00C743A5">
            <w:r w:rsidRPr="00C743A5">
              <w:t xml:space="preserve">The development of a Trajectory for Low Energy Buildings covers residential and commercial buildings. This work includes consideration of new energy efficiency standards for the National Construction Code in 2022. </w:t>
            </w:r>
          </w:p>
        </w:tc>
      </w:tr>
      <w:tr w:rsidR="00C456B5" w:rsidRPr="00856004" w:rsidTr="0061636F">
        <w:trPr>
          <w:cnfStyle w:val="000000100000" w:firstRow="0" w:lastRow="0" w:firstColumn="0" w:lastColumn="0" w:oddVBand="0" w:evenVBand="0" w:oddHBand="1" w:evenHBand="0" w:firstRowFirstColumn="0" w:firstRowLastColumn="0" w:lastRowFirstColumn="0" w:lastRowLastColumn="0"/>
        </w:trPr>
        <w:tc>
          <w:tcPr>
            <w:tcW w:w="5000" w:type="pct"/>
          </w:tcPr>
          <w:p w:rsidR="00C456B5" w:rsidRPr="00C743A5" w:rsidRDefault="00C456B5" w:rsidP="00C743A5">
            <w:pPr>
              <w:rPr>
                <w:b/>
                <w:bCs/>
              </w:rPr>
            </w:pPr>
            <w:r w:rsidRPr="00C743A5">
              <w:rPr>
                <w:b/>
                <w:bCs/>
              </w:rPr>
              <w:t>Websites and tools for households and businesses</w:t>
            </w:r>
          </w:p>
          <w:p w:rsidR="00C456B5" w:rsidRPr="00AB7B90" w:rsidRDefault="00C456B5" w:rsidP="00AB7B90">
            <w:pPr>
              <w:pStyle w:val="ListBullet"/>
              <w:mirrorIndents w:val="0"/>
              <w:rPr>
                <w:rFonts w:asciiTheme="minorHAnsi" w:hAnsiTheme="minorHAnsi"/>
                <w:sz w:val="22"/>
              </w:rPr>
            </w:pPr>
            <w:r w:rsidRPr="00AB7B90">
              <w:rPr>
                <w:rFonts w:asciiTheme="minorHAnsi" w:hAnsiTheme="minorHAnsi"/>
                <w:sz w:val="22"/>
              </w:rPr>
              <w:t>Energy.gov.au provides households and businesses with easy-to-read, practical information on how to save energy and reduce power bills.</w:t>
            </w:r>
          </w:p>
          <w:p w:rsidR="00C456B5" w:rsidRPr="00AB7B90" w:rsidRDefault="00C456B5" w:rsidP="00AB7B90">
            <w:pPr>
              <w:pStyle w:val="ListBullet"/>
              <w:mirrorIndents w:val="0"/>
              <w:rPr>
                <w:rFonts w:asciiTheme="minorHAnsi" w:hAnsiTheme="minorHAnsi"/>
                <w:sz w:val="22"/>
              </w:rPr>
            </w:pPr>
            <w:r w:rsidRPr="00AB7B90">
              <w:rPr>
                <w:rFonts w:asciiTheme="minorHAnsi" w:hAnsiTheme="minorHAnsi"/>
                <w:sz w:val="22"/>
              </w:rPr>
              <w:t xml:space="preserve">YourHome.gov.au provides information for designers, builders and householders about how to design, build and live in an energy efficient home. </w:t>
            </w:r>
          </w:p>
          <w:p w:rsidR="00C456B5" w:rsidRPr="00AB7B90" w:rsidRDefault="00C456B5" w:rsidP="00AB7B90">
            <w:pPr>
              <w:pStyle w:val="ListBullet"/>
              <w:mirrorIndents w:val="0"/>
              <w:rPr>
                <w:rFonts w:asciiTheme="minorHAnsi" w:hAnsiTheme="minorHAnsi"/>
                <w:sz w:val="22"/>
              </w:rPr>
            </w:pPr>
            <w:r w:rsidRPr="00AB7B90">
              <w:rPr>
                <w:rFonts w:asciiTheme="minorHAnsi" w:hAnsiTheme="minorHAnsi"/>
                <w:sz w:val="22"/>
              </w:rPr>
              <w:t>Energyrating.gov.au has an ‘Energy Rating App’ to help consumers compare the energy efficiency and running costs of domestic appliances, and a ‘Lighting App’ identifying the best light bulbs to replace incandescent and halogen bulbs.</w:t>
            </w:r>
          </w:p>
          <w:p w:rsidR="00C456B5" w:rsidRPr="00AB7B90" w:rsidDel="000C1126" w:rsidRDefault="00C456B5" w:rsidP="00AB7B90">
            <w:pPr>
              <w:pStyle w:val="ListBullet"/>
              <w:mirrorIndents w:val="0"/>
              <w:rPr>
                <w:rFonts w:asciiTheme="minorHAnsi" w:hAnsiTheme="minorHAnsi"/>
                <w:sz w:val="22"/>
              </w:rPr>
            </w:pPr>
            <w:r w:rsidRPr="00AB7B90">
              <w:rPr>
                <w:rFonts w:asciiTheme="minorHAnsi" w:hAnsiTheme="minorHAnsi"/>
                <w:sz w:val="22"/>
              </w:rPr>
              <w:t>The Business Energy Advice Program was announced in the 2018-1</w:t>
            </w:r>
            <w:r w:rsidR="001E2515">
              <w:rPr>
                <w:rFonts w:asciiTheme="minorHAnsi" w:hAnsiTheme="minorHAnsi"/>
                <w:sz w:val="22"/>
              </w:rPr>
              <w:t>9 Mid-Year Economic and Fiscal Outlook</w:t>
            </w:r>
            <w:r w:rsidRPr="00AB7B90">
              <w:rPr>
                <w:rFonts w:asciiTheme="minorHAnsi" w:hAnsiTheme="minorHAnsi"/>
                <w:sz w:val="22"/>
              </w:rPr>
              <w:t xml:space="preserve">. The $11.6 million program will deliver tailored advice to help small businesses find the best energy deal and identify opportunities for them to use energy more efficiently. </w:t>
            </w:r>
          </w:p>
        </w:tc>
      </w:tr>
      <w:tr w:rsidR="00C456B5" w:rsidRPr="00BE7765" w:rsidTr="0061636F">
        <w:trPr>
          <w:cnfStyle w:val="000000010000" w:firstRow="0" w:lastRow="0" w:firstColumn="0" w:lastColumn="0" w:oddVBand="0" w:evenVBand="0" w:oddHBand="0" w:evenHBand="1" w:firstRowFirstColumn="0" w:firstRowLastColumn="0" w:lastRowFirstColumn="0" w:lastRowLastColumn="0"/>
        </w:trPr>
        <w:tc>
          <w:tcPr>
            <w:tcW w:w="5000" w:type="pct"/>
          </w:tcPr>
          <w:p w:rsidR="00C456B5" w:rsidRPr="00C743A5" w:rsidRDefault="00C456B5" w:rsidP="00C743A5">
            <w:pPr>
              <w:rPr>
                <w:b/>
                <w:bCs/>
              </w:rPr>
            </w:pPr>
            <w:r w:rsidRPr="00C743A5">
              <w:rPr>
                <w:b/>
                <w:bCs/>
              </w:rPr>
              <w:t>Energy Efficiency in Government Operations Policy</w:t>
            </w:r>
          </w:p>
          <w:p w:rsidR="00C456B5" w:rsidRPr="00841EE8" w:rsidRDefault="00C456B5" w:rsidP="00841EE8">
            <w:pPr>
              <w:rPr>
                <w:rFonts w:ascii="Calibri" w:hAnsi="Calibri"/>
                <w:sz w:val="22"/>
              </w:rPr>
            </w:pPr>
            <w:r w:rsidRPr="00841EE8">
              <w:lastRenderedPageBreak/>
              <w:t xml:space="preserve">This policy comprises </w:t>
            </w:r>
            <w:r w:rsidR="00E3197B" w:rsidRPr="00841EE8">
              <w:t>e</w:t>
            </w:r>
            <w:r w:rsidRPr="00841EE8">
              <w:t>nergy targets for office buildings tenanted by the Government</w:t>
            </w:r>
            <w:r w:rsidR="00E3197B" w:rsidRPr="00841EE8">
              <w:t>; m</w:t>
            </w:r>
            <w:r w:rsidRPr="00841EE8">
              <w:t>inimum energy performance standards for government</w:t>
            </w:r>
            <w:r w:rsidR="00E3197B" w:rsidRPr="00841EE8">
              <w:t xml:space="preserve"> tenanted office buildings, </w:t>
            </w:r>
            <w:r w:rsidRPr="00841EE8">
              <w:t>appliances and vehicles</w:t>
            </w:r>
            <w:r w:rsidR="00E3197B" w:rsidRPr="00841EE8">
              <w:t>; and a</w:t>
            </w:r>
            <w:r w:rsidRPr="00841EE8">
              <w:t>nnual reporting of energy performance by agenc</w:t>
            </w:r>
            <w:bookmarkStart w:id="113" w:name="_GoBack"/>
            <w:bookmarkEnd w:id="113"/>
            <w:r w:rsidRPr="00841EE8">
              <w:t>ies.</w:t>
            </w:r>
          </w:p>
        </w:tc>
      </w:tr>
      <w:tr w:rsidR="00CF19B7" w:rsidRPr="00BE7765" w:rsidTr="0061636F">
        <w:trPr>
          <w:cnfStyle w:val="000000100000" w:firstRow="0" w:lastRow="0" w:firstColumn="0" w:lastColumn="0" w:oddVBand="0" w:evenVBand="0" w:oddHBand="1" w:evenHBand="0" w:firstRowFirstColumn="0" w:firstRowLastColumn="0" w:lastRowFirstColumn="0" w:lastRowLastColumn="0"/>
        </w:trPr>
        <w:tc>
          <w:tcPr>
            <w:tcW w:w="5000" w:type="pct"/>
          </w:tcPr>
          <w:p w:rsidR="00CF19B7" w:rsidRPr="00C743A5" w:rsidRDefault="00CF19B7" w:rsidP="00C743A5">
            <w:pPr>
              <w:rPr>
                <w:b/>
                <w:bCs/>
              </w:rPr>
            </w:pPr>
            <w:r w:rsidRPr="00C743A5">
              <w:rPr>
                <w:b/>
                <w:bCs/>
              </w:rPr>
              <w:lastRenderedPageBreak/>
              <w:t xml:space="preserve">Smart Cities Plan </w:t>
            </w:r>
          </w:p>
          <w:p w:rsidR="00CF19B7" w:rsidRPr="00C743A5" w:rsidRDefault="00CF19B7" w:rsidP="00C743A5">
            <w:r w:rsidRPr="00C743A5">
              <w:t>The aim is to accelerate the deployment of clean energy, renewable energy and energy efficiency technology in cities (includes the $100 million a year Sustainable Cities Investment Fund)</w:t>
            </w:r>
            <w:r w:rsidR="00F228C4" w:rsidRPr="00C743A5">
              <w:t>.</w:t>
            </w:r>
          </w:p>
        </w:tc>
      </w:tr>
      <w:tr w:rsidR="00C456B5" w:rsidRPr="00BE7765" w:rsidTr="0061636F">
        <w:trPr>
          <w:cnfStyle w:val="000000010000" w:firstRow="0" w:lastRow="0" w:firstColumn="0" w:lastColumn="0" w:oddVBand="0" w:evenVBand="0" w:oddHBand="0" w:evenHBand="1" w:firstRowFirstColumn="0" w:firstRowLastColumn="0" w:lastRowFirstColumn="0" w:lastRowLastColumn="0"/>
        </w:trPr>
        <w:tc>
          <w:tcPr>
            <w:tcW w:w="5000" w:type="pct"/>
          </w:tcPr>
          <w:p w:rsidR="00C456B5" w:rsidRPr="00C743A5" w:rsidRDefault="00C456B5" w:rsidP="00C743A5">
            <w:pPr>
              <w:rPr>
                <w:b/>
                <w:bCs/>
              </w:rPr>
            </w:pPr>
            <w:r w:rsidRPr="00C743A5">
              <w:rPr>
                <w:b/>
                <w:bCs/>
              </w:rPr>
              <w:t>Australian Renewable Energy Agency</w:t>
            </w:r>
          </w:p>
          <w:p w:rsidR="00C456B5" w:rsidRPr="00C743A5" w:rsidRDefault="00C456B5" w:rsidP="00C743A5">
            <w:r w:rsidRPr="00C743A5">
              <w:t xml:space="preserve">Improving energy productivity: helping reduce energy cost and emissions in transport, building and industry sectors, is one of </w:t>
            </w:r>
            <w:r w:rsidR="004160C7" w:rsidRPr="00C743A5">
              <w:t>the Australian Renewable Energy Agency (</w:t>
            </w:r>
            <w:r w:rsidRPr="00C743A5">
              <w:t>ARENA’s</w:t>
            </w:r>
            <w:r w:rsidR="004160C7" w:rsidRPr="00C743A5">
              <w:t>)</w:t>
            </w:r>
            <w:r w:rsidRPr="00C743A5">
              <w:t xml:space="preserve"> new investment priorities (announced May 2017).</w:t>
            </w:r>
          </w:p>
        </w:tc>
      </w:tr>
      <w:tr w:rsidR="00C456B5" w:rsidRPr="00BE7765" w:rsidTr="0061636F">
        <w:trPr>
          <w:cnfStyle w:val="000000100000" w:firstRow="0" w:lastRow="0" w:firstColumn="0" w:lastColumn="0" w:oddVBand="0" w:evenVBand="0" w:oddHBand="1" w:evenHBand="0" w:firstRowFirstColumn="0" w:firstRowLastColumn="0" w:lastRowFirstColumn="0" w:lastRowLastColumn="0"/>
        </w:trPr>
        <w:tc>
          <w:tcPr>
            <w:tcW w:w="5000" w:type="pct"/>
          </w:tcPr>
          <w:p w:rsidR="00C456B5" w:rsidRPr="00C743A5" w:rsidRDefault="00C456B5" w:rsidP="00C743A5">
            <w:pPr>
              <w:rPr>
                <w:b/>
                <w:bCs/>
              </w:rPr>
            </w:pPr>
            <w:r w:rsidRPr="00C743A5">
              <w:rPr>
                <w:b/>
                <w:bCs/>
              </w:rPr>
              <w:t>Clean Energy Finance Corporation</w:t>
            </w:r>
          </w:p>
          <w:p w:rsidR="00C456B5" w:rsidRPr="00C743A5" w:rsidRDefault="00C456B5" w:rsidP="00C743A5">
            <w:r w:rsidRPr="00C743A5">
              <w:t>The Clean Energy Finance Corporation</w:t>
            </w:r>
            <w:r w:rsidR="004160C7" w:rsidRPr="00C743A5">
              <w:t xml:space="preserve"> (CEFC)</w:t>
            </w:r>
            <w:r w:rsidRPr="00C743A5">
              <w:t xml:space="preserve"> invests commercially to increase the flow of funds into renewable energy, energy efficiency and low emissions technologies</w:t>
            </w:r>
            <w:r w:rsidR="002D03F0" w:rsidRPr="00C743A5">
              <w:t>.</w:t>
            </w:r>
          </w:p>
        </w:tc>
      </w:tr>
      <w:tr w:rsidR="002D03F0" w:rsidRPr="00BE7765" w:rsidTr="0061636F">
        <w:trPr>
          <w:cnfStyle w:val="000000010000" w:firstRow="0" w:lastRow="0" w:firstColumn="0" w:lastColumn="0" w:oddVBand="0" w:evenVBand="0" w:oddHBand="0" w:evenHBand="1" w:firstRowFirstColumn="0" w:firstRowLastColumn="0" w:lastRowFirstColumn="0" w:lastRowLastColumn="0"/>
        </w:trPr>
        <w:tc>
          <w:tcPr>
            <w:tcW w:w="5000" w:type="pct"/>
          </w:tcPr>
          <w:p w:rsidR="002D03F0" w:rsidRPr="00C743A5" w:rsidRDefault="002D03F0" w:rsidP="00C743A5">
            <w:pPr>
              <w:rPr>
                <w:b/>
                <w:bCs/>
              </w:rPr>
            </w:pPr>
            <w:r w:rsidRPr="00C743A5">
              <w:rPr>
                <w:b/>
                <w:bCs/>
              </w:rPr>
              <w:t>Vehicle fuel efficiency</w:t>
            </w:r>
          </w:p>
          <w:p w:rsidR="002D03F0" w:rsidRPr="00C743A5" w:rsidRDefault="002D03F0" w:rsidP="00C743A5">
            <w:r w:rsidRPr="00C743A5">
              <w:t>The Australian Government is supporting vehicle efficiency and electric vehicles including through CEFC loans and grants from ARENA; providing a discount on the luxury car tax for cars with a fuel consumption of 7 litres per 100 kilometres or less</w:t>
            </w:r>
            <w:r w:rsidR="004160C7" w:rsidRPr="00C743A5">
              <w:t>;</w:t>
            </w:r>
            <w:r w:rsidRPr="00C743A5">
              <w:t xml:space="preserve"> and information to help consumers compare fuel efficiency of vehicles through the Green Vehicle Guide. </w:t>
            </w:r>
          </w:p>
        </w:tc>
      </w:tr>
    </w:tbl>
    <w:p w:rsidR="001B218A" w:rsidRDefault="001B218A">
      <w:pPr>
        <w:spacing w:after="0" w:line="240" w:lineRule="auto"/>
      </w:pPr>
      <w:r>
        <w:br w:type="page"/>
      </w:r>
    </w:p>
    <w:p w:rsidR="00CF19B7" w:rsidRPr="00C743A5" w:rsidRDefault="00CF19B7" w:rsidP="0061636F">
      <w:pPr>
        <w:pStyle w:val="Heading3"/>
      </w:pPr>
      <w:bookmarkStart w:id="114" w:name="_Toc18661030"/>
      <w:r w:rsidRPr="00C743A5">
        <w:lastRenderedPageBreak/>
        <w:t>N</w:t>
      </w:r>
      <w:r w:rsidR="00FC0586" w:rsidRPr="00C743A5">
        <w:t xml:space="preserve">ew </w:t>
      </w:r>
      <w:r w:rsidRPr="00C743A5">
        <w:t>S</w:t>
      </w:r>
      <w:r w:rsidR="00FC0586" w:rsidRPr="00C743A5">
        <w:t xml:space="preserve">outh </w:t>
      </w:r>
      <w:r w:rsidRPr="00C743A5">
        <w:t>W</w:t>
      </w:r>
      <w:r w:rsidR="00FC0586" w:rsidRPr="00C743A5">
        <w:t>ales</w:t>
      </w:r>
      <w:bookmarkEnd w:id="114"/>
    </w:p>
    <w:tbl>
      <w:tblPr>
        <w:tblStyle w:val="TableGrid"/>
        <w:tblW w:w="5000" w:type="pct"/>
        <w:tblLook w:val="04A0" w:firstRow="1" w:lastRow="0" w:firstColumn="1" w:lastColumn="0" w:noHBand="0" w:noVBand="1"/>
      </w:tblPr>
      <w:tblGrid>
        <w:gridCol w:w="9016"/>
      </w:tblGrid>
      <w:tr w:rsidR="00CF19B7" w:rsidRPr="008823E6" w:rsidTr="0061636F">
        <w:trPr>
          <w:cnfStyle w:val="100000000000" w:firstRow="1" w:lastRow="0" w:firstColumn="0" w:lastColumn="0" w:oddVBand="0" w:evenVBand="0" w:oddHBand="0" w:evenHBand="0" w:firstRowFirstColumn="0" w:firstRowLastColumn="0" w:lastRowFirstColumn="0" w:lastRowLastColumn="0"/>
        </w:trPr>
        <w:tc>
          <w:tcPr>
            <w:tcW w:w="5000" w:type="pct"/>
          </w:tcPr>
          <w:p w:rsidR="00CF19B7" w:rsidRPr="00C743A5" w:rsidRDefault="00CF19B7" w:rsidP="00C743A5">
            <w:pPr>
              <w:rPr>
                <w:b/>
                <w:bCs/>
              </w:rPr>
            </w:pPr>
            <w:r w:rsidRPr="00C743A5">
              <w:rPr>
                <w:b/>
                <w:bCs/>
              </w:rPr>
              <w:t xml:space="preserve">Energy Savings Scheme </w:t>
            </w:r>
          </w:p>
          <w:p w:rsidR="00CF19B7" w:rsidRPr="008823E6" w:rsidRDefault="00CF19B7" w:rsidP="004160C7">
            <w:pPr>
              <w:spacing w:before="60" w:after="60" w:line="240" w:lineRule="auto"/>
              <w:rPr>
                <w:rFonts w:cs="Arial"/>
                <w:szCs w:val="20"/>
              </w:rPr>
            </w:pPr>
            <w:r w:rsidRPr="00C743A5">
              <w:t xml:space="preserve">The </w:t>
            </w:r>
            <w:r w:rsidR="004160C7" w:rsidRPr="00C743A5">
              <w:t>s</w:t>
            </w:r>
            <w:r w:rsidRPr="00C743A5">
              <w:t>cheme</w:t>
            </w:r>
            <w:r w:rsidRPr="00C743A5">
              <w:rPr>
                <w:b/>
                <w:bCs/>
              </w:rPr>
              <w:t xml:space="preserve"> </w:t>
            </w:r>
            <w:r w:rsidRPr="00C743A5">
              <w:t xml:space="preserve">reduces electricity consumption in NSW by creating financial incentives for organisations to invest in energy savings activities such as installing, improving or replacing energy savings equipment.  </w:t>
            </w:r>
          </w:p>
        </w:tc>
      </w:tr>
      <w:tr w:rsidR="000C1126" w:rsidRPr="008823E6" w:rsidTr="0061636F">
        <w:trPr>
          <w:cnfStyle w:val="000000100000" w:firstRow="0" w:lastRow="0" w:firstColumn="0" w:lastColumn="0" w:oddVBand="0" w:evenVBand="0" w:oddHBand="1" w:evenHBand="0" w:firstRowFirstColumn="0" w:firstRowLastColumn="0" w:lastRowFirstColumn="0" w:lastRowLastColumn="0"/>
        </w:trPr>
        <w:tc>
          <w:tcPr>
            <w:tcW w:w="5000" w:type="pct"/>
          </w:tcPr>
          <w:p w:rsidR="000C1126" w:rsidRDefault="000C1126" w:rsidP="000C1126">
            <w:pPr>
              <w:spacing w:before="60" w:after="60" w:line="240" w:lineRule="auto"/>
              <w:mirrorIndents w:val="0"/>
              <w:rPr>
                <w:rFonts w:ascii="Calibri" w:hAnsi="Calibri"/>
                <w:b/>
                <w:sz w:val="22"/>
              </w:rPr>
            </w:pPr>
            <w:r w:rsidRPr="009A4782">
              <w:rPr>
                <w:rFonts w:ascii="Calibri" w:hAnsi="Calibri"/>
                <w:b/>
                <w:sz w:val="22"/>
              </w:rPr>
              <w:t>Home Energy Action Program</w:t>
            </w:r>
          </w:p>
          <w:p w:rsidR="000C1126" w:rsidRPr="00C743A5" w:rsidRDefault="00EB083A" w:rsidP="00C743A5">
            <w:r w:rsidRPr="00C743A5">
              <w:t xml:space="preserve">The </w:t>
            </w:r>
            <w:r w:rsidR="004160C7" w:rsidRPr="00C743A5">
              <w:t>p</w:t>
            </w:r>
            <w:r w:rsidRPr="00C743A5">
              <w:t>rogram a</w:t>
            </w:r>
            <w:r w:rsidR="000C1126" w:rsidRPr="00C743A5">
              <w:t>ims to improve access to the benefits of energy efficiency for low-income and disadvantaged households through social housing upgrades and more affordable appliances.</w:t>
            </w:r>
          </w:p>
        </w:tc>
      </w:tr>
      <w:tr w:rsidR="000C1126" w:rsidRPr="008823E6" w:rsidTr="0061636F">
        <w:trPr>
          <w:cnfStyle w:val="000000010000" w:firstRow="0" w:lastRow="0" w:firstColumn="0" w:lastColumn="0" w:oddVBand="0" w:evenVBand="0" w:oddHBand="0" w:evenHBand="1" w:firstRowFirstColumn="0" w:firstRowLastColumn="0" w:lastRowFirstColumn="0" w:lastRowLastColumn="0"/>
        </w:trPr>
        <w:tc>
          <w:tcPr>
            <w:tcW w:w="5000" w:type="pct"/>
          </w:tcPr>
          <w:p w:rsidR="000C1126" w:rsidRPr="00C743A5" w:rsidRDefault="000C1126" w:rsidP="00C743A5">
            <w:pPr>
              <w:rPr>
                <w:b/>
                <w:bCs/>
              </w:rPr>
            </w:pPr>
            <w:r w:rsidRPr="00C743A5">
              <w:rPr>
                <w:b/>
                <w:bCs/>
              </w:rPr>
              <w:t xml:space="preserve">NSW Government Resource Efficiency Policy </w:t>
            </w:r>
          </w:p>
          <w:p w:rsidR="000C1126" w:rsidRPr="00C743A5" w:rsidRDefault="000C1126" w:rsidP="00C743A5">
            <w:r w:rsidRPr="00C743A5">
              <w:t xml:space="preserve">The </w:t>
            </w:r>
            <w:r w:rsidR="009C3300" w:rsidRPr="00C743A5">
              <w:t>p</w:t>
            </w:r>
            <w:r w:rsidRPr="00C743A5">
              <w:t>olicy sets targets for government agencies to lead by example and save money through improvements in energy, water and waste use.</w:t>
            </w:r>
          </w:p>
        </w:tc>
      </w:tr>
      <w:tr w:rsidR="000C1126" w:rsidRPr="008823E6" w:rsidTr="0061636F">
        <w:trPr>
          <w:cnfStyle w:val="000000100000" w:firstRow="0" w:lastRow="0" w:firstColumn="0" w:lastColumn="0" w:oddVBand="0" w:evenVBand="0" w:oddHBand="1" w:evenHBand="0" w:firstRowFirstColumn="0" w:firstRowLastColumn="0" w:lastRowFirstColumn="0" w:lastRowLastColumn="0"/>
        </w:trPr>
        <w:tc>
          <w:tcPr>
            <w:tcW w:w="5000" w:type="pct"/>
          </w:tcPr>
          <w:p w:rsidR="000C1126" w:rsidRPr="00C743A5" w:rsidRDefault="000C1126" w:rsidP="00C743A5">
            <w:pPr>
              <w:rPr>
                <w:b/>
                <w:bCs/>
              </w:rPr>
            </w:pPr>
            <w:r w:rsidRPr="00C743A5">
              <w:rPr>
                <w:b/>
                <w:bCs/>
              </w:rPr>
              <w:t>Households and Small Business Upgrades Program</w:t>
            </w:r>
          </w:p>
          <w:p w:rsidR="000C1126" w:rsidRPr="00C743A5" w:rsidRDefault="000C1126" w:rsidP="00C743A5">
            <w:r w:rsidRPr="00C743A5">
              <w:t>Upgrading to energy-efficient lights and appliances can help households and businesses take control of their energy bills and live more comfortably.</w:t>
            </w:r>
          </w:p>
        </w:tc>
      </w:tr>
      <w:tr w:rsidR="000C1126" w:rsidRPr="008823E6" w:rsidTr="0061636F">
        <w:trPr>
          <w:cnfStyle w:val="000000010000" w:firstRow="0" w:lastRow="0" w:firstColumn="0" w:lastColumn="0" w:oddVBand="0" w:evenVBand="0" w:oddHBand="0" w:evenHBand="1" w:firstRowFirstColumn="0" w:firstRowLastColumn="0" w:lastRowFirstColumn="0" w:lastRowLastColumn="0"/>
        </w:trPr>
        <w:tc>
          <w:tcPr>
            <w:tcW w:w="5000" w:type="pct"/>
          </w:tcPr>
          <w:p w:rsidR="000C1126" w:rsidRPr="00C743A5" w:rsidRDefault="000C1126" w:rsidP="00C743A5">
            <w:pPr>
              <w:rPr>
                <w:b/>
                <w:bCs/>
              </w:rPr>
            </w:pPr>
            <w:r w:rsidRPr="00C743A5">
              <w:rPr>
                <w:b/>
                <w:bCs/>
              </w:rPr>
              <w:t>Energy Management Services</w:t>
            </w:r>
          </w:p>
          <w:p w:rsidR="000C1126" w:rsidRPr="00C743A5" w:rsidRDefault="000C1126" w:rsidP="00C743A5">
            <w:r w:rsidRPr="00C743A5">
              <w:t>Training and support for small businesses and those in energy-intensive industries on ways to better manage their energy use, save money and reduce emissions.</w:t>
            </w:r>
          </w:p>
        </w:tc>
      </w:tr>
      <w:tr w:rsidR="000C1126" w:rsidRPr="008823E6" w:rsidTr="0061636F">
        <w:trPr>
          <w:cnfStyle w:val="000000100000" w:firstRow="0" w:lastRow="0" w:firstColumn="0" w:lastColumn="0" w:oddVBand="0" w:evenVBand="0" w:oddHBand="1" w:evenHBand="0" w:firstRowFirstColumn="0" w:firstRowLastColumn="0" w:lastRowFirstColumn="0" w:lastRowLastColumn="0"/>
        </w:trPr>
        <w:tc>
          <w:tcPr>
            <w:tcW w:w="5000" w:type="pct"/>
          </w:tcPr>
          <w:p w:rsidR="000C1126" w:rsidRPr="00C743A5" w:rsidRDefault="000C1126" w:rsidP="00C743A5">
            <w:pPr>
              <w:rPr>
                <w:b/>
                <w:bCs/>
              </w:rPr>
            </w:pPr>
            <w:r w:rsidRPr="00C743A5">
              <w:rPr>
                <w:b/>
                <w:bCs/>
              </w:rPr>
              <w:t>Energy Efficient Public Lighting</w:t>
            </w:r>
          </w:p>
          <w:p w:rsidR="000C1126" w:rsidRPr="00C743A5" w:rsidRDefault="000C1126" w:rsidP="00C743A5">
            <w:r w:rsidRPr="00C743A5">
              <w:t xml:space="preserve">The </w:t>
            </w:r>
            <w:r w:rsidR="009C3300" w:rsidRPr="00C743A5">
              <w:t>p</w:t>
            </w:r>
            <w:r w:rsidRPr="00C743A5">
              <w:t>rogram provides funding to support NSW Local Councils upgrade their mercury vapour lights to LEDs, targeting approximately 60,000 lights by 2021.</w:t>
            </w:r>
          </w:p>
        </w:tc>
      </w:tr>
      <w:tr w:rsidR="000C1126" w:rsidRPr="008823E6" w:rsidTr="0061636F">
        <w:trPr>
          <w:cnfStyle w:val="000000010000" w:firstRow="0" w:lastRow="0" w:firstColumn="0" w:lastColumn="0" w:oddVBand="0" w:evenVBand="0" w:oddHBand="0" w:evenHBand="1" w:firstRowFirstColumn="0" w:firstRowLastColumn="0" w:lastRowFirstColumn="0" w:lastRowLastColumn="0"/>
        </w:trPr>
        <w:tc>
          <w:tcPr>
            <w:tcW w:w="5000" w:type="pct"/>
          </w:tcPr>
          <w:p w:rsidR="000C1126" w:rsidRPr="00C743A5" w:rsidRDefault="000C1126" w:rsidP="00C743A5">
            <w:pPr>
              <w:rPr>
                <w:b/>
                <w:bCs/>
              </w:rPr>
            </w:pPr>
            <w:r w:rsidRPr="00C743A5">
              <w:rPr>
                <w:b/>
                <w:bCs/>
              </w:rPr>
              <w:t>More efficient homes for low income tenants</w:t>
            </w:r>
          </w:p>
          <w:p w:rsidR="000C1126" w:rsidRPr="00C743A5" w:rsidRDefault="000C1126" w:rsidP="00C743A5">
            <w:r w:rsidRPr="00C743A5">
              <w:t>This program will provide discounts on energy efficient upgrades for houses rented by low income tenants.</w:t>
            </w:r>
          </w:p>
        </w:tc>
      </w:tr>
      <w:tr w:rsidR="000C1126" w:rsidRPr="008823E6" w:rsidTr="0061636F">
        <w:trPr>
          <w:cnfStyle w:val="000000100000" w:firstRow="0" w:lastRow="0" w:firstColumn="0" w:lastColumn="0" w:oddVBand="0" w:evenVBand="0" w:oddHBand="1" w:evenHBand="0" w:firstRowFirstColumn="0" w:firstRowLastColumn="0" w:lastRowFirstColumn="0" w:lastRowLastColumn="0"/>
        </w:trPr>
        <w:tc>
          <w:tcPr>
            <w:tcW w:w="5000" w:type="pct"/>
          </w:tcPr>
          <w:p w:rsidR="000C1126" w:rsidRPr="00C743A5" w:rsidRDefault="000C1126" w:rsidP="00C743A5">
            <w:pPr>
              <w:rPr>
                <w:b/>
                <w:bCs/>
              </w:rPr>
            </w:pPr>
            <w:r w:rsidRPr="00C743A5">
              <w:rPr>
                <w:b/>
                <w:bCs/>
              </w:rPr>
              <w:t>Energy savings for energy intensive manufacturers</w:t>
            </w:r>
          </w:p>
          <w:p w:rsidR="000C1126" w:rsidRPr="00C743A5" w:rsidRDefault="009C3300" w:rsidP="00C743A5">
            <w:r w:rsidRPr="00C743A5">
              <w:t>The program d</w:t>
            </w:r>
            <w:r w:rsidR="000C1126" w:rsidRPr="00C743A5">
              <w:t>elivers site-specific energy management diagnostics, benchmarking and opportunity analysis, co-funded site-specific energy management system improvements, and energy management training.</w:t>
            </w:r>
          </w:p>
        </w:tc>
      </w:tr>
      <w:tr w:rsidR="000C1126" w:rsidRPr="008823E6" w:rsidTr="0061636F">
        <w:trPr>
          <w:cnfStyle w:val="000000010000" w:firstRow="0" w:lastRow="0" w:firstColumn="0" w:lastColumn="0" w:oddVBand="0" w:evenVBand="0" w:oddHBand="0" w:evenHBand="1" w:firstRowFirstColumn="0" w:firstRowLastColumn="0" w:lastRowFirstColumn="0" w:lastRowLastColumn="0"/>
        </w:trPr>
        <w:tc>
          <w:tcPr>
            <w:tcW w:w="5000" w:type="pct"/>
          </w:tcPr>
          <w:p w:rsidR="000C1126" w:rsidRPr="00C743A5" w:rsidRDefault="000C1126" w:rsidP="00C743A5">
            <w:pPr>
              <w:rPr>
                <w:b/>
                <w:bCs/>
              </w:rPr>
            </w:pPr>
            <w:r w:rsidRPr="00C743A5">
              <w:rPr>
                <w:b/>
                <w:bCs/>
              </w:rPr>
              <w:t>Collaborative Sustainable Housing Initiative</w:t>
            </w:r>
          </w:p>
          <w:p w:rsidR="000C1126" w:rsidRPr="00C743A5" w:rsidRDefault="009C3300" w:rsidP="00C743A5">
            <w:r w:rsidRPr="00C743A5">
              <w:t>This initiative e</w:t>
            </w:r>
            <w:r w:rsidR="000C1126" w:rsidRPr="00C743A5">
              <w:t>nables organisations across the housing system to work together to address systematic barriers to the supply and demand of sustainable housing features.</w:t>
            </w:r>
          </w:p>
        </w:tc>
      </w:tr>
      <w:tr w:rsidR="000C1126" w:rsidRPr="008823E6" w:rsidTr="0061636F">
        <w:trPr>
          <w:cnfStyle w:val="000000100000" w:firstRow="0" w:lastRow="0" w:firstColumn="0" w:lastColumn="0" w:oddVBand="0" w:evenVBand="0" w:oddHBand="1" w:evenHBand="0" w:firstRowFirstColumn="0" w:firstRowLastColumn="0" w:lastRowFirstColumn="0" w:lastRowLastColumn="0"/>
        </w:trPr>
        <w:tc>
          <w:tcPr>
            <w:tcW w:w="5000" w:type="pct"/>
          </w:tcPr>
          <w:p w:rsidR="000C1126" w:rsidRPr="00C743A5" w:rsidRDefault="000C1126" w:rsidP="00C743A5">
            <w:pPr>
              <w:rPr>
                <w:b/>
                <w:bCs/>
              </w:rPr>
            </w:pPr>
            <w:r w:rsidRPr="00C743A5">
              <w:rPr>
                <w:b/>
                <w:bCs/>
              </w:rPr>
              <w:t>Sustainability Advantage</w:t>
            </w:r>
          </w:p>
          <w:p w:rsidR="000C1126" w:rsidRPr="00C743A5" w:rsidRDefault="009C3300" w:rsidP="00C743A5">
            <w:r w:rsidRPr="00C743A5">
              <w:t>This program</w:t>
            </w:r>
            <w:r w:rsidR="000C1126" w:rsidRPr="00C743A5">
              <w:t xml:space="preserve"> assists organisations across NSW to achieve increased competitiveness and improve productivity through better environmental practices.</w:t>
            </w:r>
          </w:p>
        </w:tc>
      </w:tr>
      <w:tr w:rsidR="000C1126" w:rsidRPr="008823E6" w:rsidTr="0061636F">
        <w:trPr>
          <w:cnfStyle w:val="000000010000" w:firstRow="0" w:lastRow="0" w:firstColumn="0" w:lastColumn="0" w:oddVBand="0" w:evenVBand="0" w:oddHBand="0" w:evenHBand="1" w:firstRowFirstColumn="0" w:firstRowLastColumn="0" w:lastRowFirstColumn="0" w:lastRowLastColumn="0"/>
        </w:trPr>
        <w:tc>
          <w:tcPr>
            <w:tcW w:w="5000" w:type="pct"/>
          </w:tcPr>
          <w:p w:rsidR="000C1126" w:rsidRPr="00C743A5" w:rsidRDefault="000C1126" w:rsidP="00C743A5">
            <w:pPr>
              <w:rPr>
                <w:b/>
                <w:bCs/>
              </w:rPr>
            </w:pPr>
            <w:r w:rsidRPr="00C743A5">
              <w:rPr>
                <w:b/>
                <w:bCs/>
              </w:rPr>
              <w:t>Sustainable Council &amp; Community Program</w:t>
            </w:r>
          </w:p>
          <w:p w:rsidR="000C1126" w:rsidRPr="00C743A5" w:rsidRDefault="009C3300" w:rsidP="00C743A5">
            <w:r w:rsidRPr="00C743A5">
              <w:t>This program p</w:t>
            </w:r>
            <w:r w:rsidR="000C1126" w:rsidRPr="00C743A5">
              <w:t>rovides focussed and fast-tracked NSW government support in up to 18 economically disadvantaged Local Government Areas (LGA) and engage communities within these LGA’s in energy efficiency and affordability programs.</w:t>
            </w:r>
          </w:p>
        </w:tc>
      </w:tr>
    </w:tbl>
    <w:p w:rsidR="00CF19B7" w:rsidRPr="00C743A5" w:rsidRDefault="00CF19B7" w:rsidP="0061636F">
      <w:pPr>
        <w:pStyle w:val="Heading3"/>
      </w:pPr>
      <w:bookmarkStart w:id="115" w:name="_Toc18661031"/>
      <w:r w:rsidRPr="00C743A5">
        <w:lastRenderedPageBreak/>
        <w:t>Queensland</w:t>
      </w:r>
      <w:bookmarkEnd w:id="115"/>
    </w:p>
    <w:tbl>
      <w:tblPr>
        <w:tblStyle w:val="TableGrid"/>
        <w:tblW w:w="5000" w:type="pct"/>
        <w:tblLook w:val="04A0" w:firstRow="1" w:lastRow="0" w:firstColumn="1" w:lastColumn="0" w:noHBand="0" w:noVBand="1"/>
      </w:tblPr>
      <w:tblGrid>
        <w:gridCol w:w="9016"/>
      </w:tblGrid>
      <w:tr w:rsidR="00CF19B7" w:rsidRPr="008823E6" w:rsidTr="0061636F">
        <w:trPr>
          <w:cnfStyle w:val="100000000000" w:firstRow="1" w:lastRow="0" w:firstColumn="0" w:lastColumn="0" w:oddVBand="0" w:evenVBand="0" w:oddHBand="0" w:evenHBand="0" w:firstRowFirstColumn="0" w:firstRowLastColumn="0" w:lastRowFirstColumn="0" w:lastRowLastColumn="0"/>
        </w:trPr>
        <w:tc>
          <w:tcPr>
            <w:tcW w:w="5000" w:type="pct"/>
          </w:tcPr>
          <w:p w:rsidR="00CF19B7" w:rsidRPr="00C743A5" w:rsidRDefault="00CF19B7" w:rsidP="00C743A5">
            <w:pPr>
              <w:rPr>
                <w:b/>
                <w:bCs/>
              </w:rPr>
            </w:pPr>
            <w:r w:rsidRPr="00C743A5">
              <w:rPr>
                <w:b/>
                <w:bCs/>
              </w:rPr>
              <w:t>ecoBiz</w:t>
            </w:r>
          </w:p>
          <w:p w:rsidR="00CF19B7" w:rsidRPr="00C743A5" w:rsidRDefault="00CF19B7" w:rsidP="00C743A5">
            <w:r w:rsidRPr="00C743A5">
              <w:t>The ecoBiz program helps Queensland companies measure their current energy, water and waste use, identify opportunities, and plan and implement efficient business practices. ecoBiz incorporates a number of programs including ecoBiz webinars, face to face coaching sessions, tools and resources.</w:t>
            </w:r>
            <w:r w:rsidRPr="00C743A5" w:rsidDel="00901263">
              <w:t xml:space="preserve"> </w:t>
            </w:r>
          </w:p>
        </w:tc>
      </w:tr>
      <w:tr w:rsidR="00D31293" w:rsidRPr="008823E6" w:rsidTr="0061636F">
        <w:trPr>
          <w:cnfStyle w:val="000000100000" w:firstRow="0" w:lastRow="0" w:firstColumn="0" w:lastColumn="0" w:oddVBand="0" w:evenVBand="0" w:oddHBand="1" w:evenHBand="0" w:firstRowFirstColumn="0" w:firstRowLastColumn="0" w:lastRowFirstColumn="0" w:lastRowLastColumn="0"/>
        </w:trPr>
        <w:tc>
          <w:tcPr>
            <w:tcW w:w="5000" w:type="pct"/>
          </w:tcPr>
          <w:p w:rsidR="00D31293" w:rsidRPr="00C743A5" w:rsidRDefault="00D31293" w:rsidP="00C743A5">
            <w:pPr>
              <w:rPr>
                <w:b/>
                <w:bCs/>
              </w:rPr>
            </w:pPr>
            <w:r w:rsidRPr="00C743A5">
              <w:rPr>
                <w:b/>
                <w:bCs/>
              </w:rPr>
              <w:t>Proposed Energy Efficiency Scheme for Queensland</w:t>
            </w:r>
          </w:p>
          <w:p w:rsidR="00D31293" w:rsidRPr="00C743A5" w:rsidRDefault="00D31293" w:rsidP="00C743A5">
            <w:r w:rsidRPr="00C743A5">
              <w:t>The Queensland Government has made a commitment to implement an Energy Efficiency Scheme. Such schemes are used to incentivise investment in activities which deliver energy and bill savings to households and can be an effective way to accelerate energy efficient technology uptake and reduce greenhouse gas emissions. </w:t>
            </w:r>
          </w:p>
        </w:tc>
      </w:tr>
      <w:tr w:rsidR="00D31293" w:rsidRPr="008823E6" w:rsidTr="0061636F">
        <w:trPr>
          <w:cnfStyle w:val="000000010000" w:firstRow="0" w:lastRow="0" w:firstColumn="0" w:lastColumn="0" w:oddVBand="0" w:evenVBand="0" w:oddHBand="0" w:evenHBand="1" w:firstRowFirstColumn="0" w:firstRowLastColumn="0" w:lastRowFirstColumn="0" w:lastRowLastColumn="0"/>
        </w:trPr>
        <w:tc>
          <w:tcPr>
            <w:tcW w:w="5000" w:type="pct"/>
          </w:tcPr>
          <w:p w:rsidR="00D31293" w:rsidRPr="00C743A5" w:rsidRDefault="00D31293" w:rsidP="00C743A5">
            <w:pPr>
              <w:rPr>
                <w:b/>
                <w:bCs/>
              </w:rPr>
            </w:pPr>
            <w:r w:rsidRPr="00C743A5">
              <w:rPr>
                <w:b/>
                <w:bCs/>
              </w:rPr>
              <w:t>Decarbonising Remote Communities</w:t>
            </w:r>
          </w:p>
          <w:p w:rsidR="00D31293" w:rsidRPr="00C743A5" w:rsidRDefault="009C3300" w:rsidP="00C743A5">
            <w:r w:rsidRPr="00C743A5">
              <w:t>This is a c</w:t>
            </w:r>
            <w:r w:rsidR="00D31293" w:rsidRPr="00C743A5">
              <w:t>ommitment to install renewable energy systems into four remote indigenous communities: Pormpuraaw, Mapoon, Doomadgee, Bamaga. This program will deliver community benefit, in the form of energy efficiency education, increased use and understanding of renewables, regional jobs growth, leading to sustainable communities and learning opportunities for further projects.</w:t>
            </w:r>
          </w:p>
        </w:tc>
      </w:tr>
      <w:tr w:rsidR="00CF19B7" w:rsidRPr="008823E6" w:rsidTr="0061636F">
        <w:trPr>
          <w:cnfStyle w:val="000000100000" w:firstRow="0" w:lastRow="0" w:firstColumn="0" w:lastColumn="0" w:oddVBand="0" w:evenVBand="0" w:oddHBand="1" w:evenHBand="0" w:firstRowFirstColumn="0" w:firstRowLastColumn="0" w:lastRowFirstColumn="0" w:lastRowLastColumn="0"/>
        </w:trPr>
        <w:tc>
          <w:tcPr>
            <w:tcW w:w="5000" w:type="pct"/>
          </w:tcPr>
          <w:p w:rsidR="00CF19B7" w:rsidRPr="00C743A5" w:rsidRDefault="00CF19B7" w:rsidP="00C743A5">
            <w:pPr>
              <w:rPr>
                <w:b/>
                <w:bCs/>
              </w:rPr>
            </w:pPr>
            <w:r w:rsidRPr="00C743A5">
              <w:rPr>
                <w:b/>
                <w:bCs/>
              </w:rPr>
              <w:t>Energy Savers Plus Program</w:t>
            </w:r>
            <w:r w:rsidR="00D31293" w:rsidRPr="00C743A5">
              <w:rPr>
                <w:b/>
                <w:bCs/>
              </w:rPr>
              <w:t xml:space="preserve"> Extension</w:t>
            </w:r>
          </w:p>
          <w:p w:rsidR="00CF19B7" w:rsidRPr="00C743A5" w:rsidRDefault="00D31293" w:rsidP="00C743A5">
            <w:r w:rsidRPr="00C743A5">
              <w:t>The Energy Savers Plus Program was designed to help farmers identify where they can make significant savings for their on-farm energy usage. In November 2018, the Energy Savers Plus Program Extension commenced and is a continuation of the Energy Savers Plus Program. It is being delivered by the Queensland Farmers’ Federation. The program continues to provide farmers with personalised audits that identify opportunities to reduce their energy costs and includes helpful information on financing options to help with energy efficiency upgrades.</w:t>
            </w:r>
          </w:p>
        </w:tc>
      </w:tr>
      <w:tr w:rsidR="00D31293" w:rsidRPr="008823E6" w:rsidTr="0061636F">
        <w:trPr>
          <w:cnfStyle w:val="000000010000" w:firstRow="0" w:lastRow="0" w:firstColumn="0" w:lastColumn="0" w:oddVBand="0" w:evenVBand="0" w:oddHBand="0" w:evenHBand="1" w:firstRowFirstColumn="0" w:firstRowLastColumn="0" w:lastRowFirstColumn="0" w:lastRowLastColumn="0"/>
        </w:trPr>
        <w:tc>
          <w:tcPr>
            <w:tcW w:w="5000" w:type="pct"/>
          </w:tcPr>
          <w:p w:rsidR="00D31293" w:rsidRPr="00C743A5" w:rsidRDefault="00D31293" w:rsidP="00C743A5">
            <w:pPr>
              <w:rPr>
                <w:b/>
                <w:bCs/>
              </w:rPr>
            </w:pPr>
            <w:r w:rsidRPr="00C743A5">
              <w:rPr>
                <w:b/>
                <w:bCs/>
              </w:rPr>
              <w:t>Energex PeakSmart Air-conditioning Program (Distribution Business Program)</w:t>
            </w:r>
          </w:p>
          <w:p w:rsidR="00D31293" w:rsidRPr="00C743A5" w:rsidRDefault="00D31293" w:rsidP="00C743A5">
            <w:r w:rsidRPr="00C743A5">
              <w:t>A program for replacing or purchasing a new air-conditioner to help manage peak demand by installing a PeakSmart air-conditioner.</w:t>
            </w:r>
          </w:p>
        </w:tc>
      </w:tr>
      <w:tr w:rsidR="00D31293" w:rsidRPr="008823E6" w:rsidTr="0061636F">
        <w:trPr>
          <w:cnfStyle w:val="000000100000" w:firstRow="0" w:lastRow="0" w:firstColumn="0" w:lastColumn="0" w:oddVBand="0" w:evenVBand="0" w:oddHBand="1" w:evenHBand="0" w:firstRowFirstColumn="0" w:firstRowLastColumn="0" w:lastRowFirstColumn="0" w:lastRowLastColumn="0"/>
        </w:trPr>
        <w:tc>
          <w:tcPr>
            <w:tcW w:w="5000" w:type="pct"/>
          </w:tcPr>
          <w:p w:rsidR="00D31293" w:rsidRPr="00C743A5" w:rsidRDefault="00D31293" w:rsidP="00C743A5">
            <w:pPr>
              <w:rPr>
                <w:b/>
                <w:bCs/>
              </w:rPr>
            </w:pPr>
            <w:r w:rsidRPr="00C743A5">
              <w:rPr>
                <w:b/>
                <w:bCs/>
              </w:rPr>
              <w:t>Energex Positive Payback Program (Distribution Business Program)</w:t>
            </w:r>
          </w:p>
          <w:p w:rsidR="00D31293" w:rsidRPr="00C743A5" w:rsidRDefault="00D31293" w:rsidP="00C743A5">
            <w:r w:rsidRPr="00C743A5">
              <w:t>The program reward</w:t>
            </w:r>
            <w:r w:rsidR="00E06992" w:rsidRPr="00C743A5">
              <w:t>s</w:t>
            </w:r>
            <w:r w:rsidRPr="00C743A5">
              <w:t xml:space="preserve"> homes and businesses for using energy efficiently including:</w:t>
            </w:r>
            <w:r w:rsidRPr="00C743A5" w:rsidDel="001B266F">
              <w:t xml:space="preserve"> </w:t>
            </w:r>
          </w:p>
          <w:p w:rsidR="00D31293" w:rsidRPr="00D50402" w:rsidRDefault="00D31293" w:rsidP="0061636F">
            <w:pPr>
              <w:pStyle w:val="ListBullet"/>
            </w:pPr>
            <w:r w:rsidRPr="00D50402">
              <w:t xml:space="preserve">households </w:t>
            </w:r>
            <w:r>
              <w:t>–</w:t>
            </w:r>
            <w:r w:rsidRPr="00D50402">
              <w:t xml:space="preserve"> </w:t>
            </w:r>
            <w:r>
              <w:t>use of energy saving technologies and energy efficien</w:t>
            </w:r>
            <w:r w:rsidR="00B30F2D">
              <w:t>t</w:t>
            </w:r>
            <w:r>
              <w:t xml:space="preserve"> appliances such as air conditioners</w:t>
            </w:r>
            <w:r w:rsidR="00E06992">
              <w:t>.</w:t>
            </w:r>
          </w:p>
          <w:p w:rsidR="00D31293" w:rsidRPr="00D50402" w:rsidRDefault="00D31293" w:rsidP="0061636F">
            <w:pPr>
              <w:pStyle w:val="ListBullet"/>
            </w:pPr>
            <w:r>
              <w:t>business – supports upgrade or replacement of energy efficien</w:t>
            </w:r>
            <w:r w:rsidR="00B30F2D">
              <w:t>t</w:t>
            </w:r>
            <w:r>
              <w:t xml:space="preserve"> products such as lighting, motors or refrigeration</w:t>
            </w:r>
            <w:r w:rsidR="00E06992">
              <w:t>.</w:t>
            </w:r>
          </w:p>
          <w:p w:rsidR="00D31293" w:rsidRPr="00D50402" w:rsidRDefault="00D31293" w:rsidP="0061636F">
            <w:pPr>
              <w:pStyle w:val="ListBullet"/>
            </w:pPr>
            <w:r>
              <w:t>builders and developers – encourage the installation</w:t>
            </w:r>
            <w:r w:rsidR="00B30F2D">
              <w:t xml:space="preserve"> of</w:t>
            </w:r>
            <w:r>
              <w:t xml:space="preserve"> energy smart appliances</w:t>
            </w:r>
            <w:r w:rsidR="00E06992">
              <w:t>.</w:t>
            </w:r>
            <w:r>
              <w:t xml:space="preserve"> </w:t>
            </w:r>
          </w:p>
          <w:p w:rsidR="00D31293" w:rsidRDefault="00D31293" w:rsidP="0061636F">
            <w:pPr>
              <w:pStyle w:val="ListBullet"/>
              <w:rPr>
                <w:b/>
              </w:rPr>
            </w:pPr>
            <w:r>
              <w:t>retailers and tradespeople – provide information to clients relating to the latest energy saving technologies</w:t>
            </w:r>
            <w:r w:rsidR="00E06992">
              <w:t>.</w:t>
            </w:r>
          </w:p>
        </w:tc>
      </w:tr>
    </w:tbl>
    <w:p w:rsidR="00CF19B7" w:rsidRDefault="00CF19B7" w:rsidP="00CF19B7"/>
    <w:p w:rsidR="00CF19B7" w:rsidRDefault="00CF19B7">
      <w:pPr>
        <w:spacing w:after="0" w:line="240" w:lineRule="auto"/>
        <w:rPr>
          <w:b/>
        </w:rPr>
      </w:pPr>
      <w:r>
        <w:rPr>
          <w:b/>
        </w:rPr>
        <w:br w:type="page"/>
      </w:r>
    </w:p>
    <w:p w:rsidR="00CF19B7" w:rsidRPr="00C743A5" w:rsidRDefault="00CF19B7" w:rsidP="0061636F">
      <w:pPr>
        <w:pStyle w:val="Heading3"/>
      </w:pPr>
      <w:bookmarkStart w:id="116" w:name="_Toc18661032"/>
      <w:r w:rsidRPr="00C743A5">
        <w:lastRenderedPageBreak/>
        <w:t>South Australia</w:t>
      </w:r>
      <w:bookmarkEnd w:id="116"/>
    </w:p>
    <w:tbl>
      <w:tblPr>
        <w:tblStyle w:val="TableGrid"/>
        <w:tblW w:w="5000" w:type="pct"/>
        <w:tblLook w:val="04A0" w:firstRow="1" w:lastRow="0" w:firstColumn="1" w:lastColumn="0" w:noHBand="0" w:noVBand="1"/>
      </w:tblPr>
      <w:tblGrid>
        <w:gridCol w:w="9016"/>
      </w:tblGrid>
      <w:tr w:rsidR="00CF19B7" w:rsidRPr="008823E6" w:rsidTr="009115F1">
        <w:trPr>
          <w:cnfStyle w:val="100000000000" w:firstRow="1" w:lastRow="0" w:firstColumn="0" w:lastColumn="0" w:oddVBand="0" w:evenVBand="0" w:oddHBand="0" w:evenHBand="0" w:firstRowFirstColumn="0" w:firstRowLastColumn="0" w:lastRowFirstColumn="0" w:lastRowLastColumn="0"/>
          <w:tblHeader/>
        </w:trPr>
        <w:tc>
          <w:tcPr>
            <w:tcW w:w="5000" w:type="pct"/>
          </w:tcPr>
          <w:p w:rsidR="00CF19B7" w:rsidRPr="00C743A5" w:rsidRDefault="00CF19B7" w:rsidP="00C743A5">
            <w:pPr>
              <w:rPr>
                <w:b/>
                <w:bCs/>
              </w:rPr>
            </w:pPr>
            <w:r w:rsidRPr="00C743A5">
              <w:rPr>
                <w:b/>
                <w:bCs/>
              </w:rPr>
              <w:t>Building Upgrade Finance</w:t>
            </w:r>
          </w:p>
          <w:p w:rsidR="00CF19B7" w:rsidRPr="00C743A5" w:rsidRDefault="00CF19B7" w:rsidP="00C743A5">
            <w:r w:rsidRPr="00C743A5">
              <w:t xml:space="preserve">The mechanism is designed to tackle market barriers that often impede commercial building upgrades. These barriers include access to the capital to fund upgrade projects, and the split incentive between landlords and tenants in leased buildings. </w:t>
            </w:r>
          </w:p>
        </w:tc>
      </w:tr>
      <w:tr w:rsidR="00CF19B7" w:rsidRPr="008823E6" w:rsidTr="009115F1">
        <w:trPr>
          <w:cnfStyle w:val="000000100000" w:firstRow="0" w:lastRow="0" w:firstColumn="0" w:lastColumn="0" w:oddVBand="0" w:evenVBand="0" w:oddHBand="1" w:evenHBand="0" w:firstRowFirstColumn="0" w:firstRowLastColumn="0" w:lastRowFirstColumn="0" w:lastRowLastColumn="0"/>
        </w:trPr>
        <w:tc>
          <w:tcPr>
            <w:tcW w:w="5000" w:type="pct"/>
          </w:tcPr>
          <w:p w:rsidR="00CF19B7" w:rsidRPr="00C743A5" w:rsidRDefault="00CF19B7" w:rsidP="00C743A5">
            <w:pPr>
              <w:rPr>
                <w:b/>
                <w:bCs/>
              </w:rPr>
            </w:pPr>
            <w:r w:rsidRPr="00C743A5">
              <w:rPr>
                <w:b/>
                <w:bCs/>
              </w:rPr>
              <w:t>Business Sustainability Program</w:t>
            </w:r>
          </w:p>
          <w:p w:rsidR="00CF19B7" w:rsidRPr="008823E6" w:rsidRDefault="00E06992" w:rsidP="003442DC">
            <w:pPr>
              <w:spacing w:before="60" w:after="60" w:line="240" w:lineRule="auto"/>
              <w:mirrorIndents w:val="0"/>
              <w:rPr>
                <w:rFonts w:cs="Arial"/>
                <w:szCs w:val="20"/>
              </w:rPr>
            </w:pPr>
            <w:r>
              <w:rPr>
                <w:rFonts w:asciiTheme="minorHAnsi" w:hAnsiTheme="minorHAnsi" w:cs="Arial"/>
                <w:color w:val="231F20"/>
                <w:sz w:val="22"/>
                <w:shd w:val="clear" w:color="auto" w:fill="FFFFFF"/>
              </w:rPr>
              <w:t>The program s</w:t>
            </w:r>
            <w:r w:rsidR="00CF19B7" w:rsidRPr="0027235A">
              <w:rPr>
                <w:rFonts w:asciiTheme="minorHAnsi" w:hAnsiTheme="minorHAnsi" w:cs="Arial"/>
                <w:color w:val="231F20"/>
                <w:sz w:val="22"/>
                <w:shd w:val="clear" w:color="auto" w:fill="FFFFFF"/>
              </w:rPr>
              <w:t>upport</w:t>
            </w:r>
            <w:r>
              <w:rPr>
                <w:rFonts w:asciiTheme="minorHAnsi" w:hAnsiTheme="minorHAnsi" w:cs="Arial"/>
                <w:color w:val="231F20"/>
                <w:sz w:val="22"/>
                <w:shd w:val="clear" w:color="auto" w:fill="FFFFFF"/>
              </w:rPr>
              <w:t>s</w:t>
            </w:r>
            <w:r w:rsidR="00CF19B7" w:rsidRPr="0027235A">
              <w:rPr>
                <w:rFonts w:asciiTheme="minorHAnsi" w:hAnsiTheme="minorHAnsi" w:cs="Arial"/>
                <w:color w:val="231F20"/>
                <w:sz w:val="22"/>
                <w:shd w:val="clear" w:color="auto" w:fill="FFFFFF"/>
              </w:rPr>
              <w:t xml:space="preserve"> South Australian business and industry in recognising and implementing resource efficiency and improved waste management practices as a way to boost productivity, profitability and environmental performance</w:t>
            </w:r>
            <w:r w:rsidR="00CF19B7" w:rsidRPr="00C743A5">
              <w:t>.</w:t>
            </w:r>
          </w:p>
        </w:tc>
      </w:tr>
      <w:tr w:rsidR="00CF19B7" w:rsidRPr="008823E6" w:rsidTr="009115F1">
        <w:trPr>
          <w:cnfStyle w:val="000000010000" w:firstRow="0" w:lastRow="0" w:firstColumn="0" w:lastColumn="0" w:oddVBand="0" w:evenVBand="0" w:oddHBand="0" w:evenHBand="1" w:firstRowFirstColumn="0" w:firstRowLastColumn="0" w:lastRowFirstColumn="0" w:lastRowLastColumn="0"/>
        </w:trPr>
        <w:tc>
          <w:tcPr>
            <w:tcW w:w="5000" w:type="pct"/>
          </w:tcPr>
          <w:p w:rsidR="00CF19B7" w:rsidRPr="00C743A5" w:rsidRDefault="00CF19B7" w:rsidP="00C743A5">
            <w:pPr>
              <w:rPr>
                <w:b/>
                <w:bCs/>
              </w:rPr>
            </w:pPr>
            <w:r w:rsidRPr="00C743A5">
              <w:rPr>
                <w:b/>
                <w:bCs/>
              </w:rPr>
              <w:t>Energy Advisory Service</w:t>
            </w:r>
          </w:p>
          <w:p w:rsidR="00CF19B7" w:rsidRPr="00C743A5" w:rsidRDefault="00CF19B7" w:rsidP="00C743A5">
            <w:r w:rsidRPr="00C743A5">
              <w:t>Th</w:t>
            </w:r>
            <w:r w:rsidR="009E1B16" w:rsidRPr="00C743A5">
              <w:t>is</w:t>
            </w:r>
            <w:r w:rsidRPr="00C743A5">
              <w:t xml:space="preserve"> Government </w:t>
            </w:r>
            <w:r w:rsidR="009E1B16" w:rsidRPr="00C743A5">
              <w:t>s</w:t>
            </w:r>
            <w:r w:rsidRPr="00C743A5">
              <w:t xml:space="preserve">ervice provides free, independent information on a range of energy topics, including: saving energy at home, understanding bills and meters, calculating appliance running costs and renewable energy technology.  </w:t>
            </w:r>
          </w:p>
        </w:tc>
      </w:tr>
      <w:tr w:rsidR="00CF19B7" w:rsidRPr="008823E6" w:rsidTr="009115F1">
        <w:trPr>
          <w:cnfStyle w:val="000000100000" w:firstRow="0" w:lastRow="0" w:firstColumn="0" w:lastColumn="0" w:oddVBand="0" w:evenVBand="0" w:oddHBand="1" w:evenHBand="0" w:firstRowFirstColumn="0" w:firstRowLastColumn="0" w:lastRowFirstColumn="0" w:lastRowLastColumn="0"/>
        </w:trPr>
        <w:tc>
          <w:tcPr>
            <w:tcW w:w="5000" w:type="pct"/>
          </w:tcPr>
          <w:p w:rsidR="00CF19B7" w:rsidRPr="00C743A5" w:rsidRDefault="00CF19B7" w:rsidP="00C743A5">
            <w:pPr>
              <w:rPr>
                <w:b/>
                <w:bCs/>
              </w:rPr>
            </w:pPr>
            <w:r w:rsidRPr="00C743A5">
              <w:rPr>
                <w:b/>
                <w:bCs/>
              </w:rPr>
              <w:t>Energy Partners Program</w:t>
            </w:r>
          </w:p>
          <w:p w:rsidR="00CF19B7" w:rsidRPr="00C743A5" w:rsidRDefault="00CF19B7" w:rsidP="00C743A5">
            <w:r w:rsidRPr="00C743A5">
              <w:t xml:space="preserve">The </w:t>
            </w:r>
            <w:r w:rsidR="009E1B16" w:rsidRPr="00C743A5">
              <w:t>p</w:t>
            </w:r>
            <w:r w:rsidRPr="00C743A5">
              <w:t xml:space="preserve">rogram works with over 100 organisations across the state to help South Australians manage their energy use and costs. </w:t>
            </w:r>
          </w:p>
        </w:tc>
      </w:tr>
      <w:tr w:rsidR="00CF19B7" w:rsidRPr="008823E6" w:rsidTr="009115F1">
        <w:trPr>
          <w:cnfStyle w:val="000000010000" w:firstRow="0" w:lastRow="0" w:firstColumn="0" w:lastColumn="0" w:oddVBand="0" w:evenVBand="0" w:oddHBand="0" w:evenHBand="1" w:firstRowFirstColumn="0" w:firstRowLastColumn="0" w:lastRowFirstColumn="0" w:lastRowLastColumn="0"/>
        </w:trPr>
        <w:tc>
          <w:tcPr>
            <w:tcW w:w="5000" w:type="pct"/>
          </w:tcPr>
          <w:p w:rsidR="00CF19B7" w:rsidRPr="00C743A5" w:rsidRDefault="00CF19B7" w:rsidP="00C743A5">
            <w:pPr>
              <w:rPr>
                <w:b/>
                <w:bCs/>
              </w:rPr>
            </w:pPr>
            <w:r w:rsidRPr="00C743A5">
              <w:rPr>
                <w:b/>
                <w:bCs/>
              </w:rPr>
              <w:t>Energy Productivity Program</w:t>
            </w:r>
          </w:p>
          <w:p w:rsidR="00CF19B7" w:rsidRPr="00C743A5" w:rsidRDefault="00203466" w:rsidP="00C743A5">
            <w:r w:rsidRPr="00C743A5">
              <w:t xml:space="preserve">The </w:t>
            </w:r>
            <w:r w:rsidR="009E1B16" w:rsidRPr="00C743A5">
              <w:t>p</w:t>
            </w:r>
            <w:r w:rsidRPr="00C743A5">
              <w:t xml:space="preserve">rogram assisted South Australian businesses using more than 160 MWh of electricity each year to reduce their electricity costs through improved energy productivity and to contribute energy supply benefits to the state. The </w:t>
            </w:r>
            <w:r w:rsidR="009E1B16" w:rsidRPr="00C743A5">
              <w:t>p</w:t>
            </w:r>
            <w:r w:rsidRPr="00C743A5">
              <w:t>rogram is now closed to new applicants.</w:t>
            </w:r>
          </w:p>
        </w:tc>
      </w:tr>
      <w:tr w:rsidR="00CF19B7" w:rsidRPr="008823E6" w:rsidTr="009115F1">
        <w:trPr>
          <w:cnfStyle w:val="000000100000" w:firstRow="0" w:lastRow="0" w:firstColumn="0" w:lastColumn="0" w:oddVBand="0" w:evenVBand="0" w:oddHBand="1" w:evenHBand="0" w:firstRowFirstColumn="0" w:firstRowLastColumn="0" w:lastRowFirstColumn="0" w:lastRowLastColumn="0"/>
        </w:trPr>
        <w:tc>
          <w:tcPr>
            <w:tcW w:w="5000" w:type="pct"/>
          </w:tcPr>
          <w:p w:rsidR="00CF19B7" w:rsidRPr="00C743A5" w:rsidRDefault="00CF19B7" w:rsidP="00C743A5">
            <w:pPr>
              <w:rPr>
                <w:b/>
                <w:bCs/>
              </w:rPr>
            </w:pPr>
            <w:r w:rsidRPr="00C743A5">
              <w:rPr>
                <w:b/>
                <w:bCs/>
              </w:rPr>
              <w:t>Home Energy Toolkits</w:t>
            </w:r>
          </w:p>
          <w:p w:rsidR="00CF19B7" w:rsidRPr="008823E6" w:rsidRDefault="00CF19B7" w:rsidP="00203466">
            <w:pPr>
              <w:spacing w:before="60" w:after="60" w:line="240" w:lineRule="auto"/>
              <w:mirrorIndents w:val="0"/>
              <w:rPr>
                <w:rFonts w:cs="Arial"/>
                <w:szCs w:val="20"/>
              </w:rPr>
            </w:pPr>
            <w:r w:rsidRPr="00C743A5">
              <w:t xml:space="preserve">The Home Energy Toolkits contain tools and a comprehensive home energy auditing manual, which lets householders explore their home energy use in detail and learn what they can do to make savings. </w:t>
            </w:r>
            <w:r w:rsidR="00203466" w:rsidRPr="00C743A5">
              <w:t>Toolkits are available for borrowing from public libraries throughout SA.</w:t>
            </w:r>
          </w:p>
        </w:tc>
      </w:tr>
      <w:tr w:rsidR="00CF19B7" w:rsidRPr="008823E6" w:rsidTr="009115F1">
        <w:trPr>
          <w:cnfStyle w:val="000000010000" w:firstRow="0" w:lastRow="0" w:firstColumn="0" w:lastColumn="0" w:oddVBand="0" w:evenVBand="0" w:oddHBand="0" w:evenHBand="1" w:firstRowFirstColumn="0" w:firstRowLastColumn="0" w:lastRowFirstColumn="0" w:lastRowLastColumn="0"/>
        </w:trPr>
        <w:tc>
          <w:tcPr>
            <w:tcW w:w="5000" w:type="pct"/>
          </w:tcPr>
          <w:p w:rsidR="00CF19B7" w:rsidRPr="00C743A5" w:rsidRDefault="00CF19B7" w:rsidP="00C743A5">
            <w:pPr>
              <w:rPr>
                <w:b/>
                <w:bCs/>
              </w:rPr>
            </w:pPr>
            <w:r w:rsidRPr="00C743A5">
              <w:rPr>
                <w:b/>
                <w:bCs/>
              </w:rPr>
              <w:t xml:space="preserve">Retailer Energy Efficiency Scheme </w:t>
            </w:r>
          </w:p>
          <w:p w:rsidR="00CF19B7" w:rsidRPr="008823E6" w:rsidRDefault="00CF19B7" w:rsidP="003442DC">
            <w:pPr>
              <w:spacing w:before="60" w:after="60" w:line="240" w:lineRule="auto"/>
              <w:mirrorIndents w:val="0"/>
              <w:rPr>
                <w:rFonts w:cs="Arial"/>
                <w:szCs w:val="20"/>
              </w:rPr>
            </w:pPr>
            <w:r w:rsidRPr="00C743A5">
              <w:t>The</w:t>
            </w:r>
            <w:r w:rsidRPr="00C743A5">
              <w:rPr>
                <w:b/>
                <w:bCs/>
              </w:rPr>
              <w:t xml:space="preserve"> </w:t>
            </w:r>
            <w:r w:rsidR="009E1B16" w:rsidRPr="00C743A5">
              <w:rPr>
                <w:b/>
                <w:bCs/>
              </w:rPr>
              <w:t>s</w:t>
            </w:r>
            <w:r w:rsidRPr="00C743A5">
              <w:t>cheme</w:t>
            </w:r>
            <w:r w:rsidRPr="00C743A5">
              <w:rPr>
                <w:b/>
                <w:bCs/>
              </w:rPr>
              <w:t xml:space="preserve"> </w:t>
            </w:r>
            <w:r w:rsidRPr="00C743A5">
              <w:t xml:space="preserve">is a South Australian government initiative that requires energy retailers to help households and businesses save on energy use and costs, and lower their greenhouse gas emissions. </w:t>
            </w:r>
          </w:p>
        </w:tc>
      </w:tr>
      <w:tr w:rsidR="00CF19B7" w:rsidRPr="008823E6" w:rsidTr="009115F1">
        <w:trPr>
          <w:cnfStyle w:val="000000100000" w:firstRow="0" w:lastRow="0" w:firstColumn="0" w:lastColumn="0" w:oddVBand="0" w:evenVBand="0" w:oddHBand="1" w:evenHBand="0" w:firstRowFirstColumn="0" w:firstRowLastColumn="0" w:lastRowFirstColumn="0" w:lastRowLastColumn="0"/>
        </w:trPr>
        <w:tc>
          <w:tcPr>
            <w:tcW w:w="5000" w:type="pct"/>
          </w:tcPr>
          <w:p w:rsidR="00CF19B7" w:rsidRPr="00C743A5" w:rsidRDefault="00CF19B7" w:rsidP="00C743A5">
            <w:pPr>
              <w:rPr>
                <w:b/>
                <w:bCs/>
              </w:rPr>
            </w:pPr>
            <w:r w:rsidRPr="00C743A5">
              <w:rPr>
                <w:b/>
                <w:bCs/>
              </w:rPr>
              <w:t>The Sustainability Incentive Scheme</w:t>
            </w:r>
          </w:p>
          <w:p w:rsidR="00CF19B7" w:rsidRPr="00C743A5" w:rsidRDefault="00CF19B7" w:rsidP="00C743A5">
            <w:r w:rsidRPr="00C743A5">
              <w:t xml:space="preserve">A partnership program with Adelaide City Council and the Government of South Australia, the scheme provides financial rebates for a range of initiatives including solar PV, energy storage, electric vehicle charging points, solar hot water, energy monitoring and LED lighting. </w:t>
            </w:r>
          </w:p>
        </w:tc>
      </w:tr>
    </w:tbl>
    <w:p w:rsidR="00CF19B7" w:rsidRDefault="00CF19B7" w:rsidP="00CF19B7"/>
    <w:p w:rsidR="00CF19B7" w:rsidRDefault="00CF19B7">
      <w:pPr>
        <w:spacing w:after="0" w:line="240" w:lineRule="auto"/>
        <w:rPr>
          <w:b/>
        </w:rPr>
      </w:pPr>
      <w:r>
        <w:rPr>
          <w:b/>
        </w:rPr>
        <w:br w:type="page"/>
      </w:r>
    </w:p>
    <w:p w:rsidR="00CF19B7" w:rsidRPr="00C743A5" w:rsidRDefault="00CF19B7" w:rsidP="0061636F">
      <w:pPr>
        <w:pStyle w:val="Heading3"/>
      </w:pPr>
      <w:bookmarkStart w:id="117" w:name="_Toc18661033"/>
      <w:r w:rsidRPr="00C743A5">
        <w:lastRenderedPageBreak/>
        <w:t>Tasmania</w:t>
      </w:r>
      <w:bookmarkEnd w:id="117"/>
    </w:p>
    <w:tbl>
      <w:tblPr>
        <w:tblStyle w:val="TableGrid"/>
        <w:tblW w:w="5000" w:type="pct"/>
        <w:tblLook w:val="04A0" w:firstRow="1" w:lastRow="0" w:firstColumn="1" w:lastColumn="0" w:noHBand="0" w:noVBand="1"/>
      </w:tblPr>
      <w:tblGrid>
        <w:gridCol w:w="9016"/>
      </w:tblGrid>
      <w:tr w:rsidR="00CF19B7" w:rsidRPr="008823E6" w:rsidTr="009115F1">
        <w:trPr>
          <w:cnfStyle w:val="100000000000" w:firstRow="1" w:lastRow="0" w:firstColumn="0" w:lastColumn="0" w:oddVBand="0" w:evenVBand="0" w:oddHBand="0" w:evenHBand="0" w:firstRowFirstColumn="0" w:firstRowLastColumn="0" w:lastRowFirstColumn="0" w:lastRowLastColumn="0"/>
          <w:tblHeader/>
        </w:trPr>
        <w:tc>
          <w:tcPr>
            <w:tcW w:w="5000" w:type="pct"/>
          </w:tcPr>
          <w:p w:rsidR="00CF19B7" w:rsidRPr="00C743A5" w:rsidRDefault="00CF19B7" w:rsidP="00C743A5">
            <w:pPr>
              <w:rPr>
                <w:b/>
                <w:bCs/>
              </w:rPr>
            </w:pPr>
            <w:r w:rsidRPr="00C743A5">
              <w:rPr>
                <w:b/>
                <w:bCs/>
              </w:rPr>
              <w:t>Building Upgrade Finance feasibility study</w:t>
            </w:r>
          </w:p>
          <w:p w:rsidR="00CF19B7" w:rsidRPr="00C743A5" w:rsidRDefault="00FA7405" w:rsidP="00C743A5">
            <w:r w:rsidRPr="00C743A5">
              <w:t xml:space="preserve"> The Tasmanian Government has conducted a feasibility study into building upgrade financing mechanisms, including Environmental Upgrade Agreements, to incentivise capital upgrades in non-residential building stock in Tasmania and is currently considering the findings of the feasibility study.</w:t>
            </w:r>
          </w:p>
        </w:tc>
      </w:tr>
      <w:tr w:rsidR="00FA7405" w:rsidRPr="008823E6" w:rsidTr="009115F1">
        <w:trPr>
          <w:cnfStyle w:val="000000100000" w:firstRow="0" w:lastRow="0" w:firstColumn="0" w:lastColumn="0" w:oddVBand="0" w:evenVBand="0" w:oddHBand="1" w:evenHBand="0" w:firstRowFirstColumn="0" w:firstRowLastColumn="0" w:lastRowFirstColumn="0" w:lastRowLastColumn="0"/>
        </w:trPr>
        <w:tc>
          <w:tcPr>
            <w:tcW w:w="5000" w:type="pct"/>
          </w:tcPr>
          <w:p w:rsidR="00FA7405" w:rsidRPr="00C743A5" w:rsidRDefault="00FA7405" w:rsidP="00C743A5">
            <w:pPr>
              <w:rPr>
                <w:b/>
                <w:bCs/>
              </w:rPr>
            </w:pPr>
            <w:r w:rsidRPr="00C743A5">
              <w:rPr>
                <w:b/>
                <w:bCs/>
              </w:rPr>
              <w:t>Power$mart Businesses</w:t>
            </w:r>
          </w:p>
          <w:p w:rsidR="00FA7405" w:rsidRPr="00C743A5" w:rsidRDefault="00FA7405" w:rsidP="00C743A5">
            <w:r w:rsidRPr="00C743A5">
              <w:t xml:space="preserve">Funding of $150,000 is available over </w:t>
            </w:r>
            <w:r w:rsidR="009E1B16" w:rsidRPr="00C743A5">
              <w:t>two</w:t>
            </w:r>
            <w:r w:rsidRPr="00C743A5">
              <w:t xml:space="preserve"> years to co-fund energy efficiency audits for Tasmanian small and medium sized businesses with priority given to commercial office and retail tenancies, independent supermarkets and commercial accommodation.</w:t>
            </w:r>
          </w:p>
        </w:tc>
      </w:tr>
      <w:tr w:rsidR="00FA7405" w:rsidRPr="008823E6" w:rsidTr="009115F1">
        <w:trPr>
          <w:cnfStyle w:val="000000010000" w:firstRow="0" w:lastRow="0" w:firstColumn="0" w:lastColumn="0" w:oddVBand="0" w:evenVBand="0" w:oddHBand="0" w:evenHBand="1" w:firstRowFirstColumn="0" w:firstRowLastColumn="0" w:lastRowFirstColumn="0" w:lastRowLastColumn="0"/>
        </w:trPr>
        <w:tc>
          <w:tcPr>
            <w:tcW w:w="5000" w:type="pct"/>
          </w:tcPr>
          <w:p w:rsidR="00FA7405" w:rsidRPr="00C743A5" w:rsidRDefault="00FA7405" w:rsidP="00C743A5">
            <w:pPr>
              <w:rPr>
                <w:b/>
                <w:bCs/>
              </w:rPr>
            </w:pPr>
            <w:r w:rsidRPr="00C743A5">
              <w:rPr>
                <w:b/>
                <w:bCs/>
              </w:rPr>
              <w:t>Energy Efficiency Expert Panel</w:t>
            </w:r>
          </w:p>
          <w:p w:rsidR="00FA7405" w:rsidRPr="00C743A5" w:rsidRDefault="00FA7405" w:rsidP="00C743A5">
            <w:r w:rsidRPr="00C743A5">
              <w:t>A panel of energy efficiency consultants has been established to support the Power$mart Businesses program and to conduct energy audits for government agency facilities with funding of $100,000 available over 2 years.</w:t>
            </w:r>
          </w:p>
        </w:tc>
      </w:tr>
      <w:tr w:rsidR="00CF19B7" w:rsidRPr="008823E6" w:rsidTr="009115F1">
        <w:trPr>
          <w:cnfStyle w:val="000000100000" w:firstRow="0" w:lastRow="0" w:firstColumn="0" w:lastColumn="0" w:oddVBand="0" w:evenVBand="0" w:oddHBand="1" w:evenHBand="0" w:firstRowFirstColumn="0" w:firstRowLastColumn="0" w:lastRowFirstColumn="0" w:lastRowLastColumn="0"/>
        </w:trPr>
        <w:tc>
          <w:tcPr>
            <w:tcW w:w="5000" w:type="pct"/>
          </w:tcPr>
          <w:p w:rsidR="00CF19B7" w:rsidRPr="00C743A5" w:rsidRDefault="00CF19B7" w:rsidP="00C743A5">
            <w:pPr>
              <w:rPr>
                <w:b/>
                <w:bCs/>
              </w:rPr>
            </w:pPr>
            <w:r w:rsidRPr="00C743A5">
              <w:rPr>
                <w:b/>
                <w:bCs/>
              </w:rPr>
              <w:t>Tasmanian Energy Efficiency Loan Scheme</w:t>
            </w:r>
          </w:p>
          <w:p w:rsidR="00CF19B7" w:rsidRPr="00C743A5" w:rsidRDefault="00CF19B7" w:rsidP="00C743A5">
            <w:r w:rsidRPr="00C743A5">
              <w:t xml:space="preserve">The </w:t>
            </w:r>
            <w:r w:rsidR="00FA7405" w:rsidRPr="00C743A5">
              <w:t xml:space="preserve">$40 million </w:t>
            </w:r>
            <w:r w:rsidRPr="00C743A5">
              <w:t xml:space="preserve">Loan Scheme is a joint initiative of the Tasmanian Government, Aurora Energy and the Westpac Group. The Scheme provides interest-free finance for the purchase of energy efficient products for Tasmanian households and small businesses. </w:t>
            </w:r>
          </w:p>
        </w:tc>
      </w:tr>
      <w:tr w:rsidR="00FA7405" w:rsidRPr="008823E6" w:rsidTr="009115F1">
        <w:trPr>
          <w:cnfStyle w:val="000000010000" w:firstRow="0" w:lastRow="0" w:firstColumn="0" w:lastColumn="0" w:oddVBand="0" w:evenVBand="0" w:oddHBand="0" w:evenHBand="1" w:firstRowFirstColumn="0" w:firstRowLastColumn="0" w:lastRowFirstColumn="0" w:lastRowLastColumn="0"/>
        </w:trPr>
        <w:tc>
          <w:tcPr>
            <w:tcW w:w="5000" w:type="pct"/>
          </w:tcPr>
          <w:p w:rsidR="00FA7405" w:rsidRPr="00C743A5" w:rsidRDefault="00FA7405" w:rsidP="00C743A5">
            <w:pPr>
              <w:rPr>
                <w:b/>
                <w:bCs/>
              </w:rPr>
            </w:pPr>
            <w:r w:rsidRPr="00C743A5">
              <w:rPr>
                <w:b/>
                <w:bCs/>
              </w:rPr>
              <w:t>On-farm Energy Audit and Capital Grant Program</w:t>
            </w:r>
          </w:p>
          <w:p w:rsidR="00FA7405" w:rsidRPr="00C743A5" w:rsidRDefault="00FA7405" w:rsidP="00C743A5">
            <w:r w:rsidRPr="00C743A5">
              <w:t xml:space="preserve">Funding of $750,000 is available over </w:t>
            </w:r>
            <w:r w:rsidR="009E1B16" w:rsidRPr="00C743A5">
              <w:t>three</w:t>
            </w:r>
            <w:r w:rsidRPr="00C743A5">
              <w:t xml:space="preserve"> years for grants of up to $20,000 to farmers to conduct energy and irrigation audits of their operations and to support capital upgrades to improve the energy efficiency of farming equipment and systems.</w:t>
            </w:r>
          </w:p>
        </w:tc>
      </w:tr>
    </w:tbl>
    <w:p w:rsidR="00CF19B7" w:rsidRPr="00EF53FF" w:rsidRDefault="00CF19B7" w:rsidP="00CF19B7"/>
    <w:p w:rsidR="00CF19B7" w:rsidRDefault="00CF19B7">
      <w:pPr>
        <w:spacing w:after="0" w:line="240" w:lineRule="auto"/>
        <w:rPr>
          <w:b/>
        </w:rPr>
      </w:pPr>
      <w:r>
        <w:rPr>
          <w:b/>
        </w:rPr>
        <w:br w:type="page"/>
      </w:r>
    </w:p>
    <w:p w:rsidR="00CF19B7" w:rsidRPr="00C743A5" w:rsidRDefault="00CF19B7" w:rsidP="0061636F">
      <w:pPr>
        <w:pStyle w:val="Heading3"/>
      </w:pPr>
      <w:bookmarkStart w:id="118" w:name="_Toc18661034"/>
      <w:r w:rsidRPr="00C743A5">
        <w:lastRenderedPageBreak/>
        <w:t>Victoria</w:t>
      </w:r>
      <w:bookmarkEnd w:id="118"/>
    </w:p>
    <w:tbl>
      <w:tblPr>
        <w:tblStyle w:val="TableGrid"/>
        <w:tblW w:w="5000" w:type="pct"/>
        <w:tblLook w:val="04A0" w:firstRow="1" w:lastRow="0" w:firstColumn="1" w:lastColumn="0" w:noHBand="0" w:noVBand="1"/>
      </w:tblPr>
      <w:tblGrid>
        <w:gridCol w:w="9016"/>
      </w:tblGrid>
      <w:tr w:rsidR="00CF19B7" w:rsidRPr="008823E6" w:rsidTr="0061636F">
        <w:trPr>
          <w:cnfStyle w:val="100000000000" w:firstRow="1" w:lastRow="0" w:firstColumn="0" w:lastColumn="0" w:oddVBand="0" w:evenVBand="0" w:oddHBand="0" w:evenHBand="0" w:firstRowFirstColumn="0" w:firstRowLastColumn="0" w:lastRowFirstColumn="0" w:lastRowLastColumn="0"/>
        </w:trPr>
        <w:tc>
          <w:tcPr>
            <w:tcW w:w="5000" w:type="pct"/>
          </w:tcPr>
          <w:p w:rsidR="00CF19B7" w:rsidRPr="00C743A5" w:rsidRDefault="00CF19B7" w:rsidP="00C743A5">
            <w:pPr>
              <w:rPr>
                <w:b/>
                <w:bCs/>
              </w:rPr>
            </w:pPr>
            <w:r w:rsidRPr="00C743A5">
              <w:rPr>
                <w:b/>
                <w:bCs/>
              </w:rPr>
              <w:t>Better Commercial Buildings</w:t>
            </w:r>
          </w:p>
          <w:p w:rsidR="00CF19B7" w:rsidRPr="00C743A5" w:rsidRDefault="006E1747" w:rsidP="00C743A5">
            <w:r w:rsidRPr="00C743A5">
              <w:t>The Better Commercial Buildings program is supporting the implementation of energy efficiency improvements in 50 mid-tier commercial buildings. Targeted buildings are larger than 1,000 square metres and rated at 3 Star and below using the National Australian Built Environment Rating System (NABERS) Energy rating. Applications have now closed.</w:t>
            </w:r>
          </w:p>
        </w:tc>
      </w:tr>
      <w:tr w:rsidR="00CF19B7" w:rsidRPr="008823E6" w:rsidTr="0061636F">
        <w:trPr>
          <w:cnfStyle w:val="000000100000" w:firstRow="0" w:lastRow="0" w:firstColumn="0" w:lastColumn="0" w:oddVBand="0" w:evenVBand="0" w:oddHBand="1" w:evenHBand="0" w:firstRowFirstColumn="0" w:firstRowLastColumn="0" w:lastRowFirstColumn="0" w:lastRowLastColumn="0"/>
        </w:trPr>
        <w:tc>
          <w:tcPr>
            <w:tcW w:w="5000" w:type="pct"/>
          </w:tcPr>
          <w:p w:rsidR="00CF19B7" w:rsidRPr="00C743A5" w:rsidRDefault="00CF19B7" w:rsidP="00C743A5">
            <w:pPr>
              <w:rPr>
                <w:b/>
                <w:bCs/>
              </w:rPr>
            </w:pPr>
            <w:r w:rsidRPr="00C743A5">
              <w:rPr>
                <w:b/>
                <w:bCs/>
              </w:rPr>
              <w:t>Boosting Business Productivity</w:t>
            </w:r>
          </w:p>
          <w:p w:rsidR="00CF19B7" w:rsidRPr="00C743A5" w:rsidRDefault="006E1747" w:rsidP="00C743A5">
            <w:r w:rsidRPr="00C743A5">
              <w:t>Boosting Business Productivity is a $6.1 million initiative which is helping more than 1,000 businesses reduce their energy costs through energy efficiency assessments and upgrades, and support for manufacturers to cut their waste and business costs. Applications have now closed.</w:t>
            </w:r>
          </w:p>
        </w:tc>
      </w:tr>
      <w:tr w:rsidR="00CF19B7" w:rsidRPr="008823E6" w:rsidTr="0061636F">
        <w:trPr>
          <w:cnfStyle w:val="000000010000" w:firstRow="0" w:lastRow="0" w:firstColumn="0" w:lastColumn="0" w:oddVBand="0" w:evenVBand="0" w:oddHBand="0" w:evenHBand="1" w:firstRowFirstColumn="0" w:firstRowLastColumn="0" w:lastRowFirstColumn="0" w:lastRowLastColumn="0"/>
        </w:trPr>
        <w:tc>
          <w:tcPr>
            <w:tcW w:w="5000" w:type="pct"/>
          </w:tcPr>
          <w:p w:rsidR="00CF19B7" w:rsidRPr="00C743A5" w:rsidRDefault="00CF19B7" w:rsidP="00C743A5">
            <w:pPr>
              <w:rPr>
                <w:b/>
                <w:bCs/>
              </w:rPr>
            </w:pPr>
            <w:r w:rsidRPr="00C743A5">
              <w:rPr>
                <w:b/>
                <w:bCs/>
              </w:rPr>
              <w:t>Greener Government Buildings</w:t>
            </w:r>
          </w:p>
          <w:p w:rsidR="00CF19B7" w:rsidRPr="00C743A5" w:rsidRDefault="006E1747" w:rsidP="00C743A5">
            <w:r w:rsidRPr="00C743A5">
              <w:t xml:space="preserve"> The Greener Government Buildings program has delivered cost-effective energy efficiency improvements to around 400 government buildings. The program provides finance for energy efficiency retrofit projects that enable lighting upgrades, Heating, Ventilation and Air Conditioning (HVAC) upgrades, solar panels, and building automation and control improvements to be implemented in existing government buildings.</w:t>
            </w:r>
          </w:p>
        </w:tc>
      </w:tr>
      <w:tr w:rsidR="00CF19B7" w:rsidRPr="008823E6" w:rsidTr="0061636F">
        <w:trPr>
          <w:cnfStyle w:val="000000100000" w:firstRow="0" w:lastRow="0" w:firstColumn="0" w:lastColumn="0" w:oddVBand="0" w:evenVBand="0" w:oddHBand="1" w:evenHBand="0" w:firstRowFirstColumn="0" w:firstRowLastColumn="0" w:lastRowFirstColumn="0" w:lastRowLastColumn="0"/>
        </w:trPr>
        <w:tc>
          <w:tcPr>
            <w:tcW w:w="5000" w:type="pct"/>
          </w:tcPr>
          <w:p w:rsidR="00CF19B7" w:rsidRPr="00C743A5" w:rsidRDefault="00CF19B7" w:rsidP="00C743A5">
            <w:pPr>
              <w:rPr>
                <w:b/>
                <w:bCs/>
              </w:rPr>
            </w:pPr>
            <w:r w:rsidRPr="00C743A5">
              <w:rPr>
                <w:b/>
                <w:bCs/>
              </w:rPr>
              <w:t>Home Energy Assist Program</w:t>
            </w:r>
          </w:p>
          <w:p w:rsidR="00CF19B7" w:rsidRPr="00C743A5" w:rsidRDefault="009E1B16" w:rsidP="00C743A5">
            <w:r w:rsidRPr="00C743A5">
              <w:t>This is a p</w:t>
            </w:r>
            <w:r w:rsidR="006E1747" w:rsidRPr="00C743A5">
              <w:t xml:space="preserve">ackage of policies </w:t>
            </w:r>
            <w:r w:rsidRPr="00C743A5">
              <w:t>to assist</w:t>
            </w:r>
            <w:r w:rsidR="006E1747" w:rsidRPr="00C743A5">
              <w:t xml:space="preserve"> households with low incomes or disadvantage to reduce energy bills, improve health and comfort, and reduce greenhouse emissions. The Home Energy Assist program will help 3,300 Victorian households to become more energy efficient with a long-term aim to improve the wellbeing of Victorians on low incomes and lower energy bills. The program includes the Victorian Healthy Homes Program;</w:t>
            </w:r>
            <w:r w:rsidR="00C4602C" w:rsidRPr="00C743A5">
              <w:t xml:space="preserve"> Latrobe Valley Energy U</w:t>
            </w:r>
            <w:r w:rsidRPr="00C743A5">
              <w:t>p</w:t>
            </w:r>
            <w:r w:rsidR="00C4602C" w:rsidRPr="00C743A5">
              <w:t>grades</w:t>
            </w:r>
            <w:r w:rsidR="006E1747" w:rsidRPr="00C743A5">
              <w:t>; EnergySmart Public Housing Program; and the Affordable Retrofits Program.</w:t>
            </w:r>
          </w:p>
        </w:tc>
      </w:tr>
      <w:tr w:rsidR="00CF19B7" w:rsidRPr="008823E6" w:rsidTr="0061636F">
        <w:trPr>
          <w:cnfStyle w:val="000000010000" w:firstRow="0" w:lastRow="0" w:firstColumn="0" w:lastColumn="0" w:oddVBand="0" w:evenVBand="0" w:oddHBand="0" w:evenHBand="1" w:firstRowFirstColumn="0" w:firstRowLastColumn="0" w:lastRowFirstColumn="0" w:lastRowLastColumn="0"/>
        </w:trPr>
        <w:tc>
          <w:tcPr>
            <w:tcW w:w="5000" w:type="pct"/>
          </w:tcPr>
          <w:p w:rsidR="00CF19B7" w:rsidRPr="00C743A5" w:rsidRDefault="00CF19B7" w:rsidP="00C743A5">
            <w:pPr>
              <w:rPr>
                <w:b/>
                <w:bCs/>
              </w:rPr>
            </w:pPr>
            <w:r w:rsidRPr="00C743A5">
              <w:rPr>
                <w:b/>
                <w:bCs/>
              </w:rPr>
              <w:t>Residential Efficiency Scorecard</w:t>
            </w:r>
          </w:p>
          <w:p w:rsidR="00CF19B7" w:rsidRPr="00C743A5" w:rsidRDefault="0071075F" w:rsidP="00C743A5">
            <w:r w:rsidRPr="00C743A5">
              <w:t>The Victorian Residential Efficiency Scorecard is a voluntary home efficiency rating tool that empowers householders to improve the energy performance of their home and save money on their energy bills. Scorecard is a user-paid service that is delivered by independent accredited assessors using the government-supported Scorecard webtool. The assessor rates the energy efficiency of your home's construction, fixed appliances, and other key features such as solar PV energy production. The Scorecard also rates how comfortable your home is in hot weather.</w:t>
            </w:r>
          </w:p>
        </w:tc>
      </w:tr>
      <w:tr w:rsidR="007E7D73" w:rsidRPr="008823E6" w:rsidTr="0061636F">
        <w:trPr>
          <w:cnfStyle w:val="000000100000" w:firstRow="0" w:lastRow="0" w:firstColumn="0" w:lastColumn="0" w:oddVBand="0" w:evenVBand="0" w:oddHBand="1" w:evenHBand="0" w:firstRowFirstColumn="0" w:firstRowLastColumn="0" w:lastRowFirstColumn="0" w:lastRowLastColumn="0"/>
        </w:trPr>
        <w:tc>
          <w:tcPr>
            <w:tcW w:w="5000" w:type="pct"/>
          </w:tcPr>
          <w:p w:rsidR="007E7D73" w:rsidRPr="00C743A5" w:rsidRDefault="007E7D73" w:rsidP="00C743A5">
            <w:pPr>
              <w:rPr>
                <w:b/>
                <w:bCs/>
              </w:rPr>
            </w:pPr>
            <w:r w:rsidRPr="00C743A5">
              <w:rPr>
                <w:b/>
                <w:bCs/>
              </w:rPr>
              <w:t>FirstRate5 rating software</w:t>
            </w:r>
          </w:p>
          <w:p w:rsidR="007E7D73" w:rsidRPr="00C743A5" w:rsidRDefault="007E7D73" w:rsidP="00C743A5">
            <w:r w:rsidRPr="00C743A5">
              <w:t>Sustainability Victoria maintains the FirstRate5 software, one of the software packages accredited under the Nationwide House Energy Rating Scheme.</w:t>
            </w:r>
          </w:p>
        </w:tc>
      </w:tr>
      <w:tr w:rsidR="00CF19B7" w:rsidRPr="008823E6" w:rsidTr="0061636F">
        <w:trPr>
          <w:cnfStyle w:val="000000010000" w:firstRow="0" w:lastRow="0" w:firstColumn="0" w:lastColumn="0" w:oddVBand="0" w:evenVBand="0" w:oddHBand="0" w:evenHBand="1" w:firstRowFirstColumn="0" w:firstRowLastColumn="0" w:lastRowFirstColumn="0" w:lastRowLastColumn="0"/>
        </w:trPr>
        <w:tc>
          <w:tcPr>
            <w:tcW w:w="5000" w:type="pct"/>
          </w:tcPr>
          <w:p w:rsidR="00CF19B7" w:rsidRPr="00C743A5" w:rsidRDefault="00CF19B7" w:rsidP="00C743A5">
            <w:pPr>
              <w:rPr>
                <w:b/>
                <w:bCs/>
              </w:rPr>
            </w:pPr>
            <w:r w:rsidRPr="00C743A5">
              <w:rPr>
                <w:b/>
                <w:bCs/>
              </w:rPr>
              <w:t xml:space="preserve">Victorian Energy Upgrades </w:t>
            </w:r>
          </w:p>
          <w:p w:rsidR="00CF19B7" w:rsidRPr="00C743A5" w:rsidRDefault="006E1747" w:rsidP="00C743A5">
            <w:r w:rsidRPr="00C743A5">
              <w:t>Victorian Energy Upgrades provides access to discounted energy-saving products and services. Businesses accredited under the program generate Victorian Energy Efficiency Certificates for a range of energy efficiency upgrades. Each certificate represents one tonne of greenhouse gas. Over the last 10 years, 1.8 million Victorian households and business have performed energy efficiency upgrades. This represents a saving of 50 million tonnes of carbon dioxide emissions.</w:t>
            </w:r>
          </w:p>
        </w:tc>
      </w:tr>
      <w:tr w:rsidR="007E7D73" w:rsidRPr="008823E6" w:rsidTr="0061636F">
        <w:trPr>
          <w:cnfStyle w:val="000000100000" w:firstRow="0" w:lastRow="0" w:firstColumn="0" w:lastColumn="0" w:oddVBand="0" w:evenVBand="0" w:oddHBand="1" w:evenHBand="0" w:firstRowFirstColumn="0" w:firstRowLastColumn="0" w:lastRowFirstColumn="0" w:lastRowLastColumn="0"/>
        </w:trPr>
        <w:tc>
          <w:tcPr>
            <w:tcW w:w="5000" w:type="pct"/>
          </w:tcPr>
          <w:p w:rsidR="007E7D73" w:rsidRPr="00C743A5" w:rsidRDefault="007E7D73" w:rsidP="00C743A5">
            <w:pPr>
              <w:rPr>
                <w:b/>
                <w:bCs/>
              </w:rPr>
            </w:pPr>
            <w:r w:rsidRPr="00C743A5">
              <w:rPr>
                <w:b/>
                <w:bCs/>
              </w:rPr>
              <w:t>Zero Net Carbon Homes</w:t>
            </w:r>
          </w:p>
          <w:p w:rsidR="007E7D73" w:rsidRPr="00C743A5" w:rsidRDefault="007E7D73" w:rsidP="00C743A5">
            <w:r w:rsidRPr="00C743A5">
              <w:lastRenderedPageBreak/>
              <w:t>Sustainability Victoria is working with three Victorian volume home builders to assist them to design, build and market higher efficiency houses with enough rooftop PV to offset their annual greenhouse gas emissions from energy used in the home.</w:t>
            </w:r>
          </w:p>
        </w:tc>
      </w:tr>
      <w:tr w:rsidR="0061636F" w:rsidRPr="008823E6" w:rsidTr="0061636F">
        <w:trPr>
          <w:cnfStyle w:val="000000010000" w:firstRow="0" w:lastRow="0" w:firstColumn="0" w:lastColumn="0" w:oddVBand="0" w:evenVBand="0" w:oddHBand="0" w:evenHBand="1" w:firstRowFirstColumn="0" w:firstRowLastColumn="0" w:lastRowFirstColumn="0" w:lastRowLastColumn="0"/>
        </w:trPr>
        <w:tc>
          <w:tcPr>
            <w:tcW w:w="5000" w:type="pct"/>
          </w:tcPr>
          <w:p w:rsidR="0061636F" w:rsidRPr="00C743A5" w:rsidRDefault="0061636F" w:rsidP="0061636F">
            <w:pPr>
              <w:rPr>
                <w:b/>
                <w:bCs/>
              </w:rPr>
            </w:pPr>
            <w:r w:rsidRPr="00C743A5">
              <w:rPr>
                <w:b/>
                <w:bCs/>
              </w:rPr>
              <w:lastRenderedPageBreak/>
              <w:t>Victorian Energy Saver Website</w:t>
            </w:r>
          </w:p>
          <w:p w:rsidR="0061636F" w:rsidRPr="00C743A5" w:rsidRDefault="0061636F" w:rsidP="0061636F">
            <w:r w:rsidRPr="00C743A5">
              <w:t>A website that provides information on how to reduce energy consumption, save money and link households as well as businesses to incentives and tools.</w:t>
            </w:r>
          </w:p>
        </w:tc>
      </w:tr>
      <w:tr w:rsidR="0061636F" w:rsidRPr="008823E6" w:rsidTr="0061636F">
        <w:trPr>
          <w:cnfStyle w:val="000000100000" w:firstRow="0" w:lastRow="0" w:firstColumn="0" w:lastColumn="0" w:oddVBand="0" w:evenVBand="0" w:oddHBand="1" w:evenHBand="0" w:firstRowFirstColumn="0" w:firstRowLastColumn="0" w:lastRowFirstColumn="0" w:lastRowLastColumn="0"/>
        </w:trPr>
        <w:tc>
          <w:tcPr>
            <w:tcW w:w="5000" w:type="pct"/>
          </w:tcPr>
          <w:p w:rsidR="0061636F" w:rsidRPr="00C743A5" w:rsidRDefault="0061636F" w:rsidP="0061636F">
            <w:pPr>
              <w:rPr>
                <w:b/>
                <w:bCs/>
              </w:rPr>
            </w:pPr>
            <w:r w:rsidRPr="00C743A5">
              <w:rPr>
                <w:b/>
                <w:bCs/>
              </w:rPr>
              <w:t>Sustainability Victoria Website</w:t>
            </w:r>
          </w:p>
          <w:p w:rsidR="0061636F" w:rsidRPr="00C743A5" w:rsidRDefault="0061636F" w:rsidP="0061636F">
            <w:r w:rsidRPr="00C743A5">
              <w:t>The website provides a range of information resources on saving energy for households and business, including general information, fact sheets, case studies and reports.</w:t>
            </w:r>
          </w:p>
        </w:tc>
      </w:tr>
      <w:tr w:rsidR="0061636F" w:rsidRPr="008823E6" w:rsidTr="0061636F">
        <w:trPr>
          <w:cnfStyle w:val="000000010000" w:firstRow="0" w:lastRow="0" w:firstColumn="0" w:lastColumn="0" w:oddVBand="0" w:evenVBand="0" w:oddHBand="0" w:evenHBand="1" w:firstRowFirstColumn="0" w:firstRowLastColumn="0" w:lastRowFirstColumn="0" w:lastRowLastColumn="0"/>
        </w:trPr>
        <w:tc>
          <w:tcPr>
            <w:tcW w:w="5000" w:type="pct"/>
          </w:tcPr>
          <w:p w:rsidR="0061636F" w:rsidRPr="00C743A5" w:rsidRDefault="0061636F" w:rsidP="0061636F">
            <w:pPr>
              <w:rPr>
                <w:b/>
                <w:bCs/>
              </w:rPr>
            </w:pPr>
            <w:r w:rsidRPr="00C743A5">
              <w:rPr>
                <w:b/>
                <w:bCs/>
              </w:rPr>
              <w:t>Solar Homes Program</w:t>
            </w:r>
          </w:p>
          <w:p w:rsidR="0061636F" w:rsidRPr="00C743A5" w:rsidRDefault="0061636F" w:rsidP="0061636F">
            <w:r w:rsidRPr="00C743A5">
              <w:t xml:space="preserve">The program provides rebates to help eligible households install solar panels, solar hot water and battery storage systems. Rebates are also available to help renters install solar panels.  </w:t>
            </w:r>
          </w:p>
        </w:tc>
      </w:tr>
    </w:tbl>
    <w:p w:rsidR="00002A12" w:rsidRDefault="00002A12">
      <w:pPr>
        <w:spacing w:after="0" w:line="240" w:lineRule="auto"/>
      </w:pPr>
      <w:r>
        <w:br w:type="page"/>
      </w:r>
    </w:p>
    <w:p w:rsidR="0061636F" w:rsidRDefault="00002A12" w:rsidP="003442DC">
      <w:pPr>
        <w:pStyle w:val="Heading1"/>
      </w:pPr>
      <w:bookmarkStart w:id="119" w:name="_Toc18661035"/>
      <w:bookmarkStart w:id="120" w:name="_Toc482184133"/>
      <w:r w:rsidRPr="00812586">
        <w:lastRenderedPageBreak/>
        <w:t xml:space="preserve">Appendix </w:t>
      </w:r>
      <w:r w:rsidR="00CF19B7">
        <w:t>D</w:t>
      </w:r>
      <w:bookmarkEnd w:id="119"/>
    </w:p>
    <w:p w:rsidR="00002A12" w:rsidRPr="00812586" w:rsidRDefault="00002A12" w:rsidP="0061636F">
      <w:pPr>
        <w:pStyle w:val="Heading2"/>
      </w:pPr>
      <w:bookmarkStart w:id="121" w:name="_Toc18661036"/>
      <w:r w:rsidRPr="00812586">
        <w:t>E3 Program Impact Analysis: Refrigerators and Freezers, June 2017</w:t>
      </w:r>
      <w:bookmarkEnd w:id="121"/>
    </w:p>
    <w:p w:rsidR="00002A12" w:rsidRPr="00C743A5" w:rsidRDefault="00002A12" w:rsidP="0061636F">
      <w:pPr>
        <w:pStyle w:val="Heading3"/>
      </w:pPr>
      <w:bookmarkStart w:id="122" w:name="_Toc18661037"/>
      <w:bookmarkEnd w:id="120"/>
      <w:r w:rsidRPr="00C743A5">
        <w:t>Background</w:t>
      </w:r>
      <w:bookmarkEnd w:id="122"/>
    </w:p>
    <w:p w:rsidR="00002A12" w:rsidRPr="003442DC" w:rsidRDefault="00002A12">
      <w:pPr>
        <w:rPr>
          <w:sz w:val="22"/>
        </w:rPr>
      </w:pPr>
      <w:r w:rsidRPr="003442DC">
        <w:rPr>
          <w:sz w:val="22"/>
        </w:rPr>
        <w:t>Refrigerator and freezer MEPS levels relate to 10 separate categories set out in the AS/NZS 4474.1</w:t>
      </w:r>
      <w:r w:rsidRPr="003442DC">
        <w:rPr>
          <w:sz w:val="22"/>
        </w:rPr>
        <w:noBreakHyphen/>
        <w:t>2007. MEPS was introduced in 1999 (MEPS1), with the requirements set out in AS/NZS4474.2 in 1997. MEPS was made significantly more stringent in 2005 (MEPS2) to align with US 2001 regulations. The Department of the Environment and Energy is currently developing a Regulation Impact Statement to harmonise testing with international test standards for refrigerators and freezers.</w:t>
      </w:r>
      <w:r w:rsidRPr="003442DC">
        <w:rPr>
          <w:rStyle w:val="FootnoteReference"/>
          <w:sz w:val="22"/>
        </w:rPr>
        <w:footnoteReference w:id="35"/>
      </w:r>
      <w:r w:rsidRPr="003442DC">
        <w:rPr>
          <w:sz w:val="22"/>
        </w:rPr>
        <w:t xml:space="preserve"> As part of this harmonisation process, new US MEPS levels for domestic refrigerators and freezers are being considered for adoption in Australia. </w:t>
      </w:r>
    </w:p>
    <w:p w:rsidR="00002A12" w:rsidRPr="00C743A5" w:rsidRDefault="00002A12" w:rsidP="0061636F">
      <w:pPr>
        <w:pStyle w:val="Heading3"/>
      </w:pPr>
      <w:bookmarkStart w:id="123" w:name="_Toc482184134"/>
      <w:bookmarkStart w:id="124" w:name="_Toc18661038"/>
      <w:r w:rsidRPr="00C743A5">
        <w:t>Data and Methods</w:t>
      </w:r>
      <w:bookmarkEnd w:id="123"/>
      <w:bookmarkEnd w:id="124"/>
    </w:p>
    <w:p w:rsidR="00002A12" w:rsidRPr="003442DC" w:rsidRDefault="00002A12">
      <w:pPr>
        <w:rPr>
          <w:sz w:val="22"/>
        </w:rPr>
      </w:pPr>
      <w:r w:rsidRPr="003442DC">
        <w:rPr>
          <w:sz w:val="22"/>
        </w:rPr>
        <w:t xml:space="preserve">The Greenhouse and Energy Minimum Standards (GEMS) registration data from 2003 through to 2014 was used together with GfK sales data from 1997 through to 2014 in order to analyse the effectiveness of MEPS for refrigerators and freezers. Energy savings delivered by MEPS1 (1999) and MEPS2 (2005) as well as savings delivered by industry improvement have been calculated. Limited freezer sales data from 1997 to 1999 meant that the MEPS1 analysis was restricted to refrigerators only. Industry savings were calculated from 1998-2014 for refrigerators and from 2001 to 2014 for freezers. Energy savings were converted to net financial costs or benefits in 2014 terms.  </w:t>
      </w:r>
    </w:p>
    <w:p w:rsidR="00227EBA" w:rsidRPr="00C743A5" w:rsidRDefault="00227EBA" w:rsidP="0061636F">
      <w:pPr>
        <w:pStyle w:val="Heading3"/>
      </w:pPr>
      <w:bookmarkStart w:id="125" w:name="_Toc18661039"/>
      <w:bookmarkStart w:id="126" w:name="_Toc482184136"/>
      <w:r w:rsidRPr="00C743A5">
        <w:t>Background</w:t>
      </w:r>
      <w:bookmarkEnd w:id="125"/>
    </w:p>
    <w:p w:rsidR="00002A12" w:rsidRPr="00C743A5" w:rsidRDefault="00002A12" w:rsidP="0061636F">
      <w:pPr>
        <w:pStyle w:val="Heading4"/>
      </w:pPr>
      <w:r w:rsidRPr="00C743A5">
        <w:t>Product efficiency before and after MEPS</w:t>
      </w:r>
      <w:bookmarkEnd w:id="126"/>
    </w:p>
    <w:p w:rsidR="00002A12" w:rsidRPr="003442DC" w:rsidRDefault="00C80308" w:rsidP="00C743A5">
      <w:pPr>
        <w:rPr>
          <w:sz w:val="22"/>
        </w:rPr>
      </w:pPr>
      <w:r w:rsidRPr="00C743A5">
        <w:rPr>
          <w:b/>
          <w:bCs/>
        </w:rPr>
        <w:t xml:space="preserve">Figure 1 </w:t>
      </w:r>
      <w:r w:rsidR="00002A12" w:rsidRPr="003442DC">
        <w:rPr>
          <w:sz w:val="22"/>
        </w:rPr>
        <w:t xml:space="preserve">and </w:t>
      </w:r>
      <w:r w:rsidR="00002A12" w:rsidRPr="004C0DEC">
        <w:rPr>
          <w:sz w:val="22"/>
        </w:rPr>
        <w:fldChar w:fldCharType="begin"/>
      </w:r>
      <w:r w:rsidR="00002A12" w:rsidRPr="004C0DEC">
        <w:rPr>
          <w:sz w:val="22"/>
        </w:rPr>
        <w:instrText xml:space="preserve"> REF _Ref461806220 \h  \* MERGEFORMAT </w:instrText>
      </w:r>
      <w:r w:rsidR="00002A12" w:rsidRPr="004C0DEC">
        <w:rPr>
          <w:sz w:val="22"/>
        </w:rPr>
      </w:r>
      <w:r w:rsidR="00002A12" w:rsidRPr="004C0DEC">
        <w:rPr>
          <w:sz w:val="22"/>
        </w:rPr>
        <w:fldChar w:fldCharType="separate"/>
      </w:r>
      <w:r w:rsidR="00206A38" w:rsidRPr="00206A38">
        <w:rPr>
          <w:noProof/>
          <w:sz w:val="22"/>
        </w:rPr>
        <w:t>Figure</w:t>
      </w:r>
      <w:r w:rsidR="00206A38" w:rsidRPr="00206A38">
        <w:rPr>
          <w:bCs/>
          <w:sz w:val="22"/>
        </w:rPr>
        <w:t xml:space="preserve"> </w:t>
      </w:r>
      <w:r w:rsidR="00206A38" w:rsidRPr="00206A38">
        <w:rPr>
          <w:bCs/>
          <w:noProof/>
          <w:sz w:val="22"/>
        </w:rPr>
        <w:t>2</w:t>
      </w:r>
      <w:r w:rsidR="00002A12" w:rsidRPr="004C0DEC">
        <w:rPr>
          <w:sz w:val="22"/>
        </w:rPr>
        <w:fldChar w:fldCharType="end"/>
      </w:r>
      <w:r w:rsidR="00002A12" w:rsidRPr="004C0DEC">
        <w:rPr>
          <w:sz w:val="22"/>
        </w:rPr>
        <w:t xml:space="preserve"> </w:t>
      </w:r>
      <w:r w:rsidR="00002A12" w:rsidRPr="003442DC">
        <w:rPr>
          <w:sz w:val="22"/>
        </w:rPr>
        <w:t xml:space="preserve">show the distance that each registered product was from MEPS2 for the years 2003 and 2004. Negative values represent those products that would have failed MEPS2. Positive values represent products that would have passed MEPS2. </w:t>
      </w:r>
    </w:p>
    <w:p w:rsidR="00002A12" w:rsidRDefault="00002A12">
      <w:pPr>
        <w:rPr>
          <w:sz w:val="22"/>
        </w:rPr>
      </w:pPr>
      <w:r w:rsidRPr="003442DC">
        <w:rPr>
          <w:sz w:val="22"/>
        </w:rPr>
        <w:t xml:space="preserve">An analysis of the proportion of products that had or would have passed MEPS2 compared to those that would have failed gives an indication of how industry was preparing for MEPS2. In 2004, 79 per cent of products were equal to or exceeded MEPS2, showing that industry had already done much to prepare itself for the upcoming regulatory change. Contrastingly in 2003, only 33 per cent of products equalled or exceeded MEPS2. These years preceding the introduction of more stringent regulation demonstrate the impact of MEPS2, by displaying improvement of the overall efficiency of products registered prior to the regulation being brought in. Additionally, the data shows the proportion of products that MEPS2 would have removed from the market, how that changed and so informs an assessment of the ongoing impact of MEPS2. </w:t>
      </w:r>
    </w:p>
    <w:p w:rsidR="00A43DE8" w:rsidRDefault="00A43DE8">
      <w:pPr>
        <w:rPr>
          <w:sz w:val="22"/>
        </w:rPr>
      </w:pPr>
    </w:p>
    <w:p w:rsidR="00002A12" w:rsidRPr="0061636F" w:rsidRDefault="00002A12" w:rsidP="0061636F">
      <w:pPr>
        <w:rPr>
          <w:b/>
          <w:bCs/>
        </w:rPr>
      </w:pPr>
      <w:r w:rsidRPr="0061636F">
        <w:rPr>
          <w:b/>
          <w:bCs/>
        </w:rPr>
        <w:lastRenderedPageBreak/>
        <w:t xml:space="preserve">Figure </w:t>
      </w:r>
      <w:r w:rsidRPr="0061636F">
        <w:rPr>
          <w:b/>
          <w:bCs/>
        </w:rPr>
        <w:fldChar w:fldCharType="begin"/>
      </w:r>
      <w:r w:rsidRPr="0061636F">
        <w:rPr>
          <w:b/>
          <w:bCs/>
        </w:rPr>
        <w:instrText xml:space="preserve"> SEQ Figure \* ARABIC </w:instrText>
      </w:r>
      <w:r w:rsidRPr="0061636F">
        <w:rPr>
          <w:b/>
          <w:bCs/>
        </w:rPr>
        <w:fldChar w:fldCharType="separate"/>
      </w:r>
      <w:r w:rsidR="00206A38" w:rsidRPr="0061636F">
        <w:rPr>
          <w:b/>
          <w:bCs/>
        </w:rPr>
        <w:t>1</w:t>
      </w:r>
      <w:r w:rsidRPr="0061636F">
        <w:rPr>
          <w:b/>
          <w:bCs/>
        </w:rPr>
        <w:fldChar w:fldCharType="end"/>
      </w:r>
      <w:r w:rsidRPr="0061636F">
        <w:rPr>
          <w:b/>
          <w:bCs/>
        </w:rPr>
        <w:t xml:space="preserve"> Refrigerators and Freezers registrations in 2003 and their distance from MEPS1</w:t>
      </w:r>
    </w:p>
    <w:p w:rsidR="00002A12" w:rsidRPr="003442DC" w:rsidRDefault="006A503D" w:rsidP="00002A12">
      <w:pPr>
        <w:rPr>
          <w:sz w:val="22"/>
        </w:rPr>
      </w:pPr>
      <w:r w:rsidRPr="006A503D">
        <w:rPr>
          <w:noProof/>
          <w:sz w:val="22"/>
          <w:lang w:eastAsia="en-AU"/>
        </w:rPr>
        <w:drawing>
          <wp:inline distT="0" distB="0" distL="0" distR="0">
            <wp:extent cx="5325110" cy="3052445"/>
            <wp:effectExtent l="0" t="0" r="0" b="0"/>
            <wp:docPr id="7" name="Picture 43" descr="Figure 1 shows refrigerators and freezer registrations in 2003 and their distance from ME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raph comparing number of products vs Distance from Meps in kWh"/>
                    <pic:cNvPicPr>
                      <a:picLocks noChangeAspect="1" noChangeArrowheads="1"/>
                    </pic:cNvPicPr>
                  </pic:nvPicPr>
                  <pic:blipFill>
                    <a:blip r:embed="rId24">
                      <a:extLst>
                        <a:ext uri="{28A0092B-C50C-407E-A947-70E740481C1C}">
                          <a14:useLocalDpi xmlns:a14="http://schemas.microsoft.com/office/drawing/2010/main" val="0"/>
                        </a:ext>
                      </a:extLst>
                    </a:blip>
                    <a:srcRect t="9969"/>
                    <a:stretch>
                      <a:fillRect/>
                    </a:stretch>
                  </pic:blipFill>
                  <pic:spPr bwMode="auto">
                    <a:xfrm>
                      <a:off x="0" y="0"/>
                      <a:ext cx="5325110" cy="3052445"/>
                    </a:xfrm>
                    <a:prstGeom prst="rect">
                      <a:avLst/>
                    </a:prstGeom>
                    <a:noFill/>
                    <a:ln>
                      <a:noFill/>
                    </a:ln>
                  </pic:spPr>
                </pic:pic>
              </a:graphicData>
            </a:graphic>
          </wp:inline>
        </w:drawing>
      </w:r>
    </w:p>
    <w:p w:rsidR="00002A12" w:rsidRPr="0061636F" w:rsidRDefault="00002A12" w:rsidP="0061636F">
      <w:pPr>
        <w:rPr>
          <w:b/>
          <w:bCs/>
        </w:rPr>
      </w:pPr>
      <w:bookmarkStart w:id="127" w:name="_Ref461806220"/>
      <w:r w:rsidRPr="0061636F">
        <w:rPr>
          <w:b/>
          <w:bCs/>
        </w:rPr>
        <w:t xml:space="preserve">Figure </w:t>
      </w:r>
      <w:r w:rsidRPr="0061636F">
        <w:rPr>
          <w:b/>
          <w:bCs/>
        </w:rPr>
        <w:fldChar w:fldCharType="begin"/>
      </w:r>
      <w:r w:rsidRPr="0061636F">
        <w:rPr>
          <w:b/>
          <w:bCs/>
        </w:rPr>
        <w:instrText xml:space="preserve"> SEQ Figure \* ARABIC </w:instrText>
      </w:r>
      <w:r w:rsidRPr="0061636F">
        <w:rPr>
          <w:b/>
          <w:bCs/>
        </w:rPr>
        <w:fldChar w:fldCharType="separate"/>
      </w:r>
      <w:r w:rsidR="00206A38" w:rsidRPr="0061636F">
        <w:rPr>
          <w:b/>
          <w:bCs/>
        </w:rPr>
        <w:t>2</w:t>
      </w:r>
      <w:r w:rsidRPr="0061636F">
        <w:rPr>
          <w:b/>
          <w:bCs/>
        </w:rPr>
        <w:fldChar w:fldCharType="end"/>
      </w:r>
      <w:bookmarkEnd w:id="127"/>
      <w:r w:rsidRPr="0061636F">
        <w:rPr>
          <w:b/>
          <w:bCs/>
        </w:rPr>
        <w:t xml:space="preserve"> Refrigerators and Freezers registrations in 2004 and their distance from MEPS1</w:t>
      </w:r>
    </w:p>
    <w:p w:rsidR="00002A12" w:rsidRPr="003442DC" w:rsidRDefault="006A503D" w:rsidP="00002A12">
      <w:pPr>
        <w:rPr>
          <w:sz w:val="22"/>
        </w:rPr>
      </w:pPr>
      <w:r w:rsidRPr="006A503D">
        <w:rPr>
          <w:noProof/>
          <w:sz w:val="22"/>
          <w:lang w:eastAsia="en-AU"/>
        </w:rPr>
        <w:drawing>
          <wp:inline distT="0" distB="0" distL="0" distR="0">
            <wp:extent cx="5257800" cy="3213735"/>
            <wp:effectExtent l="0" t="0" r="0" b="0"/>
            <wp:docPr id="8" name="Picture 44" descr="Figure 2 shows refrigerators and freezer registrations in 2004 and their distance from ME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raph comparing number of products vs Distance from Meps in kWh"/>
                    <pic:cNvPicPr>
                      <a:picLocks noChangeAspect="1" noChangeArrowheads="1"/>
                    </pic:cNvPicPr>
                  </pic:nvPicPr>
                  <pic:blipFill>
                    <a:blip r:embed="rId25">
                      <a:extLst>
                        <a:ext uri="{28A0092B-C50C-407E-A947-70E740481C1C}">
                          <a14:useLocalDpi xmlns:a14="http://schemas.microsoft.com/office/drawing/2010/main" val="0"/>
                        </a:ext>
                      </a:extLst>
                    </a:blip>
                    <a:srcRect t="8704"/>
                    <a:stretch>
                      <a:fillRect/>
                    </a:stretch>
                  </pic:blipFill>
                  <pic:spPr bwMode="auto">
                    <a:xfrm>
                      <a:off x="0" y="0"/>
                      <a:ext cx="5257800" cy="3213735"/>
                    </a:xfrm>
                    <a:prstGeom prst="rect">
                      <a:avLst/>
                    </a:prstGeom>
                    <a:noFill/>
                    <a:ln>
                      <a:noFill/>
                    </a:ln>
                  </pic:spPr>
                </pic:pic>
              </a:graphicData>
            </a:graphic>
          </wp:inline>
        </w:drawing>
      </w:r>
    </w:p>
    <w:p w:rsidR="00002A12" w:rsidRPr="003442DC" w:rsidRDefault="00002A12" w:rsidP="00002A12">
      <w:pPr>
        <w:pStyle w:val="E3BodyText"/>
        <w:rPr>
          <w:rFonts w:ascii="Arial" w:hAnsi="Arial" w:cs="Arial"/>
          <w:sz w:val="22"/>
          <w:szCs w:val="22"/>
        </w:rPr>
      </w:pPr>
      <w:r w:rsidRPr="003442DC">
        <w:rPr>
          <w:rFonts w:ascii="Arial" w:hAnsi="Arial" w:cs="Arial"/>
          <w:b/>
          <w:sz w:val="22"/>
          <w:szCs w:val="22"/>
        </w:rPr>
        <w:fldChar w:fldCharType="begin"/>
      </w:r>
      <w:r w:rsidRPr="003442DC">
        <w:rPr>
          <w:rFonts w:ascii="Arial" w:hAnsi="Arial" w:cs="Arial"/>
          <w:b/>
          <w:sz w:val="22"/>
          <w:szCs w:val="22"/>
        </w:rPr>
        <w:instrText xml:space="preserve"> REF _Ref461806556 \h  \* MERGEFORMAT </w:instrText>
      </w:r>
      <w:r w:rsidRPr="003442DC">
        <w:rPr>
          <w:rFonts w:ascii="Arial" w:hAnsi="Arial" w:cs="Arial"/>
          <w:b/>
          <w:sz w:val="22"/>
          <w:szCs w:val="22"/>
        </w:rPr>
      </w:r>
      <w:r w:rsidRPr="003442DC">
        <w:rPr>
          <w:rFonts w:ascii="Arial" w:hAnsi="Arial" w:cs="Arial"/>
          <w:b/>
          <w:sz w:val="22"/>
          <w:szCs w:val="22"/>
        </w:rPr>
        <w:fldChar w:fldCharType="separate"/>
      </w:r>
      <w:r w:rsidR="00206A38" w:rsidRPr="00206A38">
        <w:rPr>
          <w:rFonts w:ascii="Arial" w:hAnsi="Arial" w:cs="Arial"/>
          <w:b/>
          <w:sz w:val="22"/>
          <w:szCs w:val="22"/>
        </w:rPr>
        <w:t xml:space="preserve">Figure </w:t>
      </w:r>
      <w:r w:rsidR="00206A38" w:rsidRPr="00206A38">
        <w:rPr>
          <w:rFonts w:ascii="Arial" w:hAnsi="Arial" w:cs="Arial"/>
          <w:b/>
          <w:noProof/>
          <w:sz w:val="22"/>
          <w:szCs w:val="22"/>
        </w:rPr>
        <w:t>3</w:t>
      </w:r>
      <w:r w:rsidRPr="003442DC">
        <w:rPr>
          <w:rFonts w:ascii="Arial" w:hAnsi="Arial" w:cs="Arial"/>
          <w:b/>
          <w:sz w:val="22"/>
          <w:szCs w:val="22"/>
        </w:rPr>
        <w:fldChar w:fldCharType="end"/>
      </w:r>
      <w:r w:rsidRPr="003442DC">
        <w:rPr>
          <w:rFonts w:ascii="Arial" w:hAnsi="Arial" w:cs="Arial"/>
          <w:sz w:val="22"/>
          <w:szCs w:val="22"/>
        </w:rPr>
        <w:t xml:space="preserve"> shows refrigerator and freezer registrations in 2005, 2013 and 2014 and their distance from MEPS2.</w:t>
      </w:r>
      <w:r w:rsidRPr="003442DC">
        <w:rPr>
          <w:rFonts w:ascii="Arial" w:hAnsi="Arial" w:cs="Arial"/>
          <w:b/>
          <w:sz w:val="22"/>
          <w:szCs w:val="22"/>
        </w:rPr>
        <w:t xml:space="preserve"> Figure 3</w:t>
      </w:r>
      <w:r w:rsidRPr="003442DC">
        <w:rPr>
          <w:rFonts w:ascii="Arial" w:hAnsi="Arial" w:cs="Arial"/>
          <w:sz w:val="22"/>
          <w:szCs w:val="22"/>
        </w:rPr>
        <w:t xml:space="preserve"> shows that when MEPS2 was introduced, most registered products were close to the MEPS line. However, by 2013 and 2014, the majority of new products registered had moved considerably beyond the standard specified by MEPS2, with a greater spread of products with higher efficiencies. This suggest that industry continued to improve energy efficiency beyond MEPS2 since 2005. By 2014, 80 percent of products were at least 80 kWh per year more efficient than MEPS2, with only 1.5 per cent of products registered within five kWh of MEPS2. This compares to 90 per cent of products registered within five kWh of MEPS2 in 2005. This is a strong indication that industry has made </w:t>
      </w:r>
      <w:r w:rsidRPr="003442DC">
        <w:rPr>
          <w:rFonts w:ascii="Arial" w:hAnsi="Arial" w:cs="Arial"/>
          <w:sz w:val="22"/>
          <w:szCs w:val="22"/>
        </w:rPr>
        <w:lastRenderedPageBreak/>
        <w:t>significant energy efficiency improvement during this period and is now comfortably surpassing the current MEPS.</w:t>
      </w:r>
    </w:p>
    <w:p w:rsidR="00002A12" w:rsidRPr="0061636F" w:rsidRDefault="00002A12" w:rsidP="0061636F">
      <w:pPr>
        <w:rPr>
          <w:b/>
          <w:bCs/>
        </w:rPr>
      </w:pPr>
      <w:bookmarkStart w:id="128" w:name="_Ref461806556"/>
      <w:r w:rsidRPr="0061636F">
        <w:rPr>
          <w:b/>
          <w:bCs/>
        </w:rPr>
        <w:t xml:space="preserve">Figure </w:t>
      </w:r>
      <w:r w:rsidRPr="0061636F">
        <w:rPr>
          <w:b/>
          <w:bCs/>
        </w:rPr>
        <w:fldChar w:fldCharType="begin"/>
      </w:r>
      <w:r w:rsidRPr="0061636F">
        <w:rPr>
          <w:b/>
          <w:bCs/>
        </w:rPr>
        <w:instrText xml:space="preserve"> SEQ Figure \* ARABIC </w:instrText>
      </w:r>
      <w:r w:rsidRPr="0061636F">
        <w:rPr>
          <w:b/>
          <w:bCs/>
        </w:rPr>
        <w:fldChar w:fldCharType="separate"/>
      </w:r>
      <w:r w:rsidR="00206A38" w:rsidRPr="0061636F">
        <w:rPr>
          <w:b/>
          <w:bCs/>
        </w:rPr>
        <w:t>3</w:t>
      </w:r>
      <w:r w:rsidRPr="0061636F">
        <w:rPr>
          <w:b/>
          <w:bCs/>
        </w:rPr>
        <w:fldChar w:fldCharType="end"/>
      </w:r>
      <w:bookmarkEnd w:id="128"/>
      <w:r w:rsidRPr="0061636F">
        <w:rPr>
          <w:b/>
          <w:bCs/>
        </w:rPr>
        <w:t xml:space="preserve"> Refrigerator and Freezer registrations in 2005, 2013 and 2014 and their distance from MEPS2 </w:t>
      </w:r>
    </w:p>
    <w:p w:rsidR="0061636F" w:rsidRDefault="006A503D" w:rsidP="00002A12">
      <w:pPr>
        <w:rPr>
          <w:sz w:val="22"/>
          <w:lang w:val="en-US"/>
        </w:rPr>
      </w:pPr>
      <w:r w:rsidRPr="006A503D">
        <w:rPr>
          <w:noProof/>
          <w:sz w:val="22"/>
          <w:lang w:eastAsia="en-AU"/>
        </w:rPr>
        <w:drawing>
          <wp:inline distT="0" distB="0" distL="0" distR="0">
            <wp:extent cx="5956935" cy="6454775"/>
            <wp:effectExtent l="0" t="0" r="0" b="0"/>
            <wp:docPr id="9" name="Picture 46" descr="Figure 3 shows refrigerator and freezer registrations in 2005, 2013 and 2014 and their distance from ME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raph comparing number of products vs Distance from Meps in kWh"/>
                    <pic:cNvPicPr>
                      <a:picLocks noChangeAspect="1" noChangeArrowheads="1"/>
                    </pic:cNvPicPr>
                  </pic:nvPicPr>
                  <pic:blipFill>
                    <a:blip r:embed="rId26">
                      <a:extLst>
                        <a:ext uri="{28A0092B-C50C-407E-A947-70E740481C1C}">
                          <a14:useLocalDpi xmlns:a14="http://schemas.microsoft.com/office/drawing/2010/main" val="0"/>
                        </a:ext>
                      </a:extLst>
                    </a:blip>
                    <a:srcRect l="2016" t="1917" b="2975"/>
                    <a:stretch>
                      <a:fillRect/>
                    </a:stretch>
                  </pic:blipFill>
                  <pic:spPr bwMode="auto">
                    <a:xfrm>
                      <a:off x="0" y="0"/>
                      <a:ext cx="5956935" cy="6454775"/>
                    </a:xfrm>
                    <a:prstGeom prst="rect">
                      <a:avLst/>
                    </a:prstGeom>
                    <a:noFill/>
                    <a:ln>
                      <a:noFill/>
                    </a:ln>
                  </pic:spPr>
                </pic:pic>
              </a:graphicData>
            </a:graphic>
          </wp:inline>
        </w:drawing>
      </w:r>
    </w:p>
    <w:p w:rsidR="0061636F" w:rsidRDefault="0061636F">
      <w:pPr>
        <w:spacing w:before="0" w:after="0" w:line="240" w:lineRule="auto"/>
        <w:rPr>
          <w:sz w:val="22"/>
          <w:lang w:val="en-US"/>
        </w:rPr>
      </w:pPr>
      <w:r>
        <w:rPr>
          <w:sz w:val="22"/>
          <w:lang w:val="en-US"/>
        </w:rPr>
        <w:br w:type="page"/>
      </w:r>
    </w:p>
    <w:p w:rsidR="00002A12" w:rsidRPr="00C743A5" w:rsidRDefault="00002A12" w:rsidP="0061636F">
      <w:pPr>
        <w:pStyle w:val="Heading3"/>
      </w:pPr>
      <w:bookmarkStart w:id="129" w:name="_Toc482184137"/>
      <w:bookmarkStart w:id="130" w:name="_Toc18661040"/>
      <w:r w:rsidRPr="00C743A5">
        <w:lastRenderedPageBreak/>
        <w:t>Energy savings and costs</w:t>
      </w:r>
      <w:bookmarkEnd w:id="129"/>
      <w:bookmarkEnd w:id="130"/>
    </w:p>
    <w:p w:rsidR="00002A12" w:rsidRPr="003442DC" w:rsidRDefault="00002A12" w:rsidP="00C743A5">
      <w:pPr>
        <w:rPr>
          <w:sz w:val="22"/>
        </w:rPr>
      </w:pPr>
      <w:r w:rsidRPr="00C743A5">
        <w:rPr>
          <w:b/>
          <w:bCs/>
        </w:rPr>
        <w:t xml:space="preserve">Figure 4 </w:t>
      </w:r>
      <w:r w:rsidRPr="003442DC">
        <w:rPr>
          <w:sz w:val="22"/>
        </w:rPr>
        <w:t>and</w:t>
      </w:r>
      <w:r w:rsidRPr="00C743A5">
        <w:rPr>
          <w:b/>
          <w:bCs/>
        </w:rPr>
        <w:t xml:space="preserve"> Figure 5</w:t>
      </w:r>
      <w:r w:rsidRPr="003442DC">
        <w:rPr>
          <w:sz w:val="22"/>
        </w:rPr>
        <w:t xml:space="preserve"> give the net costs and benefits of increasing energy efficiency for refrigerators and freezers respectively.</w:t>
      </w:r>
    </w:p>
    <w:p w:rsidR="00002A12" w:rsidRPr="0061636F" w:rsidRDefault="00002A12" w:rsidP="0061636F">
      <w:pPr>
        <w:rPr>
          <w:b/>
          <w:bCs/>
        </w:rPr>
      </w:pPr>
      <w:r w:rsidRPr="0061636F">
        <w:rPr>
          <w:b/>
          <w:bCs/>
        </w:rPr>
        <w:t>Figure 4 – Energy savings due to efficiency improvements for refrigerators</w:t>
      </w:r>
    </w:p>
    <w:p w:rsidR="00002A12" w:rsidRPr="003442DC" w:rsidRDefault="006A503D" w:rsidP="00002A12">
      <w:pPr>
        <w:rPr>
          <w:sz w:val="22"/>
        </w:rPr>
      </w:pPr>
      <w:r w:rsidRPr="006A503D">
        <w:rPr>
          <w:noProof/>
          <w:sz w:val="22"/>
          <w:lang w:eastAsia="en-AU"/>
        </w:rPr>
        <w:drawing>
          <wp:inline distT="0" distB="0" distL="0" distR="0">
            <wp:extent cx="5365115" cy="2407285"/>
            <wp:effectExtent l="0" t="0" r="0" b="0"/>
            <wp:docPr id="10" name="Picture 52" descr="Figure 4 shows energy savings due to efficiency improvements for refrige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raph comparing net belefits vs MEPS 1 MEPS2 and Industr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5115" cy="2407285"/>
                    </a:xfrm>
                    <a:prstGeom prst="rect">
                      <a:avLst/>
                    </a:prstGeom>
                    <a:noFill/>
                    <a:ln>
                      <a:noFill/>
                    </a:ln>
                  </pic:spPr>
                </pic:pic>
              </a:graphicData>
            </a:graphic>
          </wp:inline>
        </w:drawing>
      </w:r>
    </w:p>
    <w:p w:rsidR="00002A12" w:rsidRPr="0061636F" w:rsidRDefault="00002A12" w:rsidP="0061636F">
      <w:pPr>
        <w:rPr>
          <w:b/>
          <w:bCs/>
        </w:rPr>
      </w:pPr>
      <w:r w:rsidRPr="0061636F">
        <w:rPr>
          <w:b/>
          <w:bCs/>
        </w:rPr>
        <w:t>Figure 5 – Energy savings due to efficiency improvements for freezers</w:t>
      </w:r>
    </w:p>
    <w:p w:rsidR="00002A12" w:rsidRPr="003442DC" w:rsidRDefault="006A503D" w:rsidP="00002A12">
      <w:pPr>
        <w:rPr>
          <w:sz w:val="22"/>
        </w:rPr>
      </w:pPr>
      <w:r w:rsidRPr="006A503D">
        <w:rPr>
          <w:noProof/>
          <w:sz w:val="22"/>
          <w:lang w:eastAsia="en-AU"/>
        </w:rPr>
        <w:drawing>
          <wp:inline distT="0" distB="0" distL="0" distR="0">
            <wp:extent cx="5365115" cy="2407285"/>
            <wp:effectExtent l="0" t="0" r="0" b="0"/>
            <wp:docPr id="11" name="Picture 53" descr="Figure 5 shows energy savings due to efficiency improvements for freez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raph comparing net belefits vs MEPS 1 MEPS2 and Industr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5115" cy="2407285"/>
                    </a:xfrm>
                    <a:prstGeom prst="rect">
                      <a:avLst/>
                    </a:prstGeom>
                    <a:noFill/>
                    <a:ln>
                      <a:noFill/>
                    </a:ln>
                  </pic:spPr>
                </pic:pic>
              </a:graphicData>
            </a:graphic>
          </wp:inline>
        </w:drawing>
      </w:r>
    </w:p>
    <w:p w:rsidR="0061636F" w:rsidRDefault="00002A12" w:rsidP="00002A12">
      <w:pPr>
        <w:rPr>
          <w:sz w:val="22"/>
        </w:rPr>
      </w:pPr>
      <w:r w:rsidRPr="003442DC">
        <w:rPr>
          <w:sz w:val="22"/>
        </w:rPr>
        <w:t>Overall, improvement in energy efficiency in refrigerators from 1998 to 2014 resulted in a cumulative average estimated saving of $816 million. MEPS1 and MEPS2 account for the majority of the savings over most years. MEPS1 resulted in a cumulative average estimate saving of $37 million by 2014. MEPS2 made the most significant contribution and resulted in a cumulative average estimate saving of $521 million by 2014. Industry improvement over the same period totalled an average estimate of $259 million. Energy efficiency improvements in freezers resulted in a cumulative saving of $116 million from 2001 to 2014. MEPS2 made the most significant contribution, resulting in a cumulative average estimate saving of $85 million by 2014. Industry contributed a saving of $31 million by 2014.</w:t>
      </w:r>
    </w:p>
    <w:p w:rsidR="0061636F" w:rsidRDefault="0061636F">
      <w:pPr>
        <w:spacing w:before="0" w:after="0" w:line="240" w:lineRule="auto"/>
        <w:rPr>
          <w:sz w:val="22"/>
        </w:rPr>
      </w:pPr>
      <w:r>
        <w:rPr>
          <w:sz w:val="22"/>
        </w:rPr>
        <w:br w:type="page"/>
      </w:r>
    </w:p>
    <w:p w:rsidR="00002A12" w:rsidRPr="003442DC" w:rsidRDefault="00002A12" w:rsidP="00002A12">
      <w:pPr>
        <w:rPr>
          <w:sz w:val="22"/>
        </w:rPr>
      </w:pPr>
      <w:r w:rsidRPr="00C743A5">
        <w:rPr>
          <w:b/>
          <w:bCs/>
        </w:rPr>
        <w:lastRenderedPageBreak/>
        <w:t>Figures 6</w:t>
      </w:r>
      <w:r w:rsidRPr="003442DC">
        <w:rPr>
          <w:sz w:val="22"/>
        </w:rPr>
        <w:t xml:space="preserve"> and </w:t>
      </w:r>
      <w:r w:rsidRPr="00C743A5">
        <w:rPr>
          <w:b/>
          <w:bCs/>
        </w:rPr>
        <w:t>Figure 7</w:t>
      </w:r>
      <w:r w:rsidRPr="003442DC">
        <w:rPr>
          <w:sz w:val="22"/>
        </w:rPr>
        <w:t xml:space="preserve"> give a high and low range on the cumulative financial savings of refrigerators and freezers due to MEPS2 between 2004 and 2020.</w:t>
      </w:r>
    </w:p>
    <w:p w:rsidR="00002A12" w:rsidRPr="0061636F" w:rsidRDefault="00002A12" w:rsidP="0061636F">
      <w:pPr>
        <w:rPr>
          <w:b/>
          <w:bCs/>
        </w:rPr>
      </w:pPr>
      <w:r w:rsidRPr="0061636F">
        <w:rPr>
          <w:b/>
          <w:bCs/>
        </w:rPr>
        <w:t>Figure 6 – Net financial benefits of refrigerators due to MEPS2 2004 – 2020</w:t>
      </w:r>
    </w:p>
    <w:p w:rsidR="00002A12" w:rsidRPr="003442DC" w:rsidRDefault="006A503D" w:rsidP="00002A12">
      <w:pPr>
        <w:rPr>
          <w:sz w:val="22"/>
        </w:rPr>
      </w:pPr>
      <w:r w:rsidRPr="006A503D">
        <w:rPr>
          <w:noProof/>
          <w:sz w:val="22"/>
          <w:lang w:eastAsia="en-AU"/>
        </w:rPr>
        <w:drawing>
          <wp:inline distT="0" distB="0" distL="0" distR="0">
            <wp:extent cx="5580380" cy="2501265"/>
            <wp:effectExtent l="0" t="0" r="0" b="0"/>
            <wp:docPr id="12" name="Picture 61" descr="Figure 6 shows the net financial benefits of refrigerators due to MEPS2 from 2004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raph comparing net belefits vs upper bound and lower boun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0380" cy="2501265"/>
                    </a:xfrm>
                    <a:prstGeom prst="rect">
                      <a:avLst/>
                    </a:prstGeom>
                    <a:noFill/>
                    <a:ln>
                      <a:noFill/>
                    </a:ln>
                  </pic:spPr>
                </pic:pic>
              </a:graphicData>
            </a:graphic>
          </wp:inline>
        </w:drawing>
      </w:r>
    </w:p>
    <w:p w:rsidR="00002A12" w:rsidRPr="0061636F" w:rsidRDefault="00002A12" w:rsidP="0061636F">
      <w:pPr>
        <w:rPr>
          <w:b/>
          <w:bCs/>
        </w:rPr>
      </w:pPr>
      <w:r w:rsidRPr="0061636F">
        <w:rPr>
          <w:b/>
          <w:bCs/>
        </w:rPr>
        <w:t>Figure 7 –Net financial costs and benefits of freezers due to MEPS2 2004 – 2020</w:t>
      </w:r>
    </w:p>
    <w:p w:rsidR="00002A12" w:rsidRPr="003442DC" w:rsidRDefault="006A503D" w:rsidP="00002A12">
      <w:pPr>
        <w:rPr>
          <w:sz w:val="22"/>
        </w:rPr>
      </w:pPr>
      <w:r w:rsidRPr="006A503D">
        <w:rPr>
          <w:noProof/>
          <w:sz w:val="22"/>
          <w:lang w:eastAsia="en-AU"/>
        </w:rPr>
        <w:drawing>
          <wp:inline distT="0" distB="0" distL="0" distR="0">
            <wp:extent cx="5634355" cy="2635885"/>
            <wp:effectExtent l="0" t="0" r="0" b="0"/>
            <wp:docPr id="13" name="Picture 60" descr="Figure 7 shows the net financial costs and benefits of freezers due to MEPS2 from 2004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raph comparing net belefits vs upper bound and lower boun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4355" cy="2635885"/>
                    </a:xfrm>
                    <a:prstGeom prst="rect">
                      <a:avLst/>
                    </a:prstGeom>
                    <a:noFill/>
                    <a:ln>
                      <a:noFill/>
                    </a:ln>
                  </pic:spPr>
                </pic:pic>
              </a:graphicData>
            </a:graphic>
          </wp:inline>
        </w:drawing>
      </w:r>
    </w:p>
    <w:p w:rsidR="00002A12" w:rsidRPr="003442DC" w:rsidRDefault="00002A12" w:rsidP="00002A12">
      <w:pPr>
        <w:rPr>
          <w:sz w:val="22"/>
        </w:rPr>
      </w:pPr>
      <w:r w:rsidRPr="003442DC">
        <w:rPr>
          <w:sz w:val="22"/>
        </w:rPr>
        <w:t>For both refrigerators and freezers, the introduction of MEPS2 has resulted in significant financial savings. For refrigerators, MEPS2 has achieved financial savings between the range of $1.86 to $2.93 billion between 2005 and 2014. Further projected savings between 2015 and 2020 are between $2.5 and $4 billion. For freezers, MEPS2 achieved financial savings of between $246 and $410 million from 2005 to 2014. Further projected savings between 2015 and 2020 are between $407 and $656 million.</w:t>
      </w:r>
    </w:p>
    <w:p w:rsidR="00002A12" w:rsidRPr="00C743A5" w:rsidRDefault="00002A12" w:rsidP="0061636F">
      <w:pPr>
        <w:pStyle w:val="Heading3"/>
      </w:pPr>
      <w:bookmarkStart w:id="131" w:name="_Toc482184141"/>
      <w:bookmarkStart w:id="132" w:name="_Toc18661041"/>
      <w:r w:rsidRPr="00C743A5">
        <w:t>MEPS Conclusions</w:t>
      </w:r>
      <w:bookmarkEnd w:id="131"/>
      <w:bookmarkEnd w:id="132"/>
    </w:p>
    <w:p w:rsidR="00002A12" w:rsidRPr="003442DC" w:rsidRDefault="00002A12" w:rsidP="00002A12">
      <w:pPr>
        <w:rPr>
          <w:sz w:val="22"/>
        </w:rPr>
      </w:pPr>
      <w:r w:rsidRPr="003442DC">
        <w:rPr>
          <w:sz w:val="22"/>
        </w:rPr>
        <w:t xml:space="preserve">Adopting MEPS1 and MEPS2 for both refrigerators and freezers have resulted in significant financial savings. MEPS2 continues to produce financial savings that exceed regulatory costs through to 2020. The continued increase in the energy efficiency of these appliances suggests that industry is continuing to improve energy efficiency in the absence of any new </w:t>
      </w:r>
      <w:r w:rsidRPr="003442DC">
        <w:rPr>
          <w:sz w:val="22"/>
        </w:rPr>
        <w:lastRenderedPageBreak/>
        <w:t xml:space="preserve">introduced MEPS since 2005, with international regulations largely driving this trend. The cost of delay in adopting stringent international standards is significant. </w:t>
      </w:r>
    </w:p>
    <w:p w:rsidR="00002A12" w:rsidRPr="003442DC" w:rsidRDefault="00002A12" w:rsidP="0061636F">
      <w:pPr>
        <w:rPr>
          <w:sz w:val="22"/>
        </w:rPr>
      </w:pPr>
      <w:r w:rsidRPr="003442DC">
        <w:rPr>
          <w:sz w:val="22"/>
        </w:rPr>
        <w:t xml:space="preserve">For refrigerators, the introduction of MEPS2 in 2005 has resulted in financial savings in the range of $1.85 to $2.93 billion between 2005 and 2014. Further projected savings between 2015 and 2020 are between $2.49 and $3.94 billion. For freezers, MEPS2 achieved financial savings between $264.8 and $428.7 million from 2005 to 2014. Further projected savings between 2015 and 2020 are estimated to be between $409.9 and $658.8 million. A further estimated average saving of $37 million was produced by MEPS1 through to 2014.  </w:t>
      </w:r>
    </w:p>
    <w:sectPr w:rsidR="00002A12" w:rsidRPr="003442DC" w:rsidSect="0061636F">
      <w:footerReference w:type="default" r:id="rId31"/>
      <w:type w:val="continuous"/>
      <w:pgSz w:w="11906" w:h="16838"/>
      <w:pgMar w:top="1440" w:right="1440" w:bottom="1440" w:left="1440" w:header="425" w:footer="425"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FC0" w:rsidRDefault="008A7FC0" w:rsidP="00B44994">
      <w:r>
        <w:separator/>
      </w:r>
    </w:p>
  </w:endnote>
  <w:endnote w:type="continuationSeparator" w:id="0">
    <w:p w:rsidR="008A7FC0" w:rsidRDefault="008A7FC0" w:rsidP="00B44994">
      <w:r>
        <w:continuationSeparator/>
      </w:r>
    </w:p>
  </w:endnote>
  <w:endnote w:type="continuationNotice" w:id="1">
    <w:p w:rsidR="008A7FC0" w:rsidRDefault="008A7F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egular">
    <w:altName w:val="Times New Roman"/>
    <w:panose1 w:val="00000000000000000000"/>
    <w:charset w:val="00"/>
    <w:family w:val="auto"/>
    <w:notTrueType/>
    <w:pitch w:val="variable"/>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Adobe Garamond Pro">
    <w:altName w:val="Times New Roman"/>
    <w:panose1 w:val="00000000000000000000"/>
    <w:charset w:val="4D"/>
    <w:family w:val="roman"/>
    <w:notTrueType/>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A05" w:rsidRDefault="00646A05" w:rsidP="00B44994">
    <w:pPr>
      <w:pStyle w:val="Footer"/>
    </w:pPr>
    <w:r>
      <w:fldChar w:fldCharType="begin"/>
    </w:r>
    <w:r>
      <w:instrText xml:space="preserve"> PAGE   \* MERGEFORMAT </w:instrText>
    </w:r>
    <w:r>
      <w:fldChar w:fldCharType="separate"/>
    </w:r>
    <w:r w:rsidR="00841EE8">
      <w:rPr>
        <w:noProof/>
      </w:rPr>
      <w:t>79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FC0" w:rsidRDefault="008A7FC0" w:rsidP="00240A12">
      <w:r>
        <w:separator/>
      </w:r>
    </w:p>
  </w:footnote>
  <w:footnote w:type="continuationSeparator" w:id="0">
    <w:p w:rsidR="008A7FC0" w:rsidRDefault="008A7FC0" w:rsidP="00240A12">
      <w:r>
        <w:continuationSeparator/>
      </w:r>
    </w:p>
  </w:footnote>
  <w:footnote w:type="continuationNotice" w:id="1">
    <w:p w:rsidR="008A7FC0" w:rsidRDefault="008A7FC0">
      <w:pPr>
        <w:spacing w:after="0" w:line="240" w:lineRule="auto"/>
      </w:pPr>
    </w:p>
  </w:footnote>
  <w:footnote w:id="2">
    <w:p w:rsidR="00646A05" w:rsidRDefault="00646A05">
      <w:pPr>
        <w:pStyle w:val="FootnoteText"/>
      </w:pPr>
      <w:r>
        <w:rPr>
          <w:rStyle w:val="FootnoteReference"/>
        </w:rPr>
        <w:footnoteRef/>
      </w:r>
      <w:r>
        <w:t xml:space="preserve"> R</w:t>
      </w:r>
      <w:r w:rsidRPr="009B7ED2">
        <w:t>ecommendation numbers correspond</w:t>
      </w:r>
      <w:r>
        <w:t xml:space="preserve"> </w:t>
      </w:r>
      <w:r w:rsidRPr="009B7ED2">
        <w:t xml:space="preserve">to the order </w:t>
      </w:r>
      <w:r>
        <w:t xml:space="preserve">they appear in this </w:t>
      </w:r>
      <w:r w:rsidRPr="009B7ED2">
        <w:t>report</w:t>
      </w:r>
      <w:r>
        <w:t>.</w:t>
      </w:r>
    </w:p>
  </w:footnote>
  <w:footnote w:id="3">
    <w:p w:rsidR="00646A05" w:rsidRDefault="00646A05" w:rsidP="00240A12">
      <w:pPr>
        <w:pStyle w:val="FootnoteText"/>
      </w:pPr>
      <w:r>
        <w:rPr>
          <w:rStyle w:val="FootnoteReference"/>
        </w:rPr>
        <w:footnoteRef/>
      </w:r>
      <w:r>
        <w:t xml:space="preserve"> </w:t>
      </w:r>
      <w:r w:rsidRPr="008676C2">
        <w:t>The Australian Government Guide to Regulation</w:t>
      </w:r>
      <w:r>
        <w:t>, 2014.</w:t>
      </w:r>
    </w:p>
  </w:footnote>
  <w:footnote w:id="4">
    <w:p w:rsidR="00646A05" w:rsidRDefault="00646A05">
      <w:pPr>
        <w:pStyle w:val="FootnoteText"/>
      </w:pPr>
      <w:r>
        <w:rPr>
          <w:rStyle w:val="FootnoteReference"/>
        </w:rPr>
        <w:footnoteRef/>
      </w:r>
      <w:r>
        <w:t xml:space="preserve"> </w:t>
      </w:r>
      <w:hyperlink r:id="rId1" w:history="1">
        <w:r w:rsidRPr="00240A12">
          <w:rPr>
            <w:color w:val="0000FF" w:themeColor="hyperlink"/>
            <w:u w:val="single"/>
          </w:rPr>
          <w:t>http://www.energyrating.gov.au/consultation/gems-fee-review-supplementary-paper</w:t>
        </w:r>
      </w:hyperlink>
    </w:p>
  </w:footnote>
  <w:footnote w:id="5">
    <w:p w:rsidR="00646A05" w:rsidRDefault="00646A05" w:rsidP="004F06CA">
      <w:pPr>
        <w:pStyle w:val="FootnoteText"/>
      </w:pPr>
      <w:r>
        <w:rPr>
          <w:rStyle w:val="FootnoteReference"/>
        </w:rPr>
        <w:footnoteRef/>
      </w:r>
      <w:r>
        <w:t xml:space="preserve"> New Zealand participates under </w:t>
      </w:r>
      <w:r w:rsidRPr="003F7BC3">
        <w:t xml:space="preserve">the </w:t>
      </w:r>
      <w:r w:rsidRPr="00DE7AB5">
        <w:rPr>
          <w:i/>
        </w:rPr>
        <w:t>Energy Efficiency (Energy Using Products) Regulations 2002</w:t>
      </w:r>
      <w:r>
        <w:t xml:space="preserve">, which is not part of this review. </w:t>
      </w:r>
    </w:p>
  </w:footnote>
  <w:footnote w:id="6">
    <w:p w:rsidR="00646A05" w:rsidRDefault="00646A05" w:rsidP="00240A12">
      <w:pPr>
        <w:pStyle w:val="FootnoteText"/>
      </w:pPr>
      <w:r>
        <w:rPr>
          <w:rStyle w:val="FootnoteReference"/>
        </w:rPr>
        <w:footnoteRef/>
      </w:r>
      <w:r>
        <w:t xml:space="preserve"> </w:t>
      </w:r>
      <w:hyperlink r:id="rId2" w:history="1">
        <w:r w:rsidRPr="00021547">
          <w:rPr>
            <w:rStyle w:val="Hyperlink"/>
          </w:rPr>
          <w:t>http://energyrating.gov.au/document/gems-iga-signed</w:t>
        </w:r>
      </w:hyperlink>
    </w:p>
  </w:footnote>
  <w:footnote w:id="7">
    <w:p w:rsidR="00646A05" w:rsidRDefault="00646A05" w:rsidP="00B44994">
      <w:pPr>
        <w:pStyle w:val="FootnoteText"/>
      </w:pPr>
      <w:r>
        <w:rPr>
          <w:rStyle w:val="FootnoteReference"/>
        </w:rPr>
        <w:footnoteRef/>
      </w:r>
      <w:r>
        <w:t xml:space="preserve"> </w:t>
      </w:r>
      <w:hyperlink r:id="rId3" w:history="1">
        <w:r w:rsidRPr="00E54700">
          <w:rPr>
            <w:rStyle w:val="Hyperlink"/>
          </w:rPr>
          <w:t>https://www.cuttingredtape.gov.au/resources/rpf</w:t>
        </w:r>
      </w:hyperlink>
    </w:p>
  </w:footnote>
  <w:footnote w:id="8">
    <w:p w:rsidR="00646A05" w:rsidRDefault="00646A05" w:rsidP="001875E6">
      <w:pPr>
        <w:pStyle w:val="FootnoteText"/>
      </w:pPr>
      <w:r>
        <w:rPr>
          <w:rStyle w:val="FootnoteReference"/>
        </w:rPr>
        <w:footnoteRef/>
      </w:r>
      <w:r>
        <w:t xml:space="preserve"> </w:t>
      </w:r>
      <w:hyperlink r:id="rId4" w:history="1">
        <w:r w:rsidRPr="00354426">
          <w:rPr>
            <w:rStyle w:val="Hyperlink"/>
          </w:rPr>
          <w:t>http://www.energyrating.gov.au/news/gems-review-released</w:t>
        </w:r>
      </w:hyperlink>
    </w:p>
  </w:footnote>
  <w:footnote w:id="9">
    <w:p w:rsidR="00646A05" w:rsidRDefault="00646A05" w:rsidP="00F740A0">
      <w:pPr>
        <w:pStyle w:val="FootnoteText"/>
      </w:pPr>
      <w:r>
        <w:rPr>
          <w:rStyle w:val="FootnoteReference"/>
        </w:rPr>
        <w:footnoteRef/>
      </w:r>
      <w:r>
        <w:t xml:space="preserve"> </w:t>
      </w:r>
      <w:hyperlink r:id="rId5" w:history="1">
        <w:r w:rsidRPr="00197473">
          <w:rPr>
            <w:rStyle w:val="Hyperlink"/>
          </w:rPr>
          <w:t>https://www.energy.gov.au/publications/independent-review-future-security-national-electricity-market-blueprint-future</w:t>
        </w:r>
      </w:hyperlink>
    </w:p>
  </w:footnote>
  <w:footnote w:id="10">
    <w:p w:rsidR="00646A05" w:rsidRDefault="00646A05">
      <w:pPr>
        <w:pStyle w:val="FootnoteText"/>
      </w:pPr>
      <w:r>
        <w:rPr>
          <w:rStyle w:val="FootnoteReference"/>
        </w:rPr>
        <w:footnoteRef/>
      </w:r>
      <w:r>
        <w:t xml:space="preserve"> </w:t>
      </w:r>
      <w:hyperlink r:id="rId6" w:history="1">
        <w:r w:rsidRPr="007E39A7">
          <w:rPr>
            <w:color w:val="0000FF" w:themeColor="hyperlink"/>
            <w:u w:val="single"/>
          </w:rPr>
          <w:t>http://www.environment.gov.au/climate-change/review-climate-change-policies</w:t>
        </w:r>
      </w:hyperlink>
    </w:p>
  </w:footnote>
  <w:footnote w:id="11">
    <w:p w:rsidR="00646A05" w:rsidRDefault="00646A05" w:rsidP="00F740A0">
      <w:pPr>
        <w:pStyle w:val="FootnoteText"/>
      </w:pPr>
      <w:r w:rsidRPr="007907EF">
        <w:rPr>
          <w:rStyle w:val="FootnoteReference"/>
        </w:rPr>
        <w:footnoteRef/>
      </w:r>
      <w:r w:rsidRPr="007907EF">
        <w:t xml:space="preserve"> </w:t>
      </w:r>
      <w:hyperlink r:id="rId7" w:history="1">
        <w:r w:rsidRPr="007907EF">
          <w:rPr>
            <w:rStyle w:val="Hyperlink"/>
          </w:rPr>
          <w:t>http://www.coagenergycouncil.gov.au/about-us/our-role</w:t>
        </w:r>
      </w:hyperlink>
    </w:p>
  </w:footnote>
  <w:footnote w:id="12">
    <w:p w:rsidR="00646A05" w:rsidRDefault="00646A05" w:rsidP="00F740A0">
      <w:pPr>
        <w:pStyle w:val="FootnoteText"/>
      </w:pPr>
      <w:r>
        <w:rPr>
          <w:rStyle w:val="FootnoteReference"/>
        </w:rPr>
        <w:footnoteRef/>
      </w:r>
      <w:r>
        <w:t xml:space="preserve"> </w:t>
      </w:r>
      <w:hyperlink r:id="rId8" w:history="1">
        <w:r w:rsidRPr="007907EF">
          <w:rPr>
            <w:color w:val="0000FF" w:themeColor="hyperlink"/>
            <w:u w:val="single"/>
          </w:rPr>
          <w:t>https://www.energy.gov.au/government-priorities/energy-productivity-and-energy-efficiency</w:t>
        </w:r>
      </w:hyperlink>
      <w:r w:rsidRPr="007907EF">
        <w:t>.</w:t>
      </w:r>
    </w:p>
  </w:footnote>
  <w:footnote w:id="13">
    <w:p w:rsidR="00646A05" w:rsidRDefault="00646A05" w:rsidP="00F740A0">
      <w:pPr>
        <w:pStyle w:val="FootnoteText"/>
      </w:pPr>
      <w:r>
        <w:rPr>
          <w:rStyle w:val="FootnoteReference"/>
        </w:rPr>
        <w:footnoteRef/>
      </w:r>
      <w:r>
        <w:t xml:space="preserve"> The Department of the Environment and Energy’s estimate of the impact Australian fridge and freezer MEPS had on demand in 2017 was 360MW. This figure takes into consideration the impact international regulations had on the Australian market. </w:t>
      </w:r>
    </w:p>
  </w:footnote>
  <w:footnote w:id="14">
    <w:p w:rsidR="00646A05" w:rsidRDefault="00646A05" w:rsidP="00F740A0">
      <w:pPr>
        <w:pStyle w:val="FootnoteText"/>
      </w:pPr>
      <w:r>
        <w:rPr>
          <w:rStyle w:val="FootnoteReference"/>
        </w:rPr>
        <w:footnoteRef/>
      </w:r>
      <w:r>
        <w:t xml:space="preserve"> Energy Efficiency Council submission to GEMS Review Discussion Paper.</w:t>
      </w:r>
    </w:p>
  </w:footnote>
  <w:footnote w:id="15">
    <w:p w:rsidR="00646A05" w:rsidRDefault="00646A05">
      <w:pPr>
        <w:pStyle w:val="FootnoteText"/>
      </w:pPr>
      <w:r>
        <w:rPr>
          <w:rStyle w:val="FootnoteReference"/>
        </w:rPr>
        <w:footnoteRef/>
      </w:r>
      <w:r>
        <w:t xml:space="preserve"> An Australian Cost Curve for Greenhouse Gas Abatement, McKinsey and Company, 2008.  </w:t>
      </w:r>
    </w:p>
  </w:footnote>
  <w:footnote w:id="16">
    <w:p w:rsidR="00646A05" w:rsidRDefault="00646A05" w:rsidP="00F740A0">
      <w:pPr>
        <w:pStyle w:val="FootnoteText"/>
      </w:pPr>
      <w:r>
        <w:rPr>
          <w:rStyle w:val="FootnoteReference"/>
        </w:rPr>
        <w:footnoteRef/>
      </w:r>
      <w:r>
        <w:t xml:space="preserve"> </w:t>
      </w:r>
      <w:r w:rsidRPr="002D3EBC">
        <w:t>https://www.standards.org.au/news/technical-governance-review</w:t>
      </w:r>
    </w:p>
  </w:footnote>
  <w:footnote w:id="17">
    <w:p w:rsidR="00646A05" w:rsidRDefault="00646A05" w:rsidP="00F740A0">
      <w:pPr>
        <w:pStyle w:val="FootnoteText"/>
      </w:pPr>
      <w:r>
        <w:rPr>
          <w:rStyle w:val="FootnoteReference"/>
        </w:rPr>
        <w:footnoteRef/>
      </w:r>
      <w:r>
        <w:t xml:space="preserve"> Section 34 of the Act outlines that a GEMS determination comes into force (a) 12 months after the day it is made; or (b) if the determination specifies that it comes into force on another day that is after the day the determination is made – on that other day.</w:t>
      </w:r>
    </w:p>
  </w:footnote>
  <w:footnote w:id="18">
    <w:p w:rsidR="00646A05" w:rsidRDefault="00646A05" w:rsidP="00AF1AAE">
      <w:pPr>
        <w:pStyle w:val="FootnoteText"/>
      </w:pPr>
      <w:r w:rsidRPr="000674DD">
        <w:rPr>
          <w:rStyle w:val="FootnoteReference"/>
        </w:rPr>
        <w:footnoteRef/>
      </w:r>
      <w:r>
        <w:rPr>
          <w:rStyle w:val="Strong"/>
          <w:rFonts w:cs="Arial"/>
          <w:b w:val="0"/>
          <w:color w:val="444444"/>
          <w:szCs w:val="16"/>
          <w:lang w:val="en"/>
        </w:rPr>
        <w:t xml:space="preserve"> </w:t>
      </w:r>
      <w:r w:rsidRPr="000674DD">
        <w:rPr>
          <w:rStyle w:val="Strong"/>
          <w:rFonts w:cs="Arial"/>
          <w:b w:val="0"/>
          <w:color w:val="444444"/>
          <w:lang w:val="en"/>
        </w:rPr>
        <w:t>Commission Staff Working Document Impact Assessment Accompanying the document Proposal for a Regulation of the European Parliament and of the Council setting a framework for energy efficiency labelling and repealing Directive 2010/30/EU</w:t>
      </w:r>
      <w:r w:rsidRPr="000674DD">
        <w:t xml:space="preserve"> </w:t>
      </w:r>
      <w:hyperlink r:id="rId9" w:history="1">
        <w:r w:rsidRPr="000674DD">
          <w:rPr>
            <w:rStyle w:val="Hyperlink"/>
          </w:rPr>
          <w:t>https://eur-lex.europa.eu/legal-content/EN/TXT/?uri=celex%3A52015SC0139</w:t>
        </w:r>
      </w:hyperlink>
      <w:r>
        <w:rPr>
          <w:szCs w:val="16"/>
        </w:rPr>
        <w:t xml:space="preserve"> </w:t>
      </w:r>
    </w:p>
  </w:footnote>
  <w:footnote w:id="19">
    <w:p w:rsidR="00646A05" w:rsidRDefault="00646A05" w:rsidP="00F740A0">
      <w:pPr>
        <w:pStyle w:val="FootnoteText"/>
      </w:pPr>
      <w:r>
        <w:rPr>
          <w:rStyle w:val="FootnoteReference"/>
        </w:rPr>
        <w:footnoteRef/>
      </w:r>
      <w:r>
        <w:t xml:space="preserve"> </w:t>
      </w:r>
      <w:r w:rsidRPr="000F6DD0">
        <w:t>D</w:t>
      </w:r>
      <w:r w:rsidRPr="00F740A0">
        <w:t xml:space="preserve">ue to the fact there is only one registration to be cancelled, and models cannot be individually removed from </w:t>
      </w:r>
      <w:r>
        <w:t>within a</w:t>
      </w:r>
      <w:r w:rsidRPr="00F740A0">
        <w:t xml:space="preserve"> registration</w:t>
      </w:r>
      <w:r>
        <w:t>.</w:t>
      </w:r>
    </w:p>
  </w:footnote>
  <w:footnote w:id="20">
    <w:p w:rsidR="00646A05" w:rsidRDefault="00646A05" w:rsidP="006979A5">
      <w:pPr>
        <w:pStyle w:val="FootnoteText"/>
      </w:pPr>
      <w:r>
        <w:rPr>
          <w:rStyle w:val="FootnoteReference"/>
        </w:rPr>
        <w:footnoteRef/>
      </w:r>
      <w:r>
        <w:t xml:space="preserve"> </w:t>
      </w:r>
      <w:hyperlink r:id="rId10" w:history="1">
        <w:r w:rsidRPr="00AC67CE">
          <w:rPr>
            <w:rStyle w:val="Hyperlink"/>
          </w:rPr>
          <w:t>http://www.energyrating.gov.au/document/gems-compliance-monitoring-program-20172018</w:t>
        </w:r>
      </w:hyperlink>
    </w:p>
  </w:footnote>
  <w:footnote w:id="21">
    <w:p w:rsidR="00646A05" w:rsidRDefault="00646A05" w:rsidP="00F740A0">
      <w:pPr>
        <w:pStyle w:val="FootnoteText"/>
      </w:pPr>
      <w:r>
        <w:rPr>
          <w:rStyle w:val="FootnoteReference"/>
        </w:rPr>
        <w:footnoteRef/>
      </w:r>
      <w:r>
        <w:t xml:space="preserve"> Section </w:t>
      </w:r>
      <w:r w:rsidRPr="00796545">
        <w:t>137.1</w:t>
      </w:r>
      <w:r>
        <w:t xml:space="preserve"> </w:t>
      </w:r>
      <w:r w:rsidRPr="00796545">
        <w:t>False or misleading information</w:t>
      </w:r>
      <w:r>
        <w:t xml:space="preserve">, </w:t>
      </w:r>
      <w:r w:rsidRPr="00796545">
        <w:rPr>
          <w:i/>
        </w:rPr>
        <w:t>Criminal Code Act 1995</w:t>
      </w:r>
    </w:p>
  </w:footnote>
  <w:footnote w:id="22">
    <w:p w:rsidR="00646A05" w:rsidRDefault="00646A05" w:rsidP="00B8201E">
      <w:pPr>
        <w:autoSpaceDE w:val="0"/>
        <w:autoSpaceDN w:val="0"/>
        <w:adjustRightInd w:val="0"/>
        <w:spacing w:after="0" w:line="240" w:lineRule="auto"/>
      </w:pPr>
      <w:r>
        <w:rPr>
          <w:rStyle w:val="FootnoteReference"/>
        </w:rPr>
        <w:footnoteRef/>
      </w:r>
      <w:r>
        <w:t xml:space="preserve"> </w:t>
      </w:r>
      <w:r w:rsidRPr="00C743A5">
        <w:rPr>
          <w:rStyle w:val="FootnoteTextChar"/>
        </w:rPr>
        <w:t>Effectiveness of Energy Efficiency Voluntary Agreements, final report, IEA 4E Technology Collaboration Programme, 6 December 2017</w:t>
      </w:r>
    </w:p>
  </w:footnote>
  <w:footnote w:id="23">
    <w:p w:rsidR="00646A05" w:rsidRDefault="00646A05" w:rsidP="00F740A0">
      <w:pPr>
        <w:pStyle w:val="FootnoteText"/>
      </w:pPr>
      <w:r>
        <w:rPr>
          <w:rStyle w:val="FootnoteReference"/>
        </w:rPr>
        <w:footnoteRef/>
      </w:r>
      <w:r>
        <w:t xml:space="preserve"> </w:t>
      </w:r>
      <w:r w:rsidRPr="00240A12">
        <w:t xml:space="preserve">see </w:t>
      </w:r>
      <w:r w:rsidRPr="00240A12">
        <w:rPr>
          <w:b/>
        </w:rPr>
        <w:t xml:space="preserve">Box </w:t>
      </w:r>
      <w:r>
        <w:rPr>
          <w:b/>
        </w:rPr>
        <w:t>7</w:t>
      </w:r>
      <w:r w:rsidRPr="00240A12">
        <w:t xml:space="preserve"> for an explanation of how the Department of the Environment and Energy calculates GEMS impacts</w:t>
      </w:r>
    </w:p>
  </w:footnote>
  <w:footnote w:id="24">
    <w:p w:rsidR="00646A05" w:rsidRDefault="00646A05" w:rsidP="00C743A5">
      <w:pPr>
        <w:pStyle w:val="FootnoteText"/>
      </w:pPr>
      <w:r>
        <w:rPr>
          <w:rStyle w:val="FootnoteReference"/>
        </w:rPr>
        <w:footnoteRef/>
      </w:r>
      <w:hyperlink r:id="rId11" w:history="1">
        <w:r w:rsidRPr="00F740A0">
          <w:rPr>
            <w:rStyle w:val="Hyperlink"/>
          </w:rPr>
          <w:t>http://www.energyrating.gov.au/sites/new.energyrating/files/documents/Impacts-of-the-E3-Program.pdf</w:t>
        </w:r>
      </w:hyperlink>
      <w:r w:rsidRPr="00F740A0">
        <w:t xml:space="preserve"> </w:t>
      </w:r>
    </w:p>
  </w:footnote>
  <w:footnote w:id="25">
    <w:p w:rsidR="00646A05" w:rsidRDefault="00646A05" w:rsidP="00C743A5">
      <w:pPr>
        <w:pStyle w:val="FootnoteText"/>
      </w:pPr>
      <w:r>
        <w:rPr>
          <w:rStyle w:val="FootnoteReference"/>
        </w:rPr>
        <w:footnoteRef/>
      </w:r>
      <w:hyperlink r:id="rId12" w:history="1">
        <w:r w:rsidRPr="00240A12">
          <w:rPr>
            <w:rStyle w:val="Hyperlink"/>
          </w:rPr>
          <w:t>http://www.energyrating.gov.au/sites/new.energyrating/files/documents/GEMS_Review_2015_Final_Report_0.pdf</w:t>
        </w:r>
      </w:hyperlink>
      <w:r w:rsidRPr="00F740A0">
        <w:t xml:space="preserve"> </w:t>
      </w:r>
    </w:p>
  </w:footnote>
  <w:footnote w:id="26">
    <w:p w:rsidR="00646A05" w:rsidRDefault="00646A05" w:rsidP="00F740A0">
      <w:pPr>
        <w:pStyle w:val="FootnoteText"/>
      </w:pPr>
      <w:r>
        <w:rPr>
          <w:rStyle w:val="FootnoteReference"/>
        </w:rPr>
        <w:footnoteRef/>
      </w:r>
      <w:r>
        <w:t xml:space="preserve"> T</w:t>
      </w:r>
      <w:r w:rsidRPr="00E826BA">
        <w:t xml:space="preserve">he ‘consideration’ stage </w:t>
      </w:r>
      <w:r>
        <w:t>is one in which</w:t>
      </w:r>
      <w:r w:rsidRPr="00E826BA">
        <w:t xml:space="preserve"> people narrow down the product</w:t>
      </w:r>
      <w:r>
        <w:t xml:space="preserve"> alternatives to a few options. This is followed </w:t>
      </w:r>
      <w:r w:rsidRPr="00E826BA">
        <w:t>by the purchasing</w:t>
      </w:r>
      <w:r>
        <w:t xml:space="preserve"> (or ‘choice’)</w:t>
      </w:r>
      <w:r w:rsidRPr="00E826BA">
        <w:t xml:space="preserve"> stage where they make their</w:t>
      </w:r>
      <w:r>
        <w:t xml:space="preserve"> </w:t>
      </w:r>
      <w:r w:rsidRPr="00E826BA">
        <w:t>final</w:t>
      </w:r>
      <w:r>
        <w:t xml:space="preserve"> decision.</w:t>
      </w:r>
    </w:p>
  </w:footnote>
  <w:footnote w:id="27">
    <w:p w:rsidR="00646A05" w:rsidRDefault="00646A05" w:rsidP="00F740A0">
      <w:pPr>
        <w:pStyle w:val="FootnoteText"/>
      </w:pPr>
      <w:r>
        <w:rPr>
          <w:rStyle w:val="FootnoteReference"/>
        </w:rPr>
        <w:footnoteRef/>
      </w:r>
      <w:r>
        <w:t xml:space="preserve"> Different high efficiency appliances can have a varying total carbon debt based on the materials and processes used in there construction and disposal. </w:t>
      </w:r>
    </w:p>
  </w:footnote>
  <w:footnote w:id="28">
    <w:p w:rsidR="00646A05" w:rsidRDefault="00646A05">
      <w:pPr>
        <w:pStyle w:val="FootnoteText"/>
      </w:pPr>
      <w:r>
        <w:rPr>
          <w:rStyle w:val="FootnoteReference"/>
        </w:rPr>
        <w:footnoteRef/>
      </w:r>
      <w:hyperlink r:id="rId13" w:history="1">
        <w:r w:rsidRPr="00A97A0F">
          <w:rPr>
            <w:rStyle w:val="Hyperlink"/>
            <w:szCs w:val="24"/>
          </w:rPr>
          <w:t>http://behaviouraleconomics.pmc.gov.au/sites/default/files/projects</w:t>
        </w:r>
        <w:r w:rsidRPr="004E675B">
          <w:rPr>
            <w:rStyle w:val="Hyperlink"/>
            <w:szCs w:val="24"/>
          </w:rPr>
          <w:t>/beta_report_energy_labels_that_make_cents.pdf</w:t>
        </w:r>
      </w:hyperlink>
    </w:p>
  </w:footnote>
  <w:footnote w:id="29">
    <w:p w:rsidR="00646A05" w:rsidRDefault="00646A05" w:rsidP="00004CF1">
      <w:pPr>
        <w:pStyle w:val="FootnoteText"/>
      </w:pPr>
      <w:r>
        <w:rPr>
          <w:rStyle w:val="FootnoteReference"/>
        </w:rPr>
        <w:footnoteRef/>
      </w:r>
      <w:r>
        <w:t xml:space="preserve"> Further information is available in individual submissions at </w:t>
      </w:r>
      <w:hyperlink r:id="rId14" w:history="1">
        <w:r w:rsidRPr="0002381D">
          <w:rPr>
            <w:rStyle w:val="Hyperlink"/>
          </w:rPr>
          <w:t>https://www.energy.gov.au/publications/gems-act-review-discussion-paper-submissions</w:t>
        </w:r>
      </w:hyperlink>
    </w:p>
  </w:footnote>
  <w:footnote w:id="30">
    <w:p w:rsidR="00646A05" w:rsidRDefault="00646A05" w:rsidP="00F740A0">
      <w:pPr>
        <w:pStyle w:val="FootnoteText"/>
      </w:pPr>
      <w:r>
        <w:rPr>
          <w:rStyle w:val="FootnoteReference"/>
        </w:rPr>
        <w:footnoteRef/>
      </w:r>
      <w:r>
        <w:t xml:space="preserve"> </w:t>
      </w:r>
      <w:r w:rsidRPr="00240A12">
        <w:t>New Zealand participates in E3 through a trans-Tasman Policy Framework and Funding Arrangement</w:t>
      </w:r>
    </w:p>
  </w:footnote>
  <w:footnote w:id="31">
    <w:p w:rsidR="00646A05" w:rsidRDefault="00646A05">
      <w:pPr>
        <w:pStyle w:val="FootnoteText"/>
      </w:pPr>
      <w:r>
        <w:rPr>
          <w:rStyle w:val="FootnoteReference"/>
        </w:rPr>
        <w:footnoteRef/>
      </w:r>
      <w:r>
        <w:t xml:space="preserve"> </w:t>
      </w:r>
      <w:r w:rsidRPr="00BD0D26">
        <w:t xml:space="preserve">More information on the work of this collaboration can be found at </w:t>
      </w:r>
      <w:hyperlink r:id="rId15" w:history="1">
        <w:r w:rsidRPr="00BD0D26">
          <w:rPr>
            <w:color w:val="0000FF" w:themeColor="hyperlink"/>
            <w:u w:val="single"/>
          </w:rPr>
          <w:t>https://edna.iea-4e.org/tasks/</w:t>
        </w:r>
      </w:hyperlink>
    </w:p>
  </w:footnote>
  <w:footnote w:id="32">
    <w:p w:rsidR="00646A05" w:rsidRDefault="00646A05" w:rsidP="00F740A0">
      <w:pPr>
        <w:pStyle w:val="FootnoteText"/>
      </w:pPr>
      <w:r>
        <w:rPr>
          <w:rStyle w:val="FootnoteReference"/>
        </w:rPr>
        <w:footnoteRef/>
      </w:r>
      <w:r>
        <w:t xml:space="preserve"> </w:t>
      </w:r>
      <w:r w:rsidRPr="00B36882">
        <w:t>It is also a registration requirement to declare whether a device is demand response capable.</w:t>
      </w:r>
    </w:p>
  </w:footnote>
  <w:footnote w:id="33">
    <w:p w:rsidR="00646A05" w:rsidRDefault="00646A05" w:rsidP="00F740A0">
      <w:pPr>
        <w:pStyle w:val="FootnoteText"/>
      </w:pPr>
      <w:r>
        <w:rPr>
          <w:rStyle w:val="FootnoteReference"/>
        </w:rPr>
        <w:footnoteRef/>
      </w:r>
      <w:r>
        <w:t xml:space="preserve"> “</w:t>
      </w:r>
      <w:r w:rsidRPr="00F15E4B">
        <w:t xml:space="preserve">Energy systems” in the general sense refer to all aspects of the production, conversion, delivery, and use of energy. </w:t>
      </w:r>
      <w:r>
        <w:t>For</w:t>
      </w:r>
      <w:r w:rsidRPr="00F15E4B">
        <w:t xml:space="preserve"> this </w:t>
      </w:r>
      <w:r>
        <w:t>report</w:t>
      </w:r>
      <w:r w:rsidRPr="00F15E4B">
        <w:t xml:space="preserve"> it</w:t>
      </w:r>
      <w:r>
        <w:t xml:space="preserve"> is intended to</w:t>
      </w:r>
      <w:r w:rsidRPr="00F15E4B">
        <w:t xml:space="preserve"> refer to how appliances and equipment are installed, the built environment in which they are located, and how they are used in a factory or home (including how they interact with other technologies).</w:t>
      </w:r>
    </w:p>
  </w:footnote>
  <w:footnote w:id="34">
    <w:p w:rsidR="00646A05" w:rsidRDefault="00646A05" w:rsidP="00F740A0">
      <w:pPr>
        <w:pStyle w:val="FootnoteText"/>
      </w:pPr>
      <w:r>
        <w:rPr>
          <w:rStyle w:val="FootnoteReference"/>
        </w:rPr>
        <w:footnoteRef/>
      </w:r>
      <w:r>
        <w:t xml:space="preserve"> </w:t>
      </w:r>
      <w:r w:rsidRPr="00D91404">
        <w:t>http://energyrating.gov.au/document/consultation-chillers-2018</w:t>
      </w:r>
    </w:p>
  </w:footnote>
  <w:footnote w:id="35">
    <w:p w:rsidR="00646A05" w:rsidRDefault="00646A05" w:rsidP="00002A12">
      <w:pPr>
        <w:pStyle w:val="FootnoteText"/>
      </w:pPr>
      <w:r w:rsidRPr="00CE23A4">
        <w:rPr>
          <w:rStyle w:val="FootnoteReference"/>
          <w:szCs w:val="16"/>
        </w:rPr>
        <w:footnoteRef/>
      </w:r>
      <w:r w:rsidRPr="00CE23A4">
        <w:rPr>
          <w:szCs w:val="16"/>
        </w:rPr>
        <w:t xml:space="preserve"> Specifically with International Electrotechnical Committee (IEC) 62552 1.0b (published February 2015).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FDE29C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lvlText w:val=""/>
      <w:lvlJc w:val="left"/>
      <w:pPr>
        <w:ind w:left="8307"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2" w15:restartNumberingAfterBreak="0">
    <w:nsid w:val="0145696F"/>
    <w:multiLevelType w:val="multilevel"/>
    <w:tmpl w:val="BFBC4B2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3458EE"/>
    <w:multiLevelType w:val="hybridMultilevel"/>
    <w:tmpl w:val="E55223B8"/>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 w15:restartNumberingAfterBreak="0">
    <w:nsid w:val="12AB6F93"/>
    <w:multiLevelType w:val="multilevel"/>
    <w:tmpl w:val="60EE0F7A"/>
    <w:lvl w:ilvl="0">
      <w:start w:val="1"/>
      <w:numFmt w:val="bullet"/>
      <w:lvlText w:val=""/>
      <w:lvlJc w:val="left"/>
      <w:pPr>
        <w:ind w:left="8307" w:hanging="369"/>
      </w:pPr>
      <w:rPr>
        <w:rFonts w:ascii="Symbol" w:hAnsi="Symbol" w:hint="default"/>
      </w:rPr>
    </w:lvl>
    <w:lvl w:ilvl="1">
      <w:start w:val="1"/>
      <w:numFmt w:val="bullet"/>
      <w:lvlText w:val="-"/>
      <w:lvlJc w:val="left"/>
      <w:pPr>
        <w:ind w:left="737" w:hanging="368"/>
      </w:pPr>
      <w:rPr>
        <w:rFonts w:ascii="Symbol" w:hAnsi="Symbol"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5" w15:restartNumberingAfterBreak="0">
    <w:nsid w:val="15F57E90"/>
    <w:multiLevelType w:val="hybridMultilevel"/>
    <w:tmpl w:val="50F4FC82"/>
    <w:lvl w:ilvl="0" w:tplc="0C09000F">
      <w:start w:val="1"/>
      <w:numFmt w:val="decimal"/>
      <w:lvlText w:val="%1."/>
      <w:lvlJc w:val="left"/>
      <w:pPr>
        <w:ind w:left="720" w:hanging="360"/>
      </w:pPr>
      <w:rPr>
        <w:rFonts w:cs="Times New Roman"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 w15:restartNumberingAfterBreak="0">
    <w:nsid w:val="1A8A647E"/>
    <w:multiLevelType w:val="multilevel"/>
    <w:tmpl w:val="F402A24E"/>
    <w:lvl w:ilvl="0">
      <w:start w:val="1"/>
      <w:numFmt w:val="bullet"/>
      <w:lvlText w:val=""/>
      <w:lvlJc w:val="left"/>
      <w:pPr>
        <w:ind w:left="8307" w:hanging="369"/>
      </w:pPr>
      <w:rPr>
        <w:rFonts w:ascii="Symbol" w:hAnsi="Symbol" w:hint="default"/>
      </w:rPr>
    </w:lvl>
    <w:lvl w:ilvl="1">
      <w:start w:val="1"/>
      <w:numFmt w:val="bullet"/>
      <w:lvlText w:val="-"/>
      <w:lvlJc w:val="left"/>
      <w:pPr>
        <w:ind w:left="737" w:hanging="368"/>
      </w:pPr>
      <w:rPr>
        <w:rFonts w:ascii="Symbol" w:hAnsi="Symbol"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7" w15:restartNumberingAfterBreak="0">
    <w:nsid w:val="1A9E47F1"/>
    <w:multiLevelType w:val="hybridMultilevel"/>
    <w:tmpl w:val="6184A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A53150"/>
    <w:multiLevelType w:val="multilevel"/>
    <w:tmpl w:val="1BCCBE3E"/>
    <w:lvl w:ilvl="0">
      <w:start w:val="1"/>
      <w:numFmt w:val="bullet"/>
      <w:lvlText w:val=""/>
      <w:lvlJc w:val="left"/>
      <w:pPr>
        <w:ind w:left="8307" w:hanging="369"/>
      </w:pPr>
      <w:rPr>
        <w:rFonts w:ascii="Symbol" w:hAnsi="Symbol" w:hint="default"/>
      </w:rPr>
    </w:lvl>
    <w:lvl w:ilvl="1">
      <w:start w:val="1"/>
      <w:numFmt w:val="bullet"/>
      <w:lvlText w:val="-"/>
      <w:lvlJc w:val="left"/>
      <w:pPr>
        <w:ind w:left="737" w:hanging="368"/>
      </w:pPr>
      <w:rPr>
        <w:rFonts w:ascii="Symbol" w:hAnsi="Symbol"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9" w15:restartNumberingAfterBreak="0">
    <w:nsid w:val="1F316011"/>
    <w:multiLevelType w:val="hybridMultilevel"/>
    <w:tmpl w:val="5630FF1E"/>
    <w:lvl w:ilvl="0" w:tplc="0C090003">
      <w:start w:val="1"/>
      <w:numFmt w:val="bullet"/>
      <w:lvlText w:val="o"/>
      <w:lvlJc w:val="left"/>
      <w:pPr>
        <w:ind w:left="-233" w:hanging="360"/>
      </w:pPr>
      <w:rPr>
        <w:rFonts w:ascii="Courier New" w:hAnsi="Courier New" w:hint="default"/>
      </w:rPr>
    </w:lvl>
    <w:lvl w:ilvl="1" w:tplc="0C090003">
      <w:start w:val="1"/>
      <w:numFmt w:val="bullet"/>
      <w:lvlText w:val="o"/>
      <w:lvlJc w:val="left"/>
      <w:pPr>
        <w:ind w:left="487" w:hanging="360"/>
      </w:pPr>
      <w:rPr>
        <w:rFonts w:ascii="Courier New" w:hAnsi="Courier New" w:hint="default"/>
      </w:rPr>
    </w:lvl>
    <w:lvl w:ilvl="2" w:tplc="0C090005" w:tentative="1">
      <w:start w:val="1"/>
      <w:numFmt w:val="bullet"/>
      <w:lvlText w:val=""/>
      <w:lvlJc w:val="left"/>
      <w:pPr>
        <w:ind w:left="1207" w:hanging="360"/>
      </w:pPr>
      <w:rPr>
        <w:rFonts w:ascii="Wingdings" w:hAnsi="Wingdings" w:hint="default"/>
      </w:rPr>
    </w:lvl>
    <w:lvl w:ilvl="3" w:tplc="0C090001" w:tentative="1">
      <w:start w:val="1"/>
      <w:numFmt w:val="bullet"/>
      <w:lvlText w:val=""/>
      <w:lvlJc w:val="left"/>
      <w:pPr>
        <w:ind w:left="1927" w:hanging="360"/>
      </w:pPr>
      <w:rPr>
        <w:rFonts w:ascii="Symbol" w:hAnsi="Symbol" w:hint="default"/>
      </w:rPr>
    </w:lvl>
    <w:lvl w:ilvl="4" w:tplc="0C090003" w:tentative="1">
      <w:start w:val="1"/>
      <w:numFmt w:val="bullet"/>
      <w:lvlText w:val="o"/>
      <w:lvlJc w:val="left"/>
      <w:pPr>
        <w:ind w:left="2647" w:hanging="360"/>
      </w:pPr>
      <w:rPr>
        <w:rFonts w:ascii="Courier New" w:hAnsi="Courier New" w:hint="default"/>
      </w:rPr>
    </w:lvl>
    <w:lvl w:ilvl="5" w:tplc="0C090005" w:tentative="1">
      <w:start w:val="1"/>
      <w:numFmt w:val="bullet"/>
      <w:lvlText w:val=""/>
      <w:lvlJc w:val="left"/>
      <w:pPr>
        <w:ind w:left="3367" w:hanging="360"/>
      </w:pPr>
      <w:rPr>
        <w:rFonts w:ascii="Wingdings" w:hAnsi="Wingdings" w:hint="default"/>
      </w:rPr>
    </w:lvl>
    <w:lvl w:ilvl="6" w:tplc="0C090001" w:tentative="1">
      <w:start w:val="1"/>
      <w:numFmt w:val="bullet"/>
      <w:lvlText w:val=""/>
      <w:lvlJc w:val="left"/>
      <w:pPr>
        <w:ind w:left="4087" w:hanging="360"/>
      </w:pPr>
      <w:rPr>
        <w:rFonts w:ascii="Symbol" w:hAnsi="Symbol" w:hint="default"/>
      </w:rPr>
    </w:lvl>
    <w:lvl w:ilvl="7" w:tplc="0C090003" w:tentative="1">
      <w:start w:val="1"/>
      <w:numFmt w:val="bullet"/>
      <w:lvlText w:val="o"/>
      <w:lvlJc w:val="left"/>
      <w:pPr>
        <w:ind w:left="4807" w:hanging="360"/>
      </w:pPr>
      <w:rPr>
        <w:rFonts w:ascii="Courier New" w:hAnsi="Courier New" w:hint="default"/>
      </w:rPr>
    </w:lvl>
    <w:lvl w:ilvl="8" w:tplc="0C090005" w:tentative="1">
      <w:start w:val="1"/>
      <w:numFmt w:val="bullet"/>
      <w:lvlText w:val=""/>
      <w:lvlJc w:val="left"/>
      <w:pPr>
        <w:ind w:left="5527" w:hanging="360"/>
      </w:pPr>
      <w:rPr>
        <w:rFonts w:ascii="Wingdings" w:hAnsi="Wingdings" w:hint="default"/>
      </w:rPr>
    </w:lvl>
  </w:abstractNum>
  <w:abstractNum w:abstractNumId="10" w15:restartNumberingAfterBreak="0">
    <w:nsid w:val="1F745BC2"/>
    <w:multiLevelType w:val="multilevel"/>
    <w:tmpl w:val="E5E89F92"/>
    <w:numStyleLink w:val="BulletList"/>
  </w:abstractNum>
  <w:abstractNum w:abstractNumId="11" w15:restartNumberingAfterBreak="0">
    <w:nsid w:val="23786DAC"/>
    <w:multiLevelType w:val="hybridMultilevel"/>
    <w:tmpl w:val="E5A46076"/>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 w15:restartNumberingAfterBreak="0">
    <w:nsid w:val="274E10B9"/>
    <w:multiLevelType w:val="hybridMultilevel"/>
    <w:tmpl w:val="63B48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F35716"/>
    <w:multiLevelType w:val="multilevel"/>
    <w:tmpl w:val="4EDCB5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98052F"/>
    <w:multiLevelType w:val="multilevel"/>
    <w:tmpl w:val="473EA67C"/>
    <w:lvl w:ilvl="0">
      <w:start w:val="1"/>
      <w:numFmt w:val="decimal"/>
      <w:pStyle w:val="ListParagraph"/>
      <w:lvlText w:val="%1."/>
      <w:lvlJc w:val="left"/>
      <w:pPr>
        <w:ind w:left="369" w:hanging="369"/>
      </w:pPr>
      <w:rPr>
        <w:rFonts w:cs="Times New Roman"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5" w15:restartNumberingAfterBreak="0">
    <w:nsid w:val="31C101CE"/>
    <w:multiLevelType w:val="hybridMultilevel"/>
    <w:tmpl w:val="E5A46076"/>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6" w15:restartNumberingAfterBreak="0">
    <w:nsid w:val="33940325"/>
    <w:multiLevelType w:val="hybridMultilevel"/>
    <w:tmpl w:val="69A4234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61C7DAA"/>
    <w:multiLevelType w:val="multilevel"/>
    <w:tmpl w:val="CAA83148"/>
    <w:styleLink w:val="Attach"/>
    <w:lvl w:ilvl="0">
      <w:start w:val="1"/>
      <w:numFmt w:val="upperLetter"/>
      <w:lvlText w:val="Attachment %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8" w15:restartNumberingAfterBreak="0">
    <w:nsid w:val="36FC32F3"/>
    <w:multiLevelType w:val="hybridMultilevel"/>
    <w:tmpl w:val="50F4FC82"/>
    <w:lvl w:ilvl="0" w:tplc="0C09000F">
      <w:start w:val="1"/>
      <w:numFmt w:val="decimal"/>
      <w:lvlText w:val="%1."/>
      <w:lvlJc w:val="left"/>
      <w:pPr>
        <w:ind w:left="720" w:hanging="360"/>
      </w:pPr>
      <w:rPr>
        <w:rFonts w:cs="Times New Roman"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9" w15:restartNumberingAfterBreak="0">
    <w:nsid w:val="36FF1E41"/>
    <w:multiLevelType w:val="hybridMultilevel"/>
    <w:tmpl w:val="A5C89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F911C6"/>
    <w:multiLevelType w:val="multilevel"/>
    <w:tmpl w:val="27985ECA"/>
    <w:lvl w:ilvl="0">
      <w:start w:val="1"/>
      <w:numFmt w:val="bullet"/>
      <w:lvlText w:val=""/>
      <w:lvlJc w:val="left"/>
      <w:pPr>
        <w:ind w:left="8307" w:hanging="369"/>
      </w:pPr>
      <w:rPr>
        <w:rFonts w:ascii="Symbol" w:hAnsi="Symbol" w:hint="default"/>
      </w:rPr>
    </w:lvl>
    <w:lvl w:ilvl="1">
      <w:start w:val="1"/>
      <w:numFmt w:val="bullet"/>
      <w:lvlText w:val="-"/>
      <w:lvlJc w:val="left"/>
      <w:pPr>
        <w:ind w:left="737" w:hanging="368"/>
      </w:pPr>
      <w:rPr>
        <w:rFonts w:ascii="Symbol" w:hAnsi="Symbol"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21" w15:restartNumberingAfterBreak="0">
    <w:nsid w:val="411F098B"/>
    <w:multiLevelType w:val="hybridMultilevel"/>
    <w:tmpl w:val="8624B3C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A0A18BA"/>
    <w:multiLevelType w:val="hybridMultilevel"/>
    <w:tmpl w:val="E5A46076"/>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3" w15:restartNumberingAfterBreak="0">
    <w:nsid w:val="4AC65427"/>
    <w:multiLevelType w:val="hybridMultilevel"/>
    <w:tmpl w:val="3466A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EC5A7D"/>
    <w:multiLevelType w:val="hybridMultilevel"/>
    <w:tmpl w:val="67E63868"/>
    <w:lvl w:ilvl="0" w:tplc="B9E401E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7A00C2"/>
    <w:multiLevelType w:val="multilevel"/>
    <w:tmpl w:val="85C2E590"/>
    <w:lvl w:ilvl="0">
      <w:start w:val="1"/>
      <w:numFmt w:val="bullet"/>
      <w:lvlText w:val=""/>
      <w:lvlJc w:val="left"/>
      <w:pPr>
        <w:ind w:left="8307" w:hanging="369"/>
      </w:pPr>
      <w:rPr>
        <w:rFonts w:ascii="Symbol" w:hAnsi="Symbol" w:hint="default"/>
      </w:rPr>
    </w:lvl>
    <w:lvl w:ilvl="1">
      <w:start w:val="1"/>
      <w:numFmt w:val="bullet"/>
      <w:lvlText w:val="-"/>
      <w:lvlJc w:val="left"/>
      <w:pPr>
        <w:ind w:left="737" w:hanging="368"/>
      </w:pPr>
      <w:rPr>
        <w:rFonts w:ascii="Symbol" w:hAnsi="Symbol"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26" w15:restartNumberingAfterBreak="0">
    <w:nsid w:val="55B6627A"/>
    <w:multiLevelType w:val="hybridMultilevel"/>
    <w:tmpl w:val="E5A46076"/>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7" w15:restartNumberingAfterBreak="0">
    <w:nsid w:val="5AD15E77"/>
    <w:multiLevelType w:val="hybridMultilevel"/>
    <w:tmpl w:val="66868F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1CA4B3D"/>
    <w:multiLevelType w:val="hybridMultilevel"/>
    <w:tmpl w:val="E5A46076"/>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9" w15:restartNumberingAfterBreak="0">
    <w:nsid w:val="65456429"/>
    <w:multiLevelType w:val="multilevel"/>
    <w:tmpl w:val="E2D24C7E"/>
    <w:numStyleLink w:val="KeyPoints"/>
  </w:abstractNum>
  <w:abstractNum w:abstractNumId="30" w15:restartNumberingAfterBreak="0">
    <w:nsid w:val="67585E12"/>
    <w:multiLevelType w:val="hybridMultilevel"/>
    <w:tmpl w:val="50F40EA0"/>
    <w:lvl w:ilvl="0" w:tplc="D6CE31C4">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7B140AF"/>
    <w:multiLevelType w:val="hybridMultilevel"/>
    <w:tmpl w:val="6A68ACD6"/>
    <w:lvl w:ilvl="0" w:tplc="B9E401E6">
      <w:start w:val="1"/>
      <w:numFmt w:val="bullet"/>
      <w:lvlText w:val="-"/>
      <w:lvlJc w:val="left"/>
      <w:pPr>
        <w:ind w:left="6456"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E0E4E9E"/>
    <w:multiLevelType w:val="hybridMultilevel"/>
    <w:tmpl w:val="E55223B8"/>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3" w15:restartNumberingAfterBreak="0">
    <w:nsid w:val="72A6090C"/>
    <w:multiLevelType w:val="multilevel"/>
    <w:tmpl w:val="76AADC4C"/>
    <w:lvl w:ilvl="0">
      <w:start w:val="1"/>
      <w:numFmt w:val="bullet"/>
      <w:lvlText w:val="-"/>
      <w:lvlJc w:val="left"/>
      <w:pPr>
        <w:ind w:left="8307"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34" w15:restartNumberingAfterBreak="0">
    <w:nsid w:val="762964D5"/>
    <w:multiLevelType w:val="multilevel"/>
    <w:tmpl w:val="E2D24C7E"/>
    <w:styleLink w:val="KeyPoints"/>
    <w:lvl w:ilvl="0">
      <w:start w:val="1"/>
      <w:numFmt w:val="decimal"/>
      <w:lvlText w:val="%1."/>
      <w:lvlJc w:val="left"/>
      <w:pPr>
        <w:ind w:left="369" w:hanging="369"/>
      </w:pPr>
      <w:rPr>
        <w:rFonts w:ascii="Arial" w:hAnsi="Arial" w:cs="Times New Roman" w:hint="default"/>
        <w:sz w:val="22"/>
      </w:rPr>
    </w:lvl>
    <w:lvl w:ilvl="1">
      <w:start w:val="1"/>
      <w:numFmt w:val="lowerLetter"/>
      <w:lvlText w:val="%2."/>
      <w:lvlJc w:val="left"/>
      <w:pPr>
        <w:ind w:left="738" w:hanging="369"/>
      </w:pPr>
      <w:rPr>
        <w:rFonts w:cs="Times New Roman" w:hint="default"/>
      </w:rPr>
    </w:lvl>
    <w:lvl w:ilvl="2">
      <w:start w:val="1"/>
      <w:numFmt w:val="lowerRoman"/>
      <w:lvlText w:val="%3."/>
      <w:lvlJc w:val="left"/>
      <w:pPr>
        <w:ind w:left="1107" w:hanging="369"/>
      </w:pPr>
      <w:rPr>
        <w:rFonts w:cs="Times New Roman" w:hint="default"/>
      </w:rPr>
    </w:lvl>
    <w:lvl w:ilvl="3">
      <w:start w:val="1"/>
      <w:numFmt w:val="none"/>
      <w:lvlText w:val="%4"/>
      <w:lvlJc w:val="left"/>
      <w:pPr>
        <w:ind w:left="1476" w:hanging="369"/>
      </w:pPr>
      <w:rPr>
        <w:rFonts w:cs="Times New Roman" w:hint="default"/>
      </w:rPr>
    </w:lvl>
    <w:lvl w:ilvl="4">
      <w:start w:val="1"/>
      <w:numFmt w:val="none"/>
      <w:lvlText w:val=""/>
      <w:lvlJc w:val="left"/>
      <w:pPr>
        <w:ind w:left="1845" w:hanging="369"/>
      </w:pPr>
      <w:rPr>
        <w:rFonts w:cs="Times New Roman" w:hint="default"/>
      </w:rPr>
    </w:lvl>
    <w:lvl w:ilvl="5">
      <w:start w:val="1"/>
      <w:numFmt w:val="none"/>
      <w:lvlText w:val=""/>
      <w:lvlJc w:val="left"/>
      <w:pPr>
        <w:ind w:left="2214" w:hanging="369"/>
      </w:pPr>
      <w:rPr>
        <w:rFonts w:cs="Times New Roman" w:hint="default"/>
      </w:rPr>
    </w:lvl>
    <w:lvl w:ilvl="6">
      <w:start w:val="1"/>
      <w:numFmt w:val="none"/>
      <w:lvlText w:val=""/>
      <w:lvlJc w:val="left"/>
      <w:pPr>
        <w:ind w:left="2583" w:hanging="369"/>
      </w:pPr>
      <w:rPr>
        <w:rFonts w:cs="Times New Roman" w:hint="default"/>
      </w:rPr>
    </w:lvl>
    <w:lvl w:ilvl="7">
      <w:start w:val="1"/>
      <w:numFmt w:val="none"/>
      <w:lvlText w:val=""/>
      <w:lvlJc w:val="left"/>
      <w:pPr>
        <w:ind w:left="2952" w:hanging="369"/>
      </w:pPr>
      <w:rPr>
        <w:rFonts w:cs="Times New Roman" w:hint="default"/>
      </w:rPr>
    </w:lvl>
    <w:lvl w:ilvl="8">
      <w:start w:val="1"/>
      <w:numFmt w:val="none"/>
      <w:lvlText w:val=""/>
      <w:lvlJc w:val="left"/>
      <w:pPr>
        <w:ind w:left="3321" w:hanging="369"/>
      </w:pPr>
      <w:rPr>
        <w:rFonts w:cs="Times New Roman" w:hint="default"/>
      </w:rPr>
    </w:lvl>
  </w:abstractNum>
  <w:abstractNum w:abstractNumId="35" w15:restartNumberingAfterBreak="0">
    <w:nsid w:val="7DC547AB"/>
    <w:multiLevelType w:val="hybridMultilevel"/>
    <w:tmpl w:val="50809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E66728A"/>
    <w:multiLevelType w:val="multilevel"/>
    <w:tmpl w:val="B61621A4"/>
    <w:lvl w:ilvl="0">
      <w:start w:val="1"/>
      <w:numFmt w:val="bullet"/>
      <w:lvlText w:val=""/>
      <w:lvlJc w:val="left"/>
      <w:pPr>
        <w:ind w:left="8307" w:hanging="369"/>
      </w:pPr>
      <w:rPr>
        <w:rFonts w:ascii="Symbol" w:hAnsi="Symbol" w:hint="default"/>
      </w:rPr>
    </w:lvl>
    <w:lvl w:ilvl="1">
      <w:start w:val="1"/>
      <w:numFmt w:val="bullet"/>
      <w:lvlText w:val="-"/>
      <w:lvlJc w:val="left"/>
      <w:pPr>
        <w:ind w:left="737" w:hanging="368"/>
      </w:pPr>
      <w:rPr>
        <w:rFonts w:ascii="Symbol" w:hAnsi="Symbol"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num w:numId="1">
    <w:abstractNumId w:val="34"/>
  </w:num>
  <w:num w:numId="2">
    <w:abstractNumId w:val="1"/>
  </w:num>
  <w:num w:numId="3">
    <w:abstractNumId w:val="0"/>
  </w:num>
  <w:num w:numId="4">
    <w:abstractNumId w:val="17"/>
  </w:num>
  <w:num w:numId="5">
    <w:abstractNumId w:val="14"/>
  </w:num>
  <w:num w:numId="6">
    <w:abstractNumId w:val="29"/>
  </w:num>
  <w:num w:numId="7">
    <w:abstractNumId w:val="10"/>
    <w:lvlOverride w:ilvl="0">
      <w:lvl w:ilvl="0">
        <w:start w:val="1"/>
        <w:numFmt w:val="bullet"/>
        <w:pStyle w:val="ListBullet"/>
        <w:lvlText w:val=""/>
        <w:lvlJc w:val="left"/>
        <w:pPr>
          <w:ind w:left="8733" w:hanging="369"/>
        </w:pPr>
        <w:rPr>
          <w:rFonts w:ascii="Symbol" w:hAnsi="Symbol" w:hint="default"/>
        </w:rPr>
      </w:lvl>
    </w:lvlOverride>
  </w:num>
  <w:num w:numId="8">
    <w:abstractNumId w:val="16"/>
  </w:num>
  <w:num w:numId="9">
    <w:abstractNumId w:val="5"/>
  </w:num>
  <w:num w:numId="10">
    <w:abstractNumId w:val="30"/>
  </w:num>
  <w:num w:numId="11">
    <w:abstractNumId w:val="2"/>
  </w:num>
  <w:num w:numId="12">
    <w:abstractNumId w:val="13"/>
  </w:num>
  <w:num w:numId="13">
    <w:abstractNumId w:val="15"/>
  </w:num>
  <w:num w:numId="14">
    <w:abstractNumId w:val="12"/>
  </w:num>
  <w:num w:numId="15">
    <w:abstractNumId w:val="9"/>
  </w:num>
  <w:num w:numId="16">
    <w:abstractNumId w:val="3"/>
  </w:num>
  <w:num w:numId="17">
    <w:abstractNumId w:val="22"/>
  </w:num>
  <w:num w:numId="18">
    <w:abstractNumId w:val="32"/>
  </w:num>
  <w:num w:numId="19">
    <w:abstractNumId w:val="11"/>
  </w:num>
  <w:num w:numId="20">
    <w:abstractNumId w:val="26"/>
  </w:num>
  <w:num w:numId="21">
    <w:abstractNumId w:val="28"/>
  </w:num>
  <w:num w:numId="22">
    <w:abstractNumId w:val="27"/>
  </w:num>
  <w:num w:numId="23">
    <w:abstractNumId w:val="18"/>
  </w:num>
  <w:num w:numId="24">
    <w:abstractNumId w:val="31"/>
  </w:num>
  <w:num w:numId="25">
    <w:abstractNumId w:val="21"/>
  </w:num>
  <w:num w:numId="26">
    <w:abstractNumId w:val="8"/>
  </w:num>
  <w:num w:numId="27">
    <w:abstractNumId w:val="33"/>
  </w:num>
  <w:num w:numId="28">
    <w:abstractNumId w:val="10"/>
  </w:num>
  <w:num w:numId="29">
    <w:abstractNumId w:val="24"/>
  </w:num>
  <w:num w:numId="30">
    <w:abstractNumId w:val="25"/>
  </w:num>
  <w:num w:numId="31">
    <w:abstractNumId w:val="20"/>
  </w:num>
  <w:num w:numId="32">
    <w:abstractNumId w:val="4"/>
  </w:num>
  <w:num w:numId="33">
    <w:abstractNumId w:val="36"/>
  </w:num>
  <w:num w:numId="34">
    <w:abstractNumId w:val="6"/>
  </w:num>
  <w:num w:numId="35">
    <w:abstractNumId w:val="23"/>
  </w:num>
  <w:num w:numId="36">
    <w:abstractNumId w:val="35"/>
  </w:num>
  <w:num w:numId="37">
    <w:abstractNumId w:val="19"/>
  </w:num>
  <w:num w:numId="38">
    <w:abstractNumId w:val="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EFD"/>
    <w:rsid w:val="0000039D"/>
    <w:rsid w:val="00000B69"/>
    <w:rsid w:val="00000EAE"/>
    <w:rsid w:val="00001BFE"/>
    <w:rsid w:val="00001C0F"/>
    <w:rsid w:val="00002A12"/>
    <w:rsid w:val="00003A97"/>
    <w:rsid w:val="000049A4"/>
    <w:rsid w:val="00004AEE"/>
    <w:rsid w:val="00004CF1"/>
    <w:rsid w:val="00005CAA"/>
    <w:rsid w:val="00006C62"/>
    <w:rsid w:val="00010210"/>
    <w:rsid w:val="00012148"/>
    <w:rsid w:val="00012D66"/>
    <w:rsid w:val="00013DD6"/>
    <w:rsid w:val="00015ADA"/>
    <w:rsid w:val="00015C0F"/>
    <w:rsid w:val="00016D19"/>
    <w:rsid w:val="00020C99"/>
    <w:rsid w:val="00021186"/>
    <w:rsid w:val="00021547"/>
    <w:rsid w:val="0002381D"/>
    <w:rsid w:val="00024AF6"/>
    <w:rsid w:val="000255DF"/>
    <w:rsid w:val="00026456"/>
    <w:rsid w:val="000269E9"/>
    <w:rsid w:val="0002707B"/>
    <w:rsid w:val="00031722"/>
    <w:rsid w:val="00034A03"/>
    <w:rsid w:val="00035B02"/>
    <w:rsid w:val="00037AAA"/>
    <w:rsid w:val="00037D82"/>
    <w:rsid w:val="00040C77"/>
    <w:rsid w:val="00042671"/>
    <w:rsid w:val="000448C2"/>
    <w:rsid w:val="000448EE"/>
    <w:rsid w:val="00045401"/>
    <w:rsid w:val="00045915"/>
    <w:rsid w:val="000502D6"/>
    <w:rsid w:val="0005148E"/>
    <w:rsid w:val="000530D2"/>
    <w:rsid w:val="00053D0A"/>
    <w:rsid w:val="000559FE"/>
    <w:rsid w:val="00060BA7"/>
    <w:rsid w:val="00061D58"/>
    <w:rsid w:val="00065FF8"/>
    <w:rsid w:val="00066F28"/>
    <w:rsid w:val="00067101"/>
    <w:rsid w:val="000674DD"/>
    <w:rsid w:val="00070B9D"/>
    <w:rsid w:val="0007104B"/>
    <w:rsid w:val="00072C5A"/>
    <w:rsid w:val="00072CEC"/>
    <w:rsid w:val="00073025"/>
    <w:rsid w:val="0007462D"/>
    <w:rsid w:val="0007583E"/>
    <w:rsid w:val="000759E5"/>
    <w:rsid w:val="00075FC5"/>
    <w:rsid w:val="00080F98"/>
    <w:rsid w:val="00081497"/>
    <w:rsid w:val="000816F5"/>
    <w:rsid w:val="00082DD2"/>
    <w:rsid w:val="00083294"/>
    <w:rsid w:val="00083E98"/>
    <w:rsid w:val="00083FFC"/>
    <w:rsid w:val="00084AC6"/>
    <w:rsid w:val="00085440"/>
    <w:rsid w:val="000876BF"/>
    <w:rsid w:val="000905B6"/>
    <w:rsid w:val="000912BA"/>
    <w:rsid w:val="00091608"/>
    <w:rsid w:val="0009333C"/>
    <w:rsid w:val="0009398B"/>
    <w:rsid w:val="000940E7"/>
    <w:rsid w:val="00094716"/>
    <w:rsid w:val="0009687C"/>
    <w:rsid w:val="0009704F"/>
    <w:rsid w:val="00097DFA"/>
    <w:rsid w:val="000A0F11"/>
    <w:rsid w:val="000A125A"/>
    <w:rsid w:val="000A18CA"/>
    <w:rsid w:val="000A4A2E"/>
    <w:rsid w:val="000A57CD"/>
    <w:rsid w:val="000A5B03"/>
    <w:rsid w:val="000A7363"/>
    <w:rsid w:val="000A7BC8"/>
    <w:rsid w:val="000B17F1"/>
    <w:rsid w:val="000B1B88"/>
    <w:rsid w:val="000B27A9"/>
    <w:rsid w:val="000B3758"/>
    <w:rsid w:val="000B4E0E"/>
    <w:rsid w:val="000B57ED"/>
    <w:rsid w:val="000B5847"/>
    <w:rsid w:val="000B5BFF"/>
    <w:rsid w:val="000B7681"/>
    <w:rsid w:val="000B7B42"/>
    <w:rsid w:val="000C02B7"/>
    <w:rsid w:val="000C059A"/>
    <w:rsid w:val="000C1126"/>
    <w:rsid w:val="000C3D01"/>
    <w:rsid w:val="000C4531"/>
    <w:rsid w:val="000C5100"/>
    <w:rsid w:val="000C5342"/>
    <w:rsid w:val="000C57AB"/>
    <w:rsid w:val="000C671D"/>
    <w:rsid w:val="000C706A"/>
    <w:rsid w:val="000C7C09"/>
    <w:rsid w:val="000D0DC4"/>
    <w:rsid w:val="000D2887"/>
    <w:rsid w:val="000D6478"/>
    <w:rsid w:val="000D6D63"/>
    <w:rsid w:val="000D6F1C"/>
    <w:rsid w:val="000D71A1"/>
    <w:rsid w:val="000D7B35"/>
    <w:rsid w:val="000E0081"/>
    <w:rsid w:val="000E02CC"/>
    <w:rsid w:val="000E07CF"/>
    <w:rsid w:val="000E18AD"/>
    <w:rsid w:val="000E31C1"/>
    <w:rsid w:val="000E48C6"/>
    <w:rsid w:val="000E60F1"/>
    <w:rsid w:val="000E683C"/>
    <w:rsid w:val="000F0875"/>
    <w:rsid w:val="000F15B4"/>
    <w:rsid w:val="000F2CF2"/>
    <w:rsid w:val="000F60F2"/>
    <w:rsid w:val="000F6DD0"/>
    <w:rsid w:val="00100BEF"/>
    <w:rsid w:val="00103ED6"/>
    <w:rsid w:val="001047D1"/>
    <w:rsid w:val="00105DD3"/>
    <w:rsid w:val="0010740D"/>
    <w:rsid w:val="00107A7A"/>
    <w:rsid w:val="00111326"/>
    <w:rsid w:val="0011207C"/>
    <w:rsid w:val="001125A0"/>
    <w:rsid w:val="00112747"/>
    <w:rsid w:val="00113F75"/>
    <w:rsid w:val="00114148"/>
    <w:rsid w:val="0011444C"/>
    <w:rsid w:val="0011498E"/>
    <w:rsid w:val="00115685"/>
    <w:rsid w:val="001157E0"/>
    <w:rsid w:val="00115A62"/>
    <w:rsid w:val="001161AA"/>
    <w:rsid w:val="001169B5"/>
    <w:rsid w:val="001176A9"/>
    <w:rsid w:val="00117A45"/>
    <w:rsid w:val="00120E8F"/>
    <w:rsid w:val="001224AE"/>
    <w:rsid w:val="00122DBA"/>
    <w:rsid w:val="0012665F"/>
    <w:rsid w:val="00127047"/>
    <w:rsid w:val="00127196"/>
    <w:rsid w:val="00131484"/>
    <w:rsid w:val="00131DE0"/>
    <w:rsid w:val="001337D4"/>
    <w:rsid w:val="00140A50"/>
    <w:rsid w:val="001417E9"/>
    <w:rsid w:val="0014183A"/>
    <w:rsid w:val="0014762C"/>
    <w:rsid w:val="00147C12"/>
    <w:rsid w:val="001500FD"/>
    <w:rsid w:val="00151517"/>
    <w:rsid w:val="001527A1"/>
    <w:rsid w:val="001530DC"/>
    <w:rsid w:val="00153595"/>
    <w:rsid w:val="0015373D"/>
    <w:rsid w:val="00153C36"/>
    <w:rsid w:val="00154989"/>
    <w:rsid w:val="00154BD1"/>
    <w:rsid w:val="0015510B"/>
    <w:rsid w:val="00155A9F"/>
    <w:rsid w:val="00160262"/>
    <w:rsid w:val="0016056C"/>
    <w:rsid w:val="001605B4"/>
    <w:rsid w:val="0016071B"/>
    <w:rsid w:val="00162DA7"/>
    <w:rsid w:val="0016533A"/>
    <w:rsid w:val="00165E96"/>
    <w:rsid w:val="00166BAD"/>
    <w:rsid w:val="0016780A"/>
    <w:rsid w:val="001713FA"/>
    <w:rsid w:val="0017161F"/>
    <w:rsid w:val="00173641"/>
    <w:rsid w:val="0017374C"/>
    <w:rsid w:val="00173EBF"/>
    <w:rsid w:val="00174486"/>
    <w:rsid w:val="0017524D"/>
    <w:rsid w:val="00175ED3"/>
    <w:rsid w:val="0018063E"/>
    <w:rsid w:val="001831CD"/>
    <w:rsid w:val="001831DF"/>
    <w:rsid w:val="0018395A"/>
    <w:rsid w:val="001842A2"/>
    <w:rsid w:val="00185436"/>
    <w:rsid w:val="00185BA7"/>
    <w:rsid w:val="001875E6"/>
    <w:rsid w:val="00187E3D"/>
    <w:rsid w:val="00187FA8"/>
    <w:rsid w:val="001904D6"/>
    <w:rsid w:val="001911E4"/>
    <w:rsid w:val="00192F5E"/>
    <w:rsid w:val="00193CB8"/>
    <w:rsid w:val="00194853"/>
    <w:rsid w:val="00194B68"/>
    <w:rsid w:val="00196A23"/>
    <w:rsid w:val="001970A7"/>
    <w:rsid w:val="00197473"/>
    <w:rsid w:val="00197772"/>
    <w:rsid w:val="00197AA3"/>
    <w:rsid w:val="001A16E4"/>
    <w:rsid w:val="001A25B3"/>
    <w:rsid w:val="001A3303"/>
    <w:rsid w:val="001A333A"/>
    <w:rsid w:val="001A51C8"/>
    <w:rsid w:val="001A744C"/>
    <w:rsid w:val="001B02BC"/>
    <w:rsid w:val="001B0EB9"/>
    <w:rsid w:val="001B1B0A"/>
    <w:rsid w:val="001B1EC4"/>
    <w:rsid w:val="001B2021"/>
    <w:rsid w:val="001B218A"/>
    <w:rsid w:val="001B266F"/>
    <w:rsid w:val="001B2792"/>
    <w:rsid w:val="001B2BAE"/>
    <w:rsid w:val="001B3908"/>
    <w:rsid w:val="001B3C07"/>
    <w:rsid w:val="001B4CA8"/>
    <w:rsid w:val="001B5EA1"/>
    <w:rsid w:val="001B6EBA"/>
    <w:rsid w:val="001B7716"/>
    <w:rsid w:val="001C03C2"/>
    <w:rsid w:val="001C2AAD"/>
    <w:rsid w:val="001C2DAB"/>
    <w:rsid w:val="001C4F3D"/>
    <w:rsid w:val="001C65D2"/>
    <w:rsid w:val="001C68A2"/>
    <w:rsid w:val="001C6FDE"/>
    <w:rsid w:val="001D0CDC"/>
    <w:rsid w:val="001D1D82"/>
    <w:rsid w:val="001D1D99"/>
    <w:rsid w:val="001D2B3A"/>
    <w:rsid w:val="001D3932"/>
    <w:rsid w:val="001D5C72"/>
    <w:rsid w:val="001E1182"/>
    <w:rsid w:val="001E1B7D"/>
    <w:rsid w:val="001E1F20"/>
    <w:rsid w:val="001E2515"/>
    <w:rsid w:val="001E2D31"/>
    <w:rsid w:val="001E31EF"/>
    <w:rsid w:val="001F27E0"/>
    <w:rsid w:val="001F2E9E"/>
    <w:rsid w:val="00200229"/>
    <w:rsid w:val="002019C9"/>
    <w:rsid w:val="002021D3"/>
    <w:rsid w:val="002023A0"/>
    <w:rsid w:val="002029CA"/>
    <w:rsid w:val="00202C90"/>
    <w:rsid w:val="002030CF"/>
    <w:rsid w:val="002030F6"/>
    <w:rsid w:val="00203466"/>
    <w:rsid w:val="00206813"/>
    <w:rsid w:val="00206A38"/>
    <w:rsid w:val="00207028"/>
    <w:rsid w:val="00210E88"/>
    <w:rsid w:val="002138EE"/>
    <w:rsid w:val="00213DE8"/>
    <w:rsid w:val="002150B0"/>
    <w:rsid w:val="00216118"/>
    <w:rsid w:val="00216CFE"/>
    <w:rsid w:val="00217D46"/>
    <w:rsid w:val="002209AB"/>
    <w:rsid w:val="002214DB"/>
    <w:rsid w:val="00223ABC"/>
    <w:rsid w:val="002251E3"/>
    <w:rsid w:val="00225942"/>
    <w:rsid w:val="00226752"/>
    <w:rsid w:val="00227659"/>
    <w:rsid w:val="00227A95"/>
    <w:rsid w:val="00227C2B"/>
    <w:rsid w:val="00227EBA"/>
    <w:rsid w:val="002316BD"/>
    <w:rsid w:val="0023419B"/>
    <w:rsid w:val="00234A07"/>
    <w:rsid w:val="00234B22"/>
    <w:rsid w:val="00234FF0"/>
    <w:rsid w:val="0023527F"/>
    <w:rsid w:val="002358AE"/>
    <w:rsid w:val="002376E6"/>
    <w:rsid w:val="00240A12"/>
    <w:rsid w:val="00241BEB"/>
    <w:rsid w:val="00243D5B"/>
    <w:rsid w:val="00244611"/>
    <w:rsid w:val="00244921"/>
    <w:rsid w:val="00246184"/>
    <w:rsid w:val="002473FC"/>
    <w:rsid w:val="0024750C"/>
    <w:rsid w:val="00247E7C"/>
    <w:rsid w:val="00251C19"/>
    <w:rsid w:val="00251C2A"/>
    <w:rsid w:val="00252E3C"/>
    <w:rsid w:val="0025415D"/>
    <w:rsid w:val="0025525A"/>
    <w:rsid w:val="00256120"/>
    <w:rsid w:val="002570EE"/>
    <w:rsid w:val="00260100"/>
    <w:rsid w:val="0026211B"/>
    <w:rsid w:val="00262198"/>
    <w:rsid w:val="00263AB0"/>
    <w:rsid w:val="0026488F"/>
    <w:rsid w:val="0026543D"/>
    <w:rsid w:val="00265CB5"/>
    <w:rsid w:val="00265EA4"/>
    <w:rsid w:val="0026623E"/>
    <w:rsid w:val="002711E8"/>
    <w:rsid w:val="00271A57"/>
    <w:rsid w:val="0027235A"/>
    <w:rsid w:val="00272E1D"/>
    <w:rsid w:val="002732AD"/>
    <w:rsid w:val="00273A6A"/>
    <w:rsid w:val="00273B62"/>
    <w:rsid w:val="00280C77"/>
    <w:rsid w:val="00280EAF"/>
    <w:rsid w:val="00281B69"/>
    <w:rsid w:val="002825D7"/>
    <w:rsid w:val="00282EC1"/>
    <w:rsid w:val="00283201"/>
    <w:rsid w:val="00283466"/>
    <w:rsid w:val="00285A20"/>
    <w:rsid w:val="00285AD8"/>
    <w:rsid w:val="00285F1B"/>
    <w:rsid w:val="00286B32"/>
    <w:rsid w:val="0029020F"/>
    <w:rsid w:val="00290D0B"/>
    <w:rsid w:val="00290FDB"/>
    <w:rsid w:val="00292B81"/>
    <w:rsid w:val="00292F99"/>
    <w:rsid w:val="00293B2B"/>
    <w:rsid w:val="00294C43"/>
    <w:rsid w:val="00295582"/>
    <w:rsid w:val="00296D6E"/>
    <w:rsid w:val="002A0646"/>
    <w:rsid w:val="002A2D48"/>
    <w:rsid w:val="002A6EE3"/>
    <w:rsid w:val="002A74A6"/>
    <w:rsid w:val="002A7A95"/>
    <w:rsid w:val="002A7AD2"/>
    <w:rsid w:val="002A7F24"/>
    <w:rsid w:val="002B03F6"/>
    <w:rsid w:val="002B18AE"/>
    <w:rsid w:val="002B1D2B"/>
    <w:rsid w:val="002B32C6"/>
    <w:rsid w:val="002B46B3"/>
    <w:rsid w:val="002B657A"/>
    <w:rsid w:val="002C0400"/>
    <w:rsid w:val="002C0803"/>
    <w:rsid w:val="002C156C"/>
    <w:rsid w:val="002C1934"/>
    <w:rsid w:val="002C1B51"/>
    <w:rsid w:val="002C1C93"/>
    <w:rsid w:val="002C2AD6"/>
    <w:rsid w:val="002C3104"/>
    <w:rsid w:val="002C3EF3"/>
    <w:rsid w:val="002C4823"/>
    <w:rsid w:val="002C5066"/>
    <w:rsid w:val="002C5477"/>
    <w:rsid w:val="002C5813"/>
    <w:rsid w:val="002C7A9F"/>
    <w:rsid w:val="002D03F0"/>
    <w:rsid w:val="002D0CD7"/>
    <w:rsid w:val="002D2F7F"/>
    <w:rsid w:val="002D345F"/>
    <w:rsid w:val="002D3A65"/>
    <w:rsid w:val="002D3EBC"/>
    <w:rsid w:val="002D4A16"/>
    <w:rsid w:val="002D4AAC"/>
    <w:rsid w:val="002D5483"/>
    <w:rsid w:val="002E02A8"/>
    <w:rsid w:val="002E038E"/>
    <w:rsid w:val="002E0E98"/>
    <w:rsid w:val="002E1019"/>
    <w:rsid w:val="002E1BF0"/>
    <w:rsid w:val="002E2DDF"/>
    <w:rsid w:val="002E36C0"/>
    <w:rsid w:val="002E385F"/>
    <w:rsid w:val="002E4F49"/>
    <w:rsid w:val="002E6E99"/>
    <w:rsid w:val="002E7DDC"/>
    <w:rsid w:val="002E7F0A"/>
    <w:rsid w:val="002F045A"/>
    <w:rsid w:val="002F0D6E"/>
    <w:rsid w:val="002F301D"/>
    <w:rsid w:val="002F3787"/>
    <w:rsid w:val="002F387E"/>
    <w:rsid w:val="002F3C72"/>
    <w:rsid w:val="002F71EA"/>
    <w:rsid w:val="0030039D"/>
    <w:rsid w:val="00300F90"/>
    <w:rsid w:val="00301D5B"/>
    <w:rsid w:val="0030226E"/>
    <w:rsid w:val="0030326F"/>
    <w:rsid w:val="00303EF8"/>
    <w:rsid w:val="003043BF"/>
    <w:rsid w:val="00304BEB"/>
    <w:rsid w:val="00305659"/>
    <w:rsid w:val="00306C92"/>
    <w:rsid w:val="00310701"/>
    <w:rsid w:val="003125A0"/>
    <w:rsid w:val="003132C5"/>
    <w:rsid w:val="00313B36"/>
    <w:rsid w:val="00315980"/>
    <w:rsid w:val="00316F7F"/>
    <w:rsid w:val="0032074F"/>
    <w:rsid w:val="003218E8"/>
    <w:rsid w:val="00323611"/>
    <w:rsid w:val="00324FF9"/>
    <w:rsid w:val="00325A12"/>
    <w:rsid w:val="00325E34"/>
    <w:rsid w:val="003275DC"/>
    <w:rsid w:val="00330DCE"/>
    <w:rsid w:val="00330F67"/>
    <w:rsid w:val="00331543"/>
    <w:rsid w:val="00331787"/>
    <w:rsid w:val="00331E11"/>
    <w:rsid w:val="00332892"/>
    <w:rsid w:val="00334761"/>
    <w:rsid w:val="003355D7"/>
    <w:rsid w:val="00337EBC"/>
    <w:rsid w:val="003407C3"/>
    <w:rsid w:val="00340937"/>
    <w:rsid w:val="003409BD"/>
    <w:rsid w:val="00341DCD"/>
    <w:rsid w:val="00341EFA"/>
    <w:rsid w:val="00343DB3"/>
    <w:rsid w:val="003442DC"/>
    <w:rsid w:val="003448CC"/>
    <w:rsid w:val="00344F20"/>
    <w:rsid w:val="003454D4"/>
    <w:rsid w:val="0034563E"/>
    <w:rsid w:val="003458F6"/>
    <w:rsid w:val="003465E6"/>
    <w:rsid w:val="003518D6"/>
    <w:rsid w:val="003527F6"/>
    <w:rsid w:val="00354426"/>
    <w:rsid w:val="00354599"/>
    <w:rsid w:val="0035460C"/>
    <w:rsid w:val="003556BD"/>
    <w:rsid w:val="00355871"/>
    <w:rsid w:val="0035657E"/>
    <w:rsid w:val="00356693"/>
    <w:rsid w:val="00357739"/>
    <w:rsid w:val="00357DAE"/>
    <w:rsid w:val="003618EF"/>
    <w:rsid w:val="003624F4"/>
    <w:rsid w:val="0036283D"/>
    <w:rsid w:val="003630A7"/>
    <w:rsid w:val="00363BFD"/>
    <w:rsid w:val="00365147"/>
    <w:rsid w:val="00367701"/>
    <w:rsid w:val="00367C88"/>
    <w:rsid w:val="0037016E"/>
    <w:rsid w:val="0037165C"/>
    <w:rsid w:val="0037253C"/>
    <w:rsid w:val="00372908"/>
    <w:rsid w:val="00374E45"/>
    <w:rsid w:val="003757EF"/>
    <w:rsid w:val="00376145"/>
    <w:rsid w:val="00380290"/>
    <w:rsid w:val="003812D4"/>
    <w:rsid w:val="00381AA2"/>
    <w:rsid w:val="00382435"/>
    <w:rsid w:val="003826B4"/>
    <w:rsid w:val="00383020"/>
    <w:rsid w:val="003839D3"/>
    <w:rsid w:val="00386CEA"/>
    <w:rsid w:val="00390735"/>
    <w:rsid w:val="00391769"/>
    <w:rsid w:val="00391CB1"/>
    <w:rsid w:val="00394D7E"/>
    <w:rsid w:val="00396589"/>
    <w:rsid w:val="0039748E"/>
    <w:rsid w:val="003975FD"/>
    <w:rsid w:val="00397CB5"/>
    <w:rsid w:val="003A1B3B"/>
    <w:rsid w:val="003A45D4"/>
    <w:rsid w:val="003B057D"/>
    <w:rsid w:val="003B140B"/>
    <w:rsid w:val="003B288F"/>
    <w:rsid w:val="003B5BA6"/>
    <w:rsid w:val="003B60CC"/>
    <w:rsid w:val="003B6945"/>
    <w:rsid w:val="003B6D73"/>
    <w:rsid w:val="003B703C"/>
    <w:rsid w:val="003C1B25"/>
    <w:rsid w:val="003C2443"/>
    <w:rsid w:val="003C411B"/>
    <w:rsid w:val="003C5447"/>
    <w:rsid w:val="003C5D01"/>
    <w:rsid w:val="003C5DA3"/>
    <w:rsid w:val="003C5E10"/>
    <w:rsid w:val="003C5FF7"/>
    <w:rsid w:val="003C68B5"/>
    <w:rsid w:val="003C6E9B"/>
    <w:rsid w:val="003D1A9C"/>
    <w:rsid w:val="003D21E6"/>
    <w:rsid w:val="003D3808"/>
    <w:rsid w:val="003D4BCD"/>
    <w:rsid w:val="003D5143"/>
    <w:rsid w:val="003D670E"/>
    <w:rsid w:val="003D6C2B"/>
    <w:rsid w:val="003D70A9"/>
    <w:rsid w:val="003E01D8"/>
    <w:rsid w:val="003E0BFC"/>
    <w:rsid w:val="003E1283"/>
    <w:rsid w:val="003E181D"/>
    <w:rsid w:val="003E2100"/>
    <w:rsid w:val="003E4A33"/>
    <w:rsid w:val="003E5D68"/>
    <w:rsid w:val="003E7C13"/>
    <w:rsid w:val="003F0E8F"/>
    <w:rsid w:val="003F40B2"/>
    <w:rsid w:val="003F6505"/>
    <w:rsid w:val="003F664A"/>
    <w:rsid w:val="003F6F3E"/>
    <w:rsid w:val="003F6F5B"/>
    <w:rsid w:val="003F7BC3"/>
    <w:rsid w:val="00400FDA"/>
    <w:rsid w:val="00402EB1"/>
    <w:rsid w:val="0040342D"/>
    <w:rsid w:val="004034C3"/>
    <w:rsid w:val="004039FF"/>
    <w:rsid w:val="004049CE"/>
    <w:rsid w:val="00406174"/>
    <w:rsid w:val="00406C89"/>
    <w:rsid w:val="004073A4"/>
    <w:rsid w:val="0041192D"/>
    <w:rsid w:val="00411C42"/>
    <w:rsid w:val="00412BD1"/>
    <w:rsid w:val="00413436"/>
    <w:rsid w:val="00413D00"/>
    <w:rsid w:val="00413D10"/>
    <w:rsid w:val="00413D7F"/>
    <w:rsid w:val="00413EE1"/>
    <w:rsid w:val="004143B7"/>
    <w:rsid w:val="00415A17"/>
    <w:rsid w:val="00415FBB"/>
    <w:rsid w:val="004160C7"/>
    <w:rsid w:val="00416572"/>
    <w:rsid w:val="0041675D"/>
    <w:rsid w:val="00420DD5"/>
    <w:rsid w:val="0042128E"/>
    <w:rsid w:val="0042252C"/>
    <w:rsid w:val="004239EB"/>
    <w:rsid w:val="0042578E"/>
    <w:rsid w:val="00425EFE"/>
    <w:rsid w:val="00426391"/>
    <w:rsid w:val="004263D5"/>
    <w:rsid w:val="00427446"/>
    <w:rsid w:val="00427A0F"/>
    <w:rsid w:val="00430A63"/>
    <w:rsid w:val="00431327"/>
    <w:rsid w:val="00431C07"/>
    <w:rsid w:val="00431C1E"/>
    <w:rsid w:val="0043226B"/>
    <w:rsid w:val="00432B60"/>
    <w:rsid w:val="00433219"/>
    <w:rsid w:val="00434722"/>
    <w:rsid w:val="004370F0"/>
    <w:rsid w:val="00437898"/>
    <w:rsid w:val="004403BD"/>
    <w:rsid w:val="00440698"/>
    <w:rsid w:val="00440B62"/>
    <w:rsid w:val="00441401"/>
    <w:rsid w:val="00441AB9"/>
    <w:rsid w:val="004421EE"/>
    <w:rsid w:val="00442BEF"/>
    <w:rsid w:val="0044318B"/>
    <w:rsid w:val="00443A23"/>
    <w:rsid w:val="00444722"/>
    <w:rsid w:val="004462F9"/>
    <w:rsid w:val="004479B1"/>
    <w:rsid w:val="00450A03"/>
    <w:rsid w:val="00452BEB"/>
    <w:rsid w:val="004538BA"/>
    <w:rsid w:val="004540E2"/>
    <w:rsid w:val="00454235"/>
    <w:rsid w:val="00454454"/>
    <w:rsid w:val="004602C1"/>
    <w:rsid w:val="00461375"/>
    <w:rsid w:val="00461678"/>
    <w:rsid w:val="00461A5D"/>
    <w:rsid w:val="00462EC7"/>
    <w:rsid w:val="0046434C"/>
    <w:rsid w:val="00464AC2"/>
    <w:rsid w:val="0046523F"/>
    <w:rsid w:val="00465266"/>
    <w:rsid w:val="00465DF2"/>
    <w:rsid w:val="00466EFE"/>
    <w:rsid w:val="00466F39"/>
    <w:rsid w:val="00467204"/>
    <w:rsid w:val="00467924"/>
    <w:rsid w:val="004712A5"/>
    <w:rsid w:val="00471F89"/>
    <w:rsid w:val="0047266F"/>
    <w:rsid w:val="00472BB6"/>
    <w:rsid w:val="00472D81"/>
    <w:rsid w:val="00474608"/>
    <w:rsid w:val="00474EA6"/>
    <w:rsid w:val="0047610F"/>
    <w:rsid w:val="00476D6B"/>
    <w:rsid w:val="00481477"/>
    <w:rsid w:val="004817AB"/>
    <w:rsid w:val="00481C55"/>
    <w:rsid w:val="00483243"/>
    <w:rsid w:val="004834FD"/>
    <w:rsid w:val="00483864"/>
    <w:rsid w:val="0048563F"/>
    <w:rsid w:val="00485BD0"/>
    <w:rsid w:val="0048712F"/>
    <w:rsid w:val="004878E0"/>
    <w:rsid w:val="00492C16"/>
    <w:rsid w:val="00495145"/>
    <w:rsid w:val="004A0251"/>
    <w:rsid w:val="004A0678"/>
    <w:rsid w:val="004A0A3E"/>
    <w:rsid w:val="004A1640"/>
    <w:rsid w:val="004A3ABA"/>
    <w:rsid w:val="004A4243"/>
    <w:rsid w:val="004A48A3"/>
    <w:rsid w:val="004A5E25"/>
    <w:rsid w:val="004A6525"/>
    <w:rsid w:val="004A7AD5"/>
    <w:rsid w:val="004B07F2"/>
    <w:rsid w:val="004B0B59"/>
    <w:rsid w:val="004B0D92"/>
    <w:rsid w:val="004B0EC0"/>
    <w:rsid w:val="004B1A00"/>
    <w:rsid w:val="004B2F2B"/>
    <w:rsid w:val="004B4BF0"/>
    <w:rsid w:val="004B66F1"/>
    <w:rsid w:val="004B78F5"/>
    <w:rsid w:val="004C0056"/>
    <w:rsid w:val="004C0C99"/>
    <w:rsid w:val="004C0DEC"/>
    <w:rsid w:val="004C2736"/>
    <w:rsid w:val="004C283C"/>
    <w:rsid w:val="004C346C"/>
    <w:rsid w:val="004C3EA0"/>
    <w:rsid w:val="004C5332"/>
    <w:rsid w:val="004C7100"/>
    <w:rsid w:val="004D0AE9"/>
    <w:rsid w:val="004D1A34"/>
    <w:rsid w:val="004D2B10"/>
    <w:rsid w:val="004D2C2D"/>
    <w:rsid w:val="004D2FA2"/>
    <w:rsid w:val="004D42A2"/>
    <w:rsid w:val="004D5057"/>
    <w:rsid w:val="004D636A"/>
    <w:rsid w:val="004D6BD8"/>
    <w:rsid w:val="004D7AF3"/>
    <w:rsid w:val="004D7F4F"/>
    <w:rsid w:val="004E1049"/>
    <w:rsid w:val="004E63E1"/>
    <w:rsid w:val="004E675B"/>
    <w:rsid w:val="004E6CDC"/>
    <w:rsid w:val="004E79D0"/>
    <w:rsid w:val="004F06CA"/>
    <w:rsid w:val="004F117E"/>
    <w:rsid w:val="004F30ED"/>
    <w:rsid w:val="004F3448"/>
    <w:rsid w:val="004F3D9C"/>
    <w:rsid w:val="004F49BB"/>
    <w:rsid w:val="004F4B84"/>
    <w:rsid w:val="004F58FA"/>
    <w:rsid w:val="004F5DBA"/>
    <w:rsid w:val="004F7169"/>
    <w:rsid w:val="00500D66"/>
    <w:rsid w:val="005011A4"/>
    <w:rsid w:val="00501828"/>
    <w:rsid w:val="0050272B"/>
    <w:rsid w:val="00503CAD"/>
    <w:rsid w:val="005053EC"/>
    <w:rsid w:val="00510E20"/>
    <w:rsid w:val="00512C0C"/>
    <w:rsid w:val="00514C8E"/>
    <w:rsid w:val="00516467"/>
    <w:rsid w:val="00522FE5"/>
    <w:rsid w:val="005237BC"/>
    <w:rsid w:val="00523E4F"/>
    <w:rsid w:val="005258D0"/>
    <w:rsid w:val="0052641E"/>
    <w:rsid w:val="005311FB"/>
    <w:rsid w:val="00531B85"/>
    <w:rsid w:val="00531D08"/>
    <w:rsid w:val="00531DBF"/>
    <w:rsid w:val="00536C41"/>
    <w:rsid w:val="0053752F"/>
    <w:rsid w:val="005404AA"/>
    <w:rsid w:val="005406F3"/>
    <w:rsid w:val="00542675"/>
    <w:rsid w:val="00544DC7"/>
    <w:rsid w:val="00545759"/>
    <w:rsid w:val="00545AB0"/>
    <w:rsid w:val="00545BE0"/>
    <w:rsid w:val="00545E7B"/>
    <w:rsid w:val="005467DD"/>
    <w:rsid w:val="00546930"/>
    <w:rsid w:val="00546C6E"/>
    <w:rsid w:val="005473B4"/>
    <w:rsid w:val="00550104"/>
    <w:rsid w:val="0055031B"/>
    <w:rsid w:val="00554C6A"/>
    <w:rsid w:val="00555359"/>
    <w:rsid w:val="00555719"/>
    <w:rsid w:val="00556975"/>
    <w:rsid w:val="00556F3B"/>
    <w:rsid w:val="005603BA"/>
    <w:rsid w:val="005613A6"/>
    <w:rsid w:val="005619A1"/>
    <w:rsid w:val="0056273B"/>
    <w:rsid w:val="00562BB6"/>
    <w:rsid w:val="00562E85"/>
    <w:rsid w:val="00562F48"/>
    <w:rsid w:val="0056332F"/>
    <w:rsid w:val="00563EA9"/>
    <w:rsid w:val="00564771"/>
    <w:rsid w:val="005664B2"/>
    <w:rsid w:val="005715AE"/>
    <w:rsid w:val="00571917"/>
    <w:rsid w:val="005719B3"/>
    <w:rsid w:val="005724A3"/>
    <w:rsid w:val="0057295E"/>
    <w:rsid w:val="0057306F"/>
    <w:rsid w:val="0057327C"/>
    <w:rsid w:val="00575B69"/>
    <w:rsid w:val="00575F78"/>
    <w:rsid w:val="00576B32"/>
    <w:rsid w:val="00576FE4"/>
    <w:rsid w:val="00580882"/>
    <w:rsid w:val="00580FBF"/>
    <w:rsid w:val="00580FC8"/>
    <w:rsid w:val="00581120"/>
    <w:rsid w:val="00581692"/>
    <w:rsid w:val="00581C39"/>
    <w:rsid w:val="00581D8E"/>
    <w:rsid w:val="00583B43"/>
    <w:rsid w:val="00585B2F"/>
    <w:rsid w:val="00586F19"/>
    <w:rsid w:val="005903B6"/>
    <w:rsid w:val="005907E1"/>
    <w:rsid w:val="005918F4"/>
    <w:rsid w:val="0059299E"/>
    <w:rsid w:val="005942FF"/>
    <w:rsid w:val="0059546C"/>
    <w:rsid w:val="00597B90"/>
    <w:rsid w:val="005A0247"/>
    <w:rsid w:val="005A126E"/>
    <w:rsid w:val="005A2557"/>
    <w:rsid w:val="005A3348"/>
    <w:rsid w:val="005A452F"/>
    <w:rsid w:val="005A46C2"/>
    <w:rsid w:val="005A5A7F"/>
    <w:rsid w:val="005A6502"/>
    <w:rsid w:val="005A78AC"/>
    <w:rsid w:val="005B140D"/>
    <w:rsid w:val="005B2C07"/>
    <w:rsid w:val="005B55F1"/>
    <w:rsid w:val="005B5A93"/>
    <w:rsid w:val="005B67E7"/>
    <w:rsid w:val="005C0227"/>
    <w:rsid w:val="005C08C0"/>
    <w:rsid w:val="005C1C77"/>
    <w:rsid w:val="005C1FEA"/>
    <w:rsid w:val="005C343F"/>
    <w:rsid w:val="005C3495"/>
    <w:rsid w:val="005C3FEB"/>
    <w:rsid w:val="005C6529"/>
    <w:rsid w:val="005D05CA"/>
    <w:rsid w:val="005D1615"/>
    <w:rsid w:val="005D3D64"/>
    <w:rsid w:val="005D4054"/>
    <w:rsid w:val="005D6A09"/>
    <w:rsid w:val="005E1B81"/>
    <w:rsid w:val="005E2902"/>
    <w:rsid w:val="005E2DA2"/>
    <w:rsid w:val="005E3B61"/>
    <w:rsid w:val="005E3C7B"/>
    <w:rsid w:val="005E3DFC"/>
    <w:rsid w:val="005E412A"/>
    <w:rsid w:val="005E551D"/>
    <w:rsid w:val="005E5942"/>
    <w:rsid w:val="005E5CD2"/>
    <w:rsid w:val="005E5F51"/>
    <w:rsid w:val="005E60AF"/>
    <w:rsid w:val="005E6145"/>
    <w:rsid w:val="005E6BA1"/>
    <w:rsid w:val="005E70C0"/>
    <w:rsid w:val="005F10B3"/>
    <w:rsid w:val="005F13FA"/>
    <w:rsid w:val="005F1DEA"/>
    <w:rsid w:val="005F26E4"/>
    <w:rsid w:val="005F3AF8"/>
    <w:rsid w:val="005F47A2"/>
    <w:rsid w:val="00600877"/>
    <w:rsid w:val="00602178"/>
    <w:rsid w:val="00603011"/>
    <w:rsid w:val="006038B5"/>
    <w:rsid w:val="006064BA"/>
    <w:rsid w:val="00607FC9"/>
    <w:rsid w:val="00615BEC"/>
    <w:rsid w:val="0061636F"/>
    <w:rsid w:val="006172EE"/>
    <w:rsid w:val="0062198A"/>
    <w:rsid w:val="0062254A"/>
    <w:rsid w:val="00622FE1"/>
    <w:rsid w:val="0062521C"/>
    <w:rsid w:val="00630A2B"/>
    <w:rsid w:val="00632C3A"/>
    <w:rsid w:val="00632DC7"/>
    <w:rsid w:val="00635265"/>
    <w:rsid w:val="006357FB"/>
    <w:rsid w:val="00636F1E"/>
    <w:rsid w:val="0063735A"/>
    <w:rsid w:val="006406FC"/>
    <w:rsid w:val="00640E57"/>
    <w:rsid w:val="00642023"/>
    <w:rsid w:val="0064328D"/>
    <w:rsid w:val="006447C3"/>
    <w:rsid w:val="006449C4"/>
    <w:rsid w:val="00645CCF"/>
    <w:rsid w:val="00646122"/>
    <w:rsid w:val="00646A05"/>
    <w:rsid w:val="0065195B"/>
    <w:rsid w:val="00652023"/>
    <w:rsid w:val="00653D6E"/>
    <w:rsid w:val="00653E16"/>
    <w:rsid w:val="00654F39"/>
    <w:rsid w:val="00656477"/>
    <w:rsid w:val="00657220"/>
    <w:rsid w:val="00657362"/>
    <w:rsid w:val="006607A9"/>
    <w:rsid w:val="006608FA"/>
    <w:rsid w:val="00660A22"/>
    <w:rsid w:val="0066104B"/>
    <w:rsid w:val="006626E0"/>
    <w:rsid w:val="00662F03"/>
    <w:rsid w:val="00662F1C"/>
    <w:rsid w:val="00663A42"/>
    <w:rsid w:val="00665034"/>
    <w:rsid w:val="006655EE"/>
    <w:rsid w:val="006676C5"/>
    <w:rsid w:val="00667786"/>
    <w:rsid w:val="006679FF"/>
    <w:rsid w:val="00667C10"/>
    <w:rsid w:val="00667EF4"/>
    <w:rsid w:val="00672536"/>
    <w:rsid w:val="006761F8"/>
    <w:rsid w:val="00676ACB"/>
    <w:rsid w:val="00676B11"/>
    <w:rsid w:val="00676C86"/>
    <w:rsid w:val="00676FCA"/>
    <w:rsid w:val="00677177"/>
    <w:rsid w:val="00677BB5"/>
    <w:rsid w:val="00677C96"/>
    <w:rsid w:val="0068182E"/>
    <w:rsid w:val="00681AB0"/>
    <w:rsid w:val="00683603"/>
    <w:rsid w:val="006844C4"/>
    <w:rsid w:val="006854C9"/>
    <w:rsid w:val="0068612E"/>
    <w:rsid w:val="00687C92"/>
    <w:rsid w:val="0069169F"/>
    <w:rsid w:val="00692683"/>
    <w:rsid w:val="00692698"/>
    <w:rsid w:val="00692B24"/>
    <w:rsid w:val="00692E7C"/>
    <w:rsid w:val="00693AE4"/>
    <w:rsid w:val="006941CA"/>
    <w:rsid w:val="00694242"/>
    <w:rsid w:val="00694353"/>
    <w:rsid w:val="00694943"/>
    <w:rsid w:val="0069534E"/>
    <w:rsid w:val="006962B2"/>
    <w:rsid w:val="0069669C"/>
    <w:rsid w:val="006967EC"/>
    <w:rsid w:val="006979A5"/>
    <w:rsid w:val="006A1200"/>
    <w:rsid w:val="006A2D60"/>
    <w:rsid w:val="006A4F4E"/>
    <w:rsid w:val="006A503D"/>
    <w:rsid w:val="006A5B3B"/>
    <w:rsid w:val="006A6C23"/>
    <w:rsid w:val="006B0880"/>
    <w:rsid w:val="006B1313"/>
    <w:rsid w:val="006B14DB"/>
    <w:rsid w:val="006B21C4"/>
    <w:rsid w:val="006B3797"/>
    <w:rsid w:val="006B51E8"/>
    <w:rsid w:val="006B5393"/>
    <w:rsid w:val="006B5C18"/>
    <w:rsid w:val="006B6777"/>
    <w:rsid w:val="006C2162"/>
    <w:rsid w:val="006C24D2"/>
    <w:rsid w:val="006C47CB"/>
    <w:rsid w:val="006C4A1A"/>
    <w:rsid w:val="006C5A91"/>
    <w:rsid w:val="006C7E4C"/>
    <w:rsid w:val="006D0393"/>
    <w:rsid w:val="006D0CB8"/>
    <w:rsid w:val="006D19C2"/>
    <w:rsid w:val="006D1A83"/>
    <w:rsid w:val="006D401D"/>
    <w:rsid w:val="006D453A"/>
    <w:rsid w:val="006D467C"/>
    <w:rsid w:val="006D499C"/>
    <w:rsid w:val="006D575E"/>
    <w:rsid w:val="006D5CAB"/>
    <w:rsid w:val="006D7B84"/>
    <w:rsid w:val="006E0082"/>
    <w:rsid w:val="006E0638"/>
    <w:rsid w:val="006E1747"/>
    <w:rsid w:val="006E1CFE"/>
    <w:rsid w:val="006E1DC9"/>
    <w:rsid w:val="006E337D"/>
    <w:rsid w:val="006E6C2F"/>
    <w:rsid w:val="006E6F3E"/>
    <w:rsid w:val="006F10C4"/>
    <w:rsid w:val="006F12A4"/>
    <w:rsid w:val="006F3423"/>
    <w:rsid w:val="006F40E9"/>
    <w:rsid w:val="006F5603"/>
    <w:rsid w:val="006F5C44"/>
    <w:rsid w:val="006F720D"/>
    <w:rsid w:val="006F7428"/>
    <w:rsid w:val="006F7B87"/>
    <w:rsid w:val="00700586"/>
    <w:rsid w:val="007007F3"/>
    <w:rsid w:val="00701400"/>
    <w:rsid w:val="0070263D"/>
    <w:rsid w:val="00703526"/>
    <w:rsid w:val="007037CF"/>
    <w:rsid w:val="0070422F"/>
    <w:rsid w:val="007056A0"/>
    <w:rsid w:val="00705E43"/>
    <w:rsid w:val="0071075F"/>
    <w:rsid w:val="00711269"/>
    <w:rsid w:val="0071434C"/>
    <w:rsid w:val="00715980"/>
    <w:rsid w:val="007167C0"/>
    <w:rsid w:val="007172E8"/>
    <w:rsid w:val="00717522"/>
    <w:rsid w:val="00717F64"/>
    <w:rsid w:val="00720481"/>
    <w:rsid w:val="007214DF"/>
    <w:rsid w:val="007253C5"/>
    <w:rsid w:val="007267F5"/>
    <w:rsid w:val="00727E36"/>
    <w:rsid w:val="00730C85"/>
    <w:rsid w:val="00733193"/>
    <w:rsid w:val="007369E2"/>
    <w:rsid w:val="00740960"/>
    <w:rsid w:val="00742825"/>
    <w:rsid w:val="007429BC"/>
    <w:rsid w:val="007446BE"/>
    <w:rsid w:val="00744DDA"/>
    <w:rsid w:val="00745E03"/>
    <w:rsid w:val="00746140"/>
    <w:rsid w:val="00746522"/>
    <w:rsid w:val="00750270"/>
    <w:rsid w:val="00750DFF"/>
    <w:rsid w:val="0075162C"/>
    <w:rsid w:val="007540DF"/>
    <w:rsid w:val="0075599D"/>
    <w:rsid w:val="00756F35"/>
    <w:rsid w:val="0075732A"/>
    <w:rsid w:val="00757EEA"/>
    <w:rsid w:val="00757FA8"/>
    <w:rsid w:val="007600F8"/>
    <w:rsid w:val="00760262"/>
    <w:rsid w:val="0076073B"/>
    <w:rsid w:val="00761381"/>
    <w:rsid w:val="0076310C"/>
    <w:rsid w:val="00764A62"/>
    <w:rsid w:val="0076744F"/>
    <w:rsid w:val="00767BCE"/>
    <w:rsid w:val="00767EFC"/>
    <w:rsid w:val="007707DE"/>
    <w:rsid w:val="00770B5D"/>
    <w:rsid w:val="0077133A"/>
    <w:rsid w:val="00774E06"/>
    <w:rsid w:val="007752F1"/>
    <w:rsid w:val="00775BF0"/>
    <w:rsid w:val="007762BE"/>
    <w:rsid w:val="00776768"/>
    <w:rsid w:val="00776CA8"/>
    <w:rsid w:val="00776D2A"/>
    <w:rsid w:val="0078187A"/>
    <w:rsid w:val="007820FD"/>
    <w:rsid w:val="00784537"/>
    <w:rsid w:val="00787193"/>
    <w:rsid w:val="00787CEF"/>
    <w:rsid w:val="00787D62"/>
    <w:rsid w:val="007902F0"/>
    <w:rsid w:val="007905D7"/>
    <w:rsid w:val="007907EF"/>
    <w:rsid w:val="007911DA"/>
    <w:rsid w:val="007922D0"/>
    <w:rsid w:val="00794ED8"/>
    <w:rsid w:val="00796545"/>
    <w:rsid w:val="00797380"/>
    <w:rsid w:val="00797F2B"/>
    <w:rsid w:val="007A0611"/>
    <w:rsid w:val="007A0763"/>
    <w:rsid w:val="007A21B2"/>
    <w:rsid w:val="007A2573"/>
    <w:rsid w:val="007A4121"/>
    <w:rsid w:val="007A43A6"/>
    <w:rsid w:val="007A5D59"/>
    <w:rsid w:val="007B0292"/>
    <w:rsid w:val="007B0B22"/>
    <w:rsid w:val="007B106C"/>
    <w:rsid w:val="007B1A4E"/>
    <w:rsid w:val="007B3199"/>
    <w:rsid w:val="007B329D"/>
    <w:rsid w:val="007B38BA"/>
    <w:rsid w:val="007B3D05"/>
    <w:rsid w:val="007B411A"/>
    <w:rsid w:val="007B5503"/>
    <w:rsid w:val="007B6E84"/>
    <w:rsid w:val="007B7EE7"/>
    <w:rsid w:val="007C179C"/>
    <w:rsid w:val="007C27B8"/>
    <w:rsid w:val="007C46F9"/>
    <w:rsid w:val="007C5949"/>
    <w:rsid w:val="007C5AB5"/>
    <w:rsid w:val="007C6BB3"/>
    <w:rsid w:val="007D14B4"/>
    <w:rsid w:val="007D2DB3"/>
    <w:rsid w:val="007D3AD7"/>
    <w:rsid w:val="007D5025"/>
    <w:rsid w:val="007D5E4E"/>
    <w:rsid w:val="007D7898"/>
    <w:rsid w:val="007E0274"/>
    <w:rsid w:val="007E14AA"/>
    <w:rsid w:val="007E24F6"/>
    <w:rsid w:val="007E32B8"/>
    <w:rsid w:val="007E39A7"/>
    <w:rsid w:val="007E72B9"/>
    <w:rsid w:val="007E7C3B"/>
    <w:rsid w:val="007E7D73"/>
    <w:rsid w:val="007F56D9"/>
    <w:rsid w:val="007F6C4E"/>
    <w:rsid w:val="008001EB"/>
    <w:rsid w:val="00800F64"/>
    <w:rsid w:val="00801050"/>
    <w:rsid w:val="0080139B"/>
    <w:rsid w:val="0080141D"/>
    <w:rsid w:val="008020BF"/>
    <w:rsid w:val="00802521"/>
    <w:rsid w:val="00802F0B"/>
    <w:rsid w:val="00803E77"/>
    <w:rsid w:val="00803FE1"/>
    <w:rsid w:val="0080718D"/>
    <w:rsid w:val="00807AF8"/>
    <w:rsid w:val="00810A62"/>
    <w:rsid w:val="00810A67"/>
    <w:rsid w:val="00812586"/>
    <w:rsid w:val="00813C59"/>
    <w:rsid w:val="0081539F"/>
    <w:rsid w:val="0081625E"/>
    <w:rsid w:val="008208AB"/>
    <w:rsid w:val="0082135D"/>
    <w:rsid w:val="00821BCD"/>
    <w:rsid w:val="00821F16"/>
    <w:rsid w:val="008220A1"/>
    <w:rsid w:val="0082257B"/>
    <w:rsid w:val="00822A20"/>
    <w:rsid w:val="00825203"/>
    <w:rsid w:val="00825694"/>
    <w:rsid w:val="0083039C"/>
    <w:rsid w:val="00833032"/>
    <w:rsid w:val="00833CF7"/>
    <w:rsid w:val="00834CDE"/>
    <w:rsid w:val="0083653B"/>
    <w:rsid w:val="00836D1D"/>
    <w:rsid w:val="00836E8C"/>
    <w:rsid w:val="00837E55"/>
    <w:rsid w:val="00840A49"/>
    <w:rsid w:val="008417C3"/>
    <w:rsid w:val="00841EE8"/>
    <w:rsid w:val="00842464"/>
    <w:rsid w:val="00842493"/>
    <w:rsid w:val="0084273C"/>
    <w:rsid w:val="00845601"/>
    <w:rsid w:val="00846B2F"/>
    <w:rsid w:val="00846F49"/>
    <w:rsid w:val="008505C3"/>
    <w:rsid w:val="008512A7"/>
    <w:rsid w:val="00851D16"/>
    <w:rsid w:val="00852F1E"/>
    <w:rsid w:val="00854357"/>
    <w:rsid w:val="00855C5C"/>
    <w:rsid w:val="00856004"/>
    <w:rsid w:val="0085671B"/>
    <w:rsid w:val="00856BCD"/>
    <w:rsid w:val="00857472"/>
    <w:rsid w:val="0085755E"/>
    <w:rsid w:val="00857A3B"/>
    <w:rsid w:val="00857C27"/>
    <w:rsid w:val="008627BB"/>
    <w:rsid w:val="008643BD"/>
    <w:rsid w:val="00866409"/>
    <w:rsid w:val="008667D7"/>
    <w:rsid w:val="00867183"/>
    <w:rsid w:val="008676C2"/>
    <w:rsid w:val="00870F67"/>
    <w:rsid w:val="008727C2"/>
    <w:rsid w:val="00875D24"/>
    <w:rsid w:val="00875F62"/>
    <w:rsid w:val="0087673C"/>
    <w:rsid w:val="0087705E"/>
    <w:rsid w:val="008822AE"/>
    <w:rsid w:val="00882362"/>
    <w:rsid w:val="008823E6"/>
    <w:rsid w:val="008831CC"/>
    <w:rsid w:val="00884ED9"/>
    <w:rsid w:val="00885997"/>
    <w:rsid w:val="0089011A"/>
    <w:rsid w:val="008904EA"/>
    <w:rsid w:val="00891061"/>
    <w:rsid w:val="00892702"/>
    <w:rsid w:val="00895691"/>
    <w:rsid w:val="00896F2B"/>
    <w:rsid w:val="008A0703"/>
    <w:rsid w:val="008A3C96"/>
    <w:rsid w:val="008A4C1E"/>
    <w:rsid w:val="008A5B72"/>
    <w:rsid w:val="008A74FC"/>
    <w:rsid w:val="008A7CD5"/>
    <w:rsid w:val="008A7E38"/>
    <w:rsid w:val="008A7FC0"/>
    <w:rsid w:val="008B1D01"/>
    <w:rsid w:val="008B359C"/>
    <w:rsid w:val="008B365B"/>
    <w:rsid w:val="008B3E76"/>
    <w:rsid w:val="008B4019"/>
    <w:rsid w:val="008B611B"/>
    <w:rsid w:val="008B65C9"/>
    <w:rsid w:val="008C0852"/>
    <w:rsid w:val="008C13C7"/>
    <w:rsid w:val="008C238F"/>
    <w:rsid w:val="008C2391"/>
    <w:rsid w:val="008C2D4A"/>
    <w:rsid w:val="008C31EC"/>
    <w:rsid w:val="008C41A7"/>
    <w:rsid w:val="008C5CB9"/>
    <w:rsid w:val="008C7013"/>
    <w:rsid w:val="008C759E"/>
    <w:rsid w:val="008D1E07"/>
    <w:rsid w:val="008D3900"/>
    <w:rsid w:val="008D4149"/>
    <w:rsid w:val="008D42F4"/>
    <w:rsid w:val="008D49F6"/>
    <w:rsid w:val="008D6E1D"/>
    <w:rsid w:val="008D7148"/>
    <w:rsid w:val="008E25E0"/>
    <w:rsid w:val="008E2B74"/>
    <w:rsid w:val="008E2B9C"/>
    <w:rsid w:val="008E322D"/>
    <w:rsid w:val="008E498B"/>
    <w:rsid w:val="008E655F"/>
    <w:rsid w:val="008E6FC6"/>
    <w:rsid w:val="008F048F"/>
    <w:rsid w:val="008F0FB0"/>
    <w:rsid w:val="008F2BA3"/>
    <w:rsid w:val="008F39B4"/>
    <w:rsid w:val="008F3B46"/>
    <w:rsid w:val="008F4162"/>
    <w:rsid w:val="008F48C1"/>
    <w:rsid w:val="008F5FC2"/>
    <w:rsid w:val="008F704C"/>
    <w:rsid w:val="009003F0"/>
    <w:rsid w:val="0090056C"/>
    <w:rsid w:val="00900791"/>
    <w:rsid w:val="00900FFF"/>
    <w:rsid w:val="00901263"/>
    <w:rsid w:val="0090226E"/>
    <w:rsid w:val="00903E02"/>
    <w:rsid w:val="009044CD"/>
    <w:rsid w:val="00905BF9"/>
    <w:rsid w:val="00906068"/>
    <w:rsid w:val="009065DF"/>
    <w:rsid w:val="009068A6"/>
    <w:rsid w:val="009069E2"/>
    <w:rsid w:val="009115F1"/>
    <w:rsid w:val="009129C5"/>
    <w:rsid w:val="00913175"/>
    <w:rsid w:val="00914159"/>
    <w:rsid w:val="00916EDB"/>
    <w:rsid w:val="00920861"/>
    <w:rsid w:val="00920DA1"/>
    <w:rsid w:val="00922B13"/>
    <w:rsid w:val="009235E7"/>
    <w:rsid w:val="009242EF"/>
    <w:rsid w:val="009250E3"/>
    <w:rsid w:val="009271CB"/>
    <w:rsid w:val="00927302"/>
    <w:rsid w:val="009276D8"/>
    <w:rsid w:val="0093184F"/>
    <w:rsid w:val="0093210C"/>
    <w:rsid w:val="00932291"/>
    <w:rsid w:val="00932861"/>
    <w:rsid w:val="0093408E"/>
    <w:rsid w:val="00934760"/>
    <w:rsid w:val="00935EB4"/>
    <w:rsid w:val="00936F96"/>
    <w:rsid w:val="0094106C"/>
    <w:rsid w:val="00941140"/>
    <w:rsid w:val="009467BC"/>
    <w:rsid w:val="00950F33"/>
    <w:rsid w:val="009527F5"/>
    <w:rsid w:val="00952DDF"/>
    <w:rsid w:val="00954E05"/>
    <w:rsid w:val="00955FB7"/>
    <w:rsid w:val="00957E2C"/>
    <w:rsid w:val="009610A3"/>
    <w:rsid w:val="0096163F"/>
    <w:rsid w:val="00961645"/>
    <w:rsid w:val="009624DE"/>
    <w:rsid w:val="00963B6A"/>
    <w:rsid w:val="009640E3"/>
    <w:rsid w:val="009651DD"/>
    <w:rsid w:val="00967694"/>
    <w:rsid w:val="00970576"/>
    <w:rsid w:val="00970950"/>
    <w:rsid w:val="00970E1C"/>
    <w:rsid w:val="00971B82"/>
    <w:rsid w:val="00974EF6"/>
    <w:rsid w:val="00974FCE"/>
    <w:rsid w:val="009812D4"/>
    <w:rsid w:val="00984148"/>
    <w:rsid w:val="009878B7"/>
    <w:rsid w:val="00987C8B"/>
    <w:rsid w:val="00990287"/>
    <w:rsid w:val="009920D8"/>
    <w:rsid w:val="0099216A"/>
    <w:rsid w:val="009935F2"/>
    <w:rsid w:val="00993979"/>
    <w:rsid w:val="00994799"/>
    <w:rsid w:val="009952F5"/>
    <w:rsid w:val="0099565C"/>
    <w:rsid w:val="0099735C"/>
    <w:rsid w:val="0099746E"/>
    <w:rsid w:val="009A0500"/>
    <w:rsid w:val="009A22C3"/>
    <w:rsid w:val="009A4782"/>
    <w:rsid w:val="009A49E9"/>
    <w:rsid w:val="009A5E5B"/>
    <w:rsid w:val="009A6529"/>
    <w:rsid w:val="009A6DB7"/>
    <w:rsid w:val="009B000A"/>
    <w:rsid w:val="009B38BE"/>
    <w:rsid w:val="009B4D6A"/>
    <w:rsid w:val="009B5D21"/>
    <w:rsid w:val="009B7ED2"/>
    <w:rsid w:val="009C13B2"/>
    <w:rsid w:val="009C1CA4"/>
    <w:rsid w:val="009C2366"/>
    <w:rsid w:val="009C252D"/>
    <w:rsid w:val="009C3300"/>
    <w:rsid w:val="009C3D0F"/>
    <w:rsid w:val="009C4893"/>
    <w:rsid w:val="009C65A8"/>
    <w:rsid w:val="009D03ED"/>
    <w:rsid w:val="009D0E4A"/>
    <w:rsid w:val="009D14F9"/>
    <w:rsid w:val="009D2EAF"/>
    <w:rsid w:val="009D32BF"/>
    <w:rsid w:val="009D62E0"/>
    <w:rsid w:val="009E0887"/>
    <w:rsid w:val="009E1B16"/>
    <w:rsid w:val="009E1B19"/>
    <w:rsid w:val="009E2486"/>
    <w:rsid w:val="009E490D"/>
    <w:rsid w:val="009E4A60"/>
    <w:rsid w:val="009E732F"/>
    <w:rsid w:val="009E75CB"/>
    <w:rsid w:val="009F02F7"/>
    <w:rsid w:val="009F0570"/>
    <w:rsid w:val="009F165F"/>
    <w:rsid w:val="009F1CB2"/>
    <w:rsid w:val="009F2C6C"/>
    <w:rsid w:val="009F35E2"/>
    <w:rsid w:val="009F48C8"/>
    <w:rsid w:val="009F5B98"/>
    <w:rsid w:val="009F65F9"/>
    <w:rsid w:val="009F6708"/>
    <w:rsid w:val="009F68BA"/>
    <w:rsid w:val="009F71B6"/>
    <w:rsid w:val="009F7842"/>
    <w:rsid w:val="009F7CA5"/>
    <w:rsid w:val="00A02EB9"/>
    <w:rsid w:val="00A03F2D"/>
    <w:rsid w:val="00A0519C"/>
    <w:rsid w:val="00A06277"/>
    <w:rsid w:val="00A07302"/>
    <w:rsid w:val="00A07611"/>
    <w:rsid w:val="00A079DC"/>
    <w:rsid w:val="00A111C2"/>
    <w:rsid w:val="00A1185F"/>
    <w:rsid w:val="00A14116"/>
    <w:rsid w:val="00A16A3B"/>
    <w:rsid w:val="00A24286"/>
    <w:rsid w:val="00A24A02"/>
    <w:rsid w:val="00A25008"/>
    <w:rsid w:val="00A255F5"/>
    <w:rsid w:val="00A267DC"/>
    <w:rsid w:val="00A274E5"/>
    <w:rsid w:val="00A27742"/>
    <w:rsid w:val="00A32BEB"/>
    <w:rsid w:val="00A338E7"/>
    <w:rsid w:val="00A33988"/>
    <w:rsid w:val="00A35CAA"/>
    <w:rsid w:val="00A36B24"/>
    <w:rsid w:val="00A36E7F"/>
    <w:rsid w:val="00A37389"/>
    <w:rsid w:val="00A41264"/>
    <w:rsid w:val="00A41E65"/>
    <w:rsid w:val="00A43DE8"/>
    <w:rsid w:val="00A43E0A"/>
    <w:rsid w:val="00A44DC6"/>
    <w:rsid w:val="00A44ECA"/>
    <w:rsid w:val="00A45267"/>
    <w:rsid w:val="00A46684"/>
    <w:rsid w:val="00A47A52"/>
    <w:rsid w:val="00A5116B"/>
    <w:rsid w:val="00A530C7"/>
    <w:rsid w:val="00A537EE"/>
    <w:rsid w:val="00A54C81"/>
    <w:rsid w:val="00A55F5B"/>
    <w:rsid w:val="00A565AF"/>
    <w:rsid w:val="00A56CA6"/>
    <w:rsid w:val="00A60185"/>
    <w:rsid w:val="00A6031F"/>
    <w:rsid w:val="00A618B4"/>
    <w:rsid w:val="00A62BE3"/>
    <w:rsid w:val="00A645A9"/>
    <w:rsid w:val="00A64A38"/>
    <w:rsid w:val="00A64A4F"/>
    <w:rsid w:val="00A652AC"/>
    <w:rsid w:val="00A661EA"/>
    <w:rsid w:val="00A70CB2"/>
    <w:rsid w:val="00A710A3"/>
    <w:rsid w:val="00A7131C"/>
    <w:rsid w:val="00A75E82"/>
    <w:rsid w:val="00A76980"/>
    <w:rsid w:val="00A77198"/>
    <w:rsid w:val="00A81931"/>
    <w:rsid w:val="00A81BB3"/>
    <w:rsid w:val="00A830E5"/>
    <w:rsid w:val="00A85579"/>
    <w:rsid w:val="00A85736"/>
    <w:rsid w:val="00A85D26"/>
    <w:rsid w:val="00A87135"/>
    <w:rsid w:val="00A90B5B"/>
    <w:rsid w:val="00A93280"/>
    <w:rsid w:val="00A951EA"/>
    <w:rsid w:val="00A95E5D"/>
    <w:rsid w:val="00A96AB6"/>
    <w:rsid w:val="00A97A0F"/>
    <w:rsid w:val="00AA16EF"/>
    <w:rsid w:val="00AA2548"/>
    <w:rsid w:val="00AA4409"/>
    <w:rsid w:val="00AA543E"/>
    <w:rsid w:val="00AA58C4"/>
    <w:rsid w:val="00AA5F12"/>
    <w:rsid w:val="00AA7003"/>
    <w:rsid w:val="00AB08D0"/>
    <w:rsid w:val="00AB0C07"/>
    <w:rsid w:val="00AB11C8"/>
    <w:rsid w:val="00AB353F"/>
    <w:rsid w:val="00AB4744"/>
    <w:rsid w:val="00AB647A"/>
    <w:rsid w:val="00AB7B90"/>
    <w:rsid w:val="00AC08A8"/>
    <w:rsid w:val="00AC2402"/>
    <w:rsid w:val="00AC2FA2"/>
    <w:rsid w:val="00AC3F12"/>
    <w:rsid w:val="00AC4267"/>
    <w:rsid w:val="00AC5C7B"/>
    <w:rsid w:val="00AC67CE"/>
    <w:rsid w:val="00AD0830"/>
    <w:rsid w:val="00AD30D9"/>
    <w:rsid w:val="00AD36E0"/>
    <w:rsid w:val="00AD3D80"/>
    <w:rsid w:val="00AD56C8"/>
    <w:rsid w:val="00AD58F2"/>
    <w:rsid w:val="00AD6A63"/>
    <w:rsid w:val="00AD7457"/>
    <w:rsid w:val="00AD7A71"/>
    <w:rsid w:val="00AE097B"/>
    <w:rsid w:val="00AE0B9E"/>
    <w:rsid w:val="00AE262E"/>
    <w:rsid w:val="00AE3EC6"/>
    <w:rsid w:val="00AE3FC2"/>
    <w:rsid w:val="00AE5E05"/>
    <w:rsid w:val="00AE6B43"/>
    <w:rsid w:val="00AE7EFC"/>
    <w:rsid w:val="00AF1AAE"/>
    <w:rsid w:val="00AF1FFA"/>
    <w:rsid w:val="00AF436A"/>
    <w:rsid w:val="00AF72CF"/>
    <w:rsid w:val="00AF73AE"/>
    <w:rsid w:val="00B01B72"/>
    <w:rsid w:val="00B021D3"/>
    <w:rsid w:val="00B02C34"/>
    <w:rsid w:val="00B03018"/>
    <w:rsid w:val="00B0512A"/>
    <w:rsid w:val="00B0529F"/>
    <w:rsid w:val="00B06CE5"/>
    <w:rsid w:val="00B070DB"/>
    <w:rsid w:val="00B071F4"/>
    <w:rsid w:val="00B07F66"/>
    <w:rsid w:val="00B104DE"/>
    <w:rsid w:val="00B105E5"/>
    <w:rsid w:val="00B113DC"/>
    <w:rsid w:val="00B11C16"/>
    <w:rsid w:val="00B134A3"/>
    <w:rsid w:val="00B1418B"/>
    <w:rsid w:val="00B2019C"/>
    <w:rsid w:val="00B20222"/>
    <w:rsid w:val="00B21195"/>
    <w:rsid w:val="00B22945"/>
    <w:rsid w:val="00B232CC"/>
    <w:rsid w:val="00B2382A"/>
    <w:rsid w:val="00B24B22"/>
    <w:rsid w:val="00B25310"/>
    <w:rsid w:val="00B256DA"/>
    <w:rsid w:val="00B2583A"/>
    <w:rsid w:val="00B27959"/>
    <w:rsid w:val="00B27B24"/>
    <w:rsid w:val="00B30F2D"/>
    <w:rsid w:val="00B31A45"/>
    <w:rsid w:val="00B31BF9"/>
    <w:rsid w:val="00B32F8F"/>
    <w:rsid w:val="00B3492A"/>
    <w:rsid w:val="00B353F7"/>
    <w:rsid w:val="00B3581E"/>
    <w:rsid w:val="00B36882"/>
    <w:rsid w:val="00B37FF6"/>
    <w:rsid w:val="00B4090E"/>
    <w:rsid w:val="00B419FC"/>
    <w:rsid w:val="00B42002"/>
    <w:rsid w:val="00B428AC"/>
    <w:rsid w:val="00B42E7C"/>
    <w:rsid w:val="00B4430E"/>
    <w:rsid w:val="00B4458A"/>
    <w:rsid w:val="00B44994"/>
    <w:rsid w:val="00B44F8C"/>
    <w:rsid w:val="00B45271"/>
    <w:rsid w:val="00B47841"/>
    <w:rsid w:val="00B508F5"/>
    <w:rsid w:val="00B52D19"/>
    <w:rsid w:val="00B5390A"/>
    <w:rsid w:val="00B542C9"/>
    <w:rsid w:val="00B54DE9"/>
    <w:rsid w:val="00B553EC"/>
    <w:rsid w:val="00B55E3F"/>
    <w:rsid w:val="00B5770B"/>
    <w:rsid w:val="00B60237"/>
    <w:rsid w:val="00B61168"/>
    <w:rsid w:val="00B62061"/>
    <w:rsid w:val="00B62D71"/>
    <w:rsid w:val="00B630C9"/>
    <w:rsid w:val="00B631EC"/>
    <w:rsid w:val="00B63C1E"/>
    <w:rsid w:val="00B63EEC"/>
    <w:rsid w:val="00B6457F"/>
    <w:rsid w:val="00B64C5B"/>
    <w:rsid w:val="00B66068"/>
    <w:rsid w:val="00B66BBA"/>
    <w:rsid w:val="00B70820"/>
    <w:rsid w:val="00B70C47"/>
    <w:rsid w:val="00B71210"/>
    <w:rsid w:val="00B7201D"/>
    <w:rsid w:val="00B72FFD"/>
    <w:rsid w:val="00B73522"/>
    <w:rsid w:val="00B74C7D"/>
    <w:rsid w:val="00B7508E"/>
    <w:rsid w:val="00B81EB7"/>
    <w:rsid w:val="00B8201E"/>
    <w:rsid w:val="00B8322F"/>
    <w:rsid w:val="00B840F9"/>
    <w:rsid w:val="00B84E50"/>
    <w:rsid w:val="00B85DA6"/>
    <w:rsid w:val="00B87A8F"/>
    <w:rsid w:val="00B9292B"/>
    <w:rsid w:val="00B9298B"/>
    <w:rsid w:val="00B92A63"/>
    <w:rsid w:val="00B93DD0"/>
    <w:rsid w:val="00B95987"/>
    <w:rsid w:val="00B962B8"/>
    <w:rsid w:val="00B97732"/>
    <w:rsid w:val="00B9777B"/>
    <w:rsid w:val="00B97951"/>
    <w:rsid w:val="00BA0379"/>
    <w:rsid w:val="00BA16EA"/>
    <w:rsid w:val="00BA1E09"/>
    <w:rsid w:val="00BA2C45"/>
    <w:rsid w:val="00BA477A"/>
    <w:rsid w:val="00BA488D"/>
    <w:rsid w:val="00BA56F1"/>
    <w:rsid w:val="00BA5A27"/>
    <w:rsid w:val="00BA65A8"/>
    <w:rsid w:val="00BA6D19"/>
    <w:rsid w:val="00BA7461"/>
    <w:rsid w:val="00BA7DA9"/>
    <w:rsid w:val="00BB0CA3"/>
    <w:rsid w:val="00BB1C68"/>
    <w:rsid w:val="00BB2050"/>
    <w:rsid w:val="00BB2A67"/>
    <w:rsid w:val="00BB35D7"/>
    <w:rsid w:val="00BB3F0E"/>
    <w:rsid w:val="00BB5BE5"/>
    <w:rsid w:val="00BB640A"/>
    <w:rsid w:val="00BB739E"/>
    <w:rsid w:val="00BC07D3"/>
    <w:rsid w:val="00BC1CF6"/>
    <w:rsid w:val="00BC24A6"/>
    <w:rsid w:val="00BC3EB3"/>
    <w:rsid w:val="00BC4215"/>
    <w:rsid w:val="00BC5F6E"/>
    <w:rsid w:val="00BC62DB"/>
    <w:rsid w:val="00BD0D26"/>
    <w:rsid w:val="00BD1489"/>
    <w:rsid w:val="00BD1829"/>
    <w:rsid w:val="00BD1A6F"/>
    <w:rsid w:val="00BD383B"/>
    <w:rsid w:val="00BD4D8B"/>
    <w:rsid w:val="00BD7279"/>
    <w:rsid w:val="00BE0483"/>
    <w:rsid w:val="00BE07AC"/>
    <w:rsid w:val="00BE118F"/>
    <w:rsid w:val="00BE133C"/>
    <w:rsid w:val="00BE25E3"/>
    <w:rsid w:val="00BE3BB4"/>
    <w:rsid w:val="00BE3DF1"/>
    <w:rsid w:val="00BE48EF"/>
    <w:rsid w:val="00BE4F2B"/>
    <w:rsid w:val="00BE503C"/>
    <w:rsid w:val="00BE67F8"/>
    <w:rsid w:val="00BE6A24"/>
    <w:rsid w:val="00BE6D3C"/>
    <w:rsid w:val="00BE7765"/>
    <w:rsid w:val="00BE7852"/>
    <w:rsid w:val="00BF15F3"/>
    <w:rsid w:val="00BF210A"/>
    <w:rsid w:val="00BF3F5E"/>
    <w:rsid w:val="00BF4C62"/>
    <w:rsid w:val="00BF5550"/>
    <w:rsid w:val="00BF7CEE"/>
    <w:rsid w:val="00C015D7"/>
    <w:rsid w:val="00C03880"/>
    <w:rsid w:val="00C07210"/>
    <w:rsid w:val="00C1076E"/>
    <w:rsid w:val="00C1123A"/>
    <w:rsid w:val="00C12EFD"/>
    <w:rsid w:val="00C133C2"/>
    <w:rsid w:val="00C13403"/>
    <w:rsid w:val="00C135CF"/>
    <w:rsid w:val="00C15057"/>
    <w:rsid w:val="00C212F3"/>
    <w:rsid w:val="00C2144F"/>
    <w:rsid w:val="00C23462"/>
    <w:rsid w:val="00C23E82"/>
    <w:rsid w:val="00C247BC"/>
    <w:rsid w:val="00C248A0"/>
    <w:rsid w:val="00C248A9"/>
    <w:rsid w:val="00C24E12"/>
    <w:rsid w:val="00C2612C"/>
    <w:rsid w:val="00C2683F"/>
    <w:rsid w:val="00C30835"/>
    <w:rsid w:val="00C30A51"/>
    <w:rsid w:val="00C3151B"/>
    <w:rsid w:val="00C3184D"/>
    <w:rsid w:val="00C31B77"/>
    <w:rsid w:val="00C31E49"/>
    <w:rsid w:val="00C321C0"/>
    <w:rsid w:val="00C35AD1"/>
    <w:rsid w:val="00C37C97"/>
    <w:rsid w:val="00C4068B"/>
    <w:rsid w:val="00C4098D"/>
    <w:rsid w:val="00C419B2"/>
    <w:rsid w:val="00C41A78"/>
    <w:rsid w:val="00C445BA"/>
    <w:rsid w:val="00C446F3"/>
    <w:rsid w:val="00C456B5"/>
    <w:rsid w:val="00C45C94"/>
    <w:rsid w:val="00C4602C"/>
    <w:rsid w:val="00C4714E"/>
    <w:rsid w:val="00C50CD7"/>
    <w:rsid w:val="00C50E85"/>
    <w:rsid w:val="00C51A86"/>
    <w:rsid w:val="00C51CCA"/>
    <w:rsid w:val="00C53EFD"/>
    <w:rsid w:val="00C540D6"/>
    <w:rsid w:val="00C54345"/>
    <w:rsid w:val="00C5504F"/>
    <w:rsid w:val="00C57B55"/>
    <w:rsid w:val="00C57C8E"/>
    <w:rsid w:val="00C619CF"/>
    <w:rsid w:val="00C63376"/>
    <w:rsid w:val="00C63B26"/>
    <w:rsid w:val="00C6400A"/>
    <w:rsid w:val="00C648F4"/>
    <w:rsid w:val="00C65ACA"/>
    <w:rsid w:val="00C65D46"/>
    <w:rsid w:val="00C66238"/>
    <w:rsid w:val="00C67E1C"/>
    <w:rsid w:val="00C701C1"/>
    <w:rsid w:val="00C70F24"/>
    <w:rsid w:val="00C71F02"/>
    <w:rsid w:val="00C743A5"/>
    <w:rsid w:val="00C744D5"/>
    <w:rsid w:val="00C747DE"/>
    <w:rsid w:val="00C74BC3"/>
    <w:rsid w:val="00C74D46"/>
    <w:rsid w:val="00C74F97"/>
    <w:rsid w:val="00C7693E"/>
    <w:rsid w:val="00C77005"/>
    <w:rsid w:val="00C77D45"/>
    <w:rsid w:val="00C80308"/>
    <w:rsid w:val="00C80ECD"/>
    <w:rsid w:val="00C81DC6"/>
    <w:rsid w:val="00C8276E"/>
    <w:rsid w:val="00C842AC"/>
    <w:rsid w:val="00C84E23"/>
    <w:rsid w:val="00C852DC"/>
    <w:rsid w:val="00C87636"/>
    <w:rsid w:val="00C87C01"/>
    <w:rsid w:val="00C90E80"/>
    <w:rsid w:val="00C949DB"/>
    <w:rsid w:val="00C954A7"/>
    <w:rsid w:val="00C955F4"/>
    <w:rsid w:val="00C96464"/>
    <w:rsid w:val="00C964EE"/>
    <w:rsid w:val="00C96688"/>
    <w:rsid w:val="00C96AD2"/>
    <w:rsid w:val="00CA0723"/>
    <w:rsid w:val="00CA07B4"/>
    <w:rsid w:val="00CA1CC8"/>
    <w:rsid w:val="00CA2F3B"/>
    <w:rsid w:val="00CA7BA2"/>
    <w:rsid w:val="00CB01B4"/>
    <w:rsid w:val="00CB1224"/>
    <w:rsid w:val="00CB1555"/>
    <w:rsid w:val="00CB1690"/>
    <w:rsid w:val="00CB3562"/>
    <w:rsid w:val="00CB3E90"/>
    <w:rsid w:val="00CB4B92"/>
    <w:rsid w:val="00CB4C05"/>
    <w:rsid w:val="00CB51F6"/>
    <w:rsid w:val="00CB5EA3"/>
    <w:rsid w:val="00CB7FE9"/>
    <w:rsid w:val="00CC080C"/>
    <w:rsid w:val="00CC0C4B"/>
    <w:rsid w:val="00CC2548"/>
    <w:rsid w:val="00CC2ACD"/>
    <w:rsid w:val="00CC3592"/>
    <w:rsid w:val="00CC4365"/>
    <w:rsid w:val="00CC471E"/>
    <w:rsid w:val="00CC670C"/>
    <w:rsid w:val="00CD1034"/>
    <w:rsid w:val="00CD11B0"/>
    <w:rsid w:val="00CD235B"/>
    <w:rsid w:val="00CD2656"/>
    <w:rsid w:val="00CD4B46"/>
    <w:rsid w:val="00CD54A1"/>
    <w:rsid w:val="00CD6B49"/>
    <w:rsid w:val="00CD7A3B"/>
    <w:rsid w:val="00CE23A4"/>
    <w:rsid w:val="00CE29AD"/>
    <w:rsid w:val="00CE563A"/>
    <w:rsid w:val="00CE6C02"/>
    <w:rsid w:val="00CE71C2"/>
    <w:rsid w:val="00CE79F9"/>
    <w:rsid w:val="00CF19B7"/>
    <w:rsid w:val="00CF2CD3"/>
    <w:rsid w:val="00CF34E9"/>
    <w:rsid w:val="00CF42D5"/>
    <w:rsid w:val="00CF4EDA"/>
    <w:rsid w:val="00CF5E3A"/>
    <w:rsid w:val="00CF6C97"/>
    <w:rsid w:val="00D01349"/>
    <w:rsid w:val="00D018F1"/>
    <w:rsid w:val="00D01962"/>
    <w:rsid w:val="00D021CB"/>
    <w:rsid w:val="00D0354D"/>
    <w:rsid w:val="00D04CC0"/>
    <w:rsid w:val="00D05207"/>
    <w:rsid w:val="00D0767C"/>
    <w:rsid w:val="00D07AD4"/>
    <w:rsid w:val="00D1084C"/>
    <w:rsid w:val="00D10F1A"/>
    <w:rsid w:val="00D116F8"/>
    <w:rsid w:val="00D1172C"/>
    <w:rsid w:val="00D1195E"/>
    <w:rsid w:val="00D12910"/>
    <w:rsid w:val="00D14410"/>
    <w:rsid w:val="00D15199"/>
    <w:rsid w:val="00D1681C"/>
    <w:rsid w:val="00D17596"/>
    <w:rsid w:val="00D1774D"/>
    <w:rsid w:val="00D17C8F"/>
    <w:rsid w:val="00D21D54"/>
    <w:rsid w:val="00D22105"/>
    <w:rsid w:val="00D22604"/>
    <w:rsid w:val="00D22640"/>
    <w:rsid w:val="00D234F4"/>
    <w:rsid w:val="00D24C79"/>
    <w:rsid w:val="00D26D3A"/>
    <w:rsid w:val="00D27546"/>
    <w:rsid w:val="00D31293"/>
    <w:rsid w:val="00D32562"/>
    <w:rsid w:val="00D32889"/>
    <w:rsid w:val="00D333FE"/>
    <w:rsid w:val="00D33571"/>
    <w:rsid w:val="00D33A04"/>
    <w:rsid w:val="00D3670B"/>
    <w:rsid w:val="00D375C7"/>
    <w:rsid w:val="00D40812"/>
    <w:rsid w:val="00D40FAC"/>
    <w:rsid w:val="00D414C3"/>
    <w:rsid w:val="00D41F10"/>
    <w:rsid w:val="00D44506"/>
    <w:rsid w:val="00D45EE3"/>
    <w:rsid w:val="00D477E6"/>
    <w:rsid w:val="00D50402"/>
    <w:rsid w:val="00D50618"/>
    <w:rsid w:val="00D509E9"/>
    <w:rsid w:val="00D50C37"/>
    <w:rsid w:val="00D53B1C"/>
    <w:rsid w:val="00D545E1"/>
    <w:rsid w:val="00D606B3"/>
    <w:rsid w:val="00D60FD1"/>
    <w:rsid w:val="00D6667C"/>
    <w:rsid w:val="00D6775B"/>
    <w:rsid w:val="00D70EC9"/>
    <w:rsid w:val="00D7173A"/>
    <w:rsid w:val="00D71769"/>
    <w:rsid w:val="00D725CD"/>
    <w:rsid w:val="00D72CD4"/>
    <w:rsid w:val="00D730FB"/>
    <w:rsid w:val="00D74010"/>
    <w:rsid w:val="00D7784D"/>
    <w:rsid w:val="00D8328D"/>
    <w:rsid w:val="00D84F9F"/>
    <w:rsid w:val="00D863AD"/>
    <w:rsid w:val="00D8668D"/>
    <w:rsid w:val="00D86F81"/>
    <w:rsid w:val="00D911A0"/>
    <w:rsid w:val="00D91404"/>
    <w:rsid w:val="00D92D6F"/>
    <w:rsid w:val="00D94088"/>
    <w:rsid w:val="00D94ABE"/>
    <w:rsid w:val="00DA1635"/>
    <w:rsid w:val="00DA16B8"/>
    <w:rsid w:val="00DA19B5"/>
    <w:rsid w:val="00DA1B12"/>
    <w:rsid w:val="00DA213F"/>
    <w:rsid w:val="00DA37E2"/>
    <w:rsid w:val="00DA4F43"/>
    <w:rsid w:val="00DA54C9"/>
    <w:rsid w:val="00DA5E6F"/>
    <w:rsid w:val="00DA6335"/>
    <w:rsid w:val="00DA6739"/>
    <w:rsid w:val="00DA6CAE"/>
    <w:rsid w:val="00DA6E63"/>
    <w:rsid w:val="00DA793E"/>
    <w:rsid w:val="00DB02A8"/>
    <w:rsid w:val="00DB1A9E"/>
    <w:rsid w:val="00DB31D6"/>
    <w:rsid w:val="00DB3F5C"/>
    <w:rsid w:val="00DB4005"/>
    <w:rsid w:val="00DB447B"/>
    <w:rsid w:val="00DB67A4"/>
    <w:rsid w:val="00DB75D0"/>
    <w:rsid w:val="00DC0582"/>
    <w:rsid w:val="00DC2605"/>
    <w:rsid w:val="00DC273C"/>
    <w:rsid w:val="00DC34C4"/>
    <w:rsid w:val="00DC34EB"/>
    <w:rsid w:val="00DC467C"/>
    <w:rsid w:val="00DC5418"/>
    <w:rsid w:val="00DC7117"/>
    <w:rsid w:val="00DC7B98"/>
    <w:rsid w:val="00DD082D"/>
    <w:rsid w:val="00DD14E0"/>
    <w:rsid w:val="00DD1835"/>
    <w:rsid w:val="00DD1C4C"/>
    <w:rsid w:val="00DD4734"/>
    <w:rsid w:val="00DD6375"/>
    <w:rsid w:val="00DD6C53"/>
    <w:rsid w:val="00DD6EFC"/>
    <w:rsid w:val="00DD7567"/>
    <w:rsid w:val="00DD7742"/>
    <w:rsid w:val="00DE2926"/>
    <w:rsid w:val="00DE3557"/>
    <w:rsid w:val="00DE4AEA"/>
    <w:rsid w:val="00DE4CD6"/>
    <w:rsid w:val="00DE51A2"/>
    <w:rsid w:val="00DE6283"/>
    <w:rsid w:val="00DE7AB5"/>
    <w:rsid w:val="00DF1E5B"/>
    <w:rsid w:val="00DF2275"/>
    <w:rsid w:val="00DF22E2"/>
    <w:rsid w:val="00DF398A"/>
    <w:rsid w:val="00DF3F5E"/>
    <w:rsid w:val="00DF5653"/>
    <w:rsid w:val="00DF5F5C"/>
    <w:rsid w:val="00DF6C62"/>
    <w:rsid w:val="00E01A87"/>
    <w:rsid w:val="00E04C35"/>
    <w:rsid w:val="00E05273"/>
    <w:rsid w:val="00E055FD"/>
    <w:rsid w:val="00E0596E"/>
    <w:rsid w:val="00E060AC"/>
    <w:rsid w:val="00E06992"/>
    <w:rsid w:val="00E06F66"/>
    <w:rsid w:val="00E0753F"/>
    <w:rsid w:val="00E103FC"/>
    <w:rsid w:val="00E14798"/>
    <w:rsid w:val="00E15A61"/>
    <w:rsid w:val="00E161B1"/>
    <w:rsid w:val="00E16827"/>
    <w:rsid w:val="00E16DFF"/>
    <w:rsid w:val="00E20362"/>
    <w:rsid w:val="00E20883"/>
    <w:rsid w:val="00E20B61"/>
    <w:rsid w:val="00E2138F"/>
    <w:rsid w:val="00E21D78"/>
    <w:rsid w:val="00E2221A"/>
    <w:rsid w:val="00E22C93"/>
    <w:rsid w:val="00E233E6"/>
    <w:rsid w:val="00E23A03"/>
    <w:rsid w:val="00E2664F"/>
    <w:rsid w:val="00E30752"/>
    <w:rsid w:val="00E313CD"/>
    <w:rsid w:val="00E3197B"/>
    <w:rsid w:val="00E31AA1"/>
    <w:rsid w:val="00E31CC3"/>
    <w:rsid w:val="00E32B5A"/>
    <w:rsid w:val="00E332C4"/>
    <w:rsid w:val="00E339D8"/>
    <w:rsid w:val="00E34AF0"/>
    <w:rsid w:val="00E34BE7"/>
    <w:rsid w:val="00E356E5"/>
    <w:rsid w:val="00E36065"/>
    <w:rsid w:val="00E36C74"/>
    <w:rsid w:val="00E36F81"/>
    <w:rsid w:val="00E37FE9"/>
    <w:rsid w:val="00E40A47"/>
    <w:rsid w:val="00E439B9"/>
    <w:rsid w:val="00E44BED"/>
    <w:rsid w:val="00E45191"/>
    <w:rsid w:val="00E45765"/>
    <w:rsid w:val="00E45F4C"/>
    <w:rsid w:val="00E46ADF"/>
    <w:rsid w:val="00E475F1"/>
    <w:rsid w:val="00E5098C"/>
    <w:rsid w:val="00E50A37"/>
    <w:rsid w:val="00E50E8A"/>
    <w:rsid w:val="00E521EB"/>
    <w:rsid w:val="00E52556"/>
    <w:rsid w:val="00E53D17"/>
    <w:rsid w:val="00E54700"/>
    <w:rsid w:val="00E55253"/>
    <w:rsid w:val="00E56AFD"/>
    <w:rsid w:val="00E56CF9"/>
    <w:rsid w:val="00E576E4"/>
    <w:rsid w:val="00E60213"/>
    <w:rsid w:val="00E612B1"/>
    <w:rsid w:val="00E62131"/>
    <w:rsid w:val="00E625D6"/>
    <w:rsid w:val="00E626AC"/>
    <w:rsid w:val="00E62B04"/>
    <w:rsid w:val="00E64DA4"/>
    <w:rsid w:val="00E65E8F"/>
    <w:rsid w:val="00E661B2"/>
    <w:rsid w:val="00E66D14"/>
    <w:rsid w:val="00E72F21"/>
    <w:rsid w:val="00E7330C"/>
    <w:rsid w:val="00E74D29"/>
    <w:rsid w:val="00E76B4F"/>
    <w:rsid w:val="00E76F07"/>
    <w:rsid w:val="00E80889"/>
    <w:rsid w:val="00E810A5"/>
    <w:rsid w:val="00E826BA"/>
    <w:rsid w:val="00E83C74"/>
    <w:rsid w:val="00E83CEE"/>
    <w:rsid w:val="00E83FA8"/>
    <w:rsid w:val="00E9194D"/>
    <w:rsid w:val="00E91F18"/>
    <w:rsid w:val="00E9226D"/>
    <w:rsid w:val="00E92952"/>
    <w:rsid w:val="00E94D18"/>
    <w:rsid w:val="00E96846"/>
    <w:rsid w:val="00EA0BA9"/>
    <w:rsid w:val="00EA3D42"/>
    <w:rsid w:val="00EA3E74"/>
    <w:rsid w:val="00EA416C"/>
    <w:rsid w:val="00EA4925"/>
    <w:rsid w:val="00EA5941"/>
    <w:rsid w:val="00EA5FD5"/>
    <w:rsid w:val="00EB083A"/>
    <w:rsid w:val="00EB09D2"/>
    <w:rsid w:val="00EB0E4D"/>
    <w:rsid w:val="00EB26C1"/>
    <w:rsid w:val="00EB3991"/>
    <w:rsid w:val="00EB4D94"/>
    <w:rsid w:val="00EB5F82"/>
    <w:rsid w:val="00EB60CE"/>
    <w:rsid w:val="00EB6929"/>
    <w:rsid w:val="00EB6AD0"/>
    <w:rsid w:val="00EB6BA0"/>
    <w:rsid w:val="00EB7D53"/>
    <w:rsid w:val="00EB7FC9"/>
    <w:rsid w:val="00EC0A2F"/>
    <w:rsid w:val="00EC114E"/>
    <w:rsid w:val="00EC1923"/>
    <w:rsid w:val="00EC22AC"/>
    <w:rsid w:val="00EC36F2"/>
    <w:rsid w:val="00EC4820"/>
    <w:rsid w:val="00EC4DD2"/>
    <w:rsid w:val="00EC706A"/>
    <w:rsid w:val="00ED0BC4"/>
    <w:rsid w:val="00ED24F9"/>
    <w:rsid w:val="00ED389D"/>
    <w:rsid w:val="00ED5C08"/>
    <w:rsid w:val="00ED7279"/>
    <w:rsid w:val="00EE1D48"/>
    <w:rsid w:val="00EE23D2"/>
    <w:rsid w:val="00EE2676"/>
    <w:rsid w:val="00EE3146"/>
    <w:rsid w:val="00EF1157"/>
    <w:rsid w:val="00EF3164"/>
    <w:rsid w:val="00EF421E"/>
    <w:rsid w:val="00EF45D8"/>
    <w:rsid w:val="00EF50BB"/>
    <w:rsid w:val="00EF5264"/>
    <w:rsid w:val="00EF53FF"/>
    <w:rsid w:val="00EF678A"/>
    <w:rsid w:val="00EF7C2A"/>
    <w:rsid w:val="00EF7FA6"/>
    <w:rsid w:val="00F00192"/>
    <w:rsid w:val="00F0187C"/>
    <w:rsid w:val="00F01DF6"/>
    <w:rsid w:val="00F0223C"/>
    <w:rsid w:val="00F03195"/>
    <w:rsid w:val="00F0340D"/>
    <w:rsid w:val="00F0344D"/>
    <w:rsid w:val="00F04170"/>
    <w:rsid w:val="00F04853"/>
    <w:rsid w:val="00F04968"/>
    <w:rsid w:val="00F05075"/>
    <w:rsid w:val="00F059A6"/>
    <w:rsid w:val="00F05B31"/>
    <w:rsid w:val="00F06782"/>
    <w:rsid w:val="00F07252"/>
    <w:rsid w:val="00F072B9"/>
    <w:rsid w:val="00F10BFA"/>
    <w:rsid w:val="00F112ED"/>
    <w:rsid w:val="00F12250"/>
    <w:rsid w:val="00F1389E"/>
    <w:rsid w:val="00F13C69"/>
    <w:rsid w:val="00F15E4B"/>
    <w:rsid w:val="00F1768A"/>
    <w:rsid w:val="00F20123"/>
    <w:rsid w:val="00F228C4"/>
    <w:rsid w:val="00F234F8"/>
    <w:rsid w:val="00F23756"/>
    <w:rsid w:val="00F24B26"/>
    <w:rsid w:val="00F2523A"/>
    <w:rsid w:val="00F25EB7"/>
    <w:rsid w:val="00F25FFA"/>
    <w:rsid w:val="00F269A1"/>
    <w:rsid w:val="00F271EB"/>
    <w:rsid w:val="00F30379"/>
    <w:rsid w:val="00F310D2"/>
    <w:rsid w:val="00F31978"/>
    <w:rsid w:val="00F33AC6"/>
    <w:rsid w:val="00F34ADD"/>
    <w:rsid w:val="00F36153"/>
    <w:rsid w:val="00F36F3D"/>
    <w:rsid w:val="00F408AF"/>
    <w:rsid w:val="00F4104A"/>
    <w:rsid w:val="00F4337F"/>
    <w:rsid w:val="00F4391A"/>
    <w:rsid w:val="00F43A16"/>
    <w:rsid w:val="00F44322"/>
    <w:rsid w:val="00F477BD"/>
    <w:rsid w:val="00F47F8A"/>
    <w:rsid w:val="00F510B5"/>
    <w:rsid w:val="00F51138"/>
    <w:rsid w:val="00F51DE6"/>
    <w:rsid w:val="00F521A8"/>
    <w:rsid w:val="00F52F0F"/>
    <w:rsid w:val="00F5320F"/>
    <w:rsid w:val="00F53491"/>
    <w:rsid w:val="00F5518E"/>
    <w:rsid w:val="00F55810"/>
    <w:rsid w:val="00F60060"/>
    <w:rsid w:val="00F619BA"/>
    <w:rsid w:val="00F62786"/>
    <w:rsid w:val="00F63B3B"/>
    <w:rsid w:val="00F65A1C"/>
    <w:rsid w:val="00F66ACE"/>
    <w:rsid w:val="00F66F50"/>
    <w:rsid w:val="00F67A0B"/>
    <w:rsid w:val="00F70B54"/>
    <w:rsid w:val="00F7268E"/>
    <w:rsid w:val="00F72990"/>
    <w:rsid w:val="00F737E5"/>
    <w:rsid w:val="00F740A0"/>
    <w:rsid w:val="00F7426E"/>
    <w:rsid w:val="00F74398"/>
    <w:rsid w:val="00F75D70"/>
    <w:rsid w:val="00F76C19"/>
    <w:rsid w:val="00F76D56"/>
    <w:rsid w:val="00F7725D"/>
    <w:rsid w:val="00F82FF8"/>
    <w:rsid w:val="00F8330D"/>
    <w:rsid w:val="00F83DA1"/>
    <w:rsid w:val="00F84305"/>
    <w:rsid w:val="00F8485C"/>
    <w:rsid w:val="00F85F74"/>
    <w:rsid w:val="00F8685B"/>
    <w:rsid w:val="00F87149"/>
    <w:rsid w:val="00F87651"/>
    <w:rsid w:val="00F87FFE"/>
    <w:rsid w:val="00F903EA"/>
    <w:rsid w:val="00F9060E"/>
    <w:rsid w:val="00F9086A"/>
    <w:rsid w:val="00F908AC"/>
    <w:rsid w:val="00F90EF8"/>
    <w:rsid w:val="00F91BD8"/>
    <w:rsid w:val="00F92B87"/>
    <w:rsid w:val="00F92B93"/>
    <w:rsid w:val="00F92CC1"/>
    <w:rsid w:val="00F93843"/>
    <w:rsid w:val="00F954C9"/>
    <w:rsid w:val="00F95612"/>
    <w:rsid w:val="00F960FF"/>
    <w:rsid w:val="00F9682A"/>
    <w:rsid w:val="00F97BC9"/>
    <w:rsid w:val="00FA077A"/>
    <w:rsid w:val="00FA2BAE"/>
    <w:rsid w:val="00FA397C"/>
    <w:rsid w:val="00FA3AD6"/>
    <w:rsid w:val="00FA3B1A"/>
    <w:rsid w:val="00FA4CF0"/>
    <w:rsid w:val="00FA61AA"/>
    <w:rsid w:val="00FA69A4"/>
    <w:rsid w:val="00FA727C"/>
    <w:rsid w:val="00FA7405"/>
    <w:rsid w:val="00FB08F2"/>
    <w:rsid w:val="00FB10AC"/>
    <w:rsid w:val="00FB1279"/>
    <w:rsid w:val="00FB1495"/>
    <w:rsid w:val="00FB3957"/>
    <w:rsid w:val="00FB45B0"/>
    <w:rsid w:val="00FB5977"/>
    <w:rsid w:val="00FB5EC5"/>
    <w:rsid w:val="00FC0586"/>
    <w:rsid w:val="00FC2CFF"/>
    <w:rsid w:val="00FC4C9D"/>
    <w:rsid w:val="00FC4EE1"/>
    <w:rsid w:val="00FC7E21"/>
    <w:rsid w:val="00FD0875"/>
    <w:rsid w:val="00FD098A"/>
    <w:rsid w:val="00FD0B23"/>
    <w:rsid w:val="00FD1694"/>
    <w:rsid w:val="00FD28D2"/>
    <w:rsid w:val="00FD2C62"/>
    <w:rsid w:val="00FD2D25"/>
    <w:rsid w:val="00FD45FA"/>
    <w:rsid w:val="00FD477C"/>
    <w:rsid w:val="00FD4DFF"/>
    <w:rsid w:val="00FD7636"/>
    <w:rsid w:val="00FE01DC"/>
    <w:rsid w:val="00FE0507"/>
    <w:rsid w:val="00FE1434"/>
    <w:rsid w:val="00FE1678"/>
    <w:rsid w:val="00FE245D"/>
    <w:rsid w:val="00FE3229"/>
    <w:rsid w:val="00FE32F5"/>
    <w:rsid w:val="00FE37E2"/>
    <w:rsid w:val="00FE69D2"/>
    <w:rsid w:val="00FE6FFA"/>
    <w:rsid w:val="00FE74C3"/>
    <w:rsid w:val="00FE75E6"/>
    <w:rsid w:val="00FE7D1F"/>
    <w:rsid w:val="00FE7DEA"/>
    <w:rsid w:val="00FF215C"/>
    <w:rsid w:val="00FF2964"/>
    <w:rsid w:val="00FF49E8"/>
    <w:rsid w:val="00FF5202"/>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824B7852-CE00-6A41-8498-8163CB17C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3FFC"/>
    <w:pPr>
      <w:spacing w:before="120" w:after="120" w:line="276" w:lineRule="auto"/>
    </w:pPr>
    <w:rPr>
      <w:szCs w:val="22"/>
      <w:lang w:eastAsia="en-US"/>
    </w:rPr>
  </w:style>
  <w:style w:type="paragraph" w:styleId="Heading1">
    <w:name w:val="heading 1"/>
    <w:basedOn w:val="Normal"/>
    <w:next w:val="Normal"/>
    <w:link w:val="Heading1Char"/>
    <w:uiPriority w:val="9"/>
    <w:qFormat/>
    <w:rsid w:val="00083FFC"/>
    <w:pPr>
      <w:keepNext/>
      <w:pageBreakBefore/>
      <w:spacing w:before="240"/>
      <w:outlineLvl w:val="0"/>
    </w:pPr>
    <w:rPr>
      <w:b/>
      <w:sz w:val="40"/>
      <w:szCs w:val="24"/>
    </w:rPr>
  </w:style>
  <w:style w:type="paragraph" w:styleId="Heading2">
    <w:name w:val="heading 2"/>
    <w:basedOn w:val="Normal"/>
    <w:next w:val="Normal"/>
    <w:link w:val="Heading2Char"/>
    <w:uiPriority w:val="9"/>
    <w:qFormat/>
    <w:rsid w:val="00083FFC"/>
    <w:pPr>
      <w:keepNext/>
      <w:spacing w:before="360"/>
      <w:outlineLvl w:val="1"/>
    </w:pPr>
    <w:rPr>
      <w:rFonts w:cs="Arial"/>
      <w:b/>
      <w:sz w:val="28"/>
      <w:szCs w:val="24"/>
    </w:rPr>
  </w:style>
  <w:style w:type="paragraph" w:styleId="Heading3">
    <w:name w:val="heading 3"/>
    <w:basedOn w:val="Normal"/>
    <w:next w:val="Normal"/>
    <w:link w:val="Heading3Char"/>
    <w:uiPriority w:val="9"/>
    <w:qFormat/>
    <w:rsid w:val="00083FFC"/>
    <w:pPr>
      <w:keepNext/>
      <w:spacing w:before="240"/>
      <w:outlineLvl w:val="2"/>
    </w:pPr>
    <w:rPr>
      <w:rFonts w:cs="Arial"/>
      <w:sz w:val="24"/>
    </w:rPr>
  </w:style>
  <w:style w:type="paragraph" w:styleId="Heading4">
    <w:name w:val="heading 4"/>
    <w:basedOn w:val="Normal"/>
    <w:next w:val="Normal"/>
    <w:link w:val="Heading4Char"/>
    <w:uiPriority w:val="9"/>
    <w:qFormat/>
    <w:rsid w:val="00083FFC"/>
    <w:pPr>
      <w:keepNext/>
      <w:spacing w:before="240"/>
      <w:outlineLvl w:val="3"/>
    </w:pPr>
    <w:rPr>
      <w:rFonts w:cs="Arial"/>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83FFC"/>
    <w:rPr>
      <w:b/>
      <w:sz w:val="40"/>
      <w:szCs w:val="24"/>
      <w:lang w:eastAsia="en-US"/>
    </w:rPr>
  </w:style>
  <w:style w:type="character" w:customStyle="1" w:styleId="Heading2Char">
    <w:name w:val="Heading 2 Char"/>
    <w:basedOn w:val="DefaultParagraphFont"/>
    <w:link w:val="Heading2"/>
    <w:uiPriority w:val="9"/>
    <w:locked/>
    <w:rsid w:val="00083FFC"/>
    <w:rPr>
      <w:rFonts w:cs="Arial"/>
      <w:b/>
      <w:sz w:val="28"/>
      <w:szCs w:val="24"/>
      <w:lang w:eastAsia="en-US"/>
    </w:rPr>
  </w:style>
  <w:style w:type="character" w:customStyle="1" w:styleId="Heading3Char">
    <w:name w:val="Heading 3 Char"/>
    <w:basedOn w:val="DefaultParagraphFont"/>
    <w:link w:val="Heading3"/>
    <w:uiPriority w:val="9"/>
    <w:locked/>
    <w:rsid w:val="00083FFC"/>
    <w:rPr>
      <w:rFonts w:cs="Arial"/>
      <w:sz w:val="24"/>
      <w:szCs w:val="22"/>
      <w:lang w:eastAsia="en-US"/>
    </w:rPr>
  </w:style>
  <w:style w:type="character" w:customStyle="1" w:styleId="Heading4Char">
    <w:name w:val="Heading 4 Char"/>
    <w:basedOn w:val="DefaultParagraphFont"/>
    <w:link w:val="Heading4"/>
    <w:uiPriority w:val="9"/>
    <w:locked/>
    <w:rsid w:val="00083FFC"/>
    <w:rPr>
      <w:rFonts w:cs="Arial"/>
      <w:b/>
      <w:i/>
      <w:szCs w:val="22"/>
      <w:lang w:eastAsia="en-US"/>
    </w:rPr>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A60185"/>
    <w:rPr>
      <w:rFonts w:cs="Times New Roman"/>
    </w:rPr>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A60185"/>
    <w:rPr>
      <w:rFonts w:cs="Times New Roman"/>
    </w:rPr>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60185"/>
    <w:rPr>
      <w:rFonts w:ascii="Tahoma" w:hAnsi="Tahoma" w:cs="Tahoma"/>
      <w:sz w:val="16"/>
      <w:szCs w:val="16"/>
    </w:rPr>
  </w:style>
  <w:style w:type="paragraph" w:customStyle="1" w:styleId="1NumberedPointsStyle">
    <w:name w:val="1. Numbered Points Style"/>
    <w:basedOn w:val="ListParagraph"/>
    <w:rsid w:val="00BD1A6F"/>
    <w:pPr>
      <w:numPr>
        <w:numId w:val="0"/>
      </w:numPr>
    </w:pPr>
  </w:style>
  <w:style w:type="paragraph" w:customStyle="1" w:styleId="1BulletStyleList">
    <w:name w:val="1. Bullet Style List"/>
    <w:basedOn w:val="Normal"/>
    <w:rsid w:val="00CE71C2"/>
    <w:pPr>
      <w:spacing w:line="240" w:lineRule="auto"/>
    </w:pPr>
    <w:rPr>
      <w:szCs w:val="20"/>
      <w:lang w:eastAsia="en-AU"/>
    </w:rPr>
  </w:style>
  <w:style w:type="paragraph" w:styleId="ListBullet">
    <w:name w:val="List Bullet"/>
    <w:basedOn w:val="Normal"/>
    <w:uiPriority w:val="99"/>
    <w:unhideWhenUsed/>
    <w:qFormat/>
    <w:rsid w:val="00240A12"/>
    <w:pPr>
      <w:numPr>
        <w:numId w:val="7"/>
      </w:numPr>
      <w:ind w:left="426"/>
    </w:pPr>
  </w:style>
  <w:style w:type="paragraph" w:styleId="ListBullet2">
    <w:name w:val="List Bullet 2"/>
    <w:basedOn w:val="Normal"/>
    <w:uiPriority w:val="99"/>
    <w:unhideWhenUsed/>
    <w:rsid w:val="00091608"/>
    <w:pPr>
      <w:numPr>
        <w:ilvl w:val="1"/>
        <w:numId w:val="7"/>
      </w:numPr>
    </w:pPr>
  </w:style>
  <w:style w:type="paragraph" w:styleId="ListBullet3">
    <w:name w:val="List Bullet 3"/>
    <w:basedOn w:val="Normal"/>
    <w:uiPriority w:val="99"/>
    <w:unhideWhenUsed/>
    <w:rsid w:val="00091608"/>
    <w:pPr>
      <w:numPr>
        <w:ilvl w:val="2"/>
        <w:numId w:val="7"/>
      </w:numPr>
    </w:pPr>
  </w:style>
  <w:style w:type="paragraph" w:styleId="ListBullet4">
    <w:name w:val="List Bullet 4"/>
    <w:basedOn w:val="Normal"/>
    <w:uiPriority w:val="99"/>
    <w:unhideWhenUsed/>
    <w:rsid w:val="00091608"/>
    <w:pPr>
      <w:numPr>
        <w:ilvl w:val="3"/>
        <w:numId w:val="7"/>
      </w:numPr>
    </w:pPr>
  </w:style>
  <w:style w:type="paragraph" w:styleId="ListBullet5">
    <w:name w:val="List Bullet 5"/>
    <w:basedOn w:val="Normal"/>
    <w:uiPriority w:val="99"/>
    <w:unhideWhenUsed/>
    <w:rsid w:val="00091608"/>
    <w:pPr>
      <w:numPr>
        <w:ilvl w:val="4"/>
        <w:numId w:val="7"/>
      </w:numPr>
    </w:pPr>
  </w:style>
  <w:style w:type="paragraph" w:customStyle="1" w:styleId="Classification">
    <w:name w:val="Classification"/>
    <w:basedOn w:val="Normal"/>
    <w:uiPriority w:val="10"/>
    <w:rsid w:val="00646122"/>
    <w:pPr>
      <w:tabs>
        <w:tab w:val="center" w:pos="4536"/>
        <w:tab w:val="center" w:pos="4819"/>
        <w:tab w:val="right" w:pos="9356"/>
      </w:tabs>
      <w:spacing w:after="240"/>
      <w:jc w:val="center"/>
    </w:pPr>
    <w:rPr>
      <w:rFonts w:cs="Arial"/>
      <w:color w:val="FF0000"/>
      <w:sz w:val="28"/>
      <w:szCs w:val="28"/>
      <w:lang w:eastAsia="en-AU"/>
    </w:rPr>
  </w:style>
  <w:style w:type="paragraph" w:styleId="ListParagraph">
    <w:name w:val="List Paragraph"/>
    <w:basedOn w:val="Normal"/>
    <w:uiPriority w:val="34"/>
    <w:qFormat/>
    <w:rsid w:val="003556BD"/>
    <w:pPr>
      <w:numPr>
        <w:numId w:val="5"/>
      </w:numPr>
    </w:pPr>
  </w:style>
  <w:style w:type="character" w:styleId="BookTitle">
    <w:name w:val="Book Title"/>
    <w:basedOn w:val="DefaultParagraphFont"/>
    <w:uiPriority w:val="33"/>
    <w:rsid w:val="00383020"/>
    <w:rPr>
      <w:rFonts w:cs="Times New Roman"/>
      <w:bCs/>
      <w:i/>
      <w:smallCaps/>
      <w:spacing w:val="5"/>
    </w:rPr>
  </w:style>
  <w:style w:type="paragraph" w:styleId="ListNumber">
    <w:name w:val="List Number"/>
    <w:basedOn w:val="Normal"/>
    <w:uiPriority w:val="99"/>
    <w:qFormat/>
    <w:rsid w:val="00005CAA"/>
  </w:style>
  <w:style w:type="paragraph" w:styleId="ListNumber2">
    <w:name w:val="List Number 2"/>
    <w:basedOn w:val="Normal"/>
    <w:uiPriority w:val="99"/>
    <w:rsid w:val="00005CAA"/>
    <w:pPr>
      <w:numPr>
        <w:ilvl w:val="1"/>
        <w:numId w:val="6"/>
      </w:numPr>
    </w:pPr>
  </w:style>
  <w:style w:type="paragraph" w:styleId="ListNumber3">
    <w:name w:val="List Number 3"/>
    <w:basedOn w:val="Normal"/>
    <w:uiPriority w:val="99"/>
    <w:rsid w:val="00005CAA"/>
    <w:pPr>
      <w:numPr>
        <w:ilvl w:val="2"/>
        <w:numId w:val="6"/>
      </w:numPr>
    </w:pPr>
  </w:style>
  <w:style w:type="paragraph" w:styleId="ListNumber4">
    <w:name w:val="List Number 4"/>
    <w:basedOn w:val="Normal"/>
    <w:uiPriority w:val="99"/>
    <w:rsid w:val="00005CAA"/>
    <w:pPr>
      <w:numPr>
        <w:ilvl w:val="3"/>
        <w:numId w:val="6"/>
      </w:numPr>
    </w:pPr>
  </w:style>
  <w:style w:type="paragraph" w:styleId="ListNumber5">
    <w:name w:val="List Number 5"/>
    <w:basedOn w:val="Normal"/>
    <w:uiPriority w:val="99"/>
    <w:rsid w:val="00005CAA"/>
    <w:pPr>
      <w:numPr>
        <w:ilvl w:val="4"/>
        <w:numId w:val="6"/>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Autospacing="0" w:afterLines="0" w:afterAutospacing="0"/>
      </w:pPr>
      <w:rPr>
        <w:rFonts w:ascii="Arial" w:hAnsi="Arial" w:cs="Times New Roman"/>
        <w:sz w:val="20"/>
      </w:rPr>
    </w:tblStylePr>
    <w:tblStylePr w:type="lastRow">
      <w:pPr>
        <w:spacing w:beforeLines="0" w:beforeAutospacing="0" w:afterLines="0" w:afterAutospacing="0"/>
      </w:pPr>
      <w:rPr>
        <w:rFonts w:ascii="Arial" w:hAnsi="Arial" w:cs="Times New Roman"/>
        <w:sz w:val="20"/>
      </w:rPr>
    </w:tblStylePr>
    <w:tblStylePr w:type="band1Horz">
      <w:pPr>
        <w:spacing w:beforeLines="0" w:beforeAutospacing="0" w:afterLines="0" w:afterAutospacing="0"/>
        <w:mirrorIndents/>
      </w:pPr>
      <w:rPr>
        <w:rFonts w:ascii="Arial" w:hAnsi="Arial" w:cs="Times New Roman"/>
        <w:sz w:val="20"/>
      </w:rPr>
    </w:tblStylePr>
    <w:tblStylePr w:type="band2Horz">
      <w:pPr>
        <w:spacing w:beforeLines="0" w:beforeAutospacing="0" w:afterLines="0" w:afterAutospacing="0"/>
        <w:mirrorIndents/>
      </w:pPr>
      <w:rPr>
        <w:rFonts w:ascii="Arial" w:hAnsi="Arial" w:cs="Times New Roman"/>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customStyle="1" w:styleId="Subhead3">
    <w:name w:val="Subhead 3"/>
    <w:basedOn w:val="Normal"/>
    <w:autoRedefine/>
    <w:uiPriority w:val="99"/>
    <w:rsid w:val="00C53EFD"/>
    <w:pPr>
      <w:widowControl w:val="0"/>
      <w:suppressAutoHyphens/>
      <w:autoSpaceDE w:val="0"/>
      <w:autoSpaceDN w:val="0"/>
      <w:adjustRightInd w:val="0"/>
      <w:spacing w:before="397" w:after="0" w:line="320" w:lineRule="atLeast"/>
      <w:textAlignment w:val="center"/>
    </w:pPr>
    <w:rPr>
      <w:rFonts w:cs="MyriadPro-Regular"/>
      <w:color w:val="000000"/>
      <w:sz w:val="28"/>
      <w:szCs w:val="28"/>
      <w:lang w:val="en-GB"/>
    </w:rPr>
  </w:style>
  <w:style w:type="paragraph" w:customStyle="1" w:styleId="Subhead2">
    <w:name w:val="Subhead 2"/>
    <w:basedOn w:val="Normal"/>
    <w:autoRedefine/>
    <w:uiPriority w:val="99"/>
    <w:rsid w:val="00C53EFD"/>
    <w:pPr>
      <w:widowControl w:val="0"/>
      <w:suppressAutoHyphens/>
      <w:autoSpaceDE w:val="0"/>
      <w:autoSpaceDN w:val="0"/>
      <w:adjustRightInd w:val="0"/>
      <w:spacing w:before="397" w:after="0" w:line="380" w:lineRule="atLeast"/>
      <w:textAlignment w:val="center"/>
    </w:pPr>
    <w:rPr>
      <w:rFonts w:cs="Myriad Pro Light"/>
      <w:color w:val="000000" w:themeColor="text1"/>
      <w:sz w:val="44"/>
      <w:szCs w:val="32"/>
      <w:lang w:val="en-US"/>
    </w:rPr>
  </w:style>
  <w:style w:type="paragraph" w:customStyle="1" w:styleId="Text">
    <w:name w:val="Text"/>
    <w:basedOn w:val="Normal"/>
    <w:autoRedefine/>
    <w:uiPriority w:val="99"/>
    <w:rsid w:val="00667786"/>
    <w:pPr>
      <w:widowControl w:val="0"/>
      <w:suppressAutoHyphens/>
      <w:autoSpaceDE w:val="0"/>
      <w:autoSpaceDN w:val="0"/>
      <w:adjustRightInd w:val="0"/>
      <w:spacing w:before="170" w:after="0" w:line="280" w:lineRule="atLeast"/>
      <w:textAlignment w:val="center"/>
    </w:pPr>
    <w:rPr>
      <w:rFonts w:cs="Adobe Garamond Pro"/>
      <w:color w:val="000000"/>
      <w:szCs w:val="20"/>
    </w:rPr>
  </w:style>
  <w:style w:type="character" w:styleId="Hyperlink">
    <w:name w:val="Hyperlink"/>
    <w:basedOn w:val="DefaultParagraphFont"/>
    <w:uiPriority w:val="99"/>
    <w:unhideWhenUsed/>
    <w:rsid w:val="00667786"/>
    <w:rPr>
      <w:rFonts w:cs="Times New Roman"/>
      <w:color w:val="0000FF" w:themeColor="hyperlink"/>
      <w:u w:val="single"/>
    </w:rPr>
  </w:style>
  <w:style w:type="paragraph" w:styleId="FootnoteText">
    <w:name w:val="footnote text"/>
    <w:basedOn w:val="Normal"/>
    <w:link w:val="FootnoteTextChar"/>
    <w:uiPriority w:val="99"/>
    <w:unhideWhenUsed/>
    <w:rsid w:val="00083FFC"/>
    <w:pPr>
      <w:spacing w:after="0" w:line="240" w:lineRule="auto"/>
    </w:pPr>
    <w:rPr>
      <w:sz w:val="16"/>
      <w:szCs w:val="20"/>
    </w:rPr>
  </w:style>
  <w:style w:type="character" w:customStyle="1" w:styleId="FootnoteTextChar">
    <w:name w:val="Footnote Text Char"/>
    <w:basedOn w:val="DefaultParagraphFont"/>
    <w:link w:val="FootnoteText"/>
    <w:uiPriority w:val="99"/>
    <w:locked/>
    <w:rsid w:val="00083FFC"/>
    <w:rPr>
      <w:sz w:val="16"/>
      <w:lang w:eastAsia="en-US"/>
    </w:rPr>
  </w:style>
  <w:style w:type="character" w:styleId="FootnoteReference">
    <w:name w:val="footnote reference"/>
    <w:aliases w:val="EN Footnote Reference,SUPERS,number,(NECG) Footnote Reference"/>
    <w:basedOn w:val="DefaultParagraphFont"/>
    <w:uiPriority w:val="99"/>
    <w:unhideWhenUsed/>
    <w:rsid w:val="0037165C"/>
    <w:rPr>
      <w:rFonts w:cs="Times New Roman"/>
      <w:vertAlign w:val="superscript"/>
    </w:rPr>
  </w:style>
  <w:style w:type="table" w:customStyle="1" w:styleId="TableGrid2">
    <w:name w:val="Table Grid2"/>
    <w:basedOn w:val="TableNormal"/>
    <w:next w:val="TableGrid"/>
    <w:uiPriority w:val="59"/>
    <w:rsid w:val="0037165C"/>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Autospacing="0" w:afterLines="0" w:afterAutospacing="0"/>
      </w:pPr>
      <w:rPr>
        <w:rFonts w:ascii="Arial" w:hAnsi="Arial" w:cs="Times New Roman"/>
        <w:sz w:val="20"/>
      </w:rPr>
    </w:tblStylePr>
    <w:tblStylePr w:type="lastRow">
      <w:pPr>
        <w:spacing w:beforeLines="0" w:beforeAutospacing="0" w:afterLines="0" w:afterAutospacing="0"/>
      </w:pPr>
      <w:rPr>
        <w:rFonts w:ascii="Arial" w:hAnsi="Arial" w:cs="Times New Roman"/>
        <w:sz w:val="20"/>
      </w:rPr>
    </w:tblStylePr>
    <w:tblStylePr w:type="band1Horz">
      <w:pPr>
        <w:spacing w:beforeLines="0" w:beforeAutospacing="0" w:afterLines="0" w:afterAutospacing="0"/>
        <w:mirrorIndents/>
      </w:pPr>
      <w:rPr>
        <w:rFonts w:ascii="Arial" w:hAnsi="Arial" w:cs="Times New Roman"/>
        <w:sz w:val="20"/>
      </w:rPr>
    </w:tblStylePr>
    <w:tblStylePr w:type="band2Horz">
      <w:pPr>
        <w:spacing w:beforeLines="0" w:beforeAutospacing="0" w:afterLines="0" w:afterAutospacing="0"/>
        <w:mirrorIndents/>
      </w:pPr>
      <w:rPr>
        <w:rFonts w:ascii="Arial" w:hAnsi="Arial" w:cs="Times New Roman"/>
        <w:sz w:val="20"/>
      </w:rPr>
    </w:tblStylePr>
  </w:style>
  <w:style w:type="paragraph" w:styleId="TOCHeading">
    <w:name w:val="TOC Heading"/>
    <w:basedOn w:val="Heading1"/>
    <w:next w:val="Normal"/>
    <w:uiPriority w:val="39"/>
    <w:unhideWhenUsed/>
    <w:qFormat/>
    <w:rsid w:val="00B97951"/>
    <w:pPr>
      <w:keepLines/>
      <w:spacing w:after="0" w:line="259" w:lineRule="auto"/>
      <w:outlineLvl w:val="9"/>
    </w:pPr>
    <w:rPr>
      <w:rFonts w:asciiTheme="majorHAnsi" w:eastAsiaTheme="majorEastAsia" w:hAnsiTheme="majorHAnsi"/>
      <w:b w:val="0"/>
      <w:caps/>
      <w:color w:val="365F91" w:themeColor="accent1" w:themeShade="BF"/>
      <w:sz w:val="32"/>
      <w:szCs w:val="32"/>
      <w:lang w:val="en-US"/>
    </w:rPr>
  </w:style>
  <w:style w:type="paragraph" w:styleId="TOC1">
    <w:name w:val="toc 1"/>
    <w:basedOn w:val="Normal"/>
    <w:next w:val="Normal"/>
    <w:autoRedefine/>
    <w:uiPriority w:val="39"/>
    <w:unhideWhenUsed/>
    <w:rsid w:val="00E612B1"/>
    <w:pPr>
      <w:tabs>
        <w:tab w:val="left" w:pos="440"/>
        <w:tab w:val="right" w:leader="dot" w:pos="9202"/>
      </w:tabs>
      <w:spacing w:after="0"/>
      <w:ind w:left="425" w:hanging="425"/>
    </w:pPr>
    <w:rPr>
      <w:noProof/>
    </w:rPr>
  </w:style>
  <w:style w:type="paragraph" w:styleId="TOC2">
    <w:name w:val="toc 2"/>
    <w:basedOn w:val="Normal"/>
    <w:next w:val="Normal"/>
    <w:autoRedefine/>
    <w:uiPriority w:val="39"/>
    <w:unhideWhenUsed/>
    <w:rsid w:val="007B329D"/>
    <w:pPr>
      <w:tabs>
        <w:tab w:val="left" w:pos="1276"/>
        <w:tab w:val="right" w:leader="dot" w:pos="9016"/>
      </w:tabs>
      <w:spacing w:after="100"/>
      <w:ind w:left="426"/>
    </w:pPr>
  </w:style>
  <w:style w:type="character" w:styleId="FollowedHyperlink">
    <w:name w:val="FollowedHyperlink"/>
    <w:basedOn w:val="DefaultParagraphFont"/>
    <w:uiPriority w:val="99"/>
    <w:semiHidden/>
    <w:unhideWhenUsed/>
    <w:rsid w:val="00FE245D"/>
    <w:rPr>
      <w:rFonts w:cs="Times New Roman"/>
      <w:color w:val="800080" w:themeColor="followedHyperlink"/>
      <w:u w:val="single"/>
    </w:rPr>
  </w:style>
  <w:style w:type="paragraph" w:styleId="TOC3">
    <w:name w:val="toc 3"/>
    <w:basedOn w:val="Normal"/>
    <w:next w:val="Normal"/>
    <w:autoRedefine/>
    <w:uiPriority w:val="39"/>
    <w:unhideWhenUsed/>
    <w:rsid w:val="00F06782"/>
    <w:pPr>
      <w:tabs>
        <w:tab w:val="left" w:pos="1320"/>
        <w:tab w:val="right" w:leader="dot" w:pos="9016"/>
      </w:tabs>
      <w:spacing w:after="100"/>
      <w:ind w:left="993" w:hanging="283"/>
    </w:pPr>
  </w:style>
  <w:style w:type="character" w:styleId="CommentReference">
    <w:name w:val="annotation reference"/>
    <w:basedOn w:val="DefaultParagraphFont"/>
    <w:uiPriority w:val="99"/>
    <w:semiHidden/>
    <w:unhideWhenUsed/>
    <w:rsid w:val="005A46C2"/>
    <w:rPr>
      <w:rFonts w:cs="Times New Roman"/>
      <w:sz w:val="16"/>
      <w:szCs w:val="16"/>
    </w:rPr>
  </w:style>
  <w:style w:type="paragraph" w:styleId="CommentText">
    <w:name w:val="annotation text"/>
    <w:basedOn w:val="Normal"/>
    <w:link w:val="CommentTextChar"/>
    <w:uiPriority w:val="99"/>
    <w:unhideWhenUsed/>
    <w:rsid w:val="005A46C2"/>
    <w:pPr>
      <w:spacing w:line="240" w:lineRule="auto"/>
    </w:pPr>
    <w:rPr>
      <w:szCs w:val="20"/>
    </w:rPr>
  </w:style>
  <w:style w:type="character" w:customStyle="1" w:styleId="CommentTextChar">
    <w:name w:val="Comment Text Char"/>
    <w:basedOn w:val="DefaultParagraphFont"/>
    <w:link w:val="CommentText"/>
    <w:uiPriority w:val="99"/>
    <w:locked/>
    <w:rsid w:val="005A46C2"/>
    <w:rPr>
      <w:rFonts w:cs="Times New Roman"/>
      <w:lang w:val="x-none" w:eastAsia="en-US"/>
    </w:rPr>
  </w:style>
  <w:style w:type="paragraph" w:styleId="CommentSubject">
    <w:name w:val="annotation subject"/>
    <w:basedOn w:val="CommentText"/>
    <w:next w:val="CommentText"/>
    <w:link w:val="CommentSubjectChar"/>
    <w:uiPriority w:val="99"/>
    <w:semiHidden/>
    <w:unhideWhenUsed/>
    <w:rsid w:val="005A46C2"/>
    <w:rPr>
      <w:b/>
      <w:bCs/>
    </w:rPr>
  </w:style>
  <w:style w:type="character" w:customStyle="1" w:styleId="CommentSubjectChar">
    <w:name w:val="Comment Subject Char"/>
    <w:basedOn w:val="CommentTextChar"/>
    <w:link w:val="CommentSubject"/>
    <w:uiPriority w:val="99"/>
    <w:semiHidden/>
    <w:locked/>
    <w:rsid w:val="005A46C2"/>
    <w:rPr>
      <w:rFonts w:cs="Times New Roman"/>
      <w:b/>
      <w:bCs/>
      <w:lang w:val="x-none" w:eastAsia="en-US"/>
    </w:rPr>
  </w:style>
  <w:style w:type="paragraph" w:customStyle="1" w:styleId="E3BodyText">
    <w:name w:val="E3 Body Text"/>
    <w:basedOn w:val="Normal"/>
    <w:rsid w:val="00D91404"/>
    <w:pPr>
      <w:autoSpaceDE w:val="0"/>
      <w:autoSpaceDN w:val="0"/>
      <w:spacing w:after="113" w:line="300" w:lineRule="auto"/>
    </w:pPr>
    <w:rPr>
      <w:rFonts w:ascii="Georgia" w:hAnsi="Georgia"/>
      <w:color w:val="000000"/>
      <w:szCs w:val="24"/>
    </w:rPr>
  </w:style>
  <w:style w:type="character" w:styleId="Strong">
    <w:name w:val="Strong"/>
    <w:basedOn w:val="DefaultParagraphFont"/>
    <w:uiPriority w:val="22"/>
    <w:qFormat/>
    <w:rsid w:val="00802521"/>
    <w:rPr>
      <w:rFonts w:cs="Times New Roman"/>
      <w:b/>
      <w:bCs/>
    </w:rPr>
  </w:style>
  <w:style w:type="paragraph" w:styleId="Revision">
    <w:name w:val="Revision"/>
    <w:hidden/>
    <w:uiPriority w:val="99"/>
    <w:semiHidden/>
    <w:rsid w:val="0089011A"/>
    <w:rPr>
      <w:sz w:val="22"/>
      <w:szCs w:val="22"/>
      <w:lang w:eastAsia="en-US"/>
    </w:rPr>
  </w:style>
  <w:style w:type="paragraph" w:customStyle="1" w:styleId="SbQuote">
    <w:name w:val="SbQuote"/>
    <w:basedOn w:val="Normal"/>
    <w:link w:val="SbQuoteChar"/>
    <w:qFormat/>
    <w:rsid w:val="009115F1"/>
    <w:pPr>
      <w:spacing w:after="0"/>
      <w:ind w:left="567"/>
    </w:pPr>
    <w:rPr>
      <w:color w:val="000000" w:themeColor="text1"/>
      <w:sz w:val="22"/>
    </w:rPr>
  </w:style>
  <w:style w:type="paragraph" w:customStyle="1" w:styleId="SbQuoteref">
    <w:name w:val="SbQuote ref"/>
    <w:basedOn w:val="Normal"/>
    <w:link w:val="SbQuoterefChar"/>
    <w:qFormat/>
    <w:rsid w:val="00AD0830"/>
    <w:pPr>
      <w:ind w:left="567"/>
    </w:pPr>
    <w:rPr>
      <w:i/>
      <w:sz w:val="22"/>
      <w:lang w:eastAsia="en-AU"/>
    </w:rPr>
  </w:style>
  <w:style w:type="character" w:customStyle="1" w:styleId="SbQuoteChar">
    <w:name w:val="SbQuote Char"/>
    <w:basedOn w:val="DefaultParagraphFont"/>
    <w:link w:val="SbQuote"/>
    <w:locked/>
    <w:rsid w:val="009115F1"/>
    <w:rPr>
      <w:color w:val="000000" w:themeColor="text1"/>
      <w:sz w:val="22"/>
      <w:szCs w:val="22"/>
      <w:lang w:eastAsia="en-US"/>
    </w:rPr>
  </w:style>
  <w:style w:type="character" w:customStyle="1" w:styleId="SbQuoterefChar">
    <w:name w:val="SbQuote ref Char"/>
    <w:basedOn w:val="DefaultParagraphFont"/>
    <w:link w:val="SbQuoteref"/>
    <w:locked/>
    <w:rsid w:val="00AD0830"/>
    <w:rPr>
      <w:rFonts w:cs="Times New Roman"/>
      <w:i/>
      <w:sz w:val="22"/>
      <w:szCs w:val="22"/>
    </w:rPr>
  </w:style>
  <w:style w:type="paragraph" w:customStyle="1" w:styleId="RecHead">
    <w:name w:val="RecHead"/>
    <w:basedOn w:val="Recommendation"/>
    <w:link w:val="RecHeadChar"/>
    <w:qFormat/>
    <w:rsid w:val="009115F1"/>
    <w:pPr>
      <w:spacing w:before="240" w:after="40"/>
    </w:pPr>
    <w:rPr>
      <w:sz w:val="24"/>
    </w:rPr>
  </w:style>
  <w:style w:type="paragraph" w:customStyle="1" w:styleId="Recommendation">
    <w:name w:val="Recommendation"/>
    <w:basedOn w:val="Normal"/>
    <w:link w:val="RecommendationChar"/>
    <w:qFormat/>
    <w:rsid w:val="00DD7567"/>
    <w:pPr>
      <w:suppressAutoHyphens/>
      <w:spacing w:after="360" w:line="288" w:lineRule="auto"/>
    </w:pPr>
    <w:rPr>
      <w:b/>
      <w:szCs w:val="24"/>
    </w:rPr>
  </w:style>
  <w:style w:type="character" w:customStyle="1" w:styleId="RecHeadChar">
    <w:name w:val="RecHead Char"/>
    <w:basedOn w:val="DefaultParagraphFont"/>
    <w:link w:val="RecHead"/>
    <w:locked/>
    <w:rsid w:val="009115F1"/>
    <w:rPr>
      <w:b/>
      <w:sz w:val="24"/>
      <w:szCs w:val="24"/>
      <w:lang w:eastAsia="en-US"/>
    </w:rPr>
  </w:style>
  <w:style w:type="character" w:customStyle="1" w:styleId="RecommendationChar">
    <w:name w:val="Recommendation Char"/>
    <w:basedOn w:val="DefaultParagraphFont"/>
    <w:link w:val="Recommendation"/>
    <w:locked/>
    <w:rsid w:val="00DD7567"/>
    <w:rPr>
      <w:rFonts w:cs="Times New Roman"/>
      <w:b/>
      <w:sz w:val="24"/>
      <w:szCs w:val="24"/>
      <w:lang w:val="x-none" w:eastAsia="en-US"/>
    </w:rPr>
  </w:style>
  <w:style w:type="character" w:styleId="Emphasis">
    <w:name w:val="Emphasis"/>
    <w:basedOn w:val="DefaultParagraphFont"/>
    <w:uiPriority w:val="20"/>
    <w:qFormat/>
    <w:rsid w:val="00E23A03"/>
    <w:rPr>
      <w:rFonts w:cs="Times New Roman"/>
      <w:b/>
      <w:bCs/>
    </w:rPr>
  </w:style>
  <w:style w:type="character" w:customStyle="1" w:styleId="st1">
    <w:name w:val="st1"/>
    <w:basedOn w:val="DefaultParagraphFont"/>
    <w:rsid w:val="00BD4D8B"/>
    <w:rPr>
      <w:rFonts w:cs="Times New Roman"/>
    </w:rPr>
  </w:style>
  <w:style w:type="paragraph" w:customStyle="1" w:styleId="Default">
    <w:name w:val="Default"/>
    <w:rsid w:val="00B134A3"/>
    <w:pPr>
      <w:autoSpaceDE w:val="0"/>
      <w:autoSpaceDN w:val="0"/>
      <w:adjustRightInd w:val="0"/>
    </w:pPr>
    <w:rPr>
      <w:rFonts w:cs="Arial"/>
      <w:color w:val="000000"/>
      <w:sz w:val="24"/>
      <w:szCs w:val="24"/>
    </w:rPr>
  </w:style>
  <w:style w:type="paragraph" w:styleId="NormalWeb">
    <w:name w:val="Normal (Web)"/>
    <w:basedOn w:val="Normal"/>
    <w:uiPriority w:val="99"/>
    <w:semiHidden/>
    <w:unhideWhenUsed/>
    <w:rsid w:val="00A1185F"/>
    <w:pPr>
      <w:spacing w:before="100" w:beforeAutospacing="1" w:after="100" w:afterAutospacing="1" w:line="240" w:lineRule="auto"/>
    </w:pPr>
    <w:rPr>
      <w:rFonts w:ascii="Times New Roman" w:eastAsiaTheme="minorEastAsia" w:hAnsi="Times New Roman"/>
      <w:szCs w:val="24"/>
      <w:lang w:eastAsia="en-AU"/>
    </w:rPr>
  </w:style>
  <w:style w:type="character" w:styleId="HTMLCite">
    <w:name w:val="HTML Cite"/>
    <w:basedOn w:val="DefaultParagraphFont"/>
    <w:uiPriority w:val="99"/>
    <w:semiHidden/>
    <w:unhideWhenUsed/>
    <w:rsid w:val="00B9292B"/>
    <w:rPr>
      <w:rFonts w:cs="Times New Roman"/>
      <w:i/>
      <w:iCs/>
    </w:rPr>
  </w:style>
  <w:style w:type="character" w:customStyle="1" w:styleId="ilfuvd">
    <w:name w:val="ilfuvd"/>
    <w:basedOn w:val="DefaultParagraphFont"/>
    <w:rsid w:val="0059299E"/>
    <w:rPr>
      <w:rFonts w:cs="Times New Roman"/>
    </w:rPr>
  </w:style>
  <w:style w:type="paragraph" w:customStyle="1" w:styleId="E3Heading3">
    <w:name w:val="E3 Heading 3"/>
    <w:basedOn w:val="Heading2"/>
    <w:next w:val="Normal"/>
    <w:rsid w:val="00002A12"/>
    <w:pPr>
      <w:keepNext w:val="0"/>
      <w:keepLines/>
      <w:widowControl w:val="0"/>
      <w:suppressLineNumbers/>
      <w:suppressAutoHyphens/>
      <w:autoSpaceDE w:val="0"/>
      <w:autoSpaceDN w:val="0"/>
      <w:adjustRightInd w:val="0"/>
      <w:spacing w:before="0" w:after="160" w:line="240" w:lineRule="auto"/>
      <w:contextualSpacing/>
    </w:pPr>
    <w:rPr>
      <w:rFonts w:ascii="Georgia" w:hAnsi="Georgia" w:cs="Georgia"/>
      <w:bCs/>
      <w:color w:val="C0504D" w:themeColor="accent2"/>
      <w:szCs w:val="22"/>
      <w:lang w:val="en-US"/>
    </w:rPr>
  </w:style>
  <w:style w:type="paragraph" w:customStyle="1" w:styleId="E3Subtitle">
    <w:name w:val="E3 Sub title"/>
    <w:rsid w:val="00002A12"/>
    <w:pPr>
      <w:spacing w:after="200" w:line="276" w:lineRule="auto"/>
    </w:pPr>
    <w:rPr>
      <w:rFonts w:ascii="Helvetica" w:hAnsi="Helvetica"/>
      <w:b/>
      <w:sz w:val="24"/>
      <w:szCs w:val="24"/>
      <w:lang w:eastAsia="en-US"/>
    </w:rPr>
  </w:style>
  <w:style w:type="paragraph" w:styleId="Caption">
    <w:name w:val="caption"/>
    <w:basedOn w:val="Normal"/>
    <w:next w:val="Normal"/>
    <w:uiPriority w:val="35"/>
    <w:unhideWhenUsed/>
    <w:qFormat/>
    <w:rsid w:val="00002A12"/>
    <w:pPr>
      <w:autoSpaceDE w:val="0"/>
      <w:autoSpaceDN w:val="0"/>
      <w:adjustRightInd w:val="0"/>
      <w:spacing w:after="240" w:line="240" w:lineRule="auto"/>
    </w:pPr>
    <w:rPr>
      <w:rFonts w:ascii="Georgia" w:hAnsi="Georgia" w:cs="Georgia"/>
      <w:bCs/>
      <w:i/>
      <w:color w:val="000000"/>
      <w:szCs w:val="16"/>
    </w:rPr>
  </w:style>
  <w:style w:type="character" w:customStyle="1" w:styleId="Heading7Char">
    <w:name w:val="Heading 7 Char"/>
    <w:basedOn w:val="DefaultParagraphFont"/>
    <w:uiPriority w:val="9"/>
    <w:semiHidden/>
    <w:rsid w:val="00D606B3"/>
    <w:rPr>
      <w:rFonts w:ascii="Calibri Light" w:hAnsi="Calibri Light" w:cs="Times New Roman"/>
      <w:i/>
      <w:iCs/>
      <w:color w:val="1F3763"/>
      <w:lang w:val="en-AU" w:eastAsia="x-none"/>
    </w:rPr>
  </w:style>
  <w:style w:type="numbering" w:customStyle="1" w:styleId="BulletList">
    <w:name w:val="Bullet List"/>
    <w:pPr>
      <w:numPr>
        <w:numId w:val="2"/>
      </w:numPr>
    </w:pPr>
  </w:style>
  <w:style w:type="numbering" w:customStyle="1" w:styleId="Attach">
    <w:name w:val="Attach"/>
    <w:pPr>
      <w:numPr>
        <w:numId w:val="4"/>
      </w:numPr>
    </w:pPr>
  </w:style>
  <w:style w:type="numbering" w:customStyle="1" w:styleId="KeyPoints">
    <w:name w:val="Key Points"/>
    <w:pPr>
      <w:numPr>
        <w:numId w:val="1"/>
      </w:numPr>
    </w:pPr>
  </w:style>
  <w:style w:type="paragraph" w:customStyle="1" w:styleId="BasicParagraphB5V">
    <w:name w:val="Basic Paragraph (B5 V)"/>
    <w:basedOn w:val="Normal"/>
    <w:uiPriority w:val="99"/>
    <w:rsid w:val="0061636F"/>
    <w:pPr>
      <w:autoSpaceDE w:val="0"/>
      <w:autoSpaceDN w:val="0"/>
      <w:adjustRightInd w:val="0"/>
      <w:spacing w:before="0" w:after="0" w:line="288" w:lineRule="auto"/>
      <w:textAlignment w:val="center"/>
    </w:pPr>
    <w:rPr>
      <w:rFonts w:ascii="MinionPro-Regular" w:hAnsi="MinionPro-Regular" w:cs="MinionPro-Regular"/>
      <w:color w:val="000000"/>
      <w:sz w:val="24"/>
      <w:szCs w:val="24"/>
      <w:lang w:val="en-US" w:eastAsia="en-AU"/>
    </w:rPr>
  </w:style>
  <w:style w:type="paragraph" w:styleId="Title">
    <w:name w:val="Title"/>
    <w:basedOn w:val="Normal"/>
    <w:next w:val="Normal"/>
    <w:link w:val="TitleChar"/>
    <w:uiPriority w:val="10"/>
    <w:qFormat/>
    <w:rsid w:val="0061636F"/>
    <w:pPr>
      <w:spacing w:before="0"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61636F"/>
    <w:rPr>
      <w:rFonts w:eastAsiaTheme="majorEastAsia" w:cstheme="majorBidi"/>
      <w:spacing w:val="-10"/>
      <w:kern w:val="28"/>
      <w:sz w:val="56"/>
      <w:szCs w:val="56"/>
      <w:lang w:eastAsia="en-US"/>
    </w:rPr>
  </w:style>
  <w:style w:type="paragraph" w:styleId="TOC4">
    <w:name w:val="toc 4"/>
    <w:basedOn w:val="Normal"/>
    <w:next w:val="Normal"/>
    <w:autoRedefine/>
    <w:uiPriority w:val="39"/>
    <w:unhideWhenUsed/>
    <w:rsid w:val="00545AB0"/>
    <w:pPr>
      <w:spacing w:before="0" w:after="100" w:line="240" w:lineRule="auto"/>
      <w:ind w:left="720"/>
    </w:pPr>
    <w:rPr>
      <w:rFonts w:asciiTheme="minorHAnsi" w:eastAsiaTheme="minorEastAsia" w:hAnsiTheme="minorHAnsi" w:cstheme="minorBidi"/>
      <w:sz w:val="24"/>
      <w:szCs w:val="24"/>
      <w:lang w:eastAsia="en-GB"/>
    </w:rPr>
  </w:style>
  <w:style w:type="paragraph" w:styleId="TOC5">
    <w:name w:val="toc 5"/>
    <w:basedOn w:val="Normal"/>
    <w:next w:val="Normal"/>
    <w:autoRedefine/>
    <w:uiPriority w:val="39"/>
    <w:unhideWhenUsed/>
    <w:rsid w:val="00545AB0"/>
    <w:pPr>
      <w:spacing w:before="0" w:after="100" w:line="240" w:lineRule="auto"/>
      <w:ind w:left="960"/>
    </w:pPr>
    <w:rPr>
      <w:rFonts w:asciiTheme="minorHAnsi" w:eastAsiaTheme="minorEastAsia" w:hAnsiTheme="minorHAnsi" w:cstheme="minorBidi"/>
      <w:sz w:val="24"/>
      <w:szCs w:val="24"/>
      <w:lang w:eastAsia="en-GB"/>
    </w:rPr>
  </w:style>
  <w:style w:type="paragraph" w:styleId="TOC6">
    <w:name w:val="toc 6"/>
    <w:basedOn w:val="Normal"/>
    <w:next w:val="Normal"/>
    <w:autoRedefine/>
    <w:uiPriority w:val="39"/>
    <w:unhideWhenUsed/>
    <w:rsid w:val="00545AB0"/>
    <w:pPr>
      <w:spacing w:before="0" w:after="100" w:line="240" w:lineRule="auto"/>
      <w:ind w:left="1200"/>
    </w:pPr>
    <w:rPr>
      <w:rFonts w:asciiTheme="minorHAnsi" w:eastAsiaTheme="minorEastAsia" w:hAnsiTheme="minorHAnsi" w:cstheme="minorBidi"/>
      <w:sz w:val="24"/>
      <w:szCs w:val="24"/>
      <w:lang w:eastAsia="en-GB"/>
    </w:rPr>
  </w:style>
  <w:style w:type="paragraph" w:styleId="TOC7">
    <w:name w:val="toc 7"/>
    <w:basedOn w:val="Normal"/>
    <w:next w:val="Normal"/>
    <w:autoRedefine/>
    <w:uiPriority w:val="39"/>
    <w:unhideWhenUsed/>
    <w:rsid w:val="00545AB0"/>
    <w:pPr>
      <w:spacing w:before="0" w:after="100" w:line="240" w:lineRule="auto"/>
      <w:ind w:left="1440"/>
    </w:pPr>
    <w:rPr>
      <w:rFonts w:asciiTheme="minorHAnsi" w:eastAsiaTheme="minorEastAsia" w:hAnsiTheme="minorHAnsi" w:cstheme="minorBidi"/>
      <w:sz w:val="24"/>
      <w:szCs w:val="24"/>
      <w:lang w:eastAsia="en-GB"/>
    </w:rPr>
  </w:style>
  <w:style w:type="paragraph" w:styleId="TOC8">
    <w:name w:val="toc 8"/>
    <w:basedOn w:val="Normal"/>
    <w:next w:val="Normal"/>
    <w:autoRedefine/>
    <w:uiPriority w:val="39"/>
    <w:unhideWhenUsed/>
    <w:rsid w:val="00545AB0"/>
    <w:pPr>
      <w:spacing w:before="0" w:after="100" w:line="240" w:lineRule="auto"/>
      <w:ind w:left="1680"/>
    </w:pPr>
    <w:rPr>
      <w:rFonts w:asciiTheme="minorHAnsi" w:eastAsiaTheme="minorEastAsia" w:hAnsiTheme="minorHAnsi" w:cstheme="minorBidi"/>
      <w:sz w:val="24"/>
      <w:szCs w:val="24"/>
      <w:lang w:eastAsia="en-GB"/>
    </w:rPr>
  </w:style>
  <w:style w:type="paragraph" w:styleId="TOC9">
    <w:name w:val="toc 9"/>
    <w:basedOn w:val="Normal"/>
    <w:next w:val="Normal"/>
    <w:autoRedefine/>
    <w:uiPriority w:val="39"/>
    <w:unhideWhenUsed/>
    <w:rsid w:val="00545AB0"/>
    <w:pPr>
      <w:spacing w:before="0" w:after="100" w:line="240" w:lineRule="auto"/>
      <w:ind w:left="1920"/>
    </w:pPr>
    <w:rPr>
      <w:rFonts w:asciiTheme="minorHAnsi" w:eastAsiaTheme="minorEastAsia" w:hAnsiTheme="minorHAnsi" w:cstheme="minorBidi"/>
      <w:sz w:val="24"/>
      <w:szCs w:val="24"/>
      <w:lang w:eastAsia="en-GB"/>
    </w:rPr>
  </w:style>
  <w:style w:type="character" w:customStyle="1" w:styleId="UnresolvedMention">
    <w:name w:val="Unresolved Mention"/>
    <w:basedOn w:val="DefaultParagraphFont"/>
    <w:uiPriority w:val="99"/>
    <w:semiHidden/>
    <w:unhideWhenUsed/>
    <w:rsid w:val="00545A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9752056">
      <w:marLeft w:val="0"/>
      <w:marRight w:val="0"/>
      <w:marTop w:val="0"/>
      <w:marBottom w:val="0"/>
      <w:divBdr>
        <w:top w:val="none" w:sz="0" w:space="0" w:color="auto"/>
        <w:left w:val="none" w:sz="0" w:space="0" w:color="auto"/>
        <w:bottom w:val="none" w:sz="0" w:space="0" w:color="auto"/>
        <w:right w:val="none" w:sz="0" w:space="0" w:color="auto"/>
      </w:divBdr>
      <w:divsChild>
        <w:div w:id="1669752063">
          <w:marLeft w:val="0"/>
          <w:marRight w:val="0"/>
          <w:marTop w:val="0"/>
          <w:marBottom w:val="0"/>
          <w:divBdr>
            <w:top w:val="none" w:sz="0" w:space="0" w:color="auto"/>
            <w:left w:val="none" w:sz="0" w:space="0" w:color="auto"/>
            <w:bottom w:val="none" w:sz="0" w:space="0" w:color="auto"/>
            <w:right w:val="none" w:sz="0" w:space="0" w:color="auto"/>
          </w:divBdr>
          <w:divsChild>
            <w:div w:id="1669752078">
              <w:marLeft w:val="0"/>
              <w:marRight w:val="0"/>
              <w:marTop w:val="0"/>
              <w:marBottom w:val="0"/>
              <w:divBdr>
                <w:top w:val="none" w:sz="0" w:space="0" w:color="auto"/>
                <w:left w:val="none" w:sz="0" w:space="0" w:color="auto"/>
                <w:bottom w:val="none" w:sz="0" w:space="0" w:color="auto"/>
                <w:right w:val="none" w:sz="0" w:space="0" w:color="auto"/>
              </w:divBdr>
              <w:divsChild>
                <w:div w:id="1669752072">
                  <w:marLeft w:val="0"/>
                  <w:marRight w:val="0"/>
                  <w:marTop w:val="0"/>
                  <w:marBottom w:val="0"/>
                  <w:divBdr>
                    <w:top w:val="none" w:sz="0" w:space="0" w:color="auto"/>
                    <w:left w:val="none" w:sz="0" w:space="0" w:color="auto"/>
                    <w:bottom w:val="none" w:sz="0" w:space="0" w:color="auto"/>
                    <w:right w:val="none" w:sz="0" w:space="0" w:color="auto"/>
                  </w:divBdr>
                  <w:divsChild>
                    <w:div w:id="1669752096">
                      <w:marLeft w:val="0"/>
                      <w:marRight w:val="0"/>
                      <w:marTop w:val="45"/>
                      <w:marBottom w:val="0"/>
                      <w:divBdr>
                        <w:top w:val="none" w:sz="0" w:space="0" w:color="auto"/>
                        <w:left w:val="none" w:sz="0" w:space="0" w:color="auto"/>
                        <w:bottom w:val="none" w:sz="0" w:space="0" w:color="auto"/>
                        <w:right w:val="none" w:sz="0" w:space="0" w:color="auto"/>
                      </w:divBdr>
                      <w:divsChild>
                        <w:div w:id="1669752081">
                          <w:marLeft w:val="0"/>
                          <w:marRight w:val="0"/>
                          <w:marTop w:val="0"/>
                          <w:marBottom w:val="0"/>
                          <w:divBdr>
                            <w:top w:val="none" w:sz="0" w:space="0" w:color="auto"/>
                            <w:left w:val="none" w:sz="0" w:space="0" w:color="auto"/>
                            <w:bottom w:val="none" w:sz="0" w:space="0" w:color="auto"/>
                            <w:right w:val="none" w:sz="0" w:space="0" w:color="auto"/>
                          </w:divBdr>
                          <w:divsChild>
                            <w:div w:id="1669752075">
                              <w:marLeft w:val="2070"/>
                              <w:marRight w:val="3960"/>
                              <w:marTop w:val="0"/>
                              <w:marBottom w:val="0"/>
                              <w:divBdr>
                                <w:top w:val="none" w:sz="0" w:space="0" w:color="auto"/>
                                <w:left w:val="none" w:sz="0" w:space="0" w:color="auto"/>
                                <w:bottom w:val="none" w:sz="0" w:space="0" w:color="auto"/>
                                <w:right w:val="none" w:sz="0" w:space="0" w:color="auto"/>
                              </w:divBdr>
                              <w:divsChild>
                                <w:div w:id="1669752082">
                                  <w:marLeft w:val="0"/>
                                  <w:marRight w:val="0"/>
                                  <w:marTop w:val="0"/>
                                  <w:marBottom w:val="0"/>
                                  <w:divBdr>
                                    <w:top w:val="none" w:sz="0" w:space="0" w:color="auto"/>
                                    <w:left w:val="none" w:sz="0" w:space="0" w:color="auto"/>
                                    <w:bottom w:val="none" w:sz="0" w:space="0" w:color="auto"/>
                                    <w:right w:val="none" w:sz="0" w:space="0" w:color="auto"/>
                                  </w:divBdr>
                                  <w:divsChild>
                                    <w:div w:id="1669752094">
                                      <w:marLeft w:val="0"/>
                                      <w:marRight w:val="0"/>
                                      <w:marTop w:val="0"/>
                                      <w:marBottom w:val="0"/>
                                      <w:divBdr>
                                        <w:top w:val="none" w:sz="0" w:space="0" w:color="auto"/>
                                        <w:left w:val="none" w:sz="0" w:space="0" w:color="auto"/>
                                        <w:bottom w:val="none" w:sz="0" w:space="0" w:color="auto"/>
                                        <w:right w:val="none" w:sz="0" w:space="0" w:color="auto"/>
                                      </w:divBdr>
                                      <w:divsChild>
                                        <w:div w:id="1669752073">
                                          <w:marLeft w:val="0"/>
                                          <w:marRight w:val="0"/>
                                          <w:marTop w:val="0"/>
                                          <w:marBottom w:val="0"/>
                                          <w:divBdr>
                                            <w:top w:val="none" w:sz="0" w:space="0" w:color="auto"/>
                                            <w:left w:val="none" w:sz="0" w:space="0" w:color="auto"/>
                                            <w:bottom w:val="none" w:sz="0" w:space="0" w:color="auto"/>
                                            <w:right w:val="none" w:sz="0" w:space="0" w:color="auto"/>
                                          </w:divBdr>
                                          <w:divsChild>
                                            <w:div w:id="1669752062">
                                              <w:marLeft w:val="0"/>
                                              <w:marRight w:val="0"/>
                                              <w:marTop w:val="90"/>
                                              <w:marBottom w:val="0"/>
                                              <w:divBdr>
                                                <w:top w:val="none" w:sz="0" w:space="0" w:color="auto"/>
                                                <w:left w:val="none" w:sz="0" w:space="0" w:color="auto"/>
                                                <w:bottom w:val="none" w:sz="0" w:space="0" w:color="auto"/>
                                                <w:right w:val="none" w:sz="0" w:space="0" w:color="auto"/>
                                              </w:divBdr>
                                              <w:divsChild>
                                                <w:div w:id="1669752071">
                                                  <w:marLeft w:val="0"/>
                                                  <w:marRight w:val="0"/>
                                                  <w:marTop w:val="0"/>
                                                  <w:marBottom w:val="0"/>
                                                  <w:divBdr>
                                                    <w:top w:val="none" w:sz="0" w:space="0" w:color="auto"/>
                                                    <w:left w:val="none" w:sz="0" w:space="0" w:color="auto"/>
                                                    <w:bottom w:val="none" w:sz="0" w:space="0" w:color="auto"/>
                                                    <w:right w:val="none" w:sz="0" w:space="0" w:color="auto"/>
                                                  </w:divBdr>
                                                  <w:divsChild>
                                                    <w:div w:id="1669752061">
                                                      <w:marLeft w:val="0"/>
                                                      <w:marRight w:val="0"/>
                                                      <w:marTop w:val="0"/>
                                                      <w:marBottom w:val="0"/>
                                                      <w:divBdr>
                                                        <w:top w:val="none" w:sz="0" w:space="0" w:color="auto"/>
                                                        <w:left w:val="none" w:sz="0" w:space="0" w:color="auto"/>
                                                        <w:bottom w:val="none" w:sz="0" w:space="0" w:color="auto"/>
                                                        <w:right w:val="none" w:sz="0" w:space="0" w:color="auto"/>
                                                      </w:divBdr>
                                                      <w:divsChild>
                                                        <w:div w:id="1669752088">
                                                          <w:marLeft w:val="0"/>
                                                          <w:marRight w:val="0"/>
                                                          <w:marTop w:val="0"/>
                                                          <w:marBottom w:val="390"/>
                                                          <w:divBdr>
                                                            <w:top w:val="none" w:sz="0" w:space="0" w:color="auto"/>
                                                            <w:left w:val="none" w:sz="0" w:space="0" w:color="auto"/>
                                                            <w:bottom w:val="none" w:sz="0" w:space="0" w:color="auto"/>
                                                            <w:right w:val="none" w:sz="0" w:space="0" w:color="auto"/>
                                                          </w:divBdr>
                                                          <w:divsChild>
                                                            <w:div w:id="1669752076">
                                                              <w:marLeft w:val="0"/>
                                                              <w:marRight w:val="0"/>
                                                              <w:marTop w:val="0"/>
                                                              <w:marBottom w:val="0"/>
                                                              <w:divBdr>
                                                                <w:top w:val="none" w:sz="0" w:space="0" w:color="auto"/>
                                                                <w:left w:val="none" w:sz="0" w:space="0" w:color="auto"/>
                                                                <w:bottom w:val="none" w:sz="0" w:space="0" w:color="auto"/>
                                                                <w:right w:val="none" w:sz="0" w:space="0" w:color="auto"/>
                                                              </w:divBdr>
                                                              <w:divsChild>
                                                                <w:div w:id="1669752064">
                                                                  <w:marLeft w:val="0"/>
                                                                  <w:marRight w:val="0"/>
                                                                  <w:marTop w:val="0"/>
                                                                  <w:marBottom w:val="0"/>
                                                                  <w:divBdr>
                                                                    <w:top w:val="none" w:sz="0" w:space="0" w:color="auto"/>
                                                                    <w:left w:val="none" w:sz="0" w:space="0" w:color="auto"/>
                                                                    <w:bottom w:val="none" w:sz="0" w:space="0" w:color="auto"/>
                                                                    <w:right w:val="none" w:sz="0" w:space="0" w:color="auto"/>
                                                                  </w:divBdr>
                                                                  <w:divsChild>
                                                                    <w:div w:id="1669752079">
                                                                      <w:marLeft w:val="0"/>
                                                                      <w:marRight w:val="0"/>
                                                                      <w:marTop w:val="0"/>
                                                                      <w:marBottom w:val="0"/>
                                                                      <w:divBdr>
                                                                        <w:top w:val="none" w:sz="0" w:space="0" w:color="auto"/>
                                                                        <w:left w:val="none" w:sz="0" w:space="0" w:color="auto"/>
                                                                        <w:bottom w:val="none" w:sz="0" w:space="0" w:color="auto"/>
                                                                        <w:right w:val="none" w:sz="0" w:space="0" w:color="auto"/>
                                                                      </w:divBdr>
                                                                      <w:divsChild>
                                                                        <w:div w:id="1669752087">
                                                                          <w:marLeft w:val="0"/>
                                                                          <w:marRight w:val="0"/>
                                                                          <w:marTop w:val="0"/>
                                                                          <w:marBottom w:val="0"/>
                                                                          <w:divBdr>
                                                                            <w:top w:val="none" w:sz="0" w:space="0" w:color="auto"/>
                                                                            <w:left w:val="none" w:sz="0" w:space="0" w:color="auto"/>
                                                                            <w:bottom w:val="none" w:sz="0" w:space="0" w:color="auto"/>
                                                                            <w:right w:val="none" w:sz="0" w:space="0" w:color="auto"/>
                                                                          </w:divBdr>
                                                                          <w:divsChild>
                                                                            <w:div w:id="1669752058">
                                                                              <w:marLeft w:val="0"/>
                                                                              <w:marRight w:val="0"/>
                                                                              <w:marTop w:val="0"/>
                                                                              <w:marBottom w:val="0"/>
                                                                              <w:divBdr>
                                                                                <w:top w:val="none" w:sz="0" w:space="0" w:color="auto"/>
                                                                                <w:left w:val="none" w:sz="0" w:space="0" w:color="auto"/>
                                                                                <w:bottom w:val="none" w:sz="0" w:space="0" w:color="auto"/>
                                                                                <w:right w:val="none" w:sz="0" w:space="0" w:color="auto"/>
                                                                              </w:divBdr>
                                                                              <w:divsChild>
                                                                                <w:div w:id="166975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9752057">
      <w:marLeft w:val="0"/>
      <w:marRight w:val="0"/>
      <w:marTop w:val="0"/>
      <w:marBottom w:val="0"/>
      <w:divBdr>
        <w:top w:val="none" w:sz="0" w:space="0" w:color="auto"/>
        <w:left w:val="none" w:sz="0" w:space="0" w:color="auto"/>
        <w:bottom w:val="none" w:sz="0" w:space="0" w:color="auto"/>
        <w:right w:val="none" w:sz="0" w:space="0" w:color="auto"/>
      </w:divBdr>
    </w:div>
    <w:div w:id="1669752059">
      <w:marLeft w:val="0"/>
      <w:marRight w:val="0"/>
      <w:marTop w:val="0"/>
      <w:marBottom w:val="0"/>
      <w:divBdr>
        <w:top w:val="none" w:sz="0" w:space="0" w:color="auto"/>
        <w:left w:val="none" w:sz="0" w:space="0" w:color="auto"/>
        <w:bottom w:val="none" w:sz="0" w:space="0" w:color="auto"/>
        <w:right w:val="none" w:sz="0" w:space="0" w:color="auto"/>
      </w:divBdr>
    </w:div>
    <w:div w:id="1669752060">
      <w:marLeft w:val="0"/>
      <w:marRight w:val="0"/>
      <w:marTop w:val="0"/>
      <w:marBottom w:val="0"/>
      <w:divBdr>
        <w:top w:val="none" w:sz="0" w:space="0" w:color="auto"/>
        <w:left w:val="none" w:sz="0" w:space="0" w:color="auto"/>
        <w:bottom w:val="none" w:sz="0" w:space="0" w:color="auto"/>
        <w:right w:val="none" w:sz="0" w:space="0" w:color="auto"/>
      </w:divBdr>
    </w:div>
    <w:div w:id="1669752065">
      <w:marLeft w:val="0"/>
      <w:marRight w:val="0"/>
      <w:marTop w:val="0"/>
      <w:marBottom w:val="0"/>
      <w:divBdr>
        <w:top w:val="none" w:sz="0" w:space="0" w:color="auto"/>
        <w:left w:val="none" w:sz="0" w:space="0" w:color="auto"/>
        <w:bottom w:val="none" w:sz="0" w:space="0" w:color="auto"/>
        <w:right w:val="none" w:sz="0" w:space="0" w:color="auto"/>
      </w:divBdr>
    </w:div>
    <w:div w:id="1669752066">
      <w:marLeft w:val="0"/>
      <w:marRight w:val="0"/>
      <w:marTop w:val="0"/>
      <w:marBottom w:val="0"/>
      <w:divBdr>
        <w:top w:val="none" w:sz="0" w:space="0" w:color="auto"/>
        <w:left w:val="none" w:sz="0" w:space="0" w:color="auto"/>
        <w:bottom w:val="none" w:sz="0" w:space="0" w:color="auto"/>
        <w:right w:val="none" w:sz="0" w:space="0" w:color="auto"/>
      </w:divBdr>
    </w:div>
    <w:div w:id="1669752068">
      <w:marLeft w:val="0"/>
      <w:marRight w:val="0"/>
      <w:marTop w:val="0"/>
      <w:marBottom w:val="0"/>
      <w:divBdr>
        <w:top w:val="none" w:sz="0" w:space="0" w:color="auto"/>
        <w:left w:val="none" w:sz="0" w:space="0" w:color="auto"/>
        <w:bottom w:val="none" w:sz="0" w:space="0" w:color="auto"/>
        <w:right w:val="none" w:sz="0" w:space="0" w:color="auto"/>
      </w:divBdr>
    </w:div>
    <w:div w:id="1669752069">
      <w:marLeft w:val="0"/>
      <w:marRight w:val="0"/>
      <w:marTop w:val="0"/>
      <w:marBottom w:val="0"/>
      <w:divBdr>
        <w:top w:val="none" w:sz="0" w:space="0" w:color="auto"/>
        <w:left w:val="none" w:sz="0" w:space="0" w:color="auto"/>
        <w:bottom w:val="none" w:sz="0" w:space="0" w:color="auto"/>
        <w:right w:val="none" w:sz="0" w:space="0" w:color="auto"/>
      </w:divBdr>
    </w:div>
    <w:div w:id="1669752070">
      <w:marLeft w:val="0"/>
      <w:marRight w:val="0"/>
      <w:marTop w:val="0"/>
      <w:marBottom w:val="0"/>
      <w:divBdr>
        <w:top w:val="none" w:sz="0" w:space="0" w:color="auto"/>
        <w:left w:val="none" w:sz="0" w:space="0" w:color="auto"/>
        <w:bottom w:val="none" w:sz="0" w:space="0" w:color="auto"/>
        <w:right w:val="none" w:sz="0" w:space="0" w:color="auto"/>
      </w:divBdr>
    </w:div>
    <w:div w:id="1669752074">
      <w:marLeft w:val="0"/>
      <w:marRight w:val="0"/>
      <w:marTop w:val="0"/>
      <w:marBottom w:val="0"/>
      <w:divBdr>
        <w:top w:val="none" w:sz="0" w:space="0" w:color="auto"/>
        <w:left w:val="none" w:sz="0" w:space="0" w:color="auto"/>
        <w:bottom w:val="none" w:sz="0" w:space="0" w:color="auto"/>
        <w:right w:val="none" w:sz="0" w:space="0" w:color="auto"/>
      </w:divBdr>
    </w:div>
    <w:div w:id="1669752077">
      <w:marLeft w:val="0"/>
      <w:marRight w:val="0"/>
      <w:marTop w:val="0"/>
      <w:marBottom w:val="0"/>
      <w:divBdr>
        <w:top w:val="none" w:sz="0" w:space="0" w:color="auto"/>
        <w:left w:val="none" w:sz="0" w:space="0" w:color="auto"/>
        <w:bottom w:val="none" w:sz="0" w:space="0" w:color="auto"/>
        <w:right w:val="none" w:sz="0" w:space="0" w:color="auto"/>
      </w:divBdr>
    </w:div>
    <w:div w:id="1669752080">
      <w:marLeft w:val="0"/>
      <w:marRight w:val="0"/>
      <w:marTop w:val="0"/>
      <w:marBottom w:val="0"/>
      <w:divBdr>
        <w:top w:val="none" w:sz="0" w:space="0" w:color="auto"/>
        <w:left w:val="none" w:sz="0" w:space="0" w:color="auto"/>
        <w:bottom w:val="none" w:sz="0" w:space="0" w:color="auto"/>
        <w:right w:val="none" w:sz="0" w:space="0" w:color="auto"/>
      </w:divBdr>
    </w:div>
    <w:div w:id="1669752083">
      <w:marLeft w:val="0"/>
      <w:marRight w:val="0"/>
      <w:marTop w:val="0"/>
      <w:marBottom w:val="0"/>
      <w:divBdr>
        <w:top w:val="none" w:sz="0" w:space="0" w:color="auto"/>
        <w:left w:val="none" w:sz="0" w:space="0" w:color="auto"/>
        <w:bottom w:val="none" w:sz="0" w:space="0" w:color="auto"/>
        <w:right w:val="none" w:sz="0" w:space="0" w:color="auto"/>
      </w:divBdr>
    </w:div>
    <w:div w:id="1669752084">
      <w:marLeft w:val="0"/>
      <w:marRight w:val="0"/>
      <w:marTop w:val="0"/>
      <w:marBottom w:val="0"/>
      <w:divBdr>
        <w:top w:val="none" w:sz="0" w:space="0" w:color="auto"/>
        <w:left w:val="none" w:sz="0" w:space="0" w:color="auto"/>
        <w:bottom w:val="none" w:sz="0" w:space="0" w:color="auto"/>
        <w:right w:val="none" w:sz="0" w:space="0" w:color="auto"/>
      </w:divBdr>
    </w:div>
    <w:div w:id="1669752085">
      <w:marLeft w:val="0"/>
      <w:marRight w:val="0"/>
      <w:marTop w:val="0"/>
      <w:marBottom w:val="0"/>
      <w:divBdr>
        <w:top w:val="none" w:sz="0" w:space="0" w:color="auto"/>
        <w:left w:val="none" w:sz="0" w:space="0" w:color="auto"/>
        <w:bottom w:val="none" w:sz="0" w:space="0" w:color="auto"/>
        <w:right w:val="none" w:sz="0" w:space="0" w:color="auto"/>
      </w:divBdr>
    </w:div>
    <w:div w:id="1669752086">
      <w:marLeft w:val="0"/>
      <w:marRight w:val="0"/>
      <w:marTop w:val="0"/>
      <w:marBottom w:val="0"/>
      <w:divBdr>
        <w:top w:val="none" w:sz="0" w:space="0" w:color="auto"/>
        <w:left w:val="none" w:sz="0" w:space="0" w:color="auto"/>
        <w:bottom w:val="none" w:sz="0" w:space="0" w:color="auto"/>
        <w:right w:val="none" w:sz="0" w:space="0" w:color="auto"/>
      </w:divBdr>
    </w:div>
    <w:div w:id="1669752089">
      <w:marLeft w:val="0"/>
      <w:marRight w:val="0"/>
      <w:marTop w:val="0"/>
      <w:marBottom w:val="0"/>
      <w:divBdr>
        <w:top w:val="none" w:sz="0" w:space="0" w:color="auto"/>
        <w:left w:val="none" w:sz="0" w:space="0" w:color="auto"/>
        <w:bottom w:val="none" w:sz="0" w:space="0" w:color="auto"/>
        <w:right w:val="none" w:sz="0" w:space="0" w:color="auto"/>
      </w:divBdr>
    </w:div>
    <w:div w:id="1669752090">
      <w:marLeft w:val="0"/>
      <w:marRight w:val="0"/>
      <w:marTop w:val="0"/>
      <w:marBottom w:val="0"/>
      <w:divBdr>
        <w:top w:val="none" w:sz="0" w:space="0" w:color="auto"/>
        <w:left w:val="none" w:sz="0" w:space="0" w:color="auto"/>
        <w:bottom w:val="none" w:sz="0" w:space="0" w:color="auto"/>
        <w:right w:val="none" w:sz="0" w:space="0" w:color="auto"/>
      </w:divBdr>
    </w:div>
    <w:div w:id="1669752091">
      <w:marLeft w:val="0"/>
      <w:marRight w:val="0"/>
      <w:marTop w:val="0"/>
      <w:marBottom w:val="0"/>
      <w:divBdr>
        <w:top w:val="none" w:sz="0" w:space="0" w:color="auto"/>
        <w:left w:val="none" w:sz="0" w:space="0" w:color="auto"/>
        <w:bottom w:val="none" w:sz="0" w:space="0" w:color="auto"/>
        <w:right w:val="none" w:sz="0" w:space="0" w:color="auto"/>
      </w:divBdr>
    </w:div>
    <w:div w:id="1669752092">
      <w:marLeft w:val="0"/>
      <w:marRight w:val="0"/>
      <w:marTop w:val="0"/>
      <w:marBottom w:val="0"/>
      <w:divBdr>
        <w:top w:val="none" w:sz="0" w:space="0" w:color="auto"/>
        <w:left w:val="none" w:sz="0" w:space="0" w:color="auto"/>
        <w:bottom w:val="none" w:sz="0" w:space="0" w:color="auto"/>
        <w:right w:val="none" w:sz="0" w:space="0" w:color="auto"/>
      </w:divBdr>
    </w:div>
    <w:div w:id="1669752093">
      <w:marLeft w:val="0"/>
      <w:marRight w:val="0"/>
      <w:marTop w:val="0"/>
      <w:marBottom w:val="0"/>
      <w:divBdr>
        <w:top w:val="none" w:sz="0" w:space="0" w:color="auto"/>
        <w:left w:val="none" w:sz="0" w:space="0" w:color="auto"/>
        <w:bottom w:val="none" w:sz="0" w:space="0" w:color="auto"/>
        <w:right w:val="none" w:sz="0" w:space="0" w:color="auto"/>
      </w:divBdr>
    </w:div>
    <w:div w:id="166975209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3.0/au/" TargetMode="External"/><Relationship Id="rId13" Type="http://schemas.openxmlformats.org/officeDocument/2006/relationships/chart" Target="charts/chart3.xml"/><Relationship Id="rId18" Type="http://schemas.openxmlformats.org/officeDocument/2006/relationships/hyperlink" Target="http://www.iea-4e.org/"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s://www.iso.org/home.html" TargetMode="External"/><Relationship Id="rId7" Type="http://schemas.openxmlformats.org/officeDocument/2006/relationships/image" Target="media/image1.png"/><Relationship Id="rId12" Type="http://schemas.openxmlformats.org/officeDocument/2006/relationships/chart" Target="charts/chart2.xml"/><Relationship Id="rId17" Type="http://schemas.openxmlformats.org/officeDocument/2006/relationships/hyperlink" Target="https://www.iea.org/"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ipeec.org/" TargetMode="External"/><Relationship Id="rId20" Type="http://schemas.openxmlformats.org/officeDocument/2006/relationships/hyperlink" Target="http://www.iec.ch/"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cleanenergyministerial.org/" TargetMode="External"/><Relationship Id="rId23" Type="http://schemas.openxmlformats.org/officeDocument/2006/relationships/hyperlink" Target="http://www.dpmc.gov.au/resource-centre/regulation/independent-reviews-and-ris-process-guidance-note" TargetMode="External"/><Relationship Id="rId28"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hyperlink" Target="http://www.egeec.apec.org/"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legislation.gov.au/Details/C2012A00132" TargetMode="External"/><Relationship Id="rId14" Type="http://schemas.openxmlformats.org/officeDocument/2006/relationships/image" Target="media/image3.png"/><Relationship Id="rId22" Type="http://schemas.openxmlformats.org/officeDocument/2006/relationships/hyperlink" Target="http://www.unep.org/" TargetMode="External"/><Relationship Id="rId27" Type="http://schemas.openxmlformats.org/officeDocument/2006/relationships/image" Target="media/image7.png"/><Relationship Id="rId30" Type="http://schemas.openxmlformats.org/officeDocument/2006/relationships/image" Target="media/image10.png"/></Relationships>
</file>

<file path=word/_rels/footnotes.xml.rels><?xml version="1.0" encoding="UTF-8" standalone="yes"?>
<Relationships xmlns="http://schemas.openxmlformats.org/package/2006/relationships"><Relationship Id="rId8" Type="http://schemas.openxmlformats.org/officeDocument/2006/relationships/hyperlink" Target="https://www.energy.gov.au/government-priorities/energy-productivity-and-energy-efficiency" TargetMode="External"/><Relationship Id="rId13" Type="http://schemas.openxmlformats.org/officeDocument/2006/relationships/hyperlink" Target="http://behaviouraleconomics.pmc.gov.au/sites/default/files/projects/beta_report_energy_labels_that_make_cents.pdf" TargetMode="External"/><Relationship Id="rId3" Type="http://schemas.openxmlformats.org/officeDocument/2006/relationships/hyperlink" Target="https://www.cuttingredtape.gov.au/resources/rpf" TargetMode="External"/><Relationship Id="rId7" Type="http://schemas.openxmlformats.org/officeDocument/2006/relationships/hyperlink" Target="http://www.coagenergycouncil.gov.au/about-us/our-role" TargetMode="External"/><Relationship Id="rId12" Type="http://schemas.openxmlformats.org/officeDocument/2006/relationships/hyperlink" Target="http://www.energyrating.gov.au/sites/new.energyrating/files/documents/GEMS_Review_2015_Final_Report_0.pdf" TargetMode="External"/><Relationship Id="rId2" Type="http://schemas.openxmlformats.org/officeDocument/2006/relationships/hyperlink" Target="http://energyrating.gov.au/document/gems-iga-signed" TargetMode="External"/><Relationship Id="rId1" Type="http://schemas.openxmlformats.org/officeDocument/2006/relationships/hyperlink" Target="http://www.energyrating.gov.au/consultation/gems-fee-review-supplementary-paper" TargetMode="External"/><Relationship Id="rId6" Type="http://schemas.openxmlformats.org/officeDocument/2006/relationships/hyperlink" Target="http://www.environment.gov.au/climate-change/review-climate-change-policies" TargetMode="External"/><Relationship Id="rId11" Type="http://schemas.openxmlformats.org/officeDocument/2006/relationships/hyperlink" Target="http://www.energyrating.gov.au/sites/new.energyrating/files/documents/Impacts-of-the-E3-Program.pdf" TargetMode="External"/><Relationship Id="rId5" Type="http://schemas.openxmlformats.org/officeDocument/2006/relationships/hyperlink" Target="https://www.energy.gov.au/publications/independent-review-future-security-national-electricity-market-blueprint-future" TargetMode="External"/><Relationship Id="rId15" Type="http://schemas.openxmlformats.org/officeDocument/2006/relationships/hyperlink" Target="https://edna.iea-4e.org/tasks/" TargetMode="External"/><Relationship Id="rId10" Type="http://schemas.openxmlformats.org/officeDocument/2006/relationships/hyperlink" Target="http://www.energyrating.gov.au/document/gems-compliance-monitoring-program-20172018" TargetMode="External"/><Relationship Id="rId4" Type="http://schemas.openxmlformats.org/officeDocument/2006/relationships/hyperlink" Target="http://www.energyrating.gov.au/news/gems-review-released" TargetMode="External"/><Relationship Id="rId9" Type="http://schemas.openxmlformats.org/officeDocument/2006/relationships/hyperlink" Target="https://eur-lex.europa.eu/legal-content/EN/TXT/?uri=celex%3A52015SC0139" TargetMode="External"/><Relationship Id="rId14" Type="http://schemas.openxmlformats.org/officeDocument/2006/relationships/hyperlink" Target="https://www.energy.gov.au/publications/gems-act-review-discussion-paper-submission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Macro-Enabled_Worksheet1.xlsm"/><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Macro-Enabled_Worksheet2.xlsm"/><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219531120806991"/>
          <c:y val="5.8231843276643699E-2"/>
          <c:w val="0.85446597042897909"/>
          <c:h val="0.7998713170258106"/>
        </c:manualLayout>
      </c:layout>
      <c:scatterChart>
        <c:scatterStyle val="smoothMarker"/>
        <c:varyColors val="0"/>
        <c:ser>
          <c:idx val="0"/>
          <c:order val="0"/>
          <c:spPr>
            <a:ln w="18271" cap="rnd">
              <a:solidFill>
                <a:schemeClr val="accent1"/>
              </a:solidFill>
              <a:round/>
            </a:ln>
            <a:effectLst/>
          </c:spPr>
          <c:marker>
            <c:symbol val="none"/>
          </c:marker>
          <c:xVal>
            <c:numRef>
              <c:f>Charts!$B$3:$B$23</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xVal>
          <c:yVal>
            <c:numRef>
              <c:f>Charts!$E$3:$E$23</c:f>
              <c:numCache>
                <c:formatCode>General</c:formatCode>
                <c:ptCount val="21"/>
                <c:pt idx="0">
                  <c:v>4.233097490030694E-2</c:v>
                </c:pt>
                <c:pt idx="1">
                  <c:v>3.3599596253854426E-2</c:v>
                </c:pt>
                <c:pt idx="2">
                  <c:v>4.084971482548122E-2</c:v>
                </c:pt>
                <c:pt idx="3">
                  <c:v>3.5283870600227085E-2</c:v>
                </c:pt>
                <c:pt idx="4">
                  <c:v>4.0235610184176249E-2</c:v>
                </c:pt>
                <c:pt idx="5">
                  <c:v>5.8968790728807757E-2</c:v>
                </c:pt>
                <c:pt idx="6">
                  <c:v>9.6444203358531558E-2</c:v>
                </c:pt>
                <c:pt idx="7">
                  <c:v>0.22789021416476143</c:v>
                </c:pt>
                <c:pt idx="8">
                  <c:v>0.37140699655000653</c:v>
                </c:pt>
                <c:pt idx="9">
                  <c:v>0.50678781011944385</c:v>
                </c:pt>
                <c:pt idx="10">
                  <c:v>0.7031275445401447</c:v>
                </c:pt>
                <c:pt idx="11">
                  <c:v>0.84645087276592446</c:v>
                </c:pt>
                <c:pt idx="12">
                  <c:v>1.0300239597546677</c:v>
                </c:pt>
                <c:pt idx="13">
                  <c:v>1.1909622413886145</c:v>
                </c:pt>
                <c:pt idx="14">
                  <c:v>1.2322062451702438</c:v>
                </c:pt>
                <c:pt idx="15">
                  <c:v>1.2295230503019106</c:v>
                </c:pt>
                <c:pt idx="16">
                  <c:v>1.2248347533401833</c:v>
                </c:pt>
                <c:pt idx="17">
                  <c:v>1.249090784719626</c:v>
                </c:pt>
                <c:pt idx="18">
                  <c:v>1.2390694433741245</c:v>
                </c:pt>
                <c:pt idx="19">
                  <c:v>1.2119823498108313</c:v>
                </c:pt>
                <c:pt idx="20">
                  <c:v>1.1699513110345481</c:v>
                </c:pt>
              </c:numCache>
            </c:numRef>
          </c:yVal>
          <c:smooth val="1"/>
          <c:extLst xmlns:c16r2="http://schemas.microsoft.com/office/drawing/2015/06/chart">
            <c:ext xmlns:c16="http://schemas.microsoft.com/office/drawing/2014/chart" uri="{C3380CC4-5D6E-409C-BE32-E72D297353CC}">
              <c16:uniqueId val="{00000000-42A0-C841-843D-121093C2CB16}"/>
            </c:ext>
          </c:extLst>
        </c:ser>
        <c:dLbls>
          <c:showLegendKey val="0"/>
          <c:showVal val="0"/>
          <c:showCatName val="0"/>
          <c:showSerName val="0"/>
          <c:showPercent val="0"/>
          <c:showBubbleSize val="0"/>
        </c:dLbls>
        <c:axId val="224958592"/>
        <c:axId val="224958984"/>
      </c:scatterChart>
      <c:valAx>
        <c:axId val="224958592"/>
        <c:scaling>
          <c:orientation val="minMax"/>
          <c:max val="2020"/>
          <c:min val="2000"/>
        </c:scaling>
        <c:delete val="0"/>
        <c:axPos val="b"/>
        <c:title>
          <c:tx>
            <c:rich>
              <a:bodyPr/>
              <a:lstStyle/>
              <a:p>
                <a:pPr>
                  <a:defRPr sz="959" b="0" i="0" u="none" strike="noStrike" baseline="0">
                    <a:solidFill>
                      <a:srgbClr val="333333"/>
                    </a:solidFill>
                    <a:latin typeface="Calibri"/>
                    <a:ea typeface="Calibri"/>
                    <a:cs typeface="Calibri"/>
                  </a:defRPr>
                </a:pPr>
                <a:r>
                  <a:rPr lang="en-US"/>
                  <a:t>Year</a:t>
                </a:r>
              </a:p>
            </c:rich>
          </c:tx>
          <c:layout/>
          <c:overlay val="0"/>
          <c:spPr>
            <a:noFill/>
            <a:ln>
              <a:noFill/>
            </a:ln>
            <a:effectLst/>
          </c:spPr>
        </c:title>
        <c:numFmt formatCode="General" sourceLinked="1"/>
        <c:majorTickMark val="none"/>
        <c:minorTickMark val="none"/>
        <c:tickLblPos val="nextTo"/>
        <c:spPr>
          <a:noFill/>
          <a:ln w="9136" cap="flat" cmpd="sng" algn="ctr">
            <a:solidFill>
              <a:schemeClr val="tx1">
                <a:lumMod val="25000"/>
                <a:lumOff val="75000"/>
              </a:schemeClr>
            </a:solidFill>
            <a:round/>
          </a:ln>
          <a:effectLst/>
        </c:spPr>
        <c:txPr>
          <a:bodyPr rot="0" vert="horz"/>
          <a:lstStyle/>
          <a:p>
            <a:pPr>
              <a:defRPr sz="863" b="0" i="0" u="none" strike="noStrike" baseline="0">
                <a:solidFill>
                  <a:srgbClr val="333333"/>
                </a:solidFill>
                <a:latin typeface="Calibri"/>
                <a:ea typeface="Calibri"/>
                <a:cs typeface="Calibri"/>
              </a:defRPr>
            </a:pPr>
            <a:endParaRPr lang="en-US"/>
          </a:p>
        </c:txPr>
        <c:crossAx val="224958984"/>
        <c:crosses val="autoZero"/>
        <c:crossBetween val="midCat"/>
        <c:majorUnit val="2"/>
      </c:valAx>
      <c:valAx>
        <c:axId val="224958984"/>
        <c:scaling>
          <c:orientation val="minMax"/>
        </c:scaling>
        <c:delete val="0"/>
        <c:axPos val="l"/>
        <c:majorGridlines>
          <c:spPr>
            <a:ln w="9136" cap="flat" cmpd="sng" algn="ctr">
              <a:solidFill>
                <a:schemeClr val="tx1">
                  <a:lumMod val="15000"/>
                  <a:lumOff val="85000"/>
                </a:schemeClr>
              </a:solidFill>
              <a:prstDash val="dash"/>
              <a:round/>
            </a:ln>
            <a:effectLst/>
          </c:spPr>
        </c:majorGridlines>
        <c:title>
          <c:tx>
            <c:rich>
              <a:bodyPr/>
              <a:lstStyle/>
              <a:p>
                <a:pPr>
                  <a:defRPr sz="959" b="0" i="0" u="none" strike="noStrike" baseline="0">
                    <a:solidFill>
                      <a:srgbClr val="333333"/>
                    </a:solidFill>
                    <a:latin typeface="Calibri"/>
                    <a:ea typeface="Calibri"/>
                    <a:cs typeface="Calibri"/>
                  </a:defRPr>
                </a:pPr>
                <a:r>
                  <a:rPr lang="en-US"/>
                  <a:t>Net Benefits (billions of dollars)</a:t>
                </a:r>
              </a:p>
            </c:rich>
          </c:tx>
          <c:layout/>
          <c:overlay val="0"/>
          <c:spPr>
            <a:noFill/>
            <a:ln>
              <a:noFill/>
            </a:ln>
            <a:effectLst/>
          </c:spPr>
        </c:title>
        <c:numFmt formatCode="General" sourceLinked="1"/>
        <c:majorTickMark val="none"/>
        <c:minorTickMark val="none"/>
        <c:tickLblPos val="nextTo"/>
        <c:spPr>
          <a:noFill/>
          <a:ln w="9136" cap="flat" cmpd="sng" algn="ctr">
            <a:solidFill>
              <a:schemeClr val="tx1">
                <a:lumMod val="25000"/>
                <a:lumOff val="75000"/>
              </a:schemeClr>
            </a:solidFill>
            <a:round/>
          </a:ln>
          <a:effectLst/>
        </c:spPr>
        <c:txPr>
          <a:bodyPr rot="-60000000" spcFirstLastPara="1" vertOverflow="ellipsis" vert="horz" wrap="square" anchor="ctr" anchorCtr="1"/>
          <a:lstStyle/>
          <a:p>
            <a:pPr>
              <a:defRPr sz="863" b="0" i="0" u="none" strike="noStrike" kern="1200" baseline="0">
                <a:solidFill>
                  <a:schemeClr val="tx1">
                    <a:lumMod val="65000"/>
                    <a:lumOff val="35000"/>
                  </a:schemeClr>
                </a:solidFill>
                <a:latin typeface="+mn-lt"/>
                <a:ea typeface="+mn-ea"/>
                <a:cs typeface="+mn-cs"/>
              </a:defRPr>
            </a:pPr>
            <a:endParaRPr lang="en-US"/>
          </a:p>
        </c:txPr>
        <c:crossAx val="224958592"/>
        <c:crosses val="autoZero"/>
        <c:crossBetween val="midCat"/>
      </c:valAx>
      <c:spPr>
        <a:noFill/>
        <a:ln w="24362">
          <a:noFill/>
        </a:ln>
      </c:spPr>
    </c:plotArea>
    <c:plotVisOnly val="1"/>
    <c:dispBlanksAs val="gap"/>
    <c:showDLblsOverMax val="0"/>
  </c:chart>
  <c:spPr>
    <a:solidFill>
      <a:schemeClr val="bg1"/>
    </a:solidFill>
    <a:ln w="913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243722386412732E-2"/>
          <c:y val="6.2875536480686681E-2"/>
          <c:w val="0.86804090553319624"/>
          <c:h val="0.79376263052955287"/>
        </c:manualLayout>
      </c:layout>
      <c:scatterChart>
        <c:scatterStyle val="smoothMarker"/>
        <c:varyColors val="0"/>
        <c:ser>
          <c:idx val="0"/>
          <c:order val="0"/>
          <c:spPr>
            <a:ln w="18280" cap="rnd">
              <a:solidFill>
                <a:schemeClr val="accent1"/>
              </a:solidFill>
              <a:round/>
            </a:ln>
            <a:effectLst/>
          </c:spPr>
          <c:marker>
            <c:symbol val="none"/>
          </c:marker>
          <c:xVal>
            <c:numRef>
              <c:f>Charts!$B$3:$B$23</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xVal>
          <c:yVal>
            <c:numRef>
              <c:f>Charts!$C$3:$C$23</c:f>
              <c:numCache>
                <c:formatCode>General</c:formatCode>
                <c:ptCount val="21"/>
                <c:pt idx="0">
                  <c:v>0.21697108404709176</c:v>
                </c:pt>
                <c:pt idx="1">
                  <c:v>0.23398607674986507</c:v>
                </c:pt>
                <c:pt idx="2">
                  <c:v>0.25452442138460818</c:v>
                </c:pt>
                <c:pt idx="3">
                  <c:v>0.28010621072938408</c:v>
                </c:pt>
                <c:pt idx="4">
                  <c:v>0.33203167506824494</c:v>
                </c:pt>
                <c:pt idx="5">
                  <c:v>0.48523655558153472</c:v>
                </c:pt>
                <c:pt idx="6">
                  <c:v>0.6981187754091136</c:v>
                </c:pt>
                <c:pt idx="7">
                  <c:v>1.2149545733096792</c:v>
                </c:pt>
                <c:pt idx="8">
                  <c:v>1.7981722531779838</c:v>
                </c:pt>
                <c:pt idx="9">
                  <c:v>2.4692816235196227</c:v>
                </c:pt>
                <c:pt idx="10">
                  <c:v>3.1337658160869397</c:v>
                </c:pt>
                <c:pt idx="11">
                  <c:v>3.6541203029603828</c:v>
                </c:pt>
                <c:pt idx="12">
                  <c:v>4.1449819367988763</c:v>
                </c:pt>
                <c:pt idx="13">
                  <c:v>4.6529971152824654</c:v>
                </c:pt>
                <c:pt idx="14">
                  <c:v>5.0791463026601829</c:v>
                </c:pt>
                <c:pt idx="15">
                  <c:v>5.4313991405539044</c:v>
                </c:pt>
                <c:pt idx="16">
                  <c:v>5.7106622561556968</c:v>
                </c:pt>
                <c:pt idx="17">
                  <c:v>5.9693602363266374</c:v>
                </c:pt>
                <c:pt idx="18">
                  <c:v>6.2117568632315159</c:v>
                </c:pt>
                <c:pt idx="19">
                  <c:v>6.3828761142919745</c:v>
                </c:pt>
                <c:pt idx="20">
                  <c:v>6.4843588465675985</c:v>
                </c:pt>
              </c:numCache>
            </c:numRef>
          </c:yVal>
          <c:smooth val="1"/>
          <c:extLst xmlns:c16r2="http://schemas.microsoft.com/office/drawing/2015/06/chart">
            <c:ext xmlns:c16="http://schemas.microsoft.com/office/drawing/2014/chart" uri="{C3380CC4-5D6E-409C-BE32-E72D297353CC}">
              <c16:uniqueId val="{00000000-E976-F341-8A61-732C347BA338}"/>
            </c:ext>
          </c:extLst>
        </c:ser>
        <c:dLbls>
          <c:showLegendKey val="0"/>
          <c:showVal val="0"/>
          <c:showCatName val="0"/>
          <c:showSerName val="0"/>
          <c:showPercent val="0"/>
          <c:showBubbleSize val="0"/>
        </c:dLbls>
        <c:axId val="224956240"/>
        <c:axId val="224955848"/>
      </c:scatterChart>
      <c:valAx>
        <c:axId val="224956240"/>
        <c:scaling>
          <c:orientation val="minMax"/>
          <c:max val="2020"/>
          <c:min val="2000"/>
        </c:scaling>
        <c:delete val="0"/>
        <c:axPos val="b"/>
        <c:title>
          <c:tx>
            <c:rich>
              <a:bodyPr/>
              <a:lstStyle/>
              <a:p>
                <a:pPr>
                  <a:defRPr sz="960" b="0" i="0" u="none" strike="noStrike" baseline="0">
                    <a:solidFill>
                      <a:srgbClr val="333333"/>
                    </a:solidFill>
                    <a:latin typeface="Calibri"/>
                    <a:ea typeface="Calibri"/>
                    <a:cs typeface="Calibri"/>
                  </a:defRPr>
                </a:pPr>
                <a:r>
                  <a:rPr lang="en-US"/>
                  <a:t>Year</a:t>
                </a:r>
              </a:p>
            </c:rich>
          </c:tx>
          <c:layout/>
          <c:overlay val="0"/>
          <c:spPr>
            <a:noFill/>
            <a:ln>
              <a:noFill/>
            </a:ln>
            <a:effectLst/>
          </c:spPr>
        </c:title>
        <c:numFmt formatCode="General" sourceLinked="1"/>
        <c:majorTickMark val="none"/>
        <c:minorTickMark val="none"/>
        <c:tickLblPos val="nextTo"/>
        <c:spPr>
          <a:noFill/>
          <a:ln w="9140" cap="flat" cmpd="sng" algn="ctr">
            <a:solidFill>
              <a:schemeClr val="tx1">
                <a:lumMod val="25000"/>
                <a:lumOff val="75000"/>
              </a:schemeClr>
            </a:solidFill>
            <a:round/>
          </a:ln>
          <a:effectLst/>
        </c:spPr>
        <c:txPr>
          <a:bodyPr rot="0" vert="horz"/>
          <a:lstStyle/>
          <a:p>
            <a:pPr>
              <a:defRPr sz="864" b="0" i="0" u="none" strike="noStrike" baseline="0">
                <a:solidFill>
                  <a:srgbClr val="333333"/>
                </a:solidFill>
                <a:latin typeface="Calibri"/>
                <a:ea typeface="Calibri"/>
                <a:cs typeface="Calibri"/>
              </a:defRPr>
            </a:pPr>
            <a:endParaRPr lang="en-US"/>
          </a:p>
        </c:txPr>
        <c:crossAx val="224955848"/>
        <c:crosses val="autoZero"/>
        <c:crossBetween val="midCat"/>
        <c:majorUnit val="2"/>
      </c:valAx>
      <c:valAx>
        <c:axId val="224955848"/>
        <c:scaling>
          <c:orientation val="minMax"/>
        </c:scaling>
        <c:delete val="0"/>
        <c:axPos val="l"/>
        <c:majorGridlines>
          <c:spPr>
            <a:ln w="9140" cap="flat" cmpd="sng" algn="ctr">
              <a:solidFill>
                <a:schemeClr val="tx1">
                  <a:lumMod val="15000"/>
                  <a:lumOff val="85000"/>
                </a:schemeClr>
              </a:solidFill>
              <a:prstDash val="dash"/>
              <a:round/>
            </a:ln>
            <a:effectLst/>
          </c:spPr>
        </c:majorGridlines>
        <c:title>
          <c:tx>
            <c:rich>
              <a:bodyPr/>
              <a:lstStyle/>
              <a:p>
                <a:pPr>
                  <a:defRPr sz="960" b="0" i="0" u="none" strike="noStrike" baseline="0">
                    <a:solidFill>
                      <a:srgbClr val="333333"/>
                    </a:solidFill>
                    <a:latin typeface="Calibri"/>
                    <a:ea typeface="Calibri"/>
                    <a:cs typeface="Calibri"/>
                  </a:defRPr>
                </a:pPr>
                <a:r>
                  <a:rPr lang="en-US"/>
                  <a:t>Mega Tonnes of CO2 - e</a:t>
                </a:r>
              </a:p>
            </c:rich>
          </c:tx>
          <c:layout/>
          <c:overlay val="0"/>
          <c:spPr>
            <a:noFill/>
            <a:ln>
              <a:noFill/>
            </a:ln>
            <a:effectLst/>
          </c:spPr>
        </c:title>
        <c:numFmt formatCode="General" sourceLinked="1"/>
        <c:majorTickMark val="none"/>
        <c:minorTickMark val="none"/>
        <c:tickLblPos val="nextTo"/>
        <c:spPr>
          <a:noFill/>
          <a:ln w="9140" cap="flat" cmpd="sng" algn="ctr">
            <a:solidFill>
              <a:schemeClr val="tx1">
                <a:lumMod val="25000"/>
                <a:lumOff val="75000"/>
              </a:schemeClr>
            </a:solidFill>
            <a:round/>
          </a:ln>
          <a:effectLst/>
        </c:spPr>
        <c:txPr>
          <a:bodyPr rot="-60000000" spcFirstLastPara="1" vertOverflow="ellipsis" vert="horz" wrap="square" anchor="ctr" anchorCtr="1"/>
          <a:lstStyle/>
          <a:p>
            <a:pPr>
              <a:defRPr sz="864" b="0" i="0" u="none" strike="noStrike" kern="1200" baseline="0">
                <a:solidFill>
                  <a:schemeClr val="tx1">
                    <a:lumMod val="65000"/>
                    <a:lumOff val="35000"/>
                  </a:schemeClr>
                </a:solidFill>
                <a:latin typeface="+mn-lt"/>
                <a:ea typeface="+mn-ea"/>
                <a:cs typeface="+mn-cs"/>
              </a:defRPr>
            </a:pPr>
            <a:endParaRPr lang="en-US"/>
          </a:p>
        </c:txPr>
        <c:crossAx val="224956240"/>
        <c:crosses val="autoZero"/>
        <c:crossBetween val="midCat"/>
      </c:valAx>
      <c:spPr>
        <a:noFill/>
        <a:ln w="24373">
          <a:noFill/>
        </a:ln>
      </c:spPr>
    </c:plotArea>
    <c:plotVisOnly val="1"/>
    <c:dispBlanksAs val="gap"/>
    <c:showDLblsOverMax val="0"/>
  </c:chart>
  <c:spPr>
    <a:solidFill>
      <a:schemeClr val="bg1"/>
    </a:solidFill>
    <a:ln w="914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06300076450947"/>
          <c:y val="8.1871345029239762E-2"/>
          <c:w val="0.70341351324501877"/>
          <c:h val="0.82768706543261039"/>
        </c:manualLayout>
      </c:layout>
      <c:scatterChart>
        <c:scatterStyle val="smoothMarker"/>
        <c:varyColors val="0"/>
        <c:ser>
          <c:idx val="0"/>
          <c:order val="0"/>
          <c:tx>
            <c:strRef>
              <c:f>'[SWH Data Disclosure Analysis for DoEE.xlsx]Sheet1'!$C$4</c:f>
              <c:strCache>
                <c:ptCount val="1"/>
                <c:pt idx="0">
                  <c:v>NSW</c:v>
                </c:pt>
              </c:strCache>
            </c:strRef>
          </c:tx>
          <c:spPr>
            <a:ln w="19050" cap="rnd">
              <a:solidFill>
                <a:schemeClr val="accent1"/>
              </a:solidFill>
              <a:round/>
            </a:ln>
            <a:effectLst/>
          </c:spPr>
          <c:marker>
            <c:symbol val="none"/>
          </c:marker>
          <c:xVal>
            <c:numRef>
              <c:f>'[SWH Data Disclosure Analysis for DoEE.xlsx]Sheet1'!$B$5:$B$35</c:f>
              <c:numCache>
                <c:formatCode>General</c:formatCod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numCache>
            </c:numRef>
          </c:xVal>
          <c:yVal>
            <c:numRef>
              <c:f>'[SWH Data Disclosure Analysis for DoEE.xlsx]Sheet1'!$C$5:$C$35</c:f>
              <c:numCache>
                <c:formatCode>#,##0</c:formatCode>
                <c:ptCount val="31"/>
                <c:pt idx="0">
                  <c:v>40618.253620596253</c:v>
                </c:pt>
                <c:pt idx="1">
                  <c:v>40667.496054097574</c:v>
                </c:pt>
                <c:pt idx="2">
                  <c:v>40873.001980000787</c:v>
                </c:pt>
                <c:pt idx="3">
                  <c:v>41100.68826341565</c:v>
                </c:pt>
                <c:pt idx="4">
                  <c:v>41441.921389398296</c:v>
                </c:pt>
                <c:pt idx="5">
                  <c:v>41410.815935688108</c:v>
                </c:pt>
                <c:pt idx="6">
                  <c:v>41310.996916139316</c:v>
                </c:pt>
                <c:pt idx="7">
                  <c:v>41105.901135873573</c:v>
                </c:pt>
                <c:pt idx="8">
                  <c:v>40719.347034105391</c:v>
                </c:pt>
                <c:pt idx="9">
                  <c:v>39824.351150468166</c:v>
                </c:pt>
                <c:pt idx="10">
                  <c:v>38868.017612634823</c:v>
                </c:pt>
                <c:pt idx="11">
                  <c:v>38263.774016456358</c:v>
                </c:pt>
                <c:pt idx="12">
                  <c:v>37462.314810345997</c:v>
                </c:pt>
                <c:pt idx="13">
                  <c:v>36109.9896153222</c:v>
                </c:pt>
                <c:pt idx="14">
                  <c:v>34819.085744097822</c:v>
                </c:pt>
                <c:pt idx="15">
                  <c:v>33945.120731331932</c:v>
                </c:pt>
                <c:pt idx="16">
                  <c:v>33139.27222010577</c:v>
                </c:pt>
                <c:pt idx="17">
                  <c:v>32411.882901199646</c:v>
                </c:pt>
                <c:pt idx="18">
                  <c:v>31772.772085727498</c:v>
                </c:pt>
                <c:pt idx="19">
                  <c:v>31231.623978901054</c:v>
                </c:pt>
                <c:pt idx="20">
                  <c:v>30740.241922901441</c:v>
                </c:pt>
                <c:pt idx="21">
                  <c:v>30318.388528245396</c:v>
                </c:pt>
                <c:pt idx="22">
                  <c:v>29960.462016798396</c:v>
                </c:pt>
                <c:pt idx="23">
                  <c:v>29645.802653323419</c:v>
                </c:pt>
                <c:pt idx="24">
                  <c:v>29355.261876443648</c:v>
                </c:pt>
                <c:pt idx="25">
                  <c:v>29077.376030855885</c:v>
                </c:pt>
                <c:pt idx="26">
                  <c:v>28813.050899971204</c:v>
                </c:pt>
                <c:pt idx="27">
                  <c:v>28573.483915441786</c:v>
                </c:pt>
                <c:pt idx="28">
                  <c:v>28352.402995871034</c:v>
                </c:pt>
                <c:pt idx="29">
                  <c:v>28150.982404999126</c:v>
                </c:pt>
                <c:pt idx="30">
                  <c:v>27964.670601599533</c:v>
                </c:pt>
              </c:numCache>
            </c:numRef>
          </c:yVal>
          <c:smooth val="1"/>
          <c:extLst xmlns:c16r2="http://schemas.microsoft.com/office/drawing/2015/06/chart">
            <c:ext xmlns:c16="http://schemas.microsoft.com/office/drawing/2014/chart" uri="{C3380CC4-5D6E-409C-BE32-E72D297353CC}">
              <c16:uniqueId val="{00000000-003D-4E4B-856B-DBB2D08036A7}"/>
            </c:ext>
          </c:extLst>
        </c:ser>
        <c:ser>
          <c:idx val="1"/>
          <c:order val="1"/>
          <c:tx>
            <c:strRef>
              <c:f>'[SWH Data Disclosure Analysis for DoEE.xlsx]Sheet1'!$D$4</c:f>
              <c:strCache>
                <c:ptCount val="1"/>
                <c:pt idx="0">
                  <c:v>ACT</c:v>
                </c:pt>
              </c:strCache>
            </c:strRef>
          </c:tx>
          <c:spPr>
            <a:ln w="19050" cap="rnd">
              <a:solidFill>
                <a:schemeClr val="accent2"/>
              </a:solidFill>
              <a:round/>
            </a:ln>
            <a:effectLst/>
          </c:spPr>
          <c:marker>
            <c:symbol val="none"/>
          </c:marker>
          <c:xVal>
            <c:numRef>
              <c:f>'[SWH Data Disclosure Analysis for DoEE.xlsx]Sheet1'!$B$5:$B$35</c:f>
              <c:numCache>
                <c:formatCode>General</c:formatCod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numCache>
            </c:numRef>
          </c:xVal>
          <c:yVal>
            <c:numRef>
              <c:f>'[SWH Data Disclosure Analysis for DoEE.xlsx]Sheet1'!$D$5:$D$35</c:f>
              <c:numCache>
                <c:formatCode>#,##0</c:formatCode>
                <c:ptCount val="31"/>
                <c:pt idx="0">
                  <c:v>65266.090685461873</c:v>
                </c:pt>
                <c:pt idx="1">
                  <c:v>68478.288608958552</c:v>
                </c:pt>
                <c:pt idx="2">
                  <c:v>71819.492896733878</c:v>
                </c:pt>
                <c:pt idx="3">
                  <c:v>74154.116483103135</c:v>
                </c:pt>
                <c:pt idx="4">
                  <c:v>75832.455326420677</c:v>
                </c:pt>
                <c:pt idx="5">
                  <c:v>76449.600421964235</c:v>
                </c:pt>
                <c:pt idx="6">
                  <c:v>77052.821612914355</c:v>
                </c:pt>
                <c:pt idx="7">
                  <c:v>76479.969153132581</c:v>
                </c:pt>
                <c:pt idx="8">
                  <c:v>75742.617820686472</c:v>
                </c:pt>
                <c:pt idx="9">
                  <c:v>74103.645305958606</c:v>
                </c:pt>
                <c:pt idx="10">
                  <c:v>72465.655464674826</c:v>
                </c:pt>
                <c:pt idx="11">
                  <c:v>70974.516736552265</c:v>
                </c:pt>
                <c:pt idx="12">
                  <c:v>69175.189821342414</c:v>
                </c:pt>
                <c:pt idx="13">
                  <c:v>66747.610534207983</c:v>
                </c:pt>
                <c:pt idx="14">
                  <c:v>64404.727809721051</c:v>
                </c:pt>
                <c:pt idx="15">
                  <c:v>63109.54323051087</c:v>
                </c:pt>
                <c:pt idx="16">
                  <c:v>61894.257346680795</c:v>
                </c:pt>
                <c:pt idx="17">
                  <c:v>60710.259418805719</c:v>
                </c:pt>
                <c:pt idx="18">
                  <c:v>59630.953001231741</c:v>
                </c:pt>
                <c:pt idx="19">
                  <c:v>58532.022432146718</c:v>
                </c:pt>
                <c:pt idx="20">
                  <c:v>57473.77322286382</c:v>
                </c:pt>
                <c:pt idx="21">
                  <c:v>56430.28364095962</c:v>
                </c:pt>
                <c:pt idx="22">
                  <c:v>55347.978329559774</c:v>
                </c:pt>
                <c:pt idx="23">
                  <c:v>54350.125981270161</c:v>
                </c:pt>
                <c:pt idx="24">
                  <c:v>53370.832821993688</c:v>
                </c:pt>
                <c:pt idx="25">
                  <c:v>52437.379097904188</c:v>
                </c:pt>
                <c:pt idx="26">
                  <c:v>51621.703485027298</c:v>
                </c:pt>
                <c:pt idx="27">
                  <c:v>50844.517386613428</c:v>
                </c:pt>
                <c:pt idx="28">
                  <c:v>50145.298572962944</c:v>
                </c:pt>
                <c:pt idx="29">
                  <c:v>49509.51939329772</c:v>
                </c:pt>
                <c:pt idx="30">
                  <c:v>48977.758703104453</c:v>
                </c:pt>
              </c:numCache>
            </c:numRef>
          </c:yVal>
          <c:smooth val="1"/>
          <c:extLst xmlns:c16r2="http://schemas.microsoft.com/office/drawing/2015/06/chart">
            <c:ext xmlns:c16="http://schemas.microsoft.com/office/drawing/2014/chart" uri="{C3380CC4-5D6E-409C-BE32-E72D297353CC}">
              <c16:uniqueId val="{00000001-003D-4E4B-856B-DBB2D08036A7}"/>
            </c:ext>
          </c:extLst>
        </c:ser>
        <c:ser>
          <c:idx val="2"/>
          <c:order val="2"/>
          <c:tx>
            <c:strRef>
              <c:f>'[SWH Data Disclosure Analysis for DoEE.xlsx]Sheet1'!$E$4</c:f>
              <c:strCache>
                <c:ptCount val="1"/>
                <c:pt idx="0">
                  <c:v>NT</c:v>
                </c:pt>
              </c:strCache>
            </c:strRef>
          </c:tx>
          <c:spPr>
            <a:ln w="19050" cap="rnd">
              <a:solidFill>
                <a:schemeClr val="accent3"/>
              </a:solidFill>
              <a:round/>
            </a:ln>
            <a:effectLst/>
          </c:spPr>
          <c:marker>
            <c:symbol val="none"/>
          </c:marker>
          <c:xVal>
            <c:numRef>
              <c:f>'[SWH Data Disclosure Analysis for DoEE.xlsx]Sheet1'!$B$5:$B$35</c:f>
              <c:numCache>
                <c:formatCode>General</c:formatCod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numCache>
            </c:numRef>
          </c:xVal>
          <c:yVal>
            <c:numRef>
              <c:f>'[SWH Data Disclosure Analysis for DoEE.xlsx]Sheet1'!$E$5:$E$35</c:f>
              <c:numCache>
                <c:formatCode>#,##0</c:formatCode>
                <c:ptCount val="31"/>
                <c:pt idx="0">
                  <c:v>29225.48878172574</c:v>
                </c:pt>
                <c:pt idx="1">
                  <c:v>29344.074378212958</c:v>
                </c:pt>
                <c:pt idx="2">
                  <c:v>30079.896200690313</c:v>
                </c:pt>
                <c:pt idx="3">
                  <c:v>30860.14649089364</c:v>
                </c:pt>
                <c:pt idx="4">
                  <c:v>31840.80722805531</c:v>
                </c:pt>
                <c:pt idx="5">
                  <c:v>32399.657727404847</c:v>
                </c:pt>
                <c:pt idx="6">
                  <c:v>32956.44947557363</c:v>
                </c:pt>
                <c:pt idx="7">
                  <c:v>33066.442337128363</c:v>
                </c:pt>
                <c:pt idx="8">
                  <c:v>32979.6032359569</c:v>
                </c:pt>
                <c:pt idx="9">
                  <c:v>32548.931384359552</c:v>
                </c:pt>
                <c:pt idx="10">
                  <c:v>32070.036516541273</c:v>
                </c:pt>
                <c:pt idx="11">
                  <c:v>31790.320215740026</c:v>
                </c:pt>
                <c:pt idx="12">
                  <c:v>31306.446638719273</c:v>
                </c:pt>
                <c:pt idx="13">
                  <c:v>30472.96479925208</c:v>
                </c:pt>
                <c:pt idx="14">
                  <c:v>29679.420051019511</c:v>
                </c:pt>
                <c:pt idx="15">
                  <c:v>29141.428625399785</c:v>
                </c:pt>
                <c:pt idx="16">
                  <c:v>28622.564280397226</c:v>
                </c:pt>
                <c:pt idx="17">
                  <c:v>28145.643726420381</c:v>
                </c:pt>
                <c:pt idx="18">
                  <c:v>27703.964305092642</c:v>
                </c:pt>
                <c:pt idx="19">
                  <c:v>27340.041774574671</c:v>
                </c:pt>
                <c:pt idx="20">
                  <c:v>26984.383048250431</c:v>
                </c:pt>
                <c:pt idx="21">
                  <c:v>26658.192289016552</c:v>
                </c:pt>
                <c:pt idx="22">
                  <c:v>26368.79433280056</c:v>
                </c:pt>
                <c:pt idx="23">
                  <c:v>26100.662265915358</c:v>
                </c:pt>
                <c:pt idx="24">
                  <c:v>25850.478865209454</c:v>
                </c:pt>
                <c:pt idx="25">
                  <c:v>25588.262913044997</c:v>
                </c:pt>
                <c:pt idx="26">
                  <c:v>25325.615015740037</c:v>
                </c:pt>
                <c:pt idx="27">
                  <c:v>25079.796561015784</c:v>
                </c:pt>
                <c:pt idx="28">
                  <c:v>24842.226474376508</c:v>
                </c:pt>
                <c:pt idx="29">
                  <c:v>24618.455181277746</c:v>
                </c:pt>
                <c:pt idx="30">
                  <c:v>24402.284300609728</c:v>
                </c:pt>
              </c:numCache>
            </c:numRef>
          </c:yVal>
          <c:smooth val="1"/>
          <c:extLst xmlns:c16r2="http://schemas.microsoft.com/office/drawing/2015/06/chart">
            <c:ext xmlns:c16="http://schemas.microsoft.com/office/drawing/2014/chart" uri="{C3380CC4-5D6E-409C-BE32-E72D297353CC}">
              <c16:uniqueId val="{00000002-003D-4E4B-856B-DBB2D08036A7}"/>
            </c:ext>
          </c:extLst>
        </c:ser>
        <c:ser>
          <c:idx val="3"/>
          <c:order val="3"/>
          <c:tx>
            <c:strRef>
              <c:f>'[SWH Data Disclosure Analysis for DoEE.xlsx]Sheet1'!$F$4</c:f>
              <c:strCache>
                <c:ptCount val="1"/>
                <c:pt idx="0">
                  <c:v>QLD</c:v>
                </c:pt>
              </c:strCache>
            </c:strRef>
          </c:tx>
          <c:spPr>
            <a:ln w="19050" cap="rnd">
              <a:solidFill>
                <a:schemeClr val="accent4"/>
              </a:solidFill>
              <a:round/>
            </a:ln>
            <a:effectLst/>
          </c:spPr>
          <c:marker>
            <c:symbol val="none"/>
          </c:marker>
          <c:xVal>
            <c:numRef>
              <c:f>'[SWH Data Disclosure Analysis for DoEE.xlsx]Sheet1'!$B$5:$B$35</c:f>
              <c:numCache>
                <c:formatCode>General</c:formatCod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numCache>
            </c:numRef>
          </c:xVal>
          <c:yVal>
            <c:numRef>
              <c:f>'[SWH Data Disclosure Analysis for DoEE.xlsx]Sheet1'!$F$5:$F$35</c:f>
              <c:numCache>
                <c:formatCode>#,##0</c:formatCode>
                <c:ptCount val="31"/>
                <c:pt idx="0">
                  <c:v>31790.746971457589</c:v>
                </c:pt>
                <c:pt idx="1">
                  <c:v>31880.948249704303</c:v>
                </c:pt>
                <c:pt idx="2">
                  <c:v>32111.714683946633</c:v>
                </c:pt>
                <c:pt idx="3">
                  <c:v>32416.028837135444</c:v>
                </c:pt>
                <c:pt idx="4">
                  <c:v>32900.207628206022</c:v>
                </c:pt>
                <c:pt idx="5">
                  <c:v>33020.949643649299</c:v>
                </c:pt>
                <c:pt idx="6">
                  <c:v>33157.050944297232</c:v>
                </c:pt>
                <c:pt idx="7">
                  <c:v>33216.914635570167</c:v>
                </c:pt>
                <c:pt idx="8">
                  <c:v>33056.874991541736</c:v>
                </c:pt>
                <c:pt idx="9">
                  <c:v>32421.325432212128</c:v>
                </c:pt>
                <c:pt idx="10">
                  <c:v>32094.357025050111</c:v>
                </c:pt>
                <c:pt idx="11">
                  <c:v>31836.132524994508</c:v>
                </c:pt>
                <c:pt idx="12">
                  <c:v>30907.620805717193</c:v>
                </c:pt>
                <c:pt idx="13">
                  <c:v>29785.460086186278</c:v>
                </c:pt>
                <c:pt idx="14">
                  <c:v>28761.36468582059</c:v>
                </c:pt>
                <c:pt idx="15">
                  <c:v>28010.05250178463</c:v>
                </c:pt>
                <c:pt idx="16">
                  <c:v>27312.302725048528</c:v>
                </c:pt>
                <c:pt idx="17">
                  <c:v>26682.958033203722</c:v>
                </c:pt>
                <c:pt idx="18">
                  <c:v>26129.712240675282</c:v>
                </c:pt>
                <c:pt idx="19">
                  <c:v>25669.064306893757</c:v>
                </c:pt>
                <c:pt idx="20">
                  <c:v>25252.164256129592</c:v>
                </c:pt>
                <c:pt idx="21">
                  <c:v>24891.576979409412</c:v>
                </c:pt>
                <c:pt idx="22">
                  <c:v>24591.132086171023</c:v>
                </c:pt>
                <c:pt idx="23">
                  <c:v>24326.027609209792</c:v>
                </c:pt>
                <c:pt idx="24">
                  <c:v>24081.143436791492</c:v>
                </c:pt>
                <c:pt idx="25">
                  <c:v>23846.924650119217</c:v>
                </c:pt>
                <c:pt idx="26">
                  <c:v>23615.12745481019</c:v>
                </c:pt>
                <c:pt idx="27">
                  <c:v>23401.678707166029</c:v>
                </c:pt>
                <c:pt idx="28">
                  <c:v>23195.813010044789</c:v>
                </c:pt>
                <c:pt idx="29">
                  <c:v>22999.166050657681</c:v>
                </c:pt>
                <c:pt idx="30">
                  <c:v>22810.565855139252</c:v>
                </c:pt>
              </c:numCache>
            </c:numRef>
          </c:yVal>
          <c:smooth val="1"/>
          <c:extLst xmlns:c16r2="http://schemas.microsoft.com/office/drawing/2015/06/chart">
            <c:ext xmlns:c16="http://schemas.microsoft.com/office/drawing/2014/chart" uri="{C3380CC4-5D6E-409C-BE32-E72D297353CC}">
              <c16:uniqueId val="{00000003-003D-4E4B-856B-DBB2D08036A7}"/>
            </c:ext>
          </c:extLst>
        </c:ser>
        <c:ser>
          <c:idx val="4"/>
          <c:order val="4"/>
          <c:tx>
            <c:strRef>
              <c:f>'[SWH Data Disclosure Analysis for DoEE.xlsx]Sheet1'!$G$4</c:f>
              <c:strCache>
                <c:ptCount val="1"/>
                <c:pt idx="0">
                  <c:v>SA</c:v>
                </c:pt>
              </c:strCache>
            </c:strRef>
          </c:tx>
          <c:spPr>
            <a:ln w="19050" cap="rnd">
              <a:solidFill>
                <a:schemeClr val="accent5"/>
              </a:solidFill>
              <a:round/>
            </a:ln>
            <a:effectLst/>
          </c:spPr>
          <c:marker>
            <c:symbol val="none"/>
          </c:marker>
          <c:xVal>
            <c:numRef>
              <c:f>'[SWH Data Disclosure Analysis for DoEE.xlsx]Sheet1'!$B$5:$B$35</c:f>
              <c:numCache>
                <c:formatCode>General</c:formatCod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numCache>
            </c:numRef>
          </c:xVal>
          <c:yVal>
            <c:numRef>
              <c:f>'[SWH Data Disclosure Analysis for DoEE.xlsx]Sheet1'!$G$5:$G$35</c:f>
              <c:numCache>
                <c:formatCode>#,##0</c:formatCode>
                <c:ptCount val="31"/>
                <c:pt idx="0">
                  <c:v>45006.041445423158</c:v>
                </c:pt>
                <c:pt idx="1">
                  <c:v>45163.497836375805</c:v>
                </c:pt>
                <c:pt idx="2">
                  <c:v>45315.950268734159</c:v>
                </c:pt>
                <c:pt idx="3">
                  <c:v>45511.233783031632</c:v>
                </c:pt>
                <c:pt idx="4">
                  <c:v>45811.489412897448</c:v>
                </c:pt>
                <c:pt idx="5">
                  <c:v>45708.539259810437</c:v>
                </c:pt>
                <c:pt idx="6">
                  <c:v>45503.378278555581</c:v>
                </c:pt>
                <c:pt idx="7">
                  <c:v>45100.055112216702</c:v>
                </c:pt>
                <c:pt idx="8">
                  <c:v>44544.448783190783</c:v>
                </c:pt>
                <c:pt idx="9">
                  <c:v>43297.786185947334</c:v>
                </c:pt>
                <c:pt idx="10">
                  <c:v>42059.772074736698</c:v>
                </c:pt>
                <c:pt idx="11">
                  <c:v>41185.467135082683</c:v>
                </c:pt>
                <c:pt idx="12">
                  <c:v>40218.198574207898</c:v>
                </c:pt>
                <c:pt idx="13">
                  <c:v>38693.584258934578</c:v>
                </c:pt>
                <c:pt idx="14">
                  <c:v>37245.907705688063</c:v>
                </c:pt>
                <c:pt idx="15">
                  <c:v>36264.847929107316</c:v>
                </c:pt>
                <c:pt idx="16">
                  <c:v>35351.306076618181</c:v>
                </c:pt>
                <c:pt idx="17">
                  <c:v>34522.074109145418</c:v>
                </c:pt>
                <c:pt idx="18">
                  <c:v>33784.750127941312</c:v>
                </c:pt>
                <c:pt idx="19">
                  <c:v>33148.267476978792</c:v>
                </c:pt>
                <c:pt idx="20">
                  <c:v>32564.73458687761</c:v>
                </c:pt>
                <c:pt idx="21">
                  <c:v>32057.444933767918</c:v>
                </c:pt>
                <c:pt idx="22">
                  <c:v>31624.077044847778</c:v>
                </c:pt>
                <c:pt idx="23">
                  <c:v>31244.527734460036</c:v>
                </c:pt>
                <c:pt idx="24">
                  <c:v>30893.86627049778</c:v>
                </c:pt>
                <c:pt idx="25">
                  <c:v>30566.890107731706</c:v>
                </c:pt>
                <c:pt idx="26">
                  <c:v>30262.004641701082</c:v>
                </c:pt>
                <c:pt idx="27">
                  <c:v>29983.396530745202</c:v>
                </c:pt>
                <c:pt idx="28">
                  <c:v>29730.215576676252</c:v>
                </c:pt>
                <c:pt idx="29">
                  <c:v>29501.283631727019</c:v>
                </c:pt>
                <c:pt idx="30">
                  <c:v>29299.038655927165</c:v>
                </c:pt>
              </c:numCache>
            </c:numRef>
          </c:yVal>
          <c:smooth val="1"/>
          <c:extLst xmlns:c16r2="http://schemas.microsoft.com/office/drawing/2015/06/chart">
            <c:ext xmlns:c16="http://schemas.microsoft.com/office/drawing/2014/chart" uri="{C3380CC4-5D6E-409C-BE32-E72D297353CC}">
              <c16:uniqueId val="{00000004-003D-4E4B-856B-DBB2D08036A7}"/>
            </c:ext>
          </c:extLst>
        </c:ser>
        <c:ser>
          <c:idx val="5"/>
          <c:order val="5"/>
          <c:tx>
            <c:strRef>
              <c:f>'[SWH Data Disclosure Analysis for DoEE.xlsx]Sheet1'!$H$4</c:f>
              <c:strCache>
                <c:ptCount val="1"/>
                <c:pt idx="0">
                  <c:v>TAS</c:v>
                </c:pt>
              </c:strCache>
            </c:strRef>
          </c:tx>
          <c:spPr>
            <a:ln w="19050" cap="rnd">
              <a:solidFill>
                <a:schemeClr val="accent6"/>
              </a:solidFill>
              <a:round/>
            </a:ln>
            <a:effectLst/>
          </c:spPr>
          <c:marker>
            <c:symbol val="none"/>
          </c:marker>
          <c:xVal>
            <c:numRef>
              <c:f>'[SWH Data Disclosure Analysis for DoEE.xlsx]Sheet1'!$B$5:$B$35</c:f>
              <c:numCache>
                <c:formatCode>General</c:formatCod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numCache>
            </c:numRef>
          </c:xVal>
          <c:yVal>
            <c:numRef>
              <c:f>'[SWH Data Disclosure Analysis for DoEE.xlsx]Sheet1'!$H$5:$H$35</c:f>
              <c:numCache>
                <c:formatCode>#,##0</c:formatCode>
                <c:ptCount val="31"/>
                <c:pt idx="0">
                  <c:v>78852.260564194323</c:v>
                </c:pt>
                <c:pt idx="1">
                  <c:v>77953.319842636818</c:v>
                </c:pt>
                <c:pt idx="2">
                  <c:v>76552.663636091718</c:v>
                </c:pt>
                <c:pt idx="3">
                  <c:v>74731.25404958798</c:v>
                </c:pt>
                <c:pt idx="4">
                  <c:v>73089.827381330746</c:v>
                </c:pt>
                <c:pt idx="5">
                  <c:v>71057.532153539913</c:v>
                </c:pt>
                <c:pt idx="6">
                  <c:v>69416.66265352437</c:v>
                </c:pt>
                <c:pt idx="7">
                  <c:v>67603.726331589569</c:v>
                </c:pt>
                <c:pt idx="8">
                  <c:v>65577.22456612598</c:v>
                </c:pt>
                <c:pt idx="9">
                  <c:v>63324.61808797672</c:v>
                </c:pt>
                <c:pt idx="10">
                  <c:v>61289.405274767836</c:v>
                </c:pt>
                <c:pt idx="11">
                  <c:v>59653.228977014965</c:v>
                </c:pt>
                <c:pt idx="12">
                  <c:v>58299.84817231058</c:v>
                </c:pt>
                <c:pt idx="13">
                  <c:v>56344.585550063523</c:v>
                </c:pt>
                <c:pt idx="14">
                  <c:v>54430.478218040102</c:v>
                </c:pt>
                <c:pt idx="15">
                  <c:v>52729.228677083534</c:v>
                </c:pt>
                <c:pt idx="16">
                  <c:v>51238.194677009422</c:v>
                </c:pt>
                <c:pt idx="17">
                  <c:v>49850.44661653119</c:v>
                </c:pt>
                <c:pt idx="18">
                  <c:v>48700.04369690991</c:v>
                </c:pt>
                <c:pt idx="19">
                  <c:v>47807.577911587345</c:v>
                </c:pt>
                <c:pt idx="20">
                  <c:v>47046.434773420551</c:v>
                </c:pt>
                <c:pt idx="21">
                  <c:v>46449.873743813769</c:v>
                </c:pt>
                <c:pt idx="22">
                  <c:v>45884.913294545957</c:v>
                </c:pt>
                <c:pt idx="23">
                  <c:v>45433.479101107994</c:v>
                </c:pt>
                <c:pt idx="24">
                  <c:v>44989.465188104004</c:v>
                </c:pt>
                <c:pt idx="25">
                  <c:v>44532.359005650062</c:v>
                </c:pt>
                <c:pt idx="26">
                  <c:v>44148.653824589361</c:v>
                </c:pt>
                <c:pt idx="27">
                  <c:v>43828.442964948175</c:v>
                </c:pt>
                <c:pt idx="28">
                  <c:v>43518.483177276998</c:v>
                </c:pt>
                <c:pt idx="29">
                  <c:v>43221.099556333036</c:v>
                </c:pt>
                <c:pt idx="30">
                  <c:v>42923.661375500516</c:v>
                </c:pt>
              </c:numCache>
            </c:numRef>
          </c:yVal>
          <c:smooth val="1"/>
          <c:extLst xmlns:c16r2="http://schemas.microsoft.com/office/drawing/2015/06/chart">
            <c:ext xmlns:c16="http://schemas.microsoft.com/office/drawing/2014/chart" uri="{C3380CC4-5D6E-409C-BE32-E72D297353CC}">
              <c16:uniqueId val="{00000005-003D-4E4B-856B-DBB2D08036A7}"/>
            </c:ext>
          </c:extLst>
        </c:ser>
        <c:ser>
          <c:idx val="6"/>
          <c:order val="6"/>
          <c:tx>
            <c:strRef>
              <c:f>'[SWH Data Disclosure Analysis for DoEE.xlsx]Sheet1'!$I$4</c:f>
              <c:strCache>
                <c:ptCount val="1"/>
                <c:pt idx="0">
                  <c:v>VIC</c:v>
                </c:pt>
              </c:strCache>
            </c:strRef>
          </c:tx>
          <c:spPr>
            <a:ln w="19050" cap="rnd">
              <a:solidFill>
                <a:schemeClr val="accent1">
                  <a:lumMod val="60000"/>
                </a:schemeClr>
              </a:solidFill>
              <a:round/>
            </a:ln>
            <a:effectLst/>
          </c:spPr>
          <c:marker>
            <c:symbol val="none"/>
          </c:marker>
          <c:xVal>
            <c:numRef>
              <c:f>'[SWH Data Disclosure Analysis for DoEE.xlsx]Sheet1'!$B$5:$B$35</c:f>
              <c:numCache>
                <c:formatCode>General</c:formatCod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numCache>
            </c:numRef>
          </c:xVal>
          <c:yVal>
            <c:numRef>
              <c:f>'[SWH Data Disclosure Analysis for DoEE.xlsx]Sheet1'!$I$5:$I$35</c:f>
              <c:numCache>
                <c:formatCode>#,##0</c:formatCode>
                <c:ptCount val="31"/>
                <c:pt idx="0">
                  <c:v>82987.254019215266</c:v>
                </c:pt>
                <c:pt idx="1">
                  <c:v>83494.817821208286</c:v>
                </c:pt>
                <c:pt idx="2">
                  <c:v>83755.738684268596</c:v>
                </c:pt>
                <c:pt idx="3">
                  <c:v>83593.16471492518</c:v>
                </c:pt>
                <c:pt idx="4">
                  <c:v>83612.471249278067</c:v>
                </c:pt>
                <c:pt idx="5">
                  <c:v>82804.846520306208</c:v>
                </c:pt>
                <c:pt idx="6">
                  <c:v>82073.778369058098</c:v>
                </c:pt>
                <c:pt idx="7">
                  <c:v>81148.82312064337</c:v>
                </c:pt>
                <c:pt idx="8">
                  <c:v>80103.73507411321</c:v>
                </c:pt>
                <c:pt idx="9">
                  <c:v>78286.963848787665</c:v>
                </c:pt>
                <c:pt idx="10">
                  <c:v>76583.60140153789</c:v>
                </c:pt>
                <c:pt idx="11">
                  <c:v>74949.518225501204</c:v>
                </c:pt>
                <c:pt idx="12">
                  <c:v>73354.373335963683</c:v>
                </c:pt>
                <c:pt idx="13">
                  <c:v>71137.572244927433</c:v>
                </c:pt>
                <c:pt idx="14">
                  <c:v>68889.281002958523</c:v>
                </c:pt>
                <c:pt idx="15">
                  <c:v>67167.839367189968</c:v>
                </c:pt>
                <c:pt idx="16">
                  <c:v>65441.159787717064</c:v>
                </c:pt>
                <c:pt idx="17">
                  <c:v>63991.628558593868</c:v>
                </c:pt>
                <c:pt idx="18">
                  <c:v>62637.510323925213</c:v>
                </c:pt>
                <c:pt idx="19">
                  <c:v>61448.218084768763</c:v>
                </c:pt>
                <c:pt idx="20">
                  <c:v>60243.739329223929</c:v>
                </c:pt>
                <c:pt idx="21">
                  <c:v>59186.726540237672</c:v>
                </c:pt>
                <c:pt idx="22">
                  <c:v>58218.178923401669</c:v>
                </c:pt>
                <c:pt idx="23">
                  <c:v>57332.075116878259</c:v>
                </c:pt>
                <c:pt idx="24">
                  <c:v>56603.117129889288</c:v>
                </c:pt>
                <c:pt idx="25">
                  <c:v>55857.320124493337</c:v>
                </c:pt>
                <c:pt idx="26">
                  <c:v>55199.816666493367</c:v>
                </c:pt>
                <c:pt idx="27">
                  <c:v>54584.309648931754</c:v>
                </c:pt>
                <c:pt idx="28">
                  <c:v>54006.182941957479</c:v>
                </c:pt>
                <c:pt idx="29">
                  <c:v>53472.349861871924</c:v>
                </c:pt>
                <c:pt idx="30">
                  <c:v>52977.313749816851</c:v>
                </c:pt>
              </c:numCache>
            </c:numRef>
          </c:yVal>
          <c:smooth val="1"/>
          <c:extLst xmlns:c16r2="http://schemas.microsoft.com/office/drawing/2015/06/chart">
            <c:ext xmlns:c16="http://schemas.microsoft.com/office/drawing/2014/chart" uri="{C3380CC4-5D6E-409C-BE32-E72D297353CC}">
              <c16:uniqueId val="{00000006-003D-4E4B-856B-DBB2D08036A7}"/>
            </c:ext>
          </c:extLst>
        </c:ser>
        <c:ser>
          <c:idx val="7"/>
          <c:order val="7"/>
          <c:tx>
            <c:strRef>
              <c:f>'[SWH Data Disclosure Analysis for DoEE.xlsx]Sheet1'!$J$4</c:f>
              <c:strCache>
                <c:ptCount val="1"/>
                <c:pt idx="0">
                  <c:v>WA</c:v>
                </c:pt>
              </c:strCache>
            </c:strRef>
          </c:tx>
          <c:spPr>
            <a:ln w="19050" cap="rnd">
              <a:solidFill>
                <a:schemeClr val="accent2">
                  <a:lumMod val="60000"/>
                </a:schemeClr>
              </a:solidFill>
              <a:round/>
            </a:ln>
            <a:effectLst/>
          </c:spPr>
          <c:marker>
            <c:symbol val="none"/>
          </c:marker>
          <c:xVal>
            <c:numRef>
              <c:f>'[SWH Data Disclosure Analysis for DoEE.xlsx]Sheet1'!$B$5:$B$35</c:f>
              <c:numCache>
                <c:formatCode>General</c:formatCod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numCache>
            </c:numRef>
          </c:xVal>
          <c:yVal>
            <c:numRef>
              <c:f>'[SWH Data Disclosure Analysis for DoEE.xlsx]Sheet1'!$J$5:$J$35</c:f>
              <c:numCache>
                <c:formatCode>#,##0</c:formatCode>
                <c:ptCount val="31"/>
                <c:pt idx="0">
                  <c:v>44927.356014629411</c:v>
                </c:pt>
                <c:pt idx="1">
                  <c:v>44821.362898802123</c:v>
                </c:pt>
                <c:pt idx="2">
                  <c:v>44796.923327353812</c:v>
                </c:pt>
                <c:pt idx="3">
                  <c:v>44876.047948893189</c:v>
                </c:pt>
                <c:pt idx="4">
                  <c:v>45179.921605400428</c:v>
                </c:pt>
                <c:pt idx="5">
                  <c:v>45127.603038829009</c:v>
                </c:pt>
                <c:pt idx="6">
                  <c:v>45065.033143269815</c:v>
                </c:pt>
                <c:pt idx="7">
                  <c:v>44593.447510775637</c:v>
                </c:pt>
                <c:pt idx="8">
                  <c:v>44044.151967280064</c:v>
                </c:pt>
                <c:pt idx="9">
                  <c:v>42871.763376160088</c:v>
                </c:pt>
                <c:pt idx="10">
                  <c:v>41739.969941956093</c:v>
                </c:pt>
                <c:pt idx="11">
                  <c:v>40951.766774315009</c:v>
                </c:pt>
                <c:pt idx="12">
                  <c:v>40100.061247605474</c:v>
                </c:pt>
                <c:pt idx="13">
                  <c:v>38713.249010326974</c:v>
                </c:pt>
                <c:pt idx="14">
                  <c:v>37364.167687211491</c:v>
                </c:pt>
                <c:pt idx="15">
                  <c:v>36436.820653753115</c:v>
                </c:pt>
                <c:pt idx="16">
                  <c:v>35566.208348195163</c:v>
                </c:pt>
                <c:pt idx="17">
                  <c:v>34757.447064818058</c:v>
                </c:pt>
                <c:pt idx="18">
                  <c:v>34025.114527733749</c:v>
                </c:pt>
                <c:pt idx="19">
                  <c:v>33368.252273600046</c:v>
                </c:pt>
                <c:pt idx="20">
                  <c:v>32745.805625283567</c:v>
                </c:pt>
                <c:pt idx="21">
                  <c:v>32182.352875108398</c:v>
                </c:pt>
                <c:pt idx="22">
                  <c:v>31673.277334279392</c:v>
                </c:pt>
                <c:pt idx="23">
                  <c:v>31202.030962213223</c:v>
                </c:pt>
                <c:pt idx="24">
                  <c:v>30748.393719050357</c:v>
                </c:pt>
                <c:pt idx="25">
                  <c:v>30307.847442584287</c:v>
                </c:pt>
                <c:pt idx="26">
                  <c:v>29878.882935212081</c:v>
                </c:pt>
                <c:pt idx="27">
                  <c:v>29474.746113351845</c:v>
                </c:pt>
                <c:pt idx="28">
                  <c:v>29093.266156267164</c:v>
                </c:pt>
                <c:pt idx="29">
                  <c:v>28737.705657219896</c:v>
                </c:pt>
                <c:pt idx="30">
                  <c:v>28405.336284936151</c:v>
                </c:pt>
              </c:numCache>
            </c:numRef>
          </c:yVal>
          <c:smooth val="1"/>
          <c:extLst xmlns:c16r2="http://schemas.microsoft.com/office/drawing/2015/06/chart">
            <c:ext xmlns:c16="http://schemas.microsoft.com/office/drawing/2014/chart" uri="{C3380CC4-5D6E-409C-BE32-E72D297353CC}">
              <c16:uniqueId val="{00000007-003D-4E4B-856B-DBB2D08036A7}"/>
            </c:ext>
          </c:extLst>
        </c:ser>
        <c:dLbls>
          <c:showLegendKey val="0"/>
          <c:showVal val="0"/>
          <c:showCatName val="0"/>
          <c:showSerName val="0"/>
          <c:showPercent val="0"/>
          <c:showBubbleSize val="0"/>
        </c:dLbls>
        <c:axId val="224600296"/>
        <c:axId val="227251224"/>
      </c:scatterChart>
      <c:valAx>
        <c:axId val="224600296"/>
        <c:scaling>
          <c:orientation val="minMax"/>
          <c:max val="2030"/>
          <c:min val="2000"/>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251224"/>
        <c:crosses val="autoZero"/>
        <c:crossBetween val="midCat"/>
      </c:valAx>
      <c:valAx>
        <c:axId val="227251224"/>
        <c:scaling>
          <c:orientation val="minMax"/>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baseline="0">
                    <a:effectLst/>
                  </a:rPr>
                  <a:t>Mega Joules </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600296"/>
        <c:crosses val="autoZero"/>
        <c:crossBetween val="midCat"/>
      </c:valAx>
      <c:spPr>
        <a:noFill/>
        <a:ln>
          <a:noFill/>
        </a:ln>
        <a:effectLst/>
      </c:spPr>
    </c:plotArea>
    <c:legend>
      <c:legendPos val="r"/>
      <c:layout>
        <c:manualLayout>
          <c:xMode val="edge"/>
          <c:yMode val="edge"/>
          <c:x val="0.86426617329849365"/>
          <c:y val="0.25178987709029499"/>
          <c:w val="9.968626694491696E-2"/>
          <c:h val="0.526319473223741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B34C66FC.dotm</Template>
  <TotalTime>37</TotalTime>
  <Pages>92</Pages>
  <Words>29540</Words>
  <Characters>177032</Characters>
  <Application>Microsoft Office Word</Application>
  <DocSecurity>0</DocSecurity>
  <Lines>1475</Lines>
  <Paragraphs>412</Paragraphs>
  <ScaleCrop>false</ScaleCrop>
  <HeadingPairs>
    <vt:vector size="2" baseType="variant">
      <vt:variant>
        <vt:lpstr>Title</vt:lpstr>
      </vt:variant>
      <vt:variant>
        <vt:i4>1</vt:i4>
      </vt:variant>
    </vt:vector>
  </HeadingPairs>
  <TitlesOfParts>
    <vt:vector size="1" baseType="lpstr">
      <vt:lpstr>GEMS Review - Final Report</vt:lpstr>
    </vt:vector>
  </TitlesOfParts>
  <Manager/>
  <Company/>
  <LinksUpToDate>false</LinksUpToDate>
  <CharactersWithSpaces>206160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Review of the Greenhouse and Energy Minimum Standards (GEMS) Act 2012</dc:title>
  <dc:subject/>
  <dc:creator>Department of the Environment and Energy</dc:creator>
  <cp:keywords/>
  <dc:description/>
  <cp:lastModifiedBy>Ben Costelloe</cp:lastModifiedBy>
  <cp:revision>15</cp:revision>
  <cp:lastPrinted>2019-06-24T06:55:00Z</cp:lastPrinted>
  <dcterms:created xsi:type="dcterms:W3CDTF">2019-09-06T00:25:00Z</dcterms:created>
  <dcterms:modified xsi:type="dcterms:W3CDTF">2019-09-06T03:57:00Z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Footer">
    <vt:lpwstr>albm A0143502939v2 120728406 </vt:lpwstr>
  </property>
  <property fmtid="{D5CDD505-2E9C-101B-9397-08002B2CF9AE}" pid="3" name="DOCSDocNumber">
    <vt:lpwstr>43502939</vt:lpwstr>
  </property>
  <property fmtid="{D5CDD505-2E9C-101B-9397-08002B2CF9AE}" pid="4" name="DOCSDocumentID">
    <vt:lpwstr>A0143502939</vt:lpwstr>
  </property>
  <property fmtid="{D5CDD505-2E9C-101B-9397-08002B2CF9AE}" pid="5" name="ContentTypeId">
    <vt:lpwstr>0x01010013DD0D1E0504704A9A546361C743C587009F83C30CD8208E429CF529DF5EEA3E93</vt:lpwstr>
  </property>
  <property fmtid="{D5CDD505-2E9C-101B-9397-08002B2CF9AE}" pid="6" name="RecordPoint_WorkflowType">
    <vt:lpwstr>ActiveSubmitStub</vt:lpwstr>
  </property>
  <property fmtid="{D5CDD505-2E9C-101B-9397-08002B2CF9AE}" pid="7" name="RecordPoint_ActiveItemSiteId">
    <vt:lpwstr>{5d5943af-3559-4aa8-b232-61db5aa26396}</vt:lpwstr>
  </property>
  <property fmtid="{D5CDD505-2E9C-101B-9397-08002B2CF9AE}" pid="8" name="RecordPoint_ActiveItemListId">
    <vt:lpwstr>{8dff1cc9-e964-453f-8e2b-b6ca96feca64}</vt:lpwstr>
  </property>
  <property fmtid="{D5CDD505-2E9C-101B-9397-08002B2CF9AE}" pid="9" name="RecordPoint_ActiveItemUniqueId">
    <vt:lpwstr>{344e4eb3-e893-47d9-812f-2dbffe959c14}</vt:lpwstr>
  </property>
  <property fmtid="{D5CDD505-2E9C-101B-9397-08002B2CF9AE}" pid="10" name="RecordPoint_ActiveItemWebId">
    <vt:lpwstr>{68fee9b5-4f7b-4b2f-a0dd-073f48edd636}</vt:lpwstr>
  </property>
  <property fmtid="{D5CDD505-2E9C-101B-9397-08002B2CF9AE}" pid="11" name="RecordPoint_SubmissionCompleted">
    <vt:lpwstr>2019-06-14T18:01:28.1764380+10:00</vt:lpwstr>
  </property>
  <property fmtid="{D5CDD505-2E9C-101B-9397-08002B2CF9AE}" pid="12" name="RecordPoint_RecordNumberSubmitted">
    <vt:lpwstr>002664408</vt:lpwstr>
  </property>
</Properties>
</file>